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spacing w:before="66"/>
        <w:ind w:left="0"/>
        <w:jc w:val="left"/>
        <w:rPr>
          <w:sz w:val="20"/>
        </w:rPr>
      </w:pPr>
    </w:p>
    <w:p>
      <w:pPr>
        <w:pStyle w:val="BodyText"/>
        <w:spacing w:after="0"/>
        <w:jc w:val="left"/>
        <w:rPr>
          <w:sz w:val="20"/>
        </w:rPr>
        <w:sectPr>
          <w:type w:val="continuous"/>
          <w:pgSz w:w="11900" w:h="16840"/>
          <w:pgMar w:top="880" w:bottom="0" w:left="0" w:right="0"/>
        </w:sectPr>
      </w:pPr>
    </w:p>
    <w:p>
      <w:pPr>
        <w:pStyle w:val="BodyText"/>
        <w:ind w:left="0"/>
        <w:jc w:val="left"/>
        <w:rPr>
          <w:sz w:val="26"/>
        </w:rPr>
      </w:pPr>
    </w:p>
    <w:p>
      <w:pPr>
        <w:pStyle w:val="BodyText"/>
        <w:spacing w:before="117"/>
        <w:ind w:left="0"/>
        <w:jc w:val="left"/>
        <w:rPr>
          <w:sz w:val="26"/>
        </w:rPr>
      </w:pPr>
    </w:p>
    <w:p>
      <w:pPr>
        <w:spacing w:line="237" w:lineRule="auto" w:before="0"/>
        <w:ind w:left="1703" w:right="0" w:hanging="3"/>
        <w:jc w:val="center"/>
        <w:rPr>
          <w:sz w:val="24"/>
        </w:rPr>
      </w:pPr>
      <w:r>
        <w:rPr>
          <w:sz w:val="24"/>
        </w:rPr>
        <w:drawing>
          <wp:anchor distT="0" distB="0" distL="0" distR="0" allowOverlap="1" layoutInCell="1" locked="0" behindDoc="0" simplePos="0" relativeHeight="15728640">
            <wp:simplePos x="0" y="0"/>
            <wp:positionH relativeFrom="page">
              <wp:posOffset>2005584</wp:posOffset>
            </wp:positionH>
            <wp:positionV relativeFrom="paragraph">
              <wp:posOffset>-638891</wp:posOffset>
            </wp:positionV>
            <wp:extent cx="502918" cy="608074"/>
            <wp:effectExtent l="0" t="0" r="0" b="0"/>
            <wp:wrapNone/>
            <wp:docPr id="1" name="Image 1"/>
            <wp:cNvGraphicFramePr>
              <a:graphicFrameLocks/>
            </wp:cNvGraphicFramePr>
            <a:graphic>
              <a:graphicData uri="http://schemas.openxmlformats.org/drawingml/2006/picture">
                <pic:pic>
                  <pic:nvPicPr>
                    <pic:cNvPr id="1" name="Image 1"/>
                    <pic:cNvPicPr/>
                  </pic:nvPicPr>
                  <pic:blipFill>
                    <a:blip r:embed="rId5" cstate="print"/>
                    <a:stretch>
                      <a:fillRect/>
                    </a:stretch>
                  </pic:blipFill>
                  <pic:spPr>
                    <a:xfrm>
                      <a:off x="0" y="0"/>
                      <a:ext cx="502918" cy="608074"/>
                    </a:xfrm>
                    <a:prstGeom prst="rect">
                      <a:avLst/>
                    </a:prstGeom>
                  </pic:spPr>
                </pic:pic>
              </a:graphicData>
            </a:graphic>
          </wp:anchor>
        </w:drawing>
      </w:r>
      <w:bookmarkStart w:name="1" w:id="1"/>
      <w:bookmarkEnd w:id="1"/>
      <w:r>
        <w:rPr/>
      </w:r>
      <w:r>
        <w:rPr>
          <w:b/>
          <w:color w:val="006FC0"/>
          <w:spacing w:val="-2"/>
          <w:sz w:val="26"/>
        </w:rPr>
        <w:t>МИНИСТЕРСТВО ЗДРАВООХРАНЕНИЯ </w:t>
      </w:r>
      <w:r>
        <w:rPr>
          <w:b/>
          <w:color w:val="006FC0"/>
          <w:spacing w:val="-6"/>
          <w:sz w:val="26"/>
        </w:rPr>
        <w:t>РОССИЙСКОЙ</w:t>
      </w:r>
      <w:r>
        <w:rPr>
          <w:b/>
          <w:color w:val="006FC0"/>
          <w:spacing w:val="-11"/>
          <w:sz w:val="26"/>
        </w:rPr>
        <w:t> </w:t>
      </w:r>
      <w:r>
        <w:rPr>
          <w:b/>
          <w:color w:val="006FC0"/>
          <w:spacing w:val="-6"/>
          <w:sz w:val="26"/>
        </w:rPr>
        <w:t>ФЕДЕРАЦИИ </w:t>
      </w:r>
      <w:r>
        <w:rPr>
          <w:color w:val="006FC0"/>
          <w:sz w:val="24"/>
        </w:rPr>
        <w:t>(МИНЗДРАВ</w:t>
      </w:r>
      <w:r>
        <w:rPr>
          <w:color w:val="006FC0"/>
          <w:spacing w:val="-5"/>
          <w:sz w:val="24"/>
        </w:rPr>
        <w:t> </w:t>
      </w:r>
      <w:r>
        <w:rPr>
          <w:color w:val="006FC0"/>
          <w:sz w:val="24"/>
        </w:rPr>
        <w:t>РОССИИ)</w:t>
      </w:r>
    </w:p>
    <w:p>
      <w:pPr>
        <w:pStyle w:val="Heading3"/>
        <w:spacing w:before="282"/>
        <w:ind w:left="1699"/>
        <w:jc w:val="center"/>
      </w:pPr>
      <w:r>
        <w:rPr>
          <w:color w:val="006FC0"/>
          <w:spacing w:val="-6"/>
        </w:rPr>
        <w:t>ЗАМЕСТИТЕЛЬ</w:t>
      </w:r>
      <w:r>
        <w:rPr>
          <w:color w:val="006FC0"/>
          <w:spacing w:val="1"/>
        </w:rPr>
        <w:t> </w:t>
      </w:r>
      <w:r>
        <w:rPr>
          <w:color w:val="006FC0"/>
          <w:spacing w:val="-2"/>
        </w:rPr>
        <w:t>МИНИСТРА</w:t>
      </w:r>
    </w:p>
    <w:p>
      <w:pPr>
        <w:spacing w:before="273"/>
        <w:ind w:left="1526" w:right="0" w:firstLine="0"/>
        <w:jc w:val="center"/>
        <w:rPr>
          <w:sz w:val="20"/>
        </w:rPr>
      </w:pPr>
      <w:r>
        <w:rPr>
          <w:color w:val="006FC0"/>
          <w:spacing w:val="-8"/>
          <w:sz w:val="20"/>
        </w:rPr>
        <w:t>Рахмановский</w:t>
      </w:r>
      <w:r>
        <w:rPr>
          <w:color w:val="006FC0"/>
          <w:spacing w:val="-5"/>
          <w:sz w:val="20"/>
        </w:rPr>
        <w:t> </w:t>
      </w:r>
      <w:r>
        <w:rPr>
          <w:color w:val="006FC0"/>
          <w:spacing w:val="-8"/>
          <w:sz w:val="20"/>
        </w:rPr>
        <w:t>пер.,</w:t>
      </w:r>
      <w:r>
        <w:rPr>
          <w:color w:val="006FC0"/>
          <w:spacing w:val="-7"/>
          <w:sz w:val="20"/>
        </w:rPr>
        <w:t> </w:t>
      </w:r>
      <w:r>
        <w:rPr>
          <w:color w:val="006FC0"/>
          <w:spacing w:val="-8"/>
          <w:sz w:val="20"/>
        </w:rPr>
        <w:t>д.</w:t>
      </w:r>
      <w:r>
        <w:rPr>
          <w:color w:val="006FC0"/>
          <w:spacing w:val="-6"/>
          <w:sz w:val="20"/>
        </w:rPr>
        <w:t> </w:t>
      </w:r>
      <w:r>
        <w:rPr>
          <w:color w:val="006FC0"/>
          <w:spacing w:val="-8"/>
          <w:sz w:val="20"/>
        </w:rPr>
        <w:t>3/25,</w:t>
      </w:r>
      <w:r>
        <w:rPr>
          <w:color w:val="006FC0"/>
          <w:spacing w:val="-6"/>
          <w:sz w:val="20"/>
        </w:rPr>
        <w:t> </w:t>
      </w:r>
      <w:r>
        <w:rPr>
          <w:color w:val="006FC0"/>
          <w:spacing w:val="-8"/>
          <w:sz w:val="20"/>
        </w:rPr>
        <w:t>стр.</w:t>
      </w:r>
      <w:r>
        <w:rPr>
          <w:color w:val="006FC0"/>
          <w:spacing w:val="-6"/>
          <w:sz w:val="20"/>
        </w:rPr>
        <w:t> </w:t>
      </w:r>
      <w:r>
        <w:rPr>
          <w:color w:val="006FC0"/>
          <w:spacing w:val="-8"/>
          <w:sz w:val="20"/>
        </w:rPr>
        <w:t>1,</w:t>
      </w:r>
      <w:r>
        <w:rPr>
          <w:color w:val="006FC0"/>
          <w:spacing w:val="-6"/>
          <w:sz w:val="20"/>
        </w:rPr>
        <w:t> </w:t>
      </w:r>
      <w:r>
        <w:rPr>
          <w:color w:val="006FC0"/>
          <w:spacing w:val="-8"/>
          <w:sz w:val="20"/>
        </w:rPr>
        <w:t>2,</w:t>
      </w:r>
      <w:r>
        <w:rPr>
          <w:color w:val="006FC0"/>
          <w:spacing w:val="-6"/>
          <w:sz w:val="20"/>
        </w:rPr>
        <w:t> </w:t>
      </w:r>
      <w:r>
        <w:rPr>
          <w:color w:val="006FC0"/>
          <w:spacing w:val="-8"/>
          <w:sz w:val="20"/>
        </w:rPr>
        <w:t>3,</w:t>
      </w:r>
      <w:r>
        <w:rPr>
          <w:color w:val="006FC0"/>
          <w:spacing w:val="-9"/>
          <w:sz w:val="20"/>
        </w:rPr>
        <w:t> </w:t>
      </w:r>
      <w:r>
        <w:rPr>
          <w:color w:val="006FC0"/>
          <w:spacing w:val="-8"/>
          <w:sz w:val="20"/>
        </w:rPr>
        <w:t>4,</w:t>
      </w:r>
    </w:p>
    <w:p>
      <w:pPr>
        <w:spacing w:before="0"/>
        <w:ind w:left="1528" w:right="0" w:firstLine="0"/>
        <w:jc w:val="center"/>
        <w:rPr>
          <w:sz w:val="20"/>
        </w:rPr>
      </w:pPr>
      <w:r>
        <w:rPr>
          <w:color w:val="006FC0"/>
          <w:spacing w:val="-8"/>
          <w:sz w:val="20"/>
        </w:rPr>
        <w:t>Москва,</w:t>
      </w:r>
      <w:r>
        <w:rPr>
          <w:color w:val="006FC0"/>
          <w:spacing w:val="-7"/>
          <w:sz w:val="20"/>
        </w:rPr>
        <w:t> </w:t>
      </w:r>
      <w:r>
        <w:rPr>
          <w:color w:val="006FC0"/>
          <w:spacing w:val="-8"/>
          <w:sz w:val="20"/>
        </w:rPr>
        <w:t>ГСП-4,</w:t>
      </w:r>
      <w:r>
        <w:rPr>
          <w:color w:val="006FC0"/>
          <w:spacing w:val="-7"/>
          <w:sz w:val="20"/>
        </w:rPr>
        <w:t> </w:t>
      </w:r>
      <w:r>
        <w:rPr>
          <w:color w:val="006FC0"/>
          <w:spacing w:val="-8"/>
          <w:sz w:val="20"/>
        </w:rPr>
        <w:t>127994,</w:t>
      </w:r>
    </w:p>
    <w:p>
      <w:pPr>
        <w:spacing w:before="3"/>
        <w:ind w:left="1521" w:right="0" w:firstLine="0"/>
        <w:jc w:val="center"/>
        <w:rPr>
          <w:sz w:val="20"/>
        </w:rPr>
      </w:pPr>
      <w:r>
        <w:rPr>
          <w:color w:val="006FC0"/>
          <w:spacing w:val="-6"/>
          <w:sz w:val="20"/>
        </w:rPr>
        <w:t>тел.:</w:t>
      </w:r>
      <w:r>
        <w:rPr>
          <w:color w:val="006FC0"/>
          <w:spacing w:val="-5"/>
          <w:sz w:val="20"/>
        </w:rPr>
        <w:t> </w:t>
      </w:r>
      <w:r>
        <w:rPr>
          <w:color w:val="006FC0"/>
          <w:spacing w:val="-6"/>
          <w:sz w:val="20"/>
        </w:rPr>
        <w:t>(495)</w:t>
      </w:r>
      <w:r>
        <w:rPr>
          <w:color w:val="006FC0"/>
          <w:spacing w:val="-4"/>
          <w:sz w:val="20"/>
        </w:rPr>
        <w:t> </w:t>
      </w:r>
      <w:r>
        <w:rPr>
          <w:color w:val="006FC0"/>
          <w:spacing w:val="-6"/>
          <w:sz w:val="20"/>
        </w:rPr>
        <w:t>628-44-53,</w:t>
      </w:r>
      <w:r>
        <w:rPr>
          <w:color w:val="006FC0"/>
          <w:spacing w:val="-4"/>
          <w:sz w:val="20"/>
        </w:rPr>
        <w:t> </w:t>
      </w:r>
      <w:r>
        <w:rPr>
          <w:color w:val="006FC0"/>
          <w:spacing w:val="-6"/>
          <w:sz w:val="20"/>
        </w:rPr>
        <w:t>факс:</w:t>
      </w:r>
      <w:r>
        <w:rPr>
          <w:color w:val="006FC0"/>
          <w:spacing w:val="-5"/>
          <w:sz w:val="20"/>
        </w:rPr>
        <w:t> </w:t>
      </w:r>
      <w:r>
        <w:rPr>
          <w:color w:val="006FC0"/>
          <w:spacing w:val="-6"/>
          <w:sz w:val="20"/>
        </w:rPr>
        <w:t>(495) 628-50-58</w:t>
      </w:r>
    </w:p>
    <w:p>
      <w:pPr>
        <w:spacing w:line="242" w:lineRule="auto" w:before="89"/>
        <w:ind w:left="860" w:right="1810" w:firstLine="0"/>
        <w:jc w:val="left"/>
        <w:rPr>
          <w:sz w:val="28"/>
        </w:rPr>
      </w:pPr>
      <w:r>
        <w:rPr/>
        <w:br w:type="column"/>
      </w:r>
      <w:r>
        <w:rPr>
          <w:sz w:val="28"/>
        </w:rPr>
        <w:t>Руководителям</w:t>
      </w:r>
      <w:r>
        <w:rPr>
          <w:spacing w:val="-18"/>
          <w:sz w:val="28"/>
        </w:rPr>
        <w:t> </w:t>
      </w:r>
      <w:r>
        <w:rPr>
          <w:sz w:val="28"/>
        </w:rPr>
        <w:t>исполнительных органов субъектов</w:t>
      </w:r>
    </w:p>
    <w:p>
      <w:pPr>
        <w:spacing w:line="240" w:lineRule="auto" w:before="0"/>
        <w:ind w:left="860" w:right="2726" w:firstLine="0"/>
        <w:jc w:val="left"/>
        <w:rPr>
          <w:sz w:val="28"/>
        </w:rPr>
      </w:pPr>
      <w:r>
        <w:rPr>
          <w:sz w:val="28"/>
        </w:rPr>
        <w:t>Российской Федерации</w:t>
      </w:r>
      <w:r>
        <w:rPr>
          <w:spacing w:val="40"/>
          <w:sz w:val="28"/>
        </w:rPr>
        <w:t> </w:t>
      </w:r>
      <w:r>
        <w:rPr>
          <w:sz w:val="28"/>
        </w:rPr>
        <w:t>в</w:t>
      </w:r>
      <w:r>
        <w:rPr>
          <w:spacing w:val="-13"/>
          <w:sz w:val="28"/>
        </w:rPr>
        <w:t> </w:t>
      </w:r>
      <w:r>
        <w:rPr>
          <w:sz w:val="28"/>
        </w:rPr>
        <w:t>сфере</w:t>
      </w:r>
      <w:r>
        <w:rPr>
          <w:spacing w:val="-15"/>
          <w:sz w:val="28"/>
        </w:rPr>
        <w:t> </w:t>
      </w:r>
      <w:r>
        <w:rPr>
          <w:sz w:val="28"/>
        </w:rPr>
        <w:t>охраны</w:t>
      </w:r>
      <w:r>
        <w:rPr>
          <w:spacing w:val="-13"/>
          <w:sz w:val="28"/>
        </w:rPr>
        <w:t> </w:t>
      </w:r>
      <w:r>
        <w:rPr>
          <w:sz w:val="28"/>
        </w:rPr>
        <w:t>здоровья</w:t>
      </w:r>
    </w:p>
    <w:p>
      <w:pPr>
        <w:spacing w:after="0" w:line="240" w:lineRule="auto"/>
        <w:jc w:val="left"/>
        <w:rPr>
          <w:sz w:val="28"/>
        </w:rPr>
        <w:sectPr>
          <w:type w:val="continuous"/>
          <w:pgSz w:w="11900" w:h="16840"/>
          <w:pgMar w:top="880" w:bottom="0" w:left="0" w:right="0"/>
          <w:cols w:num="2" w:equalWidth="0">
            <w:col w:w="5293" w:space="40"/>
            <w:col w:w="6567"/>
          </w:cols>
        </w:sectPr>
      </w:pPr>
    </w:p>
    <w:p>
      <w:pPr>
        <w:pStyle w:val="BodyText"/>
        <w:spacing w:before="99"/>
        <w:ind w:left="0"/>
        <w:jc w:val="left"/>
        <w:rPr>
          <w:sz w:val="20"/>
        </w:rPr>
      </w:pPr>
    </w:p>
    <w:p>
      <w:pPr>
        <w:tabs>
          <w:tab w:pos="3405" w:val="left" w:leader="none"/>
          <w:tab w:pos="5815" w:val="left" w:leader="none"/>
        </w:tabs>
        <w:spacing w:before="0"/>
        <w:ind w:left="1092" w:right="0" w:firstLine="0"/>
        <w:jc w:val="left"/>
        <w:rPr>
          <w:sz w:val="20"/>
        </w:rPr>
      </w:pPr>
      <w:r>
        <w:rPr>
          <w:sz w:val="20"/>
        </w:rPr>
        <w:drawing>
          <wp:anchor distT="0" distB="0" distL="0" distR="0" allowOverlap="1" layoutInCell="1" locked="0" behindDoc="1" simplePos="0" relativeHeight="482811904">
            <wp:simplePos x="0" y="0"/>
            <wp:positionH relativeFrom="page">
              <wp:posOffset>1119535</wp:posOffset>
            </wp:positionH>
            <wp:positionV relativeFrom="paragraph">
              <wp:posOffset>-79935</wp:posOffset>
            </wp:positionV>
            <wp:extent cx="2850245" cy="184304"/>
            <wp:effectExtent l="0" t="0" r="0" b="0"/>
            <wp:wrapNone/>
            <wp:docPr id="2" name="Image 2"/>
            <wp:cNvGraphicFramePr>
              <a:graphicFrameLocks/>
            </wp:cNvGraphicFramePr>
            <a:graphic>
              <a:graphicData uri="http://schemas.openxmlformats.org/drawingml/2006/picture">
                <pic:pic>
                  <pic:nvPicPr>
                    <pic:cNvPr id="2" name="Image 2"/>
                    <pic:cNvPicPr/>
                  </pic:nvPicPr>
                  <pic:blipFill>
                    <a:blip r:embed="rId6" cstate="print"/>
                    <a:stretch>
                      <a:fillRect/>
                    </a:stretch>
                  </pic:blipFill>
                  <pic:spPr>
                    <a:xfrm>
                      <a:off x="0" y="0"/>
                      <a:ext cx="2850245" cy="184304"/>
                    </a:xfrm>
                    <a:prstGeom prst="rect">
                      <a:avLst/>
                    </a:prstGeom>
                  </pic:spPr>
                </pic:pic>
              </a:graphicData>
            </a:graphic>
          </wp:anchor>
        </w:drawing>
      </w:r>
      <w:r>
        <w:rPr>
          <w:color w:val="006FC0"/>
          <w:sz w:val="20"/>
          <w:u w:val="single" w:color="006FC0"/>
        </w:rPr>
        <w:tab/>
      </w:r>
      <w:r>
        <w:rPr>
          <w:color w:val="006FC0"/>
          <w:spacing w:val="40"/>
          <w:sz w:val="20"/>
        </w:rPr>
        <w:t> </w:t>
      </w:r>
      <w:r>
        <w:rPr>
          <w:color w:val="006FC0"/>
          <w:sz w:val="20"/>
        </w:rPr>
        <w:t>№</w:t>
      </w:r>
      <w:r>
        <w:rPr>
          <w:color w:val="006FC0"/>
          <w:spacing w:val="64"/>
          <w:sz w:val="20"/>
        </w:rPr>
        <w:t> </w:t>
      </w:r>
      <w:r>
        <w:rPr>
          <w:color w:val="006FC0"/>
          <w:sz w:val="20"/>
          <w:u w:val="single" w:color="006FC0"/>
        </w:rPr>
        <w:tab/>
      </w:r>
    </w:p>
    <w:p>
      <w:pPr>
        <w:tabs>
          <w:tab w:pos="3405" w:val="left" w:leader="none"/>
          <w:tab w:pos="5815" w:val="left" w:leader="none"/>
        </w:tabs>
        <w:spacing w:before="111"/>
        <w:ind w:left="1091" w:right="0" w:firstLine="0"/>
        <w:jc w:val="left"/>
        <w:rPr>
          <w:sz w:val="20"/>
        </w:rPr>
      </w:pPr>
      <w:r>
        <w:rPr>
          <w:color w:val="006FC0"/>
          <w:sz w:val="20"/>
        </w:rPr>
        <w:t>На №</w:t>
      </w:r>
      <w:r>
        <w:rPr>
          <w:color w:val="006FC0"/>
          <w:spacing w:val="58"/>
          <w:sz w:val="20"/>
        </w:rPr>
        <w:t> </w:t>
      </w:r>
      <w:r>
        <w:rPr>
          <w:color w:val="006FC0"/>
          <w:sz w:val="20"/>
          <w:u w:val="single" w:color="006FC0"/>
        </w:rPr>
        <w:tab/>
      </w:r>
      <w:r>
        <w:rPr>
          <w:color w:val="006FC0"/>
          <w:spacing w:val="40"/>
          <w:sz w:val="20"/>
        </w:rPr>
        <w:t> </w:t>
      </w:r>
      <w:r>
        <w:rPr>
          <w:color w:val="006FC0"/>
          <w:sz w:val="20"/>
        </w:rPr>
        <w:t>от</w:t>
      </w:r>
      <w:r>
        <w:rPr>
          <w:color w:val="006FC0"/>
          <w:spacing w:val="47"/>
          <w:sz w:val="20"/>
        </w:rPr>
        <w:t> </w:t>
      </w:r>
      <w:r>
        <w:rPr>
          <w:color w:val="006FC0"/>
          <w:sz w:val="20"/>
          <w:u w:val="single" w:color="006FC0"/>
        </w:rPr>
        <w:tab/>
      </w:r>
    </w:p>
    <w:p>
      <w:pPr>
        <w:pStyle w:val="BodyText"/>
        <w:spacing w:before="57"/>
        <w:ind w:left="0"/>
        <w:jc w:val="left"/>
        <w:rPr>
          <w:sz w:val="28"/>
        </w:rPr>
      </w:pPr>
    </w:p>
    <w:p>
      <w:pPr>
        <w:spacing w:line="276" w:lineRule="auto" w:before="0"/>
        <w:ind w:left="1132" w:right="562" w:firstLine="708"/>
        <w:jc w:val="both"/>
        <w:rPr>
          <w:sz w:val="28"/>
        </w:rPr>
      </w:pPr>
      <w:r>
        <w:rPr>
          <w:sz w:val="28"/>
        </w:rPr>
        <w:t>Министерство</w:t>
      </w:r>
      <w:r>
        <w:rPr>
          <w:spacing w:val="80"/>
          <w:sz w:val="28"/>
        </w:rPr>
        <w:t>  </w:t>
      </w:r>
      <w:r>
        <w:rPr>
          <w:sz w:val="28"/>
        </w:rPr>
        <w:t>здравоохранения</w:t>
      </w:r>
      <w:r>
        <w:rPr>
          <w:spacing w:val="80"/>
          <w:sz w:val="28"/>
        </w:rPr>
        <w:t>  </w:t>
      </w:r>
      <w:r>
        <w:rPr>
          <w:sz w:val="28"/>
        </w:rPr>
        <w:t>Российской</w:t>
      </w:r>
      <w:r>
        <w:rPr>
          <w:spacing w:val="80"/>
          <w:sz w:val="28"/>
        </w:rPr>
        <w:t>  </w:t>
      </w:r>
      <w:r>
        <w:rPr>
          <w:sz w:val="28"/>
        </w:rPr>
        <w:t>Федерации</w:t>
      </w:r>
      <w:r>
        <w:rPr>
          <w:spacing w:val="80"/>
          <w:sz w:val="28"/>
        </w:rPr>
        <w:t>  </w:t>
      </w:r>
      <w:r>
        <w:rPr>
          <w:sz w:val="28"/>
        </w:rPr>
        <w:t>направляет</w:t>
      </w:r>
      <w:r>
        <w:rPr>
          <w:spacing w:val="40"/>
          <w:sz w:val="28"/>
        </w:rPr>
        <w:t> </w:t>
      </w:r>
      <w:r>
        <w:rPr>
          <w:sz w:val="28"/>
        </w:rPr>
        <w:t>для использования в работе актуализированные временные методические рекомендации по профилактике, диагностике и лечению новой коронавирусной инфекции</w:t>
      </w:r>
      <w:r>
        <w:rPr>
          <w:spacing w:val="40"/>
          <w:sz w:val="28"/>
        </w:rPr>
        <w:t>  </w:t>
      </w:r>
      <w:r>
        <w:rPr>
          <w:sz w:val="28"/>
        </w:rPr>
        <w:t>(COVID-19).</w:t>
      </w:r>
      <w:r>
        <w:rPr>
          <w:spacing w:val="40"/>
          <w:sz w:val="28"/>
        </w:rPr>
        <w:t>  </w:t>
      </w:r>
      <w:r>
        <w:rPr>
          <w:sz w:val="28"/>
        </w:rPr>
        <w:t>Версия-19,</w:t>
      </w:r>
      <w:r>
        <w:rPr>
          <w:spacing w:val="40"/>
          <w:sz w:val="28"/>
        </w:rPr>
        <w:t>  </w:t>
      </w:r>
      <w:r>
        <w:rPr>
          <w:sz w:val="28"/>
        </w:rPr>
        <w:t>в</w:t>
      </w:r>
      <w:r>
        <w:rPr>
          <w:spacing w:val="40"/>
          <w:sz w:val="28"/>
        </w:rPr>
        <w:t>  </w:t>
      </w:r>
      <w:r>
        <w:rPr>
          <w:sz w:val="28"/>
        </w:rPr>
        <w:t>которых</w:t>
      </w:r>
      <w:r>
        <w:rPr>
          <w:spacing w:val="40"/>
          <w:sz w:val="28"/>
        </w:rPr>
        <w:t>  </w:t>
      </w:r>
      <w:r>
        <w:rPr>
          <w:sz w:val="28"/>
        </w:rPr>
        <w:t>актуализирована</w:t>
      </w:r>
      <w:r>
        <w:rPr>
          <w:spacing w:val="40"/>
          <w:sz w:val="28"/>
        </w:rPr>
        <w:t>  </w:t>
      </w:r>
      <w:r>
        <w:rPr>
          <w:sz w:val="28"/>
        </w:rPr>
        <w:t>информация об этиотропной и патогенетической терапии заболевания. Также в новой версии документа обновлена информация по лабораторной диагностике, эпидемиологии, циркулирующих</w:t>
      </w:r>
      <w:r>
        <w:rPr>
          <w:spacing w:val="80"/>
          <w:w w:val="150"/>
          <w:sz w:val="28"/>
        </w:rPr>
        <w:t> </w:t>
      </w:r>
      <w:r>
        <w:rPr>
          <w:sz w:val="28"/>
        </w:rPr>
        <w:t>штаммах</w:t>
      </w:r>
      <w:r>
        <w:rPr>
          <w:spacing w:val="80"/>
          <w:w w:val="150"/>
          <w:sz w:val="28"/>
        </w:rPr>
        <w:t> </w:t>
      </w:r>
      <w:r>
        <w:rPr>
          <w:sz w:val="28"/>
        </w:rPr>
        <w:t>вируса</w:t>
      </w:r>
      <w:r>
        <w:rPr>
          <w:spacing w:val="80"/>
          <w:w w:val="150"/>
          <w:sz w:val="28"/>
        </w:rPr>
        <w:t> </w:t>
      </w:r>
      <w:r>
        <w:rPr>
          <w:sz w:val="28"/>
        </w:rPr>
        <w:t>и</w:t>
      </w:r>
      <w:r>
        <w:rPr>
          <w:spacing w:val="80"/>
          <w:w w:val="150"/>
          <w:sz w:val="28"/>
        </w:rPr>
        <w:t> </w:t>
      </w:r>
      <w:r>
        <w:rPr>
          <w:sz w:val="28"/>
        </w:rPr>
        <w:t>профилактике</w:t>
      </w:r>
      <w:r>
        <w:rPr>
          <w:spacing w:val="80"/>
          <w:w w:val="150"/>
          <w:sz w:val="28"/>
        </w:rPr>
        <w:t> </w:t>
      </w:r>
      <w:r>
        <w:rPr>
          <w:sz w:val="28"/>
        </w:rPr>
        <w:t>COVID-19</w:t>
      </w:r>
      <w:r>
        <w:rPr>
          <w:spacing w:val="80"/>
          <w:w w:val="150"/>
          <w:sz w:val="28"/>
        </w:rPr>
        <w:t> </w:t>
      </w:r>
      <w:r>
        <w:rPr>
          <w:sz w:val="28"/>
        </w:rPr>
        <w:t>в</w:t>
      </w:r>
      <w:r>
        <w:rPr>
          <w:spacing w:val="80"/>
          <w:w w:val="150"/>
          <w:sz w:val="28"/>
        </w:rPr>
        <w:t> </w:t>
      </w:r>
      <w:r>
        <w:rPr>
          <w:sz w:val="28"/>
        </w:rPr>
        <w:t>соответствии</w:t>
      </w:r>
      <w:r>
        <w:rPr>
          <w:spacing w:val="80"/>
          <w:sz w:val="28"/>
        </w:rPr>
        <w:t> </w:t>
      </w:r>
      <w:r>
        <w:rPr>
          <w:sz w:val="28"/>
        </w:rPr>
        <w:t>с новыми научными данными и действующими нормативными документами.</w:t>
      </w:r>
    </w:p>
    <w:p>
      <w:pPr>
        <w:spacing w:line="320" w:lineRule="exact" w:before="0"/>
        <w:ind w:left="1840" w:right="0" w:firstLine="0"/>
        <w:jc w:val="both"/>
        <w:rPr>
          <w:sz w:val="28"/>
        </w:rPr>
      </w:pPr>
      <w:r>
        <w:rPr>
          <w:sz w:val="28"/>
        </w:rPr>
        <w:drawing>
          <wp:anchor distT="0" distB="0" distL="0" distR="0" allowOverlap="1" layoutInCell="1" locked="0" behindDoc="0" simplePos="0" relativeHeight="15729664">
            <wp:simplePos x="0" y="0"/>
            <wp:positionH relativeFrom="page">
              <wp:posOffset>3056508</wp:posOffset>
            </wp:positionH>
            <wp:positionV relativeFrom="paragraph">
              <wp:posOffset>458129</wp:posOffset>
            </wp:positionV>
            <wp:extent cx="2791348" cy="1223618"/>
            <wp:effectExtent l="0" t="0" r="0" b="0"/>
            <wp:wrapNone/>
            <wp:docPr id="3" name="Image 3"/>
            <wp:cNvGraphicFramePr>
              <a:graphicFrameLocks/>
            </wp:cNvGraphicFramePr>
            <a:graphic>
              <a:graphicData uri="http://schemas.openxmlformats.org/drawingml/2006/picture">
                <pic:pic>
                  <pic:nvPicPr>
                    <pic:cNvPr id="3" name="Image 3"/>
                    <pic:cNvPicPr/>
                  </pic:nvPicPr>
                  <pic:blipFill>
                    <a:blip r:embed="rId7" cstate="print"/>
                    <a:stretch>
                      <a:fillRect/>
                    </a:stretch>
                  </pic:blipFill>
                  <pic:spPr>
                    <a:xfrm>
                      <a:off x="0" y="0"/>
                      <a:ext cx="2791348" cy="1223618"/>
                    </a:xfrm>
                    <a:prstGeom prst="rect">
                      <a:avLst/>
                    </a:prstGeom>
                  </pic:spPr>
                </pic:pic>
              </a:graphicData>
            </a:graphic>
          </wp:anchor>
        </w:drawing>
      </w:r>
      <w:r>
        <w:rPr>
          <w:sz w:val="28"/>
        </w:rPr>
        <w:t>Приложение:</w:t>
      </w:r>
      <w:r>
        <w:rPr>
          <w:spacing w:val="-2"/>
          <w:sz w:val="28"/>
        </w:rPr>
        <w:t> </w:t>
      </w:r>
      <w:r>
        <w:rPr>
          <w:sz w:val="28"/>
        </w:rPr>
        <w:t>на</w:t>
      </w:r>
      <w:r>
        <w:rPr>
          <w:spacing w:val="-2"/>
          <w:sz w:val="28"/>
        </w:rPr>
        <w:t> </w:t>
      </w:r>
      <w:r>
        <w:rPr>
          <w:sz w:val="28"/>
        </w:rPr>
        <w:t>247</w:t>
      </w:r>
      <w:r>
        <w:rPr>
          <w:spacing w:val="-4"/>
          <w:sz w:val="28"/>
        </w:rPr>
        <w:t> </w:t>
      </w:r>
      <w:r>
        <w:rPr>
          <w:sz w:val="28"/>
        </w:rPr>
        <w:t>л.</w:t>
      </w:r>
      <w:r>
        <w:rPr>
          <w:spacing w:val="-3"/>
          <w:sz w:val="28"/>
        </w:rPr>
        <w:t> </w:t>
      </w:r>
      <w:r>
        <w:rPr>
          <w:sz w:val="28"/>
        </w:rPr>
        <w:t>в</w:t>
      </w:r>
      <w:r>
        <w:rPr>
          <w:spacing w:val="-4"/>
          <w:sz w:val="28"/>
        </w:rPr>
        <w:t> </w:t>
      </w:r>
      <w:r>
        <w:rPr>
          <w:sz w:val="28"/>
        </w:rPr>
        <w:t>1</w:t>
      </w:r>
      <w:r>
        <w:rPr>
          <w:spacing w:val="-1"/>
          <w:sz w:val="28"/>
        </w:rPr>
        <w:t> </w:t>
      </w:r>
      <w:r>
        <w:rPr>
          <w:spacing w:val="-4"/>
          <w:sz w:val="28"/>
        </w:rPr>
        <w:t>экз.</w:t>
      </w:r>
    </w:p>
    <w:p>
      <w:pPr>
        <w:pStyle w:val="BodyText"/>
        <w:ind w:left="0"/>
        <w:jc w:val="left"/>
        <w:rPr>
          <w:sz w:val="28"/>
        </w:rPr>
      </w:pPr>
    </w:p>
    <w:p>
      <w:pPr>
        <w:pStyle w:val="BodyText"/>
        <w:ind w:left="0"/>
        <w:jc w:val="left"/>
        <w:rPr>
          <w:sz w:val="28"/>
        </w:rPr>
      </w:pPr>
    </w:p>
    <w:p>
      <w:pPr>
        <w:pStyle w:val="BodyText"/>
        <w:spacing w:before="184"/>
        <w:ind w:left="0"/>
        <w:jc w:val="left"/>
        <w:rPr>
          <w:sz w:val="28"/>
        </w:rPr>
      </w:pPr>
    </w:p>
    <w:p>
      <w:pPr>
        <w:spacing w:before="1"/>
        <w:ind w:left="1841" w:right="669" w:firstLine="0"/>
        <w:jc w:val="right"/>
        <w:rPr>
          <w:sz w:val="28"/>
        </w:rPr>
      </w:pPr>
      <w:r>
        <w:rPr>
          <w:sz w:val="28"/>
        </w:rPr>
        <w:t>С.В.</w:t>
      </w:r>
      <w:r>
        <w:rPr>
          <w:spacing w:val="-2"/>
          <w:sz w:val="28"/>
        </w:rPr>
        <w:t> Глаголев</w:t>
      </w:r>
    </w:p>
    <w:p>
      <w:pPr>
        <w:pStyle w:val="BodyText"/>
        <w:ind w:left="0"/>
        <w:jc w:val="left"/>
        <w:rPr>
          <w:sz w:val="28"/>
        </w:rPr>
      </w:pPr>
    </w:p>
    <w:p>
      <w:pPr>
        <w:pStyle w:val="BodyText"/>
        <w:ind w:left="0"/>
        <w:jc w:val="left"/>
        <w:rPr>
          <w:sz w:val="28"/>
        </w:rPr>
      </w:pPr>
    </w:p>
    <w:p>
      <w:pPr>
        <w:pStyle w:val="BodyText"/>
        <w:ind w:left="0"/>
        <w:jc w:val="left"/>
        <w:rPr>
          <w:sz w:val="28"/>
        </w:rPr>
      </w:pPr>
    </w:p>
    <w:p>
      <w:pPr>
        <w:pStyle w:val="BodyText"/>
        <w:ind w:left="0"/>
        <w:jc w:val="left"/>
        <w:rPr>
          <w:sz w:val="28"/>
        </w:rPr>
      </w:pPr>
    </w:p>
    <w:p>
      <w:pPr>
        <w:pStyle w:val="BodyText"/>
        <w:ind w:left="0"/>
        <w:jc w:val="left"/>
        <w:rPr>
          <w:sz w:val="28"/>
        </w:rPr>
      </w:pPr>
    </w:p>
    <w:p>
      <w:pPr>
        <w:pStyle w:val="BodyText"/>
        <w:ind w:left="0"/>
        <w:jc w:val="left"/>
        <w:rPr>
          <w:sz w:val="28"/>
        </w:rPr>
      </w:pPr>
    </w:p>
    <w:p>
      <w:pPr>
        <w:pStyle w:val="BodyText"/>
        <w:ind w:left="0"/>
        <w:jc w:val="left"/>
        <w:rPr>
          <w:sz w:val="28"/>
        </w:rPr>
      </w:pPr>
    </w:p>
    <w:p>
      <w:pPr>
        <w:pStyle w:val="BodyText"/>
        <w:ind w:left="0"/>
        <w:jc w:val="left"/>
        <w:rPr>
          <w:sz w:val="28"/>
        </w:rPr>
      </w:pPr>
    </w:p>
    <w:p>
      <w:pPr>
        <w:pStyle w:val="BodyText"/>
        <w:ind w:left="0"/>
        <w:jc w:val="left"/>
        <w:rPr>
          <w:sz w:val="28"/>
        </w:rPr>
      </w:pPr>
    </w:p>
    <w:p>
      <w:pPr>
        <w:pStyle w:val="BodyText"/>
        <w:ind w:left="0"/>
        <w:jc w:val="left"/>
        <w:rPr>
          <w:sz w:val="28"/>
        </w:rPr>
      </w:pPr>
    </w:p>
    <w:p>
      <w:pPr>
        <w:pStyle w:val="BodyText"/>
        <w:ind w:left="0"/>
        <w:jc w:val="left"/>
        <w:rPr>
          <w:sz w:val="28"/>
        </w:rPr>
      </w:pPr>
    </w:p>
    <w:p>
      <w:pPr>
        <w:pStyle w:val="BodyText"/>
        <w:spacing w:before="274"/>
        <w:ind w:left="0"/>
        <w:jc w:val="left"/>
        <w:rPr>
          <w:sz w:val="28"/>
        </w:rPr>
      </w:pPr>
    </w:p>
    <w:p>
      <w:pPr>
        <w:spacing w:before="0"/>
        <w:ind w:left="1132" w:right="4077" w:firstLine="0"/>
        <w:jc w:val="left"/>
        <w:rPr>
          <w:sz w:val="20"/>
        </w:rPr>
      </w:pPr>
      <w:r>
        <w:rPr>
          <w:sz w:val="20"/>
        </w:rPr>
        <w:t>Исполнитель:</w:t>
      </w:r>
      <w:r>
        <w:rPr>
          <w:spacing w:val="-4"/>
          <w:sz w:val="20"/>
        </w:rPr>
        <w:t> </w:t>
      </w:r>
      <w:r>
        <w:rPr>
          <w:sz w:val="20"/>
        </w:rPr>
        <w:t>Пономарева</w:t>
      </w:r>
      <w:r>
        <w:rPr>
          <w:spacing w:val="-5"/>
          <w:sz w:val="20"/>
        </w:rPr>
        <w:t> </w:t>
      </w:r>
      <w:r>
        <w:rPr>
          <w:sz w:val="20"/>
        </w:rPr>
        <w:t>Евгения</w:t>
      </w:r>
      <w:r>
        <w:rPr>
          <w:spacing w:val="-6"/>
          <w:sz w:val="20"/>
        </w:rPr>
        <w:t> </w:t>
      </w:r>
      <w:r>
        <w:rPr>
          <w:sz w:val="20"/>
        </w:rPr>
        <w:t>Николаевна,</w:t>
      </w:r>
      <w:r>
        <w:rPr>
          <w:spacing w:val="40"/>
          <w:sz w:val="20"/>
        </w:rPr>
        <w:t> </w:t>
      </w:r>
      <w:r>
        <w:rPr>
          <w:sz w:val="20"/>
        </w:rPr>
        <w:t>8</w:t>
      </w:r>
      <w:r>
        <w:rPr>
          <w:spacing w:val="-4"/>
          <w:sz w:val="20"/>
        </w:rPr>
        <w:t> </w:t>
      </w:r>
      <w:r>
        <w:rPr>
          <w:sz w:val="20"/>
        </w:rPr>
        <w:t>(495)</w:t>
      </w:r>
      <w:r>
        <w:rPr>
          <w:spacing w:val="-7"/>
          <w:sz w:val="20"/>
        </w:rPr>
        <w:t> </w:t>
      </w:r>
      <w:r>
        <w:rPr>
          <w:sz w:val="20"/>
        </w:rPr>
        <w:t>627-24-00</w:t>
      </w:r>
      <w:r>
        <w:rPr>
          <w:spacing w:val="-4"/>
          <w:sz w:val="20"/>
        </w:rPr>
        <w:t> </w:t>
      </w:r>
      <w:r>
        <w:rPr>
          <w:sz w:val="20"/>
        </w:rPr>
        <w:t>(доб.</w:t>
      </w:r>
      <w:r>
        <w:rPr>
          <w:spacing w:val="-5"/>
          <w:sz w:val="20"/>
        </w:rPr>
        <w:t> </w:t>
      </w:r>
      <w:r>
        <w:rPr>
          <w:sz w:val="20"/>
        </w:rPr>
        <w:t>3045) Электронная почта: </w:t>
      </w:r>
      <w:hyperlink r:id="rId8">
        <w:r>
          <w:rPr>
            <w:sz w:val="20"/>
          </w:rPr>
          <w:t>PonomarevaEN@minzdrav.gov.ru</w:t>
        </w:r>
      </w:hyperlink>
    </w:p>
    <w:p>
      <w:pPr>
        <w:pStyle w:val="BodyText"/>
        <w:ind w:left="0"/>
        <w:jc w:val="left"/>
        <w:rPr>
          <w:sz w:val="16"/>
        </w:rPr>
      </w:pPr>
    </w:p>
    <w:p>
      <w:pPr>
        <w:pStyle w:val="BodyText"/>
        <w:ind w:left="0"/>
        <w:jc w:val="left"/>
        <w:rPr>
          <w:sz w:val="16"/>
        </w:rPr>
      </w:pPr>
    </w:p>
    <w:p>
      <w:pPr>
        <w:pStyle w:val="BodyText"/>
        <w:ind w:left="0"/>
        <w:jc w:val="left"/>
        <w:rPr>
          <w:sz w:val="16"/>
        </w:rPr>
      </w:pPr>
    </w:p>
    <w:p>
      <w:pPr>
        <w:pStyle w:val="BodyText"/>
        <w:ind w:left="0"/>
        <w:jc w:val="left"/>
        <w:rPr>
          <w:sz w:val="16"/>
        </w:rPr>
      </w:pPr>
    </w:p>
    <w:p>
      <w:pPr>
        <w:pStyle w:val="BodyText"/>
        <w:ind w:left="0"/>
        <w:jc w:val="left"/>
        <w:rPr>
          <w:sz w:val="16"/>
        </w:rPr>
      </w:pPr>
    </w:p>
    <w:p>
      <w:pPr>
        <w:pStyle w:val="BodyText"/>
        <w:spacing w:before="37"/>
        <w:ind w:left="0"/>
        <w:jc w:val="left"/>
        <w:rPr>
          <w:sz w:val="16"/>
        </w:rPr>
      </w:pPr>
    </w:p>
    <w:p>
      <w:pPr>
        <w:spacing w:line="208" w:lineRule="auto" w:before="1"/>
        <w:ind w:left="119" w:right="4077" w:firstLine="0"/>
        <w:jc w:val="left"/>
        <w:rPr>
          <w:rFonts w:ascii="Arial" w:hAnsi="Arial"/>
          <w:sz w:val="16"/>
        </w:rPr>
      </w:pPr>
      <w:r>
        <w:rPr>
          <w:rFonts w:ascii="Arial" w:hAnsi="Arial"/>
          <w:sz w:val="16"/>
        </w:rPr>
        <mc:AlternateContent>
          <mc:Choice Requires="wps">
            <w:drawing>
              <wp:anchor distT="0" distB="0" distL="0" distR="0" allowOverlap="1" layoutInCell="1" locked="0" behindDoc="1" simplePos="0" relativeHeight="482812928">
                <wp:simplePos x="0" y="0"/>
                <wp:positionH relativeFrom="page">
                  <wp:posOffset>0</wp:posOffset>
                </wp:positionH>
                <wp:positionV relativeFrom="paragraph">
                  <wp:posOffset>-48727</wp:posOffset>
                </wp:positionV>
                <wp:extent cx="7560945" cy="346710"/>
                <wp:effectExtent l="0" t="0" r="0" b="0"/>
                <wp:wrapNone/>
                <wp:docPr id="4" name="Group 4"/>
                <wp:cNvGraphicFramePr>
                  <a:graphicFrameLocks/>
                </wp:cNvGraphicFramePr>
                <a:graphic>
                  <a:graphicData uri="http://schemas.microsoft.com/office/word/2010/wordprocessingGroup">
                    <wpg:wgp>
                      <wpg:cNvPr id="4" name="Group 4"/>
                      <wpg:cNvGrpSpPr/>
                      <wpg:grpSpPr>
                        <a:xfrm>
                          <a:off x="0" y="0"/>
                          <a:ext cx="7560945" cy="346710"/>
                          <a:chExt cx="7560945" cy="346710"/>
                        </a:xfrm>
                      </wpg:grpSpPr>
                      <wps:wsp>
                        <wps:cNvPr id="5" name="Graphic 5"/>
                        <wps:cNvSpPr/>
                        <wps:spPr>
                          <a:xfrm>
                            <a:off x="0" y="0"/>
                            <a:ext cx="7560945" cy="10160"/>
                          </a:xfrm>
                          <a:custGeom>
                            <a:avLst/>
                            <a:gdLst/>
                            <a:ahLst/>
                            <a:cxnLst/>
                            <a:rect l="l" t="t" r="r" b="b"/>
                            <a:pathLst>
                              <a:path w="7560945" h="10160">
                                <a:moveTo>
                                  <a:pt x="7556480" y="194"/>
                                </a:moveTo>
                                <a:lnTo>
                                  <a:pt x="0" y="194"/>
                                </a:lnTo>
                                <a:lnTo>
                                  <a:pt x="0" y="10349"/>
                                </a:lnTo>
                                <a:lnTo>
                                  <a:pt x="7556480" y="10349"/>
                                </a:lnTo>
                                <a:lnTo>
                                  <a:pt x="7556480" y="194"/>
                                </a:lnTo>
                                <a:close/>
                              </a:path>
                            </a:pathLst>
                          </a:custGeom>
                          <a:solidFill>
                            <a:srgbClr val="000000"/>
                          </a:solidFill>
                        </wps:spPr>
                        <wps:bodyPr wrap="square" lIns="0" tIns="0" rIns="0" bIns="0" rtlCol="0">
                          <a:prstTxWarp prst="textNoShape">
                            <a:avLst/>
                          </a:prstTxWarp>
                          <a:noAutofit/>
                        </wps:bodyPr>
                      </wps:wsp>
                      <pic:pic>
                        <pic:nvPicPr>
                          <pic:cNvPr id="6" name="Image 6"/>
                          <pic:cNvPicPr/>
                        </pic:nvPicPr>
                        <pic:blipFill>
                          <a:blip r:embed="rId9" cstate="print"/>
                          <a:stretch>
                            <a:fillRect/>
                          </a:stretch>
                        </pic:blipFill>
                        <pic:spPr>
                          <a:xfrm>
                            <a:off x="6545853" y="15426"/>
                            <a:ext cx="958354" cy="331037"/>
                          </a:xfrm>
                          <a:prstGeom prst="rect">
                            <a:avLst/>
                          </a:prstGeom>
                        </pic:spPr>
                      </pic:pic>
                    </wpg:wgp>
                  </a:graphicData>
                </a:graphic>
              </wp:anchor>
            </w:drawing>
          </mc:Choice>
          <mc:Fallback>
            <w:pict>
              <v:group style="position:absolute;margin-left:0pt;margin-top:-3.836791pt;width:595.35pt;height:27.3pt;mso-position-horizontal-relative:page;mso-position-vertical-relative:paragraph;z-index:-20503552" id="docshapegroup1" coordorigin="0,-77" coordsize="11907,546">
                <v:rect style="position:absolute;left:0;top:-77;width:11900;height:16" id="docshape2" filled="true" fillcolor="#000000" stroked="false">
                  <v:fill type="solid"/>
                </v:rect>
                <v:shape style="position:absolute;left:10308;top:-53;width:1510;height:522" type="#_x0000_t75" id="docshape3" stroked="false">
                  <v:imagedata r:id="rId9" o:title=""/>
                </v:shape>
                <w10:wrap type="none"/>
              </v:group>
            </w:pict>
          </mc:Fallback>
        </mc:AlternateContent>
      </w:r>
      <w:r>
        <w:rPr>
          <w:rFonts w:ascii="Arial" w:hAnsi="Arial"/>
          <w:sz w:val="16"/>
        </w:rPr>
        <w:t>Документ</w:t>
      </w:r>
      <w:r>
        <w:rPr>
          <w:rFonts w:ascii="Arial" w:hAnsi="Arial"/>
          <w:spacing w:val="-5"/>
          <w:sz w:val="16"/>
        </w:rPr>
        <w:t> </w:t>
      </w:r>
      <w:r>
        <w:rPr>
          <w:rFonts w:ascii="Arial" w:hAnsi="Arial"/>
          <w:sz w:val="16"/>
        </w:rPr>
        <w:t>зарегистрирован</w:t>
      </w:r>
      <w:r>
        <w:rPr>
          <w:rFonts w:ascii="Arial" w:hAnsi="Arial"/>
          <w:spacing w:val="-5"/>
          <w:sz w:val="16"/>
        </w:rPr>
        <w:t> </w:t>
      </w:r>
      <w:r>
        <w:rPr>
          <w:rFonts w:ascii="Arial" w:hAnsi="Arial"/>
          <w:sz w:val="16"/>
        </w:rPr>
        <w:t>№</w:t>
      </w:r>
      <w:r>
        <w:rPr>
          <w:rFonts w:ascii="Arial" w:hAnsi="Arial"/>
          <w:spacing w:val="-5"/>
          <w:sz w:val="16"/>
        </w:rPr>
        <w:t> </w:t>
      </w:r>
      <w:r>
        <w:rPr>
          <w:rFonts w:ascii="Arial" w:hAnsi="Arial"/>
          <w:sz w:val="16"/>
        </w:rPr>
        <w:t>30-4/И/2-10508</w:t>
      </w:r>
      <w:r>
        <w:rPr>
          <w:rFonts w:ascii="Arial" w:hAnsi="Arial"/>
          <w:spacing w:val="-5"/>
          <w:sz w:val="16"/>
        </w:rPr>
        <w:t> </w:t>
      </w:r>
      <w:r>
        <w:rPr>
          <w:rFonts w:ascii="Arial" w:hAnsi="Arial"/>
          <w:sz w:val="16"/>
        </w:rPr>
        <w:t>от</w:t>
      </w:r>
      <w:r>
        <w:rPr>
          <w:rFonts w:ascii="Arial" w:hAnsi="Arial"/>
          <w:spacing w:val="-5"/>
          <w:sz w:val="16"/>
        </w:rPr>
        <w:t> </w:t>
      </w:r>
      <w:r>
        <w:rPr>
          <w:rFonts w:ascii="Arial" w:hAnsi="Arial"/>
          <w:sz w:val="16"/>
        </w:rPr>
        <w:t>28.05.2025</w:t>
      </w:r>
      <w:r>
        <w:rPr>
          <w:rFonts w:ascii="Arial" w:hAnsi="Arial"/>
          <w:spacing w:val="-5"/>
          <w:sz w:val="16"/>
        </w:rPr>
        <w:t> </w:t>
      </w:r>
      <w:r>
        <w:rPr>
          <w:rFonts w:ascii="Arial" w:hAnsi="Arial"/>
          <w:sz w:val="16"/>
        </w:rPr>
        <w:t>Пономарева</w:t>
      </w:r>
      <w:r>
        <w:rPr>
          <w:rFonts w:ascii="Arial" w:hAnsi="Arial"/>
          <w:spacing w:val="-5"/>
          <w:sz w:val="16"/>
        </w:rPr>
        <w:t> </w:t>
      </w:r>
      <w:r>
        <w:rPr>
          <w:rFonts w:ascii="Arial" w:hAnsi="Arial"/>
          <w:sz w:val="16"/>
        </w:rPr>
        <w:t>Е.Н.</w:t>
      </w:r>
      <w:r>
        <w:rPr>
          <w:rFonts w:ascii="Arial" w:hAnsi="Arial"/>
          <w:spacing w:val="-5"/>
          <w:sz w:val="16"/>
        </w:rPr>
        <w:t> </w:t>
      </w:r>
      <w:r>
        <w:rPr>
          <w:rFonts w:ascii="Arial" w:hAnsi="Arial"/>
          <w:sz w:val="16"/>
        </w:rPr>
        <w:t>(Минздрав</w:t>
      </w:r>
      <w:r>
        <w:rPr>
          <w:rFonts w:ascii="Arial" w:hAnsi="Arial"/>
          <w:spacing w:val="-5"/>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119" w:right="0" w:firstLine="0"/>
        <w:jc w:val="left"/>
        <w:rPr>
          <w:rFonts w:ascii="Arial" w:hAnsi="Arial"/>
          <w:sz w:val="16"/>
        </w:rPr>
      </w:pPr>
      <w:r>
        <w:rPr>
          <w:rFonts w:ascii="Arial" w:hAnsi="Arial"/>
          <w:sz w:val="16"/>
        </w:rPr>
        <w:t>Страница</w:t>
      </w:r>
      <w:r>
        <w:rPr>
          <w:rFonts w:ascii="Arial" w:hAnsi="Arial"/>
          <w:spacing w:val="-6"/>
          <w:sz w:val="16"/>
        </w:rPr>
        <w:t> </w:t>
      </w:r>
      <w:r>
        <w:rPr>
          <w:rFonts w:ascii="Arial" w:hAnsi="Arial"/>
          <w:sz w:val="16"/>
        </w:rPr>
        <w:t>1</w:t>
      </w:r>
      <w:r>
        <w:rPr>
          <w:rFonts w:ascii="Arial" w:hAnsi="Arial"/>
          <w:spacing w:val="-6"/>
          <w:sz w:val="16"/>
        </w:rPr>
        <w:t> </w:t>
      </w:r>
      <w:r>
        <w:rPr>
          <w:rFonts w:ascii="Arial" w:hAnsi="Arial"/>
          <w:sz w:val="16"/>
        </w:rPr>
        <w:t>из</w:t>
      </w:r>
      <w:r>
        <w:rPr>
          <w:rFonts w:ascii="Arial" w:hAnsi="Arial"/>
          <w:spacing w:val="-6"/>
          <w:sz w:val="16"/>
        </w:rPr>
        <w:t> </w:t>
      </w:r>
      <w:r>
        <w:rPr>
          <w:rFonts w:ascii="Arial" w:hAnsi="Arial"/>
          <w:sz w:val="16"/>
        </w:rPr>
        <w:t>248.</w:t>
      </w:r>
      <w:r>
        <w:rPr>
          <w:rFonts w:ascii="Arial" w:hAnsi="Arial"/>
          <w:spacing w:val="-6"/>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6"/>
          <w:sz w:val="16"/>
        </w:rPr>
        <w:t> </w:t>
      </w:r>
      <w:r>
        <w:rPr>
          <w:rFonts w:ascii="Arial" w:hAnsi="Arial"/>
          <w:sz w:val="16"/>
        </w:rPr>
        <w:t>29.05.2025</w:t>
      </w:r>
      <w:r>
        <w:rPr>
          <w:rFonts w:ascii="Arial" w:hAnsi="Arial"/>
          <w:spacing w:val="-5"/>
          <w:sz w:val="16"/>
        </w:rPr>
        <w:t> </w:t>
      </w:r>
      <w:r>
        <w:rPr>
          <w:rFonts w:ascii="Arial" w:hAnsi="Arial"/>
          <w:spacing w:val="-2"/>
          <w:sz w:val="16"/>
        </w:rPr>
        <w:t>10:30</w:t>
      </w:r>
    </w:p>
    <w:p>
      <w:pPr>
        <w:spacing w:after="0" w:line="164" w:lineRule="exact"/>
        <w:jc w:val="left"/>
        <w:rPr>
          <w:rFonts w:ascii="Arial" w:hAnsi="Arial"/>
          <w:sz w:val="16"/>
        </w:rPr>
        <w:sectPr>
          <w:type w:val="continuous"/>
          <w:pgSz w:w="11900" w:h="16840"/>
          <w:pgMar w:top="880" w:bottom="0" w:left="0" w:right="0"/>
        </w:sect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spacing w:before="39"/>
        <w:ind w:left="0"/>
        <w:jc w:val="left"/>
        <w:rPr>
          <w:rFonts w:ascii="Arial"/>
          <w:sz w:val="20"/>
        </w:rPr>
      </w:pPr>
    </w:p>
    <w:p>
      <w:pPr>
        <w:pStyle w:val="BodyText"/>
        <w:ind w:left="43"/>
        <w:jc w:val="left"/>
        <w:rPr>
          <w:rFonts w:ascii="Arial"/>
          <w:sz w:val="20"/>
        </w:rPr>
      </w:pPr>
      <w:r>
        <w:rPr>
          <w:rFonts w:ascii="Arial"/>
          <w:sz w:val="20"/>
        </w:rPr>
        <w:drawing>
          <wp:inline distT="0" distB="0" distL="0" distR="0">
            <wp:extent cx="7412529" cy="420624"/>
            <wp:effectExtent l="0" t="0" r="0" b="0"/>
            <wp:docPr id="7" name="Image 7"/>
            <wp:cNvGraphicFramePr>
              <a:graphicFrameLocks/>
            </wp:cNvGraphicFramePr>
            <a:graphic>
              <a:graphicData uri="http://schemas.openxmlformats.org/drawingml/2006/picture">
                <pic:pic>
                  <pic:nvPicPr>
                    <pic:cNvPr id="7" name="Image 7"/>
                    <pic:cNvPicPr/>
                  </pic:nvPicPr>
                  <pic:blipFill>
                    <a:blip r:embed="rId10" cstate="print"/>
                    <a:stretch>
                      <a:fillRect/>
                    </a:stretch>
                  </pic:blipFill>
                  <pic:spPr>
                    <a:xfrm>
                      <a:off x="0" y="0"/>
                      <a:ext cx="7412529" cy="420624"/>
                    </a:xfrm>
                    <a:prstGeom prst="rect">
                      <a:avLst/>
                    </a:prstGeom>
                  </pic:spPr>
                </pic:pic>
              </a:graphicData>
            </a:graphic>
          </wp:inline>
        </w:drawing>
      </w:r>
      <w:r>
        <w:rPr>
          <w:rFonts w:ascii="Arial"/>
          <w:sz w:val="20"/>
        </w:rPr>
      </w:r>
    </w:p>
    <w:p>
      <w:pPr>
        <w:pStyle w:val="BodyText"/>
        <w:ind w:left="0"/>
        <w:jc w:val="left"/>
        <w:rPr>
          <w:rFonts w:ascii="Arial"/>
          <w:sz w:val="20"/>
        </w:rPr>
      </w:pPr>
    </w:p>
    <w:p>
      <w:pPr>
        <w:pStyle w:val="BodyText"/>
        <w:ind w:left="0"/>
        <w:jc w:val="left"/>
        <w:rPr>
          <w:rFonts w:ascii="Arial"/>
          <w:sz w:val="20"/>
        </w:rPr>
      </w:pPr>
    </w:p>
    <w:p>
      <w:pPr>
        <w:pStyle w:val="BodyText"/>
        <w:spacing w:before="15"/>
        <w:ind w:left="0"/>
        <w:jc w:val="left"/>
        <w:rPr>
          <w:rFonts w:ascii="Arial"/>
          <w:sz w:val="20"/>
        </w:rPr>
      </w:pPr>
      <w:r>
        <w:rPr>
          <w:rFonts w:ascii="Arial"/>
          <w:sz w:val="20"/>
        </w:rPr>
        <mc:AlternateContent>
          <mc:Choice Requires="wps">
            <w:drawing>
              <wp:anchor distT="0" distB="0" distL="0" distR="0" allowOverlap="1" layoutInCell="1" locked="0" behindDoc="1" simplePos="0" relativeHeight="487589888">
                <wp:simplePos x="0" y="0"/>
                <wp:positionH relativeFrom="page">
                  <wp:posOffset>0</wp:posOffset>
                </wp:positionH>
                <wp:positionV relativeFrom="paragraph">
                  <wp:posOffset>170923</wp:posOffset>
                </wp:positionV>
                <wp:extent cx="7553959" cy="241300"/>
                <wp:effectExtent l="0" t="0" r="0" b="0"/>
                <wp:wrapTopAndBottom/>
                <wp:docPr id="8" name="Textbox 8"/>
                <wp:cNvGraphicFramePr>
                  <a:graphicFrameLocks/>
                </wp:cNvGraphicFramePr>
                <a:graphic>
                  <a:graphicData uri="http://schemas.microsoft.com/office/word/2010/wordprocessingShape">
                    <wps:wsp>
                      <wps:cNvPr id="8" name="Textbox 8"/>
                      <wps:cNvSpPr txBox="1"/>
                      <wps:spPr>
                        <a:xfrm>
                          <a:off x="0" y="0"/>
                          <a:ext cx="7553959" cy="241300"/>
                        </a:xfrm>
                        <a:prstGeom prst="rect">
                          <a:avLst/>
                        </a:prstGeom>
                        <a:solidFill>
                          <a:srgbClr val="000000"/>
                        </a:solidFill>
                      </wps:spPr>
                      <wps:txbx>
                        <w:txbxContent>
                          <w:p>
                            <w:pPr>
                              <w:spacing w:line="379" w:lineRule="exact" w:before="0"/>
                              <w:ind w:left="1114" w:right="0" w:firstLine="0"/>
                              <w:jc w:val="left"/>
                              <w:rPr>
                                <w:rFonts w:ascii="Arial" w:hAnsi="Arial"/>
                                <w:color w:val="000000"/>
                                <w:sz w:val="50"/>
                              </w:rPr>
                            </w:pPr>
                            <w:bookmarkStart w:name="2" w:id="2"/>
                            <w:bookmarkEnd w:id="2"/>
                            <w:r>
                              <w:rPr>
                                <w:color w:val="000000"/>
                              </w:rPr>
                            </w:r>
                            <w:r>
                              <w:rPr>
                                <w:rFonts w:ascii="Arial" w:hAnsi="Arial"/>
                                <w:color w:val="FFFFFF"/>
                                <w:spacing w:val="-13"/>
                                <w:sz w:val="50"/>
                              </w:rPr>
                              <w:t>nrosHnùKTHKA,</w:t>
                            </w:r>
                            <w:r>
                              <w:rPr>
                                <w:rFonts w:ascii="Arial" w:hAnsi="Arial"/>
                                <w:color w:val="FFFFFF"/>
                                <w:spacing w:val="-19"/>
                                <w:sz w:val="50"/>
                              </w:rPr>
                              <w:t> </w:t>
                            </w:r>
                            <w:r>
                              <w:rPr>
                                <w:rFonts w:ascii="Arial" w:hAnsi="Arial"/>
                                <w:color w:val="FFFFFF"/>
                                <w:spacing w:val="-12"/>
                                <w:sz w:val="50"/>
                              </w:rPr>
                              <w:t>pHArHocTHKA</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0pt;margin-top:13.458553pt;width:594.8pt;height:19pt;mso-position-horizontal-relative:page;mso-position-vertical-relative:paragraph;z-index:-15726592;mso-wrap-distance-left:0;mso-wrap-distance-right:0" type="#_x0000_t202" id="docshape4" filled="true" fillcolor="#000000" stroked="false">
                <v:textbox inset="0,0,0,0">
                  <w:txbxContent>
                    <w:p>
                      <w:pPr>
                        <w:spacing w:line="379" w:lineRule="exact" w:before="0"/>
                        <w:ind w:left="1114" w:right="0" w:firstLine="0"/>
                        <w:jc w:val="left"/>
                        <w:rPr>
                          <w:rFonts w:ascii="Arial" w:hAnsi="Arial"/>
                          <w:color w:val="000000"/>
                          <w:sz w:val="50"/>
                        </w:rPr>
                      </w:pPr>
                      <w:bookmarkStart w:name="2" w:id="3"/>
                      <w:bookmarkEnd w:id="3"/>
                      <w:r>
                        <w:rPr>
                          <w:color w:val="000000"/>
                        </w:rPr>
                      </w:r>
                      <w:r>
                        <w:rPr>
                          <w:rFonts w:ascii="Arial" w:hAnsi="Arial"/>
                          <w:color w:val="FFFFFF"/>
                          <w:spacing w:val="-13"/>
                          <w:sz w:val="50"/>
                        </w:rPr>
                        <w:t>nrosHnùKTHKA,</w:t>
                      </w:r>
                      <w:r>
                        <w:rPr>
                          <w:rFonts w:ascii="Arial" w:hAnsi="Arial"/>
                          <w:color w:val="FFFFFF"/>
                          <w:spacing w:val="-19"/>
                          <w:sz w:val="50"/>
                        </w:rPr>
                        <w:t> </w:t>
                      </w:r>
                      <w:r>
                        <w:rPr>
                          <w:rFonts w:ascii="Arial" w:hAnsi="Arial"/>
                          <w:color w:val="FFFFFF"/>
                          <w:spacing w:val="-12"/>
                          <w:sz w:val="50"/>
                        </w:rPr>
                        <w:t>pHArHocTHKA</w:t>
                      </w:r>
                    </w:p>
                  </w:txbxContent>
                </v:textbox>
                <v:fill type="solid"/>
                <w10:wrap type="topAndBottom"/>
              </v:shape>
            </w:pict>
          </mc:Fallback>
        </mc:AlternateContent>
      </w:r>
      <w:r>
        <w:rPr>
          <w:rFonts w:ascii="Arial"/>
          <w:sz w:val="20"/>
        </w:rPr>
        <mc:AlternateContent>
          <mc:Choice Requires="wps">
            <w:drawing>
              <wp:anchor distT="0" distB="0" distL="0" distR="0" allowOverlap="1" layoutInCell="1" locked="0" behindDoc="1" simplePos="0" relativeHeight="487590400">
                <wp:simplePos x="0" y="0"/>
                <wp:positionH relativeFrom="page">
                  <wp:posOffset>0</wp:posOffset>
                </wp:positionH>
                <wp:positionV relativeFrom="paragraph">
                  <wp:posOffset>463559</wp:posOffset>
                </wp:positionV>
                <wp:extent cx="7553959" cy="241300"/>
                <wp:effectExtent l="0" t="0" r="0" b="0"/>
                <wp:wrapTopAndBottom/>
                <wp:docPr id="9" name="Textbox 9"/>
                <wp:cNvGraphicFramePr>
                  <a:graphicFrameLocks/>
                </wp:cNvGraphicFramePr>
                <a:graphic>
                  <a:graphicData uri="http://schemas.microsoft.com/office/word/2010/wordprocessingShape">
                    <wps:wsp>
                      <wps:cNvPr id="9" name="Textbox 9"/>
                      <wps:cNvSpPr txBox="1"/>
                      <wps:spPr>
                        <a:xfrm>
                          <a:off x="0" y="0"/>
                          <a:ext cx="7553959" cy="241300"/>
                        </a:xfrm>
                        <a:prstGeom prst="rect">
                          <a:avLst/>
                        </a:prstGeom>
                        <a:solidFill>
                          <a:srgbClr val="000000"/>
                        </a:solidFill>
                      </wps:spPr>
                      <wps:txbx>
                        <w:txbxContent>
                          <w:p>
                            <w:pPr>
                              <w:spacing w:line="379" w:lineRule="exact" w:before="0"/>
                              <w:ind w:left="1112" w:right="0" w:firstLine="0"/>
                              <w:jc w:val="left"/>
                              <w:rPr>
                                <w:rFonts w:ascii="Arial" w:hAnsi="Arial"/>
                                <w:color w:val="000000"/>
                                <w:sz w:val="43"/>
                              </w:rPr>
                            </w:pPr>
                            <w:r>
                              <w:rPr>
                                <w:rFonts w:ascii="Arial" w:hAnsi="Arial"/>
                                <w:color w:val="EBF9FF"/>
                                <w:w w:val="85"/>
                                <w:sz w:val="43"/>
                              </w:rPr>
                              <w:t>H</w:t>
                            </w:r>
                            <w:r>
                              <w:rPr>
                                <w:rFonts w:ascii="Arial" w:hAnsi="Arial"/>
                                <w:color w:val="EBF9FF"/>
                                <w:spacing w:val="19"/>
                                <w:sz w:val="43"/>
                              </w:rPr>
                              <w:t> </w:t>
                            </w:r>
                            <w:r>
                              <w:rPr>
                                <w:rFonts w:ascii="Arial" w:hAnsi="Arial"/>
                                <w:color w:val="FFFFFF"/>
                                <w:w w:val="85"/>
                                <w:sz w:val="43"/>
                              </w:rPr>
                              <w:t>/1EqEHIlE</w:t>
                            </w:r>
                            <w:r>
                              <w:rPr>
                                <w:rFonts w:ascii="Arial" w:hAnsi="Arial"/>
                                <w:color w:val="FFFFFF"/>
                                <w:spacing w:val="34"/>
                                <w:sz w:val="43"/>
                              </w:rPr>
                              <w:t> </w:t>
                            </w:r>
                            <w:r>
                              <w:rPr>
                                <w:rFonts w:ascii="Arial" w:hAnsi="Arial"/>
                                <w:color w:val="F9F9F9"/>
                                <w:w w:val="85"/>
                                <w:sz w:val="43"/>
                              </w:rPr>
                              <w:t>HG?ú“</w:t>
                            </w:r>
                            <w:r>
                              <w:rPr>
                                <w:rFonts w:ascii="Arial" w:hAnsi="Arial"/>
                                <w:color w:val="F9F9F9"/>
                                <w:spacing w:val="-56"/>
                                <w:w w:val="85"/>
                                <w:sz w:val="43"/>
                              </w:rPr>
                              <w:t> </w:t>
                            </w:r>
                            <w:r>
                              <w:rPr>
                                <w:rFonts w:ascii="Arial" w:hAnsi="Arial"/>
                                <w:color w:val="EFFFFF"/>
                                <w:w w:val="85"/>
                                <w:sz w:val="43"/>
                              </w:rPr>
                              <w:t>LI</w:t>
                            </w:r>
                            <w:r>
                              <w:rPr>
                                <w:rFonts w:ascii="Arial" w:hAnsi="Arial"/>
                                <w:color w:val="EFFFFF"/>
                                <w:spacing w:val="1"/>
                                <w:sz w:val="43"/>
                              </w:rPr>
                              <w:t> </w:t>
                            </w:r>
                            <w:r>
                              <w:rPr>
                                <w:rFonts w:ascii="Arial" w:hAnsi="Arial"/>
                                <w:color w:val="FFFFFF"/>
                                <w:w w:val="85"/>
                                <w:sz w:val="43"/>
                              </w:rPr>
                              <w:t>KGPGHA</w:t>
                            </w:r>
                            <w:r>
                              <w:rPr>
                                <w:rFonts w:ascii="Arial" w:hAnsi="Arial"/>
                                <w:color w:val="FFFFFF"/>
                                <w:spacing w:val="-17"/>
                                <w:w w:val="85"/>
                                <w:sz w:val="43"/>
                              </w:rPr>
                              <w:t> </w:t>
                            </w:r>
                            <w:r>
                              <w:rPr>
                                <w:rFonts w:ascii="Arial" w:hAnsi="Arial"/>
                                <w:color w:val="FFFFFF"/>
                                <w:w w:val="85"/>
                                <w:sz w:val="43"/>
                              </w:rPr>
                              <w:t>BŁ1P1’C</w:t>
                            </w:r>
                            <w:r>
                              <w:rPr>
                                <w:rFonts w:ascii="Arial" w:hAnsi="Arial"/>
                                <w:color w:val="FFFFFF"/>
                                <w:spacing w:val="-14"/>
                                <w:w w:val="85"/>
                                <w:sz w:val="43"/>
                              </w:rPr>
                              <w:t> </w:t>
                            </w:r>
                            <w:r>
                              <w:rPr>
                                <w:rFonts w:ascii="Arial" w:hAnsi="Arial"/>
                                <w:color w:val="FFFFFF"/>
                                <w:spacing w:val="-5"/>
                                <w:w w:val="85"/>
                                <w:sz w:val="43"/>
                              </w:rPr>
                              <w:t>HOH</w:t>
                            </w:r>
                          </w:p>
                        </w:txbxContent>
                      </wps:txbx>
                      <wps:bodyPr wrap="square" lIns="0" tIns="0" rIns="0" bIns="0" rtlCol="0">
                        <a:noAutofit/>
                      </wps:bodyPr>
                    </wps:wsp>
                  </a:graphicData>
                </a:graphic>
              </wp:anchor>
            </w:drawing>
          </mc:Choice>
          <mc:Fallback>
            <w:pict>
              <v:shape style="position:absolute;margin-left:0pt;margin-top:36.500751pt;width:594.8pt;height:19pt;mso-position-horizontal-relative:page;mso-position-vertical-relative:paragraph;z-index:-15726080;mso-wrap-distance-left:0;mso-wrap-distance-right:0" type="#_x0000_t202" id="docshape5" filled="true" fillcolor="#000000" stroked="false">
                <v:textbox inset="0,0,0,0">
                  <w:txbxContent>
                    <w:p>
                      <w:pPr>
                        <w:spacing w:line="379" w:lineRule="exact" w:before="0"/>
                        <w:ind w:left="1112" w:right="0" w:firstLine="0"/>
                        <w:jc w:val="left"/>
                        <w:rPr>
                          <w:rFonts w:ascii="Arial" w:hAnsi="Arial"/>
                          <w:color w:val="000000"/>
                          <w:sz w:val="43"/>
                        </w:rPr>
                      </w:pPr>
                      <w:r>
                        <w:rPr>
                          <w:rFonts w:ascii="Arial" w:hAnsi="Arial"/>
                          <w:color w:val="EBF9FF"/>
                          <w:w w:val="85"/>
                          <w:sz w:val="43"/>
                        </w:rPr>
                        <w:t>H</w:t>
                      </w:r>
                      <w:r>
                        <w:rPr>
                          <w:rFonts w:ascii="Arial" w:hAnsi="Arial"/>
                          <w:color w:val="EBF9FF"/>
                          <w:spacing w:val="19"/>
                          <w:sz w:val="43"/>
                        </w:rPr>
                        <w:t> </w:t>
                      </w:r>
                      <w:r>
                        <w:rPr>
                          <w:rFonts w:ascii="Arial" w:hAnsi="Arial"/>
                          <w:color w:val="FFFFFF"/>
                          <w:w w:val="85"/>
                          <w:sz w:val="43"/>
                        </w:rPr>
                        <w:t>/1EqEHIlE</w:t>
                      </w:r>
                      <w:r>
                        <w:rPr>
                          <w:rFonts w:ascii="Arial" w:hAnsi="Arial"/>
                          <w:color w:val="FFFFFF"/>
                          <w:spacing w:val="34"/>
                          <w:sz w:val="43"/>
                        </w:rPr>
                        <w:t> </w:t>
                      </w:r>
                      <w:r>
                        <w:rPr>
                          <w:rFonts w:ascii="Arial" w:hAnsi="Arial"/>
                          <w:color w:val="F9F9F9"/>
                          <w:w w:val="85"/>
                          <w:sz w:val="43"/>
                        </w:rPr>
                        <w:t>HG?ú“</w:t>
                      </w:r>
                      <w:r>
                        <w:rPr>
                          <w:rFonts w:ascii="Arial" w:hAnsi="Arial"/>
                          <w:color w:val="F9F9F9"/>
                          <w:spacing w:val="-56"/>
                          <w:w w:val="85"/>
                          <w:sz w:val="43"/>
                        </w:rPr>
                        <w:t> </w:t>
                      </w:r>
                      <w:r>
                        <w:rPr>
                          <w:rFonts w:ascii="Arial" w:hAnsi="Arial"/>
                          <w:color w:val="EFFFFF"/>
                          <w:w w:val="85"/>
                          <w:sz w:val="43"/>
                        </w:rPr>
                        <w:t>LI</w:t>
                      </w:r>
                      <w:r>
                        <w:rPr>
                          <w:rFonts w:ascii="Arial" w:hAnsi="Arial"/>
                          <w:color w:val="EFFFFF"/>
                          <w:spacing w:val="1"/>
                          <w:sz w:val="43"/>
                        </w:rPr>
                        <w:t> </w:t>
                      </w:r>
                      <w:r>
                        <w:rPr>
                          <w:rFonts w:ascii="Arial" w:hAnsi="Arial"/>
                          <w:color w:val="FFFFFF"/>
                          <w:w w:val="85"/>
                          <w:sz w:val="43"/>
                        </w:rPr>
                        <w:t>KGPGHA</w:t>
                      </w:r>
                      <w:r>
                        <w:rPr>
                          <w:rFonts w:ascii="Arial" w:hAnsi="Arial"/>
                          <w:color w:val="FFFFFF"/>
                          <w:spacing w:val="-17"/>
                          <w:w w:val="85"/>
                          <w:sz w:val="43"/>
                        </w:rPr>
                        <w:t> </w:t>
                      </w:r>
                      <w:r>
                        <w:rPr>
                          <w:rFonts w:ascii="Arial" w:hAnsi="Arial"/>
                          <w:color w:val="FFFFFF"/>
                          <w:w w:val="85"/>
                          <w:sz w:val="43"/>
                        </w:rPr>
                        <w:t>BŁ1P1’C</w:t>
                      </w:r>
                      <w:r>
                        <w:rPr>
                          <w:rFonts w:ascii="Arial" w:hAnsi="Arial"/>
                          <w:color w:val="FFFFFF"/>
                          <w:spacing w:val="-14"/>
                          <w:w w:val="85"/>
                          <w:sz w:val="43"/>
                        </w:rPr>
                        <w:t> </w:t>
                      </w:r>
                      <w:r>
                        <w:rPr>
                          <w:rFonts w:ascii="Arial" w:hAnsi="Arial"/>
                          <w:color w:val="FFFFFF"/>
                          <w:spacing w:val="-5"/>
                          <w:w w:val="85"/>
                          <w:sz w:val="43"/>
                        </w:rPr>
                        <w:t>HOH</w:t>
                      </w:r>
                    </w:p>
                  </w:txbxContent>
                </v:textbox>
                <v:fill type="solid"/>
                <w10:wrap type="topAndBottom"/>
              </v:shape>
            </w:pict>
          </mc:Fallback>
        </mc:AlternateContent>
      </w:r>
    </w:p>
    <w:p>
      <w:pPr>
        <w:pStyle w:val="BodyText"/>
        <w:ind w:left="0"/>
        <w:jc w:val="left"/>
        <w:rPr>
          <w:rFonts w:ascii="Arial"/>
          <w:sz w:val="5"/>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ind w:left="0"/>
        <w:jc w:val="left"/>
        <w:rPr>
          <w:rFonts w:ascii="Arial"/>
          <w:sz w:val="20"/>
        </w:rPr>
      </w:pPr>
    </w:p>
    <w:p>
      <w:pPr>
        <w:pStyle w:val="BodyText"/>
        <w:spacing w:before="176"/>
        <w:ind w:left="0"/>
        <w:jc w:val="left"/>
        <w:rPr>
          <w:rFonts w:ascii="Arial"/>
          <w:sz w:val="20"/>
        </w:rPr>
      </w:pPr>
    </w:p>
    <w:p>
      <w:pPr>
        <w:pStyle w:val="BodyText"/>
        <w:spacing w:after="0"/>
        <w:jc w:val="left"/>
        <w:rPr>
          <w:rFonts w:ascii="Arial"/>
          <w:sz w:val="20"/>
        </w:rPr>
        <w:sectPr>
          <w:pgSz w:w="11900" w:h="16840"/>
          <w:pgMar w:top="280" w:bottom="0" w:left="0" w:right="0"/>
        </w:sectPr>
      </w:pPr>
    </w:p>
    <w:p>
      <w:pPr>
        <w:spacing w:before="95"/>
        <w:ind w:left="1017" w:right="0" w:firstLine="0"/>
        <w:jc w:val="left"/>
        <w:rPr>
          <w:rFonts w:ascii="Consolas"/>
          <w:sz w:val="32"/>
        </w:rPr>
      </w:pPr>
      <w:r>
        <w:rPr/>
        <w:br w:type="column"/>
      </w:r>
      <w:r>
        <w:rPr>
          <w:rFonts w:ascii="Courier New"/>
          <w:color w:val="FFFFFF"/>
          <w:w w:val="90"/>
          <w:sz w:val="34"/>
        </w:rPr>
        <w:t>19</w:t>
      </w:r>
      <w:r>
        <w:rPr>
          <w:rFonts w:ascii="Courier New"/>
          <w:color w:val="FFFFFF"/>
          <w:spacing w:val="-124"/>
          <w:w w:val="90"/>
          <w:sz w:val="34"/>
        </w:rPr>
        <w:t> </w:t>
      </w:r>
      <w:r>
        <w:rPr>
          <w:rFonts w:ascii="Consolas"/>
          <w:color w:val="FFFFFF"/>
          <w:spacing w:val="-2"/>
          <w:w w:val="95"/>
          <w:sz w:val="32"/>
        </w:rPr>
        <w:t>(27.05.2025)</w:t>
      </w:r>
    </w:p>
    <w:p>
      <w:pPr>
        <w:spacing w:after="0"/>
        <w:jc w:val="left"/>
        <w:rPr>
          <w:rFonts w:ascii="Consolas"/>
          <w:sz w:val="32"/>
        </w:rPr>
        <w:sectPr>
          <w:type w:val="continuous"/>
          <w:pgSz w:w="11900" w:h="16840"/>
          <w:pgMar w:top="880" w:bottom="0" w:left="0" w:right="0"/>
          <w:cols w:num="2" w:equalWidth="0">
            <w:col w:w="6204" w:space="920"/>
            <w:col w:w="4776"/>
          </w:cols>
        </w:sectPr>
      </w:pPr>
    </w:p>
    <w:p>
      <w:pPr>
        <w:rPr>
          <w:sz w:val="2"/>
          <w:szCs w:val="2"/>
        </w:rPr>
      </w:pPr>
      <w:r>
        <w:rPr>
          <w:sz w:val="2"/>
          <w:szCs w:val="2"/>
        </w:rPr>
        <w:drawing>
          <wp:anchor distT="0" distB="0" distL="0" distR="0" allowOverlap="1" layoutInCell="1" locked="0" behindDoc="0" simplePos="0" relativeHeight="15731712">
            <wp:simplePos x="0" y="0"/>
            <wp:positionH relativeFrom="page">
              <wp:posOffset>646219</wp:posOffset>
            </wp:positionH>
            <wp:positionV relativeFrom="page">
              <wp:posOffset>8870522</wp:posOffset>
            </wp:positionV>
            <wp:extent cx="3267675" cy="1018128"/>
            <wp:effectExtent l="0" t="0" r="0" b="0"/>
            <wp:wrapNone/>
            <wp:docPr id="10" name="Image 10"/>
            <wp:cNvGraphicFramePr>
              <a:graphicFrameLocks/>
            </wp:cNvGraphicFramePr>
            <a:graphic>
              <a:graphicData uri="http://schemas.openxmlformats.org/drawingml/2006/picture">
                <pic:pic>
                  <pic:nvPicPr>
                    <pic:cNvPr id="10" name="Image 10"/>
                    <pic:cNvPicPr/>
                  </pic:nvPicPr>
                  <pic:blipFill>
                    <a:blip r:embed="rId11" cstate="print"/>
                    <a:stretch>
                      <a:fillRect/>
                    </a:stretch>
                  </pic:blipFill>
                  <pic:spPr>
                    <a:xfrm>
                      <a:off x="0" y="0"/>
                      <a:ext cx="3267675" cy="1018128"/>
                    </a:xfrm>
                    <a:prstGeom prst="rect">
                      <a:avLst/>
                    </a:prstGeom>
                  </pic:spPr>
                </pic:pic>
              </a:graphicData>
            </a:graphic>
          </wp:anchor>
        </w:drawing>
      </w:r>
      <w:r>
        <w:rPr>
          <w:sz w:val="2"/>
          <w:szCs w:val="2"/>
        </w:rPr>
        <w:drawing>
          <wp:anchor distT="0" distB="0" distL="0" distR="0" allowOverlap="1" layoutInCell="1" locked="0" behindDoc="0" simplePos="0" relativeHeight="15732224">
            <wp:simplePos x="0" y="0"/>
            <wp:positionH relativeFrom="page">
              <wp:posOffset>27433</wp:posOffset>
            </wp:positionH>
            <wp:positionV relativeFrom="page">
              <wp:posOffset>4883359</wp:posOffset>
            </wp:positionV>
            <wp:extent cx="7529065" cy="42676"/>
            <wp:effectExtent l="0" t="0" r="0" b="0"/>
            <wp:wrapNone/>
            <wp:docPr id="11" name="Image 11"/>
            <wp:cNvGraphicFramePr>
              <a:graphicFrameLocks/>
            </wp:cNvGraphicFramePr>
            <a:graphic>
              <a:graphicData uri="http://schemas.openxmlformats.org/drawingml/2006/picture">
                <pic:pic>
                  <pic:nvPicPr>
                    <pic:cNvPr id="11" name="Image 11"/>
                    <pic:cNvPicPr/>
                  </pic:nvPicPr>
                  <pic:blipFill>
                    <a:blip r:embed="rId12" cstate="print"/>
                    <a:stretch>
                      <a:fillRect/>
                    </a:stretch>
                  </pic:blipFill>
                  <pic:spPr>
                    <a:xfrm>
                      <a:off x="0" y="0"/>
                      <a:ext cx="7529065" cy="42676"/>
                    </a:xfrm>
                    <a:prstGeom prst="rect">
                      <a:avLst/>
                    </a:prstGeom>
                  </pic:spPr>
                </pic:pic>
              </a:graphicData>
            </a:graphic>
          </wp:anchor>
        </w:drawing>
      </w:r>
      <w:r>
        <w:rPr>
          <w:sz w:val="2"/>
          <w:szCs w:val="2"/>
        </w:rPr>
        <w:drawing>
          <wp:anchor distT="0" distB="0" distL="0" distR="0" allowOverlap="1" layoutInCell="1" locked="0" behindDoc="0" simplePos="0" relativeHeight="15732736">
            <wp:simplePos x="0" y="0"/>
            <wp:positionH relativeFrom="page">
              <wp:posOffset>27433</wp:posOffset>
            </wp:positionH>
            <wp:positionV relativeFrom="page">
              <wp:posOffset>3749395</wp:posOffset>
            </wp:positionV>
            <wp:extent cx="7522969" cy="420663"/>
            <wp:effectExtent l="0" t="0" r="0" b="0"/>
            <wp:wrapNone/>
            <wp:docPr id="12" name="Image 12"/>
            <wp:cNvGraphicFramePr>
              <a:graphicFrameLocks/>
            </wp:cNvGraphicFramePr>
            <a:graphic>
              <a:graphicData uri="http://schemas.openxmlformats.org/drawingml/2006/picture">
                <pic:pic>
                  <pic:nvPicPr>
                    <pic:cNvPr id="12" name="Image 12"/>
                    <pic:cNvPicPr/>
                  </pic:nvPicPr>
                  <pic:blipFill>
                    <a:blip r:embed="rId13" cstate="print"/>
                    <a:stretch>
                      <a:fillRect/>
                    </a:stretch>
                  </pic:blipFill>
                  <pic:spPr>
                    <a:xfrm>
                      <a:off x="0" y="0"/>
                      <a:ext cx="7522969" cy="420663"/>
                    </a:xfrm>
                    <a:prstGeom prst="rect">
                      <a:avLst/>
                    </a:prstGeom>
                  </pic:spPr>
                </pic:pic>
              </a:graphicData>
            </a:graphic>
          </wp:anchor>
        </w:drawing>
      </w:r>
      <w:r>
        <w:rPr>
          <w:sz w:val="2"/>
          <w:szCs w:val="2"/>
        </w:rPr>
        <w:drawing>
          <wp:anchor distT="0" distB="0" distL="0" distR="0" allowOverlap="1" layoutInCell="1" locked="0" behindDoc="0" simplePos="0" relativeHeight="15733248">
            <wp:simplePos x="0" y="0"/>
            <wp:positionH relativeFrom="page">
              <wp:posOffset>30482</wp:posOffset>
            </wp:positionH>
            <wp:positionV relativeFrom="page">
              <wp:posOffset>176800</wp:posOffset>
            </wp:positionV>
            <wp:extent cx="7516873" cy="2115512"/>
            <wp:effectExtent l="0" t="0" r="0" b="0"/>
            <wp:wrapNone/>
            <wp:docPr id="13" name="Image 13"/>
            <wp:cNvGraphicFramePr>
              <a:graphicFrameLocks/>
            </wp:cNvGraphicFramePr>
            <a:graphic>
              <a:graphicData uri="http://schemas.openxmlformats.org/drawingml/2006/picture">
                <pic:pic>
                  <pic:nvPicPr>
                    <pic:cNvPr id="13" name="Image 13"/>
                    <pic:cNvPicPr/>
                  </pic:nvPicPr>
                  <pic:blipFill>
                    <a:blip r:embed="rId14" cstate="print"/>
                    <a:stretch>
                      <a:fillRect/>
                    </a:stretch>
                  </pic:blipFill>
                  <pic:spPr>
                    <a:xfrm>
                      <a:off x="0" y="0"/>
                      <a:ext cx="7516873" cy="2115512"/>
                    </a:xfrm>
                    <a:prstGeom prst="rect">
                      <a:avLst/>
                    </a:prstGeom>
                  </pic:spPr>
                </pic:pic>
              </a:graphicData>
            </a:graphic>
          </wp:anchor>
        </w:drawing>
      </w:r>
      <w:r>
        <w:rPr>
          <w:sz w:val="2"/>
          <w:szCs w:val="2"/>
        </w:rPr>
        <mc:AlternateContent>
          <mc:Choice Requires="wps">
            <w:drawing>
              <wp:anchor distT="0" distB="0" distL="0" distR="0" allowOverlap="1" layoutInCell="1" locked="0" behindDoc="0" simplePos="0" relativeHeight="15733760">
                <wp:simplePos x="0" y="0"/>
                <wp:positionH relativeFrom="page">
                  <wp:posOffset>0</wp:posOffset>
                </wp:positionH>
                <wp:positionV relativeFrom="page">
                  <wp:posOffset>3081842</wp:posOffset>
                </wp:positionV>
                <wp:extent cx="7553959" cy="560705"/>
                <wp:effectExtent l="0" t="0" r="0" b="0"/>
                <wp:wrapNone/>
                <wp:docPr id="14" name="Group 14"/>
                <wp:cNvGraphicFramePr>
                  <a:graphicFrameLocks/>
                </wp:cNvGraphicFramePr>
                <a:graphic>
                  <a:graphicData uri="http://schemas.microsoft.com/office/word/2010/wordprocessingGroup">
                    <wpg:wgp>
                      <wpg:cNvPr id="14" name="Group 14"/>
                      <wpg:cNvGrpSpPr/>
                      <wpg:grpSpPr>
                        <a:xfrm>
                          <a:off x="0" y="0"/>
                          <a:ext cx="7553959" cy="560705"/>
                          <a:chExt cx="7553959" cy="560705"/>
                        </a:xfrm>
                      </wpg:grpSpPr>
                      <wps:wsp>
                        <wps:cNvPr id="15" name="Graphic 15"/>
                        <wps:cNvSpPr/>
                        <wps:spPr>
                          <a:xfrm>
                            <a:off x="0" y="118860"/>
                            <a:ext cx="7553959" cy="344805"/>
                          </a:xfrm>
                          <a:custGeom>
                            <a:avLst/>
                            <a:gdLst/>
                            <a:ahLst/>
                            <a:cxnLst/>
                            <a:rect l="l" t="t" r="r" b="b"/>
                            <a:pathLst>
                              <a:path w="7553959" h="344805">
                                <a:moveTo>
                                  <a:pt x="7552944" y="344424"/>
                                </a:moveTo>
                                <a:lnTo>
                                  <a:pt x="0" y="344424"/>
                                </a:lnTo>
                                <a:lnTo>
                                  <a:pt x="0" y="0"/>
                                </a:lnTo>
                                <a:lnTo>
                                  <a:pt x="7552944" y="0"/>
                                </a:lnTo>
                                <a:lnTo>
                                  <a:pt x="7552944" y="344424"/>
                                </a:lnTo>
                                <a:close/>
                              </a:path>
                            </a:pathLst>
                          </a:custGeom>
                          <a:solidFill>
                            <a:srgbClr val="000000"/>
                          </a:solidFill>
                        </wps:spPr>
                        <wps:bodyPr wrap="square" lIns="0" tIns="0" rIns="0" bIns="0" rtlCol="0">
                          <a:prstTxWarp prst="textNoShape">
                            <a:avLst/>
                          </a:prstTxWarp>
                          <a:noAutofit/>
                        </wps:bodyPr>
                      </wps:wsp>
                      <wps:wsp>
                        <wps:cNvPr id="16" name="Textbox 16"/>
                        <wps:cNvSpPr txBox="1"/>
                        <wps:spPr>
                          <a:xfrm>
                            <a:off x="0" y="0"/>
                            <a:ext cx="7553959" cy="560705"/>
                          </a:xfrm>
                          <a:prstGeom prst="rect">
                            <a:avLst/>
                          </a:prstGeom>
                        </wps:spPr>
                        <wps:txbx>
                          <w:txbxContent>
                            <w:p>
                              <w:pPr>
                                <w:spacing w:line="883" w:lineRule="exact" w:before="0"/>
                                <w:ind w:left="1127" w:right="0" w:firstLine="0"/>
                                <w:jc w:val="left"/>
                                <w:rPr>
                                  <w:rFonts w:ascii="Arial"/>
                                  <w:sz w:val="79"/>
                                </w:rPr>
                              </w:pPr>
                              <w:r>
                                <w:rPr>
                                  <w:rFonts w:ascii="Arial"/>
                                  <w:color w:val="FFFFFF"/>
                                  <w:w w:val="80"/>
                                  <w:sz w:val="79"/>
                                </w:rPr>
                                <w:t>BPEMEHH</w:t>
                              </w:r>
                              <w:r>
                                <w:rPr>
                                  <w:rFonts w:ascii="Arial"/>
                                  <w:color w:val="FFFFFF"/>
                                  <w:spacing w:val="-11"/>
                                  <w:w w:val="90"/>
                                  <w:sz w:val="79"/>
                                </w:rPr>
                                <w:t> </w:t>
                              </w:r>
                              <w:r>
                                <w:rPr>
                                  <w:rFonts w:ascii="Arial"/>
                                  <w:color w:val="FFFFFF"/>
                                  <w:spacing w:val="-5"/>
                                  <w:w w:val="90"/>
                                  <w:sz w:val="79"/>
                                </w:rPr>
                                <w:t>blE</w:t>
                              </w:r>
                            </w:p>
                          </w:txbxContent>
                        </wps:txbx>
                        <wps:bodyPr wrap="square" lIns="0" tIns="0" rIns="0" bIns="0" rtlCol="0">
                          <a:noAutofit/>
                        </wps:bodyPr>
                      </wps:wsp>
                    </wpg:wgp>
                  </a:graphicData>
                </a:graphic>
              </wp:anchor>
            </w:drawing>
          </mc:Choice>
          <mc:Fallback>
            <w:pict>
              <v:group style="position:absolute;margin-left:0pt;margin-top:242.664795pt;width:594.8pt;height:44.15pt;mso-position-horizontal-relative:page;mso-position-vertical-relative:page;z-index:15733760" id="docshapegroup6" coordorigin="0,4853" coordsize="11896,883">
                <v:rect style="position:absolute;left:0;top:5040;width:11895;height:543" id="docshape7" filled="true" fillcolor="#000000" stroked="false">
                  <v:fill type="solid"/>
                </v:rect>
                <v:shape style="position:absolute;left:0;top:4853;width:11896;height:883" type="#_x0000_t202" id="docshape8" filled="false" stroked="false">
                  <v:textbox inset="0,0,0,0">
                    <w:txbxContent>
                      <w:p>
                        <w:pPr>
                          <w:spacing w:line="883" w:lineRule="exact" w:before="0"/>
                          <w:ind w:left="1127" w:right="0" w:firstLine="0"/>
                          <w:jc w:val="left"/>
                          <w:rPr>
                            <w:rFonts w:ascii="Arial"/>
                            <w:sz w:val="79"/>
                          </w:rPr>
                        </w:pPr>
                        <w:r>
                          <w:rPr>
                            <w:rFonts w:ascii="Arial"/>
                            <w:color w:val="FFFFFF"/>
                            <w:w w:val="80"/>
                            <w:sz w:val="79"/>
                          </w:rPr>
                          <w:t>BPEMEHH</w:t>
                        </w:r>
                        <w:r>
                          <w:rPr>
                            <w:rFonts w:ascii="Arial"/>
                            <w:color w:val="FFFFFF"/>
                            <w:spacing w:val="-11"/>
                            <w:w w:val="90"/>
                            <w:sz w:val="79"/>
                          </w:rPr>
                          <w:t> </w:t>
                        </w:r>
                        <w:r>
                          <w:rPr>
                            <w:rFonts w:ascii="Arial"/>
                            <w:color w:val="FFFFFF"/>
                            <w:spacing w:val="-5"/>
                            <w:w w:val="90"/>
                            <w:sz w:val="79"/>
                          </w:rPr>
                          <w:t>blE</w:t>
                        </w:r>
                      </w:p>
                    </w:txbxContent>
                  </v:textbox>
                  <w10:wrap type="none"/>
                </v:shape>
                <w10:wrap type="none"/>
              </v:group>
            </w:pict>
          </mc:Fallback>
        </mc:AlternateContent>
      </w:r>
      <w:r>
        <w:rPr>
          <w:sz w:val="2"/>
          <w:szCs w:val="2"/>
        </w:rPr>
        <mc:AlternateContent>
          <mc:Choice Requires="wps">
            <w:drawing>
              <wp:anchor distT="0" distB="0" distL="0" distR="0" allowOverlap="1" layoutInCell="1" locked="0" behindDoc="0" simplePos="0" relativeHeight="15734272">
                <wp:simplePos x="0" y="0"/>
                <wp:positionH relativeFrom="page">
                  <wp:posOffset>0</wp:posOffset>
                </wp:positionH>
                <wp:positionV relativeFrom="page">
                  <wp:posOffset>5754951</wp:posOffset>
                </wp:positionV>
                <wp:extent cx="7553959" cy="324485"/>
                <wp:effectExtent l="0" t="0" r="0" b="0"/>
                <wp:wrapNone/>
                <wp:docPr id="17" name="Group 17"/>
                <wp:cNvGraphicFramePr>
                  <a:graphicFrameLocks/>
                </wp:cNvGraphicFramePr>
                <a:graphic>
                  <a:graphicData uri="http://schemas.microsoft.com/office/word/2010/wordprocessingGroup">
                    <wpg:wgp>
                      <wpg:cNvPr id="17" name="Group 17"/>
                      <wpg:cNvGrpSpPr/>
                      <wpg:grpSpPr>
                        <a:xfrm>
                          <a:off x="0" y="0"/>
                          <a:ext cx="7553959" cy="324485"/>
                          <a:chExt cx="7553959" cy="324485"/>
                        </a:xfrm>
                      </wpg:grpSpPr>
                      <wps:wsp>
                        <wps:cNvPr id="18" name="Graphic 18"/>
                        <wps:cNvSpPr/>
                        <wps:spPr>
                          <a:xfrm>
                            <a:off x="0" y="61184"/>
                            <a:ext cx="7553959" cy="247015"/>
                          </a:xfrm>
                          <a:custGeom>
                            <a:avLst/>
                            <a:gdLst/>
                            <a:ahLst/>
                            <a:cxnLst/>
                            <a:rect l="l" t="t" r="r" b="b"/>
                            <a:pathLst>
                              <a:path w="7553959" h="247015">
                                <a:moveTo>
                                  <a:pt x="7552944" y="246888"/>
                                </a:moveTo>
                                <a:lnTo>
                                  <a:pt x="0" y="246888"/>
                                </a:lnTo>
                                <a:lnTo>
                                  <a:pt x="0" y="0"/>
                                </a:lnTo>
                                <a:lnTo>
                                  <a:pt x="7552944" y="0"/>
                                </a:lnTo>
                                <a:lnTo>
                                  <a:pt x="7552944" y="246888"/>
                                </a:lnTo>
                                <a:close/>
                              </a:path>
                            </a:pathLst>
                          </a:custGeom>
                          <a:solidFill>
                            <a:srgbClr val="000000"/>
                          </a:solidFill>
                        </wps:spPr>
                        <wps:bodyPr wrap="square" lIns="0" tIns="0" rIns="0" bIns="0" rtlCol="0">
                          <a:prstTxWarp prst="textNoShape">
                            <a:avLst/>
                          </a:prstTxWarp>
                          <a:noAutofit/>
                        </wps:bodyPr>
                      </wps:wsp>
                      <wps:wsp>
                        <wps:cNvPr id="19" name="Textbox 19"/>
                        <wps:cNvSpPr txBox="1"/>
                        <wps:spPr>
                          <a:xfrm>
                            <a:off x="0" y="0"/>
                            <a:ext cx="7553959" cy="324485"/>
                          </a:xfrm>
                          <a:prstGeom prst="rect">
                            <a:avLst/>
                          </a:prstGeom>
                        </wps:spPr>
                        <wps:txbx>
                          <w:txbxContent>
                            <w:p>
                              <w:pPr>
                                <w:spacing w:before="0"/>
                                <w:ind w:left="1115" w:right="0" w:firstLine="0"/>
                                <w:jc w:val="left"/>
                                <w:rPr>
                                  <w:rFonts w:ascii="Trebuchet MS" w:hAnsi="Trebuchet MS"/>
                                  <w:sz w:val="44"/>
                                </w:rPr>
                              </w:pPr>
                              <w:r>
                                <w:rPr>
                                  <w:rFonts w:ascii="Trebuchet MS" w:hAnsi="Trebuchet MS"/>
                                  <w:color w:val="E2F4FF"/>
                                  <w:spacing w:val="-4"/>
                                  <w:sz w:val="44"/>
                                </w:rPr>
                                <w:t>H</w:t>
                              </w:r>
                              <w:r>
                                <w:rPr>
                                  <w:rFonts w:ascii="Trebuchet MS" w:hAnsi="Trebuchet MS"/>
                                  <w:color w:val="E2F4FF"/>
                                  <w:spacing w:val="-91"/>
                                  <w:sz w:val="44"/>
                                </w:rPr>
                                <w:t> </w:t>
                              </w:r>
                              <w:r>
                                <w:rPr>
                                  <w:rFonts w:ascii="Trebuchet MS" w:hAnsi="Trebuchet MS"/>
                                  <w:color w:val="FFFFFF"/>
                                  <w:spacing w:val="-4"/>
                                  <w:sz w:val="44"/>
                                </w:rPr>
                                <w:t>HOEKÇHH</w:t>
                              </w:r>
                              <w:r>
                                <w:rPr>
                                  <w:rFonts w:ascii="Trebuchet MS" w:hAnsi="Trebuchet MS"/>
                                  <w:color w:val="FFFFFF"/>
                                  <w:spacing w:val="-22"/>
                                  <w:sz w:val="44"/>
                                </w:rPr>
                                <w:t> </w:t>
                              </w:r>
                              <w:r>
                                <w:rPr>
                                  <w:rFonts w:ascii="Trebuchet MS" w:hAnsi="Trebuchet MS"/>
                                  <w:color w:val="FFFFFF"/>
                                  <w:spacing w:val="-4"/>
                                  <w:sz w:val="44"/>
                                </w:rPr>
                                <w:t>(COVlD—</w:t>
                              </w:r>
                              <w:r>
                                <w:rPr>
                                  <w:rFonts w:ascii="Trebuchet MS" w:hAnsi="Trebuchet MS"/>
                                  <w:color w:val="FFFFFF"/>
                                  <w:spacing w:val="-5"/>
                                  <w:sz w:val="44"/>
                                </w:rPr>
                                <w:t>1ú)</w:t>
                              </w:r>
                            </w:p>
                          </w:txbxContent>
                        </wps:txbx>
                        <wps:bodyPr wrap="square" lIns="0" tIns="0" rIns="0" bIns="0" rtlCol="0">
                          <a:noAutofit/>
                        </wps:bodyPr>
                      </wps:wsp>
                    </wpg:wgp>
                  </a:graphicData>
                </a:graphic>
              </wp:anchor>
            </w:drawing>
          </mc:Choice>
          <mc:Fallback>
            <w:pict>
              <v:group style="position:absolute;margin-left:0pt;margin-top:453.145813pt;width:594.8pt;height:25.55pt;mso-position-horizontal-relative:page;mso-position-vertical-relative:page;z-index:15734272" id="docshapegroup9" coordorigin="0,9063" coordsize="11896,511">
                <v:rect style="position:absolute;left:0;top:9159;width:11895;height:389" id="docshape10" filled="true" fillcolor="#000000" stroked="false">
                  <v:fill type="solid"/>
                </v:rect>
                <v:shape style="position:absolute;left:0;top:9062;width:11896;height:511" type="#_x0000_t202" id="docshape11" filled="false" stroked="false">
                  <v:textbox inset="0,0,0,0">
                    <w:txbxContent>
                      <w:p>
                        <w:pPr>
                          <w:spacing w:before="0"/>
                          <w:ind w:left="1115" w:right="0" w:firstLine="0"/>
                          <w:jc w:val="left"/>
                          <w:rPr>
                            <w:rFonts w:ascii="Trebuchet MS" w:hAnsi="Trebuchet MS"/>
                            <w:sz w:val="44"/>
                          </w:rPr>
                        </w:pPr>
                        <w:r>
                          <w:rPr>
                            <w:rFonts w:ascii="Trebuchet MS" w:hAnsi="Trebuchet MS"/>
                            <w:color w:val="E2F4FF"/>
                            <w:spacing w:val="-4"/>
                            <w:sz w:val="44"/>
                          </w:rPr>
                          <w:t>H</w:t>
                        </w:r>
                        <w:r>
                          <w:rPr>
                            <w:rFonts w:ascii="Trebuchet MS" w:hAnsi="Trebuchet MS"/>
                            <w:color w:val="E2F4FF"/>
                            <w:spacing w:val="-91"/>
                            <w:sz w:val="44"/>
                          </w:rPr>
                          <w:t> </w:t>
                        </w:r>
                        <w:r>
                          <w:rPr>
                            <w:rFonts w:ascii="Trebuchet MS" w:hAnsi="Trebuchet MS"/>
                            <w:color w:val="FFFFFF"/>
                            <w:spacing w:val="-4"/>
                            <w:sz w:val="44"/>
                          </w:rPr>
                          <w:t>HOEKÇHH</w:t>
                        </w:r>
                        <w:r>
                          <w:rPr>
                            <w:rFonts w:ascii="Trebuchet MS" w:hAnsi="Trebuchet MS"/>
                            <w:color w:val="FFFFFF"/>
                            <w:spacing w:val="-22"/>
                            <w:sz w:val="44"/>
                          </w:rPr>
                          <w:t> </w:t>
                        </w:r>
                        <w:r>
                          <w:rPr>
                            <w:rFonts w:ascii="Trebuchet MS" w:hAnsi="Trebuchet MS"/>
                            <w:color w:val="FFFFFF"/>
                            <w:spacing w:val="-4"/>
                            <w:sz w:val="44"/>
                          </w:rPr>
                          <w:t>(COVlD—</w:t>
                        </w:r>
                        <w:r>
                          <w:rPr>
                            <w:rFonts w:ascii="Trebuchet MS" w:hAnsi="Trebuchet MS"/>
                            <w:color w:val="FFFFFF"/>
                            <w:spacing w:val="-5"/>
                            <w:sz w:val="44"/>
                          </w:rPr>
                          <w:t>1ú)</w:t>
                        </w:r>
                      </w:p>
                    </w:txbxContent>
                  </v:textbox>
                  <w10:wrap type="none"/>
                </v:shape>
                <w10:wrap type="none"/>
              </v:group>
            </w:pict>
          </mc:Fallback>
        </mc:AlternateContent>
      </w:r>
      <w:r>
        <w:rPr>
          <w:sz w:val="2"/>
          <w:szCs w:val="2"/>
        </w:rPr>
        <mc:AlternateContent>
          <mc:Choice Requires="wps">
            <w:drawing>
              <wp:anchor distT="0" distB="0" distL="0" distR="0" allowOverlap="1" layoutInCell="1" locked="0" behindDoc="0" simplePos="0" relativeHeight="15734784">
                <wp:simplePos x="0" y="0"/>
                <wp:positionH relativeFrom="page">
                  <wp:posOffset>4493054</wp:posOffset>
                </wp:positionH>
                <wp:positionV relativeFrom="page">
                  <wp:posOffset>8870522</wp:posOffset>
                </wp:positionV>
                <wp:extent cx="619125" cy="1015365"/>
                <wp:effectExtent l="0" t="0" r="0" b="0"/>
                <wp:wrapNone/>
                <wp:docPr id="20" name="Group 20"/>
                <wp:cNvGraphicFramePr>
                  <a:graphicFrameLocks/>
                </wp:cNvGraphicFramePr>
                <a:graphic>
                  <a:graphicData uri="http://schemas.microsoft.com/office/word/2010/wordprocessingGroup">
                    <wpg:wgp>
                      <wpg:cNvPr id="20" name="Group 20"/>
                      <wpg:cNvGrpSpPr/>
                      <wpg:grpSpPr>
                        <a:xfrm>
                          <a:off x="0" y="0"/>
                          <a:ext cx="619125" cy="1015365"/>
                          <a:chExt cx="619125" cy="1015365"/>
                        </a:xfrm>
                      </wpg:grpSpPr>
                      <wps:wsp>
                        <wps:cNvPr id="21" name="Graphic 21"/>
                        <wps:cNvSpPr/>
                        <wps:spPr>
                          <a:xfrm>
                            <a:off x="0" y="0"/>
                            <a:ext cx="619125" cy="1015365"/>
                          </a:xfrm>
                          <a:custGeom>
                            <a:avLst/>
                            <a:gdLst/>
                            <a:ahLst/>
                            <a:cxnLst/>
                            <a:rect l="l" t="t" r="r" b="b"/>
                            <a:pathLst>
                              <a:path w="619125" h="1015365">
                                <a:moveTo>
                                  <a:pt x="618744" y="1014984"/>
                                </a:moveTo>
                                <a:lnTo>
                                  <a:pt x="0" y="1014984"/>
                                </a:lnTo>
                                <a:lnTo>
                                  <a:pt x="0" y="0"/>
                                </a:lnTo>
                                <a:lnTo>
                                  <a:pt x="618744" y="0"/>
                                </a:lnTo>
                                <a:lnTo>
                                  <a:pt x="618744" y="1014984"/>
                                </a:lnTo>
                                <a:close/>
                              </a:path>
                            </a:pathLst>
                          </a:custGeom>
                          <a:solidFill>
                            <a:srgbClr val="363636"/>
                          </a:solidFill>
                        </wps:spPr>
                        <wps:bodyPr wrap="square" lIns="0" tIns="0" rIns="0" bIns="0" rtlCol="0">
                          <a:prstTxWarp prst="textNoShape">
                            <a:avLst/>
                          </a:prstTxWarp>
                          <a:noAutofit/>
                        </wps:bodyPr>
                      </wps:wsp>
                      <wps:wsp>
                        <wps:cNvPr id="22" name="Textbox 22"/>
                        <wps:cNvSpPr txBox="1"/>
                        <wps:spPr>
                          <a:xfrm>
                            <a:off x="0" y="0"/>
                            <a:ext cx="619125" cy="1015365"/>
                          </a:xfrm>
                          <a:prstGeom prst="rect">
                            <a:avLst/>
                          </a:prstGeom>
                        </wps:spPr>
                        <wps:txbx>
                          <w:txbxContent>
                            <w:p>
                              <w:pPr>
                                <w:spacing w:before="117"/>
                                <w:ind w:left="-14" w:right="0" w:firstLine="0"/>
                                <w:jc w:val="left"/>
                                <w:rPr>
                                  <w:rFonts w:ascii="Arial" w:hAnsi="Arial"/>
                                  <w:sz w:val="32"/>
                                </w:rPr>
                              </w:pPr>
                              <w:r>
                                <w:rPr>
                                  <w:rFonts w:ascii="Arial" w:hAnsi="Arial"/>
                                  <w:color w:val="FFFFFF"/>
                                  <w:spacing w:val="-2"/>
                                  <w:w w:val="85"/>
                                  <w:sz w:val="32"/>
                                </w:rPr>
                                <w:t>BepcH»</w:t>
                              </w:r>
                            </w:p>
                          </w:txbxContent>
                        </wps:txbx>
                        <wps:bodyPr wrap="square" lIns="0" tIns="0" rIns="0" bIns="0" rtlCol="0">
                          <a:noAutofit/>
                        </wps:bodyPr>
                      </wps:wsp>
                    </wpg:wgp>
                  </a:graphicData>
                </a:graphic>
              </wp:anchor>
            </w:drawing>
          </mc:Choice>
          <mc:Fallback>
            <w:pict>
              <v:group style="position:absolute;margin-left:353.783813pt;margin-top:698.46637pt;width:48.75pt;height:79.95pt;mso-position-horizontal-relative:page;mso-position-vertical-relative:page;z-index:15734784" id="docshapegroup12" coordorigin="7076,13969" coordsize="975,1599">
                <v:rect style="position:absolute;left:7075;top:13969;width:975;height:1599" id="docshape13" filled="true" fillcolor="#363636" stroked="false">
                  <v:fill type="solid"/>
                </v:rect>
                <v:shape style="position:absolute;left:7075;top:13969;width:975;height:1599" type="#_x0000_t202" id="docshape14" filled="false" stroked="false">
                  <v:textbox inset="0,0,0,0">
                    <w:txbxContent>
                      <w:p>
                        <w:pPr>
                          <w:spacing w:before="117"/>
                          <w:ind w:left="-14" w:right="0" w:firstLine="0"/>
                          <w:jc w:val="left"/>
                          <w:rPr>
                            <w:rFonts w:ascii="Arial" w:hAnsi="Arial"/>
                            <w:sz w:val="32"/>
                          </w:rPr>
                        </w:pPr>
                        <w:r>
                          <w:rPr>
                            <w:rFonts w:ascii="Arial" w:hAnsi="Arial"/>
                            <w:color w:val="FFFFFF"/>
                            <w:spacing w:val="-2"/>
                            <w:w w:val="85"/>
                            <w:sz w:val="32"/>
                          </w:rPr>
                          <w:t>BepcH»</w:t>
                        </w:r>
                      </w:p>
                    </w:txbxContent>
                  </v:textbox>
                  <w10:wrap type="none"/>
                </v:shape>
                <w10:wrap type="none"/>
              </v:group>
            </w:pict>
          </mc:Fallback>
        </mc:AlternateContent>
      </w:r>
      <w:r>
        <w:rPr>
          <w:sz w:val="2"/>
          <w:szCs w:val="2"/>
        </w:rPr>
        <mc:AlternateContent>
          <mc:Choice Requires="wps">
            <w:drawing>
              <wp:anchor distT="0" distB="0" distL="0" distR="0" allowOverlap="1" layoutInCell="1" locked="0" behindDoc="1" simplePos="0" relativeHeight="482818048">
                <wp:simplePos x="0" y="0"/>
                <wp:positionH relativeFrom="page">
                  <wp:posOffset>5181948</wp:posOffset>
                </wp:positionH>
                <wp:positionV relativeFrom="page">
                  <wp:posOffset>8870522</wp:posOffset>
                </wp:positionV>
                <wp:extent cx="222885" cy="1015365"/>
                <wp:effectExtent l="0" t="0" r="0" b="0"/>
                <wp:wrapNone/>
                <wp:docPr id="23" name="Graphic 23"/>
                <wp:cNvGraphicFramePr>
                  <a:graphicFrameLocks/>
                </wp:cNvGraphicFramePr>
                <a:graphic>
                  <a:graphicData uri="http://schemas.microsoft.com/office/word/2010/wordprocessingShape">
                    <wps:wsp>
                      <wps:cNvPr id="23" name="Graphic 23"/>
                      <wps:cNvSpPr/>
                      <wps:spPr>
                        <a:xfrm>
                          <a:off x="0" y="0"/>
                          <a:ext cx="222885" cy="1015365"/>
                        </a:xfrm>
                        <a:custGeom>
                          <a:avLst/>
                          <a:gdLst/>
                          <a:ahLst/>
                          <a:cxnLst/>
                          <a:rect l="l" t="t" r="r" b="b"/>
                          <a:pathLst>
                            <a:path w="222885" h="1015365">
                              <a:moveTo>
                                <a:pt x="222504" y="1014984"/>
                              </a:moveTo>
                              <a:lnTo>
                                <a:pt x="0" y="1014984"/>
                              </a:lnTo>
                              <a:lnTo>
                                <a:pt x="0" y="0"/>
                              </a:lnTo>
                              <a:lnTo>
                                <a:pt x="222504" y="0"/>
                              </a:lnTo>
                              <a:lnTo>
                                <a:pt x="222504" y="1014984"/>
                              </a:lnTo>
                              <a:close/>
                            </a:path>
                          </a:pathLst>
                        </a:custGeom>
                        <a:solidFill>
                          <a:srgbClr val="383838"/>
                        </a:solidFill>
                      </wps:spPr>
                      <wps:bodyPr wrap="square" lIns="0" tIns="0" rIns="0" bIns="0" rtlCol="0">
                        <a:prstTxWarp prst="textNoShape">
                          <a:avLst/>
                        </a:prstTxWarp>
                        <a:noAutofit/>
                      </wps:bodyPr>
                    </wps:wsp>
                  </a:graphicData>
                </a:graphic>
              </wp:anchor>
            </w:drawing>
          </mc:Choice>
          <mc:Fallback>
            <w:pict>
              <v:rect style="position:absolute;margin-left:408.027405pt;margin-top:698.46637pt;width:17.52pt;height:79.92pt;mso-position-horizontal-relative:page;mso-position-vertical-relative:page;z-index:-20498432" id="docshape15" filled="true" fillcolor="#383838"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2818560">
                <wp:simplePos x="0" y="0"/>
                <wp:positionH relativeFrom="page">
                  <wp:posOffset>5468480</wp:posOffset>
                </wp:positionH>
                <wp:positionV relativeFrom="page">
                  <wp:posOffset>8870522</wp:posOffset>
                </wp:positionV>
                <wp:extent cx="1161415" cy="1015365"/>
                <wp:effectExtent l="0" t="0" r="0" b="0"/>
                <wp:wrapNone/>
                <wp:docPr id="24" name="Graphic 24"/>
                <wp:cNvGraphicFramePr>
                  <a:graphicFrameLocks/>
                </wp:cNvGraphicFramePr>
                <a:graphic>
                  <a:graphicData uri="http://schemas.microsoft.com/office/word/2010/wordprocessingShape">
                    <wps:wsp>
                      <wps:cNvPr id="24" name="Graphic 24"/>
                      <wps:cNvSpPr/>
                      <wps:spPr>
                        <a:xfrm>
                          <a:off x="0" y="0"/>
                          <a:ext cx="1161415" cy="1015365"/>
                        </a:xfrm>
                        <a:custGeom>
                          <a:avLst/>
                          <a:gdLst/>
                          <a:ahLst/>
                          <a:cxnLst/>
                          <a:rect l="l" t="t" r="r" b="b"/>
                          <a:pathLst>
                            <a:path w="1161415" h="1015365">
                              <a:moveTo>
                                <a:pt x="1161288" y="1014984"/>
                              </a:moveTo>
                              <a:lnTo>
                                <a:pt x="0" y="1014984"/>
                              </a:lnTo>
                              <a:lnTo>
                                <a:pt x="0" y="0"/>
                              </a:lnTo>
                              <a:lnTo>
                                <a:pt x="1161288" y="0"/>
                              </a:lnTo>
                              <a:lnTo>
                                <a:pt x="1161288" y="1014984"/>
                              </a:lnTo>
                              <a:close/>
                            </a:path>
                          </a:pathLst>
                        </a:custGeom>
                        <a:solidFill>
                          <a:srgbClr val="3B3B3B"/>
                        </a:solidFill>
                      </wps:spPr>
                      <wps:bodyPr wrap="square" lIns="0" tIns="0" rIns="0" bIns="0" rtlCol="0">
                        <a:prstTxWarp prst="textNoShape">
                          <a:avLst/>
                        </a:prstTxWarp>
                        <a:noAutofit/>
                      </wps:bodyPr>
                    </wps:wsp>
                  </a:graphicData>
                </a:graphic>
              </wp:anchor>
            </w:drawing>
          </mc:Choice>
          <mc:Fallback>
            <w:pict>
              <v:rect style="position:absolute;margin-left:430.588989pt;margin-top:698.46637pt;width:91.44pt;height:79.92pt;mso-position-horizontal-relative:page;mso-position-vertical-relative:page;z-index:-20497920" id="docshape16" filled="true" fillcolor="#3b3b3b" stroked="false">
                <v:fill type="solid"/>
                <w10:wrap type="none"/>
              </v:rect>
            </w:pict>
          </mc:Fallback>
        </mc:AlternateContent>
      </w:r>
      <w:r>
        <w:rPr>
          <w:sz w:val="2"/>
          <w:szCs w:val="2"/>
        </w:rPr>
        <mc:AlternateContent>
          <mc:Choice Requires="wps">
            <w:drawing>
              <wp:anchor distT="0" distB="0" distL="0" distR="0" allowOverlap="1" layoutInCell="1" locked="0" behindDoc="0" simplePos="0" relativeHeight="15736320">
                <wp:simplePos x="0" y="0"/>
                <wp:positionH relativeFrom="page">
                  <wp:posOffset>0</wp:posOffset>
                </wp:positionH>
                <wp:positionV relativeFrom="page">
                  <wp:posOffset>10329336</wp:posOffset>
                </wp:positionV>
                <wp:extent cx="7556500" cy="278765"/>
                <wp:effectExtent l="0" t="0" r="0" b="0"/>
                <wp:wrapNone/>
                <wp:docPr id="25" name="Group 25"/>
                <wp:cNvGraphicFramePr>
                  <a:graphicFrameLocks/>
                </wp:cNvGraphicFramePr>
                <a:graphic>
                  <a:graphicData uri="http://schemas.microsoft.com/office/word/2010/wordprocessingGroup">
                    <wpg:wgp>
                      <wpg:cNvPr id="25" name="Group 25"/>
                      <wpg:cNvGrpSpPr/>
                      <wpg:grpSpPr>
                        <a:xfrm>
                          <a:off x="0" y="0"/>
                          <a:ext cx="7556500" cy="278765"/>
                          <a:chExt cx="7556500" cy="278765"/>
                        </a:xfrm>
                      </wpg:grpSpPr>
                      <pic:pic>
                        <pic:nvPicPr>
                          <pic:cNvPr id="26" name="Image 26"/>
                          <pic:cNvPicPr/>
                        </pic:nvPicPr>
                        <pic:blipFill>
                          <a:blip r:embed="rId15" cstate="print"/>
                          <a:stretch>
                            <a:fillRect/>
                          </a:stretch>
                        </pic:blipFill>
                        <pic:spPr>
                          <a:xfrm>
                            <a:off x="0" y="40944"/>
                            <a:ext cx="7556500" cy="237766"/>
                          </a:xfrm>
                          <a:prstGeom prst="rect">
                            <a:avLst/>
                          </a:prstGeom>
                        </pic:spPr>
                      </pic:pic>
                      <pic:pic>
                        <pic:nvPicPr>
                          <pic:cNvPr id="27" name="Image 27"/>
                          <pic:cNvPicPr/>
                        </pic:nvPicPr>
                        <pic:blipFill>
                          <a:blip r:embed="rId16" cstate="print"/>
                          <a:stretch>
                            <a:fillRect/>
                          </a:stretch>
                        </pic:blipFill>
                        <pic:spPr>
                          <a:xfrm>
                            <a:off x="0" y="40944"/>
                            <a:ext cx="7556500" cy="237766"/>
                          </a:xfrm>
                          <a:prstGeom prst="rect">
                            <a:avLst/>
                          </a:prstGeom>
                        </pic:spPr>
                      </pic:pic>
                      <wps:wsp>
                        <wps:cNvPr id="28" name="Textbox 28"/>
                        <wps:cNvSpPr txBox="1"/>
                        <wps:spPr>
                          <a:xfrm>
                            <a:off x="228385" y="0"/>
                            <a:ext cx="292100" cy="168910"/>
                          </a:xfrm>
                          <a:prstGeom prst="rect">
                            <a:avLst/>
                          </a:prstGeom>
                        </wps:spPr>
                        <wps:txbx>
                          <w:txbxContent>
                            <w:p>
                              <w:pPr>
                                <w:tabs>
                                  <w:tab w:pos="359" w:val="left" w:leader="none"/>
                                </w:tabs>
                                <w:spacing w:line="266" w:lineRule="exact" w:before="0"/>
                                <w:ind w:left="0" w:right="0" w:firstLine="0"/>
                                <w:jc w:val="left"/>
                                <w:rPr>
                                  <w:sz w:val="24"/>
                                </w:rPr>
                              </w:pPr>
                              <w:r>
                                <w:rPr>
                                  <w:spacing w:val="-10"/>
                                  <w:sz w:val="24"/>
                                </w:rPr>
                                <w:t>£</w:t>
                              </w:r>
                              <w:r>
                                <w:rPr>
                                  <w:sz w:val="24"/>
                                </w:rPr>
                                <w:tab/>
                              </w:r>
                              <w:r>
                                <w:rPr>
                                  <w:spacing w:val="-10"/>
                                  <w:sz w:val="24"/>
                                </w:rPr>
                                <w:t>˝</w:t>
                              </w:r>
                            </w:p>
                          </w:txbxContent>
                        </wps:txbx>
                        <wps:bodyPr wrap="square" lIns="0" tIns="0" rIns="0" bIns="0" rtlCol="0">
                          <a:noAutofit/>
                        </wps:bodyPr>
                      </wps:wsp>
                      <wps:wsp>
                        <wps:cNvPr id="29" name="Textbox 29"/>
                        <wps:cNvSpPr txBox="1"/>
                        <wps:spPr>
                          <a:xfrm>
                            <a:off x="228385" y="101504"/>
                            <a:ext cx="292100" cy="168910"/>
                          </a:xfrm>
                          <a:prstGeom prst="rect">
                            <a:avLst/>
                          </a:prstGeom>
                        </wps:spPr>
                        <wps:txbx>
                          <w:txbxContent>
                            <w:p>
                              <w:pPr>
                                <w:tabs>
                                  <w:tab w:pos="359" w:val="left" w:leader="none"/>
                                </w:tabs>
                                <w:spacing w:line="266" w:lineRule="exact" w:before="0"/>
                                <w:ind w:left="0" w:right="0" w:firstLine="0"/>
                                <w:jc w:val="left"/>
                                <w:rPr>
                                  <w:sz w:val="24"/>
                                </w:rPr>
                              </w:pPr>
                              <w:r>
                                <w:rPr>
                                  <w:spacing w:val="-10"/>
                                  <w:sz w:val="24"/>
                                </w:rPr>
                                <w:t>£</w:t>
                              </w:r>
                              <w:r>
                                <w:rPr>
                                  <w:sz w:val="24"/>
                                </w:rPr>
                                <w:tab/>
                              </w:r>
                              <w:r>
                                <w:rPr>
                                  <w:spacing w:val="-10"/>
                                  <w:sz w:val="24"/>
                                </w:rPr>
                                <w:t>˝</w:t>
                              </w:r>
                            </w:p>
                          </w:txbxContent>
                        </wps:txbx>
                        <wps:bodyPr wrap="square" lIns="0" tIns="0" rIns="0" bIns="0" rtlCol="0">
                          <a:noAutofit/>
                        </wps:bodyPr>
                      </wps:wsp>
                      <wps:wsp>
                        <wps:cNvPr id="30" name="Textbox 30"/>
                        <wps:cNvSpPr txBox="1"/>
                        <wps:spPr>
                          <a:xfrm>
                            <a:off x="1167202" y="0"/>
                            <a:ext cx="266700" cy="168910"/>
                          </a:xfrm>
                          <a:prstGeom prst="rect">
                            <a:avLst/>
                          </a:prstGeom>
                        </wps:spPr>
                        <wps:txbx>
                          <w:txbxContent>
                            <w:p>
                              <w:pPr>
                                <w:tabs>
                                  <w:tab w:pos="319" w:val="left" w:leader="none"/>
                                </w:tabs>
                                <w:spacing w:line="266" w:lineRule="exact" w:before="0"/>
                                <w:ind w:left="0" w:right="0" w:firstLine="0"/>
                                <w:jc w:val="left"/>
                                <w:rPr>
                                  <w:sz w:val="24"/>
                                </w:rPr>
                              </w:pPr>
                              <w:r>
                                <w:rPr>
                                  <w:spacing w:val="-10"/>
                                  <w:sz w:val="24"/>
                                </w:rPr>
                                <w:t>¸</w:t>
                              </w:r>
                              <w:r>
                                <w:rPr>
                                  <w:sz w:val="24"/>
                                </w:rPr>
                                <w:tab/>
                              </w:r>
                              <w:r>
                                <w:rPr>
                                  <w:spacing w:val="-10"/>
                                  <w:sz w:val="24"/>
                                </w:rPr>
                                <w:t>˜</w:t>
                              </w:r>
                            </w:p>
                          </w:txbxContent>
                        </wps:txbx>
                        <wps:bodyPr wrap="square" lIns="0" tIns="0" rIns="0" bIns="0" rtlCol="0">
                          <a:noAutofit/>
                        </wps:bodyPr>
                      </wps:wsp>
                      <wps:wsp>
                        <wps:cNvPr id="31" name="Textbox 31"/>
                        <wps:cNvSpPr txBox="1"/>
                        <wps:spPr>
                          <a:xfrm>
                            <a:off x="1167202" y="101504"/>
                            <a:ext cx="266700" cy="168910"/>
                          </a:xfrm>
                          <a:prstGeom prst="rect">
                            <a:avLst/>
                          </a:prstGeom>
                        </wps:spPr>
                        <wps:txbx>
                          <w:txbxContent>
                            <w:p>
                              <w:pPr>
                                <w:tabs>
                                  <w:tab w:pos="319" w:val="left" w:leader="none"/>
                                </w:tabs>
                                <w:spacing w:line="266" w:lineRule="exact" w:before="0"/>
                                <w:ind w:left="0" w:right="0" w:firstLine="0"/>
                                <w:jc w:val="left"/>
                                <w:rPr>
                                  <w:sz w:val="24"/>
                                </w:rPr>
                              </w:pPr>
                              <w:r>
                                <w:rPr>
                                  <w:spacing w:val="-10"/>
                                  <w:sz w:val="24"/>
                                </w:rPr>
                                <w:t>¸</w:t>
                              </w:r>
                              <w:r>
                                <w:rPr>
                                  <w:sz w:val="24"/>
                                </w:rPr>
                                <w:tab/>
                              </w:r>
                              <w:r>
                                <w:rPr>
                                  <w:spacing w:val="-10"/>
                                  <w:sz w:val="24"/>
                                </w:rPr>
                                <w:t>˜</w:t>
                              </w:r>
                            </w:p>
                          </w:txbxContent>
                        </wps:txbx>
                        <wps:bodyPr wrap="square" lIns="0" tIns="0" rIns="0" bIns="0" rtlCol="0">
                          <a:noAutofit/>
                        </wps:bodyPr>
                      </wps:wsp>
                      <wps:wsp>
                        <wps:cNvPr id="32" name="Textbox 32"/>
                        <wps:cNvSpPr txBox="1"/>
                        <wps:spPr>
                          <a:xfrm>
                            <a:off x="2342806" y="0"/>
                            <a:ext cx="1400175" cy="168910"/>
                          </a:xfrm>
                          <a:prstGeom prst="rect">
                            <a:avLst/>
                          </a:prstGeom>
                        </wps:spPr>
                        <wps:txbx>
                          <w:txbxContent>
                            <w:p>
                              <w:pPr>
                                <w:tabs>
                                  <w:tab w:pos="319" w:val="left" w:leader="none"/>
                                  <w:tab w:pos="665" w:val="left" w:leader="none"/>
                                  <w:tab w:pos="985" w:val="left" w:leader="none"/>
                                  <w:tab w:pos="1304" w:val="left" w:leader="none"/>
                                  <w:tab w:pos="1624" w:val="left" w:leader="none"/>
                                  <w:tab w:pos="1944" w:val="left" w:leader="none"/>
                                </w:tabs>
                                <w:spacing w:line="266" w:lineRule="exact" w:before="0"/>
                                <w:ind w:left="0" w:right="0" w:firstLine="0"/>
                                <w:jc w:val="left"/>
                                <w:rPr>
                                  <w:sz w:val="24"/>
                                </w:rPr>
                              </w:pPr>
                              <w:r>
                                <w:rPr>
                                  <w:spacing w:val="-10"/>
                                  <w:sz w:val="24"/>
                                </w:rPr>
                                <w:t>˘</w:t>
                              </w:r>
                              <w:r>
                                <w:rPr>
                                  <w:sz w:val="24"/>
                                </w:rPr>
                                <w:tab/>
                              </w:r>
                              <w:r>
                                <w:rPr>
                                  <w:spacing w:val="-10"/>
                                  <w:sz w:val="24"/>
                                </w:rPr>
                                <w:t>¿</w:t>
                              </w:r>
                              <w:r>
                                <w:rPr>
                                  <w:sz w:val="24"/>
                                </w:rPr>
                                <w:tab/>
                              </w:r>
                              <w:r>
                                <w:rPr>
                                  <w:spacing w:val="-10"/>
                                  <w:sz w:val="24"/>
                                </w:rPr>
                                <w:t>ˇ</w:t>
                              </w:r>
                              <w:r>
                                <w:rPr>
                                  <w:sz w:val="24"/>
                                </w:rPr>
                                <w:tab/>
                              </w:r>
                              <w:r>
                                <w:rPr>
                                  <w:spacing w:val="-10"/>
                                  <w:sz w:val="24"/>
                                </w:rPr>
                                <w:t>˜</w:t>
                              </w:r>
                              <w:r>
                                <w:rPr>
                                  <w:sz w:val="24"/>
                                </w:rPr>
                                <w:tab/>
                              </w:r>
                              <w:r>
                                <w:rPr>
                                  <w:spacing w:val="-10"/>
                                  <w:sz w:val="24"/>
                                </w:rPr>
                                <w:t>´</w:t>
                              </w:r>
                              <w:r>
                                <w:rPr>
                                  <w:sz w:val="24"/>
                                </w:rPr>
                                <w:tab/>
                              </w:r>
                              <w:r>
                                <w:rPr>
                                  <w:spacing w:val="-10"/>
                                  <w:sz w:val="24"/>
                                </w:rPr>
                                <w:t>˙</w:t>
                              </w:r>
                              <w:r>
                                <w:rPr>
                                  <w:sz w:val="24"/>
                                </w:rPr>
                                <w:tab/>
                              </w:r>
                              <w:r>
                                <w:rPr>
                                  <w:spacing w:val="-10"/>
                                  <w:sz w:val="24"/>
                                </w:rPr>
                                <w:t>—</w:t>
                              </w:r>
                            </w:p>
                          </w:txbxContent>
                        </wps:txbx>
                        <wps:bodyPr wrap="square" lIns="0" tIns="0" rIns="0" bIns="0" rtlCol="0">
                          <a:noAutofit/>
                        </wps:bodyPr>
                      </wps:wsp>
                      <wps:wsp>
                        <wps:cNvPr id="33" name="Textbox 33"/>
                        <wps:cNvSpPr txBox="1"/>
                        <wps:spPr>
                          <a:xfrm>
                            <a:off x="2342806" y="101504"/>
                            <a:ext cx="1400175" cy="168910"/>
                          </a:xfrm>
                          <a:prstGeom prst="rect">
                            <a:avLst/>
                          </a:prstGeom>
                        </wps:spPr>
                        <wps:txbx>
                          <w:txbxContent>
                            <w:p>
                              <w:pPr>
                                <w:tabs>
                                  <w:tab w:pos="319" w:val="left" w:leader="none"/>
                                  <w:tab w:pos="665" w:val="left" w:leader="none"/>
                                  <w:tab w:pos="985" w:val="left" w:leader="none"/>
                                  <w:tab w:pos="1304" w:val="left" w:leader="none"/>
                                  <w:tab w:pos="1624" w:val="left" w:leader="none"/>
                                  <w:tab w:pos="1944" w:val="left" w:leader="none"/>
                                </w:tabs>
                                <w:spacing w:line="266" w:lineRule="exact" w:before="0"/>
                                <w:ind w:left="0" w:right="0" w:firstLine="0"/>
                                <w:jc w:val="left"/>
                                <w:rPr>
                                  <w:sz w:val="24"/>
                                </w:rPr>
                              </w:pPr>
                              <w:r>
                                <w:rPr>
                                  <w:spacing w:val="-10"/>
                                  <w:sz w:val="24"/>
                                </w:rPr>
                                <w:t>˘</w:t>
                              </w:r>
                              <w:r>
                                <w:rPr>
                                  <w:sz w:val="24"/>
                                </w:rPr>
                                <w:tab/>
                              </w:r>
                              <w:r>
                                <w:rPr>
                                  <w:spacing w:val="-10"/>
                                  <w:sz w:val="24"/>
                                </w:rPr>
                                <w:t>¿</w:t>
                              </w:r>
                              <w:r>
                                <w:rPr>
                                  <w:sz w:val="24"/>
                                </w:rPr>
                                <w:tab/>
                              </w:r>
                              <w:r>
                                <w:rPr>
                                  <w:spacing w:val="-10"/>
                                  <w:sz w:val="24"/>
                                </w:rPr>
                                <w:t>ˇ</w:t>
                              </w:r>
                              <w:r>
                                <w:rPr>
                                  <w:sz w:val="24"/>
                                </w:rPr>
                                <w:tab/>
                              </w:r>
                              <w:r>
                                <w:rPr>
                                  <w:spacing w:val="-10"/>
                                  <w:sz w:val="24"/>
                                </w:rPr>
                                <w:t>˜</w:t>
                              </w:r>
                              <w:r>
                                <w:rPr>
                                  <w:sz w:val="24"/>
                                </w:rPr>
                                <w:tab/>
                              </w:r>
                              <w:r>
                                <w:rPr>
                                  <w:spacing w:val="-10"/>
                                  <w:sz w:val="24"/>
                                </w:rPr>
                                <w:t>´</w:t>
                              </w:r>
                              <w:r>
                                <w:rPr>
                                  <w:sz w:val="24"/>
                                </w:rPr>
                                <w:tab/>
                              </w:r>
                              <w:r>
                                <w:rPr>
                                  <w:spacing w:val="-10"/>
                                  <w:sz w:val="24"/>
                                </w:rPr>
                                <w:t>˙</w:t>
                              </w:r>
                              <w:r>
                                <w:rPr>
                                  <w:sz w:val="24"/>
                                </w:rPr>
                                <w:tab/>
                              </w:r>
                              <w:r>
                                <w:rPr>
                                  <w:spacing w:val="-10"/>
                                  <w:sz w:val="24"/>
                                </w:rPr>
                                <w:t>—</w:t>
                              </w:r>
                            </w:p>
                          </w:txbxContent>
                        </wps:txbx>
                        <wps:bodyPr wrap="square" lIns="0" tIns="0" rIns="0" bIns="0" rtlCol="0">
                          <a:noAutofit/>
                        </wps:bodyPr>
                      </wps:wsp>
                      <wps:wsp>
                        <wps:cNvPr id="34" name="Textbox 34"/>
                        <wps:cNvSpPr txBox="1"/>
                        <wps:spPr>
                          <a:xfrm>
                            <a:off x="4144164" y="0"/>
                            <a:ext cx="1095375" cy="168910"/>
                          </a:xfrm>
                          <a:prstGeom prst="rect">
                            <a:avLst/>
                          </a:prstGeom>
                        </wps:spPr>
                        <wps:txbx>
                          <w:txbxContent>
                            <w:p>
                              <w:pPr>
                                <w:tabs>
                                  <w:tab w:pos="319" w:val="left" w:leader="none"/>
                                  <w:tab w:pos="639" w:val="left" w:leader="none"/>
                                  <w:tab w:pos="958" w:val="left" w:leader="none"/>
                                  <w:tab w:pos="1278" w:val="left" w:leader="none"/>
                                  <w:tab w:pos="1598" w:val="left" w:leader="none"/>
                                </w:tabs>
                                <w:spacing w:line="266" w:lineRule="exact" w:before="0"/>
                                <w:ind w:left="0" w:right="0" w:firstLine="0"/>
                                <w:jc w:val="left"/>
                                <w:rPr>
                                  <w:sz w:val="24"/>
                                </w:rPr>
                              </w:pPr>
                              <w:r>
                                <w:rPr>
                                  <w:spacing w:val="-10"/>
                                  <w:sz w:val="24"/>
                                </w:rPr>
                                <w:t>ˇ</w:t>
                              </w:r>
                              <w:r>
                                <w:rPr>
                                  <w:sz w:val="24"/>
                                </w:rPr>
                                <w:tab/>
                              </w:r>
                              <w:r>
                                <w:rPr>
                                  <w:spacing w:val="-10"/>
                                  <w:sz w:val="24"/>
                                </w:rPr>
                                <w:t>˙</w:t>
                              </w:r>
                              <w:r>
                                <w:rPr>
                                  <w:sz w:val="24"/>
                                </w:rPr>
                                <w:tab/>
                              </w:r>
                              <w:r>
                                <w:rPr>
                                  <w:spacing w:val="-10"/>
                                  <w:sz w:val="24"/>
                                </w:rPr>
                                <w:t>ˇ</w:t>
                              </w:r>
                              <w:r>
                                <w:rPr>
                                  <w:sz w:val="24"/>
                                </w:rPr>
                                <w:tab/>
                              </w:r>
                              <w:r>
                                <w:rPr>
                                  <w:spacing w:val="-10"/>
                                  <w:sz w:val="24"/>
                                </w:rPr>
                                <w:t>˝</w:t>
                              </w:r>
                              <w:r>
                                <w:rPr>
                                  <w:sz w:val="24"/>
                                </w:rPr>
                                <w:tab/>
                              </w:r>
                              <w:r>
                                <w:rPr>
                                  <w:spacing w:val="-10"/>
                                  <w:sz w:val="24"/>
                                </w:rPr>
                                <w:t>`</w:t>
                              </w:r>
                              <w:r>
                                <w:rPr>
                                  <w:sz w:val="24"/>
                                </w:rPr>
                                <w:tab/>
                              </w:r>
                              <w:r>
                                <w:rPr>
                                  <w:spacing w:val="-10"/>
                                  <w:sz w:val="24"/>
                                </w:rPr>
                                <w:t>¿</w:t>
                              </w:r>
                            </w:p>
                          </w:txbxContent>
                        </wps:txbx>
                        <wps:bodyPr wrap="square" lIns="0" tIns="0" rIns="0" bIns="0" rtlCol="0">
                          <a:noAutofit/>
                        </wps:bodyPr>
                      </wps:wsp>
                      <wps:wsp>
                        <wps:cNvPr id="35" name="Textbox 35"/>
                        <wps:cNvSpPr txBox="1"/>
                        <wps:spPr>
                          <a:xfrm>
                            <a:off x="4144164" y="101504"/>
                            <a:ext cx="1095375" cy="168910"/>
                          </a:xfrm>
                          <a:prstGeom prst="rect">
                            <a:avLst/>
                          </a:prstGeom>
                        </wps:spPr>
                        <wps:txbx>
                          <w:txbxContent>
                            <w:p>
                              <w:pPr>
                                <w:tabs>
                                  <w:tab w:pos="319" w:val="left" w:leader="none"/>
                                  <w:tab w:pos="639" w:val="left" w:leader="none"/>
                                  <w:tab w:pos="958" w:val="left" w:leader="none"/>
                                  <w:tab w:pos="1278" w:val="left" w:leader="none"/>
                                  <w:tab w:pos="1598" w:val="left" w:leader="none"/>
                                </w:tabs>
                                <w:spacing w:line="266" w:lineRule="exact" w:before="0"/>
                                <w:ind w:left="0" w:right="0" w:firstLine="0"/>
                                <w:jc w:val="left"/>
                                <w:rPr>
                                  <w:sz w:val="24"/>
                                </w:rPr>
                              </w:pPr>
                              <w:r>
                                <w:rPr>
                                  <w:spacing w:val="-10"/>
                                  <w:sz w:val="24"/>
                                </w:rPr>
                                <w:t>ˇ</w:t>
                              </w:r>
                              <w:r>
                                <w:rPr>
                                  <w:sz w:val="24"/>
                                </w:rPr>
                                <w:tab/>
                              </w:r>
                              <w:r>
                                <w:rPr>
                                  <w:spacing w:val="-10"/>
                                  <w:sz w:val="24"/>
                                </w:rPr>
                                <w:t>˙</w:t>
                              </w:r>
                              <w:r>
                                <w:rPr>
                                  <w:sz w:val="24"/>
                                </w:rPr>
                                <w:tab/>
                              </w:r>
                              <w:r>
                                <w:rPr>
                                  <w:spacing w:val="-10"/>
                                  <w:sz w:val="24"/>
                                </w:rPr>
                                <w:t>ˇ</w:t>
                              </w:r>
                              <w:r>
                                <w:rPr>
                                  <w:sz w:val="24"/>
                                </w:rPr>
                                <w:tab/>
                              </w:r>
                              <w:r>
                                <w:rPr>
                                  <w:spacing w:val="-10"/>
                                  <w:sz w:val="24"/>
                                </w:rPr>
                                <w:t>˝</w:t>
                              </w:r>
                              <w:r>
                                <w:rPr>
                                  <w:sz w:val="24"/>
                                </w:rPr>
                                <w:tab/>
                              </w:r>
                              <w:r>
                                <w:rPr>
                                  <w:spacing w:val="-10"/>
                                  <w:sz w:val="24"/>
                                </w:rPr>
                                <w:t>`</w:t>
                              </w:r>
                              <w:r>
                                <w:rPr>
                                  <w:sz w:val="24"/>
                                </w:rPr>
                                <w:tab/>
                              </w:r>
                              <w:r>
                                <w:rPr>
                                  <w:spacing w:val="-10"/>
                                  <w:sz w:val="24"/>
                                </w:rPr>
                                <w:t>¿</w:t>
                              </w:r>
                            </w:p>
                          </w:txbxContent>
                        </wps:txbx>
                        <wps:bodyPr wrap="square" lIns="0" tIns="0" rIns="0" bIns="0" rtlCol="0">
                          <a:noAutofit/>
                        </wps:bodyPr>
                      </wps:wsp>
                    </wpg:wgp>
                  </a:graphicData>
                </a:graphic>
              </wp:anchor>
            </w:drawing>
          </mc:Choice>
          <mc:Fallback>
            <w:pict>
              <v:group style="position:absolute;margin-left:0pt;margin-top:813.333618pt;width:595pt;height:21.95pt;mso-position-horizontal-relative:page;mso-position-vertical-relative:page;z-index:15736320" id="docshapegroup17" coordorigin="0,16267" coordsize="11900,439">
                <v:shape style="position:absolute;left:0;top:16331;width:11900;height:375" type="#_x0000_t75" id="docshape18" stroked="false">
                  <v:imagedata r:id="rId15" o:title=""/>
                </v:shape>
                <v:shape style="position:absolute;left:0;top:16331;width:11900;height:375" type="#_x0000_t75" id="docshape19" stroked="false">
                  <v:imagedata r:id="rId16" o:title=""/>
                </v:shape>
                <v:shape style="position:absolute;left:359;top:16266;width:460;height:266" type="#_x0000_t202" id="docshape20" filled="false" stroked="false">
                  <v:textbox inset="0,0,0,0">
                    <w:txbxContent>
                      <w:p>
                        <w:pPr>
                          <w:tabs>
                            <w:tab w:pos="359" w:val="left" w:leader="none"/>
                          </w:tabs>
                          <w:spacing w:line="266" w:lineRule="exact" w:before="0"/>
                          <w:ind w:left="0" w:right="0" w:firstLine="0"/>
                          <w:jc w:val="left"/>
                          <w:rPr>
                            <w:sz w:val="24"/>
                          </w:rPr>
                        </w:pPr>
                        <w:r>
                          <w:rPr>
                            <w:spacing w:val="-10"/>
                            <w:sz w:val="24"/>
                          </w:rPr>
                          <w:t>£</w:t>
                        </w:r>
                        <w:r>
                          <w:rPr>
                            <w:sz w:val="24"/>
                          </w:rPr>
                          <w:tab/>
                        </w:r>
                        <w:r>
                          <w:rPr>
                            <w:spacing w:val="-10"/>
                            <w:sz w:val="24"/>
                          </w:rPr>
                          <w:t>˝</w:t>
                        </w:r>
                      </w:p>
                    </w:txbxContent>
                  </v:textbox>
                  <w10:wrap type="none"/>
                </v:shape>
                <v:shape style="position:absolute;left:359;top:16426;width:460;height:266" type="#_x0000_t202" id="docshape21" filled="false" stroked="false">
                  <v:textbox inset="0,0,0,0">
                    <w:txbxContent>
                      <w:p>
                        <w:pPr>
                          <w:tabs>
                            <w:tab w:pos="359" w:val="left" w:leader="none"/>
                          </w:tabs>
                          <w:spacing w:line="266" w:lineRule="exact" w:before="0"/>
                          <w:ind w:left="0" w:right="0" w:firstLine="0"/>
                          <w:jc w:val="left"/>
                          <w:rPr>
                            <w:sz w:val="24"/>
                          </w:rPr>
                        </w:pPr>
                        <w:r>
                          <w:rPr>
                            <w:spacing w:val="-10"/>
                            <w:sz w:val="24"/>
                          </w:rPr>
                          <w:t>£</w:t>
                        </w:r>
                        <w:r>
                          <w:rPr>
                            <w:sz w:val="24"/>
                          </w:rPr>
                          <w:tab/>
                        </w:r>
                        <w:r>
                          <w:rPr>
                            <w:spacing w:val="-10"/>
                            <w:sz w:val="24"/>
                          </w:rPr>
                          <w:t>˝</w:t>
                        </w:r>
                      </w:p>
                    </w:txbxContent>
                  </v:textbox>
                  <w10:wrap type="none"/>
                </v:shape>
                <v:shape style="position:absolute;left:1838;top:16266;width:420;height:266" type="#_x0000_t202" id="docshape22" filled="false" stroked="false">
                  <v:textbox inset="0,0,0,0">
                    <w:txbxContent>
                      <w:p>
                        <w:pPr>
                          <w:tabs>
                            <w:tab w:pos="319" w:val="left" w:leader="none"/>
                          </w:tabs>
                          <w:spacing w:line="266" w:lineRule="exact" w:before="0"/>
                          <w:ind w:left="0" w:right="0" w:firstLine="0"/>
                          <w:jc w:val="left"/>
                          <w:rPr>
                            <w:sz w:val="24"/>
                          </w:rPr>
                        </w:pPr>
                        <w:r>
                          <w:rPr>
                            <w:spacing w:val="-10"/>
                            <w:sz w:val="24"/>
                          </w:rPr>
                          <w:t>¸</w:t>
                        </w:r>
                        <w:r>
                          <w:rPr>
                            <w:sz w:val="24"/>
                          </w:rPr>
                          <w:tab/>
                        </w:r>
                        <w:r>
                          <w:rPr>
                            <w:spacing w:val="-10"/>
                            <w:sz w:val="24"/>
                          </w:rPr>
                          <w:t>˜</w:t>
                        </w:r>
                      </w:p>
                    </w:txbxContent>
                  </v:textbox>
                  <w10:wrap type="none"/>
                </v:shape>
                <v:shape style="position:absolute;left:1838;top:16426;width:420;height:266" type="#_x0000_t202" id="docshape23" filled="false" stroked="false">
                  <v:textbox inset="0,0,0,0">
                    <w:txbxContent>
                      <w:p>
                        <w:pPr>
                          <w:tabs>
                            <w:tab w:pos="319" w:val="left" w:leader="none"/>
                          </w:tabs>
                          <w:spacing w:line="266" w:lineRule="exact" w:before="0"/>
                          <w:ind w:left="0" w:right="0" w:firstLine="0"/>
                          <w:jc w:val="left"/>
                          <w:rPr>
                            <w:sz w:val="24"/>
                          </w:rPr>
                        </w:pPr>
                        <w:r>
                          <w:rPr>
                            <w:spacing w:val="-10"/>
                            <w:sz w:val="24"/>
                          </w:rPr>
                          <w:t>¸</w:t>
                        </w:r>
                        <w:r>
                          <w:rPr>
                            <w:sz w:val="24"/>
                          </w:rPr>
                          <w:tab/>
                        </w:r>
                        <w:r>
                          <w:rPr>
                            <w:spacing w:val="-10"/>
                            <w:sz w:val="24"/>
                          </w:rPr>
                          <w:t>˜</w:t>
                        </w:r>
                      </w:p>
                    </w:txbxContent>
                  </v:textbox>
                  <w10:wrap type="none"/>
                </v:shape>
                <v:shape style="position:absolute;left:3689;top:16266;width:2205;height:266" type="#_x0000_t202" id="docshape24" filled="false" stroked="false">
                  <v:textbox inset="0,0,0,0">
                    <w:txbxContent>
                      <w:p>
                        <w:pPr>
                          <w:tabs>
                            <w:tab w:pos="319" w:val="left" w:leader="none"/>
                            <w:tab w:pos="665" w:val="left" w:leader="none"/>
                            <w:tab w:pos="985" w:val="left" w:leader="none"/>
                            <w:tab w:pos="1304" w:val="left" w:leader="none"/>
                            <w:tab w:pos="1624" w:val="left" w:leader="none"/>
                            <w:tab w:pos="1944" w:val="left" w:leader="none"/>
                          </w:tabs>
                          <w:spacing w:line="266" w:lineRule="exact" w:before="0"/>
                          <w:ind w:left="0" w:right="0" w:firstLine="0"/>
                          <w:jc w:val="left"/>
                          <w:rPr>
                            <w:sz w:val="24"/>
                          </w:rPr>
                        </w:pPr>
                        <w:r>
                          <w:rPr>
                            <w:spacing w:val="-10"/>
                            <w:sz w:val="24"/>
                          </w:rPr>
                          <w:t>˘</w:t>
                        </w:r>
                        <w:r>
                          <w:rPr>
                            <w:sz w:val="24"/>
                          </w:rPr>
                          <w:tab/>
                        </w:r>
                        <w:r>
                          <w:rPr>
                            <w:spacing w:val="-10"/>
                            <w:sz w:val="24"/>
                          </w:rPr>
                          <w:t>¿</w:t>
                        </w:r>
                        <w:r>
                          <w:rPr>
                            <w:sz w:val="24"/>
                          </w:rPr>
                          <w:tab/>
                        </w:r>
                        <w:r>
                          <w:rPr>
                            <w:spacing w:val="-10"/>
                            <w:sz w:val="24"/>
                          </w:rPr>
                          <w:t>ˇ</w:t>
                        </w:r>
                        <w:r>
                          <w:rPr>
                            <w:sz w:val="24"/>
                          </w:rPr>
                          <w:tab/>
                        </w:r>
                        <w:r>
                          <w:rPr>
                            <w:spacing w:val="-10"/>
                            <w:sz w:val="24"/>
                          </w:rPr>
                          <w:t>˜</w:t>
                        </w:r>
                        <w:r>
                          <w:rPr>
                            <w:sz w:val="24"/>
                          </w:rPr>
                          <w:tab/>
                        </w:r>
                        <w:r>
                          <w:rPr>
                            <w:spacing w:val="-10"/>
                            <w:sz w:val="24"/>
                          </w:rPr>
                          <w:t>´</w:t>
                        </w:r>
                        <w:r>
                          <w:rPr>
                            <w:sz w:val="24"/>
                          </w:rPr>
                          <w:tab/>
                        </w:r>
                        <w:r>
                          <w:rPr>
                            <w:spacing w:val="-10"/>
                            <w:sz w:val="24"/>
                          </w:rPr>
                          <w:t>˙</w:t>
                        </w:r>
                        <w:r>
                          <w:rPr>
                            <w:sz w:val="24"/>
                          </w:rPr>
                          <w:tab/>
                        </w:r>
                        <w:r>
                          <w:rPr>
                            <w:spacing w:val="-10"/>
                            <w:sz w:val="24"/>
                          </w:rPr>
                          <w:t>—</w:t>
                        </w:r>
                      </w:p>
                    </w:txbxContent>
                  </v:textbox>
                  <w10:wrap type="none"/>
                </v:shape>
                <v:shape style="position:absolute;left:3689;top:16426;width:2205;height:266" type="#_x0000_t202" id="docshape25" filled="false" stroked="false">
                  <v:textbox inset="0,0,0,0">
                    <w:txbxContent>
                      <w:p>
                        <w:pPr>
                          <w:tabs>
                            <w:tab w:pos="319" w:val="left" w:leader="none"/>
                            <w:tab w:pos="665" w:val="left" w:leader="none"/>
                            <w:tab w:pos="985" w:val="left" w:leader="none"/>
                            <w:tab w:pos="1304" w:val="left" w:leader="none"/>
                            <w:tab w:pos="1624" w:val="left" w:leader="none"/>
                            <w:tab w:pos="1944" w:val="left" w:leader="none"/>
                          </w:tabs>
                          <w:spacing w:line="266" w:lineRule="exact" w:before="0"/>
                          <w:ind w:left="0" w:right="0" w:firstLine="0"/>
                          <w:jc w:val="left"/>
                          <w:rPr>
                            <w:sz w:val="24"/>
                          </w:rPr>
                        </w:pPr>
                        <w:r>
                          <w:rPr>
                            <w:spacing w:val="-10"/>
                            <w:sz w:val="24"/>
                          </w:rPr>
                          <w:t>˘</w:t>
                        </w:r>
                        <w:r>
                          <w:rPr>
                            <w:sz w:val="24"/>
                          </w:rPr>
                          <w:tab/>
                        </w:r>
                        <w:r>
                          <w:rPr>
                            <w:spacing w:val="-10"/>
                            <w:sz w:val="24"/>
                          </w:rPr>
                          <w:t>¿</w:t>
                        </w:r>
                        <w:r>
                          <w:rPr>
                            <w:sz w:val="24"/>
                          </w:rPr>
                          <w:tab/>
                        </w:r>
                        <w:r>
                          <w:rPr>
                            <w:spacing w:val="-10"/>
                            <w:sz w:val="24"/>
                          </w:rPr>
                          <w:t>ˇ</w:t>
                        </w:r>
                        <w:r>
                          <w:rPr>
                            <w:sz w:val="24"/>
                          </w:rPr>
                          <w:tab/>
                        </w:r>
                        <w:r>
                          <w:rPr>
                            <w:spacing w:val="-10"/>
                            <w:sz w:val="24"/>
                          </w:rPr>
                          <w:t>˜</w:t>
                        </w:r>
                        <w:r>
                          <w:rPr>
                            <w:sz w:val="24"/>
                          </w:rPr>
                          <w:tab/>
                        </w:r>
                        <w:r>
                          <w:rPr>
                            <w:spacing w:val="-10"/>
                            <w:sz w:val="24"/>
                          </w:rPr>
                          <w:t>´</w:t>
                        </w:r>
                        <w:r>
                          <w:rPr>
                            <w:sz w:val="24"/>
                          </w:rPr>
                          <w:tab/>
                        </w:r>
                        <w:r>
                          <w:rPr>
                            <w:spacing w:val="-10"/>
                            <w:sz w:val="24"/>
                          </w:rPr>
                          <w:t>˙</w:t>
                        </w:r>
                        <w:r>
                          <w:rPr>
                            <w:sz w:val="24"/>
                          </w:rPr>
                          <w:tab/>
                        </w:r>
                        <w:r>
                          <w:rPr>
                            <w:spacing w:val="-10"/>
                            <w:sz w:val="24"/>
                          </w:rPr>
                          <w:t>—</w:t>
                        </w:r>
                      </w:p>
                    </w:txbxContent>
                  </v:textbox>
                  <w10:wrap type="none"/>
                </v:shape>
                <v:shape style="position:absolute;left:6526;top:16266;width:1725;height:266" type="#_x0000_t202" id="docshape26" filled="false" stroked="false">
                  <v:textbox inset="0,0,0,0">
                    <w:txbxContent>
                      <w:p>
                        <w:pPr>
                          <w:tabs>
                            <w:tab w:pos="319" w:val="left" w:leader="none"/>
                            <w:tab w:pos="639" w:val="left" w:leader="none"/>
                            <w:tab w:pos="958" w:val="left" w:leader="none"/>
                            <w:tab w:pos="1278" w:val="left" w:leader="none"/>
                            <w:tab w:pos="1598" w:val="left" w:leader="none"/>
                          </w:tabs>
                          <w:spacing w:line="266" w:lineRule="exact" w:before="0"/>
                          <w:ind w:left="0" w:right="0" w:firstLine="0"/>
                          <w:jc w:val="left"/>
                          <w:rPr>
                            <w:sz w:val="24"/>
                          </w:rPr>
                        </w:pPr>
                        <w:r>
                          <w:rPr>
                            <w:spacing w:val="-10"/>
                            <w:sz w:val="24"/>
                          </w:rPr>
                          <w:t>ˇ</w:t>
                        </w:r>
                        <w:r>
                          <w:rPr>
                            <w:sz w:val="24"/>
                          </w:rPr>
                          <w:tab/>
                        </w:r>
                        <w:r>
                          <w:rPr>
                            <w:spacing w:val="-10"/>
                            <w:sz w:val="24"/>
                          </w:rPr>
                          <w:t>˙</w:t>
                        </w:r>
                        <w:r>
                          <w:rPr>
                            <w:sz w:val="24"/>
                          </w:rPr>
                          <w:tab/>
                        </w:r>
                        <w:r>
                          <w:rPr>
                            <w:spacing w:val="-10"/>
                            <w:sz w:val="24"/>
                          </w:rPr>
                          <w:t>ˇ</w:t>
                        </w:r>
                        <w:r>
                          <w:rPr>
                            <w:sz w:val="24"/>
                          </w:rPr>
                          <w:tab/>
                        </w:r>
                        <w:r>
                          <w:rPr>
                            <w:spacing w:val="-10"/>
                            <w:sz w:val="24"/>
                          </w:rPr>
                          <w:t>˝</w:t>
                        </w:r>
                        <w:r>
                          <w:rPr>
                            <w:sz w:val="24"/>
                          </w:rPr>
                          <w:tab/>
                        </w:r>
                        <w:r>
                          <w:rPr>
                            <w:spacing w:val="-10"/>
                            <w:sz w:val="24"/>
                          </w:rPr>
                          <w:t>`</w:t>
                        </w:r>
                        <w:r>
                          <w:rPr>
                            <w:sz w:val="24"/>
                          </w:rPr>
                          <w:tab/>
                        </w:r>
                        <w:r>
                          <w:rPr>
                            <w:spacing w:val="-10"/>
                            <w:sz w:val="24"/>
                          </w:rPr>
                          <w:t>¿</w:t>
                        </w:r>
                      </w:p>
                    </w:txbxContent>
                  </v:textbox>
                  <w10:wrap type="none"/>
                </v:shape>
                <v:shape style="position:absolute;left:6526;top:16426;width:1725;height:266" type="#_x0000_t202" id="docshape27" filled="false" stroked="false">
                  <v:textbox inset="0,0,0,0">
                    <w:txbxContent>
                      <w:p>
                        <w:pPr>
                          <w:tabs>
                            <w:tab w:pos="319" w:val="left" w:leader="none"/>
                            <w:tab w:pos="639" w:val="left" w:leader="none"/>
                            <w:tab w:pos="958" w:val="left" w:leader="none"/>
                            <w:tab w:pos="1278" w:val="left" w:leader="none"/>
                            <w:tab w:pos="1598" w:val="left" w:leader="none"/>
                          </w:tabs>
                          <w:spacing w:line="266" w:lineRule="exact" w:before="0"/>
                          <w:ind w:left="0" w:right="0" w:firstLine="0"/>
                          <w:jc w:val="left"/>
                          <w:rPr>
                            <w:sz w:val="24"/>
                          </w:rPr>
                        </w:pPr>
                        <w:r>
                          <w:rPr>
                            <w:spacing w:val="-10"/>
                            <w:sz w:val="24"/>
                          </w:rPr>
                          <w:t>ˇ</w:t>
                        </w:r>
                        <w:r>
                          <w:rPr>
                            <w:sz w:val="24"/>
                          </w:rPr>
                          <w:tab/>
                        </w:r>
                        <w:r>
                          <w:rPr>
                            <w:spacing w:val="-10"/>
                            <w:sz w:val="24"/>
                          </w:rPr>
                          <w:t>˙</w:t>
                        </w:r>
                        <w:r>
                          <w:rPr>
                            <w:sz w:val="24"/>
                          </w:rPr>
                          <w:tab/>
                        </w:r>
                        <w:r>
                          <w:rPr>
                            <w:spacing w:val="-10"/>
                            <w:sz w:val="24"/>
                          </w:rPr>
                          <w:t>ˇ</w:t>
                        </w:r>
                        <w:r>
                          <w:rPr>
                            <w:sz w:val="24"/>
                          </w:rPr>
                          <w:tab/>
                        </w:r>
                        <w:r>
                          <w:rPr>
                            <w:spacing w:val="-10"/>
                            <w:sz w:val="24"/>
                          </w:rPr>
                          <w:t>˝</w:t>
                        </w:r>
                        <w:r>
                          <w:rPr>
                            <w:sz w:val="24"/>
                          </w:rPr>
                          <w:tab/>
                        </w:r>
                        <w:r>
                          <w:rPr>
                            <w:spacing w:val="-10"/>
                            <w:sz w:val="24"/>
                          </w:rPr>
                          <w:t>`</w:t>
                        </w:r>
                        <w:r>
                          <w:rPr>
                            <w:sz w:val="24"/>
                          </w:rPr>
                          <w:tab/>
                        </w:r>
                        <w:r>
                          <w:rPr>
                            <w:spacing w:val="-10"/>
                            <w:sz w:val="24"/>
                          </w:rPr>
                          <w:t>¿</w:t>
                        </w:r>
                      </w:p>
                    </w:txbxContent>
                  </v:textbox>
                  <w10:wrap type="none"/>
                </v:shape>
                <w10:wrap type="none"/>
              </v:group>
            </w:pict>
          </mc:Fallback>
        </mc:AlternateContent>
      </w:r>
    </w:p>
    <w:p>
      <w:pPr>
        <w:spacing w:after="0"/>
        <w:rPr>
          <w:sz w:val="2"/>
          <w:szCs w:val="2"/>
        </w:rPr>
        <w:sectPr>
          <w:type w:val="continuous"/>
          <w:pgSz w:w="11900" w:h="16840"/>
          <w:pgMar w:top="880" w:bottom="0" w:left="0" w:right="0"/>
        </w:sectPr>
      </w:pPr>
    </w:p>
    <w:p>
      <w:pPr>
        <w:pStyle w:val="Heading3"/>
        <w:spacing w:before="73"/>
        <w:ind w:left="1841" w:right="1273"/>
        <w:jc w:val="right"/>
      </w:pPr>
      <w:bookmarkStart w:name="3" w:id="4"/>
      <w:bookmarkEnd w:id="4"/>
      <w:r>
        <w:rPr>
          <w:b w:val="0"/>
        </w:rPr>
      </w:r>
      <w:r>
        <w:rPr>
          <w:color w:val="1F487C"/>
          <w:spacing w:val="-2"/>
        </w:rPr>
        <w:t>УТВЕРЖДАЮ</w:t>
      </w:r>
    </w:p>
    <w:p>
      <w:pPr>
        <w:pStyle w:val="BodyText"/>
        <w:spacing w:before="31"/>
        <w:ind w:left="6458"/>
        <w:jc w:val="left"/>
      </w:pPr>
      <w:r>
        <w:rPr>
          <w:spacing w:val="-2"/>
        </w:rPr>
        <w:t>Заместитель</w:t>
      </w:r>
      <w:r>
        <w:rPr>
          <w:spacing w:val="3"/>
        </w:rPr>
        <w:t> </w:t>
      </w:r>
      <w:r>
        <w:rPr>
          <w:spacing w:val="-2"/>
        </w:rPr>
        <w:t>Министра</w:t>
      </w:r>
      <w:r>
        <w:rPr>
          <w:spacing w:val="1"/>
        </w:rPr>
        <w:t> </w:t>
      </w:r>
      <w:r>
        <w:rPr>
          <w:spacing w:val="-2"/>
        </w:rPr>
        <w:t>здравоохранения</w:t>
      </w:r>
    </w:p>
    <w:p>
      <w:pPr>
        <w:pStyle w:val="BodyText"/>
        <w:spacing w:before="4"/>
        <w:ind w:left="0"/>
        <w:jc w:val="left"/>
        <w:rPr>
          <w:sz w:val="8"/>
        </w:rPr>
      </w:pPr>
      <w:r>
        <w:rPr>
          <w:sz w:val="8"/>
        </w:rPr>
        <mc:AlternateContent>
          <mc:Choice Requires="wps">
            <w:drawing>
              <wp:anchor distT="0" distB="0" distL="0" distR="0" allowOverlap="1" layoutInCell="1" locked="0" behindDoc="1" simplePos="0" relativeHeight="487596032">
                <wp:simplePos x="0" y="0"/>
                <wp:positionH relativeFrom="page">
                  <wp:posOffset>4210043</wp:posOffset>
                </wp:positionH>
                <wp:positionV relativeFrom="paragraph">
                  <wp:posOffset>76630</wp:posOffset>
                </wp:positionV>
                <wp:extent cx="2536825" cy="1632585"/>
                <wp:effectExtent l="0" t="0" r="0" b="0"/>
                <wp:wrapTopAndBottom/>
                <wp:docPr id="42" name="Group 42"/>
                <wp:cNvGraphicFramePr>
                  <a:graphicFrameLocks/>
                </wp:cNvGraphicFramePr>
                <a:graphic>
                  <a:graphicData uri="http://schemas.microsoft.com/office/word/2010/wordprocessingGroup">
                    <wpg:wgp>
                      <wpg:cNvPr id="42" name="Group 42"/>
                      <wpg:cNvGrpSpPr/>
                      <wpg:grpSpPr>
                        <a:xfrm>
                          <a:off x="0" y="0"/>
                          <a:ext cx="2536825" cy="1632585"/>
                          <a:chExt cx="2536825" cy="1632585"/>
                        </a:xfrm>
                      </wpg:grpSpPr>
                      <pic:pic>
                        <pic:nvPicPr>
                          <pic:cNvPr id="43" name="Image 43"/>
                          <pic:cNvPicPr/>
                        </pic:nvPicPr>
                        <pic:blipFill>
                          <a:blip r:embed="rId18" cstate="print"/>
                          <a:stretch>
                            <a:fillRect/>
                          </a:stretch>
                        </pic:blipFill>
                        <pic:spPr>
                          <a:xfrm>
                            <a:off x="0" y="107907"/>
                            <a:ext cx="2440966" cy="1524508"/>
                          </a:xfrm>
                          <a:prstGeom prst="rect">
                            <a:avLst/>
                          </a:prstGeom>
                        </pic:spPr>
                      </pic:pic>
                      <wps:wsp>
                        <wps:cNvPr id="44" name="Textbox 44"/>
                        <wps:cNvSpPr txBox="1"/>
                        <wps:spPr>
                          <a:xfrm>
                            <a:off x="0" y="0"/>
                            <a:ext cx="2536825" cy="1632585"/>
                          </a:xfrm>
                          <a:prstGeom prst="rect">
                            <a:avLst/>
                          </a:prstGeom>
                        </wps:spPr>
                        <wps:txbx>
                          <w:txbxContent>
                            <w:p>
                              <w:pPr>
                                <w:spacing w:line="336" w:lineRule="auto" w:before="0"/>
                                <w:ind w:left="2193" w:right="0" w:hanging="590"/>
                                <w:jc w:val="left"/>
                                <w:rPr>
                                  <w:sz w:val="24"/>
                                </w:rPr>
                              </w:pPr>
                              <w:r>
                                <w:rPr>
                                  <w:sz w:val="24"/>
                                </w:rPr>
                                <w:t>Российской</w:t>
                              </w:r>
                              <w:r>
                                <w:rPr>
                                  <w:spacing w:val="-15"/>
                                  <w:sz w:val="24"/>
                                </w:rPr>
                                <w:t> </w:t>
                              </w:r>
                              <w:r>
                                <w:rPr>
                                  <w:sz w:val="24"/>
                                </w:rPr>
                                <w:t>Федерации А.Н.</w:t>
                              </w:r>
                              <w:r>
                                <w:rPr>
                                  <w:spacing w:val="-9"/>
                                  <w:sz w:val="24"/>
                                </w:rPr>
                                <w:t> </w:t>
                              </w:r>
                              <w:r>
                                <w:rPr>
                                  <w:spacing w:val="-2"/>
                                  <w:sz w:val="24"/>
                                </w:rPr>
                                <w:t>Плутницкий</w:t>
                              </w:r>
                            </w:p>
                          </w:txbxContent>
                        </wps:txbx>
                        <wps:bodyPr wrap="square" lIns="0" tIns="0" rIns="0" bIns="0" rtlCol="0">
                          <a:noAutofit/>
                        </wps:bodyPr>
                      </wps:wsp>
                    </wpg:wgp>
                  </a:graphicData>
                </a:graphic>
              </wp:anchor>
            </w:drawing>
          </mc:Choice>
          <mc:Fallback>
            <w:pict>
              <v:group style="position:absolute;margin-left:331.499451pt;margin-top:6.033865pt;width:199.75pt;height:128.5500pt;mso-position-horizontal-relative:page;mso-position-vertical-relative:paragraph;z-index:-15720448;mso-wrap-distance-left:0;mso-wrap-distance-right:0" id="docshapegroup33" coordorigin="6630,121" coordsize="3995,2571">
                <v:shape style="position:absolute;left:6629;top:290;width:3845;height:2401" type="#_x0000_t75" id="docshape34" stroked="false">
                  <v:imagedata r:id="rId18" o:title=""/>
                </v:shape>
                <v:shape style="position:absolute;left:6629;top:120;width:3995;height:2571" type="#_x0000_t202" id="docshape35" filled="false" stroked="false">
                  <v:textbox inset="0,0,0,0">
                    <w:txbxContent>
                      <w:p>
                        <w:pPr>
                          <w:spacing w:line="336" w:lineRule="auto" w:before="0"/>
                          <w:ind w:left="2193" w:right="0" w:hanging="590"/>
                          <w:jc w:val="left"/>
                          <w:rPr>
                            <w:sz w:val="24"/>
                          </w:rPr>
                        </w:pPr>
                        <w:r>
                          <w:rPr>
                            <w:sz w:val="24"/>
                          </w:rPr>
                          <w:t>Российской</w:t>
                        </w:r>
                        <w:r>
                          <w:rPr>
                            <w:spacing w:val="-15"/>
                            <w:sz w:val="24"/>
                          </w:rPr>
                          <w:t> </w:t>
                        </w:r>
                        <w:r>
                          <w:rPr>
                            <w:sz w:val="24"/>
                          </w:rPr>
                          <w:t>Федерации А.Н.</w:t>
                        </w:r>
                        <w:r>
                          <w:rPr>
                            <w:spacing w:val="-9"/>
                            <w:sz w:val="24"/>
                          </w:rPr>
                          <w:t> </w:t>
                        </w:r>
                        <w:r>
                          <w:rPr>
                            <w:spacing w:val="-2"/>
                            <w:sz w:val="24"/>
                          </w:rPr>
                          <w:t>Плутницкий</w:t>
                        </w:r>
                      </w:p>
                    </w:txbxContent>
                  </v:textbox>
                  <w10:wrap type="none"/>
                </v:shape>
                <w10:wrap type="topAndBottom"/>
              </v:group>
            </w:pict>
          </mc:Fallback>
        </mc:AlternateContent>
      </w:r>
    </w:p>
    <w:p>
      <w:pPr>
        <w:pStyle w:val="BodyText"/>
        <w:ind w:left="0"/>
        <w:jc w:val="left"/>
        <w:rPr>
          <w:sz w:val="48"/>
        </w:rPr>
      </w:pPr>
    </w:p>
    <w:p>
      <w:pPr>
        <w:pStyle w:val="BodyText"/>
        <w:spacing w:before="438"/>
        <w:ind w:left="0"/>
        <w:jc w:val="left"/>
        <w:rPr>
          <w:sz w:val="48"/>
        </w:rPr>
      </w:pPr>
    </w:p>
    <w:p>
      <w:pPr>
        <w:spacing w:line="328" w:lineRule="auto" w:before="0"/>
        <w:ind w:left="3401" w:right="4077" w:firstLine="0"/>
        <w:jc w:val="left"/>
        <w:rPr>
          <w:sz w:val="48"/>
        </w:rPr>
      </w:pPr>
      <w:r>
        <w:rPr>
          <w:spacing w:val="-2"/>
          <w:sz w:val="48"/>
        </w:rPr>
        <w:t>ВРЕМЕННЫЕ МЕТОДИЧЕСКИЕ РЕКОМЕНДАЦИИ</w:t>
      </w:r>
    </w:p>
    <w:p>
      <w:pPr>
        <w:spacing w:before="458"/>
        <w:ind w:left="3401" w:right="0" w:firstLine="0"/>
        <w:jc w:val="left"/>
        <w:rPr>
          <w:sz w:val="36"/>
        </w:rPr>
      </w:pPr>
      <w:r>
        <w:rPr>
          <w:spacing w:val="-2"/>
          <w:sz w:val="36"/>
        </w:rPr>
        <w:t>ПРОФИЛАКТИКА,</w:t>
      </w:r>
      <w:r>
        <w:rPr>
          <w:spacing w:val="-9"/>
          <w:sz w:val="36"/>
        </w:rPr>
        <w:t> </w:t>
      </w:r>
      <w:r>
        <w:rPr>
          <w:spacing w:val="-2"/>
          <w:sz w:val="36"/>
        </w:rPr>
        <w:t>ДИАГНОСТИКА</w:t>
      </w:r>
    </w:p>
    <w:p>
      <w:pPr>
        <w:spacing w:line="331" w:lineRule="auto" w:before="159"/>
        <w:ind w:left="3401" w:right="0" w:firstLine="0"/>
        <w:jc w:val="left"/>
        <w:rPr>
          <w:sz w:val="36"/>
        </w:rPr>
      </w:pPr>
      <w:r>
        <w:rPr>
          <w:sz w:val="36"/>
        </w:rPr>
        <w:t>И</w:t>
      </w:r>
      <w:r>
        <w:rPr>
          <w:spacing w:val="-17"/>
          <w:sz w:val="36"/>
        </w:rPr>
        <w:t> </w:t>
      </w:r>
      <w:r>
        <w:rPr>
          <w:sz w:val="36"/>
        </w:rPr>
        <w:t>ЛЕЧЕНИЕ</w:t>
      </w:r>
      <w:r>
        <w:rPr>
          <w:spacing w:val="-16"/>
          <w:sz w:val="36"/>
        </w:rPr>
        <w:t> </w:t>
      </w:r>
      <w:r>
        <w:rPr>
          <w:sz w:val="36"/>
        </w:rPr>
        <w:t>НОВОЙ</w:t>
      </w:r>
      <w:r>
        <w:rPr>
          <w:spacing w:val="-17"/>
          <w:sz w:val="36"/>
        </w:rPr>
        <w:t> </w:t>
      </w:r>
      <w:r>
        <w:rPr>
          <w:sz w:val="36"/>
        </w:rPr>
        <w:t>КОРОНАВИРУСНОЙ ИНФЕКЦИИ (COVID-19)</w:t>
      </w:r>
    </w:p>
    <w:p>
      <w:pPr>
        <w:spacing w:after="0" w:line="331" w:lineRule="auto"/>
        <w:jc w:val="left"/>
        <w:rPr>
          <w:sz w:val="36"/>
        </w:rPr>
        <w:sectPr>
          <w:footerReference w:type="default" r:id="rId17"/>
          <w:pgSz w:w="11900" w:h="16840"/>
          <w:pgMar w:header="0" w:footer="697" w:top="1080" w:bottom="880" w:left="0" w:right="0"/>
        </w:sectPr>
      </w:pPr>
    </w:p>
    <w:p>
      <w:pPr>
        <w:spacing w:before="75"/>
        <w:ind w:left="844" w:right="0" w:firstLine="0"/>
        <w:jc w:val="center"/>
        <w:rPr>
          <w:b/>
          <w:sz w:val="32"/>
        </w:rPr>
      </w:pPr>
      <w:bookmarkStart w:name="4" w:id="5"/>
      <w:bookmarkEnd w:id="5"/>
      <w:r>
        <w:rPr/>
      </w:r>
      <w:r>
        <w:rPr>
          <w:b/>
          <w:color w:val="2D74B5"/>
          <w:spacing w:val="-2"/>
          <w:sz w:val="32"/>
        </w:rPr>
        <w:t>ОГЛАВЛЕНИЕ</w:t>
      </w:r>
    </w:p>
    <w:p>
      <w:pPr>
        <w:spacing w:after="0"/>
        <w:jc w:val="center"/>
        <w:rPr>
          <w:b/>
          <w:sz w:val="32"/>
        </w:rPr>
        <w:sectPr>
          <w:footerReference w:type="default" r:id="rId19"/>
          <w:pgSz w:w="11900" w:h="16840"/>
          <w:pgMar w:header="0" w:footer="1143" w:top="1080" w:bottom="1455" w:left="0" w:right="0"/>
          <w:pgNumType w:start="3"/>
        </w:sectPr>
      </w:pPr>
    </w:p>
    <w:sdt>
      <w:sdtPr>
        <w:docPartObj>
          <w:docPartGallery w:val="Table of Contents"/>
          <w:docPartUnique/>
        </w:docPartObj>
      </w:sdtPr>
      <w:sdtEndPr/>
      <w:sdtContent>
        <w:p>
          <w:pPr>
            <w:pStyle w:val="TOC1"/>
            <w:tabs>
              <w:tab w:pos="9228" w:val="left" w:leader="dot"/>
            </w:tabs>
          </w:pPr>
          <w:hyperlink w:history="true" w:anchor="_TOC_250045">
            <w:r>
              <w:rPr>
                <w:spacing w:val="-2"/>
              </w:rPr>
              <w:t>ВВЕДЕНИЕ</w:t>
            </w:r>
            <w:r>
              <w:rPr/>
              <w:tab/>
            </w:r>
            <w:r>
              <w:rPr>
                <w:spacing w:val="-10"/>
              </w:rPr>
              <w:t>5</w:t>
            </w:r>
          </w:hyperlink>
        </w:p>
        <w:p>
          <w:pPr>
            <w:pStyle w:val="TOC2"/>
            <w:numPr>
              <w:ilvl w:val="0"/>
              <w:numId w:val="1"/>
            </w:numPr>
            <w:tabs>
              <w:tab w:pos="2406" w:val="left" w:leader="none"/>
              <w:tab w:pos="10494" w:val="left" w:leader="dot"/>
            </w:tabs>
            <w:spacing w:line="240" w:lineRule="auto" w:before="98" w:after="0"/>
            <w:ind w:left="2406" w:right="0" w:hanging="282"/>
            <w:jc w:val="left"/>
          </w:pPr>
          <w:hyperlink w:history="true" w:anchor="_TOC_250044">
            <w:r>
              <w:rPr/>
              <w:t>ЭТИОЛОГИЯ,</w:t>
            </w:r>
            <w:r>
              <w:rPr>
                <w:spacing w:val="-14"/>
              </w:rPr>
              <w:t> </w:t>
            </w:r>
            <w:r>
              <w:rPr/>
              <w:t>ПАТОГЕНЕЗ</w:t>
            </w:r>
            <w:r>
              <w:rPr>
                <w:spacing w:val="-14"/>
              </w:rPr>
              <w:t> </w:t>
            </w:r>
            <w:r>
              <w:rPr/>
              <w:t>И</w:t>
            </w:r>
            <w:r>
              <w:rPr>
                <w:spacing w:val="-14"/>
              </w:rPr>
              <w:t> </w:t>
            </w:r>
            <w:r>
              <w:rPr>
                <w:spacing w:val="-2"/>
              </w:rPr>
              <w:t>ПАТОМОРФОЛОГИЯ</w:t>
            </w:r>
            <w:r>
              <w:rPr/>
              <w:tab/>
            </w:r>
            <w:r>
              <w:rPr>
                <w:spacing w:val="-10"/>
              </w:rPr>
              <w:t>5</w:t>
            </w:r>
          </w:hyperlink>
        </w:p>
        <w:p>
          <w:pPr>
            <w:pStyle w:val="TOC2"/>
            <w:numPr>
              <w:ilvl w:val="0"/>
              <w:numId w:val="1"/>
            </w:numPr>
            <w:tabs>
              <w:tab w:pos="2362" w:val="left" w:leader="none"/>
              <w:tab w:pos="10374" w:val="left" w:leader="dot"/>
            </w:tabs>
            <w:spacing w:line="240" w:lineRule="auto" w:before="103" w:after="0"/>
            <w:ind w:left="2362" w:right="0" w:hanging="238"/>
            <w:jc w:val="left"/>
          </w:pPr>
          <w:hyperlink w:history="true" w:anchor="_TOC_250043">
            <w:r>
              <w:rPr>
                <w:spacing w:val="-2"/>
              </w:rPr>
              <w:t>ЭПИДЕМИОЛОГИЧЕСКАЯ</w:t>
            </w:r>
            <w:r>
              <w:rPr/>
              <w:t> </w:t>
            </w:r>
            <w:r>
              <w:rPr>
                <w:spacing w:val="-2"/>
              </w:rPr>
              <w:t>ХАРАКТЕРИСТИКА</w:t>
            </w:r>
            <w:r>
              <w:rPr/>
              <w:tab/>
            </w:r>
            <w:r>
              <w:rPr>
                <w:spacing w:val="-5"/>
              </w:rPr>
              <w:t>12</w:t>
            </w:r>
          </w:hyperlink>
        </w:p>
        <w:p>
          <w:pPr>
            <w:pStyle w:val="TOC2"/>
            <w:numPr>
              <w:ilvl w:val="0"/>
              <w:numId w:val="1"/>
            </w:numPr>
            <w:tabs>
              <w:tab w:pos="2362" w:val="left" w:leader="none"/>
              <w:tab w:pos="10374" w:val="left" w:leader="dot"/>
            </w:tabs>
            <w:spacing w:line="240" w:lineRule="auto" w:before="101" w:after="0"/>
            <w:ind w:left="2362" w:right="0" w:hanging="238"/>
            <w:jc w:val="left"/>
          </w:pPr>
          <w:hyperlink w:history="true" w:anchor="_TOC_250042">
            <w:r>
              <w:rPr>
                <w:spacing w:val="-2"/>
              </w:rPr>
              <w:t>КЛИНИЧЕСКИЕ</w:t>
            </w:r>
            <w:r>
              <w:rPr>
                <w:spacing w:val="-1"/>
              </w:rPr>
              <w:t> </w:t>
            </w:r>
            <w:r>
              <w:rPr>
                <w:spacing w:val="-2"/>
              </w:rPr>
              <w:t>ОСОБЕННОСТИ</w:t>
            </w:r>
            <w:r>
              <w:rPr/>
              <w:tab/>
            </w:r>
            <w:r>
              <w:rPr>
                <w:spacing w:val="-5"/>
              </w:rPr>
              <w:t>14</w:t>
            </w:r>
          </w:hyperlink>
        </w:p>
        <w:p>
          <w:pPr>
            <w:pStyle w:val="TOC2"/>
            <w:numPr>
              <w:ilvl w:val="0"/>
              <w:numId w:val="1"/>
            </w:numPr>
            <w:tabs>
              <w:tab w:pos="2362" w:val="left" w:leader="none"/>
              <w:tab w:pos="10374" w:val="left" w:leader="dot"/>
            </w:tabs>
            <w:spacing w:line="240" w:lineRule="auto" w:before="103" w:after="0"/>
            <w:ind w:left="2362" w:right="0" w:hanging="238"/>
            <w:jc w:val="left"/>
          </w:pPr>
          <w:hyperlink w:history="true" w:anchor="_TOC_250041">
            <w:r>
              <w:rPr>
                <w:spacing w:val="-2"/>
              </w:rPr>
              <w:t>ДИАГНОСТИКА</w:t>
            </w:r>
            <w:r>
              <w:rPr>
                <w:spacing w:val="-3"/>
              </w:rPr>
              <w:t> </w:t>
            </w:r>
            <w:r>
              <w:rPr>
                <w:spacing w:val="-2"/>
              </w:rPr>
              <w:t>КОРОНАВИРУСНОЙ</w:t>
            </w:r>
            <w:r>
              <w:rPr>
                <w:spacing w:val="-3"/>
              </w:rPr>
              <w:t> </w:t>
            </w:r>
            <w:r>
              <w:rPr>
                <w:spacing w:val="-2"/>
              </w:rPr>
              <w:t>ИНФЕКЦИИ</w:t>
            </w:r>
            <w:r>
              <w:rPr/>
              <w:tab/>
            </w:r>
            <w:r>
              <w:rPr>
                <w:spacing w:val="-5"/>
              </w:rPr>
              <w:t>18</w:t>
            </w:r>
          </w:hyperlink>
        </w:p>
        <w:p>
          <w:pPr>
            <w:pStyle w:val="TOC3"/>
            <w:numPr>
              <w:ilvl w:val="1"/>
              <w:numId w:val="1"/>
            </w:numPr>
            <w:tabs>
              <w:tab w:pos="2810" w:val="left" w:leader="none"/>
              <w:tab w:pos="3218" w:val="left" w:leader="none"/>
              <w:tab w:pos="10374" w:val="left" w:leader="dot"/>
            </w:tabs>
            <w:spacing w:line="259" w:lineRule="auto" w:before="103" w:after="0"/>
            <w:ind w:left="2810" w:right="1283" w:hanging="10"/>
            <w:jc w:val="left"/>
          </w:pPr>
          <w:hyperlink w:history="true" w:anchor="_TOC_250040">
            <w:r>
              <w:rPr/>
              <w:t>АЛГОРИТМ ОБСЛЕДОВАНИЯ ПАЦИЕНТА С ПОДОЗРЕНИЕМ НА </w:t>
            </w:r>
            <w:r>
              <w:rPr>
                <w:spacing w:val="-2"/>
              </w:rPr>
              <w:t>COVID-19</w:t>
            </w:r>
            <w:r>
              <w:rPr/>
              <w:tab/>
            </w:r>
            <w:r>
              <w:rPr>
                <w:spacing w:val="-6"/>
              </w:rPr>
              <w:t>18</w:t>
            </w:r>
          </w:hyperlink>
        </w:p>
        <w:p>
          <w:pPr>
            <w:pStyle w:val="TOC3"/>
            <w:numPr>
              <w:ilvl w:val="1"/>
              <w:numId w:val="1"/>
            </w:numPr>
            <w:tabs>
              <w:tab w:pos="3218" w:val="left" w:leader="none"/>
              <w:tab w:pos="10374" w:val="left" w:leader="dot"/>
            </w:tabs>
            <w:spacing w:line="240" w:lineRule="auto" w:before="108" w:after="0"/>
            <w:ind w:left="3218" w:right="0" w:hanging="418"/>
            <w:jc w:val="left"/>
          </w:pPr>
          <w:hyperlink w:history="true" w:anchor="_TOC_250039">
            <w:r>
              <w:rPr>
                <w:spacing w:val="-2"/>
              </w:rPr>
              <w:t>ЛАБОРАТОРНАЯ ДИАГНОСТИКА</w:t>
            </w:r>
            <w:r>
              <w:rPr>
                <w:spacing w:val="-5"/>
              </w:rPr>
              <w:t> </w:t>
            </w:r>
            <w:r>
              <w:rPr>
                <w:spacing w:val="-2"/>
              </w:rPr>
              <w:t>COVID-</w:t>
            </w:r>
            <w:r>
              <w:rPr>
                <w:spacing w:val="-5"/>
              </w:rPr>
              <w:t>19</w:t>
            </w:r>
            <w:r>
              <w:rPr/>
              <w:tab/>
            </w:r>
            <w:r>
              <w:rPr>
                <w:spacing w:val="-5"/>
              </w:rPr>
              <w:t>19</w:t>
            </w:r>
          </w:hyperlink>
        </w:p>
        <w:p>
          <w:pPr>
            <w:pStyle w:val="TOC3"/>
            <w:numPr>
              <w:ilvl w:val="1"/>
              <w:numId w:val="1"/>
            </w:numPr>
            <w:tabs>
              <w:tab w:pos="3218" w:val="left" w:leader="none"/>
              <w:tab w:pos="10374" w:val="left" w:leader="dot"/>
            </w:tabs>
            <w:spacing w:line="240" w:lineRule="auto" w:before="133" w:after="0"/>
            <w:ind w:left="3218" w:right="0" w:hanging="418"/>
            <w:jc w:val="left"/>
          </w:pPr>
          <w:hyperlink w:history="true" w:anchor="_TOC_250038">
            <w:r>
              <w:rPr>
                <w:spacing w:val="-2"/>
              </w:rPr>
              <w:t>ЛУЧЕВАЯ ДИАГНОСТИКА COVID-</w:t>
            </w:r>
            <w:r>
              <w:rPr>
                <w:spacing w:val="-5"/>
              </w:rPr>
              <w:t>19</w:t>
            </w:r>
            <w:r>
              <w:rPr/>
              <w:tab/>
            </w:r>
            <w:r>
              <w:rPr>
                <w:spacing w:val="-5"/>
              </w:rPr>
              <w:t>25</w:t>
            </w:r>
          </w:hyperlink>
        </w:p>
        <w:p>
          <w:pPr>
            <w:pStyle w:val="TOC3"/>
            <w:numPr>
              <w:ilvl w:val="1"/>
              <w:numId w:val="1"/>
            </w:numPr>
            <w:tabs>
              <w:tab w:pos="3218" w:val="left" w:leader="none"/>
              <w:tab w:pos="10374" w:val="left" w:leader="dot"/>
            </w:tabs>
            <w:spacing w:line="240" w:lineRule="auto" w:before="131" w:after="0"/>
            <w:ind w:left="3218" w:right="0" w:hanging="418"/>
            <w:jc w:val="left"/>
          </w:pPr>
          <w:hyperlink w:history="true" w:anchor="_TOC_250037">
            <w:r>
              <w:rPr>
                <w:spacing w:val="-2"/>
              </w:rPr>
              <w:t>ДИФФЕРЕНЦИАЛЬНАЯ</w:t>
            </w:r>
            <w:r>
              <w:rPr>
                <w:spacing w:val="-6"/>
              </w:rPr>
              <w:t> </w:t>
            </w:r>
            <w:r>
              <w:rPr>
                <w:spacing w:val="-2"/>
              </w:rPr>
              <w:t>ДИАГНОСТИКА</w:t>
            </w:r>
            <w:r>
              <w:rPr>
                <w:spacing w:val="-6"/>
              </w:rPr>
              <w:t> </w:t>
            </w:r>
            <w:r>
              <w:rPr>
                <w:spacing w:val="-2"/>
              </w:rPr>
              <w:t>COVID-</w:t>
            </w:r>
            <w:r>
              <w:rPr>
                <w:spacing w:val="-5"/>
              </w:rPr>
              <w:t>19</w:t>
            </w:r>
            <w:r>
              <w:rPr/>
              <w:tab/>
            </w:r>
            <w:r>
              <w:rPr>
                <w:spacing w:val="-5"/>
              </w:rPr>
              <w:t>33</w:t>
            </w:r>
          </w:hyperlink>
        </w:p>
        <w:p>
          <w:pPr>
            <w:pStyle w:val="TOC2"/>
            <w:numPr>
              <w:ilvl w:val="0"/>
              <w:numId w:val="1"/>
            </w:numPr>
            <w:tabs>
              <w:tab w:pos="2362" w:val="left" w:leader="none"/>
              <w:tab w:pos="10374" w:val="left" w:leader="dot"/>
            </w:tabs>
            <w:spacing w:line="240" w:lineRule="auto" w:before="132" w:after="0"/>
            <w:ind w:left="2362" w:right="0" w:hanging="238"/>
            <w:jc w:val="left"/>
          </w:pPr>
          <w:hyperlink w:history="true" w:anchor="_TOC_250036">
            <w:r>
              <w:rPr>
                <w:spacing w:val="-2"/>
              </w:rPr>
              <w:t>ЛЕЧЕНИЕ</w:t>
            </w:r>
            <w:r>
              <w:rPr>
                <w:spacing w:val="-3"/>
              </w:rPr>
              <w:t> </w:t>
            </w:r>
            <w:r>
              <w:rPr>
                <w:spacing w:val="-2"/>
              </w:rPr>
              <w:t>КОРОНАВИРУСНОЙ</w:t>
            </w:r>
            <w:r>
              <w:rPr>
                <w:spacing w:val="-3"/>
              </w:rPr>
              <w:t> </w:t>
            </w:r>
            <w:r>
              <w:rPr>
                <w:spacing w:val="-2"/>
              </w:rPr>
              <w:t>ИНФЕКЦИИ</w:t>
            </w:r>
            <w:r>
              <w:rPr/>
              <w:tab/>
            </w:r>
            <w:r>
              <w:rPr>
                <w:spacing w:val="-5"/>
              </w:rPr>
              <w:t>34</w:t>
            </w:r>
          </w:hyperlink>
        </w:p>
        <w:p>
          <w:pPr>
            <w:pStyle w:val="TOC3"/>
            <w:numPr>
              <w:ilvl w:val="1"/>
              <w:numId w:val="1"/>
            </w:numPr>
            <w:tabs>
              <w:tab w:pos="3218" w:val="left" w:leader="none"/>
              <w:tab w:pos="10374" w:val="left" w:leader="dot"/>
            </w:tabs>
            <w:spacing w:line="240" w:lineRule="auto" w:before="103" w:after="0"/>
            <w:ind w:left="3218" w:right="0" w:hanging="418"/>
            <w:jc w:val="left"/>
          </w:pPr>
          <w:hyperlink w:history="true" w:anchor="_TOC_250035">
            <w:r>
              <w:rPr>
                <w:spacing w:val="-2"/>
              </w:rPr>
              <w:t>ЭТИОТРОПНОЕ</w:t>
            </w:r>
            <w:r>
              <w:rPr>
                <w:spacing w:val="-5"/>
              </w:rPr>
              <w:t> </w:t>
            </w:r>
            <w:r>
              <w:rPr>
                <w:spacing w:val="-2"/>
              </w:rPr>
              <w:t>ЛЕЧЕНИЕ</w:t>
            </w:r>
            <w:r>
              <w:rPr/>
              <w:tab/>
            </w:r>
            <w:r>
              <w:rPr>
                <w:spacing w:val="-5"/>
              </w:rPr>
              <w:t>34</w:t>
            </w:r>
          </w:hyperlink>
        </w:p>
        <w:p>
          <w:pPr>
            <w:pStyle w:val="TOC3"/>
            <w:numPr>
              <w:ilvl w:val="1"/>
              <w:numId w:val="1"/>
            </w:numPr>
            <w:tabs>
              <w:tab w:pos="3218" w:val="left" w:leader="none"/>
              <w:tab w:pos="10374" w:val="left" w:leader="dot"/>
            </w:tabs>
            <w:spacing w:line="240" w:lineRule="auto" w:before="131" w:after="0"/>
            <w:ind w:left="3218" w:right="0" w:hanging="418"/>
            <w:jc w:val="left"/>
          </w:pPr>
          <w:hyperlink w:history="true" w:anchor="_TOC_250034">
            <w:r>
              <w:rPr>
                <w:spacing w:val="-2"/>
              </w:rPr>
              <w:t>ПАТОГЕНЕТИЧЕСКОЕ</w:t>
            </w:r>
            <w:r>
              <w:rPr>
                <w:spacing w:val="1"/>
              </w:rPr>
              <w:t> </w:t>
            </w:r>
            <w:r>
              <w:rPr>
                <w:spacing w:val="-2"/>
              </w:rPr>
              <w:t>ЛЕЧЕНИЕ</w:t>
            </w:r>
            <w:r>
              <w:rPr/>
              <w:tab/>
            </w:r>
            <w:r>
              <w:rPr>
                <w:spacing w:val="-5"/>
              </w:rPr>
              <w:t>44</w:t>
            </w:r>
          </w:hyperlink>
        </w:p>
        <w:p>
          <w:pPr>
            <w:pStyle w:val="TOC3"/>
            <w:numPr>
              <w:ilvl w:val="1"/>
              <w:numId w:val="1"/>
            </w:numPr>
            <w:tabs>
              <w:tab w:pos="3252" w:val="left" w:leader="none"/>
              <w:tab w:pos="10384" w:val="left" w:leader="dot"/>
            </w:tabs>
            <w:spacing w:line="240" w:lineRule="auto" w:before="132" w:after="0"/>
            <w:ind w:left="3252" w:right="0" w:hanging="418"/>
            <w:jc w:val="left"/>
          </w:pPr>
          <w:hyperlink w:history="true" w:anchor="_TOC_250033">
            <w:r>
              <w:rPr>
                <w:spacing w:val="-2"/>
              </w:rPr>
              <w:t>СИМПТОМАТИЧЕСКОЕ</w:t>
            </w:r>
            <w:r>
              <w:rPr>
                <w:spacing w:val="-3"/>
              </w:rPr>
              <w:t> </w:t>
            </w:r>
            <w:r>
              <w:rPr>
                <w:spacing w:val="-2"/>
              </w:rPr>
              <w:t>ЛЕЧЕНИЕ</w:t>
            </w:r>
            <w:r>
              <w:rPr/>
              <w:tab/>
            </w:r>
            <w:r>
              <w:rPr>
                <w:spacing w:val="-5"/>
              </w:rPr>
              <w:t>58</w:t>
            </w:r>
          </w:hyperlink>
        </w:p>
        <w:p>
          <w:pPr>
            <w:pStyle w:val="TOC3"/>
            <w:numPr>
              <w:ilvl w:val="1"/>
              <w:numId w:val="1"/>
            </w:numPr>
            <w:tabs>
              <w:tab w:pos="3218" w:val="left" w:leader="none"/>
            </w:tabs>
            <w:spacing w:line="240" w:lineRule="auto" w:before="96" w:after="0"/>
            <w:ind w:left="3218" w:right="0" w:hanging="418"/>
            <w:jc w:val="left"/>
          </w:pPr>
          <w:r>
            <w:rPr>
              <w:spacing w:val="-2"/>
            </w:rPr>
            <w:t>АНТИБАКТЕРИАЛЬНАЯ</w:t>
          </w:r>
          <w:r>
            <w:rPr>
              <w:spacing w:val="-4"/>
            </w:rPr>
            <w:t> </w:t>
          </w:r>
          <w:r>
            <w:rPr>
              <w:spacing w:val="-2"/>
            </w:rPr>
            <w:t>И</w:t>
          </w:r>
          <w:r>
            <w:rPr>
              <w:spacing w:val="-4"/>
            </w:rPr>
            <w:t> </w:t>
          </w:r>
          <w:r>
            <w:rPr>
              <w:spacing w:val="-2"/>
            </w:rPr>
            <w:t>АНТИМИКОТИЧЕСКАЯ</w:t>
          </w:r>
          <w:r>
            <w:rPr>
              <w:spacing w:val="-3"/>
            </w:rPr>
            <w:t> </w:t>
          </w:r>
          <w:r>
            <w:rPr>
              <w:spacing w:val="-2"/>
            </w:rPr>
            <w:t>ТЕРАПИЯ</w:t>
          </w:r>
        </w:p>
        <w:p>
          <w:pPr>
            <w:pStyle w:val="TOC3"/>
            <w:tabs>
              <w:tab w:pos="10374" w:val="left" w:leader="dot"/>
            </w:tabs>
            <w:spacing w:before="21"/>
            <w:ind w:firstLine="0"/>
          </w:pPr>
          <w:r>
            <w:rPr>
              <w:spacing w:val="-2"/>
            </w:rPr>
            <w:t>ПРИ</w:t>
          </w:r>
          <w:r>
            <w:rPr>
              <w:spacing w:val="-3"/>
            </w:rPr>
            <w:t> </w:t>
          </w:r>
          <w:r>
            <w:rPr>
              <w:spacing w:val="-2"/>
            </w:rPr>
            <w:t>ОСЛОЖНЕННЫХ</w:t>
          </w:r>
          <w:r>
            <w:rPr>
              <w:spacing w:val="-4"/>
            </w:rPr>
            <w:t> </w:t>
          </w:r>
          <w:r>
            <w:rPr>
              <w:spacing w:val="-2"/>
            </w:rPr>
            <w:t>ФОРМАХ</w:t>
          </w:r>
          <w:r>
            <w:rPr>
              <w:spacing w:val="-3"/>
            </w:rPr>
            <w:t> </w:t>
          </w:r>
          <w:r>
            <w:rPr>
              <w:spacing w:val="-2"/>
            </w:rPr>
            <w:t>ИНФЕКЦИИ</w:t>
          </w:r>
          <w:r>
            <w:rPr/>
            <w:tab/>
          </w:r>
          <w:r>
            <w:rPr>
              <w:spacing w:val="-5"/>
            </w:rPr>
            <w:t>60</w:t>
          </w:r>
        </w:p>
        <w:p>
          <w:pPr>
            <w:pStyle w:val="TOC3"/>
            <w:numPr>
              <w:ilvl w:val="1"/>
              <w:numId w:val="1"/>
            </w:numPr>
            <w:tabs>
              <w:tab w:pos="3218" w:val="left" w:leader="none"/>
              <w:tab w:pos="10374" w:val="left" w:leader="dot"/>
            </w:tabs>
            <w:spacing w:line="240" w:lineRule="auto" w:before="132" w:after="0"/>
            <w:ind w:left="3218" w:right="0" w:hanging="418"/>
            <w:jc w:val="left"/>
          </w:pPr>
          <w:hyperlink w:history="true" w:anchor="_TOC_250032">
            <w:r>
              <w:rPr>
                <w:spacing w:val="-2"/>
              </w:rPr>
              <w:t>АКУШЕРСКАЯ ТАКТИКА ПРИ COVID-</w:t>
            </w:r>
            <w:r>
              <w:rPr>
                <w:spacing w:val="-5"/>
              </w:rPr>
              <w:t>19</w:t>
            </w:r>
            <w:r>
              <w:rPr/>
              <w:tab/>
            </w:r>
            <w:r>
              <w:rPr>
                <w:spacing w:val="-5"/>
              </w:rPr>
              <w:t>66</w:t>
            </w:r>
          </w:hyperlink>
        </w:p>
        <w:p>
          <w:pPr>
            <w:pStyle w:val="TOC3"/>
            <w:numPr>
              <w:ilvl w:val="1"/>
              <w:numId w:val="1"/>
            </w:numPr>
            <w:tabs>
              <w:tab w:pos="2810" w:val="left" w:leader="none"/>
              <w:tab w:pos="3218" w:val="left" w:leader="none"/>
              <w:tab w:pos="10374" w:val="left" w:leader="dot"/>
            </w:tabs>
            <w:spacing w:line="259" w:lineRule="auto" w:before="132" w:after="0"/>
            <w:ind w:left="2810" w:right="1283" w:hanging="10"/>
            <w:jc w:val="left"/>
          </w:pPr>
          <w:hyperlink w:history="true" w:anchor="_TOC_250031">
            <w:r>
              <w:rPr/>
              <w:t>ОСНОВНЫЕ</w:t>
            </w:r>
            <w:r>
              <w:rPr>
                <w:spacing w:val="40"/>
              </w:rPr>
              <w:t> </w:t>
            </w:r>
            <w:r>
              <w:rPr/>
              <w:t>ПРИНЦИПЫ</w:t>
            </w:r>
            <w:r>
              <w:rPr>
                <w:spacing w:val="40"/>
              </w:rPr>
              <w:t> </w:t>
            </w:r>
            <w:r>
              <w:rPr/>
              <w:t>ТЕРАПИИ</w:t>
            </w:r>
            <w:r>
              <w:rPr>
                <w:spacing w:val="40"/>
              </w:rPr>
              <w:t> </w:t>
            </w:r>
            <w:r>
              <w:rPr/>
              <w:t>НЕОТЛОЖНЫХ</w:t>
            </w:r>
            <w:r>
              <w:rPr/>
              <w:t> </w:t>
            </w:r>
            <w:r>
              <w:rPr>
                <w:spacing w:val="-2"/>
              </w:rPr>
              <w:t>СОСТОЯНИЙ</w:t>
            </w:r>
            <w:r>
              <w:rPr/>
              <w:tab/>
            </w:r>
            <w:r>
              <w:rPr>
                <w:spacing w:val="-5"/>
              </w:rPr>
              <w:t>67</w:t>
            </w:r>
          </w:hyperlink>
        </w:p>
        <w:p>
          <w:pPr>
            <w:pStyle w:val="TOC3"/>
            <w:numPr>
              <w:ilvl w:val="1"/>
              <w:numId w:val="1"/>
            </w:numPr>
            <w:tabs>
              <w:tab w:pos="3218" w:val="left" w:leader="none"/>
              <w:tab w:pos="10374" w:val="left" w:leader="dot"/>
            </w:tabs>
            <w:spacing w:line="240" w:lineRule="auto" w:before="109" w:after="0"/>
            <w:ind w:left="3218" w:right="0" w:hanging="418"/>
            <w:jc w:val="left"/>
          </w:pPr>
          <w:hyperlink w:history="true" w:anchor="_TOC_250030">
            <w:r>
              <w:rPr/>
              <w:t>ОСОБЫЕ</w:t>
            </w:r>
            <w:r>
              <w:rPr>
                <w:spacing w:val="-14"/>
              </w:rPr>
              <w:t> </w:t>
            </w:r>
            <w:r>
              <w:rPr/>
              <w:t>ГРУППЫ</w:t>
            </w:r>
            <w:r>
              <w:rPr>
                <w:spacing w:val="-14"/>
              </w:rPr>
              <w:t> </w:t>
            </w:r>
            <w:r>
              <w:rPr>
                <w:spacing w:val="-2"/>
              </w:rPr>
              <w:t>ПАЦИЕНТОВ</w:t>
            </w:r>
            <w:r>
              <w:rPr/>
              <w:tab/>
            </w:r>
            <w:r>
              <w:rPr>
                <w:spacing w:val="-5"/>
              </w:rPr>
              <w:t>87</w:t>
            </w:r>
          </w:hyperlink>
        </w:p>
        <w:p>
          <w:pPr>
            <w:pStyle w:val="TOC3"/>
            <w:numPr>
              <w:ilvl w:val="1"/>
              <w:numId w:val="1"/>
            </w:numPr>
            <w:tabs>
              <w:tab w:pos="2810" w:val="left" w:leader="none"/>
              <w:tab w:pos="3218" w:val="left" w:leader="none"/>
              <w:tab w:pos="10255" w:val="left" w:leader="dot"/>
            </w:tabs>
            <w:spacing w:line="259" w:lineRule="auto" w:before="131" w:after="0"/>
            <w:ind w:left="2810" w:right="1283" w:hanging="10"/>
            <w:jc w:val="left"/>
          </w:pPr>
          <w:hyperlink w:history="true" w:anchor="_TOC_250029">
            <w:r>
              <w:rPr/>
              <w:t>МОНИТОРИНГ КЛИНИЧЕСКИХ И ЛАБОРАТОРНЫХ </w:t>
            </w:r>
            <w:r>
              <w:rPr>
                <w:spacing w:val="-2"/>
              </w:rPr>
              <w:t>ПОКАЗАТЕЛЕЙ</w:t>
            </w:r>
            <w:r>
              <w:rPr/>
              <w:tab/>
            </w:r>
            <w:r>
              <w:rPr>
                <w:spacing w:val="-4"/>
              </w:rPr>
              <w:t>106</w:t>
            </w:r>
          </w:hyperlink>
        </w:p>
        <w:p>
          <w:pPr>
            <w:pStyle w:val="TOC3"/>
            <w:tabs>
              <w:tab w:pos="10255" w:val="left" w:leader="dot"/>
            </w:tabs>
            <w:spacing w:line="259" w:lineRule="auto"/>
            <w:ind w:right="1283" w:hanging="10"/>
          </w:pPr>
          <w:hyperlink w:history="true" w:anchor="_TOC_250028">
            <w:r>
              <w:rPr/>
              <w:t>5.9 МЕДИЦИНСКАЯ РЕАБИЛИТАЦИЯ ПРИ ОКАЗАНИИ СПЕЦИАЛИЗИРОВАННОЙ МЕДИЦИНСКОЙ ПОМОЩИ ПАЦИЕНТАМ С COVID-19</w:t>
            </w:r>
            <w:r>
              <w:rPr/>
              <w:tab/>
            </w:r>
            <w:r>
              <w:rPr>
                <w:spacing w:val="-4"/>
              </w:rPr>
              <w:t>10</w:t>
            </w:r>
            <w:r>
              <w:rPr>
                <w:spacing w:val="-4"/>
              </w:rPr>
              <w:t>7</w:t>
            </w:r>
          </w:hyperlink>
        </w:p>
        <w:p>
          <w:pPr>
            <w:pStyle w:val="TOC3"/>
            <w:numPr>
              <w:ilvl w:val="1"/>
              <w:numId w:val="2"/>
            </w:numPr>
            <w:tabs>
              <w:tab w:pos="3339" w:val="left" w:leader="none"/>
            </w:tabs>
            <w:spacing w:line="240" w:lineRule="auto" w:before="108" w:after="0"/>
            <w:ind w:left="3339" w:right="0" w:hanging="539"/>
            <w:jc w:val="left"/>
          </w:pPr>
          <w:r>
            <w:rPr>
              <w:spacing w:val="-2"/>
            </w:rPr>
            <w:t>ПОРЯДОК ВЫПИСКИ (ПЕРЕВОДА) ПАЦИЕНТОВ</w:t>
          </w:r>
        </w:p>
        <w:p>
          <w:pPr>
            <w:pStyle w:val="TOC3"/>
            <w:tabs>
              <w:tab w:pos="10255" w:val="left" w:leader="dot"/>
            </w:tabs>
            <w:spacing w:before="21"/>
            <w:ind w:firstLine="0"/>
          </w:pPr>
          <w:r>
            <w:rPr/>
            <w:t>ИЗ</w:t>
          </w:r>
          <w:r>
            <w:rPr>
              <w:spacing w:val="-15"/>
            </w:rPr>
            <w:t> </w:t>
          </w:r>
          <w:r>
            <w:rPr/>
            <w:t>МЕДИЦИНСКОЙ</w:t>
          </w:r>
          <w:r>
            <w:rPr>
              <w:spacing w:val="-15"/>
            </w:rPr>
            <w:t> </w:t>
          </w:r>
          <w:r>
            <w:rPr>
              <w:spacing w:val="-2"/>
            </w:rPr>
            <w:t>ОРГАНИЗАЦИИ</w:t>
          </w:r>
          <w:r>
            <w:rPr/>
            <w:tab/>
          </w:r>
          <w:r>
            <w:rPr>
              <w:spacing w:val="-5"/>
            </w:rPr>
            <w:t>108</w:t>
          </w:r>
        </w:p>
        <w:p>
          <w:pPr>
            <w:pStyle w:val="TOC3"/>
            <w:numPr>
              <w:ilvl w:val="1"/>
              <w:numId w:val="2"/>
            </w:numPr>
            <w:tabs>
              <w:tab w:pos="3339" w:val="left" w:leader="none"/>
            </w:tabs>
            <w:spacing w:line="240" w:lineRule="auto" w:before="133" w:after="0"/>
            <w:ind w:left="3339" w:right="0" w:hanging="539"/>
            <w:jc w:val="left"/>
          </w:pPr>
          <w:r>
            <w:rPr>
              <w:spacing w:val="-2"/>
            </w:rPr>
            <w:t>ОСОБЕННОСТИ</w:t>
          </w:r>
          <w:r>
            <w:rPr>
              <w:spacing w:val="-5"/>
            </w:rPr>
            <w:t> </w:t>
          </w:r>
          <w:r>
            <w:rPr>
              <w:spacing w:val="-2"/>
            </w:rPr>
            <w:t>ДИСПАНСЕРНОГО</w:t>
          </w:r>
          <w:r>
            <w:rPr>
              <w:spacing w:val="-7"/>
            </w:rPr>
            <w:t> </w:t>
          </w:r>
          <w:r>
            <w:rPr>
              <w:spacing w:val="-2"/>
            </w:rPr>
            <w:t>НАБЛЮДЕНИЯ</w:t>
          </w:r>
        </w:p>
        <w:p>
          <w:pPr>
            <w:pStyle w:val="TOC3"/>
            <w:tabs>
              <w:tab w:pos="10255" w:val="left" w:leader="dot"/>
            </w:tabs>
            <w:spacing w:line="259" w:lineRule="auto" w:before="21"/>
            <w:ind w:right="1283" w:firstLine="0"/>
          </w:pPr>
          <w:r>
            <w:rPr/>
            <w:t>И УГЛУБЛЕННОЙ ДИСПАНСЕРИЗАЦИИ ГРАЖДАН, ПЕРЕНЕСШИХ НОВУЮ</w:t>
          </w:r>
          <w:r>
            <w:rPr>
              <w:spacing w:val="-15"/>
            </w:rPr>
            <w:t> </w:t>
          </w:r>
          <w:r>
            <w:rPr/>
            <w:t>КОРОНАВИРУСНУЮ</w:t>
          </w:r>
          <w:r>
            <w:rPr>
              <w:spacing w:val="19"/>
            </w:rPr>
            <w:t> </w:t>
          </w:r>
          <w:r>
            <w:rPr/>
            <w:t>ИНФЕКЦИЮ</w:t>
          </w:r>
          <w:r>
            <w:rPr>
              <w:spacing w:val="-15"/>
            </w:rPr>
            <w:t> </w:t>
          </w:r>
          <w:r>
            <w:rPr/>
            <w:t>COVID-</w:t>
          </w:r>
          <w:r>
            <w:rPr>
              <w:spacing w:val="-5"/>
            </w:rPr>
            <w:t>19</w:t>
          </w:r>
          <w:r>
            <w:rPr/>
            <w:tab/>
          </w:r>
          <w:r>
            <w:rPr>
              <w:spacing w:val="-5"/>
            </w:rPr>
            <w:t>110</w:t>
          </w:r>
        </w:p>
        <w:p>
          <w:pPr>
            <w:pStyle w:val="TOC2"/>
            <w:numPr>
              <w:ilvl w:val="0"/>
              <w:numId w:val="1"/>
            </w:numPr>
            <w:tabs>
              <w:tab w:pos="2362" w:val="left" w:leader="none"/>
              <w:tab w:pos="10255" w:val="left" w:leader="dot"/>
            </w:tabs>
            <w:spacing w:line="240" w:lineRule="auto" w:before="109" w:after="0"/>
            <w:ind w:left="2362" w:right="0" w:hanging="238"/>
            <w:jc w:val="left"/>
          </w:pPr>
          <w:hyperlink w:history="true" w:anchor="_TOC_250027">
            <w:r>
              <w:rPr>
                <w:spacing w:val="-2"/>
              </w:rPr>
              <w:t>ОСОБЕННОСТИ ВЕДЕНИЯ</w:t>
            </w:r>
            <w:r>
              <w:rPr>
                <w:spacing w:val="-1"/>
              </w:rPr>
              <w:t> </w:t>
            </w:r>
            <w:r>
              <w:rPr>
                <w:spacing w:val="-2"/>
              </w:rPr>
              <w:t>ДЕТЕЙ</w:t>
            </w:r>
            <w:r>
              <w:rPr>
                <w:spacing w:val="-3"/>
              </w:rPr>
              <w:t> </w:t>
            </w:r>
            <w:r>
              <w:rPr>
                <w:spacing w:val="-2"/>
              </w:rPr>
              <w:t>С</w:t>
            </w:r>
            <w:r>
              <w:rPr>
                <w:spacing w:val="2"/>
              </w:rPr>
              <w:t> </w:t>
            </w:r>
            <w:r>
              <w:rPr>
                <w:spacing w:val="-2"/>
              </w:rPr>
              <w:t>COVID-</w:t>
            </w:r>
            <w:r>
              <w:rPr>
                <w:spacing w:val="-5"/>
              </w:rPr>
              <w:t>19</w:t>
            </w:r>
            <w:r>
              <w:rPr/>
              <w:tab/>
            </w:r>
            <w:r>
              <w:rPr>
                <w:spacing w:val="-5"/>
              </w:rPr>
              <w:t>114</w:t>
            </w:r>
          </w:hyperlink>
        </w:p>
        <w:p>
          <w:pPr>
            <w:pStyle w:val="TOC2"/>
            <w:numPr>
              <w:ilvl w:val="0"/>
              <w:numId w:val="1"/>
            </w:numPr>
            <w:tabs>
              <w:tab w:pos="2362" w:val="left" w:leader="none"/>
              <w:tab w:pos="10255" w:val="left" w:leader="dot"/>
            </w:tabs>
            <w:spacing w:line="240" w:lineRule="auto" w:before="103" w:after="0"/>
            <w:ind w:left="2362" w:right="0" w:hanging="238"/>
            <w:jc w:val="left"/>
          </w:pPr>
          <w:hyperlink w:history="true" w:anchor="_TOC_250026">
            <w:r>
              <w:rPr>
                <w:spacing w:val="-2"/>
              </w:rPr>
              <w:t>ПРОФИЛАКТИКА</w:t>
            </w:r>
            <w:r>
              <w:rPr>
                <w:spacing w:val="-5"/>
              </w:rPr>
              <w:t> </w:t>
            </w:r>
            <w:r>
              <w:rPr>
                <w:spacing w:val="-2"/>
              </w:rPr>
              <w:t>КОРОНАВИРУСНОЙ</w:t>
            </w:r>
            <w:r>
              <w:rPr>
                <w:spacing w:val="-5"/>
              </w:rPr>
              <w:t> </w:t>
            </w:r>
            <w:r>
              <w:rPr>
                <w:spacing w:val="-2"/>
              </w:rPr>
              <w:t>ИНФЕКЦИИ</w:t>
            </w:r>
            <w:r>
              <w:rPr/>
              <w:tab/>
            </w:r>
            <w:r>
              <w:rPr>
                <w:spacing w:val="-5"/>
              </w:rPr>
              <w:t>117</w:t>
            </w:r>
          </w:hyperlink>
        </w:p>
        <w:p>
          <w:pPr>
            <w:pStyle w:val="TOC3"/>
            <w:numPr>
              <w:ilvl w:val="1"/>
              <w:numId w:val="1"/>
            </w:numPr>
            <w:tabs>
              <w:tab w:pos="3218" w:val="left" w:leader="none"/>
              <w:tab w:pos="10255" w:val="left" w:leader="dot"/>
            </w:tabs>
            <w:spacing w:line="240" w:lineRule="auto" w:before="103" w:after="0"/>
            <w:ind w:left="3218" w:right="0" w:hanging="418"/>
            <w:jc w:val="left"/>
          </w:pPr>
          <w:hyperlink w:history="true" w:anchor="_TOC_250025">
            <w:r>
              <w:rPr>
                <w:spacing w:val="-2"/>
              </w:rPr>
              <w:t>СПЕЦИФИЧЕСКАЯ</w:t>
            </w:r>
            <w:r>
              <w:rPr>
                <w:spacing w:val="-4"/>
              </w:rPr>
              <w:t> </w:t>
            </w:r>
            <w:r>
              <w:rPr>
                <w:spacing w:val="-2"/>
              </w:rPr>
              <w:t>ПРОФИЛАКТИКА</w:t>
            </w:r>
            <w:r>
              <w:rPr>
                <w:spacing w:val="-4"/>
              </w:rPr>
              <w:t> </w:t>
            </w:r>
            <w:r>
              <w:rPr>
                <w:spacing w:val="-2"/>
              </w:rPr>
              <w:t>COVID-</w:t>
            </w:r>
            <w:r>
              <w:rPr>
                <w:spacing w:val="-5"/>
              </w:rPr>
              <w:t>19</w:t>
            </w:r>
            <w:r>
              <w:rPr/>
              <w:tab/>
            </w:r>
            <w:r>
              <w:rPr>
                <w:spacing w:val="-5"/>
              </w:rPr>
              <w:t>117</w:t>
            </w:r>
          </w:hyperlink>
        </w:p>
        <w:p>
          <w:pPr>
            <w:pStyle w:val="TOC3"/>
            <w:numPr>
              <w:ilvl w:val="1"/>
              <w:numId w:val="1"/>
            </w:numPr>
            <w:tabs>
              <w:tab w:pos="2810" w:val="left" w:leader="none"/>
              <w:tab w:pos="3218" w:val="left" w:leader="none"/>
              <w:tab w:pos="10255" w:val="left" w:leader="dot"/>
            </w:tabs>
            <w:spacing w:line="259" w:lineRule="auto" w:before="131" w:after="0"/>
            <w:ind w:left="2810" w:right="1283" w:hanging="10"/>
            <w:jc w:val="left"/>
          </w:pPr>
          <w:hyperlink w:history="true" w:anchor="_TOC_250024">
            <w:r>
              <w:rPr/>
              <w:t>НЕСПЕЦИФИЧЕСКАЯ МЕДИКАМЕНТОЗНАЯ ПРОФИЛАКТИКА </w:t>
            </w:r>
            <w:r>
              <w:rPr>
                <w:spacing w:val="-2"/>
              </w:rPr>
              <w:t>COVID-19</w:t>
            </w:r>
            <w:r>
              <w:rPr/>
              <w:tab/>
            </w:r>
            <w:r>
              <w:rPr>
                <w:spacing w:val="-4"/>
              </w:rPr>
              <w:t>121</w:t>
            </w:r>
          </w:hyperlink>
        </w:p>
        <w:p>
          <w:pPr>
            <w:pStyle w:val="TOC3"/>
            <w:numPr>
              <w:ilvl w:val="1"/>
              <w:numId w:val="1"/>
            </w:numPr>
            <w:tabs>
              <w:tab w:pos="3218" w:val="left" w:leader="none"/>
              <w:tab w:pos="10255" w:val="left" w:leader="dot"/>
            </w:tabs>
            <w:spacing w:line="240" w:lineRule="auto" w:before="109" w:after="0"/>
            <w:ind w:left="3218" w:right="0" w:hanging="418"/>
            <w:jc w:val="left"/>
          </w:pPr>
          <w:hyperlink w:history="true" w:anchor="_TOC_250023">
            <w:r>
              <w:rPr>
                <w:spacing w:val="-2"/>
              </w:rPr>
              <w:t>НЕСПЕЦИФИЧЕСКАЯ</w:t>
            </w:r>
            <w:r>
              <w:rPr>
                <w:spacing w:val="-3"/>
              </w:rPr>
              <w:t> </w:t>
            </w:r>
            <w:r>
              <w:rPr>
                <w:spacing w:val="-2"/>
              </w:rPr>
              <w:t>ПРОФИЛАКТИКА</w:t>
            </w:r>
            <w:r>
              <w:rPr>
                <w:spacing w:val="-3"/>
              </w:rPr>
              <w:t> </w:t>
            </w:r>
            <w:r>
              <w:rPr>
                <w:spacing w:val="-2"/>
              </w:rPr>
              <w:t>COVID-</w:t>
            </w:r>
            <w:r>
              <w:rPr>
                <w:spacing w:val="-5"/>
              </w:rPr>
              <w:t>19</w:t>
            </w:r>
            <w:r>
              <w:rPr/>
              <w:tab/>
            </w:r>
            <w:r>
              <w:rPr>
                <w:spacing w:val="-5"/>
              </w:rPr>
              <w:t>122</w:t>
            </w:r>
          </w:hyperlink>
        </w:p>
        <w:p>
          <w:pPr>
            <w:pStyle w:val="TOC2"/>
            <w:numPr>
              <w:ilvl w:val="0"/>
              <w:numId w:val="1"/>
            </w:numPr>
            <w:tabs>
              <w:tab w:pos="2362" w:val="left" w:leader="none"/>
            </w:tabs>
            <w:spacing w:line="240" w:lineRule="auto" w:before="132" w:after="20"/>
            <w:ind w:left="2362" w:right="0" w:hanging="238"/>
            <w:jc w:val="left"/>
          </w:pPr>
          <w:r>
            <w:rPr>
              <w:spacing w:val="-2"/>
            </w:rPr>
            <w:t>ПОРЯДОК ПРОВЕДЕНИЯ ПАТОЛОГОАНАТОМИЧЕСКИХ</w:t>
          </w:r>
          <w:r>
            <w:rPr>
              <w:spacing w:val="-3"/>
            </w:rPr>
            <w:t> </w:t>
          </w:r>
          <w:r>
            <w:rPr>
              <w:spacing w:val="-2"/>
            </w:rPr>
            <w:t>ВСКРЫТИЙ</w:t>
          </w:r>
          <w:r>
            <w:rPr>
              <w:spacing w:val="56"/>
              <w:w w:val="150"/>
            </w:rPr>
            <w:t> </w:t>
          </w:r>
          <w:r>
            <w:rPr>
              <w:spacing w:val="-5"/>
            </w:rPr>
            <w:t>124</w:t>
          </w:r>
        </w:p>
        <w:p>
          <w:pPr>
            <w:pStyle w:val="TOC2"/>
            <w:numPr>
              <w:ilvl w:val="0"/>
              <w:numId w:val="1"/>
            </w:numPr>
            <w:tabs>
              <w:tab w:pos="2134" w:val="left" w:leader="none"/>
              <w:tab w:pos="2362" w:val="left" w:leader="none"/>
              <w:tab w:pos="10255" w:val="left" w:leader="dot"/>
            </w:tabs>
            <w:spacing w:line="259" w:lineRule="auto" w:before="73" w:after="0"/>
            <w:ind w:left="2134" w:right="1283" w:hanging="10"/>
            <w:jc w:val="left"/>
          </w:pPr>
          <w:bookmarkStart w:name="5" w:id="6"/>
          <w:bookmarkEnd w:id="6"/>
          <w:r>
            <w:rPr/>
          </w:r>
          <w:r>
            <w:rPr/>
            <w:t>МАРШРУТИЗАЦИЯ ПАЦИЕНТОВ И ОСОБЕННОСТИ ЭВАКУАЦИОННЫХ МЕРОПРИЯТИЙ БОЛЬНЫХ</w:t>
          </w:r>
          <w:r>
            <w:rPr>
              <w:spacing w:val="40"/>
            </w:rPr>
            <w:t> </w:t>
          </w:r>
          <w:r>
            <w:rPr/>
            <w:t>ИЛИ ЛИЦ С ПОДОЗРЕНИЕМ НА COVID-19</w:t>
          </w:r>
          <w:r>
            <w:rPr/>
            <w:tab/>
          </w:r>
          <w:r>
            <w:rPr>
              <w:spacing w:val="-4"/>
            </w:rPr>
            <w:t>126</w:t>
          </w:r>
        </w:p>
        <w:p>
          <w:pPr>
            <w:pStyle w:val="TOC3"/>
            <w:numPr>
              <w:ilvl w:val="1"/>
              <w:numId w:val="1"/>
            </w:numPr>
            <w:tabs>
              <w:tab w:pos="2810" w:val="left" w:leader="none"/>
              <w:tab w:pos="3218" w:val="left" w:leader="none"/>
              <w:tab w:pos="10255" w:val="left" w:leader="dot"/>
            </w:tabs>
            <w:spacing w:line="259" w:lineRule="auto" w:before="80" w:after="0"/>
            <w:ind w:left="2810" w:right="1283" w:hanging="10"/>
            <w:jc w:val="left"/>
          </w:pPr>
          <w:hyperlink w:history="true" w:anchor="_TOC_250022">
            <w:r>
              <w:rPr/>
              <w:t>МАРШРУТИЗАЦИЯ ПАЦИЕНТОВ И ЛИЦ С ПОДОЗРЕНИЕМ НА </w:t>
            </w:r>
            <w:r>
              <w:rPr>
                <w:spacing w:val="-2"/>
              </w:rPr>
              <w:t>COVID-19</w:t>
            </w:r>
            <w:r>
              <w:rPr/>
              <w:tab/>
            </w:r>
            <w:r>
              <w:rPr>
                <w:spacing w:val="-4"/>
              </w:rPr>
              <w:t>126</w:t>
            </w:r>
          </w:hyperlink>
        </w:p>
        <w:p>
          <w:pPr>
            <w:pStyle w:val="TOC3"/>
            <w:numPr>
              <w:ilvl w:val="1"/>
              <w:numId w:val="3"/>
            </w:numPr>
            <w:tabs>
              <w:tab w:pos="3158" w:val="left" w:leader="none"/>
              <w:tab w:pos="10255" w:val="left" w:leader="dot"/>
            </w:tabs>
            <w:spacing w:line="240" w:lineRule="auto" w:before="109" w:after="0"/>
            <w:ind w:left="3158" w:right="0" w:hanging="358"/>
            <w:jc w:val="left"/>
          </w:pPr>
          <w:hyperlink w:history="true" w:anchor="_TOC_250021">
            <w:r>
              <w:rPr>
                <w:spacing w:val="-2"/>
              </w:rPr>
              <w:t>ПОРЯДОК</w:t>
            </w:r>
            <w:r>
              <w:rPr>
                <w:spacing w:val="-5"/>
              </w:rPr>
              <w:t> </w:t>
            </w:r>
            <w:r>
              <w:rPr>
                <w:spacing w:val="-2"/>
              </w:rPr>
              <w:t>ОРГАНИЗАЦИИ</w:t>
            </w:r>
            <w:r>
              <w:rPr>
                <w:spacing w:val="-4"/>
              </w:rPr>
              <w:t> </w:t>
            </w:r>
            <w:r>
              <w:rPr>
                <w:spacing w:val="-2"/>
              </w:rPr>
              <w:t>МЕДИЦИНСКОЙ</w:t>
            </w:r>
            <w:r>
              <w:rPr>
                <w:spacing w:val="-3"/>
              </w:rPr>
              <w:t> </w:t>
            </w:r>
            <w:r>
              <w:rPr>
                <w:spacing w:val="-2"/>
              </w:rPr>
              <w:t>ПОМОЩИ</w:t>
            </w:r>
            <w:r>
              <w:rPr/>
              <w:tab/>
            </w:r>
            <w:r>
              <w:rPr>
                <w:spacing w:val="-5"/>
              </w:rPr>
              <w:t>127</w:t>
            </w:r>
          </w:hyperlink>
        </w:p>
        <w:p>
          <w:pPr>
            <w:pStyle w:val="TOC3"/>
            <w:numPr>
              <w:ilvl w:val="1"/>
              <w:numId w:val="3"/>
            </w:numPr>
            <w:tabs>
              <w:tab w:pos="2810" w:val="left" w:leader="none"/>
              <w:tab w:pos="3158" w:val="left" w:leader="none"/>
              <w:tab w:pos="10255" w:val="left" w:leader="dot"/>
            </w:tabs>
            <w:spacing w:line="259" w:lineRule="auto" w:before="132" w:after="0"/>
            <w:ind w:left="2810" w:right="1283" w:hanging="10"/>
            <w:jc w:val="left"/>
          </w:pPr>
          <w:hyperlink w:history="true" w:anchor="_TOC_250020">
            <w:r>
              <w:rPr/>
              <w:t>ОСОБЕННОСТИ ЭВАКУАЦИОННЫХ МЕРОПРИЯТИЙ И ОБЩИЕ ПРИНЦИПЫ ГОСПИТАЛИЗАЦИИ БОЛЬНЫХ ИЛИ ЛИЦ С ПОДОЗРЕНИЕМ НА COVID-19</w:t>
            </w:r>
            <w:r>
              <w:rPr/>
              <w:tab/>
            </w:r>
            <w:r>
              <w:rPr>
                <w:spacing w:val="-4"/>
              </w:rPr>
              <w:t>132</w:t>
            </w:r>
          </w:hyperlink>
        </w:p>
        <w:p>
          <w:pPr>
            <w:pStyle w:val="TOC3"/>
            <w:numPr>
              <w:ilvl w:val="1"/>
              <w:numId w:val="4"/>
            </w:numPr>
            <w:tabs>
              <w:tab w:pos="2810" w:val="left" w:leader="none"/>
              <w:tab w:pos="3218" w:val="left" w:leader="none"/>
              <w:tab w:pos="10255" w:val="left" w:leader="dot"/>
            </w:tabs>
            <w:spacing w:line="259" w:lineRule="auto" w:before="108" w:after="0"/>
            <w:ind w:left="2810" w:right="1283" w:hanging="10"/>
            <w:jc w:val="left"/>
          </w:pPr>
          <w:r>
            <w:rPr/>
            <w:t>ОСНОВНЫЕ ПРИНЦИПЫ ОКАЗАНИЯ МЕДИЦИНСКОЙ ПОМОЩИ В АМБУЛАТОРНЫХ УСЛОВИЯХ (НА ДОМУ)</w:t>
          </w:r>
          <w:r>
            <w:rPr/>
            <w:tab/>
          </w:r>
          <w:r>
            <w:rPr>
              <w:spacing w:val="-4"/>
            </w:rPr>
            <w:t>136</w:t>
          </w:r>
        </w:p>
        <w:p>
          <w:pPr>
            <w:pStyle w:val="TOC3"/>
            <w:numPr>
              <w:ilvl w:val="1"/>
              <w:numId w:val="4"/>
            </w:numPr>
            <w:tabs>
              <w:tab w:pos="3218" w:val="left" w:leader="none"/>
            </w:tabs>
            <w:spacing w:line="240" w:lineRule="auto" w:before="108" w:after="0"/>
            <w:ind w:left="3218" w:right="0" w:hanging="418"/>
            <w:jc w:val="left"/>
          </w:pPr>
          <w:r>
            <w:rPr>
              <w:spacing w:val="-2"/>
            </w:rPr>
            <w:t>МАРШРУТИЗАЦИЯ</w:t>
          </w:r>
          <w:r>
            <w:rPr>
              <w:spacing w:val="-4"/>
            </w:rPr>
            <w:t> </w:t>
          </w:r>
          <w:r>
            <w:rPr>
              <w:spacing w:val="-2"/>
            </w:rPr>
            <w:t>ПАЦИЕНТОВ,</w:t>
          </w:r>
          <w:r>
            <w:rPr>
              <w:spacing w:val="-4"/>
            </w:rPr>
            <w:t> </w:t>
          </w:r>
          <w:r>
            <w:rPr>
              <w:spacing w:val="-2"/>
            </w:rPr>
            <w:t>НУЖДАЮЩИХСЯ</w:t>
          </w:r>
        </w:p>
        <w:p>
          <w:pPr>
            <w:pStyle w:val="TOC3"/>
            <w:tabs>
              <w:tab w:pos="10255" w:val="left" w:leader="dot"/>
            </w:tabs>
            <w:spacing w:before="22"/>
            <w:ind w:firstLine="0"/>
          </w:pPr>
          <w:r>
            <w:rPr>
              <w:spacing w:val="-2"/>
            </w:rPr>
            <w:t>В</w:t>
          </w:r>
          <w:r>
            <w:rPr/>
            <w:t> </w:t>
          </w:r>
          <w:r>
            <w:rPr>
              <w:spacing w:val="-2"/>
            </w:rPr>
            <w:t>ЭКСТРЕННОЙ</w:t>
          </w:r>
          <w:r>
            <w:rPr/>
            <w:t> </w:t>
          </w:r>
          <w:r>
            <w:rPr>
              <w:spacing w:val="-2"/>
            </w:rPr>
            <w:t>ХИРУРГИЧЕСКОЙ</w:t>
          </w:r>
          <w:r>
            <w:rPr>
              <w:spacing w:val="-1"/>
            </w:rPr>
            <w:t> </w:t>
          </w:r>
          <w:r>
            <w:rPr>
              <w:spacing w:val="-2"/>
            </w:rPr>
            <w:t>ПОМОЩИ</w:t>
          </w:r>
          <w:r>
            <w:rPr/>
            <w:tab/>
          </w:r>
          <w:r>
            <w:rPr>
              <w:spacing w:val="-5"/>
            </w:rPr>
            <w:t>139</w:t>
          </w:r>
        </w:p>
        <w:p>
          <w:pPr>
            <w:pStyle w:val="TOC2"/>
            <w:numPr>
              <w:ilvl w:val="0"/>
              <w:numId w:val="1"/>
            </w:numPr>
            <w:tabs>
              <w:tab w:pos="2134" w:val="left" w:leader="none"/>
              <w:tab w:pos="2482" w:val="left" w:leader="none"/>
              <w:tab w:pos="10255" w:val="left" w:leader="dot"/>
            </w:tabs>
            <w:spacing w:line="259" w:lineRule="auto" w:before="132" w:after="0"/>
            <w:ind w:left="2134" w:right="1283" w:hanging="10"/>
            <w:jc w:val="left"/>
          </w:pPr>
          <w:r>
            <w:rPr/>
            <w:t>ПРАВИЛА ФОРМУЛИРОВКИ ДИАГНОЗА, КОДИРОВАНИЯ ПО МКБ-10 И УЧЕТ</w:t>
          </w:r>
          <w:r>
            <w:rPr>
              <w:spacing w:val="-15"/>
            </w:rPr>
            <w:t> </w:t>
          </w:r>
          <w:r>
            <w:rPr/>
            <w:t>ПАЦИЕНТОВ</w:t>
          </w:r>
          <w:r>
            <w:rPr>
              <w:spacing w:val="-13"/>
            </w:rPr>
            <w:t> </w:t>
          </w:r>
          <w:r>
            <w:rPr/>
            <w:t>С</w:t>
          </w:r>
          <w:r>
            <w:rPr>
              <w:spacing w:val="-10"/>
            </w:rPr>
            <w:t> </w:t>
          </w:r>
          <w:r>
            <w:rPr/>
            <w:t>COVID-19</w:t>
          </w:r>
          <w:r>
            <w:rPr>
              <w:spacing w:val="-14"/>
            </w:rPr>
            <w:t> </w:t>
          </w:r>
          <w:r>
            <w:rPr/>
            <w:t>В</w:t>
          </w:r>
          <w:r>
            <w:rPr>
              <w:spacing w:val="-13"/>
            </w:rPr>
            <w:t> </w:t>
          </w:r>
          <w:r>
            <w:rPr/>
            <w:t>ИНФОРМАЦИОННОМ</w:t>
          </w:r>
          <w:r>
            <w:rPr>
              <w:spacing w:val="-14"/>
            </w:rPr>
            <w:t> </w:t>
          </w:r>
          <w:r>
            <w:rPr>
              <w:spacing w:val="-2"/>
            </w:rPr>
            <w:t>РЕСУРСЕ</w:t>
          </w:r>
          <w:r>
            <w:rPr/>
            <w:tab/>
          </w:r>
          <w:r>
            <w:rPr>
              <w:spacing w:val="-5"/>
            </w:rPr>
            <w:t>142</w:t>
          </w:r>
        </w:p>
        <w:p>
          <w:pPr>
            <w:pStyle w:val="TOC4"/>
            <w:tabs>
              <w:tab w:pos="10264" w:val="left" w:leader="dot"/>
            </w:tabs>
            <w:spacing w:before="80"/>
          </w:pPr>
          <w:hyperlink w:history="true" w:anchor="_TOC_250019">
            <w:r>
              <w:rPr>
                <w:spacing w:val="-2"/>
              </w:rPr>
              <w:t>Использованные</w:t>
            </w:r>
            <w:r>
              <w:rPr>
                <w:spacing w:val="2"/>
              </w:rPr>
              <w:t> </w:t>
            </w:r>
            <w:r>
              <w:rPr>
                <w:spacing w:val="-2"/>
              </w:rPr>
              <w:t>источники</w:t>
            </w:r>
            <w:r>
              <w:rPr/>
              <w:tab/>
            </w:r>
            <w:r>
              <w:rPr>
                <w:spacing w:val="-5"/>
              </w:rPr>
              <w:t>147</w:t>
            </w:r>
          </w:hyperlink>
        </w:p>
        <w:p>
          <w:pPr>
            <w:pStyle w:val="TOC4"/>
            <w:tabs>
              <w:tab w:pos="10264" w:val="left" w:leader="dot"/>
            </w:tabs>
          </w:pPr>
          <w:hyperlink w:history="true" w:anchor="_TOC_250018">
            <w:r>
              <w:rPr>
                <w:spacing w:val="-2"/>
              </w:rPr>
              <w:t>Приложение</w:t>
            </w:r>
            <w:r>
              <w:rPr>
                <w:spacing w:val="3"/>
              </w:rPr>
              <w:t> </w:t>
            </w:r>
            <w:r>
              <w:rPr>
                <w:spacing w:val="-10"/>
              </w:rPr>
              <w:t>1</w:t>
            </w:r>
            <w:r>
              <w:rPr/>
              <w:tab/>
            </w:r>
            <w:r>
              <w:rPr>
                <w:spacing w:val="-5"/>
              </w:rPr>
              <w:t>159</w:t>
            </w:r>
          </w:hyperlink>
        </w:p>
        <w:p>
          <w:pPr>
            <w:pStyle w:val="TOC4"/>
            <w:tabs>
              <w:tab w:pos="10264" w:val="left" w:leader="dot"/>
            </w:tabs>
            <w:spacing w:before="95"/>
          </w:pPr>
          <w:hyperlink w:history="true" w:anchor="_TOC_250017">
            <w:r>
              <w:rPr>
                <w:spacing w:val="-2"/>
              </w:rPr>
              <w:t>Приложение</w:t>
            </w:r>
            <w:r>
              <w:rPr>
                <w:spacing w:val="3"/>
              </w:rPr>
              <w:t> </w:t>
            </w:r>
            <w:r>
              <w:rPr>
                <w:spacing w:val="-10"/>
              </w:rPr>
              <w:t>2</w:t>
            </w:r>
            <w:r>
              <w:rPr/>
              <w:tab/>
            </w:r>
            <w:r>
              <w:rPr>
                <w:spacing w:val="-5"/>
              </w:rPr>
              <w:t>169</w:t>
            </w:r>
          </w:hyperlink>
        </w:p>
        <w:p>
          <w:pPr>
            <w:pStyle w:val="TOC4"/>
            <w:tabs>
              <w:tab w:pos="10264" w:val="left" w:leader="dot"/>
            </w:tabs>
            <w:spacing w:before="98"/>
          </w:pPr>
          <w:hyperlink w:history="true" w:anchor="_TOC_250016">
            <w:r>
              <w:rPr>
                <w:spacing w:val="-2"/>
              </w:rPr>
              <w:t>Приложение</w:t>
            </w:r>
            <w:r>
              <w:rPr>
                <w:spacing w:val="5"/>
              </w:rPr>
              <w:t> </w:t>
            </w:r>
            <w:r>
              <w:rPr>
                <w:spacing w:val="-2"/>
              </w:rPr>
              <w:t>3-</w:t>
            </w:r>
            <w:r>
              <w:rPr>
                <w:spacing w:val="-10"/>
              </w:rPr>
              <w:t>1</w:t>
            </w:r>
            <w:r>
              <w:rPr/>
              <w:tab/>
            </w:r>
            <w:r>
              <w:rPr>
                <w:spacing w:val="-5"/>
              </w:rPr>
              <w:t>171</w:t>
            </w:r>
          </w:hyperlink>
        </w:p>
        <w:p>
          <w:pPr>
            <w:pStyle w:val="TOC4"/>
            <w:tabs>
              <w:tab w:pos="10264" w:val="left" w:leader="dot"/>
            </w:tabs>
          </w:pPr>
          <w:hyperlink w:history="true" w:anchor="_TOC_250015">
            <w:r>
              <w:rPr>
                <w:spacing w:val="-2"/>
              </w:rPr>
              <w:t>Приложение</w:t>
            </w:r>
            <w:r>
              <w:rPr>
                <w:spacing w:val="5"/>
              </w:rPr>
              <w:t> </w:t>
            </w:r>
            <w:r>
              <w:rPr>
                <w:spacing w:val="-2"/>
              </w:rPr>
              <w:t>3-</w:t>
            </w:r>
            <w:r>
              <w:rPr>
                <w:spacing w:val="-10"/>
              </w:rPr>
              <w:t>2</w:t>
            </w:r>
            <w:r>
              <w:rPr/>
              <w:tab/>
            </w:r>
            <w:r>
              <w:rPr>
                <w:spacing w:val="-5"/>
              </w:rPr>
              <w:t>177</w:t>
            </w:r>
          </w:hyperlink>
        </w:p>
        <w:p>
          <w:pPr>
            <w:pStyle w:val="TOC4"/>
            <w:tabs>
              <w:tab w:pos="10264" w:val="left" w:leader="dot"/>
            </w:tabs>
          </w:pPr>
          <w:r>
            <w:rPr>
              <w:spacing w:val="-2"/>
            </w:rPr>
            <w:t>Приложение</w:t>
          </w:r>
          <w:r>
            <w:rPr>
              <w:spacing w:val="5"/>
            </w:rPr>
            <w:t> </w:t>
          </w:r>
          <w:r>
            <w:rPr>
              <w:spacing w:val="-2"/>
            </w:rPr>
            <w:t>3-</w:t>
          </w:r>
          <w:r>
            <w:rPr>
              <w:spacing w:val="-10"/>
            </w:rPr>
            <w:t>3</w:t>
          </w:r>
          <w:r>
            <w:rPr/>
            <w:tab/>
          </w:r>
          <w:r>
            <w:rPr>
              <w:spacing w:val="-5"/>
            </w:rPr>
            <w:t>181</w:t>
          </w:r>
        </w:p>
        <w:p>
          <w:pPr>
            <w:pStyle w:val="TOC4"/>
            <w:tabs>
              <w:tab w:pos="10264" w:val="left" w:leader="dot"/>
            </w:tabs>
          </w:pPr>
          <w:hyperlink w:history="true" w:anchor="_TOC_250014">
            <w:r>
              <w:rPr>
                <w:spacing w:val="-2"/>
              </w:rPr>
              <w:t>Приложение</w:t>
            </w:r>
            <w:r>
              <w:rPr>
                <w:spacing w:val="5"/>
              </w:rPr>
              <w:t> </w:t>
            </w:r>
            <w:r>
              <w:rPr>
                <w:spacing w:val="-2"/>
              </w:rPr>
              <w:t>3-</w:t>
            </w:r>
            <w:r>
              <w:rPr>
                <w:spacing w:val="-10"/>
              </w:rPr>
              <w:t>4</w:t>
            </w:r>
            <w:r>
              <w:rPr/>
              <w:tab/>
            </w:r>
            <w:r>
              <w:rPr>
                <w:spacing w:val="-5"/>
              </w:rPr>
              <w:t>182</w:t>
            </w:r>
          </w:hyperlink>
        </w:p>
        <w:p>
          <w:pPr>
            <w:pStyle w:val="TOC4"/>
            <w:tabs>
              <w:tab w:pos="10264" w:val="left" w:leader="dot"/>
            </w:tabs>
            <w:spacing w:before="98"/>
          </w:pPr>
          <w:hyperlink w:history="true" w:anchor="_TOC_250013">
            <w:r>
              <w:rPr>
                <w:spacing w:val="-2"/>
              </w:rPr>
              <w:t>Приложение</w:t>
            </w:r>
            <w:r>
              <w:rPr>
                <w:spacing w:val="5"/>
              </w:rPr>
              <w:t> </w:t>
            </w:r>
            <w:r>
              <w:rPr>
                <w:spacing w:val="-2"/>
              </w:rPr>
              <w:t>3-</w:t>
            </w:r>
            <w:r>
              <w:rPr>
                <w:spacing w:val="-10"/>
              </w:rPr>
              <w:t>5</w:t>
            </w:r>
            <w:r>
              <w:rPr/>
              <w:tab/>
            </w:r>
            <w:r>
              <w:rPr>
                <w:spacing w:val="-5"/>
              </w:rPr>
              <w:t>185</w:t>
            </w:r>
          </w:hyperlink>
        </w:p>
        <w:p>
          <w:pPr>
            <w:pStyle w:val="TOC4"/>
            <w:tabs>
              <w:tab w:pos="10264" w:val="left" w:leader="dot"/>
            </w:tabs>
          </w:pPr>
          <w:hyperlink w:history="true" w:anchor="_TOC_250012">
            <w:r>
              <w:rPr>
                <w:spacing w:val="-2"/>
              </w:rPr>
              <w:t>Приложение</w:t>
            </w:r>
            <w:r>
              <w:rPr>
                <w:spacing w:val="3"/>
              </w:rPr>
              <w:t> </w:t>
            </w:r>
            <w:r>
              <w:rPr>
                <w:spacing w:val="-10"/>
              </w:rPr>
              <w:t>4</w:t>
            </w:r>
            <w:r>
              <w:rPr/>
              <w:tab/>
            </w:r>
            <w:r>
              <w:rPr>
                <w:spacing w:val="-5"/>
              </w:rPr>
              <w:t>188</w:t>
            </w:r>
          </w:hyperlink>
        </w:p>
        <w:p>
          <w:pPr>
            <w:pStyle w:val="TOC4"/>
            <w:tabs>
              <w:tab w:pos="10264" w:val="left" w:leader="dot"/>
            </w:tabs>
            <w:spacing w:before="95"/>
          </w:pPr>
          <w:hyperlink w:history="true" w:anchor="_TOC_250011">
            <w:r>
              <w:rPr>
                <w:spacing w:val="-2"/>
              </w:rPr>
              <w:t>Приложение</w:t>
            </w:r>
            <w:r>
              <w:rPr>
                <w:spacing w:val="3"/>
              </w:rPr>
              <w:t> </w:t>
            </w:r>
            <w:r>
              <w:rPr>
                <w:spacing w:val="-10"/>
              </w:rPr>
              <w:t>5</w:t>
            </w:r>
            <w:r>
              <w:rPr/>
              <w:tab/>
            </w:r>
            <w:r>
              <w:rPr>
                <w:spacing w:val="-5"/>
              </w:rPr>
              <w:t>190</w:t>
            </w:r>
          </w:hyperlink>
        </w:p>
        <w:p>
          <w:pPr>
            <w:pStyle w:val="TOC4"/>
            <w:tabs>
              <w:tab w:pos="10264" w:val="left" w:leader="dot"/>
            </w:tabs>
          </w:pPr>
          <w:hyperlink w:history="true" w:anchor="_TOC_250010">
            <w:r>
              <w:rPr>
                <w:spacing w:val="-2"/>
              </w:rPr>
              <w:t>Приложение</w:t>
            </w:r>
            <w:r>
              <w:rPr>
                <w:spacing w:val="3"/>
              </w:rPr>
              <w:t> </w:t>
            </w:r>
            <w:r>
              <w:rPr>
                <w:spacing w:val="-10"/>
              </w:rPr>
              <w:t>6</w:t>
            </w:r>
            <w:r>
              <w:rPr/>
              <w:tab/>
            </w:r>
            <w:r>
              <w:rPr>
                <w:spacing w:val="-5"/>
              </w:rPr>
              <w:t>196</w:t>
            </w:r>
          </w:hyperlink>
        </w:p>
        <w:p>
          <w:pPr>
            <w:pStyle w:val="TOC4"/>
            <w:tabs>
              <w:tab w:pos="10264" w:val="left" w:leader="dot"/>
            </w:tabs>
            <w:spacing w:before="98"/>
          </w:pPr>
          <w:hyperlink w:history="true" w:anchor="_TOC_250009">
            <w:r>
              <w:rPr>
                <w:spacing w:val="-2"/>
              </w:rPr>
              <w:t>Приложение</w:t>
            </w:r>
            <w:r>
              <w:rPr>
                <w:spacing w:val="5"/>
              </w:rPr>
              <w:t> </w:t>
            </w:r>
            <w:r>
              <w:rPr>
                <w:spacing w:val="-2"/>
              </w:rPr>
              <w:t>7-</w:t>
            </w:r>
            <w:r>
              <w:rPr>
                <w:spacing w:val="-10"/>
              </w:rPr>
              <w:t>1</w:t>
            </w:r>
            <w:r>
              <w:rPr/>
              <w:tab/>
            </w:r>
            <w:r>
              <w:rPr>
                <w:spacing w:val="-5"/>
              </w:rPr>
              <w:t>203</w:t>
            </w:r>
          </w:hyperlink>
        </w:p>
        <w:p>
          <w:pPr>
            <w:pStyle w:val="TOC4"/>
            <w:tabs>
              <w:tab w:pos="10264" w:val="left" w:leader="dot"/>
            </w:tabs>
          </w:pPr>
          <w:hyperlink w:history="true" w:anchor="_TOC_250008">
            <w:r>
              <w:rPr>
                <w:spacing w:val="-2"/>
              </w:rPr>
              <w:t>Приложение</w:t>
            </w:r>
            <w:r>
              <w:rPr>
                <w:spacing w:val="5"/>
              </w:rPr>
              <w:t> </w:t>
            </w:r>
            <w:r>
              <w:rPr>
                <w:spacing w:val="-2"/>
              </w:rPr>
              <w:t>7-</w:t>
            </w:r>
            <w:r>
              <w:rPr>
                <w:spacing w:val="-10"/>
              </w:rPr>
              <w:t>2</w:t>
            </w:r>
            <w:r>
              <w:rPr/>
              <w:tab/>
            </w:r>
            <w:r>
              <w:rPr>
                <w:spacing w:val="-5"/>
              </w:rPr>
              <w:t>205</w:t>
            </w:r>
          </w:hyperlink>
        </w:p>
        <w:p>
          <w:pPr>
            <w:pStyle w:val="TOC4"/>
            <w:tabs>
              <w:tab w:pos="10264" w:val="left" w:leader="dot"/>
            </w:tabs>
            <w:spacing w:before="95"/>
          </w:pPr>
          <w:hyperlink w:history="true" w:anchor="_TOC_250007">
            <w:r>
              <w:rPr>
                <w:spacing w:val="-2"/>
              </w:rPr>
              <w:t>Приложение</w:t>
            </w:r>
            <w:r>
              <w:rPr>
                <w:spacing w:val="5"/>
              </w:rPr>
              <w:t> </w:t>
            </w:r>
            <w:r>
              <w:rPr>
                <w:spacing w:val="-2"/>
              </w:rPr>
              <w:t>7-</w:t>
            </w:r>
            <w:r>
              <w:rPr>
                <w:spacing w:val="-10"/>
              </w:rPr>
              <w:t>3</w:t>
            </w:r>
            <w:r>
              <w:rPr/>
              <w:tab/>
            </w:r>
            <w:r>
              <w:rPr>
                <w:spacing w:val="-5"/>
              </w:rPr>
              <w:t>206</w:t>
            </w:r>
          </w:hyperlink>
        </w:p>
        <w:p>
          <w:pPr>
            <w:pStyle w:val="TOC4"/>
            <w:tabs>
              <w:tab w:pos="10264" w:val="left" w:leader="dot"/>
            </w:tabs>
          </w:pPr>
          <w:hyperlink w:history="true" w:anchor="_TOC_250006">
            <w:r>
              <w:rPr>
                <w:spacing w:val="-2"/>
              </w:rPr>
              <w:t>Приложение</w:t>
            </w:r>
            <w:r>
              <w:rPr>
                <w:spacing w:val="5"/>
              </w:rPr>
              <w:t> </w:t>
            </w:r>
            <w:r>
              <w:rPr>
                <w:spacing w:val="-2"/>
              </w:rPr>
              <w:t>8-</w:t>
            </w:r>
            <w:r>
              <w:rPr>
                <w:spacing w:val="-10"/>
              </w:rPr>
              <w:t>1</w:t>
            </w:r>
            <w:r>
              <w:rPr/>
              <w:tab/>
            </w:r>
            <w:r>
              <w:rPr>
                <w:spacing w:val="-5"/>
              </w:rPr>
              <w:t>207</w:t>
            </w:r>
          </w:hyperlink>
        </w:p>
        <w:p>
          <w:pPr>
            <w:pStyle w:val="TOC4"/>
            <w:tabs>
              <w:tab w:pos="10264" w:val="left" w:leader="dot"/>
            </w:tabs>
            <w:spacing w:before="99"/>
          </w:pPr>
          <w:hyperlink w:history="true" w:anchor="_TOC_250005">
            <w:r>
              <w:rPr>
                <w:spacing w:val="-2"/>
              </w:rPr>
              <w:t>Приложение</w:t>
            </w:r>
            <w:r>
              <w:rPr>
                <w:spacing w:val="5"/>
              </w:rPr>
              <w:t> </w:t>
            </w:r>
            <w:r>
              <w:rPr>
                <w:spacing w:val="-2"/>
              </w:rPr>
              <w:t>8-</w:t>
            </w:r>
            <w:r>
              <w:rPr>
                <w:spacing w:val="-10"/>
              </w:rPr>
              <w:t>2</w:t>
            </w:r>
            <w:r>
              <w:rPr/>
              <w:tab/>
            </w:r>
            <w:r>
              <w:rPr>
                <w:spacing w:val="-5"/>
              </w:rPr>
              <w:t>213</w:t>
            </w:r>
          </w:hyperlink>
        </w:p>
        <w:p>
          <w:pPr>
            <w:pStyle w:val="TOC4"/>
            <w:tabs>
              <w:tab w:pos="10264" w:val="left" w:leader="dot"/>
            </w:tabs>
            <w:spacing w:before="95"/>
          </w:pPr>
          <w:hyperlink w:history="true" w:anchor="_TOC_250004">
            <w:r>
              <w:rPr>
                <w:spacing w:val="-2"/>
              </w:rPr>
              <w:t>Приложение</w:t>
            </w:r>
            <w:r>
              <w:rPr>
                <w:spacing w:val="3"/>
              </w:rPr>
              <w:t> </w:t>
            </w:r>
            <w:r>
              <w:rPr>
                <w:spacing w:val="-10"/>
              </w:rPr>
              <w:t>9</w:t>
            </w:r>
            <w:r>
              <w:rPr/>
              <w:tab/>
            </w:r>
            <w:r>
              <w:rPr>
                <w:spacing w:val="-5"/>
              </w:rPr>
              <w:t>222</w:t>
            </w:r>
          </w:hyperlink>
        </w:p>
        <w:p>
          <w:pPr>
            <w:pStyle w:val="TOC4"/>
            <w:tabs>
              <w:tab w:pos="10264" w:val="left" w:leader="dot"/>
            </w:tabs>
          </w:pPr>
          <w:hyperlink w:history="true" w:anchor="_TOC_250003">
            <w:r>
              <w:rPr>
                <w:spacing w:val="-2"/>
              </w:rPr>
              <w:t>Приложение</w:t>
            </w:r>
            <w:r>
              <w:rPr>
                <w:spacing w:val="5"/>
              </w:rPr>
              <w:t> </w:t>
            </w:r>
            <w:r>
              <w:rPr>
                <w:spacing w:val="-2"/>
              </w:rPr>
              <w:t>10-</w:t>
            </w:r>
            <w:r>
              <w:rPr>
                <w:spacing w:val="-10"/>
              </w:rPr>
              <w:t>1</w:t>
            </w:r>
            <w:r>
              <w:rPr/>
              <w:tab/>
            </w:r>
            <w:r>
              <w:rPr>
                <w:spacing w:val="-5"/>
              </w:rPr>
              <w:t>223</w:t>
            </w:r>
          </w:hyperlink>
        </w:p>
        <w:p>
          <w:pPr>
            <w:pStyle w:val="TOC4"/>
            <w:tabs>
              <w:tab w:pos="10264" w:val="left" w:leader="dot"/>
            </w:tabs>
          </w:pPr>
          <w:r>
            <w:rPr>
              <w:spacing w:val="-2"/>
            </w:rPr>
            <w:t>Приложение</w:t>
          </w:r>
          <w:r>
            <w:rPr>
              <w:spacing w:val="5"/>
            </w:rPr>
            <w:t> </w:t>
          </w:r>
          <w:r>
            <w:rPr>
              <w:spacing w:val="-2"/>
            </w:rPr>
            <w:t>10-</w:t>
          </w:r>
          <w:r>
            <w:rPr>
              <w:spacing w:val="-10"/>
            </w:rPr>
            <w:t>2</w:t>
          </w:r>
          <w:r>
            <w:rPr/>
            <w:tab/>
          </w:r>
          <w:r>
            <w:rPr>
              <w:spacing w:val="-5"/>
            </w:rPr>
            <w:t>226</w:t>
          </w:r>
        </w:p>
        <w:p>
          <w:pPr>
            <w:pStyle w:val="TOC4"/>
            <w:tabs>
              <w:tab w:pos="10264" w:val="left" w:leader="dot"/>
            </w:tabs>
            <w:spacing w:before="95"/>
          </w:pPr>
          <w:r>
            <w:rPr>
              <w:spacing w:val="-2"/>
            </w:rPr>
            <w:t>Приложение</w:t>
          </w:r>
          <w:r>
            <w:rPr>
              <w:spacing w:val="5"/>
            </w:rPr>
            <w:t> </w:t>
          </w:r>
          <w:r>
            <w:rPr>
              <w:spacing w:val="-2"/>
            </w:rPr>
            <w:t>10-</w:t>
          </w:r>
          <w:r>
            <w:rPr>
              <w:spacing w:val="-10"/>
            </w:rPr>
            <w:t>3</w:t>
          </w:r>
          <w:r>
            <w:rPr/>
            <w:tab/>
          </w:r>
          <w:r>
            <w:rPr>
              <w:spacing w:val="-5"/>
            </w:rPr>
            <w:t>227</w:t>
          </w:r>
        </w:p>
        <w:p>
          <w:pPr>
            <w:pStyle w:val="TOC4"/>
            <w:tabs>
              <w:tab w:pos="10264" w:val="left" w:leader="dot"/>
            </w:tabs>
            <w:spacing w:before="99"/>
          </w:pPr>
          <w:r>
            <w:rPr>
              <w:spacing w:val="-2"/>
            </w:rPr>
            <w:t>Приложение</w:t>
          </w:r>
          <w:r>
            <w:rPr>
              <w:spacing w:val="5"/>
            </w:rPr>
            <w:t> </w:t>
          </w:r>
          <w:r>
            <w:rPr>
              <w:spacing w:val="-2"/>
            </w:rPr>
            <w:t>10-</w:t>
          </w:r>
          <w:r>
            <w:rPr>
              <w:spacing w:val="-10"/>
            </w:rPr>
            <w:t>4</w:t>
          </w:r>
          <w:r>
            <w:rPr/>
            <w:tab/>
          </w:r>
          <w:r>
            <w:rPr>
              <w:spacing w:val="-5"/>
            </w:rPr>
            <w:t>228</w:t>
          </w:r>
        </w:p>
        <w:p>
          <w:pPr>
            <w:pStyle w:val="TOC4"/>
            <w:tabs>
              <w:tab w:pos="10264" w:val="left" w:leader="dot"/>
            </w:tabs>
            <w:spacing w:before="95"/>
          </w:pPr>
          <w:hyperlink w:history="true" w:anchor="_TOC_250002">
            <w:r>
              <w:rPr>
                <w:spacing w:val="-2"/>
              </w:rPr>
              <w:t>Приложение</w:t>
            </w:r>
            <w:r>
              <w:rPr>
                <w:spacing w:val="3"/>
              </w:rPr>
              <w:t> </w:t>
            </w:r>
            <w:r>
              <w:rPr>
                <w:spacing w:val="-5"/>
              </w:rPr>
              <w:t>11</w:t>
            </w:r>
            <w:r>
              <w:rPr/>
              <w:tab/>
            </w:r>
            <w:r>
              <w:rPr>
                <w:spacing w:val="-5"/>
              </w:rPr>
              <w:t>230</w:t>
            </w:r>
          </w:hyperlink>
        </w:p>
        <w:p>
          <w:pPr>
            <w:pStyle w:val="TOC2"/>
            <w:tabs>
              <w:tab w:pos="10255" w:val="left" w:leader="dot"/>
            </w:tabs>
            <w:spacing w:before="96"/>
            <w:ind w:left="2124" w:firstLine="0"/>
          </w:pPr>
          <w:hyperlink w:history="true" w:anchor="_TOC_250001">
            <w:r>
              <w:rPr>
                <w:spacing w:val="-2"/>
              </w:rPr>
              <w:t>СПИСОК</w:t>
            </w:r>
            <w:r>
              <w:rPr>
                <w:spacing w:val="-5"/>
              </w:rPr>
              <w:t> </w:t>
            </w:r>
            <w:r>
              <w:rPr>
                <w:spacing w:val="-2"/>
              </w:rPr>
              <w:t>ИСПОЛЬЗОВАННЫХ</w:t>
            </w:r>
            <w:r>
              <w:rPr>
                <w:spacing w:val="-4"/>
              </w:rPr>
              <w:t> </w:t>
            </w:r>
            <w:r>
              <w:rPr>
                <w:spacing w:val="-2"/>
              </w:rPr>
              <w:t>СОКРАЩЕНИЙ</w:t>
            </w:r>
            <w:r>
              <w:rPr/>
              <w:tab/>
            </w:r>
            <w:r>
              <w:rPr>
                <w:spacing w:val="-5"/>
              </w:rPr>
              <w:t>231</w:t>
            </w:r>
          </w:hyperlink>
        </w:p>
        <w:p>
          <w:pPr>
            <w:pStyle w:val="TOC2"/>
            <w:tabs>
              <w:tab w:pos="10255" w:val="left" w:leader="dot"/>
            </w:tabs>
            <w:ind w:left="2124" w:firstLine="0"/>
          </w:pPr>
          <w:hyperlink w:history="true" w:anchor="_TOC_250000">
            <w:r>
              <w:rPr>
                <w:spacing w:val="-2"/>
              </w:rPr>
              <w:t>АВТОРСКИЙ</w:t>
            </w:r>
            <w:r>
              <w:rPr/>
              <w:t> </w:t>
            </w:r>
            <w:r>
              <w:rPr>
                <w:spacing w:val="-2"/>
              </w:rPr>
              <w:t>КОЛЛЕКТИВ</w:t>
            </w:r>
            <w:r>
              <w:rPr/>
              <w:tab/>
            </w:r>
            <w:r>
              <w:rPr>
                <w:spacing w:val="-5"/>
              </w:rPr>
              <w:t>234</w:t>
            </w:r>
          </w:hyperlink>
        </w:p>
      </w:sdtContent>
    </w:sdt>
    <w:p>
      <w:pPr>
        <w:pStyle w:val="TOC2"/>
        <w:spacing w:after="0"/>
        <w:sectPr>
          <w:type w:val="continuous"/>
          <w:pgSz w:w="11900" w:h="16840"/>
          <w:pgMar w:header="0" w:footer="1143" w:top="1079" w:bottom="1455" w:left="0" w:right="0"/>
        </w:sectPr>
      </w:pPr>
    </w:p>
    <w:p>
      <w:pPr>
        <w:pStyle w:val="Heading1"/>
        <w:spacing w:before="74"/>
      </w:pPr>
      <w:bookmarkStart w:name="_TOC_250045" w:id="7"/>
      <w:bookmarkStart w:name="6" w:id="8"/>
      <w:r>
        <w:rPr>
          <w:b w:val="0"/>
        </w:rPr>
      </w:r>
      <w:bookmarkEnd w:id="7"/>
      <w:r>
        <w:rPr>
          <w:color w:val="1F487C"/>
          <w:spacing w:val="-2"/>
        </w:rPr>
        <w:t>ВВЕДЕНИЕ</w:t>
      </w:r>
    </w:p>
    <w:p>
      <w:pPr>
        <w:pStyle w:val="BodyText"/>
        <w:spacing w:line="312" w:lineRule="auto" w:before="200"/>
        <w:ind w:right="1271" w:firstLine="707"/>
      </w:pPr>
      <w:r>
        <w:rPr/>
        <w:t>В</w:t>
      </w:r>
      <w:r>
        <w:rPr>
          <w:spacing w:val="-4"/>
        </w:rPr>
        <w:t> </w:t>
      </w:r>
      <w:r>
        <w:rPr/>
        <w:t>конце</w:t>
      </w:r>
      <w:r>
        <w:rPr>
          <w:spacing w:val="-5"/>
        </w:rPr>
        <w:t> </w:t>
      </w:r>
      <w:r>
        <w:rPr/>
        <w:t>2019</w:t>
      </w:r>
      <w:r>
        <w:rPr>
          <w:spacing w:val="-5"/>
        </w:rPr>
        <w:t> </w:t>
      </w:r>
      <w:r>
        <w:rPr/>
        <w:t>г.</w:t>
      </w:r>
      <w:r>
        <w:rPr>
          <w:spacing w:val="-5"/>
        </w:rPr>
        <w:t> </w:t>
      </w:r>
      <w:r>
        <w:rPr/>
        <w:t>в</w:t>
      </w:r>
      <w:r>
        <w:rPr>
          <w:spacing w:val="-7"/>
        </w:rPr>
        <w:t> </w:t>
      </w:r>
      <w:r>
        <w:rPr/>
        <w:t>Китайской</w:t>
      </w:r>
      <w:r>
        <w:rPr>
          <w:spacing w:val="-4"/>
        </w:rPr>
        <w:t> </w:t>
      </w:r>
      <w:r>
        <w:rPr/>
        <w:t>Народной</w:t>
      </w:r>
      <w:r>
        <w:rPr>
          <w:spacing w:val="-6"/>
        </w:rPr>
        <w:t> </w:t>
      </w:r>
      <w:r>
        <w:rPr/>
        <w:t>Республике</w:t>
      </w:r>
      <w:r>
        <w:rPr>
          <w:spacing w:val="-5"/>
        </w:rPr>
        <w:t> </w:t>
      </w:r>
      <w:r>
        <w:rPr/>
        <w:t>(КНР)</w:t>
      </w:r>
      <w:r>
        <w:rPr>
          <w:spacing w:val="-5"/>
        </w:rPr>
        <w:t> </w:t>
      </w:r>
      <w:r>
        <w:rPr/>
        <w:t>произошла</w:t>
      </w:r>
      <w:r>
        <w:rPr>
          <w:spacing w:val="-5"/>
        </w:rPr>
        <w:t> </w:t>
      </w:r>
      <w:r>
        <w:rPr/>
        <w:t>вспышка новой коронавирусной инфекции с эпицентром в городе Ухань (провинция Хубэй). Всемирная организация здравоохранения (ВОЗ) 11 февраля 2020 г. определила официальное название инфекции, вызванной новым коронавирусом, – COVID-19 («Coronavirus</w:t>
      </w:r>
      <w:r>
        <w:rPr>
          <w:spacing w:val="80"/>
        </w:rPr>
        <w:t> </w:t>
      </w:r>
      <w:r>
        <w:rPr/>
        <w:t>disease</w:t>
      </w:r>
      <w:r>
        <w:rPr>
          <w:spacing w:val="80"/>
        </w:rPr>
        <w:t> </w:t>
      </w:r>
      <w:r>
        <w:rPr/>
        <w:t>2019»).</w:t>
      </w:r>
      <w:r>
        <w:rPr>
          <w:spacing w:val="80"/>
        </w:rPr>
        <w:t> </w:t>
      </w:r>
      <w:r>
        <w:rPr/>
        <w:t>Международный</w:t>
      </w:r>
      <w:r>
        <w:rPr>
          <w:spacing w:val="80"/>
        </w:rPr>
        <w:t> </w:t>
      </w:r>
      <w:r>
        <w:rPr/>
        <w:t>комитет</w:t>
      </w:r>
      <w:r>
        <w:rPr>
          <w:spacing w:val="80"/>
        </w:rPr>
        <w:t> </w:t>
      </w:r>
      <w:r>
        <w:rPr/>
        <w:t>по</w:t>
      </w:r>
      <w:r>
        <w:rPr>
          <w:spacing w:val="80"/>
        </w:rPr>
        <w:t> </w:t>
      </w:r>
      <w:r>
        <w:rPr/>
        <w:t>таксономии</w:t>
      </w:r>
      <w:r>
        <w:rPr>
          <w:spacing w:val="80"/>
        </w:rPr>
        <w:t> </w:t>
      </w:r>
      <w:r>
        <w:rPr/>
        <w:t>вирусов 11</w:t>
      </w:r>
      <w:r>
        <w:rPr>
          <w:spacing w:val="-3"/>
        </w:rPr>
        <w:t> </w:t>
      </w:r>
      <w:r>
        <w:rPr/>
        <w:t>февраля</w:t>
      </w:r>
      <w:r>
        <w:rPr>
          <w:spacing w:val="40"/>
        </w:rPr>
        <w:t> </w:t>
      </w:r>
      <w:r>
        <w:rPr/>
        <w:t>2020</w:t>
      </w:r>
      <w:r>
        <w:rPr>
          <w:spacing w:val="40"/>
        </w:rPr>
        <w:t> </w:t>
      </w:r>
      <w:r>
        <w:rPr/>
        <w:t>г.</w:t>
      </w:r>
      <w:r>
        <w:rPr>
          <w:spacing w:val="40"/>
        </w:rPr>
        <w:t> </w:t>
      </w:r>
      <w:r>
        <w:rPr/>
        <w:t>присвоил</w:t>
      </w:r>
      <w:r>
        <w:rPr>
          <w:spacing w:val="40"/>
        </w:rPr>
        <w:t> </w:t>
      </w:r>
      <w:r>
        <w:rPr/>
        <w:t>официальное</w:t>
      </w:r>
      <w:r>
        <w:rPr>
          <w:spacing w:val="40"/>
        </w:rPr>
        <w:t> </w:t>
      </w:r>
      <w:r>
        <w:rPr/>
        <w:t>название</w:t>
      </w:r>
      <w:r>
        <w:rPr>
          <w:spacing w:val="40"/>
        </w:rPr>
        <w:t> </w:t>
      </w:r>
      <w:r>
        <w:rPr/>
        <w:t>возбудителю</w:t>
      </w:r>
      <w:r>
        <w:rPr>
          <w:spacing w:val="40"/>
        </w:rPr>
        <w:t> </w:t>
      </w:r>
      <w:r>
        <w:rPr/>
        <w:t>инфекции</w:t>
      </w:r>
      <w:r>
        <w:rPr>
          <w:spacing w:val="40"/>
        </w:rPr>
        <w:t> </w:t>
      </w:r>
      <w:r>
        <w:rPr/>
        <w:t>– </w:t>
      </w:r>
      <w:r>
        <w:rPr>
          <w:spacing w:val="-2"/>
        </w:rPr>
        <w:t>SARS-CoV-2.</w:t>
      </w:r>
    </w:p>
    <w:p>
      <w:pPr>
        <w:pStyle w:val="BodyText"/>
        <w:spacing w:line="324" w:lineRule="auto" w:before="11"/>
        <w:ind w:right="1276" w:firstLine="707"/>
      </w:pPr>
      <w:r>
        <w:rPr/>
        <w:t>Появление COVID-19 поставило перед специалистами здравоохранения задачи, связанные с быстрой диагностикой и оказанием медицинской помощи больным.</w:t>
      </w:r>
      <w:r>
        <w:rPr>
          <w:spacing w:val="80"/>
        </w:rPr>
        <w:t> </w:t>
      </w:r>
      <w:r>
        <w:rPr/>
        <w:t>В настоящее</w:t>
      </w:r>
      <w:r>
        <w:rPr>
          <w:spacing w:val="80"/>
        </w:rPr>
        <w:t> </w:t>
      </w:r>
      <w:r>
        <w:rPr/>
        <w:t>время</w:t>
      </w:r>
      <w:r>
        <w:rPr>
          <w:spacing w:val="80"/>
        </w:rPr>
        <w:t> </w:t>
      </w:r>
      <w:r>
        <w:rPr/>
        <w:t>продолжается</w:t>
      </w:r>
      <w:r>
        <w:rPr>
          <w:spacing w:val="80"/>
        </w:rPr>
        <w:t> </w:t>
      </w:r>
      <w:r>
        <w:rPr/>
        <w:t>интенсивное</w:t>
      </w:r>
      <w:r>
        <w:rPr>
          <w:spacing w:val="80"/>
        </w:rPr>
        <w:t> </w:t>
      </w:r>
      <w:r>
        <w:rPr/>
        <w:t>изучение</w:t>
      </w:r>
      <w:r>
        <w:rPr>
          <w:spacing w:val="80"/>
        </w:rPr>
        <w:t> </w:t>
      </w:r>
      <w:r>
        <w:rPr/>
        <w:t>клинических и</w:t>
      </w:r>
      <w:r>
        <w:rPr>
          <w:spacing w:val="-2"/>
        </w:rPr>
        <w:t> </w:t>
      </w:r>
      <w:r>
        <w:rPr/>
        <w:t>эпидемиологических особенностей заболевания, разработка новых средств его профилактики и лечения.</w:t>
      </w:r>
    </w:p>
    <w:p>
      <w:pPr>
        <w:pStyle w:val="BodyText"/>
        <w:spacing w:line="312" w:lineRule="auto" w:before="3"/>
        <w:ind w:right="1273" w:firstLine="707"/>
      </w:pPr>
      <w:r>
        <w:rPr/>
        <w:t>Рекомендации, представленные в документе, в значительной степени базируются на материалах по диагностике, профилактике и лечению COVID-19, опубликованных специалистами ВОЗ, китайского, американского и европейского центров по контролю за заболеваемостью; на анализе отечественных и зарубежных научных публикаций; на нормативно-правовых документах Правительства Российской Федерации, Минздрава России и Роспотребнадзора.</w:t>
      </w:r>
    </w:p>
    <w:p>
      <w:pPr>
        <w:pStyle w:val="BodyText"/>
        <w:spacing w:line="312" w:lineRule="auto" w:before="13"/>
        <w:ind w:right="1273" w:firstLine="707"/>
      </w:pPr>
      <w:r>
        <w:rPr/>
        <w:t>Методические</w:t>
      </w:r>
      <w:r>
        <w:rPr>
          <w:spacing w:val="-3"/>
        </w:rPr>
        <w:t> </w:t>
      </w:r>
      <w:r>
        <w:rPr/>
        <w:t>рекомендации</w:t>
      </w:r>
      <w:r>
        <w:rPr>
          <w:spacing w:val="-3"/>
        </w:rPr>
        <w:t> </w:t>
      </w:r>
      <w:r>
        <w:rPr/>
        <w:t>предназначены</w:t>
      </w:r>
      <w:r>
        <w:rPr>
          <w:spacing w:val="-2"/>
        </w:rPr>
        <w:t> </w:t>
      </w:r>
      <w:r>
        <w:rPr/>
        <w:t>для</w:t>
      </w:r>
      <w:r>
        <w:rPr>
          <w:spacing w:val="-1"/>
        </w:rPr>
        <w:t> </w:t>
      </w:r>
      <w:r>
        <w:rPr/>
        <w:t>руководителей</w:t>
      </w:r>
      <w:r>
        <w:rPr>
          <w:spacing w:val="-3"/>
        </w:rPr>
        <w:t> </w:t>
      </w:r>
      <w:r>
        <w:rPr/>
        <w:t>медицинских организаций и их структурных подразделений, врачей-терапевтов, врачей общей практики,</w:t>
      </w:r>
      <w:r>
        <w:rPr>
          <w:spacing w:val="-15"/>
        </w:rPr>
        <w:t> </w:t>
      </w:r>
      <w:r>
        <w:rPr/>
        <w:t>врачей-инфекционистов,</w:t>
      </w:r>
      <w:r>
        <w:rPr>
          <w:spacing w:val="-15"/>
        </w:rPr>
        <w:t> </w:t>
      </w:r>
      <w:r>
        <w:rPr/>
        <w:t>врачей-педиатров,</w:t>
      </w:r>
      <w:r>
        <w:rPr>
          <w:spacing w:val="-15"/>
        </w:rPr>
        <w:t> </w:t>
      </w:r>
      <w:r>
        <w:rPr/>
        <w:t>врачей-акушеров-гинекологов, врачей-реаниматологов</w:t>
      </w:r>
      <w:r>
        <w:rPr>
          <w:spacing w:val="-15"/>
        </w:rPr>
        <w:t> </w:t>
      </w:r>
      <w:r>
        <w:rPr/>
        <w:t>отделений</w:t>
      </w:r>
      <w:r>
        <w:rPr>
          <w:spacing w:val="-15"/>
        </w:rPr>
        <w:t> </w:t>
      </w:r>
      <w:r>
        <w:rPr/>
        <w:t>интенсивной</w:t>
      </w:r>
      <w:r>
        <w:rPr>
          <w:spacing w:val="-15"/>
        </w:rPr>
        <w:t> </w:t>
      </w:r>
      <w:r>
        <w:rPr/>
        <w:t>терапии</w:t>
      </w:r>
      <w:r>
        <w:rPr>
          <w:spacing w:val="-15"/>
        </w:rPr>
        <w:t> </w:t>
      </w:r>
      <w:r>
        <w:rPr/>
        <w:t>инфекционных</w:t>
      </w:r>
      <w:r>
        <w:rPr>
          <w:spacing w:val="-15"/>
        </w:rPr>
        <w:t> </w:t>
      </w:r>
      <w:r>
        <w:rPr/>
        <w:t>стационаров, врачей</w:t>
      </w:r>
      <w:r>
        <w:rPr>
          <w:spacing w:val="76"/>
        </w:rPr>
        <w:t> </w:t>
      </w:r>
      <w:r>
        <w:rPr/>
        <w:t>скорой</w:t>
      </w:r>
      <w:r>
        <w:rPr>
          <w:spacing w:val="76"/>
        </w:rPr>
        <w:t> </w:t>
      </w:r>
      <w:r>
        <w:rPr/>
        <w:t>медицинской</w:t>
      </w:r>
      <w:r>
        <w:rPr>
          <w:spacing w:val="74"/>
        </w:rPr>
        <w:t> </w:t>
      </w:r>
      <w:r>
        <w:rPr/>
        <w:t>помощи,</w:t>
      </w:r>
      <w:r>
        <w:rPr>
          <w:spacing w:val="75"/>
        </w:rPr>
        <w:t> </w:t>
      </w:r>
      <w:r>
        <w:rPr/>
        <w:t>а</w:t>
      </w:r>
      <w:r>
        <w:rPr>
          <w:spacing w:val="75"/>
        </w:rPr>
        <w:t> </w:t>
      </w:r>
      <w:r>
        <w:rPr/>
        <w:t>также</w:t>
      </w:r>
      <w:r>
        <w:rPr>
          <w:spacing w:val="75"/>
        </w:rPr>
        <w:t> </w:t>
      </w:r>
      <w:r>
        <w:rPr/>
        <w:t>иных</w:t>
      </w:r>
      <w:r>
        <w:rPr>
          <w:spacing w:val="75"/>
        </w:rPr>
        <w:t> </w:t>
      </w:r>
      <w:r>
        <w:rPr/>
        <w:t>специалистов,</w:t>
      </w:r>
      <w:r>
        <w:rPr>
          <w:spacing w:val="75"/>
        </w:rPr>
        <w:t> </w:t>
      </w:r>
      <w:r>
        <w:rPr/>
        <w:t>работающих в сфере лабораторной и инструментальной диагностики и организации оказания медицинской помощи пациентам с COVID-19.</w:t>
      </w:r>
    </w:p>
    <w:p>
      <w:pPr>
        <w:pStyle w:val="BodyText"/>
        <w:spacing w:before="81"/>
        <w:ind w:left="0"/>
        <w:jc w:val="left"/>
      </w:pPr>
    </w:p>
    <w:p>
      <w:pPr>
        <w:pStyle w:val="Heading1"/>
        <w:numPr>
          <w:ilvl w:val="0"/>
          <w:numId w:val="5"/>
        </w:numPr>
        <w:tabs>
          <w:tab w:pos="2908" w:val="left" w:leader="none"/>
        </w:tabs>
        <w:spacing w:line="240" w:lineRule="auto" w:before="0" w:after="0"/>
        <w:ind w:left="2908" w:right="0" w:hanging="359"/>
        <w:jc w:val="left"/>
      </w:pPr>
      <w:bookmarkStart w:name="_TOC_250044" w:id="9"/>
      <w:r>
        <w:rPr>
          <w:color w:val="1F487C"/>
        </w:rPr>
        <w:t>ЭТИОЛОГИЯ,</w:t>
      </w:r>
      <w:r>
        <w:rPr>
          <w:color w:val="1F487C"/>
          <w:spacing w:val="-9"/>
        </w:rPr>
        <w:t> </w:t>
      </w:r>
      <w:r>
        <w:rPr>
          <w:color w:val="1F487C"/>
        </w:rPr>
        <w:t>ПАТОГЕНЕЗ</w:t>
      </w:r>
      <w:r>
        <w:rPr>
          <w:color w:val="1F487C"/>
          <w:spacing w:val="-5"/>
        </w:rPr>
        <w:t> </w:t>
      </w:r>
      <w:r>
        <w:rPr>
          <w:color w:val="1F487C"/>
        </w:rPr>
        <w:t>И</w:t>
      </w:r>
      <w:r>
        <w:rPr>
          <w:color w:val="1F487C"/>
          <w:spacing w:val="-5"/>
        </w:rPr>
        <w:t> </w:t>
      </w:r>
      <w:bookmarkEnd w:id="9"/>
      <w:r>
        <w:rPr>
          <w:color w:val="1F487C"/>
          <w:spacing w:val="-2"/>
        </w:rPr>
        <w:t>ПАТОМОРФОЛОГИЯ</w:t>
      </w:r>
    </w:p>
    <w:p>
      <w:pPr>
        <w:pStyle w:val="BodyText"/>
        <w:spacing w:line="312" w:lineRule="auto" w:before="201"/>
        <w:ind w:right="1271" w:firstLine="707"/>
      </w:pPr>
      <w:r>
        <w:rPr/>
        <w:t>Коронавирусы (Coronaviridae) – это большое семейство РНК-содержащих вирусов,</w:t>
      </w:r>
      <w:r>
        <w:rPr>
          <w:spacing w:val="80"/>
        </w:rPr>
        <w:t> </w:t>
      </w:r>
      <w:r>
        <w:rPr/>
        <w:t>способных</w:t>
      </w:r>
      <w:r>
        <w:rPr>
          <w:spacing w:val="80"/>
        </w:rPr>
        <w:t> </w:t>
      </w:r>
      <w:r>
        <w:rPr/>
        <w:t>инфицировать</w:t>
      </w:r>
      <w:r>
        <w:rPr>
          <w:spacing w:val="80"/>
        </w:rPr>
        <w:t> </w:t>
      </w:r>
      <w:r>
        <w:rPr/>
        <w:t>как</w:t>
      </w:r>
      <w:r>
        <w:rPr>
          <w:spacing w:val="80"/>
        </w:rPr>
        <w:t> </w:t>
      </w:r>
      <w:r>
        <w:rPr/>
        <w:t>животных</w:t>
      </w:r>
      <w:r>
        <w:rPr>
          <w:spacing w:val="80"/>
        </w:rPr>
        <w:t> </w:t>
      </w:r>
      <w:r>
        <w:rPr/>
        <w:t>(их</w:t>
      </w:r>
      <w:r>
        <w:rPr>
          <w:spacing w:val="80"/>
        </w:rPr>
        <w:t> </w:t>
      </w:r>
      <w:r>
        <w:rPr/>
        <w:t>естественных</w:t>
      </w:r>
      <w:r>
        <w:rPr>
          <w:spacing w:val="80"/>
        </w:rPr>
        <w:t> </w:t>
      </w:r>
      <w:r>
        <w:rPr/>
        <w:t>хозяев),</w:t>
      </w:r>
      <w:r>
        <w:rPr>
          <w:spacing w:val="80"/>
          <w:w w:val="150"/>
        </w:rPr>
        <w:t> </w:t>
      </w:r>
      <w:r>
        <w:rPr/>
        <w:t>так</w:t>
      </w:r>
      <w:r>
        <w:rPr>
          <w:spacing w:val="40"/>
        </w:rPr>
        <w:t> </w:t>
      </w:r>
      <w:r>
        <w:rPr/>
        <w:t>и</w:t>
      </w:r>
      <w:r>
        <w:rPr>
          <w:spacing w:val="-1"/>
        </w:rPr>
        <w:t> </w:t>
      </w:r>
      <w:r>
        <w:rPr/>
        <w:t>человека.</w:t>
      </w:r>
      <w:r>
        <w:rPr>
          <w:spacing w:val="40"/>
        </w:rPr>
        <w:t> </w:t>
      </w:r>
      <w:r>
        <w:rPr/>
        <w:t>У</w:t>
      </w:r>
      <w:r>
        <w:rPr>
          <w:spacing w:val="40"/>
        </w:rPr>
        <w:t> </w:t>
      </w:r>
      <w:r>
        <w:rPr/>
        <w:t>людей</w:t>
      </w:r>
      <w:r>
        <w:rPr>
          <w:spacing w:val="40"/>
        </w:rPr>
        <w:t> </w:t>
      </w:r>
      <w:r>
        <w:rPr/>
        <w:t>коронавирусы</w:t>
      </w:r>
      <w:r>
        <w:rPr>
          <w:spacing w:val="40"/>
        </w:rPr>
        <w:t> </w:t>
      </w:r>
      <w:r>
        <w:rPr/>
        <w:t>могут</w:t>
      </w:r>
      <w:r>
        <w:rPr>
          <w:spacing w:val="40"/>
        </w:rPr>
        <w:t> </w:t>
      </w:r>
      <w:r>
        <w:rPr/>
        <w:t>вызвать</w:t>
      </w:r>
      <w:r>
        <w:rPr>
          <w:spacing w:val="40"/>
        </w:rPr>
        <w:t> </w:t>
      </w:r>
      <w:r>
        <w:rPr/>
        <w:t>целый</w:t>
      </w:r>
      <w:r>
        <w:rPr>
          <w:spacing w:val="40"/>
        </w:rPr>
        <w:t> </w:t>
      </w:r>
      <w:r>
        <w:rPr/>
        <w:t>ряд</w:t>
      </w:r>
      <w:r>
        <w:rPr>
          <w:spacing w:val="40"/>
        </w:rPr>
        <w:t> </w:t>
      </w:r>
      <w:r>
        <w:rPr/>
        <w:t>заболеваний</w:t>
      </w:r>
      <w:r>
        <w:rPr>
          <w:spacing w:val="40"/>
        </w:rPr>
        <w:t> </w:t>
      </w:r>
      <w:r>
        <w:rPr/>
        <w:t>– от легких форм острой респираторной инфекции (ОРВИ) до тяжелого острого респираторного синдрома (ТОРС или SARS).</w:t>
      </w:r>
    </w:p>
    <w:p>
      <w:pPr>
        <w:pStyle w:val="BodyText"/>
        <w:spacing w:line="312" w:lineRule="auto" w:before="11"/>
        <w:ind w:right="1272" w:firstLine="707"/>
      </w:pPr>
      <w:r>
        <w:rPr/>
        <w:t>До 2002 г. коронавирусы рассматривались в качестве агентов, вызывающих нетяжелые заболевания верхних дыхательных путей (с крайне редкими летальными исходами). В период с 2002 по 2004 гг. коронавирус SARS-CoV из рода </w:t>
      </w:r>
      <w:r>
        <w:rPr>
          <w:i/>
        </w:rPr>
        <w:t>Betacoronavirus </w:t>
      </w:r>
      <w:r>
        <w:rPr/>
        <w:t>(резервуар – летучие мыши, промежуточный резервуар – циветты) впервые</w:t>
      </w:r>
      <w:r>
        <w:rPr>
          <w:spacing w:val="35"/>
        </w:rPr>
        <w:t> </w:t>
      </w:r>
      <w:r>
        <w:rPr/>
        <w:t>стал</w:t>
      </w:r>
      <w:r>
        <w:rPr>
          <w:spacing w:val="36"/>
        </w:rPr>
        <w:t> </w:t>
      </w:r>
      <w:r>
        <w:rPr/>
        <w:t>причиной</w:t>
      </w:r>
      <w:r>
        <w:rPr>
          <w:spacing w:val="37"/>
        </w:rPr>
        <w:t> </w:t>
      </w:r>
      <w:r>
        <w:rPr/>
        <w:t>развития</w:t>
      </w:r>
      <w:r>
        <w:rPr>
          <w:spacing w:val="36"/>
        </w:rPr>
        <w:t> </w:t>
      </w:r>
      <w:r>
        <w:rPr/>
        <w:t>эпидемии</w:t>
      </w:r>
      <w:r>
        <w:rPr>
          <w:spacing w:val="37"/>
        </w:rPr>
        <w:t> </w:t>
      </w:r>
      <w:r>
        <w:rPr/>
        <w:t>так</w:t>
      </w:r>
      <w:r>
        <w:rPr>
          <w:spacing w:val="40"/>
        </w:rPr>
        <w:t> </w:t>
      </w:r>
      <w:r>
        <w:rPr/>
        <w:t>называемой</w:t>
      </w:r>
      <w:r>
        <w:rPr>
          <w:spacing w:val="37"/>
        </w:rPr>
        <w:t> </w:t>
      </w:r>
      <w:r>
        <w:rPr/>
        <w:t>атипичной</w:t>
      </w:r>
      <w:r>
        <w:rPr>
          <w:spacing w:val="35"/>
        </w:rPr>
        <w:t> </w:t>
      </w:r>
      <w:r>
        <w:rPr/>
        <w:t>пневмонии</w:t>
      </w:r>
    </w:p>
    <w:p>
      <w:pPr>
        <w:pStyle w:val="BodyText"/>
        <w:spacing w:after="0" w:line="312" w:lineRule="auto"/>
        <w:sectPr>
          <w:footerReference w:type="default" r:id="rId20"/>
          <w:pgSz w:w="11900" w:h="16840"/>
          <w:pgMar w:header="0" w:footer="697" w:top="1080" w:bottom="880" w:left="0" w:right="0"/>
        </w:sectPr>
      </w:pPr>
    </w:p>
    <w:p>
      <w:pPr>
        <w:pStyle w:val="BodyText"/>
        <w:spacing w:line="312" w:lineRule="auto" w:before="73"/>
        <w:ind w:right="1270"/>
      </w:pPr>
      <w:bookmarkStart w:name="7" w:id="10"/>
      <w:bookmarkEnd w:id="10"/>
      <w:r>
        <w:rPr/>
      </w:r>
      <w:r>
        <w:rPr/>
        <w:t>(ТОРС)</w:t>
      </w:r>
      <w:r>
        <w:rPr>
          <w:spacing w:val="-5"/>
        </w:rPr>
        <w:t> </w:t>
      </w:r>
      <w:r>
        <w:rPr/>
        <w:t>и</w:t>
      </w:r>
      <w:r>
        <w:rPr>
          <w:spacing w:val="-3"/>
        </w:rPr>
        <w:t> </w:t>
      </w:r>
      <w:r>
        <w:rPr/>
        <w:t>подтвержденной</w:t>
      </w:r>
      <w:r>
        <w:rPr>
          <w:spacing w:val="-5"/>
        </w:rPr>
        <w:t> </w:t>
      </w:r>
      <w:r>
        <w:rPr/>
        <w:t>причиной</w:t>
      </w:r>
      <w:r>
        <w:rPr>
          <w:spacing w:val="-4"/>
        </w:rPr>
        <w:t> </w:t>
      </w:r>
      <w:r>
        <w:rPr/>
        <w:t>смерти</w:t>
      </w:r>
      <w:r>
        <w:rPr>
          <w:spacing w:val="-3"/>
        </w:rPr>
        <w:t> </w:t>
      </w:r>
      <w:r>
        <w:rPr/>
        <w:t>774</w:t>
      </w:r>
      <w:r>
        <w:rPr>
          <w:spacing w:val="-5"/>
        </w:rPr>
        <w:t> </w:t>
      </w:r>
      <w:r>
        <w:rPr/>
        <w:t>человек</w:t>
      </w:r>
      <w:r>
        <w:rPr>
          <w:spacing w:val="-4"/>
        </w:rPr>
        <w:t> </w:t>
      </w:r>
      <w:r>
        <w:rPr/>
        <w:t>в</w:t>
      </w:r>
      <w:r>
        <w:rPr>
          <w:spacing w:val="-5"/>
        </w:rPr>
        <w:t> </w:t>
      </w:r>
      <w:r>
        <w:rPr/>
        <w:t>37</w:t>
      </w:r>
      <w:r>
        <w:rPr>
          <w:spacing w:val="-5"/>
        </w:rPr>
        <w:t> </w:t>
      </w:r>
      <w:r>
        <w:rPr/>
        <w:t>странах</w:t>
      </w:r>
      <w:r>
        <w:rPr>
          <w:spacing w:val="-2"/>
        </w:rPr>
        <w:t> </w:t>
      </w:r>
      <w:r>
        <w:rPr/>
        <w:t>мира.</w:t>
      </w:r>
      <w:r>
        <w:rPr>
          <w:spacing w:val="-5"/>
        </w:rPr>
        <w:t> </w:t>
      </w:r>
      <w:r>
        <w:rPr/>
        <w:t>С</w:t>
      </w:r>
      <w:r>
        <w:rPr>
          <w:spacing w:val="-4"/>
        </w:rPr>
        <w:t> </w:t>
      </w:r>
      <w:r>
        <w:rPr/>
        <w:t>2004</w:t>
      </w:r>
      <w:r>
        <w:rPr>
          <w:spacing w:val="-5"/>
        </w:rPr>
        <w:t> </w:t>
      </w:r>
      <w:r>
        <w:rPr/>
        <w:t>г. новых случаев атипичной пневмонии, вызванной SARS-CoV, не зарегистрировано. Очередная</w:t>
      </w:r>
      <w:r>
        <w:rPr>
          <w:spacing w:val="-8"/>
        </w:rPr>
        <w:t> </w:t>
      </w:r>
      <w:r>
        <w:rPr/>
        <w:t>эпидемия,</w:t>
      </w:r>
      <w:r>
        <w:rPr>
          <w:spacing w:val="-8"/>
        </w:rPr>
        <w:t> </w:t>
      </w:r>
      <w:r>
        <w:rPr/>
        <w:t>вызванная</w:t>
      </w:r>
      <w:r>
        <w:rPr>
          <w:spacing w:val="-8"/>
        </w:rPr>
        <w:t> </w:t>
      </w:r>
      <w:r>
        <w:rPr/>
        <w:t>коронавирусом</w:t>
      </w:r>
      <w:r>
        <w:rPr>
          <w:spacing w:val="-9"/>
        </w:rPr>
        <w:t> </w:t>
      </w:r>
      <w:r>
        <w:rPr/>
        <w:t>MERS-CoV</w:t>
      </w:r>
      <w:r>
        <w:rPr>
          <w:spacing w:val="-8"/>
        </w:rPr>
        <w:t> </w:t>
      </w:r>
      <w:r>
        <w:rPr/>
        <w:t>(резервуар</w:t>
      </w:r>
      <w:r>
        <w:rPr>
          <w:spacing w:val="-6"/>
        </w:rPr>
        <w:t> </w:t>
      </w:r>
      <w:r>
        <w:rPr/>
        <w:t>–</w:t>
      </w:r>
      <w:r>
        <w:rPr>
          <w:spacing w:val="-8"/>
        </w:rPr>
        <w:t> </w:t>
      </w:r>
      <w:r>
        <w:rPr/>
        <w:t>одногорбые верблюды), также из рода Betacoronavirus, – ближневосточный коронавирусный синдром</w:t>
      </w:r>
      <w:r>
        <w:rPr>
          <w:spacing w:val="-1"/>
        </w:rPr>
        <w:t> </w:t>
      </w:r>
      <w:r>
        <w:rPr/>
        <w:t>-</w:t>
      </w:r>
      <w:r>
        <w:rPr>
          <w:spacing w:val="-2"/>
        </w:rPr>
        <w:t> </w:t>
      </w:r>
      <w:r>
        <w:rPr/>
        <w:t>началась</w:t>
      </w:r>
      <w:r>
        <w:rPr>
          <w:spacing w:val="-1"/>
        </w:rPr>
        <w:t> </w:t>
      </w:r>
      <w:r>
        <w:rPr/>
        <w:t>в</w:t>
      </w:r>
      <w:r>
        <w:rPr>
          <w:spacing w:val="-2"/>
        </w:rPr>
        <w:t> </w:t>
      </w:r>
      <w:r>
        <w:rPr/>
        <w:t>2012</w:t>
      </w:r>
      <w:r>
        <w:rPr>
          <w:spacing w:val="-1"/>
        </w:rPr>
        <w:t> </w:t>
      </w:r>
      <w:r>
        <w:rPr/>
        <w:t>г.</w:t>
      </w:r>
      <w:r>
        <w:rPr>
          <w:spacing w:val="-1"/>
        </w:rPr>
        <w:t> </w:t>
      </w:r>
      <w:r>
        <w:rPr/>
        <w:t>на</w:t>
      </w:r>
      <w:r>
        <w:rPr>
          <w:spacing w:val="-2"/>
        </w:rPr>
        <w:t> </w:t>
      </w:r>
      <w:r>
        <w:rPr/>
        <w:t>Аравийским</w:t>
      </w:r>
      <w:r>
        <w:rPr>
          <w:spacing w:val="-2"/>
        </w:rPr>
        <w:t> </w:t>
      </w:r>
      <w:r>
        <w:rPr/>
        <w:t>полуострове</w:t>
      </w:r>
      <w:r>
        <w:rPr>
          <w:spacing w:val="-2"/>
        </w:rPr>
        <w:t> </w:t>
      </w:r>
      <w:r>
        <w:rPr/>
        <w:t>(82% случаев</w:t>
      </w:r>
      <w:r>
        <w:rPr>
          <w:spacing w:val="-2"/>
        </w:rPr>
        <w:t> </w:t>
      </w:r>
      <w:r>
        <w:rPr/>
        <w:t>в</w:t>
      </w:r>
      <w:r>
        <w:rPr>
          <w:spacing w:val="-2"/>
        </w:rPr>
        <w:t> </w:t>
      </w:r>
      <w:r>
        <w:rPr/>
        <w:t>Саудовской Аравии).</w:t>
      </w:r>
      <w:r>
        <w:rPr>
          <w:spacing w:val="80"/>
        </w:rPr>
        <w:t>  </w:t>
      </w:r>
      <w:r>
        <w:rPr/>
        <w:t>На</w:t>
      </w:r>
      <w:r>
        <w:rPr>
          <w:spacing w:val="80"/>
        </w:rPr>
        <w:t> </w:t>
      </w:r>
      <w:r>
        <w:rPr/>
        <w:t>05.05.2025</w:t>
      </w:r>
      <w:r>
        <w:rPr>
          <w:spacing w:val="80"/>
        </w:rPr>
        <w:t> </w:t>
      </w:r>
      <w:r>
        <w:rPr/>
        <w:t>зарегистрировано</w:t>
      </w:r>
      <w:r>
        <w:rPr>
          <w:spacing w:val="80"/>
        </w:rPr>
        <w:t> </w:t>
      </w:r>
      <w:r>
        <w:rPr/>
        <w:t>955</w:t>
      </w:r>
      <w:r>
        <w:rPr>
          <w:spacing w:val="80"/>
        </w:rPr>
        <w:t> </w:t>
      </w:r>
      <w:r>
        <w:rPr/>
        <w:t>летальных</w:t>
      </w:r>
      <w:r>
        <w:rPr>
          <w:spacing w:val="80"/>
        </w:rPr>
        <w:t> </w:t>
      </w:r>
      <w:r>
        <w:rPr/>
        <w:t>исходов</w:t>
      </w:r>
      <w:r>
        <w:rPr>
          <w:spacing w:val="80"/>
        </w:rPr>
        <w:t> </w:t>
      </w:r>
      <w:r>
        <w:rPr/>
        <w:t>от</w:t>
      </w:r>
      <w:r>
        <w:rPr>
          <w:spacing w:val="80"/>
        </w:rPr>
        <w:t> </w:t>
      </w:r>
      <w:r>
        <w:rPr/>
        <w:t>MERS.</w:t>
      </w:r>
      <w:r>
        <w:rPr>
          <w:spacing w:val="80"/>
        </w:rPr>
        <w:t> </w:t>
      </w:r>
      <w:r>
        <w:rPr/>
        <w:t>В настоящий момент MERS-CoV продолжает циркулировать и вызывать новые случаи заболевания.</w:t>
      </w:r>
    </w:p>
    <w:p>
      <w:pPr>
        <w:pStyle w:val="BodyText"/>
        <w:spacing w:line="312" w:lineRule="auto" w:before="12"/>
        <w:ind w:right="1272" w:firstLine="707"/>
      </w:pPr>
      <w:r>
        <w:rPr/>
        <w:t>SARS-CoV-2 – оболочечный вирус с одноцепочечной РНК позитивной полярности, относящийся к семейству Coronaviridae, роду </w:t>
      </w:r>
      <w:r>
        <w:rPr>
          <w:i/>
        </w:rPr>
        <w:t>Betacoronavirus</w:t>
      </w:r>
      <w:r>
        <w:rPr/>
        <w:t>, подроду </w:t>
      </w:r>
      <w:r>
        <w:rPr>
          <w:i/>
        </w:rPr>
        <w:t>Sarbecovirus</w:t>
      </w:r>
      <w:r>
        <w:rPr/>
        <w:t>. Для представителей семейства </w:t>
      </w:r>
      <w:r>
        <w:rPr>
          <w:i/>
        </w:rPr>
        <w:t>Coronaviridae </w:t>
      </w:r>
      <w:r>
        <w:rPr/>
        <w:t>характерны выявляемые на</w:t>
      </w:r>
      <w:r>
        <w:rPr>
          <w:spacing w:val="-5"/>
        </w:rPr>
        <w:t> </w:t>
      </w:r>
      <w:r>
        <w:rPr/>
        <w:t>поверхности вирусной частицы при электронной микроскопии булавовидные шипы</w:t>
      </w:r>
      <w:r>
        <w:rPr>
          <w:spacing w:val="80"/>
        </w:rPr>
        <w:t> </w:t>
      </w:r>
      <w:r>
        <w:rPr/>
        <w:t>(пепломеры),</w:t>
      </w:r>
      <w:r>
        <w:rPr>
          <w:spacing w:val="80"/>
        </w:rPr>
        <w:t> </w:t>
      </w:r>
      <w:r>
        <w:rPr/>
        <w:t>выглядящие</w:t>
      </w:r>
      <w:r>
        <w:rPr>
          <w:spacing w:val="80"/>
        </w:rPr>
        <w:t> </w:t>
      </w:r>
      <w:r>
        <w:rPr/>
        <w:t>как</w:t>
      </w:r>
      <w:r>
        <w:rPr>
          <w:spacing w:val="80"/>
        </w:rPr>
        <w:t> </w:t>
      </w:r>
      <w:r>
        <w:rPr/>
        <w:t>корона.</w:t>
      </w:r>
      <w:r>
        <w:rPr>
          <w:spacing w:val="80"/>
        </w:rPr>
        <w:t>  </w:t>
      </w:r>
      <w:r>
        <w:rPr/>
        <w:t>Исходный</w:t>
      </w:r>
      <w:r>
        <w:rPr>
          <w:spacing w:val="80"/>
        </w:rPr>
        <w:t> </w:t>
      </w:r>
      <w:r>
        <w:rPr/>
        <w:t>штамм,</w:t>
      </w:r>
      <w:r>
        <w:rPr>
          <w:spacing w:val="80"/>
        </w:rPr>
        <w:t> </w:t>
      </w:r>
      <w:r>
        <w:rPr/>
        <w:t>выделенный </w:t>
      </w:r>
      <w:r>
        <w:rPr>
          <w:spacing w:val="-2"/>
        </w:rPr>
        <w:t>из</w:t>
      </w:r>
      <w:r>
        <w:rPr>
          <w:spacing w:val="-5"/>
        </w:rPr>
        <w:t> </w:t>
      </w:r>
      <w:r>
        <w:rPr>
          <w:spacing w:val="-2"/>
        </w:rPr>
        <w:t>образцов</w:t>
      </w:r>
      <w:r>
        <w:rPr>
          <w:spacing w:val="-6"/>
        </w:rPr>
        <w:t> </w:t>
      </w:r>
      <w:r>
        <w:rPr>
          <w:spacing w:val="-2"/>
        </w:rPr>
        <w:t>от</w:t>
      </w:r>
      <w:r>
        <w:rPr>
          <w:spacing w:val="-5"/>
        </w:rPr>
        <w:t> </w:t>
      </w:r>
      <w:r>
        <w:rPr>
          <w:spacing w:val="-2"/>
        </w:rPr>
        <w:t>пациентов,</w:t>
      </w:r>
      <w:r>
        <w:rPr>
          <w:spacing w:val="-6"/>
        </w:rPr>
        <w:t> </w:t>
      </w:r>
      <w:r>
        <w:rPr>
          <w:spacing w:val="-2"/>
        </w:rPr>
        <w:t>госпитализированных</w:t>
      </w:r>
      <w:r>
        <w:rPr>
          <w:spacing w:val="-6"/>
        </w:rPr>
        <w:t> </w:t>
      </w:r>
      <w:r>
        <w:rPr>
          <w:spacing w:val="-2"/>
        </w:rPr>
        <w:t>в</w:t>
      </w:r>
      <w:r>
        <w:rPr>
          <w:spacing w:val="-6"/>
        </w:rPr>
        <w:t> </w:t>
      </w:r>
      <w:r>
        <w:rPr>
          <w:spacing w:val="-2"/>
        </w:rPr>
        <w:t>Ухане</w:t>
      </w:r>
      <w:r>
        <w:rPr>
          <w:spacing w:val="-7"/>
        </w:rPr>
        <w:t> </w:t>
      </w:r>
      <w:r>
        <w:rPr>
          <w:spacing w:val="-2"/>
        </w:rPr>
        <w:t>в</w:t>
      </w:r>
      <w:r>
        <w:rPr>
          <w:spacing w:val="-6"/>
        </w:rPr>
        <w:t> </w:t>
      </w:r>
      <w:r>
        <w:rPr>
          <w:spacing w:val="-2"/>
        </w:rPr>
        <w:t>декабре</w:t>
      </w:r>
      <w:r>
        <w:rPr>
          <w:spacing w:val="-7"/>
        </w:rPr>
        <w:t> </w:t>
      </w:r>
      <w:r>
        <w:rPr>
          <w:spacing w:val="-2"/>
        </w:rPr>
        <w:t>2019</w:t>
      </w:r>
      <w:r>
        <w:rPr>
          <w:spacing w:val="-6"/>
        </w:rPr>
        <w:t> </w:t>
      </w:r>
      <w:r>
        <w:rPr>
          <w:spacing w:val="-2"/>
        </w:rPr>
        <w:t>года,</w:t>
      </w:r>
      <w:r>
        <w:rPr>
          <w:spacing w:val="-6"/>
        </w:rPr>
        <w:t> </w:t>
      </w:r>
      <w:r>
        <w:rPr>
          <w:spacing w:val="-2"/>
        </w:rPr>
        <w:t>является </w:t>
      </w:r>
      <w:r>
        <w:rPr/>
        <w:t>референсным геномом для всех последующих полученных при секвенировании </w:t>
      </w:r>
      <w:r>
        <w:rPr>
          <w:spacing w:val="-2"/>
        </w:rPr>
        <w:t>последовательностей.</w:t>
      </w:r>
    </w:p>
    <w:p>
      <w:pPr>
        <w:pStyle w:val="BodyText"/>
        <w:spacing w:line="312" w:lineRule="auto" w:before="10"/>
        <w:ind w:right="1272" w:firstLine="707"/>
      </w:pPr>
      <w:r>
        <w:rPr/>
        <w:t>Количество вариантов SARS-CoV-2 в настоящее время превышает 2000 различных</w:t>
      </w:r>
      <w:r>
        <w:rPr>
          <w:spacing w:val="40"/>
        </w:rPr>
        <w:t> </w:t>
      </w:r>
      <w:r>
        <w:rPr/>
        <w:t>генетических</w:t>
      </w:r>
      <w:r>
        <w:rPr>
          <w:spacing w:val="40"/>
        </w:rPr>
        <w:t> </w:t>
      </w:r>
      <w:r>
        <w:rPr/>
        <w:t>линий.</w:t>
      </w:r>
      <w:r>
        <w:rPr>
          <w:spacing w:val="40"/>
        </w:rPr>
        <w:t> </w:t>
      </w:r>
      <w:r>
        <w:rPr/>
        <w:t>Большинство</w:t>
      </w:r>
      <w:r>
        <w:rPr>
          <w:spacing w:val="40"/>
        </w:rPr>
        <w:t> </w:t>
      </w:r>
      <w:r>
        <w:rPr/>
        <w:t>зарегистрированных</w:t>
      </w:r>
      <w:r>
        <w:rPr>
          <w:spacing w:val="40"/>
        </w:rPr>
        <w:t> </w:t>
      </w:r>
      <w:r>
        <w:rPr/>
        <w:t>мутаций</w:t>
      </w:r>
      <w:r>
        <w:rPr>
          <w:spacing w:val="80"/>
        </w:rPr>
        <w:t> </w:t>
      </w:r>
      <w:r>
        <w:rPr/>
        <w:t>SARS-CoV-2 не имеет функционального значения. Только отдельные линии имеют выраженное</w:t>
      </w:r>
      <w:r>
        <w:rPr>
          <w:spacing w:val="80"/>
          <w:w w:val="150"/>
        </w:rPr>
        <w:t> </w:t>
      </w:r>
      <w:r>
        <w:rPr/>
        <w:t>эпидемиологическое</w:t>
      </w:r>
      <w:r>
        <w:rPr>
          <w:spacing w:val="80"/>
          <w:w w:val="150"/>
        </w:rPr>
        <w:t> </w:t>
      </w:r>
      <w:r>
        <w:rPr/>
        <w:t>значение.</w:t>
      </w:r>
      <w:r>
        <w:rPr>
          <w:spacing w:val="80"/>
          <w:w w:val="150"/>
        </w:rPr>
        <w:t> </w:t>
      </w:r>
      <w:r>
        <w:rPr/>
        <w:t>Для</w:t>
      </w:r>
      <w:r>
        <w:rPr>
          <w:spacing w:val="80"/>
          <w:w w:val="150"/>
        </w:rPr>
        <w:t> </w:t>
      </w:r>
      <w:r>
        <w:rPr/>
        <w:t>анализа</w:t>
      </w:r>
      <w:r>
        <w:rPr>
          <w:spacing w:val="80"/>
          <w:w w:val="150"/>
        </w:rPr>
        <w:t> </w:t>
      </w:r>
      <w:r>
        <w:rPr/>
        <w:t>эпидемиологического и</w:t>
      </w:r>
      <w:r>
        <w:rPr>
          <w:spacing w:val="80"/>
          <w:w w:val="150"/>
        </w:rPr>
        <w:t> </w:t>
      </w:r>
      <w:r>
        <w:rPr/>
        <w:t>клинического</w:t>
      </w:r>
      <w:r>
        <w:rPr>
          <w:spacing w:val="80"/>
          <w:w w:val="150"/>
        </w:rPr>
        <w:t> </w:t>
      </w:r>
      <w:r>
        <w:rPr/>
        <w:t>значения</w:t>
      </w:r>
      <w:r>
        <w:rPr>
          <w:spacing w:val="80"/>
          <w:w w:val="150"/>
        </w:rPr>
        <w:t> </w:t>
      </w:r>
      <w:r>
        <w:rPr/>
        <w:t>вариантов</w:t>
      </w:r>
      <w:r>
        <w:rPr>
          <w:spacing w:val="80"/>
          <w:w w:val="150"/>
        </w:rPr>
        <w:t> </w:t>
      </w:r>
      <w:r>
        <w:rPr/>
        <w:t>вируса</w:t>
      </w:r>
      <w:r>
        <w:rPr>
          <w:spacing w:val="80"/>
          <w:w w:val="150"/>
        </w:rPr>
        <w:t> </w:t>
      </w:r>
      <w:r>
        <w:rPr/>
        <w:t>и</w:t>
      </w:r>
      <w:r>
        <w:rPr>
          <w:spacing w:val="80"/>
          <w:w w:val="150"/>
        </w:rPr>
        <w:t> </w:t>
      </w:r>
      <w:r>
        <w:rPr/>
        <w:t>облегчения</w:t>
      </w:r>
      <w:r>
        <w:rPr>
          <w:spacing w:val="80"/>
          <w:w w:val="150"/>
        </w:rPr>
        <w:t> </w:t>
      </w:r>
      <w:r>
        <w:rPr/>
        <w:t>обмена</w:t>
      </w:r>
      <w:r>
        <w:rPr>
          <w:spacing w:val="80"/>
          <w:w w:val="150"/>
        </w:rPr>
        <w:t> </w:t>
      </w:r>
      <w:r>
        <w:rPr/>
        <w:t>данными</w:t>
      </w:r>
      <w:r>
        <w:rPr>
          <w:spacing w:val="40"/>
        </w:rPr>
        <w:t> </w:t>
      </w:r>
      <w:r>
        <w:rPr/>
        <w:t>по появлению и распространению вариантов вируса ВОЗ создал Рабочую группу, которая</w:t>
      </w:r>
      <w:r>
        <w:rPr>
          <w:spacing w:val="65"/>
        </w:rPr>
        <w:t>  </w:t>
      </w:r>
      <w:r>
        <w:rPr/>
        <w:t>предложила</w:t>
      </w:r>
      <w:r>
        <w:rPr>
          <w:spacing w:val="64"/>
        </w:rPr>
        <w:t>  </w:t>
      </w:r>
      <w:r>
        <w:rPr/>
        <w:t>унифицировать</w:t>
      </w:r>
      <w:r>
        <w:rPr>
          <w:spacing w:val="65"/>
        </w:rPr>
        <w:t>  </w:t>
      </w:r>
      <w:r>
        <w:rPr/>
        <w:t>обозначение</w:t>
      </w:r>
      <w:r>
        <w:rPr>
          <w:spacing w:val="64"/>
        </w:rPr>
        <w:t>  </w:t>
      </w:r>
      <w:r>
        <w:rPr/>
        <w:t>групп</w:t>
      </w:r>
      <w:r>
        <w:rPr>
          <w:spacing w:val="65"/>
        </w:rPr>
        <w:t>  </w:t>
      </w:r>
      <w:r>
        <w:rPr/>
        <w:t>вариантов</w:t>
      </w:r>
      <w:r>
        <w:rPr>
          <w:spacing w:val="65"/>
        </w:rPr>
        <w:t>  </w:t>
      </w:r>
      <w:r>
        <w:rPr/>
        <w:t>вируса и обозначить их буквами греческого алфавита.</w:t>
      </w:r>
    </w:p>
    <w:p>
      <w:pPr>
        <w:pStyle w:val="BodyText"/>
        <w:spacing w:line="312" w:lineRule="auto" w:before="12"/>
        <w:ind w:right="1271" w:firstLine="707"/>
      </w:pPr>
      <w:r>
        <w:rPr/>
        <w:t>Исходя из распространенности различных вариантов вируса среди населения и данных об их биологических свойствах (контагиозность, патогенность, отношение к нейтрализующей активности антител), ВОЗ выделяет варианты, вызывающие обеспокоенность</w:t>
      </w:r>
      <w:r>
        <w:rPr>
          <w:spacing w:val="-15"/>
        </w:rPr>
        <w:t> </w:t>
      </w:r>
      <w:r>
        <w:rPr/>
        <w:t>(VOС</w:t>
      </w:r>
      <w:r>
        <w:rPr>
          <w:spacing w:val="-15"/>
        </w:rPr>
        <w:t> </w:t>
      </w:r>
      <w:r>
        <w:rPr/>
        <w:t>–</w:t>
      </w:r>
      <w:r>
        <w:rPr>
          <w:spacing w:val="-15"/>
        </w:rPr>
        <w:t> </w:t>
      </w:r>
      <w:r>
        <w:rPr/>
        <w:t>variant</w:t>
      </w:r>
      <w:r>
        <w:rPr>
          <w:spacing w:val="-15"/>
        </w:rPr>
        <w:t> </w:t>
      </w:r>
      <w:r>
        <w:rPr/>
        <w:t>of</w:t>
      </w:r>
      <w:r>
        <w:rPr>
          <w:spacing w:val="-15"/>
        </w:rPr>
        <w:t> </w:t>
      </w:r>
      <w:r>
        <w:rPr/>
        <w:t>concern),</w:t>
      </w:r>
      <w:r>
        <w:rPr>
          <w:spacing w:val="-15"/>
        </w:rPr>
        <w:t> </w:t>
      </w:r>
      <w:r>
        <w:rPr/>
        <w:t>варианты,</w:t>
      </w:r>
      <w:r>
        <w:rPr>
          <w:spacing w:val="-15"/>
        </w:rPr>
        <w:t> </w:t>
      </w:r>
      <w:r>
        <w:rPr/>
        <w:t>находящиеся</w:t>
      </w:r>
      <w:r>
        <w:rPr>
          <w:spacing w:val="-15"/>
        </w:rPr>
        <w:t> </w:t>
      </w:r>
      <w:r>
        <w:rPr/>
        <w:t>под</w:t>
      </w:r>
      <w:r>
        <w:rPr>
          <w:spacing w:val="-15"/>
        </w:rPr>
        <w:t> </w:t>
      </w:r>
      <w:r>
        <w:rPr/>
        <w:t>наблюдением (VUM - variant under monitoring) и варианты, вызывающие интерес (VOI – variant of interest). В настоящее время все линии SARS-CoV-2 и их разновидности, циркулирующие</w:t>
      </w:r>
      <w:r>
        <w:rPr>
          <w:spacing w:val="-10"/>
        </w:rPr>
        <w:t> </w:t>
      </w:r>
      <w:r>
        <w:rPr/>
        <w:t>в</w:t>
      </w:r>
      <w:r>
        <w:rPr>
          <w:spacing w:val="-10"/>
        </w:rPr>
        <w:t> </w:t>
      </w:r>
      <w:r>
        <w:rPr/>
        <w:t>мире</w:t>
      </w:r>
      <w:r>
        <w:rPr>
          <w:spacing w:val="-13"/>
        </w:rPr>
        <w:t> </w:t>
      </w:r>
      <w:r>
        <w:rPr/>
        <w:t>с</w:t>
      </w:r>
      <w:r>
        <w:rPr>
          <w:spacing w:val="-10"/>
        </w:rPr>
        <w:t> </w:t>
      </w:r>
      <w:r>
        <w:rPr/>
        <w:t>частотой</w:t>
      </w:r>
      <w:r>
        <w:rPr>
          <w:spacing w:val="-8"/>
        </w:rPr>
        <w:t> </w:t>
      </w:r>
      <w:r>
        <w:rPr/>
        <w:t>более</w:t>
      </w:r>
      <w:r>
        <w:rPr>
          <w:spacing w:val="-11"/>
        </w:rPr>
        <w:t> </w:t>
      </w:r>
      <w:r>
        <w:rPr/>
        <w:t>1%,</w:t>
      </w:r>
      <w:r>
        <w:rPr>
          <w:spacing w:val="-9"/>
        </w:rPr>
        <w:t> </w:t>
      </w:r>
      <w:r>
        <w:rPr/>
        <w:t>являются</w:t>
      </w:r>
      <w:r>
        <w:rPr>
          <w:spacing w:val="-9"/>
        </w:rPr>
        <w:t> </w:t>
      </w:r>
      <w:r>
        <w:rPr/>
        <w:t>потомками</w:t>
      </w:r>
      <w:r>
        <w:rPr>
          <w:spacing w:val="-8"/>
        </w:rPr>
        <w:t> </w:t>
      </w:r>
      <w:r>
        <w:rPr/>
        <w:t>варианта</w:t>
      </w:r>
      <w:r>
        <w:rPr>
          <w:spacing w:val="-10"/>
        </w:rPr>
        <w:t> </w:t>
      </w:r>
      <w:r>
        <w:rPr/>
        <w:t>омикрон; появление</w:t>
      </w:r>
      <w:r>
        <w:rPr>
          <w:spacing w:val="-5"/>
        </w:rPr>
        <w:t> </w:t>
      </w:r>
      <w:r>
        <w:rPr/>
        <w:t>новых</w:t>
      </w:r>
      <w:r>
        <w:rPr>
          <w:spacing w:val="-5"/>
        </w:rPr>
        <w:t> </w:t>
      </w:r>
      <w:r>
        <w:rPr/>
        <w:t>вариантов</w:t>
      </w:r>
      <w:r>
        <w:rPr>
          <w:spacing w:val="-5"/>
        </w:rPr>
        <w:t> </w:t>
      </w:r>
      <w:r>
        <w:rPr/>
        <w:t>происходит</w:t>
      </w:r>
      <w:r>
        <w:rPr>
          <w:spacing w:val="-5"/>
        </w:rPr>
        <w:t> </w:t>
      </w:r>
      <w:r>
        <w:rPr/>
        <w:t>на</w:t>
      </w:r>
      <w:r>
        <w:rPr>
          <w:spacing w:val="-5"/>
        </w:rPr>
        <w:t> </w:t>
      </w:r>
      <w:r>
        <w:rPr/>
        <w:t>постоянной</w:t>
      </w:r>
      <w:r>
        <w:rPr>
          <w:spacing w:val="-4"/>
        </w:rPr>
        <w:t> </w:t>
      </w:r>
      <w:r>
        <w:rPr/>
        <w:t>основе</w:t>
      </w:r>
      <w:r>
        <w:rPr>
          <w:spacing w:val="-6"/>
        </w:rPr>
        <w:t> </w:t>
      </w:r>
      <w:r>
        <w:rPr/>
        <w:t>и</w:t>
      </w:r>
      <w:r>
        <w:rPr>
          <w:spacing w:val="-4"/>
        </w:rPr>
        <w:t> </w:t>
      </w:r>
      <w:r>
        <w:rPr/>
        <w:t>является</w:t>
      </w:r>
      <w:r>
        <w:rPr>
          <w:spacing w:val="-5"/>
        </w:rPr>
        <w:t> </w:t>
      </w:r>
      <w:r>
        <w:rPr/>
        <w:t>следствием избегания вируса иммунного ответа, формируемого в результате естественой инфекции и вакцинации. В Российской Федерации по-прежнему подавляющая часть циркулирующих</w:t>
      </w:r>
      <w:r>
        <w:rPr>
          <w:spacing w:val="-15"/>
        </w:rPr>
        <w:t> </w:t>
      </w:r>
      <w:r>
        <w:rPr/>
        <w:t>геновариантов</w:t>
      </w:r>
      <w:r>
        <w:rPr>
          <w:spacing w:val="-15"/>
        </w:rPr>
        <w:t> </w:t>
      </w:r>
      <w:r>
        <w:rPr/>
        <w:t>относится</w:t>
      </w:r>
      <w:r>
        <w:rPr>
          <w:spacing w:val="-14"/>
        </w:rPr>
        <w:t> </w:t>
      </w:r>
      <w:r>
        <w:rPr/>
        <w:t>к</w:t>
      </w:r>
      <w:r>
        <w:rPr>
          <w:spacing w:val="-14"/>
        </w:rPr>
        <w:t> </w:t>
      </w:r>
      <w:r>
        <w:rPr/>
        <w:t>JN.1,</w:t>
      </w:r>
      <w:r>
        <w:rPr>
          <w:spacing w:val="-15"/>
        </w:rPr>
        <w:t> </w:t>
      </w:r>
      <w:r>
        <w:rPr/>
        <w:t>доминирующим</w:t>
      </w:r>
      <w:r>
        <w:rPr>
          <w:spacing w:val="-15"/>
        </w:rPr>
        <w:t> </w:t>
      </w:r>
      <w:r>
        <w:rPr/>
        <w:t>субтипом</w:t>
      </w:r>
      <w:r>
        <w:rPr>
          <w:spacing w:val="-15"/>
        </w:rPr>
        <w:t> </w:t>
      </w:r>
      <w:r>
        <w:rPr/>
        <w:t>которого является LF.7. JN.1 также остается доминирующим во всем мире.</w:t>
      </w:r>
    </w:p>
    <w:p>
      <w:pPr>
        <w:pStyle w:val="BodyText"/>
        <w:spacing w:before="107"/>
        <w:ind w:left="0"/>
        <w:jc w:val="left"/>
      </w:pPr>
    </w:p>
    <w:p>
      <w:pPr>
        <w:pStyle w:val="BodyText"/>
        <w:spacing w:line="312" w:lineRule="auto"/>
        <w:ind w:right="1273" w:firstLine="707"/>
      </w:pPr>
      <w:r>
        <w:rPr/>
        <w:t>Высокая патогенность вирусов SARS-CoV, SARS-CoV-2 и</w:t>
      </w:r>
      <w:r>
        <w:rPr>
          <w:spacing w:val="-2"/>
        </w:rPr>
        <w:t> </w:t>
      </w:r>
      <w:r>
        <w:rPr/>
        <w:t>MERS-CoV позволяет отнести их ко II группе патогенности.</w:t>
      </w:r>
    </w:p>
    <w:p>
      <w:pPr>
        <w:pStyle w:val="BodyText"/>
        <w:spacing w:after="0" w:line="312" w:lineRule="auto"/>
        <w:sectPr>
          <w:pgSz w:w="11900" w:h="16840"/>
          <w:pgMar w:header="0" w:footer="697" w:top="1080" w:bottom="880" w:left="0" w:right="0"/>
        </w:sectPr>
      </w:pPr>
    </w:p>
    <w:p>
      <w:pPr>
        <w:pStyle w:val="BodyText"/>
        <w:spacing w:line="312" w:lineRule="auto" w:before="74"/>
        <w:ind w:right="1271" w:firstLine="707"/>
      </w:pPr>
      <w:bookmarkStart w:name="8" w:id="11"/>
      <w:bookmarkEnd w:id="11"/>
      <w:r>
        <w:rPr/>
      </w:r>
      <w:r>
        <w:rPr/>
        <w:t>При комнатной температуре </w:t>
      </w:r>
      <w:r>
        <w:rPr>
          <w:sz w:val="28"/>
        </w:rPr>
        <w:t>(</w:t>
      </w:r>
      <w:r>
        <w:rPr/>
        <w:t>20-25 °С) SARS-CoV-2 способен сохранять жизнеспособность на различных объектах окружающей среды в высушенном виде</w:t>
      </w:r>
      <w:r>
        <w:rPr>
          <w:spacing w:val="40"/>
        </w:rPr>
        <w:t> </w:t>
      </w:r>
      <w:r>
        <w:rPr/>
        <w:t>до</w:t>
      </w:r>
      <w:r>
        <w:rPr>
          <w:spacing w:val="-3"/>
        </w:rPr>
        <w:t> </w:t>
      </w:r>
      <w:r>
        <w:rPr/>
        <w:t>3</w:t>
      </w:r>
      <w:r>
        <w:rPr>
          <w:spacing w:val="-3"/>
        </w:rPr>
        <w:t> </w:t>
      </w:r>
      <w:r>
        <w:rPr/>
        <w:t>суток, в жидкой среде – до 7 суток. Вирус остается стабильным в широком диапазоне</w:t>
      </w:r>
      <w:r>
        <w:rPr>
          <w:spacing w:val="-8"/>
        </w:rPr>
        <w:t> </w:t>
      </w:r>
      <w:r>
        <w:rPr/>
        <w:t>значений</w:t>
      </w:r>
      <w:r>
        <w:rPr>
          <w:spacing w:val="-6"/>
        </w:rPr>
        <w:t> </w:t>
      </w:r>
      <w:r>
        <w:rPr/>
        <w:t>рН</w:t>
      </w:r>
      <w:r>
        <w:rPr>
          <w:spacing w:val="-10"/>
        </w:rPr>
        <w:t> </w:t>
      </w:r>
      <w:r>
        <w:rPr/>
        <w:t>(до</w:t>
      </w:r>
      <w:r>
        <w:rPr>
          <w:spacing w:val="-7"/>
        </w:rPr>
        <w:t> </w:t>
      </w:r>
      <w:r>
        <w:rPr/>
        <w:t>6</w:t>
      </w:r>
      <w:r>
        <w:rPr>
          <w:spacing w:val="-7"/>
        </w:rPr>
        <w:t> </w:t>
      </w:r>
      <w:r>
        <w:rPr/>
        <w:t>дней</w:t>
      </w:r>
      <w:r>
        <w:rPr>
          <w:spacing w:val="-6"/>
        </w:rPr>
        <w:t> </w:t>
      </w:r>
      <w:r>
        <w:rPr/>
        <w:t>-</w:t>
      </w:r>
      <w:r>
        <w:rPr>
          <w:spacing w:val="-8"/>
        </w:rPr>
        <w:t> </w:t>
      </w:r>
      <w:r>
        <w:rPr/>
        <w:t>при</w:t>
      </w:r>
      <w:r>
        <w:rPr>
          <w:spacing w:val="-8"/>
        </w:rPr>
        <w:t> </w:t>
      </w:r>
      <w:r>
        <w:rPr/>
        <w:t>значении</w:t>
      </w:r>
      <w:r>
        <w:rPr>
          <w:spacing w:val="-5"/>
        </w:rPr>
        <w:t> </w:t>
      </w:r>
      <w:r>
        <w:rPr/>
        <w:t>pH</w:t>
      </w:r>
      <w:r>
        <w:rPr>
          <w:spacing w:val="-8"/>
        </w:rPr>
        <w:t> </w:t>
      </w:r>
      <w:r>
        <w:rPr/>
        <w:t>от</w:t>
      </w:r>
      <w:r>
        <w:rPr>
          <w:spacing w:val="-7"/>
        </w:rPr>
        <w:t> </w:t>
      </w:r>
      <w:r>
        <w:rPr/>
        <w:t>5</w:t>
      </w:r>
      <w:r>
        <w:rPr>
          <w:spacing w:val="-7"/>
        </w:rPr>
        <w:t> </w:t>
      </w:r>
      <w:r>
        <w:rPr/>
        <w:t>до</w:t>
      </w:r>
      <w:r>
        <w:rPr>
          <w:spacing w:val="-6"/>
        </w:rPr>
        <w:t> </w:t>
      </w:r>
      <w:r>
        <w:rPr/>
        <w:t>9</w:t>
      </w:r>
      <w:r>
        <w:rPr>
          <w:spacing w:val="-10"/>
        </w:rPr>
        <w:t> </w:t>
      </w:r>
      <w:r>
        <w:rPr/>
        <w:t>и</w:t>
      </w:r>
      <w:r>
        <w:rPr>
          <w:spacing w:val="-6"/>
        </w:rPr>
        <w:t> </w:t>
      </w:r>
      <w:r>
        <w:rPr/>
        <w:t>до</w:t>
      </w:r>
      <w:r>
        <w:rPr>
          <w:spacing w:val="-7"/>
        </w:rPr>
        <w:t> </w:t>
      </w:r>
      <w:r>
        <w:rPr/>
        <w:t>2</w:t>
      </w:r>
      <w:r>
        <w:rPr>
          <w:spacing w:val="-7"/>
        </w:rPr>
        <w:t> </w:t>
      </w:r>
      <w:r>
        <w:rPr/>
        <w:t>дней</w:t>
      </w:r>
      <w:r>
        <w:rPr>
          <w:spacing w:val="-6"/>
        </w:rPr>
        <w:t> </w:t>
      </w:r>
      <w:r>
        <w:rPr/>
        <w:t>-</w:t>
      </w:r>
      <w:r>
        <w:rPr>
          <w:spacing w:val="-8"/>
        </w:rPr>
        <w:t> </w:t>
      </w:r>
      <w:r>
        <w:rPr/>
        <w:t>при</w:t>
      </w:r>
      <w:r>
        <w:rPr>
          <w:spacing w:val="-6"/>
        </w:rPr>
        <w:t> </w:t>
      </w:r>
      <w:r>
        <w:rPr/>
        <w:t>рН</w:t>
      </w:r>
      <w:r>
        <w:rPr>
          <w:spacing w:val="-7"/>
        </w:rPr>
        <w:t> </w:t>
      </w:r>
      <w:r>
        <w:rPr/>
        <w:t>4.0 и</w:t>
      </w:r>
      <w:r>
        <w:rPr>
          <w:spacing w:val="-2"/>
        </w:rPr>
        <w:t> </w:t>
      </w:r>
      <w:r>
        <w:rPr/>
        <w:t>рН 11.0). При температуре +4 °С стабильность вируса сохраняется более 14 дней. При нагревании до 37 °С полная инактивация вируса происходит в течение 1 дня, при</w:t>
      </w:r>
      <w:r>
        <w:rPr>
          <w:spacing w:val="13"/>
        </w:rPr>
        <w:t> </w:t>
      </w:r>
      <w:r>
        <w:rPr/>
        <w:t>56</w:t>
      </w:r>
      <w:r>
        <w:rPr>
          <w:spacing w:val="12"/>
        </w:rPr>
        <w:t> </w:t>
      </w:r>
      <w:r>
        <w:rPr/>
        <w:t>°С</w:t>
      </w:r>
      <w:r>
        <w:rPr>
          <w:spacing w:val="-2"/>
        </w:rPr>
        <w:t> </w:t>
      </w:r>
      <w:r>
        <w:rPr/>
        <w:t>- в течение 45</w:t>
      </w:r>
      <w:r>
        <w:rPr>
          <w:spacing w:val="-1"/>
        </w:rPr>
        <w:t> </w:t>
      </w:r>
      <w:r>
        <w:rPr/>
        <w:t>минут,</w:t>
      </w:r>
      <w:r>
        <w:rPr>
          <w:spacing w:val="12"/>
        </w:rPr>
        <w:t> </w:t>
      </w:r>
      <w:r>
        <w:rPr/>
        <w:t>при</w:t>
      </w:r>
      <w:r>
        <w:rPr>
          <w:spacing w:val="14"/>
        </w:rPr>
        <w:t> </w:t>
      </w:r>
      <w:r>
        <w:rPr/>
        <w:t>70</w:t>
      </w:r>
      <w:r>
        <w:rPr>
          <w:spacing w:val="12"/>
        </w:rPr>
        <w:t> </w:t>
      </w:r>
      <w:r>
        <w:rPr/>
        <w:t>°С</w:t>
      </w:r>
      <w:r>
        <w:rPr>
          <w:spacing w:val="13"/>
        </w:rPr>
        <w:t> </w:t>
      </w:r>
      <w:r>
        <w:rPr/>
        <w:t>–</w:t>
      </w:r>
      <w:r>
        <w:rPr>
          <w:spacing w:val="12"/>
        </w:rPr>
        <w:t> </w:t>
      </w:r>
      <w:r>
        <w:rPr/>
        <w:t>в</w:t>
      </w:r>
      <w:r>
        <w:rPr>
          <w:spacing w:val="13"/>
        </w:rPr>
        <w:t> </w:t>
      </w:r>
      <w:r>
        <w:rPr/>
        <w:t>течение</w:t>
      </w:r>
      <w:r>
        <w:rPr>
          <w:spacing w:val="12"/>
        </w:rPr>
        <w:t> </w:t>
      </w:r>
      <w:r>
        <w:rPr/>
        <w:t>5</w:t>
      </w:r>
      <w:r>
        <w:rPr>
          <w:spacing w:val="12"/>
        </w:rPr>
        <w:t> </w:t>
      </w:r>
      <w:r>
        <w:rPr/>
        <w:t>минут.</w:t>
      </w:r>
      <w:r>
        <w:rPr>
          <w:spacing w:val="25"/>
        </w:rPr>
        <w:t> </w:t>
      </w:r>
      <w:r>
        <w:rPr/>
        <w:t>Вирус чувствителен к</w:t>
      </w:r>
      <w:r>
        <w:rPr>
          <w:spacing w:val="-4"/>
        </w:rPr>
        <w:t> </w:t>
      </w:r>
      <w:r>
        <w:rPr/>
        <w:t>ультрафиолетовому</w:t>
      </w:r>
      <w:r>
        <w:rPr>
          <w:spacing w:val="-11"/>
        </w:rPr>
        <w:t> </w:t>
      </w:r>
      <w:r>
        <w:rPr/>
        <w:t>облучению дозой</w:t>
      </w:r>
      <w:r>
        <w:rPr>
          <w:spacing w:val="-11"/>
        </w:rPr>
        <w:t> </w:t>
      </w:r>
      <w:r>
        <w:rPr/>
        <w:t>не</w:t>
      </w:r>
      <w:r>
        <w:rPr>
          <w:spacing w:val="-12"/>
        </w:rPr>
        <w:t> </w:t>
      </w:r>
      <w:r>
        <w:rPr/>
        <w:t>менее</w:t>
      </w:r>
      <w:r>
        <w:rPr>
          <w:spacing w:val="-12"/>
        </w:rPr>
        <w:t> </w:t>
      </w:r>
      <w:r>
        <w:rPr/>
        <w:t>25</w:t>
      </w:r>
      <w:r>
        <w:rPr>
          <w:spacing w:val="-9"/>
        </w:rPr>
        <w:t> </w:t>
      </w:r>
      <w:r>
        <w:rPr/>
        <w:t>мДж/см</w:t>
      </w:r>
      <w:r>
        <w:rPr>
          <w:vertAlign w:val="superscript"/>
        </w:rPr>
        <w:t>2</w:t>
      </w:r>
      <w:r>
        <w:rPr>
          <w:spacing w:val="-11"/>
          <w:vertAlign w:val="baseline"/>
        </w:rPr>
        <w:t> </w:t>
      </w:r>
      <w:r>
        <w:rPr>
          <w:vertAlign w:val="baseline"/>
        </w:rPr>
        <w:t>и</w:t>
      </w:r>
      <w:r>
        <w:rPr>
          <w:spacing w:val="-11"/>
          <w:vertAlign w:val="baseline"/>
        </w:rPr>
        <w:t> </w:t>
      </w:r>
      <w:r>
        <w:rPr>
          <w:vertAlign w:val="baseline"/>
        </w:rPr>
        <w:t>к</w:t>
      </w:r>
      <w:r>
        <w:rPr>
          <w:spacing w:val="-11"/>
          <w:vertAlign w:val="baseline"/>
        </w:rPr>
        <w:t> </w:t>
      </w:r>
      <w:r>
        <w:rPr>
          <w:vertAlign w:val="baseline"/>
        </w:rPr>
        <w:t>действию</w:t>
      </w:r>
      <w:r>
        <w:rPr>
          <w:spacing w:val="-11"/>
          <w:vertAlign w:val="baseline"/>
        </w:rPr>
        <w:t> </w:t>
      </w:r>
      <w:r>
        <w:rPr>
          <w:vertAlign w:val="baseline"/>
        </w:rPr>
        <w:t>различных дезинфицирующих средств в рабочей концентрации.</w:t>
      </w:r>
    </w:p>
    <w:p>
      <w:pPr>
        <w:pStyle w:val="BodyText"/>
        <w:spacing w:line="312" w:lineRule="auto" w:before="10"/>
        <w:ind w:right="1273" w:firstLine="707"/>
      </w:pPr>
      <w:r>
        <w:rPr/>
        <w:t>Входные</w:t>
      </w:r>
      <w:r>
        <w:rPr>
          <w:spacing w:val="80"/>
          <w:w w:val="150"/>
        </w:rPr>
        <w:t> </w:t>
      </w:r>
      <w:r>
        <w:rPr/>
        <w:t>ворота</w:t>
      </w:r>
      <w:r>
        <w:rPr>
          <w:spacing w:val="80"/>
          <w:w w:val="150"/>
        </w:rPr>
        <w:t> </w:t>
      </w:r>
      <w:r>
        <w:rPr/>
        <w:t>возбудителя</w:t>
      </w:r>
      <w:r>
        <w:rPr>
          <w:spacing w:val="80"/>
          <w:w w:val="150"/>
        </w:rPr>
        <w:t> </w:t>
      </w:r>
      <w:r>
        <w:rPr/>
        <w:t>–</w:t>
      </w:r>
      <w:r>
        <w:rPr>
          <w:spacing w:val="80"/>
          <w:w w:val="150"/>
        </w:rPr>
        <w:t> </w:t>
      </w:r>
      <w:r>
        <w:rPr/>
        <w:t>эпителий</w:t>
      </w:r>
      <w:r>
        <w:rPr>
          <w:spacing w:val="80"/>
          <w:w w:val="150"/>
        </w:rPr>
        <w:t> </w:t>
      </w:r>
      <w:r>
        <w:rPr/>
        <w:t>верхних</w:t>
      </w:r>
      <w:r>
        <w:rPr>
          <w:spacing w:val="80"/>
          <w:w w:val="150"/>
        </w:rPr>
        <w:t> </w:t>
      </w:r>
      <w:r>
        <w:rPr/>
        <w:t>дыхательных</w:t>
      </w:r>
      <w:r>
        <w:rPr>
          <w:spacing w:val="80"/>
          <w:w w:val="150"/>
        </w:rPr>
        <w:t> </w:t>
      </w:r>
      <w:r>
        <w:rPr/>
        <w:t>путей</w:t>
      </w:r>
      <w:r>
        <w:rPr>
          <w:spacing w:val="40"/>
        </w:rPr>
        <w:t> </w:t>
      </w:r>
      <w:r>
        <w:rPr/>
        <w:t>и</w:t>
      </w:r>
      <w:r>
        <w:rPr>
          <w:spacing w:val="-1"/>
        </w:rPr>
        <w:t> </w:t>
      </w:r>
      <w:r>
        <w:rPr/>
        <w:t>эпителиоциты желудка и кишечника. Начальным этапом заражения является проникновение SARS-CoV-2 в клетки-мишени, имеющие рецепторы ангиотензинпревращающего фермента II типа (АПФ2). Клеточная трансмембранная сериновая протеаза типа 2 (ТСП2) способствует связыванию вируса с АПФ2, активируя его S-протеин, необходимый для проникновения SARS‑CoV‑2 в клетку. АПФ2</w:t>
      </w:r>
      <w:r>
        <w:rPr>
          <w:spacing w:val="-8"/>
        </w:rPr>
        <w:t> </w:t>
      </w:r>
      <w:r>
        <w:rPr/>
        <w:t>располагается</w:t>
      </w:r>
      <w:r>
        <w:rPr>
          <w:spacing w:val="-6"/>
        </w:rPr>
        <w:t> </w:t>
      </w:r>
      <w:r>
        <w:rPr/>
        <w:t>в</w:t>
      </w:r>
      <w:r>
        <w:rPr>
          <w:spacing w:val="-6"/>
        </w:rPr>
        <w:t> </w:t>
      </w:r>
      <w:r>
        <w:rPr/>
        <w:t>цитоплазматической</w:t>
      </w:r>
      <w:r>
        <w:rPr>
          <w:spacing w:val="-7"/>
        </w:rPr>
        <w:t> </w:t>
      </w:r>
      <w:r>
        <w:rPr/>
        <w:t>мембране</w:t>
      </w:r>
      <w:r>
        <w:rPr>
          <w:spacing w:val="-9"/>
        </w:rPr>
        <w:t> </w:t>
      </w:r>
      <w:r>
        <w:rPr/>
        <w:t>многих</w:t>
      </w:r>
      <w:r>
        <w:rPr>
          <w:spacing w:val="-8"/>
        </w:rPr>
        <w:t> </w:t>
      </w:r>
      <w:r>
        <w:rPr/>
        <w:t>типов</w:t>
      </w:r>
      <w:r>
        <w:rPr>
          <w:spacing w:val="-8"/>
        </w:rPr>
        <w:t> </w:t>
      </w:r>
      <w:r>
        <w:rPr/>
        <w:t>клеток</w:t>
      </w:r>
      <w:r>
        <w:rPr>
          <w:spacing w:val="-6"/>
        </w:rPr>
        <w:t> </w:t>
      </w:r>
      <w:r>
        <w:rPr/>
        <w:t>человека, в том числе в альвеолярных клетках II типа в легких и энтероцитах тонкого кишечника, эндотелиальных клетках артерий и вен, клетках гладкой мускулатуры артерий,</w:t>
      </w:r>
      <w:r>
        <w:rPr>
          <w:spacing w:val="-1"/>
        </w:rPr>
        <w:t> </w:t>
      </w:r>
      <w:r>
        <w:rPr/>
        <w:t>макрофагов. АПФ2</w:t>
      </w:r>
      <w:r>
        <w:rPr>
          <w:spacing w:val="-1"/>
        </w:rPr>
        <w:t> </w:t>
      </w:r>
      <w:r>
        <w:rPr/>
        <w:t>и ТСП2</w:t>
      </w:r>
      <w:r>
        <w:rPr>
          <w:spacing w:val="-1"/>
        </w:rPr>
        <w:t> </w:t>
      </w:r>
      <w:r>
        <w:rPr/>
        <w:t>обнаружены</w:t>
      </w:r>
      <w:r>
        <w:rPr>
          <w:spacing w:val="-1"/>
        </w:rPr>
        <w:t> </w:t>
      </w:r>
      <w:r>
        <w:rPr/>
        <w:t>в</w:t>
      </w:r>
      <w:r>
        <w:rPr>
          <w:spacing w:val="-2"/>
        </w:rPr>
        <w:t> </w:t>
      </w:r>
      <w:r>
        <w:rPr/>
        <w:t>клетках</w:t>
      </w:r>
      <w:r>
        <w:rPr>
          <w:spacing w:val="-2"/>
        </w:rPr>
        <w:t> </w:t>
      </w:r>
      <w:r>
        <w:rPr/>
        <w:t>тканей органов</w:t>
      </w:r>
      <w:r>
        <w:rPr>
          <w:spacing w:val="-2"/>
        </w:rPr>
        <w:t> </w:t>
      </w:r>
      <w:r>
        <w:rPr/>
        <w:t>дыхания, пищевода,</w:t>
      </w:r>
      <w:r>
        <w:rPr>
          <w:spacing w:val="40"/>
        </w:rPr>
        <w:t> </w:t>
      </w:r>
      <w:r>
        <w:rPr/>
        <w:t>кишечника,</w:t>
      </w:r>
      <w:r>
        <w:rPr>
          <w:spacing w:val="40"/>
        </w:rPr>
        <w:t> </w:t>
      </w:r>
      <w:r>
        <w:rPr/>
        <w:t>сердца,</w:t>
      </w:r>
      <w:r>
        <w:rPr>
          <w:spacing w:val="40"/>
        </w:rPr>
        <w:t> </w:t>
      </w:r>
      <w:r>
        <w:rPr/>
        <w:t>надпочечников,</w:t>
      </w:r>
      <w:r>
        <w:rPr>
          <w:spacing w:val="40"/>
        </w:rPr>
        <w:t> </w:t>
      </w:r>
      <w:r>
        <w:rPr/>
        <w:t>мочевого</w:t>
      </w:r>
      <w:r>
        <w:rPr>
          <w:spacing w:val="40"/>
        </w:rPr>
        <w:t> </w:t>
      </w:r>
      <w:r>
        <w:rPr/>
        <w:t>пузыря,</w:t>
      </w:r>
      <w:r>
        <w:rPr>
          <w:spacing w:val="40"/>
        </w:rPr>
        <w:t> </w:t>
      </w:r>
      <w:r>
        <w:rPr/>
        <w:t>головного</w:t>
      </w:r>
      <w:r>
        <w:rPr>
          <w:spacing w:val="40"/>
        </w:rPr>
        <w:t> </w:t>
      </w:r>
      <w:r>
        <w:rPr/>
        <w:t>мозга и других.</w:t>
      </w:r>
    </w:p>
    <w:p>
      <w:pPr>
        <w:pStyle w:val="BodyText"/>
        <w:spacing w:line="312" w:lineRule="auto" w:before="11"/>
        <w:ind w:right="1271" w:firstLine="707"/>
      </w:pPr>
      <w:r>
        <w:rPr/>
        <w:t>Нуклеокапсидный белок вируса был обнаружен в цитоплазме эпителиальных клеток слюнных желез, желудка, двенадцатиперстной и прямой кишки, мочевыводящих путей, слезной жидкости, сперме, вагинальных выделениях.</w:t>
      </w:r>
      <w:r>
        <w:rPr>
          <w:spacing w:val="80"/>
          <w:w w:val="150"/>
        </w:rPr>
        <w:t> </w:t>
      </w:r>
      <w:r>
        <w:rPr/>
        <w:t>Однако основной и быстро достижимой мишенью SARS-CoV-2 являются альвеолярные клетки II типа (AT2) легких, что определяет развитие диффузного альвеолярного повреждения. Полагают, что при COVID-19 может развиваться гастроэнтероколит,</w:t>
      </w:r>
      <w:r>
        <w:rPr>
          <w:spacing w:val="80"/>
        </w:rPr>
        <w:t> </w:t>
      </w:r>
      <w:r>
        <w:rPr/>
        <w:t>так</w:t>
      </w:r>
      <w:r>
        <w:rPr>
          <w:spacing w:val="80"/>
        </w:rPr>
        <w:t> </w:t>
      </w:r>
      <w:r>
        <w:rPr/>
        <w:t>как</w:t>
      </w:r>
      <w:r>
        <w:rPr>
          <w:spacing w:val="80"/>
        </w:rPr>
        <w:t> </w:t>
      </w:r>
      <w:r>
        <w:rPr/>
        <w:t>вирус</w:t>
      </w:r>
      <w:r>
        <w:rPr>
          <w:spacing w:val="80"/>
        </w:rPr>
        <w:t> </w:t>
      </w:r>
      <w:r>
        <w:rPr/>
        <w:t>поражает</w:t>
      </w:r>
      <w:r>
        <w:rPr>
          <w:spacing w:val="80"/>
        </w:rPr>
        <w:t> </w:t>
      </w:r>
      <w:r>
        <w:rPr/>
        <w:t>клетки</w:t>
      </w:r>
      <w:r>
        <w:rPr>
          <w:spacing w:val="80"/>
        </w:rPr>
        <w:t> </w:t>
      </w:r>
      <w:r>
        <w:rPr/>
        <w:t>эпителия</w:t>
      </w:r>
      <w:r>
        <w:rPr>
          <w:spacing w:val="80"/>
        </w:rPr>
        <w:t> </w:t>
      </w:r>
      <w:r>
        <w:rPr/>
        <w:t>желудка,</w:t>
      </w:r>
      <w:r>
        <w:rPr>
          <w:spacing w:val="80"/>
        </w:rPr>
        <w:t> </w:t>
      </w:r>
      <w:r>
        <w:rPr/>
        <w:t>тонкой</w:t>
      </w:r>
      <w:r>
        <w:rPr>
          <w:spacing w:val="80"/>
        </w:rPr>
        <w:t> </w:t>
      </w:r>
      <w:r>
        <w:rPr/>
        <w:t>и</w:t>
      </w:r>
      <w:r>
        <w:rPr>
          <w:spacing w:val="-15"/>
        </w:rPr>
        <w:t> </w:t>
      </w:r>
      <w:r>
        <w:rPr/>
        <w:t>толстой</w:t>
      </w:r>
      <w:r>
        <w:rPr>
          <w:spacing w:val="-15"/>
        </w:rPr>
        <w:t> </w:t>
      </w:r>
      <w:r>
        <w:rPr/>
        <w:t>кишки,</w:t>
      </w:r>
      <w:r>
        <w:rPr>
          <w:spacing w:val="-15"/>
        </w:rPr>
        <w:t> </w:t>
      </w:r>
      <w:r>
        <w:rPr/>
        <w:t>имеющие</w:t>
      </w:r>
      <w:r>
        <w:rPr>
          <w:spacing w:val="-15"/>
        </w:rPr>
        <w:t> </w:t>
      </w:r>
      <w:r>
        <w:rPr/>
        <w:t>рецепторы</w:t>
      </w:r>
      <w:r>
        <w:rPr>
          <w:spacing w:val="-15"/>
        </w:rPr>
        <w:t> </w:t>
      </w:r>
      <w:r>
        <w:rPr/>
        <w:t>АПФ2.</w:t>
      </w:r>
      <w:r>
        <w:rPr>
          <w:spacing w:val="-15"/>
        </w:rPr>
        <w:t> </w:t>
      </w:r>
      <w:r>
        <w:rPr/>
        <w:t>При</w:t>
      </w:r>
      <w:r>
        <w:rPr>
          <w:spacing w:val="-15"/>
        </w:rPr>
        <w:t> </w:t>
      </w:r>
      <w:r>
        <w:rPr/>
        <w:t>развитии</w:t>
      </w:r>
      <w:r>
        <w:rPr>
          <w:spacing w:val="-15"/>
        </w:rPr>
        <w:t> </w:t>
      </w:r>
      <w:r>
        <w:rPr/>
        <w:t>инфекционного</w:t>
      </w:r>
      <w:r>
        <w:rPr>
          <w:spacing w:val="-15"/>
        </w:rPr>
        <w:t> </w:t>
      </w:r>
      <w:r>
        <w:rPr/>
        <w:t>процесса могут поражаться сосуды (эндотелий), а также миокард, почки и другие органы. Изменения иммунокомпетентных органов изучены недостаточно. Обсуждается возможность специфического поражения лимфоцитов с их апоптозом и пироптозом (лежит в основе характерной и прогностически неблагоприятной лимфопении), синдрома гиперактивности макрофагов и гемофагоцитарного синдрома, нетоза нейтрофильных лейкоцитов (как одной из причин синдрома диссеминированного внутрисосудистого свертывания (ДВС)).</w:t>
      </w:r>
    </w:p>
    <w:p>
      <w:pPr>
        <w:pStyle w:val="BodyText"/>
        <w:spacing w:line="309" w:lineRule="auto" w:before="9"/>
        <w:ind w:right="1274" w:firstLine="707"/>
      </w:pPr>
      <w:r>
        <w:rPr/>
        <w:t>На основании способности SARS-CoV-2 поражать различные органы и ткани высказывается идея о существовании дополнительных рецепторов и ко-рецепторов</w:t>
      </w:r>
    </w:p>
    <w:p>
      <w:pPr>
        <w:pStyle w:val="BodyText"/>
        <w:spacing w:after="0" w:line="309" w:lineRule="auto"/>
        <w:sectPr>
          <w:pgSz w:w="11900" w:h="16840"/>
          <w:pgMar w:header="0" w:footer="697" w:top="1080" w:bottom="880" w:left="0" w:right="0"/>
        </w:sectPr>
      </w:pPr>
    </w:p>
    <w:p>
      <w:pPr>
        <w:pStyle w:val="BodyText"/>
        <w:spacing w:line="312" w:lineRule="auto" w:before="73"/>
        <w:ind w:right="1273"/>
      </w:pPr>
      <w:bookmarkStart w:name="9" w:id="12"/>
      <w:bookmarkEnd w:id="12"/>
      <w:r>
        <w:rPr/>
      </w:r>
      <w:r>
        <w:rPr/>
        <w:t>вируса</w:t>
      </w:r>
      <w:r>
        <w:rPr>
          <w:spacing w:val="25"/>
        </w:rPr>
        <w:t> </w:t>
      </w:r>
      <w:r>
        <w:rPr/>
        <w:t>помимо</w:t>
      </w:r>
      <w:r>
        <w:rPr>
          <w:spacing w:val="26"/>
        </w:rPr>
        <w:t> </w:t>
      </w:r>
      <w:r>
        <w:rPr/>
        <w:t>АПФ2,</w:t>
      </w:r>
      <w:r>
        <w:rPr>
          <w:spacing w:val="29"/>
        </w:rPr>
        <w:t> </w:t>
      </w:r>
      <w:r>
        <w:rPr/>
        <w:t>в</w:t>
      </w:r>
      <w:r>
        <w:rPr>
          <w:spacing w:val="26"/>
        </w:rPr>
        <w:t> </w:t>
      </w:r>
      <w:r>
        <w:rPr/>
        <w:t>частности,</w:t>
      </w:r>
      <w:r>
        <w:rPr>
          <w:spacing w:val="26"/>
        </w:rPr>
        <w:t> </w:t>
      </w:r>
      <w:r>
        <w:rPr/>
        <w:t>обсуждается</w:t>
      </w:r>
      <w:r>
        <w:rPr>
          <w:spacing w:val="26"/>
        </w:rPr>
        <w:t> </w:t>
      </w:r>
      <w:r>
        <w:rPr/>
        <w:t>роль</w:t>
      </w:r>
      <w:r>
        <w:rPr>
          <w:spacing w:val="27"/>
        </w:rPr>
        <w:t> </w:t>
      </w:r>
      <w:r>
        <w:rPr/>
        <w:t>CD147</w:t>
      </w:r>
      <w:r>
        <w:rPr>
          <w:spacing w:val="29"/>
        </w:rPr>
        <w:t> </w:t>
      </w:r>
      <w:r>
        <w:rPr/>
        <w:t>и</w:t>
      </w:r>
      <w:r>
        <w:rPr>
          <w:spacing w:val="27"/>
        </w:rPr>
        <w:t> </w:t>
      </w:r>
      <w:r>
        <w:rPr/>
        <w:t>других</w:t>
      </w:r>
      <w:r>
        <w:rPr>
          <w:spacing w:val="26"/>
        </w:rPr>
        <w:t> </w:t>
      </w:r>
      <w:r>
        <w:rPr/>
        <w:t>рецепторов в инвазии клеток SARS‑CoV‑2.</w:t>
      </w:r>
    </w:p>
    <w:p>
      <w:pPr>
        <w:pStyle w:val="BodyText"/>
        <w:spacing w:line="312" w:lineRule="auto" w:before="14"/>
        <w:ind w:right="1274" w:firstLine="707"/>
      </w:pPr>
      <w:r>
        <w:rPr/>
        <w:t>Установлено,</w:t>
      </w:r>
      <w:r>
        <w:rPr>
          <w:spacing w:val="80"/>
        </w:rPr>
        <w:t> </w:t>
      </w:r>
      <w:r>
        <w:rPr/>
        <w:t>что</w:t>
      </w:r>
      <w:r>
        <w:rPr>
          <w:spacing w:val="80"/>
        </w:rPr>
        <w:t> </w:t>
      </w:r>
      <w:r>
        <w:rPr/>
        <w:t>диссеминация</w:t>
      </w:r>
      <w:r>
        <w:rPr>
          <w:spacing w:val="80"/>
        </w:rPr>
        <w:t> </w:t>
      </w:r>
      <w:r>
        <w:rPr/>
        <w:t>SARS-CoV-2</w:t>
      </w:r>
      <w:r>
        <w:rPr>
          <w:spacing w:val="80"/>
        </w:rPr>
        <w:t> </w:t>
      </w:r>
      <w:r>
        <w:rPr/>
        <w:t>из</w:t>
      </w:r>
      <w:r>
        <w:rPr>
          <w:spacing w:val="80"/>
        </w:rPr>
        <w:t> </w:t>
      </w:r>
      <w:r>
        <w:rPr/>
        <w:t>системного</w:t>
      </w:r>
      <w:r>
        <w:rPr>
          <w:spacing w:val="80"/>
        </w:rPr>
        <w:t> </w:t>
      </w:r>
      <w:r>
        <w:rPr/>
        <w:t>кровотока или через пластинку решетчатой кости приводит к поражению головного мозга. Изменение обоняния (аносмия) у больных на ранней стадии заболевания может свидетельствовать как о поражении центральной нервной системы (ЦНС) вирусом, проникающим прежде всего через обонятельный нерв, так и о морфологически продемонстрированном вирусном поражении клеток слизистой оболочки носа.</w:t>
      </w:r>
    </w:p>
    <w:p>
      <w:pPr>
        <w:pStyle w:val="BodyText"/>
        <w:spacing w:line="312" w:lineRule="auto" w:before="12"/>
        <w:ind w:right="1271" w:firstLine="707"/>
      </w:pPr>
      <w:r>
        <w:rPr/>
        <w:t>При патологоанатомическом исследовании ткани легкого специфические макроскопические признаки COVID-19 не установлены, хотя морфологическая картина может рассматриваться как характерная. В наблюдениях, в которых резко преобладают признаки тяжелой дыхательной недостаточности, </w:t>
      </w:r>
      <w:r>
        <w:rPr>
          <w:sz w:val="23"/>
        </w:rPr>
        <w:t>отмечается </w:t>
      </w:r>
      <w:r>
        <w:rPr/>
        <w:t>картина ОРДС</w:t>
      </w:r>
      <w:r>
        <w:rPr>
          <w:spacing w:val="80"/>
        </w:rPr>
        <w:t> </w:t>
      </w:r>
      <w:r>
        <w:rPr/>
        <w:t>(«шокового</w:t>
      </w:r>
      <w:r>
        <w:rPr>
          <w:spacing w:val="80"/>
        </w:rPr>
        <w:t> </w:t>
      </w:r>
      <w:r>
        <w:rPr/>
        <w:t>легкого»</w:t>
      </w:r>
      <w:r>
        <w:rPr>
          <w:spacing w:val="80"/>
        </w:rPr>
        <w:t> </w:t>
      </w:r>
      <w:r>
        <w:rPr/>
        <w:t>или</w:t>
      </w:r>
      <w:r>
        <w:rPr>
          <w:spacing w:val="80"/>
        </w:rPr>
        <w:t> </w:t>
      </w:r>
      <w:r>
        <w:rPr/>
        <w:t>диффузного</w:t>
      </w:r>
      <w:r>
        <w:rPr>
          <w:spacing w:val="80"/>
        </w:rPr>
        <w:t> </w:t>
      </w:r>
      <w:r>
        <w:rPr/>
        <w:t>альвеолярного</w:t>
      </w:r>
      <w:r>
        <w:rPr>
          <w:spacing w:val="80"/>
        </w:rPr>
        <w:t> </w:t>
      </w:r>
      <w:r>
        <w:rPr/>
        <w:t>повреждения): резкое</w:t>
      </w:r>
      <w:r>
        <w:rPr>
          <w:spacing w:val="40"/>
        </w:rPr>
        <w:t> </w:t>
      </w:r>
      <w:r>
        <w:rPr/>
        <w:t>полнокровие</w:t>
      </w:r>
      <w:r>
        <w:rPr>
          <w:spacing w:val="40"/>
        </w:rPr>
        <w:t> </w:t>
      </w:r>
      <w:r>
        <w:rPr/>
        <w:t>и</w:t>
      </w:r>
      <w:r>
        <w:rPr>
          <w:spacing w:val="40"/>
        </w:rPr>
        <w:t> </w:t>
      </w:r>
      <w:r>
        <w:rPr/>
        <w:t>диффузное</w:t>
      </w:r>
      <w:r>
        <w:rPr>
          <w:spacing w:val="40"/>
        </w:rPr>
        <w:t> </w:t>
      </w:r>
      <w:r>
        <w:rPr/>
        <w:t>уплотнение</w:t>
      </w:r>
      <w:r>
        <w:rPr>
          <w:spacing w:val="40"/>
        </w:rPr>
        <w:t> </w:t>
      </w:r>
      <w:r>
        <w:rPr/>
        <w:t>легких,</w:t>
      </w:r>
      <w:r>
        <w:rPr>
          <w:spacing w:val="40"/>
        </w:rPr>
        <w:t> </w:t>
      </w:r>
      <w:r>
        <w:rPr/>
        <w:t>практически</w:t>
      </w:r>
      <w:r>
        <w:rPr>
          <w:spacing w:val="40"/>
        </w:rPr>
        <w:t> </w:t>
      </w:r>
      <w:r>
        <w:rPr/>
        <w:t>неотличимое</w:t>
      </w:r>
      <w:r>
        <w:rPr>
          <w:spacing w:val="40"/>
        </w:rPr>
        <w:t> </w:t>
      </w:r>
      <w:r>
        <w:rPr/>
        <w:t>от наблюдавшегося при «свином» гриппе А/H1N1pdm (в 2009 г. и в последующие годы),</w:t>
      </w:r>
      <w:r>
        <w:rPr>
          <w:spacing w:val="40"/>
        </w:rPr>
        <w:t> </w:t>
      </w:r>
      <w:r>
        <w:rPr/>
        <w:t>кроме</w:t>
      </w:r>
      <w:r>
        <w:rPr>
          <w:spacing w:val="40"/>
        </w:rPr>
        <w:t> </w:t>
      </w:r>
      <w:r>
        <w:rPr/>
        <w:t>типичных</w:t>
      </w:r>
      <w:r>
        <w:rPr>
          <w:spacing w:val="40"/>
        </w:rPr>
        <w:t> </w:t>
      </w:r>
      <w:r>
        <w:rPr/>
        <w:t>для</w:t>
      </w:r>
      <w:r>
        <w:rPr>
          <w:spacing w:val="40"/>
        </w:rPr>
        <w:t> </w:t>
      </w:r>
      <w:r>
        <w:rPr/>
        <w:t>SARS‑CoV‑2</w:t>
      </w:r>
      <w:r>
        <w:rPr>
          <w:spacing w:val="40"/>
        </w:rPr>
        <w:t> </w:t>
      </w:r>
      <w:r>
        <w:rPr/>
        <w:t>поражения</w:t>
      </w:r>
      <w:r>
        <w:rPr>
          <w:spacing w:val="40"/>
        </w:rPr>
        <w:t> </w:t>
      </w:r>
      <w:r>
        <w:rPr/>
        <w:t>сосудистой</w:t>
      </w:r>
      <w:r>
        <w:rPr>
          <w:spacing w:val="40"/>
        </w:rPr>
        <w:t> </w:t>
      </w:r>
      <w:r>
        <w:rPr/>
        <w:t>системы</w:t>
      </w:r>
      <w:r>
        <w:rPr>
          <w:spacing w:val="40"/>
        </w:rPr>
        <w:t> </w:t>
      </w:r>
      <w:r>
        <w:rPr/>
        <w:t>легких</w:t>
      </w:r>
      <w:r>
        <w:rPr>
          <w:spacing w:val="80"/>
        </w:rPr>
        <w:t> </w:t>
      </w:r>
      <w:r>
        <w:rPr/>
        <w:t>и</w:t>
      </w:r>
      <w:r>
        <w:rPr>
          <w:spacing w:val="-7"/>
        </w:rPr>
        <w:t> </w:t>
      </w:r>
      <w:r>
        <w:rPr/>
        <w:t>выраженного</w:t>
      </w:r>
      <w:r>
        <w:rPr>
          <w:spacing w:val="-8"/>
        </w:rPr>
        <w:t> </w:t>
      </w:r>
      <w:r>
        <w:rPr/>
        <w:t>альвеолярно-геморрагического</w:t>
      </w:r>
      <w:r>
        <w:rPr>
          <w:spacing w:val="-8"/>
        </w:rPr>
        <w:t> </w:t>
      </w:r>
      <w:r>
        <w:rPr/>
        <w:t>синдрома.</w:t>
      </w:r>
      <w:r>
        <w:rPr>
          <w:spacing w:val="-7"/>
        </w:rPr>
        <w:t> </w:t>
      </w:r>
      <w:r>
        <w:rPr/>
        <w:t>Особенностью</w:t>
      </w:r>
      <w:r>
        <w:rPr>
          <w:spacing w:val="-8"/>
        </w:rPr>
        <w:t> </w:t>
      </w:r>
      <w:r>
        <w:rPr/>
        <w:t>диффузного альвеолярного</w:t>
      </w:r>
      <w:r>
        <w:rPr>
          <w:spacing w:val="80"/>
          <w:w w:val="150"/>
        </w:rPr>
        <w:t> </w:t>
      </w:r>
      <w:r>
        <w:rPr/>
        <w:t>поражения</w:t>
      </w:r>
      <w:r>
        <w:rPr>
          <w:spacing w:val="80"/>
          <w:w w:val="150"/>
        </w:rPr>
        <w:t> </w:t>
      </w:r>
      <w:r>
        <w:rPr/>
        <w:t>при</w:t>
      </w:r>
      <w:r>
        <w:rPr>
          <w:spacing w:val="80"/>
          <w:w w:val="150"/>
        </w:rPr>
        <w:t> </w:t>
      </w:r>
      <w:r>
        <w:rPr/>
        <w:t>COVID-19</w:t>
      </w:r>
      <w:r>
        <w:rPr>
          <w:spacing w:val="80"/>
          <w:w w:val="150"/>
        </w:rPr>
        <w:t> </w:t>
      </w:r>
      <w:r>
        <w:rPr/>
        <w:t>является</w:t>
      </w:r>
      <w:r>
        <w:rPr>
          <w:spacing w:val="80"/>
          <w:w w:val="150"/>
        </w:rPr>
        <w:t> </w:t>
      </w:r>
      <w:r>
        <w:rPr/>
        <w:t>дисхрония</w:t>
      </w:r>
      <w:r>
        <w:rPr>
          <w:spacing w:val="80"/>
          <w:w w:val="150"/>
        </w:rPr>
        <w:t> </w:t>
      </w:r>
      <w:r>
        <w:rPr/>
        <w:t>и</w:t>
      </w:r>
      <w:r>
        <w:rPr>
          <w:spacing w:val="80"/>
          <w:w w:val="150"/>
        </w:rPr>
        <w:t> </w:t>
      </w:r>
      <w:r>
        <w:rPr/>
        <w:t>пролонгация</w:t>
      </w:r>
      <w:r>
        <w:rPr>
          <w:spacing w:val="40"/>
        </w:rPr>
        <w:t> </w:t>
      </w:r>
      <w:r>
        <w:rPr/>
        <w:t>с нередким сочетанием двух ее фаз – экссудативной и пролиферативной. Легкие увеличены в</w:t>
      </w:r>
      <w:r>
        <w:rPr>
          <w:spacing w:val="-1"/>
        </w:rPr>
        <w:t> </w:t>
      </w:r>
      <w:r>
        <w:rPr/>
        <w:t>объеме</w:t>
      </w:r>
      <w:r>
        <w:rPr>
          <w:spacing w:val="-1"/>
        </w:rPr>
        <w:t> </w:t>
      </w:r>
      <w:r>
        <w:rPr/>
        <w:t>и массе, тестоватой или плотной консистенции,</w:t>
      </w:r>
      <w:r>
        <w:rPr>
          <w:spacing w:val="-2"/>
        </w:rPr>
        <w:t> </w:t>
      </w:r>
      <w:r>
        <w:rPr/>
        <w:t>маловоздушные или безвоздушные; лакового вида</w:t>
      </w:r>
      <w:r>
        <w:rPr>
          <w:spacing w:val="-1"/>
        </w:rPr>
        <w:t> </w:t>
      </w:r>
      <w:r>
        <w:rPr/>
        <w:t>с</w:t>
      </w:r>
      <w:r>
        <w:rPr>
          <w:spacing w:val="-1"/>
        </w:rPr>
        <w:t> </w:t>
      </w:r>
      <w:r>
        <w:rPr/>
        <w:t>поверхности, темно-красного (вишневого)</w:t>
      </w:r>
      <w:r>
        <w:rPr>
          <w:spacing w:val="-1"/>
        </w:rPr>
        <w:t> </w:t>
      </w:r>
      <w:r>
        <w:rPr/>
        <w:t>цвета, при</w:t>
      </w:r>
      <w:r>
        <w:rPr>
          <w:spacing w:val="-14"/>
        </w:rPr>
        <w:t> </w:t>
      </w:r>
      <w:r>
        <w:rPr/>
        <w:t>надавливании</w:t>
      </w:r>
      <w:r>
        <w:rPr>
          <w:spacing w:val="-12"/>
        </w:rPr>
        <w:t> </w:t>
      </w:r>
      <w:r>
        <w:rPr/>
        <w:t>с</w:t>
      </w:r>
      <w:r>
        <w:rPr>
          <w:spacing w:val="-7"/>
        </w:rPr>
        <w:t> </w:t>
      </w:r>
      <w:r>
        <w:rPr/>
        <w:t>поверхностей</w:t>
      </w:r>
      <w:r>
        <w:rPr>
          <w:spacing w:val="-12"/>
        </w:rPr>
        <w:t> </w:t>
      </w:r>
      <w:r>
        <w:rPr/>
        <w:t>разрезов</w:t>
      </w:r>
      <w:r>
        <w:rPr>
          <w:spacing w:val="-13"/>
        </w:rPr>
        <w:t> </w:t>
      </w:r>
      <w:r>
        <w:rPr/>
        <w:t>стекает</w:t>
      </w:r>
      <w:r>
        <w:rPr>
          <w:spacing w:val="-12"/>
        </w:rPr>
        <w:t> </w:t>
      </w:r>
      <w:r>
        <w:rPr/>
        <w:t>темно-красная</w:t>
      </w:r>
      <w:r>
        <w:rPr>
          <w:spacing w:val="-13"/>
        </w:rPr>
        <w:t> </w:t>
      </w:r>
      <w:r>
        <w:rPr/>
        <w:t>жидкость,</w:t>
      </w:r>
      <w:r>
        <w:rPr>
          <w:spacing w:val="-13"/>
        </w:rPr>
        <w:t> </w:t>
      </w:r>
      <w:r>
        <w:rPr/>
        <w:t>с</w:t>
      </w:r>
      <w:r>
        <w:rPr>
          <w:spacing w:val="-14"/>
        </w:rPr>
        <w:t> </w:t>
      </w:r>
      <w:r>
        <w:rPr/>
        <w:t>трудом выдавливаемая из ткани. Кроме разной величины кровоизлияний, встречаются геморрагические инфаркты, обтурирующие тромбы, преимущественно в ветвях легочных вен. Значимых поражений трахеи при этом не наблюдается, выявляемый серозно-гнойный экссудат и гиперемия слизистой оболочки у интубированных пациентов связаны с</w:t>
      </w:r>
      <w:r>
        <w:rPr>
          <w:spacing w:val="-3"/>
        </w:rPr>
        <w:t> </w:t>
      </w:r>
      <w:r>
        <w:rPr/>
        <w:t>нозокомиальной инфекцией. В случаях, когда COVID-19 присоединялся к другой тяжелой патологии, закономерно отмечается сочетание изменений, характерных для разных заболеваний.</w:t>
      </w:r>
    </w:p>
    <w:p>
      <w:pPr>
        <w:pStyle w:val="BodyText"/>
        <w:spacing w:line="312" w:lineRule="auto" w:before="9"/>
        <w:ind w:right="1277" w:firstLine="707"/>
      </w:pPr>
      <w:r>
        <w:rPr/>
        <w:t>Характер морфологических изменений при легком течении COVID-19 неизвестен. Исходя из анализа клинической симптоматики, можно предполагать тропность вируса к эпителию гортани, мерцательному эпителию дыхательных путей на</w:t>
      </w:r>
      <w:r>
        <w:rPr>
          <w:spacing w:val="-7"/>
        </w:rPr>
        <w:t> </w:t>
      </w:r>
      <w:r>
        <w:rPr/>
        <w:t>всем</w:t>
      </w:r>
      <w:r>
        <w:rPr>
          <w:spacing w:val="-4"/>
        </w:rPr>
        <w:t> </w:t>
      </w:r>
      <w:r>
        <w:rPr/>
        <w:t>протяжении,</w:t>
      </w:r>
      <w:r>
        <w:rPr>
          <w:spacing w:val="-6"/>
        </w:rPr>
        <w:t> </w:t>
      </w:r>
      <w:r>
        <w:rPr/>
        <w:t>альвеолоцитам</w:t>
      </w:r>
      <w:r>
        <w:rPr>
          <w:spacing w:val="-7"/>
        </w:rPr>
        <w:t> </w:t>
      </w:r>
      <w:r>
        <w:rPr/>
        <w:t>I</w:t>
      </w:r>
      <w:r>
        <w:rPr>
          <w:spacing w:val="-9"/>
        </w:rPr>
        <w:t> </w:t>
      </w:r>
      <w:r>
        <w:rPr/>
        <w:t>и</w:t>
      </w:r>
      <w:r>
        <w:rPr>
          <w:spacing w:val="-3"/>
        </w:rPr>
        <w:t> </w:t>
      </w:r>
      <w:r>
        <w:rPr/>
        <w:t>II</w:t>
      </w:r>
      <w:r>
        <w:rPr>
          <w:spacing w:val="-7"/>
        </w:rPr>
        <w:t> </w:t>
      </w:r>
      <w:r>
        <w:rPr/>
        <w:t>типов.</w:t>
      </w:r>
      <w:r>
        <w:rPr>
          <w:spacing w:val="-6"/>
        </w:rPr>
        <w:t> </w:t>
      </w:r>
      <w:r>
        <w:rPr/>
        <w:t>Судя</w:t>
      </w:r>
      <w:r>
        <w:rPr>
          <w:spacing w:val="-6"/>
        </w:rPr>
        <w:t> </w:t>
      </w:r>
      <w:r>
        <w:rPr/>
        <w:t>по</w:t>
      </w:r>
      <w:r>
        <w:rPr>
          <w:spacing w:val="-6"/>
        </w:rPr>
        <w:t> </w:t>
      </w:r>
      <w:r>
        <w:rPr/>
        <w:t>всему,</w:t>
      </w:r>
      <w:r>
        <w:rPr>
          <w:spacing w:val="-4"/>
        </w:rPr>
        <w:t> </w:t>
      </w:r>
      <w:r>
        <w:rPr/>
        <w:t>вирусные</w:t>
      </w:r>
      <w:r>
        <w:rPr>
          <w:spacing w:val="-7"/>
        </w:rPr>
        <w:t> </w:t>
      </w:r>
      <w:r>
        <w:rPr/>
        <w:t>поражения у</w:t>
      </w:r>
      <w:r>
        <w:rPr>
          <w:spacing w:val="-5"/>
        </w:rPr>
        <w:t> </w:t>
      </w:r>
      <w:r>
        <w:rPr/>
        <w:t>таких пациентов не приводят к развитию выраженного экссудативного воспаления и, соответственно, катаральных явлений.</w:t>
      </w:r>
    </w:p>
    <w:p>
      <w:pPr>
        <w:pStyle w:val="BodyText"/>
        <w:spacing w:line="324" w:lineRule="auto" w:before="10"/>
        <w:ind w:right="1276" w:firstLine="707"/>
      </w:pPr>
      <w:r>
        <w:rPr/>
        <w:t>Критическая форма COVID-19 является разновидностью цитокинового шторма, а ее проявления сходны с течением первичного и вторичного гемофагоцитарного лимфогистиоцитоза (ГЛГ) или синдрома активации макрофагов (САМ). При</w:t>
      </w:r>
      <w:r>
        <w:rPr>
          <w:spacing w:val="1"/>
        </w:rPr>
        <w:t> </w:t>
      </w:r>
      <w:r>
        <w:rPr/>
        <w:t>критическом</w:t>
      </w:r>
      <w:r>
        <w:rPr>
          <w:spacing w:val="-1"/>
        </w:rPr>
        <w:t> </w:t>
      </w:r>
      <w:r>
        <w:rPr/>
        <w:t>течении</w:t>
      </w:r>
      <w:r>
        <w:rPr>
          <w:spacing w:val="4"/>
        </w:rPr>
        <w:t> </w:t>
      </w:r>
      <w:r>
        <w:rPr/>
        <w:t>COVID-19</w:t>
      </w:r>
      <w:r>
        <w:rPr>
          <w:spacing w:val="4"/>
        </w:rPr>
        <w:t> </w:t>
      </w:r>
      <w:r>
        <w:rPr/>
        <w:t>развивается патологическая </w:t>
      </w:r>
      <w:r>
        <w:rPr>
          <w:spacing w:val="-2"/>
        </w:rPr>
        <w:t>активация</w:t>
      </w:r>
    </w:p>
    <w:p>
      <w:pPr>
        <w:pStyle w:val="BodyText"/>
        <w:spacing w:after="0" w:line="324" w:lineRule="auto"/>
        <w:sectPr>
          <w:pgSz w:w="11900" w:h="16840"/>
          <w:pgMar w:header="0" w:footer="697" w:top="1080" w:bottom="880" w:left="0" w:right="0"/>
        </w:sectPr>
      </w:pPr>
    </w:p>
    <w:p>
      <w:pPr>
        <w:pStyle w:val="BodyText"/>
        <w:spacing w:line="324" w:lineRule="auto" w:before="73"/>
        <w:ind w:right="1274"/>
      </w:pPr>
      <w:bookmarkStart w:name="10" w:id="13"/>
      <w:bookmarkEnd w:id="13"/>
      <w:r>
        <w:rPr/>
      </w:r>
      <w:r>
        <w:rPr/>
        <w:t>врожденного и</w:t>
      </w:r>
      <w:r>
        <w:rPr>
          <w:spacing w:val="-1"/>
        </w:rPr>
        <w:t> </w:t>
      </w:r>
      <w:r>
        <w:rPr/>
        <w:t>приобретенного (Th1- и Th17-типы) иммунитета, «дисрегуляция» синтеза «провоспалительных», иммунорегуляторных, «антивоспалительных» цитокинов</w:t>
      </w:r>
      <w:r>
        <w:rPr>
          <w:spacing w:val="-6"/>
        </w:rPr>
        <w:t> </w:t>
      </w:r>
      <w:r>
        <w:rPr/>
        <w:t>и</w:t>
      </w:r>
      <w:r>
        <w:rPr>
          <w:spacing w:val="-5"/>
        </w:rPr>
        <w:t> </w:t>
      </w:r>
      <w:r>
        <w:rPr/>
        <w:t>хемокинов:</w:t>
      </w:r>
      <w:r>
        <w:rPr>
          <w:spacing w:val="-5"/>
        </w:rPr>
        <w:t> </w:t>
      </w:r>
      <w:r>
        <w:rPr/>
        <w:t>ИЛ1,</w:t>
      </w:r>
      <w:r>
        <w:rPr>
          <w:spacing w:val="-5"/>
        </w:rPr>
        <w:t> </w:t>
      </w:r>
      <w:r>
        <w:rPr/>
        <w:t>ИЛ2,</w:t>
      </w:r>
      <w:r>
        <w:rPr>
          <w:spacing w:val="-3"/>
        </w:rPr>
        <w:t> </w:t>
      </w:r>
      <w:r>
        <w:rPr/>
        <w:t>ИЛ6,</w:t>
      </w:r>
      <w:r>
        <w:rPr>
          <w:spacing w:val="-5"/>
        </w:rPr>
        <w:t> </w:t>
      </w:r>
      <w:r>
        <w:rPr/>
        <w:t>ИЛ7,</w:t>
      </w:r>
      <w:r>
        <w:rPr>
          <w:spacing w:val="-3"/>
        </w:rPr>
        <w:t> </w:t>
      </w:r>
      <w:r>
        <w:rPr/>
        <w:t>ИЛ8,</w:t>
      </w:r>
      <w:r>
        <w:rPr>
          <w:spacing w:val="-5"/>
        </w:rPr>
        <w:t> </w:t>
      </w:r>
      <w:r>
        <w:rPr/>
        <w:t>ИЛ9,</w:t>
      </w:r>
      <w:r>
        <w:rPr>
          <w:spacing w:val="-5"/>
        </w:rPr>
        <w:t> </w:t>
      </w:r>
      <w:r>
        <w:rPr/>
        <w:t>ИЛ10,</w:t>
      </w:r>
      <w:r>
        <w:rPr>
          <w:spacing w:val="-3"/>
        </w:rPr>
        <w:t> </w:t>
      </w:r>
      <w:r>
        <w:rPr/>
        <w:t>ИЛ12,</w:t>
      </w:r>
      <w:r>
        <w:rPr>
          <w:spacing w:val="-5"/>
        </w:rPr>
        <w:t> </w:t>
      </w:r>
      <w:r>
        <w:rPr/>
        <w:t>ИЛ17,</w:t>
      </w:r>
      <w:r>
        <w:rPr>
          <w:spacing w:val="-4"/>
        </w:rPr>
        <w:t> </w:t>
      </w:r>
      <w:r>
        <w:rPr>
          <w:spacing w:val="-2"/>
        </w:rPr>
        <w:t>ИЛ18,</w:t>
      </w:r>
    </w:p>
    <w:p>
      <w:pPr>
        <w:pStyle w:val="BodyText"/>
        <w:spacing w:line="324" w:lineRule="auto"/>
        <w:ind w:right="1270"/>
      </w:pPr>
      <w:r>
        <w:rPr/>
        <w:t>гранулоцитарный колониестимулирующий фактор (Г-КСФ), гранулоцитарно- макрофагальный колониестимулирующий фактор (ГМ-КСФ), фактор некроза опухоли α</w:t>
      </w:r>
      <w:r>
        <w:rPr>
          <w:spacing w:val="-2"/>
        </w:rPr>
        <w:t> </w:t>
      </w:r>
      <w:r>
        <w:rPr/>
        <w:t>(ФНОα),</w:t>
      </w:r>
      <w:r>
        <w:rPr>
          <w:spacing w:val="-2"/>
        </w:rPr>
        <w:t> </w:t>
      </w:r>
      <w:r>
        <w:rPr/>
        <w:t>ИФНγ-индуцируемый</w:t>
      </w:r>
      <w:r>
        <w:rPr>
          <w:spacing w:val="-1"/>
        </w:rPr>
        <w:t> </w:t>
      </w:r>
      <w:r>
        <w:rPr/>
        <w:t>белок 10,</w:t>
      </w:r>
      <w:r>
        <w:rPr>
          <w:spacing w:val="-1"/>
        </w:rPr>
        <w:t> </w:t>
      </w:r>
      <w:r>
        <w:rPr/>
        <w:t>ИФН-α</w:t>
      </w:r>
      <w:r>
        <w:rPr>
          <w:spacing w:val="-2"/>
        </w:rPr>
        <w:t> </w:t>
      </w:r>
      <w:r>
        <w:rPr/>
        <w:t>и ИФН-β,</w:t>
      </w:r>
      <w:r>
        <w:rPr>
          <w:spacing w:val="-1"/>
        </w:rPr>
        <w:t> </w:t>
      </w:r>
      <w:r>
        <w:rPr/>
        <w:t>моноцитарный хемоаттрактантный</w:t>
      </w:r>
      <w:r>
        <w:rPr>
          <w:spacing w:val="80"/>
        </w:rPr>
        <w:t> </w:t>
      </w:r>
      <w:r>
        <w:rPr/>
        <w:t>белок</w:t>
      </w:r>
      <w:r>
        <w:rPr>
          <w:spacing w:val="80"/>
          <w:w w:val="150"/>
        </w:rPr>
        <w:t> </w:t>
      </w:r>
      <w:r>
        <w:rPr/>
        <w:t>1</w:t>
      </w:r>
      <w:r>
        <w:rPr>
          <w:spacing w:val="80"/>
        </w:rPr>
        <w:t> </w:t>
      </w:r>
      <w:r>
        <w:rPr/>
        <w:t>(МХБ1),</w:t>
      </w:r>
      <w:r>
        <w:rPr>
          <w:spacing w:val="80"/>
        </w:rPr>
        <w:t> </w:t>
      </w:r>
      <w:r>
        <w:rPr/>
        <w:t>макрофагальный</w:t>
      </w:r>
      <w:r>
        <w:rPr>
          <w:spacing w:val="80"/>
        </w:rPr>
        <w:t> </w:t>
      </w:r>
      <w:r>
        <w:rPr/>
        <w:t>воспалительный</w:t>
      </w:r>
      <w:r>
        <w:rPr>
          <w:spacing w:val="80"/>
        </w:rPr>
        <w:t> </w:t>
      </w:r>
      <w:r>
        <w:rPr/>
        <w:t>белок</w:t>
      </w:r>
      <w:r>
        <w:rPr>
          <w:spacing w:val="80"/>
        </w:rPr>
        <w:t> </w:t>
      </w:r>
      <w:r>
        <w:rPr/>
        <w:t>1α (МВБ1α), а также маркеров воспаления (СРБ, ферритин).</w:t>
      </w:r>
    </w:p>
    <w:p>
      <w:pPr>
        <w:pStyle w:val="BodyText"/>
        <w:spacing w:line="324" w:lineRule="auto"/>
        <w:ind w:right="1272" w:firstLine="707"/>
      </w:pPr>
      <w:r>
        <w:rPr/>
        <w:t>Отличие COVID-19-индуцированного</w:t>
      </w:r>
      <w:r>
        <w:rPr>
          <w:spacing w:val="-2"/>
        </w:rPr>
        <w:t> </w:t>
      </w:r>
      <w:r>
        <w:rPr/>
        <w:t>вторичного ГЛГ от других форм вирус- индуцированного цитокинового шторма заключается в том, что органом-мишенью при этом варианте цитокинового шторма являются легкие, что связано с тропизмом коронавируса к легочной ткани, а также в более умеренном повышении уровня ферритина</w:t>
      </w:r>
      <w:r>
        <w:rPr>
          <w:spacing w:val="-10"/>
        </w:rPr>
        <w:t> </w:t>
      </w:r>
      <w:r>
        <w:rPr/>
        <w:t>сыворотки</w:t>
      </w:r>
      <w:r>
        <w:rPr>
          <w:spacing w:val="-8"/>
        </w:rPr>
        <w:t> </w:t>
      </w:r>
      <w:r>
        <w:rPr/>
        <w:t>крови.</w:t>
      </w:r>
      <w:r>
        <w:rPr>
          <w:spacing w:val="-9"/>
        </w:rPr>
        <w:t> </w:t>
      </w:r>
      <w:r>
        <w:rPr/>
        <w:t>Гиперактивация</w:t>
      </w:r>
      <w:r>
        <w:rPr>
          <w:spacing w:val="-11"/>
        </w:rPr>
        <w:t> </w:t>
      </w:r>
      <w:r>
        <w:rPr/>
        <w:t>иммунного</w:t>
      </w:r>
      <w:r>
        <w:rPr>
          <w:spacing w:val="-9"/>
        </w:rPr>
        <w:t> </w:t>
      </w:r>
      <w:r>
        <w:rPr/>
        <w:t>ответа</w:t>
      </w:r>
      <w:r>
        <w:rPr>
          <w:spacing w:val="-9"/>
        </w:rPr>
        <w:t> </w:t>
      </w:r>
      <w:r>
        <w:rPr/>
        <w:t>при</w:t>
      </w:r>
      <w:r>
        <w:rPr>
          <w:spacing w:val="-6"/>
        </w:rPr>
        <w:t> </w:t>
      </w:r>
      <w:r>
        <w:rPr/>
        <w:t>COVID-19</w:t>
      </w:r>
      <w:r>
        <w:rPr>
          <w:spacing w:val="-9"/>
        </w:rPr>
        <w:t> </w:t>
      </w:r>
      <w:r>
        <w:rPr/>
        <w:t>часто ограничивается легочной паренхимой, прилегающей бронхиальной и альвеолярной лимфоидной тканью, и ассоциируется с развитием ОРДС.</w:t>
      </w:r>
    </w:p>
    <w:p>
      <w:pPr>
        <w:pStyle w:val="BodyText"/>
        <w:spacing w:line="324" w:lineRule="auto"/>
        <w:ind w:right="1273" w:firstLine="707"/>
      </w:pPr>
      <w:r>
        <w:rPr/>
        <w:t>В раннем периоде COVID-19-пневмонии наблюдаются нормальный уровень фибриногена</w:t>
      </w:r>
      <w:r>
        <w:rPr>
          <w:spacing w:val="40"/>
        </w:rPr>
        <w:t> </w:t>
      </w:r>
      <w:r>
        <w:rPr/>
        <w:t>крови,</w:t>
      </w:r>
      <w:r>
        <w:rPr>
          <w:spacing w:val="40"/>
        </w:rPr>
        <w:t> </w:t>
      </w:r>
      <w:r>
        <w:rPr/>
        <w:t>регионального</w:t>
      </w:r>
      <w:r>
        <w:rPr>
          <w:spacing w:val="40"/>
        </w:rPr>
        <w:t> </w:t>
      </w:r>
      <w:r>
        <w:rPr/>
        <w:t>фибринолиза</w:t>
      </w:r>
      <w:r>
        <w:rPr>
          <w:spacing w:val="40"/>
        </w:rPr>
        <w:t> </w:t>
      </w:r>
      <w:r>
        <w:rPr/>
        <w:t>и</w:t>
      </w:r>
      <w:r>
        <w:rPr>
          <w:spacing w:val="40"/>
        </w:rPr>
        <w:t> </w:t>
      </w:r>
      <w:r>
        <w:rPr/>
        <w:t>высокий</w:t>
      </w:r>
      <w:r>
        <w:rPr>
          <w:spacing w:val="40"/>
        </w:rPr>
        <w:t> </w:t>
      </w:r>
      <w:r>
        <w:rPr/>
        <w:t>уровень</w:t>
      </w:r>
      <w:r>
        <w:rPr>
          <w:spacing w:val="40"/>
        </w:rPr>
        <w:t> </w:t>
      </w:r>
      <w:r>
        <w:rPr/>
        <w:t>D-димера, что не является признаком развития острого синдрома активации макрофагов. Этот процесс</w:t>
      </w:r>
      <w:r>
        <w:rPr>
          <w:spacing w:val="-6"/>
        </w:rPr>
        <w:t> </w:t>
      </w:r>
      <w:r>
        <w:rPr/>
        <w:t>можно</w:t>
      </w:r>
      <w:r>
        <w:rPr>
          <w:spacing w:val="-6"/>
        </w:rPr>
        <w:t> </w:t>
      </w:r>
      <w:r>
        <w:rPr/>
        <w:t>расценивать</w:t>
      </w:r>
      <w:r>
        <w:rPr>
          <w:spacing w:val="-4"/>
        </w:rPr>
        <w:t> </w:t>
      </w:r>
      <w:r>
        <w:rPr/>
        <w:t>как</w:t>
      </w:r>
      <w:r>
        <w:rPr>
          <w:spacing w:val="-5"/>
        </w:rPr>
        <w:t> </w:t>
      </w:r>
      <w:r>
        <w:rPr/>
        <w:t>САМ-подобное</w:t>
      </w:r>
      <w:r>
        <w:rPr>
          <w:spacing w:val="-6"/>
        </w:rPr>
        <w:t> </w:t>
      </w:r>
      <w:r>
        <w:rPr/>
        <w:t>внутрилегочное</w:t>
      </w:r>
      <w:r>
        <w:rPr>
          <w:spacing w:val="-6"/>
        </w:rPr>
        <w:t> </w:t>
      </w:r>
      <w:r>
        <w:rPr/>
        <w:t>воспаление,</w:t>
      </w:r>
      <w:r>
        <w:rPr>
          <w:spacing w:val="-6"/>
        </w:rPr>
        <w:t> </w:t>
      </w:r>
      <w:r>
        <w:rPr/>
        <w:t>которое усиливает выраженность локальной сосудистой дисфункции, включающую микротромбоз и</w:t>
      </w:r>
      <w:r>
        <w:rPr>
          <w:spacing w:val="-2"/>
        </w:rPr>
        <w:t> </w:t>
      </w:r>
      <w:r>
        <w:rPr/>
        <w:t>геморрагии, что в большей степени приводит к развитию легочной внутрисосудистой коагулопатии, чем диссеминированного внутрисосудистого </w:t>
      </w:r>
      <w:r>
        <w:rPr>
          <w:spacing w:val="-2"/>
        </w:rPr>
        <w:t>свертывания.</w:t>
      </w:r>
    </w:p>
    <w:p>
      <w:pPr>
        <w:pStyle w:val="BodyText"/>
        <w:spacing w:line="324" w:lineRule="auto"/>
        <w:ind w:right="1275" w:firstLine="707"/>
      </w:pPr>
      <w:r>
        <w:rPr/>
        <w:t>У пациентов с критическим течением COVID-19 развивается васкулярная эндотелиальная</w:t>
      </w:r>
      <w:r>
        <w:rPr>
          <w:spacing w:val="64"/>
        </w:rPr>
        <w:t>  </w:t>
      </w:r>
      <w:r>
        <w:rPr/>
        <w:t>дисфункция,</w:t>
      </w:r>
      <w:r>
        <w:rPr>
          <w:spacing w:val="64"/>
        </w:rPr>
        <w:t>  </w:t>
      </w:r>
      <w:r>
        <w:rPr/>
        <w:t>коагулопатия,</w:t>
      </w:r>
      <w:r>
        <w:rPr>
          <w:spacing w:val="64"/>
        </w:rPr>
        <w:t>  </w:t>
      </w:r>
      <w:r>
        <w:rPr/>
        <w:t>тромбозы</w:t>
      </w:r>
      <w:r>
        <w:rPr>
          <w:spacing w:val="64"/>
        </w:rPr>
        <w:t>  </w:t>
      </w:r>
      <w:r>
        <w:rPr/>
        <w:t>с</w:t>
      </w:r>
      <w:r>
        <w:rPr>
          <w:spacing w:val="64"/>
        </w:rPr>
        <w:t>  </w:t>
      </w:r>
      <w:r>
        <w:rPr/>
        <w:t>наличием</w:t>
      </w:r>
      <w:r>
        <w:rPr>
          <w:spacing w:val="64"/>
        </w:rPr>
        <w:t>  </w:t>
      </w:r>
      <w:r>
        <w:rPr/>
        <w:t>антител к</w:t>
      </w:r>
      <w:r>
        <w:rPr>
          <w:spacing w:val="-2"/>
        </w:rPr>
        <w:t> </w:t>
      </w:r>
      <w:r>
        <w:rPr/>
        <w:t>фосфолипидам, с клинической картиной, напоминающей катастрофический антифосфолипидный синдром. Клинические и патологические изменения трудно дифференцировать</w:t>
      </w:r>
      <w:r>
        <w:rPr>
          <w:spacing w:val="65"/>
        </w:rPr>
        <w:t>  </w:t>
      </w:r>
      <w:r>
        <w:rPr/>
        <w:t>с</w:t>
      </w:r>
      <w:r>
        <w:rPr>
          <w:spacing w:val="64"/>
        </w:rPr>
        <w:t>  </w:t>
      </w:r>
      <w:r>
        <w:rPr/>
        <w:t>полиорганным</w:t>
      </w:r>
      <w:r>
        <w:rPr>
          <w:spacing w:val="64"/>
        </w:rPr>
        <w:t>  </w:t>
      </w:r>
      <w:r>
        <w:rPr/>
        <w:t>тромбозом,</w:t>
      </w:r>
      <w:r>
        <w:rPr>
          <w:spacing w:val="65"/>
        </w:rPr>
        <w:t>  </w:t>
      </w:r>
      <w:r>
        <w:rPr/>
        <w:t>развивающимся</w:t>
      </w:r>
      <w:r>
        <w:rPr>
          <w:spacing w:val="65"/>
        </w:rPr>
        <w:t>  </w:t>
      </w:r>
      <w:r>
        <w:rPr/>
        <w:t>при</w:t>
      </w:r>
      <w:r>
        <w:rPr>
          <w:spacing w:val="65"/>
        </w:rPr>
        <w:t>  </w:t>
      </w:r>
      <w:r>
        <w:rPr/>
        <w:t>ДВС и тромботической микроангиопатии (ТМА).</w:t>
      </w:r>
    </w:p>
    <w:p>
      <w:pPr>
        <w:pStyle w:val="BodyText"/>
        <w:spacing w:line="309" w:lineRule="auto"/>
        <w:ind w:right="1271" w:firstLine="707"/>
      </w:pPr>
      <w:r>
        <w:rPr/>
        <w:t>Цитокиновый</w:t>
      </w:r>
      <w:r>
        <w:rPr>
          <w:spacing w:val="-12"/>
        </w:rPr>
        <w:t> </w:t>
      </w:r>
      <w:r>
        <w:rPr/>
        <w:t>шторм</w:t>
      </w:r>
      <w:r>
        <w:rPr>
          <w:spacing w:val="-13"/>
        </w:rPr>
        <w:t> </w:t>
      </w:r>
      <w:r>
        <w:rPr/>
        <w:t>при</w:t>
      </w:r>
      <w:r>
        <w:rPr>
          <w:spacing w:val="-10"/>
        </w:rPr>
        <w:t> </w:t>
      </w:r>
      <w:r>
        <w:rPr/>
        <w:t>COVID-19,</w:t>
      </w:r>
      <w:r>
        <w:rPr>
          <w:spacing w:val="-13"/>
        </w:rPr>
        <w:t> </w:t>
      </w:r>
      <w:r>
        <w:rPr/>
        <w:t>как</w:t>
      </w:r>
      <w:r>
        <w:rPr>
          <w:spacing w:val="-12"/>
        </w:rPr>
        <w:t> </w:t>
      </w:r>
      <w:r>
        <w:rPr/>
        <w:t>правило,</w:t>
      </w:r>
      <w:r>
        <w:rPr>
          <w:spacing w:val="-12"/>
        </w:rPr>
        <w:t> </w:t>
      </w:r>
      <w:r>
        <w:rPr/>
        <w:t>приводит</w:t>
      </w:r>
      <w:r>
        <w:rPr>
          <w:spacing w:val="-14"/>
        </w:rPr>
        <w:t> </w:t>
      </w:r>
      <w:r>
        <w:rPr/>
        <w:t>к</w:t>
      </w:r>
      <w:r>
        <w:rPr>
          <w:spacing w:val="-12"/>
        </w:rPr>
        <w:t> </w:t>
      </w:r>
      <w:r>
        <w:rPr/>
        <w:t>развитию</w:t>
      </w:r>
      <w:r>
        <w:rPr>
          <w:spacing w:val="-10"/>
        </w:rPr>
        <w:t> </w:t>
      </w:r>
      <w:r>
        <w:rPr/>
        <w:t>ОРДС, полиорганной недостаточности и может быть причиной летального исхода.</w:t>
      </w:r>
    </w:p>
    <w:p>
      <w:pPr>
        <w:pStyle w:val="BodyText"/>
        <w:spacing w:line="312" w:lineRule="auto" w:before="11"/>
        <w:ind w:right="1271" w:firstLine="707"/>
      </w:pPr>
      <w:r>
        <w:rPr/>
        <w:t>При микроскопическом исследовании обращают на себя внимание: интраальвеолярный отек с примесью в отечной жидкости эритроцитов, макрофагов, слущенных альвеоцитов, единичных нейтрофилов, лимфоцитов и плазмоцитов; интраальвеолярные</w:t>
      </w:r>
      <w:r>
        <w:rPr>
          <w:spacing w:val="80"/>
          <w:w w:val="150"/>
        </w:rPr>
        <w:t>  </w:t>
      </w:r>
      <w:r>
        <w:rPr/>
        <w:t>гиалиновые</w:t>
      </w:r>
      <w:r>
        <w:rPr>
          <w:spacing w:val="80"/>
          <w:w w:val="150"/>
        </w:rPr>
        <w:t>  </w:t>
      </w:r>
      <w:r>
        <w:rPr/>
        <w:t>мембраны,</w:t>
      </w:r>
      <w:r>
        <w:rPr>
          <w:spacing w:val="80"/>
          <w:w w:val="150"/>
        </w:rPr>
        <w:t>  </w:t>
      </w:r>
      <w:r>
        <w:rPr/>
        <w:t>распространяющиеся</w:t>
      </w:r>
      <w:r>
        <w:rPr>
          <w:spacing w:val="80"/>
          <w:w w:val="150"/>
        </w:rPr>
        <w:t>  </w:t>
      </w:r>
      <w:r>
        <w:rPr/>
        <w:t>иногда до</w:t>
      </w:r>
      <w:r>
        <w:rPr>
          <w:spacing w:val="-7"/>
        </w:rPr>
        <w:t> </w:t>
      </w:r>
      <w:r>
        <w:rPr/>
        <w:t>внутренней</w:t>
      </w:r>
      <w:r>
        <w:rPr>
          <w:spacing w:val="-6"/>
        </w:rPr>
        <w:t> </w:t>
      </w:r>
      <w:r>
        <w:rPr/>
        <w:t>поверхности</w:t>
      </w:r>
      <w:r>
        <w:rPr>
          <w:spacing w:val="-5"/>
        </w:rPr>
        <w:t> </w:t>
      </w:r>
      <w:r>
        <w:rPr/>
        <w:t>бронхиол;</w:t>
      </w:r>
      <w:r>
        <w:rPr>
          <w:spacing w:val="-6"/>
        </w:rPr>
        <w:t> </w:t>
      </w:r>
      <w:r>
        <w:rPr/>
        <w:t>десквамация</w:t>
      </w:r>
      <w:r>
        <w:rPr>
          <w:spacing w:val="-7"/>
        </w:rPr>
        <w:t> </w:t>
      </w:r>
      <w:r>
        <w:rPr/>
        <w:t>альвеолярного</w:t>
      </w:r>
      <w:r>
        <w:rPr>
          <w:spacing w:val="-7"/>
        </w:rPr>
        <w:t> </w:t>
      </w:r>
      <w:r>
        <w:rPr/>
        <w:t>(в</w:t>
      </w:r>
      <w:r>
        <w:rPr>
          <w:spacing w:val="-7"/>
        </w:rPr>
        <w:t> </w:t>
      </w:r>
      <w:r>
        <w:rPr/>
        <w:t>виде</w:t>
      </w:r>
      <w:r>
        <w:rPr>
          <w:spacing w:val="-7"/>
        </w:rPr>
        <w:t> </w:t>
      </w:r>
      <w:r>
        <w:rPr/>
        <w:t>отдельных клеток и их пластов) и бронхиолярного эпителия; появление крупных, неправильной формы</w:t>
      </w:r>
      <w:r>
        <w:rPr>
          <w:spacing w:val="8"/>
        </w:rPr>
        <w:t> </w:t>
      </w:r>
      <w:r>
        <w:rPr/>
        <w:t>альвеоцитов</w:t>
      </w:r>
      <w:r>
        <w:rPr>
          <w:spacing w:val="11"/>
        </w:rPr>
        <w:t> </w:t>
      </w:r>
      <w:r>
        <w:rPr/>
        <w:t>II</w:t>
      </w:r>
      <w:r>
        <w:rPr>
          <w:spacing w:val="8"/>
        </w:rPr>
        <w:t> </w:t>
      </w:r>
      <w:r>
        <w:rPr/>
        <w:t>типа,</w:t>
      </w:r>
      <w:r>
        <w:rPr>
          <w:spacing w:val="8"/>
        </w:rPr>
        <w:t> </w:t>
      </w:r>
      <w:r>
        <w:rPr/>
        <w:t>с</w:t>
      </w:r>
      <w:r>
        <w:rPr>
          <w:spacing w:val="8"/>
        </w:rPr>
        <w:t> </w:t>
      </w:r>
      <w:r>
        <w:rPr/>
        <w:t>увеличенными</w:t>
      </w:r>
      <w:r>
        <w:rPr>
          <w:spacing w:val="9"/>
        </w:rPr>
        <w:t> </w:t>
      </w:r>
      <w:r>
        <w:rPr/>
        <w:t>ядрами</w:t>
      </w:r>
      <w:r>
        <w:rPr>
          <w:spacing w:val="9"/>
        </w:rPr>
        <w:t> </w:t>
      </w:r>
      <w:r>
        <w:rPr/>
        <w:t>с</w:t>
      </w:r>
      <w:r>
        <w:rPr>
          <w:spacing w:val="8"/>
        </w:rPr>
        <w:t> </w:t>
      </w:r>
      <w:r>
        <w:rPr/>
        <w:t>грубозернистым</w:t>
      </w:r>
      <w:r>
        <w:rPr>
          <w:spacing w:val="8"/>
        </w:rPr>
        <w:t> </w:t>
      </w:r>
      <w:r>
        <w:rPr>
          <w:spacing w:val="-2"/>
        </w:rPr>
        <w:t>хроматином</w:t>
      </w:r>
    </w:p>
    <w:p>
      <w:pPr>
        <w:pStyle w:val="BodyText"/>
        <w:spacing w:after="0" w:line="312" w:lineRule="auto"/>
        <w:sectPr>
          <w:pgSz w:w="11900" w:h="16840"/>
          <w:pgMar w:header="0" w:footer="697" w:top="1080" w:bottom="880" w:left="0" w:right="0"/>
        </w:sectPr>
      </w:pPr>
    </w:p>
    <w:p>
      <w:pPr>
        <w:pStyle w:val="BodyText"/>
        <w:spacing w:line="312" w:lineRule="auto" w:before="73"/>
        <w:ind w:right="1272"/>
      </w:pPr>
      <w:bookmarkStart w:name="11" w:id="14"/>
      <w:bookmarkEnd w:id="14"/>
      <w:r>
        <w:rPr/>
      </w:r>
      <w:r>
        <w:rPr/>
        <w:t>и</w:t>
      </w:r>
      <w:r>
        <w:rPr>
          <w:spacing w:val="-1"/>
        </w:rPr>
        <w:t> </w:t>
      </w:r>
      <w:r>
        <w:rPr/>
        <w:t>отчетливыми</w:t>
      </w:r>
      <w:r>
        <w:rPr>
          <w:spacing w:val="40"/>
        </w:rPr>
        <w:t>  </w:t>
      </w:r>
      <w:r>
        <w:rPr/>
        <w:t>ядрышками</w:t>
      </w:r>
      <w:r>
        <w:rPr>
          <w:spacing w:val="40"/>
        </w:rPr>
        <w:t>  </w:t>
      </w:r>
      <w:r>
        <w:rPr/>
        <w:t>(в</w:t>
      </w:r>
      <w:r>
        <w:rPr>
          <w:spacing w:val="40"/>
        </w:rPr>
        <w:t>  </w:t>
      </w:r>
      <w:r>
        <w:rPr/>
        <w:t>некоторых</w:t>
      </w:r>
      <w:r>
        <w:rPr>
          <w:spacing w:val="40"/>
        </w:rPr>
        <w:t>  </w:t>
      </w:r>
      <w:r>
        <w:rPr/>
        <w:t>из</w:t>
      </w:r>
      <w:r>
        <w:rPr>
          <w:spacing w:val="40"/>
        </w:rPr>
        <w:t>  </w:t>
      </w:r>
      <w:r>
        <w:rPr/>
        <w:t>них</w:t>
      </w:r>
      <w:r>
        <w:rPr>
          <w:spacing w:val="40"/>
        </w:rPr>
        <w:t>  </w:t>
      </w:r>
      <w:r>
        <w:rPr/>
        <w:t>вокруг</w:t>
      </w:r>
      <w:r>
        <w:rPr>
          <w:spacing w:val="40"/>
        </w:rPr>
        <w:t>  </w:t>
      </w:r>
      <w:r>
        <w:rPr/>
        <w:t>ядра</w:t>
      </w:r>
      <w:r>
        <w:rPr>
          <w:spacing w:val="40"/>
        </w:rPr>
        <w:t>  </w:t>
      </w:r>
      <w:r>
        <w:rPr/>
        <w:t>видно</w:t>
      </w:r>
      <w:r>
        <w:rPr>
          <w:spacing w:val="40"/>
        </w:rPr>
        <w:t>  </w:t>
      </w:r>
      <w:r>
        <w:rPr/>
        <w:t>гало, а</w:t>
      </w:r>
      <w:r>
        <w:rPr>
          <w:spacing w:val="-5"/>
        </w:rPr>
        <w:t> </w:t>
      </w:r>
      <w:r>
        <w:rPr/>
        <w:t>в</w:t>
      </w:r>
      <w:r>
        <w:rPr>
          <w:spacing w:val="-4"/>
        </w:rPr>
        <w:t> </w:t>
      </w:r>
      <w:r>
        <w:rPr/>
        <w:t>цитоплазме</w:t>
      </w:r>
      <w:r>
        <w:rPr>
          <w:spacing w:val="-3"/>
        </w:rPr>
        <w:t> </w:t>
      </w:r>
      <w:r>
        <w:rPr/>
        <w:t>– округлые базофильные и эозинофильные включения, характерные для вирусного повреждения клеток); пролиферация альвеолоцитов II типа, образование</w:t>
      </w:r>
      <w:r>
        <w:rPr>
          <w:spacing w:val="40"/>
        </w:rPr>
        <w:t>  </w:t>
      </w:r>
      <w:r>
        <w:rPr/>
        <w:t>их</w:t>
      </w:r>
      <w:r>
        <w:rPr>
          <w:spacing w:val="80"/>
          <w:w w:val="150"/>
        </w:rPr>
        <w:t> </w:t>
      </w:r>
      <w:r>
        <w:rPr/>
        <w:t>симпластов.</w:t>
      </w:r>
      <w:r>
        <w:rPr>
          <w:spacing w:val="40"/>
        </w:rPr>
        <w:t>  </w:t>
      </w:r>
      <w:r>
        <w:rPr/>
        <w:t>Характерна</w:t>
      </w:r>
      <w:r>
        <w:rPr>
          <w:spacing w:val="40"/>
        </w:rPr>
        <w:t>  </w:t>
      </w:r>
      <w:r>
        <w:rPr/>
        <w:t>слабо</w:t>
      </w:r>
      <w:r>
        <w:rPr>
          <w:spacing w:val="40"/>
        </w:rPr>
        <w:t>  </w:t>
      </w:r>
      <w:r>
        <w:rPr/>
        <w:t>выраженная</w:t>
      </w:r>
      <w:r>
        <w:rPr>
          <w:spacing w:val="80"/>
          <w:w w:val="150"/>
        </w:rPr>
        <w:t> </w:t>
      </w:r>
      <w:r>
        <w:rPr/>
        <w:t>периваскулярная и перибронхиальная лимфоидная и макрофагальная инфильтрация, а также инфильтрация межальвеолярных перегородок и стенок мелких сосудов, представленная различными популяциями лимфоцитов и макрофагов. Преобладают CD3+</w:t>
      </w:r>
      <w:r>
        <w:rPr>
          <w:spacing w:val="-15"/>
        </w:rPr>
        <w:t> </w:t>
      </w:r>
      <w:r>
        <w:rPr/>
        <w:t>Т</w:t>
      </w:r>
      <w:r>
        <w:rPr>
          <w:spacing w:val="-15"/>
        </w:rPr>
        <w:t> </w:t>
      </w:r>
      <w:r>
        <w:rPr/>
        <w:t>лимфоциты,</w:t>
      </w:r>
      <w:r>
        <w:rPr>
          <w:spacing w:val="-14"/>
        </w:rPr>
        <w:t> </w:t>
      </w:r>
      <w:r>
        <w:rPr/>
        <w:t>среди</w:t>
      </w:r>
      <w:r>
        <w:rPr>
          <w:spacing w:val="-13"/>
        </w:rPr>
        <w:t> </w:t>
      </w:r>
      <w:r>
        <w:rPr/>
        <w:t>них</w:t>
      </w:r>
      <w:r>
        <w:rPr>
          <w:spacing w:val="-3"/>
        </w:rPr>
        <w:t> </w:t>
      </w:r>
      <w:r>
        <w:rPr/>
        <w:t>–</w:t>
      </w:r>
      <w:r>
        <w:rPr>
          <w:spacing w:val="-15"/>
        </w:rPr>
        <w:t> </w:t>
      </w:r>
      <w:r>
        <w:rPr/>
        <w:t>CD2+,</w:t>
      </w:r>
      <w:r>
        <w:rPr>
          <w:spacing w:val="-14"/>
        </w:rPr>
        <w:t> </w:t>
      </w:r>
      <w:r>
        <w:rPr/>
        <w:t>CD5+,</w:t>
      </w:r>
      <w:r>
        <w:rPr>
          <w:spacing w:val="-14"/>
        </w:rPr>
        <w:t> </w:t>
      </w:r>
      <w:r>
        <w:rPr/>
        <w:t>CD8+</w:t>
      </w:r>
      <w:r>
        <w:rPr>
          <w:spacing w:val="-15"/>
        </w:rPr>
        <w:t> </w:t>
      </w:r>
      <w:r>
        <w:rPr/>
        <w:t>Т-клетки.</w:t>
      </w:r>
      <w:r>
        <w:rPr>
          <w:spacing w:val="-14"/>
        </w:rPr>
        <w:t> </w:t>
      </w:r>
      <w:r>
        <w:rPr/>
        <w:t>B-лимфоциты</w:t>
      </w:r>
      <w:r>
        <w:rPr>
          <w:spacing w:val="-14"/>
        </w:rPr>
        <w:t> </w:t>
      </w:r>
      <w:r>
        <w:rPr/>
        <w:t>(CD20+, CD80+) сравнительно немногочисленны, натуральные киллеры (CD16+/CD56+) практически отсутствуют. Вирус SARS-CoV-2 выявляется в реснитчатых клетках бронхов, эпителии бронхиол, в</w:t>
      </w:r>
      <w:r>
        <w:rPr>
          <w:spacing w:val="-1"/>
        </w:rPr>
        <w:t> </w:t>
      </w:r>
      <w:r>
        <w:rPr/>
        <w:t>альвеолоцитах и макрофагах, а также в эндотелии сосудов с помощью методов амплификации нуклеиновых кислот (МАНК), при иммуногистохимическом, ультраструктурном исследованиях.</w:t>
      </w:r>
    </w:p>
    <w:p>
      <w:pPr>
        <w:pStyle w:val="BodyText"/>
        <w:spacing w:line="312" w:lineRule="auto" w:before="10"/>
        <w:ind w:right="1271" w:firstLine="707"/>
      </w:pPr>
      <w:r>
        <w:rPr/>
        <w:t>Специфическое вирусное и вызванное цитокиновым штормом (а в более поздние сроки – возможно, и аутоиммунное) повреждение эндотелия, получившее название SARS‑CoV‑2-ассоциированые эндотелиальная дисфункция и, даже, эндотелиит, и синдром гиперкоагуляции – основа характерных для COVID-19 тромботической микроангиопатии преимущественно легких, реже – других органов (миокарда,</w:t>
      </w:r>
      <w:r>
        <w:rPr>
          <w:spacing w:val="-7"/>
        </w:rPr>
        <w:t> </w:t>
      </w:r>
      <w:r>
        <w:rPr/>
        <w:t>головного</w:t>
      </w:r>
      <w:r>
        <w:rPr>
          <w:spacing w:val="-7"/>
        </w:rPr>
        <w:t> </w:t>
      </w:r>
      <w:r>
        <w:rPr/>
        <w:t>мозга,</w:t>
      </w:r>
      <w:r>
        <w:rPr>
          <w:spacing w:val="-7"/>
        </w:rPr>
        <w:t> </w:t>
      </w:r>
      <w:r>
        <w:rPr/>
        <w:t>почек</w:t>
      </w:r>
      <w:r>
        <w:rPr>
          <w:spacing w:val="-6"/>
        </w:rPr>
        <w:t> </w:t>
      </w:r>
      <w:r>
        <w:rPr/>
        <w:t>и</w:t>
      </w:r>
      <w:r>
        <w:rPr>
          <w:spacing w:val="-6"/>
        </w:rPr>
        <w:t> </w:t>
      </w:r>
      <w:r>
        <w:rPr/>
        <w:t>др.),</w:t>
      </w:r>
      <w:r>
        <w:rPr>
          <w:spacing w:val="-7"/>
        </w:rPr>
        <w:t> </w:t>
      </w:r>
      <w:r>
        <w:rPr/>
        <w:t>и</w:t>
      </w:r>
      <w:r>
        <w:rPr>
          <w:spacing w:val="-8"/>
        </w:rPr>
        <w:t> </w:t>
      </w:r>
      <w:r>
        <w:rPr/>
        <w:t>тромбоза</w:t>
      </w:r>
      <w:r>
        <w:rPr>
          <w:spacing w:val="-8"/>
        </w:rPr>
        <w:t> </w:t>
      </w:r>
      <w:r>
        <w:rPr/>
        <w:t>крупных</w:t>
      </w:r>
      <w:r>
        <w:rPr>
          <w:spacing w:val="-7"/>
        </w:rPr>
        <w:t> </w:t>
      </w:r>
      <w:r>
        <w:rPr/>
        <w:t>артерий</w:t>
      </w:r>
      <w:r>
        <w:rPr>
          <w:spacing w:val="-8"/>
        </w:rPr>
        <w:t> </w:t>
      </w:r>
      <w:r>
        <w:rPr/>
        <w:t>и</w:t>
      </w:r>
      <w:r>
        <w:rPr>
          <w:spacing w:val="-4"/>
        </w:rPr>
        <w:t> </w:t>
      </w:r>
      <w:r>
        <w:rPr/>
        <w:t>вен</w:t>
      </w:r>
      <w:r>
        <w:rPr>
          <w:spacing w:val="-6"/>
        </w:rPr>
        <w:t> </w:t>
      </w:r>
      <w:r>
        <w:rPr/>
        <w:t>(нередко с</w:t>
      </w:r>
      <w:r>
        <w:rPr>
          <w:spacing w:val="-7"/>
        </w:rPr>
        <w:t> </w:t>
      </w:r>
      <w:r>
        <w:rPr/>
        <w:t>тромбоэмболией). Не исключают возможность активации тромбоцитов антителами к</w:t>
      </w:r>
      <w:r>
        <w:rPr>
          <w:spacing w:val="-2"/>
        </w:rPr>
        <w:t> </w:t>
      </w:r>
      <w:r>
        <w:rPr/>
        <w:t>SARS-CoV-2</w:t>
      </w:r>
      <w:r>
        <w:rPr>
          <w:spacing w:val="66"/>
        </w:rPr>
        <w:t>  </w:t>
      </w:r>
      <w:r>
        <w:rPr/>
        <w:t>как</w:t>
      </w:r>
      <w:r>
        <w:rPr>
          <w:spacing w:val="64"/>
        </w:rPr>
        <w:t>  </w:t>
      </w:r>
      <w:r>
        <w:rPr/>
        <w:t>важной</w:t>
      </w:r>
      <w:r>
        <w:rPr>
          <w:spacing w:val="66"/>
        </w:rPr>
        <w:t>  </w:t>
      </w:r>
      <w:r>
        <w:rPr/>
        <w:t>причины</w:t>
      </w:r>
      <w:r>
        <w:rPr>
          <w:spacing w:val="66"/>
        </w:rPr>
        <w:t>  </w:t>
      </w:r>
      <w:r>
        <w:rPr/>
        <w:t>развития</w:t>
      </w:r>
      <w:r>
        <w:rPr>
          <w:spacing w:val="66"/>
        </w:rPr>
        <w:t>  </w:t>
      </w:r>
      <w:r>
        <w:rPr/>
        <w:t>синдрома</w:t>
      </w:r>
      <w:r>
        <w:rPr>
          <w:spacing w:val="65"/>
        </w:rPr>
        <w:t>  </w:t>
      </w:r>
      <w:r>
        <w:rPr/>
        <w:t>гиперкогауляции. В единичных наблюдениях развивается локальный легочный или системный продуктивно-деструктивный тромбоваскулит, возможно, в результате суперинфекции.</w:t>
      </w:r>
      <w:r>
        <w:rPr>
          <w:spacing w:val="-7"/>
        </w:rPr>
        <w:t> </w:t>
      </w:r>
      <w:r>
        <w:rPr/>
        <w:t>Существуют</w:t>
      </w:r>
      <w:r>
        <w:rPr>
          <w:spacing w:val="-5"/>
        </w:rPr>
        <w:t> </w:t>
      </w:r>
      <w:r>
        <w:rPr/>
        <w:t>доказательства</w:t>
      </w:r>
      <w:r>
        <w:rPr>
          <w:spacing w:val="-6"/>
        </w:rPr>
        <w:t> </w:t>
      </w:r>
      <w:r>
        <w:rPr/>
        <w:t>связи</w:t>
      </w:r>
      <w:r>
        <w:rPr>
          <w:spacing w:val="-4"/>
        </w:rPr>
        <w:t> </w:t>
      </w:r>
      <w:r>
        <w:rPr/>
        <w:t>части</w:t>
      </w:r>
      <w:r>
        <w:rPr>
          <w:spacing w:val="-6"/>
        </w:rPr>
        <w:t> </w:t>
      </w:r>
      <w:r>
        <w:rPr/>
        <w:t>наблюдений</w:t>
      </w:r>
      <w:r>
        <w:rPr>
          <w:spacing w:val="-7"/>
        </w:rPr>
        <w:t> </w:t>
      </w:r>
      <w:r>
        <w:rPr/>
        <w:t>постковидного синдрома, наряду с другими патологическими процессами, с пролонгированной тромботической микроангиопатией и сохраняющимся синдромом гиперкоагуляции.</w:t>
      </w:r>
    </w:p>
    <w:p>
      <w:pPr>
        <w:pStyle w:val="BodyText"/>
        <w:spacing w:line="312" w:lineRule="auto" w:before="9"/>
        <w:ind w:right="1272" w:firstLine="707"/>
      </w:pPr>
      <w:r>
        <w:rPr/>
        <w:t>В патогенезе COVID-19 поражение микроциркуляторного русла играет важнейшую роль. Для поражения легких при COVID-19 характерны выраженное полнокровие капилляров межальвеолярных перегородок, а также ветвей легочных артерий и вен, с замедлением кровотока, со сладжами эритроцитов, свежими фибриновыми и организующимися тромбами; внутрибронхиальные, внутрибронхиолярные</w:t>
      </w:r>
      <w:r>
        <w:rPr>
          <w:spacing w:val="-10"/>
        </w:rPr>
        <w:t> </w:t>
      </w:r>
      <w:r>
        <w:rPr/>
        <w:t>и</w:t>
      </w:r>
      <w:r>
        <w:rPr>
          <w:spacing w:val="-8"/>
        </w:rPr>
        <w:t> </w:t>
      </w:r>
      <w:r>
        <w:rPr/>
        <w:t>интраальвеолярные</w:t>
      </w:r>
      <w:r>
        <w:rPr>
          <w:spacing w:val="-10"/>
        </w:rPr>
        <w:t> </w:t>
      </w:r>
      <w:r>
        <w:rPr/>
        <w:t>кровоизлияния,</w:t>
      </w:r>
      <w:r>
        <w:rPr>
          <w:spacing w:val="-9"/>
        </w:rPr>
        <w:t> </w:t>
      </w:r>
      <w:r>
        <w:rPr/>
        <w:t>являющиеся</w:t>
      </w:r>
      <w:r>
        <w:rPr>
          <w:spacing w:val="-9"/>
        </w:rPr>
        <w:t> </w:t>
      </w:r>
      <w:r>
        <w:rPr/>
        <w:t>субстратом для</w:t>
      </w:r>
      <w:r>
        <w:rPr>
          <w:spacing w:val="-15"/>
        </w:rPr>
        <w:t> </w:t>
      </w:r>
      <w:r>
        <w:rPr/>
        <w:t>кровохарканья,</w:t>
      </w:r>
      <w:r>
        <w:rPr>
          <w:spacing w:val="-15"/>
        </w:rPr>
        <w:t> </w:t>
      </w:r>
      <w:r>
        <w:rPr/>
        <w:t>а</w:t>
      </w:r>
      <w:r>
        <w:rPr>
          <w:spacing w:val="-15"/>
        </w:rPr>
        <w:t> </w:t>
      </w:r>
      <w:r>
        <w:rPr/>
        <w:t>также</w:t>
      </w:r>
      <w:r>
        <w:rPr>
          <w:spacing w:val="-15"/>
        </w:rPr>
        <w:t> </w:t>
      </w:r>
      <w:r>
        <w:rPr/>
        <w:t>периваскулярные</w:t>
      </w:r>
      <w:r>
        <w:rPr>
          <w:spacing w:val="-15"/>
        </w:rPr>
        <w:t> </w:t>
      </w:r>
      <w:r>
        <w:rPr/>
        <w:t>кровоизлияния.</w:t>
      </w:r>
      <w:r>
        <w:rPr>
          <w:spacing w:val="-11"/>
        </w:rPr>
        <w:t> </w:t>
      </w:r>
      <w:r>
        <w:rPr/>
        <w:t>Поражение</w:t>
      </w:r>
      <w:r>
        <w:rPr>
          <w:spacing w:val="-15"/>
        </w:rPr>
        <w:t> </w:t>
      </w:r>
      <w:r>
        <w:rPr/>
        <w:t>сосудистого русла легких – важный фактор патогенеза гипоксии и ОРДС. Выраженный альвеолярно-геморрагический синдром характерен для большинства наблюдений, вплоть до формирования, фактически, геморрагических инфарктов (хотя и истинные геморрагические</w:t>
      </w:r>
      <w:r>
        <w:rPr>
          <w:spacing w:val="80"/>
        </w:rPr>
        <w:t> </w:t>
      </w:r>
      <w:r>
        <w:rPr/>
        <w:t>инфаркты</w:t>
      </w:r>
      <w:r>
        <w:rPr>
          <w:spacing w:val="80"/>
        </w:rPr>
        <w:t> </w:t>
      </w:r>
      <w:r>
        <w:rPr/>
        <w:t>не</w:t>
      </w:r>
      <w:r>
        <w:rPr>
          <w:spacing w:val="80"/>
        </w:rPr>
        <w:t> </w:t>
      </w:r>
      <w:r>
        <w:rPr/>
        <w:t>редки).</w:t>
      </w:r>
      <w:r>
        <w:rPr>
          <w:spacing w:val="80"/>
        </w:rPr>
        <w:t> </w:t>
      </w:r>
      <w:r>
        <w:rPr/>
        <w:t>Тромбы</w:t>
      </w:r>
      <w:r>
        <w:rPr>
          <w:spacing w:val="80"/>
        </w:rPr>
        <w:t> </w:t>
      </w:r>
      <w:r>
        <w:rPr/>
        <w:t>сосудов</w:t>
      </w:r>
      <w:r>
        <w:rPr>
          <w:spacing w:val="80"/>
        </w:rPr>
        <w:t> </w:t>
      </w:r>
      <w:r>
        <w:rPr/>
        <w:t>легких</w:t>
      </w:r>
      <w:r>
        <w:rPr>
          <w:spacing w:val="80"/>
        </w:rPr>
        <w:t> </w:t>
      </w:r>
      <w:r>
        <w:rPr/>
        <w:t>важно</w:t>
      </w:r>
      <w:r>
        <w:rPr>
          <w:spacing w:val="80"/>
        </w:rPr>
        <w:t> </w:t>
      </w:r>
      <w:r>
        <w:rPr/>
        <w:t>отличать от</w:t>
      </w:r>
      <w:r>
        <w:rPr>
          <w:spacing w:val="-2"/>
        </w:rPr>
        <w:t> </w:t>
      </w:r>
      <w:r>
        <w:rPr/>
        <w:t>тромбоэмболов, так как тромбоэмболия легочной артерии (ТЭЛА) также характерна</w:t>
      </w:r>
      <w:r>
        <w:rPr>
          <w:spacing w:val="27"/>
        </w:rPr>
        <w:t>  </w:t>
      </w:r>
      <w:r>
        <w:rPr/>
        <w:t>для</w:t>
      </w:r>
      <w:r>
        <w:rPr>
          <w:spacing w:val="28"/>
        </w:rPr>
        <w:t>  </w:t>
      </w:r>
      <w:r>
        <w:rPr/>
        <w:t>COVID-19.</w:t>
      </w:r>
      <w:r>
        <w:rPr>
          <w:spacing w:val="27"/>
        </w:rPr>
        <w:t>  </w:t>
      </w:r>
      <w:r>
        <w:rPr/>
        <w:t>Тромбоз</w:t>
      </w:r>
      <w:r>
        <w:rPr>
          <w:spacing w:val="28"/>
        </w:rPr>
        <w:t>  </w:t>
      </w:r>
      <w:r>
        <w:rPr/>
        <w:t>легочных</w:t>
      </w:r>
      <w:r>
        <w:rPr>
          <w:spacing w:val="28"/>
        </w:rPr>
        <w:t>  </w:t>
      </w:r>
      <w:r>
        <w:rPr/>
        <w:t>артерий</w:t>
      </w:r>
      <w:r>
        <w:rPr>
          <w:spacing w:val="27"/>
        </w:rPr>
        <w:t>  </w:t>
      </w:r>
      <w:r>
        <w:rPr/>
        <w:t>иногда</w:t>
      </w:r>
      <w:r>
        <w:rPr>
          <w:spacing w:val="26"/>
        </w:rPr>
        <w:t>  </w:t>
      </w:r>
      <w:r>
        <w:rPr>
          <w:spacing w:val="-2"/>
        </w:rPr>
        <w:t>прогрессирует</w:t>
      </w:r>
    </w:p>
    <w:p>
      <w:pPr>
        <w:pStyle w:val="BodyText"/>
        <w:spacing w:after="0" w:line="312" w:lineRule="auto"/>
        <w:sectPr>
          <w:pgSz w:w="11900" w:h="16840"/>
          <w:pgMar w:header="0" w:footer="697" w:top="1080" w:bottom="880" w:left="0" w:right="0"/>
        </w:sectPr>
      </w:pPr>
    </w:p>
    <w:p>
      <w:pPr>
        <w:pStyle w:val="BodyText"/>
        <w:spacing w:line="312" w:lineRule="auto" w:before="73"/>
        <w:ind w:right="1271"/>
      </w:pPr>
      <w:bookmarkStart w:name="12" w:id="15"/>
      <w:bookmarkEnd w:id="15"/>
      <w:r>
        <w:rPr/>
      </w:r>
      <w:r>
        <w:rPr/>
        <w:t>до</w:t>
      </w:r>
      <w:r>
        <w:rPr>
          <w:spacing w:val="40"/>
        </w:rPr>
        <w:t> </w:t>
      </w:r>
      <w:r>
        <w:rPr/>
        <w:t>правых</w:t>
      </w:r>
      <w:r>
        <w:rPr>
          <w:spacing w:val="40"/>
        </w:rPr>
        <w:t> </w:t>
      </w:r>
      <w:r>
        <w:rPr/>
        <w:t>отделов</w:t>
      </w:r>
      <w:r>
        <w:rPr>
          <w:spacing w:val="40"/>
        </w:rPr>
        <w:t> </w:t>
      </w:r>
      <w:r>
        <w:rPr/>
        <w:t>сердца,</w:t>
      </w:r>
      <w:r>
        <w:rPr>
          <w:spacing w:val="40"/>
        </w:rPr>
        <w:t> </w:t>
      </w:r>
      <w:r>
        <w:rPr/>
        <w:t>описан</w:t>
      </w:r>
      <w:r>
        <w:rPr>
          <w:spacing w:val="40"/>
        </w:rPr>
        <w:t> </w:t>
      </w:r>
      <w:r>
        <w:rPr/>
        <w:t>тромбоз</w:t>
      </w:r>
      <w:r>
        <w:rPr>
          <w:spacing w:val="40"/>
        </w:rPr>
        <w:t> </w:t>
      </w:r>
      <w:r>
        <w:rPr/>
        <w:t>артерий</w:t>
      </w:r>
      <w:r>
        <w:rPr>
          <w:spacing w:val="40"/>
        </w:rPr>
        <w:t> </w:t>
      </w:r>
      <w:r>
        <w:rPr/>
        <w:t>разных</w:t>
      </w:r>
      <w:r>
        <w:rPr>
          <w:spacing w:val="40"/>
        </w:rPr>
        <w:t> </w:t>
      </w:r>
      <w:r>
        <w:rPr/>
        <w:t>органов</w:t>
      </w:r>
      <w:r>
        <w:rPr>
          <w:spacing w:val="40"/>
        </w:rPr>
        <w:t> </w:t>
      </w:r>
      <w:r>
        <w:rPr/>
        <w:t>с развитием их инфарктов (миокарда, головного мозга, кишечника, почек, селезенки), описана также</w:t>
      </w:r>
      <w:r>
        <w:rPr>
          <w:spacing w:val="80"/>
        </w:rPr>
        <w:t> </w:t>
      </w:r>
      <w:r>
        <w:rPr/>
        <w:t>гангрена</w:t>
      </w:r>
      <w:r>
        <w:rPr>
          <w:spacing w:val="80"/>
        </w:rPr>
        <w:t> </w:t>
      </w:r>
      <w:r>
        <w:rPr/>
        <w:t>конечностей.</w:t>
      </w:r>
      <w:r>
        <w:rPr>
          <w:spacing w:val="80"/>
        </w:rPr>
        <w:t> </w:t>
      </w:r>
      <w:r>
        <w:rPr/>
        <w:t>Это</w:t>
      </w:r>
      <w:r>
        <w:rPr>
          <w:spacing w:val="80"/>
        </w:rPr>
        <w:t> </w:t>
      </w:r>
      <w:r>
        <w:rPr/>
        <w:t>отличает</w:t>
      </w:r>
      <w:r>
        <w:rPr>
          <w:spacing w:val="80"/>
        </w:rPr>
        <w:t> </w:t>
      </w:r>
      <w:r>
        <w:rPr/>
        <w:t>изменения</w:t>
      </w:r>
      <w:r>
        <w:rPr>
          <w:spacing w:val="80"/>
        </w:rPr>
        <w:t> </w:t>
      </w:r>
      <w:r>
        <w:rPr/>
        <w:t>в</w:t>
      </w:r>
      <w:r>
        <w:rPr>
          <w:spacing w:val="80"/>
        </w:rPr>
        <w:t> </w:t>
      </w:r>
      <w:r>
        <w:rPr/>
        <w:t>легких</w:t>
      </w:r>
      <w:r>
        <w:rPr>
          <w:spacing w:val="79"/>
        </w:rPr>
        <w:t> </w:t>
      </w:r>
      <w:r>
        <w:rPr/>
        <w:t>при</w:t>
      </w:r>
      <w:r>
        <w:rPr>
          <w:spacing w:val="80"/>
        </w:rPr>
        <w:t> </w:t>
      </w:r>
      <w:r>
        <w:rPr/>
        <w:t>COVID-19 от ранее наблюдавшихся при гриппе A/H1N1 и других коронавирусных инфекциях. Несмотря на выраженный альвеолярно-геморрагический синдром, значительных отложений гемосидерина в их исходе не наблюдается. Описанные поражения легких и других органов являются причиной смерти без присоединения бактериальной или микотической</w:t>
      </w:r>
      <w:r>
        <w:rPr>
          <w:spacing w:val="80"/>
        </w:rPr>
        <w:t> </w:t>
      </w:r>
      <w:r>
        <w:rPr/>
        <w:t>суперинфекции.</w:t>
      </w:r>
      <w:r>
        <w:rPr>
          <w:spacing w:val="80"/>
        </w:rPr>
        <w:t> </w:t>
      </w:r>
      <w:r>
        <w:rPr/>
        <w:t>Ее</w:t>
      </w:r>
      <w:r>
        <w:rPr>
          <w:spacing w:val="80"/>
        </w:rPr>
        <w:t> </w:t>
      </w:r>
      <w:r>
        <w:rPr/>
        <w:t>частота</w:t>
      </w:r>
      <w:r>
        <w:rPr>
          <w:spacing w:val="80"/>
        </w:rPr>
        <w:t> </w:t>
      </w:r>
      <w:r>
        <w:rPr/>
        <w:t>не</w:t>
      </w:r>
      <w:r>
        <w:rPr>
          <w:spacing w:val="80"/>
        </w:rPr>
        <w:t> </w:t>
      </w:r>
      <w:r>
        <w:rPr/>
        <w:t>превышает</w:t>
      </w:r>
      <w:r>
        <w:rPr>
          <w:spacing w:val="80"/>
        </w:rPr>
        <w:t> </w:t>
      </w:r>
      <w:r>
        <w:rPr/>
        <w:t>30-35</w:t>
      </w:r>
      <w:r>
        <w:rPr>
          <w:spacing w:val="80"/>
        </w:rPr>
        <w:t> </w:t>
      </w:r>
      <w:r>
        <w:rPr/>
        <w:t>%,</w:t>
      </w:r>
      <w:r>
        <w:rPr>
          <w:spacing w:val="80"/>
        </w:rPr>
        <w:t> </w:t>
      </w:r>
      <w:r>
        <w:rPr/>
        <w:t>в</w:t>
      </w:r>
      <w:r>
        <w:rPr>
          <w:spacing w:val="80"/>
        </w:rPr>
        <w:t> </w:t>
      </w:r>
      <w:r>
        <w:rPr/>
        <w:t>основном у больных при длительной искусственной вентиляции легких (ИВЛ).</w:t>
      </w:r>
    </w:p>
    <w:p>
      <w:pPr>
        <w:pStyle w:val="BodyText"/>
        <w:spacing w:line="312" w:lineRule="auto" w:before="10"/>
        <w:ind w:right="1272" w:firstLine="707"/>
      </w:pPr>
      <w:r>
        <w:rPr/>
        <w:t>В части наблюдений выявлены изменения</w:t>
      </w:r>
      <w:r>
        <w:rPr>
          <w:spacing w:val="-2"/>
        </w:rPr>
        <w:t> </w:t>
      </w:r>
      <w:r>
        <w:rPr/>
        <w:t>и</w:t>
      </w:r>
      <w:r>
        <w:rPr>
          <w:spacing w:val="-1"/>
        </w:rPr>
        <w:t> </w:t>
      </w:r>
      <w:r>
        <w:rPr/>
        <w:t>в</w:t>
      </w:r>
      <w:r>
        <w:rPr>
          <w:spacing w:val="-1"/>
        </w:rPr>
        <w:t> </w:t>
      </w:r>
      <w:r>
        <w:rPr/>
        <w:t>других органах,</w:t>
      </w:r>
      <w:r>
        <w:rPr>
          <w:spacing w:val="-2"/>
        </w:rPr>
        <w:t> </w:t>
      </w:r>
      <w:r>
        <w:rPr/>
        <w:t>которые</w:t>
      </w:r>
      <w:r>
        <w:rPr>
          <w:spacing w:val="-1"/>
        </w:rPr>
        <w:t> </w:t>
      </w:r>
      <w:r>
        <w:rPr/>
        <w:t>можно предположительно связать с генерализацией коронавирусной инфекции или иммунными нарушениями: кишечнике (катаральный и геморрагический гастроэнтероколит, ишемические поражения), головном мозге и мягкой мозговой оболочке (энцефалит,</w:t>
      </w:r>
      <w:r>
        <w:rPr>
          <w:spacing w:val="-5"/>
        </w:rPr>
        <w:t> </w:t>
      </w:r>
      <w:r>
        <w:rPr/>
        <w:t>менингит, гипоксические и ишемические поражения), сердце (миокардит,</w:t>
      </w:r>
      <w:r>
        <w:rPr>
          <w:spacing w:val="-15"/>
        </w:rPr>
        <w:t> </w:t>
      </w:r>
      <w:r>
        <w:rPr/>
        <w:t>острый</w:t>
      </w:r>
      <w:r>
        <w:rPr>
          <w:spacing w:val="-15"/>
        </w:rPr>
        <w:t> </w:t>
      </w:r>
      <w:r>
        <w:rPr/>
        <w:t>коронарный</w:t>
      </w:r>
      <w:r>
        <w:rPr>
          <w:spacing w:val="-15"/>
        </w:rPr>
        <w:t> </w:t>
      </w:r>
      <w:r>
        <w:rPr/>
        <w:t>синдром),</w:t>
      </w:r>
      <w:r>
        <w:rPr>
          <w:spacing w:val="-15"/>
        </w:rPr>
        <w:t> </w:t>
      </w:r>
      <w:r>
        <w:rPr/>
        <w:t>поджелудочной</w:t>
      </w:r>
      <w:r>
        <w:rPr>
          <w:spacing w:val="-15"/>
        </w:rPr>
        <w:t> </w:t>
      </w:r>
      <w:r>
        <w:rPr/>
        <w:t>железе,</w:t>
      </w:r>
      <w:r>
        <w:rPr>
          <w:spacing w:val="-15"/>
        </w:rPr>
        <w:t> </w:t>
      </w:r>
      <w:r>
        <w:rPr/>
        <w:t>почках,</w:t>
      </w:r>
      <w:r>
        <w:rPr>
          <w:spacing w:val="-15"/>
        </w:rPr>
        <w:t> </w:t>
      </w:r>
      <w:r>
        <w:rPr/>
        <w:t>селезенке, яичках. Весьма вероятны и прямые вирусные поражения плаценты, в единичных наблюдениях показана возможность внутриутробного инфицирования, клиническое значение которого требует дальнейшего изучения. Отмечены тяжелые поражения микроциркуляторного русла, аналогичные развивающимся в легких в виде распространенной</w:t>
      </w:r>
      <w:r>
        <w:rPr>
          <w:spacing w:val="-10"/>
        </w:rPr>
        <w:t> </w:t>
      </w:r>
      <w:r>
        <w:rPr/>
        <w:t>тромботической</w:t>
      </w:r>
      <w:r>
        <w:rPr>
          <w:spacing w:val="-8"/>
        </w:rPr>
        <w:t> </w:t>
      </w:r>
      <w:r>
        <w:rPr/>
        <w:t>микроангиопатии,</w:t>
      </w:r>
      <w:r>
        <w:rPr>
          <w:spacing w:val="-7"/>
        </w:rPr>
        <w:t> </w:t>
      </w:r>
      <w:r>
        <w:rPr/>
        <w:t>-</w:t>
      </w:r>
      <w:r>
        <w:rPr>
          <w:spacing w:val="-9"/>
        </w:rPr>
        <w:t> </w:t>
      </w:r>
      <w:r>
        <w:rPr/>
        <w:t>тромбозами</w:t>
      </w:r>
      <w:r>
        <w:rPr>
          <w:spacing w:val="-8"/>
        </w:rPr>
        <w:t> </w:t>
      </w:r>
      <w:r>
        <w:rPr/>
        <w:t>крупных</w:t>
      </w:r>
      <w:r>
        <w:rPr>
          <w:spacing w:val="-9"/>
        </w:rPr>
        <w:t> </w:t>
      </w:r>
      <w:r>
        <w:rPr/>
        <w:t>артерий и</w:t>
      </w:r>
      <w:r>
        <w:rPr>
          <w:spacing w:val="-2"/>
        </w:rPr>
        <w:t> </w:t>
      </w:r>
      <w:r>
        <w:rPr/>
        <w:t>вен. Описаны типичные для COVID-19 кожные проявления – от геморрагического синдрома до высыпаний различного вида, патогенез которых не ясен. Есть данные, что</w:t>
      </w:r>
      <w:r>
        <w:rPr>
          <w:spacing w:val="-2"/>
        </w:rPr>
        <w:t> </w:t>
      </w:r>
      <w:r>
        <w:rPr/>
        <w:t>SARS‑CoV-2 способен активировать предшествующие хронические инфекционные процессы.</w:t>
      </w:r>
    </w:p>
    <w:p>
      <w:pPr>
        <w:pStyle w:val="BodyText"/>
        <w:spacing w:line="312" w:lineRule="auto" w:before="10"/>
        <w:ind w:right="1274" w:firstLine="707"/>
      </w:pPr>
      <w:r>
        <w:rPr/>
        <w:t>На основании исследований аутопсийного материала с учетом клинической картины заболевания и особенностей танатогенеза можно выделить, как минимум, следующие клинические и морфологические маски COVID-19, но с обязательным поражением легких: сердечную, мозговую, кишечную, почечную, печеночную, диабетическую, тромбоэмболическую (при тромбоэмболии легочной артерии), септическую (при отсутствии бактериального или микотического сепсиса), кожную.</w:t>
      </w:r>
    </w:p>
    <w:p>
      <w:pPr>
        <w:pStyle w:val="BodyText"/>
        <w:spacing w:line="312" w:lineRule="auto" w:before="13"/>
        <w:ind w:right="1271" w:firstLine="707"/>
      </w:pPr>
      <w:r>
        <w:rPr/>
        <w:t>Таким образом, как и при других коронавирусных инфекциях, а также гриппе А/H1N1, в большинстве наблюдений основным морфологическим субстратом COVID-19</w:t>
      </w:r>
      <w:r>
        <w:rPr>
          <w:spacing w:val="40"/>
        </w:rPr>
        <w:t> </w:t>
      </w:r>
      <w:r>
        <w:rPr/>
        <w:t>является</w:t>
      </w:r>
      <w:r>
        <w:rPr>
          <w:spacing w:val="40"/>
        </w:rPr>
        <w:t> </w:t>
      </w:r>
      <w:r>
        <w:rPr/>
        <w:t>диффузное</w:t>
      </w:r>
      <w:r>
        <w:rPr>
          <w:spacing w:val="40"/>
        </w:rPr>
        <w:t> </w:t>
      </w:r>
      <w:r>
        <w:rPr/>
        <w:t>альвеолярное</w:t>
      </w:r>
      <w:r>
        <w:rPr>
          <w:spacing w:val="40"/>
        </w:rPr>
        <w:t> </w:t>
      </w:r>
      <w:r>
        <w:rPr/>
        <w:t>повреждение,</w:t>
      </w:r>
      <w:r>
        <w:rPr>
          <w:spacing w:val="40"/>
        </w:rPr>
        <w:t> </w:t>
      </w:r>
      <w:r>
        <w:rPr/>
        <w:t>но,</w:t>
      </w:r>
      <w:r>
        <w:rPr>
          <w:spacing w:val="40"/>
        </w:rPr>
        <w:t> </w:t>
      </w:r>
      <w:r>
        <w:rPr/>
        <w:t>в</w:t>
      </w:r>
      <w:r>
        <w:rPr>
          <w:spacing w:val="40"/>
        </w:rPr>
        <w:t> </w:t>
      </w:r>
      <w:r>
        <w:rPr/>
        <w:t>отличие</w:t>
      </w:r>
      <w:r>
        <w:rPr>
          <w:spacing w:val="40"/>
        </w:rPr>
        <w:t> </w:t>
      </w:r>
      <w:r>
        <w:rPr/>
        <w:t>от</w:t>
      </w:r>
      <w:r>
        <w:rPr>
          <w:spacing w:val="40"/>
        </w:rPr>
        <w:t> </w:t>
      </w:r>
      <w:r>
        <w:rPr/>
        <w:t>них, с</w:t>
      </w:r>
      <w:r>
        <w:rPr>
          <w:spacing w:val="-4"/>
        </w:rPr>
        <w:t> </w:t>
      </w:r>
      <w:r>
        <w:rPr/>
        <w:t>одновременным тяжелым поражением сосудистого русла и у ряда больных различных органов и систем. Термин «вирусная (интерстициальная) пневмония», широко используемый в клинике, по сути своей отражает именно развитие диффузного альвеолярного повреждения. В свою очередь, тяжелое диффузное альвеолярное</w:t>
      </w:r>
      <w:r>
        <w:rPr>
          <w:spacing w:val="78"/>
          <w:w w:val="150"/>
        </w:rPr>
        <w:t>  </w:t>
      </w:r>
      <w:r>
        <w:rPr/>
        <w:t>повреждение</w:t>
      </w:r>
      <w:r>
        <w:rPr>
          <w:spacing w:val="78"/>
          <w:w w:val="150"/>
        </w:rPr>
        <w:t>  </w:t>
      </w:r>
      <w:r>
        <w:rPr/>
        <w:t>является</w:t>
      </w:r>
      <w:r>
        <w:rPr>
          <w:spacing w:val="78"/>
          <w:w w:val="150"/>
        </w:rPr>
        <w:t>  </w:t>
      </w:r>
      <w:r>
        <w:rPr/>
        <w:t>синонимом</w:t>
      </w:r>
      <w:r>
        <w:rPr>
          <w:spacing w:val="78"/>
          <w:w w:val="150"/>
        </w:rPr>
        <w:t>  </w:t>
      </w:r>
      <w:r>
        <w:rPr/>
        <w:t>клинического</w:t>
      </w:r>
      <w:r>
        <w:rPr>
          <w:spacing w:val="79"/>
          <w:w w:val="150"/>
        </w:rPr>
        <w:t>  </w:t>
      </w:r>
      <w:r>
        <w:rPr>
          <w:spacing w:val="-2"/>
        </w:rPr>
        <w:t>понятия</w:t>
      </w:r>
    </w:p>
    <w:p>
      <w:pPr>
        <w:pStyle w:val="BodyText"/>
        <w:spacing w:line="273" w:lineRule="exact"/>
      </w:pPr>
      <w:r>
        <w:rPr>
          <w:spacing w:val="-2"/>
        </w:rPr>
        <w:t>«острый</w:t>
      </w:r>
      <w:r>
        <w:rPr>
          <w:spacing w:val="5"/>
        </w:rPr>
        <w:t> </w:t>
      </w:r>
      <w:r>
        <w:rPr>
          <w:spacing w:val="-2"/>
        </w:rPr>
        <w:t>респираторный</w:t>
      </w:r>
      <w:r>
        <w:rPr>
          <w:spacing w:val="5"/>
        </w:rPr>
        <w:t> </w:t>
      </w:r>
      <w:r>
        <w:rPr>
          <w:spacing w:val="-2"/>
        </w:rPr>
        <w:t>дисстресс-синдром»</w:t>
      </w:r>
      <w:r>
        <w:rPr>
          <w:spacing w:val="3"/>
        </w:rPr>
        <w:t> </w:t>
      </w:r>
      <w:r>
        <w:rPr>
          <w:spacing w:val="-2"/>
        </w:rPr>
        <w:t>(ОРДС).</w:t>
      </w:r>
    </w:p>
    <w:p>
      <w:pPr>
        <w:pStyle w:val="BodyText"/>
        <w:spacing w:after="0" w:line="273" w:lineRule="exact"/>
        <w:sectPr>
          <w:pgSz w:w="11900" w:h="16840"/>
          <w:pgMar w:header="0" w:footer="697" w:top="1080" w:bottom="880" w:left="0" w:right="0"/>
        </w:sectPr>
      </w:pPr>
    </w:p>
    <w:p>
      <w:pPr>
        <w:pStyle w:val="BodyText"/>
        <w:spacing w:line="312" w:lineRule="auto" w:before="73"/>
        <w:ind w:right="1279" w:firstLine="707"/>
      </w:pPr>
      <w:bookmarkStart w:name="13" w:id="16"/>
      <w:bookmarkEnd w:id="16"/>
      <w:r>
        <w:rPr/>
      </w:r>
      <w:r>
        <w:rPr/>
        <w:t>Многие аспекты патогенеза и патоморфологии коронавирусной инфекции нуждаются в дальнейшем комплексном изучении с использованием современных </w:t>
      </w:r>
      <w:r>
        <w:rPr>
          <w:spacing w:val="-2"/>
        </w:rPr>
        <w:t>методов.</w:t>
      </w:r>
    </w:p>
    <w:p>
      <w:pPr>
        <w:pStyle w:val="BodyText"/>
        <w:spacing w:before="82"/>
        <w:ind w:left="0"/>
        <w:jc w:val="left"/>
      </w:pPr>
    </w:p>
    <w:p>
      <w:pPr>
        <w:pStyle w:val="Heading1"/>
        <w:numPr>
          <w:ilvl w:val="0"/>
          <w:numId w:val="5"/>
        </w:numPr>
        <w:tabs>
          <w:tab w:pos="2828" w:val="left" w:leader="none"/>
        </w:tabs>
        <w:spacing w:line="240" w:lineRule="auto" w:before="1" w:after="0"/>
        <w:ind w:left="2828" w:right="0" w:hanging="279"/>
        <w:jc w:val="left"/>
      </w:pPr>
      <w:bookmarkStart w:name="_TOC_250043" w:id="17"/>
      <w:r>
        <w:rPr>
          <w:color w:val="1F487C"/>
          <w:spacing w:val="-2"/>
        </w:rPr>
        <w:t>ЭПИДЕМИОЛОГИЧЕСКАЯ</w:t>
      </w:r>
      <w:r>
        <w:rPr>
          <w:color w:val="1F487C"/>
          <w:spacing w:val="13"/>
        </w:rPr>
        <w:t> </w:t>
      </w:r>
      <w:bookmarkEnd w:id="17"/>
      <w:r>
        <w:rPr>
          <w:color w:val="1F487C"/>
          <w:spacing w:val="-2"/>
        </w:rPr>
        <w:t>ХАРАКТЕРИСТИКА</w:t>
      </w:r>
    </w:p>
    <w:p>
      <w:pPr>
        <w:pStyle w:val="BodyText"/>
        <w:spacing w:line="276" w:lineRule="auto" w:before="199"/>
        <w:ind w:right="1278" w:firstLine="707"/>
      </w:pPr>
      <w:r>
        <w:rPr/>
        <w:t>С</w:t>
      </w:r>
      <w:r>
        <w:rPr>
          <w:spacing w:val="40"/>
        </w:rPr>
        <w:t> </w:t>
      </w:r>
      <w:r>
        <w:rPr/>
        <w:t>декабря</w:t>
      </w:r>
      <w:r>
        <w:rPr>
          <w:spacing w:val="40"/>
        </w:rPr>
        <w:t> </w:t>
      </w:r>
      <w:r>
        <w:rPr/>
        <w:t>2019</w:t>
      </w:r>
      <w:r>
        <w:rPr>
          <w:spacing w:val="40"/>
        </w:rPr>
        <w:t> </w:t>
      </w:r>
      <w:r>
        <w:rPr/>
        <w:t>г.</w:t>
      </w:r>
      <w:r>
        <w:rPr>
          <w:spacing w:val="40"/>
        </w:rPr>
        <w:t> </w:t>
      </w:r>
      <w:r>
        <w:rPr/>
        <w:t>по</w:t>
      </w:r>
      <w:r>
        <w:rPr>
          <w:spacing w:val="40"/>
        </w:rPr>
        <w:t> </w:t>
      </w:r>
      <w:r>
        <w:rPr/>
        <w:t>март</w:t>
      </w:r>
      <w:r>
        <w:rPr>
          <w:spacing w:val="40"/>
        </w:rPr>
        <w:t> </w:t>
      </w:r>
      <w:r>
        <w:rPr/>
        <w:t>2020</w:t>
      </w:r>
      <w:r>
        <w:rPr>
          <w:spacing w:val="40"/>
        </w:rPr>
        <w:t> </w:t>
      </w:r>
      <w:r>
        <w:rPr/>
        <w:t>г.</w:t>
      </w:r>
      <w:r>
        <w:rPr>
          <w:spacing w:val="40"/>
        </w:rPr>
        <w:t> </w:t>
      </w:r>
      <w:r>
        <w:rPr/>
        <w:t>наиболее</w:t>
      </w:r>
      <w:r>
        <w:rPr>
          <w:spacing w:val="40"/>
        </w:rPr>
        <w:t> </w:t>
      </w:r>
      <w:r>
        <w:rPr/>
        <w:t>широкое</w:t>
      </w:r>
      <w:r>
        <w:rPr>
          <w:spacing w:val="40"/>
        </w:rPr>
        <w:t> </w:t>
      </w:r>
      <w:r>
        <w:rPr/>
        <w:t>распространение SARS-CoV-2 получил на территории КНР, в которой подтвержденные случаи заболевания были зарегистрированы во всех административных образованиях.</w:t>
      </w:r>
    </w:p>
    <w:p>
      <w:pPr>
        <w:pStyle w:val="BodyText"/>
        <w:spacing w:line="276" w:lineRule="auto" w:before="14"/>
        <w:ind w:right="1273" w:firstLine="707"/>
      </w:pPr>
      <w:r>
        <w:rPr/>
        <w:t>С</w:t>
      </w:r>
      <w:r>
        <w:rPr>
          <w:spacing w:val="-5"/>
        </w:rPr>
        <w:t> </w:t>
      </w:r>
      <w:r>
        <w:rPr/>
        <w:t>конца</w:t>
      </w:r>
      <w:r>
        <w:rPr>
          <w:spacing w:val="-7"/>
        </w:rPr>
        <w:t> </w:t>
      </w:r>
      <w:r>
        <w:rPr/>
        <w:t>января</w:t>
      </w:r>
      <w:r>
        <w:rPr>
          <w:spacing w:val="-6"/>
        </w:rPr>
        <w:t> </w:t>
      </w:r>
      <w:r>
        <w:rPr/>
        <w:t>2020</w:t>
      </w:r>
      <w:r>
        <w:rPr>
          <w:spacing w:val="-6"/>
        </w:rPr>
        <w:t> </w:t>
      </w:r>
      <w:r>
        <w:rPr/>
        <w:t>г.</w:t>
      </w:r>
      <w:r>
        <w:rPr>
          <w:spacing w:val="-6"/>
        </w:rPr>
        <w:t> </w:t>
      </w:r>
      <w:r>
        <w:rPr/>
        <w:t>во</w:t>
      </w:r>
      <w:r>
        <w:rPr>
          <w:spacing w:val="-6"/>
        </w:rPr>
        <w:t> </w:t>
      </w:r>
      <w:r>
        <w:rPr/>
        <w:t>многих</w:t>
      </w:r>
      <w:r>
        <w:rPr>
          <w:spacing w:val="-6"/>
        </w:rPr>
        <w:t> </w:t>
      </w:r>
      <w:r>
        <w:rPr/>
        <w:t>странах</w:t>
      </w:r>
      <w:r>
        <w:rPr>
          <w:spacing w:val="-6"/>
        </w:rPr>
        <w:t> </w:t>
      </w:r>
      <w:r>
        <w:rPr/>
        <w:t>мира</w:t>
      </w:r>
      <w:r>
        <w:rPr>
          <w:spacing w:val="-5"/>
        </w:rPr>
        <w:t> </w:t>
      </w:r>
      <w:r>
        <w:rPr/>
        <w:t>стали</w:t>
      </w:r>
      <w:r>
        <w:rPr>
          <w:spacing w:val="-5"/>
        </w:rPr>
        <w:t> </w:t>
      </w:r>
      <w:r>
        <w:rPr/>
        <w:t>регистрироваться</w:t>
      </w:r>
      <w:r>
        <w:rPr>
          <w:spacing w:val="-6"/>
        </w:rPr>
        <w:t> </w:t>
      </w:r>
      <w:r>
        <w:rPr/>
        <w:t>случаи COVID-19,</w:t>
      </w:r>
      <w:r>
        <w:rPr>
          <w:spacing w:val="-2"/>
        </w:rPr>
        <w:t> </w:t>
      </w:r>
      <w:r>
        <w:rPr/>
        <w:t>преимущественно</w:t>
      </w:r>
      <w:r>
        <w:rPr>
          <w:spacing w:val="-2"/>
        </w:rPr>
        <w:t> </w:t>
      </w:r>
      <w:r>
        <w:rPr/>
        <w:t>связанные</w:t>
      </w:r>
      <w:r>
        <w:rPr>
          <w:spacing w:val="-3"/>
        </w:rPr>
        <w:t> </w:t>
      </w:r>
      <w:r>
        <w:rPr/>
        <w:t>с</w:t>
      </w:r>
      <w:r>
        <w:rPr>
          <w:spacing w:val="-3"/>
        </w:rPr>
        <w:t> </w:t>
      </w:r>
      <w:r>
        <w:rPr/>
        <w:t>поездками</w:t>
      </w:r>
      <w:r>
        <w:rPr>
          <w:spacing w:val="-1"/>
        </w:rPr>
        <w:t> </w:t>
      </w:r>
      <w:r>
        <w:rPr/>
        <w:t>в</w:t>
      </w:r>
      <w:r>
        <w:rPr>
          <w:spacing w:val="-3"/>
        </w:rPr>
        <w:t> </w:t>
      </w:r>
      <w:r>
        <w:rPr/>
        <w:t>КНР.</w:t>
      </w:r>
      <w:r>
        <w:rPr>
          <w:spacing w:val="-2"/>
        </w:rPr>
        <w:t> </w:t>
      </w:r>
      <w:r>
        <w:rPr/>
        <w:t>В</w:t>
      </w:r>
      <w:r>
        <w:rPr>
          <w:spacing w:val="-3"/>
        </w:rPr>
        <w:t> </w:t>
      </w:r>
      <w:r>
        <w:rPr/>
        <w:t>конце</w:t>
      </w:r>
      <w:r>
        <w:rPr>
          <w:spacing w:val="-3"/>
        </w:rPr>
        <w:t> </w:t>
      </w:r>
      <w:r>
        <w:rPr/>
        <w:t>февраля</w:t>
      </w:r>
      <w:r>
        <w:rPr>
          <w:spacing w:val="-2"/>
        </w:rPr>
        <w:t> </w:t>
      </w:r>
      <w:r>
        <w:rPr/>
        <w:t>2020</w:t>
      </w:r>
      <w:r>
        <w:rPr>
          <w:spacing w:val="-2"/>
        </w:rPr>
        <w:t> </w:t>
      </w:r>
      <w:r>
        <w:rPr/>
        <w:t>г. резко осложнилась эпидемиологическая обстановка по COVID-19 в Южной Корее, Иране и Италии, что в последующем привело к значительному росту числа случаев заболевания в других странах мира, связанных с поездками в эти страны. ВОЗ объявила 11 марта 2020 г. о начале пандемии COVID-19.</w:t>
      </w:r>
    </w:p>
    <w:p>
      <w:pPr>
        <w:pStyle w:val="BodyText"/>
        <w:spacing w:line="276" w:lineRule="auto" w:before="13"/>
        <w:ind w:right="1273" w:firstLine="707"/>
      </w:pPr>
      <w:r>
        <w:rPr/>
        <w:t>К началу мая 2023 года эпидемическая ситуация по COVID-19 была оценена ВОЗ как благоприятная, что позволило снять режим международной чрезвычайной ситуации 5 мая 2023 г. В настоящее время COVID-19 приобрел черты сезонной </w:t>
      </w:r>
      <w:r>
        <w:rPr>
          <w:spacing w:val="-2"/>
        </w:rPr>
        <w:t>инфекции.</w:t>
      </w:r>
    </w:p>
    <w:p>
      <w:pPr>
        <w:pStyle w:val="BodyText"/>
        <w:spacing w:line="276" w:lineRule="auto" w:before="13"/>
        <w:ind w:right="1273" w:firstLine="707"/>
      </w:pPr>
      <w:r>
        <w:rPr/>
        <w:t>Источником</w:t>
      </w:r>
      <w:r>
        <w:rPr>
          <w:spacing w:val="28"/>
        </w:rPr>
        <w:t> </w:t>
      </w:r>
      <w:r>
        <w:rPr/>
        <w:t>инфекции</w:t>
      </w:r>
      <w:r>
        <w:rPr>
          <w:spacing w:val="30"/>
        </w:rPr>
        <w:t> </w:t>
      </w:r>
      <w:r>
        <w:rPr/>
        <w:t>является</w:t>
      </w:r>
      <w:r>
        <w:rPr>
          <w:spacing w:val="29"/>
        </w:rPr>
        <w:t> </w:t>
      </w:r>
      <w:r>
        <w:rPr/>
        <w:t>больной</w:t>
      </w:r>
      <w:r>
        <w:rPr>
          <w:spacing w:val="30"/>
        </w:rPr>
        <w:t> </w:t>
      </w:r>
      <w:r>
        <w:rPr/>
        <w:t>человек,</w:t>
      </w:r>
      <w:r>
        <w:rPr>
          <w:spacing w:val="29"/>
        </w:rPr>
        <w:t> </w:t>
      </w:r>
      <w:r>
        <w:rPr/>
        <w:t>в</w:t>
      </w:r>
      <w:r>
        <w:rPr>
          <w:spacing w:val="28"/>
        </w:rPr>
        <w:t> </w:t>
      </w:r>
      <w:r>
        <w:rPr/>
        <w:t>том</w:t>
      </w:r>
      <w:r>
        <w:rPr>
          <w:spacing w:val="30"/>
        </w:rPr>
        <w:t> </w:t>
      </w:r>
      <w:r>
        <w:rPr/>
        <w:t>числе</w:t>
      </w:r>
      <w:r>
        <w:rPr>
          <w:spacing w:val="30"/>
        </w:rPr>
        <w:t> </w:t>
      </w:r>
      <w:r>
        <w:rPr/>
        <w:t>находящийся в</w:t>
      </w:r>
      <w:r>
        <w:rPr>
          <w:spacing w:val="-4"/>
        </w:rPr>
        <w:t> </w:t>
      </w:r>
      <w:r>
        <w:rPr/>
        <w:t>инкубационном периоде заболевания, и бессимптомный носитель SARS-CoV-2. Наибольшую опасность для окружающих представляет больной человек в конце инкубационного периода и первые дни болезни.</w:t>
      </w:r>
    </w:p>
    <w:p>
      <w:pPr>
        <w:pStyle w:val="BodyText"/>
        <w:spacing w:line="276" w:lineRule="auto" w:before="14"/>
        <w:ind w:right="1268" w:firstLine="707"/>
      </w:pPr>
      <w:r>
        <w:rPr/>
        <w:t>Ведущим путем передачи SARS-CoV-2 является воздушно-капельный, который реализуется при кашле, чихании</w:t>
      </w:r>
      <w:r>
        <w:rPr>
          <w:spacing w:val="-1"/>
        </w:rPr>
        <w:t> </w:t>
      </w:r>
      <w:r>
        <w:rPr/>
        <w:t>и</w:t>
      </w:r>
      <w:r>
        <w:rPr>
          <w:spacing w:val="-1"/>
        </w:rPr>
        <w:t> </w:t>
      </w:r>
      <w:r>
        <w:rPr/>
        <w:t>разговоре. Возможен</w:t>
      </w:r>
      <w:r>
        <w:rPr>
          <w:spacing w:val="-1"/>
        </w:rPr>
        <w:t> </w:t>
      </w:r>
      <w:r>
        <w:rPr/>
        <w:t>контактно-бытовой путь передачи, который реализуется во время рукопожатий и при других видах непосредственного контакта с</w:t>
      </w:r>
      <w:r>
        <w:rPr>
          <w:spacing w:val="-1"/>
        </w:rPr>
        <w:t> </w:t>
      </w:r>
      <w:r>
        <w:rPr/>
        <w:t>инфицированным человеком, а также через поверхности</w:t>
      </w:r>
      <w:r>
        <w:rPr>
          <w:spacing w:val="-3"/>
        </w:rPr>
        <w:t> </w:t>
      </w:r>
      <w:r>
        <w:rPr/>
        <w:t>и</w:t>
      </w:r>
      <w:r>
        <w:rPr>
          <w:spacing w:val="-3"/>
        </w:rPr>
        <w:t> </w:t>
      </w:r>
      <w:r>
        <w:rPr/>
        <w:t>предметы,</w:t>
      </w:r>
      <w:r>
        <w:rPr>
          <w:spacing w:val="-4"/>
        </w:rPr>
        <w:t> </w:t>
      </w:r>
      <w:r>
        <w:rPr/>
        <w:t>контаминированные</w:t>
      </w:r>
      <w:r>
        <w:rPr>
          <w:spacing w:val="-6"/>
        </w:rPr>
        <w:t> </w:t>
      </w:r>
      <w:r>
        <w:rPr/>
        <w:t>вирусом. Допускается роль</w:t>
      </w:r>
      <w:r>
        <w:rPr>
          <w:spacing w:val="-3"/>
        </w:rPr>
        <w:t> </w:t>
      </w:r>
      <w:r>
        <w:rPr/>
        <w:t>воздушно- пылевого пути.</w:t>
      </w:r>
    </w:p>
    <w:p>
      <w:pPr>
        <w:pStyle w:val="BodyText"/>
        <w:spacing w:line="276" w:lineRule="auto" w:before="11"/>
        <w:ind w:right="1277" w:firstLine="707"/>
      </w:pPr>
      <w:r>
        <w:rPr/>
        <w:t>РНК SARS-CoV-2 обнаруживалась в образцах фекалий больных COVID-19, однако риск инфицирования поредством фекально-орального механизма передачи являтеся низким.</w:t>
      </w:r>
    </w:p>
    <w:p>
      <w:pPr>
        <w:pStyle w:val="BodyText"/>
        <w:spacing w:line="276" w:lineRule="auto" w:before="12"/>
        <w:ind w:right="1272" w:firstLine="707"/>
      </w:pPr>
      <w:r>
        <w:rPr/>
        <w:t>Установлена роль COVID-19 как инфекции, связанной с оказанием медицинской помощи. Медицинские работники подвергаются наибольшему риску инфицирования, поскольку в процессе выполнения профессиональных обязанностей имеют</w:t>
      </w:r>
      <w:r>
        <w:rPr>
          <w:spacing w:val="40"/>
        </w:rPr>
        <w:t> </w:t>
      </w:r>
      <w:r>
        <w:rPr/>
        <w:t>длительный</w:t>
      </w:r>
      <w:r>
        <w:rPr>
          <w:spacing w:val="40"/>
        </w:rPr>
        <w:t> </w:t>
      </w:r>
      <w:r>
        <w:rPr/>
        <w:t>аэрозольный</w:t>
      </w:r>
      <w:r>
        <w:rPr>
          <w:spacing w:val="40"/>
        </w:rPr>
        <w:t> </w:t>
      </w:r>
      <w:r>
        <w:rPr/>
        <w:t>контакт.</w:t>
      </w:r>
      <w:r>
        <w:rPr>
          <w:spacing w:val="40"/>
        </w:rPr>
        <w:t> </w:t>
      </w:r>
      <w:r>
        <w:rPr/>
        <w:t>Риск</w:t>
      </w:r>
      <w:r>
        <w:rPr>
          <w:spacing w:val="40"/>
        </w:rPr>
        <w:t> </w:t>
      </w:r>
      <w:r>
        <w:rPr/>
        <w:t>реализации</w:t>
      </w:r>
      <w:r>
        <w:rPr>
          <w:spacing w:val="40"/>
        </w:rPr>
        <w:t> </w:t>
      </w:r>
      <w:r>
        <w:rPr/>
        <w:t>воздушно-капельного</w:t>
      </w:r>
      <w:r>
        <w:rPr>
          <w:spacing w:val="80"/>
        </w:rPr>
        <w:t> </w:t>
      </w:r>
      <w:r>
        <w:rPr/>
        <w:t>и</w:t>
      </w:r>
      <w:r>
        <w:rPr>
          <w:spacing w:val="-1"/>
        </w:rPr>
        <w:t> </w:t>
      </w:r>
      <w:r>
        <w:rPr/>
        <w:t>контактно-бытового путей передачи возбудителя повышается в условиях несоблюдения требований санитарно-противоэпидемического режима, правил эпидемиологической безопасности, в том числе использования средств индивидуальной защиты.</w:t>
      </w:r>
    </w:p>
    <w:p>
      <w:pPr>
        <w:pStyle w:val="BodyText"/>
        <w:spacing w:line="276" w:lineRule="auto" w:before="13"/>
        <w:ind w:right="1271" w:firstLine="707"/>
      </w:pPr>
      <w:r>
        <w:rPr/>
        <w:t>Существует</w:t>
      </w:r>
      <w:r>
        <w:rPr>
          <w:spacing w:val="80"/>
        </w:rPr>
        <w:t>  </w:t>
      </w:r>
      <w:r>
        <w:rPr/>
        <w:t>риск</w:t>
      </w:r>
      <w:r>
        <w:rPr>
          <w:spacing w:val="80"/>
        </w:rPr>
        <w:t>  </w:t>
      </w:r>
      <w:r>
        <w:rPr/>
        <w:t>формирования</w:t>
      </w:r>
      <w:r>
        <w:rPr>
          <w:spacing w:val="80"/>
        </w:rPr>
        <w:t>  </w:t>
      </w:r>
      <w:r>
        <w:rPr/>
        <w:t>эпидемических</w:t>
      </w:r>
      <w:r>
        <w:rPr>
          <w:spacing w:val="80"/>
        </w:rPr>
        <w:t>  </w:t>
      </w:r>
      <w:r>
        <w:rPr/>
        <w:t>очагов</w:t>
      </w:r>
      <w:r>
        <w:rPr>
          <w:spacing w:val="80"/>
        </w:rPr>
        <w:t>  </w:t>
      </w:r>
      <w:r>
        <w:rPr/>
        <w:t>COVID-19</w:t>
      </w:r>
      <w:r>
        <w:rPr>
          <w:spacing w:val="40"/>
        </w:rPr>
        <w:t> </w:t>
      </w:r>
      <w:r>
        <w:rPr/>
        <w:t>в</w:t>
      </w:r>
      <w:r>
        <w:rPr>
          <w:spacing w:val="-3"/>
        </w:rPr>
        <w:t> </w:t>
      </w:r>
      <w:r>
        <w:rPr/>
        <w:t>организованных</w:t>
      </w:r>
      <w:r>
        <w:rPr>
          <w:spacing w:val="80"/>
          <w:w w:val="150"/>
        </w:rPr>
        <w:t> </w:t>
      </w:r>
      <w:r>
        <w:rPr/>
        <w:t>коллективах</w:t>
      </w:r>
      <w:r>
        <w:rPr>
          <w:spacing w:val="80"/>
          <w:w w:val="150"/>
        </w:rPr>
        <w:t> </w:t>
      </w:r>
      <w:r>
        <w:rPr/>
        <w:t>и</w:t>
      </w:r>
      <w:r>
        <w:rPr>
          <w:spacing w:val="80"/>
          <w:w w:val="150"/>
        </w:rPr>
        <w:t> </w:t>
      </w:r>
      <w:r>
        <w:rPr/>
        <w:t>коллективах</w:t>
      </w:r>
      <w:r>
        <w:rPr>
          <w:spacing w:val="80"/>
          <w:w w:val="150"/>
        </w:rPr>
        <w:t> </w:t>
      </w:r>
      <w:r>
        <w:rPr/>
        <w:t>организаций</w:t>
      </w:r>
      <w:r>
        <w:rPr>
          <w:spacing w:val="80"/>
          <w:w w:val="150"/>
        </w:rPr>
        <w:t> </w:t>
      </w:r>
      <w:r>
        <w:rPr/>
        <w:t>закрытого</w:t>
      </w:r>
      <w:r>
        <w:rPr>
          <w:spacing w:val="80"/>
          <w:w w:val="150"/>
        </w:rPr>
        <w:t> </w:t>
      </w:r>
      <w:r>
        <w:rPr/>
        <w:t>типа</w:t>
      </w:r>
      <w:r>
        <w:rPr>
          <w:spacing w:val="80"/>
        </w:rPr>
        <w:t> </w:t>
      </w:r>
      <w:r>
        <w:rPr/>
        <w:t>при несоблюдении мер профилактики инфекции.</w:t>
      </w:r>
    </w:p>
    <w:p>
      <w:pPr>
        <w:pStyle w:val="BodyText"/>
        <w:spacing w:after="0" w:line="276" w:lineRule="auto"/>
        <w:sectPr>
          <w:pgSz w:w="11900" w:h="16840"/>
          <w:pgMar w:header="0" w:footer="697" w:top="1080" w:bottom="880" w:left="0" w:right="0"/>
        </w:sectPr>
      </w:pPr>
    </w:p>
    <w:p>
      <w:pPr>
        <w:pStyle w:val="BodyText"/>
        <w:spacing w:line="276" w:lineRule="auto" w:before="73"/>
        <w:ind w:right="1270" w:firstLine="707"/>
      </w:pPr>
      <w:bookmarkStart w:name="14" w:id="18"/>
      <w:bookmarkEnd w:id="18"/>
      <w:r>
        <w:rPr/>
      </w:r>
      <w:r>
        <w:rPr/>
        <w:t>Новая</w:t>
      </w:r>
      <w:r>
        <w:rPr>
          <w:spacing w:val="65"/>
        </w:rPr>
        <w:t>  </w:t>
      </w:r>
      <w:r>
        <w:rPr/>
        <w:t>коронавирусная</w:t>
      </w:r>
      <w:r>
        <w:rPr>
          <w:spacing w:val="65"/>
        </w:rPr>
        <w:t>  </w:t>
      </w:r>
      <w:r>
        <w:rPr/>
        <w:t>инфекция,</w:t>
      </w:r>
      <w:r>
        <w:rPr>
          <w:spacing w:val="65"/>
        </w:rPr>
        <w:t>  </w:t>
      </w:r>
      <w:r>
        <w:rPr/>
        <w:t>вызванная</w:t>
      </w:r>
      <w:r>
        <w:rPr>
          <w:spacing w:val="68"/>
        </w:rPr>
        <w:t>  </w:t>
      </w:r>
      <w:r>
        <w:rPr/>
        <w:t>SARS-CoV-2,</w:t>
      </w:r>
      <w:r>
        <w:rPr>
          <w:spacing w:val="65"/>
        </w:rPr>
        <w:t>  </w:t>
      </w:r>
      <w:r>
        <w:rPr/>
        <w:t>включена в перечень заболеваний, представляющих опасность для окружающих (постановление Правительства Российской Федерации от 31 января 2020 г. № 66).</w:t>
      </w:r>
    </w:p>
    <w:p>
      <w:pPr>
        <w:pStyle w:val="Heading3"/>
        <w:spacing w:line="379" w:lineRule="auto" w:before="240"/>
        <w:ind w:right="1334"/>
        <w:jc w:val="left"/>
      </w:pPr>
      <w:r>
        <w:rPr>
          <w:color w:val="1F487C"/>
        </w:rPr>
        <w:t>Стандартное</w:t>
      </w:r>
      <w:r>
        <w:rPr>
          <w:color w:val="1F487C"/>
          <w:spacing w:val="-11"/>
        </w:rPr>
        <w:t> </w:t>
      </w:r>
      <w:r>
        <w:rPr>
          <w:color w:val="1F487C"/>
        </w:rPr>
        <w:t>определение</w:t>
      </w:r>
      <w:r>
        <w:rPr>
          <w:color w:val="1F487C"/>
          <w:spacing w:val="-11"/>
        </w:rPr>
        <w:t> </w:t>
      </w:r>
      <w:r>
        <w:rPr>
          <w:color w:val="1F487C"/>
        </w:rPr>
        <w:t>случая</w:t>
      </w:r>
      <w:r>
        <w:rPr>
          <w:color w:val="1F487C"/>
          <w:spacing w:val="-11"/>
        </w:rPr>
        <w:t> </w:t>
      </w:r>
      <w:r>
        <w:rPr>
          <w:color w:val="1F487C"/>
        </w:rPr>
        <w:t>заболевания</w:t>
      </w:r>
      <w:r>
        <w:rPr>
          <w:color w:val="1F487C"/>
          <w:spacing w:val="-11"/>
        </w:rPr>
        <w:t> </w:t>
      </w:r>
      <w:r>
        <w:rPr>
          <w:color w:val="1F487C"/>
        </w:rPr>
        <w:t>COVID-19 </w:t>
      </w:r>
      <w:r>
        <w:rPr/>
        <w:t>Подозрительный на COVID-19 случай</w:t>
      </w:r>
    </w:p>
    <w:p>
      <w:pPr>
        <w:pStyle w:val="BodyText"/>
        <w:ind w:left="2549"/>
        <w:jc w:val="left"/>
      </w:pPr>
      <w:r>
        <w:rPr>
          <w:spacing w:val="-2"/>
        </w:rPr>
        <w:t>Клинические</w:t>
      </w:r>
      <w:r>
        <w:rPr>
          <w:spacing w:val="-11"/>
        </w:rPr>
        <w:t> </w:t>
      </w:r>
      <w:r>
        <w:rPr>
          <w:spacing w:val="-2"/>
        </w:rPr>
        <w:t>проявления</w:t>
      </w:r>
      <w:r>
        <w:rPr>
          <w:spacing w:val="-11"/>
        </w:rPr>
        <w:t> </w:t>
      </w:r>
      <w:r>
        <w:rPr>
          <w:spacing w:val="-2"/>
        </w:rPr>
        <w:t>острой</w:t>
      </w:r>
      <w:r>
        <w:rPr>
          <w:spacing w:val="-9"/>
        </w:rPr>
        <w:t> </w:t>
      </w:r>
      <w:r>
        <w:rPr>
          <w:spacing w:val="-2"/>
        </w:rPr>
        <w:t>респираторной</w:t>
      </w:r>
      <w:r>
        <w:rPr>
          <w:spacing w:val="-10"/>
        </w:rPr>
        <w:t> </w:t>
      </w:r>
      <w:r>
        <w:rPr>
          <w:spacing w:val="-2"/>
        </w:rPr>
        <w:t>инфекции</w:t>
      </w:r>
      <w:r>
        <w:rPr>
          <w:spacing w:val="-6"/>
        </w:rPr>
        <w:t> </w:t>
      </w:r>
      <w:r>
        <w:rPr>
          <w:spacing w:val="-2"/>
        </w:rPr>
        <w:t>(ОРИ)</w:t>
      </w:r>
      <w:r>
        <w:rPr>
          <w:spacing w:val="-11"/>
        </w:rPr>
        <w:t> </w:t>
      </w:r>
      <w:r>
        <w:rPr>
          <w:spacing w:val="-2"/>
        </w:rPr>
        <w:t>(температура</w:t>
      </w:r>
    </w:p>
    <w:p>
      <w:pPr>
        <w:pStyle w:val="BodyText"/>
        <w:spacing w:line="276" w:lineRule="auto" w:before="41"/>
        <w:ind w:right="1271"/>
      </w:pPr>
      <w:r>
        <w:rPr/>
        <w:t>(t)</w:t>
      </w:r>
      <w:r>
        <w:rPr>
          <w:spacing w:val="-2"/>
        </w:rPr>
        <w:t> </w:t>
      </w:r>
      <w:r>
        <w:rPr/>
        <w:t>тела</w:t>
      </w:r>
      <w:r>
        <w:rPr>
          <w:spacing w:val="-2"/>
        </w:rPr>
        <w:t> </w:t>
      </w:r>
      <w:r>
        <w:rPr/>
        <w:t>выше</w:t>
      </w:r>
      <w:r>
        <w:rPr>
          <w:spacing w:val="-2"/>
        </w:rPr>
        <w:t> </w:t>
      </w:r>
      <w:r>
        <w:rPr/>
        <w:t>37,5</w:t>
      </w:r>
      <w:r>
        <w:rPr>
          <w:spacing w:val="-1"/>
        </w:rPr>
        <w:t> </w:t>
      </w:r>
      <w:r>
        <w:rPr/>
        <w:t>°C</w:t>
      </w:r>
      <w:r>
        <w:rPr>
          <w:spacing w:val="-1"/>
        </w:rPr>
        <w:t> </w:t>
      </w:r>
      <w:r>
        <w:rPr/>
        <w:t>и один</w:t>
      </w:r>
      <w:r>
        <w:rPr>
          <w:spacing w:val="-3"/>
        </w:rPr>
        <w:t> </w:t>
      </w:r>
      <w:r>
        <w:rPr/>
        <w:t>или более</w:t>
      </w:r>
      <w:r>
        <w:rPr>
          <w:spacing w:val="-3"/>
        </w:rPr>
        <w:t> </w:t>
      </w:r>
      <w:r>
        <w:rPr/>
        <w:t>из следующих</w:t>
      </w:r>
      <w:r>
        <w:rPr>
          <w:spacing w:val="-1"/>
        </w:rPr>
        <w:t> </w:t>
      </w:r>
      <w:r>
        <w:rPr/>
        <w:t>признаков:</w:t>
      </w:r>
      <w:r>
        <w:rPr>
          <w:spacing w:val="-1"/>
        </w:rPr>
        <w:t> </w:t>
      </w:r>
      <w:r>
        <w:rPr/>
        <w:t>кашель –</w:t>
      </w:r>
      <w:r>
        <w:rPr>
          <w:spacing w:val="-1"/>
        </w:rPr>
        <w:t> </w:t>
      </w:r>
      <w:r>
        <w:rPr/>
        <w:t>сухой или со</w:t>
      </w:r>
      <w:r>
        <w:rPr>
          <w:spacing w:val="-14"/>
        </w:rPr>
        <w:t> </w:t>
      </w:r>
      <w:r>
        <w:rPr/>
        <w:t>скудной</w:t>
      </w:r>
      <w:r>
        <w:rPr>
          <w:spacing w:val="-13"/>
        </w:rPr>
        <w:t> </w:t>
      </w:r>
      <w:r>
        <w:rPr/>
        <w:t>мокротой,</w:t>
      </w:r>
      <w:r>
        <w:rPr>
          <w:spacing w:val="-14"/>
        </w:rPr>
        <w:t> </w:t>
      </w:r>
      <w:r>
        <w:rPr/>
        <w:t>одышка,</w:t>
      </w:r>
      <w:r>
        <w:rPr>
          <w:spacing w:val="-14"/>
        </w:rPr>
        <w:t> </w:t>
      </w:r>
      <w:r>
        <w:rPr/>
        <w:t>ощущение</w:t>
      </w:r>
      <w:r>
        <w:rPr>
          <w:spacing w:val="-15"/>
        </w:rPr>
        <w:t> </w:t>
      </w:r>
      <w:r>
        <w:rPr/>
        <w:t>заложенности</w:t>
      </w:r>
      <w:r>
        <w:rPr>
          <w:spacing w:val="-12"/>
        </w:rPr>
        <w:t> </w:t>
      </w:r>
      <w:r>
        <w:rPr/>
        <w:t>в</w:t>
      </w:r>
      <w:r>
        <w:rPr>
          <w:spacing w:val="-15"/>
        </w:rPr>
        <w:t> </w:t>
      </w:r>
      <w:r>
        <w:rPr/>
        <w:t>грудной</w:t>
      </w:r>
      <w:r>
        <w:rPr>
          <w:spacing w:val="-13"/>
        </w:rPr>
        <w:t> </w:t>
      </w:r>
      <w:r>
        <w:rPr/>
        <w:t>клетке,</w:t>
      </w:r>
      <w:r>
        <w:rPr>
          <w:spacing w:val="-14"/>
        </w:rPr>
        <w:t> </w:t>
      </w:r>
      <w:r>
        <w:rPr/>
        <w:t>насыщение </w:t>
      </w:r>
      <w:r>
        <w:rPr>
          <w:position w:val="2"/>
        </w:rPr>
        <w:t>крови кислородом по данным пульсоксиметрии (SpO</w:t>
      </w:r>
      <w:r>
        <w:rPr>
          <w:sz w:val="16"/>
        </w:rPr>
        <w:t>2</w:t>
      </w:r>
      <w:r>
        <w:rPr>
          <w:position w:val="2"/>
        </w:rPr>
        <w:t>) ≤ 95%, боль в горле, </w:t>
      </w:r>
      <w:r>
        <w:rPr/>
        <w:t>заложенность носа или умеренная ринорея, нарушение или потеря обоняния (гипосмия или аносмия), потеря вкуса (дисгевзия), конъюнктивит, слабость, мышечные боли, головная боль, рвота, диарея, кожная сыпь) при отсутствии других известных</w:t>
      </w:r>
      <w:r>
        <w:rPr>
          <w:spacing w:val="80"/>
        </w:rPr>
        <w:t> </w:t>
      </w:r>
      <w:r>
        <w:rPr/>
        <w:t>причин,</w:t>
      </w:r>
      <w:r>
        <w:rPr>
          <w:spacing w:val="80"/>
        </w:rPr>
        <w:t> </w:t>
      </w:r>
      <w:r>
        <w:rPr/>
        <w:t>которые</w:t>
      </w:r>
      <w:r>
        <w:rPr>
          <w:spacing w:val="80"/>
        </w:rPr>
        <w:t> </w:t>
      </w:r>
      <w:r>
        <w:rPr/>
        <w:t>объясняют</w:t>
      </w:r>
      <w:r>
        <w:rPr>
          <w:spacing w:val="80"/>
        </w:rPr>
        <w:t> </w:t>
      </w:r>
      <w:r>
        <w:rPr/>
        <w:t>клиническую</w:t>
      </w:r>
      <w:r>
        <w:rPr>
          <w:spacing w:val="80"/>
        </w:rPr>
        <w:t> </w:t>
      </w:r>
      <w:r>
        <w:rPr/>
        <w:t>картину</w:t>
      </w:r>
      <w:r>
        <w:rPr>
          <w:spacing w:val="80"/>
        </w:rPr>
        <w:t> </w:t>
      </w:r>
      <w:r>
        <w:rPr/>
        <w:t>вне</w:t>
      </w:r>
      <w:r>
        <w:rPr>
          <w:spacing w:val="80"/>
        </w:rPr>
        <w:t> </w:t>
      </w:r>
      <w:r>
        <w:rPr/>
        <w:t>зависимости от эпидемиологического анамнеза.</w:t>
      </w:r>
    </w:p>
    <w:p>
      <w:pPr>
        <w:pStyle w:val="Heading3"/>
        <w:spacing w:before="115"/>
      </w:pPr>
      <w:r>
        <w:rPr>
          <w:spacing w:val="-2"/>
        </w:rPr>
        <w:t>Вероятный</w:t>
      </w:r>
      <w:r>
        <w:rPr>
          <w:spacing w:val="1"/>
        </w:rPr>
        <w:t> </w:t>
      </w:r>
      <w:r>
        <w:rPr>
          <w:spacing w:val="-2"/>
        </w:rPr>
        <w:t>(клинически</w:t>
      </w:r>
      <w:r>
        <w:rPr>
          <w:spacing w:val="1"/>
        </w:rPr>
        <w:t> </w:t>
      </w:r>
      <w:r>
        <w:rPr>
          <w:spacing w:val="-2"/>
        </w:rPr>
        <w:t>подтвержденный)</w:t>
      </w:r>
      <w:r>
        <w:rPr/>
        <w:t> </w:t>
      </w:r>
      <w:r>
        <w:rPr>
          <w:spacing w:val="-2"/>
        </w:rPr>
        <w:t>случай</w:t>
      </w:r>
      <w:r>
        <w:rPr>
          <w:spacing w:val="1"/>
        </w:rPr>
        <w:t> </w:t>
      </w:r>
      <w:r>
        <w:rPr>
          <w:spacing w:val="-2"/>
        </w:rPr>
        <w:t>COVID-</w:t>
      </w:r>
      <w:r>
        <w:rPr>
          <w:spacing w:val="-5"/>
        </w:rPr>
        <w:t>19</w:t>
      </w:r>
    </w:p>
    <w:p>
      <w:pPr>
        <w:pStyle w:val="ListParagraph"/>
        <w:numPr>
          <w:ilvl w:val="0"/>
          <w:numId w:val="6"/>
        </w:numPr>
        <w:tabs>
          <w:tab w:pos="2832" w:val="left" w:leader="none"/>
        </w:tabs>
        <w:spacing w:line="276" w:lineRule="auto" w:before="43" w:after="0"/>
        <w:ind w:left="1841" w:right="1270" w:firstLine="707"/>
        <w:jc w:val="both"/>
        <w:rPr>
          <w:sz w:val="24"/>
        </w:rPr>
      </w:pPr>
      <w:r>
        <w:rPr>
          <w:sz w:val="24"/>
        </w:rPr>
        <w:t>Клинические</w:t>
      </w:r>
      <w:r>
        <w:rPr>
          <w:spacing w:val="-8"/>
          <w:sz w:val="24"/>
        </w:rPr>
        <w:t> </w:t>
      </w:r>
      <w:r>
        <w:rPr>
          <w:sz w:val="24"/>
        </w:rPr>
        <w:t>проявления</w:t>
      </w:r>
      <w:r>
        <w:rPr>
          <w:spacing w:val="-5"/>
          <w:sz w:val="24"/>
        </w:rPr>
        <w:t> </w:t>
      </w:r>
      <w:r>
        <w:rPr>
          <w:sz w:val="24"/>
        </w:rPr>
        <w:t>ОРИ</w:t>
      </w:r>
      <w:r>
        <w:rPr>
          <w:spacing w:val="-7"/>
          <w:sz w:val="24"/>
        </w:rPr>
        <w:t> </w:t>
      </w:r>
      <w:r>
        <w:rPr>
          <w:sz w:val="24"/>
        </w:rPr>
        <w:t>(t</w:t>
      </w:r>
      <w:r>
        <w:rPr>
          <w:spacing w:val="-9"/>
          <w:sz w:val="24"/>
        </w:rPr>
        <w:t> </w:t>
      </w:r>
      <w:r>
        <w:rPr>
          <w:sz w:val="24"/>
        </w:rPr>
        <w:t>тела</w:t>
      </w:r>
      <w:r>
        <w:rPr>
          <w:spacing w:val="-8"/>
          <w:sz w:val="24"/>
        </w:rPr>
        <w:t> </w:t>
      </w:r>
      <w:r>
        <w:rPr>
          <w:sz w:val="24"/>
        </w:rPr>
        <w:t>&gt;</w:t>
      </w:r>
      <w:r>
        <w:rPr>
          <w:spacing w:val="-8"/>
          <w:sz w:val="24"/>
        </w:rPr>
        <w:t> </w:t>
      </w:r>
      <w:r>
        <w:rPr>
          <w:sz w:val="24"/>
        </w:rPr>
        <w:t>37,5</w:t>
      </w:r>
      <w:r>
        <w:rPr>
          <w:spacing w:val="-7"/>
          <w:sz w:val="24"/>
        </w:rPr>
        <w:t> </w:t>
      </w:r>
      <w:r>
        <w:rPr>
          <w:sz w:val="24"/>
        </w:rPr>
        <w:t>°C</w:t>
      </w:r>
      <w:r>
        <w:rPr>
          <w:spacing w:val="-6"/>
          <w:sz w:val="24"/>
        </w:rPr>
        <w:t> </w:t>
      </w:r>
      <w:r>
        <w:rPr>
          <w:sz w:val="24"/>
        </w:rPr>
        <w:t>и</w:t>
      </w:r>
      <w:r>
        <w:rPr>
          <w:spacing w:val="-6"/>
          <w:sz w:val="24"/>
        </w:rPr>
        <w:t> </w:t>
      </w:r>
      <w:r>
        <w:rPr>
          <w:sz w:val="24"/>
        </w:rPr>
        <w:t>один</w:t>
      </w:r>
      <w:r>
        <w:rPr>
          <w:spacing w:val="-8"/>
          <w:sz w:val="24"/>
        </w:rPr>
        <w:t> </w:t>
      </w:r>
      <w:r>
        <w:rPr>
          <w:sz w:val="24"/>
        </w:rPr>
        <w:t>или</w:t>
      </w:r>
      <w:r>
        <w:rPr>
          <w:spacing w:val="-6"/>
          <w:sz w:val="24"/>
        </w:rPr>
        <w:t> </w:t>
      </w:r>
      <w:r>
        <w:rPr>
          <w:sz w:val="24"/>
        </w:rPr>
        <w:t>более</w:t>
      </w:r>
      <w:r>
        <w:rPr>
          <w:spacing w:val="-8"/>
          <w:sz w:val="24"/>
        </w:rPr>
        <w:t> </w:t>
      </w:r>
      <w:r>
        <w:rPr>
          <w:sz w:val="24"/>
        </w:rPr>
        <w:t>признаков: кашель,</w:t>
      </w:r>
      <w:r>
        <w:rPr>
          <w:spacing w:val="-8"/>
          <w:sz w:val="24"/>
        </w:rPr>
        <w:t> </w:t>
      </w:r>
      <w:r>
        <w:rPr>
          <w:sz w:val="24"/>
        </w:rPr>
        <w:t>сухой</w:t>
      </w:r>
      <w:r>
        <w:rPr>
          <w:spacing w:val="-7"/>
          <w:sz w:val="24"/>
        </w:rPr>
        <w:t> </w:t>
      </w:r>
      <w:r>
        <w:rPr>
          <w:sz w:val="24"/>
        </w:rPr>
        <w:t>или</w:t>
      </w:r>
      <w:r>
        <w:rPr>
          <w:spacing w:val="-7"/>
          <w:sz w:val="24"/>
        </w:rPr>
        <w:t> </w:t>
      </w:r>
      <w:r>
        <w:rPr>
          <w:sz w:val="24"/>
        </w:rPr>
        <w:t>со</w:t>
      </w:r>
      <w:r>
        <w:rPr>
          <w:spacing w:val="-8"/>
          <w:sz w:val="24"/>
        </w:rPr>
        <w:t> </w:t>
      </w:r>
      <w:r>
        <w:rPr>
          <w:sz w:val="24"/>
        </w:rPr>
        <w:t>скудной</w:t>
      </w:r>
      <w:r>
        <w:rPr>
          <w:spacing w:val="-7"/>
          <w:sz w:val="24"/>
        </w:rPr>
        <w:t> </w:t>
      </w:r>
      <w:r>
        <w:rPr>
          <w:sz w:val="24"/>
        </w:rPr>
        <w:t>мокротой,</w:t>
      </w:r>
      <w:r>
        <w:rPr>
          <w:spacing w:val="-5"/>
          <w:sz w:val="24"/>
        </w:rPr>
        <w:t> </w:t>
      </w:r>
      <w:r>
        <w:rPr>
          <w:sz w:val="24"/>
        </w:rPr>
        <w:t>одышка,</w:t>
      </w:r>
      <w:r>
        <w:rPr>
          <w:spacing w:val="-8"/>
          <w:sz w:val="24"/>
        </w:rPr>
        <w:t> </w:t>
      </w:r>
      <w:r>
        <w:rPr>
          <w:sz w:val="24"/>
        </w:rPr>
        <w:t>ощущение</w:t>
      </w:r>
      <w:r>
        <w:rPr>
          <w:spacing w:val="-9"/>
          <w:sz w:val="24"/>
        </w:rPr>
        <w:t> </w:t>
      </w:r>
      <w:r>
        <w:rPr>
          <w:sz w:val="24"/>
        </w:rPr>
        <w:t>заложенности</w:t>
      </w:r>
      <w:r>
        <w:rPr>
          <w:spacing w:val="-6"/>
          <w:sz w:val="24"/>
        </w:rPr>
        <w:t> </w:t>
      </w:r>
      <w:r>
        <w:rPr>
          <w:sz w:val="24"/>
        </w:rPr>
        <w:t>в</w:t>
      </w:r>
      <w:r>
        <w:rPr>
          <w:spacing w:val="-8"/>
          <w:sz w:val="24"/>
        </w:rPr>
        <w:t> </w:t>
      </w:r>
      <w:r>
        <w:rPr>
          <w:sz w:val="24"/>
        </w:rPr>
        <w:t>грудной </w:t>
      </w:r>
      <w:r>
        <w:rPr>
          <w:position w:val="2"/>
          <w:sz w:val="24"/>
        </w:rPr>
        <w:t>клетке, SpO</w:t>
      </w:r>
      <w:r>
        <w:rPr>
          <w:sz w:val="16"/>
        </w:rPr>
        <w:t>2 </w:t>
      </w:r>
      <w:r>
        <w:rPr>
          <w:position w:val="2"/>
          <w:sz w:val="24"/>
        </w:rPr>
        <w:t>≤ 95%, боль в горле, заложенность носа или умеренная ринорея, </w:t>
      </w:r>
      <w:r>
        <w:rPr>
          <w:sz w:val="24"/>
        </w:rPr>
        <w:t>нарушение или потеря обоняния (гипосмия или аносмия), потеря вкуса (дисгевзия), конъюнктивит,</w:t>
      </w:r>
      <w:r>
        <w:rPr>
          <w:spacing w:val="-15"/>
          <w:sz w:val="24"/>
        </w:rPr>
        <w:t> </w:t>
      </w:r>
      <w:r>
        <w:rPr>
          <w:sz w:val="24"/>
        </w:rPr>
        <w:t>слабость,</w:t>
      </w:r>
      <w:r>
        <w:rPr>
          <w:spacing w:val="-15"/>
          <w:sz w:val="24"/>
        </w:rPr>
        <w:t> </w:t>
      </w:r>
      <w:r>
        <w:rPr>
          <w:sz w:val="24"/>
        </w:rPr>
        <w:t>мышечные</w:t>
      </w:r>
      <w:r>
        <w:rPr>
          <w:spacing w:val="-15"/>
          <w:sz w:val="24"/>
        </w:rPr>
        <w:t> </w:t>
      </w:r>
      <w:r>
        <w:rPr>
          <w:sz w:val="24"/>
        </w:rPr>
        <w:t>боли,</w:t>
      </w:r>
      <w:r>
        <w:rPr>
          <w:spacing w:val="-15"/>
          <w:sz w:val="24"/>
        </w:rPr>
        <w:t> </w:t>
      </w:r>
      <w:r>
        <w:rPr>
          <w:sz w:val="24"/>
        </w:rPr>
        <w:t>головная</w:t>
      </w:r>
      <w:r>
        <w:rPr>
          <w:spacing w:val="-15"/>
          <w:sz w:val="24"/>
        </w:rPr>
        <w:t> </w:t>
      </w:r>
      <w:r>
        <w:rPr>
          <w:sz w:val="24"/>
        </w:rPr>
        <w:t>боль,</w:t>
      </w:r>
      <w:r>
        <w:rPr>
          <w:spacing w:val="-15"/>
          <w:sz w:val="24"/>
        </w:rPr>
        <w:t> </w:t>
      </w:r>
      <w:r>
        <w:rPr>
          <w:sz w:val="24"/>
        </w:rPr>
        <w:t>рвота,</w:t>
      </w:r>
      <w:r>
        <w:rPr>
          <w:spacing w:val="-15"/>
          <w:sz w:val="24"/>
        </w:rPr>
        <w:t> </w:t>
      </w:r>
      <w:r>
        <w:rPr>
          <w:sz w:val="24"/>
        </w:rPr>
        <w:t>диарея,</w:t>
      </w:r>
      <w:r>
        <w:rPr>
          <w:spacing w:val="-13"/>
          <w:sz w:val="24"/>
        </w:rPr>
        <w:t> </w:t>
      </w:r>
      <w:r>
        <w:rPr>
          <w:sz w:val="24"/>
        </w:rPr>
        <w:t>кожная</w:t>
      </w:r>
      <w:r>
        <w:rPr>
          <w:spacing w:val="-15"/>
          <w:sz w:val="24"/>
        </w:rPr>
        <w:t> </w:t>
      </w:r>
      <w:r>
        <w:rPr>
          <w:sz w:val="24"/>
        </w:rPr>
        <w:t>сыпь) при наличии хотя бы одного из эпидемиологических признаков:</w:t>
      </w:r>
    </w:p>
    <w:p>
      <w:pPr>
        <w:pStyle w:val="ListParagraph"/>
        <w:numPr>
          <w:ilvl w:val="0"/>
          <w:numId w:val="7"/>
        </w:numPr>
        <w:tabs>
          <w:tab w:pos="2561" w:val="left" w:leader="none"/>
        </w:tabs>
        <w:spacing w:line="291" w:lineRule="exact" w:before="0" w:after="0"/>
        <w:ind w:left="2561" w:right="0" w:hanging="360"/>
        <w:jc w:val="left"/>
        <w:rPr>
          <w:sz w:val="24"/>
        </w:rPr>
      </w:pPr>
      <w:r>
        <w:rPr>
          <w:sz w:val="24"/>
        </w:rPr>
        <w:t>Возвращение</w:t>
      </w:r>
      <w:r>
        <w:rPr>
          <w:spacing w:val="-9"/>
          <w:sz w:val="24"/>
        </w:rPr>
        <w:t> </w:t>
      </w:r>
      <w:r>
        <w:rPr>
          <w:sz w:val="24"/>
        </w:rPr>
        <w:t>из</w:t>
      </w:r>
      <w:r>
        <w:rPr>
          <w:spacing w:val="-10"/>
          <w:sz w:val="24"/>
        </w:rPr>
        <w:t> </w:t>
      </w:r>
      <w:r>
        <w:rPr>
          <w:sz w:val="24"/>
        </w:rPr>
        <w:t>зарубежной</w:t>
      </w:r>
      <w:r>
        <w:rPr>
          <w:spacing w:val="-7"/>
          <w:sz w:val="24"/>
        </w:rPr>
        <w:t> </w:t>
      </w:r>
      <w:r>
        <w:rPr>
          <w:sz w:val="24"/>
        </w:rPr>
        <w:t>поездки</w:t>
      </w:r>
      <w:r>
        <w:rPr>
          <w:spacing w:val="-10"/>
          <w:sz w:val="24"/>
        </w:rPr>
        <w:t> </w:t>
      </w:r>
      <w:r>
        <w:rPr>
          <w:sz w:val="24"/>
        </w:rPr>
        <w:t>за</w:t>
      </w:r>
      <w:r>
        <w:rPr>
          <w:spacing w:val="-6"/>
          <w:sz w:val="24"/>
        </w:rPr>
        <w:t> </w:t>
      </w:r>
      <w:r>
        <w:rPr>
          <w:sz w:val="24"/>
        </w:rPr>
        <w:t>7</w:t>
      </w:r>
      <w:r>
        <w:rPr>
          <w:spacing w:val="-8"/>
          <w:sz w:val="24"/>
        </w:rPr>
        <w:t> </w:t>
      </w:r>
      <w:r>
        <w:rPr>
          <w:sz w:val="24"/>
        </w:rPr>
        <w:t>дней</w:t>
      </w:r>
      <w:r>
        <w:rPr>
          <w:spacing w:val="-10"/>
          <w:sz w:val="24"/>
        </w:rPr>
        <w:t> </w:t>
      </w:r>
      <w:r>
        <w:rPr>
          <w:sz w:val="24"/>
        </w:rPr>
        <w:t>до</w:t>
      </w:r>
      <w:r>
        <w:rPr>
          <w:spacing w:val="-8"/>
          <w:sz w:val="24"/>
        </w:rPr>
        <w:t> </w:t>
      </w:r>
      <w:r>
        <w:rPr>
          <w:sz w:val="24"/>
        </w:rPr>
        <w:t>появления</w:t>
      </w:r>
      <w:r>
        <w:rPr>
          <w:spacing w:val="-9"/>
          <w:sz w:val="24"/>
        </w:rPr>
        <w:t> </w:t>
      </w:r>
      <w:r>
        <w:rPr>
          <w:spacing w:val="-2"/>
          <w:sz w:val="24"/>
        </w:rPr>
        <w:t>симптомов;</w:t>
      </w:r>
    </w:p>
    <w:p>
      <w:pPr>
        <w:pStyle w:val="ListParagraph"/>
        <w:numPr>
          <w:ilvl w:val="0"/>
          <w:numId w:val="7"/>
        </w:numPr>
        <w:tabs>
          <w:tab w:pos="2561" w:val="left" w:leader="none"/>
        </w:tabs>
        <w:spacing w:line="273" w:lineRule="auto" w:before="40" w:after="0"/>
        <w:ind w:left="2561" w:right="1274" w:hanging="360"/>
        <w:jc w:val="left"/>
        <w:rPr>
          <w:sz w:val="24"/>
        </w:rPr>
      </w:pPr>
      <w:r>
        <w:rPr>
          <w:sz w:val="24"/>
        </w:rPr>
        <w:t>Наличие</w:t>
      </w:r>
      <w:r>
        <w:rPr>
          <w:spacing w:val="80"/>
          <w:sz w:val="24"/>
        </w:rPr>
        <w:t> </w:t>
      </w:r>
      <w:r>
        <w:rPr>
          <w:sz w:val="24"/>
        </w:rPr>
        <w:t>тесных</w:t>
      </w:r>
      <w:r>
        <w:rPr>
          <w:spacing w:val="80"/>
          <w:sz w:val="24"/>
        </w:rPr>
        <w:t> </w:t>
      </w:r>
      <w:r>
        <w:rPr>
          <w:sz w:val="24"/>
        </w:rPr>
        <w:t>контактов</w:t>
      </w:r>
      <w:r>
        <w:rPr>
          <w:spacing w:val="80"/>
          <w:sz w:val="24"/>
        </w:rPr>
        <w:t> </w:t>
      </w:r>
      <w:r>
        <w:rPr>
          <w:sz w:val="24"/>
        </w:rPr>
        <w:t>за</w:t>
      </w:r>
      <w:r>
        <w:rPr>
          <w:spacing w:val="80"/>
          <w:sz w:val="24"/>
        </w:rPr>
        <w:t> </w:t>
      </w:r>
      <w:r>
        <w:rPr>
          <w:sz w:val="24"/>
        </w:rPr>
        <w:t>последние</w:t>
      </w:r>
      <w:r>
        <w:rPr>
          <w:spacing w:val="80"/>
          <w:sz w:val="24"/>
        </w:rPr>
        <w:t> </w:t>
      </w:r>
      <w:r>
        <w:rPr>
          <w:sz w:val="24"/>
        </w:rPr>
        <w:t>7</w:t>
      </w:r>
      <w:r>
        <w:rPr>
          <w:spacing w:val="80"/>
          <w:sz w:val="24"/>
        </w:rPr>
        <w:t> </w:t>
      </w:r>
      <w:r>
        <w:rPr>
          <w:sz w:val="24"/>
        </w:rPr>
        <w:t>дней</w:t>
      </w:r>
      <w:r>
        <w:rPr>
          <w:spacing w:val="80"/>
          <w:sz w:val="24"/>
        </w:rPr>
        <w:t> </w:t>
      </w:r>
      <w:r>
        <w:rPr>
          <w:sz w:val="24"/>
        </w:rPr>
        <w:t>с</w:t>
      </w:r>
      <w:r>
        <w:rPr>
          <w:spacing w:val="80"/>
          <w:sz w:val="24"/>
        </w:rPr>
        <w:t> </w:t>
      </w:r>
      <w:r>
        <w:rPr>
          <w:sz w:val="24"/>
        </w:rPr>
        <w:t>лицом,</w:t>
      </w:r>
      <w:r>
        <w:rPr>
          <w:spacing w:val="80"/>
          <w:sz w:val="24"/>
        </w:rPr>
        <w:t> </w:t>
      </w:r>
      <w:r>
        <w:rPr>
          <w:sz w:val="24"/>
        </w:rPr>
        <w:t>находящимся под наблюдением по COVID-19, который в последующем заболел;</w:t>
      </w:r>
    </w:p>
    <w:p>
      <w:pPr>
        <w:pStyle w:val="ListParagraph"/>
        <w:numPr>
          <w:ilvl w:val="0"/>
          <w:numId w:val="7"/>
        </w:numPr>
        <w:tabs>
          <w:tab w:pos="2561" w:val="left" w:leader="none"/>
        </w:tabs>
        <w:spacing w:line="273" w:lineRule="auto" w:before="2" w:after="0"/>
        <w:ind w:left="2561" w:right="1272" w:hanging="360"/>
        <w:jc w:val="left"/>
        <w:rPr>
          <w:sz w:val="24"/>
        </w:rPr>
      </w:pPr>
      <w:r>
        <w:rPr>
          <w:sz w:val="24"/>
        </w:rPr>
        <w:t>Наличие</w:t>
      </w:r>
      <w:r>
        <w:rPr>
          <w:spacing w:val="80"/>
          <w:sz w:val="24"/>
        </w:rPr>
        <w:t> </w:t>
      </w:r>
      <w:r>
        <w:rPr>
          <w:sz w:val="24"/>
        </w:rPr>
        <w:t>тесных</w:t>
      </w:r>
      <w:r>
        <w:rPr>
          <w:spacing w:val="80"/>
          <w:sz w:val="24"/>
        </w:rPr>
        <w:t> </w:t>
      </w:r>
      <w:r>
        <w:rPr>
          <w:sz w:val="24"/>
        </w:rPr>
        <w:t>контактов</w:t>
      </w:r>
      <w:r>
        <w:rPr>
          <w:spacing w:val="80"/>
          <w:sz w:val="24"/>
        </w:rPr>
        <w:t> </w:t>
      </w:r>
      <w:r>
        <w:rPr>
          <w:sz w:val="24"/>
        </w:rPr>
        <w:t>за</w:t>
      </w:r>
      <w:r>
        <w:rPr>
          <w:spacing w:val="80"/>
          <w:sz w:val="24"/>
        </w:rPr>
        <w:t> </w:t>
      </w:r>
      <w:r>
        <w:rPr>
          <w:sz w:val="24"/>
        </w:rPr>
        <w:t>последние</w:t>
      </w:r>
      <w:r>
        <w:rPr>
          <w:spacing w:val="80"/>
          <w:sz w:val="24"/>
        </w:rPr>
        <w:t> </w:t>
      </w:r>
      <w:r>
        <w:rPr>
          <w:sz w:val="24"/>
        </w:rPr>
        <w:t>7</w:t>
      </w:r>
      <w:r>
        <w:rPr>
          <w:spacing w:val="80"/>
          <w:sz w:val="24"/>
        </w:rPr>
        <w:t> </w:t>
      </w:r>
      <w:r>
        <w:rPr>
          <w:sz w:val="24"/>
        </w:rPr>
        <w:t>дней</w:t>
      </w:r>
      <w:r>
        <w:rPr>
          <w:spacing w:val="80"/>
          <w:sz w:val="24"/>
        </w:rPr>
        <w:t> </w:t>
      </w:r>
      <w:r>
        <w:rPr>
          <w:sz w:val="24"/>
        </w:rPr>
        <w:t>с</w:t>
      </w:r>
      <w:r>
        <w:rPr>
          <w:spacing w:val="80"/>
          <w:sz w:val="24"/>
        </w:rPr>
        <w:t> </w:t>
      </w:r>
      <w:r>
        <w:rPr>
          <w:sz w:val="24"/>
        </w:rPr>
        <w:t>лицом,</w:t>
      </w:r>
      <w:r>
        <w:rPr>
          <w:spacing w:val="80"/>
          <w:sz w:val="24"/>
        </w:rPr>
        <w:t> </w:t>
      </w:r>
      <w:r>
        <w:rPr>
          <w:sz w:val="24"/>
        </w:rPr>
        <w:t>у</w:t>
      </w:r>
      <w:r>
        <w:rPr>
          <w:spacing w:val="80"/>
          <w:sz w:val="24"/>
        </w:rPr>
        <w:t> </w:t>
      </w:r>
      <w:r>
        <w:rPr>
          <w:sz w:val="24"/>
        </w:rPr>
        <w:t>которого</w:t>
      </w:r>
      <w:r>
        <w:rPr>
          <w:spacing w:val="80"/>
          <w:sz w:val="24"/>
        </w:rPr>
        <w:t> </w:t>
      </w:r>
      <w:r>
        <w:rPr>
          <w:sz w:val="24"/>
        </w:rPr>
        <w:t>лабораторно подтвержден диагноз COVID-19;</w:t>
      </w:r>
    </w:p>
    <w:p>
      <w:pPr>
        <w:pStyle w:val="ListParagraph"/>
        <w:numPr>
          <w:ilvl w:val="0"/>
          <w:numId w:val="7"/>
        </w:numPr>
        <w:tabs>
          <w:tab w:pos="2553" w:val="left" w:leader="none"/>
          <w:tab w:pos="3639" w:val="left" w:leader="none"/>
          <w:tab w:pos="5807" w:val="left" w:leader="none"/>
          <w:tab w:pos="7045" w:val="left" w:leader="none"/>
          <w:tab w:pos="7352" w:val="left" w:leader="none"/>
          <w:tab w:pos="8380" w:val="left" w:leader="none"/>
          <w:tab w:pos="8703" w:val="left" w:leader="none"/>
          <w:tab w:pos="9770" w:val="left" w:leader="none"/>
        </w:tabs>
        <w:spacing w:line="271" w:lineRule="auto" w:before="2" w:after="0"/>
        <w:ind w:left="2553" w:right="1277" w:hanging="355"/>
        <w:jc w:val="left"/>
        <w:rPr>
          <w:sz w:val="24"/>
        </w:rPr>
      </w:pPr>
      <w:r>
        <w:rPr>
          <w:spacing w:val="-2"/>
          <w:sz w:val="24"/>
        </w:rPr>
        <w:t>Наличие</w:t>
      </w:r>
      <w:r>
        <w:rPr>
          <w:sz w:val="24"/>
        </w:rPr>
        <w:tab/>
      </w:r>
      <w:r>
        <w:rPr>
          <w:spacing w:val="-2"/>
          <w:sz w:val="24"/>
        </w:rPr>
        <w:t>профессиональных</w:t>
      </w:r>
      <w:r>
        <w:rPr>
          <w:sz w:val="24"/>
        </w:rPr>
        <w:tab/>
      </w:r>
      <w:r>
        <w:rPr>
          <w:spacing w:val="-2"/>
          <w:sz w:val="24"/>
        </w:rPr>
        <w:t>контактов</w:t>
      </w:r>
      <w:r>
        <w:rPr>
          <w:sz w:val="24"/>
        </w:rPr>
        <w:tab/>
      </w:r>
      <w:r>
        <w:rPr>
          <w:spacing w:val="-10"/>
          <w:sz w:val="24"/>
        </w:rPr>
        <w:t>с</w:t>
      </w:r>
      <w:r>
        <w:rPr>
          <w:sz w:val="24"/>
        </w:rPr>
        <w:tab/>
      </w:r>
      <w:r>
        <w:rPr>
          <w:spacing w:val="-2"/>
          <w:sz w:val="24"/>
        </w:rPr>
        <w:t>лицами,</w:t>
      </w:r>
      <w:r>
        <w:rPr>
          <w:sz w:val="24"/>
        </w:rPr>
        <w:tab/>
      </w:r>
      <w:r>
        <w:rPr>
          <w:spacing w:val="-10"/>
          <w:sz w:val="24"/>
        </w:rPr>
        <w:t>у</w:t>
      </w:r>
      <w:r>
        <w:rPr>
          <w:sz w:val="24"/>
        </w:rPr>
        <w:tab/>
      </w:r>
      <w:r>
        <w:rPr>
          <w:spacing w:val="-2"/>
          <w:sz w:val="24"/>
        </w:rPr>
        <w:t>которых</w:t>
      </w:r>
      <w:r>
        <w:rPr>
          <w:sz w:val="24"/>
        </w:rPr>
        <w:tab/>
      </w:r>
      <w:r>
        <w:rPr>
          <w:spacing w:val="-2"/>
          <w:sz w:val="24"/>
        </w:rPr>
        <w:t>выявлен </w:t>
      </w:r>
      <w:r>
        <w:rPr>
          <w:sz w:val="24"/>
        </w:rPr>
        <w:t>подозрительный или подтвержденный случай заболевания COVID-19.</w:t>
      </w:r>
    </w:p>
    <w:p>
      <w:pPr>
        <w:pStyle w:val="ListParagraph"/>
        <w:numPr>
          <w:ilvl w:val="0"/>
          <w:numId w:val="6"/>
        </w:numPr>
        <w:tabs>
          <w:tab w:pos="2832" w:val="left" w:leader="none"/>
        </w:tabs>
        <w:spacing w:line="276" w:lineRule="auto" w:before="4" w:after="0"/>
        <w:ind w:left="1841" w:right="1270" w:firstLine="707"/>
        <w:jc w:val="both"/>
        <w:rPr>
          <w:sz w:val="24"/>
        </w:rPr>
      </w:pPr>
      <w:r>
        <w:rPr>
          <w:sz w:val="24"/>
        </w:rPr>
        <w:t>Наличие</w:t>
      </w:r>
      <w:r>
        <w:rPr>
          <w:spacing w:val="40"/>
          <w:sz w:val="24"/>
        </w:rPr>
        <w:t>  </w:t>
      </w:r>
      <w:r>
        <w:rPr>
          <w:sz w:val="24"/>
        </w:rPr>
        <w:t>клинических</w:t>
      </w:r>
      <w:r>
        <w:rPr>
          <w:spacing w:val="40"/>
          <w:sz w:val="24"/>
        </w:rPr>
        <w:t>  </w:t>
      </w:r>
      <w:r>
        <w:rPr>
          <w:sz w:val="24"/>
        </w:rPr>
        <w:t>проявлений,</w:t>
      </w:r>
      <w:r>
        <w:rPr>
          <w:spacing w:val="40"/>
          <w:sz w:val="24"/>
        </w:rPr>
        <w:t>  </w:t>
      </w:r>
      <w:r>
        <w:rPr>
          <w:sz w:val="24"/>
        </w:rPr>
        <w:t>указанных</w:t>
      </w:r>
      <w:r>
        <w:rPr>
          <w:spacing w:val="40"/>
          <w:sz w:val="24"/>
        </w:rPr>
        <w:t>  </w:t>
      </w:r>
      <w:r>
        <w:rPr>
          <w:sz w:val="24"/>
        </w:rPr>
        <w:t>в</w:t>
      </w:r>
      <w:r>
        <w:rPr>
          <w:spacing w:val="40"/>
          <w:sz w:val="24"/>
        </w:rPr>
        <w:t>  </w:t>
      </w:r>
      <w:r>
        <w:rPr>
          <w:sz w:val="24"/>
        </w:rPr>
        <w:t>п.1,</w:t>
      </w:r>
      <w:r>
        <w:rPr>
          <w:spacing w:val="40"/>
          <w:sz w:val="24"/>
        </w:rPr>
        <w:t>  </w:t>
      </w:r>
      <w:r>
        <w:rPr>
          <w:sz w:val="24"/>
        </w:rPr>
        <w:t>в</w:t>
      </w:r>
      <w:r>
        <w:rPr>
          <w:spacing w:val="40"/>
          <w:sz w:val="24"/>
        </w:rPr>
        <w:t>  </w:t>
      </w:r>
      <w:r>
        <w:rPr>
          <w:sz w:val="24"/>
        </w:rPr>
        <w:t>сочетании</w:t>
      </w:r>
      <w:r>
        <w:rPr>
          <w:spacing w:val="80"/>
          <w:sz w:val="24"/>
        </w:rPr>
        <w:t> </w:t>
      </w:r>
      <w:r>
        <w:rPr>
          <w:sz w:val="24"/>
        </w:rPr>
        <w:t>с</w:t>
      </w:r>
      <w:r>
        <w:rPr>
          <w:spacing w:val="-6"/>
          <w:sz w:val="24"/>
        </w:rPr>
        <w:t> </w:t>
      </w:r>
      <w:r>
        <w:rPr>
          <w:sz w:val="24"/>
        </w:rPr>
        <w:t>характерными изменениями в легких по данным компьютерной томографии (КТ) (см.</w:t>
      </w:r>
      <w:r>
        <w:rPr>
          <w:spacing w:val="-3"/>
          <w:sz w:val="24"/>
        </w:rPr>
        <w:t> </w:t>
      </w:r>
      <w:r>
        <w:rPr>
          <w:color w:val="0462C1"/>
          <w:sz w:val="24"/>
          <w:u w:val="single" w:color="0462C1"/>
        </w:rPr>
        <w:t>Приложение 1</w:t>
      </w:r>
      <w:r>
        <w:rPr>
          <w:color w:val="0462C1"/>
          <w:sz w:val="24"/>
        </w:rPr>
        <w:t> </w:t>
      </w:r>
      <w:r>
        <w:rPr>
          <w:sz w:val="24"/>
        </w:rPr>
        <w:t>настоящих рекомендаций) вне зависимости от результатов однократного</w:t>
      </w:r>
      <w:r>
        <w:rPr>
          <w:spacing w:val="70"/>
          <w:sz w:val="24"/>
        </w:rPr>
        <w:t>  </w:t>
      </w:r>
      <w:r>
        <w:rPr>
          <w:sz w:val="24"/>
        </w:rPr>
        <w:t>лабораторного</w:t>
      </w:r>
      <w:r>
        <w:rPr>
          <w:spacing w:val="69"/>
          <w:sz w:val="24"/>
        </w:rPr>
        <w:t>  </w:t>
      </w:r>
      <w:r>
        <w:rPr>
          <w:sz w:val="24"/>
        </w:rPr>
        <w:t>исследования</w:t>
      </w:r>
      <w:r>
        <w:rPr>
          <w:spacing w:val="71"/>
          <w:sz w:val="24"/>
        </w:rPr>
        <w:t>  </w:t>
      </w:r>
      <w:r>
        <w:rPr>
          <w:sz w:val="24"/>
        </w:rPr>
        <w:t>на</w:t>
      </w:r>
      <w:r>
        <w:rPr>
          <w:spacing w:val="69"/>
          <w:sz w:val="24"/>
        </w:rPr>
        <w:t>  </w:t>
      </w:r>
      <w:r>
        <w:rPr>
          <w:sz w:val="24"/>
        </w:rPr>
        <w:t>наличие</w:t>
      </w:r>
      <w:r>
        <w:rPr>
          <w:spacing w:val="70"/>
          <w:sz w:val="24"/>
        </w:rPr>
        <w:t>  </w:t>
      </w:r>
      <w:r>
        <w:rPr>
          <w:sz w:val="24"/>
        </w:rPr>
        <w:t>РНК</w:t>
      </w:r>
      <w:r>
        <w:rPr>
          <w:spacing w:val="72"/>
          <w:sz w:val="24"/>
        </w:rPr>
        <w:t>  </w:t>
      </w:r>
      <w:r>
        <w:rPr>
          <w:sz w:val="24"/>
        </w:rPr>
        <w:t>SARS-CoV-2 и эпидемиологического анамнеза.</w:t>
      </w:r>
    </w:p>
    <w:p>
      <w:pPr>
        <w:pStyle w:val="ListParagraph"/>
        <w:numPr>
          <w:ilvl w:val="0"/>
          <w:numId w:val="6"/>
        </w:numPr>
        <w:tabs>
          <w:tab w:pos="2832" w:val="left" w:leader="none"/>
        </w:tabs>
        <w:spacing w:line="276" w:lineRule="auto" w:before="1" w:after="0"/>
        <w:ind w:left="1841" w:right="1276" w:firstLine="707"/>
        <w:jc w:val="both"/>
        <w:rPr>
          <w:sz w:val="24"/>
        </w:rPr>
      </w:pPr>
      <w:r>
        <w:rPr>
          <w:sz w:val="24"/>
        </w:rPr>
        <w:t>Наличие</w:t>
      </w:r>
      <w:r>
        <w:rPr>
          <w:spacing w:val="65"/>
          <w:sz w:val="24"/>
        </w:rPr>
        <w:t>  </w:t>
      </w:r>
      <w:r>
        <w:rPr>
          <w:sz w:val="24"/>
        </w:rPr>
        <w:t>клинических</w:t>
      </w:r>
      <w:r>
        <w:rPr>
          <w:spacing w:val="66"/>
          <w:sz w:val="24"/>
        </w:rPr>
        <w:t>  </w:t>
      </w:r>
      <w:r>
        <w:rPr>
          <w:sz w:val="24"/>
        </w:rPr>
        <w:t>проявлений</w:t>
      </w:r>
      <w:r>
        <w:rPr>
          <w:spacing w:val="66"/>
          <w:sz w:val="24"/>
        </w:rPr>
        <w:t>  </w:t>
      </w:r>
      <w:r>
        <w:rPr>
          <w:sz w:val="24"/>
        </w:rPr>
        <w:t>(указаны</w:t>
      </w:r>
      <w:r>
        <w:rPr>
          <w:spacing w:val="66"/>
          <w:sz w:val="24"/>
        </w:rPr>
        <w:t>  </w:t>
      </w:r>
      <w:r>
        <w:rPr>
          <w:sz w:val="24"/>
        </w:rPr>
        <w:t>в</w:t>
      </w:r>
      <w:r>
        <w:rPr>
          <w:spacing w:val="66"/>
          <w:sz w:val="24"/>
        </w:rPr>
        <w:t>  </w:t>
      </w:r>
      <w:r>
        <w:rPr>
          <w:sz w:val="24"/>
        </w:rPr>
        <w:t>п.1)</w:t>
      </w:r>
      <w:r>
        <w:rPr>
          <w:spacing w:val="66"/>
          <w:sz w:val="24"/>
        </w:rPr>
        <w:t>  </w:t>
      </w:r>
      <w:r>
        <w:rPr>
          <w:sz w:val="24"/>
        </w:rPr>
        <w:t>в</w:t>
      </w:r>
      <w:r>
        <w:rPr>
          <w:spacing w:val="66"/>
          <w:sz w:val="24"/>
        </w:rPr>
        <w:t>  </w:t>
      </w:r>
      <w:r>
        <w:rPr>
          <w:sz w:val="24"/>
        </w:rPr>
        <w:t>сочетании с</w:t>
      </w:r>
      <w:r>
        <w:rPr>
          <w:spacing w:val="-4"/>
          <w:sz w:val="24"/>
        </w:rPr>
        <w:t> </w:t>
      </w:r>
      <w:r>
        <w:rPr>
          <w:sz w:val="24"/>
        </w:rPr>
        <w:t>характерными</w:t>
      </w:r>
      <w:r>
        <w:rPr>
          <w:spacing w:val="40"/>
          <w:sz w:val="24"/>
        </w:rPr>
        <w:t> </w:t>
      </w:r>
      <w:r>
        <w:rPr>
          <w:sz w:val="24"/>
        </w:rPr>
        <w:t>изменениями</w:t>
      </w:r>
      <w:r>
        <w:rPr>
          <w:spacing w:val="40"/>
          <w:sz w:val="24"/>
        </w:rPr>
        <w:t> </w:t>
      </w:r>
      <w:r>
        <w:rPr>
          <w:sz w:val="24"/>
        </w:rPr>
        <w:t>в</w:t>
      </w:r>
      <w:r>
        <w:rPr>
          <w:spacing w:val="40"/>
          <w:sz w:val="24"/>
        </w:rPr>
        <w:t> </w:t>
      </w:r>
      <w:r>
        <w:rPr>
          <w:sz w:val="24"/>
        </w:rPr>
        <w:t>легких</w:t>
      </w:r>
      <w:r>
        <w:rPr>
          <w:spacing w:val="40"/>
          <w:sz w:val="24"/>
        </w:rPr>
        <w:t> </w:t>
      </w:r>
      <w:r>
        <w:rPr>
          <w:sz w:val="24"/>
        </w:rPr>
        <w:t>по</w:t>
      </w:r>
      <w:r>
        <w:rPr>
          <w:spacing w:val="40"/>
          <w:sz w:val="24"/>
        </w:rPr>
        <w:t> </w:t>
      </w:r>
      <w:r>
        <w:rPr>
          <w:sz w:val="24"/>
        </w:rPr>
        <w:t>данным</w:t>
      </w:r>
      <w:r>
        <w:rPr>
          <w:spacing w:val="40"/>
          <w:sz w:val="24"/>
        </w:rPr>
        <w:t> </w:t>
      </w:r>
      <w:r>
        <w:rPr>
          <w:sz w:val="24"/>
        </w:rPr>
        <w:t>лучевых</w:t>
      </w:r>
      <w:r>
        <w:rPr>
          <w:spacing w:val="40"/>
          <w:sz w:val="24"/>
        </w:rPr>
        <w:t> </w:t>
      </w:r>
      <w:r>
        <w:rPr>
          <w:sz w:val="24"/>
        </w:rPr>
        <w:t>исследований</w:t>
      </w:r>
      <w:r>
        <w:rPr>
          <w:spacing w:val="40"/>
          <w:sz w:val="24"/>
        </w:rPr>
        <w:t> </w:t>
      </w:r>
      <w:r>
        <w:rPr>
          <w:sz w:val="24"/>
        </w:rPr>
        <w:t>(указаны</w:t>
      </w:r>
      <w:r>
        <w:rPr>
          <w:spacing w:val="80"/>
          <w:w w:val="150"/>
          <w:sz w:val="24"/>
        </w:rPr>
        <w:t> </w:t>
      </w:r>
      <w:r>
        <w:rPr>
          <w:sz w:val="24"/>
        </w:rPr>
        <w:t>в</w:t>
      </w:r>
      <w:r>
        <w:rPr>
          <w:spacing w:val="-2"/>
          <w:sz w:val="24"/>
        </w:rPr>
        <w:t> </w:t>
      </w:r>
      <w:r>
        <w:rPr>
          <w:sz w:val="24"/>
        </w:rPr>
        <w:t>п.2)</w:t>
      </w:r>
      <w:r>
        <w:rPr>
          <w:spacing w:val="80"/>
          <w:w w:val="150"/>
          <w:sz w:val="24"/>
        </w:rPr>
        <w:t> </w:t>
      </w:r>
      <w:r>
        <w:rPr>
          <w:sz w:val="24"/>
        </w:rPr>
        <w:t>при</w:t>
      </w:r>
      <w:r>
        <w:rPr>
          <w:spacing w:val="80"/>
          <w:w w:val="150"/>
          <w:sz w:val="24"/>
        </w:rPr>
        <w:t> </w:t>
      </w:r>
      <w:r>
        <w:rPr>
          <w:sz w:val="24"/>
        </w:rPr>
        <w:t>невозможности</w:t>
      </w:r>
      <w:r>
        <w:rPr>
          <w:spacing w:val="80"/>
          <w:w w:val="150"/>
          <w:sz w:val="24"/>
        </w:rPr>
        <w:t> </w:t>
      </w:r>
      <w:r>
        <w:rPr>
          <w:sz w:val="24"/>
        </w:rPr>
        <w:t>проведения</w:t>
      </w:r>
      <w:r>
        <w:rPr>
          <w:spacing w:val="80"/>
          <w:w w:val="150"/>
          <w:sz w:val="24"/>
        </w:rPr>
        <w:t> </w:t>
      </w:r>
      <w:r>
        <w:rPr>
          <w:sz w:val="24"/>
        </w:rPr>
        <w:t>лабораторного</w:t>
      </w:r>
      <w:r>
        <w:rPr>
          <w:spacing w:val="80"/>
          <w:w w:val="150"/>
          <w:sz w:val="24"/>
        </w:rPr>
        <w:t> </w:t>
      </w:r>
      <w:r>
        <w:rPr>
          <w:sz w:val="24"/>
        </w:rPr>
        <w:t>исследования на наличие РНК SARS-CoV-2.</w:t>
      </w:r>
    </w:p>
    <w:p>
      <w:pPr>
        <w:pStyle w:val="Heading3"/>
        <w:spacing w:before="236"/>
      </w:pPr>
      <w:r>
        <w:rPr>
          <w:color w:val="1F487C"/>
          <w:spacing w:val="-2"/>
        </w:rPr>
        <w:t>Подтвержденный</w:t>
      </w:r>
      <w:r>
        <w:rPr>
          <w:color w:val="1F487C"/>
        </w:rPr>
        <w:t> </w:t>
      </w:r>
      <w:r>
        <w:rPr>
          <w:color w:val="1F487C"/>
          <w:spacing w:val="-2"/>
        </w:rPr>
        <w:t>случай</w:t>
      </w:r>
      <w:r>
        <w:rPr>
          <w:color w:val="1F487C"/>
          <w:spacing w:val="1"/>
        </w:rPr>
        <w:t> </w:t>
      </w:r>
      <w:r>
        <w:rPr>
          <w:color w:val="1F487C"/>
          <w:spacing w:val="-2"/>
        </w:rPr>
        <w:t>COVID-</w:t>
      </w:r>
      <w:r>
        <w:rPr>
          <w:color w:val="1F487C"/>
          <w:spacing w:val="-5"/>
        </w:rPr>
        <w:t>19</w:t>
      </w:r>
    </w:p>
    <w:p>
      <w:pPr>
        <w:pStyle w:val="ListParagraph"/>
        <w:numPr>
          <w:ilvl w:val="0"/>
          <w:numId w:val="8"/>
        </w:numPr>
        <w:tabs>
          <w:tab w:pos="2839" w:val="left" w:leader="none"/>
        </w:tabs>
        <w:spacing w:line="276" w:lineRule="auto" w:before="163" w:after="0"/>
        <w:ind w:left="1841" w:right="1272" w:firstLine="707"/>
        <w:jc w:val="both"/>
        <w:rPr>
          <w:sz w:val="24"/>
        </w:rPr>
      </w:pPr>
      <w:r>
        <w:rPr>
          <w:sz w:val="24"/>
        </w:rPr>
        <w:t>Положительный результат лабораторного исследования на наличие РНК SARS-CoV-2</w:t>
      </w:r>
      <w:r>
        <w:rPr>
          <w:spacing w:val="19"/>
          <w:sz w:val="24"/>
        </w:rPr>
        <w:t> </w:t>
      </w:r>
      <w:r>
        <w:rPr>
          <w:sz w:val="24"/>
        </w:rPr>
        <w:t>с</w:t>
      </w:r>
      <w:r>
        <w:rPr>
          <w:spacing w:val="19"/>
          <w:sz w:val="24"/>
        </w:rPr>
        <w:t> </w:t>
      </w:r>
      <w:r>
        <w:rPr>
          <w:sz w:val="24"/>
        </w:rPr>
        <w:t>применением</w:t>
      </w:r>
      <w:r>
        <w:rPr>
          <w:spacing w:val="18"/>
          <w:sz w:val="24"/>
        </w:rPr>
        <w:t> </w:t>
      </w:r>
      <w:r>
        <w:rPr>
          <w:sz w:val="24"/>
        </w:rPr>
        <w:t>методов</w:t>
      </w:r>
      <w:r>
        <w:rPr>
          <w:spacing w:val="19"/>
          <w:sz w:val="24"/>
        </w:rPr>
        <w:t> </w:t>
      </w:r>
      <w:r>
        <w:rPr>
          <w:sz w:val="24"/>
        </w:rPr>
        <w:t>амплификации</w:t>
      </w:r>
      <w:r>
        <w:rPr>
          <w:spacing w:val="20"/>
          <w:sz w:val="24"/>
        </w:rPr>
        <w:t> </w:t>
      </w:r>
      <w:r>
        <w:rPr>
          <w:sz w:val="24"/>
        </w:rPr>
        <w:t>нуклеиновых</w:t>
      </w:r>
      <w:r>
        <w:rPr>
          <w:spacing w:val="20"/>
          <w:sz w:val="24"/>
        </w:rPr>
        <w:t> </w:t>
      </w:r>
      <w:r>
        <w:rPr>
          <w:sz w:val="24"/>
        </w:rPr>
        <w:t>кислот</w:t>
      </w:r>
      <w:r>
        <w:rPr>
          <w:spacing w:val="26"/>
          <w:sz w:val="24"/>
        </w:rPr>
        <w:t> </w:t>
      </w:r>
      <w:r>
        <w:rPr>
          <w:spacing w:val="-2"/>
          <w:sz w:val="24"/>
        </w:rPr>
        <w:t>(МАНК)</w:t>
      </w:r>
    </w:p>
    <w:p>
      <w:pPr>
        <w:pStyle w:val="ListParagraph"/>
        <w:spacing w:after="0" w:line="276" w:lineRule="auto"/>
        <w:jc w:val="both"/>
        <w:rPr>
          <w:sz w:val="24"/>
        </w:rPr>
        <w:sectPr>
          <w:pgSz w:w="11900" w:h="16840"/>
          <w:pgMar w:header="0" w:footer="697" w:top="1080" w:bottom="880" w:left="0" w:right="0"/>
        </w:sectPr>
      </w:pPr>
    </w:p>
    <w:p>
      <w:pPr>
        <w:pStyle w:val="BodyText"/>
        <w:spacing w:line="276" w:lineRule="auto" w:before="73"/>
        <w:ind w:right="1283"/>
        <w:jc w:val="left"/>
      </w:pPr>
      <w:bookmarkStart w:name="15" w:id="19"/>
      <w:bookmarkEnd w:id="19"/>
      <w:r>
        <w:rPr/>
      </w:r>
      <w:r>
        <w:rPr/>
        <w:t>или антигена SARS-CoV-2 c применением иммунохроматографического анализа вне зависимости от клинических проявлений.</w:t>
      </w:r>
    </w:p>
    <w:p>
      <w:pPr>
        <w:pStyle w:val="BodyText"/>
        <w:spacing w:before="83"/>
        <w:ind w:left="0"/>
        <w:jc w:val="left"/>
      </w:pPr>
    </w:p>
    <w:p>
      <w:pPr>
        <w:pStyle w:val="Heading1"/>
        <w:numPr>
          <w:ilvl w:val="0"/>
          <w:numId w:val="5"/>
        </w:numPr>
        <w:tabs>
          <w:tab w:pos="2828" w:val="left" w:leader="none"/>
        </w:tabs>
        <w:spacing w:line="240" w:lineRule="auto" w:before="0" w:after="0"/>
        <w:ind w:left="2828" w:right="0" w:hanging="279"/>
        <w:jc w:val="left"/>
      </w:pPr>
      <w:bookmarkStart w:name="_TOC_250042" w:id="20"/>
      <w:r>
        <w:rPr>
          <w:color w:val="1F487C"/>
        </w:rPr>
        <w:t>КЛИНИЧЕСКИЕ</w:t>
      </w:r>
      <w:r>
        <w:rPr>
          <w:color w:val="1F487C"/>
          <w:spacing w:val="-8"/>
        </w:rPr>
        <w:t> </w:t>
      </w:r>
      <w:bookmarkEnd w:id="20"/>
      <w:r>
        <w:rPr>
          <w:color w:val="1F487C"/>
          <w:spacing w:val="-2"/>
        </w:rPr>
        <w:t>ОСОБЕННОСТИ</w:t>
      </w:r>
    </w:p>
    <w:p>
      <w:pPr>
        <w:pStyle w:val="BodyText"/>
        <w:spacing w:line="276" w:lineRule="auto" w:before="168"/>
        <w:ind w:right="1271" w:firstLine="707"/>
        <w:jc w:val="left"/>
      </w:pPr>
      <w:r>
        <w:rPr/>
        <w:t>Инкубационный</w:t>
      </w:r>
      <w:r>
        <w:rPr>
          <w:spacing w:val="-13"/>
        </w:rPr>
        <w:t> </w:t>
      </w:r>
      <w:r>
        <w:rPr/>
        <w:t>период</w:t>
      </w:r>
      <w:r>
        <w:rPr>
          <w:spacing w:val="-11"/>
        </w:rPr>
        <w:t> </w:t>
      </w:r>
      <w:r>
        <w:rPr/>
        <w:t>COVID-19</w:t>
      </w:r>
      <w:r>
        <w:rPr>
          <w:spacing w:val="-14"/>
        </w:rPr>
        <w:t> </w:t>
      </w:r>
      <w:r>
        <w:rPr/>
        <w:t>вызванный</w:t>
      </w:r>
      <w:r>
        <w:rPr>
          <w:spacing w:val="-13"/>
        </w:rPr>
        <w:t> </w:t>
      </w:r>
      <w:r>
        <w:rPr/>
        <w:t>вариантом</w:t>
      </w:r>
      <w:r>
        <w:rPr>
          <w:spacing w:val="-14"/>
        </w:rPr>
        <w:t> </w:t>
      </w:r>
      <w:r>
        <w:rPr/>
        <w:t>Омикрон</w:t>
      </w:r>
      <w:r>
        <w:rPr>
          <w:spacing w:val="-13"/>
        </w:rPr>
        <w:t> </w:t>
      </w:r>
      <w:r>
        <w:rPr/>
        <w:t>составляет в среднем 3-4- суток).</w:t>
      </w:r>
    </w:p>
    <w:p>
      <w:pPr>
        <w:pStyle w:val="BodyText"/>
        <w:spacing w:before="13"/>
        <w:ind w:left="2549"/>
        <w:jc w:val="left"/>
      </w:pPr>
      <w:r>
        <w:rPr/>
        <w:t>Для</w:t>
      </w:r>
      <w:r>
        <w:rPr>
          <w:spacing w:val="-15"/>
        </w:rPr>
        <w:t> </w:t>
      </w:r>
      <w:r>
        <w:rPr/>
        <w:t>COVID-19</w:t>
      </w:r>
      <w:r>
        <w:rPr>
          <w:spacing w:val="-14"/>
        </w:rPr>
        <w:t> </w:t>
      </w:r>
      <w:r>
        <w:rPr/>
        <w:t>характерно</w:t>
      </w:r>
      <w:r>
        <w:rPr>
          <w:spacing w:val="-15"/>
        </w:rPr>
        <w:t> </w:t>
      </w:r>
      <w:r>
        <w:rPr/>
        <w:t>наличие</w:t>
      </w:r>
      <w:r>
        <w:rPr>
          <w:spacing w:val="-14"/>
        </w:rPr>
        <w:t> </w:t>
      </w:r>
      <w:r>
        <w:rPr/>
        <w:t>клинических</w:t>
      </w:r>
      <w:r>
        <w:rPr>
          <w:spacing w:val="-14"/>
        </w:rPr>
        <w:t> </w:t>
      </w:r>
      <w:r>
        <w:rPr/>
        <w:t>симптомов</w:t>
      </w:r>
      <w:r>
        <w:rPr>
          <w:spacing w:val="-12"/>
        </w:rPr>
        <w:t> </w:t>
      </w:r>
      <w:r>
        <w:rPr>
          <w:spacing w:val="-2"/>
        </w:rPr>
        <w:t>ОРВИ:</w:t>
      </w:r>
    </w:p>
    <w:p>
      <w:pPr>
        <w:pStyle w:val="ListParagraph"/>
        <w:numPr>
          <w:ilvl w:val="0"/>
          <w:numId w:val="9"/>
        </w:numPr>
        <w:tabs>
          <w:tab w:pos="2124" w:val="left" w:leader="none"/>
        </w:tabs>
        <w:spacing w:line="240" w:lineRule="auto" w:before="56" w:after="0"/>
        <w:ind w:left="2124" w:right="0" w:hanging="359"/>
        <w:jc w:val="left"/>
        <w:rPr>
          <w:sz w:val="28"/>
        </w:rPr>
      </w:pPr>
      <w:r>
        <w:rPr>
          <w:sz w:val="24"/>
        </w:rPr>
        <w:t>Повышение</w:t>
      </w:r>
      <w:r>
        <w:rPr>
          <w:spacing w:val="-9"/>
          <w:sz w:val="24"/>
        </w:rPr>
        <w:t> </w:t>
      </w:r>
      <w:r>
        <w:rPr>
          <w:sz w:val="24"/>
        </w:rPr>
        <w:t>t</w:t>
      </w:r>
      <w:r>
        <w:rPr>
          <w:spacing w:val="-8"/>
          <w:sz w:val="24"/>
        </w:rPr>
        <w:t> </w:t>
      </w:r>
      <w:r>
        <w:rPr>
          <w:spacing w:val="-4"/>
          <w:sz w:val="24"/>
        </w:rPr>
        <w:t>тела;</w:t>
      </w:r>
    </w:p>
    <w:p>
      <w:pPr>
        <w:pStyle w:val="ListParagraph"/>
        <w:numPr>
          <w:ilvl w:val="0"/>
          <w:numId w:val="9"/>
        </w:numPr>
        <w:tabs>
          <w:tab w:pos="2124" w:val="left" w:leader="none"/>
        </w:tabs>
        <w:spacing w:line="240" w:lineRule="auto" w:before="33" w:after="0"/>
        <w:ind w:left="2124" w:right="0" w:hanging="359"/>
        <w:jc w:val="left"/>
        <w:rPr>
          <w:sz w:val="28"/>
        </w:rPr>
      </w:pPr>
      <w:r>
        <w:rPr>
          <w:sz w:val="24"/>
        </w:rPr>
        <w:t>Кашель</w:t>
      </w:r>
      <w:r>
        <w:rPr>
          <w:spacing w:val="-11"/>
          <w:sz w:val="24"/>
        </w:rPr>
        <w:t> </w:t>
      </w:r>
      <w:r>
        <w:rPr>
          <w:sz w:val="24"/>
        </w:rPr>
        <w:t>(сухой</w:t>
      </w:r>
      <w:r>
        <w:rPr>
          <w:spacing w:val="-11"/>
          <w:sz w:val="24"/>
        </w:rPr>
        <w:t> </w:t>
      </w:r>
      <w:r>
        <w:rPr>
          <w:sz w:val="24"/>
        </w:rPr>
        <w:t>или</w:t>
      </w:r>
      <w:r>
        <w:rPr>
          <w:spacing w:val="-9"/>
          <w:sz w:val="24"/>
        </w:rPr>
        <w:t> </w:t>
      </w:r>
      <w:r>
        <w:rPr>
          <w:sz w:val="24"/>
        </w:rPr>
        <w:t>с</w:t>
      </w:r>
      <w:r>
        <w:rPr>
          <w:spacing w:val="-12"/>
          <w:sz w:val="24"/>
        </w:rPr>
        <w:t> </w:t>
      </w:r>
      <w:r>
        <w:rPr>
          <w:sz w:val="24"/>
        </w:rPr>
        <w:t>небольшим</w:t>
      </w:r>
      <w:r>
        <w:rPr>
          <w:spacing w:val="-11"/>
          <w:sz w:val="24"/>
        </w:rPr>
        <w:t> </w:t>
      </w:r>
      <w:r>
        <w:rPr>
          <w:sz w:val="24"/>
        </w:rPr>
        <w:t>количеством</w:t>
      </w:r>
      <w:r>
        <w:rPr>
          <w:spacing w:val="-10"/>
          <w:sz w:val="24"/>
        </w:rPr>
        <w:t> </w:t>
      </w:r>
      <w:r>
        <w:rPr>
          <w:spacing w:val="-2"/>
          <w:sz w:val="24"/>
        </w:rPr>
        <w:t>мокроты);</w:t>
      </w:r>
    </w:p>
    <w:p>
      <w:pPr>
        <w:pStyle w:val="ListParagraph"/>
        <w:numPr>
          <w:ilvl w:val="0"/>
          <w:numId w:val="9"/>
        </w:numPr>
        <w:tabs>
          <w:tab w:pos="2124" w:val="left" w:leader="none"/>
        </w:tabs>
        <w:spacing w:line="240" w:lineRule="auto" w:before="33" w:after="0"/>
        <w:ind w:left="2124" w:right="0" w:hanging="359"/>
        <w:jc w:val="left"/>
        <w:rPr>
          <w:sz w:val="28"/>
        </w:rPr>
      </w:pPr>
      <w:r>
        <w:rPr>
          <w:spacing w:val="-2"/>
          <w:sz w:val="24"/>
        </w:rPr>
        <w:t>Одышка;</w:t>
      </w:r>
    </w:p>
    <w:p>
      <w:pPr>
        <w:pStyle w:val="ListParagraph"/>
        <w:numPr>
          <w:ilvl w:val="0"/>
          <w:numId w:val="9"/>
        </w:numPr>
        <w:tabs>
          <w:tab w:pos="2124" w:val="left" w:leader="none"/>
        </w:tabs>
        <w:spacing w:line="240" w:lineRule="auto" w:before="33" w:after="0"/>
        <w:ind w:left="2124" w:right="0" w:hanging="359"/>
        <w:jc w:val="left"/>
        <w:rPr>
          <w:sz w:val="28"/>
        </w:rPr>
      </w:pPr>
      <w:r>
        <w:rPr>
          <w:spacing w:val="-2"/>
          <w:sz w:val="24"/>
        </w:rPr>
        <w:t>Утомляемость;</w:t>
      </w:r>
    </w:p>
    <w:p>
      <w:pPr>
        <w:pStyle w:val="ListParagraph"/>
        <w:numPr>
          <w:ilvl w:val="0"/>
          <w:numId w:val="9"/>
        </w:numPr>
        <w:tabs>
          <w:tab w:pos="2124" w:val="left" w:leader="none"/>
        </w:tabs>
        <w:spacing w:line="240" w:lineRule="auto" w:before="31" w:after="0"/>
        <w:ind w:left="2124" w:right="0" w:hanging="359"/>
        <w:jc w:val="left"/>
        <w:rPr>
          <w:sz w:val="28"/>
        </w:rPr>
      </w:pPr>
      <w:r>
        <w:rPr>
          <w:sz w:val="24"/>
        </w:rPr>
        <w:t>Ощущение</w:t>
      </w:r>
      <w:r>
        <w:rPr>
          <w:spacing w:val="-13"/>
          <w:sz w:val="24"/>
        </w:rPr>
        <w:t> </w:t>
      </w:r>
      <w:r>
        <w:rPr>
          <w:sz w:val="24"/>
        </w:rPr>
        <w:t>заложенности</w:t>
      </w:r>
      <w:r>
        <w:rPr>
          <w:spacing w:val="-12"/>
          <w:sz w:val="24"/>
        </w:rPr>
        <w:t> </w:t>
      </w:r>
      <w:r>
        <w:rPr>
          <w:sz w:val="24"/>
        </w:rPr>
        <w:t>в</w:t>
      </w:r>
      <w:r>
        <w:rPr>
          <w:spacing w:val="-13"/>
          <w:sz w:val="24"/>
        </w:rPr>
        <w:t> </w:t>
      </w:r>
      <w:r>
        <w:rPr>
          <w:sz w:val="24"/>
        </w:rPr>
        <w:t>грудной</w:t>
      </w:r>
      <w:r>
        <w:rPr>
          <w:spacing w:val="-12"/>
          <w:sz w:val="24"/>
        </w:rPr>
        <w:t> </w:t>
      </w:r>
      <w:r>
        <w:rPr>
          <w:spacing w:val="-2"/>
          <w:sz w:val="24"/>
        </w:rPr>
        <w:t>клетке.</w:t>
      </w:r>
    </w:p>
    <w:p>
      <w:pPr>
        <w:pStyle w:val="BodyText"/>
        <w:spacing w:line="276" w:lineRule="auto" w:before="46"/>
        <w:ind w:right="1273" w:firstLine="707"/>
      </w:pPr>
      <w:r>
        <w:rPr/>
        <w:t>Также могут отмечаться боль в горле, насморк, снижение обоняния и вкуса, признаки</w:t>
      </w:r>
      <w:r>
        <w:rPr>
          <w:spacing w:val="-15"/>
        </w:rPr>
        <w:t> </w:t>
      </w:r>
      <w:r>
        <w:rPr/>
        <w:t>конъюнктивита.</w:t>
      </w:r>
      <w:r>
        <w:rPr>
          <w:spacing w:val="-15"/>
        </w:rPr>
        <w:t> </w:t>
      </w:r>
      <w:r>
        <w:rPr/>
        <w:t>Среди</w:t>
      </w:r>
      <w:r>
        <w:rPr>
          <w:spacing w:val="-15"/>
        </w:rPr>
        <w:t> </w:t>
      </w:r>
      <w:r>
        <w:rPr/>
        <w:t>первых</w:t>
      </w:r>
      <w:r>
        <w:rPr>
          <w:spacing w:val="-15"/>
        </w:rPr>
        <w:t> </w:t>
      </w:r>
      <w:r>
        <w:rPr/>
        <w:t>симптомов</w:t>
      </w:r>
      <w:r>
        <w:rPr>
          <w:spacing w:val="-15"/>
        </w:rPr>
        <w:t> </w:t>
      </w:r>
      <w:r>
        <w:rPr/>
        <w:t>могут</w:t>
      </w:r>
      <w:r>
        <w:rPr>
          <w:spacing w:val="-15"/>
        </w:rPr>
        <w:t> </w:t>
      </w:r>
      <w:r>
        <w:rPr/>
        <w:t>быть</w:t>
      </w:r>
      <w:r>
        <w:rPr>
          <w:spacing w:val="-14"/>
        </w:rPr>
        <w:t> </w:t>
      </w:r>
      <w:r>
        <w:rPr/>
        <w:t>миалгия,</w:t>
      </w:r>
      <w:r>
        <w:rPr>
          <w:spacing w:val="-15"/>
        </w:rPr>
        <w:t> </w:t>
      </w:r>
      <w:r>
        <w:rPr/>
        <w:t>спутанность сознания, головные боли, кровохарканье, диарея, тошнота, рвота, сердцебиение. Данные</w:t>
      </w:r>
      <w:r>
        <w:rPr>
          <w:spacing w:val="-8"/>
        </w:rPr>
        <w:t> </w:t>
      </w:r>
      <w:r>
        <w:rPr/>
        <w:t>симптомы</w:t>
      </w:r>
      <w:r>
        <w:rPr>
          <w:spacing w:val="-7"/>
        </w:rPr>
        <w:t> </w:t>
      </w:r>
      <w:r>
        <w:rPr/>
        <w:t>в</w:t>
      </w:r>
      <w:r>
        <w:rPr>
          <w:spacing w:val="-6"/>
        </w:rPr>
        <w:t> </w:t>
      </w:r>
      <w:r>
        <w:rPr/>
        <w:t>начале</w:t>
      </w:r>
      <w:r>
        <w:rPr>
          <w:spacing w:val="-8"/>
        </w:rPr>
        <w:t> </w:t>
      </w:r>
      <w:r>
        <w:rPr/>
        <w:t>болезни</w:t>
      </w:r>
      <w:r>
        <w:rPr>
          <w:spacing w:val="-4"/>
        </w:rPr>
        <w:t> </w:t>
      </w:r>
      <w:r>
        <w:rPr/>
        <w:t>могут</w:t>
      </w:r>
      <w:r>
        <w:rPr>
          <w:spacing w:val="-6"/>
        </w:rPr>
        <w:t> </w:t>
      </w:r>
      <w:r>
        <w:rPr/>
        <w:t>наблюдаться</w:t>
      </w:r>
      <w:r>
        <w:rPr>
          <w:spacing w:val="-7"/>
        </w:rPr>
        <w:t> </w:t>
      </w:r>
      <w:r>
        <w:rPr/>
        <w:t>и</w:t>
      </w:r>
      <w:r>
        <w:rPr>
          <w:spacing w:val="-6"/>
        </w:rPr>
        <w:t> </w:t>
      </w:r>
      <w:r>
        <w:rPr/>
        <w:t>при</w:t>
      </w:r>
      <w:r>
        <w:rPr>
          <w:spacing w:val="-6"/>
        </w:rPr>
        <w:t> </w:t>
      </w:r>
      <w:r>
        <w:rPr/>
        <w:t>отсутствии</w:t>
      </w:r>
      <w:r>
        <w:rPr>
          <w:spacing w:val="-6"/>
        </w:rPr>
        <w:t> </w:t>
      </w:r>
      <w:r>
        <w:rPr/>
        <w:t>повышения температуры тела.</w:t>
      </w:r>
    </w:p>
    <w:p>
      <w:pPr>
        <w:pStyle w:val="Heading3"/>
        <w:spacing w:line="430" w:lineRule="atLeast" w:before="84"/>
        <w:ind w:right="4243"/>
      </w:pPr>
      <w:r>
        <w:rPr>
          <w:color w:val="1F487C"/>
        </w:rPr>
        <w:t>Классификация</w:t>
      </w:r>
      <w:r>
        <w:rPr>
          <w:color w:val="1F487C"/>
          <w:spacing w:val="-11"/>
        </w:rPr>
        <w:t> </w:t>
      </w:r>
      <w:r>
        <w:rPr>
          <w:color w:val="1F487C"/>
        </w:rPr>
        <w:t>COVID-19</w:t>
      </w:r>
      <w:r>
        <w:rPr>
          <w:color w:val="1F487C"/>
          <w:spacing w:val="-11"/>
        </w:rPr>
        <w:t> </w:t>
      </w:r>
      <w:r>
        <w:rPr>
          <w:color w:val="1F487C"/>
        </w:rPr>
        <w:t>по</w:t>
      </w:r>
      <w:r>
        <w:rPr>
          <w:color w:val="1F487C"/>
          <w:spacing w:val="-11"/>
        </w:rPr>
        <w:t> </w:t>
      </w:r>
      <w:r>
        <w:rPr>
          <w:color w:val="1F487C"/>
        </w:rPr>
        <w:t>степени</w:t>
      </w:r>
      <w:r>
        <w:rPr>
          <w:color w:val="1F487C"/>
          <w:spacing w:val="-11"/>
        </w:rPr>
        <w:t> </w:t>
      </w:r>
      <w:r>
        <w:rPr>
          <w:color w:val="1F487C"/>
        </w:rPr>
        <w:t>тяжести </w:t>
      </w:r>
      <w:r>
        <w:rPr/>
        <w:t>Легкое течение</w:t>
      </w:r>
    </w:p>
    <w:p>
      <w:pPr>
        <w:pStyle w:val="ListParagraph"/>
        <w:numPr>
          <w:ilvl w:val="0"/>
          <w:numId w:val="9"/>
        </w:numPr>
        <w:tabs>
          <w:tab w:pos="2124" w:val="left" w:leader="none"/>
        </w:tabs>
        <w:spacing w:line="240" w:lineRule="auto" w:before="62" w:after="0"/>
        <w:ind w:left="2124" w:right="0" w:hanging="359"/>
        <w:jc w:val="both"/>
        <w:rPr>
          <w:sz w:val="28"/>
        </w:rPr>
      </w:pPr>
      <w:r>
        <w:rPr>
          <w:sz w:val="24"/>
        </w:rPr>
        <w:t>Т</w:t>
      </w:r>
      <w:r>
        <w:rPr>
          <w:spacing w:val="-7"/>
          <w:sz w:val="24"/>
        </w:rPr>
        <w:t> </w:t>
      </w:r>
      <w:r>
        <w:rPr>
          <w:sz w:val="24"/>
        </w:rPr>
        <w:t>тела</w:t>
      </w:r>
      <w:r>
        <w:rPr>
          <w:spacing w:val="-7"/>
          <w:sz w:val="24"/>
        </w:rPr>
        <w:t> </w:t>
      </w:r>
      <w:r>
        <w:rPr>
          <w:sz w:val="24"/>
        </w:rPr>
        <w:t>&lt;</w:t>
      </w:r>
      <w:r>
        <w:rPr>
          <w:spacing w:val="-7"/>
          <w:sz w:val="24"/>
        </w:rPr>
        <w:t> </w:t>
      </w:r>
      <w:r>
        <w:rPr>
          <w:sz w:val="24"/>
        </w:rPr>
        <w:t>38</w:t>
      </w:r>
      <w:r>
        <w:rPr>
          <w:spacing w:val="-4"/>
          <w:sz w:val="24"/>
        </w:rPr>
        <w:t> </w:t>
      </w:r>
      <w:r>
        <w:rPr>
          <w:sz w:val="24"/>
        </w:rPr>
        <w:t>°C,</w:t>
      </w:r>
      <w:r>
        <w:rPr>
          <w:spacing w:val="-6"/>
          <w:sz w:val="24"/>
        </w:rPr>
        <w:t> </w:t>
      </w:r>
      <w:r>
        <w:rPr>
          <w:sz w:val="24"/>
        </w:rPr>
        <w:t>кашель,</w:t>
      </w:r>
      <w:r>
        <w:rPr>
          <w:spacing w:val="-7"/>
          <w:sz w:val="24"/>
        </w:rPr>
        <w:t> </w:t>
      </w:r>
      <w:r>
        <w:rPr>
          <w:sz w:val="24"/>
        </w:rPr>
        <w:t>слабость,</w:t>
      </w:r>
      <w:r>
        <w:rPr>
          <w:spacing w:val="-6"/>
          <w:sz w:val="24"/>
        </w:rPr>
        <w:t> </w:t>
      </w:r>
      <w:r>
        <w:rPr>
          <w:sz w:val="24"/>
        </w:rPr>
        <w:t>боли</w:t>
      </w:r>
      <w:r>
        <w:rPr>
          <w:spacing w:val="-5"/>
          <w:sz w:val="24"/>
        </w:rPr>
        <w:t> </w:t>
      </w:r>
      <w:r>
        <w:rPr>
          <w:sz w:val="24"/>
        </w:rPr>
        <w:t>в</w:t>
      </w:r>
      <w:r>
        <w:rPr>
          <w:spacing w:val="-6"/>
          <w:sz w:val="24"/>
        </w:rPr>
        <w:t> </w:t>
      </w:r>
      <w:r>
        <w:rPr>
          <w:spacing w:val="-2"/>
          <w:sz w:val="24"/>
        </w:rPr>
        <w:t>горле;</w:t>
      </w:r>
    </w:p>
    <w:p>
      <w:pPr>
        <w:pStyle w:val="ListParagraph"/>
        <w:numPr>
          <w:ilvl w:val="0"/>
          <w:numId w:val="9"/>
        </w:numPr>
        <w:tabs>
          <w:tab w:pos="2124" w:val="left" w:leader="none"/>
        </w:tabs>
        <w:spacing w:line="240" w:lineRule="auto" w:before="34" w:after="0"/>
        <w:ind w:left="2124" w:right="0" w:hanging="359"/>
        <w:jc w:val="both"/>
        <w:rPr>
          <w:sz w:val="28"/>
        </w:rPr>
      </w:pPr>
      <w:r>
        <w:rPr>
          <w:sz w:val="24"/>
        </w:rPr>
        <w:t>Отсутствие</w:t>
      </w:r>
      <w:r>
        <w:rPr>
          <w:spacing w:val="-14"/>
          <w:sz w:val="24"/>
        </w:rPr>
        <w:t> </w:t>
      </w:r>
      <w:r>
        <w:rPr>
          <w:sz w:val="24"/>
        </w:rPr>
        <w:t>критериев</w:t>
      </w:r>
      <w:r>
        <w:rPr>
          <w:spacing w:val="-14"/>
          <w:sz w:val="24"/>
        </w:rPr>
        <w:t> </w:t>
      </w:r>
      <w:r>
        <w:rPr>
          <w:sz w:val="24"/>
        </w:rPr>
        <w:t>среднетяжелого</w:t>
      </w:r>
      <w:r>
        <w:rPr>
          <w:spacing w:val="-14"/>
          <w:sz w:val="24"/>
        </w:rPr>
        <w:t> </w:t>
      </w:r>
      <w:r>
        <w:rPr>
          <w:sz w:val="24"/>
        </w:rPr>
        <w:t>и</w:t>
      </w:r>
      <w:r>
        <w:rPr>
          <w:spacing w:val="-13"/>
          <w:sz w:val="24"/>
        </w:rPr>
        <w:t> </w:t>
      </w:r>
      <w:r>
        <w:rPr>
          <w:sz w:val="24"/>
        </w:rPr>
        <w:t>тяжелого</w:t>
      </w:r>
      <w:r>
        <w:rPr>
          <w:spacing w:val="-14"/>
          <w:sz w:val="24"/>
        </w:rPr>
        <w:t> </w:t>
      </w:r>
      <w:r>
        <w:rPr>
          <w:spacing w:val="-2"/>
          <w:sz w:val="24"/>
        </w:rPr>
        <w:t>течения.</w:t>
      </w:r>
    </w:p>
    <w:p>
      <w:pPr>
        <w:pStyle w:val="Heading3"/>
        <w:spacing w:before="151"/>
      </w:pPr>
      <w:r>
        <w:rPr>
          <w:spacing w:val="-2"/>
        </w:rPr>
        <w:t>Среднетяжелое</w:t>
      </w:r>
      <w:r>
        <w:rPr/>
        <w:t> </w:t>
      </w:r>
      <w:r>
        <w:rPr>
          <w:spacing w:val="-2"/>
        </w:rPr>
        <w:t>течение</w:t>
      </w:r>
    </w:p>
    <w:p>
      <w:pPr>
        <w:pStyle w:val="ListParagraph"/>
        <w:numPr>
          <w:ilvl w:val="0"/>
          <w:numId w:val="9"/>
        </w:numPr>
        <w:tabs>
          <w:tab w:pos="2124" w:val="left" w:leader="none"/>
        </w:tabs>
        <w:spacing w:line="240" w:lineRule="auto" w:before="162" w:after="0"/>
        <w:ind w:left="2124" w:right="0" w:hanging="359"/>
        <w:jc w:val="left"/>
        <w:rPr>
          <w:sz w:val="28"/>
        </w:rPr>
      </w:pPr>
      <w:r>
        <w:rPr>
          <w:sz w:val="24"/>
        </w:rPr>
        <w:t>Т</w:t>
      </w:r>
      <w:r>
        <w:rPr>
          <w:spacing w:val="-4"/>
          <w:sz w:val="24"/>
        </w:rPr>
        <w:t> </w:t>
      </w:r>
      <w:r>
        <w:rPr>
          <w:sz w:val="24"/>
        </w:rPr>
        <w:t>тела</w:t>
      </w:r>
      <w:r>
        <w:rPr>
          <w:spacing w:val="-4"/>
          <w:sz w:val="24"/>
        </w:rPr>
        <w:t> </w:t>
      </w:r>
      <w:r>
        <w:rPr>
          <w:sz w:val="24"/>
        </w:rPr>
        <w:t>&gt;</w:t>
      </w:r>
      <w:r>
        <w:rPr>
          <w:spacing w:val="-5"/>
          <w:sz w:val="24"/>
        </w:rPr>
        <w:t> </w:t>
      </w:r>
      <w:r>
        <w:rPr>
          <w:sz w:val="24"/>
        </w:rPr>
        <w:t>38 </w:t>
      </w:r>
      <w:r>
        <w:rPr>
          <w:spacing w:val="-5"/>
          <w:sz w:val="24"/>
        </w:rPr>
        <w:t>°C;</w:t>
      </w:r>
    </w:p>
    <w:p>
      <w:pPr>
        <w:pStyle w:val="ListParagraph"/>
        <w:numPr>
          <w:ilvl w:val="0"/>
          <w:numId w:val="9"/>
        </w:numPr>
        <w:tabs>
          <w:tab w:pos="2124" w:val="left" w:leader="none"/>
        </w:tabs>
        <w:spacing w:line="240" w:lineRule="auto" w:before="33" w:after="0"/>
        <w:ind w:left="2124" w:right="0" w:hanging="359"/>
        <w:jc w:val="left"/>
        <w:rPr>
          <w:sz w:val="28"/>
        </w:rPr>
      </w:pPr>
      <w:r>
        <w:rPr>
          <w:sz w:val="24"/>
        </w:rPr>
        <w:t>ЧДД</w:t>
      </w:r>
      <w:r>
        <w:rPr>
          <w:spacing w:val="-6"/>
          <w:sz w:val="24"/>
        </w:rPr>
        <w:t> </w:t>
      </w:r>
      <w:r>
        <w:rPr>
          <w:sz w:val="24"/>
        </w:rPr>
        <w:t>&gt;</w:t>
      </w:r>
      <w:r>
        <w:rPr>
          <w:spacing w:val="-5"/>
          <w:sz w:val="24"/>
        </w:rPr>
        <w:t> </w:t>
      </w:r>
      <w:r>
        <w:rPr>
          <w:spacing w:val="-2"/>
          <w:sz w:val="24"/>
        </w:rPr>
        <w:t>22/мин</w:t>
      </w:r>
    </w:p>
    <w:p>
      <w:pPr>
        <w:pStyle w:val="ListParagraph"/>
        <w:numPr>
          <w:ilvl w:val="0"/>
          <w:numId w:val="9"/>
        </w:numPr>
        <w:tabs>
          <w:tab w:pos="2124" w:val="left" w:leader="none"/>
        </w:tabs>
        <w:spacing w:line="240" w:lineRule="auto" w:before="32" w:after="0"/>
        <w:ind w:left="2124" w:right="0" w:hanging="359"/>
        <w:jc w:val="left"/>
        <w:rPr>
          <w:sz w:val="28"/>
        </w:rPr>
      </w:pPr>
      <w:r>
        <w:rPr>
          <w:sz w:val="24"/>
        </w:rPr>
        <w:t>Одышка</w:t>
      </w:r>
      <w:r>
        <w:rPr>
          <w:spacing w:val="-13"/>
          <w:sz w:val="24"/>
        </w:rPr>
        <w:t> </w:t>
      </w:r>
      <w:r>
        <w:rPr>
          <w:sz w:val="24"/>
        </w:rPr>
        <w:t>при</w:t>
      </w:r>
      <w:r>
        <w:rPr>
          <w:spacing w:val="-10"/>
          <w:sz w:val="24"/>
        </w:rPr>
        <w:t> </w:t>
      </w:r>
      <w:r>
        <w:rPr>
          <w:sz w:val="24"/>
        </w:rPr>
        <w:t>физических</w:t>
      </w:r>
      <w:r>
        <w:rPr>
          <w:spacing w:val="-12"/>
          <w:sz w:val="24"/>
        </w:rPr>
        <w:t> </w:t>
      </w:r>
      <w:r>
        <w:rPr>
          <w:spacing w:val="-2"/>
          <w:sz w:val="24"/>
        </w:rPr>
        <w:t>нагрузках;</w:t>
      </w:r>
    </w:p>
    <w:p>
      <w:pPr>
        <w:pStyle w:val="ListParagraph"/>
        <w:numPr>
          <w:ilvl w:val="0"/>
          <w:numId w:val="9"/>
        </w:numPr>
        <w:tabs>
          <w:tab w:pos="2124" w:val="left" w:leader="none"/>
        </w:tabs>
        <w:spacing w:line="240" w:lineRule="auto" w:before="33" w:after="0"/>
        <w:ind w:left="2124" w:right="0" w:hanging="359"/>
        <w:jc w:val="left"/>
        <w:rPr>
          <w:sz w:val="28"/>
        </w:rPr>
      </w:pPr>
      <w:r>
        <w:rPr>
          <w:sz w:val="24"/>
        </w:rPr>
        <w:t>Изменения</w:t>
      </w:r>
      <w:r>
        <w:rPr>
          <w:spacing w:val="-13"/>
          <w:sz w:val="24"/>
        </w:rPr>
        <w:t> </w:t>
      </w:r>
      <w:r>
        <w:rPr>
          <w:sz w:val="24"/>
        </w:rPr>
        <w:t>при</w:t>
      </w:r>
      <w:r>
        <w:rPr>
          <w:spacing w:val="-12"/>
          <w:sz w:val="24"/>
        </w:rPr>
        <w:t> </w:t>
      </w:r>
      <w:r>
        <w:rPr>
          <w:sz w:val="24"/>
        </w:rPr>
        <w:t>КТ</w:t>
      </w:r>
      <w:r>
        <w:rPr>
          <w:spacing w:val="-13"/>
          <w:sz w:val="24"/>
        </w:rPr>
        <w:t> </w:t>
      </w:r>
      <w:r>
        <w:rPr>
          <w:sz w:val="24"/>
        </w:rPr>
        <w:t>(рентгенографии),</w:t>
      </w:r>
      <w:r>
        <w:rPr>
          <w:spacing w:val="-13"/>
          <w:sz w:val="24"/>
        </w:rPr>
        <w:t> </w:t>
      </w:r>
      <w:r>
        <w:rPr>
          <w:sz w:val="24"/>
        </w:rPr>
        <w:t>типичные</w:t>
      </w:r>
      <w:r>
        <w:rPr>
          <w:spacing w:val="-13"/>
          <w:sz w:val="24"/>
        </w:rPr>
        <w:t> </w:t>
      </w:r>
      <w:r>
        <w:rPr>
          <w:sz w:val="24"/>
        </w:rPr>
        <w:t>для</w:t>
      </w:r>
      <w:r>
        <w:rPr>
          <w:spacing w:val="-13"/>
          <w:sz w:val="24"/>
        </w:rPr>
        <w:t> </w:t>
      </w:r>
      <w:r>
        <w:rPr>
          <w:sz w:val="24"/>
        </w:rPr>
        <w:t>вирусного</w:t>
      </w:r>
      <w:r>
        <w:rPr>
          <w:spacing w:val="-12"/>
          <w:sz w:val="24"/>
        </w:rPr>
        <w:t> </w:t>
      </w:r>
      <w:r>
        <w:rPr>
          <w:spacing w:val="-2"/>
          <w:sz w:val="24"/>
        </w:rPr>
        <w:t>поражения;</w:t>
      </w:r>
    </w:p>
    <w:p>
      <w:pPr>
        <w:pStyle w:val="BodyText"/>
        <w:tabs>
          <w:tab w:pos="2124" w:val="left" w:leader="none"/>
        </w:tabs>
        <w:spacing w:before="31"/>
        <w:ind w:left="1765"/>
        <w:jc w:val="left"/>
      </w:pPr>
      <w:r>
        <w:rPr>
          <w:spacing w:val="-10"/>
          <w:sz w:val="28"/>
        </w:rPr>
        <w:t>-</w:t>
      </w:r>
      <w:r>
        <w:rPr>
          <w:sz w:val="28"/>
        </w:rPr>
        <w:tab/>
      </w:r>
      <w:r>
        <w:rPr/>
        <w:t>SpO2</w:t>
      </w:r>
      <w:r>
        <w:rPr>
          <w:spacing w:val="-6"/>
        </w:rPr>
        <w:t> </w:t>
      </w:r>
      <w:r>
        <w:rPr/>
        <w:t>&lt;</w:t>
      </w:r>
      <w:r>
        <w:rPr>
          <w:spacing w:val="-6"/>
        </w:rPr>
        <w:t> </w:t>
      </w:r>
      <w:r>
        <w:rPr/>
        <w:t>95%</w:t>
      </w:r>
      <w:r>
        <w:rPr>
          <w:spacing w:val="-5"/>
        </w:rPr>
        <w:t> </w:t>
      </w:r>
      <w:r>
        <w:rPr>
          <w:spacing w:val="-10"/>
        </w:rPr>
        <w:t>;</w:t>
      </w:r>
    </w:p>
    <w:p>
      <w:pPr>
        <w:pStyle w:val="ListParagraph"/>
        <w:numPr>
          <w:ilvl w:val="0"/>
          <w:numId w:val="9"/>
        </w:numPr>
        <w:tabs>
          <w:tab w:pos="2124" w:val="left" w:leader="none"/>
        </w:tabs>
        <w:spacing w:line="240" w:lineRule="auto" w:before="33" w:after="0"/>
        <w:ind w:left="2124" w:right="0" w:hanging="359"/>
        <w:jc w:val="left"/>
        <w:rPr>
          <w:sz w:val="28"/>
        </w:rPr>
      </w:pPr>
      <w:r>
        <w:rPr>
          <w:sz w:val="24"/>
        </w:rPr>
        <w:t>СРБ</w:t>
      </w:r>
      <w:r>
        <w:rPr>
          <w:spacing w:val="-11"/>
          <w:sz w:val="24"/>
        </w:rPr>
        <w:t> </w:t>
      </w:r>
      <w:r>
        <w:rPr>
          <w:sz w:val="24"/>
        </w:rPr>
        <w:t>сыворотки</w:t>
      </w:r>
      <w:r>
        <w:rPr>
          <w:spacing w:val="-7"/>
          <w:sz w:val="24"/>
        </w:rPr>
        <w:t> </w:t>
      </w:r>
      <w:r>
        <w:rPr>
          <w:sz w:val="24"/>
        </w:rPr>
        <w:t>крови</w:t>
      </w:r>
      <w:r>
        <w:rPr>
          <w:spacing w:val="-8"/>
          <w:sz w:val="24"/>
        </w:rPr>
        <w:t> </w:t>
      </w:r>
      <w:r>
        <w:rPr>
          <w:sz w:val="24"/>
        </w:rPr>
        <w:t>&gt;10</w:t>
      </w:r>
      <w:r>
        <w:rPr>
          <w:spacing w:val="-9"/>
          <w:sz w:val="24"/>
        </w:rPr>
        <w:t> </w:t>
      </w:r>
      <w:r>
        <w:rPr>
          <w:spacing w:val="-2"/>
          <w:sz w:val="24"/>
        </w:rPr>
        <w:t>мг/л.</w:t>
      </w:r>
    </w:p>
    <w:p>
      <w:pPr>
        <w:pStyle w:val="Heading3"/>
        <w:spacing w:before="152"/>
        <w:jc w:val="left"/>
      </w:pPr>
      <w:r>
        <w:rPr/>
        <w:t>Тяжелое</w:t>
      </w:r>
      <w:r>
        <w:rPr>
          <w:spacing w:val="-15"/>
        </w:rPr>
        <w:t> </w:t>
      </w:r>
      <w:r>
        <w:rPr>
          <w:spacing w:val="-2"/>
        </w:rPr>
        <w:t>течение</w:t>
      </w:r>
    </w:p>
    <w:p>
      <w:pPr>
        <w:pStyle w:val="ListParagraph"/>
        <w:numPr>
          <w:ilvl w:val="0"/>
          <w:numId w:val="9"/>
        </w:numPr>
        <w:tabs>
          <w:tab w:pos="2124" w:val="left" w:leader="none"/>
        </w:tabs>
        <w:spacing w:line="240" w:lineRule="auto" w:before="162" w:after="0"/>
        <w:ind w:left="2124" w:right="0" w:hanging="359"/>
        <w:jc w:val="left"/>
        <w:rPr>
          <w:sz w:val="28"/>
        </w:rPr>
      </w:pPr>
      <w:r>
        <w:rPr>
          <w:sz w:val="24"/>
        </w:rPr>
        <w:t>ЧДД</w:t>
      </w:r>
      <w:r>
        <w:rPr>
          <w:spacing w:val="-6"/>
          <w:sz w:val="24"/>
        </w:rPr>
        <w:t> </w:t>
      </w:r>
      <w:r>
        <w:rPr>
          <w:sz w:val="24"/>
        </w:rPr>
        <w:t>&gt;</w:t>
      </w:r>
      <w:r>
        <w:rPr>
          <w:spacing w:val="-5"/>
          <w:sz w:val="24"/>
        </w:rPr>
        <w:t> </w:t>
      </w:r>
      <w:r>
        <w:rPr>
          <w:spacing w:val="-2"/>
          <w:sz w:val="24"/>
        </w:rPr>
        <w:t>30/мин;</w:t>
      </w:r>
    </w:p>
    <w:p>
      <w:pPr>
        <w:pStyle w:val="BodyText"/>
        <w:tabs>
          <w:tab w:pos="2124" w:val="left" w:leader="none"/>
        </w:tabs>
        <w:spacing w:before="32"/>
        <w:ind w:left="1765"/>
        <w:jc w:val="left"/>
      </w:pPr>
      <w:r>
        <w:rPr>
          <w:spacing w:val="-10"/>
          <w:sz w:val="28"/>
        </w:rPr>
        <w:t>-</w:t>
      </w:r>
      <w:r>
        <w:rPr>
          <w:sz w:val="28"/>
        </w:rPr>
        <w:tab/>
      </w:r>
      <w:r>
        <w:rPr/>
        <w:t>SpO2</w:t>
      </w:r>
      <w:r>
        <w:rPr>
          <w:spacing w:val="-6"/>
        </w:rPr>
        <w:t> </w:t>
      </w:r>
      <w:r>
        <w:rPr/>
        <w:t>≤</w:t>
      </w:r>
      <w:r>
        <w:rPr>
          <w:spacing w:val="-5"/>
        </w:rPr>
        <w:t> </w:t>
      </w:r>
      <w:r>
        <w:rPr/>
        <w:t>93%</w:t>
      </w:r>
      <w:r>
        <w:rPr>
          <w:spacing w:val="-4"/>
        </w:rPr>
        <w:t> </w:t>
      </w:r>
      <w:r>
        <w:rPr>
          <w:spacing w:val="-10"/>
        </w:rPr>
        <w:t>;</w:t>
      </w:r>
    </w:p>
    <w:p>
      <w:pPr>
        <w:pStyle w:val="ListParagraph"/>
        <w:numPr>
          <w:ilvl w:val="0"/>
          <w:numId w:val="9"/>
        </w:numPr>
        <w:tabs>
          <w:tab w:pos="2124" w:val="left" w:leader="none"/>
        </w:tabs>
        <w:spacing w:line="240" w:lineRule="auto" w:before="33" w:after="0"/>
        <w:ind w:left="2124" w:right="0" w:hanging="359"/>
        <w:jc w:val="left"/>
        <w:rPr>
          <w:sz w:val="28"/>
        </w:rPr>
      </w:pPr>
      <w:r>
        <w:rPr>
          <w:sz w:val="24"/>
        </w:rPr>
        <w:t>PaO2</w:t>
      </w:r>
      <w:r>
        <w:rPr>
          <w:spacing w:val="-6"/>
          <w:sz w:val="24"/>
        </w:rPr>
        <w:t> </w:t>
      </w:r>
      <w:r>
        <w:rPr>
          <w:sz w:val="24"/>
        </w:rPr>
        <w:t>/FiO2</w:t>
      </w:r>
      <w:r>
        <w:rPr>
          <w:spacing w:val="-4"/>
          <w:sz w:val="24"/>
        </w:rPr>
        <w:t> </w:t>
      </w:r>
      <w:r>
        <w:rPr>
          <w:sz w:val="24"/>
        </w:rPr>
        <w:t>≤</w:t>
      </w:r>
      <w:r>
        <w:rPr>
          <w:spacing w:val="-6"/>
          <w:sz w:val="24"/>
        </w:rPr>
        <w:t> </w:t>
      </w:r>
      <w:r>
        <w:rPr>
          <w:sz w:val="24"/>
        </w:rPr>
        <w:t>300</w:t>
      </w:r>
      <w:r>
        <w:rPr>
          <w:spacing w:val="-5"/>
          <w:sz w:val="24"/>
        </w:rPr>
        <w:t> </w:t>
      </w:r>
      <w:r>
        <w:rPr>
          <w:sz w:val="24"/>
        </w:rPr>
        <w:t>мм</w:t>
      </w:r>
      <w:r>
        <w:rPr>
          <w:spacing w:val="-6"/>
          <w:sz w:val="24"/>
        </w:rPr>
        <w:t> </w:t>
      </w:r>
      <w:r>
        <w:rPr>
          <w:spacing w:val="-2"/>
          <w:sz w:val="24"/>
        </w:rPr>
        <w:t>рт.ст.;</w:t>
      </w:r>
    </w:p>
    <w:p>
      <w:pPr>
        <w:pStyle w:val="ListParagraph"/>
        <w:numPr>
          <w:ilvl w:val="0"/>
          <w:numId w:val="9"/>
        </w:numPr>
        <w:tabs>
          <w:tab w:pos="2124" w:val="left" w:leader="none"/>
        </w:tabs>
        <w:spacing w:line="240" w:lineRule="auto" w:before="33" w:after="0"/>
        <w:ind w:left="2124" w:right="0" w:hanging="359"/>
        <w:jc w:val="left"/>
        <w:rPr>
          <w:sz w:val="28"/>
        </w:rPr>
      </w:pPr>
      <w:r>
        <w:rPr>
          <w:sz w:val="24"/>
        </w:rPr>
        <w:t>Снижение</w:t>
      </w:r>
      <w:r>
        <w:rPr>
          <w:spacing w:val="-13"/>
          <w:sz w:val="24"/>
        </w:rPr>
        <w:t> </w:t>
      </w:r>
      <w:r>
        <w:rPr>
          <w:sz w:val="24"/>
        </w:rPr>
        <w:t>уровня</w:t>
      </w:r>
      <w:r>
        <w:rPr>
          <w:spacing w:val="-13"/>
          <w:sz w:val="24"/>
        </w:rPr>
        <w:t> </w:t>
      </w:r>
      <w:r>
        <w:rPr>
          <w:sz w:val="24"/>
        </w:rPr>
        <w:t>сознания,</w:t>
      </w:r>
      <w:r>
        <w:rPr>
          <w:spacing w:val="-13"/>
          <w:sz w:val="24"/>
        </w:rPr>
        <w:t> </w:t>
      </w:r>
      <w:r>
        <w:rPr>
          <w:spacing w:val="-2"/>
          <w:sz w:val="24"/>
        </w:rPr>
        <w:t>ажитация;</w:t>
      </w:r>
    </w:p>
    <w:p>
      <w:pPr>
        <w:pStyle w:val="ListParagraph"/>
        <w:numPr>
          <w:ilvl w:val="0"/>
          <w:numId w:val="9"/>
        </w:numPr>
        <w:tabs>
          <w:tab w:pos="2124" w:val="left" w:leader="none"/>
          <w:tab w:pos="3833" w:val="left" w:leader="none"/>
          <w:tab w:pos="5584" w:val="left" w:leader="none"/>
          <w:tab w:pos="7439" w:val="left" w:leader="none"/>
          <w:tab w:pos="8062" w:val="left" w:leader="none"/>
          <w:tab w:pos="8946" w:val="left" w:leader="none"/>
          <w:tab w:pos="9474" w:val="left" w:leader="none"/>
          <w:tab w:pos="10063" w:val="left" w:leader="none"/>
        </w:tabs>
        <w:spacing w:line="261" w:lineRule="auto" w:before="33" w:after="0"/>
        <w:ind w:left="2124" w:right="1278" w:hanging="360"/>
        <w:jc w:val="left"/>
        <w:rPr>
          <w:sz w:val="28"/>
        </w:rPr>
      </w:pPr>
      <w:r>
        <w:rPr>
          <w:spacing w:val="-2"/>
          <w:sz w:val="24"/>
        </w:rPr>
        <w:t>Нестабильная</w:t>
      </w:r>
      <w:r>
        <w:rPr>
          <w:sz w:val="24"/>
        </w:rPr>
        <w:tab/>
      </w:r>
      <w:r>
        <w:rPr>
          <w:spacing w:val="-2"/>
          <w:sz w:val="24"/>
        </w:rPr>
        <w:t>гемодинамика</w:t>
      </w:r>
      <w:r>
        <w:rPr>
          <w:sz w:val="24"/>
        </w:rPr>
        <w:tab/>
      </w:r>
      <w:r>
        <w:rPr>
          <w:spacing w:val="-2"/>
          <w:sz w:val="24"/>
        </w:rPr>
        <w:t>(систолическое</w:t>
      </w:r>
      <w:r>
        <w:rPr>
          <w:sz w:val="24"/>
        </w:rPr>
        <w:tab/>
      </w:r>
      <w:r>
        <w:rPr>
          <w:spacing w:val="-6"/>
          <w:sz w:val="24"/>
        </w:rPr>
        <w:t>АД</w:t>
      </w:r>
      <w:r>
        <w:rPr>
          <w:sz w:val="24"/>
        </w:rPr>
        <w:tab/>
      </w:r>
      <w:r>
        <w:rPr>
          <w:spacing w:val="-2"/>
          <w:sz w:val="24"/>
        </w:rPr>
        <w:t>менее</w:t>
      </w:r>
      <w:r>
        <w:rPr>
          <w:sz w:val="24"/>
        </w:rPr>
        <w:tab/>
      </w:r>
      <w:r>
        <w:rPr>
          <w:spacing w:val="-6"/>
          <w:sz w:val="24"/>
        </w:rPr>
        <w:t>90</w:t>
      </w:r>
      <w:r>
        <w:rPr>
          <w:sz w:val="24"/>
        </w:rPr>
        <w:tab/>
      </w:r>
      <w:r>
        <w:rPr>
          <w:spacing w:val="-6"/>
          <w:sz w:val="24"/>
        </w:rPr>
        <w:t>мм</w:t>
      </w:r>
      <w:r>
        <w:rPr>
          <w:sz w:val="24"/>
        </w:rPr>
        <w:tab/>
      </w:r>
      <w:r>
        <w:rPr>
          <w:spacing w:val="-2"/>
          <w:sz w:val="24"/>
        </w:rPr>
        <w:t>рт.ст. </w:t>
      </w:r>
      <w:r>
        <w:rPr>
          <w:sz w:val="24"/>
        </w:rPr>
        <w:t>или диастолическое АД менее 60 мм рт.ст., диурез менее 20 мл/час);</w:t>
      </w:r>
    </w:p>
    <w:p>
      <w:pPr>
        <w:pStyle w:val="ListParagraph"/>
        <w:numPr>
          <w:ilvl w:val="0"/>
          <w:numId w:val="9"/>
        </w:numPr>
        <w:tabs>
          <w:tab w:pos="2124" w:val="left" w:leader="none"/>
        </w:tabs>
        <w:spacing w:line="240" w:lineRule="auto" w:before="20" w:after="0"/>
        <w:ind w:left="2124" w:right="0" w:hanging="359"/>
        <w:jc w:val="left"/>
        <w:rPr>
          <w:sz w:val="28"/>
        </w:rPr>
      </w:pPr>
      <w:r>
        <w:rPr>
          <w:spacing w:val="-2"/>
          <w:sz w:val="24"/>
        </w:rPr>
        <w:t>Изменения</w:t>
      </w:r>
      <w:r>
        <w:rPr>
          <w:spacing w:val="-13"/>
          <w:sz w:val="24"/>
        </w:rPr>
        <w:t> </w:t>
      </w:r>
      <w:r>
        <w:rPr>
          <w:spacing w:val="-2"/>
          <w:sz w:val="24"/>
        </w:rPr>
        <w:t>в</w:t>
      </w:r>
      <w:r>
        <w:rPr>
          <w:spacing w:val="-10"/>
          <w:sz w:val="24"/>
        </w:rPr>
        <w:t> </w:t>
      </w:r>
      <w:r>
        <w:rPr>
          <w:spacing w:val="-2"/>
          <w:sz w:val="24"/>
        </w:rPr>
        <w:t>легких</w:t>
      </w:r>
      <w:r>
        <w:rPr>
          <w:spacing w:val="-13"/>
          <w:sz w:val="24"/>
        </w:rPr>
        <w:t> </w:t>
      </w:r>
      <w:r>
        <w:rPr>
          <w:spacing w:val="-2"/>
          <w:sz w:val="24"/>
        </w:rPr>
        <w:t>при</w:t>
      </w:r>
      <w:r>
        <w:rPr>
          <w:spacing w:val="-9"/>
          <w:sz w:val="24"/>
        </w:rPr>
        <w:t> </w:t>
      </w:r>
      <w:r>
        <w:rPr>
          <w:spacing w:val="-2"/>
          <w:sz w:val="24"/>
        </w:rPr>
        <w:t>КТ</w:t>
      </w:r>
      <w:r>
        <w:rPr>
          <w:spacing w:val="-10"/>
          <w:sz w:val="24"/>
        </w:rPr>
        <w:t> </w:t>
      </w:r>
      <w:r>
        <w:rPr>
          <w:spacing w:val="-2"/>
          <w:sz w:val="24"/>
        </w:rPr>
        <w:t>(рентгенографии),</w:t>
      </w:r>
      <w:r>
        <w:rPr>
          <w:spacing w:val="-9"/>
          <w:sz w:val="24"/>
        </w:rPr>
        <w:t> </w:t>
      </w:r>
      <w:r>
        <w:rPr>
          <w:spacing w:val="-2"/>
          <w:sz w:val="24"/>
        </w:rPr>
        <w:t>типичные</w:t>
      </w:r>
      <w:r>
        <w:rPr>
          <w:spacing w:val="-12"/>
          <w:sz w:val="24"/>
        </w:rPr>
        <w:t> </w:t>
      </w:r>
      <w:r>
        <w:rPr>
          <w:spacing w:val="-2"/>
          <w:sz w:val="24"/>
        </w:rPr>
        <w:t>для</w:t>
      </w:r>
      <w:r>
        <w:rPr>
          <w:spacing w:val="-9"/>
          <w:sz w:val="24"/>
        </w:rPr>
        <w:t> </w:t>
      </w:r>
      <w:r>
        <w:rPr>
          <w:spacing w:val="-2"/>
          <w:sz w:val="24"/>
        </w:rPr>
        <w:t>вирусного</w:t>
      </w:r>
      <w:r>
        <w:rPr>
          <w:spacing w:val="-14"/>
          <w:sz w:val="24"/>
        </w:rPr>
        <w:t> </w:t>
      </w:r>
      <w:r>
        <w:rPr>
          <w:spacing w:val="-2"/>
          <w:sz w:val="24"/>
        </w:rPr>
        <w:t>поражения;</w:t>
      </w:r>
    </w:p>
    <w:p>
      <w:pPr>
        <w:pStyle w:val="ListParagraph"/>
        <w:numPr>
          <w:ilvl w:val="0"/>
          <w:numId w:val="9"/>
        </w:numPr>
        <w:tabs>
          <w:tab w:pos="2124" w:val="left" w:leader="none"/>
        </w:tabs>
        <w:spacing w:line="240" w:lineRule="auto" w:before="30" w:after="0"/>
        <w:ind w:left="2124" w:right="0" w:hanging="359"/>
        <w:jc w:val="left"/>
        <w:rPr>
          <w:sz w:val="28"/>
        </w:rPr>
      </w:pPr>
      <w:r>
        <w:rPr>
          <w:sz w:val="24"/>
        </w:rPr>
        <w:t>Лактат</w:t>
      </w:r>
      <w:r>
        <w:rPr>
          <w:spacing w:val="-10"/>
          <w:sz w:val="24"/>
        </w:rPr>
        <w:t> </w:t>
      </w:r>
      <w:r>
        <w:rPr>
          <w:sz w:val="24"/>
        </w:rPr>
        <w:t>артериальной</w:t>
      </w:r>
      <w:r>
        <w:rPr>
          <w:spacing w:val="-11"/>
          <w:sz w:val="24"/>
        </w:rPr>
        <w:t> </w:t>
      </w:r>
      <w:r>
        <w:rPr>
          <w:sz w:val="24"/>
        </w:rPr>
        <w:t>крови</w:t>
      </w:r>
      <w:r>
        <w:rPr>
          <w:spacing w:val="-9"/>
          <w:sz w:val="24"/>
        </w:rPr>
        <w:t> </w:t>
      </w:r>
      <w:r>
        <w:rPr>
          <w:sz w:val="24"/>
        </w:rPr>
        <w:t>&gt;</w:t>
      </w:r>
      <w:r>
        <w:rPr>
          <w:spacing w:val="-8"/>
          <w:sz w:val="24"/>
        </w:rPr>
        <w:t> </w:t>
      </w:r>
      <w:r>
        <w:rPr>
          <w:sz w:val="24"/>
        </w:rPr>
        <w:t>2</w:t>
      </w:r>
      <w:r>
        <w:rPr>
          <w:spacing w:val="-10"/>
          <w:sz w:val="24"/>
        </w:rPr>
        <w:t> </w:t>
      </w:r>
      <w:r>
        <w:rPr>
          <w:spacing w:val="-2"/>
          <w:sz w:val="24"/>
        </w:rPr>
        <w:t>ммоль/л;</w:t>
      </w:r>
    </w:p>
    <w:p>
      <w:pPr>
        <w:pStyle w:val="ListParagraph"/>
        <w:numPr>
          <w:ilvl w:val="0"/>
          <w:numId w:val="9"/>
        </w:numPr>
        <w:tabs>
          <w:tab w:pos="2124" w:val="left" w:leader="none"/>
        </w:tabs>
        <w:spacing w:line="240" w:lineRule="auto" w:before="33" w:after="0"/>
        <w:ind w:left="2124" w:right="0" w:hanging="359"/>
        <w:jc w:val="left"/>
        <w:rPr>
          <w:sz w:val="28"/>
        </w:rPr>
      </w:pPr>
      <w:r>
        <w:rPr>
          <w:sz w:val="24"/>
        </w:rPr>
        <w:t>qSOFA</w:t>
      </w:r>
      <w:r>
        <w:rPr>
          <w:spacing w:val="-5"/>
          <w:sz w:val="24"/>
        </w:rPr>
        <w:t> </w:t>
      </w:r>
      <w:r>
        <w:rPr>
          <w:sz w:val="24"/>
        </w:rPr>
        <w:t>&gt;</w:t>
      </w:r>
      <w:r>
        <w:rPr>
          <w:spacing w:val="-6"/>
          <w:sz w:val="24"/>
        </w:rPr>
        <w:t> </w:t>
      </w:r>
      <w:r>
        <w:rPr>
          <w:sz w:val="24"/>
        </w:rPr>
        <w:t>2</w:t>
      </w:r>
      <w:r>
        <w:rPr>
          <w:spacing w:val="-5"/>
          <w:sz w:val="24"/>
        </w:rPr>
        <w:t> </w:t>
      </w:r>
      <w:r>
        <w:rPr>
          <w:spacing w:val="-2"/>
          <w:sz w:val="24"/>
        </w:rPr>
        <w:t>балла.</w:t>
      </w:r>
    </w:p>
    <w:p>
      <w:pPr>
        <w:pStyle w:val="ListParagraph"/>
        <w:spacing w:after="0" w:line="240" w:lineRule="auto"/>
        <w:jc w:val="left"/>
        <w:rPr>
          <w:sz w:val="28"/>
        </w:rPr>
        <w:sectPr>
          <w:pgSz w:w="11900" w:h="16840"/>
          <w:pgMar w:header="0" w:footer="697" w:top="1080" w:bottom="880" w:left="0" w:right="0"/>
        </w:sectPr>
      </w:pPr>
    </w:p>
    <w:p>
      <w:pPr>
        <w:pStyle w:val="Heading3"/>
        <w:spacing w:before="73"/>
        <w:jc w:val="left"/>
      </w:pPr>
      <w:bookmarkStart w:name="16" w:id="21"/>
      <w:bookmarkEnd w:id="21"/>
      <w:r>
        <w:rPr>
          <w:b w:val="0"/>
        </w:rPr>
      </w:r>
      <w:r>
        <w:rPr/>
        <w:t>Крайне</w:t>
      </w:r>
      <w:r>
        <w:rPr>
          <w:spacing w:val="-15"/>
        </w:rPr>
        <w:t> </w:t>
      </w:r>
      <w:r>
        <w:rPr/>
        <w:t>тяжелое</w:t>
      </w:r>
      <w:r>
        <w:rPr>
          <w:spacing w:val="-12"/>
        </w:rPr>
        <w:t> </w:t>
      </w:r>
      <w:r>
        <w:rPr>
          <w:spacing w:val="-2"/>
        </w:rPr>
        <w:t>течение</w:t>
      </w:r>
    </w:p>
    <w:p>
      <w:pPr>
        <w:pStyle w:val="ListParagraph"/>
        <w:numPr>
          <w:ilvl w:val="0"/>
          <w:numId w:val="9"/>
        </w:numPr>
        <w:tabs>
          <w:tab w:pos="2124" w:val="left" w:leader="none"/>
        </w:tabs>
        <w:spacing w:line="240" w:lineRule="auto" w:before="161" w:after="0"/>
        <w:ind w:left="2124" w:right="0" w:hanging="359"/>
        <w:jc w:val="left"/>
        <w:rPr>
          <w:sz w:val="28"/>
        </w:rPr>
      </w:pPr>
      <w:r>
        <w:rPr>
          <w:spacing w:val="-2"/>
          <w:sz w:val="24"/>
        </w:rPr>
        <w:t>Стойкая</w:t>
      </w:r>
      <w:r>
        <w:rPr>
          <w:sz w:val="24"/>
        </w:rPr>
        <w:t> </w:t>
      </w:r>
      <w:r>
        <w:rPr>
          <w:spacing w:val="-2"/>
          <w:sz w:val="24"/>
        </w:rPr>
        <w:t>фебрильная</w:t>
      </w:r>
      <w:r>
        <w:rPr>
          <w:spacing w:val="1"/>
          <w:sz w:val="24"/>
        </w:rPr>
        <w:t> </w:t>
      </w:r>
      <w:r>
        <w:rPr>
          <w:spacing w:val="-2"/>
          <w:sz w:val="24"/>
        </w:rPr>
        <w:t>лихорадка;</w:t>
      </w:r>
    </w:p>
    <w:p>
      <w:pPr>
        <w:pStyle w:val="ListParagraph"/>
        <w:numPr>
          <w:ilvl w:val="0"/>
          <w:numId w:val="9"/>
        </w:numPr>
        <w:tabs>
          <w:tab w:pos="2124" w:val="left" w:leader="none"/>
        </w:tabs>
        <w:spacing w:line="240" w:lineRule="auto" w:before="33" w:after="0"/>
        <w:ind w:left="2124" w:right="0" w:hanging="359"/>
        <w:jc w:val="left"/>
        <w:rPr>
          <w:sz w:val="28"/>
        </w:rPr>
      </w:pPr>
      <w:r>
        <w:rPr>
          <w:spacing w:val="-2"/>
          <w:sz w:val="24"/>
        </w:rPr>
        <w:t>ОРДС;</w:t>
      </w:r>
    </w:p>
    <w:p>
      <w:pPr>
        <w:pStyle w:val="ListParagraph"/>
        <w:numPr>
          <w:ilvl w:val="0"/>
          <w:numId w:val="9"/>
        </w:numPr>
        <w:tabs>
          <w:tab w:pos="2124" w:val="left" w:leader="none"/>
        </w:tabs>
        <w:spacing w:line="264" w:lineRule="auto" w:before="33" w:after="0"/>
        <w:ind w:left="2124" w:right="1274" w:hanging="360"/>
        <w:jc w:val="left"/>
        <w:rPr>
          <w:sz w:val="28"/>
        </w:rPr>
      </w:pPr>
      <w:r>
        <w:rPr>
          <w:sz w:val="24"/>
        </w:rPr>
        <w:t>ОДН</w:t>
      </w:r>
      <w:r>
        <w:rPr>
          <w:spacing w:val="80"/>
          <w:sz w:val="24"/>
        </w:rPr>
        <w:t> </w:t>
      </w:r>
      <w:r>
        <w:rPr>
          <w:sz w:val="24"/>
        </w:rPr>
        <w:t>с</w:t>
      </w:r>
      <w:r>
        <w:rPr>
          <w:spacing w:val="80"/>
          <w:sz w:val="24"/>
        </w:rPr>
        <w:t> </w:t>
      </w:r>
      <w:r>
        <w:rPr>
          <w:sz w:val="24"/>
        </w:rPr>
        <w:t>необходимостью</w:t>
      </w:r>
      <w:r>
        <w:rPr>
          <w:spacing w:val="80"/>
          <w:sz w:val="24"/>
        </w:rPr>
        <w:t> </w:t>
      </w:r>
      <w:r>
        <w:rPr>
          <w:sz w:val="24"/>
        </w:rPr>
        <w:t>респираторной</w:t>
      </w:r>
      <w:r>
        <w:rPr>
          <w:spacing w:val="80"/>
          <w:sz w:val="24"/>
        </w:rPr>
        <w:t> </w:t>
      </w:r>
      <w:r>
        <w:rPr>
          <w:sz w:val="24"/>
        </w:rPr>
        <w:t>поддержки</w:t>
      </w:r>
      <w:r>
        <w:rPr>
          <w:spacing w:val="80"/>
          <w:sz w:val="24"/>
        </w:rPr>
        <w:t> </w:t>
      </w:r>
      <w:r>
        <w:rPr>
          <w:sz w:val="24"/>
        </w:rPr>
        <w:t>(инвазивная</w:t>
      </w:r>
      <w:r>
        <w:rPr>
          <w:spacing w:val="80"/>
          <w:sz w:val="24"/>
        </w:rPr>
        <w:t> </w:t>
      </w:r>
      <w:r>
        <w:rPr>
          <w:sz w:val="24"/>
        </w:rPr>
        <w:t>вентиляции </w:t>
      </w:r>
      <w:r>
        <w:rPr>
          <w:spacing w:val="-2"/>
          <w:sz w:val="24"/>
        </w:rPr>
        <w:t>легких);</w:t>
      </w:r>
    </w:p>
    <w:p>
      <w:pPr>
        <w:pStyle w:val="ListParagraph"/>
        <w:numPr>
          <w:ilvl w:val="0"/>
          <w:numId w:val="9"/>
        </w:numPr>
        <w:tabs>
          <w:tab w:pos="2124" w:val="left" w:leader="none"/>
        </w:tabs>
        <w:spacing w:line="240" w:lineRule="auto" w:before="14" w:after="0"/>
        <w:ind w:left="2124" w:right="0" w:hanging="359"/>
        <w:jc w:val="left"/>
        <w:rPr>
          <w:sz w:val="28"/>
        </w:rPr>
      </w:pPr>
      <w:r>
        <w:rPr>
          <w:spacing w:val="-2"/>
          <w:sz w:val="24"/>
        </w:rPr>
        <w:t>Септический</w:t>
      </w:r>
      <w:r>
        <w:rPr>
          <w:spacing w:val="4"/>
          <w:sz w:val="24"/>
        </w:rPr>
        <w:t> </w:t>
      </w:r>
      <w:r>
        <w:rPr>
          <w:spacing w:val="-4"/>
          <w:sz w:val="24"/>
        </w:rPr>
        <w:t>шок;</w:t>
      </w:r>
    </w:p>
    <w:p>
      <w:pPr>
        <w:pStyle w:val="ListParagraph"/>
        <w:numPr>
          <w:ilvl w:val="0"/>
          <w:numId w:val="9"/>
        </w:numPr>
        <w:tabs>
          <w:tab w:pos="2124" w:val="left" w:leader="none"/>
        </w:tabs>
        <w:spacing w:line="240" w:lineRule="auto" w:before="33" w:after="0"/>
        <w:ind w:left="2124" w:right="0" w:hanging="359"/>
        <w:jc w:val="left"/>
        <w:rPr>
          <w:sz w:val="28"/>
        </w:rPr>
      </w:pPr>
      <w:r>
        <w:rPr>
          <w:spacing w:val="-2"/>
          <w:sz w:val="24"/>
        </w:rPr>
        <w:t>Полиорганная</w:t>
      </w:r>
      <w:r>
        <w:rPr>
          <w:spacing w:val="3"/>
          <w:sz w:val="24"/>
        </w:rPr>
        <w:t> </w:t>
      </w:r>
      <w:r>
        <w:rPr>
          <w:spacing w:val="-2"/>
          <w:sz w:val="24"/>
        </w:rPr>
        <w:t>недостаточность;</w:t>
      </w:r>
    </w:p>
    <w:p>
      <w:pPr>
        <w:pStyle w:val="ListParagraph"/>
        <w:numPr>
          <w:ilvl w:val="0"/>
          <w:numId w:val="9"/>
        </w:numPr>
        <w:tabs>
          <w:tab w:pos="2124" w:val="left" w:leader="none"/>
        </w:tabs>
        <w:spacing w:line="264" w:lineRule="auto" w:before="30" w:after="0"/>
        <w:ind w:left="2124" w:right="1277" w:hanging="360"/>
        <w:jc w:val="left"/>
        <w:rPr>
          <w:sz w:val="28"/>
        </w:rPr>
      </w:pPr>
      <w:r>
        <w:rPr>
          <w:sz w:val="24"/>
        </w:rPr>
        <w:t>Изменения</w:t>
      </w:r>
      <w:r>
        <w:rPr>
          <w:spacing w:val="-11"/>
          <w:sz w:val="24"/>
        </w:rPr>
        <w:t> </w:t>
      </w:r>
      <w:r>
        <w:rPr>
          <w:sz w:val="24"/>
        </w:rPr>
        <w:t>в</w:t>
      </w:r>
      <w:r>
        <w:rPr>
          <w:spacing w:val="-11"/>
          <w:sz w:val="24"/>
        </w:rPr>
        <w:t> </w:t>
      </w:r>
      <w:r>
        <w:rPr>
          <w:sz w:val="24"/>
        </w:rPr>
        <w:t>легких</w:t>
      </w:r>
      <w:r>
        <w:rPr>
          <w:spacing w:val="-11"/>
          <w:sz w:val="24"/>
        </w:rPr>
        <w:t> </w:t>
      </w:r>
      <w:r>
        <w:rPr>
          <w:sz w:val="24"/>
        </w:rPr>
        <w:t>при</w:t>
      </w:r>
      <w:r>
        <w:rPr>
          <w:spacing w:val="-10"/>
          <w:sz w:val="24"/>
        </w:rPr>
        <w:t> </w:t>
      </w:r>
      <w:r>
        <w:rPr>
          <w:sz w:val="24"/>
        </w:rPr>
        <w:t>КТ</w:t>
      </w:r>
      <w:r>
        <w:rPr>
          <w:spacing w:val="-11"/>
          <w:sz w:val="24"/>
        </w:rPr>
        <w:t> </w:t>
      </w:r>
      <w:r>
        <w:rPr>
          <w:sz w:val="24"/>
        </w:rPr>
        <w:t>(рентгенографии),</w:t>
      </w:r>
      <w:r>
        <w:rPr>
          <w:spacing w:val="-13"/>
          <w:sz w:val="24"/>
        </w:rPr>
        <w:t> </w:t>
      </w:r>
      <w:r>
        <w:rPr>
          <w:sz w:val="24"/>
        </w:rPr>
        <w:t>типичные</w:t>
      </w:r>
      <w:r>
        <w:rPr>
          <w:spacing w:val="-12"/>
          <w:sz w:val="24"/>
        </w:rPr>
        <w:t> </w:t>
      </w:r>
      <w:r>
        <w:rPr>
          <w:sz w:val="24"/>
        </w:rPr>
        <w:t>для</w:t>
      </w:r>
      <w:r>
        <w:rPr>
          <w:spacing w:val="-11"/>
          <w:sz w:val="24"/>
        </w:rPr>
        <w:t> </w:t>
      </w:r>
      <w:r>
        <w:rPr>
          <w:sz w:val="24"/>
        </w:rPr>
        <w:t>вирусного</w:t>
      </w:r>
      <w:r>
        <w:rPr>
          <w:spacing w:val="-11"/>
          <w:sz w:val="24"/>
        </w:rPr>
        <w:t> </w:t>
      </w:r>
      <w:r>
        <w:rPr>
          <w:sz w:val="24"/>
        </w:rPr>
        <w:t>поражения критической степени или картина ОРДС.</w:t>
      </w:r>
    </w:p>
    <w:p>
      <w:pPr>
        <w:pStyle w:val="Heading3"/>
        <w:spacing w:line="634" w:lineRule="exact" w:before="49"/>
        <w:ind w:left="1841" w:right="1283" w:firstLine="942"/>
        <w:jc w:val="left"/>
      </w:pPr>
      <w:r>
        <w:rPr/>
        <w:t>Классификация</w:t>
      </w:r>
      <w:r>
        <w:rPr>
          <w:spacing w:val="-13"/>
        </w:rPr>
        <w:t> </w:t>
      </w:r>
      <w:r>
        <w:rPr/>
        <w:t>клинических</w:t>
      </w:r>
      <w:r>
        <w:rPr>
          <w:spacing w:val="-12"/>
        </w:rPr>
        <w:t> </w:t>
      </w:r>
      <w:r>
        <w:rPr/>
        <w:t>форм</w:t>
      </w:r>
      <w:r>
        <w:rPr>
          <w:spacing w:val="-12"/>
        </w:rPr>
        <w:t> </w:t>
      </w:r>
      <w:r>
        <w:rPr/>
        <w:t>коронавирусной</w:t>
      </w:r>
      <w:r>
        <w:rPr>
          <w:spacing w:val="-11"/>
        </w:rPr>
        <w:t> </w:t>
      </w:r>
      <w:r>
        <w:rPr/>
        <w:t>инфекции Респираторная форма</w:t>
      </w:r>
    </w:p>
    <w:p>
      <w:pPr>
        <w:pStyle w:val="ListParagraph"/>
        <w:numPr>
          <w:ilvl w:val="0"/>
          <w:numId w:val="9"/>
        </w:numPr>
        <w:tabs>
          <w:tab w:pos="1993" w:val="left" w:leader="none"/>
        </w:tabs>
        <w:spacing w:line="241" w:lineRule="exact" w:before="0" w:after="0"/>
        <w:ind w:left="1993" w:right="0" w:hanging="152"/>
        <w:jc w:val="left"/>
        <w:rPr>
          <w:sz w:val="24"/>
        </w:rPr>
      </w:pPr>
      <w:r>
        <w:rPr>
          <w:sz w:val="24"/>
        </w:rPr>
        <w:t>Острая</w:t>
      </w:r>
      <w:r>
        <w:rPr>
          <w:spacing w:val="-1"/>
          <w:sz w:val="24"/>
        </w:rPr>
        <w:t> </w:t>
      </w:r>
      <w:r>
        <w:rPr>
          <w:sz w:val="24"/>
        </w:rPr>
        <w:t>респираторная</w:t>
      </w:r>
      <w:r>
        <w:rPr>
          <w:spacing w:val="1"/>
          <w:sz w:val="24"/>
        </w:rPr>
        <w:t> </w:t>
      </w:r>
      <w:r>
        <w:rPr>
          <w:sz w:val="24"/>
        </w:rPr>
        <w:t>инфекция</w:t>
      </w:r>
      <w:r>
        <w:rPr>
          <w:spacing w:val="1"/>
          <w:sz w:val="24"/>
        </w:rPr>
        <w:t> </w:t>
      </w:r>
      <w:r>
        <w:rPr>
          <w:sz w:val="24"/>
        </w:rPr>
        <w:t>(поражение только верхних</w:t>
      </w:r>
      <w:r>
        <w:rPr>
          <w:spacing w:val="1"/>
          <w:sz w:val="24"/>
        </w:rPr>
        <w:t> </w:t>
      </w:r>
      <w:r>
        <w:rPr>
          <w:sz w:val="24"/>
        </w:rPr>
        <w:t>отделов </w:t>
      </w:r>
      <w:r>
        <w:rPr>
          <w:spacing w:val="-2"/>
          <w:sz w:val="24"/>
        </w:rPr>
        <w:t>дыхательных</w:t>
      </w:r>
    </w:p>
    <w:p>
      <w:pPr>
        <w:pStyle w:val="BodyText"/>
        <w:spacing w:before="43"/>
        <w:jc w:val="left"/>
      </w:pPr>
      <w:r>
        <w:rPr>
          <w:spacing w:val="-2"/>
        </w:rPr>
        <w:t>путей);</w:t>
      </w:r>
    </w:p>
    <w:p>
      <w:pPr>
        <w:pStyle w:val="ListParagraph"/>
        <w:numPr>
          <w:ilvl w:val="0"/>
          <w:numId w:val="9"/>
        </w:numPr>
        <w:tabs>
          <w:tab w:pos="1979" w:val="left" w:leader="none"/>
        </w:tabs>
        <w:spacing w:line="240" w:lineRule="auto" w:before="40" w:after="0"/>
        <w:ind w:left="1979" w:right="0" w:hanging="138"/>
        <w:jc w:val="left"/>
        <w:rPr>
          <w:sz w:val="24"/>
        </w:rPr>
      </w:pPr>
      <w:r>
        <w:rPr>
          <w:sz w:val="24"/>
        </w:rPr>
        <w:t>Пневмония:</w:t>
      </w:r>
      <w:r>
        <w:rPr>
          <w:spacing w:val="-9"/>
          <w:sz w:val="24"/>
        </w:rPr>
        <w:t> </w:t>
      </w:r>
      <w:r>
        <w:rPr>
          <w:sz w:val="24"/>
        </w:rPr>
        <w:t>без</w:t>
      </w:r>
      <w:r>
        <w:rPr>
          <w:spacing w:val="-8"/>
          <w:sz w:val="24"/>
        </w:rPr>
        <w:t> </w:t>
      </w:r>
      <w:r>
        <w:rPr>
          <w:sz w:val="24"/>
        </w:rPr>
        <w:t>ОДН,</w:t>
      </w:r>
      <w:r>
        <w:rPr>
          <w:spacing w:val="-8"/>
          <w:sz w:val="24"/>
        </w:rPr>
        <w:t> </w:t>
      </w:r>
      <w:r>
        <w:rPr>
          <w:sz w:val="24"/>
        </w:rPr>
        <w:t>с</w:t>
      </w:r>
      <w:r>
        <w:rPr>
          <w:spacing w:val="-10"/>
          <w:sz w:val="24"/>
        </w:rPr>
        <w:t> </w:t>
      </w:r>
      <w:r>
        <w:rPr>
          <w:spacing w:val="-4"/>
          <w:sz w:val="24"/>
        </w:rPr>
        <w:t>ОДН.</w:t>
      </w:r>
    </w:p>
    <w:p>
      <w:pPr>
        <w:pStyle w:val="BodyText"/>
        <w:spacing w:before="81"/>
        <w:ind w:left="0"/>
        <w:jc w:val="left"/>
      </w:pPr>
    </w:p>
    <w:p>
      <w:pPr>
        <w:pStyle w:val="Heading3"/>
        <w:ind w:left="1841"/>
        <w:jc w:val="left"/>
      </w:pPr>
      <w:r>
        <w:rPr>
          <w:spacing w:val="-2"/>
        </w:rPr>
        <w:t>Гастроинтестинальная</w:t>
      </w:r>
      <w:r>
        <w:rPr/>
        <w:t> </w:t>
      </w:r>
      <w:r>
        <w:rPr>
          <w:spacing w:val="-2"/>
        </w:rPr>
        <w:t>форма</w:t>
      </w:r>
    </w:p>
    <w:p>
      <w:pPr>
        <w:pStyle w:val="ListParagraph"/>
        <w:numPr>
          <w:ilvl w:val="0"/>
          <w:numId w:val="9"/>
        </w:numPr>
        <w:tabs>
          <w:tab w:pos="1979" w:val="left" w:leader="none"/>
        </w:tabs>
        <w:spacing w:line="240" w:lineRule="auto" w:before="43" w:after="0"/>
        <w:ind w:left="1979" w:right="0" w:hanging="138"/>
        <w:jc w:val="left"/>
        <w:rPr>
          <w:sz w:val="24"/>
        </w:rPr>
      </w:pPr>
      <w:r>
        <w:rPr>
          <w:spacing w:val="-2"/>
          <w:sz w:val="24"/>
        </w:rPr>
        <w:t>Энтерит;</w:t>
      </w:r>
    </w:p>
    <w:p>
      <w:pPr>
        <w:pStyle w:val="ListParagraph"/>
        <w:numPr>
          <w:ilvl w:val="0"/>
          <w:numId w:val="9"/>
        </w:numPr>
        <w:tabs>
          <w:tab w:pos="1979" w:val="left" w:leader="none"/>
        </w:tabs>
        <w:spacing w:line="240" w:lineRule="auto" w:before="41" w:after="0"/>
        <w:ind w:left="1979" w:right="0" w:hanging="138"/>
        <w:jc w:val="left"/>
        <w:rPr>
          <w:sz w:val="24"/>
        </w:rPr>
      </w:pPr>
      <w:r>
        <w:rPr>
          <w:spacing w:val="-2"/>
          <w:sz w:val="24"/>
        </w:rPr>
        <w:t>Гепатит.</w:t>
      </w:r>
    </w:p>
    <w:p>
      <w:pPr>
        <w:pStyle w:val="BodyText"/>
        <w:spacing w:before="81"/>
        <w:ind w:left="0"/>
        <w:jc w:val="left"/>
      </w:pPr>
    </w:p>
    <w:p>
      <w:pPr>
        <w:pStyle w:val="Heading3"/>
        <w:ind w:left="1841"/>
        <w:jc w:val="left"/>
      </w:pPr>
      <w:r>
        <w:rPr>
          <w:spacing w:val="-2"/>
        </w:rPr>
        <w:t>Церебральная</w:t>
      </w:r>
      <w:r>
        <w:rPr>
          <w:spacing w:val="-1"/>
        </w:rPr>
        <w:t> </w:t>
      </w:r>
      <w:r>
        <w:rPr>
          <w:spacing w:val="-2"/>
        </w:rPr>
        <w:t>форма</w:t>
      </w:r>
    </w:p>
    <w:p>
      <w:pPr>
        <w:pStyle w:val="ListParagraph"/>
        <w:numPr>
          <w:ilvl w:val="0"/>
          <w:numId w:val="9"/>
        </w:numPr>
        <w:tabs>
          <w:tab w:pos="1979" w:val="left" w:leader="none"/>
        </w:tabs>
        <w:spacing w:line="240" w:lineRule="auto" w:before="43" w:after="0"/>
        <w:ind w:left="1979" w:right="0" w:hanging="138"/>
        <w:jc w:val="left"/>
        <w:rPr>
          <w:sz w:val="24"/>
        </w:rPr>
      </w:pPr>
      <w:r>
        <w:rPr>
          <w:spacing w:val="-2"/>
          <w:sz w:val="24"/>
        </w:rPr>
        <w:t>Менингит;</w:t>
      </w:r>
    </w:p>
    <w:p>
      <w:pPr>
        <w:pStyle w:val="ListParagraph"/>
        <w:numPr>
          <w:ilvl w:val="0"/>
          <w:numId w:val="9"/>
        </w:numPr>
        <w:tabs>
          <w:tab w:pos="1979" w:val="left" w:leader="none"/>
        </w:tabs>
        <w:spacing w:line="240" w:lineRule="auto" w:before="40" w:after="0"/>
        <w:ind w:left="1979" w:right="0" w:hanging="138"/>
        <w:jc w:val="left"/>
        <w:rPr>
          <w:sz w:val="24"/>
        </w:rPr>
      </w:pPr>
      <w:r>
        <w:rPr>
          <w:spacing w:val="-2"/>
          <w:sz w:val="24"/>
        </w:rPr>
        <w:t>Менинго-энцефалит.</w:t>
      </w:r>
    </w:p>
    <w:p>
      <w:pPr>
        <w:pStyle w:val="BodyText"/>
        <w:spacing w:before="81"/>
        <w:ind w:left="0"/>
        <w:jc w:val="left"/>
      </w:pPr>
    </w:p>
    <w:p>
      <w:pPr>
        <w:pStyle w:val="Heading3"/>
        <w:ind w:left="1841"/>
        <w:jc w:val="left"/>
      </w:pPr>
      <w:r>
        <w:rPr/>
        <w:t>Поражение</w:t>
      </w:r>
      <w:r>
        <w:rPr>
          <w:spacing w:val="-13"/>
        </w:rPr>
        <w:t> </w:t>
      </w:r>
      <w:r>
        <w:rPr/>
        <w:t>органов</w:t>
      </w:r>
      <w:r>
        <w:rPr>
          <w:spacing w:val="-12"/>
        </w:rPr>
        <w:t> </w:t>
      </w:r>
      <w:r>
        <w:rPr/>
        <w:t>обоняния</w:t>
      </w:r>
      <w:r>
        <w:rPr>
          <w:spacing w:val="-12"/>
        </w:rPr>
        <w:t> </w:t>
      </w:r>
      <w:r>
        <w:rPr/>
        <w:t>и</w:t>
      </w:r>
      <w:r>
        <w:rPr>
          <w:spacing w:val="-11"/>
        </w:rPr>
        <w:t> </w:t>
      </w:r>
      <w:r>
        <w:rPr>
          <w:spacing w:val="-2"/>
        </w:rPr>
        <w:t>осязания</w:t>
      </w:r>
    </w:p>
    <w:p>
      <w:pPr>
        <w:pStyle w:val="ListParagraph"/>
        <w:numPr>
          <w:ilvl w:val="0"/>
          <w:numId w:val="9"/>
        </w:numPr>
        <w:tabs>
          <w:tab w:pos="1979" w:val="left" w:leader="none"/>
        </w:tabs>
        <w:spacing w:line="240" w:lineRule="auto" w:before="43" w:after="0"/>
        <w:ind w:left="1979" w:right="0" w:hanging="138"/>
        <w:jc w:val="left"/>
        <w:rPr>
          <w:sz w:val="24"/>
        </w:rPr>
      </w:pPr>
      <w:r>
        <w:rPr>
          <w:spacing w:val="-2"/>
          <w:sz w:val="24"/>
        </w:rPr>
        <w:t>Аносмия;</w:t>
      </w:r>
    </w:p>
    <w:p>
      <w:pPr>
        <w:pStyle w:val="ListParagraph"/>
        <w:numPr>
          <w:ilvl w:val="0"/>
          <w:numId w:val="9"/>
        </w:numPr>
        <w:tabs>
          <w:tab w:pos="1979" w:val="left" w:leader="none"/>
        </w:tabs>
        <w:spacing w:line="240" w:lineRule="auto" w:before="41" w:after="0"/>
        <w:ind w:left="1979" w:right="0" w:hanging="138"/>
        <w:jc w:val="left"/>
        <w:rPr>
          <w:sz w:val="24"/>
        </w:rPr>
      </w:pPr>
      <w:r>
        <w:rPr>
          <w:spacing w:val="-2"/>
          <w:sz w:val="24"/>
        </w:rPr>
        <w:t>Паросмия;</w:t>
      </w:r>
    </w:p>
    <w:p>
      <w:pPr>
        <w:pStyle w:val="ListParagraph"/>
        <w:numPr>
          <w:ilvl w:val="0"/>
          <w:numId w:val="9"/>
        </w:numPr>
        <w:tabs>
          <w:tab w:pos="1979" w:val="left" w:leader="none"/>
        </w:tabs>
        <w:spacing w:line="240" w:lineRule="auto" w:before="40" w:after="0"/>
        <w:ind w:left="1979" w:right="0" w:hanging="138"/>
        <w:jc w:val="left"/>
        <w:rPr>
          <w:sz w:val="24"/>
        </w:rPr>
      </w:pPr>
      <w:r>
        <w:rPr>
          <w:spacing w:val="-2"/>
          <w:sz w:val="24"/>
        </w:rPr>
        <w:t>Какосмия.</w:t>
      </w:r>
    </w:p>
    <w:p>
      <w:pPr>
        <w:pStyle w:val="BodyText"/>
        <w:spacing w:before="84"/>
        <w:ind w:left="0"/>
        <w:jc w:val="left"/>
      </w:pPr>
    </w:p>
    <w:p>
      <w:pPr>
        <w:pStyle w:val="Heading3"/>
        <w:ind w:left="1841"/>
        <w:jc w:val="left"/>
      </w:pPr>
      <w:r>
        <w:rPr/>
        <w:t>Особые</w:t>
      </w:r>
      <w:r>
        <w:rPr>
          <w:spacing w:val="-11"/>
        </w:rPr>
        <w:t> </w:t>
      </w:r>
      <w:r>
        <w:rPr>
          <w:spacing w:val="-2"/>
        </w:rPr>
        <w:t>формы</w:t>
      </w:r>
    </w:p>
    <w:p>
      <w:pPr>
        <w:pStyle w:val="ListParagraph"/>
        <w:numPr>
          <w:ilvl w:val="0"/>
          <w:numId w:val="9"/>
        </w:numPr>
        <w:tabs>
          <w:tab w:pos="1979" w:val="left" w:leader="none"/>
        </w:tabs>
        <w:spacing w:line="240" w:lineRule="auto" w:before="40" w:after="0"/>
        <w:ind w:left="1979" w:right="0" w:hanging="138"/>
        <w:jc w:val="left"/>
        <w:rPr>
          <w:sz w:val="24"/>
        </w:rPr>
      </w:pPr>
      <w:r>
        <w:rPr>
          <w:spacing w:val="-2"/>
          <w:sz w:val="24"/>
        </w:rPr>
        <w:t>Сочетанная;</w:t>
      </w:r>
    </w:p>
    <w:p>
      <w:pPr>
        <w:pStyle w:val="ListParagraph"/>
        <w:numPr>
          <w:ilvl w:val="0"/>
          <w:numId w:val="9"/>
        </w:numPr>
        <w:tabs>
          <w:tab w:pos="1979" w:val="left" w:leader="none"/>
        </w:tabs>
        <w:spacing w:line="240" w:lineRule="auto" w:before="42" w:after="0"/>
        <w:ind w:left="1979" w:right="0" w:hanging="138"/>
        <w:jc w:val="left"/>
        <w:rPr>
          <w:sz w:val="24"/>
        </w:rPr>
      </w:pPr>
      <w:r>
        <w:rPr>
          <w:sz w:val="24"/>
        </w:rPr>
        <w:t>Малосимптомная</w:t>
      </w:r>
      <w:r>
        <w:rPr>
          <w:spacing w:val="-14"/>
          <w:sz w:val="24"/>
        </w:rPr>
        <w:t> </w:t>
      </w:r>
      <w:r>
        <w:rPr>
          <w:sz w:val="24"/>
        </w:rPr>
        <w:t>/</w:t>
      </w:r>
      <w:r>
        <w:rPr>
          <w:spacing w:val="-14"/>
          <w:sz w:val="24"/>
        </w:rPr>
        <w:t> </w:t>
      </w:r>
      <w:r>
        <w:rPr>
          <w:spacing w:val="-2"/>
          <w:sz w:val="24"/>
        </w:rPr>
        <w:t>бессимптомная;</w:t>
      </w:r>
    </w:p>
    <w:p>
      <w:pPr>
        <w:pStyle w:val="ListParagraph"/>
        <w:numPr>
          <w:ilvl w:val="0"/>
          <w:numId w:val="9"/>
        </w:numPr>
        <w:tabs>
          <w:tab w:pos="1979" w:val="left" w:leader="none"/>
        </w:tabs>
        <w:spacing w:line="240" w:lineRule="auto" w:before="40" w:after="0"/>
        <w:ind w:left="1979" w:right="0" w:hanging="138"/>
        <w:jc w:val="left"/>
        <w:rPr>
          <w:sz w:val="24"/>
        </w:rPr>
      </w:pPr>
      <w:r>
        <w:rPr>
          <w:spacing w:val="-2"/>
          <w:sz w:val="24"/>
        </w:rPr>
        <w:t>Нейтропеническая</w:t>
      </w:r>
      <w:r>
        <w:rPr>
          <w:spacing w:val="2"/>
          <w:sz w:val="24"/>
        </w:rPr>
        <w:t> </w:t>
      </w:r>
      <w:r>
        <w:rPr>
          <w:spacing w:val="-2"/>
          <w:sz w:val="24"/>
        </w:rPr>
        <w:t>форма.</w:t>
      </w:r>
    </w:p>
    <w:p>
      <w:pPr>
        <w:pStyle w:val="BodyText"/>
        <w:spacing w:before="83"/>
        <w:ind w:left="0"/>
        <w:jc w:val="left"/>
      </w:pPr>
    </w:p>
    <w:p>
      <w:pPr>
        <w:pStyle w:val="Heading3"/>
        <w:spacing w:before="1"/>
        <w:ind w:left="1841"/>
        <w:jc w:val="left"/>
      </w:pPr>
      <w:r>
        <w:rPr>
          <w:spacing w:val="-2"/>
        </w:rPr>
        <w:t>Осложнения</w:t>
      </w:r>
      <w:r>
        <w:rPr/>
        <w:t> </w:t>
      </w:r>
      <w:r>
        <w:rPr>
          <w:spacing w:val="-2"/>
        </w:rPr>
        <w:t>основного</w:t>
      </w:r>
      <w:r>
        <w:rPr/>
        <w:t> </w:t>
      </w:r>
      <w:r>
        <w:rPr>
          <w:spacing w:val="-2"/>
        </w:rPr>
        <w:t>заболевания</w:t>
      </w:r>
    </w:p>
    <w:p>
      <w:pPr>
        <w:pStyle w:val="ListParagraph"/>
        <w:numPr>
          <w:ilvl w:val="0"/>
          <w:numId w:val="9"/>
        </w:numPr>
        <w:tabs>
          <w:tab w:pos="1979" w:val="left" w:leader="none"/>
        </w:tabs>
        <w:spacing w:line="240" w:lineRule="auto" w:before="40" w:after="0"/>
        <w:ind w:left="1979" w:right="0" w:hanging="138"/>
        <w:jc w:val="left"/>
        <w:rPr>
          <w:sz w:val="24"/>
        </w:rPr>
      </w:pPr>
      <w:r>
        <w:rPr>
          <w:spacing w:val="-2"/>
          <w:sz w:val="24"/>
        </w:rPr>
        <w:t>Сепсис;</w:t>
      </w:r>
    </w:p>
    <w:p>
      <w:pPr>
        <w:pStyle w:val="ListParagraph"/>
        <w:numPr>
          <w:ilvl w:val="0"/>
          <w:numId w:val="9"/>
        </w:numPr>
        <w:tabs>
          <w:tab w:pos="1979" w:val="left" w:leader="none"/>
        </w:tabs>
        <w:spacing w:line="240" w:lineRule="auto" w:before="41" w:after="0"/>
        <w:ind w:left="1979" w:right="0" w:hanging="138"/>
        <w:jc w:val="left"/>
        <w:rPr>
          <w:sz w:val="24"/>
        </w:rPr>
      </w:pPr>
      <w:r>
        <w:rPr>
          <w:spacing w:val="-2"/>
          <w:sz w:val="24"/>
        </w:rPr>
        <w:t>Септический</w:t>
      </w:r>
      <w:r>
        <w:rPr>
          <w:spacing w:val="4"/>
          <w:sz w:val="24"/>
        </w:rPr>
        <w:t> </w:t>
      </w:r>
      <w:r>
        <w:rPr>
          <w:spacing w:val="-2"/>
          <w:sz w:val="24"/>
        </w:rPr>
        <w:t>/</w:t>
      </w:r>
      <w:r>
        <w:rPr>
          <w:spacing w:val="2"/>
          <w:sz w:val="24"/>
        </w:rPr>
        <w:t> </w:t>
      </w:r>
      <w:r>
        <w:rPr>
          <w:spacing w:val="-2"/>
          <w:sz w:val="24"/>
        </w:rPr>
        <w:t>инфекционно-токсический</w:t>
      </w:r>
      <w:r>
        <w:rPr>
          <w:spacing w:val="5"/>
          <w:sz w:val="24"/>
        </w:rPr>
        <w:t> </w:t>
      </w:r>
      <w:r>
        <w:rPr>
          <w:spacing w:val="-4"/>
          <w:sz w:val="24"/>
        </w:rPr>
        <w:t>шок;</w:t>
      </w:r>
    </w:p>
    <w:p>
      <w:pPr>
        <w:pStyle w:val="ListParagraph"/>
        <w:numPr>
          <w:ilvl w:val="0"/>
          <w:numId w:val="9"/>
        </w:numPr>
        <w:tabs>
          <w:tab w:pos="1979" w:val="left" w:leader="none"/>
        </w:tabs>
        <w:spacing w:line="240" w:lineRule="auto" w:before="40" w:after="0"/>
        <w:ind w:left="1979" w:right="0" w:hanging="138"/>
        <w:jc w:val="left"/>
        <w:rPr>
          <w:sz w:val="24"/>
        </w:rPr>
      </w:pPr>
      <w:r>
        <w:rPr>
          <w:spacing w:val="-2"/>
          <w:sz w:val="24"/>
        </w:rPr>
        <w:t>ДВС-синдром;</w:t>
      </w:r>
    </w:p>
    <w:p>
      <w:pPr>
        <w:pStyle w:val="ListParagraph"/>
        <w:numPr>
          <w:ilvl w:val="0"/>
          <w:numId w:val="9"/>
        </w:numPr>
        <w:tabs>
          <w:tab w:pos="1979" w:val="left" w:leader="none"/>
        </w:tabs>
        <w:spacing w:line="240" w:lineRule="auto" w:before="43" w:after="0"/>
        <w:ind w:left="1979" w:right="0" w:hanging="138"/>
        <w:jc w:val="left"/>
        <w:rPr>
          <w:sz w:val="24"/>
        </w:rPr>
      </w:pPr>
      <w:r>
        <w:rPr>
          <w:sz w:val="24"/>
        </w:rPr>
        <w:t>Тромбозы</w:t>
      </w:r>
      <w:r>
        <w:rPr>
          <w:spacing w:val="-7"/>
          <w:sz w:val="24"/>
        </w:rPr>
        <w:t> </w:t>
      </w:r>
      <w:r>
        <w:rPr>
          <w:sz w:val="24"/>
        </w:rPr>
        <w:t>и</w:t>
      </w:r>
      <w:r>
        <w:rPr>
          <w:spacing w:val="-6"/>
          <w:sz w:val="24"/>
        </w:rPr>
        <w:t> </w:t>
      </w:r>
      <w:r>
        <w:rPr>
          <w:spacing w:val="-2"/>
          <w:sz w:val="24"/>
        </w:rPr>
        <w:t>тромбоэмболии.</w:t>
      </w:r>
    </w:p>
    <w:p>
      <w:pPr>
        <w:pStyle w:val="ListParagraph"/>
        <w:spacing w:after="0" w:line="240" w:lineRule="auto"/>
        <w:jc w:val="left"/>
        <w:rPr>
          <w:sz w:val="24"/>
        </w:rPr>
        <w:sectPr>
          <w:pgSz w:w="11900" w:h="16840"/>
          <w:pgMar w:header="0" w:footer="697" w:top="1080" w:bottom="880" w:left="0" w:right="0"/>
        </w:sectPr>
      </w:pPr>
    </w:p>
    <w:p>
      <w:pPr>
        <w:pStyle w:val="Heading3"/>
        <w:spacing w:before="73"/>
      </w:pPr>
      <w:bookmarkStart w:name="17" w:id="22"/>
      <w:bookmarkEnd w:id="22"/>
      <w:r>
        <w:rPr>
          <w:b w:val="0"/>
        </w:rPr>
      </w:r>
      <w:r>
        <w:rPr>
          <w:color w:val="1F487C"/>
        </w:rPr>
        <w:t>Кожные</w:t>
      </w:r>
      <w:r>
        <w:rPr>
          <w:color w:val="1F487C"/>
          <w:spacing w:val="-15"/>
        </w:rPr>
        <w:t> </w:t>
      </w:r>
      <w:r>
        <w:rPr>
          <w:color w:val="1F487C"/>
        </w:rPr>
        <w:t>сыпи</w:t>
      </w:r>
      <w:r>
        <w:rPr>
          <w:color w:val="1F487C"/>
          <w:spacing w:val="-12"/>
        </w:rPr>
        <w:t> </w:t>
      </w:r>
      <w:r>
        <w:rPr>
          <w:color w:val="1F487C"/>
        </w:rPr>
        <w:t>при</w:t>
      </w:r>
      <w:r>
        <w:rPr>
          <w:color w:val="1F487C"/>
          <w:spacing w:val="-13"/>
        </w:rPr>
        <w:t> </w:t>
      </w:r>
      <w:r>
        <w:rPr>
          <w:color w:val="1F487C"/>
        </w:rPr>
        <w:t>COVID-</w:t>
      </w:r>
      <w:r>
        <w:rPr>
          <w:color w:val="1F487C"/>
          <w:spacing w:val="-5"/>
        </w:rPr>
        <w:t>19</w:t>
      </w:r>
    </w:p>
    <w:p>
      <w:pPr>
        <w:pStyle w:val="BodyText"/>
        <w:spacing w:line="276" w:lineRule="auto" w:before="160"/>
        <w:ind w:right="1275" w:firstLine="707"/>
      </w:pPr>
      <w:r>
        <w:rPr/>
        <w:t>Многообразие наблюдаемых дерматозов и кожных сыпей у больных COVID- 19 можно разделить на семь групп в зависимости от их этиологии и механизмов </w:t>
      </w:r>
      <w:r>
        <w:rPr>
          <w:spacing w:val="-2"/>
        </w:rPr>
        <w:t>развития:</w:t>
      </w:r>
    </w:p>
    <w:p>
      <w:pPr>
        <w:pStyle w:val="Heading3"/>
        <w:numPr>
          <w:ilvl w:val="0"/>
          <w:numId w:val="10"/>
        </w:numPr>
        <w:tabs>
          <w:tab w:pos="2727" w:val="left" w:leader="none"/>
        </w:tabs>
        <w:spacing w:line="240" w:lineRule="auto" w:before="15" w:after="0"/>
        <w:ind w:left="2727" w:right="0" w:hanging="178"/>
        <w:jc w:val="both"/>
      </w:pPr>
      <w:r>
        <w:rPr/>
        <w:t>группа</w:t>
      </w:r>
      <w:r>
        <w:rPr>
          <w:spacing w:val="-7"/>
        </w:rPr>
        <w:t> </w:t>
      </w:r>
      <w:r>
        <w:rPr/>
        <w:t>-</w:t>
      </w:r>
      <w:r>
        <w:rPr>
          <w:spacing w:val="-9"/>
        </w:rPr>
        <w:t> </w:t>
      </w:r>
      <w:r>
        <w:rPr/>
        <w:t>Ангииты</w:t>
      </w:r>
      <w:r>
        <w:rPr>
          <w:spacing w:val="-8"/>
        </w:rPr>
        <w:t> </w:t>
      </w:r>
      <w:r>
        <w:rPr>
          <w:spacing w:val="-4"/>
        </w:rPr>
        <w:t>кожи.</w:t>
      </w:r>
    </w:p>
    <w:p>
      <w:pPr>
        <w:pStyle w:val="BodyText"/>
        <w:spacing w:line="276" w:lineRule="auto" w:before="54"/>
        <w:ind w:right="1273" w:firstLine="707"/>
      </w:pPr>
      <w:r>
        <w:rPr/>
        <w:t>Как</w:t>
      </w:r>
      <w:r>
        <w:rPr>
          <w:spacing w:val="80"/>
          <w:w w:val="150"/>
        </w:rPr>
        <w:t> </w:t>
      </w:r>
      <w:r>
        <w:rPr/>
        <w:t>правило,</w:t>
      </w:r>
      <w:r>
        <w:rPr>
          <w:spacing w:val="80"/>
          <w:w w:val="150"/>
        </w:rPr>
        <w:t> </w:t>
      </w:r>
      <w:r>
        <w:rPr/>
        <w:t>ангииты</w:t>
      </w:r>
      <w:r>
        <w:rPr>
          <w:spacing w:val="80"/>
          <w:w w:val="150"/>
        </w:rPr>
        <w:t> </w:t>
      </w:r>
      <w:r>
        <w:rPr/>
        <w:t>кожи</w:t>
      </w:r>
      <w:r>
        <w:rPr>
          <w:spacing w:val="80"/>
          <w:w w:val="150"/>
        </w:rPr>
        <w:t> </w:t>
      </w:r>
      <w:r>
        <w:rPr/>
        <w:t>имеют</w:t>
      </w:r>
      <w:r>
        <w:rPr>
          <w:spacing w:val="80"/>
          <w:w w:val="150"/>
        </w:rPr>
        <w:t> </w:t>
      </w:r>
      <w:r>
        <w:rPr/>
        <w:t>инфекционно-аллергический</w:t>
      </w:r>
      <w:r>
        <w:rPr>
          <w:spacing w:val="80"/>
          <w:w w:val="150"/>
        </w:rPr>
        <w:t> </w:t>
      </w:r>
      <w:r>
        <w:rPr/>
        <w:t>генез</w:t>
      </w:r>
      <w:r>
        <w:rPr>
          <w:spacing w:val="80"/>
        </w:rPr>
        <w:t> </w:t>
      </w:r>
      <w:r>
        <w:rPr/>
        <w:t>и</w:t>
      </w:r>
      <w:r>
        <w:rPr>
          <w:spacing w:val="-1"/>
        </w:rPr>
        <w:t> </w:t>
      </w:r>
      <w:r>
        <w:rPr/>
        <w:t>возникают на фоне инфекционных процессов различной, в том числе вирусной этиологии.</w:t>
      </w:r>
      <w:r>
        <w:rPr>
          <w:spacing w:val="-14"/>
        </w:rPr>
        <w:t> </w:t>
      </w:r>
      <w:r>
        <w:rPr/>
        <w:t>Классическим</w:t>
      </w:r>
      <w:r>
        <w:rPr>
          <w:spacing w:val="-15"/>
        </w:rPr>
        <w:t> </w:t>
      </w:r>
      <w:r>
        <w:rPr/>
        <w:t>примером</w:t>
      </w:r>
      <w:r>
        <w:rPr>
          <w:spacing w:val="-15"/>
        </w:rPr>
        <w:t> </w:t>
      </w:r>
      <w:r>
        <w:rPr/>
        <w:t>может</w:t>
      </w:r>
      <w:r>
        <w:rPr>
          <w:spacing w:val="-13"/>
        </w:rPr>
        <w:t> </w:t>
      </w:r>
      <w:r>
        <w:rPr/>
        <w:t>служить</w:t>
      </w:r>
      <w:r>
        <w:rPr>
          <w:spacing w:val="-13"/>
        </w:rPr>
        <w:t> </w:t>
      </w:r>
      <w:r>
        <w:rPr/>
        <w:t>острая</w:t>
      </w:r>
      <w:r>
        <w:rPr>
          <w:spacing w:val="-14"/>
        </w:rPr>
        <w:t> </w:t>
      </w:r>
      <w:r>
        <w:rPr/>
        <w:t>узловатая</w:t>
      </w:r>
      <w:r>
        <w:rPr>
          <w:spacing w:val="-14"/>
        </w:rPr>
        <w:t> </w:t>
      </w:r>
      <w:r>
        <w:rPr/>
        <w:t>эритема</w:t>
      </w:r>
      <w:r>
        <w:rPr>
          <w:spacing w:val="-15"/>
        </w:rPr>
        <w:t> </w:t>
      </w:r>
      <w:r>
        <w:rPr/>
        <w:t>на</w:t>
      </w:r>
      <w:r>
        <w:rPr>
          <w:spacing w:val="-15"/>
        </w:rPr>
        <w:t> </w:t>
      </w:r>
      <w:r>
        <w:rPr/>
        <w:t>фоне обычной ОРВИ. При короновирусной инфекции происходит поражение стенок мелких</w:t>
      </w:r>
      <w:r>
        <w:rPr>
          <w:spacing w:val="-7"/>
        </w:rPr>
        <w:t> </w:t>
      </w:r>
      <w:r>
        <w:rPr/>
        <w:t>сосудов</w:t>
      </w:r>
      <w:r>
        <w:rPr>
          <w:spacing w:val="-7"/>
        </w:rPr>
        <w:t> </w:t>
      </w:r>
      <w:r>
        <w:rPr/>
        <w:t>дермы</w:t>
      </w:r>
      <w:r>
        <w:rPr>
          <w:spacing w:val="-5"/>
        </w:rPr>
        <w:t> </w:t>
      </w:r>
      <w:r>
        <w:rPr/>
        <w:t>циркулирующими</w:t>
      </w:r>
      <w:r>
        <w:rPr>
          <w:spacing w:val="-8"/>
        </w:rPr>
        <w:t> </w:t>
      </w:r>
      <w:r>
        <w:rPr/>
        <w:t>иммунными</w:t>
      </w:r>
      <w:r>
        <w:rPr>
          <w:spacing w:val="-8"/>
        </w:rPr>
        <w:t> </w:t>
      </w:r>
      <w:r>
        <w:rPr/>
        <w:t>комплексами</w:t>
      </w:r>
      <w:r>
        <w:rPr>
          <w:spacing w:val="-6"/>
        </w:rPr>
        <w:t> </w:t>
      </w:r>
      <w:r>
        <w:rPr/>
        <w:t>в</w:t>
      </w:r>
      <w:r>
        <w:rPr>
          <w:spacing w:val="-7"/>
        </w:rPr>
        <w:t> </w:t>
      </w:r>
      <w:r>
        <w:rPr/>
        <w:t>виде</w:t>
      </w:r>
      <w:r>
        <w:rPr>
          <w:spacing w:val="-7"/>
        </w:rPr>
        <w:t> </w:t>
      </w:r>
      <w:r>
        <w:rPr/>
        <w:t>депозитов с вирусными антигенами. К особым формам, ассоциированным с COVID-19, можно отнести акроваскулиты. Акральная приуроченность сыпи, возможно, обусловлена сопутствующей заболеванию гипоксией.</w:t>
      </w:r>
    </w:p>
    <w:p>
      <w:pPr>
        <w:pStyle w:val="Heading3"/>
        <w:numPr>
          <w:ilvl w:val="0"/>
          <w:numId w:val="10"/>
        </w:numPr>
        <w:tabs>
          <w:tab w:pos="2727" w:val="left" w:leader="none"/>
        </w:tabs>
        <w:spacing w:line="240" w:lineRule="auto" w:before="13" w:after="0"/>
        <w:ind w:left="2727" w:right="0" w:hanging="178"/>
        <w:jc w:val="both"/>
      </w:pPr>
      <w:r>
        <w:rPr/>
        <w:t>группа</w:t>
      </w:r>
      <w:r>
        <w:rPr>
          <w:spacing w:val="-9"/>
        </w:rPr>
        <w:t> </w:t>
      </w:r>
      <w:r>
        <w:rPr/>
        <w:t>-</w:t>
      </w:r>
      <w:r>
        <w:rPr>
          <w:spacing w:val="-11"/>
        </w:rPr>
        <w:t> </w:t>
      </w:r>
      <w:r>
        <w:rPr/>
        <w:t>Папуло-сквамозные</w:t>
      </w:r>
      <w:r>
        <w:rPr>
          <w:spacing w:val="-11"/>
        </w:rPr>
        <w:t> </w:t>
      </w:r>
      <w:r>
        <w:rPr/>
        <w:t>сыпи</w:t>
      </w:r>
      <w:r>
        <w:rPr>
          <w:spacing w:val="-9"/>
        </w:rPr>
        <w:t> </w:t>
      </w:r>
      <w:r>
        <w:rPr/>
        <w:t>и</w:t>
      </w:r>
      <w:r>
        <w:rPr>
          <w:spacing w:val="-9"/>
        </w:rPr>
        <w:t> </w:t>
      </w:r>
      <w:r>
        <w:rPr/>
        <w:t>розовый</w:t>
      </w:r>
      <w:r>
        <w:rPr>
          <w:spacing w:val="-10"/>
        </w:rPr>
        <w:t> </w:t>
      </w:r>
      <w:r>
        <w:rPr>
          <w:spacing w:val="-2"/>
        </w:rPr>
        <w:t>лишай.</w:t>
      </w:r>
    </w:p>
    <w:p>
      <w:pPr>
        <w:pStyle w:val="BodyText"/>
        <w:spacing w:line="276" w:lineRule="auto" w:before="55"/>
        <w:ind w:right="1274" w:firstLine="707"/>
      </w:pPr>
      <w:r>
        <w:rPr/>
        <w:t>Представляют собой характерные инфекционно-аллергические поражения кожи, также часто ассоциированные с COVID-19. Клинической особенностью розового лишая при короновирусной инфекции является отсутствие «материнской бляшки» (самого крупного элемента, возникающего первым при классическом течении дерматоза).</w:t>
      </w:r>
    </w:p>
    <w:p>
      <w:pPr>
        <w:pStyle w:val="Heading3"/>
        <w:numPr>
          <w:ilvl w:val="0"/>
          <w:numId w:val="10"/>
        </w:numPr>
        <w:tabs>
          <w:tab w:pos="2727" w:val="left" w:leader="none"/>
        </w:tabs>
        <w:spacing w:line="240" w:lineRule="auto" w:before="13" w:after="0"/>
        <w:ind w:left="2727" w:right="0" w:hanging="178"/>
        <w:jc w:val="both"/>
      </w:pPr>
      <w:r>
        <w:rPr/>
        <w:t>группа</w:t>
      </w:r>
      <w:r>
        <w:rPr>
          <w:spacing w:val="-11"/>
        </w:rPr>
        <w:t> </w:t>
      </w:r>
      <w:r>
        <w:rPr/>
        <w:t>-</w:t>
      </w:r>
      <w:r>
        <w:rPr>
          <w:spacing w:val="-13"/>
        </w:rPr>
        <w:t> </w:t>
      </w:r>
      <w:r>
        <w:rPr/>
        <w:t>Кореподобные</w:t>
      </w:r>
      <w:r>
        <w:rPr>
          <w:spacing w:val="-13"/>
        </w:rPr>
        <w:t> </w:t>
      </w:r>
      <w:r>
        <w:rPr/>
        <w:t>сыпи</w:t>
      </w:r>
      <w:r>
        <w:rPr>
          <w:spacing w:val="-11"/>
        </w:rPr>
        <w:t> </w:t>
      </w:r>
      <w:r>
        <w:rPr/>
        <w:t>и</w:t>
      </w:r>
      <w:r>
        <w:rPr>
          <w:spacing w:val="-11"/>
        </w:rPr>
        <w:t> </w:t>
      </w:r>
      <w:r>
        <w:rPr/>
        <w:t>инфекционные</w:t>
      </w:r>
      <w:r>
        <w:rPr>
          <w:spacing w:val="-13"/>
        </w:rPr>
        <w:t> </w:t>
      </w:r>
      <w:r>
        <w:rPr>
          <w:spacing w:val="-2"/>
        </w:rPr>
        <w:t>эритемы.</w:t>
      </w:r>
    </w:p>
    <w:p>
      <w:pPr>
        <w:pStyle w:val="BodyText"/>
        <w:spacing w:line="276" w:lineRule="auto" w:before="55"/>
        <w:ind w:right="1273" w:firstLine="707"/>
      </w:pPr>
      <w:r>
        <w:rPr/>
        <w:t>При</w:t>
      </w:r>
      <w:r>
        <w:rPr>
          <w:spacing w:val="-7"/>
        </w:rPr>
        <w:t> </w:t>
      </w:r>
      <w:r>
        <w:rPr/>
        <w:t>COVID-19</w:t>
      </w:r>
      <w:r>
        <w:rPr>
          <w:spacing w:val="-5"/>
        </w:rPr>
        <w:t> </w:t>
      </w:r>
      <w:r>
        <w:rPr/>
        <w:t>эти</w:t>
      </w:r>
      <w:r>
        <w:rPr>
          <w:spacing w:val="-6"/>
        </w:rPr>
        <w:t> </w:t>
      </w:r>
      <w:r>
        <w:rPr/>
        <w:t>сыпи</w:t>
      </w:r>
      <w:r>
        <w:rPr>
          <w:spacing w:val="-6"/>
        </w:rPr>
        <w:t> </w:t>
      </w:r>
      <w:r>
        <w:rPr/>
        <w:t>напоминают</w:t>
      </w:r>
      <w:r>
        <w:rPr>
          <w:spacing w:val="-9"/>
        </w:rPr>
        <w:t> </w:t>
      </w:r>
      <w:r>
        <w:rPr/>
        <w:t>по</w:t>
      </w:r>
      <w:r>
        <w:rPr>
          <w:spacing w:val="-7"/>
        </w:rPr>
        <w:t> </w:t>
      </w:r>
      <w:r>
        <w:rPr/>
        <w:t>своим</w:t>
      </w:r>
      <w:r>
        <w:rPr>
          <w:spacing w:val="-8"/>
        </w:rPr>
        <w:t> </w:t>
      </w:r>
      <w:r>
        <w:rPr/>
        <w:t>клиническим</w:t>
      </w:r>
      <w:r>
        <w:rPr>
          <w:spacing w:val="-8"/>
        </w:rPr>
        <w:t> </w:t>
      </w:r>
      <w:r>
        <w:rPr/>
        <w:t>характеристикам таковые, характерные для кори или других вирусных инфекций, и тем самым указывают на патогенетическую близость к классическим вирусным экзантемам.</w:t>
      </w:r>
    </w:p>
    <w:p>
      <w:pPr>
        <w:pStyle w:val="Heading3"/>
        <w:numPr>
          <w:ilvl w:val="0"/>
          <w:numId w:val="10"/>
        </w:numPr>
        <w:tabs>
          <w:tab w:pos="2727" w:val="left" w:leader="none"/>
        </w:tabs>
        <w:spacing w:line="278" w:lineRule="auto" w:before="12" w:after="0"/>
        <w:ind w:left="2549" w:right="4384" w:firstLine="0"/>
        <w:jc w:val="both"/>
      </w:pPr>
      <w:r>
        <w:rPr/>
        <w:t>группа - Папуло-везикулезные высыпания (по</w:t>
      </w:r>
      <w:r>
        <w:rPr>
          <w:spacing w:val="-10"/>
        </w:rPr>
        <w:t> </w:t>
      </w:r>
      <w:r>
        <w:rPr/>
        <w:t>типу</w:t>
      </w:r>
      <w:r>
        <w:rPr>
          <w:spacing w:val="-10"/>
        </w:rPr>
        <w:t> </w:t>
      </w:r>
      <w:r>
        <w:rPr/>
        <w:t>милиарии</w:t>
      </w:r>
      <w:r>
        <w:rPr>
          <w:spacing w:val="-11"/>
        </w:rPr>
        <w:t> </w:t>
      </w:r>
      <w:r>
        <w:rPr/>
        <w:t>или</w:t>
      </w:r>
      <w:r>
        <w:rPr>
          <w:spacing w:val="-9"/>
        </w:rPr>
        <w:t> </w:t>
      </w:r>
      <w:r>
        <w:rPr/>
        <w:t>эккринной</w:t>
      </w:r>
      <w:r>
        <w:rPr>
          <w:spacing w:val="-9"/>
        </w:rPr>
        <w:t> </w:t>
      </w:r>
      <w:r>
        <w:rPr/>
        <w:t>потницы).</w:t>
      </w:r>
    </w:p>
    <w:p>
      <w:pPr>
        <w:pStyle w:val="BodyText"/>
        <w:spacing w:line="276" w:lineRule="auto" w:before="9"/>
        <w:ind w:right="1279" w:firstLine="707"/>
      </w:pPr>
      <w:r>
        <w:rPr/>
        <w:t>Возникают на фоне субфебрилитета с многодневным повышенным потоотделением у пациентов. В отличие от классической милиарии высыпания при COVID-19 характеризуются обширностью поражений кожных покровов.</w:t>
      </w:r>
    </w:p>
    <w:p>
      <w:pPr>
        <w:pStyle w:val="Heading3"/>
        <w:numPr>
          <w:ilvl w:val="0"/>
          <w:numId w:val="10"/>
        </w:numPr>
        <w:tabs>
          <w:tab w:pos="2727" w:val="left" w:leader="none"/>
        </w:tabs>
        <w:spacing w:line="240" w:lineRule="auto" w:before="12" w:after="0"/>
        <w:ind w:left="2727" w:right="0" w:hanging="178"/>
        <w:jc w:val="both"/>
      </w:pPr>
      <w:r>
        <w:rPr/>
        <w:t>группа</w:t>
      </w:r>
      <w:r>
        <w:rPr>
          <w:spacing w:val="-5"/>
        </w:rPr>
        <w:t> </w:t>
      </w:r>
      <w:r>
        <w:rPr/>
        <w:t>–</w:t>
      </w:r>
      <w:r>
        <w:rPr>
          <w:spacing w:val="-6"/>
        </w:rPr>
        <w:t> </w:t>
      </w:r>
      <w:r>
        <w:rPr>
          <w:spacing w:val="-2"/>
        </w:rPr>
        <w:t>Токсидермии.</w:t>
      </w:r>
    </w:p>
    <w:p>
      <w:pPr>
        <w:pStyle w:val="BodyText"/>
        <w:spacing w:line="276" w:lineRule="auto" w:before="55"/>
        <w:ind w:right="1281" w:firstLine="707"/>
      </w:pPr>
      <w:r>
        <w:rPr/>
        <w:t>Напрямую не связаны с короновирусной инфекцией и являются следствием индивидуальной непереносимости пациентами определенных лекарственных </w:t>
      </w:r>
      <w:r>
        <w:rPr>
          <w:spacing w:val="-2"/>
        </w:rPr>
        <w:t>препаратов.</w:t>
      </w:r>
    </w:p>
    <w:p>
      <w:pPr>
        <w:pStyle w:val="Heading3"/>
        <w:numPr>
          <w:ilvl w:val="0"/>
          <w:numId w:val="10"/>
        </w:numPr>
        <w:tabs>
          <w:tab w:pos="2727" w:val="left" w:leader="none"/>
        </w:tabs>
        <w:spacing w:line="240" w:lineRule="auto" w:before="15" w:after="0"/>
        <w:ind w:left="2727" w:right="0" w:hanging="178"/>
        <w:jc w:val="both"/>
      </w:pPr>
      <w:r>
        <w:rPr/>
        <w:t>группа</w:t>
      </w:r>
      <w:r>
        <w:rPr>
          <w:spacing w:val="-5"/>
        </w:rPr>
        <w:t> </w:t>
      </w:r>
      <w:r>
        <w:rPr/>
        <w:t>–</w:t>
      </w:r>
      <w:r>
        <w:rPr>
          <w:spacing w:val="-6"/>
        </w:rPr>
        <w:t> </w:t>
      </w:r>
      <w:r>
        <w:rPr>
          <w:spacing w:val="-2"/>
        </w:rPr>
        <w:t>Крапивница.</w:t>
      </w:r>
    </w:p>
    <w:p>
      <w:pPr>
        <w:pStyle w:val="BodyText"/>
        <w:spacing w:line="276" w:lineRule="auto" w:before="55"/>
        <w:ind w:right="1272" w:firstLine="707"/>
      </w:pPr>
      <w:r>
        <w:rPr/>
        <w:t>В зависимости от своего происхождения заболевание может иметь двоякий характер.</w:t>
      </w:r>
      <w:r>
        <w:rPr>
          <w:spacing w:val="-15"/>
        </w:rPr>
        <w:t> </w:t>
      </w:r>
      <w:r>
        <w:rPr/>
        <w:t>С</w:t>
      </w:r>
      <w:r>
        <w:rPr>
          <w:spacing w:val="-15"/>
        </w:rPr>
        <w:t> </w:t>
      </w:r>
      <w:r>
        <w:rPr/>
        <w:t>одной</w:t>
      </w:r>
      <w:r>
        <w:rPr>
          <w:spacing w:val="-15"/>
        </w:rPr>
        <w:t> </w:t>
      </w:r>
      <w:r>
        <w:rPr/>
        <w:t>стороны,</w:t>
      </w:r>
      <w:r>
        <w:rPr>
          <w:spacing w:val="-15"/>
        </w:rPr>
        <w:t> </w:t>
      </w:r>
      <w:r>
        <w:rPr/>
        <w:t>уртикарные</w:t>
      </w:r>
      <w:r>
        <w:rPr>
          <w:spacing w:val="-15"/>
        </w:rPr>
        <w:t> </w:t>
      </w:r>
      <w:r>
        <w:rPr/>
        <w:t>высыпания</w:t>
      </w:r>
      <w:r>
        <w:rPr>
          <w:spacing w:val="-15"/>
        </w:rPr>
        <w:t> </w:t>
      </w:r>
      <w:r>
        <w:rPr/>
        <w:t>могут</w:t>
      </w:r>
      <w:r>
        <w:rPr>
          <w:spacing w:val="-15"/>
        </w:rPr>
        <w:t> </w:t>
      </w:r>
      <w:r>
        <w:rPr/>
        <w:t>быть</w:t>
      </w:r>
      <w:r>
        <w:rPr>
          <w:spacing w:val="-15"/>
        </w:rPr>
        <w:t> </w:t>
      </w:r>
      <w:r>
        <w:rPr/>
        <w:t>предвестником</w:t>
      </w:r>
      <w:r>
        <w:rPr>
          <w:spacing w:val="-15"/>
        </w:rPr>
        <w:t> </w:t>
      </w:r>
      <w:r>
        <w:rPr/>
        <w:t>начала COVID-19 или возникают вместе с ее первыми симптомами. С другой стороны, крапивница</w:t>
      </w:r>
      <w:r>
        <w:rPr>
          <w:spacing w:val="40"/>
        </w:rPr>
        <w:t>  </w:t>
      </w:r>
      <w:r>
        <w:rPr/>
        <w:t>нередко</w:t>
      </w:r>
      <w:r>
        <w:rPr>
          <w:spacing w:val="40"/>
        </w:rPr>
        <w:t>  </w:t>
      </w:r>
      <w:r>
        <w:rPr/>
        <w:t>развивается</w:t>
      </w:r>
      <w:r>
        <w:rPr>
          <w:spacing w:val="40"/>
        </w:rPr>
        <w:t>  </w:t>
      </w:r>
      <w:r>
        <w:rPr/>
        <w:t>вследствие</w:t>
      </w:r>
      <w:r>
        <w:rPr>
          <w:spacing w:val="40"/>
        </w:rPr>
        <w:t>  </w:t>
      </w:r>
      <w:r>
        <w:rPr/>
        <w:t>лекарственной</w:t>
      </w:r>
      <w:r>
        <w:rPr>
          <w:spacing w:val="40"/>
        </w:rPr>
        <w:t>  </w:t>
      </w:r>
      <w:r>
        <w:rPr/>
        <w:t>непереносимости и в таком случае является клинической формой токсидермии. Акральное расположение волдырей на фоне COVID-19 также можно отнести к специфическим особенностям уртикарного поражения кожи при этом вирусном заболевании.</w:t>
      </w:r>
    </w:p>
    <w:p>
      <w:pPr>
        <w:pStyle w:val="Heading3"/>
        <w:numPr>
          <w:ilvl w:val="0"/>
          <w:numId w:val="10"/>
        </w:numPr>
        <w:tabs>
          <w:tab w:pos="2727" w:val="left" w:leader="none"/>
        </w:tabs>
        <w:spacing w:line="278" w:lineRule="auto" w:before="10" w:after="0"/>
        <w:ind w:left="2549" w:right="4957" w:firstLine="0"/>
        <w:jc w:val="both"/>
      </w:pPr>
      <w:r>
        <w:rPr/>
        <w:t>группа</w:t>
      </w:r>
      <w:r>
        <w:rPr>
          <w:spacing w:val="-12"/>
        </w:rPr>
        <w:t> </w:t>
      </w:r>
      <w:r>
        <w:rPr/>
        <w:t>–</w:t>
      </w:r>
      <w:r>
        <w:rPr>
          <w:spacing w:val="-14"/>
        </w:rPr>
        <w:t> </w:t>
      </w:r>
      <w:r>
        <w:rPr/>
        <w:t>Артифициальные</w:t>
      </w:r>
      <w:r>
        <w:rPr>
          <w:spacing w:val="-15"/>
        </w:rPr>
        <w:t> </w:t>
      </w:r>
      <w:r>
        <w:rPr/>
        <w:t>поражения (трофические изменения тканей лица).</w:t>
      </w:r>
    </w:p>
    <w:p>
      <w:pPr>
        <w:pStyle w:val="BodyText"/>
        <w:spacing w:line="276" w:lineRule="auto" w:before="10"/>
        <w:ind w:right="1277" w:firstLine="707"/>
      </w:pPr>
      <w:r>
        <w:rPr/>
        <w:t>Являются</w:t>
      </w:r>
      <w:r>
        <w:rPr>
          <w:spacing w:val="80"/>
          <w:w w:val="150"/>
        </w:rPr>
        <w:t> </w:t>
      </w:r>
      <w:r>
        <w:rPr/>
        <w:t>следствием</w:t>
      </w:r>
      <w:r>
        <w:rPr>
          <w:spacing w:val="80"/>
          <w:w w:val="150"/>
        </w:rPr>
        <w:t> </w:t>
      </w:r>
      <w:r>
        <w:rPr/>
        <w:t>вынужденного</w:t>
      </w:r>
      <w:r>
        <w:rPr>
          <w:spacing w:val="80"/>
          <w:w w:val="150"/>
        </w:rPr>
        <w:t> </w:t>
      </w:r>
      <w:r>
        <w:rPr/>
        <w:t>длительного</w:t>
      </w:r>
      <w:r>
        <w:rPr>
          <w:spacing w:val="80"/>
          <w:w w:val="150"/>
        </w:rPr>
        <w:t> </w:t>
      </w:r>
      <w:r>
        <w:rPr/>
        <w:t>пребывания</w:t>
      </w:r>
      <w:r>
        <w:rPr>
          <w:spacing w:val="80"/>
          <w:w w:val="150"/>
        </w:rPr>
        <w:t> </w:t>
      </w:r>
      <w:r>
        <w:rPr/>
        <w:t>больных</w:t>
      </w:r>
      <w:r>
        <w:rPr>
          <w:spacing w:val="40"/>
        </w:rPr>
        <w:t> </w:t>
      </w:r>
      <w:r>
        <w:rPr/>
        <w:t>в прон-позиции с целью улучшения дыхательной функции.</w:t>
      </w:r>
    </w:p>
    <w:p>
      <w:pPr>
        <w:pStyle w:val="BodyText"/>
        <w:spacing w:after="0" w:line="276" w:lineRule="auto"/>
        <w:sectPr>
          <w:pgSz w:w="11900" w:h="16840"/>
          <w:pgMar w:header="0" w:footer="697" w:top="1080" w:bottom="880" w:left="0" w:right="0"/>
        </w:sectPr>
      </w:pPr>
    </w:p>
    <w:p>
      <w:pPr>
        <w:pStyle w:val="Heading3"/>
        <w:spacing w:before="73"/>
        <w:ind w:right="2598"/>
      </w:pPr>
      <w:bookmarkStart w:name="18" w:id="23"/>
      <w:bookmarkEnd w:id="23"/>
      <w:r>
        <w:rPr>
          <w:b w:val="0"/>
        </w:rPr>
      </w:r>
      <w:r>
        <w:rPr>
          <w:color w:val="1F487C"/>
        </w:rPr>
        <w:t>Особенности</w:t>
      </w:r>
      <w:r>
        <w:rPr>
          <w:color w:val="1F487C"/>
          <w:spacing w:val="-9"/>
        </w:rPr>
        <w:t> </w:t>
      </w:r>
      <w:r>
        <w:rPr>
          <w:color w:val="1F487C"/>
        </w:rPr>
        <w:t>клинических</w:t>
      </w:r>
      <w:r>
        <w:rPr>
          <w:color w:val="1F487C"/>
          <w:spacing w:val="-10"/>
        </w:rPr>
        <w:t> </w:t>
      </w:r>
      <w:r>
        <w:rPr>
          <w:color w:val="1F487C"/>
        </w:rPr>
        <w:t>проявлений</w:t>
      </w:r>
      <w:r>
        <w:rPr>
          <w:color w:val="1F487C"/>
          <w:spacing w:val="-9"/>
        </w:rPr>
        <w:t> </w:t>
      </w:r>
      <w:r>
        <w:rPr>
          <w:color w:val="1F487C"/>
        </w:rPr>
        <w:t>у</w:t>
      </w:r>
      <w:r>
        <w:rPr>
          <w:color w:val="1F487C"/>
          <w:spacing w:val="-10"/>
        </w:rPr>
        <w:t> </w:t>
      </w:r>
      <w:r>
        <w:rPr>
          <w:color w:val="1F487C"/>
        </w:rPr>
        <w:t>пациентов</w:t>
      </w:r>
      <w:r>
        <w:rPr>
          <w:color w:val="1F487C"/>
          <w:spacing w:val="-10"/>
        </w:rPr>
        <w:t> </w:t>
      </w:r>
      <w:r>
        <w:rPr>
          <w:color w:val="1F487C"/>
        </w:rPr>
        <w:t>пожилого и старческого возраста</w:t>
      </w:r>
    </w:p>
    <w:p>
      <w:pPr>
        <w:pStyle w:val="BodyText"/>
        <w:spacing w:line="276" w:lineRule="auto" w:before="119"/>
        <w:ind w:right="1274" w:firstLine="707"/>
      </w:pPr>
      <w:r>
        <w:rPr>
          <w:color w:val="1B1B1B"/>
        </w:rPr>
        <w:t>У пациентов старческого возраста может наблюдаться атипичная картина заболевания без лихорадки и кашля вследствие сниженной реактивности. Симптомы COVID-19</w:t>
      </w:r>
      <w:r>
        <w:rPr>
          <w:color w:val="1B1B1B"/>
          <w:spacing w:val="34"/>
        </w:rPr>
        <w:t> </w:t>
      </w:r>
      <w:r>
        <w:rPr>
          <w:color w:val="1B1B1B"/>
        </w:rPr>
        <w:t>могут</w:t>
      </w:r>
      <w:r>
        <w:rPr>
          <w:color w:val="1B1B1B"/>
          <w:spacing w:val="35"/>
        </w:rPr>
        <w:t> </w:t>
      </w:r>
      <w:r>
        <w:rPr>
          <w:color w:val="1B1B1B"/>
        </w:rPr>
        <w:t>быть</w:t>
      </w:r>
      <w:r>
        <w:rPr>
          <w:color w:val="1B1B1B"/>
          <w:spacing w:val="35"/>
        </w:rPr>
        <w:t> </w:t>
      </w:r>
      <w:r>
        <w:rPr>
          <w:color w:val="1B1B1B"/>
        </w:rPr>
        <w:t>невыраженными</w:t>
      </w:r>
      <w:r>
        <w:rPr>
          <w:color w:val="1B1B1B"/>
          <w:spacing w:val="35"/>
        </w:rPr>
        <w:t> </w:t>
      </w:r>
      <w:r>
        <w:rPr>
          <w:color w:val="1B1B1B"/>
        </w:rPr>
        <w:t>и</w:t>
      </w:r>
      <w:r>
        <w:rPr>
          <w:color w:val="1B1B1B"/>
          <w:spacing w:val="35"/>
        </w:rPr>
        <w:t> </w:t>
      </w:r>
      <w:r>
        <w:rPr>
          <w:color w:val="1B1B1B"/>
        </w:rPr>
        <w:t>не</w:t>
      </w:r>
      <w:r>
        <w:rPr>
          <w:color w:val="1B1B1B"/>
          <w:spacing w:val="33"/>
        </w:rPr>
        <w:t> </w:t>
      </w:r>
      <w:r>
        <w:rPr>
          <w:color w:val="1B1B1B"/>
        </w:rPr>
        <w:t>соответствовать</w:t>
      </w:r>
      <w:r>
        <w:rPr>
          <w:color w:val="1B1B1B"/>
          <w:spacing w:val="35"/>
        </w:rPr>
        <w:t> </w:t>
      </w:r>
      <w:r>
        <w:rPr>
          <w:color w:val="1B1B1B"/>
        </w:rPr>
        <w:t>тяжести</w:t>
      </w:r>
      <w:r>
        <w:rPr>
          <w:color w:val="1B1B1B"/>
          <w:spacing w:val="36"/>
        </w:rPr>
        <w:t> </w:t>
      </w:r>
      <w:r>
        <w:rPr>
          <w:color w:val="1B1B1B"/>
        </w:rPr>
        <w:t>заболевания и</w:t>
      </w:r>
      <w:r>
        <w:rPr>
          <w:color w:val="1B1B1B"/>
          <w:spacing w:val="-2"/>
        </w:rPr>
        <w:t> </w:t>
      </w:r>
      <w:r>
        <w:rPr>
          <w:color w:val="1B1B1B"/>
        </w:rPr>
        <w:t>серьезности</w:t>
      </w:r>
      <w:r>
        <w:rPr>
          <w:color w:val="1B1B1B"/>
          <w:spacing w:val="40"/>
        </w:rPr>
        <w:t> </w:t>
      </w:r>
      <w:r>
        <w:rPr>
          <w:color w:val="1B1B1B"/>
        </w:rPr>
        <w:t>прогноза.</w:t>
      </w:r>
      <w:r>
        <w:rPr>
          <w:color w:val="1B1B1B"/>
          <w:spacing w:val="40"/>
        </w:rPr>
        <w:t> </w:t>
      </w:r>
      <w:r>
        <w:rPr>
          <w:color w:val="1B1B1B"/>
        </w:rPr>
        <w:t>Атипичные</w:t>
      </w:r>
      <w:r>
        <w:rPr>
          <w:color w:val="1B1B1B"/>
          <w:spacing w:val="40"/>
        </w:rPr>
        <w:t> </w:t>
      </w:r>
      <w:r>
        <w:rPr>
          <w:color w:val="1B1B1B"/>
        </w:rPr>
        <w:t>симптомы</w:t>
      </w:r>
      <w:r>
        <w:rPr>
          <w:color w:val="1B1B1B"/>
          <w:spacing w:val="40"/>
        </w:rPr>
        <w:t> </w:t>
      </w:r>
      <w:r>
        <w:rPr>
          <w:color w:val="1B1B1B"/>
        </w:rPr>
        <w:t>COVID-19</w:t>
      </w:r>
      <w:r>
        <w:rPr>
          <w:color w:val="1B1B1B"/>
          <w:spacing w:val="40"/>
        </w:rPr>
        <w:t> </w:t>
      </w:r>
      <w:r>
        <w:rPr>
          <w:color w:val="1B1B1B"/>
        </w:rPr>
        <w:t>у</w:t>
      </w:r>
      <w:r>
        <w:rPr>
          <w:color w:val="1B1B1B"/>
          <w:spacing w:val="40"/>
        </w:rPr>
        <w:t> </w:t>
      </w:r>
      <w:r>
        <w:rPr>
          <w:color w:val="1B1B1B"/>
        </w:rPr>
        <w:t>пациентов</w:t>
      </w:r>
      <w:r>
        <w:rPr>
          <w:color w:val="1B1B1B"/>
          <w:spacing w:val="40"/>
        </w:rPr>
        <w:t> </w:t>
      </w:r>
      <w:r>
        <w:rPr>
          <w:color w:val="1B1B1B"/>
        </w:rPr>
        <w:t>пожилого</w:t>
      </w:r>
      <w:r>
        <w:rPr>
          <w:color w:val="1B1B1B"/>
          <w:spacing w:val="80"/>
        </w:rPr>
        <w:t> </w:t>
      </w:r>
      <w:r>
        <w:rPr>
          <w:color w:val="1B1B1B"/>
        </w:rPr>
        <w:t>и</w:t>
      </w:r>
      <w:r>
        <w:rPr>
          <w:color w:val="1B1B1B"/>
          <w:spacing w:val="-1"/>
        </w:rPr>
        <w:t> </w:t>
      </w:r>
      <w:r>
        <w:rPr>
          <w:color w:val="1B1B1B"/>
        </w:rPr>
        <w:t>старческого возраста включают делирий и бред. </w:t>
      </w:r>
      <w:r>
        <w:rPr/>
        <w:t>Для скрининга делирия рекомендуется использование краткой шкалы оценки спутанности сознания</w:t>
      </w:r>
      <w:r>
        <w:rPr>
          <w:spacing w:val="80"/>
        </w:rPr>
        <w:t> </w:t>
      </w:r>
      <w:r>
        <w:rPr/>
        <w:t>(таблица 1).</w:t>
      </w:r>
    </w:p>
    <w:p>
      <w:pPr>
        <w:pStyle w:val="Heading3"/>
        <w:spacing w:before="11"/>
        <w:ind w:left="1841"/>
      </w:pPr>
      <w:r>
        <w:rPr/>
        <w:t>Таблица</w:t>
      </w:r>
      <w:r>
        <w:rPr>
          <w:spacing w:val="-13"/>
        </w:rPr>
        <w:t> </w:t>
      </w:r>
      <w:r>
        <w:rPr/>
        <w:t>1.</w:t>
      </w:r>
      <w:r>
        <w:rPr>
          <w:spacing w:val="-12"/>
        </w:rPr>
        <w:t> </w:t>
      </w:r>
      <w:r>
        <w:rPr/>
        <w:t>Краткая</w:t>
      </w:r>
      <w:r>
        <w:rPr>
          <w:spacing w:val="-13"/>
        </w:rPr>
        <w:t> </w:t>
      </w:r>
      <w:r>
        <w:rPr/>
        <w:t>шкала</w:t>
      </w:r>
      <w:r>
        <w:rPr>
          <w:spacing w:val="-12"/>
        </w:rPr>
        <w:t> </w:t>
      </w:r>
      <w:r>
        <w:rPr/>
        <w:t>оценки</w:t>
      </w:r>
      <w:r>
        <w:rPr>
          <w:spacing w:val="-12"/>
        </w:rPr>
        <w:t> </w:t>
      </w:r>
      <w:r>
        <w:rPr/>
        <w:t>спутанности</w:t>
      </w:r>
      <w:r>
        <w:rPr>
          <w:spacing w:val="-12"/>
        </w:rPr>
        <w:t> </w:t>
      </w:r>
      <w:r>
        <w:rPr>
          <w:spacing w:val="-2"/>
        </w:rPr>
        <w:t>сознания</w:t>
      </w:r>
    </w:p>
    <w:p>
      <w:pPr>
        <w:pStyle w:val="BodyText"/>
        <w:spacing w:before="1"/>
        <w:ind w:left="0"/>
        <w:jc w:val="left"/>
        <w:rPr>
          <w:b/>
          <w:sz w:val="15"/>
        </w:rPr>
      </w:pPr>
    </w:p>
    <w:tbl>
      <w:tblPr>
        <w:tblW w:w="0" w:type="auto"/>
        <w:jc w:val="left"/>
        <w:tblInd w:w="18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376"/>
        <w:gridCol w:w="2552"/>
      </w:tblGrid>
      <w:tr>
        <w:trPr>
          <w:trHeight w:val="376" w:hRule="atLeast"/>
        </w:trPr>
        <w:tc>
          <w:tcPr>
            <w:tcW w:w="8928" w:type="dxa"/>
            <w:gridSpan w:val="2"/>
            <w:shd w:val="clear" w:color="auto" w:fill="D9D9D9"/>
          </w:tcPr>
          <w:p>
            <w:pPr>
              <w:pStyle w:val="TableParagraph"/>
              <w:spacing w:before="67"/>
              <w:ind w:left="53"/>
              <w:rPr>
                <w:b/>
                <w:sz w:val="22"/>
              </w:rPr>
            </w:pPr>
            <w:r>
              <w:rPr>
                <w:b/>
                <w:sz w:val="22"/>
              </w:rPr>
              <w:t>ЭТАП</w:t>
            </w:r>
            <w:r>
              <w:rPr>
                <w:b/>
                <w:spacing w:val="-3"/>
                <w:sz w:val="22"/>
              </w:rPr>
              <w:t> </w:t>
            </w:r>
            <w:r>
              <w:rPr>
                <w:b/>
                <w:spacing w:val="-10"/>
                <w:sz w:val="22"/>
              </w:rPr>
              <w:t>1</w:t>
            </w:r>
          </w:p>
        </w:tc>
      </w:tr>
      <w:tr>
        <w:trPr>
          <w:trHeight w:val="1917" w:hRule="atLeast"/>
        </w:trPr>
        <w:tc>
          <w:tcPr>
            <w:tcW w:w="6376" w:type="dxa"/>
          </w:tcPr>
          <w:p>
            <w:pPr>
              <w:pStyle w:val="TableParagraph"/>
              <w:spacing w:line="247" w:lineRule="auto" w:before="67"/>
              <w:ind w:left="53"/>
              <w:rPr>
                <w:sz w:val="22"/>
              </w:rPr>
            </w:pPr>
            <w:r>
              <w:rPr>
                <w:b/>
                <w:sz w:val="22"/>
              </w:rPr>
              <w:t>Острота и волнообразность изменений психического статуса</w:t>
            </w:r>
            <w:r>
              <w:rPr>
                <w:sz w:val="22"/>
              </w:rPr>
              <w:t>: Имеются</w:t>
            </w:r>
            <w:r>
              <w:rPr>
                <w:spacing w:val="80"/>
                <w:sz w:val="22"/>
              </w:rPr>
              <w:t> </w:t>
            </w:r>
            <w:r>
              <w:rPr>
                <w:sz w:val="22"/>
              </w:rPr>
              <w:t>ли</w:t>
            </w:r>
            <w:r>
              <w:rPr>
                <w:spacing w:val="80"/>
                <w:sz w:val="22"/>
              </w:rPr>
              <w:t> </w:t>
            </w:r>
            <w:r>
              <w:rPr>
                <w:sz w:val="22"/>
              </w:rPr>
              <w:t>изменения</w:t>
            </w:r>
            <w:r>
              <w:rPr>
                <w:spacing w:val="80"/>
                <w:sz w:val="22"/>
              </w:rPr>
              <w:t> </w:t>
            </w:r>
            <w:r>
              <w:rPr>
                <w:sz w:val="22"/>
              </w:rPr>
              <w:t>психического</w:t>
            </w:r>
            <w:r>
              <w:rPr>
                <w:spacing w:val="80"/>
                <w:sz w:val="22"/>
              </w:rPr>
              <w:t> </w:t>
            </w:r>
            <w:r>
              <w:rPr>
                <w:sz w:val="22"/>
              </w:rPr>
              <w:t>статуса</w:t>
            </w:r>
            <w:r>
              <w:rPr>
                <w:spacing w:val="80"/>
                <w:sz w:val="22"/>
              </w:rPr>
              <w:t> </w:t>
            </w:r>
            <w:r>
              <w:rPr>
                <w:sz w:val="22"/>
              </w:rPr>
              <w:t>относительно</w:t>
            </w:r>
            <w:r>
              <w:rPr>
                <w:spacing w:val="40"/>
                <w:sz w:val="22"/>
              </w:rPr>
              <w:t> </w:t>
            </w:r>
            <w:r>
              <w:rPr>
                <w:sz w:val="22"/>
              </w:rPr>
              <w:t>исходного уровня?</w:t>
            </w:r>
          </w:p>
          <w:p>
            <w:pPr>
              <w:pStyle w:val="TableParagraph"/>
              <w:spacing w:before="5"/>
              <w:ind w:left="53"/>
              <w:rPr>
                <w:sz w:val="22"/>
              </w:rPr>
            </w:pPr>
            <w:r>
              <w:rPr>
                <w:spacing w:val="-5"/>
                <w:sz w:val="22"/>
              </w:rPr>
              <w:t>ИЛИ</w:t>
            </w:r>
          </w:p>
          <w:p>
            <w:pPr>
              <w:pStyle w:val="TableParagraph"/>
              <w:spacing w:line="242" w:lineRule="auto" w:before="11"/>
              <w:ind w:left="53" w:right="12"/>
              <w:rPr>
                <w:sz w:val="22"/>
              </w:rPr>
            </w:pPr>
            <w:r>
              <w:rPr>
                <w:sz w:val="22"/>
              </w:rPr>
              <w:t>Отмечались</w:t>
            </w:r>
            <w:r>
              <w:rPr>
                <w:spacing w:val="36"/>
                <w:sz w:val="22"/>
              </w:rPr>
              <w:t> </w:t>
            </w:r>
            <w:r>
              <w:rPr>
                <w:sz w:val="22"/>
              </w:rPr>
              <w:t>ли</w:t>
            </w:r>
            <w:r>
              <w:rPr>
                <w:spacing w:val="38"/>
                <w:sz w:val="22"/>
              </w:rPr>
              <w:t> </w:t>
            </w:r>
            <w:r>
              <w:rPr>
                <w:sz w:val="22"/>
              </w:rPr>
              <w:t>волнообразные</w:t>
            </w:r>
            <w:r>
              <w:rPr>
                <w:spacing w:val="39"/>
                <w:sz w:val="22"/>
              </w:rPr>
              <w:t> </w:t>
            </w:r>
            <w:r>
              <w:rPr>
                <w:sz w:val="22"/>
              </w:rPr>
              <w:t>изменения</w:t>
            </w:r>
            <w:r>
              <w:rPr>
                <w:spacing w:val="38"/>
                <w:sz w:val="22"/>
              </w:rPr>
              <w:t> </w:t>
            </w:r>
            <w:r>
              <w:rPr>
                <w:sz w:val="22"/>
              </w:rPr>
              <w:t>психического</w:t>
            </w:r>
            <w:r>
              <w:rPr>
                <w:spacing w:val="36"/>
                <w:sz w:val="22"/>
              </w:rPr>
              <w:t> </w:t>
            </w:r>
            <w:r>
              <w:rPr>
                <w:sz w:val="22"/>
              </w:rPr>
              <w:t>статуса в течение последних 24 часов?</w:t>
            </w:r>
          </w:p>
        </w:tc>
        <w:tc>
          <w:tcPr>
            <w:tcW w:w="2552" w:type="dxa"/>
          </w:tcPr>
          <w:p>
            <w:pPr>
              <w:pStyle w:val="TableParagraph"/>
              <w:spacing w:before="65"/>
              <w:ind w:left="47" w:right="49"/>
              <w:jc w:val="both"/>
              <w:rPr>
                <w:b/>
                <w:sz w:val="22"/>
              </w:rPr>
            </w:pPr>
            <w:r>
              <w:rPr>
                <w:sz w:val="22"/>
              </w:rPr>
              <w:t>Если ответы на оба вопроса «НЕТ» </w:t>
            </w:r>
            <w:r>
              <w:rPr>
                <w:sz w:val="22"/>
              </w:rPr>
              <w:t>→ </w:t>
            </w:r>
            <w:r>
              <w:rPr>
                <w:b/>
                <w:sz w:val="22"/>
              </w:rPr>
              <w:t>ДЕЛИРИЯ НЕТ</w:t>
            </w:r>
          </w:p>
          <w:p>
            <w:pPr>
              <w:pStyle w:val="TableParagraph"/>
              <w:spacing w:before="28"/>
              <w:rPr>
                <w:b/>
                <w:sz w:val="22"/>
              </w:rPr>
            </w:pPr>
          </w:p>
          <w:p>
            <w:pPr>
              <w:pStyle w:val="TableParagraph"/>
              <w:spacing w:before="1"/>
              <w:ind w:left="47"/>
              <w:jc w:val="both"/>
              <w:rPr>
                <w:sz w:val="22"/>
              </w:rPr>
            </w:pPr>
            <w:r>
              <w:rPr>
                <w:sz w:val="22"/>
              </w:rPr>
              <w:t>На</w:t>
            </w:r>
            <w:r>
              <w:rPr>
                <w:spacing w:val="-4"/>
                <w:sz w:val="22"/>
              </w:rPr>
              <w:t> </w:t>
            </w:r>
            <w:r>
              <w:rPr>
                <w:sz w:val="22"/>
              </w:rPr>
              <w:t>1</w:t>
            </w:r>
            <w:r>
              <w:rPr>
                <w:spacing w:val="-3"/>
                <w:sz w:val="22"/>
              </w:rPr>
              <w:t> </w:t>
            </w:r>
            <w:r>
              <w:rPr>
                <w:sz w:val="22"/>
              </w:rPr>
              <w:t>вопрос</w:t>
            </w:r>
            <w:r>
              <w:rPr>
                <w:spacing w:val="-2"/>
                <w:sz w:val="22"/>
              </w:rPr>
              <w:t> </w:t>
            </w:r>
            <w:r>
              <w:rPr>
                <w:sz w:val="22"/>
              </w:rPr>
              <w:t>«ДА»</w:t>
            </w:r>
            <w:r>
              <w:rPr>
                <w:spacing w:val="-2"/>
                <w:sz w:val="22"/>
              </w:rPr>
              <w:t> </w:t>
            </w:r>
            <w:r>
              <w:rPr>
                <w:spacing w:val="-10"/>
                <w:sz w:val="22"/>
              </w:rPr>
              <w:t>→</w:t>
            </w:r>
          </w:p>
          <w:p>
            <w:pPr>
              <w:pStyle w:val="TableParagraph"/>
              <w:spacing w:before="15"/>
              <w:ind w:left="47"/>
              <w:jc w:val="both"/>
              <w:rPr>
                <w:b/>
                <w:sz w:val="22"/>
              </w:rPr>
            </w:pPr>
            <w:r>
              <w:rPr>
                <w:b/>
                <w:sz w:val="22"/>
              </w:rPr>
              <w:t>этап</w:t>
            </w:r>
            <w:r>
              <w:rPr>
                <w:b/>
                <w:spacing w:val="-3"/>
                <w:sz w:val="22"/>
              </w:rPr>
              <w:t> </w:t>
            </w:r>
            <w:r>
              <w:rPr>
                <w:b/>
                <w:spacing w:val="-10"/>
                <w:sz w:val="22"/>
              </w:rPr>
              <w:t>2</w:t>
            </w:r>
          </w:p>
        </w:tc>
      </w:tr>
      <w:tr>
        <w:trPr>
          <w:trHeight w:val="376" w:hRule="atLeast"/>
        </w:trPr>
        <w:tc>
          <w:tcPr>
            <w:tcW w:w="8928" w:type="dxa"/>
            <w:gridSpan w:val="2"/>
            <w:shd w:val="clear" w:color="auto" w:fill="D9D9D9"/>
          </w:tcPr>
          <w:p>
            <w:pPr>
              <w:pStyle w:val="TableParagraph"/>
              <w:spacing w:before="65"/>
              <w:ind w:left="53"/>
              <w:rPr>
                <w:b/>
                <w:sz w:val="22"/>
              </w:rPr>
            </w:pPr>
            <w:r>
              <w:rPr>
                <w:b/>
                <w:sz w:val="22"/>
              </w:rPr>
              <w:t>ЭТАП</w:t>
            </w:r>
            <w:r>
              <w:rPr>
                <w:b/>
                <w:spacing w:val="-3"/>
                <w:sz w:val="22"/>
              </w:rPr>
              <w:t> </w:t>
            </w:r>
            <w:r>
              <w:rPr>
                <w:b/>
                <w:spacing w:val="-10"/>
                <w:sz w:val="22"/>
              </w:rPr>
              <w:t>2</w:t>
            </w:r>
          </w:p>
        </w:tc>
      </w:tr>
      <w:tr>
        <w:trPr>
          <w:trHeight w:val="1595" w:hRule="atLeast"/>
        </w:trPr>
        <w:tc>
          <w:tcPr>
            <w:tcW w:w="6376" w:type="dxa"/>
          </w:tcPr>
          <w:p>
            <w:pPr>
              <w:pStyle w:val="TableParagraph"/>
              <w:spacing w:before="65"/>
              <w:ind w:left="53"/>
              <w:rPr>
                <w:sz w:val="22"/>
              </w:rPr>
            </w:pPr>
            <w:r>
              <w:rPr>
                <w:b/>
                <w:sz w:val="22"/>
              </w:rPr>
              <w:t>Нарушение</w:t>
            </w:r>
            <w:r>
              <w:rPr>
                <w:b/>
                <w:spacing w:val="-8"/>
                <w:sz w:val="22"/>
              </w:rPr>
              <w:t> </w:t>
            </w:r>
            <w:r>
              <w:rPr>
                <w:b/>
                <w:spacing w:val="-2"/>
                <w:sz w:val="22"/>
              </w:rPr>
              <w:t>внимания</w:t>
            </w:r>
            <w:r>
              <w:rPr>
                <w:spacing w:val="-2"/>
                <w:sz w:val="22"/>
              </w:rPr>
              <w:t>:</w:t>
            </w:r>
          </w:p>
          <w:p>
            <w:pPr>
              <w:pStyle w:val="TableParagraph"/>
              <w:spacing w:before="13"/>
              <w:ind w:left="53"/>
              <w:rPr>
                <w:sz w:val="22"/>
              </w:rPr>
            </w:pPr>
            <w:r>
              <w:rPr>
                <w:sz w:val="22"/>
              </w:rPr>
              <w:t>«Сжимайте</w:t>
            </w:r>
            <w:r>
              <w:rPr>
                <w:spacing w:val="-6"/>
                <w:sz w:val="22"/>
              </w:rPr>
              <w:t> </w:t>
            </w:r>
            <w:r>
              <w:rPr>
                <w:sz w:val="22"/>
              </w:rPr>
              <w:t>мою</w:t>
            </w:r>
            <w:r>
              <w:rPr>
                <w:spacing w:val="-3"/>
                <w:sz w:val="22"/>
              </w:rPr>
              <w:t> </w:t>
            </w:r>
            <w:r>
              <w:rPr>
                <w:sz w:val="22"/>
              </w:rPr>
              <w:t>руку</w:t>
            </w:r>
            <w:r>
              <w:rPr>
                <w:spacing w:val="-3"/>
                <w:sz w:val="22"/>
              </w:rPr>
              <w:t> </w:t>
            </w:r>
            <w:r>
              <w:rPr>
                <w:sz w:val="22"/>
              </w:rPr>
              <w:t>каждый</w:t>
            </w:r>
            <w:r>
              <w:rPr>
                <w:spacing w:val="-3"/>
                <w:sz w:val="22"/>
              </w:rPr>
              <w:t> </w:t>
            </w:r>
            <w:r>
              <w:rPr>
                <w:sz w:val="22"/>
              </w:rPr>
              <w:t>раз,</w:t>
            </w:r>
            <w:r>
              <w:rPr>
                <w:spacing w:val="-5"/>
                <w:sz w:val="22"/>
              </w:rPr>
              <w:t> </w:t>
            </w:r>
            <w:r>
              <w:rPr>
                <w:sz w:val="22"/>
              </w:rPr>
              <w:t>когда</w:t>
            </w:r>
            <w:r>
              <w:rPr>
                <w:spacing w:val="-3"/>
                <w:sz w:val="22"/>
              </w:rPr>
              <w:t> </w:t>
            </w:r>
            <w:r>
              <w:rPr>
                <w:sz w:val="22"/>
              </w:rPr>
              <w:t>я</w:t>
            </w:r>
            <w:r>
              <w:rPr>
                <w:spacing w:val="-4"/>
                <w:sz w:val="22"/>
              </w:rPr>
              <w:t> </w:t>
            </w:r>
            <w:r>
              <w:rPr>
                <w:sz w:val="22"/>
              </w:rPr>
              <w:t>скажу</w:t>
            </w:r>
            <w:r>
              <w:rPr>
                <w:spacing w:val="-3"/>
                <w:sz w:val="22"/>
              </w:rPr>
              <w:t> </w:t>
            </w:r>
            <w:r>
              <w:rPr>
                <w:sz w:val="22"/>
              </w:rPr>
              <w:t>букву</w:t>
            </w:r>
            <w:r>
              <w:rPr>
                <w:spacing w:val="-3"/>
                <w:sz w:val="22"/>
              </w:rPr>
              <w:t> </w:t>
            </w:r>
            <w:r>
              <w:rPr>
                <w:spacing w:val="-5"/>
                <w:sz w:val="22"/>
              </w:rPr>
              <w:t>А»</w:t>
            </w:r>
          </w:p>
          <w:p>
            <w:pPr>
              <w:pStyle w:val="TableParagraph"/>
              <w:spacing w:line="252" w:lineRule="auto" w:before="15"/>
              <w:ind w:left="53" w:right="1327"/>
              <w:rPr>
                <w:sz w:val="22"/>
              </w:rPr>
            </w:pPr>
            <w:r>
              <w:rPr>
                <w:sz w:val="22"/>
              </w:rPr>
              <w:t>«Прочитайте</w:t>
            </w:r>
            <w:r>
              <w:rPr>
                <w:spacing w:val="-14"/>
                <w:sz w:val="22"/>
              </w:rPr>
              <w:t> </w:t>
            </w:r>
            <w:r>
              <w:rPr>
                <w:sz w:val="22"/>
              </w:rPr>
              <w:t>следующую</w:t>
            </w:r>
            <w:r>
              <w:rPr>
                <w:spacing w:val="-14"/>
                <w:sz w:val="22"/>
              </w:rPr>
              <w:t> </w:t>
            </w:r>
            <w:r>
              <w:rPr>
                <w:sz w:val="22"/>
              </w:rPr>
              <w:t>последовательность</w:t>
            </w:r>
            <w:r>
              <w:rPr>
                <w:spacing w:val="-14"/>
                <w:sz w:val="22"/>
              </w:rPr>
              <w:t> </w:t>
            </w:r>
            <w:r>
              <w:rPr>
                <w:sz w:val="22"/>
              </w:rPr>
              <w:t>букв: Л А М П А А Л А Д Д И Н А»</w:t>
            </w:r>
          </w:p>
          <w:p>
            <w:pPr>
              <w:pStyle w:val="TableParagraph"/>
              <w:spacing w:before="2"/>
              <w:ind w:left="53"/>
              <w:rPr>
                <w:sz w:val="22"/>
              </w:rPr>
            </w:pPr>
            <w:r>
              <w:rPr>
                <w:sz w:val="22"/>
              </w:rPr>
              <w:t>ОШИБКИ:</w:t>
            </w:r>
            <w:r>
              <w:rPr>
                <w:spacing w:val="-4"/>
                <w:sz w:val="22"/>
              </w:rPr>
              <w:t> </w:t>
            </w:r>
            <w:r>
              <w:rPr>
                <w:sz w:val="22"/>
              </w:rPr>
              <w:t>не</w:t>
            </w:r>
            <w:r>
              <w:rPr>
                <w:spacing w:val="-3"/>
                <w:sz w:val="22"/>
              </w:rPr>
              <w:t> </w:t>
            </w:r>
            <w:r>
              <w:rPr>
                <w:sz w:val="22"/>
              </w:rPr>
              <w:t>сжимает</w:t>
            </w:r>
            <w:r>
              <w:rPr>
                <w:spacing w:val="-3"/>
                <w:sz w:val="22"/>
              </w:rPr>
              <w:t> </w:t>
            </w:r>
            <w:r>
              <w:rPr>
                <w:sz w:val="22"/>
              </w:rPr>
              <w:t>на</w:t>
            </w:r>
            <w:r>
              <w:rPr>
                <w:spacing w:val="-6"/>
                <w:sz w:val="22"/>
              </w:rPr>
              <w:t> </w:t>
            </w:r>
            <w:r>
              <w:rPr>
                <w:sz w:val="22"/>
              </w:rPr>
              <w:t>букву</w:t>
            </w:r>
            <w:r>
              <w:rPr>
                <w:spacing w:val="-2"/>
                <w:sz w:val="22"/>
              </w:rPr>
              <w:t> </w:t>
            </w:r>
            <w:r>
              <w:rPr>
                <w:sz w:val="22"/>
              </w:rPr>
              <w:t>А</w:t>
            </w:r>
            <w:r>
              <w:rPr>
                <w:spacing w:val="-4"/>
                <w:sz w:val="22"/>
              </w:rPr>
              <w:t> </w:t>
            </w:r>
            <w:r>
              <w:rPr>
                <w:sz w:val="22"/>
              </w:rPr>
              <w:t>и</w:t>
            </w:r>
            <w:r>
              <w:rPr>
                <w:spacing w:val="-3"/>
                <w:sz w:val="22"/>
              </w:rPr>
              <w:t> </w:t>
            </w:r>
            <w:r>
              <w:rPr>
                <w:sz w:val="22"/>
              </w:rPr>
              <w:t>сжимает</w:t>
            </w:r>
            <w:r>
              <w:rPr>
                <w:spacing w:val="-3"/>
                <w:sz w:val="22"/>
              </w:rPr>
              <w:t> </w:t>
            </w:r>
            <w:r>
              <w:rPr>
                <w:sz w:val="22"/>
              </w:rPr>
              <w:t>на</w:t>
            </w:r>
            <w:r>
              <w:rPr>
                <w:spacing w:val="-3"/>
                <w:sz w:val="22"/>
              </w:rPr>
              <w:t> </w:t>
            </w:r>
            <w:r>
              <w:rPr>
                <w:sz w:val="22"/>
              </w:rPr>
              <w:t>другие</w:t>
            </w:r>
            <w:r>
              <w:rPr>
                <w:spacing w:val="-2"/>
                <w:sz w:val="22"/>
              </w:rPr>
              <w:t> буквы</w:t>
            </w:r>
          </w:p>
        </w:tc>
        <w:tc>
          <w:tcPr>
            <w:tcW w:w="2552" w:type="dxa"/>
          </w:tcPr>
          <w:p>
            <w:pPr>
              <w:pStyle w:val="TableParagraph"/>
              <w:spacing w:before="65"/>
              <w:ind w:left="47"/>
              <w:rPr>
                <w:sz w:val="22"/>
              </w:rPr>
            </w:pPr>
            <w:r>
              <w:rPr>
                <w:sz w:val="22"/>
              </w:rPr>
              <w:t>0-2</w:t>
            </w:r>
            <w:r>
              <w:rPr>
                <w:spacing w:val="-2"/>
                <w:sz w:val="22"/>
              </w:rPr>
              <w:t> </w:t>
            </w:r>
            <w:r>
              <w:rPr>
                <w:sz w:val="22"/>
              </w:rPr>
              <w:t>ошибки</w:t>
            </w:r>
            <w:r>
              <w:rPr>
                <w:spacing w:val="-3"/>
                <w:sz w:val="22"/>
              </w:rPr>
              <w:t> </w:t>
            </w:r>
            <w:r>
              <w:rPr>
                <w:spacing w:val="-10"/>
                <w:sz w:val="22"/>
              </w:rPr>
              <w:t>→</w:t>
            </w:r>
          </w:p>
          <w:p>
            <w:pPr>
              <w:pStyle w:val="TableParagraph"/>
              <w:spacing w:before="13"/>
              <w:ind w:left="47"/>
              <w:rPr>
                <w:b/>
                <w:sz w:val="22"/>
              </w:rPr>
            </w:pPr>
            <w:r>
              <w:rPr>
                <w:b/>
                <w:sz w:val="22"/>
              </w:rPr>
              <w:t>ДЕЛИРИЯ</w:t>
            </w:r>
            <w:r>
              <w:rPr>
                <w:b/>
                <w:spacing w:val="-6"/>
                <w:sz w:val="22"/>
              </w:rPr>
              <w:t> </w:t>
            </w:r>
            <w:r>
              <w:rPr>
                <w:b/>
                <w:spacing w:val="-5"/>
                <w:sz w:val="22"/>
              </w:rPr>
              <w:t>НЕТ</w:t>
            </w:r>
          </w:p>
          <w:p>
            <w:pPr>
              <w:pStyle w:val="TableParagraph"/>
              <w:spacing w:before="28"/>
              <w:rPr>
                <w:b/>
                <w:sz w:val="22"/>
              </w:rPr>
            </w:pPr>
          </w:p>
          <w:p>
            <w:pPr>
              <w:pStyle w:val="TableParagraph"/>
              <w:ind w:left="102"/>
              <w:rPr>
                <w:b/>
                <w:sz w:val="22"/>
              </w:rPr>
            </w:pPr>
            <w:r>
              <w:rPr>
                <w:sz w:val="22"/>
              </w:rPr>
              <w:t>≥</w:t>
            </w:r>
            <w:r>
              <w:rPr>
                <w:spacing w:val="-2"/>
                <w:sz w:val="22"/>
              </w:rPr>
              <w:t> </w:t>
            </w:r>
            <w:r>
              <w:rPr>
                <w:sz w:val="22"/>
              </w:rPr>
              <w:t>2</w:t>
            </w:r>
            <w:r>
              <w:rPr>
                <w:spacing w:val="-2"/>
                <w:sz w:val="22"/>
              </w:rPr>
              <w:t> </w:t>
            </w:r>
            <w:r>
              <w:rPr>
                <w:sz w:val="22"/>
              </w:rPr>
              <w:t>ошибок</w:t>
            </w:r>
            <w:r>
              <w:rPr>
                <w:spacing w:val="-2"/>
                <w:sz w:val="22"/>
              </w:rPr>
              <w:t> </w:t>
            </w:r>
            <w:r>
              <w:rPr>
                <w:sz w:val="22"/>
              </w:rPr>
              <w:t>→</w:t>
            </w:r>
            <w:r>
              <w:rPr>
                <w:spacing w:val="-2"/>
                <w:sz w:val="22"/>
              </w:rPr>
              <w:t> </w:t>
            </w:r>
            <w:r>
              <w:rPr>
                <w:b/>
                <w:sz w:val="22"/>
              </w:rPr>
              <w:t>этап</w:t>
            </w:r>
            <w:r>
              <w:rPr>
                <w:b/>
                <w:spacing w:val="-2"/>
                <w:sz w:val="22"/>
              </w:rPr>
              <w:t> </w:t>
            </w:r>
            <w:r>
              <w:rPr>
                <w:b/>
                <w:spacing w:val="-10"/>
                <w:sz w:val="22"/>
              </w:rPr>
              <w:t>3</w:t>
            </w:r>
          </w:p>
        </w:tc>
      </w:tr>
      <w:tr>
        <w:trPr>
          <w:trHeight w:val="376" w:hRule="atLeast"/>
        </w:trPr>
        <w:tc>
          <w:tcPr>
            <w:tcW w:w="8928" w:type="dxa"/>
            <w:gridSpan w:val="2"/>
            <w:shd w:val="clear" w:color="auto" w:fill="D9D9D9"/>
          </w:tcPr>
          <w:p>
            <w:pPr>
              <w:pStyle w:val="TableParagraph"/>
              <w:spacing w:before="63"/>
              <w:ind w:left="53"/>
              <w:rPr>
                <w:b/>
                <w:sz w:val="22"/>
              </w:rPr>
            </w:pPr>
            <w:r>
              <w:rPr>
                <w:b/>
                <w:sz w:val="22"/>
              </w:rPr>
              <w:t>ЭТАП</w:t>
            </w:r>
            <w:r>
              <w:rPr>
                <w:b/>
                <w:spacing w:val="-3"/>
                <w:sz w:val="22"/>
              </w:rPr>
              <w:t> </w:t>
            </w:r>
            <w:r>
              <w:rPr>
                <w:b/>
                <w:spacing w:val="-10"/>
                <w:sz w:val="22"/>
              </w:rPr>
              <w:t>3</w:t>
            </w:r>
          </w:p>
        </w:tc>
      </w:tr>
      <w:tr>
        <w:trPr>
          <w:trHeight w:val="911" w:hRule="atLeast"/>
        </w:trPr>
        <w:tc>
          <w:tcPr>
            <w:tcW w:w="6376" w:type="dxa"/>
          </w:tcPr>
          <w:p>
            <w:pPr>
              <w:pStyle w:val="TableParagraph"/>
              <w:spacing w:before="65"/>
              <w:ind w:left="53"/>
              <w:rPr>
                <w:b/>
                <w:sz w:val="22"/>
              </w:rPr>
            </w:pPr>
            <w:r>
              <w:rPr>
                <w:b/>
                <w:sz w:val="22"/>
              </w:rPr>
              <w:t>Изменения</w:t>
            </w:r>
            <w:r>
              <w:rPr>
                <w:b/>
                <w:spacing w:val="-7"/>
                <w:sz w:val="22"/>
              </w:rPr>
              <w:t> </w:t>
            </w:r>
            <w:r>
              <w:rPr>
                <w:b/>
                <w:sz w:val="22"/>
              </w:rPr>
              <w:t>уровня</w:t>
            </w:r>
            <w:r>
              <w:rPr>
                <w:b/>
                <w:spacing w:val="-6"/>
                <w:sz w:val="22"/>
              </w:rPr>
              <w:t> </w:t>
            </w:r>
            <w:r>
              <w:rPr>
                <w:b/>
                <w:spacing w:val="-2"/>
                <w:sz w:val="22"/>
              </w:rPr>
              <w:t>сознания</w:t>
            </w:r>
          </w:p>
          <w:p>
            <w:pPr>
              <w:pStyle w:val="TableParagraph"/>
              <w:spacing w:before="13"/>
              <w:ind w:left="53"/>
              <w:rPr>
                <w:sz w:val="22"/>
              </w:rPr>
            </w:pPr>
            <w:r>
              <w:rPr>
                <w:sz w:val="22"/>
              </w:rPr>
              <w:t>Уровень</w:t>
            </w:r>
            <w:r>
              <w:rPr>
                <w:spacing w:val="-7"/>
                <w:sz w:val="22"/>
              </w:rPr>
              <w:t> </w:t>
            </w:r>
            <w:r>
              <w:rPr>
                <w:sz w:val="22"/>
              </w:rPr>
              <w:t>сознания</w:t>
            </w:r>
            <w:r>
              <w:rPr>
                <w:spacing w:val="-6"/>
                <w:sz w:val="22"/>
              </w:rPr>
              <w:t> </w:t>
            </w:r>
            <w:r>
              <w:rPr>
                <w:sz w:val="22"/>
              </w:rPr>
              <w:t>на</w:t>
            </w:r>
            <w:r>
              <w:rPr>
                <w:spacing w:val="-7"/>
                <w:sz w:val="22"/>
              </w:rPr>
              <w:t> </w:t>
            </w:r>
            <w:r>
              <w:rPr>
                <w:sz w:val="22"/>
              </w:rPr>
              <w:t>текущий</w:t>
            </w:r>
            <w:r>
              <w:rPr>
                <w:spacing w:val="-6"/>
                <w:sz w:val="22"/>
              </w:rPr>
              <w:t> </w:t>
            </w:r>
            <w:r>
              <w:rPr>
                <w:spacing w:val="-2"/>
                <w:sz w:val="22"/>
              </w:rPr>
              <w:t>момент</w:t>
            </w:r>
          </w:p>
        </w:tc>
        <w:tc>
          <w:tcPr>
            <w:tcW w:w="2552" w:type="dxa"/>
          </w:tcPr>
          <w:p>
            <w:pPr>
              <w:pStyle w:val="TableParagraph"/>
              <w:spacing w:before="65"/>
              <w:ind w:left="47"/>
              <w:rPr>
                <w:sz w:val="22"/>
              </w:rPr>
            </w:pPr>
            <w:r>
              <w:rPr>
                <w:sz w:val="22"/>
              </w:rPr>
              <w:t>RASS*</w:t>
            </w:r>
            <w:r>
              <w:rPr>
                <w:spacing w:val="-2"/>
                <w:sz w:val="22"/>
              </w:rPr>
              <w:t> </w:t>
            </w:r>
            <w:r>
              <w:rPr>
                <w:sz w:val="22"/>
              </w:rPr>
              <w:t>не</w:t>
            </w:r>
            <w:r>
              <w:rPr>
                <w:spacing w:val="-1"/>
                <w:sz w:val="22"/>
              </w:rPr>
              <w:t> </w:t>
            </w:r>
            <w:r>
              <w:rPr>
                <w:sz w:val="22"/>
              </w:rPr>
              <w:t>0</w:t>
            </w:r>
            <w:r>
              <w:rPr>
                <w:spacing w:val="-2"/>
                <w:sz w:val="22"/>
              </w:rPr>
              <w:t> </w:t>
            </w:r>
            <w:r>
              <w:rPr>
                <w:spacing w:val="-10"/>
                <w:sz w:val="22"/>
              </w:rPr>
              <w:t>→</w:t>
            </w:r>
          </w:p>
          <w:p>
            <w:pPr>
              <w:pStyle w:val="TableParagraph"/>
              <w:spacing w:before="13"/>
              <w:ind w:left="47"/>
              <w:rPr>
                <w:b/>
                <w:sz w:val="22"/>
              </w:rPr>
            </w:pPr>
            <w:r>
              <w:rPr>
                <w:b/>
                <w:sz w:val="22"/>
              </w:rPr>
              <w:t>ДЕЛИРИЙ</w:t>
            </w:r>
            <w:r>
              <w:rPr>
                <w:b/>
                <w:spacing w:val="-8"/>
                <w:sz w:val="22"/>
              </w:rPr>
              <w:t> </w:t>
            </w:r>
            <w:r>
              <w:rPr>
                <w:b/>
                <w:spacing w:val="-4"/>
                <w:sz w:val="22"/>
              </w:rPr>
              <w:t>ЕСТЬ</w:t>
            </w:r>
          </w:p>
          <w:p>
            <w:pPr>
              <w:pStyle w:val="TableParagraph"/>
              <w:spacing w:before="13"/>
              <w:ind w:left="47"/>
              <w:rPr>
                <w:b/>
                <w:sz w:val="22"/>
              </w:rPr>
            </w:pPr>
            <w:r>
              <w:rPr>
                <w:sz w:val="22"/>
              </w:rPr>
              <w:t>RASS*</w:t>
            </w:r>
            <w:r>
              <w:rPr>
                <w:spacing w:val="-4"/>
                <w:sz w:val="22"/>
              </w:rPr>
              <w:t> </w:t>
            </w:r>
            <w:r>
              <w:rPr>
                <w:sz w:val="22"/>
              </w:rPr>
              <w:t>=</w:t>
            </w:r>
            <w:r>
              <w:rPr>
                <w:spacing w:val="-1"/>
                <w:sz w:val="22"/>
              </w:rPr>
              <w:t> </w:t>
            </w:r>
            <w:r>
              <w:rPr>
                <w:sz w:val="22"/>
              </w:rPr>
              <w:t>0</w:t>
            </w:r>
            <w:r>
              <w:rPr>
                <w:spacing w:val="-2"/>
                <w:sz w:val="22"/>
              </w:rPr>
              <w:t> </w:t>
            </w:r>
            <w:r>
              <w:rPr>
                <w:b/>
                <w:sz w:val="22"/>
              </w:rPr>
              <w:t>→</w:t>
            </w:r>
            <w:r>
              <w:rPr>
                <w:b/>
                <w:spacing w:val="-1"/>
                <w:sz w:val="22"/>
              </w:rPr>
              <w:t> </w:t>
            </w:r>
            <w:r>
              <w:rPr>
                <w:b/>
                <w:sz w:val="22"/>
              </w:rPr>
              <w:t>этап</w:t>
            </w:r>
            <w:r>
              <w:rPr>
                <w:b/>
                <w:spacing w:val="-1"/>
                <w:sz w:val="22"/>
              </w:rPr>
              <w:t> </w:t>
            </w:r>
            <w:r>
              <w:rPr>
                <w:b/>
                <w:spacing w:val="-10"/>
                <w:sz w:val="22"/>
              </w:rPr>
              <w:t>4</w:t>
            </w:r>
          </w:p>
        </w:tc>
      </w:tr>
      <w:tr>
        <w:trPr>
          <w:trHeight w:val="376" w:hRule="atLeast"/>
        </w:trPr>
        <w:tc>
          <w:tcPr>
            <w:tcW w:w="8928" w:type="dxa"/>
            <w:gridSpan w:val="2"/>
            <w:shd w:val="clear" w:color="auto" w:fill="D9D9D9"/>
          </w:tcPr>
          <w:p>
            <w:pPr>
              <w:pStyle w:val="TableParagraph"/>
              <w:spacing w:before="62"/>
              <w:ind w:left="53"/>
              <w:rPr>
                <w:b/>
                <w:sz w:val="22"/>
              </w:rPr>
            </w:pPr>
            <w:r>
              <w:rPr>
                <w:b/>
                <w:sz w:val="22"/>
              </w:rPr>
              <w:t>ЭТАП</w:t>
            </w:r>
            <w:r>
              <w:rPr>
                <w:b/>
                <w:spacing w:val="-3"/>
                <w:sz w:val="22"/>
              </w:rPr>
              <w:t> </w:t>
            </w:r>
            <w:r>
              <w:rPr>
                <w:b/>
                <w:spacing w:val="-10"/>
                <w:sz w:val="22"/>
              </w:rPr>
              <w:t>4</w:t>
            </w:r>
          </w:p>
        </w:tc>
      </w:tr>
      <w:tr>
        <w:trPr>
          <w:trHeight w:val="3033" w:hRule="atLeast"/>
        </w:trPr>
        <w:tc>
          <w:tcPr>
            <w:tcW w:w="6376" w:type="dxa"/>
          </w:tcPr>
          <w:p>
            <w:pPr>
              <w:pStyle w:val="TableParagraph"/>
              <w:spacing w:before="64"/>
              <w:ind w:left="53"/>
              <w:rPr>
                <w:sz w:val="22"/>
              </w:rPr>
            </w:pPr>
            <w:r>
              <w:rPr>
                <w:b/>
                <w:spacing w:val="-2"/>
                <w:sz w:val="22"/>
              </w:rPr>
              <w:t>Дезорганизованное</w:t>
            </w:r>
            <w:r>
              <w:rPr>
                <w:b/>
                <w:spacing w:val="19"/>
                <w:sz w:val="22"/>
              </w:rPr>
              <w:t> </w:t>
            </w:r>
            <w:r>
              <w:rPr>
                <w:b/>
                <w:spacing w:val="-2"/>
                <w:sz w:val="22"/>
              </w:rPr>
              <w:t>мышление</w:t>
            </w:r>
            <w:r>
              <w:rPr>
                <w:spacing w:val="-2"/>
                <w:sz w:val="22"/>
              </w:rPr>
              <w:t>:</w:t>
            </w:r>
          </w:p>
          <w:p>
            <w:pPr>
              <w:pStyle w:val="TableParagraph"/>
              <w:numPr>
                <w:ilvl w:val="0"/>
                <w:numId w:val="11"/>
              </w:numPr>
              <w:tabs>
                <w:tab w:pos="273" w:val="left" w:leader="none"/>
              </w:tabs>
              <w:spacing w:line="240" w:lineRule="auto" w:before="13" w:after="0"/>
              <w:ind w:left="273" w:right="0" w:hanging="220"/>
              <w:jc w:val="left"/>
              <w:rPr>
                <w:sz w:val="22"/>
              </w:rPr>
            </w:pPr>
            <w:r>
              <w:rPr>
                <w:sz w:val="22"/>
              </w:rPr>
              <w:t>Камень</w:t>
            </w:r>
            <w:r>
              <w:rPr>
                <w:spacing w:val="-4"/>
                <w:sz w:val="22"/>
              </w:rPr>
              <w:t> </w:t>
            </w:r>
            <w:r>
              <w:rPr>
                <w:sz w:val="22"/>
              </w:rPr>
              <w:t>будет</w:t>
            </w:r>
            <w:r>
              <w:rPr>
                <w:spacing w:val="-6"/>
                <w:sz w:val="22"/>
              </w:rPr>
              <w:t> </w:t>
            </w:r>
            <w:r>
              <w:rPr>
                <w:sz w:val="22"/>
              </w:rPr>
              <w:t>держаться</w:t>
            </w:r>
            <w:r>
              <w:rPr>
                <w:spacing w:val="-4"/>
                <w:sz w:val="22"/>
              </w:rPr>
              <w:t> </w:t>
            </w:r>
            <w:r>
              <w:rPr>
                <w:sz w:val="22"/>
              </w:rPr>
              <w:t>на</w:t>
            </w:r>
            <w:r>
              <w:rPr>
                <w:spacing w:val="-3"/>
                <w:sz w:val="22"/>
              </w:rPr>
              <w:t> </w:t>
            </w:r>
            <w:r>
              <w:rPr>
                <w:spacing w:val="-2"/>
                <w:sz w:val="22"/>
              </w:rPr>
              <w:t>воде?</w:t>
            </w:r>
          </w:p>
          <w:p>
            <w:pPr>
              <w:pStyle w:val="TableParagraph"/>
              <w:numPr>
                <w:ilvl w:val="0"/>
                <w:numId w:val="11"/>
              </w:numPr>
              <w:tabs>
                <w:tab w:pos="273" w:val="left" w:leader="none"/>
              </w:tabs>
              <w:spacing w:line="240" w:lineRule="auto" w:before="13" w:after="0"/>
              <w:ind w:left="273" w:right="0" w:hanging="220"/>
              <w:jc w:val="left"/>
              <w:rPr>
                <w:sz w:val="22"/>
              </w:rPr>
            </w:pPr>
            <w:r>
              <w:rPr>
                <w:sz w:val="22"/>
              </w:rPr>
              <w:t>Рыба</w:t>
            </w:r>
            <w:r>
              <w:rPr>
                <w:spacing w:val="-3"/>
                <w:sz w:val="22"/>
              </w:rPr>
              <w:t> </w:t>
            </w:r>
            <w:r>
              <w:rPr>
                <w:sz w:val="22"/>
              </w:rPr>
              <w:t>живет</w:t>
            </w:r>
            <w:r>
              <w:rPr>
                <w:spacing w:val="-1"/>
                <w:sz w:val="22"/>
              </w:rPr>
              <w:t> </w:t>
            </w:r>
            <w:r>
              <w:rPr>
                <w:sz w:val="22"/>
              </w:rPr>
              <w:t>в</w:t>
            </w:r>
            <w:r>
              <w:rPr>
                <w:spacing w:val="-2"/>
                <w:sz w:val="22"/>
              </w:rPr>
              <w:t> море?</w:t>
            </w:r>
          </w:p>
          <w:p>
            <w:pPr>
              <w:pStyle w:val="TableParagraph"/>
              <w:numPr>
                <w:ilvl w:val="0"/>
                <w:numId w:val="11"/>
              </w:numPr>
              <w:tabs>
                <w:tab w:pos="273" w:val="left" w:leader="none"/>
              </w:tabs>
              <w:spacing w:line="240" w:lineRule="auto" w:before="13" w:after="0"/>
              <w:ind w:left="273" w:right="0" w:hanging="220"/>
              <w:jc w:val="left"/>
              <w:rPr>
                <w:sz w:val="22"/>
              </w:rPr>
            </w:pPr>
            <w:r>
              <w:rPr>
                <w:sz w:val="22"/>
              </w:rPr>
              <w:t>Один</w:t>
            </w:r>
            <w:r>
              <w:rPr>
                <w:spacing w:val="-4"/>
                <w:sz w:val="22"/>
              </w:rPr>
              <w:t> </w:t>
            </w:r>
            <w:r>
              <w:rPr>
                <w:sz w:val="22"/>
              </w:rPr>
              <w:t>килограмм</w:t>
            </w:r>
            <w:r>
              <w:rPr>
                <w:spacing w:val="-4"/>
                <w:sz w:val="22"/>
              </w:rPr>
              <w:t> </w:t>
            </w:r>
            <w:r>
              <w:rPr>
                <w:sz w:val="22"/>
              </w:rPr>
              <w:t>весит</w:t>
            </w:r>
            <w:r>
              <w:rPr>
                <w:spacing w:val="-3"/>
                <w:sz w:val="22"/>
              </w:rPr>
              <w:t> </w:t>
            </w:r>
            <w:r>
              <w:rPr>
                <w:sz w:val="22"/>
              </w:rPr>
              <w:t>больше</w:t>
            </w:r>
            <w:r>
              <w:rPr>
                <w:spacing w:val="-3"/>
                <w:sz w:val="22"/>
              </w:rPr>
              <w:t> </w:t>
            </w:r>
            <w:r>
              <w:rPr>
                <w:spacing w:val="-2"/>
                <w:sz w:val="22"/>
              </w:rPr>
              <w:t>двух?</w:t>
            </w:r>
          </w:p>
          <w:p>
            <w:pPr>
              <w:pStyle w:val="TableParagraph"/>
              <w:numPr>
                <w:ilvl w:val="0"/>
                <w:numId w:val="11"/>
              </w:numPr>
              <w:tabs>
                <w:tab w:pos="273" w:val="left" w:leader="none"/>
              </w:tabs>
              <w:spacing w:line="254" w:lineRule="auto" w:before="14" w:after="0"/>
              <w:ind w:left="53" w:right="3008" w:firstLine="0"/>
              <w:jc w:val="left"/>
              <w:rPr>
                <w:sz w:val="22"/>
              </w:rPr>
            </w:pPr>
            <w:r>
              <w:rPr>
                <w:sz w:val="22"/>
              </w:rPr>
              <w:t>Молотком</w:t>
            </w:r>
            <w:r>
              <w:rPr>
                <w:spacing w:val="-13"/>
                <w:sz w:val="22"/>
              </w:rPr>
              <w:t> </w:t>
            </w:r>
            <w:r>
              <w:rPr>
                <w:sz w:val="22"/>
              </w:rPr>
              <w:t>можно</w:t>
            </w:r>
            <w:r>
              <w:rPr>
                <w:spacing w:val="-13"/>
                <w:sz w:val="22"/>
              </w:rPr>
              <w:t> </w:t>
            </w:r>
            <w:r>
              <w:rPr>
                <w:sz w:val="22"/>
              </w:rPr>
              <w:t>забить</w:t>
            </w:r>
            <w:r>
              <w:rPr>
                <w:spacing w:val="-13"/>
                <w:sz w:val="22"/>
              </w:rPr>
              <w:t> </w:t>
            </w:r>
            <w:r>
              <w:rPr>
                <w:sz w:val="22"/>
              </w:rPr>
              <w:t>гвоздь? </w:t>
            </w:r>
            <w:r>
              <w:rPr>
                <w:spacing w:val="-2"/>
                <w:sz w:val="22"/>
              </w:rPr>
              <w:t>Команда:</w:t>
            </w:r>
          </w:p>
          <w:p>
            <w:pPr>
              <w:pStyle w:val="TableParagraph"/>
              <w:spacing w:line="251" w:lineRule="exact"/>
              <w:ind w:left="53"/>
              <w:rPr>
                <w:sz w:val="22"/>
              </w:rPr>
            </w:pPr>
            <w:r>
              <w:rPr>
                <w:sz w:val="22"/>
              </w:rPr>
              <w:t>«Покажите</w:t>
            </w:r>
            <w:r>
              <w:rPr>
                <w:spacing w:val="-5"/>
                <w:sz w:val="22"/>
              </w:rPr>
              <w:t> </w:t>
            </w:r>
            <w:r>
              <w:rPr>
                <w:sz w:val="22"/>
              </w:rPr>
              <w:t>столько</w:t>
            </w:r>
            <w:r>
              <w:rPr>
                <w:spacing w:val="-4"/>
                <w:sz w:val="22"/>
              </w:rPr>
              <w:t> </w:t>
            </w:r>
            <w:r>
              <w:rPr>
                <w:sz w:val="22"/>
              </w:rPr>
              <w:t>пальцев»</w:t>
            </w:r>
            <w:r>
              <w:rPr>
                <w:spacing w:val="-5"/>
                <w:sz w:val="22"/>
              </w:rPr>
              <w:t> </w:t>
            </w:r>
            <w:r>
              <w:rPr>
                <w:sz w:val="22"/>
              </w:rPr>
              <w:t>(покажите</w:t>
            </w:r>
            <w:r>
              <w:rPr>
                <w:spacing w:val="-6"/>
                <w:sz w:val="22"/>
              </w:rPr>
              <w:t> </w:t>
            </w:r>
            <w:r>
              <w:rPr>
                <w:sz w:val="22"/>
              </w:rPr>
              <w:t>2</w:t>
            </w:r>
            <w:r>
              <w:rPr>
                <w:spacing w:val="-4"/>
                <w:sz w:val="22"/>
              </w:rPr>
              <w:t> </w:t>
            </w:r>
            <w:r>
              <w:rPr>
                <w:spacing w:val="-2"/>
                <w:sz w:val="22"/>
              </w:rPr>
              <w:t>пальца)</w:t>
            </w:r>
          </w:p>
          <w:p>
            <w:pPr>
              <w:pStyle w:val="TableParagraph"/>
              <w:spacing w:line="252" w:lineRule="auto" w:before="13"/>
              <w:ind w:left="53" w:right="279"/>
              <w:rPr>
                <w:sz w:val="22"/>
              </w:rPr>
            </w:pPr>
            <w:r>
              <w:rPr>
                <w:sz w:val="22"/>
              </w:rPr>
              <w:t>«Теперь</w:t>
            </w:r>
            <w:r>
              <w:rPr>
                <w:spacing w:val="-5"/>
                <w:sz w:val="22"/>
              </w:rPr>
              <w:t> </w:t>
            </w:r>
            <w:r>
              <w:rPr>
                <w:sz w:val="22"/>
              </w:rPr>
              <w:t>сделайте</w:t>
            </w:r>
            <w:r>
              <w:rPr>
                <w:spacing w:val="-5"/>
                <w:sz w:val="22"/>
              </w:rPr>
              <w:t> </w:t>
            </w:r>
            <w:r>
              <w:rPr>
                <w:sz w:val="22"/>
              </w:rPr>
              <w:t>то</w:t>
            </w:r>
            <w:r>
              <w:rPr>
                <w:spacing w:val="-8"/>
                <w:sz w:val="22"/>
              </w:rPr>
              <w:t> </w:t>
            </w:r>
            <w:r>
              <w:rPr>
                <w:sz w:val="22"/>
              </w:rPr>
              <w:t>же</w:t>
            </w:r>
            <w:r>
              <w:rPr>
                <w:spacing w:val="-7"/>
                <w:sz w:val="22"/>
              </w:rPr>
              <w:t> </w:t>
            </w:r>
            <w:r>
              <w:rPr>
                <w:sz w:val="22"/>
              </w:rPr>
              <w:t>другой</w:t>
            </w:r>
            <w:r>
              <w:rPr>
                <w:spacing w:val="-5"/>
                <w:sz w:val="22"/>
              </w:rPr>
              <w:t> </w:t>
            </w:r>
            <w:r>
              <w:rPr>
                <w:sz w:val="22"/>
              </w:rPr>
              <w:t>рукой»</w:t>
            </w:r>
            <w:r>
              <w:rPr>
                <w:spacing w:val="-7"/>
                <w:sz w:val="22"/>
              </w:rPr>
              <w:t> </w:t>
            </w:r>
            <w:r>
              <w:rPr>
                <w:sz w:val="22"/>
              </w:rPr>
              <w:t>(не</w:t>
            </w:r>
            <w:r>
              <w:rPr>
                <w:spacing w:val="-5"/>
                <w:sz w:val="22"/>
              </w:rPr>
              <w:t> </w:t>
            </w:r>
            <w:r>
              <w:rPr>
                <w:sz w:val="22"/>
              </w:rPr>
              <w:t>демонстрируйте) </w:t>
            </w:r>
            <w:r>
              <w:rPr>
                <w:spacing w:val="-4"/>
                <w:sz w:val="22"/>
              </w:rPr>
              <w:t>ИЛИ</w:t>
            </w:r>
          </w:p>
          <w:p>
            <w:pPr>
              <w:pStyle w:val="TableParagraph"/>
              <w:spacing w:before="1"/>
              <w:ind w:left="53" w:right="12"/>
              <w:rPr>
                <w:sz w:val="22"/>
              </w:rPr>
            </w:pPr>
            <w:r>
              <w:rPr>
                <w:sz w:val="22"/>
              </w:rPr>
              <w:t>«Добавьте</w:t>
            </w:r>
            <w:r>
              <w:rPr>
                <w:spacing w:val="-5"/>
                <w:sz w:val="22"/>
              </w:rPr>
              <w:t> </w:t>
            </w:r>
            <w:r>
              <w:rPr>
                <w:sz w:val="22"/>
              </w:rPr>
              <w:t>еще</w:t>
            </w:r>
            <w:r>
              <w:rPr>
                <w:spacing w:val="-5"/>
                <w:sz w:val="22"/>
              </w:rPr>
              <w:t> </w:t>
            </w:r>
            <w:r>
              <w:rPr>
                <w:sz w:val="22"/>
              </w:rPr>
              <w:t>один</w:t>
            </w:r>
            <w:r>
              <w:rPr>
                <w:spacing w:val="-6"/>
                <w:sz w:val="22"/>
              </w:rPr>
              <w:t> </w:t>
            </w:r>
            <w:r>
              <w:rPr>
                <w:sz w:val="22"/>
              </w:rPr>
              <w:t>палец»</w:t>
            </w:r>
            <w:r>
              <w:rPr>
                <w:spacing w:val="-5"/>
                <w:sz w:val="22"/>
              </w:rPr>
              <w:t> </w:t>
            </w:r>
            <w:r>
              <w:rPr>
                <w:sz w:val="22"/>
              </w:rPr>
              <w:t>(если</w:t>
            </w:r>
            <w:r>
              <w:rPr>
                <w:spacing w:val="-5"/>
                <w:sz w:val="22"/>
              </w:rPr>
              <w:t> </w:t>
            </w:r>
            <w:r>
              <w:rPr>
                <w:sz w:val="22"/>
              </w:rPr>
              <w:t>пациент</w:t>
            </w:r>
            <w:r>
              <w:rPr>
                <w:spacing w:val="-5"/>
                <w:sz w:val="22"/>
              </w:rPr>
              <w:t> </w:t>
            </w:r>
            <w:r>
              <w:rPr>
                <w:sz w:val="22"/>
              </w:rPr>
              <w:t>не</w:t>
            </w:r>
            <w:r>
              <w:rPr>
                <w:spacing w:val="-5"/>
                <w:sz w:val="22"/>
              </w:rPr>
              <w:t> </w:t>
            </w:r>
            <w:r>
              <w:rPr>
                <w:sz w:val="22"/>
              </w:rPr>
              <w:t>может</w:t>
            </w:r>
            <w:r>
              <w:rPr>
                <w:spacing w:val="-5"/>
                <w:sz w:val="22"/>
              </w:rPr>
              <w:t> </w:t>
            </w:r>
            <w:r>
              <w:rPr>
                <w:sz w:val="22"/>
              </w:rPr>
              <w:t>двигать обеими руками)</w:t>
            </w:r>
          </w:p>
        </w:tc>
        <w:tc>
          <w:tcPr>
            <w:tcW w:w="2552" w:type="dxa"/>
          </w:tcPr>
          <w:p>
            <w:pPr>
              <w:pStyle w:val="TableParagraph"/>
              <w:spacing w:before="64"/>
              <w:ind w:left="47"/>
              <w:rPr>
                <w:sz w:val="22"/>
              </w:rPr>
            </w:pPr>
            <w:r>
              <w:rPr>
                <w:sz w:val="22"/>
              </w:rPr>
              <w:t>≥</w:t>
            </w:r>
            <w:r>
              <w:rPr>
                <w:spacing w:val="-2"/>
                <w:sz w:val="22"/>
              </w:rPr>
              <w:t> </w:t>
            </w:r>
            <w:r>
              <w:rPr>
                <w:sz w:val="22"/>
              </w:rPr>
              <w:t>2</w:t>
            </w:r>
            <w:r>
              <w:rPr>
                <w:spacing w:val="-2"/>
                <w:sz w:val="22"/>
              </w:rPr>
              <w:t> </w:t>
            </w:r>
            <w:r>
              <w:rPr>
                <w:sz w:val="22"/>
              </w:rPr>
              <w:t>ошибок</w:t>
            </w:r>
            <w:r>
              <w:rPr>
                <w:spacing w:val="-1"/>
                <w:sz w:val="22"/>
              </w:rPr>
              <w:t> </w:t>
            </w:r>
            <w:r>
              <w:rPr>
                <w:spacing w:val="-10"/>
                <w:sz w:val="22"/>
              </w:rPr>
              <w:t>→</w:t>
            </w:r>
          </w:p>
          <w:p>
            <w:pPr>
              <w:pStyle w:val="TableParagraph"/>
              <w:spacing w:before="13"/>
              <w:ind w:left="47"/>
              <w:rPr>
                <w:b/>
                <w:sz w:val="22"/>
              </w:rPr>
            </w:pPr>
            <w:r>
              <w:rPr>
                <w:b/>
                <w:sz w:val="22"/>
              </w:rPr>
              <w:t>ДЕЛИРИЙ</w:t>
            </w:r>
            <w:r>
              <w:rPr>
                <w:b/>
                <w:spacing w:val="-8"/>
                <w:sz w:val="22"/>
              </w:rPr>
              <w:t> </w:t>
            </w:r>
            <w:r>
              <w:rPr>
                <w:b/>
                <w:spacing w:val="-4"/>
                <w:sz w:val="22"/>
              </w:rPr>
              <w:t>ЕСТЬ</w:t>
            </w:r>
          </w:p>
          <w:p>
            <w:pPr>
              <w:pStyle w:val="TableParagraph"/>
              <w:spacing w:before="26"/>
              <w:rPr>
                <w:b/>
                <w:sz w:val="22"/>
              </w:rPr>
            </w:pPr>
          </w:p>
          <w:p>
            <w:pPr>
              <w:pStyle w:val="TableParagraph"/>
              <w:ind w:left="102"/>
              <w:rPr>
                <w:sz w:val="22"/>
              </w:rPr>
            </w:pPr>
            <w:r>
              <w:rPr>
                <w:sz w:val="22"/>
              </w:rPr>
              <w:t>0-1</w:t>
            </w:r>
            <w:r>
              <w:rPr>
                <w:spacing w:val="-2"/>
                <w:sz w:val="22"/>
              </w:rPr>
              <w:t> </w:t>
            </w:r>
            <w:r>
              <w:rPr>
                <w:sz w:val="22"/>
              </w:rPr>
              <w:t>ошибка</w:t>
            </w:r>
            <w:r>
              <w:rPr>
                <w:spacing w:val="-2"/>
                <w:sz w:val="22"/>
              </w:rPr>
              <w:t> </w:t>
            </w:r>
            <w:r>
              <w:rPr>
                <w:spacing w:val="-10"/>
                <w:sz w:val="22"/>
              </w:rPr>
              <w:t>→</w:t>
            </w:r>
          </w:p>
          <w:p>
            <w:pPr>
              <w:pStyle w:val="TableParagraph"/>
              <w:spacing w:before="14"/>
              <w:ind w:left="47"/>
              <w:rPr>
                <w:b/>
                <w:sz w:val="22"/>
              </w:rPr>
            </w:pPr>
            <w:r>
              <w:rPr>
                <w:b/>
                <w:sz w:val="22"/>
              </w:rPr>
              <w:t>ДЕЛИРИЯ</w:t>
            </w:r>
            <w:r>
              <w:rPr>
                <w:b/>
                <w:spacing w:val="-6"/>
                <w:sz w:val="22"/>
              </w:rPr>
              <w:t> </w:t>
            </w:r>
            <w:r>
              <w:rPr>
                <w:b/>
                <w:spacing w:val="-5"/>
                <w:sz w:val="22"/>
              </w:rPr>
              <w:t>НЕТ</w:t>
            </w:r>
          </w:p>
        </w:tc>
      </w:tr>
      <w:tr>
        <w:trPr>
          <w:trHeight w:val="378" w:hRule="atLeast"/>
        </w:trPr>
        <w:tc>
          <w:tcPr>
            <w:tcW w:w="8928" w:type="dxa"/>
            <w:gridSpan w:val="2"/>
            <w:shd w:val="clear" w:color="auto" w:fill="D9D9D9"/>
          </w:tcPr>
          <w:p>
            <w:pPr>
              <w:pStyle w:val="TableParagraph"/>
              <w:spacing w:before="59"/>
              <w:ind w:left="53"/>
              <w:rPr>
                <w:b/>
                <w:sz w:val="22"/>
              </w:rPr>
            </w:pPr>
            <w:r>
              <w:rPr>
                <w:b/>
                <w:sz w:val="22"/>
              </w:rPr>
              <w:t>Заключение</w:t>
            </w:r>
            <w:r>
              <w:rPr>
                <w:sz w:val="22"/>
              </w:rPr>
              <w:t>:</w:t>
            </w:r>
            <w:r>
              <w:rPr>
                <w:spacing w:val="-6"/>
                <w:sz w:val="22"/>
              </w:rPr>
              <w:t> </w:t>
            </w:r>
            <w:r>
              <w:rPr>
                <w:b/>
                <w:sz w:val="22"/>
              </w:rPr>
              <w:t>ДЕЛИРИЙ</w:t>
            </w:r>
            <w:r>
              <w:rPr>
                <w:b/>
                <w:spacing w:val="-7"/>
                <w:sz w:val="22"/>
              </w:rPr>
              <w:t> </w:t>
            </w:r>
            <w:r>
              <w:rPr>
                <w:b/>
                <w:sz w:val="22"/>
              </w:rPr>
              <w:t>/</w:t>
            </w:r>
            <w:r>
              <w:rPr>
                <w:b/>
                <w:spacing w:val="-5"/>
                <w:sz w:val="22"/>
              </w:rPr>
              <w:t> </w:t>
            </w:r>
            <w:r>
              <w:rPr>
                <w:b/>
                <w:sz w:val="22"/>
              </w:rPr>
              <w:t>делирия</w:t>
            </w:r>
            <w:r>
              <w:rPr>
                <w:b/>
                <w:spacing w:val="-6"/>
                <w:sz w:val="22"/>
              </w:rPr>
              <w:t> </w:t>
            </w:r>
            <w:r>
              <w:rPr>
                <w:b/>
                <w:spacing w:val="-5"/>
                <w:sz w:val="22"/>
              </w:rPr>
              <w:t>нет</w:t>
            </w:r>
          </w:p>
        </w:tc>
      </w:tr>
    </w:tbl>
    <w:p>
      <w:pPr>
        <w:spacing w:before="250"/>
        <w:ind w:left="1841" w:right="0" w:firstLine="0"/>
        <w:jc w:val="both"/>
        <w:rPr>
          <w:b/>
          <w:sz w:val="20"/>
        </w:rPr>
      </w:pPr>
      <w:r>
        <w:rPr>
          <w:b/>
          <w:sz w:val="20"/>
        </w:rPr>
        <w:t>*Ричмондская</w:t>
      </w:r>
      <w:r>
        <w:rPr>
          <w:b/>
          <w:spacing w:val="-8"/>
          <w:sz w:val="20"/>
        </w:rPr>
        <w:t> </w:t>
      </w:r>
      <w:r>
        <w:rPr>
          <w:b/>
          <w:sz w:val="20"/>
        </w:rPr>
        <w:t>шкала</w:t>
      </w:r>
      <w:r>
        <w:rPr>
          <w:b/>
          <w:spacing w:val="-6"/>
          <w:sz w:val="20"/>
        </w:rPr>
        <w:t> </w:t>
      </w:r>
      <w:r>
        <w:rPr>
          <w:b/>
          <w:sz w:val="20"/>
        </w:rPr>
        <w:t>ажитации</w:t>
      </w:r>
      <w:r>
        <w:rPr>
          <w:b/>
          <w:spacing w:val="-7"/>
          <w:sz w:val="20"/>
        </w:rPr>
        <w:t> </w:t>
      </w:r>
      <w:r>
        <w:rPr>
          <w:b/>
          <w:sz w:val="20"/>
        </w:rPr>
        <w:t>(The</w:t>
      </w:r>
      <w:r>
        <w:rPr>
          <w:b/>
          <w:spacing w:val="-9"/>
          <w:sz w:val="20"/>
        </w:rPr>
        <w:t> </w:t>
      </w:r>
      <w:r>
        <w:rPr>
          <w:b/>
          <w:sz w:val="20"/>
        </w:rPr>
        <w:t>Richmond</w:t>
      </w:r>
      <w:r>
        <w:rPr>
          <w:b/>
          <w:spacing w:val="-9"/>
          <w:sz w:val="20"/>
        </w:rPr>
        <w:t> </w:t>
      </w:r>
      <w:r>
        <w:rPr>
          <w:b/>
          <w:sz w:val="20"/>
        </w:rPr>
        <w:t>Agitation-Sedation</w:t>
      </w:r>
      <w:r>
        <w:rPr>
          <w:b/>
          <w:spacing w:val="-8"/>
          <w:sz w:val="20"/>
        </w:rPr>
        <w:t> </w:t>
      </w:r>
      <w:r>
        <w:rPr>
          <w:b/>
          <w:sz w:val="20"/>
        </w:rPr>
        <w:t>Scale,</w:t>
      </w:r>
      <w:r>
        <w:rPr>
          <w:b/>
          <w:spacing w:val="-9"/>
          <w:sz w:val="20"/>
        </w:rPr>
        <w:t> </w:t>
      </w:r>
      <w:r>
        <w:rPr>
          <w:b/>
          <w:spacing w:val="-2"/>
          <w:sz w:val="20"/>
        </w:rPr>
        <w:t>RASS)</w:t>
      </w:r>
    </w:p>
    <w:p>
      <w:pPr>
        <w:spacing w:before="120"/>
        <w:ind w:left="1841" w:right="1283" w:firstLine="0"/>
        <w:jc w:val="left"/>
        <w:rPr>
          <w:sz w:val="20"/>
        </w:rPr>
      </w:pPr>
      <w:r>
        <w:rPr>
          <w:sz w:val="20"/>
        </w:rPr>
        <w:t>+4</w:t>
      </w:r>
      <w:r>
        <w:rPr>
          <w:spacing w:val="28"/>
          <w:sz w:val="20"/>
        </w:rPr>
        <w:t> </w:t>
      </w:r>
      <w:r>
        <w:rPr>
          <w:sz w:val="20"/>
        </w:rPr>
        <w:t>ВОИНСТВЕННЫЙ:</w:t>
      </w:r>
      <w:r>
        <w:rPr>
          <w:spacing w:val="26"/>
          <w:sz w:val="20"/>
        </w:rPr>
        <w:t> </w:t>
      </w:r>
      <w:r>
        <w:rPr>
          <w:sz w:val="20"/>
        </w:rPr>
        <w:t>воинственен,</w:t>
      </w:r>
      <w:r>
        <w:rPr>
          <w:spacing w:val="27"/>
          <w:sz w:val="20"/>
        </w:rPr>
        <w:t> </w:t>
      </w:r>
      <w:r>
        <w:rPr>
          <w:sz w:val="20"/>
        </w:rPr>
        <w:t>агрессивен,</w:t>
      </w:r>
      <w:r>
        <w:rPr>
          <w:spacing w:val="27"/>
          <w:sz w:val="20"/>
        </w:rPr>
        <w:t> </w:t>
      </w:r>
      <w:r>
        <w:rPr>
          <w:sz w:val="20"/>
        </w:rPr>
        <w:t>опасен</w:t>
      </w:r>
      <w:r>
        <w:rPr>
          <w:spacing w:val="25"/>
          <w:sz w:val="20"/>
        </w:rPr>
        <w:t> </w:t>
      </w:r>
      <w:r>
        <w:rPr>
          <w:sz w:val="20"/>
        </w:rPr>
        <w:t>для</w:t>
      </w:r>
      <w:r>
        <w:rPr>
          <w:spacing w:val="26"/>
          <w:sz w:val="20"/>
        </w:rPr>
        <w:t> </w:t>
      </w:r>
      <w:r>
        <w:rPr>
          <w:sz w:val="20"/>
        </w:rPr>
        <w:t>окружающих</w:t>
      </w:r>
      <w:r>
        <w:rPr>
          <w:spacing w:val="27"/>
          <w:sz w:val="20"/>
        </w:rPr>
        <w:t> </w:t>
      </w:r>
      <w:r>
        <w:rPr>
          <w:sz w:val="20"/>
        </w:rPr>
        <w:t>(срочно</w:t>
      </w:r>
      <w:r>
        <w:rPr>
          <w:spacing w:val="25"/>
          <w:sz w:val="20"/>
        </w:rPr>
        <w:t> </w:t>
      </w:r>
      <w:r>
        <w:rPr>
          <w:sz w:val="20"/>
        </w:rPr>
        <w:t>сообщить</w:t>
      </w:r>
      <w:r>
        <w:rPr>
          <w:spacing w:val="27"/>
          <w:sz w:val="20"/>
        </w:rPr>
        <w:t> </w:t>
      </w:r>
      <w:r>
        <w:rPr>
          <w:sz w:val="20"/>
        </w:rPr>
        <w:t>врачу об этих явлениях)</w:t>
      </w:r>
    </w:p>
    <w:p>
      <w:pPr>
        <w:spacing w:after="0"/>
        <w:jc w:val="left"/>
        <w:rPr>
          <w:sz w:val="20"/>
        </w:rPr>
        <w:sectPr>
          <w:pgSz w:w="11900" w:h="16840"/>
          <w:pgMar w:header="0" w:footer="697" w:top="1080" w:bottom="880" w:left="0" w:right="0"/>
        </w:sectPr>
      </w:pPr>
    </w:p>
    <w:p>
      <w:pPr>
        <w:spacing w:before="74"/>
        <w:ind w:left="1841" w:right="1283" w:firstLine="0"/>
        <w:jc w:val="left"/>
        <w:rPr>
          <w:sz w:val="20"/>
        </w:rPr>
      </w:pPr>
      <w:bookmarkStart w:name="19" w:id="24"/>
      <w:bookmarkEnd w:id="24"/>
      <w:r>
        <w:rPr/>
      </w:r>
      <w:r>
        <w:rPr>
          <w:sz w:val="20"/>
        </w:rPr>
        <w:t>+3</w:t>
      </w:r>
      <w:r>
        <w:rPr>
          <w:spacing w:val="80"/>
          <w:w w:val="150"/>
          <w:sz w:val="20"/>
        </w:rPr>
        <w:t> </w:t>
      </w:r>
      <w:r>
        <w:rPr>
          <w:sz w:val="20"/>
        </w:rPr>
        <w:t>ОЧЕНЬ</w:t>
      </w:r>
      <w:r>
        <w:rPr>
          <w:spacing w:val="80"/>
          <w:w w:val="150"/>
          <w:sz w:val="20"/>
        </w:rPr>
        <w:t> </w:t>
      </w:r>
      <w:r>
        <w:rPr>
          <w:sz w:val="20"/>
        </w:rPr>
        <w:t>ВОЗБУЖДЕН:</w:t>
      </w:r>
      <w:r>
        <w:rPr>
          <w:spacing w:val="80"/>
          <w:w w:val="150"/>
          <w:sz w:val="20"/>
        </w:rPr>
        <w:t> </w:t>
      </w:r>
      <w:r>
        <w:rPr>
          <w:sz w:val="20"/>
        </w:rPr>
        <w:t>агрессивен,</w:t>
      </w:r>
      <w:r>
        <w:rPr>
          <w:spacing w:val="80"/>
          <w:w w:val="150"/>
          <w:sz w:val="20"/>
        </w:rPr>
        <w:t> </w:t>
      </w:r>
      <w:r>
        <w:rPr>
          <w:sz w:val="20"/>
        </w:rPr>
        <w:t>пытается</w:t>
      </w:r>
      <w:r>
        <w:rPr>
          <w:spacing w:val="80"/>
          <w:w w:val="150"/>
          <w:sz w:val="20"/>
        </w:rPr>
        <w:t> </w:t>
      </w:r>
      <w:r>
        <w:rPr>
          <w:sz w:val="20"/>
        </w:rPr>
        <w:t>вырвать</w:t>
      </w:r>
      <w:r>
        <w:rPr>
          <w:spacing w:val="80"/>
          <w:w w:val="150"/>
          <w:sz w:val="20"/>
        </w:rPr>
        <w:t> </w:t>
      </w:r>
      <w:r>
        <w:rPr>
          <w:sz w:val="20"/>
        </w:rPr>
        <w:t>трубки,</w:t>
      </w:r>
      <w:r>
        <w:rPr>
          <w:spacing w:val="80"/>
          <w:w w:val="150"/>
          <w:sz w:val="20"/>
        </w:rPr>
        <w:t> </w:t>
      </w:r>
      <w:r>
        <w:rPr>
          <w:sz w:val="20"/>
        </w:rPr>
        <w:t>капельницу</w:t>
      </w:r>
      <w:r>
        <w:rPr>
          <w:spacing w:val="80"/>
          <w:w w:val="150"/>
          <w:sz w:val="20"/>
        </w:rPr>
        <w:t> </w:t>
      </w:r>
      <w:r>
        <w:rPr>
          <w:sz w:val="20"/>
        </w:rPr>
        <w:t>или</w:t>
      </w:r>
      <w:r>
        <w:rPr>
          <w:spacing w:val="80"/>
          <w:w w:val="150"/>
          <w:sz w:val="20"/>
        </w:rPr>
        <w:t> </w:t>
      </w:r>
      <w:r>
        <w:rPr>
          <w:sz w:val="20"/>
        </w:rPr>
        <w:t>катетер (сообщить врачу)</w:t>
      </w:r>
    </w:p>
    <w:p>
      <w:pPr>
        <w:spacing w:before="13"/>
        <w:ind w:left="1841" w:right="0" w:firstLine="0"/>
        <w:jc w:val="left"/>
        <w:rPr>
          <w:sz w:val="20"/>
        </w:rPr>
      </w:pPr>
      <w:r>
        <w:rPr>
          <w:sz w:val="20"/>
        </w:rPr>
        <w:t>+2</w:t>
      </w:r>
      <w:r>
        <w:rPr>
          <w:spacing w:val="-10"/>
          <w:sz w:val="20"/>
        </w:rPr>
        <w:t> </w:t>
      </w:r>
      <w:r>
        <w:rPr>
          <w:sz w:val="20"/>
        </w:rPr>
        <w:t>ВОЗБУЖДЕН:</w:t>
      </w:r>
      <w:r>
        <w:rPr>
          <w:spacing w:val="-10"/>
          <w:sz w:val="20"/>
        </w:rPr>
        <w:t> </w:t>
      </w:r>
      <w:r>
        <w:rPr>
          <w:sz w:val="20"/>
        </w:rPr>
        <w:t>частые</w:t>
      </w:r>
      <w:r>
        <w:rPr>
          <w:spacing w:val="-10"/>
          <w:sz w:val="20"/>
        </w:rPr>
        <w:t> </w:t>
      </w:r>
      <w:r>
        <w:rPr>
          <w:sz w:val="20"/>
        </w:rPr>
        <w:t>бесцельные</w:t>
      </w:r>
      <w:r>
        <w:rPr>
          <w:spacing w:val="-10"/>
          <w:sz w:val="20"/>
        </w:rPr>
        <w:t> </w:t>
      </w:r>
      <w:r>
        <w:rPr>
          <w:sz w:val="20"/>
        </w:rPr>
        <w:t>движения,</w:t>
      </w:r>
      <w:r>
        <w:rPr>
          <w:spacing w:val="-10"/>
          <w:sz w:val="20"/>
        </w:rPr>
        <w:t> </w:t>
      </w:r>
      <w:r>
        <w:rPr>
          <w:sz w:val="20"/>
        </w:rPr>
        <w:t>сопротивление</w:t>
      </w:r>
      <w:r>
        <w:rPr>
          <w:spacing w:val="-10"/>
          <w:sz w:val="20"/>
        </w:rPr>
        <w:t> </w:t>
      </w:r>
      <w:r>
        <w:rPr>
          <w:spacing w:val="-2"/>
          <w:sz w:val="20"/>
        </w:rPr>
        <w:t>процедурам</w:t>
      </w:r>
    </w:p>
    <w:p>
      <w:pPr>
        <w:spacing w:line="254" w:lineRule="auto" w:before="14"/>
        <w:ind w:left="1892" w:right="5368" w:hanging="51"/>
        <w:jc w:val="left"/>
        <w:rPr>
          <w:sz w:val="20"/>
        </w:rPr>
      </w:pPr>
      <w:r>
        <w:rPr>
          <w:sz w:val="20"/>
        </w:rPr>
        <w:t>+1</w:t>
      </w:r>
      <w:r>
        <w:rPr>
          <w:spacing w:val="-11"/>
          <w:sz w:val="20"/>
        </w:rPr>
        <w:t> </w:t>
      </w:r>
      <w:r>
        <w:rPr>
          <w:sz w:val="20"/>
        </w:rPr>
        <w:t>НЕСПОКОЕН:</w:t>
      </w:r>
      <w:r>
        <w:rPr>
          <w:spacing w:val="-13"/>
          <w:sz w:val="20"/>
        </w:rPr>
        <w:t> </w:t>
      </w:r>
      <w:r>
        <w:rPr>
          <w:sz w:val="20"/>
        </w:rPr>
        <w:t>тревожен,</w:t>
      </w:r>
      <w:r>
        <w:rPr>
          <w:spacing w:val="-11"/>
          <w:sz w:val="20"/>
        </w:rPr>
        <w:t> </w:t>
      </w:r>
      <w:r>
        <w:rPr>
          <w:sz w:val="20"/>
        </w:rPr>
        <w:t>неагрессивные</w:t>
      </w:r>
      <w:r>
        <w:rPr>
          <w:spacing w:val="-12"/>
          <w:sz w:val="20"/>
        </w:rPr>
        <w:t> </w:t>
      </w:r>
      <w:r>
        <w:rPr>
          <w:sz w:val="20"/>
        </w:rPr>
        <w:t>движения 0 СПОКОЕН И ВНИМАТЕЛЕН</w:t>
      </w:r>
    </w:p>
    <w:p>
      <w:pPr>
        <w:spacing w:line="229" w:lineRule="exact" w:before="0"/>
        <w:ind w:left="1841" w:right="0" w:firstLine="0"/>
        <w:jc w:val="left"/>
        <w:rPr>
          <w:sz w:val="20"/>
        </w:rPr>
      </w:pPr>
      <w:r>
        <w:rPr>
          <w:sz w:val="20"/>
        </w:rPr>
        <w:t>-1</w:t>
      </w:r>
      <w:r>
        <w:rPr>
          <w:spacing w:val="-7"/>
          <w:sz w:val="20"/>
        </w:rPr>
        <w:t> </w:t>
      </w:r>
      <w:r>
        <w:rPr>
          <w:sz w:val="20"/>
        </w:rPr>
        <w:t>СОНЛИВ:</w:t>
      </w:r>
      <w:r>
        <w:rPr>
          <w:spacing w:val="-8"/>
          <w:sz w:val="20"/>
        </w:rPr>
        <w:t> </w:t>
      </w:r>
      <w:r>
        <w:rPr>
          <w:sz w:val="20"/>
        </w:rPr>
        <w:t>невнимателен,</w:t>
      </w:r>
      <w:r>
        <w:rPr>
          <w:spacing w:val="-6"/>
          <w:sz w:val="20"/>
        </w:rPr>
        <w:t> </w:t>
      </w:r>
      <w:r>
        <w:rPr>
          <w:sz w:val="20"/>
        </w:rPr>
        <w:t>сонлив,</w:t>
      </w:r>
      <w:r>
        <w:rPr>
          <w:spacing w:val="-7"/>
          <w:sz w:val="20"/>
        </w:rPr>
        <w:t> </w:t>
      </w:r>
      <w:r>
        <w:rPr>
          <w:sz w:val="20"/>
        </w:rPr>
        <w:t>но</w:t>
      </w:r>
      <w:r>
        <w:rPr>
          <w:spacing w:val="-6"/>
          <w:sz w:val="20"/>
        </w:rPr>
        <w:t> </w:t>
      </w:r>
      <w:r>
        <w:rPr>
          <w:sz w:val="20"/>
        </w:rPr>
        <w:t>реагирует</w:t>
      </w:r>
      <w:r>
        <w:rPr>
          <w:spacing w:val="-8"/>
          <w:sz w:val="20"/>
        </w:rPr>
        <w:t> </w:t>
      </w:r>
      <w:r>
        <w:rPr>
          <w:sz w:val="20"/>
        </w:rPr>
        <w:t>всегда</w:t>
      </w:r>
      <w:r>
        <w:rPr>
          <w:spacing w:val="-9"/>
          <w:sz w:val="20"/>
        </w:rPr>
        <w:t> </w:t>
      </w:r>
      <w:r>
        <w:rPr>
          <w:sz w:val="20"/>
        </w:rPr>
        <w:t>на</w:t>
      </w:r>
      <w:r>
        <w:rPr>
          <w:spacing w:val="-7"/>
          <w:sz w:val="20"/>
        </w:rPr>
        <w:t> </w:t>
      </w:r>
      <w:r>
        <w:rPr>
          <w:spacing w:val="-2"/>
          <w:sz w:val="20"/>
        </w:rPr>
        <w:t>голос</w:t>
      </w:r>
    </w:p>
    <w:p>
      <w:pPr>
        <w:spacing w:before="15"/>
        <w:ind w:left="1841" w:right="0" w:firstLine="0"/>
        <w:jc w:val="left"/>
        <w:rPr>
          <w:sz w:val="20"/>
        </w:rPr>
      </w:pPr>
      <w:r>
        <w:rPr>
          <w:sz w:val="20"/>
        </w:rPr>
        <w:t>-2</w:t>
      </w:r>
      <w:r>
        <w:rPr>
          <w:spacing w:val="-6"/>
          <w:sz w:val="20"/>
        </w:rPr>
        <w:t> </w:t>
      </w:r>
      <w:r>
        <w:rPr>
          <w:sz w:val="20"/>
        </w:rPr>
        <w:t>ЛЕГКАЯ</w:t>
      </w:r>
      <w:r>
        <w:rPr>
          <w:spacing w:val="-6"/>
          <w:sz w:val="20"/>
        </w:rPr>
        <w:t> </w:t>
      </w:r>
      <w:r>
        <w:rPr>
          <w:sz w:val="20"/>
        </w:rPr>
        <w:t>СЕДАЦИЯ:</w:t>
      </w:r>
      <w:r>
        <w:rPr>
          <w:spacing w:val="-8"/>
          <w:sz w:val="20"/>
        </w:rPr>
        <w:t> </w:t>
      </w:r>
      <w:r>
        <w:rPr>
          <w:sz w:val="20"/>
        </w:rPr>
        <w:t>просыпается</w:t>
      </w:r>
      <w:r>
        <w:rPr>
          <w:spacing w:val="-5"/>
          <w:sz w:val="20"/>
        </w:rPr>
        <w:t> </w:t>
      </w:r>
      <w:r>
        <w:rPr>
          <w:sz w:val="20"/>
        </w:rPr>
        <w:t>на</w:t>
      </w:r>
      <w:r>
        <w:rPr>
          <w:spacing w:val="-7"/>
          <w:sz w:val="20"/>
        </w:rPr>
        <w:t> </w:t>
      </w:r>
      <w:r>
        <w:rPr>
          <w:sz w:val="20"/>
        </w:rPr>
        <w:t>короткое</w:t>
      </w:r>
      <w:r>
        <w:rPr>
          <w:spacing w:val="-6"/>
          <w:sz w:val="20"/>
        </w:rPr>
        <w:t> </w:t>
      </w:r>
      <w:r>
        <w:rPr>
          <w:sz w:val="20"/>
        </w:rPr>
        <w:t>время</w:t>
      </w:r>
      <w:r>
        <w:rPr>
          <w:spacing w:val="-8"/>
          <w:sz w:val="20"/>
        </w:rPr>
        <w:t> </w:t>
      </w:r>
      <w:r>
        <w:rPr>
          <w:sz w:val="20"/>
        </w:rPr>
        <w:t>на</w:t>
      </w:r>
      <w:r>
        <w:rPr>
          <w:spacing w:val="-7"/>
          <w:sz w:val="20"/>
        </w:rPr>
        <w:t> </w:t>
      </w:r>
      <w:r>
        <w:rPr>
          <w:spacing w:val="-2"/>
          <w:sz w:val="20"/>
        </w:rPr>
        <w:t>голос</w:t>
      </w:r>
    </w:p>
    <w:p>
      <w:pPr>
        <w:spacing w:before="15"/>
        <w:ind w:left="1841" w:right="0" w:firstLine="0"/>
        <w:jc w:val="left"/>
        <w:rPr>
          <w:sz w:val="20"/>
        </w:rPr>
      </w:pPr>
      <w:r>
        <w:rPr>
          <w:sz w:val="20"/>
        </w:rPr>
        <w:t>-3</w:t>
      </w:r>
      <w:r>
        <w:rPr>
          <w:spacing w:val="-8"/>
          <w:sz w:val="20"/>
        </w:rPr>
        <w:t> </w:t>
      </w:r>
      <w:r>
        <w:rPr>
          <w:sz w:val="20"/>
        </w:rPr>
        <w:t>СРЕДНЯЯ</w:t>
      </w:r>
      <w:r>
        <w:rPr>
          <w:spacing w:val="-8"/>
          <w:sz w:val="20"/>
        </w:rPr>
        <w:t> </w:t>
      </w:r>
      <w:r>
        <w:rPr>
          <w:sz w:val="20"/>
        </w:rPr>
        <w:t>СЕДАЦИЯ:</w:t>
      </w:r>
      <w:r>
        <w:rPr>
          <w:spacing w:val="-10"/>
          <w:sz w:val="20"/>
        </w:rPr>
        <w:t> </w:t>
      </w:r>
      <w:r>
        <w:rPr>
          <w:sz w:val="20"/>
        </w:rPr>
        <w:t>движение</w:t>
      </w:r>
      <w:r>
        <w:rPr>
          <w:spacing w:val="-7"/>
          <w:sz w:val="20"/>
        </w:rPr>
        <w:t> </w:t>
      </w:r>
      <w:r>
        <w:rPr>
          <w:sz w:val="20"/>
        </w:rPr>
        <w:t>или</w:t>
      </w:r>
      <w:r>
        <w:rPr>
          <w:spacing w:val="-10"/>
          <w:sz w:val="20"/>
        </w:rPr>
        <w:t> </w:t>
      </w:r>
      <w:r>
        <w:rPr>
          <w:spacing w:val="-2"/>
          <w:sz w:val="20"/>
        </w:rPr>
        <w:t>открытие</w:t>
      </w:r>
    </w:p>
    <w:p>
      <w:pPr>
        <w:pStyle w:val="BodyText"/>
        <w:spacing w:before="126"/>
        <w:ind w:left="0"/>
        <w:jc w:val="left"/>
        <w:rPr>
          <w:sz w:val="20"/>
        </w:rPr>
      </w:pPr>
    </w:p>
    <w:p>
      <w:pPr>
        <w:pStyle w:val="Heading1"/>
        <w:numPr>
          <w:ilvl w:val="0"/>
          <w:numId w:val="5"/>
        </w:numPr>
        <w:tabs>
          <w:tab w:pos="2828" w:val="left" w:leader="none"/>
        </w:tabs>
        <w:spacing w:line="240" w:lineRule="auto" w:before="1" w:after="0"/>
        <w:ind w:left="2828" w:right="0" w:hanging="279"/>
        <w:jc w:val="left"/>
      </w:pPr>
      <w:bookmarkStart w:name="_TOC_250041" w:id="25"/>
      <w:r>
        <w:rPr>
          <w:color w:val="1F487C"/>
        </w:rPr>
        <w:t>ДИАГНОСТИКА</w:t>
      </w:r>
      <w:r>
        <w:rPr>
          <w:color w:val="1F487C"/>
          <w:spacing w:val="-16"/>
        </w:rPr>
        <w:t> </w:t>
      </w:r>
      <w:r>
        <w:rPr>
          <w:color w:val="1F487C"/>
        </w:rPr>
        <w:t>КОРОНАВИРУСНОЙ</w:t>
      </w:r>
      <w:r>
        <w:rPr>
          <w:color w:val="1F487C"/>
          <w:spacing w:val="-16"/>
        </w:rPr>
        <w:t> </w:t>
      </w:r>
      <w:bookmarkEnd w:id="25"/>
      <w:r>
        <w:rPr>
          <w:color w:val="1F487C"/>
          <w:spacing w:val="-2"/>
        </w:rPr>
        <w:t>ИНФЕКЦИИ</w:t>
      </w:r>
    </w:p>
    <w:p>
      <w:pPr>
        <w:pStyle w:val="Heading1"/>
        <w:numPr>
          <w:ilvl w:val="1"/>
          <w:numId w:val="5"/>
        </w:numPr>
        <w:tabs>
          <w:tab w:pos="3037" w:val="left" w:leader="none"/>
        </w:tabs>
        <w:spacing w:line="259" w:lineRule="auto" w:before="320" w:after="0"/>
        <w:ind w:left="2549" w:right="2993" w:firstLine="0"/>
        <w:jc w:val="left"/>
        <w:rPr>
          <w:color w:val="1F487C"/>
        </w:rPr>
      </w:pPr>
      <w:bookmarkStart w:name="_TOC_250040" w:id="26"/>
      <w:r>
        <w:rPr>
          <w:color w:val="1F487C"/>
        </w:rPr>
        <w:t>АЛГОРИТМ</w:t>
      </w:r>
      <w:r>
        <w:rPr>
          <w:color w:val="1F487C"/>
          <w:spacing w:val="-18"/>
        </w:rPr>
        <w:t> </w:t>
      </w:r>
      <w:r>
        <w:rPr>
          <w:color w:val="1F487C"/>
        </w:rPr>
        <w:t>ОБСЛЕДОВАНИЯ</w:t>
      </w:r>
      <w:r>
        <w:rPr>
          <w:color w:val="1F487C"/>
          <w:spacing w:val="-17"/>
        </w:rPr>
        <w:t> </w:t>
      </w:r>
      <w:bookmarkEnd w:id="26"/>
      <w:r>
        <w:rPr>
          <w:color w:val="1F487C"/>
        </w:rPr>
        <w:t>ПАЦИЕНТА С ПОДОЗРЕНИЕМ НА COVID-19</w:t>
      </w:r>
    </w:p>
    <w:p>
      <w:pPr>
        <w:pStyle w:val="BodyText"/>
        <w:spacing w:line="276" w:lineRule="auto" w:before="120"/>
        <w:ind w:right="1278" w:firstLine="707"/>
      </w:pPr>
      <w:r>
        <w:rPr/>
        <w:t>При</w:t>
      </w:r>
      <w:r>
        <w:rPr>
          <w:spacing w:val="80"/>
        </w:rPr>
        <w:t> </w:t>
      </w:r>
      <w:r>
        <w:rPr/>
        <w:t>наличии</w:t>
      </w:r>
      <w:r>
        <w:rPr>
          <w:spacing w:val="80"/>
        </w:rPr>
        <w:t> </w:t>
      </w:r>
      <w:r>
        <w:rPr/>
        <w:t>факторов,</w:t>
      </w:r>
      <w:r>
        <w:rPr>
          <w:spacing w:val="80"/>
        </w:rPr>
        <w:t> </w:t>
      </w:r>
      <w:r>
        <w:rPr/>
        <w:t>свидетельствующих</w:t>
      </w:r>
      <w:r>
        <w:rPr>
          <w:spacing w:val="80"/>
        </w:rPr>
        <w:t> </w:t>
      </w:r>
      <w:r>
        <w:rPr/>
        <w:t>о</w:t>
      </w:r>
      <w:r>
        <w:rPr>
          <w:spacing w:val="80"/>
        </w:rPr>
        <w:t> </w:t>
      </w:r>
      <w:r>
        <w:rPr/>
        <w:t>случае,</w:t>
      </w:r>
      <w:r>
        <w:rPr>
          <w:spacing w:val="80"/>
        </w:rPr>
        <w:t> </w:t>
      </w:r>
      <w:r>
        <w:rPr/>
        <w:t>подозрительном</w:t>
      </w:r>
      <w:r>
        <w:rPr>
          <w:spacing w:val="80"/>
        </w:rPr>
        <w:t> </w:t>
      </w:r>
      <w:r>
        <w:rPr/>
        <w:t>на</w:t>
      </w:r>
      <w:r>
        <w:rPr>
          <w:spacing w:val="-5"/>
        </w:rPr>
        <w:t> </w:t>
      </w:r>
      <w:r>
        <w:rPr/>
        <w:t>COVID-19, пациентам вне зависимости от вида оказания медицинской помощи проводится комплекс клинического обследования для определения степени тяжести состояния, включающий сбор анамнеза, физикальное обследование, исследование диагностического материала с применением МАНК, пульсоксиметрию.</w:t>
      </w:r>
    </w:p>
    <w:p>
      <w:pPr>
        <w:pStyle w:val="BodyText"/>
        <w:spacing w:line="276" w:lineRule="auto" w:before="12"/>
        <w:ind w:right="1277" w:firstLine="707"/>
      </w:pPr>
      <w:r>
        <w:rPr/>
        <w:t>По</w:t>
      </w:r>
      <w:r>
        <w:rPr>
          <w:spacing w:val="-15"/>
        </w:rPr>
        <w:t> </w:t>
      </w:r>
      <w:r>
        <w:rPr/>
        <w:t>результатам</w:t>
      </w:r>
      <w:r>
        <w:rPr>
          <w:spacing w:val="-15"/>
        </w:rPr>
        <w:t> </w:t>
      </w:r>
      <w:r>
        <w:rPr/>
        <w:t>проведенного</w:t>
      </w:r>
      <w:r>
        <w:rPr>
          <w:spacing w:val="-15"/>
        </w:rPr>
        <w:t> </w:t>
      </w:r>
      <w:r>
        <w:rPr/>
        <w:t>комплекса</w:t>
      </w:r>
      <w:r>
        <w:rPr>
          <w:spacing w:val="-15"/>
        </w:rPr>
        <w:t> </w:t>
      </w:r>
      <w:r>
        <w:rPr/>
        <w:t>клинического</w:t>
      </w:r>
      <w:r>
        <w:rPr>
          <w:spacing w:val="-15"/>
        </w:rPr>
        <w:t> </w:t>
      </w:r>
      <w:r>
        <w:rPr/>
        <w:t>обследования</w:t>
      </w:r>
      <w:r>
        <w:rPr>
          <w:spacing w:val="-15"/>
        </w:rPr>
        <w:t> </w:t>
      </w:r>
      <w:r>
        <w:rPr/>
        <w:t>решается вопрос о виде оказания медицинской помощи и объеме дополнительного обследования. Диагноз устанавливается на основании клинического обследования, данных эпидемиологического анамнеза и результатов лабораторных исследований.</w:t>
      </w:r>
    </w:p>
    <w:p>
      <w:pPr>
        <w:pStyle w:val="Heading3"/>
        <w:numPr>
          <w:ilvl w:val="2"/>
          <w:numId w:val="5"/>
        </w:numPr>
        <w:tabs>
          <w:tab w:pos="3255" w:val="left" w:leader="none"/>
        </w:tabs>
        <w:spacing w:line="240" w:lineRule="auto" w:before="119" w:after="0"/>
        <w:ind w:left="2549" w:right="1280" w:firstLine="0"/>
        <w:jc w:val="both"/>
      </w:pPr>
      <w:r>
        <w:rPr>
          <w:color w:val="1F487C"/>
        </w:rPr>
        <w:t>Подробная оценка всех жалоб, анамнеза заболевания, эпидемиологического анамнеза.</w:t>
      </w:r>
    </w:p>
    <w:p>
      <w:pPr>
        <w:pStyle w:val="BodyText"/>
        <w:spacing w:line="276" w:lineRule="auto" w:before="120"/>
        <w:ind w:right="1272" w:firstLine="707"/>
      </w:pPr>
      <w:r>
        <w:rPr/>
        <w:t>При сборе эпидемиологического анамнеза устанавливается наличие ранее перенесенного заболевания COVID-19, вакцинации и повторной вакцинации (ревакцинации) против COVID-19, зарубежных поездок за 7 дней до первых симптомов, а также наличие тесных контактов за последние 7 дней с лицами, подозрительными на инфицирование SARS-CoV-2, или</w:t>
      </w:r>
      <w:r>
        <w:rPr>
          <w:spacing w:val="-3"/>
        </w:rPr>
        <w:t> </w:t>
      </w:r>
      <w:r>
        <w:rPr/>
        <w:t>лицами, у которых диагноз COVID-19 подтвержден лабораторно.</w:t>
      </w:r>
    </w:p>
    <w:p>
      <w:pPr>
        <w:pStyle w:val="Heading3"/>
        <w:numPr>
          <w:ilvl w:val="2"/>
          <w:numId w:val="5"/>
        </w:numPr>
        <w:tabs>
          <w:tab w:pos="3275" w:val="left" w:leader="none"/>
        </w:tabs>
        <w:spacing w:line="276" w:lineRule="auto" w:before="117" w:after="0"/>
        <w:ind w:left="2549" w:right="1283" w:firstLine="0"/>
        <w:jc w:val="both"/>
      </w:pPr>
      <w:r>
        <w:rPr>
          <w:color w:val="1F487C"/>
        </w:rPr>
        <w:t>Физикальное обследование с установлением степени тяжести состояния пациента, обязательно включающее:</w:t>
      </w:r>
    </w:p>
    <w:p>
      <w:pPr>
        <w:pStyle w:val="ListParagraph"/>
        <w:numPr>
          <w:ilvl w:val="0"/>
          <w:numId w:val="9"/>
        </w:numPr>
        <w:tabs>
          <w:tab w:pos="2124" w:val="left" w:leader="none"/>
        </w:tabs>
        <w:spacing w:line="240" w:lineRule="auto" w:before="1" w:after="0"/>
        <w:ind w:left="2124" w:right="0" w:hanging="359"/>
        <w:jc w:val="left"/>
        <w:rPr>
          <w:sz w:val="28"/>
        </w:rPr>
      </w:pPr>
      <w:r>
        <w:rPr>
          <w:sz w:val="24"/>
        </w:rPr>
        <w:t>Оценку</w:t>
      </w:r>
      <w:r>
        <w:rPr>
          <w:spacing w:val="-15"/>
          <w:sz w:val="24"/>
        </w:rPr>
        <w:t> </w:t>
      </w:r>
      <w:r>
        <w:rPr>
          <w:sz w:val="24"/>
        </w:rPr>
        <w:t>видимых</w:t>
      </w:r>
      <w:r>
        <w:rPr>
          <w:spacing w:val="-14"/>
          <w:sz w:val="24"/>
        </w:rPr>
        <w:t> </w:t>
      </w:r>
      <w:r>
        <w:rPr>
          <w:sz w:val="24"/>
        </w:rPr>
        <w:t>слизистых</w:t>
      </w:r>
      <w:r>
        <w:rPr>
          <w:spacing w:val="-14"/>
          <w:sz w:val="24"/>
        </w:rPr>
        <w:t> </w:t>
      </w:r>
      <w:r>
        <w:rPr>
          <w:sz w:val="24"/>
        </w:rPr>
        <w:t>оболочек</w:t>
      </w:r>
      <w:r>
        <w:rPr>
          <w:spacing w:val="-13"/>
          <w:sz w:val="24"/>
        </w:rPr>
        <w:t> </w:t>
      </w:r>
      <w:r>
        <w:rPr>
          <w:sz w:val="24"/>
        </w:rPr>
        <w:t>верхних</w:t>
      </w:r>
      <w:r>
        <w:rPr>
          <w:spacing w:val="-14"/>
          <w:sz w:val="24"/>
        </w:rPr>
        <w:t> </w:t>
      </w:r>
      <w:r>
        <w:rPr>
          <w:sz w:val="24"/>
        </w:rPr>
        <w:t>дыхательных</w:t>
      </w:r>
      <w:r>
        <w:rPr>
          <w:spacing w:val="-15"/>
          <w:sz w:val="24"/>
        </w:rPr>
        <w:t> </w:t>
      </w:r>
      <w:r>
        <w:rPr>
          <w:spacing w:val="-2"/>
          <w:sz w:val="24"/>
        </w:rPr>
        <w:t>путей;</w:t>
      </w:r>
    </w:p>
    <w:p>
      <w:pPr>
        <w:pStyle w:val="ListParagraph"/>
        <w:numPr>
          <w:ilvl w:val="0"/>
          <w:numId w:val="9"/>
        </w:numPr>
        <w:tabs>
          <w:tab w:pos="2124" w:val="left" w:leader="none"/>
        </w:tabs>
        <w:spacing w:line="240" w:lineRule="auto" w:before="34" w:after="0"/>
        <w:ind w:left="2124" w:right="0" w:hanging="359"/>
        <w:jc w:val="left"/>
        <w:rPr>
          <w:sz w:val="28"/>
        </w:rPr>
      </w:pPr>
      <w:r>
        <w:rPr>
          <w:sz w:val="24"/>
        </w:rPr>
        <w:t>Аускультацию</w:t>
      </w:r>
      <w:r>
        <w:rPr>
          <w:spacing w:val="-15"/>
          <w:sz w:val="24"/>
        </w:rPr>
        <w:t> </w:t>
      </w:r>
      <w:r>
        <w:rPr>
          <w:sz w:val="24"/>
        </w:rPr>
        <w:t>и</w:t>
      </w:r>
      <w:r>
        <w:rPr>
          <w:spacing w:val="-14"/>
          <w:sz w:val="24"/>
        </w:rPr>
        <w:t> </w:t>
      </w:r>
      <w:r>
        <w:rPr>
          <w:sz w:val="24"/>
        </w:rPr>
        <w:t>перкуссию</w:t>
      </w:r>
      <w:r>
        <w:rPr>
          <w:spacing w:val="-13"/>
          <w:sz w:val="24"/>
        </w:rPr>
        <w:t> </w:t>
      </w:r>
      <w:r>
        <w:rPr>
          <w:spacing w:val="-2"/>
          <w:sz w:val="24"/>
        </w:rPr>
        <w:t>легких;</w:t>
      </w:r>
    </w:p>
    <w:p>
      <w:pPr>
        <w:pStyle w:val="ListParagraph"/>
        <w:numPr>
          <w:ilvl w:val="0"/>
          <w:numId w:val="9"/>
        </w:numPr>
        <w:tabs>
          <w:tab w:pos="2124" w:val="left" w:leader="none"/>
        </w:tabs>
        <w:spacing w:line="240" w:lineRule="auto" w:before="30" w:after="0"/>
        <w:ind w:left="2124" w:right="0" w:hanging="359"/>
        <w:jc w:val="left"/>
        <w:rPr>
          <w:sz w:val="28"/>
        </w:rPr>
      </w:pPr>
      <w:r>
        <w:rPr>
          <w:spacing w:val="-2"/>
          <w:sz w:val="24"/>
        </w:rPr>
        <w:t>Пальпацию</w:t>
      </w:r>
      <w:r>
        <w:rPr>
          <w:spacing w:val="1"/>
          <w:sz w:val="24"/>
        </w:rPr>
        <w:t> </w:t>
      </w:r>
      <w:r>
        <w:rPr>
          <w:spacing w:val="-2"/>
          <w:sz w:val="24"/>
        </w:rPr>
        <w:t>лимфатических</w:t>
      </w:r>
      <w:r>
        <w:rPr>
          <w:spacing w:val="1"/>
          <w:sz w:val="24"/>
        </w:rPr>
        <w:t> </w:t>
      </w:r>
      <w:r>
        <w:rPr>
          <w:spacing w:val="-2"/>
          <w:sz w:val="24"/>
        </w:rPr>
        <w:t>узлов;</w:t>
      </w:r>
    </w:p>
    <w:p>
      <w:pPr>
        <w:pStyle w:val="ListParagraph"/>
        <w:numPr>
          <w:ilvl w:val="0"/>
          <w:numId w:val="9"/>
        </w:numPr>
        <w:tabs>
          <w:tab w:pos="2124" w:val="left" w:leader="none"/>
        </w:tabs>
        <w:spacing w:line="264" w:lineRule="auto" w:before="33" w:after="0"/>
        <w:ind w:left="2124" w:right="1276" w:hanging="360"/>
        <w:jc w:val="left"/>
        <w:rPr>
          <w:sz w:val="28"/>
        </w:rPr>
      </w:pPr>
      <w:r>
        <w:rPr>
          <w:sz w:val="24"/>
        </w:rPr>
        <w:t>Исследование</w:t>
      </w:r>
      <w:r>
        <w:rPr>
          <w:spacing w:val="80"/>
          <w:w w:val="150"/>
          <w:sz w:val="24"/>
        </w:rPr>
        <w:t> </w:t>
      </w:r>
      <w:r>
        <w:rPr>
          <w:sz w:val="24"/>
        </w:rPr>
        <w:t>органов</w:t>
      </w:r>
      <w:r>
        <w:rPr>
          <w:spacing w:val="80"/>
          <w:w w:val="150"/>
          <w:sz w:val="24"/>
        </w:rPr>
        <w:t> </w:t>
      </w:r>
      <w:r>
        <w:rPr>
          <w:sz w:val="24"/>
        </w:rPr>
        <w:t>брюшной</w:t>
      </w:r>
      <w:r>
        <w:rPr>
          <w:spacing w:val="80"/>
          <w:w w:val="150"/>
          <w:sz w:val="24"/>
        </w:rPr>
        <w:t> </w:t>
      </w:r>
      <w:r>
        <w:rPr>
          <w:sz w:val="24"/>
        </w:rPr>
        <w:t>полости</w:t>
      </w:r>
      <w:r>
        <w:rPr>
          <w:spacing w:val="80"/>
          <w:w w:val="150"/>
          <w:sz w:val="24"/>
        </w:rPr>
        <w:t> </w:t>
      </w:r>
      <w:r>
        <w:rPr>
          <w:sz w:val="24"/>
        </w:rPr>
        <w:t>с</w:t>
      </w:r>
      <w:r>
        <w:rPr>
          <w:spacing w:val="80"/>
          <w:sz w:val="24"/>
        </w:rPr>
        <w:t> </w:t>
      </w:r>
      <w:r>
        <w:rPr>
          <w:sz w:val="24"/>
        </w:rPr>
        <w:t>определением</w:t>
      </w:r>
      <w:r>
        <w:rPr>
          <w:spacing w:val="80"/>
          <w:w w:val="150"/>
          <w:sz w:val="24"/>
        </w:rPr>
        <w:t> </w:t>
      </w:r>
      <w:r>
        <w:rPr>
          <w:sz w:val="24"/>
        </w:rPr>
        <w:t>размеров</w:t>
      </w:r>
      <w:r>
        <w:rPr>
          <w:spacing w:val="80"/>
          <w:w w:val="150"/>
          <w:sz w:val="24"/>
        </w:rPr>
        <w:t> </w:t>
      </w:r>
      <w:r>
        <w:rPr>
          <w:sz w:val="24"/>
        </w:rPr>
        <w:t>печени и селезенки;</w:t>
      </w:r>
    </w:p>
    <w:p>
      <w:pPr>
        <w:pStyle w:val="ListParagraph"/>
        <w:numPr>
          <w:ilvl w:val="0"/>
          <w:numId w:val="9"/>
        </w:numPr>
        <w:tabs>
          <w:tab w:pos="2124" w:val="left" w:leader="none"/>
        </w:tabs>
        <w:spacing w:line="240" w:lineRule="auto" w:before="14" w:after="0"/>
        <w:ind w:left="2124" w:right="0" w:hanging="359"/>
        <w:jc w:val="left"/>
        <w:rPr>
          <w:sz w:val="28"/>
        </w:rPr>
      </w:pPr>
      <w:r>
        <w:rPr>
          <w:spacing w:val="-2"/>
          <w:sz w:val="24"/>
        </w:rPr>
        <w:t>Термометрию;</w:t>
      </w:r>
    </w:p>
    <w:p>
      <w:pPr>
        <w:pStyle w:val="ListParagraph"/>
        <w:numPr>
          <w:ilvl w:val="0"/>
          <w:numId w:val="9"/>
        </w:numPr>
        <w:tabs>
          <w:tab w:pos="2124" w:val="left" w:leader="none"/>
        </w:tabs>
        <w:spacing w:line="240" w:lineRule="auto" w:before="33" w:after="0"/>
        <w:ind w:left="2124" w:right="0" w:hanging="359"/>
        <w:jc w:val="left"/>
        <w:rPr>
          <w:sz w:val="28"/>
        </w:rPr>
      </w:pPr>
      <w:r>
        <w:rPr>
          <w:sz w:val="24"/>
        </w:rPr>
        <w:t>Оценку</w:t>
      </w:r>
      <w:r>
        <w:rPr>
          <w:spacing w:val="-9"/>
          <w:sz w:val="24"/>
        </w:rPr>
        <w:t> </w:t>
      </w:r>
      <w:r>
        <w:rPr>
          <w:sz w:val="24"/>
        </w:rPr>
        <w:t>уровня</w:t>
      </w:r>
      <w:r>
        <w:rPr>
          <w:spacing w:val="-9"/>
          <w:sz w:val="24"/>
        </w:rPr>
        <w:t> </w:t>
      </w:r>
      <w:r>
        <w:rPr>
          <w:spacing w:val="-2"/>
          <w:sz w:val="24"/>
        </w:rPr>
        <w:t>сознания;</w:t>
      </w:r>
    </w:p>
    <w:p>
      <w:pPr>
        <w:pStyle w:val="ListParagraph"/>
        <w:numPr>
          <w:ilvl w:val="0"/>
          <w:numId w:val="9"/>
        </w:numPr>
        <w:tabs>
          <w:tab w:pos="2124" w:val="left" w:leader="none"/>
        </w:tabs>
        <w:spacing w:line="264" w:lineRule="auto" w:before="33" w:after="0"/>
        <w:ind w:left="2124" w:right="1274" w:hanging="360"/>
        <w:jc w:val="left"/>
        <w:rPr>
          <w:sz w:val="28"/>
        </w:rPr>
      </w:pPr>
      <w:r>
        <w:rPr>
          <w:sz w:val="24"/>
        </w:rPr>
        <w:t>Измерение</w:t>
      </w:r>
      <w:r>
        <w:rPr>
          <w:spacing w:val="40"/>
          <w:sz w:val="24"/>
        </w:rPr>
        <w:t> </w:t>
      </w:r>
      <w:r>
        <w:rPr>
          <w:sz w:val="24"/>
        </w:rPr>
        <w:t>частоты</w:t>
      </w:r>
      <w:r>
        <w:rPr>
          <w:spacing w:val="40"/>
          <w:sz w:val="24"/>
        </w:rPr>
        <w:t> </w:t>
      </w:r>
      <w:r>
        <w:rPr>
          <w:sz w:val="24"/>
        </w:rPr>
        <w:t>сердечных</w:t>
      </w:r>
      <w:r>
        <w:rPr>
          <w:spacing w:val="40"/>
          <w:sz w:val="24"/>
        </w:rPr>
        <w:t> </w:t>
      </w:r>
      <w:r>
        <w:rPr>
          <w:sz w:val="24"/>
        </w:rPr>
        <w:t>сокращений,</w:t>
      </w:r>
      <w:r>
        <w:rPr>
          <w:spacing w:val="40"/>
          <w:sz w:val="24"/>
        </w:rPr>
        <w:t> </w:t>
      </w:r>
      <w:r>
        <w:rPr>
          <w:sz w:val="24"/>
        </w:rPr>
        <w:t>артериального</w:t>
      </w:r>
      <w:r>
        <w:rPr>
          <w:spacing w:val="40"/>
          <w:sz w:val="24"/>
        </w:rPr>
        <w:t> </w:t>
      </w:r>
      <w:r>
        <w:rPr>
          <w:sz w:val="24"/>
        </w:rPr>
        <w:t>давления,</w:t>
      </w:r>
      <w:r>
        <w:rPr>
          <w:spacing w:val="40"/>
          <w:sz w:val="24"/>
        </w:rPr>
        <w:t> </w:t>
      </w:r>
      <w:r>
        <w:rPr>
          <w:sz w:val="24"/>
        </w:rPr>
        <w:t>частоты</w:t>
      </w:r>
      <w:r>
        <w:rPr>
          <w:spacing w:val="40"/>
          <w:sz w:val="24"/>
        </w:rPr>
        <w:t> </w:t>
      </w:r>
      <w:r>
        <w:rPr>
          <w:sz w:val="24"/>
        </w:rPr>
        <w:t>дыхательных движений;</w:t>
      </w:r>
    </w:p>
    <w:p>
      <w:pPr>
        <w:pStyle w:val="ListParagraph"/>
        <w:numPr>
          <w:ilvl w:val="0"/>
          <w:numId w:val="9"/>
        </w:numPr>
        <w:tabs>
          <w:tab w:pos="2124" w:val="left" w:leader="none"/>
          <w:tab w:pos="4343" w:val="left" w:leader="none"/>
          <w:tab w:pos="4774" w:val="left" w:leader="none"/>
          <w:tab w:pos="6322" w:val="left" w:leader="none"/>
          <w:tab w:pos="7199" w:val="left" w:leader="none"/>
          <w:tab w:pos="7877" w:val="left" w:leader="none"/>
          <w:tab w:pos="9296" w:val="left" w:leader="none"/>
        </w:tabs>
        <w:spacing w:line="264" w:lineRule="auto" w:before="13" w:after="0"/>
        <w:ind w:left="2124" w:right="1275" w:hanging="360"/>
        <w:jc w:val="left"/>
        <w:rPr>
          <w:sz w:val="28"/>
        </w:rPr>
      </w:pPr>
      <w:r>
        <w:rPr>
          <w:spacing w:val="-2"/>
          <w:sz w:val="24"/>
        </w:rPr>
        <w:t>Пульсоксиметрию</w:t>
      </w:r>
      <w:r>
        <w:rPr>
          <w:sz w:val="24"/>
        </w:rPr>
        <w:tab/>
      </w:r>
      <w:r>
        <w:rPr>
          <w:spacing w:val="-10"/>
          <w:sz w:val="24"/>
        </w:rPr>
        <w:t>с</w:t>
      </w:r>
      <w:r>
        <w:rPr>
          <w:sz w:val="24"/>
        </w:rPr>
        <w:tab/>
      </w:r>
      <w:r>
        <w:rPr>
          <w:spacing w:val="-2"/>
          <w:sz w:val="24"/>
        </w:rPr>
        <w:t>измерением</w:t>
      </w:r>
      <w:r>
        <w:rPr>
          <w:sz w:val="24"/>
        </w:rPr>
        <w:tab/>
      </w:r>
      <w:r>
        <w:rPr>
          <w:spacing w:val="-4"/>
          <w:sz w:val="24"/>
        </w:rPr>
        <w:t>SpO2</w:t>
      </w:r>
      <w:r>
        <w:rPr>
          <w:sz w:val="24"/>
        </w:rPr>
        <w:tab/>
      </w:r>
      <w:r>
        <w:rPr>
          <w:spacing w:val="-4"/>
          <w:sz w:val="24"/>
        </w:rPr>
        <w:t>для</w:t>
      </w:r>
      <w:r>
        <w:rPr>
          <w:sz w:val="24"/>
        </w:rPr>
        <w:tab/>
      </w:r>
      <w:r>
        <w:rPr>
          <w:spacing w:val="-2"/>
          <w:sz w:val="24"/>
        </w:rPr>
        <w:t>выявления</w:t>
      </w:r>
      <w:r>
        <w:rPr>
          <w:sz w:val="24"/>
        </w:rPr>
        <w:tab/>
      </w:r>
      <w:r>
        <w:rPr>
          <w:spacing w:val="-2"/>
          <w:sz w:val="24"/>
        </w:rPr>
        <w:t>дыхательной </w:t>
      </w:r>
      <w:r>
        <w:rPr>
          <w:sz w:val="24"/>
        </w:rPr>
        <w:t>недостаточности и оценки выраженности гипоксемии.</w:t>
      </w:r>
    </w:p>
    <w:p>
      <w:pPr>
        <w:pStyle w:val="ListParagraph"/>
        <w:spacing w:after="0" w:line="264" w:lineRule="auto"/>
        <w:jc w:val="left"/>
        <w:rPr>
          <w:sz w:val="28"/>
        </w:rPr>
        <w:sectPr>
          <w:pgSz w:w="11900" w:h="16840"/>
          <w:pgMar w:header="0" w:footer="697" w:top="1080" w:bottom="880" w:left="0" w:right="0"/>
        </w:sectPr>
      </w:pPr>
    </w:p>
    <w:p>
      <w:pPr>
        <w:pStyle w:val="Heading3"/>
        <w:numPr>
          <w:ilvl w:val="2"/>
          <w:numId w:val="5"/>
        </w:numPr>
        <w:tabs>
          <w:tab w:pos="3207" w:val="left" w:leader="none"/>
        </w:tabs>
        <w:spacing w:line="240" w:lineRule="auto" w:before="73" w:after="0"/>
        <w:ind w:left="3207" w:right="0" w:hanging="658"/>
        <w:jc w:val="both"/>
      </w:pPr>
      <w:bookmarkStart w:name="20" w:id="27"/>
      <w:bookmarkEnd w:id="27"/>
      <w:r>
        <w:rPr>
          <w:b w:val="0"/>
        </w:rPr>
      </w:r>
      <w:r>
        <w:rPr>
          <w:color w:val="1F487C"/>
          <w:spacing w:val="-2"/>
        </w:rPr>
        <w:t>Инструментальная</w:t>
      </w:r>
      <w:r>
        <w:rPr>
          <w:color w:val="1F487C"/>
          <w:spacing w:val="6"/>
        </w:rPr>
        <w:t> </w:t>
      </w:r>
      <w:r>
        <w:rPr>
          <w:color w:val="1F487C"/>
          <w:spacing w:val="-2"/>
        </w:rPr>
        <w:t>диагностика</w:t>
      </w:r>
    </w:p>
    <w:p>
      <w:pPr>
        <w:pStyle w:val="BodyText"/>
        <w:spacing w:line="276" w:lineRule="auto" w:before="136"/>
        <w:ind w:right="1275" w:firstLine="707"/>
        <w:rPr>
          <w:position w:val="2"/>
        </w:rPr>
      </w:pPr>
      <w:r>
        <w:rPr>
          <w:b/>
          <w:position w:val="2"/>
        </w:rPr>
        <w:t>Пульсоксиметрия </w:t>
      </w:r>
      <w:r>
        <w:rPr>
          <w:position w:val="2"/>
        </w:rPr>
        <w:t>с измерением SpO</w:t>
      </w:r>
      <w:r>
        <w:rPr>
          <w:sz w:val="16"/>
        </w:rPr>
        <w:t>2</w:t>
      </w:r>
      <w:r>
        <w:rPr>
          <w:spacing w:val="40"/>
          <w:sz w:val="16"/>
        </w:rPr>
        <w:t> </w:t>
      </w:r>
      <w:r>
        <w:rPr>
          <w:position w:val="2"/>
        </w:rPr>
        <w:t>для выявления дыхательной </w:t>
      </w:r>
      <w:r>
        <w:rPr/>
        <w:t>недостаточности и оценки выраженности гипоксемии является</w:t>
      </w:r>
      <w:r>
        <w:rPr>
          <w:spacing w:val="-1"/>
        </w:rPr>
        <w:t> </w:t>
      </w:r>
      <w:r>
        <w:rPr/>
        <w:t>простым</w:t>
      </w:r>
      <w:r>
        <w:rPr>
          <w:spacing w:val="-2"/>
        </w:rPr>
        <w:t> </w:t>
      </w:r>
      <w:r>
        <w:rPr/>
        <w:t>и надежным скрининговым методом, позволяющим выявлять пациентов с гипоксемией, нуждающихся в респираторной поддержке, и оценивать ее эффективность. Динамический</w:t>
      </w:r>
      <w:r>
        <w:rPr>
          <w:spacing w:val="40"/>
        </w:rPr>
        <w:t> </w:t>
      </w:r>
      <w:r>
        <w:rPr/>
        <w:t>мониторинг</w:t>
      </w:r>
      <w:r>
        <w:rPr>
          <w:spacing w:val="40"/>
        </w:rPr>
        <w:t> </w:t>
      </w:r>
      <w:r>
        <w:rPr/>
        <w:t>сатурации</w:t>
      </w:r>
      <w:r>
        <w:rPr>
          <w:spacing w:val="40"/>
        </w:rPr>
        <w:t> </w:t>
      </w:r>
      <w:r>
        <w:rPr/>
        <w:t>может</w:t>
      </w:r>
      <w:r>
        <w:rPr>
          <w:spacing w:val="40"/>
        </w:rPr>
        <w:t> </w:t>
      </w:r>
      <w:r>
        <w:rPr/>
        <w:t>проводиться</w:t>
      </w:r>
      <w:r>
        <w:rPr>
          <w:spacing w:val="40"/>
        </w:rPr>
        <w:t> </w:t>
      </w:r>
      <w:r>
        <w:rPr/>
        <w:t>с</w:t>
      </w:r>
      <w:r>
        <w:rPr>
          <w:spacing w:val="40"/>
        </w:rPr>
        <w:t> </w:t>
      </w:r>
      <w:r>
        <w:rPr/>
        <w:t>помощью</w:t>
      </w:r>
      <w:r>
        <w:rPr>
          <w:spacing w:val="40"/>
        </w:rPr>
        <w:t> </w:t>
      </w:r>
      <w:r>
        <w:rPr/>
        <w:t>приборов для</w:t>
      </w:r>
      <w:r>
        <w:rPr>
          <w:spacing w:val="-4"/>
        </w:rPr>
        <w:t> </w:t>
      </w:r>
      <w:r>
        <w:rPr/>
        <w:t>суточной пульсоксиметрии. Пациентам с признаками острой дыхательной </w:t>
      </w:r>
      <w:r>
        <w:rPr>
          <w:position w:val="2"/>
        </w:rPr>
        <w:t>недостаточности (ОДН) (SрO</w:t>
      </w:r>
      <w:r>
        <w:rPr>
          <w:sz w:val="16"/>
        </w:rPr>
        <w:t>2</w:t>
      </w:r>
      <w:r>
        <w:rPr>
          <w:spacing w:val="40"/>
          <w:sz w:val="16"/>
        </w:rPr>
        <w:t> </w:t>
      </w:r>
      <w:r>
        <w:rPr>
          <w:position w:val="2"/>
        </w:rPr>
        <w:t>менее 90%) рекомендуется исследование газов артериальной крови с определением PaO</w:t>
      </w:r>
      <w:r>
        <w:rPr>
          <w:sz w:val="16"/>
        </w:rPr>
        <w:t>2</w:t>
      </w:r>
      <w:r>
        <w:rPr>
          <w:position w:val="2"/>
        </w:rPr>
        <w:t>, PaCO</w:t>
      </w:r>
      <w:r>
        <w:rPr>
          <w:sz w:val="16"/>
        </w:rPr>
        <w:t>2,</w:t>
      </w:r>
      <w:r>
        <w:rPr>
          <w:spacing w:val="36"/>
          <w:sz w:val="16"/>
        </w:rPr>
        <w:t> </w:t>
      </w:r>
      <w:r>
        <w:rPr>
          <w:position w:val="2"/>
        </w:rPr>
        <w:t>pH, бикарбонатов, лактата.</w:t>
      </w:r>
    </w:p>
    <w:p>
      <w:pPr>
        <w:pStyle w:val="BodyText"/>
        <w:spacing w:line="276" w:lineRule="auto" w:before="5"/>
        <w:ind w:right="1272" w:firstLine="707"/>
      </w:pPr>
      <w:r>
        <w:rPr>
          <w:b/>
        </w:rPr>
        <w:t>Электрокардиография </w:t>
      </w:r>
      <w:r>
        <w:rPr/>
        <w:t>(ЭКГ)</w:t>
      </w:r>
      <w:r>
        <w:rPr>
          <w:spacing w:val="-1"/>
        </w:rPr>
        <w:t> </w:t>
      </w:r>
      <w:r>
        <w:rPr/>
        <w:t>в</w:t>
      </w:r>
      <w:r>
        <w:rPr>
          <w:spacing w:val="-1"/>
        </w:rPr>
        <w:t> </w:t>
      </w:r>
      <w:r>
        <w:rPr/>
        <w:t>стандартных</w:t>
      </w:r>
      <w:r>
        <w:rPr>
          <w:spacing w:val="-3"/>
        </w:rPr>
        <w:t> </w:t>
      </w:r>
      <w:r>
        <w:rPr/>
        <w:t>отведениях</w:t>
      </w:r>
      <w:r>
        <w:rPr>
          <w:spacing w:val="-1"/>
        </w:rPr>
        <w:t> </w:t>
      </w:r>
      <w:r>
        <w:rPr/>
        <w:t>рекомендуется</w:t>
      </w:r>
      <w:r>
        <w:rPr>
          <w:spacing w:val="-1"/>
        </w:rPr>
        <w:t> </w:t>
      </w:r>
      <w:r>
        <w:rPr/>
        <w:t>всем пациентам. Данное исследование не содержит какой-либо специфической информации, однако вирусная инфекция и пневмония увеличивают риск развития нарушений ритма и острого коронарного синдрома, своевременное выявление которых значимо влияет на прогноз. Кроме того, определенные изменения на ЭКГ (например, удлинение интервала QT) требуют внимания при оценке кардиотоксичности ряда антибактериальных препаратов (респираторные фторхинолоны, макролиды).</w:t>
      </w:r>
    </w:p>
    <w:p>
      <w:pPr>
        <w:pStyle w:val="BodyText"/>
        <w:spacing w:line="276" w:lineRule="auto"/>
        <w:ind w:right="1273" w:firstLine="707"/>
      </w:pPr>
      <w:r>
        <w:rPr/>
        <w:t>Решение</w:t>
      </w:r>
      <w:r>
        <w:rPr>
          <w:spacing w:val="40"/>
        </w:rPr>
        <w:t> </w:t>
      </w:r>
      <w:r>
        <w:rPr/>
        <w:t>о</w:t>
      </w:r>
      <w:r>
        <w:rPr>
          <w:spacing w:val="40"/>
        </w:rPr>
        <w:t> </w:t>
      </w:r>
      <w:r>
        <w:rPr/>
        <w:t>необходимости</w:t>
      </w:r>
      <w:r>
        <w:rPr>
          <w:spacing w:val="40"/>
        </w:rPr>
        <w:t> </w:t>
      </w:r>
      <w:r>
        <w:rPr/>
        <w:t>госпитализации</w:t>
      </w:r>
      <w:r>
        <w:rPr>
          <w:spacing w:val="40"/>
        </w:rPr>
        <w:t> </w:t>
      </w:r>
      <w:r>
        <w:rPr/>
        <w:t>пациента</w:t>
      </w:r>
      <w:r>
        <w:rPr>
          <w:spacing w:val="40"/>
        </w:rPr>
        <w:t> </w:t>
      </w:r>
      <w:r>
        <w:rPr/>
        <w:t>принимается</w:t>
      </w:r>
      <w:r>
        <w:rPr>
          <w:spacing w:val="40"/>
        </w:rPr>
        <w:t> </w:t>
      </w:r>
      <w:r>
        <w:rPr/>
        <w:t>врачом</w:t>
      </w:r>
      <w:r>
        <w:rPr>
          <w:spacing w:val="40"/>
        </w:rPr>
        <w:t> </w:t>
      </w:r>
      <w:r>
        <w:rPr/>
        <w:t>на</w:t>
      </w:r>
      <w:r>
        <w:rPr>
          <w:spacing w:val="-5"/>
        </w:rPr>
        <w:t> </w:t>
      </w:r>
      <w:r>
        <w:rPr/>
        <w:t>основании комплекса клинико-эпидемиологических данных, с учетом тяжести состояния пациента (среднетяжелое/тяжелое течение заболевания) и на основании требований, предусмотренных приказами Минздрава России с учетом эпидемиологической обстановки.</w:t>
      </w:r>
    </w:p>
    <w:p>
      <w:pPr>
        <w:pStyle w:val="Heading3"/>
        <w:numPr>
          <w:ilvl w:val="1"/>
          <w:numId w:val="5"/>
        </w:numPr>
        <w:tabs>
          <w:tab w:pos="2967" w:val="left" w:leader="none"/>
        </w:tabs>
        <w:spacing w:line="240" w:lineRule="auto" w:before="236" w:after="0"/>
        <w:ind w:left="2967" w:right="0" w:hanging="418"/>
        <w:jc w:val="both"/>
        <w:rPr>
          <w:color w:val="1F487C"/>
        </w:rPr>
      </w:pPr>
      <w:bookmarkStart w:name="_TOC_250039" w:id="28"/>
      <w:r>
        <w:rPr>
          <w:color w:val="1F487C"/>
          <w:spacing w:val="-2"/>
        </w:rPr>
        <w:t>ЛАБОРАТОРНАЯ ДИАГНОСТИКА</w:t>
      </w:r>
      <w:r>
        <w:rPr>
          <w:color w:val="1F487C"/>
          <w:spacing w:val="-1"/>
        </w:rPr>
        <w:t> </w:t>
      </w:r>
      <w:r>
        <w:rPr>
          <w:color w:val="1F487C"/>
          <w:spacing w:val="-2"/>
        </w:rPr>
        <w:t>COVID-</w:t>
      </w:r>
      <w:bookmarkEnd w:id="28"/>
      <w:r>
        <w:rPr>
          <w:color w:val="1F487C"/>
          <w:spacing w:val="-5"/>
        </w:rPr>
        <w:t>19</w:t>
      </w:r>
    </w:p>
    <w:p>
      <w:pPr>
        <w:pStyle w:val="ListParagraph"/>
        <w:numPr>
          <w:ilvl w:val="2"/>
          <w:numId w:val="5"/>
        </w:numPr>
        <w:tabs>
          <w:tab w:pos="3255" w:val="left" w:leader="none"/>
        </w:tabs>
        <w:spacing w:line="240" w:lineRule="auto" w:before="204" w:after="0"/>
        <w:ind w:left="3255" w:right="0" w:hanging="718"/>
        <w:jc w:val="both"/>
        <w:rPr>
          <w:b/>
          <w:sz w:val="24"/>
        </w:rPr>
      </w:pPr>
      <w:r>
        <w:rPr>
          <w:b/>
          <w:color w:val="1F487C"/>
          <w:spacing w:val="-2"/>
          <w:sz w:val="24"/>
        </w:rPr>
        <w:t>Лабораторная диагностика</w:t>
      </w:r>
      <w:r>
        <w:rPr>
          <w:b/>
          <w:color w:val="1F487C"/>
          <w:spacing w:val="1"/>
          <w:sz w:val="24"/>
        </w:rPr>
        <w:t> </w:t>
      </w:r>
      <w:r>
        <w:rPr>
          <w:b/>
          <w:color w:val="1F487C"/>
          <w:spacing w:val="-2"/>
          <w:sz w:val="24"/>
        </w:rPr>
        <w:t>этиологическая:</w:t>
      </w:r>
    </w:p>
    <w:p>
      <w:pPr>
        <w:pStyle w:val="BodyText"/>
        <w:spacing w:before="40"/>
        <w:ind w:left="2549"/>
      </w:pPr>
      <w:r>
        <w:rPr>
          <w:color w:val="1F4E79"/>
          <w:spacing w:val="-2"/>
        </w:rPr>
        <w:t>Прямые</w:t>
      </w:r>
      <w:r>
        <w:rPr>
          <w:color w:val="1F4E79"/>
          <w:spacing w:val="1"/>
        </w:rPr>
        <w:t> </w:t>
      </w:r>
      <w:r>
        <w:rPr>
          <w:color w:val="1F4E79"/>
          <w:spacing w:val="-2"/>
        </w:rPr>
        <w:t>методы</w:t>
      </w:r>
      <w:r>
        <w:rPr>
          <w:color w:val="1F4E79"/>
          <w:spacing w:val="2"/>
        </w:rPr>
        <w:t> </w:t>
      </w:r>
      <w:r>
        <w:rPr>
          <w:color w:val="1F4E79"/>
          <w:spacing w:val="-2"/>
        </w:rPr>
        <w:t>этиологической</w:t>
      </w:r>
      <w:r>
        <w:rPr>
          <w:color w:val="1F4E79"/>
          <w:spacing w:val="3"/>
        </w:rPr>
        <w:t> </w:t>
      </w:r>
      <w:r>
        <w:rPr>
          <w:color w:val="1F4E79"/>
          <w:spacing w:val="-2"/>
        </w:rPr>
        <w:t>диагностики</w:t>
      </w:r>
    </w:p>
    <w:p>
      <w:pPr>
        <w:pStyle w:val="BodyText"/>
        <w:spacing w:line="278" w:lineRule="auto" w:before="41"/>
        <w:ind w:right="1272"/>
      </w:pPr>
      <w:r>
        <w:rPr/>
        <w:t>Выявление РНК SARS-CoV-2 с применением МАНК. Инструкция по</w:t>
      </w:r>
      <w:r>
        <w:rPr>
          <w:spacing w:val="-2"/>
        </w:rPr>
        <w:t> </w:t>
      </w:r>
      <w:r>
        <w:rPr/>
        <w:t>проведению диагностики COVID-19 с применением МАНК представлена в </w:t>
      </w:r>
      <w:r>
        <w:rPr>
          <w:color w:val="0462C1"/>
          <w:u w:val="single" w:color="0462C1"/>
        </w:rPr>
        <w:t>Приложении 3-1</w:t>
      </w:r>
      <w:r>
        <w:rPr/>
        <w:t>.</w:t>
      </w:r>
    </w:p>
    <w:p>
      <w:pPr>
        <w:pStyle w:val="BodyText"/>
        <w:spacing w:line="276" w:lineRule="auto"/>
        <w:ind w:right="1275"/>
      </w:pPr>
      <w:r>
        <w:rPr/>
        <w:t>Выявление антигенов SARS-CoV-2 c применением иммунохроматографических методов. Инструкция по выявлению антигенов SARS-CoV-2 с применением иммунохимических методов представлена в </w:t>
      </w:r>
      <w:r>
        <w:rPr>
          <w:color w:val="0462C1"/>
          <w:u w:val="single" w:color="0462C1"/>
        </w:rPr>
        <w:t>Приложении 3-2.</w:t>
      </w:r>
    </w:p>
    <w:p>
      <w:pPr>
        <w:pStyle w:val="BodyText"/>
        <w:spacing w:line="273" w:lineRule="exact"/>
        <w:ind w:left="2549"/>
      </w:pPr>
      <w:r>
        <w:rPr>
          <w:color w:val="1F4E79"/>
          <w:spacing w:val="-2"/>
        </w:rPr>
        <w:t>Непрямые</w:t>
      </w:r>
      <w:r>
        <w:rPr>
          <w:color w:val="1F4E79"/>
          <w:spacing w:val="1"/>
        </w:rPr>
        <w:t> </w:t>
      </w:r>
      <w:r>
        <w:rPr>
          <w:color w:val="1F4E79"/>
          <w:spacing w:val="-2"/>
        </w:rPr>
        <w:t>методы</w:t>
      </w:r>
      <w:r>
        <w:rPr>
          <w:color w:val="1F4E79"/>
          <w:spacing w:val="2"/>
        </w:rPr>
        <w:t> </w:t>
      </w:r>
      <w:r>
        <w:rPr>
          <w:color w:val="1F4E79"/>
          <w:spacing w:val="-2"/>
        </w:rPr>
        <w:t>этиологической</w:t>
      </w:r>
      <w:r>
        <w:rPr>
          <w:color w:val="1F4E79"/>
          <w:spacing w:val="4"/>
        </w:rPr>
        <w:t> </w:t>
      </w:r>
      <w:r>
        <w:rPr>
          <w:color w:val="1F4E79"/>
          <w:spacing w:val="-2"/>
        </w:rPr>
        <w:t>диагностики</w:t>
      </w:r>
    </w:p>
    <w:p>
      <w:pPr>
        <w:pStyle w:val="BodyText"/>
        <w:spacing w:line="276" w:lineRule="auto" w:before="38"/>
        <w:ind w:right="1271"/>
      </w:pPr>
      <w:r>
        <w:rPr/>
        <w:t>Выявление</w:t>
      </w:r>
      <w:r>
        <w:rPr>
          <w:spacing w:val="-14"/>
        </w:rPr>
        <w:t> </w:t>
      </w:r>
      <w:r>
        <w:rPr/>
        <w:t>иммуноглобулинов</w:t>
      </w:r>
      <w:r>
        <w:rPr>
          <w:spacing w:val="-14"/>
        </w:rPr>
        <w:t> </w:t>
      </w:r>
      <w:r>
        <w:rPr/>
        <w:t>классов</w:t>
      </w:r>
      <w:r>
        <w:rPr>
          <w:spacing w:val="-14"/>
        </w:rPr>
        <w:t> </w:t>
      </w:r>
      <w:r>
        <w:rPr/>
        <w:t>А,</w:t>
      </w:r>
      <w:r>
        <w:rPr>
          <w:spacing w:val="-14"/>
        </w:rPr>
        <w:t> </w:t>
      </w:r>
      <w:r>
        <w:rPr/>
        <w:t>M,</w:t>
      </w:r>
      <w:r>
        <w:rPr>
          <w:spacing w:val="-11"/>
        </w:rPr>
        <w:t> </w:t>
      </w:r>
      <w:r>
        <w:rPr/>
        <w:t>G</w:t>
      </w:r>
      <w:r>
        <w:rPr>
          <w:spacing w:val="-11"/>
        </w:rPr>
        <w:t> </w:t>
      </w:r>
      <w:r>
        <w:rPr/>
        <w:t>(IgА,</w:t>
      </w:r>
      <w:r>
        <w:rPr>
          <w:spacing w:val="-9"/>
        </w:rPr>
        <w:t> </w:t>
      </w:r>
      <w:r>
        <w:rPr/>
        <w:t>IgM</w:t>
      </w:r>
      <w:r>
        <w:rPr>
          <w:spacing w:val="-11"/>
        </w:rPr>
        <w:t> </w:t>
      </w:r>
      <w:r>
        <w:rPr/>
        <w:t>и</w:t>
      </w:r>
      <w:r>
        <w:rPr>
          <w:spacing w:val="-10"/>
        </w:rPr>
        <w:t> </w:t>
      </w:r>
      <w:r>
        <w:rPr/>
        <w:t>IgG)</w:t>
      </w:r>
      <w:r>
        <w:rPr>
          <w:spacing w:val="-12"/>
        </w:rPr>
        <w:t> </w:t>
      </w:r>
      <w:r>
        <w:rPr/>
        <w:t>к</w:t>
      </w:r>
      <w:r>
        <w:rPr>
          <w:spacing w:val="-12"/>
        </w:rPr>
        <w:t> </w:t>
      </w:r>
      <w:r>
        <w:rPr/>
        <w:t>SARS-CoV-2</w:t>
      </w:r>
      <w:r>
        <w:rPr>
          <w:spacing w:val="-13"/>
        </w:rPr>
        <w:t> </w:t>
      </w:r>
      <w:r>
        <w:rPr/>
        <w:t>(в</w:t>
      </w:r>
      <w:r>
        <w:rPr>
          <w:spacing w:val="-14"/>
        </w:rPr>
        <w:t> </w:t>
      </w:r>
      <w:r>
        <w:rPr/>
        <w:t>том числе к рецептор-связывающему домену поверхностного гликопротеина S). Инструкция по проведению диагностики COVID-19 с применением иммунохимических методов представлена в </w:t>
      </w:r>
      <w:r>
        <w:rPr>
          <w:color w:val="0462C1"/>
          <w:u w:val="single" w:color="0462C1"/>
        </w:rPr>
        <w:t>Приложении 3-2</w:t>
      </w:r>
      <w:r>
        <w:rPr/>
        <w:t>.</w:t>
      </w:r>
    </w:p>
    <w:p>
      <w:pPr>
        <w:pStyle w:val="BodyText"/>
        <w:spacing w:line="276" w:lineRule="auto" w:before="14"/>
        <w:ind w:right="1268" w:firstLine="707"/>
      </w:pPr>
      <w:r>
        <w:rPr/>
        <w:t>Основное значение для этиологической лабораторной диагностики COVID-19 имеет выявление РНК SARS-CoV-2 с помощью МАНК или антигенов коронавируса с</w:t>
      </w:r>
      <w:r>
        <w:rPr>
          <w:spacing w:val="-4"/>
        </w:rPr>
        <w:t> </w:t>
      </w:r>
      <w:r>
        <w:rPr/>
        <w:t>помощью иммунохимических методов. Зарегистрированные в Российской Федерации</w:t>
      </w:r>
      <w:r>
        <w:rPr>
          <w:spacing w:val="40"/>
        </w:rPr>
        <w:t> </w:t>
      </w:r>
      <w:r>
        <w:rPr/>
        <w:t>диагностические</w:t>
      </w:r>
      <w:r>
        <w:rPr>
          <w:spacing w:val="40"/>
        </w:rPr>
        <w:t> </w:t>
      </w:r>
      <w:r>
        <w:rPr/>
        <w:t>наборы</w:t>
      </w:r>
      <w:r>
        <w:rPr>
          <w:spacing w:val="40"/>
        </w:rPr>
        <w:t> </w:t>
      </w:r>
      <w:r>
        <w:rPr/>
        <w:t>реагентов</w:t>
      </w:r>
      <w:r>
        <w:rPr>
          <w:spacing w:val="40"/>
        </w:rPr>
        <w:t> </w:t>
      </w:r>
      <w:r>
        <w:rPr/>
        <w:t>для</w:t>
      </w:r>
      <w:r>
        <w:rPr>
          <w:spacing w:val="40"/>
        </w:rPr>
        <w:t> </w:t>
      </w:r>
      <w:r>
        <w:rPr/>
        <w:t>выявления</w:t>
      </w:r>
      <w:r>
        <w:rPr>
          <w:spacing w:val="40"/>
        </w:rPr>
        <w:t> </w:t>
      </w:r>
      <w:r>
        <w:rPr/>
        <w:t>РНК</w:t>
      </w:r>
      <w:r>
        <w:rPr>
          <w:spacing w:val="40"/>
        </w:rPr>
        <w:t> </w:t>
      </w:r>
      <w:r>
        <w:rPr/>
        <w:t>SARS-CoV-2</w:t>
      </w:r>
      <w:r>
        <w:rPr>
          <w:spacing w:val="80"/>
        </w:rPr>
        <w:t> </w:t>
      </w:r>
      <w:r>
        <w:rPr/>
        <w:t>и антигенов коронавируса представлены в </w:t>
      </w:r>
      <w:r>
        <w:rPr>
          <w:color w:val="0462C1"/>
          <w:u w:val="single" w:color="0462C1"/>
        </w:rPr>
        <w:t>Государственном реестре медицинских</w:t>
      </w:r>
      <w:r>
        <w:rPr>
          <w:color w:val="0462C1"/>
        </w:rPr>
        <w:t> </w:t>
      </w:r>
      <w:r>
        <w:rPr>
          <w:color w:val="0462C1"/>
          <w:u w:val="single" w:color="0462C1"/>
        </w:rPr>
        <w:t>изделий</w:t>
      </w:r>
      <w:r>
        <w:rPr>
          <w:color w:val="0462C1"/>
        </w:rPr>
        <w:t> </w:t>
      </w:r>
      <w:r>
        <w:rPr/>
        <w:t>(</w:t>
      </w:r>
      <w:r>
        <w:rPr>
          <w:color w:val="0462C1"/>
          <w:u w:val="single" w:color="0462C1"/>
        </w:rPr>
        <w:t>Приложение 3-4</w:t>
      </w:r>
      <w:r>
        <w:rPr/>
        <w:t>).</w:t>
      </w:r>
    </w:p>
    <w:p>
      <w:pPr>
        <w:pStyle w:val="BodyText"/>
        <w:spacing w:line="276" w:lineRule="auto"/>
        <w:ind w:right="1270" w:firstLine="707"/>
      </w:pPr>
      <w:r>
        <w:rPr/>
        <w:t>Всем лицам с признаками ОРИ рекомендуется проводить лабораторное обследование</w:t>
      </w:r>
      <w:r>
        <w:rPr>
          <w:spacing w:val="64"/>
        </w:rPr>
        <w:t> </w:t>
      </w:r>
      <w:r>
        <w:rPr/>
        <w:t>на</w:t>
      </w:r>
      <w:r>
        <w:rPr>
          <w:spacing w:val="64"/>
        </w:rPr>
        <w:t> </w:t>
      </w:r>
      <w:r>
        <w:rPr/>
        <w:t>РНК</w:t>
      </w:r>
      <w:r>
        <w:rPr>
          <w:spacing w:val="63"/>
        </w:rPr>
        <w:t> </w:t>
      </w:r>
      <w:r>
        <w:rPr/>
        <w:t>SARS-CoV-2.</w:t>
      </w:r>
      <w:r>
        <w:rPr>
          <w:spacing w:val="65"/>
        </w:rPr>
        <w:t> </w:t>
      </w:r>
      <w:r>
        <w:rPr/>
        <w:t>Также</w:t>
      </w:r>
      <w:r>
        <w:rPr>
          <w:spacing w:val="61"/>
        </w:rPr>
        <w:t> </w:t>
      </w:r>
      <w:r>
        <w:rPr/>
        <w:t>возможно</w:t>
      </w:r>
      <w:r>
        <w:rPr>
          <w:spacing w:val="64"/>
        </w:rPr>
        <w:t> </w:t>
      </w:r>
      <w:r>
        <w:rPr/>
        <w:t>проведение</w:t>
      </w:r>
      <w:r>
        <w:rPr>
          <w:spacing w:val="62"/>
        </w:rPr>
        <w:t> </w:t>
      </w:r>
      <w:r>
        <w:rPr>
          <w:spacing w:val="-2"/>
        </w:rPr>
        <w:t>лабораторного</w:t>
      </w:r>
    </w:p>
    <w:p>
      <w:pPr>
        <w:pStyle w:val="BodyText"/>
        <w:spacing w:after="0" w:line="276" w:lineRule="auto"/>
        <w:sectPr>
          <w:pgSz w:w="11900" w:h="16840"/>
          <w:pgMar w:header="0" w:footer="697" w:top="1080" w:bottom="880" w:left="0" w:right="0"/>
        </w:sectPr>
      </w:pPr>
    </w:p>
    <w:p>
      <w:pPr>
        <w:pStyle w:val="BodyText"/>
        <w:spacing w:line="276" w:lineRule="auto" w:before="73"/>
        <w:ind w:right="1268"/>
      </w:pPr>
      <w:bookmarkStart w:name="21" w:id="29"/>
      <w:bookmarkEnd w:id="29"/>
      <w:r>
        <w:rPr/>
      </w:r>
      <w:r>
        <w:rPr/>
        <w:t>обследования</w:t>
      </w:r>
      <w:r>
        <w:rPr>
          <w:spacing w:val="80"/>
        </w:rPr>
        <w:t> </w:t>
      </w:r>
      <w:r>
        <w:rPr/>
        <w:t>с</w:t>
      </w:r>
      <w:r>
        <w:rPr>
          <w:spacing w:val="80"/>
        </w:rPr>
        <w:t> </w:t>
      </w:r>
      <w:r>
        <w:rPr/>
        <w:t>использованием</w:t>
      </w:r>
      <w:r>
        <w:rPr>
          <w:spacing w:val="80"/>
        </w:rPr>
        <w:t> </w:t>
      </w:r>
      <w:r>
        <w:rPr/>
        <w:t>теста</w:t>
      </w:r>
      <w:r>
        <w:rPr>
          <w:spacing w:val="80"/>
        </w:rPr>
        <w:t> </w:t>
      </w:r>
      <w:r>
        <w:rPr/>
        <w:t>на</w:t>
      </w:r>
      <w:r>
        <w:rPr>
          <w:spacing w:val="80"/>
        </w:rPr>
        <w:t> </w:t>
      </w:r>
      <w:r>
        <w:rPr/>
        <w:t>определение</w:t>
      </w:r>
      <w:r>
        <w:rPr>
          <w:spacing w:val="80"/>
        </w:rPr>
        <w:t> </w:t>
      </w:r>
      <w:r>
        <w:rPr/>
        <w:t>антигенов</w:t>
      </w:r>
      <w:r>
        <w:rPr>
          <w:spacing w:val="80"/>
        </w:rPr>
        <w:t> </w:t>
      </w:r>
      <w:r>
        <w:rPr/>
        <w:t>SARS-CoV-2</w:t>
      </w:r>
      <w:r>
        <w:rPr>
          <w:spacing w:val="80"/>
        </w:rPr>
        <w:t> </w:t>
      </w:r>
      <w:r>
        <w:rPr/>
        <w:t>в мазках из носо- и ротоглотки, а также в образцах слюны иммунохимическими методами (</w:t>
      </w:r>
      <w:r>
        <w:rPr>
          <w:color w:val="0462C1"/>
          <w:u w:val="single" w:color="0462C1"/>
        </w:rPr>
        <w:t>Приложение 3-2</w:t>
      </w:r>
      <w:r>
        <w:rPr/>
        <w:t>). Алгоритм обследования прямыми этиологическими методами приведен в </w:t>
      </w:r>
      <w:r>
        <w:rPr>
          <w:color w:val="0462C1"/>
          <w:u w:val="single" w:color="0462C1"/>
        </w:rPr>
        <w:t>Приложении 3-3</w:t>
      </w:r>
      <w:r>
        <w:rPr/>
        <w:t>.</w:t>
      </w:r>
    </w:p>
    <w:p>
      <w:pPr>
        <w:pStyle w:val="BodyText"/>
        <w:spacing w:line="276" w:lineRule="auto"/>
        <w:ind w:right="1272" w:firstLine="707"/>
      </w:pPr>
      <w:r>
        <w:rPr/>
        <w:t>Медицинские организации в соответствии с действующим санитарным законодательством направляют экстренное извещение (список, заверенный медицинской организацией) в территориальные органы Роспотребнадзора.</w:t>
      </w:r>
    </w:p>
    <w:p>
      <w:pPr>
        <w:pStyle w:val="BodyText"/>
        <w:spacing w:line="276" w:lineRule="auto"/>
        <w:ind w:right="1273" w:firstLine="707"/>
      </w:pPr>
      <w:r>
        <w:rPr/>
        <w:t>Медицинские организации, выявившие случай заболевания COVID-19 (в</w:t>
      </w:r>
      <w:r>
        <w:rPr>
          <w:spacing w:val="-5"/>
        </w:rPr>
        <w:t> </w:t>
      </w:r>
      <w:r>
        <w:rPr/>
        <w:t>т.ч. подозрительный),</w:t>
      </w:r>
      <w:r>
        <w:rPr>
          <w:spacing w:val="64"/>
        </w:rPr>
        <w:t>  </w:t>
      </w:r>
      <w:r>
        <w:rPr/>
        <w:t>вносят</w:t>
      </w:r>
      <w:r>
        <w:rPr>
          <w:spacing w:val="66"/>
        </w:rPr>
        <w:t>  </w:t>
      </w:r>
      <w:r>
        <w:rPr/>
        <w:t>информацию</w:t>
      </w:r>
      <w:r>
        <w:rPr>
          <w:spacing w:val="65"/>
        </w:rPr>
        <w:t>  </w:t>
      </w:r>
      <w:r>
        <w:rPr/>
        <w:t>о</w:t>
      </w:r>
      <w:r>
        <w:rPr>
          <w:spacing w:val="63"/>
        </w:rPr>
        <w:t>  </w:t>
      </w:r>
      <w:r>
        <w:rPr/>
        <w:t>нем</w:t>
      </w:r>
      <w:r>
        <w:rPr>
          <w:spacing w:val="64"/>
        </w:rPr>
        <w:t>  </w:t>
      </w:r>
      <w:r>
        <w:rPr/>
        <w:t>в</w:t>
      </w:r>
      <w:r>
        <w:rPr>
          <w:spacing w:val="64"/>
        </w:rPr>
        <w:t>  </w:t>
      </w:r>
      <w:r>
        <w:rPr/>
        <w:t>информационный</w:t>
      </w:r>
      <w:r>
        <w:rPr>
          <w:spacing w:val="64"/>
        </w:rPr>
        <w:t>  </w:t>
      </w:r>
      <w:r>
        <w:rPr/>
        <w:t>ресурс в</w:t>
      </w:r>
      <w:r>
        <w:rPr>
          <w:spacing w:val="-5"/>
        </w:rPr>
        <w:t> </w:t>
      </w:r>
      <w:r>
        <w:rPr/>
        <w:t>соответствии с постановлением Правительства Российской Федерации от</w:t>
      </w:r>
      <w:r>
        <w:rPr>
          <w:spacing w:val="-4"/>
        </w:rPr>
        <w:t> </w:t>
      </w:r>
      <w:r>
        <w:rPr/>
        <w:t>31</w:t>
      </w:r>
      <w:r>
        <w:rPr>
          <w:spacing w:val="-5"/>
        </w:rPr>
        <w:t> </w:t>
      </w:r>
      <w:r>
        <w:rPr/>
        <w:t>марта 2020 г. № 373 (ред. от 24.03.2023) «Об утверждении Временных правил учета информации в целях предотвращения распространения новой коронавирусной инфекции (COVID-19)».</w:t>
      </w:r>
    </w:p>
    <w:p>
      <w:pPr>
        <w:pStyle w:val="BodyText"/>
        <w:spacing w:line="276" w:lineRule="auto"/>
        <w:ind w:right="1265" w:firstLine="707"/>
      </w:pPr>
      <w:r>
        <w:rPr/>
        <w:t>Для определения уровней иммуноглобулинов к SARS-CoV-2 необходимо использовать</w:t>
      </w:r>
      <w:r>
        <w:rPr>
          <w:spacing w:val="71"/>
        </w:rPr>
        <w:t>  </w:t>
      </w:r>
      <w:r>
        <w:rPr/>
        <w:t>наборы</w:t>
      </w:r>
      <w:r>
        <w:rPr>
          <w:spacing w:val="71"/>
        </w:rPr>
        <w:t>  </w:t>
      </w:r>
      <w:r>
        <w:rPr/>
        <w:t>реагентов</w:t>
      </w:r>
      <w:r>
        <w:rPr>
          <w:spacing w:val="72"/>
        </w:rPr>
        <w:t>  </w:t>
      </w:r>
      <w:r>
        <w:rPr/>
        <w:t>для количественного</w:t>
      </w:r>
      <w:r>
        <w:rPr>
          <w:spacing w:val="72"/>
        </w:rPr>
        <w:t>  </w:t>
      </w:r>
      <w:r>
        <w:rPr/>
        <w:t>определения</w:t>
      </w:r>
      <w:r>
        <w:rPr>
          <w:spacing w:val="72"/>
        </w:rPr>
        <w:t>  </w:t>
      </w:r>
      <w:r>
        <w:rPr/>
        <w:t>антител, а</w:t>
      </w:r>
      <w:r>
        <w:rPr>
          <w:spacing w:val="-4"/>
        </w:rPr>
        <w:t> </w:t>
      </w:r>
      <w:r>
        <w:rPr/>
        <w:t>результаты исследований представлять с использованием условных единиц измерения BAU/мл (binding antibody units, «единицы связывающих анител»). Единицы измерения BAU/мл были приняты ВОЗ в качестве международного стандарта (First</w:t>
      </w:r>
      <w:r>
        <w:rPr>
          <w:spacing w:val="-2"/>
        </w:rPr>
        <w:t> </w:t>
      </w:r>
      <w:r>
        <w:rPr/>
        <w:t>WHO International Standard for anti-SARS-CoV-2 Immunoglobulin (Human) (NIBSC code: 20/136)</w:t>
      </w:r>
      <w:r>
        <w:rPr>
          <w:vertAlign w:val="superscript"/>
        </w:rPr>
        <w:t>1</w:t>
      </w:r>
    </w:p>
    <w:p>
      <w:pPr>
        <w:pStyle w:val="BodyText"/>
        <w:spacing w:line="275" w:lineRule="exact"/>
        <w:ind w:left="2549"/>
      </w:pPr>
      <w:r>
        <w:rPr/>
        <w:t>В</w:t>
      </w:r>
      <w:r>
        <w:rPr>
          <w:spacing w:val="36"/>
        </w:rPr>
        <w:t> </w:t>
      </w:r>
      <w:r>
        <w:rPr/>
        <w:t>соответствии</w:t>
      </w:r>
      <w:r>
        <w:rPr>
          <w:spacing w:val="37"/>
        </w:rPr>
        <w:t> </w:t>
      </w:r>
      <w:r>
        <w:rPr/>
        <w:t>с</w:t>
      </w:r>
      <w:r>
        <w:rPr>
          <w:spacing w:val="35"/>
        </w:rPr>
        <w:t> </w:t>
      </w:r>
      <w:r>
        <w:rPr/>
        <w:t>ч.</w:t>
      </w:r>
      <w:r>
        <w:rPr>
          <w:spacing w:val="36"/>
        </w:rPr>
        <w:t> </w:t>
      </w:r>
      <w:r>
        <w:rPr/>
        <w:t>4</w:t>
      </w:r>
      <w:r>
        <w:rPr>
          <w:spacing w:val="38"/>
        </w:rPr>
        <w:t> </w:t>
      </w:r>
      <w:r>
        <w:rPr/>
        <w:t>ст.</w:t>
      </w:r>
      <w:r>
        <w:rPr>
          <w:spacing w:val="37"/>
        </w:rPr>
        <w:t> </w:t>
      </w:r>
      <w:r>
        <w:rPr/>
        <w:t>38</w:t>
      </w:r>
      <w:r>
        <w:rPr>
          <w:spacing w:val="36"/>
        </w:rPr>
        <w:t> </w:t>
      </w:r>
      <w:r>
        <w:rPr/>
        <w:t>Федерального</w:t>
      </w:r>
      <w:r>
        <w:rPr>
          <w:spacing w:val="36"/>
        </w:rPr>
        <w:t> </w:t>
      </w:r>
      <w:r>
        <w:rPr/>
        <w:t>закона</w:t>
      </w:r>
      <w:r>
        <w:rPr>
          <w:spacing w:val="35"/>
        </w:rPr>
        <w:t> </w:t>
      </w:r>
      <w:r>
        <w:rPr/>
        <w:t>от</w:t>
      </w:r>
      <w:r>
        <w:rPr>
          <w:spacing w:val="37"/>
        </w:rPr>
        <w:t> </w:t>
      </w:r>
      <w:r>
        <w:rPr/>
        <w:t>21.11.2011</w:t>
      </w:r>
      <w:r>
        <w:rPr>
          <w:spacing w:val="35"/>
        </w:rPr>
        <w:t> </w:t>
      </w:r>
      <w:r>
        <w:rPr/>
        <w:t>№</w:t>
      </w:r>
      <w:r>
        <w:rPr>
          <w:spacing w:val="38"/>
        </w:rPr>
        <w:t> </w:t>
      </w:r>
      <w:r>
        <w:rPr/>
        <w:t>323-</w:t>
      </w:r>
      <w:r>
        <w:rPr>
          <w:spacing w:val="-5"/>
        </w:rPr>
        <w:t>ФЗ</w:t>
      </w:r>
    </w:p>
    <w:p>
      <w:pPr>
        <w:pStyle w:val="BodyText"/>
        <w:spacing w:line="276" w:lineRule="auto" w:before="37"/>
        <w:ind w:right="1269"/>
      </w:pPr>
      <w:r>
        <w:rPr/>
        <w:t>«Об</w:t>
      </w:r>
      <w:r>
        <w:rPr>
          <w:spacing w:val="-3"/>
        </w:rPr>
        <w:t> </w:t>
      </w:r>
      <w:r>
        <w:rPr/>
        <w:t>основах охраны здоровья граждан в Российской Федерации» на территории Российской Федерации разрешается обращение медицинских изделий, зарегистрированных в</w:t>
      </w:r>
      <w:r>
        <w:rPr>
          <w:spacing w:val="-1"/>
        </w:rPr>
        <w:t> </w:t>
      </w:r>
      <w:r>
        <w:rPr/>
        <w:t>порядке, установленном Правительством Российской Федерации, уполномоченным им федеральным органом исполнительной власти (</w:t>
      </w:r>
      <w:r>
        <w:rPr>
          <w:color w:val="0462C1"/>
          <w:u w:val="single" w:color="0462C1"/>
        </w:rPr>
        <w:t>Приложение 3-4</w:t>
      </w:r>
      <w:r>
        <w:rPr/>
        <w:t>).</w:t>
      </w:r>
    </w:p>
    <w:p>
      <w:pPr>
        <w:pStyle w:val="Heading3"/>
        <w:numPr>
          <w:ilvl w:val="2"/>
          <w:numId w:val="5"/>
        </w:numPr>
        <w:tabs>
          <w:tab w:pos="3147" w:val="left" w:leader="none"/>
        </w:tabs>
        <w:spacing w:line="240" w:lineRule="auto" w:before="118" w:after="0"/>
        <w:ind w:left="3147" w:right="0" w:hanging="598"/>
        <w:jc w:val="both"/>
      </w:pPr>
      <w:r>
        <w:rPr>
          <w:color w:val="1F487C"/>
          <w:spacing w:val="-2"/>
        </w:rPr>
        <w:t>Лабораторная</w:t>
      </w:r>
      <w:r>
        <w:rPr>
          <w:color w:val="1F487C"/>
          <w:spacing w:val="-1"/>
        </w:rPr>
        <w:t> </w:t>
      </w:r>
      <w:r>
        <w:rPr>
          <w:color w:val="1F487C"/>
          <w:spacing w:val="-2"/>
        </w:rPr>
        <w:t>диагностика</w:t>
      </w:r>
      <w:r>
        <w:rPr>
          <w:color w:val="1F487C"/>
          <w:spacing w:val="1"/>
        </w:rPr>
        <w:t> </w:t>
      </w:r>
      <w:r>
        <w:rPr>
          <w:color w:val="1F487C"/>
          <w:spacing w:val="-4"/>
        </w:rPr>
        <w:t>общая</w:t>
      </w:r>
    </w:p>
    <w:p>
      <w:pPr>
        <w:pStyle w:val="BodyText"/>
        <w:spacing w:line="276" w:lineRule="auto" w:before="161"/>
        <w:ind w:right="1278" w:firstLine="707"/>
      </w:pPr>
      <w:r>
        <w:rPr/>
        <w:t>Объем, сроки и кратность лабораторных исследований зависят от степени тяжести</w:t>
      </w:r>
      <w:r>
        <w:rPr>
          <w:spacing w:val="39"/>
        </w:rPr>
        <w:t>  </w:t>
      </w:r>
      <w:r>
        <w:rPr/>
        <w:t>заболевания.</w:t>
      </w:r>
      <w:r>
        <w:rPr>
          <w:spacing w:val="80"/>
          <w:w w:val="150"/>
        </w:rPr>
        <w:t> </w:t>
      </w:r>
      <w:r>
        <w:rPr/>
        <w:t>Легкое</w:t>
      </w:r>
      <w:r>
        <w:rPr>
          <w:spacing w:val="80"/>
          <w:w w:val="150"/>
        </w:rPr>
        <w:t> </w:t>
      </w:r>
      <w:r>
        <w:rPr/>
        <w:t>течение</w:t>
      </w:r>
      <w:r>
        <w:rPr>
          <w:spacing w:val="80"/>
          <w:w w:val="150"/>
        </w:rPr>
        <w:t> </w:t>
      </w:r>
      <w:r>
        <w:rPr/>
        <w:t>заболевания</w:t>
      </w:r>
      <w:r>
        <w:rPr>
          <w:spacing w:val="80"/>
          <w:w w:val="150"/>
        </w:rPr>
        <w:t> </w:t>
      </w:r>
      <w:r>
        <w:rPr/>
        <w:t>с</w:t>
      </w:r>
      <w:r>
        <w:rPr>
          <w:spacing w:val="80"/>
          <w:w w:val="150"/>
        </w:rPr>
        <w:t> </w:t>
      </w:r>
      <w:r>
        <w:rPr/>
        <w:t>наблюдением</w:t>
      </w:r>
      <w:r>
        <w:rPr>
          <w:spacing w:val="80"/>
          <w:w w:val="150"/>
        </w:rPr>
        <w:t> </w:t>
      </w:r>
      <w:r>
        <w:rPr/>
        <w:t>пациента</w:t>
      </w:r>
      <w:r>
        <w:rPr>
          <w:spacing w:val="80"/>
        </w:rPr>
        <w:t> </w:t>
      </w:r>
      <w:r>
        <w:rPr/>
        <w:t>в</w:t>
      </w:r>
      <w:r>
        <w:rPr>
          <w:spacing w:val="-5"/>
        </w:rPr>
        <w:t> </w:t>
      </w:r>
      <w:r>
        <w:rPr/>
        <w:t>амбулаторных условиях не требует дополнительных лабораторных исследований. В</w:t>
      </w:r>
      <w:r>
        <w:rPr>
          <w:spacing w:val="-3"/>
        </w:rPr>
        <w:t> </w:t>
      </w:r>
      <w:r>
        <w:rPr/>
        <w:t>случае госпитализации по поводу среднетяжелого, тяжелого и крайне тяжелого течения необходимо выполнить следующие исследования:</w:t>
      </w:r>
    </w:p>
    <w:p>
      <w:pPr>
        <w:spacing w:line="276" w:lineRule="auto" w:before="1"/>
        <w:ind w:left="1841" w:right="1275" w:firstLine="707"/>
        <w:jc w:val="both"/>
        <w:rPr>
          <w:sz w:val="24"/>
        </w:rPr>
      </w:pPr>
      <w:r>
        <w:rPr>
          <w:b/>
          <w:sz w:val="24"/>
        </w:rPr>
        <w:t>Общий (клинический) анализ крови </w:t>
      </w:r>
      <w:r>
        <w:rPr>
          <w:sz w:val="24"/>
        </w:rPr>
        <w:t>с определением уровня эритроцитов, гемоглобина, гематокрита, лейкоцитов, тромбоцитов, лейкоцитарной формулы.</w:t>
      </w:r>
    </w:p>
    <w:p>
      <w:pPr>
        <w:pStyle w:val="BodyText"/>
        <w:spacing w:line="276" w:lineRule="auto"/>
        <w:ind w:right="1275" w:firstLine="707"/>
      </w:pPr>
      <w:r>
        <w:rPr>
          <w:b/>
        </w:rPr>
        <w:t>Биохимический анализ крови </w:t>
      </w:r>
      <w:r>
        <w:rPr/>
        <w:t>(мочевина, креатинин, электролиты, глюкоза, аланинаминотрансфераза, аспартатаминотрансфераза, билирубин, альбумин, лактат, лактатдегидрогеназа. Дополнительно могут быть исследованы тропонин, как маркер повреждения миокарда, и ферритин, как белок острой фазы воспаления, дающий иинформацию о тяжести течения заболевания и прогнозе). Биохимический анализ крови</w:t>
      </w:r>
      <w:r>
        <w:rPr>
          <w:spacing w:val="-2"/>
        </w:rPr>
        <w:t> </w:t>
      </w:r>
      <w:r>
        <w:rPr/>
        <w:t>не</w:t>
      </w:r>
      <w:r>
        <w:rPr>
          <w:spacing w:val="-2"/>
        </w:rPr>
        <w:t> </w:t>
      </w:r>
      <w:r>
        <w:rPr/>
        <w:t>представляет какой-либо</w:t>
      </w:r>
      <w:r>
        <w:rPr>
          <w:spacing w:val="-2"/>
        </w:rPr>
        <w:t> </w:t>
      </w:r>
      <w:r>
        <w:rPr/>
        <w:t>специфической</w:t>
      </w:r>
      <w:r>
        <w:rPr>
          <w:spacing w:val="-2"/>
        </w:rPr>
        <w:t> </w:t>
      </w:r>
      <w:r>
        <w:rPr/>
        <w:t>информации,</w:t>
      </w:r>
      <w:r>
        <w:rPr>
          <w:spacing w:val="-2"/>
        </w:rPr>
        <w:t> </w:t>
      </w:r>
      <w:r>
        <w:rPr/>
        <w:t>но</w:t>
      </w:r>
      <w:r>
        <w:rPr>
          <w:spacing w:val="-2"/>
        </w:rPr>
        <w:t> обнаруживаемые</w:t>
      </w:r>
    </w:p>
    <w:p>
      <w:pPr>
        <w:pStyle w:val="BodyText"/>
        <w:spacing w:before="3"/>
        <w:ind w:left="0"/>
        <w:jc w:val="left"/>
        <w:rPr>
          <w:sz w:val="15"/>
        </w:rPr>
      </w:pPr>
      <w:r>
        <w:rPr>
          <w:sz w:val="15"/>
        </w:rPr>
        <mc:AlternateContent>
          <mc:Choice Requires="wps">
            <w:drawing>
              <wp:anchor distT="0" distB="0" distL="0" distR="0" allowOverlap="1" layoutInCell="1" locked="0" behindDoc="1" simplePos="0" relativeHeight="487596544">
                <wp:simplePos x="0" y="0"/>
                <wp:positionH relativeFrom="page">
                  <wp:posOffset>1170736</wp:posOffset>
                </wp:positionH>
                <wp:positionV relativeFrom="paragraph">
                  <wp:posOffset>127236</wp:posOffset>
                </wp:positionV>
                <wp:extent cx="1829435" cy="9525"/>
                <wp:effectExtent l="0" t="0" r="0" b="0"/>
                <wp:wrapTopAndBottom/>
                <wp:docPr id="57" name="Graphic 57"/>
                <wp:cNvGraphicFramePr>
                  <a:graphicFrameLocks/>
                </wp:cNvGraphicFramePr>
                <a:graphic>
                  <a:graphicData uri="http://schemas.microsoft.com/office/word/2010/wordprocessingShape">
                    <wps:wsp>
                      <wps:cNvPr id="57" name="Graphic 57"/>
                      <wps:cNvSpPr/>
                      <wps:spPr>
                        <a:xfrm>
                          <a:off x="0" y="0"/>
                          <a:ext cx="1829435" cy="9525"/>
                        </a:xfrm>
                        <a:custGeom>
                          <a:avLst/>
                          <a:gdLst/>
                          <a:ahLst/>
                          <a:cxnLst/>
                          <a:rect l="l" t="t" r="r" b="b"/>
                          <a:pathLst>
                            <a:path w="1829435" h="9525">
                              <a:moveTo>
                                <a:pt x="1826234" y="1527"/>
                              </a:moveTo>
                              <a:lnTo>
                                <a:pt x="-1100" y="1527"/>
                              </a:lnTo>
                              <a:lnTo>
                                <a:pt x="-1100" y="10662"/>
                              </a:lnTo>
                              <a:lnTo>
                                <a:pt x="1826234" y="10662"/>
                              </a:lnTo>
                              <a:lnTo>
                                <a:pt x="1826234" y="1527"/>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10.138884pt;width:143.884618pt;height:.719293pt;mso-position-horizontal-relative:page;mso-position-vertical-relative:paragraph;z-index:-15719936;mso-wrap-distance-left:0;mso-wrap-distance-right:0" id="docshape46" filled="true" fillcolor="#000000" stroked="false">
                <v:fill type="solid"/>
                <w10:wrap type="topAndBottom"/>
              </v:rect>
            </w:pict>
          </mc:Fallback>
        </mc:AlternateContent>
      </w:r>
    </w:p>
    <w:p>
      <w:pPr>
        <w:pStyle w:val="BodyText"/>
        <w:ind w:left="0"/>
        <w:jc w:val="left"/>
        <w:rPr>
          <w:sz w:val="20"/>
        </w:rPr>
      </w:pPr>
    </w:p>
    <w:p>
      <w:pPr>
        <w:pStyle w:val="BodyText"/>
        <w:spacing w:before="190"/>
        <w:ind w:left="0"/>
        <w:jc w:val="left"/>
        <w:rPr>
          <w:sz w:val="20"/>
        </w:rPr>
      </w:pPr>
    </w:p>
    <w:p>
      <w:pPr>
        <w:spacing w:before="0"/>
        <w:ind w:left="1841" w:right="0" w:firstLine="0"/>
        <w:jc w:val="left"/>
        <w:rPr>
          <w:sz w:val="20"/>
        </w:rPr>
      </w:pPr>
      <w:r>
        <w:rPr>
          <w:sz w:val="20"/>
          <w:vertAlign w:val="superscript"/>
        </w:rPr>
        <w:t>1</w:t>
      </w:r>
      <w:r>
        <w:rPr>
          <w:spacing w:val="-3"/>
          <w:sz w:val="20"/>
          <w:vertAlign w:val="baseline"/>
        </w:rPr>
        <w:t> </w:t>
      </w:r>
      <w:r>
        <w:rPr>
          <w:sz w:val="20"/>
          <w:vertAlign w:val="baseline"/>
        </w:rPr>
        <w:t>Письмо Росздравнадзора от 05.07.2021 г. № 02и-840/21 «О международном формате оценки уровня иммуноглобулинов, в том числе IgG, к SARS-CoV-2»</w:t>
      </w:r>
    </w:p>
    <w:p>
      <w:pPr>
        <w:spacing w:after="0"/>
        <w:jc w:val="left"/>
        <w:rPr>
          <w:sz w:val="20"/>
        </w:rPr>
        <w:sectPr>
          <w:pgSz w:w="11900" w:h="16840"/>
          <w:pgMar w:header="0" w:footer="697" w:top="1080" w:bottom="880" w:left="0" w:right="0"/>
        </w:sectPr>
      </w:pPr>
    </w:p>
    <w:p>
      <w:pPr>
        <w:pStyle w:val="BodyText"/>
        <w:spacing w:line="276" w:lineRule="auto" w:before="73"/>
        <w:ind w:right="1275"/>
      </w:pPr>
      <w:bookmarkStart w:name="22" w:id="30"/>
      <w:bookmarkEnd w:id="30"/>
      <w:r>
        <w:rPr/>
      </w:r>
      <w:r>
        <w:rPr/>
        <w:t>отклонения могут указывать на наличие органной дисфункции, декомпенсацию сопутствующих заболеваний и развитие осложнений, имеют определенное прогностическое</w:t>
      </w:r>
      <w:r>
        <w:rPr>
          <w:spacing w:val="-15"/>
        </w:rPr>
        <w:t> </w:t>
      </w:r>
      <w:r>
        <w:rPr/>
        <w:t>значение,</w:t>
      </w:r>
      <w:r>
        <w:rPr>
          <w:spacing w:val="-15"/>
        </w:rPr>
        <w:t> </w:t>
      </w:r>
      <w:r>
        <w:rPr/>
        <w:t>оказывают</w:t>
      </w:r>
      <w:r>
        <w:rPr>
          <w:spacing w:val="-15"/>
        </w:rPr>
        <w:t> </w:t>
      </w:r>
      <w:r>
        <w:rPr/>
        <w:t>влияние</w:t>
      </w:r>
      <w:r>
        <w:rPr>
          <w:spacing w:val="-15"/>
        </w:rPr>
        <w:t> </w:t>
      </w:r>
      <w:r>
        <w:rPr/>
        <w:t>на</w:t>
      </w:r>
      <w:r>
        <w:rPr>
          <w:spacing w:val="-15"/>
        </w:rPr>
        <w:t> </w:t>
      </w:r>
      <w:r>
        <w:rPr/>
        <w:t>выбор</w:t>
      </w:r>
      <w:r>
        <w:rPr>
          <w:spacing w:val="-15"/>
        </w:rPr>
        <w:t> </w:t>
      </w:r>
      <w:r>
        <w:rPr/>
        <w:t>лекарственных</w:t>
      </w:r>
      <w:r>
        <w:rPr>
          <w:spacing w:val="-15"/>
        </w:rPr>
        <w:t> </w:t>
      </w:r>
      <w:r>
        <w:rPr/>
        <w:t>средств</w:t>
      </w:r>
      <w:r>
        <w:rPr>
          <w:spacing w:val="-15"/>
        </w:rPr>
        <w:t> </w:t>
      </w:r>
      <w:r>
        <w:rPr/>
        <w:t>и/или режим их дозирования.</w:t>
      </w:r>
    </w:p>
    <w:p>
      <w:pPr>
        <w:pStyle w:val="BodyText"/>
        <w:spacing w:line="276" w:lineRule="auto"/>
        <w:ind w:right="1278" w:firstLine="707"/>
      </w:pPr>
      <w:r>
        <w:rPr>
          <w:b/>
        </w:rPr>
        <w:t>С-реактивный белок (СРБ) </w:t>
      </w:r>
      <w:r>
        <w:rPr/>
        <w:t>является основным лабораторным маркером активности процесса в легких. Его повышение коррелирует с объемом поражения легочной ткани и является основанием для начала противовоспалительной терапии.</w:t>
      </w:r>
    </w:p>
    <w:p>
      <w:pPr>
        <w:pStyle w:val="BodyText"/>
        <w:spacing w:line="276" w:lineRule="auto"/>
        <w:ind w:right="1275" w:firstLine="707"/>
      </w:pPr>
      <w:r>
        <w:rPr>
          <w:b/>
          <w:spacing w:val="-2"/>
        </w:rPr>
        <w:t>Гормональное исследование: </w:t>
      </w:r>
      <w:r>
        <w:rPr>
          <w:spacing w:val="-2"/>
        </w:rPr>
        <w:t>прокальцитонин, мозговой натрий-уретический </w:t>
      </w:r>
      <w:r>
        <w:rPr/>
        <w:t>пептид</w:t>
      </w:r>
      <w:r>
        <w:rPr>
          <w:spacing w:val="80"/>
          <w:w w:val="150"/>
        </w:rPr>
        <w:t> </w:t>
      </w:r>
      <w:r>
        <w:rPr/>
        <w:t>–</w:t>
      </w:r>
      <w:r>
        <w:rPr>
          <w:spacing w:val="80"/>
          <w:w w:val="150"/>
        </w:rPr>
        <w:t> </w:t>
      </w:r>
      <w:r>
        <w:rPr/>
        <w:t>NT-proBNP/BNP.</w:t>
      </w:r>
      <w:r>
        <w:rPr>
          <w:spacing w:val="80"/>
          <w:w w:val="150"/>
        </w:rPr>
        <w:t> </w:t>
      </w:r>
      <w:r>
        <w:rPr>
          <w:b/>
        </w:rPr>
        <w:t>Прокальцитонин</w:t>
      </w:r>
      <w:r>
        <w:rPr>
          <w:b/>
          <w:spacing w:val="80"/>
          <w:w w:val="150"/>
        </w:rPr>
        <w:t> </w:t>
      </w:r>
      <w:r>
        <w:rPr/>
        <w:t>при</w:t>
      </w:r>
      <w:r>
        <w:rPr>
          <w:spacing w:val="80"/>
          <w:w w:val="150"/>
        </w:rPr>
        <w:t> </w:t>
      </w:r>
      <w:r>
        <w:rPr/>
        <w:t>коронавирусной</w:t>
      </w:r>
      <w:r>
        <w:rPr>
          <w:spacing w:val="80"/>
          <w:w w:val="150"/>
        </w:rPr>
        <w:t> </w:t>
      </w:r>
      <w:r>
        <w:rPr/>
        <w:t>инфекции</w:t>
      </w:r>
      <w:r>
        <w:rPr>
          <w:spacing w:val="80"/>
        </w:rPr>
        <w:t> </w:t>
      </w:r>
      <w:r>
        <w:rPr/>
        <w:t>с</w:t>
      </w:r>
      <w:r>
        <w:rPr>
          <w:spacing w:val="-5"/>
        </w:rPr>
        <w:t> </w:t>
      </w:r>
      <w:r>
        <w:rPr/>
        <w:t>поражением респираторных отделов легких находится в пределах референсных значений. Повышение прокальцитонина свидетельствует о присоединении бактериальной инфекции и коррелирует с тяжестью течения, распространенностью воспалительной инфильтрации и прогнозом при бактериальных осложнениях.</w:t>
      </w:r>
    </w:p>
    <w:p>
      <w:pPr>
        <w:pStyle w:val="BodyText"/>
        <w:spacing w:line="276" w:lineRule="auto"/>
        <w:ind w:right="1271" w:firstLine="707"/>
      </w:pPr>
      <w:r>
        <w:rPr>
          <w:b/>
        </w:rPr>
        <w:t>Коагулограмма </w:t>
      </w:r>
      <w:r>
        <w:rPr/>
        <w:t>в объеме: активированное частичное тромбопластиновое время (АЧТВ), протромбиновое время, протромбиновое отношение и/или % протромбина по Квику, фибриноген, D-димер (количественным методом).</w:t>
      </w:r>
    </w:p>
    <w:p>
      <w:pPr>
        <w:pStyle w:val="Heading3"/>
        <w:numPr>
          <w:ilvl w:val="2"/>
          <w:numId w:val="5"/>
        </w:numPr>
        <w:tabs>
          <w:tab w:pos="3207" w:val="left" w:leader="none"/>
        </w:tabs>
        <w:spacing w:line="240" w:lineRule="auto" w:before="116" w:after="0"/>
        <w:ind w:left="3207" w:right="0" w:hanging="658"/>
        <w:jc w:val="both"/>
      </w:pPr>
      <w:r>
        <w:rPr>
          <w:color w:val="1F487C"/>
          <w:spacing w:val="-2"/>
        </w:rPr>
        <w:t>Прогностические</w:t>
      </w:r>
      <w:r>
        <w:rPr>
          <w:color w:val="1F487C"/>
          <w:spacing w:val="1"/>
        </w:rPr>
        <w:t> </w:t>
      </w:r>
      <w:r>
        <w:rPr>
          <w:color w:val="1F487C"/>
          <w:spacing w:val="-2"/>
        </w:rPr>
        <w:t>лабораторные</w:t>
      </w:r>
      <w:r>
        <w:rPr>
          <w:color w:val="1F487C"/>
          <w:spacing w:val="1"/>
        </w:rPr>
        <w:t> </w:t>
      </w:r>
      <w:r>
        <w:rPr>
          <w:color w:val="1F487C"/>
          <w:spacing w:val="-2"/>
        </w:rPr>
        <w:t>маркеры</w:t>
      </w:r>
    </w:p>
    <w:p>
      <w:pPr>
        <w:pStyle w:val="BodyText"/>
        <w:spacing w:line="276" w:lineRule="auto" w:before="161"/>
        <w:ind w:right="1277" w:firstLine="707"/>
      </w:pPr>
      <w:r>
        <w:rPr/>
        <w:t>У большинства пациентов с COVID-19 наблюдается нормальное число лейкоцитов,</w:t>
      </w:r>
      <w:r>
        <w:rPr>
          <w:spacing w:val="31"/>
        </w:rPr>
        <w:t> </w:t>
      </w:r>
      <w:r>
        <w:rPr/>
        <w:t>у</w:t>
      </w:r>
      <w:r>
        <w:rPr>
          <w:spacing w:val="31"/>
        </w:rPr>
        <w:t> </w:t>
      </w:r>
      <w:r>
        <w:rPr/>
        <w:t>одной</w:t>
      </w:r>
      <w:r>
        <w:rPr>
          <w:spacing w:val="29"/>
        </w:rPr>
        <w:t> </w:t>
      </w:r>
      <w:r>
        <w:rPr/>
        <w:t>трети</w:t>
      </w:r>
      <w:r>
        <w:rPr>
          <w:spacing w:val="32"/>
        </w:rPr>
        <w:t> </w:t>
      </w:r>
      <w:r>
        <w:rPr/>
        <w:t>обнаруживается</w:t>
      </w:r>
      <w:r>
        <w:rPr>
          <w:spacing w:val="30"/>
        </w:rPr>
        <w:t> </w:t>
      </w:r>
      <w:r>
        <w:rPr/>
        <w:t>лейкопения,</w:t>
      </w:r>
      <w:r>
        <w:rPr>
          <w:spacing w:val="31"/>
        </w:rPr>
        <w:t> </w:t>
      </w:r>
      <w:r>
        <w:rPr/>
        <w:t>лимфопения</w:t>
      </w:r>
      <w:r>
        <w:rPr>
          <w:spacing w:val="31"/>
        </w:rPr>
        <w:t> </w:t>
      </w:r>
      <w:r>
        <w:rPr/>
        <w:t>присутствует у</w:t>
      </w:r>
      <w:r>
        <w:rPr>
          <w:spacing w:val="-5"/>
        </w:rPr>
        <w:t> </w:t>
      </w:r>
      <w:r>
        <w:rPr/>
        <w:t>83,2%</w:t>
      </w:r>
      <w:r>
        <w:rPr>
          <w:spacing w:val="-10"/>
        </w:rPr>
        <w:t> </w:t>
      </w:r>
      <w:r>
        <w:rPr/>
        <w:t>пациентов.</w:t>
      </w:r>
      <w:r>
        <w:rPr>
          <w:spacing w:val="-9"/>
        </w:rPr>
        <w:t> </w:t>
      </w:r>
      <w:r>
        <w:rPr/>
        <w:t>Тромбоцитопения</w:t>
      </w:r>
      <w:r>
        <w:rPr>
          <w:spacing w:val="-9"/>
        </w:rPr>
        <w:t> </w:t>
      </w:r>
      <w:r>
        <w:rPr/>
        <w:t>носит</w:t>
      </w:r>
      <w:r>
        <w:rPr>
          <w:spacing w:val="-9"/>
        </w:rPr>
        <w:t> </w:t>
      </w:r>
      <w:r>
        <w:rPr/>
        <w:t>умеренный</w:t>
      </w:r>
      <w:r>
        <w:rPr>
          <w:spacing w:val="-9"/>
        </w:rPr>
        <w:t> </w:t>
      </w:r>
      <w:r>
        <w:rPr/>
        <w:t>характер,</w:t>
      </w:r>
      <w:r>
        <w:rPr>
          <w:spacing w:val="-10"/>
        </w:rPr>
        <w:t> </w:t>
      </w:r>
      <w:r>
        <w:rPr/>
        <w:t>но</w:t>
      </w:r>
      <w:r>
        <w:rPr>
          <w:spacing w:val="-9"/>
        </w:rPr>
        <w:t> </w:t>
      </w:r>
      <w:r>
        <w:rPr/>
        <w:t>более</w:t>
      </w:r>
      <w:r>
        <w:rPr>
          <w:spacing w:val="-10"/>
        </w:rPr>
        <w:t> </w:t>
      </w:r>
      <w:r>
        <w:rPr/>
        <w:t>отчетлива при тяжелом течении и у лиц, умерших от COVID-19.</w:t>
      </w:r>
    </w:p>
    <w:p>
      <w:pPr>
        <w:pStyle w:val="BodyText"/>
        <w:spacing w:line="276" w:lineRule="auto"/>
        <w:ind w:right="1273" w:firstLine="707"/>
      </w:pPr>
      <w:r>
        <w:rPr/>
        <w:t>Возрастание D-димера в 3-4 раза более возрастной нормы и удлинение протромбинового времени, особенно при тяжелом течении (снижение % протромбина), увеличение фибриногена имеет клиническое значение. Необходимо учитывать</w:t>
      </w:r>
      <w:r>
        <w:rPr>
          <w:spacing w:val="76"/>
        </w:rPr>
        <w:t> </w:t>
      </w:r>
      <w:r>
        <w:rPr/>
        <w:t>возрастные</w:t>
      </w:r>
      <w:r>
        <w:rPr>
          <w:spacing w:val="73"/>
        </w:rPr>
        <w:t> </w:t>
      </w:r>
      <w:r>
        <w:rPr/>
        <w:t>особенности:</w:t>
      </w:r>
      <w:r>
        <w:rPr>
          <w:spacing w:val="75"/>
        </w:rPr>
        <w:t> </w:t>
      </w:r>
      <w:r>
        <w:rPr/>
        <w:t>D-димер</w:t>
      </w:r>
      <w:r>
        <w:rPr>
          <w:spacing w:val="74"/>
        </w:rPr>
        <w:t> </w:t>
      </w:r>
      <w:r>
        <w:rPr/>
        <w:t>повышается</w:t>
      </w:r>
      <w:r>
        <w:rPr>
          <w:spacing w:val="74"/>
        </w:rPr>
        <w:t> </w:t>
      </w:r>
      <w:r>
        <w:rPr/>
        <w:t>после</w:t>
      </w:r>
      <w:r>
        <w:rPr>
          <w:spacing w:val="76"/>
        </w:rPr>
        <w:t> </w:t>
      </w:r>
      <w:r>
        <w:rPr/>
        <w:t>50</w:t>
      </w:r>
      <w:r>
        <w:rPr>
          <w:spacing w:val="74"/>
        </w:rPr>
        <w:t> </w:t>
      </w:r>
      <w:r>
        <w:rPr/>
        <w:t>лет</w:t>
      </w:r>
      <w:r>
        <w:rPr>
          <w:spacing w:val="75"/>
        </w:rPr>
        <w:t> </w:t>
      </w:r>
      <w:r>
        <w:rPr/>
        <w:t>в</w:t>
      </w:r>
      <w:r>
        <w:rPr>
          <w:spacing w:val="74"/>
        </w:rPr>
        <w:t> </w:t>
      </w:r>
      <w:r>
        <w:rPr/>
        <w:t>связи </w:t>
      </w:r>
      <w:r>
        <w:rPr>
          <w:spacing w:val="-2"/>
        </w:rPr>
        <w:t>с</w:t>
      </w:r>
      <w:r>
        <w:rPr>
          <w:spacing w:val="-3"/>
        </w:rPr>
        <w:t> </w:t>
      </w:r>
      <w:r>
        <w:rPr>
          <w:spacing w:val="-2"/>
        </w:rPr>
        <w:t>накоплением</w:t>
      </w:r>
      <w:r>
        <w:rPr>
          <w:spacing w:val="-3"/>
        </w:rPr>
        <w:t> </w:t>
      </w:r>
      <w:r>
        <w:rPr>
          <w:spacing w:val="-2"/>
        </w:rPr>
        <w:t>хронических заболеваний. Расчет возрастного уровня верхней границы </w:t>
      </w:r>
      <w:r>
        <w:rPr/>
        <w:t>референтного</w:t>
      </w:r>
      <w:r>
        <w:rPr>
          <w:spacing w:val="-15"/>
        </w:rPr>
        <w:t> </w:t>
      </w:r>
      <w:r>
        <w:rPr/>
        <w:t>интервала</w:t>
      </w:r>
      <w:r>
        <w:rPr>
          <w:spacing w:val="-15"/>
        </w:rPr>
        <w:t> </w:t>
      </w:r>
      <w:r>
        <w:rPr/>
        <w:t>может</w:t>
      </w:r>
      <w:r>
        <w:rPr>
          <w:spacing w:val="-15"/>
        </w:rPr>
        <w:t> </w:t>
      </w:r>
      <w:r>
        <w:rPr/>
        <w:t>быть</w:t>
      </w:r>
      <w:r>
        <w:rPr>
          <w:spacing w:val="-15"/>
        </w:rPr>
        <w:t> </w:t>
      </w:r>
      <w:r>
        <w:rPr/>
        <w:t>выполнен</w:t>
      </w:r>
      <w:r>
        <w:rPr>
          <w:spacing w:val="-15"/>
        </w:rPr>
        <w:t> </w:t>
      </w:r>
      <w:r>
        <w:rPr/>
        <w:t>по</w:t>
      </w:r>
      <w:r>
        <w:rPr>
          <w:spacing w:val="-15"/>
        </w:rPr>
        <w:t> </w:t>
      </w:r>
      <w:r>
        <w:rPr/>
        <w:t>формуле:</w:t>
      </w:r>
      <w:r>
        <w:rPr>
          <w:spacing w:val="-15"/>
        </w:rPr>
        <w:t> </w:t>
      </w:r>
      <w:r>
        <w:rPr/>
        <w:t>возраст</w:t>
      </w:r>
      <w:r>
        <w:rPr>
          <w:spacing w:val="-15"/>
        </w:rPr>
        <w:t> </w:t>
      </w:r>
      <w:r>
        <w:rPr/>
        <w:t>х</w:t>
      </w:r>
      <w:r>
        <w:rPr>
          <w:spacing w:val="-15"/>
        </w:rPr>
        <w:t> </w:t>
      </w:r>
      <w:r>
        <w:rPr/>
        <w:t>0,01</w:t>
      </w:r>
      <w:r>
        <w:rPr>
          <w:spacing w:val="-15"/>
        </w:rPr>
        <w:t> </w:t>
      </w:r>
      <w:r>
        <w:rPr/>
        <w:t>мкг/мл</w:t>
      </w:r>
      <w:r>
        <w:rPr>
          <w:spacing w:val="-15"/>
        </w:rPr>
        <w:t> </w:t>
      </w:r>
      <w:r>
        <w:rPr/>
        <w:t>(при измерении</w:t>
      </w:r>
      <w:r>
        <w:rPr>
          <w:spacing w:val="70"/>
        </w:rPr>
        <w:t>  </w:t>
      </w:r>
      <w:r>
        <w:rPr/>
        <w:t>в</w:t>
      </w:r>
      <w:r>
        <w:rPr>
          <w:spacing w:val="-1"/>
        </w:rPr>
        <w:t> </w:t>
      </w:r>
      <w:r>
        <w:rPr/>
        <w:t>единицах</w:t>
      </w:r>
      <w:r>
        <w:rPr>
          <w:spacing w:val="69"/>
        </w:rPr>
        <w:t>  </w:t>
      </w:r>
      <w:r>
        <w:rPr/>
        <w:t>FEU).</w:t>
      </w:r>
      <w:r>
        <w:rPr>
          <w:spacing w:val="70"/>
        </w:rPr>
        <w:t>  </w:t>
      </w:r>
      <w:r>
        <w:rPr/>
        <w:t>Также</w:t>
      </w:r>
      <w:r>
        <w:rPr>
          <w:spacing w:val="70"/>
        </w:rPr>
        <w:t>  </w:t>
      </w:r>
      <w:r>
        <w:rPr/>
        <w:t>с</w:t>
      </w:r>
      <w:r>
        <w:rPr>
          <w:spacing w:val="70"/>
        </w:rPr>
        <w:t>  </w:t>
      </w:r>
      <w:r>
        <w:rPr/>
        <w:t>осторожностью</w:t>
      </w:r>
      <w:r>
        <w:rPr>
          <w:spacing w:val="70"/>
        </w:rPr>
        <w:t>  </w:t>
      </w:r>
      <w:r>
        <w:rPr/>
        <w:t>нужно</w:t>
      </w:r>
      <w:r>
        <w:rPr>
          <w:spacing w:val="69"/>
        </w:rPr>
        <w:t>  </w:t>
      </w:r>
      <w:r>
        <w:rPr/>
        <w:t>подходить к исследованию D-димера у беременных. Для беременности, даже физиологически протекающей,</w:t>
      </w:r>
      <w:r>
        <w:rPr>
          <w:spacing w:val="-12"/>
        </w:rPr>
        <w:t> </w:t>
      </w:r>
      <w:r>
        <w:rPr/>
        <w:t>характерно</w:t>
      </w:r>
      <w:r>
        <w:rPr>
          <w:spacing w:val="-12"/>
        </w:rPr>
        <w:t> </w:t>
      </w:r>
      <w:r>
        <w:rPr/>
        <w:t>повышение</w:t>
      </w:r>
      <w:r>
        <w:rPr>
          <w:spacing w:val="-12"/>
        </w:rPr>
        <w:t> </w:t>
      </w:r>
      <w:r>
        <w:rPr/>
        <w:t>D-димера</w:t>
      </w:r>
      <w:r>
        <w:rPr>
          <w:spacing w:val="-12"/>
        </w:rPr>
        <w:t> </w:t>
      </w:r>
      <w:r>
        <w:rPr/>
        <w:t>с</w:t>
      </w:r>
      <w:r>
        <w:rPr>
          <w:spacing w:val="-12"/>
        </w:rPr>
        <w:t> </w:t>
      </w:r>
      <w:r>
        <w:rPr/>
        <w:t>существенным</w:t>
      </w:r>
      <w:r>
        <w:rPr>
          <w:spacing w:val="-12"/>
        </w:rPr>
        <w:t> </w:t>
      </w:r>
      <w:r>
        <w:rPr/>
        <w:t>разбросом</w:t>
      </w:r>
      <w:r>
        <w:rPr>
          <w:spacing w:val="-12"/>
        </w:rPr>
        <w:t> </w:t>
      </w:r>
      <w:r>
        <w:rPr/>
        <w:t>значений в</w:t>
      </w:r>
      <w:r>
        <w:rPr>
          <w:spacing w:val="67"/>
        </w:rPr>
        <w:t> </w:t>
      </w:r>
      <w:r>
        <w:rPr/>
        <w:t>этой</w:t>
      </w:r>
      <w:r>
        <w:rPr>
          <w:spacing w:val="68"/>
        </w:rPr>
        <w:t> </w:t>
      </w:r>
      <w:r>
        <w:rPr/>
        <w:t>группе.</w:t>
      </w:r>
      <w:r>
        <w:rPr>
          <w:spacing w:val="68"/>
        </w:rPr>
        <w:t> </w:t>
      </w:r>
      <w:r>
        <w:rPr/>
        <w:t>Вне</w:t>
      </w:r>
      <w:r>
        <w:rPr>
          <w:spacing w:val="-2"/>
        </w:rPr>
        <w:t> </w:t>
      </w:r>
      <w:r>
        <w:rPr/>
        <w:t>инфекции</w:t>
      </w:r>
      <w:r>
        <w:rPr>
          <w:spacing w:val="68"/>
        </w:rPr>
        <w:t> </w:t>
      </w:r>
      <w:r>
        <w:rPr/>
        <w:t>SARS-CoV-2</w:t>
      </w:r>
      <w:r>
        <w:rPr>
          <w:spacing w:val="68"/>
        </w:rPr>
        <w:t> </w:t>
      </w:r>
      <w:r>
        <w:rPr/>
        <w:t>D-димер</w:t>
      </w:r>
      <w:r>
        <w:rPr>
          <w:spacing w:val="68"/>
        </w:rPr>
        <w:t> </w:t>
      </w:r>
      <w:r>
        <w:rPr/>
        <w:t>не</w:t>
      </w:r>
      <w:r>
        <w:rPr>
          <w:spacing w:val="67"/>
        </w:rPr>
        <w:t> </w:t>
      </w:r>
      <w:r>
        <w:rPr/>
        <w:t>является</w:t>
      </w:r>
      <w:r>
        <w:rPr>
          <w:spacing w:val="67"/>
        </w:rPr>
        <w:t> </w:t>
      </w:r>
      <w:r>
        <w:rPr/>
        <w:t>определяющим в</w:t>
      </w:r>
      <w:r>
        <w:rPr>
          <w:spacing w:val="-15"/>
        </w:rPr>
        <w:t> </w:t>
      </w:r>
      <w:r>
        <w:rPr/>
        <w:t>тактике</w:t>
      </w:r>
      <w:r>
        <w:rPr>
          <w:spacing w:val="-15"/>
        </w:rPr>
        <w:t> </w:t>
      </w:r>
      <w:r>
        <w:rPr/>
        <w:t>и</w:t>
      </w:r>
      <w:r>
        <w:rPr>
          <w:spacing w:val="-15"/>
        </w:rPr>
        <w:t> </w:t>
      </w:r>
      <w:r>
        <w:rPr/>
        <w:t>при</w:t>
      </w:r>
      <w:r>
        <w:rPr>
          <w:spacing w:val="-15"/>
        </w:rPr>
        <w:t> </w:t>
      </w:r>
      <w:r>
        <w:rPr/>
        <w:t>назначении</w:t>
      </w:r>
      <w:r>
        <w:rPr>
          <w:spacing w:val="-15"/>
        </w:rPr>
        <w:t> </w:t>
      </w:r>
      <w:r>
        <w:rPr/>
        <w:t>низкомолекулярных</w:t>
      </w:r>
      <w:r>
        <w:rPr>
          <w:spacing w:val="-15"/>
        </w:rPr>
        <w:t> </w:t>
      </w:r>
      <w:r>
        <w:rPr/>
        <w:t>гепаринов.</w:t>
      </w:r>
      <w:r>
        <w:rPr>
          <w:spacing w:val="-15"/>
        </w:rPr>
        <w:t> </w:t>
      </w:r>
      <w:r>
        <w:rPr/>
        <w:t>Клиническое</w:t>
      </w:r>
      <w:r>
        <w:rPr>
          <w:spacing w:val="-15"/>
        </w:rPr>
        <w:t> </w:t>
      </w:r>
      <w:r>
        <w:rPr/>
        <w:t>значение</w:t>
      </w:r>
      <w:r>
        <w:rPr>
          <w:spacing w:val="-15"/>
        </w:rPr>
        <w:t> </w:t>
      </w:r>
      <w:r>
        <w:rPr/>
        <w:t>его повышения при COVID-19 у беременных окончательно не определено.</w:t>
      </w:r>
    </w:p>
    <w:p>
      <w:pPr>
        <w:pStyle w:val="BodyText"/>
        <w:spacing w:line="276" w:lineRule="auto"/>
        <w:ind w:right="1274" w:firstLine="707"/>
      </w:pPr>
      <w:r>
        <w:rPr/>
        <w:t>Наличие органной дисфункции, декомпенсации сопутствующих заболеваний и</w:t>
      </w:r>
      <w:r>
        <w:rPr>
          <w:spacing w:val="-1"/>
        </w:rPr>
        <w:t> </w:t>
      </w:r>
      <w:r>
        <w:rPr/>
        <w:t>развитие осложнений, выявленные биохимическим анализом крови, имеют прогностическое значение и оказывают влияние на выбор лекарственных средств и/или</w:t>
      </w:r>
      <w:r>
        <w:rPr>
          <w:spacing w:val="40"/>
        </w:rPr>
        <w:t> </w:t>
      </w:r>
      <w:r>
        <w:rPr/>
        <w:t>режим</w:t>
      </w:r>
      <w:r>
        <w:rPr>
          <w:spacing w:val="40"/>
        </w:rPr>
        <w:t> </w:t>
      </w:r>
      <w:r>
        <w:rPr/>
        <w:t>их</w:t>
      </w:r>
      <w:r>
        <w:rPr>
          <w:spacing w:val="40"/>
        </w:rPr>
        <w:t> </w:t>
      </w:r>
      <w:r>
        <w:rPr/>
        <w:t>дозирования.</w:t>
      </w:r>
      <w:r>
        <w:rPr>
          <w:spacing w:val="40"/>
        </w:rPr>
        <w:t> </w:t>
      </w:r>
      <w:r>
        <w:rPr/>
        <w:t>Возможно</w:t>
      </w:r>
      <w:r>
        <w:rPr>
          <w:spacing w:val="40"/>
        </w:rPr>
        <w:t> </w:t>
      </w:r>
      <w:r>
        <w:rPr/>
        <w:t>повышение</w:t>
      </w:r>
      <w:r>
        <w:rPr>
          <w:spacing w:val="40"/>
        </w:rPr>
        <w:t> </w:t>
      </w:r>
      <w:r>
        <w:rPr/>
        <w:t>активности</w:t>
      </w:r>
      <w:r>
        <w:rPr>
          <w:spacing w:val="40"/>
        </w:rPr>
        <w:t> </w:t>
      </w:r>
      <w:r>
        <w:rPr/>
        <w:t>аминотрансфераз и креатинкиназы, концентрации тропонина, креатинина или мочевины.</w:t>
      </w:r>
    </w:p>
    <w:p>
      <w:pPr>
        <w:pStyle w:val="BodyText"/>
        <w:spacing w:line="276" w:lineRule="auto"/>
        <w:ind w:right="1275" w:firstLine="707"/>
      </w:pPr>
      <w:r>
        <w:rPr/>
        <w:t>Уровень СРБ коррелирует с тяжестью течения, распространенностью воспалительной̆ инфильтрации и прогнозом при пневмонии. Концентрация СРБ увеличивалась у большинства пациентов, одновременно с увеличением интерлейкина-6 (ИЛ-6) и СОЭ в разной степени. ИЛ-6, ИЛ-10 и TNF-α возрастают</w:t>
      </w:r>
      <w:r>
        <w:rPr>
          <w:spacing w:val="80"/>
        </w:rPr>
        <w:t> </w:t>
      </w:r>
      <w:r>
        <w:rPr/>
        <w:t>во</w:t>
      </w:r>
      <w:r>
        <w:rPr>
          <w:spacing w:val="80"/>
        </w:rPr>
        <w:t> </w:t>
      </w:r>
      <w:r>
        <w:rPr/>
        <w:t>время</w:t>
      </w:r>
      <w:r>
        <w:rPr>
          <w:spacing w:val="80"/>
        </w:rPr>
        <w:t> </w:t>
      </w:r>
      <w:r>
        <w:rPr/>
        <w:t>болезни</w:t>
      </w:r>
      <w:r>
        <w:rPr>
          <w:spacing w:val="80"/>
        </w:rPr>
        <w:t> </w:t>
      </w:r>
      <w:r>
        <w:rPr/>
        <w:t>и</w:t>
      </w:r>
      <w:r>
        <w:rPr>
          <w:spacing w:val="80"/>
        </w:rPr>
        <w:t> </w:t>
      </w:r>
      <w:r>
        <w:rPr/>
        <w:t>снижаются</w:t>
      </w:r>
      <w:r>
        <w:rPr>
          <w:spacing w:val="80"/>
        </w:rPr>
        <w:t> </w:t>
      </w:r>
      <w:r>
        <w:rPr/>
        <w:t>при</w:t>
      </w:r>
      <w:r>
        <w:rPr>
          <w:spacing w:val="80"/>
        </w:rPr>
        <w:t> </w:t>
      </w:r>
      <w:r>
        <w:rPr/>
        <w:t>выздоровлении.</w:t>
      </w:r>
      <w:r>
        <w:rPr>
          <w:spacing w:val="80"/>
        </w:rPr>
        <w:t> </w:t>
      </w:r>
      <w:r>
        <w:rPr/>
        <w:t>Пациенты,</w:t>
      </w:r>
      <w:r>
        <w:rPr>
          <w:spacing w:val="80"/>
        </w:rPr>
        <w:t> </w:t>
      </w:r>
      <w:r>
        <w:rPr/>
        <w:t>нуждающиеся</w:t>
      </w:r>
      <w:r>
        <w:rPr>
          <w:spacing w:val="80"/>
        </w:rPr>
        <w:t> </w:t>
      </w:r>
      <w:r>
        <w:rPr/>
        <w:t>в</w:t>
      </w:r>
      <w:r>
        <w:rPr>
          <w:spacing w:val="13"/>
        </w:rPr>
        <w:t> </w:t>
      </w:r>
      <w:r>
        <w:rPr/>
        <w:t>госпитализации,</w:t>
      </w:r>
      <w:r>
        <w:rPr>
          <w:spacing w:val="13"/>
        </w:rPr>
        <w:t> </w:t>
      </w:r>
      <w:r>
        <w:rPr/>
        <w:t>имеют</w:t>
      </w:r>
      <w:r>
        <w:rPr>
          <w:spacing w:val="14"/>
        </w:rPr>
        <w:t> </w:t>
      </w:r>
      <w:r>
        <w:rPr/>
        <w:t>значительно</w:t>
      </w:r>
      <w:r>
        <w:rPr>
          <w:spacing w:val="13"/>
        </w:rPr>
        <w:t> </w:t>
      </w:r>
      <w:r>
        <w:rPr/>
        <w:t>более</w:t>
      </w:r>
      <w:r>
        <w:rPr>
          <w:spacing w:val="14"/>
        </w:rPr>
        <w:t> </w:t>
      </w:r>
      <w:r>
        <w:rPr/>
        <w:t>высокие</w:t>
      </w:r>
      <w:r>
        <w:rPr>
          <w:spacing w:val="12"/>
        </w:rPr>
        <w:t> </w:t>
      </w:r>
      <w:r>
        <w:rPr/>
        <w:t>уровни</w:t>
      </w:r>
      <w:r>
        <w:rPr>
          <w:spacing w:val="14"/>
        </w:rPr>
        <w:t> </w:t>
      </w:r>
      <w:r>
        <w:rPr/>
        <w:t>ИЛ-6,</w:t>
      </w:r>
      <w:r>
        <w:rPr>
          <w:spacing w:val="16"/>
        </w:rPr>
        <w:t> </w:t>
      </w:r>
      <w:r>
        <w:rPr/>
        <w:t>ИЛ-10</w:t>
      </w:r>
      <w:r>
        <w:rPr>
          <w:spacing w:val="13"/>
        </w:rPr>
        <w:t> </w:t>
      </w:r>
      <w:r>
        <w:rPr/>
        <w:t>и</w:t>
      </w:r>
      <w:r>
        <w:rPr>
          <w:spacing w:val="14"/>
        </w:rPr>
        <w:t> </w:t>
      </w:r>
      <w:r>
        <w:rPr/>
        <w:t>TNF-</w:t>
      </w:r>
      <w:r>
        <w:rPr>
          <w:spacing w:val="-10"/>
        </w:rPr>
        <w:t>α</w:t>
      </w:r>
    </w:p>
    <w:p>
      <w:pPr>
        <w:pStyle w:val="BodyText"/>
        <w:spacing w:after="0" w:line="276" w:lineRule="auto"/>
        <w:sectPr>
          <w:pgSz w:w="11900" w:h="16840"/>
          <w:pgMar w:header="0" w:footer="697" w:top="1080" w:bottom="880" w:left="0" w:right="0"/>
        </w:sectPr>
      </w:pPr>
    </w:p>
    <w:p>
      <w:pPr>
        <w:pStyle w:val="BodyText"/>
        <w:spacing w:line="276" w:lineRule="auto" w:before="73"/>
        <w:ind w:right="1274"/>
      </w:pPr>
      <w:bookmarkStart w:name="23" w:id="31"/>
      <w:bookmarkEnd w:id="31"/>
      <w:r>
        <w:rPr/>
      </w:r>
      <w:r>
        <w:rPr/>
        <w:t>и сниженное количество CD4 и CD8 T-клеток. Уровень ИЛ-6, ИЛ-10 и фактора некроза</w:t>
      </w:r>
      <w:r>
        <w:rPr>
          <w:spacing w:val="-11"/>
        </w:rPr>
        <w:t> </w:t>
      </w:r>
      <w:r>
        <w:rPr/>
        <w:t>опухоли-α</w:t>
      </w:r>
      <w:r>
        <w:rPr>
          <w:spacing w:val="-11"/>
        </w:rPr>
        <w:t> </w:t>
      </w:r>
      <w:r>
        <w:rPr/>
        <w:t>обратно</w:t>
      </w:r>
      <w:r>
        <w:rPr>
          <w:spacing w:val="-10"/>
        </w:rPr>
        <w:t> </w:t>
      </w:r>
      <w:r>
        <w:rPr/>
        <w:t>коррелирует</w:t>
      </w:r>
      <w:r>
        <w:rPr>
          <w:spacing w:val="-10"/>
        </w:rPr>
        <w:t> </w:t>
      </w:r>
      <w:r>
        <w:rPr/>
        <w:t>с</w:t>
      </w:r>
      <w:r>
        <w:rPr>
          <w:spacing w:val="-11"/>
        </w:rPr>
        <w:t> </w:t>
      </w:r>
      <w:r>
        <w:rPr/>
        <w:t>количеством</w:t>
      </w:r>
      <w:r>
        <w:rPr>
          <w:spacing w:val="-11"/>
        </w:rPr>
        <w:t> </w:t>
      </w:r>
      <w:r>
        <w:rPr/>
        <w:t>CD4</w:t>
      </w:r>
      <w:r>
        <w:rPr>
          <w:spacing w:val="-11"/>
        </w:rPr>
        <w:t> </w:t>
      </w:r>
      <w:r>
        <w:rPr/>
        <w:t>и</w:t>
      </w:r>
      <w:r>
        <w:rPr>
          <w:spacing w:val="-9"/>
        </w:rPr>
        <w:t> </w:t>
      </w:r>
      <w:r>
        <w:rPr/>
        <w:t>CD8,</w:t>
      </w:r>
      <w:r>
        <w:rPr>
          <w:spacing w:val="-11"/>
        </w:rPr>
        <w:t> </w:t>
      </w:r>
      <w:r>
        <w:rPr/>
        <w:t>ассоциированных с лимфопенией. Отмечено увеличение острофазового белка ферритина при неблагоприятном течении заболевания.</w:t>
      </w:r>
    </w:p>
    <w:p>
      <w:pPr>
        <w:pStyle w:val="BodyText"/>
        <w:spacing w:line="276" w:lineRule="auto"/>
        <w:ind w:right="1275" w:firstLine="707"/>
      </w:pPr>
      <w:r>
        <w:rPr/>
        <w:t>При</w:t>
      </w:r>
      <w:r>
        <w:rPr>
          <w:spacing w:val="75"/>
        </w:rPr>
        <w:t> </w:t>
      </w:r>
      <w:r>
        <w:rPr/>
        <w:t>развитии</w:t>
      </w:r>
      <w:r>
        <w:rPr>
          <w:spacing w:val="75"/>
        </w:rPr>
        <w:t> </w:t>
      </w:r>
      <w:r>
        <w:rPr/>
        <w:t>ОРДС</w:t>
      </w:r>
      <w:r>
        <w:rPr>
          <w:spacing w:val="80"/>
        </w:rPr>
        <w:t> </w:t>
      </w:r>
      <w:r>
        <w:rPr/>
        <w:t>наибольшим</w:t>
      </w:r>
      <w:r>
        <w:rPr>
          <w:spacing w:val="74"/>
        </w:rPr>
        <w:t> </w:t>
      </w:r>
      <w:r>
        <w:rPr/>
        <w:t>значением</w:t>
      </w:r>
      <w:r>
        <w:rPr>
          <w:spacing w:val="74"/>
        </w:rPr>
        <w:t> </w:t>
      </w:r>
      <w:r>
        <w:rPr/>
        <w:t>для</w:t>
      </w:r>
      <w:r>
        <w:rPr>
          <w:spacing w:val="75"/>
        </w:rPr>
        <w:t> </w:t>
      </w:r>
      <w:r>
        <w:rPr/>
        <w:t>мониторинга</w:t>
      </w:r>
      <w:r>
        <w:rPr>
          <w:spacing w:val="75"/>
        </w:rPr>
        <w:t> </w:t>
      </w:r>
      <w:r>
        <w:rPr/>
        <w:t>состояния и</w:t>
      </w:r>
      <w:r>
        <w:rPr>
          <w:spacing w:val="-1"/>
        </w:rPr>
        <w:t> </w:t>
      </w:r>
      <w:r>
        <w:rPr/>
        <w:t>оценки эффекта терапии обладают: ИЛ‑6, D‑димер, ферритин, фибриноген, C‑реактивный белок, триглицериды, ЛДГ.</w:t>
      </w:r>
    </w:p>
    <w:p>
      <w:pPr>
        <w:pStyle w:val="BodyText"/>
        <w:spacing w:line="276" w:lineRule="auto"/>
        <w:ind w:right="1275" w:firstLine="707"/>
      </w:pPr>
      <w:r>
        <w:rPr/>
        <w:t>Лабораторные показатели прогрессирующего синдрома активации макрофагов:</w:t>
      </w:r>
      <w:r>
        <w:rPr>
          <w:spacing w:val="-7"/>
        </w:rPr>
        <w:t> </w:t>
      </w:r>
      <w:r>
        <w:rPr/>
        <w:t>дву-трехростковая</w:t>
      </w:r>
      <w:r>
        <w:rPr>
          <w:spacing w:val="-7"/>
        </w:rPr>
        <w:t> </w:t>
      </w:r>
      <w:r>
        <w:rPr/>
        <w:t>цитопения,</w:t>
      </w:r>
      <w:r>
        <w:rPr>
          <w:spacing w:val="-9"/>
        </w:rPr>
        <w:t> </w:t>
      </w:r>
      <w:r>
        <w:rPr/>
        <w:t>нарастание</w:t>
      </w:r>
      <w:r>
        <w:rPr>
          <w:spacing w:val="-7"/>
        </w:rPr>
        <w:t> </w:t>
      </w:r>
      <w:r>
        <w:rPr/>
        <w:t>уровня</w:t>
      </w:r>
      <w:r>
        <w:rPr>
          <w:spacing w:val="-7"/>
        </w:rPr>
        <w:t> </w:t>
      </w:r>
      <w:r>
        <w:rPr/>
        <w:t>ферритина,</w:t>
      </w:r>
      <w:r>
        <w:rPr>
          <w:spacing w:val="-7"/>
        </w:rPr>
        <w:t> </w:t>
      </w:r>
      <w:r>
        <w:rPr/>
        <w:t>СРБ,</w:t>
      </w:r>
      <w:r>
        <w:rPr>
          <w:spacing w:val="-7"/>
        </w:rPr>
        <w:t> </w:t>
      </w:r>
      <w:r>
        <w:rPr/>
        <w:t>АЛТ, АСТ, ЛДГ, гипонатремия, гипофибриногенемия, снижение уровня антитромбина III, пролонгирование протромбинового времени и активированного частичного тромбопластинового времени.</w:t>
      </w:r>
    </w:p>
    <w:p>
      <w:pPr>
        <w:pStyle w:val="BodyText"/>
        <w:spacing w:line="276" w:lineRule="auto"/>
        <w:ind w:right="1271" w:firstLine="707"/>
      </w:pPr>
      <w:r>
        <w:rPr/>
        <w:t>Гипервоспаление при COVID-19 может манифестировать цитопенией (тромбоцитопения и лимфопения), коагулопатией (тромбоцитопения, гипофибриногенемия и повышение D-димера крови), повреждением тканей / гепатитом</w:t>
      </w:r>
      <w:r>
        <w:rPr>
          <w:spacing w:val="80"/>
          <w:w w:val="150"/>
        </w:rPr>
        <w:t> </w:t>
      </w:r>
      <w:r>
        <w:rPr/>
        <w:t>(повышение</w:t>
      </w:r>
      <w:r>
        <w:rPr>
          <w:spacing w:val="80"/>
          <w:w w:val="150"/>
        </w:rPr>
        <w:t> </w:t>
      </w:r>
      <w:r>
        <w:rPr/>
        <w:t>активности</w:t>
      </w:r>
      <w:r>
        <w:rPr>
          <w:spacing w:val="80"/>
          <w:w w:val="150"/>
        </w:rPr>
        <w:t> </w:t>
      </w:r>
      <w:r>
        <w:rPr/>
        <w:t>ЛДГ,</w:t>
      </w:r>
      <w:r>
        <w:rPr>
          <w:spacing w:val="80"/>
          <w:w w:val="150"/>
        </w:rPr>
        <w:t> </w:t>
      </w:r>
      <w:r>
        <w:rPr/>
        <w:t>аминтрансфераз</w:t>
      </w:r>
      <w:r>
        <w:rPr>
          <w:spacing w:val="80"/>
          <w:w w:val="150"/>
        </w:rPr>
        <w:t> </w:t>
      </w:r>
      <w:r>
        <w:rPr/>
        <w:t>в</w:t>
      </w:r>
      <w:r>
        <w:rPr>
          <w:spacing w:val="80"/>
          <w:w w:val="150"/>
        </w:rPr>
        <w:t> </w:t>
      </w:r>
      <w:r>
        <w:rPr/>
        <w:t>сыворотке</w:t>
      </w:r>
      <w:r>
        <w:rPr>
          <w:spacing w:val="80"/>
          <w:w w:val="150"/>
        </w:rPr>
        <w:t> </w:t>
      </w:r>
      <w:r>
        <w:rPr/>
        <w:t>крови) и активацией макрофагов/гепатоцитов (повышение уровня ферритина сыворотки </w:t>
      </w:r>
      <w:r>
        <w:rPr>
          <w:spacing w:val="-2"/>
        </w:rPr>
        <w:t>крови).</w:t>
      </w:r>
    </w:p>
    <w:p>
      <w:pPr>
        <w:pStyle w:val="BodyText"/>
        <w:spacing w:line="276" w:lineRule="auto"/>
        <w:ind w:right="1273" w:firstLine="707"/>
      </w:pPr>
      <w:r>
        <w:rPr/>
        <w:t>В диагностике и прогнозе течения сепсиса имеет значение уровень прокальцитонина:</w:t>
      </w:r>
      <w:r>
        <w:rPr>
          <w:spacing w:val="40"/>
        </w:rPr>
        <w:t>  </w:t>
      </w:r>
      <w:r>
        <w:rPr/>
        <w:t>&lt;</w:t>
      </w:r>
      <w:r>
        <w:rPr>
          <w:spacing w:val="40"/>
        </w:rPr>
        <w:t>  </w:t>
      </w:r>
      <w:r>
        <w:rPr/>
        <w:t>0.5</w:t>
      </w:r>
      <w:r>
        <w:rPr>
          <w:spacing w:val="40"/>
        </w:rPr>
        <w:t>  </w:t>
      </w:r>
      <w:r>
        <w:rPr/>
        <w:t>мкг/л</w:t>
      </w:r>
      <w:r>
        <w:rPr>
          <w:spacing w:val="40"/>
        </w:rPr>
        <w:t>  </w:t>
      </w:r>
      <w:r>
        <w:rPr/>
        <w:t>–</w:t>
      </w:r>
      <w:r>
        <w:rPr>
          <w:spacing w:val="40"/>
        </w:rPr>
        <w:t>  </w:t>
      </w:r>
      <w:r>
        <w:rPr/>
        <w:t>низкий</w:t>
      </w:r>
      <w:r>
        <w:rPr>
          <w:spacing w:val="40"/>
        </w:rPr>
        <w:t>  </w:t>
      </w:r>
      <w:r>
        <w:rPr/>
        <w:t>риск</w:t>
      </w:r>
      <w:r>
        <w:rPr>
          <w:spacing w:val="40"/>
        </w:rPr>
        <w:t>  </w:t>
      </w:r>
      <w:r>
        <w:rPr/>
        <w:t>бактериальной</w:t>
      </w:r>
      <w:r>
        <w:rPr>
          <w:spacing w:val="54"/>
        </w:rPr>
        <w:t>  </w:t>
      </w:r>
      <w:r>
        <w:rPr/>
        <w:t>коинфекции</w:t>
      </w:r>
      <w:r>
        <w:rPr>
          <w:spacing w:val="80"/>
        </w:rPr>
        <w:t> </w:t>
      </w:r>
      <w:r>
        <w:rPr/>
        <w:t>и</w:t>
      </w:r>
      <w:r>
        <w:rPr>
          <w:spacing w:val="-1"/>
        </w:rPr>
        <w:t> </w:t>
      </w:r>
      <w:r>
        <w:rPr/>
        <w:t>неблагоприятного исхода; &gt; 0.5 мкг/л – пациенты с высоким риском, вероятна бактериальная коинфекция. Анализ на прокальцитонин является дополнительной информацией</w:t>
      </w:r>
      <w:r>
        <w:rPr>
          <w:spacing w:val="40"/>
        </w:rPr>
        <w:t> </w:t>
      </w:r>
      <w:r>
        <w:rPr/>
        <w:t>для</w:t>
      </w:r>
      <w:r>
        <w:rPr>
          <w:spacing w:val="40"/>
        </w:rPr>
        <w:t> </w:t>
      </w:r>
      <w:r>
        <w:rPr/>
        <w:t>ранней</w:t>
      </w:r>
      <w:r>
        <w:rPr>
          <w:spacing w:val="40"/>
        </w:rPr>
        <w:t> </w:t>
      </w:r>
      <w:r>
        <w:rPr/>
        <w:t>оценки</w:t>
      </w:r>
      <w:r>
        <w:rPr>
          <w:spacing w:val="40"/>
        </w:rPr>
        <w:t> </w:t>
      </w:r>
      <w:r>
        <w:rPr/>
        <w:t>риска</w:t>
      </w:r>
      <w:r>
        <w:rPr>
          <w:spacing w:val="38"/>
        </w:rPr>
        <w:t> </w:t>
      </w:r>
      <w:r>
        <w:rPr/>
        <w:t>и</w:t>
      </w:r>
      <w:r>
        <w:rPr>
          <w:spacing w:val="40"/>
        </w:rPr>
        <w:t> </w:t>
      </w:r>
      <w:r>
        <w:rPr/>
        <w:t>исключения</w:t>
      </w:r>
      <w:r>
        <w:rPr>
          <w:spacing w:val="40"/>
        </w:rPr>
        <w:t> </w:t>
      </w:r>
      <w:r>
        <w:rPr/>
        <w:t>бактериальной</w:t>
      </w:r>
      <w:r>
        <w:rPr>
          <w:spacing w:val="40"/>
        </w:rPr>
        <w:t> </w:t>
      </w:r>
      <w:r>
        <w:rPr/>
        <w:t>коинфекции у пациентов с COVID-19.</w:t>
      </w:r>
    </w:p>
    <w:p>
      <w:pPr>
        <w:pStyle w:val="BodyText"/>
        <w:spacing w:line="276" w:lineRule="auto"/>
        <w:ind w:right="1271" w:firstLine="707"/>
      </w:pPr>
      <w:r>
        <w:rPr/>
        <w:t>Развитие сердечно-сосудистых осложнений при COVID-19 также сопровождается лимфопенией, тромбоцитопенией, повышением СРБ, МВ-фракции креатинкиназы,</w:t>
      </w:r>
      <w:r>
        <w:rPr>
          <w:spacing w:val="-6"/>
        </w:rPr>
        <w:t> </w:t>
      </w:r>
      <w:r>
        <w:rPr/>
        <w:t>высокочувствительного</w:t>
      </w:r>
      <w:r>
        <w:rPr>
          <w:spacing w:val="-5"/>
        </w:rPr>
        <w:t> </w:t>
      </w:r>
      <w:r>
        <w:rPr/>
        <w:t>тропонина</w:t>
      </w:r>
      <w:r>
        <w:rPr>
          <w:spacing w:val="-6"/>
        </w:rPr>
        <w:t> </w:t>
      </w:r>
      <w:r>
        <w:rPr/>
        <w:t>и</w:t>
      </w:r>
      <w:r>
        <w:rPr>
          <w:spacing w:val="-4"/>
        </w:rPr>
        <w:t> </w:t>
      </w:r>
      <w:r>
        <w:rPr/>
        <w:t>мозгового</w:t>
      </w:r>
      <w:r>
        <w:rPr>
          <w:spacing w:val="-8"/>
        </w:rPr>
        <w:t> </w:t>
      </w:r>
      <w:r>
        <w:rPr/>
        <w:t>натрий-уретического пептида (NT pro-BNP). Для выявления пациентов группы риска целесообразно рассмотреть</w:t>
      </w:r>
      <w:r>
        <w:rPr>
          <w:spacing w:val="-15"/>
        </w:rPr>
        <w:t> </w:t>
      </w:r>
      <w:r>
        <w:rPr/>
        <w:t>контроль</w:t>
      </w:r>
      <w:r>
        <w:rPr>
          <w:spacing w:val="-15"/>
        </w:rPr>
        <w:t> </w:t>
      </w:r>
      <w:r>
        <w:rPr/>
        <w:t>тропонина,</w:t>
      </w:r>
      <w:r>
        <w:rPr>
          <w:spacing w:val="-15"/>
        </w:rPr>
        <w:t> </w:t>
      </w:r>
      <w:r>
        <w:rPr/>
        <w:t>контроль</w:t>
      </w:r>
      <w:r>
        <w:rPr>
          <w:spacing w:val="-15"/>
        </w:rPr>
        <w:t> </w:t>
      </w:r>
      <w:r>
        <w:rPr/>
        <w:t>NT-proBNP</w:t>
      </w:r>
      <w:r>
        <w:rPr>
          <w:spacing w:val="-15"/>
        </w:rPr>
        <w:t> </w:t>
      </w:r>
      <w:r>
        <w:rPr/>
        <w:t>как</w:t>
      </w:r>
      <w:r>
        <w:rPr>
          <w:spacing w:val="-15"/>
        </w:rPr>
        <w:t> </w:t>
      </w:r>
      <w:r>
        <w:rPr/>
        <w:t>маркера</w:t>
      </w:r>
      <w:r>
        <w:rPr>
          <w:spacing w:val="-15"/>
        </w:rPr>
        <w:t> </w:t>
      </w:r>
      <w:r>
        <w:rPr/>
        <w:t>миокардиального стресса. У пациентов с нарастающей одышкой и NT-proBNP ≥2000 пг/мл отмечен наивысший риск, при значениях 400 ≤ NT-proBNP &lt; 2000 пг/мл пациенты относятся к группе с промежуточным риском.</w:t>
      </w:r>
    </w:p>
    <w:p>
      <w:pPr>
        <w:pStyle w:val="BodyText"/>
        <w:spacing w:line="276" w:lineRule="auto"/>
        <w:ind w:right="1275" w:firstLine="707"/>
      </w:pPr>
      <w:r>
        <w:rPr/>
        <w:t>Необходимый</w:t>
      </w:r>
      <w:r>
        <w:rPr>
          <w:spacing w:val="80"/>
          <w:w w:val="150"/>
        </w:rPr>
        <w:t> </w:t>
      </w:r>
      <w:r>
        <w:rPr/>
        <w:t>объем</w:t>
      </w:r>
      <w:r>
        <w:rPr>
          <w:spacing w:val="80"/>
          <w:w w:val="150"/>
        </w:rPr>
        <w:t> </w:t>
      </w:r>
      <w:r>
        <w:rPr/>
        <w:t>лабораторного</w:t>
      </w:r>
      <w:r>
        <w:rPr>
          <w:spacing w:val="80"/>
          <w:w w:val="150"/>
        </w:rPr>
        <w:t> </w:t>
      </w:r>
      <w:r>
        <w:rPr/>
        <w:t>и</w:t>
      </w:r>
      <w:r>
        <w:rPr>
          <w:spacing w:val="80"/>
          <w:w w:val="150"/>
        </w:rPr>
        <w:t> </w:t>
      </w:r>
      <w:r>
        <w:rPr/>
        <w:t>инструментального</w:t>
      </w:r>
      <w:r>
        <w:rPr>
          <w:spacing w:val="80"/>
          <w:w w:val="150"/>
        </w:rPr>
        <w:t> </w:t>
      </w:r>
      <w:r>
        <w:rPr/>
        <w:t>обследования в</w:t>
      </w:r>
      <w:r>
        <w:rPr>
          <w:spacing w:val="-3"/>
        </w:rPr>
        <w:t> </w:t>
      </w:r>
      <w:r>
        <w:rPr/>
        <w:t>зависимости</w:t>
      </w:r>
      <w:r>
        <w:rPr>
          <w:spacing w:val="74"/>
        </w:rPr>
        <w:t>   </w:t>
      </w:r>
      <w:r>
        <w:rPr/>
        <w:t>от</w:t>
      </w:r>
      <w:r>
        <w:rPr>
          <w:spacing w:val="74"/>
        </w:rPr>
        <w:t>   </w:t>
      </w:r>
      <w:r>
        <w:rPr/>
        <w:t>клинических</w:t>
      </w:r>
      <w:r>
        <w:rPr>
          <w:spacing w:val="73"/>
        </w:rPr>
        <w:t>   </w:t>
      </w:r>
      <w:r>
        <w:rPr/>
        <w:t>проявлений</w:t>
      </w:r>
      <w:r>
        <w:rPr>
          <w:spacing w:val="74"/>
        </w:rPr>
        <w:t>   </w:t>
      </w:r>
      <w:r>
        <w:rPr/>
        <w:t>заболевания</w:t>
      </w:r>
      <w:r>
        <w:rPr>
          <w:spacing w:val="73"/>
        </w:rPr>
        <w:t>   </w:t>
      </w:r>
      <w:r>
        <w:rPr/>
        <w:t>представлен в</w:t>
      </w:r>
      <w:r>
        <w:rPr>
          <w:spacing w:val="-3"/>
        </w:rPr>
        <w:t> </w:t>
      </w:r>
      <w:r>
        <w:rPr>
          <w:color w:val="0462C1"/>
          <w:u w:val="single" w:color="0462C1"/>
        </w:rPr>
        <w:t>Приложении 2</w:t>
      </w:r>
      <w:r>
        <w:rPr/>
        <w:t>.</w:t>
      </w:r>
      <w:r>
        <w:rPr>
          <w:spacing w:val="77"/>
        </w:rPr>
        <w:t>  </w:t>
      </w:r>
      <w:r>
        <w:rPr/>
        <w:t>Лабораторный</w:t>
      </w:r>
      <w:r>
        <w:rPr>
          <w:spacing w:val="78"/>
        </w:rPr>
        <w:t>  </w:t>
      </w:r>
      <w:r>
        <w:rPr/>
        <w:t>мониторинг</w:t>
      </w:r>
      <w:r>
        <w:rPr>
          <w:spacing w:val="78"/>
        </w:rPr>
        <w:t>  </w:t>
      </w:r>
      <w:r>
        <w:rPr/>
        <w:t>пациентов</w:t>
      </w:r>
      <w:r>
        <w:rPr>
          <w:spacing w:val="77"/>
        </w:rPr>
        <w:t>  </w:t>
      </w:r>
      <w:r>
        <w:rPr/>
        <w:t>с</w:t>
      </w:r>
      <w:r>
        <w:rPr>
          <w:spacing w:val="77"/>
        </w:rPr>
        <w:t>  </w:t>
      </w:r>
      <w:r>
        <w:rPr/>
        <w:t>COVID-19</w:t>
      </w:r>
      <w:r>
        <w:rPr>
          <w:spacing w:val="77"/>
        </w:rPr>
        <w:t>  </w:t>
      </w:r>
      <w:r>
        <w:rPr/>
        <w:t>или с</w:t>
      </w:r>
      <w:r>
        <w:rPr>
          <w:spacing w:val="-4"/>
        </w:rPr>
        <w:t> </w:t>
      </w:r>
      <w:r>
        <w:rPr/>
        <w:t>подозрением</w:t>
      </w:r>
      <w:r>
        <w:rPr>
          <w:spacing w:val="80"/>
        </w:rPr>
        <w:t> </w:t>
      </w:r>
      <w:r>
        <w:rPr/>
        <w:t>на</w:t>
      </w:r>
      <w:r>
        <w:rPr>
          <w:spacing w:val="80"/>
        </w:rPr>
        <w:t> </w:t>
      </w:r>
      <w:r>
        <w:rPr/>
        <w:t>COVID-19</w:t>
      </w:r>
      <w:r>
        <w:rPr>
          <w:spacing w:val="80"/>
        </w:rPr>
        <w:t> </w:t>
      </w:r>
      <w:r>
        <w:rPr/>
        <w:t>в</w:t>
      </w:r>
      <w:r>
        <w:rPr>
          <w:spacing w:val="-3"/>
        </w:rPr>
        <w:t> </w:t>
      </w:r>
      <w:r>
        <w:rPr/>
        <w:t>зависимости</w:t>
      </w:r>
      <w:r>
        <w:rPr>
          <w:spacing w:val="80"/>
        </w:rPr>
        <w:t> </w:t>
      </w:r>
      <w:r>
        <w:rPr/>
        <w:t>от</w:t>
      </w:r>
      <w:r>
        <w:rPr>
          <w:spacing w:val="80"/>
        </w:rPr>
        <w:t> </w:t>
      </w:r>
      <w:r>
        <w:rPr/>
        <w:t>тяжести</w:t>
      </w:r>
      <w:r>
        <w:rPr>
          <w:spacing w:val="80"/>
        </w:rPr>
        <w:t> </w:t>
      </w:r>
      <w:r>
        <w:rPr/>
        <w:t>состояния</w:t>
      </w:r>
      <w:r>
        <w:rPr>
          <w:spacing w:val="80"/>
        </w:rPr>
        <w:t> </w:t>
      </w:r>
      <w:r>
        <w:rPr/>
        <w:t>представлен</w:t>
      </w:r>
      <w:r>
        <w:rPr>
          <w:spacing w:val="80"/>
        </w:rPr>
        <w:t> </w:t>
      </w:r>
      <w:r>
        <w:rPr/>
        <w:t>в </w:t>
      </w:r>
      <w:r>
        <w:rPr>
          <w:color w:val="0462C1"/>
          <w:u w:val="single" w:color="0462C1"/>
        </w:rPr>
        <w:t>Приложении 2</w:t>
      </w:r>
      <w:r>
        <w:rPr/>
        <w:t>.</w:t>
      </w:r>
    </w:p>
    <w:p>
      <w:pPr>
        <w:pStyle w:val="Heading3"/>
        <w:numPr>
          <w:ilvl w:val="2"/>
          <w:numId w:val="5"/>
        </w:numPr>
        <w:tabs>
          <w:tab w:pos="3250" w:val="left" w:leader="none"/>
        </w:tabs>
        <w:spacing w:line="276" w:lineRule="auto" w:before="111" w:after="0"/>
        <w:ind w:left="1841" w:right="1276" w:firstLine="707"/>
        <w:jc w:val="both"/>
      </w:pPr>
      <w:r>
        <w:rPr>
          <w:color w:val="1F487C"/>
        </w:rPr>
        <w:t>Микробиологическая, в том числе молекулярно-биологическая диагностика инфекционных осложнений, возникших у больных с COVID-19</w:t>
      </w:r>
    </w:p>
    <w:p>
      <w:pPr>
        <w:pStyle w:val="BodyText"/>
        <w:spacing w:line="276" w:lineRule="auto" w:before="118"/>
        <w:ind w:right="1275" w:firstLine="707"/>
      </w:pPr>
      <w:r>
        <w:rPr/>
        <w:t>Рекомендовано проведение микробиологического (культурального) исследования биологического материала (мокроты, бронхоальвеолярной лаважной жидкости,</w:t>
      </w:r>
      <w:r>
        <w:rPr>
          <w:spacing w:val="-10"/>
        </w:rPr>
        <w:t> </w:t>
      </w:r>
      <w:r>
        <w:rPr/>
        <w:t>лаважной</w:t>
      </w:r>
      <w:r>
        <w:rPr>
          <w:spacing w:val="-6"/>
        </w:rPr>
        <w:t> </w:t>
      </w:r>
      <w:r>
        <w:rPr/>
        <w:t>жидкости,</w:t>
      </w:r>
      <w:r>
        <w:rPr>
          <w:spacing w:val="-10"/>
        </w:rPr>
        <w:t> </w:t>
      </w:r>
      <w:r>
        <w:rPr/>
        <w:t>плевральной</w:t>
      </w:r>
      <w:r>
        <w:rPr>
          <w:spacing w:val="-9"/>
        </w:rPr>
        <w:t> </w:t>
      </w:r>
      <w:r>
        <w:rPr/>
        <w:t>жидкости,</w:t>
      </w:r>
      <w:r>
        <w:rPr>
          <w:spacing w:val="-10"/>
        </w:rPr>
        <w:t> </w:t>
      </w:r>
      <w:r>
        <w:rPr/>
        <w:t>крови,</w:t>
      </w:r>
      <w:r>
        <w:rPr>
          <w:spacing w:val="-8"/>
        </w:rPr>
        <w:t> </w:t>
      </w:r>
      <w:r>
        <w:rPr/>
        <w:t>мочи</w:t>
      </w:r>
      <w:r>
        <w:rPr>
          <w:spacing w:val="-9"/>
        </w:rPr>
        <w:t> </w:t>
      </w:r>
      <w:r>
        <w:rPr/>
        <w:t>и</w:t>
      </w:r>
      <w:r>
        <w:rPr>
          <w:spacing w:val="-9"/>
        </w:rPr>
        <w:t> </w:t>
      </w:r>
      <w:r>
        <w:rPr/>
        <w:t>других</w:t>
      </w:r>
      <w:r>
        <w:rPr>
          <w:spacing w:val="-8"/>
        </w:rPr>
        <w:t> </w:t>
      </w:r>
      <w:r>
        <w:rPr/>
        <w:t>локусов предполагаемого очага инфекции) пациента с наличием признаков инфекционного процесса</w:t>
      </w:r>
      <w:r>
        <w:rPr>
          <w:spacing w:val="80"/>
        </w:rPr>
        <w:t>  </w:t>
      </w:r>
      <w:r>
        <w:rPr/>
        <w:t>на</w:t>
      </w:r>
      <w:r>
        <w:rPr>
          <w:spacing w:val="80"/>
        </w:rPr>
        <w:t> </w:t>
      </w:r>
      <w:r>
        <w:rPr/>
        <w:t>аэробные</w:t>
      </w:r>
      <w:r>
        <w:rPr>
          <w:spacing w:val="80"/>
        </w:rPr>
        <w:t> </w:t>
      </w:r>
      <w:r>
        <w:rPr/>
        <w:t>и</w:t>
      </w:r>
      <w:r>
        <w:rPr>
          <w:spacing w:val="80"/>
        </w:rPr>
        <w:t> </w:t>
      </w:r>
      <w:r>
        <w:rPr/>
        <w:t>факультативно-анаэробные</w:t>
      </w:r>
      <w:r>
        <w:rPr>
          <w:spacing w:val="80"/>
        </w:rPr>
        <w:t> </w:t>
      </w:r>
      <w:r>
        <w:rPr/>
        <w:t>микроорганизмы</w:t>
      </w:r>
      <w:r>
        <w:rPr>
          <w:spacing w:val="80"/>
        </w:rPr>
        <w:t> </w:t>
      </w:r>
      <w:r>
        <w:rPr/>
        <w:t>с</w:t>
      </w:r>
      <w:r>
        <w:rPr>
          <w:spacing w:val="80"/>
        </w:rPr>
        <w:t> </w:t>
      </w:r>
      <w:r>
        <w:rPr/>
        <w:t>целью</w:t>
      </w:r>
    </w:p>
    <w:p>
      <w:pPr>
        <w:pStyle w:val="BodyText"/>
        <w:spacing w:after="0" w:line="276" w:lineRule="auto"/>
        <w:sectPr>
          <w:pgSz w:w="11900" w:h="16840"/>
          <w:pgMar w:header="0" w:footer="697" w:top="1080" w:bottom="880" w:left="0" w:right="0"/>
        </w:sectPr>
      </w:pPr>
    </w:p>
    <w:p>
      <w:pPr>
        <w:pStyle w:val="BodyText"/>
        <w:spacing w:line="276" w:lineRule="auto" w:before="73"/>
        <w:ind w:right="1281"/>
      </w:pPr>
      <w:bookmarkStart w:name="24" w:id="32"/>
      <w:bookmarkEnd w:id="32"/>
      <w:r>
        <w:rPr/>
      </w:r>
      <w:r>
        <w:rPr/>
        <w:t>идентификации возбудителей, количественной оценки микробной обсемененности</w:t>
      </w:r>
      <w:r>
        <w:rPr>
          <w:spacing w:val="80"/>
          <w:w w:val="150"/>
        </w:rPr>
        <w:t> </w:t>
      </w:r>
      <w:r>
        <w:rPr/>
        <w:t>и определения чувствительности к антимикробным препаратам.</w:t>
      </w:r>
    </w:p>
    <w:p>
      <w:pPr>
        <w:pStyle w:val="BodyText"/>
        <w:spacing w:line="276" w:lineRule="auto"/>
        <w:ind w:right="1273" w:firstLine="707"/>
      </w:pPr>
      <w:r>
        <w:rPr/>
        <w:t>У больных с жизнеугрожающими состояниями при возможности необходимо проводить скрининг основных возбудителей нозокомиальных</w:t>
      </w:r>
      <w:r>
        <w:rPr>
          <w:spacing w:val="80"/>
        </w:rPr>
        <w:t> </w:t>
      </w:r>
      <w:r>
        <w:rPr/>
        <w:t>(ESКAPE-патогены)</w:t>
      </w:r>
      <w:r>
        <w:rPr>
          <w:spacing w:val="40"/>
        </w:rPr>
        <w:t> </w:t>
      </w:r>
      <w:r>
        <w:rPr/>
        <w:t>и грибковых инфекций, а также выявление генов резистентности к бета-лактамным</w:t>
      </w:r>
      <w:r>
        <w:rPr>
          <w:spacing w:val="80"/>
        </w:rPr>
        <w:t> </w:t>
      </w:r>
      <w:r>
        <w:rPr/>
        <w:t>и гликопептидным антибиотикам: mecA (метициллину, оксациллину), blaTEM, blaCTX-М-1,</w:t>
      </w:r>
      <w:r>
        <w:rPr>
          <w:spacing w:val="-1"/>
        </w:rPr>
        <w:t> </w:t>
      </w:r>
      <w:r>
        <w:rPr/>
        <w:t>blaSHV</w:t>
      </w:r>
      <w:r>
        <w:rPr>
          <w:spacing w:val="-1"/>
        </w:rPr>
        <w:t> </w:t>
      </w:r>
      <w:r>
        <w:rPr/>
        <w:t>(пенициллинам</w:t>
      </w:r>
      <w:r>
        <w:rPr>
          <w:spacing w:val="-1"/>
        </w:rPr>
        <w:t> </w:t>
      </w:r>
      <w:r>
        <w:rPr/>
        <w:t>и</w:t>
      </w:r>
      <w:r>
        <w:rPr>
          <w:spacing w:val="-2"/>
        </w:rPr>
        <w:t> </w:t>
      </w:r>
      <w:r>
        <w:rPr/>
        <w:t>цефалоспоринам),</w:t>
      </w:r>
      <w:r>
        <w:rPr>
          <w:spacing w:val="-1"/>
        </w:rPr>
        <w:t> </w:t>
      </w:r>
      <w:r>
        <w:rPr/>
        <w:t>blaOXA-40-LIKE,</w:t>
      </w:r>
      <w:r>
        <w:rPr>
          <w:spacing w:val="-1"/>
        </w:rPr>
        <w:t> </w:t>
      </w:r>
      <w:r>
        <w:rPr/>
        <w:t>blaOXA- 48-LIKE,</w:t>
      </w:r>
      <w:r>
        <w:rPr>
          <w:spacing w:val="74"/>
        </w:rPr>
        <w:t> </w:t>
      </w:r>
      <w:r>
        <w:rPr/>
        <w:t>blaОXA-23-LIKE,</w:t>
      </w:r>
      <w:r>
        <w:rPr>
          <w:spacing w:val="75"/>
        </w:rPr>
        <w:t> </w:t>
      </w:r>
      <w:r>
        <w:rPr/>
        <w:t>blaOXA-51-LIKE,</w:t>
      </w:r>
      <w:r>
        <w:rPr>
          <w:spacing w:val="77"/>
        </w:rPr>
        <w:t> </w:t>
      </w:r>
      <w:r>
        <w:rPr/>
        <w:t>blaIMP,</w:t>
      </w:r>
      <w:r>
        <w:rPr>
          <w:spacing w:val="75"/>
        </w:rPr>
        <w:t> </w:t>
      </w:r>
      <w:r>
        <w:rPr/>
        <w:t>blaKPC,</w:t>
      </w:r>
      <w:r>
        <w:rPr>
          <w:spacing w:val="75"/>
        </w:rPr>
        <w:t> </w:t>
      </w:r>
      <w:r>
        <w:rPr/>
        <w:t>blaGES,</w:t>
      </w:r>
      <w:r>
        <w:rPr>
          <w:spacing w:val="75"/>
        </w:rPr>
        <w:t> </w:t>
      </w:r>
      <w:r>
        <w:rPr>
          <w:spacing w:val="-2"/>
        </w:rPr>
        <w:t>blaNDM,</w:t>
      </w:r>
    </w:p>
    <w:p>
      <w:pPr>
        <w:pStyle w:val="BodyText"/>
        <w:spacing w:line="276" w:lineRule="auto"/>
        <w:ind w:right="1272"/>
      </w:pPr>
      <w:r>
        <w:rPr/>
        <w:t>blaVIM (карбапенемам), VanA\B (ванкомицину, тейкопланину) молекулярно- биологическими методами (ПЦР).</w:t>
      </w:r>
    </w:p>
    <w:p>
      <w:pPr>
        <w:pStyle w:val="BodyText"/>
        <w:spacing w:line="276" w:lineRule="auto"/>
        <w:ind w:right="1272" w:firstLine="707"/>
      </w:pPr>
      <w:r>
        <w:rPr/>
        <w:t>У больных с жизнеугрожающими состояниями необходимо проводить скрининг молекулярно-генетическими методами (ПЦР) основных возбудителей нозокомиальных (ESKAPE-патогены) и грибковых инфекций, а также выявление генов</w:t>
      </w:r>
      <w:r>
        <w:rPr>
          <w:spacing w:val="80"/>
          <w:w w:val="150"/>
        </w:rPr>
        <w:t> </w:t>
      </w:r>
      <w:r>
        <w:rPr/>
        <w:t>резистентности</w:t>
      </w:r>
      <w:r>
        <w:rPr>
          <w:spacing w:val="80"/>
          <w:w w:val="150"/>
        </w:rPr>
        <w:t> </w:t>
      </w:r>
      <w:r>
        <w:rPr/>
        <w:t>к</w:t>
      </w:r>
      <w:r>
        <w:rPr>
          <w:spacing w:val="80"/>
          <w:w w:val="150"/>
        </w:rPr>
        <w:t> </w:t>
      </w:r>
      <w:r>
        <w:rPr/>
        <w:t>бета-лактамным</w:t>
      </w:r>
      <w:r>
        <w:rPr>
          <w:spacing w:val="80"/>
          <w:w w:val="150"/>
        </w:rPr>
        <w:t> </w:t>
      </w:r>
      <w:r>
        <w:rPr/>
        <w:t>и</w:t>
      </w:r>
      <w:r>
        <w:rPr>
          <w:spacing w:val="80"/>
          <w:w w:val="150"/>
        </w:rPr>
        <w:t> </w:t>
      </w:r>
      <w:r>
        <w:rPr/>
        <w:t>гликопептидным</w:t>
      </w:r>
      <w:r>
        <w:rPr>
          <w:spacing w:val="80"/>
          <w:w w:val="150"/>
        </w:rPr>
        <w:t> </w:t>
      </w:r>
      <w:r>
        <w:rPr/>
        <w:t>антибиотикам:</w:t>
      </w:r>
      <w:r>
        <w:rPr>
          <w:spacing w:val="40"/>
        </w:rPr>
        <w:t> </w:t>
      </w:r>
      <w:r>
        <w:rPr/>
        <w:t>mec A (метициллину, оксациллину) ), blaTEM, blaCTX-М-1, blaSHV (пенициллинам и цефалоспоринам), blaOXA-40-LIKE, blaOXA-48-LIKE, blaОXA-23-LIKE, blaOXA- 51-LIKE, blaIMP, blaKPC, blaGES, blaNDM, blaVIM (карбапенемам), VanA\B (ванкомицину, тейкопланину) молекулярно-биологическими методами (ПЦР).</w:t>
      </w:r>
    </w:p>
    <w:p>
      <w:pPr>
        <w:pStyle w:val="Heading3"/>
        <w:numPr>
          <w:ilvl w:val="2"/>
          <w:numId w:val="5"/>
        </w:numPr>
        <w:tabs>
          <w:tab w:pos="3237" w:val="left" w:leader="none"/>
        </w:tabs>
        <w:spacing w:line="278" w:lineRule="auto" w:before="114" w:after="0"/>
        <w:ind w:left="1841" w:right="1278" w:firstLine="707"/>
        <w:jc w:val="both"/>
      </w:pPr>
      <w:r>
        <w:rPr>
          <w:color w:val="1F487C"/>
        </w:rPr>
        <w:t>Диагностика</w:t>
      </w:r>
      <w:r>
        <w:rPr>
          <w:color w:val="1F487C"/>
          <w:spacing w:val="40"/>
        </w:rPr>
        <w:t> </w:t>
      </w:r>
      <w:r>
        <w:rPr>
          <w:color w:val="1F487C"/>
        </w:rPr>
        <w:t>инвазивного</w:t>
      </w:r>
      <w:r>
        <w:rPr>
          <w:color w:val="1F487C"/>
          <w:spacing w:val="40"/>
        </w:rPr>
        <w:t> </w:t>
      </w:r>
      <w:r>
        <w:rPr>
          <w:color w:val="1F487C"/>
        </w:rPr>
        <w:t>аспергиллеза,</w:t>
      </w:r>
      <w:r>
        <w:rPr>
          <w:color w:val="1F487C"/>
          <w:spacing w:val="40"/>
        </w:rPr>
        <w:t> </w:t>
      </w:r>
      <w:r>
        <w:rPr>
          <w:color w:val="1F487C"/>
        </w:rPr>
        <w:t>инвазивного</w:t>
      </w:r>
      <w:r>
        <w:rPr>
          <w:color w:val="1F487C"/>
          <w:spacing w:val="40"/>
        </w:rPr>
        <w:t> </w:t>
      </w:r>
      <w:r>
        <w:rPr>
          <w:color w:val="1F487C"/>
        </w:rPr>
        <w:t>кандидоза</w:t>
      </w:r>
      <w:r>
        <w:rPr>
          <w:color w:val="1F487C"/>
          <w:spacing w:val="80"/>
        </w:rPr>
        <w:t> </w:t>
      </w:r>
      <w:r>
        <w:rPr>
          <w:color w:val="1F487C"/>
        </w:rPr>
        <w:t>и мукормикоза у больных COVID-19</w:t>
      </w:r>
    </w:p>
    <w:p>
      <w:pPr>
        <w:pStyle w:val="BodyText"/>
        <w:spacing w:line="276" w:lineRule="auto" w:before="115"/>
        <w:ind w:right="1273" w:firstLine="707"/>
      </w:pPr>
      <w:r>
        <w:rPr/>
        <w:t>Основные жизнеугрожающие микозы у больных COVID-19 – инвазивный аспергиллез (COVID-ИА), инвазивный кандидоз (COVID-ИК) и мукормикоз (COVID-М),</w:t>
      </w:r>
      <w:r>
        <w:rPr>
          <w:spacing w:val="-1"/>
        </w:rPr>
        <w:t> </w:t>
      </w:r>
      <w:r>
        <w:rPr/>
        <w:t>другие (криптококкоз и пр.)</w:t>
      </w:r>
      <w:r>
        <w:rPr>
          <w:spacing w:val="-1"/>
        </w:rPr>
        <w:t> </w:t>
      </w:r>
      <w:r>
        <w:rPr/>
        <w:t>встречаются значительно реже. COVID-ИА и COVID-ИК возникают преимущественно у больных в ОРИТ, COVID-М – во время стационарного лечения.</w:t>
      </w:r>
    </w:p>
    <w:p>
      <w:pPr>
        <w:pStyle w:val="BodyText"/>
        <w:spacing w:line="276" w:lineRule="auto"/>
        <w:ind w:left="2549" w:right="1277"/>
      </w:pPr>
      <w:r>
        <w:rPr/>
        <w:t>Частота COVID-ИА у больных в ОРИТ – 2,5-15%, при использовании ИВЛ – 18-35%.</w:t>
      </w:r>
      <w:r>
        <w:rPr>
          <w:spacing w:val="63"/>
        </w:rPr>
        <w:t> </w:t>
      </w:r>
      <w:r>
        <w:rPr/>
        <w:t>При</w:t>
      </w:r>
      <w:r>
        <w:rPr>
          <w:spacing w:val="63"/>
        </w:rPr>
        <w:t> </w:t>
      </w:r>
      <w:r>
        <w:rPr/>
        <w:t>развитии</w:t>
      </w:r>
      <w:r>
        <w:rPr>
          <w:spacing w:val="62"/>
        </w:rPr>
        <w:t> </w:t>
      </w:r>
      <w:r>
        <w:rPr/>
        <w:t>COVID-ИА</w:t>
      </w:r>
      <w:r>
        <w:rPr>
          <w:spacing w:val="62"/>
        </w:rPr>
        <w:t> </w:t>
      </w:r>
      <w:r>
        <w:rPr/>
        <w:t>летальность</w:t>
      </w:r>
      <w:r>
        <w:rPr>
          <w:spacing w:val="65"/>
        </w:rPr>
        <w:t> </w:t>
      </w:r>
      <w:r>
        <w:rPr/>
        <w:t>увеличивается</w:t>
      </w:r>
      <w:r>
        <w:rPr>
          <w:spacing w:val="63"/>
        </w:rPr>
        <w:t> </w:t>
      </w:r>
      <w:r>
        <w:rPr/>
        <w:t>на</w:t>
      </w:r>
      <w:r>
        <w:rPr>
          <w:spacing w:val="60"/>
        </w:rPr>
        <w:t> </w:t>
      </w:r>
      <w:r>
        <w:rPr/>
        <w:t>15-</w:t>
      </w:r>
      <w:r>
        <w:rPr>
          <w:spacing w:val="-4"/>
        </w:rPr>
        <w:t>25%,</w:t>
      </w:r>
    </w:p>
    <w:p>
      <w:pPr>
        <w:pStyle w:val="BodyText"/>
        <w:spacing w:line="276" w:lineRule="auto"/>
        <w:ind w:right="1271"/>
      </w:pPr>
      <w:r>
        <w:rPr/>
        <w:t>без</w:t>
      </w:r>
      <w:r>
        <w:rPr>
          <w:spacing w:val="40"/>
        </w:rPr>
        <w:t>  </w:t>
      </w:r>
      <w:r>
        <w:rPr/>
        <w:t>лечения</w:t>
      </w:r>
      <w:r>
        <w:rPr>
          <w:spacing w:val="40"/>
        </w:rPr>
        <w:t>  </w:t>
      </w:r>
      <w:r>
        <w:rPr/>
        <w:t>умирают</w:t>
      </w:r>
      <w:r>
        <w:rPr>
          <w:spacing w:val="40"/>
        </w:rPr>
        <w:t>  </w:t>
      </w:r>
      <w:r>
        <w:rPr/>
        <w:t>все</w:t>
      </w:r>
      <w:r>
        <w:rPr>
          <w:spacing w:val="40"/>
        </w:rPr>
        <w:t>  </w:t>
      </w:r>
      <w:r>
        <w:rPr/>
        <w:t>пациенты.</w:t>
      </w:r>
      <w:r>
        <w:rPr>
          <w:spacing w:val="40"/>
        </w:rPr>
        <w:t>  </w:t>
      </w:r>
      <w:r>
        <w:rPr/>
        <w:t>Возникновение</w:t>
      </w:r>
      <w:r>
        <w:rPr>
          <w:spacing w:val="40"/>
        </w:rPr>
        <w:t>  </w:t>
      </w:r>
      <w:r>
        <w:rPr/>
        <w:t>COVID-ИА</w:t>
      </w:r>
      <w:r>
        <w:rPr>
          <w:spacing w:val="40"/>
        </w:rPr>
        <w:t>  </w:t>
      </w:r>
      <w:r>
        <w:rPr/>
        <w:t>приводит</w:t>
      </w:r>
      <w:r>
        <w:rPr>
          <w:spacing w:val="80"/>
          <w:w w:val="150"/>
        </w:rPr>
        <w:t> </w:t>
      </w:r>
      <w:r>
        <w:rPr/>
        <w:t>к увеличению продолжительности лечения в ОРИТ на 10-37 дней. Основные возбудители</w:t>
      </w:r>
      <w:r>
        <w:rPr>
          <w:spacing w:val="35"/>
        </w:rPr>
        <w:t> </w:t>
      </w:r>
      <w:r>
        <w:rPr/>
        <w:t>COVID</w:t>
      </w:r>
      <w:r>
        <w:rPr>
          <w:spacing w:val="34"/>
        </w:rPr>
        <w:t> </w:t>
      </w:r>
      <w:r>
        <w:rPr/>
        <w:t>ИА</w:t>
      </w:r>
      <w:r>
        <w:rPr>
          <w:spacing w:val="34"/>
        </w:rPr>
        <w:t> </w:t>
      </w:r>
      <w:r>
        <w:rPr/>
        <w:t>(</w:t>
      </w:r>
      <w:r>
        <w:rPr>
          <w:i/>
        </w:rPr>
        <w:t>Aspergillus</w:t>
      </w:r>
      <w:r>
        <w:rPr>
          <w:i/>
          <w:spacing w:val="35"/>
        </w:rPr>
        <w:t> </w:t>
      </w:r>
      <w:r>
        <w:rPr>
          <w:i/>
        </w:rPr>
        <w:t>fumigatus,</w:t>
      </w:r>
      <w:r>
        <w:rPr>
          <w:i/>
          <w:spacing w:val="35"/>
        </w:rPr>
        <w:t> </w:t>
      </w:r>
      <w:r>
        <w:rPr>
          <w:i/>
        </w:rPr>
        <w:t>A.</w:t>
      </w:r>
      <w:r>
        <w:rPr>
          <w:i/>
          <w:spacing w:val="34"/>
        </w:rPr>
        <w:t> </w:t>
      </w:r>
      <w:r>
        <w:rPr>
          <w:i/>
        </w:rPr>
        <w:t>flavus</w:t>
      </w:r>
      <w:r>
        <w:rPr>
          <w:i/>
          <w:spacing w:val="35"/>
        </w:rPr>
        <w:t> </w:t>
      </w:r>
      <w:r>
        <w:rPr>
          <w:i/>
        </w:rPr>
        <w:t>и</w:t>
      </w:r>
      <w:r>
        <w:rPr>
          <w:i/>
          <w:spacing w:val="35"/>
        </w:rPr>
        <w:t> </w:t>
      </w:r>
      <w:r>
        <w:rPr>
          <w:i/>
        </w:rPr>
        <w:t>A.</w:t>
      </w:r>
      <w:r>
        <w:rPr>
          <w:i/>
          <w:spacing w:val="36"/>
        </w:rPr>
        <w:t> </w:t>
      </w:r>
      <w:r>
        <w:rPr>
          <w:i/>
        </w:rPr>
        <w:t>niger</w:t>
      </w:r>
      <w:r>
        <w:rPr/>
        <w:t>)</w:t>
      </w:r>
      <w:r>
        <w:rPr>
          <w:spacing w:val="36"/>
        </w:rPr>
        <w:t> </w:t>
      </w:r>
      <w:r>
        <w:rPr/>
        <w:t>чувствительны </w:t>
      </w:r>
      <w:r>
        <w:rPr>
          <w:i/>
        </w:rPr>
        <w:t>in vitro </w:t>
      </w:r>
      <w:r>
        <w:rPr/>
        <w:t>к вориконазолу, изавуконазолу, каспофунгину и амфотерицину В (АмВ), устойчивы к флуконазолу.</w:t>
      </w:r>
    </w:p>
    <w:p>
      <w:pPr>
        <w:pStyle w:val="BodyText"/>
        <w:spacing w:line="276" w:lineRule="auto"/>
        <w:ind w:right="1273" w:firstLine="707"/>
      </w:pPr>
      <w:r>
        <w:rPr/>
        <w:t>COVID-ИА</w:t>
      </w:r>
      <w:r>
        <w:rPr>
          <w:spacing w:val="40"/>
        </w:rPr>
        <w:t> </w:t>
      </w:r>
      <w:r>
        <w:rPr/>
        <w:t>обычно</w:t>
      </w:r>
      <w:r>
        <w:rPr>
          <w:spacing w:val="40"/>
        </w:rPr>
        <w:t> </w:t>
      </w:r>
      <w:r>
        <w:rPr/>
        <w:t>возникает</w:t>
      </w:r>
      <w:r>
        <w:rPr>
          <w:spacing w:val="40"/>
        </w:rPr>
        <w:t> </w:t>
      </w:r>
      <w:r>
        <w:rPr/>
        <w:t>через</w:t>
      </w:r>
      <w:r>
        <w:rPr>
          <w:spacing w:val="40"/>
        </w:rPr>
        <w:t> </w:t>
      </w:r>
      <w:r>
        <w:rPr/>
        <w:t>3-9</w:t>
      </w:r>
      <w:r>
        <w:rPr>
          <w:spacing w:val="40"/>
        </w:rPr>
        <w:t> </w:t>
      </w:r>
      <w:r>
        <w:rPr/>
        <w:t>дней</w:t>
      </w:r>
      <w:r>
        <w:rPr>
          <w:spacing w:val="40"/>
        </w:rPr>
        <w:t> </w:t>
      </w:r>
      <w:r>
        <w:rPr/>
        <w:t>после</w:t>
      </w:r>
      <w:r>
        <w:rPr>
          <w:spacing w:val="40"/>
        </w:rPr>
        <w:t> </w:t>
      </w:r>
      <w:r>
        <w:rPr/>
        <w:t>поступления</w:t>
      </w:r>
      <w:r>
        <w:rPr>
          <w:spacing w:val="40"/>
        </w:rPr>
        <w:t> </w:t>
      </w:r>
      <w:r>
        <w:rPr/>
        <w:t>больного в</w:t>
      </w:r>
      <w:r>
        <w:rPr>
          <w:spacing w:val="40"/>
        </w:rPr>
        <w:t> </w:t>
      </w:r>
      <w:r>
        <w:rPr/>
        <w:t>ОРИТ</w:t>
      </w:r>
      <w:r>
        <w:rPr>
          <w:spacing w:val="40"/>
        </w:rPr>
        <w:t> </w:t>
      </w:r>
      <w:r>
        <w:rPr/>
        <w:t>или</w:t>
      </w:r>
      <w:r>
        <w:rPr>
          <w:spacing w:val="40"/>
        </w:rPr>
        <w:t> </w:t>
      </w:r>
      <w:r>
        <w:rPr/>
        <w:t>3-6</w:t>
      </w:r>
      <w:r>
        <w:rPr>
          <w:spacing w:val="40"/>
        </w:rPr>
        <w:t> </w:t>
      </w:r>
      <w:r>
        <w:rPr/>
        <w:t>дней</w:t>
      </w:r>
      <w:r>
        <w:rPr>
          <w:spacing w:val="40"/>
        </w:rPr>
        <w:t> </w:t>
      </w:r>
      <w:r>
        <w:rPr/>
        <w:t>после</w:t>
      </w:r>
      <w:r>
        <w:rPr>
          <w:spacing w:val="40"/>
        </w:rPr>
        <w:t> </w:t>
      </w:r>
      <w:r>
        <w:rPr/>
        <w:t>начала</w:t>
      </w:r>
      <w:r>
        <w:rPr>
          <w:spacing w:val="40"/>
        </w:rPr>
        <w:t> </w:t>
      </w:r>
      <w:r>
        <w:rPr/>
        <w:t>ИВЛ.</w:t>
      </w:r>
      <w:r>
        <w:rPr>
          <w:spacing w:val="40"/>
        </w:rPr>
        <w:t> </w:t>
      </w:r>
      <w:r>
        <w:rPr/>
        <w:t>Факторы</w:t>
      </w:r>
      <w:r>
        <w:rPr>
          <w:spacing w:val="40"/>
        </w:rPr>
        <w:t> </w:t>
      </w:r>
      <w:r>
        <w:rPr/>
        <w:t>риска</w:t>
      </w:r>
      <w:r>
        <w:rPr>
          <w:spacing w:val="40"/>
        </w:rPr>
        <w:t> </w:t>
      </w:r>
      <w:r>
        <w:rPr/>
        <w:t>развития</w:t>
      </w:r>
      <w:r>
        <w:rPr>
          <w:spacing w:val="40"/>
        </w:rPr>
        <w:t> </w:t>
      </w:r>
      <w:r>
        <w:rPr/>
        <w:t>COVID-ИА: ИВЛ,</w:t>
      </w:r>
      <w:r>
        <w:rPr>
          <w:spacing w:val="-12"/>
        </w:rPr>
        <w:t> </w:t>
      </w:r>
      <w:r>
        <w:rPr/>
        <w:t>ОРДС,</w:t>
      </w:r>
      <w:r>
        <w:rPr>
          <w:spacing w:val="-13"/>
        </w:rPr>
        <w:t> </w:t>
      </w:r>
      <w:r>
        <w:rPr/>
        <w:t>применение</w:t>
      </w:r>
      <w:r>
        <w:rPr>
          <w:spacing w:val="-12"/>
        </w:rPr>
        <w:t> </w:t>
      </w:r>
      <w:r>
        <w:rPr/>
        <w:t>ГКС</w:t>
      </w:r>
      <w:r>
        <w:rPr>
          <w:spacing w:val="-11"/>
        </w:rPr>
        <w:t> </w:t>
      </w:r>
      <w:r>
        <w:rPr/>
        <w:t>в</w:t>
      </w:r>
      <w:r>
        <w:rPr>
          <w:spacing w:val="-14"/>
        </w:rPr>
        <w:t> </w:t>
      </w:r>
      <w:r>
        <w:rPr/>
        <w:t>дозе</w:t>
      </w:r>
      <w:r>
        <w:rPr>
          <w:spacing w:val="-12"/>
        </w:rPr>
        <w:t> </w:t>
      </w:r>
      <w:r>
        <w:rPr/>
        <w:t>по</w:t>
      </w:r>
      <w:r>
        <w:rPr>
          <w:spacing w:val="-13"/>
        </w:rPr>
        <w:t> </w:t>
      </w:r>
      <w:r>
        <w:rPr/>
        <w:t>преднизолону</w:t>
      </w:r>
      <w:r>
        <w:rPr>
          <w:spacing w:val="-12"/>
        </w:rPr>
        <w:t> </w:t>
      </w:r>
      <w:r>
        <w:rPr/>
        <w:t>более</w:t>
      </w:r>
      <w:r>
        <w:rPr>
          <w:spacing w:val="-12"/>
        </w:rPr>
        <w:t> </w:t>
      </w:r>
      <w:r>
        <w:rPr/>
        <w:t>60</w:t>
      </w:r>
      <w:r>
        <w:rPr>
          <w:spacing w:val="-12"/>
        </w:rPr>
        <w:t> </w:t>
      </w:r>
      <w:r>
        <w:rPr/>
        <w:t>мг/сут,</w:t>
      </w:r>
      <w:r>
        <w:rPr>
          <w:spacing w:val="-12"/>
        </w:rPr>
        <w:t> </w:t>
      </w:r>
      <w:r>
        <w:rPr/>
        <w:t>использование иммуносупрессоров,</w:t>
      </w:r>
      <w:r>
        <w:rPr>
          <w:spacing w:val="40"/>
        </w:rPr>
        <w:t> </w:t>
      </w:r>
      <w:r>
        <w:rPr/>
        <w:t>лимфоцитопения</w:t>
      </w:r>
      <w:r>
        <w:rPr>
          <w:spacing w:val="40"/>
        </w:rPr>
        <w:t> </w:t>
      </w:r>
      <w:r>
        <w:rPr/>
        <w:t>≤1,0х109/л,</w:t>
      </w:r>
      <w:r>
        <w:rPr>
          <w:spacing w:val="40"/>
        </w:rPr>
        <w:t> </w:t>
      </w:r>
      <w:r>
        <w:rPr/>
        <w:t>нейтропения</w:t>
      </w:r>
      <w:r>
        <w:rPr>
          <w:spacing w:val="40"/>
        </w:rPr>
        <w:t> </w:t>
      </w:r>
      <w:r>
        <w:rPr/>
        <w:t>≤0,5х109/л</w:t>
      </w:r>
      <w:r>
        <w:rPr>
          <w:spacing w:val="40"/>
        </w:rPr>
        <w:t> </w:t>
      </w:r>
      <w:r>
        <w:rPr/>
        <w:t>более 10 суток, декомпенсированный сахарный диабет, ХОБЛ, злокачественные опухоли вне ремиссии. COVID-ИА чаще развивается у мужчин старшего возраста. Основной клинический вариант COVID-ИА – пневмония, реже – язвенный трахеобронхит, возможна</w:t>
      </w:r>
      <w:r>
        <w:rPr>
          <w:spacing w:val="-15"/>
        </w:rPr>
        <w:t> </w:t>
      </w:r>
      <w:r>
        <w:rPr/>
        <w:t>гематогенная</w:t>
      </w:r>
      <w:r>
        <w:rPr>
          <w:spacing w:val="-15"/>
        </w:rPr>
        <w:t> </w:t>
      </w:r>
      <w:r>
        <w:rPr/>
        <w:t>диссеминация</w:t>
      </w:r>
      <w:r>
        <w:rPr>
          <w:spacing w:val="-15"/>
        </w:rPr>
        <w:t> </w:t>
      </w:r>
      <w:r>
        <w:rPr/>
        <w:t>с</w:t>
      </w:r>
      <w:r>
        <w:rPr>
          <w:spacing w:val="-15"/>
        </w:rPr>
        <w:t> </w:t>
      </w:r>
      <w:r>
        <w:rPr/>
        <w:t>поражением</w:t>
      </w:r>
      <w:r>
        <w:rPr>
          <w:spacing w:val="-15"/>
        </w:rPr>
        <w:t> </w:t>
      </w:r>
      <w:r>
        <w:rPr/>
        <w:t>ЦНС</w:t>
      </w:r>
      <w:r>
        <w:rPr>
          <w:spacing w:val="-15"/>
        </w:rPr>
        <w:t> </w:t>
      </w:r>
      <w:r>
        <w:rPr/>
        <w:t>и</w:t>
      </w:r>
      <w:r>
        <w:rPr>
          <w:spacing w:val="-15"/>
        </w:rPr>
        <w:t> </w:t>
      </w:r>
      <w:r>
        <w:rPr/>
        <w:t>др.</w:t>
      </w:r>
      <w:r>
        <w:rPr>
          <w:spacing w:val="-15"/>
        </w:rPr>
        <w:t> </w:t>
      </w:r>
      <w:r>
        <w:rPr/>
        <w:t>органов.</w:t>
      </w:r>
      <w:r>
        <w:rPr>
          <w:spacing w:val="-15"/>
        </w:rPr>
        <w:t> </w:t>
      </w:r>
      <w:r>
        <w:rPr/>
        <w:t>Клинические признаки COVID-ИА неспецифичны.</w:t>
      </w:r>
    </w:p>
    <w:p>
      <w:pPr>
        <w:pStyle w:val="BodyText"/>
        <w:spacing w:line="276" w:lineRule="auto"/>
        <w:ind w:right="1277" w:firstLine="707"/>
      </w:pPr>
      <w:r>
        <w:rPr/>
        <w:t>COVID-ИА</w:t>
      </w:r>
      <w:r>
        <w:rPr>
          <w:spacing w:val="40"/>
        </w:rPr>
        <w:t> </w:t>
      </w:r>
      <w:r>
        <w:rPr/>
        <w:t>следует</w:t>
      </w:r>
      <w:r>
        <w:rPr>
          <w:spacing w:val="40"/>
        </w:rPr>
        <w:t> </w:t>
      </w:r>
      <w:r>
        <w:rPr/>
        <w:t>исключить</w:t>
      </w:r>
      <w:r>
        <w:rPr>
          <w:spacing w:val="40"/>
        </w:rPr>
        <w:t> </w:t>
      </w:r>
      <w:r>
        <w:rPr/>
        <w:t>у</w:t>
      </w:r>
      <w:r>
        <w:rPr>
          <w:spacing w:val="40"/>
        </w:rPr>
        <w:t> </w:t>
      </w:r>
      <w:r>
        <w:rPr/>
        <w:t>больных</w:t>
      </w:r>
      <w:r>
        <w:rPr>
          <w:spacing w:val="40"/>
        </w:rPr>
        <w:t> </w:t>
      </w:r>
      <w:r>
        <w:rPr/>
        <w:t>тяжелым</w:t>
      </w:r>
      <w:r>
        <w:rPr>
          <w:spacing w:val="40"/>
        </w:rPr>
        <w:t> </w:t>
      </w:r>
      <w:r>
        <w:rPr/>
        <w:t>течением</w:t>
      </w:r>
      <w:r>
        <w:rPr>
          <w:spacing w:val="40"/>
        </w:rPr>
        <w:t> </w:t>
      </w:r>
      <w:r>
        <w:rPr/>
        <w:t>заболевания</w:t>
      </w:r>
      <w:r>
        <w:rPr>
          <w:spacing w:val="40"/>
        </w:rPr>
        <w:t> </w:t>
      </w:r>
      <w:r>
        <w:rPr/>
        <w:t>с факторами риска, при рефрактерной к адекватной антибактериальной терапии лихорадке</w:t>
      </w:r>
      <w:r>
        <w:rPr>
          <w:spacing w:val="-12"/>
        </w:rPr>
        <w:t> </w:t>
      </w:r>
      <w:r>
        <w:rPr/>
        <w:t>≥3</w:t>
      </w:r>
      <w:r>
        <w:rPr>
          <w:spacing w:val="-11"/>
        </w:rPr>
        <w:t> </w:t>
      </w:r>
      <w:r>
        <w:rPr/>
        <w:t>дней</w:t>
      </w:r>
      <w:r>
        <w:rPr>
          <w:spacing w:val="-10"/>
        </w:rPr>
        <w:t> </w:t>
      </w:r>
      <w:r>
        <w:rPr/>
        <w:t>или</w:t>
      </w:r>
      <w:r>
        <w:rPr>
          <w:spacing w:val="-12"/>
        </w:rPr>
        <w:t> </w:t>
      </w:r>
      <w:r>
        <w:rPr/>
        <w:t>нового</w:t>
      </w:r>
      <w:r>
        <w:rPr>
          <w:spacing w:val="-11"/>
        </w:rPr>
        <w:t> </w:t>
      </w:r>
      <w:r>
        <w:rPr/>
        <w:t>эпизода</w:t>
      </w:r>
      <w:r>
        <w:rPr>
          <w:spacing w:val="-12"/>
        </w:rPr>
        <w:t> </w:t>
      </w:r>
      <w:r>
        <w:rPr/>
        <w:t>лихорадки</w:t>
      </w:r>
      <w:r>
        <w:rPr>
          <w:spacing w:val="-12"/>
        </w:rPr>
        <w:t> </w:t>
      </w:r>
      <w:r>
        <w:rPr/>
        <w:t>после</w:t>
      </w:r>
      <w:r>
        <w:rPr>
          <w:spacing w:val="-11"/>
        </w:rPr>
        <w:t> </w:t>
      </w:r>
      <w:r>
        <w:rPr/>
        <w:t>нормализации</w:t>
      </w:r>
      <w:r>
        <w:rPr>
          <w:spacing w:val="-12"/>
        </w:rPr>
        <w:t> </w:t>
      </w:r>
      <w:r>
        <w:rPr/>
        <w:t>t</w:t>
      </w:r>
      <w:r>
        <w:rPr>
          <w:spacing w:val="-10"/>
        </w:rPr>
        <w:t> </w:t>
      </w:r>
      <w:r>
        <w:rPr/>
        <w:t>тела</w:t>
      </w:r>
      <w:r>
        <w:rPr>
          <w:spacing w:val="-12"/>
        </w:rPr>
        <w:t> </w:t>
      </w:r>
      <w:r>
        <w:rPr/>
        <w:t>≥2</w:t>
      </w:r>
      <w:r>
        <w:rPr>
          <w:spacing w:val="-11"/>
        </w:rPr>
        <w:t> </w:t>
      </w:r>
      <w:r>
        <w:rPr>
          <w:spacing w:val="-2"/>
        </w:rPr>
        <w:t>дней,</w:t>
      </w:r>
    </w:p>
    <w:p>
      <w:pPr>
        <w:pStyle w:val="BodyText"/>
        <w:spacing w:after="0" w:line="276" w:lineRule="auto"/>
        <w:sectPr>
          <w:pgSz w:w="11900" w:h="16840"/>
          <w:pgMar w:header="0" w:footer="697" w:top="1080" w:bottom="880" w:left="0" w:right="0"/>
        </w:sectPr>
      </w:pPr>
    </w:p>
    <w:p>
      <w:pPr>
        <w:pStyle w:val="BodyText"/>
        <w:spacing w:line="276" w:lineRule="auto" w:before="73"/>
        <w:ind w:right="1274"/>
      </w:pPr>
      <w:bookmarkStart w:name="25" w:id="33"/>
      <w:bookmarkEnd w:id="33"/>
      <w:r>
        <w:rPr/>
      </w:r>
      <w:r>
        <w:rPr/>
        <w:t>нарастании</w:t>
      </w:r>
      <w:r>
        <w:rPr>
          <w:spacing w:val="28"/>
        </w:rPr>
        <w:t> </w:t>
      </w:r>
      <w:r>
        <w:rPr/>
        <w:t>дыхательной</w:t>
      </w:r>
      <w:r>
        <w:rPr>
          <w:spacing w:val="28"/>
        </w:rPr>
        <w:t> </w:t>
      </w:r>
      <w:r>
        <w:rPr/>
        <w:t>недостаточности,</w:t>
      </w:r>
      <w:r>
        <w:rPr>
          <w:spacing w:val="27"/>
        </w:rPr>
        <w:t> </w:t>
      </w:r>
      <w:r>
        <w:rPr/>
        <w:t>а также появлении</w:t>
      </w:r>
      <w:r>
        <w:rPr>
          <w:spacing w:val="28"/>
        </w:rPr>
        <w:t> </w:t>
      </w:r>
      <w:r>
        <w:rPr/>
        <w:t>кровохарканья,</w:t>
      </w:r>
      <w:r>
        <w:rPr>
          <w:spacing w:val="27"/>
        </w:rPr>
        <w:t> </w:t>
      </w:r>
      <w:r>
        <w:rPr/>
        <w:t>боли в груди или шума трения плевры. При COVID-ИА на КТ или РГ легких выявляют двусторонние</w:t>
      </w:r>
      <w:r>
        <w:rPr>
          <w:spacing w:val="-4"/>
        </w:rPr>
        <w:t> </w:t>
      </w:r>
      <w:r>
        <w:rPr/>
        <w:t>или</w:t>
      </w:r>
      <w:r>
        <w:rPr>
          <w:spacing w:val="-2"/>
        </w:rPr>
        <w:t> </w:t>
      </w:r>
      <w:r>
        <w:rPr/>
        <w:t>односторонние</w:t>
      </w:r>
      <w:r>
        <w:rPr>
          <w:spacing w:val="-2"/>
        </w:rPr>
        <w:t> </w:t>
      </w:r>
      <w:r>
        <w:rPr/>
        <w:t>очаги</w:t>
      </w:r>
      <w:r>
        <w:rPr>
          <w:spacing w:val="-2"/>
        </w:rPr>
        <w:t> </w:t>
      </w:r>
      <w:r>
        <w:rPr/>
        <w:t>консолидации</w:t>
      </w:r>
      <w:r>
        <w:rPr>
          <w:spacing w:val="-2"/>
        </w:rPr>
        <w:t> </w:t>
      </w:r>
      <w:r>
        <w:rPr/>
        <w:t>или</w:t>
      </w:r>
      <w:r>
        <w:rPr>
          <w:spacing w:val="-2"/>
        </w:rPr>
        <w:t> </w:t>
      </w:r>
      <w:r>
        <w:rPr/>
        <w:t>деструкции.</w:t>
      </w:r>
      <w:r>
        <w:rPr>
          <w:spacing w:val="-1"/>
        </w:rPr>
        <w:t> </w:t>
      </w:r>
      <w:r>
        <w:rPr/>
        <w:t>При</w:t>
      </w:r>
      <w:r>
        <w:rPr>
          <w:spacing w:val="-3"/>
        </w:rPr>
        <w:t> </w:t>
      </w:r>
      <w:r>
        <w:rPr/>
        <w:t>наличии указанных клинических и радиологических признаков COVID-ИА показана бронхоскопия с</w:t>
      </w:r>
      <w:r>
        <w:rPr>
          <w:spacing w:val="-1"/>
        </w:rPr>
        <w:t> </w:t>
      </w:r>
      <w:r>
        <w:rPr/>
        <w:t>получением</w:t>
      </w:r>
      <w:r>
        <w:rPr>
          <w:spacing w:val="-1"/>
        </w:rPr>
        <w:t> </w:t>
      </w:r>
      <w:r>
        <w:rPr/>
        <w:t>БАЛ из пораженного сегмента, при интубации пациента возможно повторное получение трахеального аспирата (ТА) или небронхоскопического лаважа (НБЛ).</w:t>
      </w:r>
    </w:p>
    <w:p>
      <w:pPr>
        <w:pStyle w:val="BodyText"/>
        <w:spacing w:line="276" w:lineRule="auto"/>
        <w:ind w:right="1273" w:firstLine="707"/>
      </w:pPr>
      <w:r>
        <w:rPr/>
        <w:t>Микробиологическое исследование БАЛ, НБЛ или ТА должно включать тест на галактоманнан (ГМ), микроскопию с окраской калькофлюором белым и посев на среду Сабуро и/или хромогенный агар. У больных без нейтропении, включая пациентов с COVID-ИА, тест на ГМ в сыворотке крови отличается высокой специфичностью,</w:t>
      </w:r>
      <w:r>
        <w:rPr>
          <w:spacing w:val="-3"/>
        </w:rPr>
        <w:t> </w:t>
      </w:r>
      <w:r>
        <w:rPr/>
        <w:t>но</w:t>
      </w:r>
      <w:r>
        <w:rPr>
          <w:spacing w:val="-5"/>
        </w:rPr>
        <w:t> </w:t>
      </w:r>
      <w:r>
        <w:rPr/>
        <w:t>низкой</w:t>
      </w:r>
      <w:r>
        <w:rPr>
          <w:spacing w:val="-2"/>
        </w:rPr>
        <w:t> </w:t>
      </w:r>
      <w:r>
        <w:rPr/>
        <w:t>чувствительностью.</w:t>
      </w:r>
      <w:r>
        <w:rPr>
          <w:spacing w:val="-3"/>
        </w:rPr>
        <w:t> </w:t>
      </w:r>
      <w:r>
        <w:rPr/>
        <w:t>Диагноз</w:t>
      </w:r>
      <w:r>
        <w:rPr>
          <w:spacing w:val="-2"/>
        </w:rPr>
        <w:t> </w:t>
      </w:r>
      <w:r>
        <w:rPr/>
        <w:t>COVID-ИА</w:t>
      </w:r>
      <w:r>
        <w:rPr>
          <w:spacing w:val="-1"/>
        </w:rPr>
        <w:t> </w:t>
      </w:r>
      <w:r>
        <w:rPr/>
        <w:t>устанавливают при</w:t>
      </w:r>
      <w:r>
        <w:rPr>
          <w:spacing w:val="-13"/>
        </w:rPr>
        <w:t> </w:t>
      </w:r>
      <w:r>
        <w:rPr/>
        <w:t>наличии</w:t>
      </w:r>
      <w:r>
        <w:rPr>
          <w:spacing w:val="-14"/>
        </w:rPr>
        <w:t> </w:t>
      </w:r>
      <w:r>
        <w:rPr/>
        <w:t>клинических</w:t>
      </w:r>
      <w:r>
        <w:rPr>
          <w:spacing w:val="-13"/>
        </w:rPr>
        <w:t> </w:t>
      </w:r>
      <w:r>
        <w:rPr/>
        <w:t>и</w:t>
      </w:r>
      <w:r>
        <w:rPr>
          <w:spacing w:val="-13"/>
        </w:rPr>
        <w:t> </w:t>
      </w:r>
      <w:r>
        <w:rPr/>
        <w:t>радиологических</w:t>
      </w:r>
      <w:r>
        <w:rPr>
          <w:spacing w:val="-13"/>
        </w:rPr>
        <w:t> </w:t>
      </w:r>
      <w:r>
        <w:rPr/>
        <w:t>признаков,</w:t>
      </w:r>
      <w:r>
        <w:rPr>
          <w:spacing w:val="-15"/>
        </w:rPr>
        <w:t> </w:t>
      </w:r>
      <w:r>
        <w:rPr/>
        <w:t>положительных</w:t>
      </w:r>
      <w:r>
        <w:rPr>
          <w:spacing w:val="-13"/>
        </w:rPr>
        <w:t> </w:t>
      </w:r>
      <w:r>
        <w:rPr/>
        <w:t>результатов теста на ГМ (сыворотка крови – индекс оптической плотности (ИОП) &gt; 0,5, БАЛ – ИОП</w:t>
      </w:r>
      <w:r>
        <w:rPr>
          <w:spacing w:val="29"/>
        </w:rPr>
        <w:t> </w:t>
      </w:r>
      <w:r>
        <w:rPr/>
        <w:t>&gt;</w:t>
      </w:r>
      <w:r>
        <w:rPr>
          <w:spacing w:val="31"/>
        </w:rPr>
        <w:t> </w:t>
      </w:r>
      <w:r>
        <w:rPr/>
        <w:t>1,0,</w:t>
      </w:r>
      <w:r>
        <w:rPr>
          <w:spacing w:val="30"/>
        </w:rPr>
        <w:t> </w:t>
      </w:r>
      <w:r>
        <w:rPr/>
        <w:t>НБЛ</w:t>
      </w:r>
      <w:r>
        <w:rPr>
          <w:spacing w:val="30"/>
        </w:rPr>
        <w:t> </w:t>
      </w:r>
      <w:r>
        <w:rPr/>
        <w:t>или</w:t>
      </w:r>
      <w:r>
        <w:rPr>
          <w:spacing w:val="33"/>
        </w:rPr>
        <w:t> </w:t>
      </w:r>
      <w:r>
        <w:rPr/>
        <w:t>ТА</w:t>
      </w:r>
      <w:r>
        <w:rPr>
          <w:spacing w:val="32"/>
        </w:rPr>
        <w:t> </w:t>
      </w:r>
      <w:r>
        <w:rPr/>
        <w:t>–</w:t>
      </w:r>
      <w:r>
        <w:rPr>
          <w:spacing w:val="30"/>
        </w:rPr>
        <w:t> </w:t>
      </w:r>
      <w:r>
        <w:rPr/>
        <w:t>ИОП</w:t>
      </w:r>
      <w:r>
        <w:rPr>
          <w:spacing w:val="31"/>
        </w:rPr>
        <w:t> </w:t>
      </w:r>
      <w:r>
        <w:rPr/>
        <w:t>&gt;</w:t>
      </w:r>
      <w:r>
        <w:rPr>
          <w:spacing w:val="29"/>
        </w:rPr>
        <w:t> </w:t>
      </w:r>
      <w:r>
        <w:rPr/>
        <w:t>1,0</w:t>
      </w:r>
      <w:r>
        <w:rPr>
          <w:spacing w:val="32"/>
        </w:rPr>
        <w:t> </w:t>
      </w:r>
      <w:r>
        <w:rPr/>
        <w:t>при</w:t>
      </w:r>
      <w:r>
        <w:rPr>
          <w:spacing w:val="31"/>
        </w:rPr>
        <w:t> </w:t>
      </w:r>
      <w:r>
        <w:rPr/>
        <w:t>повторном</w:t>
      </w:r>
      <w:r>
        <w:rPr>
          <w:spacing w:val="29"/>
        </w:rPr>
        <w:t> </w:t>
      </w:r>
      <w:r>
        <w:rPr/>
        <w:t>определении),</w:t>
      </w:r>
      <w:r>
        <w:rPr>
          <w:spacing w:val="29"/>
        </w:rPr>
        <w:t> </w:t>
      </w:r>
      <w:r>
        <w:rPr/>
        <w:t>микроскопии и посева БАЛ, НБЛ или ТА.</w:t>
      </w:r>
    </w:p>
    <w:p>
      <w:pPr>
        <w:pStyle w:val="BodyText"/>
        <w:spacing w:line="276" w:lineRule="auto"/>
        <w:ind w:right="1270" w:firstLine="707"/>
      </w:pPr>
      <w:r>
        <w:rPr/>
        <w:t>Частота COVID-ИК у больных в ОРИТ – 0,7-5%. При COVID-ИК летальность составляет 50%, без лечения умирают все пациенты. Возникновение COVID-ИК приводит</w:t>
      </w:r>
      <w:r>
        <w:rPr>
          <w:spacing w:val="-6"/>
        </w:rPr>
        <w:t> </w:t>
      </w:r>
      <w:r>
        <w:rPr/>
        <w:t>к</w:t>
      </w:r>
      <w:r>
        <w:rPr>
          <w:spacing w:val="-6"/>
        </w:rPr>
        <w:t> </w:t>
      </w:r>
      <w:r>
        <w:rPr/>
        <w:t>увеличению</w:t>
      </w:r>
      <w:r>
        <w:rPr>
          <w:spacing w:val="-8"/>
        </w:rPr>
        <w:t> </w:t>
      </w:r>
      <w:r>
        <w:rPr/>
        <w:t>продолжительности</w:t>
      </w:r>
      <w:r>
        <w:rPr>
          <w:spacing w:val="-5"/>
        </w:rPr>
        <w:t> </w:t>
      </w:r>
      <w:r>
        <w:rPr/>
        <w:t>лечения</w:t>
      </w:r>
      <w:r>
        <w:rPr>
          <w:spacing w:val="-7"/>
        </w:rPr>
        <w:t> </w:t>
      </w:r>
      <w:r>
        <w:rPr/>
        <w:t>в</w:t>
      </w:r>
      <w:r>
        <w:rPr>
          <w:spacing w:val="-7"/>
        </w:rPr>
        <w:t> </w:t>
      </w:r>
      <w:r>
        <w:rPr/>
        <w:t>ОРИТ</w:t>
      </w:r>
      <w:r>
        <w:rPr>
          <w:spacing w:val="-7"/>
        </w:rPr>
        <w:t> </w:t>
      </w:r>
      <w:r>
        <w:rPr/>
        <w:t>на</w:t>
      </w:r>
      <w:r>
        <w:rPr>
          <w:spacing w:val="-7"/>
        </w:rPr>
        <w:t> </w:t>
      </w:r>
      <w:r>
        <w:rPr/>
        <w:t>5-14</w:t>
      </w:r>
      <w:r>
        <w:rPr>
          <w:spacing w:val="-5"/>
        </w:rPr>
        <w:t> </w:t>
      </w:r>
      <w:r>
        <w:rPr/>
        <w:t>дней.</w:t>
      </w:r>
      <w:r>
        <w:rPr>
          <w:spacing w:val="-7"/>
        </w:rPr>
        <w:t> </w:t>
      </w:r>
      <w:r>
        <w:rPr/>
        <w:t>Основные возбудители COVID-ИК (</w:t>
      </w:r>
      <w:r>
        <w:rPr>
          <w:i/>
        </w:rPr>
        <w:t>Candida albicans, C. parapsilosis, C. auris, C. glabrata и C. krusei</w:t>
      </w:r>
      <w:r>
        <w:rPr/>
        <w:t>)</w:t>
      </w:r>
      <w:r>
        <w:rPr>
          <w:spacing w:val="40"/>
        </w:rPr>
        <w:t> </w:t>
      </w:r>
      <w:r>
        <w:rPr/>
        <w:t>чувствительны</w:t>
      </w:r>
      <w:r>
        <w:rPr>
          <w:spacing w:val="40"/>
        </w:rPr>
        <w:t> </w:t>
      </w:r>
      <w:r>
        <w:rPr/>
        <w:t>in</w:t>
      </w:r>
      <w:r>
        <w:rPr>
          <w:spacing w:val="40"/>
        </w:rPr>
        <w:t> </w:t>
      </w:r>
      <w:r>
        <w:rPr/>
        <w:t>vitro</w:t>
      </w:r>
      <w:r>
        <w:rPr>
          <w:spacing w:val="40"/>
        </w:rPr>
        <w:t> </w:t>
      </w:r>
      <w:r>
        <w:rPr/>
        <w:t>к</w:t>
      </w:r>
      <w:r>
        <w:rPr>
          <w:spacing w:val="40"/>
        </w:rPr>
        <w:t> </w:t>
      </w:r>
      <w:r>
        <w:rPr/>
        <w:t>эхинокандинам</w:t>
      </w:r>
      <w:r>
        <w:rPr>
          <w:spacing w:val="40"/>
        </w:rPr>
        <w:t> </w:t>
      </w:r>
      <w:r>
        <w:rPr/>
        <w:t>(анидулафунгину,</w:t>
      </w:r>
      <w:r>
        <w:rPr>
          <w:spacing w:val="40"/>
        </w:rPr>
        <w:t> </w:t>
      </w:r>
      <w:r>
        <w:rPr/>
        <w:t>каспофунгину</w:t>
      </w:r>
      <w:r>
        <w:rPr>
          <w:spacing w:val="80"/>
          <w:w w:val="150"/>
        </w:rPr>
        <w:t> </w:t>
      </w:r>
      <w:r>
        <w:rPr/>
        <w:t>и микафунгину). </w:t>
      </w:r>
      <w:r>
        <w:rPr>
          <w:i/>
        </w:rPr>
        <w:t>C. albicans </w:t>
      </w:r>
      <w:r>
        <w:rPr/>
        <w:t>обычно чувствительна к флуконазолу, а </w:t>
      </w:r>
      <w:r>
        <w:rPr>
          <w:i/>
        </w:rPr>
        <w:t>Candida </w:t>
      </w:r>
      <w:r>
        <w:rPr/>
        <w:t>non</w:t>
      </w:r>
      <w:r>
        <w:rPr>
          <w:i/>
        </w:rPr>
        <w:t>- albicans </w:t>
      </w:r>
      <w:r>
        <w:rPr/>
        <w:t>часто устойчивы. C. auris (</w:t>
      </w:r>
      <w:r>
        <w:rPr>
          <w:i/>
        </w:rPr>
        <w:t>Candidozima auris</w:t>
      </w:r>
      <w:r>
        <w:rPr/>
        <w:t>) – внутрибольничный патоген, отличающийся</w:t>
      </w:r>
      <w:r>
        <w:rPr>
          <w:spacing w:val="80"/>
          <w:w w:val="150"/>
        </w:rPr>
        <w:t>  </w:t>
      </w:r>
      <w:r>
        <w:rPr/>
        <w:t>множественной</w:t>
      </w:r>
      <w:r>
        <w:rPr>
          <w:spacing w:val="80"/>
          <w:w w:val="150"/>
        </w:rPr>
        <w:t>  </w:t>
      </w:r>
      <w:r>
        <w:rPr/>
        <w:t>лекарственной</w:t>
      </w:r>
      <w:r>
        <w:rPr>
          <w:spacing w:val="80"/>
          <w:w w:val="150"/>
        </w:rPr>
        <w:t>  </w:t>
      </w:r>
      <w:r>
        <w:rPr/>
        <w:t>устойчивостью</w:t>
      </w:r>
      <w:r>
        <w:rPr>
          <w:spacing w:val="80"/>
          <w:w w:val="150"/>
        </w:rPr>
        <w:t>  </w:t>
      </w:r>
      <w:r>
        <w:rPr/>
        <w:t>(устойчива к флуконазолу и может быть устойчива к вориконазолу, АмВ и эхинокандинам), способностью вызывать групповые заболевания и распространяться внутри медицинской организации.</w:t>
      </w:r>
    </w:p>
    <w:p>
      <w:pPr>
        <w:pStyle w:val="BodyText"/>
        <w:spacing w:line="276" w:lineRule="auto"/>
        <w:ind w:right="1271" w:firstLine="707"/>
      </w:pPr>
      <w:r>
        <w:rPr/>
        <w:t>Факторы риска развития COVID-ИК у больных в ОРИТ: длительное использование центрального венозного катетера (ЦВК) и антибактериальных ЛС, тяжелое состояние больного, ИВЛ, применение ГКС и иммуносупрессоров, полное парентеральное питание, хирургическое лечение в предшествующие 2 недели, гемодиализ. COVID-ИК чаще развивается у мужчин старшего возраста. Основные клинические</w:t>
      </w:r>
      <w:r>
        <w:rPr>
          <w:spacing w:val="40"/>
        </w:rPr>
        <w:t>  </w:t>
      </w:r>
      <w:r>
        <w:rPr/>
        <w:t>варианты</w:t>
      </w:r>
      <w:r>
        <w:rPr>
          <w:spacing w:val="40"/>
        </w:rPr>
        <w:t>  </w:t>
      </w:r>
      <w:r>
        <w:rPr/>
        <w:t>COVID-ИК</w:t>
      </w:r>
      <w:r>
        <w:rPr>
          <w:spacing w:val="40"/>
        </w:rPr>
        <w:t>  </w:t>
      </w:r>
      <w:r>
        <w:rPr/>
        <w:t>–</w:t>
      </w:r>
      <w:r>
        <w:rPr>
          <w:spacing w:val="40"/>
        </w:rPr>
        <w:t>  </w:t>
      </w:r>
      <w:r>
        <w:rPr/>
        <w:t>кандидемия</w:t>
      </w:r>
      <w:r>
        <w:rPr>
          <w:spacing w:val="40"/>
        </w:rPr>
        <w:t>  </w:t>
      </w:r>
      <w:r>
        <w:rPr/>
        <w:t>(циркуляция</w:t>
      </w:r>
      <w:r>
        <w:rPr>
          <w:spacing w:val="40"/>
        </w:rPr>
        <w:t>  </w:t>
      </w:r>
      <w:r>
        <w:rPr>
          <w:i/>
        </w:rPr>
        <w:t>Candida</w:t>
      </w:r>
      <w:r>
        <w:rPr>
          <w:i/>
          <w:spacing w:val="40"/>
        </w:rPr>
        <w:t>  </w:t>
      </w:r>
      <w:r>
        <w:rPr/>
        <w:t>spp. в</w:t>
      </w:r>
      <w:r>
        <w:rPr>
          <w:spacing w:val="28"/>
        </w:rPr>
        <w:t> </w:t>
      </w:r>
      <w:r>
        <w:rPr/>
        <w:t>кровеносном</w:t>
      </w:r>
      <w:r>
        <w:rPr>
          <w:spacing w:val="28"/>
        </w:rPr>
        <w:t> </w:t>
      </w:r>
      <w:r>
        <w:rPr/>
        <w:t>русле)</w:t>
      </w:r>
      <w:r>
        <w:rPr>
          <w:spacing w:val="29"/>
        </w:rPr>
        <w:t> </w:t>
      </w:r>
      <w:r>
        <w:rPr/>
        <w:t>и</w:t>
      </w:r>
      <w:r>
        <w:rPr>
          <w:spacing w:val="29"/>
        </w:rPr>
        <w:t> </w:t>
      </w:r>
      <w:r>
        <w:rPr/>
        <w:t>острый</w:t>
      </w:r>
      <w:r>
        <w:rPr>
          <w:spacing w:val="29"/>
        </w:rPr>
        <w:t> </w:t>
      </w:r>
      <w:r>
        <w:rPr/>
        <w:t>диссеминированный</w:t>
      </w:r>
      <w:r>
        <w:rPr>
          <w:spacing w:val="28"/>
        </w:rPr>
        <w:t> </w:t>
      </w:r>
      <w:r>
        <w:rPr/>
        <w:t>кандидоз</w:t>
      </w:r>
      <w:r>
        <w:rPr>
          <w:spacing w:val="29"/>
        </w:rPr>
        <w:t> </w:t>
      </w:r>
      <w:r>
        <w:rPr/>
        <w:t>(ОДК</w:t>
      </w:r>
      <w:r>
        <w:rPr>
          <w:spacing w:val="35"/>
        </w:rPr>
        <w:t> </w:t>
      </w:r>
      <w:r>
        <w:rPr/>
        <w:t>–</w:t>
      </w:r>
      <w:r>
        <w:rPr>
          <w:spacing w:val="28"/>
        </w:rPr>
        <w:t> </w:t>
      </w:r>
      <w:r>
        <w:rPr/>
        <w:t>кандидемия в сочетании с очагом/очагами диссеминации или множественные очаги диссеминации). Клинические признаки COVID-ИК неспецифичны и не отличаются от симптомов бактериального сепсиса: рефрактерное к применению антибактериальных</w:t>
      </w:r>
      <w:r>
        <w:rPr>
          <w:spacing w:val="-12"/>
        </w:rPr>
        <w:t> </w:t>
      </w:r>
      <w:r>
        <w:rPr/>
        <w:t>ЛС</w:t>
      </w:r>
      <w:r>
        <w:rPr>
          <w:spacing w:val="-11"/>
        </w:rPr>
        <w:t> </w:t>
      </w:r>
      <w:r>
        <w:rPr/>
        <w:t>повышение</w:t>
      </w:r>
      <w:r>
        <w:rPr>
          <w:spacing w:val="-13"/>
        </w:rPr>
        <w:t> </w:t>
      </w:r>
      <w:r>
        <w:rPr/>
        <w:t>температуры</w:t>
      </w:r>
      <w:r>
        <w:rPr>
          <w:spacing w:val="-12"/>
        </w:rPr>
        <w:t> </w:t>
      </w:r>
      <w:r>
        <w:rPr/>
        <w:t>тела</w:t>
      </w:r>
      <w:r>
        <w:rPr>
          <w:spacing w:val="-8"/>
        </w:rPr>
        <w:t> </w:t>
      </w:r>
      <w:r>
        <w:rPr/>
        <w:t>&gt;</w:t>
      </w:r>
      <w:r>
        <w:rPr>
          <w:spacing w:val="-13"/>
        </w:rPr>
        <w:t> </w:t>
      </w:r>
      <w:r>
        <w:rPr/>
        <w:t>38</w:t>
      </w:r>
      <w:r>
        <w:rPr>
          <w:spacing w:val="-8"/>
        </w:rPr>
        <w:t> </w:t>
      </w:r>
      <w:r>
        <w:rPr/>
        <w:t>°C,</w:t>
      </w:r>
      <w:r>
        <w:rPr>
          <w:spacing w:val="-12"/>
        </w:rPr>
        <w:t> </w:t>
      </w:r>
      <w:r>
        <w:rPr/>
        <w:t>синдром</w:t>
      </w:r>
      <w:r>
        <w:rPr>
          <w:spacing w:val="-10"/>
        </w:rPr>
        <w:t> </w:t>
      </w:r>
      <w:r>
        <w:rPr/>
        <w:t>полиорганной недостаточности, ДВС и септический шок. При COVID-ИК возможно поражение практически всех органов и тканей, но наиболее часто в патологический процесс вовлекаются кожа и подкожная клетчатка, ЦНС, почки, сердце, легкие и органы </w:t>
      </w:r>
      <w:r>
        <w:rPr>
          <w:spacing w:val="-2"/>
        </w:rPr>
        <w:t>зрения.</w:t>
      </w:r>
    </w:p>
    <w:p>
      <w:pPr>
        <w:pStyle w:val="BodyText"/>
        <w:spacing w:line="276" w:lineRule="auto"/>
        <w:ind w:right="1273" w:firstLine="707"/>
      </w:pPr>
      <w:r>
        <w:rPr/>
        <w:t>Диагностика</w:t>
      </w:r>
      <w:r>
        <w:rPr>
          <w:spacing w:val="80"/>
        </w:rPr>
        <w:t> </w:t>
      </w:r>
      <w:r>
        <w:rPr/>
        <w:t>COVID-ИК</w:t>
      </w:r>
      <w:r>
        <w:rPr>
          <w:spacing w:val="80"/>
        </w:rPr>
        <w:t> </w:t>
      </w:r>
      <w:r>
        <w:rPr/>
        <w:t>основана</w:t>
      </w:r>
      <w:r>
        <w:rPr>
          <w:spacing w:val="80"/>
        </w:rPr>
        <w:t> </w:t>
      </w:r>
      <w:r>
        <w:rPr/>
        <w:t>на</w:t>
      </w:r>
      <w:r>
        <w:rPr>
          <w:spacing w:val="80"/>
        </w:rPr>
        <w:t> </w:t>
      </w:r>
      <w:r>
        <w:rPr/>
        <w:t>выделении</w:t>
      </w:r>
      <w:r>
        <w:rPr>
          <w:spacing w:val="80"/>
        </w:rPr>
        <w:t> </w:t>
      </w:r>
      <w:r>
        <w:rPr>
          <w:i/>
        </w:rPr>
        <w:t>Candida</w:t>
      </w:r>
      <w:r>
        <w:rPr>
          <w:i/>
          <w:spacing w:val="80"/>
        </w:rPr>
        <w:t> </w:t>
      </w:r>
      <w:r>
        <w:rPr/>
        <w:t>spp.</w:t>
      </w:r>
      <w:r>
        <w:rPr>
          <w:spacing w:val="80"/>
        </w:rPr>
        <w:t> </w:t>
      </w:r>
      <w:r>
        <w:rPr/>
        <w:t>из</w:t>
      </w:r>
      <w:r>
        <w:rPr>
          <w:spacing w:val="80"/>
        </w:rPr>
        <w:t> </w:t>
      </w:r>
      <w:r>
        <w:rPr/>
        <w:t>крови</w:t>
      </w:r>
      <w:r>
        <w:rPr>
          <w:spacing w:val="40"/>
        </w:rPr>
        <w:t> </w:t>
      </w:r>
      <w:r>
        <w:rPr/>
        <w:t>и других стерильных в норме субстратов (СМЖ, биоптат и пр.). Стандартный метод диагностики</w:t>
      </w:r>
      <w:r>
        <w:rPr>
          <w:spacing w:val="71"/>
        </w:rPr>
        <w:t>    </w:t>
      </w:r>
      <w:r>
        <w:rPr/>
        <w:t>COVID-ИК</w:t>
      </w:r>
      <w:r>
        <w:rPr>
          <w:spacing w:val="72"/>
        </w:rPr>
        <w:t>    </w:t>
      </w:r>
      <w:r>
        <w:rPr/>
        <w:t>–</w:t>
      </w:r>
      <w:r>
        <w:rPr>
          <w:spacing w:val="72"/>
        </w:rPr>
        <w:t>    </w:t>
      </w:r>
      <w:r>
        <w:rPr/>
        <w:t>культуральное</w:t>
      </w:r>
      <w:r>
        <w:rPr>
          <w:spacing w:val="71"/>
        </w:rPr>
        <w:t>    </w:t>
      </w:r>
      <w:r>
        <w:rPr/>
        <w:t>исследование</w:t>
      </w:r>
      <w:r>
        <w:rPr>
          <w:spacing w:val="71"/>
        </w:rPr>
        <w:t>    </w:t>
      </w:r>
      <w:r>
        <w:rPr>
          <w:spacing w:val="-2"/>
        </w:rPr>
        <w:t>крови</w:t>
      </w:r>
    </w:p>
    <w:p>
      <w:pPr>
        <w:pStyle w:val="BodyText"/>
        <w:spacing w:after="0" w:line="276" w:lineRule="auto"/>
        <w:sectPr>
          <w:pgSz w:w="11900" w:h="16840"/>
          <w:pgMar w:header="0" w:footer="697" w:top="1080" w:bottom="880" w:left="0" w:right="0"/>
        </w:sectPr>
      </w:pPr>
    </w:p>
    <w:p>
      <w:pPr>
        <w:pStyle w:val="BodyText"/>
        <w:spacing w:line="276" w:lineRule="auto" w:before="73"/>
        <w:ind w:right="1272"/>
      </w:pPr>
      <w:bookmarkStart w:name="26" w:id="34"/>
      <w:bookmarkEnd w:id="34"/>
      <w:r>
        <w:rPr/>
      </w:r>
      <w:r>
        <w:rPr/>
        <w:t>(обладает недостаточной диагностической чувствительностью). Увеличение объема крови (≥40 мл в сутки для взрослого пациента) при культуральном исследовании </w:t>
      </w:r>
      <w:r>
        <w:rPr>
          <w:spacing w:val="-2"/>
        </w:rPr>
        <w:t>повышает эффективность диагностики COVID-ИК. Среднее</w:t>
      </w:r>
      <w:r>
        <w:rPr>
          <w:spacing w:val="-4"/>
        </w:rPr>
        <w:t> </w:t>
      </w:r>
      <w:r>
        <w:rPr>
          <w:spacing w:val="-2"/>
        </w:rPr>
        <w:t>время выявления </w:t>
      </w:r>
      <w:r>
        <w:rPr>
          <w:i/>
          <w:spacing w:val="-2"/>
        </w:rPr>
        <w:t>Candida </w:t>
      </w:r>
      <w:r>
        <w:rPr/>
        <w:t>spp.</w:t>
      </w:r>
      <w:r>
        <w:rPr>
          <w:spacing w:val="40"/>
        </w:rPr>
        <w:t> </w:t>
      </w:r>
      <w:r>
        <w:rPr/>
        <w:t>при</w:t>
      </w:r>
      <w:r>
        <w:rPr>
          <w:spacing w:val="40"/>
        </w:rPr>
        <w:t> </w:t>
      </w:r>
      <w:r>
        <w:rPr/>
        <w:t>культуральном</w:t>
      </w:r>
      <w:r>
        <w:rPr>
          <w:spacing w:val="40"/>
        </w:rPr>
        <w:t> </w:t>
      </w:r>
      <w:r>
        <w:rPr/>
        <w:t>исследовании</w:t>
      </w:r>
      <w:r>
        <w:rPr>
          <w:spacing w:val="40"/>
        </w:rPr>
        <w:t> </w:t>
      </w:r>
      <w:r>
        <w:rPr/>
        <w:t>крови</w:t>
      </w:r>
      <w:r>
        <w:rPr>
          <w:spacing w:val="40"/>
        </w:rPr>
        <w:t> </w:t>
      </w:r>
      <w:r>
        <w:rPr/>
        <w:t>составляет</w:t>
      </w:r>
      <w:r>
        <w:rPr>
          <w:spacing w:val="40"/>
        </w:rPr>
        <w:t> </w:t>
      </w:r>
      <w:r>
        <w:rPr/>
        <w:t>от</w:t>
      </w:r>
      <w:r>
        <w:rPr>
          <w:spacing w:val="40"/>
        </w:rPr>
        <w:t> </w:t>
      </w:r>
      <w:r>
        <w:rPr/>
        <w:t>18</w:t>
      </w:r>
      <w:r>
        <w:rPr>
          <w:spacing w:val="40"/>
        </w:rPr>
        <w:t> </w:t>
      </w:r>
      <w:r>
        <w:rPr/>
        <w:t>часов</w:t>
      </w:r>
      <w:r>
        <w:rPr>
          <w:spacing w:val="40"/>
        </w:rPr>
        <w:t> </w:t>
      </w:r>
      <w:r>
        <w:rPr/>
        <w:t>до</w:t>
      </w:r>
      <w:r>
        <w:rPr>
          <w:spacing w:val="40"/>
        </w:rPr>
        <w:t> </w:t>
      </w:r>
      <w:r>
        <w:rPr/>
        <w:t>3-х</w:t>
      </w:r>
      <w:r>
        <w:rPr>
          <w:spacing w:val="40"/>
        </w:rPr>
        <w:t> </w:t>
      </w:r>
      <w:r>
        <w:rPr/>
        <w:t>суток и</w:t>
      </w:r>
      <w:r>
        <w:rPr>
          <w:spacing w:val="-5"/>
        </w:rPr>
        <w:t> </w:t>
      </w:r>
      <w:r>
        <w:rPr/>
        <w:t>может</w:t>
      </w:r>
      <w:r>
        <w:rPr>
          <w:spacing w:val="-5"/>
        </w:rPr>
        <w:t> </w:t>
      </w:r>
      <w:r>
        <w:rPr/>
        <w:t>достигать</w:t>
      </w:r>
      <w:r>
        <w:rPr>
          <w:spacing w:val="-5"/>
        </w:rPr>
        <w:t> </w:t>
      </w:r>
      <w:r>
        <w:rPr/>
        <w:t>8</w:t>
      </w:r>
      <w:r>
        <w:rPr>
          <w:spacing w:val="-6"/>
        </w:rPr>
        <w:t> </w:t>
      </w:r>
      <w:r>
        <w:rPr/>
        <w:t>дней</w:t>
      </w:r>
      <w:r>
        <w:rPr>
          <w:spacing w:val="-5"/>
        </w:rPr>
        <w:t> </w:t>
      </w:r>
      <w:r>
        <w:rPr/>
        <w:t>для</w:t>
      </w:r>
      <w:r>
        <w:rPr>
          <w:spacing w:val="-4"/>
        </w:rPr>
        <w:t> </w:t>
      </w:r>
      <w:r>
        <w:rPr>
          <w:i/>
        </w:rPr>
        <w:t>C.</w:t>
      </w:r>
      <w:r>
        <w:rPr>
          <w:i/>
          <w:spacing w:val="-6"/>
        </w:rPr>
        <w:t> </w:t>
      </w:r>
      <w:r>
        <w:rPr>
          <w:i/>
        </w:rPr>
        <w:t>glabrata</w:t>
      </w:r>
      <w:r>
        <w:rPr/>
        <w:t>.</w:t>
      </w:r>
      <w:r>
        <w:rPr>
          <w:spacing w:val="-6"/>
        </w:rPr>
        <w:t> </w:t>
      </w:r>
      <w:r>
        <w:rPr/>
        <w:t>При</w:t>
      </w:r>
      <w:r>
        <w:rPr>
          <w:spacing w:val="-3"/>
        </w:rPr>
        <w:t> </w:t>
      </w:r>
      <w:r>
        <w:rPr/>
        <w:t>выделении</w:t>
      </w:r>
      <w:r>
        <w:rPr>
          <w:spacing w:val="-4"/>
        </w:rPr>
        <w:t> </w:t>
      </w:r>
      <w:r>
        <w:rPr>
          <w:i/>
        </w:rPr>
        <w:t>Candida</w:t>
      </w:r>
      <w:r>
        <w:rPr>
          <w:i/>
          <w:spacing w:val="-5"/>
        </w:rPr>
        <w:t> </w:t>
      </w:r>
      <w:r>
        <w:rPr/>
        <w:t>spp.</w:t>
      </w:r>
      <w:r>
        <w:rPr>
          <w:spacing w:val="-6"/>
        </w:rPr>
        <w:t> </w:t>
      </w:r>
      <w:r>
        <w:rPr/>
        <w:t>из</w:t>
      </w:r>
      <w:r>
        <w:rPr>
          <w:spacing w:val="-5"/>
        </w:rPr>
        <w:t> </w:t>
      </w:r>
      <w:r>
        <w:rPr/>
        <w:t>стерильных в норме биологических субстратов следует обязательно определить вид возбудителя COVID-ИК и его чувствительность in vitro</w:t>
      </w:r>
      <w:r>
        <w:rPr>
          <w:spacing w:val="-1"/>
        </w:rPr>
        <w:t> </w:t>
      </w:r>
      <w:r>
        <w:rPr/>
        <w:t>стандартным</w:t>
      </w:r>
      <w:r>
        <w:rPr>
          <w:spacing w:val="-1"/>
        </w:rPr>
        <w:t> </w:t>
      </w:r>
      <w:r>
        <w:rPr/>
        <w:t>методом. Надежные</w:t>
      </w:r>
      <w:r>
        <w:rPr>
          <w:spacing w:val="-1"/>
        </w:rPr>
        <w:t> </w:t>
      </w:r>
      <w:r>
        <w:rPr/>
        <w:t>методы ПЦР</w:t>
      </w:r>
      <w:r>
        <w:rPr>
          <w:spacing w:val="40"/>
        </w:rPr>
        <w:t> </w:t>
      </w:r>
      <w:r>
        <w:rPr/>
        <w:t>диагностики</w:t>
      </w:r>
      <w:r>
        <w:rPr>
          <w:spacing w:val="40"/>
        </w:rPr>
        <w:t> </w:t>
      </w:r>
      <w:r>
        <w:rPr/>
        <w:t>инвазивного</w:t>
      </w:r>
      <w:r>
        <w:rPr>
          <w:spacing w:val="40"/>
        </w:rPr>
        <w:t> </w:t>
      </w:r>
      <w:r>
        <w:rPr/>
        <w:t>аспергиллеза</w:t>
      </w:r>
      <w:r>
        <w:rPr>
          <w:spacing w:val="40"/>
        </w:rPr>
        <w:t> </w:t>
      </w:r>
      <w:r>
        <w:rPr/>
        <w:t>и</w:t>
      </w:r>
      <w:r>
        <w:rPr>
          <w:spacing w:val="40"/>
        </w:rPr>
        <w:t> </w:t>
      </w:r>
      <w:r>
        <w:rPr/>
        <w:t>мукормикоза</w:t>
      </w:r>
      <w:r>
        <w:rPr>
          <w:spacing w:val="40"/>
        </w:rPr>
        <w:t> </w:t>
      </w:r>
      <w:r>
        <w:rPr/>
        <w:t>в</w:t>
      </w:r>
      <w:r>
        <w:rPr>
          <w:spacing w:val="40"/>
        </w:rPr>
        <w:t> </w:t>
      </w:r>
      <w:r>
        <w:rPr/>
        <w:t>настоящее</w:t>
      </w:r>
      <w:r>
        <w:rPr>
          <w:spacing w:val="40"/>
        </w:rPr>
        <w:t> </w:t>
      </w:r>
      <w:r>
        <w:rPr/>
        <w:t>время</w:t>
      </w:r>
      <w:r>
        <w:rPr>
          <w:spacing w:val="80"/>
        </w:rPr>
        <w:t> </w:t>
      </w:r>
      <w:r>
        <w:rPr/>
        <w:t>не разработаны, тогда как для диагностики инвазивного кандидоза могут использоваться зарегистрированные в Российской Федерации ПЦР тест-системы.</w:t>
      </w:r>
    </w:p>
    <w:p>
      <w:pPr>
        <w:pStyle w:val="BodyText"/>
        <w:spacing w:line="276" w:lineRule="auto"/>
        <w:ind w:right="1273" w:firstLine="707"/>
      </w:pPr>
      <w:r>
        <w:rPr/>
        <w:t>У</w:t>
      </w:r>
      <w:r>
        <w:rPr>
          <w:spacing w:val="64"/>
        </w:rPr>
        <w:t> </w:t>
      </w:r>
      <w:r>
        <w:rPr/>
        <w:t>больных</w:t>
      </w:r>
      <w:r>
        <w:rPr>
          <w:spacing w:val="63"/>
        </w:rPr>
        <w:t> </w:t>
      </w:r>
      <w:r>
        <w:rPr/>
        <w:t>COVID-19</w:t>
      </w:r>
      <w:r>
        <w:rPr>
          <w:spacing w:val="66"/>
        </w:rPr>
        <w:t> </w:t>
      </w:r>
      <w:r>
        <w:rPr/>
        <w:t>мукормикоз</w:t>
      </w:r>
      <w:r>
        <w:rPr>
          <w:spacing w:val="67"/>
        </w:rPr>
        <w:t> </w:t>
      </w:r>
      <w:r>
        <w:rPr/>
        <w:t>возникает</w:t>
      </w:r>
      <w:r>
        <w:rPr>
          <w:spacing w:val="64"/>
        </w:rPr>
        <w:t> </w:t>
      </w:r>
      <w:r>
        <w:rPr/>
        <w:t>реже</w:t>
      </w:r>
      <w:r>
        <w:rPr>
          <w:spacing w:val="65"/>
        </w:rPr>
        <w:t> </w:t>
      </w:r>
      <w:r>
        <w:rPr/>
        <w:t>(0,5-1,5%</w:t>
      </w:r>
      <w:r>
        <w:rPr>
          <w:spacing w:val="65"/>
        </w:rPr>
        <w:t> </w:t>
      </w:r>
      <w:r>
        <w:rPr/>
        <w:t>у</w:t>
      </w:r>
      <w:r>
        <w:rPr>
          <w:spacing w:val="64"/>
        </w:rPr>
        <w:t> </w:t>
      </w:r>
      <w:r>
        <w:rPr/>
        <w:t>пациентов в ОРИТ), чем COVID-ИА и COVID-ИК. Возбудители COVID-М (</w:t>
      </w:r>
      <w:r>
        <w:rPr>
          <w:i/>
        </w:rPr>
        <w:t>Rhizopus </w:t>
      </w:r>
      <w:r>
        <w:rPr/>
        <w:t>spp., </w:t>
      </w:r>
      <w:r>
        <w:rPr>
          <w:i/>
        </w:rPr>
        <w:t>Lichthemia</w:t>
      </w:r>
      <w:r>
        <w:rPr>
          <w:i/>
          <w:spacing w:val="-7"/>
        </w:rPr>
        <w:t> </w:t>
      </w:r>
      <w:r>
        <w:rPr/>
        <w:t>spp.,</w:t>
      </w:r>
      <w:r>
        <w:rPr>
          <w:spacing w:val="-6"/>
        </w:rPr>
        <w:t> </w:t>
      </w:r>
      <w:r>
        <w:rPr>
          <w:i/>
        </w:rPr>
        <w:t>Mucor</w:t>
      </w:r>
      <w:r>
        <w:rPr>
          <w:i/>
          <w:spacing w:val="-7"/>
        </w:rPr>
        <w:t> </w:t>
      </w:r>
      <w:r>
        <w:rPr/>
        <w:t>spp.</w:t>
      </w:r>
      <w:r>
        <w:rPr>
          <w:spacing w:val="-7"/>
        </w:rPr>
        <w:t> </w:t>
      </w:r>
      <w:r>
        <w:rPr/>
        <w:t>и</w:t>
      </w:r>
      <w:r>
        <w:rPr>
          <w:spacing w:val="-6"/>
        </w:rPr>
        <w:t> </w:t>
      </w:r>
      <w:r>
        <w:rPr/>
        <w:t>пр.)</w:t>
      </w:r>
      <w:r>
        <w:rPr>
          <w:spacing w:val="-8"/>
        </w:rPr>
        <w:t> </w:t>
      </w:r>
      <w:r>
        <w:rPr/>
        <w:t>чувствительны</w:t>
      </w:r>
      <w:r>
        <w:rPr>
          <w:spacing w:val="-6"/>
        </w:rPr>
        <w:t> </w:t>
      </w:r>
      <w:r>
        <w:rPr>
          <w:i/>
        </w:rPr>
        <w:t>in</w:t>
      </w:r>
      <w:r>
        <w:rPr>
          <w:i/>
          <w:spacing w:val="-6"/>
        </w:rPr>
        <w:t> </w:t>
      </w:r>
      <w:r>
        <w:rPr>
          <w:i/>
        </w:rPr>
        <w:t>vitro</w:t>
      </w:r>
      <w:r>
        <w:rPr>
          <w:i/>
          <w:spacing w:val="-6"/>
        </w:rPr>
        <w:t> </w:t>
      </w:r>
      <w:r>
        <w:rPr/>
        <w:t>только</w:t>
      </w:r>
      <w:r>
        <w:rPr>
          <w:spacing w:val="-7"/>
        </w:rPr>
        <w:t> </w:t>
      </w:r>
      <w:r>
        <w:rPr/>
        <w:t>к</w:t>
      </w:r>
      <w:r>
        <w:rPr>
          <w:spacing w:val="-8"/>
        </w:rPr>
        <w:t> </w:t>
      </w:r>
      <w:r>
        <w:rPr/>
        <w:t>АмВ,</w:t>
      </w:r>
      <w:r>
        <w:rPr>
          <w:spacing w:val="-7"/>
        </w:rPr>
        <w:t> </w:t>
      </w:r>
      <w:r>
        <w:rPr/>
        <w:t>изавуконазолу и позаконазолу, устойчивы к остальным доступным противогрибковым ЛС. Летальность при COVID-М составляет около 50%.</w:t>
      </w:r>
    </w:p>
    <w:p>
      <w:pPr>
        <w:pStyle w:val="BodyText"/>
        <w:spacing w:line="276" w:lineRule="auto"/>
        <w:ind w:right="1271" w:firstLine="707"/>
      </w:pPr>
      <w:r>
        <w:rPr/>
        <w:t>Основные фоновые заболевания при развитии COVID-М – сахарный диабет, гематологические и онкологические болезни. Факторы риска развития COVID-М: применение высоких доз ГКС, использование биологических иммуносупрессоров, длительная лимфоцитопения, декомпенсированный сахарный диабет. Для COVID-М характерно поражение околоносовых пазух с очень быстрым развитием диссеминации, с частым поражением ЦНС, органов зрения и легких.</w:t>
      </w:r>
    </w:p>
    <w:p>
      <w:pPr>
        <w:pStyle w:val="BodyText"/>
        <w:spacing w:line="276" w:lineRule="auto"/>
        <w:ind w:right="1272" w:firstLine="707"/>
      </w:pPr>
      <w:r>
        <w:rPr/>
        <w:t>COVID-М следует исключить у больных с указанными факторами риска при появлении симптомов синусита, болей в области околоносовых пазух и орбиты, нарушении</w:t>
      </w:r>
      <w:r>
        <w:rPr>
          <w:spacing w:val="-15"/>
        </w:rPr>
        <w:t> </w:t>
      </w:r>
      <w:r>
        <w:rPr/>
        <w:t>зрения</w:t>
      </w:r>
      <w:r>
        <w:rPr>
          <w:spacing w:val="-15"/>
        </w:rPr>
        <w:t> </w:t>
      </w:r>
      <w:r>
        <w:rPr/>
        <w:t>и</w:t>
      </w:r>
      <w:r>
        <w:rPr>
          <w:spacing w:val="-15"/>
        </w:rPr>
        <w:t> </w:t>
      </w:r>
      <w:r>
        <w:rPr/>
        <w:t>пр.</w:t>
      </w:r>
      <w:r>
        <w:rPr>
          <w:spacing w:val="-15"/>
        </w:rPr>
        <w:t> </w:t>
      </w:r>
      <w:r>
        <w:rPr/>
        <w:t>При</w:t>
      </w:r>
      <w:r>
        <w:rPr>
          <w:spacing w:val="-15"/>
        </w:rPr>
        <w:t> </w:t>
      </w:r>
      <w:r>
        <w:rPr/>
        <w:t>диагностике</w:t>
      </w:r>
      <w:r>
        <w:rPr>
          <w:spacing w:val="-15"/>
        </w:rPr>
        <w:t> </w:t>
      </w:r>
      <w:r>
        <w:rPr/>
        <w:t>COVID-М</w:t>
      </w:r>
      <w:r>
        <w:rPr>
          <w:spacing w:val="-14"/>
        </w:rPr>
        <w:t> </w:t>
      </w:r>
      <w:r>
        <w:rPr/>
        <w:t>важна</w:t>
      </w:r>
      <w:r>
        <w:rPr>
          <w:spacing w:val="-15"/>
        </w:rPr>
        <w:t> </w:t>
      </w:r>
      <w:r>
        <w:rPr/>
        <w:t>компьютерная</w:t>
      </w:r>
      <w:r>
        <w:rPr>
          <w:spacing w:val="-13"/>
        </w:rPr>
        <w:t> </w:t>
      </w:r>
      <w:r>
        <w:rPr/>
        <w:t>томография не только пораженного органа (околоносовых пазух), но и КТ легких и брюшной полости.</w:t>
      </w:r>
      <w:r>
        <w:rPr>
          <w:spacing w:val="-15"/>
        </w:rPr>
        <w:t> </w:t>
      </w:r>
      <w:r>
        <w:rPr/>
        <w:t>Диагноз</w:t>
      </w:r>
      <w:r>
        <w:rPr>
          <w:spacing w:val="-15"/>
        </w:rPr>
        <w:t> </w:t>
      </w:r>
      <w:r>
        <w:rPr/>
        <w:t>подтверждают</w:t>
      </w:r>
      <w:r>
        <w:rPr>
          <w:spacing w:val="-13"/>
        </w:rPr>
        <w:t> </w:t>
      </w:r>
      <w:r>
        <w:rPr/>
        <w:t>выявлением</w:t>
      </w:r>
      <w:r>
        <w:rPr>
          <w:spacing w:val="-14"/>
        </w:rPr>
        <w:t> </w:t>
      </w:r>
      <w:r>
        <w:rPr/>
        <w:t>мукормицетов</w:t>
      </w:r>
      <w:r>
        <w:rPr>
          <w:spacing w:val="-15"/>
        </w:rPr>
        <w:t> </w:t>
      </w:r>
      <w:r>
        <w:rPr/>
        <w:t>при</w:t>
      </w:r>
      <w:r>
        <w:rPr>
          <w:spacing w:val="-15"/>
        </w:rPr>
        <w:t> </w:t>
      </w:r>
      <w:r>
        <w:rPr/>
        <w:t>микроскопии,</w:t>
      </w:r>
      <w:r>
        <w:rPr>
          <w:spacing w:val="-15"/>
        </w:rPr>
        <w:t> </w:t>
      </w:r>
      <w:r>
        <w:rPr/>
        <w:t>посеве и гистологическом исследовании материала из очага поражения. Исследование биоптата более информативно, чем аспирата. При микроскопии полученного материала следует использовать калькофлюор белый. Гифы мукормицетов несептированные, диаметр 6-25 мкм, ветвление 45-900. При выделении возбудителя мукормицета в культуре показано определение рода. При гистологическом исследовании</w:t>
      </w:r>
      <w:r>
        <w:rPr>
          <w:spacing w:val="-8"/>
        </w:rPr>
        <w:t> </w:t>
      </w:r>
      <w:r>
        <w:rPr/>
        <w:t>следует</w:t>
      </w:r>
      <w:r>
        <w:rPr>
          <w:spacing w:val="-8"/>
        </w:rPr>
        <w:t> </w:t>
      </w:r>
      <w:r>
        <w:rPr/>
        <w:t>использовать</w:t>
      </w:r>
      <w:r>
        <w:rPr>
          <w:spacing w:val="-8"/>
        </w:rPr>
        <w:t> </w:t>
      </w:r>
      <w:r>
        <w:rPr/>
        <w:t>окраски</w:t>
      </w:r>
      <w:r>
        <w:rPr>
          <w:spacing w:val="-8"/>
        </w:rPr>
        <w:t> </w:t>
      </w:r>
      <w:r>
        <w:rPr/>
        <w:t>по</w:t>
      </w:r>
      <w:r>
        <w:rPr>
          <w:spacing w:val="-11"/>
        </w:rPr>
        <w:t> </w:t>
      </w:r>
      <w:r>
        <w:rPr/>
        <w:t>Грокотту,</w:t>
      </w:r>
      <w:r>
        <w:rPr>
          <w:spacing w:val="-9"/>
        </w:rPr>
        <w:t> </w:t>
      </w:r>
      <w:r>
        <w:rPr/>
        <w:t>гематоксилин-эозин</w:t>
      </w:r>
      <w:r>
        <w:rPr>
          <w:spacing w:val="-8"/>
        </w:rPr>
        <w:t> </w:t>
      </w:r>
      <w:r>
        <w:rPr/>
        <w:t>и</w:t>
      </w:r>
      <w:r>
        <w:rPr>
          <w:spacing w:val="-10"/>
        </w:rPr>
        <w:t> </w:t>
      </w:r>
      <w:r>
        <w:rPr/>
        <w:t>PAS. Определение</w:t>
      </w:r>
      <w:r>
        <w:rPr>
          <w:spacing w:val="-1"/>
        </w:rPr>
        <w:t> </w:t>
      </w:r>
      <w:r>
        <w:rPr/>
        <w:t>диаметра гиф позволяет дифференцировать возбудителей мукормикоза (6-25 мкм) и аспергиллеза (3-5 мкм).</w:t>
      </w:r>
    </w:p>
    <w:p>
      <w:pPr>
        <w:pStyle w:val="Heading3"/>
        <w:numPr>
          <w:ilvl w:val="1"/>
          <w:numId w:val="5"/>
        </w:numPr>
        <w:tabs>
          <w:tab w:pos="3038" w:val="left" w:leader="none"/>
        </w:tabs>
        <w:spacing w:line="240" w:lineRule="auto" w:before="232" w:after="0"/>
        <w:ind w:left="3038" w:right="0" w:hanging="489"/>
        <w:jc w:val="left"/>
        <w:rPr>
          <w:color w:val="1F487C"/>
          <w:sz w:val="28"/>
        </w:rPr>
      </w:pPr>
      <w:bookmarkStart w:name="_TOC_250038" w:id="35"/>
      <w:r>
        <w:rPr>
          <w:color w:val="1F487C"/>
          <w:spacing w:val="-2"/>
        </w:rPr>
        <w:t>ЛУЧЕВАЯ</w:t>
      </w:r>
      <w:r>
        <w:rPr>
          <w:color w:val="1F487C"/>
          <w:spacing w:val="-3"/>
        </w:rPr>
        <w:t> </w:t>
      </w:r>
      <w:r>
        <w:rPr>
          <w:color w:val="1F487C"/>
          <w:spacing w:val="-2"/>
        </w:rPr>
        <w:t>ДИАГНОСТИКА</w:t>
      </w:r>
      <w:r>
        <w:rPr>
          <w:color w:val="1F487C"/>
          <w:spacing w:val="-1"/>
        </w:rPr>
        <w:t> </w:t>
      </w:r>
      <w:r>
        <w:rPr>
          <w:color w:val="1F487C"/>
          <w:spacing w:val="-2"/>
        </w:rPr>
        <w:t>COVID-</w:t>
      </w:r>
      <w:bookmarkEnd w:id="35"/>
      <w:r>
        <w:rPr>
          <w:color w:val="1F487C"/>
          <w:spacing w:val="-5"/>
        </w:rPr>
        <w:t>19</w:t>
      </w:r>
    </w:p>
    <w:p>
      <w:pPr>
        <w:pStyle w:val="BodyText"/>
        <w:spacing w:line="276" w:lineRule="auto" w:before="166"/>
        <w:ind w:right="1273" w:firstLine="707"/>
      </w:pPr>
      <w:r>
        <w:rPr>
          <w:b/>
        </w:rPr>
        <w:t>Методы лучевой диагностики </w:t>
      </w:r>
      <w:r>
        <w:rPr/>
        <w:t>применяют для выявления COVID-19 пневмоний, их осложнений, дифференциальной диагностики с другими заболеваниями легких, а также для определения степени выраженности и динамики изменений, оценки эффективности проводимой терапии.</w:t>
      </w:r>
    </w:p>
    <w:p>
      <w:pPr>
        <w:pStyle w:val="BodyText"/>
        <w:spacing w:line="276" w:lineRule="auto"/>
        <w:ind w:right="1272" w:firstLine="707"/>
      </w:pPr>
      <w:r>
        <w:rPr/>
        <w:t>Лучевые методы также необходимы для выявления и оценки характера патологических</w:t>
      </w:r>
      <w:r>
        <w:rPr>
          <w:spacing w:val="-11"/>
        </w:rPr>
        <w:t> </w:t>
      </w:r>
      <w:r>
        <w:rPr/>
        <w:t>изменений</w:t>
      </w:r>
      <w:r>
        <w:rPr>
          <w:spacing w:val="-10"/>
        </w:rPr>
        <w:t> </w:t>
      </w:r>
      <w:r>
        <w:rPr/>
        <w:t>в</w:t>
      </w:r>
      <w:r>
        <w:rPr>
          <w:spacing w:val="-11"/>
        </w:rPr>
        <w:t> </w:t>
      </w:r>
      <w:r>
        <w:rPr/>
        <w:t>других</w:t>
      </w:r>
      <w:r>
        <w:rPr>
          <w:spacing w:val="-12"/>
        </w:rPr>
        <w:t> </w:t>
      </w:r>
      <w:r>
        <w:rPr/>
        <w:t>анатомических</w:t>
      </w:r>
      <w:r>
        <w:rPr>
          <w:spacing w:val="-9"/>
        </w:rPr>
        <w:t> </w:t>
      </w:r>
      <w:r>
        <w:rPr/>
        <w:t>областях</w:t>
      </w:r>
      <w:r>
        <w:rPr>
          <w:spacing w:val="-9"/>
        </w:rPr>
        <w:t> </w:t>
      </w:r>
      <w:r>
        <w:rPr/>
        <w:t>и</w:t>
      </w:r>
      <w:r>
        <w:rPr>
          <w:spacing w:val="-12"/>
        </w:rPr>
        <w:t> </w:t>
      </w:r>
      <w:r>
        <w:rPr/>
        <w:t>как</w:t>
      </w:r>
      <w:r>
        <w:rPr>
          <w:spacing w:val="-12"/>
        </w:rPr>
        <w:t> </w:t>
      </w:r>
      <w:r>
        <w:rPr/>
        <w:t>средства</w:t>
      </w:r>
      <w:r>
        <w:rPr>
          <w:spacing w:val="-11"/>
        </w:rPr>
        <w:t> </w:t>
      </w:r>
      <w:r>
        <w:rPr/>
        <w:t>контроля для инвазивных (интервенционных) медицинских вмешательств.</w:t>
      </w:r>
    </w:p>
    <w:p>
      <w:pPr>
        <w:pStyle w:val="BodyText"/>
        <w:spacing w:after="0" w:line="276" w:lineRule="auto"/>
        <w:sectPr>
          <w:pgSz w:w="11900" w:h="16840"/>
          <w:pgMar w:header="0" w:footer="697" w:top="1080" w:bottom="880" w:left="0" w:right="0"/>
        </w:sectPr>
      </w:pPr>
    </w:p>
    <w:p>
      <w:pPr>
        <w:pStyle w:val="BodyText"/>
        <w:spacing w:line="276" w:lineRule="auto" w:before="73"/>
        <w:ind w:firstLine="707"/>
        <w:jc w:val="left"/>
      </w:pPr>
      <w:bookmarkStart w:name="27" w:id="36"/>
      <w:bookmarkEnd w:id="36"/>
      <w:r>
        <w:rPr/>
      </w:r>
      <w:r>
        <w:rPr/>
        <w:t>К</w:t>
      </w:r>
      <w:r>
        <w:rPr>
          <w:spacing w:val="-10"/>
        </w:rPr>
        <w:t> </w:t>
      </w:r>
      <w:r>
        <w:rPr/>
        <w:t>методам</w:t>
      </w:r>
      <w:r>
        <w:rPr>
          <w:spacing w:val="-11"/>
        </w:rPr>
        <w:t> </w:t>
      </w:r>
      <w:r>
        <w:rPr/>
        <w:t>лучевой</w:t>
      </w:r>
      <w:r>
        <w:rPr>
          <w:spacing w:val="-10"/>
        </w:rPr>
        <w:t> </w:t>
      </w:r>
      <w:r>
        <w:rPr/>
        <w:t>диагностики</w:t>
      </w:r>
      <w:r>
        <w:rPr>
          <w:spacing w:val="-6"/>
        </w:rPr>
        <w:t> </w:t>
      </w:r>
      <w:r>
        <w:rPr/>
        <w:t>патологии</w:t>
      </w:r>
      <w:r>
        <w:rPr>
          <w:spacing w:val="-9"/>
        </w:rPr>
        <w:t> </w:t>
      </w:r>
      <w:r>
        <w:rPr/>
        <w:t>ОГК</w:t>
      </w:r>
      <w:r>
        <w:rPr>
          <w:spacing w:val="-10"/>
        </w:rPr>
        <w:t> </w:t>
      </w:r>
      <w:r>
        <w:rPr/>
        <w:t>пациентов</w:t>
      </w:r>
      <w:r>
        <w:rPr>
          <w:spacing w:val="-8"/>
        </w:rPr>
        <w:t> </w:t>
      </w:r>
      <w:r>
        <w:rPr/>
        <w:t>с</w:t>
      </w:r>
      <w:r>
        <w:rPr>
          <w:spacing w:val="-6"/>
        </w:rPr>
        <w:t> </w:t>
      </w:r>
      <w:r>
        <w:rPr/>
        <w:t>предполагаемой</w:t>
      </w:r>
      <w:r>
        <w:rPr>
          <w:spacing w:val="-8"/>
        </w:rPr>
        <w:t> </w:t>
      </w:r>
      <w:r>
        <w:rPr/>
        <w:t>/ установленной COVID-19 пневмонией относят:</w:t>
      </w:r>
    </w:p>
    <w:p>
      <w:pPr>
        <w:pStyle w:val="ListParagraph"/>
        <w:numPr>
          <w:ilvl w:val="0"/>
          <w:numId w:val="12"/>
        </w:numPr>
        <w:tabs>
          <w:tab w:pos="2124" w:val="left" w:leader="none"/>
        </w:tabs>
        <w:spacing w:line="322" w:lineRule="exact" w:before="0" w:after="0"/>
        <w:ind w:left="2124" w:right="0" w:hanging="359"/>
        <w:jc w:val="left"/>
        <w:rPr>
          <w:sz w:val="24"/>
        </w:rPr>
      </w:pPr>
      <w:r>
        <w:rPr>
          <w:spacing w:val="-2"/>
          <w:sz w:val="24"/>
        </w:rPr>
        <w:t>Обзорную</w:t>
      </w:r>
      <w:r>
        <w:rPr>
          <w:spacing w:val="2"/>
          <w:sz w:val="24"/>
        </w:rPr>
        <w:t> </w:t>
      </w:r>
      <w:r>
        <w:rPr>
          <w:spacing w:val="-2"/>
          <w:sz w:val="24"/>
        </w:rPr>
        <w:t>рентгенографию</w:t>
      </w:r>
      <w:r>
        <w:rPr>
          <w:spacing w:val="3"/>
          <w:sz w:val="24"/>
        </w:rPr>
        <w:t> </w:t>
      </w:r>
      <w:r>
        <w:rPr>
          <w:spacing w:val="-2"/>
          <w:sz w:val="24"/>
        </w:rPr>
        <w:t>легких</w:t>
      </w:r>
      <w:r>
        <w:rPr>
          <w:spacing w:val="2"/>
          <w:sz w:val="24"/>
        </w:rPr>
        <w:t> </w:t>
      </w:r>
      <w:r>
        <w:rPr>
          <w:spacing w:val="-2"/>
          <w:sz w:val="24"/>
        </w:rPr>
        <w:t>(РГ),</w:t>
      </w:r>
    </w:p>
    <w:p>
      <w:pPr>
        <w:pStyle w:val="ListParagraph"/>
        <w:numPr>
          <w:ilvl w:val="0"/>
          <w:numId w:val="12"/>
        </w:numPr>
        <w:tabs>
          <w:tab w:pos="2124" w:val="left" w:leader="none"/>
        </w:tabs>
        <w:spacing w:line="240" w:lineRule="auto" w:before="32" w:after="0"/>
        <w:ind w:left="2124" w:right="0" w:hanging="359"/>
        <w:jc w:val="left"/>
        <w:rPr>
          <w:sz w:val="24"/>
        </w:rPr>
      </w:pPr>
      <w:r>
        <w:rPr>
          <w:spacing w:val="-2"/>
          <w:sz w:val="24"/>
        </w:rPr>
        <w:t>Компьютерную</w:t>
      </w:r>
      <w:r>
        <w:rPr>
          <w:spacing w:val="3"/>
          <w:sz w:val="24"/>
        </w:rPr>
        <w:t> </w:t>
      </w:r>
      <w:r>
        <w:rPr>
          <w:spacing w:val="-2"/>
          <w:sz w:val="24"/>
        </w:rPr>
        <w:t>томографию</w:t>
      </w:r>
      <w:r>
        <w:rPr>
          <w:spacing w:val="3"/>
          <w:sz w:val="24"/>
        </w:rPr>
        <w:t> </w:t>
      </w:r>
      <w:r>
        <w:rPr>
          <w:spacing w:val="-2"/>
          <w:sz w:val="24"/>
        </w:rPr>
        <w:t>легких</w:t>
      </w:r>
      <w:r>
        <w:rPr>
          <w:spacing w:val="3"/>
          <w:sz w:val="24"/>
        </w:rPr>
        <w:t> </w:t>
      </w:r>
      <w:r>
        <w:rPr>
          <w:spacing w:val="-4"/>
          <w:sz w:val="24"/>
        </w:rPr>
        <w:t>(КТ),</w:t>
      </w:r>
    </w:p>
    <w:p>
      <w:pPr>
        <w:pStyle w:val="ListParagraph"/>
        <w:numPr>
          <w:ilvl w:val="0"/>
          <w:numId w:val="12"/>
        </w:numPr>
        <w:tabs>
          <w:tab w:pos="2124" w:val="left" w:leader="none"/>
        </w:tabs>
        <w:spacing w:line="240" w:lineRule="auto" w:before="33" w:after="0"/>
        <w:ind w:left="2124" w:right="0" w:hanging="359"/>
        <w:jc w:val="left"/>
        <w:rPr>
          <w:sz w:val="24"/>
        </w:rPr>
      </w:pPr>
      <w:r>
        <w:rPr>
          <w:sz w:val="24"/>
        </w:rPr>
        <w:t>Ультразвуковое</w:t>
      </w:r>
      <w:r>
        <w:rPr>
          <w:spacing w:val="-14"/>
          <w:sz w:val="24"/>
        </w:rPr>
        <w:t> </w:t>
      </w:r>
      <w:r>
        <w:rPr>
          <w:sz w:val="24"/>
        </w:rPr>
        <w:t>исследование</w:t>
      </w:r>
      <w:r>
        <w:rPr>
          <w:spacing w:val="-14"/>
          <w:sz w:val="24"/>
        </w:rPr>
        <w:t> </w:t>
      </w:r>
      <w:r>
        <w:rPr>
          <w:sz w:val="24"/>
        </w:rPr>
        <w:t>легких</w:t>
      </w:r>
      <w:r>
        <w:rPr>
          <w:spacing w:val="-13"/>
          <w:sz w:val="24"/>
        </w:rPr>
        <w:t> </w:t>
      </w:r>
      <w:r>
        <w:rPr>
          <w:sz w:val="24"/>
        </w:rPr>
        <w:t>и</w:t>
      </w:r>
      <w:r>
        <w:rPr>
          <w:spacing w:val="-13"/>
          <w:sz w:val="24"/>
        </w:rPr>
        <w:t> </w:t>
      </w:r>
      <w:r>
        <w:rPr>
          <w:sz w:val="24"/>
        </w:rPr>
        <w:t>плевральных</w:t>
      </w:r>
      <w:r>
        <w:rPr>
          <w:spacing w:val="-14"/>
          <w:sz w:val="24"/>
        </w:rPr>
        <w:t> </w:t>
      </w:r>
      <w:r>
        <w:rPr>
          <w:sz w:val="24"/>
        </w:rPr>
        <w:t>полостей</w:t>
      </w:r>
      <w:r>
        <w:rPr>
          <w:spacing w:val="-13"/>
          <w:sz w:val="24"/>
        </w:rPr>
        <w:t> </w:t>
      </w:r>
      <w:r>
        <w:rPr>
          <w:spacing w:val="-2"/>
          <w:sz w:val="24"/>
        </w:rPr>
        <w:t>(УЗИ).</w:t>
      </w:r>
    </w:p>
    <w:p>
      <w:pPr>
        <w:pStyle w:val="BodyText"/>
        <w:spacing w:line="276" w:lineRule="auto" w:before="47"/>
        <w:ind w:right="1273" w:firstLine="707"/>
      </w:pPr>
      <w:r>
        <w:rPr>
          <w:b/>
        </w:rPr>
        <w:t>Стандартная РГ </w:t>
      </w:r>
      <w:r>
        <w:rPr/>
        <w:t>имеет низкую чувствительность в выявлении начальных изменений в первые дни заболевания и не может применяться для ранней диагностики.</w:t>
      </w:r>
      <w:r>
        <w:rPr>
          <w:spacing w:val="-8"/>
        </w:rPr>
        <w:t> </w:t>
      </w:r>
      <w:r>
        <w:rPr/>
        <w:t>Информативность</w:t>
      </w:r>
      <w:r>
        <w:rPr>
          <w:spacing w:val="-7"/>
        </w:rPr>
        <w:t> </w:t>
      </w:r>
      <w:r>
        <w:rPr/>
        <w:t>РГ</w:t>
      </w:r>
      <w:r>
        <w:rPr>
          <w:spacing w:val="-7"/>
        </w:rPr>
        <w:t> </w:t>
      </w:r>
      <w:r>
        <w:rPr/>
        <w:t>повышается</w:t>
      </w:r>
      <w:r>
        <w:rPr>
          <w:spacing w:val="-8"/>
        </w:rPr>
        <w:t> </w:t>
      </w:r>
      <w:r>
        <w:rPr/>
        <w:t>с</w:t>
      </w:r>
      <w:r>
        <w:rPr>
          <w:spacing w:val="-9"/>
        </w:rPr>
        <w:t> </w:t>
      </w:r>
      <w:r>
        <w:rPr/>
        <w:t>увеличением</w:t>
      </w:r>
      <w:r>
        <w:rPr>
          <w:spacing w:val="-9"/>
        </w:rPr>
        <w:t> </w:t>
      </w:r>
      <w:r>
        <w:rPr/>
        <w:t>длительности</w:t>
      </w:r>
      <w:r>
        <w:rPr>
          <w:spacing w:val="-6"/>
        </w:rPr>
        <w:t> </w:t>
      </w:r>
      <w:r>
        <w:rPr/>
        <w:t>течения пневмонии. Рентгенография с использованием передвижных (палатных) аппаратов является основным методом лучевой диагностики патологии ОГК в ОРИТ. Применение передвижного (палатного) аппарата оправдано и для проведения обычных РГ исследований в рентгеновском кабинете. В стационарных условиях относительным преимуществом РГ в сравнении с КТ является большая пропускная способность. Метод позволяет уверенно выявлять тяжелые</w:t>
      </w:r>
      <w:r>
        <w:rPr>
          <w:spacing w:val="-1"/>
        </w:rPr>
        <w:t> </w:t>
      </w:r>
      <w:r>
        <w:rPr/>
        <w:t>формы</w:t>
      </w:r>
      <w:r>
        <w:rPr>
          <w:spacing w:val="-1"/>
        </w:rPr>
        <w:t> </w:t>
      </w:r>
      <w:r>
        <w:rPr/>
        <w:t>пневмоний и отек легких различной природы, которые требуют госпитализации, в том числе направления в ОРИТ.</w:t>
      </w:r>
    </w:p>
    <w:p>
      <w:pPr>
        <w:pStyle w:val="BodyText"/>
        <w:tabs>
          <w:tab w:pos="3253" w:val="left" w:leader="none"/>
          <w:tab w:pos="3602" w:val="left" w:leader="none"/>
          <w:tab w:pos="4930" w:val="left" w:leader="none"/>
          <w:tab w:pos="6533" w:val="left" w:leader="none"/>
          <w:tab w:pos="8217" w:val="left" w:leader="none"/>
          <w:tab w:pos="9260" w:val="left" w:leader="none"/>
          <w:tab w:pos="9626" w:val="left" w:leader="none"/>
        </w:tabs>
        <w:spacing w:line="276" w:lineRule="auto"/>
        <w:ind w:right="1273" w:firstLine="707"/>
        <w:jc w:val="right"/>
      </w:pPr>
      <w:r>
        <w:rPr>
          <w:b/>
        </w:rPr>
        <w:t>КТ</w:t>
      </w:r>
      <w:r>
        <w:rPr>
          <w:b/>
          <w:spacing w:val="80"/>
        </w:rPr>
        <w:t> </w:t>
      </w:r>
      <w:r>
        <w:rPr/>
        <w:t>имеет</w:t>
      </w:r>
      <w:r>
        <w:rPr>
          <w:spacing w:val="80"/>
        </w:rPr>
        <w:t> </w:t>
      </w:r>
      <w:r>
        <w:rPr/>
        <w:t>высокую</w:t>
      </w:r>
      <w:r>
        <w:rPr>
          <w:spacing w:val="80"/>
        </w:rPr>
        <w:t> </w:t>
      </w:r>
      <w:r>
        <w:rPr/>
        <w:t>чувствительность</w:t>
      </w:r>
      <w:r>
        <w:rPr>
          <w:spacing w:val="80"/>
        </w:rPr>
        <w:t> </w:t>
      </w:r>
      <w:r>
        <w:rPr/>
        <w:t>в</w:t>
      </w:r>
      <w:r>
        <w:rPr>
          <w:spacing w:val="80"/>
        </w:rPr>
        <w:t> </w:t>
      </w:r>
      <w:r>
        <w:rPr/>
        <w:t>выявлении</w:t>
      </w:r>
      <w:r>
        <w:rPr>
          <w:spacing w:val="80"/>
        </w:rPr>
        <w:t> </w:t>
      </w:r>
      <w:r>
        <w:rPr/>
        <w:t>изменений</w:t>
      </w:r>
      <w:r>
        <w:rPr>
          <w:spacing w:val="80"/>
        </w:rPr>
        <w:t> </w:t>
      </w:r>
      <w:r>
        <w:rPr/>
        <w:t>в</w:t>
      </w:r>
      <w:r>
        <w:rPr>
          <w:spacing w:val="80"/>
        </w:rPr>
        <w:t> </w:t>
      </w:r>
      <w:r>
        <w:rPr/>
        <w:t>легких, характерных для COVID-19. Применение КТ целесообразно для первичной оценки состояния ОГК у пациентов с тяжелыми прогрессирующими формами заболевания,</w:t>
      </w:r>
      <w:r>
        <w:rPr>
          <w:spacing w:val="40"/>
        </w:rPr>
        <w:t> </w:t>
      </w:r>
      <w:r>
        <w:rPr/>
        <w:t>а</w:t>
      </w:r>
      <w:r>
        <w:rPr>
          <w:spacing w:val="-4"/>
        </w:rPr>
        <w:t> </w:t>
      </w:r>
      <w:r>
        <w:rPr/>
        <w:t>также</w:t>
      </w:r>
      <w:r>
        <w:rPr>
          <w:spacing w:val="80"/>
        </w:rPr>
        <w:t> </w:t>
      </w:r>
      <w:r>
        <w:rPr/>
        <w:t>для</w:t>
      </w:r>
      <w:r>
        <w:rPr>
          <w:spacing w:val="80"/>
        </w:rPr>
        <w:t> </w:t>
      </w:r>
      <w:r>
        <w:rPr/>
        <w:t>дифференциальной</w:t>
      </w:r>
      <w:r>
        <w:rPr>
          <w:spacing w:val="80"/>
        </w:rPr>
        <w:t> </w:t>
      </w:r>
      <w:r>
        <w:rPr/>
        <w:t>диагностики</w:t>
      </w:r>
      <w:r>
        <w:rPr>
          <w:spacing w:val="80"/>
        </w:rPr>
        <w:t> </w:t>
      </w:r>
      <w:r>
        <w:rPr/>
        <w:t>выявленных</w:t>
      </w:r>
      <w:r>
        <w:rPr>
          <w:spacing w:val="80"/>
        </w:rPr>
        <w:t> </w:t>
      </w:r>
      <w:r>
        <w:rPr/>
        <w:t>изменений</w:t>
      </w:r>
      <w:r>
        <w:rPr>
          <w:spacing w:val="80"/>
        </w:rPr>
        <w:t> </w:t>
      </w:r>
      <w:r>
        <w:rPr/>
        <w:t>и</w:t>
      </w:r>
      <w:r>
        <w:rPr>
          <w:spacing w:val="80"/>
        </w:rPr>
        <w:t> </w:t>
      </w:r>
      <w:r>
        <w:rPr/>
        <w:t>оценки динамики</w:t>
      </w:r>
      <w:r>
        <w:rPr>
          <w:spacing w:val="80"/>
          <w:w w:val="150"/>
        </w:rPr>
        <w:t> </w:t>
      </w:r>
      <w:r>
        <w:rPr/>
        <w:t>процесса.</w:t>
      </w:r>
      <w:r>
        <w:rPr>
          <w:spacing w:val="80"/>
          <w:w w:val="150"/>
        </w:rPr>
        <w:t> </w:t>
      </w:r>
      <w:r>
        <w:rPr/>
        <w:t>КТ</w:t>
      </w:r>
      <w:r>
        <w:rPr>
          <w:spacing w:val="80"/>
          <w:w w:val="150"/>
        </w:rPr>
        <w:t> </w:t>
      </w:r>
      <w:r>
        <w:rPr/>
        <w:t>позволяет</w:t>
      </w:r>
      <w:r>
        <w:rPr>
          <w:spacing w:val="80"/>
          <w:w w:val="150"/>
        </w:rPr>
        <w:t> </w:t>
      </w:r>
      <w:r>
        <w:rPr/>
        <w:t>выявить</w:t>
      </w:r>
      <w:r>
        <w:rPr>
          <w:spacing w:val="80"/>
          <w:w w:val="150"/>
        </w:rPr>
        <w:t> </w:t>
      </w:r>
      <w:r>
        <w:rPr/>
        <w:t>характерные</w:t>
      </w:r>
      <w:r>
        <w:rPr>
          <w:spacing w:val="80"/>
          <w:w w:val="150"/>
        </w:rPr>
        <w:t> </w:t>
      </w:r>
      <w:r>
        <w:rPr/>
        <w:t>изменения</w:t>
      </w:r>
      <w:r>
        <w:rPr>
          <w:spacing w:val="80"/>
          <w:w w:val="150"/>
        </w:rPr>
        <w:t> </w:t>
      </w:r>
      <w:r>
        <w:rPr/>
        <w:t>в</w:t>
      </w:r>
      <w:r>
        <w:rPr>
          <w:spacing w:val="80"/>
          <w:w w:val="150"/>
        </w:rPr>
        <w:t> </w:t>
      </w:r>
      <w:r>
        <w:rPr/>
        <w:t>легких у</w:t>
      </w:r>
      <w:r>
        <w:rPr>
          <w:spacing w:val="-4"/>
        </w:rPr>
        <w:t> </w:t>
      </w:r>
      <w:r>
        <w:rPr/>
        <w:t>пациентов</w:t>
      </w:r>
      <w:r>
        <w:rPr>
          <w:spacing w:val="40"/>
        </w:rPr>
        <w:t> </w:t>
      </w:r>
      <w:r>
        <w:rPr/>
        <w:t>с</w:t>
      </w:r>
      <w:r>
        <w:rPr>
          <w:spacing w:val="40"/>
        </w:rPr>
        <w:t> </w:t>
      </w:r>
      <w:r>
        <w:rPr/>
        <w:t>COVID-19</w:t>
      </w:r>
      <w:r>
        <w:rPr>
          <w:spacing w:val="40"/>
        </w:rPr>
        <w:t> </w:t>
      </w:r>
      <w:r>
        <w:rPr/>
        <w:t>еще</w:t>
      </w:r>
      <w:r>
        <w:rPr>
          <w:spacing w:val="40"/>
        </w:rPr>
        <w:t> </w:t>
      </w:r>
      <w:r>
        <w:rPr/>
        <w:t>до</w:t>
      </w:r>
      <w:r>
        <w:rPr>
          <w:spacing w:val="40"/>
        </w:rPr>
        <w:t> </w:t>
      </w:r>
      <w:r>
        <w:rPr/>
        <w:t>появления</w:t>
      </w:r>
      <w:r>
        <w:rPr>
          <w:spacing w:val="40"/>
        </w:rPr>
        <w:t> </w:t>
      </w:r>
      <w:r>
        <w:rPr/>
        <w:t>положительных</w:t>
      </w:r>
      <w:r>
        <w:rPr>
          <w:spacing w:val="40"/>
        </w:rPr>
        <w:t> </w:t>
      </w:r>
      <w:r>
        <w:rPr/>
        <w:t>лабораторных</w:t>
      </w:r>
      <w:r>
        <w:rPr>
          <w:spacing w:val="40"/>
        </w:rPr>
        <w:t> </w:t>
      </w:r>
      <w:r>
        <w:rPr/>
        <w:t>тестов на</w:t>
      </w:r>
      <w:r>
        <w:rPr>
          <w:spacing w:val="40"/>
        </w:rPr>
        <w:t> </w:t>
      </w:r>
      <w:r>
        <w:rPr/>
        <w:t>инфекцию</w:t>
      </w:r>
      <w:r>
        <w:rPr>
          <w:spacing w:val="40"/>
        </w:rPr>
        <w:t> </w:t>
      </w:r>
      <w:r>
        <w:rPr/>
        <w:t>с</w:t>
      </w:r>
      <w:r>
        <w:rPr>
          <w:spacing w:val="40"/>
        </w:rPr>
        <w:t> </w:t>
      </w:r>
      <w:r>
        <w:rPr/>
        <w:t>помощью</w:t>
      </w:r>
      <w:r>
        <w:rPr>
          <w:spacing w:val="40"/>
        </w:rPr>
        <w:t> </w:t>
      </w:r>
      <w:r>
        <w:rPr/>
        <w:t>МАНК.</w:t>
      </w:r>
      <w:r>
        <w:rPr>
          <w:spacing w:val="40"/>
        </w:rPr>
        <w:t> </w:t>
      </w:r>
      <w:r>
        <w:rPr/>
        <w:t>В</w:t>
      </w:r>
      <w:r>
        <w:rPr>
          <w:spacing w:val="40"/>
        </w:rPr>
        <w:t> </w:t>
      </w:r>
      <w:r>
        <w:rPr/>
        <w:t>то</w:t>
      </w:r>
      <w:r>
        <w:rPr>
          <w:spacing w:val="40"/>
        </w:rPr>
        <w:t> </w:t>
      </w:r>
      <w:r>
        <w:rPr/>
        <w:t>же</w:t>
      </w:r>
      <w:r>
        <w:rPr>
          <w:spacing w:val="40"/>
        </w:rPr>
        <w:t> </w:t>
      </w:r>
      <w:r>
        <w:rPr/>
        <w:t>время</w:t>
      </w:r>
      <w:r>
        <w:rPr>
          <w:spacing w:val="40"/>
        </w:rPr>
        <w:t> </w:t>
      </w:r>
      <w:r>
        <w:rPr/>
        <w:t>КТ</w:t>
      </w:r>
      <w:r>
        <w:rPr>
          <w:spacing w:val="40"/>
        </w:rPr>
        <w:t> </w:t>
      </w:r>
      <w:r>
        <w:rPr/>
        <w:t>выявляет</w:t>
      </w:r>
      <w:r>
        <w:rPr>
          <w:spacing w:val="40"/>
        </w:rPr>
        <w:t> </w:t>
      </w:r>
      <w:r>
        <w:rPr/>
        <w:t>изменения</w:t>
      </w:r>
      <w:r>
        <w:rPr>
          <w:spacing w:val="40"/>
        </w:rPr>
        <w:t> </w:t>
      </w:r>
      <w:r>
        <w:rPr/>
        <w:t>легких у</w:t>
      </w:r>
      <w:r>
        <w:rPr>
          <w:spacing w:val="-4"/>
        </w:rPr>
        <w:t> </w:t>
      </w:r>
      <w:r>
        <w:rPr/>
        <w:t>значительного числа пациентов с бессимптомной и легкой формами заболевания, которым</w:t>
      </w:r>
      <w:r>
        <w:rPr>
          <w:spacing w:val="40"/>
        </w:rPr>
        <w:t> </w:t>
      </w:r>
      <w:r>
        <w:rPr/>
        <w:t>не</w:t>
      </w:r>
      <w:r>
        <w:rPr>
          <w:spacing w:val="40"/>
        </w:rPr>
        <w:t> </w:t>
      </w:r>
      <w:r>
        <w:rPr/>
        <w:t>требуется</w:t>
      </w:r>
      <w:r>
        <w:rPr>
          <w:spacing w:val="40"/>
        </w:rPr>
        <w:t> </w:t>
      </w:r>
      <w:r>
        <w:rPr/>
        <w:t>госпитализация.</w:t>
      </w:r>
      <w:r>
        <w:rPr>
          <w:spacing w:val="40"/>
        </w:rPr>
        <w:t> </w:t>
      </w:r>
      <w:r>
        <w:rPr/>
        <w:t>Результаты</w:t>
      </w:r>
      <w:r>
        <w:rPr>
          <w:spacing w:val="40"/>
        </w:rPr>
        <w:t> </w:t>
      </w:r>
      <w:r>
        <w:rPr/>
        <w:t>КТ</w:t>
      </w:r>
      <w:r>
        <w:rPr>
          <w:spacing w:val="40"/>
        </w:rPr>
        <w:t> </w:t>
      </w:r>
      <w:r>
        <w:rPr/>
        <w:t>в</w:t>
      </w:r>
      <w:r>
        <w:rPr>
          <w:spacing w:val="40"/>
        </w:rPr>
        <w:t> </w:t>
      </w:r>
      <w:r>
        <w:rPr/>
        <w:t>этих</w:t>
      </w:r>
      <w:r>
        <w:rPr>
          <w:spacing w:val="40"/>
        </w:rPr>
        <w:t> </w:t>
      </w:r>
      <w:r>
        <w:rPr/>
        <w:t>случаях</w:t>
      </w:r>
      <w:r>
        <w:rPr>
          <w:spacing w:val="40"/>
        </w:rPr>
        <w:t> </w:t>
      </w:r>
      <w:r>
        <w:rPr/>
        <w:t>не</w:t>
      </w:r>
      <w:r>
        <w:rPr>
          <w:spacing w:val="40"/>
        </w:rPr>
        <w:t> </w:t>
      </w:r>
      <w:r>
        <w:rPr/>
        <w:t>влияют на</w:t>
      </w:r>
      <w:r>
        <w:rPr>
          <w:spacing w:val="-16"/>
        </w:rPr>
        <w:t> </w:t>
      </w:r>
      <w:r>
        <w:rPr/>
        <w:t>тактику</w:t>
      </w:r>
      <w:r>
        <w:rPr>
          <w:spacing w:val="-15"/>
        </w:rPr>
        <w:t> </w:t>
      </w:r>
      <w:r>
        <w:rPr/>
        <w:t>лечения</w:t>
      </w:r>
      <w:r>
        <w:rPr>
          <w:spacing w:val="-15"/>
        </w:rPr>
        <w:t> </w:t>
      </w:r>
      <w:r>
        <w:rPr/>
        <w:t>и</w:t>
      </w:r>
      <w:r>
        <w:rPr>
          <w:spacing w:val="-15"/>
        </w:rPr>
        <w:t> </w:t>
      </w:r>
      <w:r>
        <w:rPr/>
        <w:t>прогноз</w:t>
      </w:r>
      <w:r>
        <w:rPr>
          <w:spacing w:val="-15"/>
        </w:rPr>
        <w:t> </w:t>
      </w:r>
      <w:r>
        <w:rPr/>
        <w:t>заболевания</w:t>
      </w:r>
      <w:r>
        <w:rPr>
          <w:spacing w:val="-15"/>
        </w:rPr>
        <w:t> </w:t>
      </w:r>
      <w:r>
        <w:rPr/>
        <w:t>при</w:t>
      </w:r>
      <w:r>
        <w:rPr>
          <w:spacing w:val="-16"/>
        </w:rPr>
        <w:t> </w:t>
      </w:r>
      <w:r>
        <w:rPr/>
        <w:t>наличии</w:t>
      </w:r>
      <w:r>
        <w:rPr>
          <w:spacing w:val="-15"/>
        </w:rPr>
        <w:t> </w:t>
      </w:r>
      <w:r>
        <w:rPr/>
        <w:t>лабораторного</w:t>
      </w:r>
      <w:r>
        <w:rPr>
          <w:spacing w:val="-17"/>
        </w:rPr>
        <w:t> </w:t>
      </w:r>
      <w:r>
        <w:rPr/>
        <w:t>подтверждения COVID-19. Поэтому массовое применение КТ для скрининга асимптомных и легких форм</w:t>
      </w:r>
      <w:r>
        <w:rPr>
          <w:spacing w:val="-5"/>
        </w:rPr>
        <w:t> </w:t>
      </w:r>
      <w:r>
        <w:rPr/>
        <w:t>болезни</w:t>
      </w:r>
      <w:r>
        <w:rPr>
          <w:spacing w:val="-4"/>
        </w:rPr>
        <w:t> </w:t>
      </w:r>
      <w:r>
        <w:rPr/>
        <w:t>не</w:t>
      </w:r>
      <w:r>
        <w:rPr>
          <w:spacing w:val="-5"/>
        </w:rPr>
        <w:t> </w:t>
      </w:r>
      <w:r>
        <w:rPr/>
        <w:t>рекомендуется.</w:t>
      </w:r>
      <w:r>
        <w:rPr>
          <w:spacing w:val="-3"/>
        </w:rPr>
        <w:t> </w:t>
      </w:r>
      <w:r>
        <w:rPr/>
        <w:t>При</w:t>
      </w:r>
      <w:r>
        <w:rPr>
          <w:spacing w:val="-4"/>
        </w:rPr>
        <w:t> </w:t>
      </w:r>
      <w:r>
        <w:rPr/>
        <w:t>первичном</w:t>
      </w:r>
      <w:r>
        <w:rPr>
          <w:spacing w:val="-5"/>
        </w:rPr>
        <w:t> </w:t>
      </w:r>
      <w:r>
        <w:rPr/>
        <w:t>обращении</w:t>
      </w:r>
      <w:r>
        <w:rPr>
          <w:spacing w:val="-4"/>
        </w:rPr>
        <w:t> </w:t>
      </w:r>
      <w:r>
        <w:rPr/>
        <w:t>пациента</w:t>
      </w:r>
      <w:r>
        <w:rPr>
          <w:spacing w:val="-5"/>
        </w:rPr>
        <w:t> </w:t>
      </w:r>
      <w:r>
        <w:rPr/>
        <w:t>с</w:t>
      </w:r>
      <w:r>
        <w:rPr>
          <w:spacing w:val="-3"/>
        </w:rPr>
        <w:t> </w:t>
      </w:r>
      <w:r>
        <w:rPr/>
        <w:t>подозрением на</w:t>
      </w:r>
      <w:r>
        <w:rPr>
          <w:spacing w:val="78"/>
          <w:w w:val="150"/>
        </w:rPr>
        <w:t> </w:t>
      </w:r>
      <w:r>
        <w:rPr/>
        <w:t>COVID-19</w:t>
      </w:r>
      <w:r>
        <w:rPr>
          <w:spacing w:val="78"/>
          <w:w w:val="150"/>
        </w:rPr>
        <w:t> </w:t>
      </w:r>
      <w:r>
        <w:rPr/>
        <w:t>рекомендуется</w:t>
      </w:r>
      <w:r>
        <w:rPr>
          <w:spacing w:val="78"/>
          <w:w w:val="150"/>
        </w:rPr>
        <w:t> </w:t>
      </w:r>
      <w:r>
        <w:rPr/>
        <w:t>назначать</w:t>
      </w:r>
      <w:r>
        <w:rPr>
          <w:spacing w:val="80"/>
          <w:w w:val="150"/>
        </w:rPr>
        <w:t> </w:t>
      </w:r>
      <w:r>
        <w:rPr/>
        <w:t>КТ</w:t>
      </w:r>
      <w:r>
        <w:rPr>
          <w:spacing w:val="78"/>
          <w:w w:val="150"/>
        </w:rPr>
        <w:t> </w:t>
      </w:r>
      <w:r>
        <w:rPr/>
        <w:t>только</w:t>
      </w:r>
      <w:r>
        <w:rPr>
          <w:spacing w:val="77"/>
          <w:w w:val="150"/>
        </w:rPr>
        <w:t> </w:t>
      </w:r>
      <w:r>
        <w:rPr/>
        <w:t>при</w:t>
      </w:r>
      <w:r>
        <w:rPr>
          <w:spacing w:val="78"/>
          <w:w w:val="150"/>
        </w:rPr>
        <w:t> </w:t>
      </w:r>
      <w:r>
        <w:rPr/>
        <w:t>наличии</w:t>
      </w:r>
      <w:r>
        <w:rPr>
          <w:spacing w:val="77"/>
          <w:w w:val="150"/>
        </w:rPr>
        <w:t> </w:t>
      </w:r>
      <w:r>
        <w:rPr/>
        <w:t>клинических </w:t>
      </w:r>
      <w:r>
        <w:rPr>
          <w:position w:val="2"/>
        </w:rPr>
        <w:t>и</w:t>
      </w:r>
      <w:r>
        <w:rPr>
          <w:spacing w:val="-15"/>
          <w:position w:val="2"/>
        </w:rPr>
        <w:t> </w:t>
      </w:r>
      <w:r>
        <w:rPr>
          <w:position w:val="2"/>
        </w:rPr>
        <w:t>инструментальных</w:t>
      </w:r>
      <w:r>
        <w:rPr>
          <w:spacing w:val="-15"/>
          <w:position w:val="2"/>
        </w:rPr>
        <w:t> </w:t>
      </w:r>
      <w:r>
        <w:rPr>
          <w:position w:val="2"/>
        </w:rPr>
        <w:t>признаков</w:t>
      </w:r>
      <w:r>
        <w:rPr>
          <w:spacing w:val="-15"/>
          <w:position w:val="2"/>
        </w:rPr>
        <w:t> </w:t>
      </w:r>
      <w:r>
        <w:rPr>
          <w:position w:val="2"/>
        </w:rPr>
        <w:t>дыхательной</w:t>
      </w:r>
      <w:r>
        <w:rPr>
          <w:spacing w:val="-15"/>
          <w:position w:val="2"/>
        </w:rPr>
        <w:t> </w:t>
      </w:r>
      <w:r>
        <w:rPr>
          <w:position w:val="2"/>
        </w:rPr>
        <w:t>недостаточности</w:t>
      </w:r>
      <w:r>
        <w:rPr>
          <w:spacing w:val="-15"/>
          <w:position w:val="2"/>
        </w:rPr>
        <w:t> </w:t>
      </w:r>
      <w:r>
        <w:rPr>
          <w:position w:val="2"/>
        </w:rPr>
        <w:t>(SpO</w:t>
      </w:r>
      <w:r>
        <w:rPr>
          <w:sz w:val="16"/>
        </w:rPr>
        <w:t>2</w:t>
      </w:r>
      <w:r>
        <w:rPr>
          <w:spacing w:val="-10"/>
          <w:sz w:val="16"/>
        </w:rPr>
        <w:t> </w:t>
      </w:r>
      <w:r>
        <w:rPr>
          <w:position w:val="2"/>
        </w:rPr>
        <w:t>&lt;95%,</w:t>
      </w:r>
      <w:r>
        <w:rPr>
          <w:spacing w:val="-15"/>
          <w:position w:val="2"/>
        </w:rPr>
        <w:t> </w:t>
      </w:r>
      <w:r>
        <w:rPr>
          <w:position w:val="2"/>
        </w:rPr>
        <w:t>ЧДД</w:t>
      </w:r>
      <w:r>
        <w:rPr>
          <w:spacing w:val="-16"/>
          <w:position w:val="2"/>
        </w:rPr>
        <w:t> </w:t>
      </w:r>
      <w:r>
        <w:rPr>
          <w:position w:val="2"/>
        </w:rPr>
        <w:t>&gt;22). </w:t>
      </w:r>
      <w:r>
        <w:rPr/>
        <w:t>Ограничениями</w:t>
      </w:r>
      <w:r>
        <w:rPr>
          <w:spacing w:val="80"/>
        </w:rPr>
        <w:t> </w:t>
      </w:r>
      <w:r>
        <w:rPr/>
        <w:t>КТ</w:t>
      </w:r>
      <w:r>
        <w:rPr>
          <w:spacing w:val="80"/>
        </w:rPr>
        <w:t> </w:t>
      </w:r>
      <w:r>
        <w:rPr/>
        <w:t>в</w:t>
      </w:r>
      <w:r>
        <w:rPr>
          <w:spacing w:val="80"/>
        </w:rPr>
        <w:t> </w:t>
      </w:r>
      <w:r>
        <w:rPr/>
        <w:t>сравнении</w:t>
      </w:r>
      <w:r>
        <w:rPr>
          <w:spacing w:val="80"/>
        </w:rPr>
        <w:t> </w:t>
      </w:r>
      <w:r>
        <w:rPr/>
        <w:t>с</w:t>
      </w:r>
      <w:r>
        <w:rPr>
          <w:spacing w:val="80"/>
        </w:rPr>
        <w:t> </w:t>
      </w:r>
      <w:r>
        <w:rPr/>
        <w:t>РГ</w:t>
      </w:r>
      <w:r>
        <w:rPr>
          <w:spacing w:val="80"/>
        </w:rPr>
        <w:t> </w:t>
      </w:r>
      <w:r>
        <w:rPr/>
        <w:t>являются:</w:t>
      </w:r>
      <w:r>
        <w:rPr>
          <w:spacing w:val="80"/>
        </w:rPr>
        <w:t> </w:t>
      </w:r>
      <w:r>
        <w:rPr/>
        <w:t>меньшая</w:t>
      </w:r>
      <w:r>
        <w:rPr>
          <w:spacing w:val="80"/>
        </w:rPr>
        <w:t> </w:t>
      </w:r>
      <w:r>
        <w:rPr/>
        <w:t>доступность</w:t>
      </w:r>
      <w:r>
        <w:rPr>
          <w:spacing w:val="40"/>
        </w:rPr>
        <w:t> </w:t>
      </w:r>
      <w:r>
        <w:rPr>
          <w:spacing w:val="-2"/>
        </w:rPr>
        <w:t>технологии</w:t>
      </w:r>
      <w:r>
        <w:rPr/>
        <w:tab/>
      </w:r>
      <w:r>
        <w:rPr>
          <w:spacing w:val="-10"/>
        </w:rPr>
        <w:t>в</w:t>
      </w:r>
      <w:r>
        <w:rPr/>
        <w:tab/>
      </w:r>
      <w:r>
        <w:rPr>
          <w:spacing w:val="-2"/>
        </w:rPr>
        <w:t>отдельных</w:t>
      </w:r>
      <w:r>
        <w:rPr/>
        <w:tab/>
      </w:r>
      <w:r>
        <w:rPr>
          <w:spacing w:val="-2"/>
        </w:rPr>
        <w:t>медицинских</w:t>
      </w:r>
      <w:r>
        <w:rPr/>
        <w:tab/>
      </w:r>
      <w:r>
        <w:rPr>
          <w:spacing w:val="-2"/>
        </w:rPr>
        <w:t>организациях,</w:t>
      </w:r>
      <w:r>
        <w:rPr/>
        <w:tab/>
      </w:r>
      <w:r>
        <w:rPr>
          <w:spacing w:val="-2"/>
        </w:rPr>
        <w:t>городах</w:t>
      </w:r>
      <w:r>
        <w:rPr/>
        <w:tab/>
      </w:r>
      <w:r>
        <w:rPr>
          <w:spacing w:val="-10"/>
        </w:rPr>
        <w:t>и</w:t>
      </w:r>
      <w:r>
        <w:rPr/>
        <w:tab/>
      </w:r>
      <w:r>
        <w:rPr>
          <w:spacing w:val="-2"/>
        </w:rPr>
        <w:t>регионах; </w:t>
      </w:r>
      <w:r>
        <w:rPr/>
        <w:t>недоступность</w:t>
      </w:r>
      <w:r>
        <w:rPr>
          <w:spacing w:val="33"/>
        </w:rPr>
        <w:t> </w:t>
      </w:r>
      <w:r>
        <w:rPr/>
        <w:t>исследования</w:t>
      </w:r>
      <w:r>
        <w:rPr>
          <w:spacing w:val="33"/>
        </w:rPr>
        <w:t> </w:t>
      </w:r>
      <w:r>
        <w:rPr/>
        <w:t>для</w:t>
      </w:r>
      <w:r>
        <w:rPr>
          <w:spacing w:val="33"/>
        </w:rPr>
        <w:t> </w:t>
      </w:r>
      <w:r>
        <w:rPr/>
        <w:t>части</w:t>
      </w:r>
      <w:r>
        <w:rPr>
          <w:spacing w:val="33"/>
        </w:rPr>
        <w:t> </w:t>
      </w:r>
      <w:r>
        <w:rPr/>
        <w:t>пациентов,</w:t>
      </w:r>
      <w:r>
        <w:rPr>
          <w:spacing w:val="33"/>
        </w:rPr>
        <w:t> </w:t>
      </w:r>
      <w:r>
        <w:rPr/>
        <w:t>находящихся</w:t>
      </w:r>
      <w:r>
        <w:rPr>
          <w:spacing w:val="33"/>
        </w:rPr>
        <w:t> </w:t>
      </w:r>
      <w:r>
        <w:rPr/>
        <w:t>на</w:t>
      </w:r>
      <w:r>
        <w:rPr>
          <w:spacing w:val="32"/>
        </w:rPr>
        <w:t> </w:t>
      </w:r>
      <w:r>
        <w:rPr/>
        <w:t>ИВЛ;</w:t>
      </w:r>
      <w:r>
        <w:rPr>
          <w:spacing w:val="32"/>
        </w:rPr>
        <w:t> </w:t>
      </w:r>
      <w:r>
        <w:rPr>
          <w:spacing w:val="-2"/>
        </w:rPr>
        <w:t>высокая</w:t>
      </w:r>
    </w:p>
    <w:p>
      <w:pPr>
        <w:pStyle w:val="BodyText"/>
        <w:spacing w:line="269" w:lineRule="exact"/>
        <w:jc w:val="left"/>
      </w:pPr>
      <w:r>
        <w:rPr/>
        <w:t>потребность</w:t>
      </w:r>
      <w:r>
        <w:rPr>
          <w:spacing w:val="-14"/>
        </w:rPr>
        <w:t> </w:t>
      </w:r>
      <w:r>
        <w:rPr/>
        <w:t>в</w:t>
      </w:r>
      <w:r>
        <w:rPr>
          <w:spacing w:val="-14"/>
        </w:rPr>
        <w:t> </w:t>
      </w:r>
      <w:r>
        <w:rPr/>
        <w:t>КТ-исследованиях</w:t>
      </w:r>
      <w:r>
        <w:rPr>
          <w:spacing w:val="-15"/>
        </w:rPr>
        <w:t> </w:t>
      </w:r>
      <w:r>
        <w:rPr/>
        <w:t>для</w:t>
      </w:r>
      <w:r>
        <w:rPr>
          <w:spacing w:val="-14"/>
        </w:rPr>
        <w:t> </w:t>
      </w:r>
      <w:r>
        <w:rPr/>
        <w:t>диагностики</w:t>
      </w:r>
      <w:r>
        <w:rPr>
          <w:spacing w:val="-14"/>
        </w:rPr>
        <w:t> </w:t>
      </w:r>
      <w:r>
        <w:rPr/>
        <w:t>других</w:t>
      </w:r>
      <w:r>
        <w:rPr>
          <w:spacing w:val="-15"/>
        </w:rPr>
        <w:t> </w:t>
      </w:r>
      <w:r>
        <w:rPr>
          <w:spacing w:val="-2"/>
        </w:rPr>
        <w:t>заболеваний.</w:t>
      </w:r>
    </w:p>
    <w:p>
      <w:pPr>
        <w:pStyle w:val="BodyText"/>
        <w:tabs>
          <w:tab w:pos="3558" w:val="left" w:leader="none"/>
          <w:tab w:pos="3936" w:val="left" w:leader="none"/>
          <w:tab w:pos="4634" w:val="left" w:leader="none"/>
          <w:tab w:pos="6219" w:val="left" w:leader="none"/>
          <w:tab w:pos="7199" w:val="left" w:leader="none"/>
          <w:tab w:pos="9298" w:val="left" w:leader="none"/>
        </w:tabs>
        <w:spacing w:line="276" w:lineRule="auto" w:before="38"/>
        <w:ind w:right="1274" w:firstLine="707"/>
        <w:jc w:val="right"/>
      </w:pPr>
      <w:r>
        <w:rPr>
          <w:spacing w:val="-2"/>
        </w:rPr>
        <w:t>Вместе</w:t>
      </w:r>
      <w:r>
        <w:rPr/>
        <w:tab/>
      </w:r>
      <w:r>
        <w:rPr>
          <w:spacing w:val="-10"/>
        </w:rPr>
        <w:t>с</w:t>
      </w:r>
      <w:r>
        <w:rPr/>
        <w:tab/>
      </w:r>
      <w:r>
        <w:rPr>
          <w:spacing w:val="-4"/>
        </w:rPr>
        <w:t>тем,</w:t>
      </w:r>
      <w:r>
        <w:rPr/>
        <w:tab/>
      </w:r>
      <w:r>
        <w:rPr>
          <w:spacing w:val="-2"/>
        </w:rPr>
        <w:t>комплексная</w:t>
      </w:r>
      <w:r>
        <w:rPr/>
        <w:tab/>
      </w:r>
      <w:r>
        <w:rPr>
          <w:spacing w:val="-2"/>
        </w:rPr>
        <w:t>оценка</w:t>
      </w:r>
      <w:r>
        <w:rPr/>
        <w:tab/>
      </w:r>
      <w:r>
        <w:rPr>
          <w:spacing w:val="-2"/>
        </w:rPr>
        <w:t>анамнестических,</w:t>
      </w:r>
      <w:r>
        <w:rPr/>
        <w:tab/>
      </w:r>
      <w:r>
        <w:rPr>
          <w:spacing w:val="-2"/>
        </w:rPr>
        <w:t>клинических </w:t>
      </w:r>
      <w:r>
        <w:rPr/>
        <w:t>и</w:t>
      </w:r>
      <w:r>
        <w:rPr>
          <w:spacing w:val="-3"/>
        </w:rPr>
        <w:t> </w:t>
      </w:r>
      <w:r>
        <w:rPr/>
        <w:t>рентгенологических</w:t>
      </w:r>
      <w:r>
        <w:rPr>
          <w:spacing w:val="40"/>
        </w:rPr>
        <w:t> </w:t>
      </w:r>
      <w:r>
        <w:rPr/>
        <w:t>данных</w:t>
      </w:r>
      <w:r>
        <w:rPr>
          <w:spacing w:val="40"/>
        </w:rPr>
        <w:t> </w:t>
      </w:r>
      <w:r>
        <w:rPr/>
        <w:t>позволяет</w:t>
      </w:r>
      <w:r>
        <w:rPr>
          <w:spacing w:val="40"/>
        </w:rPr>
        <w:t> </w:t>
      </w:r>
      <w:r>
        <w:rPr/>
        <w:t>определить</w:t>
      </w:r>
      <w:r>
        <w:rPr>
          <w:spacing w:val="40"/>
        </w:rPr>
        <w:t> </w:t>
      </w:r>
      <w:r>
        <w:rPr/>
        <w:t>клинически</w:t>
      </w:r>
      <w:r>
        <w:rPr>
          <w:spacing w:val="40"/>
        </w:rPr>
        <w:t> </w:t>
      </w:r>
      <w:r>
        <w:rPr/>
        <w:t>подтвержденный случай COVID-19, маршрутизировать пациента и начать противовирусную терапию. В</w:t>
      </w:r>
      <w:r>
        <w:rPr>
          <w:spacing w:val="80"/>
        </w:rPr>
        <w:t> </w:t>
      </w:r>
      <w:r>
        <w:rPr/>
        <w:t>связи</w:t>
      </w:r>
      <w:r>
        <w:rPr>
          <w:spacing w:val="80"/>
        </w:rPr>
        <w:t> </w:t>
      </w:r>
      <w:r>
        <w:rPr/>
        <w:t>с</w:t>
      </w:r>
      <w:r>
        <w:rPr>
          <w:spacing w:val="80"/>
        </w:rPr>
        <w:t> </w:t>
      </w:r>
      <w:r>
        <w:rPr/>
        <w:t>этим</w:t>
      </w:r>
      <w:r>
        <w:rPr>
          <w:spacing w:val="80"/>
        </w:rPr>
        <w:t> </w:t>
      </w:r>
      <w:r>
        <w:rPr/>
        <w:t>КТ</w:t>
      </w:r>
      <w:r>
        <w:rPr>
          <w:spacing w:val="80"/>
        </w:rPr>
        <w:t> </w:t>
      </w:r>
      <w:r>
        <w:rPr/>
        <w:t>может</w:t>
      </w:r>
      <w:r>
        <w:rPr>
          <w:spacing w:val="80"/>
        </w:rPr>
        <w:t> </w:t>
      </w:r>
      <w:r>
        <w:rPr/>
        <w:t>быть</w:t>
      </w:r>
      <w:r>
        <w:rPr>
          <w:spacing w:val="80"/>
        </w:rPr>
        <w:t> </w:t>
      </w:r>
      <w:r>
        <w:rPr/>
        <w:t>исследованием</w:t>
      </w:r>
      <w:r>
        <w:rPr>
          <w:spacing w:val="80"/>
        </w:rPr>
        <w:t> </w:t>
      </w:r>
      <w:r>
        <w:rPr/>
        <w:t>«первой</w:t>
      </w:r>
      <w:r>
        <w:rPr>
          <w:spacing w:val="80"/>
        </w:rPr>
        <w:t> </w:t>
      </w:r>
      <w:r>
        <w:rPr/>
        <w:t>линии»</w:t>
      </w:r>
      <w:r>
        <w:rPr>
          <w:spacing w:val="80"/>
        </w:rPr>
        <w:t> </w:t>
      </w:r>
      <w:r>
        <w:rPr/>
        <w:t>в</w:t>
      </w:r>
      <w:r>
        <w:rPr>
          <w:spacing w:val="80"/>
        </w:rPr>
        <w:t> </w:t>
      </w:r>
      <w:r>
        <w:rPr/>
        <w:t>тех медицинских организациях/территориях,</w:t>
      </w:r>
      <w:r>
        <w:rPr>
          <w:spacing w:val="-1"/>
        </w:rPr>
        <w:t> </w:t>
      </w:r>
      <w:r>
        <w:rPr/>
        <w:t>в которых имеется достаточное количество аппаратов</w:t>
      </w:r>
      <w:r>
        <w:rPr>
          <w:spacing w:val="-2"/>
        </w:rPr>
        <w:t> </w:t>
      </w:r>
      <w:r>
        <w:rPr/>
        <w:t>и</w:t>
      </w:r>
      <w:r>
        <w:rPr>
          <w:spacing w:val="-1"/>
        </w:rPr>
        <w:t> </w:t>
      </w:r>
      <w:r>
        <w:rPr/>
        <w:t>кадровое</w:t>
      </w:r>
      <w:r>
        <w:rPr>
          <w:spacing w:val="-4"/>
        </w:rPr>
        <w:t> </w:t>
      </w:r>
      <w:r>
        <w:rPr/>
        <w:t>обеспечение</w:t>
      </w:r>
      <w:r>
        <w:rPr>
          <w:spacing w:val="-3"/>
        </w:rPr>
        <w:t> </w:t>
      </w:r>
      <w:r>
        <w:rPr/>
        <w:t>для</w:t>
      </w:r>
      <w:r>
        <w:rPr>
          <w:spacing w:val="-2"/>
        </w:rPr>
        <w:t> </w:t>
      </w:r>
      <w:r>
        <w:rPr/>
        <w:t>выполнения</w:t>
      </w:r>
      <w:r>
        <w:rPr>
          <w:spacing w:val="-2"/>
        </w:rPr>
        <w:t> </w:t>
      </w:r>
      <w:r>
        <w:rPr/>
        <w:t>требуемого</w:t>
      </w:r>
      <w:r>
        <w:rPr>
          <w:spacing w:val="-2"/>
        </w:rPr>
        <w:t> </w:t>
      </w:r>
      <w:r>
        <w:rPr/>
        <w:t>объема</w:t>
      </w:r>
      <w:r>
        <w:rPr>
          <w:spacing w:val="-3"/>
        </w:rPr>
        <w:t> </w:t>
      </w:r>
      <w:r>
        <w:rPr/>
        <w:t>исследований без</w:t>
      </w:r>
      <w:r>
        <w:rPr>
          <w:spacing w:val="55"/>
          <w:w w:val="150"/>
        </w:rPr>
        <w:t> </w:t>
      </w:r>
      <w:r>
        <w:rPr/>
        <w:t>ущерба</w:t>
      </w:r>
      <w:r>
        <w:rPr>
          <w:spacing w:val="53"/>
          <w:w w:val="150"/>
        </w:rPr>
        <w:t> </w:t>
      </w:r>
      <w:r>
        <w:rPr/>
        <w:t>для</w:t>
      </w:r>
      <w:r>
        <w:rPr>
          <w:spacing w:val="55"/>
          <w:w w:val="150"/>
        </w:rPr>
        <w:t> </w:t>
      </w:r>
      <w:r>
        <w:rPr/>
        <w:t>своевременной</w:t>
      </w:r>
      <w:r>
        <w:rPr>
          <w:spacing w:val="55"/>
          <w:w w:val="150"/>
        </w:rPr>
        <w:t> </w:t>
      </w:r>
      <w:r>
        <w:rPr/>
        <w:t>диагностики</w:t>
      </w:r>
      <w:r>
        <w:rPr>
          <w:spacing w:val="55"/>
          <w:w w:val="150"/>
        </w:rPr>
        <w:t> </w:t>
      </w:r>
      <w:r>
        <w:rPr/>
        <w:t>других</w:t>
      </w:r>
      <w:r>
        <w:rPr>
          <w:spacing w:val="52"/>
          <w:w w:val="150"/>
        </w:rPr>
        <w:t> </w:t>
      </w:r>
      <w:r>
        <w:rPr/>
        <w:t>болезней</w:t>
      </w:r>
      <w:r>
        <w:rPr>
          <w:spacing w:val="53"/>
          <w:w w:val="150"/>
        </w:rPr>
        <w:t> </w:t>
      </w:r>
      <w:r>
        <w:rPr>
          <w:spacing w:val="-2"/>
        </w:rPr>
        <w:t>(онкологических,</w:t>
      </w:r>
    </w:p>
    <w:p>
      <w:pPr>
        <w:pStyle w:val="BodyText"/>
        <w:spacing w:line="272" w:lineRule="exact"/>
        <w:jc w:val="left"/>
      </w:pPr>
      <w:r>
        <w:rPr/>
        <w:t>неврологических</w:t>
      </w:r>
      <w:r>
        <w:rPr>
          <w:spacing w:val="-11"/>
        </w:rPr>
        <w:t> </w:t>
      </w:r>
      <w:r>
        <w:rPr/>
        <w:t>и</w:t>
      </w:r>
      <w:r>
        <w:rPr>
          <w:spacing w:val="-11"/>
        </w:rPr>
        <w:t> </w:t>
      </w:r>
      <w:r>
        <w:rPr/>
        <w:t>т.д.)</w:t>
      </w:r>
      <w:r>
        <w:rPr>
          <w:spacing w:val="-13"/>
        </w:rPr>
        <w:t> </w:t>
      </w:r>
      <w:r>
        <w:rPr/>
        <w:t>у</w:t>
      </w:r>
      <w:r>
        <w:rPr>
          <w:spacing w:val="-11"/>
        </w:rPr>
        <w:t> </w:t>
      </w:r>
      <w:r>
        <w:rPr/>
        <w:t>наиболее</w:t>
      </w:r>
      <w:r>
        <w:rPr>
          <w:spacing w:val="-12"/>
        </w:rPr>
        <w:t> </w:t>
      </w:r>
      <w:r>
        <w:rPr/>
        <w:t>нуждающихся</w:t>
      </w:r>
      <w:r>
        <w:rPr>
          <w:spacing w:val="-11"/>
        </w:rPr>
        <w:t> </w:t>
      </w:r>
      <w:r>
        <w:rPr/>
        <w:t>в</w:t>
      </w:r>
      <w:r>
        <w:rPr>
          <w:spacing w:val="-11"/>
        </w:rPr>
        <w:t> </w:t>
      </w:r>
      <w:r>
        <w:rPr/>
        <w:t>этом</w:t>
      </w:r>
      <w:r>
        <w:rPr>
          <w:spacing w:val="-11"/>
        </w:rPr>
        <w:t> </w:t>
      </w:r>
      <w:r>
        <w:rPr/>
        <w:t>исследовании</w:t>
      </w:r>
      <w:r>
        <w:rPr>
          <w:spacing w:val="-10"/>
        </w:rPr>
        <w:t> </w:t>
      </w:r>
      <w:r>
        <w:rPr>
          <w:spacing w:val="-2"/>
        </w:rPr>
        <w:t>пациентов.</w:t>
      </w:r>
    </w:p>
    <w:p>
      <w:pPr>
        <w:pStyle w:val="BodyText"/>
        <w:spacing w:line="276" w:lineRule="auto" w:before="43"/>
        <w:ind w:right="1276" w:firstLine="707"/>
      </w:pPr>
      <w:r>
        <w:rPr>
          <w:b/>
        </w:rPr>
        <w:t>УЗИ </w:t>
      </w:r>
      <w:r>
        <w:rPr/>
        <w:t>легких у пациентов с предполагаемой/известной COVID-19 пневмонией является</w:t>
      </w:r>
      <w:r>
        <w:rPr>
          <w:spacing w:val="52"/>
          <w:w w:val="150"/>
        </w:rPr>
        <w:t>  </w:t>
      </w:r>
      <w:r>
        <w:rPr/>
        <w:t>дополнительным</w:t>
      </w:r>
      <w:r>
        <w:rPr>
          <w:spacing w:val="53"/>
          <w:w w:val="150"/>
        </w:rPr>
        <w:t>  </w:t>
      </w:r>
      <w:r>
        <w:rPr/>
        <w:t>методом</w:t>
      </w:r>
      <w:r>
        <w:rPr>
          <w:spacing w:val="52"/>
          <w:w w:val="150"/>
        </w:rPr>
        <w:t>  </w:t>
      </w:r>
      <w:r>
        <w:rPr/>
        <w:t>визуализации,</w:t>
      </w:r>
      <w:r>
        <w:rPr>
          <w:spacing w:val="55"/>
          <w:w w:val="150"/>
        </w:rPr>
        <w:t>  </w:t>
      </w:r>
      <w:r>
        <w:rPr/>
        <w:t>который</w:t>
      </w:r>
      <w:r>
        <w:rPr>
          <w:spacing w:val="53"/>
          <w:w w:val="150"/>
        </w:rPr>
        <w:t>  </w:t>
      </w:r>
      <w:r>
        <w:rPr/>
        <w:t>не</w:t>
      </w:r>
      <w:r>
        <w:rPr>
          <w:spacing w:val="52"/>
          <w:w w:val="150"/>
        </w:rPr>
        <w:t>  </w:t>
      </w:r>
      <w:r>
        <w:rPr>
          <w:spacing w:val="-2"/>
        </w:rPr>
        <w:t>заменяет</w:t>
      </w:r>
    </w:p>
    <w:p>
      <w:pPr>
        <w:pStyle w:val="BodyText"/>
        <w:spacing w:after="0" w:line="276" w:lineRule="auto"/>
        <w:sectPr>
          <w:pgSz w:w="11900" w:h="16840"/>
          <w:pgMar w:header="0" w:footer="697" w:top="1080" w:bottom="880" w:left="0" w:right="0"/>
        </w:sectPr>
      </w:pPr>
    </w:p>
    <w:p>
      <w:pPr>
        <w:pStyle w:val="BodyText"/>
        <w:spacing w:line="276" w:lineRule="auto" w:before="73"/>
        <w:ind w:right="1278"/>
      </w:pPr>
      <w:bookmarkStart w:name="28" w:id="37"/>
      <w:bookmarkEnd w:id="37"/>
      <w:r>
        <w:rPr/>
      </w:r>
      <w:r>
        <w:rPr/>
        <w:t>и не исключает проведение РГ и КТ. При соблюдении правильной методики, выборе правильных</w:t>
      </w:r>
      <w:r>
        <w:rPr>
          <w:spacing w:val="40"/>
        </w:rPr>
        <w:t>  </w:t>
      </w:r>
      <w:r>
        <w:rPr/>
        <w:t>показаний</w:t>
      </w:r>
      <w:r>
        <w:rPr>
          <w:spacing w:val="40"/>
        </w:rPr>
        <w:t>  </w:t>
      </w:r>
      <w:r>
        <w:rPr/>
        <w:t>и</w:t>
      </w:r>
      <w:r>
        <w:rPr>
          <w:spacing w:val="40"/>
        </w:rPr>
        <w:t>  </w:t>
      </w:r>
      <w:r>
        <w:rPr/>
        <w:t>наличии</w:t>
      </w:r>
      <w:r>
        <w:rPr>
          <w:spacing w:val="40"/>
        </w:rPr>
        <w:t>  </w:t>
      </w:r>
      <w:r>
        <w:rPr/>
        <w:t>подготовленного</w:t>
      </w:r>
      <w:r>
        <w:rPr>
          <w:spacing w:val="40"/>
        </w:rPr>
        <w:t>  </w:t>
      </w:r>
      <w:r>
        <w:rPr/>
        <w:t>врачебного</w:t>
      </w:r>
      <w:r>
        <w:rPr>
          <w:spacing w:val="40"/>
        </w:rPr>
        <w:t>  </w:t>
      </w:r>
      <w:r>
        <w:rPr/>
        <w:t>персонала</w:t>
      </w:r>
      <w:r>
        <w:rPr>
          <w:spacing w:val="40"/>
        </w:rPr>
        <w:t> </w:t>
      </w:r>
      <w:r>
        <w:rPr/>
        <w:t>это исследование отличается высокой чувствительностью в выявлении интерстициальных изменений и</w:t>
      </w:r>
      <w:r>
        <w:rPr>
          <w:spacing w:val="-1"/>
        </w:rPr>
        <w:t> </w:t>
      </w:r>
      <w:r>
        <w:rPr/>
        <w:t>консолидаций в легочной ткани, но только при субплевральном</w:t>
      </w:r>
      <w:r>
        <w:rPr>
          <w:spacing w:val="-15"/>
        </w:rPr>
        <w:t> </w:t>
      </w:r>
      <w:r>
        <w:rPr/>
        <w:t>их</w:t>
      </w:r>
      <w:r>
        <w:rPr>
          <w:spacing w:val="-15"/>
        </w:rPr>
        <w:t> </w:t>
      </w:r>
      <w:r>
        <w:rPr/>
        <w:t>расположении.</w:t>
      </w:r>
      <w:r>
        <w:rPr>
          <w:spacing w:val="-15"/>
        </w:rPr>
        <w:t> </w:t>
      </w:r>
      <w:r>
        <w:rPr/>
        <w:t>Данные</w:t>
      </w:r>
      <w:r>
        <w:rPr>
          <w:spacing w:val="-15"/>
        </w:rPr>
        <w:t> </w:t>
      </w:r>
      <w:r>
        <w:rPr/>
        <w:t>УЗИ</w:t>
      </w:r>
      <w:r>
        <w:rPr>
          <w:spacing w:val="-15"/>
        </w:rPr>
        <w:t> </w:t>
      </w:r>
      <w:r>
        <w:rPr/>
        <w:t>не</w:t>
      </w:r>
      <w:r>
        <w:rPr>
          <w:spacing w:val="-15"/>
        </w:rPr>
        <w:t> </w:t>
      </w:r>
      <w:r>
        <w:rPr/>
        <w:t>позволяют</w:t>
      </w:r>
      <w:r>
        <w:rPr>
          <w:spacing w:val="-15"/>
        </w:rPr>
        <w:t> </w:t>
      </w:r>
      <w:r>
        <w:rPr/>
        <w:t>однозначно</w:t>
      </w:r>
      <w:r>
        <w:rPr>
          <w:spacing w:val="-15"/>
        </w:rPr>
        <w:t> </w:t>
      </w:r>
      <w:r>
        <w:rPr/>
        <w:t>определить причину</w:t>
      </w:r>
      <w:r>
        <w:rPr>
          <w:spacing w:val="80"/>
          <w:w w:val="150"/>
        </w:rPr>
        <w:t> </w:t>
      </w:r>
      <w:r>
        <w:rPr/>
        <w:t>возникновения</w:t>
      </w:r>
      <w:r>
        <w:rPr>
          <w:spacing w:val="80"/>
          <w:w w:val="150"/>
        </w:rPr>
        <w:t> </w:t>
      </w:r>
      <w:r>
        <w:rPr/>
        <w:t>и/или</w:t>
      </w:r>
      <w:r>
        <w:rPr>
          <w:spacing w:val="80"/>
          <w:w w:val="150"/>
        </w:rPr>
        <w:t> </w:t>
      </w:r>
      <w:r>
        <w:rPr/>
        <w:t>действительную</w:t>
      </w:r>
      <w:r>
        <w:rPr>
          <w:spacing w:val="80"/>
          <w:w w:val="150"/>
        </w:rPr>
        <w:t> </w:t>
      </w:r>
      <w:r>
        <w:rPr/>
        <w:t>распространенность</w:t>
      </w:r>
      <w:r>
        <w:rPr>
          <w:spacing w:val="80"/>
          <w:w w:val="150"/>
        </w:rPr>
        <w:t> </w:t>
      </w:r>
      <w:r>
        <w:rPr/>
        <w:t>изменений в легочной ткани.</w:t>
      </w:r>
    </w:p>
    <w:p>
      <w:pPr>
        <w:pStyle w:val="BodyText"/>
        <w:spacing w:line="276" w:lineRule="auto"/>
        <w:ind w:right="1278" w:firstLine="707"/>
      </w:pPr>
      <w:r>
        <w:rPr/>
        <w:t>Следует</w:t>
      </w:r>
      <w:r>
        <w:rPr>
          <w:spacing w:val="58"/>
        </w:rPr>
        <w:t>  </w:t>
      </w:r>
      <w:r>
        <w:rPr/>
        <w:t>учитывать,</w:t>
      </w:r>
      <w:r>
        <w:rPr>
          <w:spacing w:val="56"/>
        </w:rPr>
        <w:t>  </w:t>
      </w:r>
      <w:r>
        <w:rPr/>
        <w:t>что</w:t>
      </w:r>
      <w:r>
        <w:rPr>
          <w:spacing w:val="58"/>
        </w:rPr>
        <w:t>  </w:t>
      </w:r>
      <w:r>
        <w:rPr/>
        <w:t>УЗИ</w:t>
      </w:r>
      <w:r>
        <w:rPr>
          <w:spacing w:val="57"/>
        </w:rPr>
        <w:t>  </w:t>
      </w:r>
      <w:r>
        <w:rPr/>
        <w:t>не</w:t>
      </w:r>
      <w:r>
        <w:rPr>
          <w:spacing w:val="57"/>
        </w:rPr>
        <w:t>  </w:t>
      </w:r>
      <w:r>
        <w:rPr/>
        <w:t>является</w:t>
      </w:r>
      <w:r>
        <w:rPr>
          <w:spacing w:val="57"/>
        </w:rPr>
        <w:t>  </w:t>
      </w:r>
      <w:r>
        <w:rPr/>
        <w:t>стандартной</w:t>
      </w:r>
      <w:r>
        <w:rPr>
          <w:spacing w:val="58"/>
        </w:rPr>
        <w:t>  </w:t>
      </w:r>
      <w:r>
        <w:rPr/>
        <w:t>процедурой в</w:t>
      </w:r>
      <w:r>
        <w:rPr>
          <w:spacing w:val="-12"/>
        </w:rPr>
        <w:t> </w:t>
      </w:r>
      <w:r>
        <w:rPr/>
        <w:t>диагностике</w:t>
      </w:r>
      <w:r>
        <w:rPr>
          <w:spacing w:val="-13"/>
        </w:rPr>
        <w:t> </w:t>
      </w:r>
      <w:r>
        <w:rPr/>
        <w:t>пневмоний,</w:t>
      </w:r>
      <w:r>
        <w:rPr>
          <w:spacing w:val="-12"/>
        </w:rPr>
        <w:t> </w:t>
      </w:r>
      <w:r>
        <w:rPr/>
        <w:t>оно</w:t>
      </w:r>
      <w:r>
        <w:rPr>
          <w:spacing w:val="-12"/>
        </w:rPr>
        <w:t> </w:t>
      </w:r>
      <w:r>
        <w:rPr/>
        <w:t>не</w:t>
      </w:r>
      <w:r>
        <w:rPr>
          <w:spacing w:val="-13"/>
        </w:rPr>
        <w:t> </w:t>
      </w:r>
      <w:r>
        <w:rPr/>
        <w:t>включено</w:t>
      </w:r>
      <w:r>
        <w:rPr>
          <w:spacing w:val="-12"/>
        </w:rPr>
        <w:t> </w:t>
      </w:r>
      <w:r>
        <w:rPr/>
        <w:t>в</w:t>
      </w:r>
      <w:r>
        <w:rPr>
          <w:spacing w:val="-12"/>
        </w:rPr>
        <w:t> </w:t>
      </w:r>
      <w:r>
        <w:rPr/>
        <w:t>клинические</w:t>
      </w:r>
      <w:r>
        <w:rPr>
          <w:spacing w:val="-13"/>
        </w:rPr>
        <w:t> </w:t>
      </w:r>
      <w:r>
        <w:rPr/>
        <w:t>рекомендации</w:t>
      </w:r>
      <w:r>
        <w:rPr>
          <w:spacing w:val="-11"/>
        </w:rPr>
        <w:t> </w:t>
      </w:r>
      <w:r>
        <w:rPr/>
        <w:t>и</w:t>
      </w:r>
      <w:r>
        <w:rPr>
          <w:spacing w:val="-11"/>
        </w:rPr>
        <w:t> </w:t>
      </w:r>
      <w:r>
        <w:rPr/>
        <w:t>стандарты </w:t>
      </w:r>
      <w:r>
        <w:rPr>
          <w:spacing w:val="-2"/>
        </w:rPr>
        <w:t>оказания медицинской</w:t>
      </w:r>
      <w:r>
        <w:rPr>
          <w:spacing w:val="-5"/>
        </w:rPr>
        <w:t> </w:t>
      </w:r>
      <w:r>
        <w:rPr>
          <w:spacing w:val="-2"/>
        </w:rPr>
        <w:t>помощи</w:t>
      </w:r>
      <w:r>
        <w:rPr>
          <w:spacing w:val="-3"/>
        </w:rPr>
        <w:t> </w:t>
      </w:r>
      <w:r>
        <w:rPr>
          <w:spacing w:val="-2"/>
        </w:rPr>
        <w:t>по диагностике</w:t>
      </w:r>
      <w:r>
        <w:rPr>
          <w:spacing w:val="-5"/>
        </w:rPr>
        <w:t> </w:t>
      </w:r>
      <w:r>
        <w:rPr>
          <w:spacing w:val="-2"/>
        </w:rPr>
        <w:t>и лечению внебольничной</w:t>
      </w:r>
      <w:r>
        <w:rPr>
          <w:spacing w:val="-3"/>
        </w:rPr>
        <w:t> </w:t>
      </w:r>
      <w:r>
        <w:rPr>
          <w:spacing w:val="-2"/>
        </w:rPr>
        <w:t>пневмонии. </w:t>
      </w:r>
      <w:r>
        <w:rPr/>
        <w:t>В</w:t>
      </w:r>
      <w:r>
        <w:rPr>
          <w:spacing w:val="40"/>
        </w:rPr>
        <w:t> </w:t>
      </w:r>
      <w:r>
        <w:rPr/>
        <w:t>связи</w:t>
      </w:r>
      <w:r>
        <w:rPr>
          <w:spacing w:val="40"/>
        </w:rPr>
        <w:t> </w:t>
      </w:r>
      <w:r>
        <w:rPr/>
        <w:t>с</w:t>
      </w:r>
      <w:r>
        <w:rPr>
          <w:spacing w:val="-4"/>
        </w:rPr>
        <w:t> </w:t>
      </w:r>
      <w:r>
        <w:rPr/>
        <w:t>этим</w:t>
      </w:r>
      <w:r>
        <w:rPr>
          <w:spacing w:val="40"/>
        </w:rPr>
        <w:t> </w:t>
      </w:r>
      <w:r>
        <w:rPr/>
        <w:t>результативность</w:t>
      </w:r>
      <w:r>
        <w:rPr>
          <w:spacing w:val="40"/>
        </w:rPr>
        <w:t> </w:t>
      </w:r>
      <w:r>
        <w:rPr/>
        <w:t>исследований</w:t>
      </w:r>
      <w:r>
        <w:rPr>
          <w:spacing w:val="40"/>
        </w:rPr>
        <w:t> </w:t>
      </w:r>
      <w:r>
        <w:rPr/>
        <w:t>в</w:t>
      </w:r>
      <w:r>
        <w:rPr>
          <w:spacing w:val="40"/>
        </w:rPr>
        <w:t> </w:t>
      </w:r>
      <w:r>
        <w:rPr/>
        <w:t>значительной</w:t>
      </w:r>
      <w:r>
        <w:rPr>
          <w:spacing w:val="40"/>
        </w:rPr>
        <w:t> </w:t>
      </w:r>
      <w:r>
        <w:rPr/>
        <w:t>степени</w:t>
      </w:r>
      <w:r>
        <w:rPr>
          <w:spacing w:val="40"/>
        </w:rPr>
        <w:t> </w:t>
      </w:r>
      <w:r>
        <w:rPr/>
        <w:t>зависит</w:t>
      </w:r>
      <w:r>
        <w:rPr>
          <w:spacing w:val="80"/>
        </w:rPr>
        <w:t> </w:t>
      </w:r>
      <w:r>
        <w:rPr/>
        <w:t>от имеющегося опыта и квалификации врача, проводящего исследование.</w:t>
      </w:r>
    </w:p>
    <w:p>
      <w:pPr>
        <w:pStyle w:val="Heading3"/>
        <w:spacing w:before="117"/>
        <w:jc w:val="left"/>
      </w:pPr>
      <w:r>
        <w:rPr>
          <w:spacing w:val="-2"/>
        </w:rPr>
        <w:t>Рекомендации</w:t>
      </w:r>
    </w:p>
    <w:p>
      <w:pPr>
        <w:pStyle w:val="ListParagraph"/>
        <w:numPr>
          <w:ilvl w:val="0"/>
          <w:numId w:val="13"/>
        </w:numPr>
        <w:tabs>
          <w:tab w:pos="2971" w:val="left" w:leader="none"/>
        </w:tabs>
        <w:spacing w:line="276" w:lineRule="auto" w:before="41" w:after="0"/>
        <w:ind w:left="1841" w:right="1271" w:firstLine="707"/>
        <w:jc w:val="both"/>
        <w:rPr>
          <w:sz w:val="24"/>
        </w:rPr>
      </w:pPr>
      <w:r>
        <w:rPr>
          <w:sz w:val="24"/>
        </w:rPr>
        <w:t>Рекомендовано выбирать методы визуализации при известной / предполагаемой</w:t>
      </w:r>
      <w:r>
        <w:rPr>
          <w:spacing w:val="74"/>
          <w:sz w:val="24"/>
        </w:rPr>
        <w:t>  </w:t>
      </w:r>
      <w:r>
        <w:rPr>
          <w:sz w:val="24"/>
        </w:rPr>
        <w:t>COVID-19</w:t>
      </w:r>
      <w:r>
        <w:rPr>
          <w:spacing w:val="73"/>
          <w:sz w:val="24"/>
        </w:rPr>
        <w:t>  </w:t>
      </w:r>
      <w:r>
        <w:rPr>
          <w:sz w:val="24"/>
        </w:rPr>
        <w:t>инфекции</w:t>
      </w:r>
      <w:r>
        <w:rPr>
          <w:spacing w:val="74"/>
          <w:sz w:val="24"/>
        </w:rPr>
        <w:t>  </w:t>
      </w:r>
      <w:r>
        <w:rPr>
          <w:sz w:val="24"/>
        </w:rPr>
        <w:t>дифференцированно,</w:t>
      </w:r>
      <w:r>
        <w:rPr>
          <w:spacing w:val="72"/>
          <w:sz w:val="24"/>
        </w:rPr>
        <w:t>  </w:t>
      </w:r>
      <w:r>
        <w:rPr>
          <w:sz w:val="24"/>
        </w:rPr>
        <w:t>в</w:t>
      </w:r>
      <w:r>
        <w:rPr>
          <w:spacing w:val="73"/>
          <w:sz w:val="24"/>
        </w:rPr>
        <w:t>  </w:t>
      </w:r>
      <w:r>
        <w:rPr>
          <w:sz w:val="24"/>
        </w:rPr>
        <w:t>соответствии с</w:t>
      </w:r>
      <w:r>
        <w:rPr>
          <w:spacing w:val="-6"/>
          <w:sz w:val="24"/>
        </w:rPr>
        <w:t> </w:t>
      </w:r>
      <w:r>
        <w:rPr>
          <w:sz w:val="24"/>
        </w:rPr>
        <w:t>имеющимися</w:t>
      </w:r>
      <w:r>
        <w:rPr>
          <w:spacing w:val="35"/>
          <w:sz w:val="24"/>
        </w:rPr>
        <w:t> </w:t>
      </w:r>
      <w:r>
        <w:rPr>
          <w:sz w:val="24"/>
        </w:rPr>
        <w:t>оборудованием</w:t>
      </w:r>
      <w:r>
        <w:rPr>
          <w:spacing w:val="35"/>
          <w:sz w:val="24"/>
        </w:rPr>
        <w:t> </w:t>
      </w:r>
      <w:r>
        <w:rPr>
          <w:sz w:val="24"/>
        </w:rPr>
        <w:t>и</w:t>
      </w:r>
      <w:r>
        <w:rPr>
          <w:spacing w:val="39"/>
          <w:sz w:val="24"/>
        </w:rPr>
        <w:t> </w:t>
      </w:r>
      <w:r>
        <w:rPr>
          <w:sz w:val="24"/>
        </w:rPr>
        <w:t>кадровыми</w:t>
      </w:r>
      <w:r>
        <w:rPr>
          <w:spacing w:val="36"/>
          <w:sz w:val="24"/>
        </w:rPr>
        <w:t> </w:t>
      </w:r>
      <w:r>
        <w:rPr>
          <w:sz w:val="24"/>
        </w:rPr>
        <w:t>ресурсами</w:t>
      </w:r>
      <w:r>
        <w:rPr>
          <w:spacing w:val="36"/>
          <w:sz w:val="24"/>
        </w:rPr>
        <w:t> </w:t>
      </w:r>
      <w:r>
        <w:rPr>
          <w:sz w:val="24"/>
        </w:rPr>
        <w:t>медицинской</w:t>
      </w:r>
      <w:r>
        <w:rPr>
          <w:spacing w:val="36"/>
          <w:sz w:val="24"/>
        </w:rPr>
        <w:t> </w:t>
      </w:r>
      <w:r>
        <w:rPr>
          <w:sz w:val="24"/>
        </w:rPr>
        <w:t>организации, а также структурой и количеством обследуемых пациентов.</w:t>
      </w:r>
    </w:p>
    <w:p>
      <w:pPr>
        <w:pStyle w:val="ListParagraph"/>
        <w:numPr>
          <w:ilvl w:val="0"/>
          <w:numId w:val="13"/>
        </w:numPr>
        <w:tabs>
          <w:tab w:pos="2940" w:val="left" w:leader="none"/>
        </w:tabs>
        <w:spacing w:line="276" w:lineRule="auto" w:before="0" w:after="0"/>
        <w:ind w:left="1841" w:right="1272" w:firstLine="707"/>
        <w:jc w:val="both"/>
        <w:rPr>
          <w:sz w:val="24"/>
        </w:rPr>
      </w:pPr>
      <w:r>
        <w:rPr>
          <w:sz w:val="24"/>
        </w:rPr>
        <w:t>Не рекомендовано применение методов лучевой диагностики при отсутствии</w:t>
      </w:r>
      <w:r>
        <w:rPr>
          <w:spacing w:val="-14"/>
          <w:sz w:val="24"/>
        </w:rPr>
        <w:t> </w:t>
      </w:r>
      <w:r>
        <w:rPr>
          <w:sz w:val="24"/>
        </w:rPr>
        <w:t>симптомов</w:t>
      </w:r>
      <w:r>
        <w:rPr>
          <w:spacing w:val="-15"/>
          <w:sz w:val="24"/>
        </w:rPr>
        <w:t> </w:t>
      </w:r>
      <w:r>
        <w:rPr>
          <w:sz w:val="24"/>
        </w:rPr>
        <w:t>ОРИ</w:t>
      </w:r>
      <w:r>
        <w:rPr>
          <w:spacing w:val="-14"/>
          <w:sz w:val="24"/>
        </w:rPr>
        <w:t> </w:t>
      </w:r>
      <w:r>
        <w:rPr>
          <w:sz w:val="24"/>
        </w:rPr>
        <w:t>у</w:t>
      </w:r>
      <w:r>
        <w:rPr>
          <w:spacing w:val="-14"/>
          <w:sz w:val="24"/>
        </w:rPr>
        <w:t> </w:t>
      </w:r>
      <w:r>
        <w:rPr>
          <w:sz w:val="24"/>
        </w:rPr>
        <w:t>пациентов</w:t>
      </w:r>
      <w:r>
        <w:rPr>
          <w:spacing w:val="-14"/>
          <w:sz w:val="24"/>
        </w:rPr>
        <w:t> </w:t>
      </w:r>
      <w:r>
        <w:rPr>
          <w:sz w:val="24"/>
        </w:rPr>
        <w:t>с</w:t>
      </w:r>
      <w:r>
        <w:rPr>
          <w:spacing w:val="-15"/>
          <w:sz w:val="24"/>
        </w:rPr>
        <w:t> </w:t>
      </w:r>
      <w:r>
        <w:rPr>
          <w:sz w:val="24"/>
        </w:rPr>
        <w:t>положительными</w:t>
      </w:r>
      <w:r>
        <w:rPr>
          <w:spacing w:val="-14"/>
          <w:sz w:val="24"/>
        </w:rPr>
        <w:t> </w:t>
      </w:r>
      <w:r>
        <w:rPr>
          <w:sz w:val="24"/>
        </w:rPr>
        <w:t>результатами</w:t>
      </w:r>
      <w:r>
        <w:rPr>
          <w:spacing w:val="-14"/>
          <w:sz w:val="24"/>
        </w:rPr>
        <w:t> </w:t>
      </w:r>
      <w:r>
        <w:rPr>
          <w:sz w:val="24"/>
        </w:rPr>
        <w:t>на</w:t>
      </w:r>
      <w:r>
        <w:rPr>
          <w:spacing w:val="-15"/>
          <w:sz w:val="24"/>
        </w:rPr>
        <w:t> </w:t>
      </w:r>
      <w:r>
        <w:rPr>
          <w:sz w:val="24"/>
        </w:rPr>
        <w:t>РНК</w:t>
      </w:r>
      <w:r>
        <w:rPr>
          <w:spacing w:val="-8"/>
          <w:sz w:val="24"/>
        </w:rPr>
        <w:t> </w:t>
      </w:r>
      <w:r>
        <w:rPr>
          <w:sz w:val="24"/>
        </w:rPr>
        <w:t>или антиген SARS-CoV-2, а</w:t>
      </w:r>
      <w:r>
        <w:rPr>
          <w:spacing w:val="-3"/>
          <w:sz w:val="24"/>
        </w:rPr>
        <w:t> </w:t>
      </w:r>
      <w:r>
        <w:rPr>
          <w:sz w:val="24"/>
        </w:rPr>
        <w:t>также при наличии эпидемиологических данных, указывающих на возможность инфицирования. Не рекомендовано проведение КТ беременным без снижения уровня сатурации ниже 95%.</w:t>
      </w:r>
    </w:p>
    <w:p>
      <w:pPr>
        <w:spacing w:line="276" w:lineRule="auto" w:before="0"/>
        <w:ind w:left="1841" w:right="1277" w:firstLine="707"/>
        <w:jc w:val="both"/>
        <w:rPr>
          <w:i/>
          <w:sz w:val="24"/>
        </w:rPr>
      </w:pPr>
      <w:r>
        <w:rPr>
          <w:i/>
          <w:sz w:val="24"/>
        </w:rPr>
        <w:t>Комментарии. В доступных на данный период времени клинических рекомендациях</w:t>
      </w:r>
      <w:r>
        <w:rPr>
          <w:i/>
          <w:spacing w:val="80"/>
          <w:sz w:val="24"/>
        </w:rPr>
        <w:t> </w:t>
      </w:r>
      <w:r>
        <w:rPr>
          <w:i/>
          <w:sz w:val="24"/>
        </w:rPr>
        <w:t>указано,</w:t>
      </w:r>
      <w:r>
        <w:rPr>
          <w:i/>
          <w:spacing w:val="80"/>
          <w:sz w:val="24"/>
        </w:rPr>
        <w:t> </w:t>
      </w:r>
      <w:r>
        <w:rPr>
          <w:i/>
          <w:sz w:val="24"/>
        </w:rPr>
        <w:t>что</w:t>
      </w:r>
      <w:r>
        <w:rPr>
          <w:i/>
          <w:spacing w:val="80"/>
          <w:sz w:val="24"/>
        </w:rPr>
        <w:t> </w:t>
      </w:r>
      <w:r>
        <w:rPr>
          <w:i/>
          <w:sz w:val="24"/>
        </w:rPr>
        <w:t>применение</w:t>
      </w:r>
      <w:r>
        <w:rPr>
          <w:i/>
          <w:spacing w:val="80"/>
          <w:sz w:val="24"/>
        </w:rPr>
        <w:t> </w:t>
      </w:r>
      <w:r>
        <w:rPr>
          <w:i/>
          <w:sz w:val="24"/>
        </w:rPr>
        <w:t>РГ,</w:t>
      </w:r>
      <w:r>
        <w:rPr>
          <w:i/>
          <w:spacing w:val="80"/>
          <w:sz w:val="24"/>
        </w:rPr>
        <w:t> </w:t>
      </w:r>
      <w:r>
        <w:rPr>
          <w:i/>
          <w:sz w:val="24"/>
        </w:rPr>
        <w:t>КТ</w:t>
      </w:r>
      <w:r>
        <w:rPr>
          <w:i/>
          <w:spacing w:val="80"/>
          <w:sz w:val="24"/>
        </w:rPr>
        <w:t> </w:t>
      </w:r>
      <w:r>
        <w:rPr>
          <w:i/>
          <w:sz w:val="24"/>
        </w:rPr>
        <w:t>и</w:t>
      </w:r>
      <w:r>
        <w:rPr>
          <w:i/>
          <w:spacing w:val="80"/>
          <w:sz w:val="24"/>
        </w:rPr>
        <w:t> </w:t>
      </w:r>
      <w:r>
        <w:rPr>
          <w:i/>
          <w:sz w:val="24"/>
        </w:rPr>
        <w:t>УЗИ</w:t>
      </w:r>
      <w:r>
        <w:rPr>
          <w:i/>
          <w:spacing w:val="80"/>
          <w:sz w:val="24"/>
        </w:rPr>
        <w:t> </w:t>
      </w:r>
      <w:r>
        <w:rPr>
          <w:i/>
          <w:sz w:val="24"/>
        </w:rPr>
        <w:t>для</w:t>
      </w:r>
      <w:r>
        <w:rPr>
          <w:i/>
          <w:spacing w:val="80"/>
          <w:sz w:val="24"/>
        </w:rPr>
        <w:t> </w:t>
      </w:r>
      <w:r>
        <w:rPr>
          <w:i/>
          <w:sz w:val="24"/>
        </w:rPr>
        <w:t>скрининга (выявления патологии при отсутствии клинических симптомов) внебольничных пневмоний в целом, и при COVID-19 в частности, не целесообразно.</w:t>
      </w:r>
    </w:p>
    <w:p>
      <w:pPr>
        <w:pStyle w:val="ListParagraph"/>
        <w:numPr>
          <w:ilvl w:val="0"/>
          <w:numId w:val="13"/>
        </w:numPr>
        <w:tabs>
          <w:tab w:pos="2839" w:val="left" w:leader="none"/>
        </w:tabs>
        <w:spacing w:line="276" w:lineRule="auto" w:before="0" w:after="0"/>
        <w:ind w:left="1841" w:right="1271" w:firstLine="707"/>
        <w:jc w:val="both"/>
        <w:rPr>
          <w:sz w:val="24"/>
        </w:rPr>
      </w:pPr>
      <w:r>
        <w:rPr>
          <w:sz w:val="24"/>
        </w:rPr>
        <w:t>Применение лучевых методов у пациентов с симптомами ОРВИ легкой степени</w:t>
      </w:r>
      <w:r>
        <w:rPr>
          <w:spacing w:val="40"/>
          <w:sz w:val="24"/>
        </w:rPr>
        <w:t>  </w:t>
      </w:r>
      <w:r>
        <w:rPr>
          <w:sz w:val="24"/>
        </w:rPr>
        <w:t>тяжести</w:t>
      </w:r>
      <w:r>
        <w:rPr>
          <w:spacing w:val="40"/>
          <w:sz w:val="24"/>
        </w:rPr>
        <w:t>  </w:t>
      </w:r>
      <w:r>
        <w:rPr>
          <w:sz w:val="24"/>
        </w:rPr>
        <w:t>и</w:t>
      </w:r>
      <w:r>
        <w:rPr>
          <w:spacing w:val="40"/>
          <w:sz w:val="24"/>
        </w:rPr>
        <w:t>  </w:t>
      </w:r>
      <w:r>
        <w:rPr>
          <w:sz w:val="24"/>
        </w:rPr>
        <w:t>при</w:t>
      </w:r>
      <w:r>
        <w:rPr>
          <w:spacing w:val="40"/>
          <w:sz w:val="24"/>
        </w:rPr>
        <w:t>  </w:t>
      </w:r>
      <w:r>
        <w:rPr>
          <w:sz w:val="24"/>
        </w:rPr>
        <w:t>стабильном</w:t>
      </w:r>
      <w:r>
        <w:rPr>
          <w:spacing w:val="40"/>
          <w:sz w:val="24"/>
        </w:rPr>
        <w:t>  </w:t>
      </w:r>
      <w:r>
        <w:rPr>
          <w:sz w:val="24"/>
        </w:rPr>
        <w:t>состоянии</w:t>
      </w:r>
      <w:r>
        <w:rPr>
          <w:spacing w:val="40"/>
          <w:sz w:val="24"/>
        </w:rPr>
        <w:t>  </w:t>
      </w:r>
      <w:r>
        <w:rPr>
          <w:sz w:val="24"/>
        </w:rPr>
        <w:t>пациента</w:t>
      </w:r>
      <w:r>
        <w:rPr>
          <w:spacing w:val="40"/>
          <w:sz w:val="24"/>
        </w:rPr>
        <w:t>  </w:t>
      </w:r>
      <w:r>
        <w:rPr>
          <w:sz w:val="24"/>
        </w:rPr>
        <w:t>возможно</w:t>
      </w:r>
      <w:r>
        <w:rPr>
          <w:spacing w:val="40"/>
          <w:sz w:val="24"/>
        </w:rPr>
        <w:t>  </w:t>
      </w:r>
      <w:r>
        <w:rPr>
          <w:sz w:val="24"/>
        </w:rPr>
        <w:t>только по конкретным клиническим показаниям, в том числе при наличии факторов риска, при условии достаточных технических и организационных возможностей. Методом выбора</w:t>
      </w:r>
      <w:r>
        <w:rPr>
          <w:spacing w:val="40"/>
          <w:sz w:val="24"/>
        </w:rPr>
        <w:t>  </w:t>
      </w:r>
      <w:r>
        <w:rPr>
          <w:sz w:val="24"/>
        </w:rPr>
        <w:t>в</w:t>
      </w:r>
      <w:r>
        <w:rPr>
          <w:spacing w:val="40"/>
          <w:sz w:val="24"/>
        </w:rPr>
        <w:t>  </w:t>
      </w:r>
      <w:r>
        <w:rPr>
          <w:sz w:val="24"/>
        </w:rPr>
        <w:t>этом</w:t>
      </w:r>
      <w:r>
        <w:rPr>
          <w:spacing w:val="40"/>
          <w:sz w:val="24"/>
        </w:rPr>
        <w:t>  </w:t>
      </w:r>
      <w:r>
        <w:rPr>
          <w:sz w:val="24"/>
        </w:rPr>
        <w:t>случае</w:t>
      </w:r>
      <w:r>
        <w:rPr>
          <w:spacing w:val="40"/>
          <w:sz w:val="24"/>
        </w:rPr>
        <w:t>  </w:t>
      </w:r>
      <w:r>
        <w:rPr>
          <w:sz w:val="24"/>
        </w:rPr>
        <w:t>является</w:t>
      </w:r>
      <w:r>
        <w:rPr>
          <w:spacing w:val="40"/>
          <w:sz w:val="24"/>
        </w:rPr>
        <w:t>  </w:t>
      </w:r>
      <w:r>
        <w:rPr>
          <w:sz w:val="24"/>
        </w:rPr>
        <w:t>КТ</w:t>
      </w:r>
      <w:r>
        <w:rPr>
          <w:spacing w:val="40"/>
          <w:sz w:val="24"/>
        </w:rPr>
        <w:t>  </w:t>
      </w:r>
      <w:r>
        <w:rPr>
          <w:sz w:val="24"/>
        </w:rPr>
        <w:t>легких</w:t>
      </w:r>
      <w:r>
        <w:rPr>
          <w:spacing w:val="40"/>
          <w:sz w:val="24"/>
        </w:rPr>
        <w:t>  </w:t>
      </w:r>
      <w:r>
        <w:rPr>
          <w:sz w:val="24"/>
        </w:rPr>
        <w:t>по</w:t>
      </w:r>
      <w:r>
        <w:rPr>
          <w:spacing w:val="40"/>
          <w:sz w:val="24"/>
        </w:rPr>
        <w:t>  </w:t>
      </w:r>
      <w:r>
        <w:rPr>
          <w:sz w:val="24"/>
        </w:rPr>
        <w:t>стандартному</w:t>
      </w:r>
      <w:r>
        <w:rPr>
          <w:spacing w:val="40"/>
          <w:sz w:val="24"/>
        </w:rPr>
        <w:t>  </w:t>
      </w:r>
      <w:r>
        <w:rPr>
          <w:sz w:val="24"/>
        </w:rPr>
        <w:t>протоколу</w:t>
      </w:r>
      <w:r>
        <w:rPr>
          <w:spacing w:val="40"/>
          <w:sz w:val="24"/>
        </w:rPr>
        <w:t> </w:t>
      </w:r>
      <w:r>
        <w:rPr>
          <w:sz w:val="24"/>
        </w:rPr>
        <w:t>без внутривенного контрастирования или РГ при ограниченной доступности КТ. Использование УЗИ в</w:t>
      </w:r>
      <w:r>
        <w:rPr>
          <w:spacing w:val="-3"/>
          <w:sz w:val="24"/>
        </w:rPr>
        <w:t> </w:t>
      </w:r>
      <w:r>
        <w:rPr>
          <w:sz w:val="24"/>
        </w:rPr>
        <w:t>этих случаях не целесообразно. Применение КТ исследования в</w:t>
      </w:r>
      <w:r>
        <w:rPr>
          <w:spacing w:val="80"/>
          <w:sz w:val="24"/>
        </w:rPr>
        <w:t> </w:t>
      </w:r>
      <w:r>
        <w:rPr>
          <w:sz w:val="24"/>
        </w:rPr>
        <w:t>сроки</w:t>
      </w:r>
      <w:r>
        <w:rPr>
          <w:spacing w:val="80"/>
          <w:sz w:val="24"/>
        </w:rPr>
        <w:t> </w:t>
      </w:r>
      <w:r>
        <w:rPr>
          <w:sz w:val="24"/>
        </w:rPr>
        <w:t>ранее</w:t>
      </w:r>
      <w:r>
        <w:rPr>
          <w:spacing w:val="80"/>
          <w:sz w:val="24"/>
        </w:rPr>
        <w:t> </w:t>
      </w:r>
      <w:r>
        <w:rPr>
          <w:sz w:val="24"/>
        </w:rPr>
        <w:t>4-6дней</w:t>
      </w:r>
      <w:r>
        <w:rPr>
          <w:spacing w:val="80"/>
          <w:sz w:val="24"/>
        </w:rPr>
        <w:t> </w:t>
      </w:r>
      <w:r>
        <w:rPr>
          <w:sz w:val="24"/>
        </w:rPr>
        <w:t>с</w:t>
      </w:r>
      <w:r>
        <w:rPr>
          <w:spacing w:val="-3"/>
          <w:sz w:val="24"/>
        </w:rPr>
        <w:t> </w:t>
      </w:r>
      <w:r>
        <w:rPr>
          <w:sz w:val="24"/>
        </w:rPr>
        <w:t>момента</w:t>
      </w:r>
      <w:r>
        <w:rPr>
          <w:spacing w:val="80"/>
          <w:sz w:val="24"/>
        </w:rPr>
        <w:t> </w:t>
      </w:r>
      <w:r>
        <w:rPr>
          <w:sz w:val="24"/>
        </w:rPr>
        <w:t>появления</w:t>
      </w:r>
      <w:r>
        <w:rPr>
          <w:spacing w:val="80"/>
          <w:sz w:val="24"/>
        </w:rPr>
        <w:t> </w:t>
      </w:r>
      <w:r>
        <w:rPr>
          <w:sz w:val="24"/>
        </w:rPr>
        <w:t>симптомов</w:t>
      </w:r>
      <w:r>
        <w:rPr>
          <w:spacing w:val="80"/>
          <w:sz w:val="24"/>
        </w:rPr>
        <w:t> </w:t>
      </w:r>
      <w:r>
        <w:rPr>
          <w:sz w:val="24"/>
        </w:rPr>
        <w:t>заболевания,</w:t>
      </w:r>
      <w:r>
        <w:rPr>
          <w:spacing w:val="80"/>
          <w:sz w:val="24"/>
        </w:rPr>
        <w:t> </w:t>
      </w:r>
      <w:r>
        <w:rPr>
          <w:sz w:val="24"/>
        </w:rPr>
        <w:t>а</w:t>
      </w:r>
      <w:r>
        <w:rPr>
          <w:spacing w:val="80"/>
          <w:sz w:val="24"/>
        </w:rPr>
        <w:t> </w:t>
      </w:r>
      <w:r>
        <w:rPr>
          <w:sz w:val="24"/>
        </w:rPr>
        <w:t>также при отсутствии клинических проявлений поражения бронхолегочной системы является нецелесообразным. Выполнение КТ целесообразно при наличии клинических и инструментальных признаков дыхательной недостаточности </w:t>
      </w:r>
      <w:r>
        <w:rPr>
          <w:position w:val="2"/>
          <w:sz w:val="24"/>
        </w:rPr>
        <w:t>(SpO</w:t>
      </w:r>
      <w:r>
        <w:rPr>
          <w:sz w:val="16"/>
        </w:rPr>
        <w:t>2</w:t>
      </w:r>
      <w:r>
        <w:rPr>
          <w:position w:val="2"/>
          <w:sz w:val="24"/>
        </w:rPr>
        <w:t>&lt;95%, ЧДД&gt;22) либо при дифференциальной диагностике с другим </w:t>
      </w:r>
      <w:r>
        <w:rPr>
          <w:spacing w:val="-2"/>
          <w:sz w:val="24"/>
        </w:rPr>
        <w:t>заболеванием.</w:t>
      </w:r>
    </w:p>
    <w:p>
      <w:pPr>
        <w:pStyle w:val="ListParagraph"/>
        <w:numPr>
          <w:ilvl w:val="0"/>
          <w:numId w:val="13"/>
        </w:numPr>
        <w:tabs>
          <w:tab w:pos="2961" w:val="left" w:leader="none"/>
        </w:tabs>
        <w:spacing w:line="276" w:lineRule="auto" w:before="0" w:after="0"/>
        <w:ind w:left="1841" w:right="1274" w:firstLine="707"/>
        <w:jc w:val="both"/>
        <w:rPr>
          <w:sz w:val="24"/>
        </w:rPr>
      </w:pPr>
      <w:r>
        <w:rPr>
          <w:sz w:val="24"/>
        </w:rPr>
        <w:t>Все</w:t>
      </w:r>
      <w:r>
        <w:rPr>
          <w:spacing w:val="80"/>
          <w:w w:val="150"/>
          <w:sz w:val="24"/>
        </w:rPr>
        <w:t> </w:t>
      </w:r>
      <w:r>
        <w:rPr>
          <w:sz w:val="24"/>
        </w:rPr>
        <w:t>выявляемые</w:t>
      </w:r>
      <w:r>
        <w:rPr>
          <w:spacing w:val="80"/>
          <w:w w:val="150"/>
          <w:sz w:val="24"/>
        </w:rPr>
        <w:t> </w:t>
      </w:r>
      <w:r>
        <w:rPr>
          <w:sz w:val="24"/>
        </w:rPr>
        <w:t>при</w:t>
      </w:r>
      <w:r>
        <w:rPr>
          <w:spacing w:val="80"/>
          <w:w w:val="150"/>
          <w:sz w:val="24"/>
        </w:rPr>
        <w:t> </w:t>
      </w:r>
      <w:r>
        <w:rPr>
          <w:sz w:val="24"/>
        </w:rPr>
        <w:t>лучевых</w:t>
      </w:r>
      <w:r>
        <w:rPr>
          <w:spacing w:val="80"/>
          <w:w w:val="150"/>
          <w:sz w:val="24"/>
        </w:rPr>
        <w:t> </w:t>
      </w:r>
      <w:r>
        <w:rPr>
          <w:sz w:val="24"/>
        </w:rPr>
        <w:t>исследованиях</w:t>
      </w:r>
      <w:r>
        <w:rPr>
          <w:spacing w:val="80"/>
          <w:w w:val="150"/>
          <w:sz w:val="24"/>
        </w:rPr>
        <w:t> </w:t>
      </w:r>
      <w:r>
        <w:rPr>
          <w:sz w:val="24"/>
        </w:rPr>
        <w:t>признаки,</w:t>
      </w:r>
      <w:r>
        <w:rPr>
          <w:spacing w:val="80"/>
          <w:w w:val="150"/>
          <w:sz w:val="24"/>
        </w:rPr>
        <w:t> </w:t>
      </w:r>
      <w:r>
        <w:rPr>
          <w:sz w:val="24"/>
        </w:rPr>
        <w:t>включая КТ-симптомы,</w:t>
      </w:r>
      <w:r>
        <w:rPr>
          <w:spacing w:val="80"/>
          <w:w w:val="150"/>
          <w:sz w:val="24"/>
        </w:rPr>
        <w:t> </w:t>
      </w:r>
      <w:r>
        <w:rPr>
          <w:sz w:val="24"/>
        </w:rPr>
        <w:t>не</w:t>
      </w:r>
      <w:r>
        <w:rPr>
          <w:spacing w:val="80"/>
          <w:w w:val="150"/>
          <w:sz w:val="24"/>
        </w:rPr>
        <w:t> </w:t>
      </w:r>
      <w:r>
        <w:rPr>
          <w:sz w:val="24"/>
        </w:rPr>
        <w:t>являются</w:t>
      </w:r>
      <w:r>
        <w:rPr>
          <w:spacing w:val="80"/>
          <w:w w:val="150"/>
          <w:sz w:val="24"/>
        </w:rPr>
        <w:t> </w:t>
      </w:r>
      <w:r>
        <w:rPr>
          <w:sz w:val="24"/>
        </w:rPr>
        <w:t>специфичными</w:t>
      </w:r>
      <w:r>
        <w:rPr>
          <w:spacing w:val="80"/>
          <w:w w:val="150"/>
          <w:sz w:val="24"/>
        </w:rPr>
        <w:t> </w:t>
      </w:r>
      <w:r>
        <w:rPr>
          <w:sz w:val="24"/>
        </w:rPr>
        <w:t>для</w:t>
      </w:r>
      <w:r>
        <w:rPr>
          <w:spacing w:val="80"/>
          <w:w w:val="150"/>
          <w:sz w:val="24"/>
        </w:rPr>
        <w:t> </w:t>
      </w:r>
      <w:r>
        <w:rPr>
          <w:sz w:val="24"/>
        </w:rPr>
        <w:t>какого-либо</w:t>
      </w:r>
      <w:r>
        <w:rPr>
          <w:spacing w:val="80"/>
          <w:w w:val="150"/>
          <w:sz w:val="24"/>
        </w:rPr>
        <w:t> </w:t>
      </w:r>
      <w:r>
        <w:rPr>
          <w:sz w:val="24"/>
        </w:rPr>
        <w:t>вида</w:t>
      </w:r>
      <w:r>
        <w:rPr>
          <w:spacing w:val="80"/>
          <w:w w:val="150"/>
          <w:sz w:val="24"/>
        </w:rPr>
        <w:t> </w:t>
      </w:r>
      <w:r>
        <w:rPr>
          <w:sz w:val="24"/>
        </w:rPr>
        <w:t>инфекции</w:t>
      </w:r>
      <w:r>
        <w:rPr>
          <w:spacing w:val="80"/>
          <w:w w:val="150"/>
          <w:sz w:val="24"/>
        </w:rPr>
        <w:t> </w:t>
      </w:r>
      <w:r>
        <w:rPr>
          <w:sz w:val="24"/>
        </w:rPr>
        <w:t>и</w:t>
      </w:r>
      <w:r>
        <w:rPr>
          <w:spacing w:val="-1"/>
          <w:sz w:val="24"/>
        </w:rPr>
        <w:t> </w:t>
      </w:r>
      <w:r>
        <w:rPr>
          <w:sz w:val="24"/>
        </w:rPr>
        <w:t>не</w:t>
      </w:r>
      <w:r>
        <w:rPr>
          <w:spacing w:val="-4"/>
          <w:sz w:val="24"/>
        </w:rPr>
        <w:t> </w:t>
      </w:r>
      <w:r>
        <w:rPr>
          <w:sz w:val="24"/>
        </w:rPr>
        <w:t>позволяют установить этиологический диагноз. Вне клинической (эпидемической)</w:t>
      </w:r>
      <w:r>
        <w:rPr>
          <w:spacing w:val="80"/>
          <w:w w:val="150"/>
          <w:sz w:val="24"/>
        </w:rPr>
        <w:t> </w:t>
      </w:r>
      <w:r>
        <w:rPr>
          <w:sz w:val="24"/>
        </w:rPr>
        <w:t>ситуации</w:t>
      </w:r>
      <w:r>
        <w:rPr>
          <w:spacing w:val="80"/>
          <w:w w:val="150"/>
          <w:sz w:val="24"/>
        </w:rPr>
        <w:t> </w:t>
      </w:r>
      <w:r>
        <w:rPr>
          <w:sz w:val="24"/>
        </w:rPr>
        <w:t>они</w:t>
      </w:r>
      <w:r>
        <w:rPr>
          <w:spacing w:val="80"/>
          <w:w w:val="150"/>
          <w:sz w:val="24"/>
        </w:rPr>
        <w:t> </w:t>
      </w:r>
      <w:r>
        <w:rPr>
          <w:sz w:val="24"/>
        </w:rPr>
        <w:t>не</w:t>
      </w:r>
      <w:r>
        <w:rPr>
          <w:spacing w:val="80"/>
          <w:w w:val="150"/>
          <w:sz w:val="24"/>
        </w:rPr>
        <w:t> </w:t>
      </w:r>
      <w:r>
        <w:rPr>
          <w:sz w:val="24"/>
        </w:rPr>
        <w:t>позволяют</w:t>
      </w:r>
      <w:r>
        <w:rPr>
          <w:spacing w:val="80"/>
          <w:w w:val="150"/>
          <w:sz w:val="24"/>
        </w:rPr>
        <w:t> </w:t>
      </w:r>
      <w:r>
        <w:rPr>
          <w:sz w:val="24"/>
        </w:rPr>
        <w:t>отнести</w:t>
      </w:r>
      <w:r>
        <w:rPr>
          <w:spacing w:val="80"/>
          <w:w w:val="150"/>
          <w:sz w:val="24"/>
        </w:rPr>
        <w:t> </w:t>
      </w:r>
      <w:r>
        <w:rPr>
          <w:sz w:val="24"/>
        </w:rPr>
        <w:t>выявленные</w:t>
      </w:r>
      <w:r>
        <w:rPr>
          <w:spacing w:val="80"/>
          <w:w w:val="150"/>
          <w:sz w:val="24"/>
        </w:rPr>
        <w:t> </w:t>
      </w:r>
      <w:r>
        <w:rPr>
          <w:sz w:val="24"/>
        </w:rPr>
        <w:t>изменения к</w:t>
      </w:r>
      <w:r>
        <w:rPr>
          <w:spacing w:val="55"/>
          <w:sz w:val="24"/>
        </w:rPr>
        <w:t>  </w:t>
      </w:r>
      <w:r>
        <w:rPr>
          <w:sz w:val="24"/>
        </w:rPr>
        <w:t>пневмонии</w:t>
      </w:r>
      <w:r>
        <w:rPr>
          <w:spacing w:val="56"/>
          <w:sz w:val="24"/>
        </w:rPr>
        <w:t>  </w:t>
      </w:r>
      <w:r>
        <w:rPr>
          <w:sz w:val="24"/>
        </w:rPr>
        <w:t>COVID-19</w:t>
      </w:r>
      <w:r>
        <w:rPr>
          <w:spacing w:val="55"/>
          <w:sz w:val="24"/>
        </w:rPr>
        <w:t>  </w:t>
      </w:r>
      <w:r>
        <w:rPr>
          <w:sz w:val="24"/>
        </w:rPr>
        <w:t>и</w:t>
      </w:r>
      <w:r>
        <w:rPr>
          <w:spacing w:val="-1"/>
          <w:sz w:val="24"/>
        </w:rPr>
        <w:t> </w:t>
      </w:r>
      <w:r>
        <w:rPr>
          <w:sz w:val="24"/>
        </w:rPr>
        <w:t>дифференцировать</w:t>
      </w:r>
      <w:r>
        <w:rPr>
          <w:spacing w:val="55"/>
          <w:sz w:val="24"/>
        </w:rPr>
        <w:t>  </w:t>
      </w:r>
      <w:r>
        <w:rPr>
          <w:sz w:val="24"/>
        </w:rPr>
        <w:t>их</w:t>
      </w:r>
      <w:r>
        <w:rPr>
          <w:spacing w:val="55"/>
          <w:sz w:val="24"/>
        </w:rPr>
        <w:t>  </w:t>
      </w:r>
      <w:r>
        <w:rPr>
          <w:sz w:val="24"/>
        </w:rPr>
        <w:t>с</w:t>
      </w:r>
      <w:r>
        <w:rPr>
          <w:spacing w:val="55"/>
          <w:sz w:val="24"/>
        </w:rPr>
        <w:t>  </w:t>
      </w:r>
      <w:r>
        <w:rPr>
          <w:sz w:val="24"/>
        </w:rPr>
        <w:t>другими</w:t>
      </w:r>
      <w:r>
        <w:rPr>
          <w:spacing w:val="54"/>
          <w:sz w:val="24"/>
        </w:rPr>
        <w:t>  </w:t>
      </w:r>
      <w:r>
        <w:rPr>
          <w:spacing w:val="-2"/>
          <w:sz w:val="24"/>
        </w:rPr>
        <w:t>пневмониями</w:t>
      </w:r>
    </w:p>
    <w:p>
      <w:pPr>
        <w:pStyle w:val="ListParagraph"/>
        <w:spacing w:after="0" w:line="276" w:lineRule="auto"/>
        <w:jc w:val="both"/>
        <w:rPr>
          <w:sz w:val="24"/>
        </w:rPr>
        <w:sectPr>
          <w:pgSz w:w="11900" w:h="16840"/>
          <w:pgMar w:header="0" w:footer="697" w:top="1080" w:bottom="880" w:left="0" w:right="0"/>
        </w:sectPr>
      </w:pPr>
    </w:p>
    <w:p>
      <w:pPr>
        <w:pStyle w:val="BodyText"/>
        <w:spacing w:line="276" w:lineRule="auto" w:before="73"/>
        <w:ind w:right="1275"/>
      </w:pPr>
      <w:bookmarkStart w:name="29" w:id="38"/>
      <w:bookmarkEnd w:id="38"/>
      <w:r>
        <w:rPr/>
      </w:r>
      <w:r>
        <w:rPr/>
        <w:t>и невоспалительными заболеваниями. Нередко КТ-картина может являться результатом микст-инфекции, либо проявлением коморбидных состояний неинфекционного генеза. Данные лучевого исследования не заменяют результаты обследования на РНК или антиген SARS-CoV-2. Отсутствие изменений при КТ не исключают</w:t>
      </w:r>
      <w:r>
        <w:rPr>
          <w:spacing w:val="-13"/>
        </w:rPr>
        <w:t> </w:t>
      </w:r>
      <w:r>
        <w:rPr/>
        <w:t>наличие</w:t>
      </w:r>
      <w:r>
        <w:rPr>
          <w:spacing w:val="-10"/>
        </w:rPr>
        <w:t> </w:t>
      </w:r>
      <w:r>
        <w:rPr/>
        <w:t>COVID-19</w:t>
      </w:r>
      <w:r>
        <w:rPr>
          <w:spacing w:val="-11"/>
        </w:rPr>
        <w:t> </w:t>
      </w:r>
      <w:r>
        <w:rPr/>
        <w:t>и</w:t>
      </w:r>
      <w:r>
        <w:rPr>
          <w:spacing w:val="-6"/>
        </w:rPr>
        <w:t> </w:t>
      </w:r>
      <w:r>
        <w:rPr/>
        <w:t>возможность</w:t>
      </w:r>
      <w:r>
        <w:rPr>
          <w:spacing w:val="-12"/>
        </w:rPr>
        <w:t> </w:t>
      </w:r>
      <w:r>
        <w:rPr/>
        <w:t>развития</w:t>
      </w:r>
      <w:r>
        <w:rPr>
          <w:spacing w:val="-14"/>
        </w:rPr>
        <w:t> </w:t>
      </w:r>
      <w:r>
        <w:rPr/>
        <w:t>пневмонии</w:t>
      </w:r>
      <w:r>
        <w:rPr>
          <w:spacing w:val="-13"/>
        </w:rPr>
        <w:t> </w:t>
      </w:r>
      <w:r>
        <w:rPr/>
        <w:t>после</w:t>
      </w:r>
      <w:r>
        <w:rPr>
          <w:spacing w:val="-12"/>
        </w:rPr>
        <w:t> </w:t>
      </w:r>
      <w:r>
        <w:rPr/>
        <w:t>проведения </w:t>
      </w:r>
      <w:r>
        <w:rPr>
          <w:spacing w:val="-2"/>
        </w:rPr>
        <w:t>исследования.</w:t>
      </w:r>
    </w:p>
    <w:p>
      <w:pPr>
        <w:pStyle w:val="ListParagraph"/>
        <w:numPr>
          <w:ilvl w:val="0"/>
          <w:numId w:val="13"/>
        </w:numPr>
        <w:tabs>
          <w:tab w:pos="2954" w:val="left" w:leader="none"/>
        </w:tabs>
        <w:spacing w:line="276" w:lineRule="auto" w:before="0" w:after="0"/>
        <w:ind w:left="1841" w:right="1278" w:firstLine="707"/>
        <w:jc w:val="both"/>
        <w:rPr>
          <w:sz w:val="24"/>
        </w:rPr>
      </w:pPr>
      <w:r>
        <w:rPr>
          <w:sz w:val="24"/>
        </w:rPr>
        <w:t>Рекомендовано проведение лучевого исследования пациентам при среднетяжелом, тяжелом и крайне тяжелом течении ОРИ с целью медицинской сортировки, оценки характера</w:t>
      </w:r>
      <w:r>
        <w:rPr>
          <w:spacing w:val="-1"/>
          <w:sz w:val="24"/>
        </w:rPr>
        <w:t> </w:t>
      </w:r>
      <w:r>
        <w:rPr>
          <w:sz w:val="24"/>
        </w:rPr>
        <w:t>изменений в</w:t>
      </w:r>
      <w:r>
        <w:rPr>
          <w:spacing w:val="-1"/>
          <w:sz w:val="24"/>
        </w:rPr>
        <w:t> </w:t>
      </w:r>
      <w:r>
        <w:rPr>
          <w:sz w:val="24"/>
        </w:rPr>
        <w:t>грудной полости и определения прогноза </w:t>
      </w:r>
      <w:r>
        <w:rPr>
          <w:spacing w:val="-2"/>
          <w:sz w:val="24"/>
        </w:rPr>
        <w:t>заболевания:</w:t>
      </w:r>
    </w:p>
    <w:p>
      <w:pPr>
        <w:pStyle w:val="ListParagraph"/>
        <w:numPr>
          <w:ilvl w:val="1"/>
          <w:numId w:val="13"/>
        </w:numPr>
        <w:tabs>
          <w:tab w:pos="2686" w:val="left" w:leader="none"/>
        </w:tabs>
        <w:spacing w:line="278" w:lineRule="auto" w:before="0" w:after="0"/>
        <w:ind w:left="1841" w:right="1277" w:firstLine="707"/>
        <w:jc w:val="both"/>
        <w:rPr>
          <w:sz w:val="24"/>
        </w:rPr>
      </w:pPr>
      <w:r>
        <w:rPr>
          <w:sz w:val="24"/>
        </w:rPr>
        <w:t>выполнение</w:t>
      </w:r>
      <w:r>
        <w:rPr>
          <w:spacing w:val="-10"/>
          <w:sz w:val="24"/>
        </w:rPr>
        <w:t> </w:t>
      </w:r>
      <w:r>
        <w:rPr>
          <w:sz w:val="24"/>
        </w:rPr>
        <w:t>КТ</w:t>
      </w:r>
      <w:r>
        <w:rPr>
          <w:spacing w:val="-7"/>
          <w:sz w:val="24"/>
        </w:rPr>
        <w:t> </w:t>
      </w:r>
      <w:r>
        <w:rPr>
          <w:sz w:val="24"/>
        </w:rPr>
        <w:t>легких</w:t>
      </w:r>
      <w:r>
        <w:rPr>
          <w:spacing w:val="-7"/>
          <w:sz w:val="24"/>
        </w:rPr>
        <w:t> </w:t>
      </w:r>
      <w:r>
        <w:rPr>
          <w:sz w:val="24"/>
        </w:rPr>
        <w:t>без</w:t>
      </w:r>
      <w:r>
        <w:rPr>
          <w:spacing w:val="-6"/>
          <w:sz w:val="24"/>
        </w:rPr>
        <w:t> </w:t>
      </w:r>
      <w:r>
        <w:rPr>
          <w:sz w:val="24"/>
        </w:rPr>
        <w:t>внутривенного</w:t>
      </w:r>
      <w:r>
        <w:rPr>
          <w:spacing w:val="-9"/>
          <w:sz w:val="24"/>
        </w:rPr>
        <w:t> </w:t>
      </w:r>
      <w:r>
        <w:rPr>
          <w:sz w:val="24"/>
        </w:rPr>
        <w:t>контрастирования</w:t>
      </w:r>
      <w:r>
        <w:rPr>
          <w:spacing w:val="-7"/>
          <w:sz w:val="24"/>
        </w:rPr>
        <w:t> </w:t>
      </w:r>
      <w:r>
        <w:rPr>
          <w:sz w:val="24"/>
        </w:rPr>
        <w:t>в</w:t>
      </w:r>
      <w:r>
        <w:rPr>
          <w:spacing w:val="-9"/>
          <w:sz w:val="24"/>
        </w:rPr>
        <w:t> </w:t>
      </w:r>
      <w:r>
        <w:rPr>
          <w:sz w:val="24"/>
        </w:rPr>
        <w:t>стационарных условиях или в амбулаторных – при показаниях к госпитализации;</w:t>
      </w:r>
    </w:p>
    <w:p>
      <w:pPr>
        <w:pStyle w:val="ListParagraph"/>
        <w:numPr>
          <w:ilvl w:val="1"/>
          <w:numId w:val="13"/>
        </w:numPr>
        <w:tabs>
          <w:tab w:pos="2741" w:val="left" w:leader="none"/>
        </w:tabs>
        <w:spacing w:line="276" w:lineRule="auto" w:before="0" w:after="0"/>
        <w:ind w:left="1841" w:right="1281" w:firstLine="707"/>
        <w:jc w:val="both"/>
        <w:rPr>
          <w:sz w:val="24"/>
        </w:rPr>
      </w:pPr>
      <w:r>
        <w:rPr>
          <w:sz w:val="24"/>
        </w:rPr>
        <w:t>выполнение РГ легких в двух проекциях, если проведение КТ в данной медицинской организации/клинической ситуации невозможно.</w:t>
      </w:r>
    </w:p>
    <w:p>
      <w:pPr>
        <w:pStyle w:val="ListParagraph"/>
        <w:numPr>
          <w:ilvl w:val="0"/>
          <w:numId w:val="13"/>
        </w:numPr>
        <w:tabs>
          <w:tab w:pos="2906" w:val="left" w:leader="none"/>
        </w:tabs>
        <w:spacing w:line="276" w:lineRule="auto" w:before="0" w:after="0"/>
        <w:ind w:left="1841" w:right="1270" w:firstLine="707"/>
        <w:jc w:val="both"/>
        <w:rPr>
          <w:sz w:val="24"/>
        </w:rPr>
      </w:pPr>
      <w:r>
        <w:rPr>
          <w:sz w:val="24"/>
        </w:rPr>
        <w:t>Внутривенное контрастирование при КТ у пациентов с известной / предполагаемой</w:t>
      </w:r>
      <w:r>
        <w:rPr>
          <w:spacing w:val="40"/>
          <w:sz w:val="24"/>
        </w:rPr>
        <w:t> </w:t>
      </w:r>
      <w:r>
        <w:rPr>
          <w:sz w:val="24"/>
        </w:rPr>
        <w:t>вирусной</w:t>
      </w:r>
      <w:r>
        <w:rPr>
          <w:spacing w:val="40"/>
          <w:sz w:val="24"/>
        </w:rPr>
        <w:t> </w:t>
      </w:r>
      <w:r>
        <w:rPr>
          <w:sz w:val="24"/>
        </w:rPr>
        <w:t>(COVID-19)</w:t>
      </w:r>
      <w:r>
        <w:rPr>
          <w:spacing w:val="40"/>
          <w:sz w:val="24"/>
        </w:rPr>
        <w:t> </w:t>
      </w:r>
      <w:r>
        <w:rPr>
          <w:sz w:val="24"/>
        </w:rPr>
        <w:t>пневмонией</w:t>
      </w:r>
      <w:r>
        <w:rPr>
          <w:spacing w:val="40"/>
          <w:sz w:val="24"/>
        </w:rPr>
        <w:t> </w:t>
      </w:r>
      <w:r>
        <w:rPr>
          <w:sz w:val="24"/>
        </w:rPr>
        <w:t>проводится</w:t>
      </w:r>
      <w:r>
        <w:rPr>
          <w:spacing w:val="40"/>
          <w:sz w:val="24"/>
        </w:rPr>
        <w:t> </w:t>
      </w:r>
      <w:r>
        <w:rPr>
          <w:sz w:val="24"/>
        </w:rPr>
        <w:t>при</w:t>
      </w:r>
      <w:r>
        <w:rPr>
          <w:spacing w:val="40"/>
          <w:sz w:val="24"/>
        </w:rPr>
        <w:t> </w:t>
      </w:r>
      <w:r>
        <w:rPr>
          <w:sz w:val="24"/>
        </w:rPr>
        <w:t>подозрении</w:t>
      </w:r>
      <w:r>
        <w:rPr>
          <w:spacing w:val="80"/>
          <w:sz w:val="24"/>
        </w:rPr>
        <w:t> </w:t>
      </w:r>
      <w:r>
        <w:rPr>
          <w:sz w:val="24"/>
        </w:rPr>
        <w:t>на</w:t>
      </w:r>
      <w:r>
        <w:rPr>
          <w:spacing w:val="40"/>
          <w:sz w:val="24"/>
        </w:rPr>
        <w:t> </w:t>
      </w:r>
      <w:r>
        <w:rPr>
          <w:sz w:val="24"/>
        </w:rPr>
        <w:t>заболевания</w:t>
      </w:r>
      <w:r>
        <w:rPr>
          <w:spacing w:val="40"/>
          <w:sz w:val="24"/>
        </w:rPr>
        <w:t> </w:t>
      </w:r>
      <w:r>
        <w:rPr>
          <w:sz w:val="24"/>
        </w:rPr>
        <w:t>и</w:t>
      </w:r>
      <w:r>
        <w:rPr>
          <w:spacing w:val="40"/>
          <w:sz w:val="24"/>
        </w:rPr>
        <w:t> </w:t>
      </w:r>
      <w:r>
        <w:rPr>
          <w:sz w:val="24"/>
        </w:rPr>
        <w:t>патологические</w:t>
      </w:r>
      <w:r>
        <w:rPr>
          <w:spacing w:val="40"/>
          <w:sz w:val="24"/>
        </w:rPr>
        <w:t> </w:t>
      </w:r>
      <w:r>
        <w:rPr>
          <w:sz w:val="24"/>
        </w:rPr>
        <w:t>состояния,</w:t>
      </w:r>
      <w:r>
        <w:rPr>
          <w:spacing w:val="40"/>
          <w:sz w:val="24"/>
        </w:rPr>
        <w:t> </w:t>
      </w:r>
      <w:r>
        <w:rPr>
          <w:sz w:val="24"/>
        </w:rPr>
        <w:t>диагностика</w:t>
      </w:r>
      <w:r>
        <w:rPr>
          <w:spacing w:val="40"/>
          <w:sz w:val="24"/>
        </w:rPr>
        <w:t> </w:t>
      </w:r>
      <w:r>
        <w:rPr>
          <w:sz w:val="24"/>
        </w:rPr>
        <w:t>которых</w:t>
      </w:r>
      <w:r>
        <w:rPr>
          <w:spacing w:val="40"/>
          <w:sz w:val="24"/>
        </w:rPr>
        <w:t> </w:t>
      </w:r>
      <w:r>
        <w:rPr>
          <w:sz w:val="24"/>
        </w:rPr>
        <w:t>невозможна</w:t>
      </w:r>
      <w:r>
        <w:rPr>
          <w:spacing w:val="80"/>
          <w:sz w:val="24"/>
        </w:rPr>
        <w:t> </w:t>
      </w:r>
      <w:r>
        <w:rPr>
          <w:sz w:val="24"/>
        </w:rPr>
        <w:t>без использования контрастных средств (ТЭЛА, при стадировании/рестадировании онкологических</w:t>
      </w:r>
      <w:r>
        <w:rPr>
          <w:spacing w:val="80"/>
          <w:w w:val="150"/>
          <w:sz w:val="24"/>
        </w:rPr>
        <w:t> </w:t>
      </w:r>
      <w:r>
        <w:rPr>
          <w:sz w:val="24"/>
        </w:rPr>
        <w:t>заболеваний</w:t>
      </w:r>
      <w:r>
        <w:rPr>
          <w:spacing w:val="80"/>
          <w:w w:val="150"/>
          <w:sz w:val="24"/>
        </w:rPr>
        <w:t> </w:t>
      </w:r>
      <w:r>
        <w:rPr>
          <w:sz w:val="24"/>
        </w:rPr>
        <w:t>и</w:t>
      </w:r>
      <w:r>
        <w:rPr>
          <w:spacing w:val="80"/>
          <w:w w:val="150"/>
          <w:sz w:val="24"/>
        </w:rPr>
        <w:t> </w:t>
      </w:r>
      <w:r>
        <w:rPr>
          <w:sz w:val="24"/>
        </w:rPr>
        <w:t>др.).</w:t>
      </w:r>
      <w:r>
        <w:rPr>
          <w:spacing w:val="80"/>
          <w:w w:val="150"/>
          <w:sz w:val="24"/>
        </w:rPr>
        <w:t> </w:t>
      </w:r>
      <w:r>
        <w:rPr>
          <w:sz w:val="24"/>
        </w:rPr>
        <w:t>Внезапный</w:t>
      </w:r>
      <w:r>
        <w:rPr>
          <w:spacing w:val="80"/>
          <w:w w:val="150"/>
          <w:sz w:val="24"/>
        </w:rPr>
        <w:t> </w:t>
      </w:r>
      <w:r>
        <w:rPr>
          <w:sz w:val="24"/>
        </w:rPr>
        <w:t>рост</w:t>
      </w:r>
      <w:r>
        <w:rPr>
          <w:spacing w:val="80"/>
          <w:w w:val="150"/>
          <w:sz w:val="24"/>
        </w:rPr>
        <w:t> </w:t>
      </w:r>
      <w:r>
        <w:rPr>
          <w:sz w:val="24"/>
        </w:rPr>
        <w:t>концентрации</w:t>
      </w:r>
      <w:r>
        <w:rPr>
          <w:spacing w:val="80"/>
          <w:w w:val="150"/>
          <w:sz w:val="24"/>
        </w:rPr>
        <w:t> </w:t>
      </w:r>
      <w:r>
        <w:rPr>
          <w:sz w:val="24"/>
        </w:rPr>
        <w:t>D-димера в</w:t>
      </w:r>
      <w:r>
        <w:rPr>
          <w:spacing w:val="-9"/>
          <w:sz w:val="24"/>
        </w:rPr>
        <w:t> </w:t>
      </w:r>
      <w:r>
        <w:rPr>
          <w:sz w:val="24"/>
        </w:rPr>
        <w:t>анализах</w:t>
      </w:r>
      <w:r>
        <w:rPr>
          <w:spacing w:val="-8"/>
          <w:sz w:val="24"/>
        </w:rPr>
        <w:t> </w:t>
      </w:r>
      <w:r>
        <w:rPr>
          <w:sz w:val="24"/>
        </w:rPr>
        <w:t>крови</w:t>
      </w:r>
      <w:r>
        <w:rPr>
          <w:spacing w:val="-8"/>
          <w:sz w:val="24"/>
        </w:rPr>
        <w:t> </w:t>
      </w:r>
      <w:r>
        <w:rPr>
          <w:sz w:val="24"/>
        </w:rPr>
        <w:t>и</w:t>
      </w:r>
      <w:r>
        <w:rPr>
          <w:spacing w:val="-2"/>
          <w:sz w:val="24"/>
        </w:rPr>
        <w:t> </w:t>
      </w:r>
      <w:r>
        <w:rPr>
          <w:sz w:val="24"/>
        </w:rPr>
        <w:t>клиническое</w:t>
      </w:r>
      <w:r>
        <w:rPr>
          <w:spacing w:val="-9"/>
          <w:sz w:val="24"/>
        </w:rPr>
        <w:t> </w:t>
      </w:r>
      <w:r>
        <w:rPr>
          <w:sz w:val="24"/>
        </w:rPr>
        <w:t>подозрение</w:t>
      </w:r>
      <w:r>
        <w:rPr>
          <w:spacing w:val="-9"/>
          <w:sz w:val="24"/>
        </w:rPr>
        <w:t> </w:t>
      </w:r>
      <w:r>
        <w:rPr>
          <w:sz w:val="24"/>
        </w:rPr>
        <w:t>на</w:t>
      </w:r>
      <w:r>
        <w:rPr>
          <w:spacing w:val="-12"/>
          <w:sz w:val="24"/>
        </w:rPr>
        <w:t> </w:t>
      </w:r>
      <w:r>
        <w:rPr>
          <w:sz w:val="24"/>
        </w:rPr>
        <w:t>ТЭЛА</w:t>
      </w:r>
      <w:r>
        <w:rPr>
          <w:spacing w:val="-9"/>
          <w:sz w:val="24"/>
        </w:rPr>
        <w:t> </w:t>
      </w:r>
      <w:r>
        <w:rPr>
          <w:sz w:val="24"/>
        </w:rPr>
        <w:t>являются</w:t>
      </w:r>
      <w:r>
        <w:rPr>
          <w:spacing w:val="-8"/>
          <w:sz w:val="24"/>
        </w:rPr>
        <w:t> </w:t>
      </w:r>
      <w:r>
        <w:rPr>
          <w:sz w:val="24"/>
        </w:rPr>
        <w:t>важными</w:t>
      </w:r>
      <w:r>
        <w:rPr>
          <w:spacing w:val="-7"/>
          <w:sz w:val="24"/>
        </w:rPr>
        <w:t> </w:t>
      </w:r>
      <w:r>
        <w:rPr>
          <w:sz w:val="24"/>
        </w:rPr>
        <w:t>критериями для выполнения КТ-ангиопульмонографии при условии, что ее положительный результат может оказать влияние на лечение и ведение пациента.</w:t>
      </w:r>
    </w:p>
    <w:p>
      <w:pPr>
        <w:pStyle w:val="ListParagraph"/>
        <w:numPr>
          <w:ilvl w:val="0"/>
          <w:numId w:val="13"/>
        </w:numPr>
        <w:tabs>
          <w:tab w:pos="2834" w:val="left" w:leader="none"/>
        </w:tabs>
        <w:spacing w:line="276" w:lineRule="auto" w:before="0" w:after="0"/>
        <w:ind w:left="1841" w:right="1272" w:firstLine="707"/>
        <w:jc w:val="both"/>
        <w:rPr>
          <w:sz w:val="24"/>
        </w:rPr>
      </w:pPr>
      <w:r>
        <w:rPr>
          <w:sz w:val="24"/>
        </w:rPr>
        <w:t>Решение о внутривенном контрастировании принимает врач-рентгенолог совместно</w:t>
      </w:r>
      <w:r>
        <w:rPr>
          <w:spacing w:val="-11"/>
          <w:sz w:val="24"/>
        </w:rPr>
        <w:t> </w:t>
      </w:r>
      <w:r>
        <w:rPr>
          <w:sz w:val="24"/>
        </w:rPr>
        <w:t>с</w:t>
      </w:r>
      <w:r>
        <w:rPr>
          <w:spacing w:val="-12"/>
          <w:sz w:val="24"/>
        </w:rPr>
        <w:t> </w:t>
      </w:r>
      <w:r>
        <w:rPr>
          <w:sz w:val="24"/>
        </w:rPr>
        <w:t>врачом,</w:t>
      </w:r>
      <w:r>
        <w:rPr>
          <w:spacing w:val="-11"/>
          <w:sz w:val="24"/>
        </w:rPr>
        <w:t> </w:t>
      </w:r>
      <w:r>
        <w:rPr>
          <w:sz w:val="24"/>
        </w:rPr>
        <w:t>направляющим</w:t>
      </w:r>
      <w:r>
        <w:rPr>
          <w:spacing w:val="-11"/>
          <w:sz w:val="24"/>
        </w:rPr>
        <w:t> </w:t>
      </w:r>
      <w:r>
        <w:rPr>
          <w:sz w:val="24"/>
        </w:rPr>
        <w:t>пациента</w:t>
      </w:r>
      <w:r>
        <w:rPr>
          <w:spacing w:val="-11"/>
          <w:sz w:val="24"/>
        </w:rPr>
        <w:t> </w:t>
      </w:r>
      <w:r>
        <w:rPr>
          <w:sz w:val="24"/>
        </w:rPr>
        <w:t>на</w:t>
      </w:r>
      <w:r>
        <w:rPr>
          <w:spacing w:val="-12"/>
          <w:sz w:val="24"/>
        </w:rPr>
        <w:t> </w:t>
      </w:r>
      <w:r>
        <w:rPr>
          <w:sz w:val="24"/>
        </w:rPr>
        <w:t>КТ.</w:t>
      </w:r>
      <w:r>
        <w:rPr>
          <w:spacing w:val="-11"/>
          <w:sz w:val="24"/>
        </w:rPr>
        <w:t> </w:t>
      </w:r>
      <w:r>
        <w:rPr>
          <w:sz w:val="24"/>
        </w:rPr>
        <w:t>Введение</w:t>
      </w:r>
      <w:r>
        <w:rPr>
          <w:spacing w:val="-12"/>
          <w:sz w:val="24"/>
        </w:rPr>
        <w:t> </w:t>
      </w:r>
      <w:r>
        <w:rPr>
          <w:sz w:val="24"/>
        </w:rPr>
        <w:t>контрастного</w:t>
      </w:r>
      <w:r>
        <w:rPr>
          <w:spacing w:val="-11"/>
          <w:sz w:val="24"/>
        </w:rPr>
        <w:t> </w:t>
      </w:r>
      <w:r>
        <w:rPr>
          <w:sz w:val="24"/>
        </w:rPr>
        <w:t>средства выполняется в соответствии с общими правилами проведения рентгеноконтрастных </w:t>
      </w:r>
      <w:r>
        <w:rPr>
          <w:spacing w:val="-2"/>
          <w:sz w:val="24"/>
        </w:rPr>
        <w:t>исследований.</w:t>
      </w:r>
    </w:p>
    <w:p>
      <w:pPr>
        <w:pStyle w:val="ListParagraph"/>
        <w:numPr>
          <w:ilvl w:val="0"/>
          <w:numId w:val="13"/>
        </w:numPr>
        <w:tabs>
          <w:tab w:pos="2827" w:val="left" w:leader="none"/>
        </w:tabs>
        <w:spacing w:line="276" w:lineRule="auto" w:before="0" w:after="0"/>
        <w:ind w:left="1841" w:right="1282" w:firstLine="707"/>
        <w:jc w:val="both"/>
        <w:rPr>
          <w:sz w:val="24"/>
        </w:rPr>
      </w:pPr>
      <w:r>
        <w:rPr>
          <w:sz w:val="24"/>
        </w:rPr>
        <w:t>Рекомендовано проведение лучевого</w:t>
      </w:r>
      <w:r>
        <w:rPr>
          <w:spacing w:val="36"/>
          <w:sz w:val="24"/>
        </w:rPr>
        <w:t> </w:t>
      </w:r>
      <w:r>
        <w:rPr>
          <w:sz w:val="24"/>
        </w:rPr>
        <w:t>исследования пациентам с тяжелым</w:t>
      </w:r>
      <w:r>
        <w:rPr>
          <w:spacing w:val="80"/>
          <w:sz w:val="24"/>
        </w:rPr>
        <w:t> </w:t>
      </w:r>
      <w:r>
        <w:rPr>
          <w:sz w:val="24"/>
        </w:rPr>
        <w:t>и крайне тяжелым течением ОРИ, требующим лечения в условиях ОРИТ:</w:t>
      </w:r>
    </w:p>
    <w:p>
      <w:pPr>
        <w:pStyle w:val="ListParagraph"/>
        <w:numPr>
          <w:ilvl w:val="0"/>
          <w:numId w:val="12"/>
        </w:numPr>
        <w:tabs>
          <w:tab w:pos="2124" w:val="left" w:leader="none"/>
        </w:tabs>
        <w:spacing w:line="268" w:lineRule="auto" w:before="0" w:after="0"/>
        <w:ind w:left="2124" w:right="1272" w:hanging="360"/>
        <w:jc w:val="both"/>
        <w:rPr>
          <w:sz w:val="24"/>
        </w:rPr>
      </w:pPr>
      <w:r>
        <w:rPr>
          <w:sz w:val="24"/>
        </w:rPr>
        <w:t>- оптимально: выполнение экстренного КТ исследования легких по стандартному протоколу без внутривенного контрастирования, если возможна транспортировка пациента в кабинет КТ до ОРИТ;</w:t>
      </w:r>
    </w:p>
    <w:p>
      <w:pPr>
        <w:pStyle w:val="ListParagraph"/>
        <w:numPr>
          <w:ilvl w:val="0"/>
          <w:numId w:val="12"/>
        </w:numPr>
        <w:tabs>
          <w:tab w:pos="2124" w:val="left" w:leader="none"/>
        </w:tabs>
        <w:spacing w:line="264" w:lineRule="auto" w:before="0" w:after="0"/>
        <w:ind w:left="2124" w:right="1280" w:hanging="360"/>
        <w:jc w:val="both"/>
        <w:rPr>
          <w:sz w:val="24"/>
        </w:rPr>
      </w:pPr>
      <w:r>
        <w:rPr>
          <w:sz w:val="24"/>
        </w:rPr>
        <w:t>- оптимально: выполнение экстренной РГ легких в ОРИТ с использованием передвижного (палатного) аппарата;</w:t>
      </w:r>
    </w:p>
    <w:p>
      <w:pPr>
        <w:pStyle w:val="ListParagraph"/>
        <w:numPr>
          <w:ilvl w:val="0"/>
          <w:numId w:val="12"/>
        </w:numPr>
        <w:tabs>
          <w:tab w:pos="2124" w:val="left" w:leader="none"/>
        </w:tabs>
        <w:spacing w:line="264" w:lineRule="auto" w:before="12" w:after="0"/>
        <w:ind w:left="2124" w:right="1281" w:hanging="360"/>
        <w:jc w:val="both"/>
        <w:rPr>
          <w:sz w:val="24"/>
        </w:rPr>
      </w:pPr>
      <w:r>
        <w:rPr>
          <w:sz w:val="24"/>
        </w:rPr>
        <w:t>- возможно: выполнение УЗИ легких и плевральных полостей по клиническим показаниям в дополнении к РГ или КТ.</w:t>
      </w:r>
    </w:p>
    <w:p>
      <w:pPr>
        <w:spacing w:before="13"/>
        <w:ind w:left="2549" w:right="0" w:firstLine="0"/>
        <w:jc w:val="left"/>
        <w:rPr>
          <w:i/>
          <w:sz w:val="24"/>
        </w:rPr>
      </w:pPr>
      <w:r>
        <w:rPr>
          <w:i/>
          <w:spacing w:val="-2"/>
          <w:sz w:val="24"/>
        </w:rPr>
        <w:t>Комментарии.</w:t>
      </w:r>
    </w:p>
    <w:p>
      <w:pPr>
        <w:pStyle w:val="ListParagraph"/>
        <w:numPr>
          <w:ilvl w:val="1"/>
          <w:numId w:val="12"/>
        </w:numPr>
        <w:tabs>
          <w:tab w:pos="2873" w:val="left" w:leader="none"/>
        </w:tabs>
        <w:spacing w:line="276" w:lineRule="auto" w:before="40" w:after="0"/>
        <w:ind w:left="1841" w:right="1277" w:firstLine="707"/>
        <w:jc w:val="both"/>
        <w:rPr>
          <w:i/>
          <w:sz w:val="24"/>
        </w:rPr>
      </w:pPr>
      <w:r>
        <w:rPr>
          <w:i/>
          <w:sz w:val="24"/>
        </w:rPr>
        <w:t>Применение УЗИ легких как дополнительного исследования возможно только при наличии технических возможностей и подготовленного персонала, имеющего</w:t>
      </w:r>
      <w:r>
        <w:rPr>
          <w:i/>
          <w:spacing w:val="80"/>
          <w:w w:val="150"/>
          <w:sz w:val="24"/>
        </w:rPr>
        <w:t> </w:t>
      </w:r>
      <w:r>
        <w:rPr>
          <w:i/>
          <w:sz w:val="24"/>
        </w:rPr>
        <w:t>опыт</w:t>
      </w:r>
      <w:r>
        <w:rPr>
          <w:i/>
          <w:spacing w:val="80"/>
          <w:w w:val="150"/>
          <w:sz w:val="24"/>
        </w:rPr>
        <w:t> </w:t>
      </w:r>
      <w:r>
        <w:rPr>
          <w:i/>
          <w:sz w:val="24"/>
        </w:rPr>
        <w:t>проведения</w:t>
      </w:r>
      <w:r>
        <w:rPr>
          <w:i/>
          <w:spacing w:val="80"/>
          <w:w w:val="150"/>
          <w:sz w:val="24"/>
        </w:rPr>
        <w:t> </w:t>
      </w:r>
      <w:r>
        <w:rPr>
          <w:i/>
          <w:sz w:val="24"/>
        </w:rPr>
        <w:t>исследований</w:t>
      </w:r>
      <w:r>
        <w:rPr>
          <w:i/>
          <w:spacing w:val="80"/>
          <w:w w:val="150"/>
          <w:sz w:val="24"/>
        </w:rPr>
        <w:t> </w:t>
      </w:r>
      <w:r>
        <w:rPr>
          <w:i/>
          <w:sz w:val="24"/>
        </w:rPr>
        <w:t>легких.</w:t>
      </w:r>
      <w:r>
        <w:rPr>
          <w:i/>
          <w:spacing w:val="80"/>
          <w:w w:val="150"/>
          <w:sz w:val="24"/>
        </w:rPr>
        <w:t> </w:t>
      </w:r>
      <w:r>
        <w:rPr>
          <w:i/>
          <w:sz w:val="24"/>
        </w:rPr>
        <w:t>Данные</w:t>
      </w:r>
      <w:r>
        <w:rPr>
          <w:i/>
          <w:spacing w:val="80"/>
          <w:w w:val="150"/>
          <w:sz w:val="24"/>
        </w:rPr>
        <w:t> </w:t>
      </w:r>
      <w:r>
        <w:rPr>
          <w:i/>
          <w:sz w:val="24"/>
        </w:rPr>
        <w:t>УЗИ</w:t>
      </w:r>
      <w:r>
        <w:rPr>
          <w:i/>
          <w:spacing w:val="80"/>
          <w:w w:val="150"/>
          <w:sz w:val="24"/>
        </w:rPr>
        <w:t> </w:t>
      </w:r>
      <w:r>
        <w:rPr>
          <w:i/>
          <w:sz w:val="24"/>
        </w:rPr>
        <w:t>дополняют,</w:t>
      </w:r>
      <w:r>
        <w:rPr>
          <w:i/>
          <w:spacing w:val="40"/>
          <w:sz w:val="24"/>
        </w:rPr>
        <w:t> </w:t>
      </w:r>
      <w:r>
        <w:rPr>
          <w:i/>
          <w:sz w:val="24"/>
        </w:rPr>
        <w:t>но</w:t>
      </w:r>
      <w:r>
        <w:rPr>
          <w:i/>
          <w:spacing w:val="-11"/>
          <w:sz w:val="24"/>
        </w:rPr>
        <w:t> </w:t>
      </w:r>
      <w:r>
        <w:rPr>
          <w:i/>
          <w:sz w:val="24"/>
        </w:rPr>
        <w:t>не</w:t>
      </w:r>
      <w:r>
        <w:rPr>
          <w:i/>
          <w:spacing w:val="-12"/>
          <w:sz w:val="24"/>
        </w:rPr>
        <w:t> </w:t>
      </w:r>
      <w:r>
        <w:rPr>
          <w:i/>
          <w:sz w:val="24"/>
        </w:rPr>
        <w:t>заменяют</w:t>
      </w:r>
      <w:r>
        <w:rPr>
          <w:i/>
          <w:spacing w:val="-11"/>
          <w:sz w:val="24"/>
        </w:rPr>
        <w:t> </w:t>
      </w:r>
      <w:r>
        <w:rPr>
          <w:i/>
          <w:sz w:val="24"/>
        </w:rPr>
        <w:t>РГ</w:t>
      </w:r>
      <w:r>
        <w:rPr>
          <w:i/>
          <w:spacing w:val="-11"/>
          <w:sz w:val="24"/>
        </w:rPr>
        <w:t> </w:t>
      </w:r>
      <w:r>
        <w:rPr>
          <w:i/>
          <w:sz w:val="24"/>
        </w:rPr>
        <w:t>и</w:t>
      </w:r>
      <w:r>
        <w:rPr>
          <w:i/>
          <w:spacing w:val="-3"/>
          <w:sz w:val="24"/>
        </w:rPr>
        <w:t> </w:t>
      </w:r>
      <w:r>
        <w:rPr>
          <w:i/>
          <w:sz w:val="24"/>
        </w:rPr>
        <w:t>КТ</w:t>
      </w:r>
      <w:r>
        <w:rPr>
          <w:i/>
          <w:spacing w:val="-10"/>
          <w:sz w:val="24"/>
        </w:rPr>
        <w:t> </w:t>
      </w:r>
      <w:r>
        <w:rPr>
          <w:i/>
          <w:sz w:val="24"/>
        </w:rPr>
        <w:t>легких.</w:t>
      </w:r>
      <w:r>
        <w:rPr>
          <w:i/>
          <w:spacing w:val="-11"/>
          <w:sz w:val="24"/>
        </w:rPr>
        <w:t> </w:t>
      </w:r>
      <w:r>
        <w:rPr>
          <w:i/>
          <w:sz w:val="24"/>
        </w:rPr>
        <w:t>Подробная</w:t>
      </w:r>
      <w:r>
        <w:rPr>
          <w:i/>
          <w:spacing w:val="-10"/>
          <w:sz w:val="24"/>
        </w:rPr>
        <w:t> </w:t>
      </w:r>
      <w:r>
        <w:rPr>
          <w:i/>
          <w:sz w:val="24"/>
        </w:rPr>
        <w:t>информация</w:t>
      </w:r>
      <w:r>
        <w:rPr>
          <w:i/>
          <w:spacing w:val="-10"/>
          <w:sz w:val="24"/>
        </w:rPr>
        <w:t> </w:t>
      </w:r>
      <w:r>
        <w:rPr>
          <w:i/>
          <w:sz w:val="24"/>
        </w:rPr>
        <w:t>о</w:t>
      </w:r>
      <w:r>
        <w:rPr>
          <w:i/>
          <w:spacing w:val="-11"/>
          <w:sz w:val="24"/>
        </w:rPr>
        <w:t> </w:t>
      </w:r>
      <w:r>
        <w:rPr>
          <w:i/>
          <w:sz w:val="24"/>
        </w:rPr>
        <w:t>применении</w:t>
      </w:r>
      <w:r>
        <w:rPr>
          <w:i/>
          <w:spacing w:val="-11"/>
          <w:sz w:val="24"/>
        </w:rPr>
        <w:t> </w:t>
      </w:r>
      <w:r>
        <w:rPr>
          <w:i/>
          <w:sz w:val="24"/>
        </w:rPr>
        <w:t>УЗИ</w:t>
      </w:r>
      <w:r>
        <w:rPr>
          <w:i/>
          <w:spacing w:val="-11"/>
          <w:sz w:val="24"/>
        </w:rPr>
        <w:t> </w:t>
      </w:r>
      <w:r>
        <w:rPr>
          <w:i/>
          <w:sz w:val="24"/>
        </w:rPr>
        <w:t>легких</w:t>
      </w:r>
      <w:r>
        <w:rPr>
          <w:i/>
          <w:spacing w:val="-11"/>
          <w:sz w:val="24"/>
        </w:rPr>
        <w:t> </w:t>
      </w:r>
      <w:r>
        <w:rPr>
          <w:i/>
          <w:sz w:val="24"/>
        </w:rPr>
        <w:t>при COVID-19 пневмонии размещена на сайте </w:t>
      </w:r>
      <w:hyperlink r:id="rId21">
        <w:r>
          <w:rPr>
            <w:i/>
            <w:sz w:val="24"/>
          </w:rPr>
          <w:t>http://www.rasudm.org</w:t>
        </w:r>
      </w:hyperlink>
      <w:r>
        <w:rPr>
          <w:i/>
          <w:sz w:val="24"/>
        </w:rPr>
        <w:t> и в </w:t>
      </w:r>
      <w:r>
        <w:rPr>
          <w:i/>
          <w:color w:val="0462C1"/>
          <w:sz w:val="24"/>
          <w:u w:val="single" w:color="0462C1"/>
        </w:rPr>
        <w:t>Приложении 1</w:t>
      </w:r>
      <w:r>
        <w:rPr>
          <w:i/>
          <w:sz w:val="24"/>
        </w:rPr>
        <w:t>.</w:t>
      </w:r>
    </w:p>
    <w:p>
      <w:pPr>
        <w:pStyle w:val="ListParagraph"/>
        <w:numPr>
          <w:ilvl w:val="1"/>
          <w:numId w:val="12"/>
        </w:numPr>
        <w:tabs>
          <w:tab w:pos="2791" w:val="left" w:leader="none"/>
        </w:tabs>
        <w:spacing w:line="276" w:lineRule="auto" w:before="0" w:after="0"/>
        <w:ind w:left="1841" w:right="1277" w:firstLine="707"/>
        <w:jc w:val="both"/>
        <w:rPr>
          <w:i/>
          <w:sz w:val="24"/>
        </w:rPr>
      </w:pPr>
      <w:r>
        <w:rPr>
          <w:i/>
          <w:sz w:val="24"/>
        </w:rPr>
        <w:t>Применение</w:t>
      </w:r>
      <w:r>
        <w:rPr>
          <w:i/>
          <w:spacing w:val="-2"/>
          <w:sz w:val="24"/>
        </w:rPr>
        <w:t> </w:t>
      </w:r>
      <w:r>
        <w:rPr>
          <w:i/>
          <w:sz w:val="24"/>
        </w:rPr>
        <w:t>МРТ</w:t>
      </w:r>
      <w:r>
        <w:rPr>
          <w:i/>
          <w:spacing w:val="-1"/>
          <w:sz w:val="24"/>
        </w:rPr>
        <w:t> </w:t>
      </w:r>
      <w:r>
        <w:rPr>
          <w:i/>
          <w:sz w:val="24"/>
        </w:rPr>
        <w:t>легких</w:t>
      </w:r>
      <w:r>
        <w:rPr>
          <w:i/>
          <w:spacing w:val="-1"/>
          <w:sz w:val="24"/>
        </w:rPr>
        <w:t> </w:t>
      </w:r>
      <w:r>
        <w:rPr>
          <w:i/>
          <w:sz w:val="24"/>
        </w:rPr>
        <w:t>для диагностики</w:t>
      </w:r>
      <w:r>
        <w:rPr>
          <w:i/>
          <w:spacing w:val="-1"/>
          <w:sz w:val="24"/>
        </w:rPr>
        <w:t> </w:t>
      </w:r>
      <w:r>
        <w:rPr>
          <w:i/>
          <w:sz w:val="24"/>
        </w:rPr>
        <w:t>пневмоний,</w:t>
      </w:r>
      <w:r>
        <w:rPr>
          <w:i/>
          <w:spacing w:val="-1"/>
          <w:sz w:val="24"/>
        </w:rPr>
        <w:t> </w:t>
      </w:r>
      <w:r>
        <w:rPr>
          <w:i/>
          <w:sz w:val="24"/>
        </w:rPr>
        <w:t>вызванных</w:t>
      </w:r>
      <w:r>
        <w:rPr>
          <w:i/>
          <w:spacing w:val="-2"/>
          <w:sz w:val="24"/>
        </w:rPr>
        <w:t> </w:t>
      </w:r>
      <w:r>
        <w:rPr>
          <w:i/>
          <w:sz w:val="24"/>
        </w:rPr>
        <w:t>COVID-19, не</w:t>
      </w:r>
      <w:r>
        <w:rPr>
          <w:i/>
          <w:spacing w:val="-4"/>
          <w:sz w:val="24"/>
        </w:rPr>
        <w:t> </w:t>
      </w:r>
      <w:r>
        <w:rPr>
          <w:i/>
          <w:sz w:val="24"/>
        </w:rPr>
        <w:t>рекомендуется для практического здравоохранения. Этот метод может применяться</w:t>
      </w:r>
      <w:r>
        <w:rPr>
          <w:i/>
          <w:spacing w:val="41"/>
          <w:sz w:val="24"/>
        </w:rPr>
        <w:t>  </w:t>
      </w:r>
      <w:r>
        <w:rPr>
          <w:i/>
          <w:sz w:val="24"/>
        </w:rPr>
        <w:t>в</w:t>
      </w:r>
      <w:r>
        <w:rPr>
          <w:i/>
          <w:spacing w:val="41"/>
          <w:sz w:val="24"/>
        </w:rPr>
        <w:t>  </w:t>
      </w:r>
      <w:r>
        <w:rPr>
          <w:i/>
          <w:sz w:val="24"/>
        </w:rPr>
        <w:t>исключительных</w:t>
      </w:r>
      <w:r>
        <w:rPr>
          <w:i/>
          <w:spacing w:val="41"/>
          <w:sz w:val="24"/>
        </w:rPr>
        <w:t>  </w:t>
      </w:r>
      <w:r>
        <w:rPr>
          <w:i/>
          <w:sz w:val="24"/>
        </w:rPr>
        <w:t>случаях</w:t>
      </w:r>
      <w:r>
        <w:rPr>
          <w:i/>
          <w:spacing w:val="41"/>
          <w:sz w:val="24"/>
        </w:rPr>
        <w:t>  </w:t>
      </w:r>
      <w:r>
        <w:rPr>
          <w:i/>
          <w:sz w:val="24"/>
        </w:rPr>
        <w:t>для</w:t>
      </w:r>
      <w:r>
        <w:rPr>
          <w:i/>
          <w:spacing w:val="42"/>
          <w:sz w:val="24"/>
        </w:rPr>
        <w:t>  </w:t>
      </w:r>
      <w:r>
        <w:rPr>
          <w:i/>
          <w:sz w:val="24"/>
        </w:rPr>
        <w:t>оценки</w:t>
      </w:r>
      <w:r>
        <w:rPr>
          <w:i/>
          <w:spacing w:val="42"/>
          <w:sz w:val="24"/>
        </w:rPr>
        <w:t>  </w:t>
      </w:r>
      <w:r>
        <w:rPr>
          <w:i/>
          <w:sz w:val="24"/>
        </w:rPr>
        <w:t>состояния</w:t>
      </w:r>
      <w:r>
        <w:rPr>
          <w:i/>
          <w:spacing w:val="42"/>
          <w:sz w:val="24"/>
        </w:rPr>
        <w:t>  </w:t>
      </w:r>
      <w:r>
        <w:rPr>
          <w:i/>
          <w:sz w:val="24"/>
        </w:rPr>
        <w:t>легких</w:t>
      </w:r>
      <w:r>
        <w:rPr>
          <w:i/>
          <w:spacing w:val="41"/>
          <w:sz w:val="24"/>
        </w:rPr>
        <w:t>  </w:t>
      </w:r>
      <w:r>
        <w:rPr>
          <w:i/>
          <w:spacing w:val="-5"/>
          <w:sz w:val="24"/>
        </w:rPr>
        <w:t>при</w:t>
      </w:r>
    </w:p>
    <w:p>
      <w:pPr>
        <w:pStyle w:val="ListParagraph"/>
        <w:spacing w:after="0" w:line="276" w:lineRule="auto"/>
        <w:jc w:val="both"/>
        <w:rPr>
          <w:i/>
          <w:sz w:val="24"/>
        </w:rPr>
        <w:sectPr>
          <w:pgSz w:w="11900" w:h="16840"/>
          <w:pgMar w:header="0" w:footer="697" w:top="1080" w:bottom="880" w:left="0" w:right="0"/>
        </w:sectPr>
      </w:pPr>
    </w:p>
    <w:p>
      <w:pPr>
        <w:spacing w:line="276" w:lineRule="auto" w:before="73"/>
        <w:ind w:left="1841" w:right="1272" w:firstLine="0"/>
        <w:jc w:val="both"/>
        <w:rPr>
          <w:i/>
          <w:sz w:val="24"/>
        </w:rPr>
      </w:pPr>
      <w:bookmarkStart w:name="30" w:id="39"/>
      <w:bookmarkEnd w:id="39"/>
      <w:r>
        <w:rPr/>
      </w:r>
      <w:r>
        <w:rPr>
          <w:i/>
          <w:sz w:val="24"/>
        </w:rPr>
        <w:t>недоступности</w:t>
      </w:r>
      <w:r>
        <w:rPr>
          <w:i/>
          <w:spacing w:val="-8"/>
          <w:sz w:val="24"/>
        </w:rPr>
        <w:t> </w:t>
      </w:r>
      <w:r>
        <w:rPr>
          <w:i/>
          <w:sz w:val="24"/>
        </w:rPr>
        <w:t>КТ</w:t>
      </w:r>
      <w:r>
        <w:rPr>
          <w:i/>
          <w:spacing w:val="-7"/>
          <w:sz w:val="24"/>
        </w:rPr>
        <w:t> </w:t>
      </w:r>
      <w:r>
        <w:rPr>
          <w:i/>
          <w:sz w:val="24"/>
        </w:rPr>
        <w:t>(поломка</w:t>
      </w:r>
      <w:r>
        <w:rPr>
          <w:i/>
          <w:spacing w:val="-8"/>
          <w:sz w:val="24"/>
        </w:rPr>
        <w:t> </w:t>
      </w:r>
      <w:r>
        <w:rPr>
          <w:i/>
          <w:sz w:val="24"/>
        </w:rPr>
        <w:t>единственного</w:t>
      </w:r>
      <w:r>
        <w:rPr>
          <w:i/>
          <w:spacing w:val="-8"/>
          <w:sz w:val="24"/>
        </w:rPr>
        <w:t> </w:t>
      </w:r>
      <w:r>
        <w:rPr>
          <w:i/>
          <w:sz w:val="24"/>
        </w:rPr>
        <w:t>прибора)</w:t>
      </w:r>
      <w:r>
        <w:rPr>
          <w:i/>
          <w:spacing w:val="-8"/>
          <w:sz w:val="24"/>
        </w:rPr>
        <w:t> </w:t>
      </w:r>
      <w:r>
        <w:rPr>
          <w:i/>
          <w:sz w:val="24"/>
        </w:rPr>
        <w:t>и</w:t>
      </w:r>
      <w:r>
        <w:rPr>
          <w:i/>
          <w:spacing w:val="-8"/>
          <w:sz w:val="24"/>
        </w:rPr>
        <w:t> </w:t>
      </w:r>
      <w:r>
        <w:rPr>
          <w:i/>
          <w:sz w:val="24"/>
        </w:rPr>
        <w:t>неопределенных</w:t>
      </w:r>
      <w:r>
        <w:rPr>
          <w:i/>
          <w:spacing w:val="-8"/>
          <w:sz w:val="24"/>
        </w:rPr>
        <w:t> </w:t>
      </w:r>
      <w:r>
        <w:rPr>
          <w:i/>
          <w:sz w:val="24"/>
        </w:rPr>
        <w:t>результатах РГ,</w:t>
      </w:r>
      <w:r>
        <w:rPr>
          <w:i/>
          <w:spacing w:val="-5"/>
          <w:sz w:val="24"/>
        </w:rPr>
        <w:t> </w:t>
      </w:r>
      <w:r>
        <w:rPr>
          <w:i/>
          <w:sz w:val="24"/>
        </w:rPr>
        <w:t>а</w:t>
      </w:r>
      <w:r>
        <w:rPr>
          <w:i/>
          <w:spacing w:val="-5"/>
          <w:sz w:val="24"/>
        </w:rPr>
        <w:t> </w:t>
      </w:r>
      <w:r>
        <w:rPr>
          <w:i/>
          <w:sz w:val="24"/>
        </w:rPr>
        <w:t>также</w:t>
      </w:r>
      <w:r>
        <w:rPr>
          <w:i/>
          <w:spacing w:val="-5"/>
          <w:sz w:val="24"/>
        </w:rPr>
        <w:t> </w:t>
      </w:r>
      <w:r>
        <w:rPr>
          <w:i/>
          <w:sz w:val="24"/>
        </w:rPr>
        <w:t>при</w:t>
      </w:r>
      <w:r>
        <w:rPr>
          <w:i/>
          <w:spacing w:val="-7"/>
          <w:sz w:val="24"/>
        </w:rPr>
        <w:t> </w:t>
      </w:r>
      <w:r>
        <w:rPr>
          <w:i/>
          <w:sz w:val="24"/>
        </w:rPr>
        <w:t>наличии</w:t>
      </w:r>
      <w:r>
        <w:rPr>
          <w:i/>
          <w:spacing w:val="-5"/>
          <w:sz w:val="24"/>
        </w:rPr>
        <w:t> </w:t>
      </w:r>
      <w:r>
        <w:rPr>
          <w:i/>
          <w:sz w:val="24"/>
        </w:rPr>
        <w:t>врачей,</w:t>
      </w:r>
      <w:r>
        <w:rPr>
          <w:i/>
          <w:spacing w:val="-5"/>
          <w:sz w:val="24"/>
        </w:rPr>
        <w:t> </w:t>
      </w:r>
      <w:r>
        <w:rPr>
          <w:i/>
          <w:sz w:val="24"/>
        </w:rPr>
        <w:t>обладающих</w:t>
      </w:r>
      <w:r>
        <w:rPr>
          <w:i/>
          <w:spacing w:val="-8"/>
          <w:sz w:val="24"/>
        </w:rPr>
        <w:t> </w:t>
      </w:r>
      <w:r>
        <w:rPr>
          <w:i/>
          <w:sz w:val="24"/>
        </w:rPr>
        <w:t>опытом</w:t>
      </w:r>
      <w:r>
        <w:rPr>
          <w:i/>
          <w:spacing w:val="-5"/>
          <w:sz w:val="24"/>
        </w:rPr>
        <w:t> </w:t>
      </w:r>
      <w:r>
        <w:rPr>
          <w:i/>
          <w:sz w:val="24"/>
        </w:rPr>
        <w:t>выполнения</w:t>
      </w:r>
      <w:r>
        <w:rPr>
          <w:i/>
          <w:spacing w:val="-4"/>
          <w:sz w:val="24"/>
        </w:rPr>
        <w:t> </w:t>
      </w:r>
      <w:r>
        <w:rPr>
          <w:i/>
          <w:sz w:val="24"/>
        </w:rPr>
        <w:t>и</w:t>
      </w:r>
      <w:r>
        <w:rPr>
          <w:i/>
          <w:spacing w:val="-7"/>
          <w:sz w:val="24"/>
        </w:rPr>
        <w:t> </w:t>
      </w:r>
      <w:r>
        <w:rPr>
          <w:i/>
          <w:sz w:val="24"/>
        </w:rPr>
        <w:t>интерпретации подобных исследований. Применение МРТ для исследований других органов и систем (головной</w:t>
      </w:r>
      <w:r>
        <w:rPr>
          <w:i/>
          <w:spacing w:val="80"/>
          <w:w w:val="150"/>
          <w:sz w:val="24"/>
        </w:rPr>
        <w:t> </w:t>
      </w:r>
      <w:r>
        <w:rPr>
          <w:i/>
          <w:sz w:val="24"/>
        </w:rPr>
        <w:t>мозг,</w:t>
      </w:r>
      <w:r>
        <w:rPr>
          <w:i/>
          <w:spacing w:val="80"/>
          <w:w w:val="150"/>
          <w:sz w:val="24"/>
        </w:rPr>
        <w:t> </w:t>
      </w:r>
      <w:r>
        <w:rPr>
          <w:i/>
          <w:sz w:val="24"/>
        </w:rPr>
        <w:t>позвоночник</w:t>
      </w:r>
      <w:r>
        <w:rPr>
          <w:i/>
          <w:spacing w:val="80"/>
          <w:w w:val="150"/>
          <w:sz w:val="24"/>
        </w:rPr>
        <w:t> </w:t>
      </w:r>
      <w:r>
        <w:rPr>
          <w:i/>
          <w:sz w:val="24"/>
        </w:rPr>
        <w:t>и</w:t>
      </w:r>
      <w:r>
        <w:rPr>
          <w:i/>
          <w:spacing w:val="80"/>
          <w:w w:val="150"/>
          <w:sz w:val="24"/>
        </w:rPr>
        <w:t> </w:t>
      </w:r>
      <w:r>
        <w:rPr>
          <w:i/>
          <w:sz w:val="24"/>
        </w:rPr>
        <w:t>т.д.)</w:t>
      </w:r>
      <w:r>
        <w:rPr>
          <w:i/>
          <w:spacing w:val="80"/>
          <w:w w:val="150"/>
          <w:sz w:val="24"/>
        </w:rPr>
        <w:t> </w:t>
      </w:r>
      <w:r>
        <w:rPr>
          <w:i/>
          <w:sz w:val="24"/>
        </w:rPr>
        <w:t>у</w:t>
      </w:r>
      <w:r>
        <w:rPr>
          <w:i/>
          <w:spacing w:val="80"/>
          <w:w w:val="150"/>
          <w:sz w:val="24"/>
        </w:rPr>
        <w:t> </w:t>
      </w:r>
      <w:r>
        <w:rPr>
          <w:i/>
          <w:sz w:val="24"/>
        </w:rPr>
        <w:t>больных</w:t>
      </w:r>
      <w:r>
        <w:rPr>
          <w:i/>
          <w:spacing w:val="80"/>
          <w:w w:val="150"/>
          <w:sz w:val="24"/>
        </w:rPr>
        <w:t> </w:t>
      </w:r>
      <w:r>
        <w:rPr>
          <w:i/>
          <w:sz w:val="24"/>
        </w:rPr>
        <w:t>COVID-19</w:t>
      </w:r>
      <w:r>
        <w:rPr>
          <w:i/>
          <w:spacing w:val="80"/>
          <w:w w:val="150"/>
          <w:sz w:val="24"/>
        </w:rPr>
        <w:t> </w:t>
      </w:r>
      <w:r>
        <w:rPr>
          <w:i/>
          <w:sz w:val="24"/>
        </w:rPr>
        <w:t>осуществляется</w:t>
      </w:r>
      <w:r>
        <w:rPr>
          <w:i/>
          <w:spacing w:val="80"/>
          <w:sz w:val="24"/>
        </w:rPr>
        <w:t> </w:t>
      </w:r>
      <w:r>
        <w:rPr>
          <w:i/>
          <w:sz w:val="24"/>
        </w:rPr>
        <w:t>по</w:t>
      </w:r>
      <w:r>
        <w:rPr>
          <w:i/>
          <w:spacing w:val="-12"/>
          <w:sz w:val="24"/>
        </w:rPr>
        <w:t> </w:t>
      </w:r>
      <w:r>
        <w:rPr>
          <w:i/>
          <w:sz w:val="24"/>
        </w:rPr>
        <w:t>жизненно</w:t>
      </w:r>
      <w:r>
        <w:rPr>
          <w:i/>
          <w:spacing w:val="-12"/>
          <w:sz w:val="24"/>
        </w:rPr>
        <w:t> </w:t>
      </w:r>
      <w:r>
        <w:rPr>
          <w:i/>
          <w:sz w:val="24"/>
        </w:rPr>
        <w:t>важным</w:t>
      </w:r>
      <w:r>
        <w:rPr>
          <w:i/>
          <w:spacing w:val="-11"/>
          <w:sz w:val="24"/>
        </w:rPr>
        <w:t> </w:t>
      </w:r>
      <w:r>
        <w:rPr>
          <w:i/>
          <w:sz w:val="24"/>
        </w:rPr>
        <w:t>показаниям,</w:t>
      </w:r>
      <w:r>
        <w:rPr>
          <w:i/>
          <w:spacing w:val="-11"/>
          <w:sz w:val="24"/>
        </w:rPr>
        <w:t> </w:t>
      </w:r>
      <w:r>
        <w:rPr>
          <w:i/>
          <w:sz w:val="24"/>
        </w:rPr>
        <w:t>в</w:t>
      </w:r>
      <w:r>
        <w:rPr>
          <w:i/>
          <w:spacing w:val="-13"/>
          <w:sz w:val="24"/>
        </w:rPr>
        <w:t> </w:t>
      </w:r>
      <w:r>
        <w:rPr>
          <w:i/>
          <w:sz w:val="24"/>
        </w:rPr>
        <w:t>специально</w:t>
      </w:r>
      <w:r>
        <w:rPr>
          <w:i/>
          <w:spacing w:val="-12"/>
          <w:sz w:val="24"/>
        </w:rPr>
        <w:t> </w:t>
      </w:r>
      <w:r>
        <w:rPr>
          <w:i/>
          <w:sz w:val="24"/>
        </w:rPr>
        <w:t>выделенных</w:t>
      </w:r>
      <w:r>
        <w:rPr>
          <w:i/>
          <w:spacing w:val="-13"/>
          <w:sz w:val="24"/>
        </w:rPr>
        <w:t> </w:t>
      </w:r>
      <w:r>
        <w:rPr>
          <w:i/>
          <w:sz w:val="24"/>
        </w:rPr>
        <w:t>для</w:t>
      </w:r>
      <w:r>
        <w:rPr>
          <w:i/>
          <w:spacing w:val="-11"/>
          <w:sz w:val="24"/>
        </w:rPr>
        <w:t> </w:t>
      </w:r>
      <w:r>
        <w:rPr>
          <w:i/>
          <w:sz w:val="24"/>
        </w:rPr>
        <w:t>этой</w:t>
      </w:r>
      <w:r>
        <w:rPr>
          <w:i/>
          <w:spacing w:val="-14"/>
          <w:sz w:val="24"/>
        </w:rPr>
        <w:t> </w:t>
      </w:r>
      <w:r>
        <w:rPr>
          <w:i/>
          <w:sz w:val="24"/>
        </w:rPr>
        <w:t>цели</w:t>
      </w:r>
      <w:r>
        <w:rPr>
          <w:i/>
          <w:spacing w:val="-12"/>
          <w:sz w:val="24"/>
        </w:rPr>
        <w:t> </w:t>
      </w:r>
      <w:r>
        <w:rPr>
          <w:i/>
          <w:sz w:val="24"/>
        </w:rPr>
        <w:t>кабинетах с соблюдением всех методов защиты персонала отделений лучевой диагностики. Возможно также разделение времени работы МРТ, когда выделяются смены (временны́е</w:t>
      </w:r>
      <w:r>
        <w:rPr>
          <w:i/>
          <w:spacing w:val="77"/>
          <w:w w:val="150"/>
          <w:sz w:val="24"/>
        </w:rPr>
        <w:t>  </w:t>
      </w:r>
      <w:r>
        <w:rPr>
          <w:i/>
          <w:sz w:val="24"/>
        </w:rPr>
        <w:t>интервалы)</w:t>
      </w:r>
      <w:r>
        <w:rPr>
          <w:i/>
          <w:spacing w:val="77"/>
          <w:w w:val="150"/>
          <w:sz w:val="24"/>
        </w:rPr>
        <w:t>  </w:t>
      </w:r>
      <w:r>
        <w:rPr>
          <w:i/>
          <w:sz w:val="24"/>
        </w:rPr>
        <w:t>для</w:t>
      </w:r>
      <w:r>
        <w:rPr>
          <w:i/>
          <w:spacing w:val="78"/>
          <w:w w:val="150"/>
          <w:sz w:val="24"/>
        </w:rPr>
        <w:t>  </w:t>
      </w:r>
      <w:r>
        <w:rPr>
          <w:i/>
          <w:sz w:val="24"/>
        </w:rPr>
        <w:t>раздельного</w:t>
      </w:r>
      <w:r>
        <w:rPr>
          <w:i/>
          <w:spacing w:val="77"/>
          <w:w w:val="150"/>
          <w:sz w:val="24"/>
        </w:rPr>
        <w:t>  </w:t>
      </w:r>
      <w:r>
        <w:rPr>
          <w:i/>
          <w:sz w:val="24"/>
        </w:rPr>
        <w:t>обследования</w:t>
      </w:r>
      <w:r>
        <w:rPr>
          <w:i/>
          <w:spacing w:val="78"/>
          <w:w w:val="150"/>
          <w:sz w:val="24"/>
        </w:rPr>
        <w:t>  </w:t>
      </w:r>
      <w:r>
        <w:rPr>
          <w:i/>
          <w:sz w:val="24"/>
        </w:rPr>
        <w:t>инфицированных и неинфицированных пациентов. Для такого режима работы требуется тщательная дезинфекция кабинета перед началом обследования неинфицированных пациентов согласно установленным правилам.</w:t>
      </w:r>
    </w:p>
    <w:p>
      <w:pPr>
        <w:pStyle w:val="ListParagraph"/>
        <w:numPr>
          <w:ilvl w:val="0"/>
          <w:numId w:val="13"/>
        </w:numPr>
        <w:tabs>
          <w:tab w:pos="2827" w:val="left" w:leader="none"/>
        </w:tabs>
        <w:spacing w:line="276" w:lineRule="auto" w:before="0" w:after="0"/>
        <w:ind w:left="1841" w:right="1272" w:firstLine="707"/>
        <w:jc w:val="both"/>
        <w:rPr>
          <w:sz w:val="24"/>
        </w:rPr>
      </w:pPr>
      <w:r>
        <w:rPr>
          <w:sz w:val="24"/>
        </w:rPr>
        <w:t>Оценка динамики течения выявленной пневмонии COVID-19 проводится по клиническим показаниям с применением следующих методов визуализации:</w:t>
      </w:r>
    </w:p>
    <w:p>
      <w:pPr>
        <w:pStyle w:val="ListParagraph"/>
        <w:numPr>
          <w:ilvl w:val="0"/>
          <w:numId w:val="12"/>
        </w:numPr>
        <w:tabs>
          <w:tab w:pos="2124" w:val="left" w:leader="none"/>
        </w:tabs>
        <w:spacing w:line="264" w:lineRule="auto" w:before="0" w:after="0"/>
        <w:ind w:left="2124" w:right="1279" w:hanging="360"/>
        <w:jc w:val="both"/>
        <w:rPr>
          <w:sz w:val="24"/>
        </w:rPr>
      </w:pPr>
      <w:r>
        <w:rPr>
          <w:sz w:val="24"/>
        </w:rPr>
        <w:t>оптимально: выполнение КТ исследования легких по стандартному протоколу</w:t>
      </w:r>
      <w:r>
        <w:rPr>
          <w:spacing w:val="80"/>
          <w:sz w:val="24"/>
        </w:rPr>
        <w:t> </w:t>
      </w:r>
      <w:r>
        <w:rPr>
          <w:sz w:val="24"/>
        </w:rPr>
        <w:t>без внутривенного контрастирования;</w:t>
      </w:r>
    </w:p>
    <w:p>
      <w:pPr>
        <w:pStyle w:val="ListParagraph"/>
        <w:numPr>
          <w:ilvl w:val="0"/>
          <w:numId w:val="12"/>
        </w:numPr>
        <w:tabs>
          <w:tab w:pos="2124" w:val="left" w:leader="none"/>
        </w:tabs>
        <w:spacing w:line="240" w:lineRule="auto" w:before="11" w:after="0"/>
        <w:ind w:left="2124" w:right="0" w:hanging="359"/>
        <w:jc w:val="both"/>
        <w:rPr>
          <w:sz w:val="24"/>
        </w:rPr>
      </w:pPr>
      <w:r>
        <w:rPr>
          <w:sz w:val="24"/>
        </w:rPr>
        <w:t>возможно:</w:t>
      </w:r>
      <w:r>
        <w:rPr>
          <w:spacing w:val="-10"/>
          <w:sz w:val="24"/>
        </w:rPr>
        <w:t> </w:t>
      </w:r>
      <w:r>
        <w:rPr>
          <w:sz w:val="24"/>
        </w:rPr>
        <w:t>РГ</w:t>
      </w:r>
      <w:r>
        <w:rPr>
          <w:spacing w:val="-10"/>
          <w:sz w:val="24"/>
        </w:rPr>
        <w:t> </w:t>
      </w:r>
      <w:r>
        <w:rPr>
          <w:sz w:val="24"/>
        </w:rPr>
        <w:t>в</w:t>
      </w:r>
      <w:r>
        <w:rPr>
          <w:spacing w:val="-10"/>
          <w:sz w:val="24"/>
        </w:rPr>
        <w:t> </w:t>
      </w:r>
      <w:r>
        <w:rPr>
          <w:sz w:val="24"/>
        </w:rPr>
        <w:t>двух</w:t>
      </w:r>
      <w:r>
        <w:rPr>
          <w:spacing w:val="-10"/>
          <w:sz w:val="24"/>
        </w:rPr>
        <w:t> </w:t>
      </w:r>
      <w:r>
        <w:rPr>
          <w:sz w:val="24"/>
        </w:rPr>
        <w:t>проекциях</w:t>
      </w:r>
      <w:r>
        <w:rPr>
          <w:spacing w:val="-10"/>
          <w:sz w:val="24"/>
        </w:rPr>
        <w:t> </w:t>
      </w:r>
      <w:r>
        <w:rPr>
          <w:sz w:val="24"/>
        </w:rPr>
        <w:t>в</w:t>
      </w:r>
      <w:r>
        <w:rPr>
          <w:spacing w:val="-10"/>
          <w:sz w:val="24"/>
        </w:rPr>
        <w:t> </w:t>
      </w:r>
      <w:r>
        <w:rPr>
          <w:sz w:val="24"/>
        </w:rPr>
        <w:t>рентгеновском</w:t>
      </w:r>
      <w:r>
        <w:rPr>
          <w:spacing w:val="-10"/>
          <w:sz w:val="24"/>
        </w:rPr>
        <w:t> </w:t>
      </w:r>
      <w:r>
        <w:rPr>
          <w:spacing w:val="-2"/>
          <w:sz w:val="24"/>
        </w:rPr>
        <w:t>кабинете;</w:t>
      </w:r>
    </w:p>
    <w:p>
      <w:pPr>
        <w:pStyle w:val="ListParagraph"/>
        <w:numPr>
          <w:ilvl w:val="0"/>
          <w:numId w:val="12"/>
        </w:numPr>
        <w:tabs>
          <w:tab w:pos="2124" w:val="left" w:leader="none"/>
        </w:tabs>
        <w:spacing w:line="271" w:lineRule="auto" w:before="33" w:after="0"/>
        <w:ind w:left="2124" w:right="1280" w:hanging="360"/>
        <w:jc w:val="both"/>
        <w:rPr>
          <w:sz w:val="24"/>
        </w:rPr>
      </w:pPr>
      <w:r>
        <w:rPr>
          <w:sz w:val="24"/>
        </w:rPr>
        <w:t>возможно:</w:t>
      </w:r>
      <w:r>
        <w:rPr>
          <w:spacing w:val="80"/>
          <w:w w:val="150"/>
          <w:sz w:val="24"/>
        </w:rPr>
        <w:t> </w:t>
      </w:r>
      <w:r>
        <w:rPr>
          <w:sz w:val="24"/>
        </w:rPr>
        <w:t>выполнение</w:t>
      </w:r>
      <w:r>
        <w:rPr>
          <w:spacing w:val="80"/>
          <w:w w:val="150"/>
          <w:sz w:val="24"/>
        </w:rPr>
        <w:t> </w:t>
      </w:r>
      <w:r>
        <w:rPr>
          <w:sz w:val="24"/>
        </w:rPr>
        <w:t>УЗИ</w:t>
      </w:r>
      <w:r>
        <w:rPr>
          <w:spacing w:val="80"/>
          <w:w w:val="150"/>
          <w:sz w:val="24"/>
        </w:rPr>
        <w:t> </w:t>
      </w:r>
      <w:r>
        <w:rPr>
          <w:sz w:val="24"/>
        </w:rPr>
        <w:t>легких</w:t>
      </w:r>
      <w:r>
        <w:rPr>
          <w:spacing w:val="80"/>
          <w:w w:val="150"/>
          <w:sz w:val="24"/>
        </w:rPr>
        <w:t> </w:t>
      </w:r>
      <w:r>
        <w:rPr>
          <w:sz w:val="24"/>
        </w:rPr>
        <w:t>(как</w:t>
      </w:r>
      <w:r>
        <w:rPr>
          <w:spacing w:val="80"/>
          <w:w w:val="150"/>
          <w:sz w:val="24"/>
        </w:rPr>
        <w:t> </w:t>
      </w:r>
      <w:r>
        <w:rPr>
          <w:sz w:val="24"/>
        </w:rPr>
        <w:t>дополнительное</w:t>
      </w:r>
      <w:r>
        <w:rPr>
          <w:spacing w:val="80"/>
          <w:w w:val="150"/>
          <w:sz w:val="24"/>
        </w:rPr>
        <w:t> </w:t>
      </w:r>
      <w:r>
        <w:rPr>
          <w:sz w:val="24"/>
        </w:rPr>
        <w:t>исследование)</w:t>
      </w:r>
      <w:r>
        <w:rPr>
          <w:spacing w:val="80"/>
          <w:sz w:val="24"/>
        </w:rPr>
        <w:t> </w:t>
      </w:r>
      <w:r>
        <w:rPr>
          <w:sz w:val="24"/>
        </w:rPr>
        <w:t>при</w:t>
      </w:r>
      <w:r>
        <w:rPr>
          <w:spacing w:val="-2"/>
          <w:sz w:val="24"/>
        </w:rPr>
        <w:t> </w:t>
      </w:r>
      <w:r>
        <w:rPr>
          <w:sz w:val="24"/>
        </w:rPr>
        <w:t>невозможности оценки динамики с помощью КТ и РГ при условии наличия первоначальной</w:t>
      </w:r>
      <w:r>
        <w:rPr>
          <w:spacing w:val="32"/>
          <w:sz w:val="24"/>
        </w:rPr>
        <w:t> </w:t>
      </w:r>
      <w:r>
        <w:rPr>
          <w:sz w:val="24"/>
        </w:rPr>
        <w:t>информации</w:t>
      </w:r>
      <w:r>
        <w:rPr>
          <w:spacing w:val="32"/>
          <w:sz w:val="24"/>
        </w:rPr>
        <w:t> </w:t>
      </w:r>
      <w:r>
        <w:rPr>
          <w:sz w:val="24"/>
        </w:rPr>
        <w:t>об</w:t>
      </w:r>
      <w:r>
        <w:rPr>
          <w:spacing w:val="32"/>
          <w:sz w:val="24"/>
        </w:rPr>
        <w:t> </w:t>
      </w:r>
      <w:r>
        <w:rPr>
          <w:sz w:val="24"/>
        </w:rPr>
        <w:t>истинном</w:t>
      </w:r>
      <w:r>
        <w:rPr>
          <w:spacing w:val="31"/>
          <w:sz w:val="24"/>
        </w:rPr>
        <w:t> </w:t>
      </w:r>
      <w:r>
        <w:rPr>
          <w:sz w:val="24"/>
        </w:rPr>
        <w:t>объеме</w:t>
      </w:r>
      <w:r>
        <w:rPr>
          <w:spacing w:val="31"/>
          <w:sz w:val="24"/>
        </w:rPr>
        <w:t> </w:t>
      </w:r>
      <w:r>
        <w:rPr>
          <w:sz w:val="24"/>
        </w:rPr>
        <w:t>и</w:t>
      </w:r>
      <w:r>
        <w:rPr>
          <w:spacing w:val="32"/>
          <w:sz w:val="24"/>
        </w:rPr>
        <w:t> </w:t>
      </w:r>
      <w:r>
        <w:rPr>
          <w:sz w:val="24"/>
        </w:rPr>
        <w:t>причине</w:t>
      </w:r>
      <w:r>
        <w:rPr>
          <w:spacing w:val="31"/>
          <w:sz w:val="24"/>
        </w:rPr>
        <w:t> </w:t>
      </w:r>
      <w:r>
        <w:rPr>
          <w:sz w:val="24"/>
        </w:rPr>
        <w:t>поражения</w:t>
      </w:r>
      <w:r>
        <w:rPr>
          <w:spacing w:val="32"/>
          <w:sz w:val="24"/>
        </w:rPr>
        <w:t> </w:t>
      </w:r>
      <w:r>
        <w:rPr>
          <w:sz w:val="24"/>
        </w:rPr>
        <w:t>легких и подготовленного врачебного персонала.</w:t>
      </w:r>
    </w:p>
    <w:p>
      <w:pPr>
        <w:spacing w:line="276" w:lineRule="auto" w:before="18"/>
        <w:ind w:left="1841" w:right="1275" w:firstLine="707"/>
        <w:jc w:val="both"/>
        <w:rPr>
          <w:sz w:val="24"/>
        </w:rPr>
      </w:pPr>
      <w:r>
        <w:rPr>
          <w:i/>
          <w:sz w:val="24"/>
        </w:rPr>
        <w:t>Комментарии.</w:t>
      </w:r>
      <w:r>
        <w:rPr>
          <w:i/>
          <w:spacing w:val="70"/>
          <w:sz w:val="24"/>
        </w:rPr>
        <w:t>  </w:t>
      </w:r>
      <w:r>
        <w:rPr>
          <w:i/>
          <w:sz w:val="24"/>
        </w:rPr>
        <w:t>Кратность</w:t>
      </w:r>
      <w:r>
        <w:rPr>
          <w:i/>
          <w:spacing w:val="70"/>
          <w:sz w:val="24"/>
        </w:rPr>
        <w:t>  </w:t>
      </w:r>
      <w:r>
        <w:rPr>
          <w:i/>
          <w:sz w:val="24"/>
        </w:rPr>
        <w:t>повторения</w:t>
      </w:r>
      <w:r>
        <w:rPr>
          <w:i/>
          <w:spacing w:val="70"/>
          <w:sz w:val="24"/>
        </w:rPr>
        <w:t>  </w:t>
      </w:r>
      <w:r>
        <w:rPr>
          <w:i/>
          <w:sz w:val="24"/>
        </w:rPr>
        <w:t>КТ,</w:t>
      </w:r>
      <w:r>
        <w:rPr>
          <w:i/>
          <w:spacing w:val="70"/>
          <w:sz w:val="24"/>
        </w:rPr>
        <w:t>  </w:t>
      </w:r>
      <w:r>
        <w:rPr>
          <w:i/>
          <w:sz w:val="24"/>
        </w:rPr>
        <w:t>РГ</w:t>
      </w:r>
      <w:r>
        <w:rPr>
          <w:i/>
          <w:spacing w:val="70"/>
          <w:sz w:val="24"/>
        </w:rPr>
        <w:t>  </w:t>
      </w:r>
      <w:r>
        <w:rPr>
          <w:i/>
          <w:sz w:val="24"/>
        </w:rPr>
        <w:t>или</w:t>
      </w:r>
      <w:r>
        <w:rPr>
          <w:i/>
          <w:spacing w:val="70"/>
          <w:sz w:val="24"/>
        </w:rPr>
        <w:t>  </w:t>
      </w:r>
      <w:r>
        <w:rPr>
          <w:i/>
          <w:sz w:val="24"/>
        </w:rPr>
        <w:t>УЗИ</w:t>
      </w:r>
      <w:r>
        <w:rPr>
          <w:i/>
          <w:spacing w:val="70"/>
          <w:sz w:val="24"/>
        </w:rPr>
        <w:t>  </w:t>
      </w:r>
      <w:r>
        <w:rPr>
          <w:i/>
          <w:sz w:val="24"/>
        </w:rPr>
        <w:t>зависит от клинических показаний, диктующих необходимость оценки динамики. Рекомендуемая кратность повторения для КТ и РГ –</w:t>
      </w:r>
      <w:r>
        <w:rPr>
          <w:i/>
          <w:spacing w:val="39"/>
          <w:sz w:val="24"/>
        </w:rPr>
        <w:t> </w:t>
      </w:r>
      <w:r>
        <w:rPr>
          <w:i/>
          <w:sz w:val="22"/>
        </w:rPr>
        <w:t>по </w:t>
      </w:r>
      <w:r>
        <w:rPr>
          <w:i/>
          <w:sz w:val="24"/>
        </w:rPr>
        <w:t>клиническим показаниям,</w:t>
      </w:r>
      <w:r>
        <w:rPr>
          <w:i/>
          <w:spacing w:val="40"/>
          <w:sz w:val="24"/>
        </w:rPr>
        <w:t> </w:t>
      </w:r>
      <w:r>
        <w:rPr>
          <w:i/>
          <w:sz w:val="24"/>
        </w:rPr>
        <w:t>но не чаще, чем один раз в 7-10 дней при отсутствии ухудшения состояния</w:t>
      </w:r>
      <w:r>
        <w:rPr>
          <w:sz w:val="24"/>
        </w:rPr>
        <w:t>.</w:t>
      </w:r>
    </w:p>
    <w:p>
      <w:pPr>
        <w:spacing w:line="276" w:lineRule="auto" w:before="0"/>
        <w:ind w:left="1841" w:right="1276" w:firstLine="707"/>
        <w:jc w:val="both"/>
        <w:rPr>
          <w:i/>
          <w:sz w:val="24"/>
        </w:rPr>
      </w:pPr>
      <w:r>
        <w:rPr>
          <w:i/>
          <w:sz w:val="24"/>
        </w:rPr>
        <w:t>Объективная оценка динамики возможна только при сопоставлении данных одного вида исследования, например, КТ или РГ. Сравнение визуальной картины пневмонии</w:t>
      </w:r>
      <w:r>
        <w:rPr>
          <w:i/>
          <w:spacing w:val="40"/>
          <w:sz w:val="24"/>
        </w:rPr>
        <w:t>  </w:t>
      </w:r>
      <w:r>
        <w:rPr>
          <w:i/>
          <w:sz w:val="24"/>
        </w:rPr>
        <w:t>при</w:t>
      </w:r>
      <w:r>
        <w:rPr>
          <w:i/>
          <w:spacing w:val="40"/>
          <w:sz w:val="24"/>
        </w:rPr>
        <w:t>  </w:t>
      </w:r>
      <w:r>
        <w:rPr>
          <w:i/>
          <w:sz w:val="24"/>
        </w:rPr>
        <w:t>использовании</w:t>
      </w:r>
      <w:r>
        <w:rPr>
          <w:i/>
          <w:spacing w:val="40"/>
          <w:sz w:val="24"/>
        </w:rPr>
        <w:t>  </w:t>
      </w:r>
      <w:r>
        <w:rPr>
          <w:i/>
          <w:sz w:val="24"/>
        </w:rPr>
        <w:t>различных</w:t>
      </w:r>
      <w:r>
        <w:rPr>
          <w:i/>
          <w:spacing w:val="40"/>
          <w:sz w:val="24"/>
        </w:rPr>
        <w:t>  </w:t>
      </w:r>
      <w:r>
        <w:rPr>
          <w:i/>
          <w:sz w:val="24"/>
        </w:rPr>
        <w:t>методов</w:t>
      </w:r>
      <w:r>
        <w:rPr>
          <w:i/>
          <w:spacing w:val="40"/>
          <w:sz w:val="24"/>
        </w:rPr>
        <w:t>  </w:t>
      </w:r>
      <w:r>
        <w:rPr>
          <w:i/>
          <w:sz w:val="24"/>
        </w:rPr>
        <w:t>визуализации</w:t>
      </w:r>
      <w:r>
        <w:rPr>
          <w:i/>
          <w:spacing w:val="40"/>
          <w:sz w:val="24"/>
        </w:rPr>
        <w:t>  </w:t>
      </w:r>
      <w:r>
        <w:rPr>
          <w:i/>
          <w:sz w:val="24"/>
        </w:rPr>
        <w:t>затруднено и, как</w:t>
      </w:r>
      <w:r>
        <w:rPr>
          <w:i/>
          <w:spacing w:val="-2"/>
          <w:sz w:val="24"/>
        </w:rPr>
        <w:t> </w:t>
      </w:r>
      <w:r>
        <w:rPr>
          <w:i/>
          <w:sz w:val="24"/>
        </w:rPr>
        <w:t>правило, субъективно. Возможно использование УЗИ легких, но только при условии наличия (1) первоначальной информации об истинном объеме и причине поражения легких и (2) подготовленного врачебного персонала.</w:t>
      </w:r>
    </w:p>
    <w:p>
      <w:pPr>
        <w:pStyle w:val="ListParagraph"/>
        <w:numPr>
          <w:ilvl w:val="0"/>
          <w:numId w:val="13"/>
        </w:numPr>
        <w:tabs>
          <w:tab w:pos="3115" w:val="left" w:leader="none"/>
        </w:tabs>
        <w:spacing w:line="276" w:lineRule="auto" w:before="0" w:after="0"/>
        <w:ind w:left="1841" w:right="1273" w:firstLine="707"/>
        <w:jc w:val="both"/>
        <w:rPr>
          <w:sz w:val="24"/>
        </w:rPr>
      </w:pPr>
      <w:r>
        <w:rPr>
          <w:sz w:val="24"/>
        </w:rPr>
        <w:t>Оценка</w:t>
      </w:r>
      <w:r>
        <w:rPr>
          <w:spacing w:val="70"/>
          <w:sz w:val="24"/>
        </w:rPr>
        <w:t>  </w:t>
      </w:r>
      <w:r>
        <w:rPr>
          <w:sz w:val="24"/>
        </w:rPr>
        <w:t>динамики</w:t>
      </w:r>
      <w:r>
        <w:rPr>
          <w:spacing w:val="71"/>
          <w:sz w:val="24"/>
        </w:rPr>
        <w:t>  </w:t>
      </w:r>
      <w:r>
        <w:rPr>
          <w:sz w:val="24"/>
        </w:rPr>
        <w:t>пневмонии</w:t>
      </w:r>
      <w:r>
        <w:rPr>
          <w:spacing w:val="70"/>
          <w:sz w:val="24"/>
        </w:rPr>
        <w:t>  </w:t>
      </w:r>
      <w:r>
        <w:rPr>
          <w:sz w:val="24"/>
        </w:rPr>
        <w:t>COVID-19</w:t>
      </w:r>
      <w:r>
        <w:rPr>
          <w:spacing w:val="71"/>
          <w:sz w:val="24"/>
        </w:rPr>
        <w:t>  </w:t>
      </w:r>
      <w:r>
        <w:rPr>
          <w:sz w:val="24"/>
        </w:rPr>
        <w:t>в</w:t>
      </w:r>
      <w:r>
        <w:rPr>
          <w:spacing w:val="70"/>
          <w:sz w:val="24"/>
        </w:rPr>
        <w:t>  </w:t>
      </w:r>
      <w:r>
        <w:rPr>
          <w:sz w:val="24"/>
        </w:rPr>
        <w:t>ОРИТ</w:t>
      </w:r>
      <w:r>
        <w:rPr>
          <w:spacing w:val="71"/>
          <w:sz w:val="24"/>
        </w:rPr>
        <w:t>  </w:t>
      </w:r>
      <w:r>
        <w:rPr>
          <w:sz w:val="24"/>
        </w:rPr>
        <w:t>проводится по клиническим показаниям:</w:t>
      </w:r>
    </w:p>
    <w:p>
      <w:pPr>
        <w:pStyle w:val="ListParagraph"/>
        <w:numPr>
          <w:ilvl w:val="0"/>
          <w:numId w:val="12"/>
        </w:numPr>
        <w:tabs>
          <w:tab w:pos="2124" w:val="left" w:leader="none"/>
        </w:tabs>
        <w:spacing w:line="264" w:lineRule="auto" w:before="0" w:after="0"/>
        <w:ind w:left="2124" w:right="1278" w:hanging="360"/>
        <w:jc w:val="both"/>
        <w:rPr>
          <w:sz w:val="24"/>
        </w:rPr>
      </w:pPr>
      <w:r>
        <w:rPr>
          <w:sz w:val="24"/>
        </w:rPr>
        <w:t>оптимально:</w:t>
      </w:r>
      <w:r>
        <w:rPr>
          <w:spacing w:val="-8"/>
          <w:sz w:val="24"/>
        </w:rPr>
        <w:t> </w:t>
      </w:r>
      <w:r>
        <w:rPr>
          <w:sz w:val="24"/>
        </w:rPr>
        <w:t>выполнение</w:t>
      </w:r>
      <w:r>
        <w:rPr>
          <w:spacing w:val="-8"/>
          <w:sz w:val="24"/>
        </w:rPr>
        <w:t> </w:t>
      </w:r>
      <w:r>
        <w:rPr>
          <w:sz w:val="24"/>
        </w:rPr>
        <w:t>КТ</w:t>
      </w:r>
      <w:r>
        <w:rPr>
          <w:spacing w:val="-8"/>
          <w:sz w:val="24"/>
        </w:rPr>
        <w:t> </w:t>
      </w:r>
      <w:r>
        <w:rPr>
          <w:sz w:val="24"/>
        </w:rPr>
        <w:t>легких</w:t>
      </w:r>
      <w:r>
        <w:rPr>
          <w:spacing w:val="-8"/>
          <w:sz w:val="24"/>
        </w:rPr>
        <w:t> </w:t>
      </w:r>
      <w:r>
        <w:rPr>
          <w:sz w:val="24"/>
        </w:rPr>
        <w:t>при</w:t>
      </w:r>
      <w:r>
        <w:rPr>
          <w:spacing w:val="-7"/>
          <w:sz w:val="24"/>
        </w:rPr>
        <w:t> </w:t>
      </w:r>
      <w:r>
        <w:rPr>
          <w:sz w:val="24"/>
        </w:rPr>
        <w:t>возможности</w:t>
      </w:r>
      <w:r>
        <w:rPr>
          <w:spacing w:val="-6"/>
          <w:sz w:val="24"/>
        </w:rPr>
        <w:t> </w:t>
      </w:r>
      <w:r>
        <w:rPr>
          <w:sz w:val="24"/>
        </w:rPr>
        <w:t>транспортировки</w:t>
      </w:r>
      <w:r>
        <w:rPr>
          <w:spacing w:val="-7"/>
          <w:sz w:val="24"/>
        </w:rPr>
        <w:t> </w:t>
      </w:r>
      <w:r>
        <w:rPr>
          <w:sz w:val="24"/>
        </w:rPr>
        <w:t>пациентов в кабинет КТ или с помощью мобильного КТ-аппарата;</w:t>
      </w:r>
    </w:p>
    <w:p>
      <w:pPr>
        <w:pStyle w:val="ListParagraph"/>
        <w:numPr>
          <w:ilvl w:val="0"/>
          <w:numId w:val="12"/>
        </w:numPr>
        <w:tabs>
          <w:tab w:pos="2124" w:val="left" w:leader="none"/>
        </w:tabs>
        <w:spacing w:line="264" w:lineRule="auto" w:before="13" w:after="0"/>
        <w:ind w:left="2124" w:right="1280" w:hanging="360"/>
        <w:jc w:val="both"/>
        <w:rPr>
          <w:sz w:val="24"/>
        </w:rPr>
      </w:pPr>
      <w:r>
        <w:rPr>
          <w:sz w:val="24"/>
        </w:rPr>
        <w:t>оптимально:</w:t>
      </w:r>
      <w:r>
        <w:rPr>
          <w:spacing w:val="-2"/>
          <w:sz w:val="24"/>
        </w:rPr>
        <w:t> </w:t>
      </w:r>
      <w:r>
        <w:rPr>
          <w:sz w:val="24"/>
        </w:rPr>
        <w:t>выполнение</w:t>
      </w:r>
      <w:r>
        <w:rPr>
          <w:spacing w:val="-4"/>
          <w:sz w:val="24"/>
        </w:rPr>
        <w:t> </w:t>
      </w:r>
      <w:r>
        <w:rPr>
          <w:sz w:val="24"/>
        </w:rPr>
        <w:t>РГ</w:t>
      </w:r>
      <w:r>
        <w:rPr>
          <w:spacing w:val="-3"/>
          <w:sz w:val="24"/>
        </w:rPr>
        <w:t> </w:t>
      </w:r>
      <w:r>
        <w:rPr>
          <w:sz w:val="24"/>
        </w:rPr>
        <w:t>легких</w:t>
      </w:r>
      <w:r>
        <w:rPr>
          <w:spacing w:val="-3"/>
          <w:sz w:val="24"/>
        </w:rPr>
        <w:t> </w:t>
      </w:r>
      <w:r>
        <w:rPr>
          <w:sz w:val="24"/>
        </w:rPr>
        <w:t>при</w:t>
      </w:r>
      <w:r>
        <w:rPr>
          <w:spacing w:val="-2"/>
          <w:sz w:val="24"/>
        </w:rPr>
        <w:t> </w:t>
      </w:r>
      <w:r>
        <w:rPr>
          <w:sz w:val="24"/>
        </w:rPr>
        <w:t>возможности</w:t>
      </w:r>
      <w:r>
        <w:rPr>
          <w:spacing w:val="-1"/>
          <w:sz w:val="24"/>
        </w:rPr>
        <w:t> </w:t>
      </w:r>
      <w:r>
        <w:rPr>
          <w:sz w:val="24"/>
        </w:rPr>
        <w:t>транспортировки</w:t>
      </w:r>
      <w:r>
        <w:rPr>
          <w:spacing w:val="-2"/>
          <w:sz w:val="24"/>
        </w:rPr>
        <w:t> </w:t>
      </w:r>
      <w:r>
        <w:rPr>
          <w:sz w:val="24"/>
        </w:rPr>
        <w:t>пациентов в рентгеновский кабинет;</w:t>
      </w:r>
    </w:p>
    <w:p>
      <w:pPr>
        <w:pStyle w:val="ListParagraph"/>
        <w:numPr>
          <w:ilvl w:val="0"/>
          <w:numId w:val="12"/>
        </w:numPr>
        <w:tabs>
          <w:tab w:pos="2124" w:val="left" w:leader="none"/>
        </w:tabs>
        <w:spacing w:line="264" w:lineRule="auto" w:before="13" w:after="0"/>
        <w:ind w:left="2124" w:right="1278" w:hanging="360"/>
        <w:jc w:val="both"/>
        <w:rPr>
          <w:sz w:val="24"/>
        </w:rPr>
      </w:pPr>
      <w:r>
        <w:rPr>
          <w:sz w:val="24"/>
        </w:rPr>
        <w:t>возможно: выполнение РГ с помощью передвижного (палатного) рентгеновского </w:t>
      </w:r>
      <w:r>
        <w:rPr>
          <w:spacing w:val="-2"/>
          <w:sz w:val="24"/>
        </w:rPr>
        <w:t>аппарата;</w:t>
      </w:r>
    </w:p>
    <w:p>
      <w:pPr>
        <w:pStyle w:val="ListParagraph"/>
        <w:numPr>
          <w:ilvl w:val="0"/>
          <w:numId w:val="12"/>
        </w:numPr>
        <w:tabs>
          <w:tab w:pos="2124" w:val="left" w:leader="none"/>
        </w:tabs>
        <w:spacing w:line="271" w:lineRule="auto" w:before="14" w:after="0"/>
        <w:ind w:left="2124" w:right="1278" w:hanging="360"/>
        <w:jc w:val="both"/>
        <w:rPr>
          <w:sz w:val="24"/>
        </w:rPr>
      </w:pPr>
      <w:r>
        <w:rPr>
          <w:sz w:val="24"/>
        </w:rPr>
        <w:t>возможно:</w:t>
      </w:r>
      <w:r>
        <w:rPr>
          <w:spacing w:val="80"/>
          <w:w w:val="150"/>
          <w:sz w:val="24"/>
        </w:rPr>
        <w:t> </w:t>
      </w:r>
      <w:r>
        <w:rPr>
          <w:sz w:val="24"/>
        </w:rPr>
        <w:t>выполнение</w:t>
      </w:r>
      <w:r>
        <w:rPr>
          <w:spacing w:val="80"/>
          <w:w w:val="150"/>
          <w:sz w:val="24"/>
        </w:rPr>
        <w:t> </w:t>
      </w:r>
      <w:r>
        <w:rPr>
          <w:sz w:val="24"/>
        </w:rPr>
        <w:t>УЗИ</w:t>
      </w:r>
      <w:r>
        <w:rPr>
          <w:spacing w:val="80"/>
          <w:w w:val="150"/>
          <w:sz w:val="24"/>
        </w:rPr>
        <w:t> </w:t>
      </w:r>
      <w:r>
        <w:rPr>
          <w:sz w:val="24"/>
        </w:rPr>
        <w:t>легких</w:t>
      </w:r>
      <w:r>
        <w:rPr>
          <w:spacing w:val="80"/>
          <w:w w:val="150"/>
          <w:sz w:val="24"/>
        </w:rPr>
        <w:t> </w:t>
      </w:r>
      <w:r>
        <w:rPr>
          <w:sz w:val="24"/>
        </w:rPr>
        <w:t>(как</w:t>
      </w:r>
      <w:r>
        <w:rPr>
          <w:spacing w:val="80"/>
          <w:w w:val="150"/>
          <w:sz w:val="24"/>
        </w:rPr>
        <w:t> </w:t>
      </w:r>
      <w:r>
        <w:rPr>
          <w:sz w:val="24"/>
        </w:rPr>
        <w:t>дополнительного</w:t>
      </w:r>
      <w:r>
        <w:rPr>
          <w:spacing w:val="80"/>
          <w:w w:val="150"/>
          <w:sz w:val="24"/>
        </w:rPr>
        <w:t> </w:t>
      </w:r>
      <w:r>
        <w:rPr>
          <w:sz w:val="24"/>
        </w:rPr>
        <w:t>исследования) при невозможности оценки динамики с помощью КТ и РГ при условии наличия первоначальной</w:t>
      </w:r>
      <w:r>
        <w:rPr>
          <w:spacing w:val="33"/>
          <w:sz w:val="24"/>
        </w:rPr>
        <w:t> </w:t>
      </w:r>
      <w:r>
        <w:rPr>
          <w:sz w:val="24"/>
        </w:rPr>
        <w:t>информации</w:t>
      </w:r>
      <w:r>
        <w:rPr>
          <w:spacing w:val="33"/>
          <w:sz w:val="24"/>
        </w:rPr>
        <w:t> </w:t>
      </w:r>
      <w:r>
        <w:rPr>
          <w:sz w:val="24"/>
        </w:rPr>
        <w:t>об</w:t>
      </w:r>
      <w:r>
        <w:rPr>
          <w:spacing w:val="32"/>
          <w:sz w:val="24"/>
        </w:rPr>
        <w:t> </w:t>
      </w:r>
      <w:r>
        <w:rPr>
          <w:sz w:val="24"/>
        </w:rPr>
        <w:t>истинном</w:t>
      </w:r>
      <w:r>
        <w:rPr>
          <w:spacing w:val="32"/>
          <w:sz w:val="24"/>
        </w:rPr>
        <w:t> </w:t>
      </w:r>
      <w:r>
        <w:rPr>
          <w:sz w:val="24"/>
        </w:rPr>
        <w:t>объеме</w:t>
      </w:r>
      <w:r>
        <w:rPr>
          <w:spacing w:val="32"/>
          <w:sz w:val="24"/>
        </w:rPr>
        <w:t> </w:t>
      </w:r>
      <w:r>
        <w:rPr>
          <w:sz w:val="24"/>
        </w:rPr>
        <w:t>и</w:t>
      </w:r>
      <w:r>
        <w:rPr>
          <w:spacing w:val="33"/>
          <w:sz w:val="24"/>
        </w:rPr>
        <w:t> </w:t>
      </w:r>
      <w:r>
        <w:rPr>
          <w:sz w:val="24"/>
        </w:rPr>
        <w:t>причине</w:t>
      </w:r>
      <w:r>
        <w:rPr>
          <w:spacing w:val="32"/>
          <w:sz w:val="24"/>
        </w:rPr>
        <w:t> </w:t>
      </w:r>
      <w:r>
        <w:rPr>
          <w:sz w:val="24"/>
        </w:rPr>
        <w:t>поражения</w:t>
      </w:r>
      <w:r>
        <w:rPr>
          <w:spacing w:val="33"/>
          <w:sz w:val="24"/>
        </w:rPr>
        <w:t> </w:t>
      </w:r>
      <w:r>
        <w:rPr>
          <w:sz w:val="24"/>
        </w:rPr>
        <w:t>легких и подготовленного врачебного персонала.</w:t>
      </w:r>
    </w:p>
    <w:p>
      <w:pPr>
        <w:spacing w:line="276" w:lineRule="auto" w:before="21"/>
        <w:ind w:left="1841" w:right="1279" w:firstLine="707"/>
        <w:jc w:val="both"/>
        <w:rPr>
          <w:i/>
          <w:sz w:val="24"/>
        </w:rPr>
      </w:pPr>
      <w:r>
        <w:rPr>
          <w:i/>
          <w:sz w:val="24"/>
        </w:rPr>
        <w:t>Комментарии.</w:t>
      </w:r>
      <w:r>
        <w:rPr>
          <w:i/>
          <w:spacing w:val="40"/>
          <w:sz w:val="24"/>
        </w:rPr>
        <w:t>  </w:t>
      </w:r>
      <w:r>
        <w:rPr>
          <w:i/>
          <w:sz w:val="24"/>
        </w:rPr>
        <w:t>Следует</w:t>
      </w:r>
      <w:r>
        <w:rPr>
          <w:i/>
          <w:spacing w:val="40"/>
          <w:sz w:val="24"/>
        </w:rPr>
        <w:t>  </w:t>
      </w:r>
      <w:r>
        <w:rPr>
          <w:i/>
          <w:sz w:val="24"/>
        </w:rPr>
        <w:t>учитывать</w:t>
      </w:r>
      <w:r>
        <w:rPr>
          <w:i/>
          <w:spacing w:val="40"/>
          <w:sz w:val="24"/>
        </w:rPr>
        <w:t>  </w:t>
      </w:r>
      <w:r>
        <w:rPr>
          <w:i/>
          <w:sz w:val="24"/>
        </w:rPr>
        <w:t>ограниченную</w:t>
      </w:r>
      <w:r>
        <w:rPr>
          <w:i/>
          <w:spacing w:val="40"/>
          <w:sz w:val="24"/>
        </w:rPr>
        <w:t>  </w:t>
      </w:r>
      <w:r>
        <w:rPr>
          <w:i/>
          <w:sz w:val="24"/>
        </w:rPr>
        <w:t>информативность</w:t>
      </w:r>
      <w:r>
        <w:rPr>
          <w:i/>
          <w:spacing w:val="40"/>
          <w:sz w:val="24"/>
        </w:rPr>
        <w:t> </w:t>
      </w:r>
      <w:r>
        <w:rPr>
          <w:i/>
          <w:sz w:val="24"/>
        </w:rPr>
        <w:t>РГ</w:t>
      </w:r>
      <w:r>
        <w:rPr>
          <w:i/>
          <w:spacing w:val="9"/>
          <w:sz w:val="24"/>
        </w:rPr>
        <w:t> </w:t>
      </w:r>
      <w:r>
        <w:rPr>
          <w:i/>
          <w:sz w:val="24"/>
        </w:rPr>
        <w:t>в</w:t>
      </w:r>
      <w:r>
        <w:rPr>
          <w:i/>
          <w:spacing w:val="-10"/>
          <w:sz w:val="24"/>
        </w:rPr>
        <w:t> </w:t>
      </w:r>
      <w:r>
        <w:rPr>
          <w:i/>
          <w:sz w:val="24"/>
        </w:rPr>
        <w:t>ОРИТ</w:t>
      </w:r>
      <w:r>
        <w:rPr>
          <w:i/>
          <w:spacing w:val="13"/>
          <w:sz w:val="24"/>
        </w:rPr>
        <w:t> </w:t>
      </w:r>
      <w:r>
        <w:rPr>
          <w:i/>
          <w:sz w:val="24"/>
        </w:rPr>
        <w:t>с</w:t>
      </w:r>
      <w:r>
        <w:rPr>
          <w:i/>
          <w:spacing w:val="9"/>
          <w:sz w:val="24"/>
        </w:rPr>
        <w:t> </w:t>
      </w:r>
      <w:r>
        <w:rPr>
          <w:i/>
          <w:sz w:val="24"/>
        </w:rPr>
        <w:t>использованием</w:t>
      </w:r>
      <w:r>
        <w:rPr>
          <w:i/>
          <w:spacing w:val="10"/>
          <w:sz w:val="24"/>
        </w:rPr>
        <w:t> </w:t>
      </w:r>
      <w:r>
        <w:rPr>
          <w:i/>
          <w:sz w:val="24"/>
        </w:rPr>
        <w:t>передвижного</w:t>
      </w:r>
      <w:r>
        <w:rPr>
          <w:i/>
          <w:spacing w:val="10"/>
          <w:sz w:val="24"/>
        </w:rPr>
        <w:t> </w:t>
      </w:r>
      <w:r>
        <w:rPr>
          <w:i/>
          <w:sz w:val="24"/>
        </w:rPr>
        <w:t>(палатного)</w:t>
      </w:r>
      <w:r>
        <w:rPr>
          <w:i/>
          <w:spacing w:val="10"/>
          <w:sz w:val="24"/>
        </w:rPr>
        <w:t> </w:t>
      </w:r>
      <w:r>
        <w:rPr>
          <w:i/>
          <w:sz w:val="24"/>
        </w:rPr>
        <w:t>рентгеновского</w:t>
      </w:r>
      <w:r>
        <w:rPr>
          <w:i/>
          <w:spacing w:val="10"/>
          <w:sz w:val="24"/>
        </w:rPr>
        <w:t> </w:t>
      </w:r>
      <w:r>
        <w:rPr>
          <w:i/>
          <w:spacing w:val="-2"/>
          <w:sz w:val="24"/>
        </w:rPr>
        <w:t>аппарата,</w:t>
      </w:r>
    </w:p>
    <w:p>
      <w:pPr>
        <w:spacing w:after="0" w:line="276" w:lineRule="auto"/>
        <w:jc w:val="both"/>
        <w:rPr>
          <w:i/>
          <w:sz w:val="24"/>
        </w:rPr>
        <w:sectPr>
          <w:pgSz w:w="11900" w:h="16840"/>
          <w:pgMar w:header="0" w:footer="697" w:top="1080" w:bottom="880" w:left="0" w:right="0"/>
        </w:sectPr>
      </w:pPr>
    </w:p>
    <w:p>
      <w:pPr>
        <w:spacing w:line="276" w:lineRule="auto" w:before="73"/>
        <w:ind w:left="1841" w:right="1277" w:firstLine="0"/>
        <w:jc w:val="both"/>
        <w:rPr>
          <w:i/>
          <w:sz w:val="24"/>
        </w:rPr>
      </w:pPr>
      <w:bookmarkStart w:name="31" w:id="40"/>
      <w:bookmarkEnd w:id="40"/>
      <w:r>
        <w:rPr/>
      </w:r>
      <w:r>
        <w:rPr>
          <w:i/>
          <w:sz w:val="24"/>
        </w:rPr>
        <w:t>в</w:t>
      </w:r>
      <w:r>
        <w:rPr>
          <w:i/>
          <w:spacing w:val="-4"/>
          <w:sz w:val="24"/>
        </w:rPr>
        <w:t> </w:t>
      </w:r>
      <w:r>
        <w:rPr>
          <w:i/>
          <w:sz w:val="24"/>
        </w:rPr>
        <w:t>том числе из-за обычной практики исследования в одной прямой проекции. Выполнение УЗИ легких и плевральных полостей может быть дополнительным исследованием</w:t>
      </w:r>
      <w:r>
        <w:rPr>
          <w:i/>
          <w:spacing w:val="40"/>
          <w:sz w:val="24"/>
        </w:rPr>
        <w:t>  </w:t>
      </w:r>
      <w:r>
        <w:rPr>
          <w:i/>
          <w:sz w:val="24"/>
        </w:rPr>
        <w:t>при</w:t>
      </w:r>
      <w:r>
        <w:rPr>
          <w:i/>
          <w:spacing w:val="40"/>
          <w:sz w:val="24"/>
        </w:rPr>
        <w:t>  </w:t>
      </w:r>
      <w:r>
        <w:rPr>
          <w:i/>
          <w:sz w:val="24"/>
        </w:rPr>
        <w:t>невозможности</w:t>
      </w:r>
      <w:r>
        <w:rPr>
          <w:i/>
          <w:spacing w:val="40"/>
          <w:sz w:val="24"/>
        </w:rPr>
        <w:t>  </w:t>
      </w:r>
      <w:r>
        <w:rPr>
          <w:i/>
          <w:sz w:val="24"/>
        </w:rPr>
        <w:t>проведения</w:t>
      </w:r>
      <w:r>
        <w:rPr>
          <w:i/>
          <w:spacing w:val="40"/>
          <w:sz w:val="24"/>
        </w:rPr>
        <w:t>  </w:t>
      </w:r>
      <w:r>
        <w:rPr>
          <w:i/>
          <w:sz w:val="24"/>
        </w:rPr>
        <w:t>КТ,</w:t>
      </w:r>
      <w:r>
        <w:rPr>
          <w:i/>
          <w:spacing w:val="40"/>
          <w:sz w:val="24"/>
        </w:rPr>
        <w:t>  </w:t>
      </w:r>
      <w:r>
        <w:rPr>
          <w:i/>
          <w:sz w:val="24"/>
        </w:rPr>
        <w:t>которое</w:t>
      </w:r>
      <w:r>
        <w:rPr>
          <w:i/>
          <w:spacing w:val="40"/>
          <w:sz w:val="24"/>
        </w:rPr>
        <w:t>  </w:t>
      </w:r>
      <w:r>
        <w:rPr>
          <w:i/>
          <w:sz w:val="24"/>
        </w:rPr>
        <w:t>выполняется</w:t>
      </w:r>
      <w:r>
        <w:rPr>
          <w:i/>
          <w:spacing w:val="80"/>
          <w:sz w:val="24"/>
        </w:rPr>
        <w:t> </w:t>
      </w:r>
      <w:r>
        <w:rPr>
          <w:i/>
          <w:sz w:val="24"/>
        </w:rPr>
        <w:t>по</w:t>
      </w:r>
      <w:r>
        <w:rPr>
          <w:i/>
          <w:spacing w:val="-4"/>
          <w:sz w:val="24"/>
        </w:rPr>
        <w:t> </w:t>
      </w:r>
      <w:r>
        <w:rPr>
          <w:i/>
          <w:sz w:val="24"/>
        </w:rPr>
        <w:t>клиническим</w:t>
      </w:r>
      <w:r>
        <w:rPr>
          <w:i/>
          <w:spacing w:val="38"/>
          <w:sz w:val="24"/>
        </w:rPr>
        <w:t> </w:t>
      </w:r>
      <w:r>
        <w:rPr>
          <w:i/>
          <w:sz w:val="24"/>
        </w:rPr>
        <w:t>показаниям,</w:t>
      </w:r>
      <w:r>
        <w:rPr>
          <w:i/>
          <w:spacing w:val="38"/>
          <w:sz w:val="24"/>
        </w:rPr>
        <w:t> </w:t>
      </w:r>
      <w:r>
        <w:rPr>
          <w:i/>
          <w:sz w:val="24"/>
        </w:rPr>
        <w:t>и</w:t>
      </w:r>
      <w:r>
        <w:rPr>
          <w:i/>
          <w:spacing w:val="-1"/>
          <w:sz w:val="24"/>
        </w:rPr>
        <w:t> </w:t>
      </w:r>
      <w:r>
        <w:rPr>
          <w:i/>
          <w:sz w:val="24"/>
        </w:rPr>
        <w:t>при</w:t>
      </w:r>
      <w:r>
        <w:rPr>
          <w:i/>
          <w:spacing w:val="35"/>
          <w:sz w:val="24"/>
        </w:rPr>
        <w:t> </w:t>
      </w:r>
      <w:r>
        <w:rPr>
          <w:i/>
          <w:sz w:val="24"/>
        </w:rPr>
        <w:t>наличии</w:t>
      </w:r>
      <w:r>
        <w:rPr>
          <w:i/>
          <w:spacing w:val="35"/>
          <w:sz w:val="24"/>
        </w:rPr>
        <w:t> </w:t>
      </w:r>
      <w:r>
        <w:rPr>
          <w:i/>
          <w:sz w:val="24"/>
        </w:rPr>
        <w:t>персонала,</w:t>
      </w:r>
      <w:r>
        <w:rPr>
          <w:i/>
          <w:spacing w:val="37"/>
          <w:sz w:val="24"/>
        </w:rPr>
        <w:t> </w:t>
      </w:r>
      <w:r>
        <w:rPr>
          <w:i/>
          <w:sz w:val="24"/>
        </w:rPr>
        <w:t>имеющего</w:t>
      </w:r>
      <w:r>
        <w:rPr>
          <w:i/>
          <w:spacing w:val="37"/>
          <w:sz w:val="24"/>
        </w:rPr>
        <w:t> </w:t>
      </w:r>
      <w:r>
        <w:rPr>
          <w:i/>
          <w:sz w:val="24"/>
        </w:rPr>
        <w:t>опыт</w:t>
      </w:r>
      <w:r>
        <w:rPr>
          <w:i/>
          <w:spacing w:val="37"/>
          <w:sz w:val="24"/>
        </w:rPr>
        <w:t> </w:t>
      </w:r>
      <w:r>
        <w:rPr>
          <w:i/>
          <w:sz w:val="24"/>
        </w:rPr>
        <w:t>проведения и интерпретации таких исследований.</w:t>
      </w:r>
    </w:p>
    <w:p>
      <w:pPr>
        <w:pStyle w:val="ListParagraph"/>
        <w:numPr>
          <w:ilvl w:val="0"/>
          <w:numId w:val="13"/>
        </w:numPr>
        <w:tabs>
          <w:tab w:pos="2993" w:val="left" w:leader="none"/>
        </w:tabs>
        <w:spacing w:line="276" w:lineRule="auto" w:before="0" w:after="0"/>
        <w:ind w:left="1841" w:right="1280" w:firstLine="707"/>
        <w:jc w:val="both"/>
        <w:rPr>
          <w:sz w:val="24"/>
        </w:rPr>
      </w:pPr>
      <w:r>
        <w:rPr>
          <w:sz w:val="24"/>
        </w:rPr>
        <w:t>Рекомендовано использовать специальные меры по ограничению доз </w:t>
      </w:r>
      <w:r>
        <w:rPr>
          <w:spacing w:val="-2"/>
          <w:sz w:val="24"/>
        </w:rPr>
        <w:t>облучения</w:t>
      </w:r>
      <w:r>
        <w:rPr>
          <w:spacing w:val="-4"/>
          <w:sz w:val="24"/>
        </w:rPr>
        <w:t> </w:t>
      </w:r>
      <w:r>
        <w:rPr>
          <w:spacing w:val="-2"/>
          <w:sz w:val="24"/>
        </w:rPr>
        <w:t>при</w:t>
      </w:r>
      <w:r>
        <w:rPr>
          <w:spacing w:val="-3"/>
          <w:sz w:val="24"/>
        </w:rPr>
        <w:t> </w:t>
      </w:r>
      <w:r>
        <w:rPr>
          <w:spacing w:val="-2"/>
          <w:sz w:val="24"/>
        </w:rPr>
        <w:t>обследовании</w:t>
      </w:r>
      <w:r>
        <w:rPr>
          <w:spacing w:val="-3"/>
          <w:sz w:val="24"/>
        </w:rPr>
        <w:t> </w:t>
      </w:r>
      <w:r>
        <w:rPr>
          <w:spacing w:val="-2"/>
          <w:sz w:val="24"/>
        </w:rPr>
        <w:t>беременных,</w:t>
      </w:r>
      <w:r>
        <w:rPr>
          <w:spacing w:val="-4"/>
          <w:sz w:val="24"/>
        </w:rPr>
        <w:t> </w:t>
      </w:r>
      <w:r>
        <w:rPr>
          <w:spacing w:val="-2"/>
          <w:sz w:val="24"/>
        </w:rPr>
        <w:t>новорожденных</w:t>
      </w:r>
      <w:r>
        <w:rPr>
          <w:spacing w:val="-4"/>
          <w:sz w:val="24"/>
        </w:rPr>
        <w:t> </w:t>
      </w:r>
      <w:r>
        <w:rPr>
          <w:spacing w:val="-2"/>
          <w:sz w:val="24"/>
        </w:rPr>
        <w:t>и</w:t>
      </w:r>
      <w:r>
        <w:rPr>
          <w:spacing w:val="-3"/>
          <w:sz w:val="24"/>
        </w:rPr>
        <w:t> </w:t>
      </w:r>
      <w:r>
        <w:rPr>
          <w:spacing w:val="-2"/>
          <w:sz w:val="24"/>
        </w:rPr>
        <w:t>детей</w:t>
      </w:r>
      <w:r>
        <w:rPr>
          <w:spacing w:val="-3"/>
          <w:sz w:val="24"/>
        </w:rPr>
        <w:t> </w:t>
      </w:r>
      <w:r>
        <w:rPr>
          <w:spacing w:val="-2"/>
          <w:sz w:val="24"/>
        </w:rPr>
        <w:t>младшего</w:t>
      </w:r>
      <w:r>
        <w:rPr>
          <w:spacing w:val="-4"/>
          <w:sz w:val="24"/>
        </w:rPr>
        <w:t> </w:t>
      </w:r>
      <w:r>
        <w:rPr>
          <w:spacing w:val="-2"/>
          <w:sz w:val="24"/>
        </w:rPr>
        <w:t>возраста </w:t>
      </w:r>
      <w:r>
        <w:rPr>
          <w:sz w:val="24"/>
        </w:rPr>
        <w:t>при возможности развития у них COVID-19 пневмонии.</w:t>
      </w:r>
    </w:p>
    <w:p>
      <w:pPr>
        <w:spacing w:line="276" w:lineRule="auto" w:before="0"/>
        <w:ind w:left="1841" w:right="1274" w:firstLine="707"/>
        <w:jc w:val="both"/>
        <w:rPr>
          <w:i/>
          <w:sz w:val="24"/>
        </w:rPr>
      </w:pPr>
      <w:r>
        <w:rPr>
          <w:i/>
          <w:sz w:val="24"/>
        </w:rPr>
        <w:t>Комментарии. Обследование беременных женщин с известной / предполагаемой пневмонией COVID-19 осуществляется с использованием стандартных методик РГ, КТ. Необходимо использовать предустановленные программы по ограничению доз облучения, нужна защита радиочувствительных органов и плода (области живота и таза) с применением стандартных защитных средств</w:t>
      </w:r>
      <w:r>
        <w:rPr>
          <w:i/>
          <w:spacing w:val="80"/>
          <w:sz w:val="24"/>
        </w:rPr>
        <w:t> </w:t>
      </w:r>
      <w:r>
        <w:rPr>
          <w:i/>
          <w:sz w:val="24"/>
        </w:rPr>
        <w:t>(фартуки,</w:t>
      </w:r>
      <w:r>
        <w:rPr>
          <w:i/>
          <w:spacing w:val="80"/>
          <w:sz w:val="24"/>
        </w:rPr>
        <w:t> </w:t>
      </w:r>
      <w:r>
        <w:rPr>
          <w:i/>
          <w:sz w:val="24"/>
        </w:rPr>
        <w:t>воротники),</w:t>
      </w:r>
      <w:r>
        <w:rPr>
          <w:i/>
          <w:spacing w:val="80"/>
          <w:sz w:val="24"/>
        </w:rPr>
        <w:t> </w:t>
      </w:r>
      <w:r>
        <w:rPr>
          <w:i/>
          <w:sz w:val="24"/>
        </w:rPr>
        <w:t>имеющихся</w:t>
      </w:r>
      <w:r>
        <w:rPr>
          <w:i/>
          <w:spacing w:val="80"/>
          <w:sz w:val="24"/>
        </w:rPr>
        <w:t> </w:t>
      </w:r>
      <w:r>
        <w:rPr>
          <w:i/>
          <w:sz w:val="24"/>
        </w:rPr>
        <w:t>в</w:t>
      </w:r>
      <w:r>
        <w:rPr>
          <w:i/>
          <w:spacing w:val="80"/>
          <w:sz w:val="24"/>
        </w:rPr>
        <w:t> </w:t>
      </w:r>
      <w:r>
        <w:rPr>
          <w:i/>
          <w:sz w:val="24"/>
        </w:rPr>
        <w:t>кабинетах.</w:t>
      </w:r>
      <w:r>
        <w:rPr>
          <w:i/>
          <w:spacing w:val="80"/>
          <w:sz w:val="24"/>
        </w:rPr>
        <w:t> </w:t>
      </w:r>
      <w:r>
        <w:rPr>
          <w:i/>
          <w:sz w:val="24"/>
        </w:rPr>
        <w:t>При</w:t>
      </w:r>
      <w:r>
        <w:rPr>
          <w:i/>
          <w:spacing w:val="80"/>
          <w:sz w:val="24"/>
        </w:rPr>
        <w:t> </w:t>
      </w:r>
      <w:r>
        <w:rPr>
          <w:i/>
          <w:sz w:val="24"/>
        </w:rPr>
        <w:t>невозможности и отказе от проведения КТ и РГ применяется УЗИ легких при наличии подготовленного врачебного персонала.</w:t>
      </w:r>
    </w:p>
    <w:p>
      <w:pPr>
        <w:spacing w:line="276" w:lineRule="auto" w:before="0"/>
        <w:ind w:left="1841" w:right="1277" w:firstLine="707"/>
        <w:jc w:val="both"/>
        <w:rPr>
          <w:i/>
          <w:sz w:val="24"/>
        </w:rPr>
      </w:pPr>
      <w:r>
        <w:rPr>
          <w:i/>
          <w:sz w:val="24"/>
        </w:rPr>
        <w:t>Обследование</w:t>
      </w:r>
      <w:r>
        <w:rPr>
          <w:i/>
          <w:spacing w:val="80"/>
          <w:sz w:val="24"/>
        </w:rPr>
        <w:t>   </w:t>
      </w:r>
      <w:r>
        <w:rPr>
          <w:i/>
          <w:sz w:val="24"/>
        </w:rPr>
        <w:t>новорожденных</w:t>
      </w:r>
      <w:r>
        <w:rPr>
          <w:i/>
          <w:spacing w:val="80"/>
          <w:sz w:val="24"/>
        </w:rPr>
        <w:t>   </w:t>
      </w:r>
      <w:r>
        <w:rPr>
          <w:i/>
          <w:sz w:val="24"/>
        </w:rPr>
        <w:t>и</w:t>
      </w:r>
      <w:r>
        <w:rPr>
          <w:i/>
          <w:spacing w:val="80"/>
          <w:sz w:val="24"/>
        </w:rPr>
        <w:t>   </w:t>
      </w:r>
      <w:r>
        <w:rPr>
          <w:i/>
          <w:sz w:val="24"/>
        </w:rPr>
        <w:t>детей</w:t>
      </w:r>
      <w:r>
        <w:rPr>
          <w:i/>
          <w:spacing w:val="80"/>
          <w:sz w:val="24"/>
        </w:rPr>
        <w:t>   </w:t>
      </w:r>
      <w:r>
        <w:rPr>
          <w:i/>
          <w:sz w:val="24"/>
        </w:rPr>
        <w:t>младшего</w:t>
      </w:r>
      <w:r>
        <w:rPr>
          <w:i/>
          <w:spacing w:val="80"/>
          <w:sz w:val="24"/>
        </w:rPr>
        <w:t>   </w:t>
      </w:r>
      <w:r>
        <w:rPr>
          <w:i/>
          <w:sz w:val="24"/>
        </w:rPr>
        <w:t>возраста</w:t>
      </w:r>
      <w:r>
        <w:rPr>
          <w:i/>
          <w:spacing w:val="80"/>
          <w:sz w:val="24"/>
        </w:rPr>
        <w:t> </w:t>
      </w:r>
      <w:r>
        <w:rPr>
          <w:i/>
          <w:sz w:val="24"/>
        </w:rPr>
        <w:t>с</w:t>
      </w:r>
      <w:r>
        <w:rPr>
          <w:i/>
          <w:spacing w:val="-5"/>
          <w:sz w:val="24"/>
        </w:rPr>
        <w:t> </w:t>
      </w:r>
      <w:r>
        <w:rPr>
          <w:i/>
          <w:sz w:val="24"/>
        </w:rPr>
        <w:t>известной/предполагаемой</w:t>
      </w:r>
      <w:r>
        <w:rPr>
          <w:i/>
          <w:spacing w:val="40"/>
          <w:sz w:val="24"/>
        </w:rPr>
        <w:t> </w:t>
      </w:r>
      <w:r>
        <w:rPr>
          <w:i/>
          <w:sz w:val="24"/>
        </w:rPr>
        <w:t>пневмонией</w:t>
      </w:r>
      <w:r>
        <w:rPr>
          <w:i/>
          <w:spacing w:val="40"/>
          <w:sz w:val="24"/>
        </w:rPr>
        <w:t> </w:t>
      </w:r>
      <w:r>
        <w:rPr>
          <w:i/>
          <w:sz w:val="24"/>
        </w:rPr>
        <w:t>COVID-19</w:t>
      </w:r>
      <w:r>
        <w:rPr>
          <w:i/>
          <w:spacing w:val="40"/>
          <w:sz w:val="24"/>
        </w:rPr>
        <w:t> </w:t>
      </w:r>
      <w:r>
        <w:rPr>
          <w:i/>
          <w:sz w:val="24"/>
        </w:rPr>
        <w:t>по</w:t>
      </w:r>
      <w:r>
        <w:rPr>
          <w:i/>
          <w:spacing w:val="40"/>
          <w:sz w:val="24"/>
        </w:rPr>
        <w:t> </w:t>
      </w:r>
      <w:r>
        <w:rPr>
          <w:i/>
          <w:sz w:val="24"/>
        </w:rPr>
        <w:t>возможности</w:t>
      </w:r>
      <w:r>
        <w:rPr>
          <w:i/>
          <w:spacing w:val="40"/>
          <w:sz w:val="24"/>
        </w:rPr>
        <w:t> </w:t>
      </w:r>
      <w:r>
        <w:rPr>
          <w:i/>
          <w:sz w:val="24"/>
        </w:rPr>
        <w:t>начинается</w:t>
      </w:r>
      <w:r>
        <w:rPr>
          <w:i/>
          <w:spacing w:val="80"/>
          <w:sz w:val="24"/>
        </w:rPr>
        <w:t> </w:t>
      </w:r>
      <w:r>
        <w:rPr>
          <w:i/>
          <w:sz w:val="24"/>
        </w:rPr>
        <w:t>с</w:t>
      </w:r>
      <w:r>
        <w:rPr>
          <w:i/>
          <w:spacing w:val="-4"/>
          <w:sz w:val="24"/>
        </w:rPr>
        <w:t> </w:t>
      </w:r>
      <w:r>
        <w:rPr>
          <w:i/>
          <w:sz w:val="24"/>
        </w:rPr>
        <w:t>применения УЗИ легких, плевральных полостей и средостения, при наличии клинических показаний продолжается с использованием РГ и/или КТ ОГК.</w:t>
      </w:r>
    </w:p>
    <w:p>
      <w:pPr>
        <w:pStyle w:val="ListParagraph"/>
        <w:numPr>
          <w:ilvl w:val="0"/>
          <w:numId w:val="13"/>
        </w:numPr>
        <w:tabs>
          <w:tab w:pos="2988" w:val="left" w:leader="none"/>
        </w:tabs>
        <w:spacing w:line="276" w:lineRule="auto" w:before="0" w:after="0"/>
        <w:ind w:left="1841" w:right="1275" w:firstLine="707"/>
        <w:jc w:val="both"/>
        <w:rPr>
          <w:sz w:val="24"/>
        </w:rPr>
      </w:pPr>
      <w:r>
        <w:rPr>
          <w:sz w:val="24"/>
        </w:rPr>
        <w:t>При наличии клинических показаний все указанные методы лучевой диагностики могут применяться для оценки состояния других анатомических областей</w:t>
      </w:r>
      <w:r>
        <w:rPr>
          <w:spacing w:val="80"/>
          <w:sz w:val="24"/>
        </w:rPr>
        <w:t> </w:t>
      </w:r>
      <w:r>
        <w:rPr>
          <w:sz w:val="24"/>
        </w:rPr>
        <w:t>и</w:t>
      </w:r>
      <w:r>
        <w:rPr>
          <w:spacing w:val="80"/>
          <w:sz w:val="24"/>
        </w:rPr>
        <w:t> </w:t>
      </w:r>
      <w:r>
        <w:rPr>
          <w:sz w:val="24"/>
        </w:rPr>
        <w:t>отдельных</w:t>
      </w:r>
      <w:r>
        <w:rPr>
          <w:spacing w:val="80"/>
          <w:sz w:val="24"/>
        </w:rPr>
        <w:t> </w:t>
      </w:r>
      <w:r>
        <w:rPr>
          <w:sz w:val="24"/>
        </w:rPr>
        <w:t>органов</w:t>
      </w:r>
      <w:r>
        <w:rPr>
          <w:spacing w:val="80"/>
          <w:sz w:val="24"/>
        </w:rPr>
        <w:t> </w:t>
      </w:r>
      <w:r>
        <w:rPr>
          <w:sz w:val="24"/>
        </w:rPr>
        <w:t>с</w:t>
      </w:r>
      <w:r>
        <w:rPr>
          <w:spacing w:val="80"/>
          <w:sz w:val="24"/>
        </w:rPr>
        <w:t> </w:t>
      </w:r>
      <w:r>
        <w:rPr>
          <w:sz w:val="24"/>
        </w:rPr>
        <w:t>целью</w:t>
      </w:r>
      <w:r>
        <w:rPr>
          <w:spacing w:val="80"/>
          <w:sz w:val="24"/>
        </w:rPr>
        <w:t> </w:t>
      </w:r>
      <w:r>
        <w:rPr>
          <w:sz w:val="24"/>
        </w:rPr>
        <w:t>выявления</w:t>
      </w:r>
      <w:r>
        <w:rPr>
          <w:spacing w:val="80"/>
          <w:sz w:val="24"/>
        </w:rPr>
        <w:t> </w:t>
      </w:r>
      <w:r>
        <w:rPr>
          <w:sz w:val="24"/>
        </w:rPr>
        <w:t>патологических</w:t>
      </w:r>
      <w:r>
        <w:rPr>
          <w:spacing w:val="80"/>
          <w:sz w:val="24"/>
        </w:rPr>
        <w:t> </w:t>
      </w:r>
      <w:r>
        <w:rPr>
          <w:sz w:val="24"/>
        </w:rPr>
        <w:t>изменений</w:t>
      </w:r>
      <w:r>
        <w:rPr>
          <w:spacing w:val="40"/>
          <w:sz w:val="24"/>
        </w:rPr>
        <w:t> </w:t>
      </w:r>
      <w:r>
        <w:rPr>
          <w:sz w:val="24"/>
        </w:rPr>
        <w:t>и оценки их динамики.</w:t>
      </w:r>
    </w:p>
    <w:p>
      <w:pPr>
        <w:pStyle w:val="ListParagraph"/>
        <w:numPr>
          <w:ilvl w:val="0"/>
          <w:numId w:val="13"/>
        </w:numPr>
        <w:tabs>
          <w:tab w:pos="3134" w:val="left" w:leader="none"/>
        </w:tabs>
        <w:spacing w:line="276" w:lineRule="auto" w:before="0" w:after="0"/>
        <w:ind w:left="1841" w:right="1277" w:firstLine="707"/>
        <w:jc w:val="both"/>
        <w:rPr>
          <w:sz w:val="24"/>
        </w:rPr>
      </w:pPr>
      <w:r>
        <w:rPr>
          <w:sz w:val="24"/>
        </w:rPr>
        <w:t>При всех лучевых исследованиях должны быть обеспечены эпидемиологическая</w:t>
      </w:r>
      <w:r>
        <w:rPr>
          <w:spacing w:val="80"/>
          <w:sz w:val="24"/>
        </w:rPr>
        <w:t>  </w:t>
      </w:r>
      <w:r>
        <w:rPr>
          <w:sz w:val="24"/>
        </w:rPr>
        <w:t>безопасность</w:t>
      </w:r>
      <w:r>
        <w:rPr>
          <w:spacing w:val="40"/>
          <w:sz w:val="24"/>
        </w:rPr>
        <w:t>  </w:t>
      </w:r>
      <w:r>
        <w:rPr>
          <w:sz w:val="24"/>
        </w:rPr>
        <w:t>и</w:t>
      </w:r>
      <w:r>
        <w:rPr>
          <w:spacing w:val="40"/>
          <w:sz w:val="24"/>
        </w:rPr>
        <w:t>  </w:t>
      </w:r>
      <w:r>
        <w:rPr>
          <w:sz w:val="24"/>
        </w:rPr>
        <w:t>защита</w:t>
      </w:r>
      <w:r>
        <w:rPr>
          <w:spacing w:val="40"/>
          <w:sz w:val="24"/>
        </w:rPr>
        <w:t>  </w:t>
      </w:r>
      <w:r>
        <w:rPr>
          <w:sz w:val="24"/>
        </w:rPr>
        <w:t>персонала</w:t>
      </w:r>
      <w:r>
        <w:rPr>
          <w:spacing w:val="40"/>
          <w:sz w:val="24"/>
        </w:rPr>
        <w:t>  </w:t>
      </w:r>
      <w:r>
        <w:rPr>
          <w:sz w:val="24"/>
        </w:rPr>
        <w:t>и</w:t>
      </w:r>
      <w:r>
        <w:rPr>
          <w:spacing w:val="40"/>
          <w:sz w:val="24"/>
        </w:rPr>
        <w:t>  </w:t>
      </w:r>
      <w:r>
        <w:rPr>
          <w:sz w:val="24"/>
        </w:rPr>
        <w:t>пациентов</w:t>
      </w:r>
      <w:r>
        <w:rPr>
          <w:spacing w:val="40"/>
          <w:sz w:val="24"/>
        </w:rPr>
        <w:t> </w:t>
      </w:r>
      <w:r>
        <w:rPr>
          <w:sz w:val="24"/>
        </w:rPr>
        <w:t>согласно временным рекомендациям Минздрава России для работы медицинских учреждений в условиях эпидемии COVID-19.</w:t>
      </w:r>
    </w:p>
    <w:p>
      <w:pPr>
        <w:spacing w:line="276" w:lineRule="auto" w:before="0"/>
        <w:ind w:left="1841" w:right="1271" w:firstLine="707"/>
        <w:jc w:val="both"/>
        <w:rPr>
          <w:i/>
          <w:sz w:val="24"/>
        </w:rPr>
      </w:pPr>
      <w:r>
        <w:rPr>
          <w:i/>
          <w:sz w:val="24"/>
        </w:rPr>
        <w:t>Комментарии. Основными компонентами защиты персонала являются зонирование кабинетов лучевой диагностики, ограничение контактов между потоками потенциально инфицированных и неинфицированных пациентов, ограничение контактов персонала отделения/кабинетов лучевой диагностики, сменная работа персонала, обязательное применение средств индивидуальной </w:t>
      </w:r>
      <w:r>
        <w:rPr>
          <w:i/>
          <w:spacing w:val="-2"/>
          <w:sz w:val="24"/>
        </w:rPr>
        <w:t>защиты.</w:t>
      </w:r>
    </w:p>
    <w:p>
      <w:pPr>
        <w:spacing w:line="276" w:lineRule="auto" w:before="0"/>
        <w:ind w:left="1841" w:right="1275" w:firstLine="707"/>
        <w:jc w:val="both"/>
        <w:rPr>
          <w:i/>
          <w:sz w:val="24"/>
        </w:rPr>
      </w:pPr>
      <w:r>
        <w:rPr>
          <w:i/>
          <w:sz w:val="24"/>
        </w:rPr>
        <w:t>Уборка</w:t>
      </w:r>
      <w:r>
        <w:rPr>
          <w:i/>
          <w:spacing w:val="40"/>
          <w:sz w:val="24"/>
        </w:rPr>
        <w:t> </w:t>
      </w:r>
      <w:r>
        <w:rPr>
          <w:i/>
          <w:sz w:val="24"/>
        </w:rPr>
        <w:t>и</w:t>
      </w:r>
      <w:r>
        <w:rPr>
          <w:i/>
          <w:spacing w:val="40"/>
          <w:sz w:val="24"/>
        </w:rPr>
        <w:t> </w:t>
      </w:r>
      <w:r>
        <w:rPr>
          <w:i/>
          <w:sz w:val="24"/>
        </w:rPr>
        <w:t>дезинфекция</w:t>
      </w:r>
      <w:r>
        <w:rPr>
          <w:i/>
          <w:spacing w:val="40"/>
          <w:sz w:val="24"/>
        </w:rPr>
        <w:t> </w:t>
      </w:r>
      <w:r>
        <w:rPr>
          <w:i/>
          <w:sz w:val="24"/>
        </w:rPr>
        <w:t>помещений</w:t>
      </w:r>
      <w:r>
        <w:rPr>
          <w:i/>
          <w:spacing w:val="40"/>
          <w:sz w:val="24"/>
        </w:rPr>
        <w:t> </w:t>
      </w:r>
      <w:r>
        <w:rPr>
          <w:i/>
          <w:sz w:val="24"/>
        </w:rPr>
        <w:t>кабинетов</w:t>
      </w:r>
      <w:r>
        <w:rPr>
          <w:i/>
          <w:spacing w:val="40"/>
          <w:sz w:val="24"/>
        </w:rPr>
        <w:t> </w:t>
      </w:r>
      <w:r>
        <w:rPr>
          <w:i/>
          <w:sz w:val="24"/>
        </w:rPr>
        <w:t>РГ,</w:t>
      </w:r>
      <w:r>
        <w:rPr>
          <w:i/>
          <w:spacing w:val="40"/>
          <w:sz w:val="24"/>
        </w:rPr>
        <w:t> </w:t>
      </w:r>
      <w:r>
        <w:rPr>
          <w:i/>
          <w:sz w:val="24"/>
        </w:rPr>
        <w:t>КТ</w:t>
      </w:r>
      <w:r>
        <w:rPr>
          <w:i/>
          <w:spacing w:val="40"/>
          <w:sz w:val="24"/>
        </w:rPr>
        <w:t> </w:t>
      </w:r>
      <w:r>
        <w:rPr>
          <w:i/>
          <w:sz w:val="24"/>
        </w:rPr>
        <w:t>и</w:t>
      </w:r>
      <w:r>
        <w:rPr>
          <w:i/>
          <w:spacing w:val="40"/>
          <w:sz w:val="24"/>
        </w:rPr>
        <w:t> </w:t>
      </w:r>
      <w:r>
        <w:rPr>
          <w:i/>
          <w:sz w:val="24"/>
        </w:rPr>
        <w:t>УЗИ,</w:t>
      </w:r>
      <w:r>
        <w:rPr>
          <w:i/>
          <w:spacing w:val="40"/>
          <w:sz w:val="24"/>
        </w:rPr>
        <w:t> </w:t>
      </w:r>
      <w:r>
        <w:rPr>
          <w:i/>
          <w:sz w:val="24"/>
        </w:rPr>
        <w:t>оборудования и мебели кабинетов выполняются согласно настоящим временным методическим </w:t>
      </w:r>
      <w:r>
        <w:rPr>
          <w:i/>
          <w:spacing w:val="-2"/>
          <w:sz w:val="24"/>
        </w:rPr>
        <w:t>рекомендациям.</w:t>
      </w:r>
    </w:p>
    <w:p>
      <w:pPr>
        <w:spacing w:line="276" w:lineRule="auto" w:before="0"/>
        <w:ind w:left="1841" w:right="1272" w:firstLine="707"/>
        <w:jc w:val="both"/>
        <w:rPr>
          <w:i/>
          <w:sz w:val="24"/>
        </w:rPr>
      </w:pPr>
      <w:r>
        <w:rPr>
          <w:i/>
          <w:sz w:val="24"/>
        </w:rPr>
        <w:t>В</w:t>
      </w:r>
      <w:r>
        <w:rPr>
          <w:i/>
          <w:spacing w:val="-12"/>
          <w:sz w:val="24"/>
        </w:rPr>
        <w:t> </w:t>
      </w:r>
      <w:r>
        <w:rPr>
          <w:i/>
          <w:sz w:val="24"/>
        </w:rPr>
        <w:t>кабинетах</w:t>
      </w:r>
      <w:r>
        <w:rPr>
          <w:i/>
          <w:spacing w:val="-13"/>
          <w:sz w:val="24"/>
        </w:rPr>
        <w:t> </w:t>
      </w:r>
      <w:r>
        <w:rPr>
          <w:i/>
          <w:sz w:val="24"/>
        </w:rPr>
        <w:t>РГ,</w:t>
      </w:r>
      <w:r>
        <w:rPr>
          <w:i/>
          <w:spacing w:val="-12"/>
          <w:sz w:val="24"/>
        </w:rPr>
        <w:t> </w:t>
      </w:r>
      <w:r>
        <w:rPr>
          <w:i/>
          <w:sz w:val="24"/>
        </w:rPr>
        <w:t>КТ</w:t>
      </w:r>
      <w:r>
        <w:rPr>
          <w:i/>
          <w:spacing w:val="-12"/>
          <w:sz w:val="24"/>
        </w:rPr>
        <w:t> </w:t>
      </w:r>
      <w:r>
        <w:rPr>
          <w:i/>
          <w:sz w:val="24"/>
        </w:rPr>
        <w:t>и</w:t>
      </w:r>
      <w:r>
        <w:rPr>
          <w:i/>
          <w:spacing w:val="-12"/>
          <w:sz w:val="24"/>
        </w:rPr>
        <w:t> </w:t>
      </w:r>
      <w:r>
        <w:rPr>
          <w:i/>
          <w:sz w:val="24"/>
        </w:rPr>
        <w:t>УЗИ</w:t>
      </w:r>
      <w:r>
        <w:rPr>
          <w:i/>
          <w:spacing w:val="-12"/>
          <w:sz w:val="24"/>
        </w:rPr>
        <w:t> </w:t>
      </w:r>
      <w:r>
        <w:rPr>
          <w:i/>
          <w:sz w:val="24"/>
        </w:rPr>
        <w:t>в</w:t>
      </w:r>
      <w:r>
        <w:rPr>
          <w:i/>
          <w:spacing w:val="-13"/>
          <w:sz w:val="24"/>
        </w:rPr>
        <w:t> </w:t>
      </w:r>
      <w:r>
        <w:rPr>
          <w:i/>
          <w:sz w:val="24"/>
        </w:rPr>
        <w:t>целях</w:t>
      </w:r>
      <w:r>
        <w:rPr>
          <w:i/>
          <w:spacing w:val="-13"/>
          <w:sz w:val="24"/>
        </w:rPr>
        <w:t> </w:t>
      </w:r>
      <w:r>
        <w:rPr>
          <w:i/>
          <w:sz w:val="24"/>
        </w:rPr>
        <w:t>обеззараживания</w:t>
      </w:r>
      <w:r>
        <w:rPr>
          <w:i/>
          <w:spacing w:val="-12"/>
          <w:sz w:val="24"/>
        </w:rPr>
        <w:t> </w:t>
      </w:r>
      <w:r>
        <w:rPr>
          <w:i/>
          <w:sz w:val="24"/>
        </w:rPr>
        <w:t>поверхностей</w:t>
      </w:r>
      <w:r>
        <w:rPr>
          <w:i/>
          <w:spacing w:val="-12"/>
          <w:sz w:val="24"/>
        </w:rPr>
        <w:t> </w:t>
      </w:r>
      <w:r>
        <w:rPr>
          <w:i/>
          <w:sz w:val="24"/>
        </w:rPr>
        <w:t>проводится периодическая обработка помещений дезинфицирующими средствами. В целях быстрого и эффективного обеззараживания воздуха и поверхностей в отсутствие людей проводится периодическая обработка помещений с применением ультрафиолетовых</w:t>
      </w:r>
      <w:r>
        <w:rPr>
          <w:i/>
          <w:spacing w:val="80"/>
          <w:sz w:val="24"/>
        </w:rPr>
        <w:t> </w:t>
      </w:r>
      <w:r>
        <w:rPr>
          <w:i/>
          <w:sz w:val="24"/>
        </w:rPr>
        <w:t>бактерицидных</w:t>
      </w:r>
      <w:r>
        <w:rPr>
          <w:i/>
          <w:spacing w:val="80"/>
          <w:sz w:val="24"/>
        </w:rPr>
        <w:t> </w:t>
      </w:r>
      <w:r>
        <w:rPr>
          <w:i/>
          <w:sz w:val="24"/>
        </w:rPr>
        <w:t>облучателей</w:t>
      </w:r>
      <w:r>
        <w:rPr>
          <w:i/>
          <w:spacing w:val="80"/>
          <w:sz w:val="24"/>
        </w:rPr>
        <w:t> </w:t>
      </w:r>
      <w:r>
        <w:rPr>
          <w:i/>
          <w:sz w:val="24"/>
        </w:rPr>
        <w:t>открытого</w:t>
      </w:r>
      <w:r>
        <w:rPr>
          <w:i/>
          <w:spacing w:val="80"/>
          <w:sz w:val="24"/>
        </w:rPr>
        <w:t> </w:t>
      </w:r>
      <w:r>
        <w:rPr>
          <w:i/>
          <w:sz w:val="24"/>
        </w:rPr>
        <w:t>типа</w:t>
      </w:r>
      <w:r>
        <w:rPr>
          <w:i/>
          <w:spacing w:val="80"/>
          <w:sz w:val="24"/>
        </w:rPr>
        <w:t> </w:t>
      </w:r>
      <w:r>
        <w:rPr>
          <w:i/>
          <w:sz w:val="24"/>
        </w:rPr>
        <w:t>с</w:t>
      </w:r>
      <w:r>
        <w:rPr>
          <w:i/>
          <w:spacing w:val="80"/>
          <w:sz w:val="24"/>
        </w:rPr>
        <w:t> </w:t>
      </w:r>
      <w:r>
        <w:rPr>
          <w:i/>
          <w:sz w:val="24"/>
        </w:rPr>
        <w:t>УФ-дозой не</w:t>
      </w:r>
      <w:r>
        <w:rPr>
          <w:i/>
          <w:spacing w:val="-4"/>
          <w:sz w:val="24"/>
        </w:rPr>
        <w:t> </w:t>
      </w:r>
      <w:r>
        <w:rPr>
          <w:i/>
          <w:sz w:val="24"/>
        </w:rPr>
        <w:t>менее</w:t>
      </w:r>
      <w:r>
        <w:rPr>
          <w:i/>
          <w:spacing w:val="40"/>
          <w:sz w:val="24"/>
        </w:rPr>
        <w:t> </w:t>
      </w:r>
      <w:r>
        <w:rPr>
          <w:i/>
          <w:sz w:val="24"/>
        </w:rPr>
        <w:t>25</w:t>
      </w:r>
      <w:r>
        <w:rPr>
          <w:i/>
          <w:spacing w:val="40"/>
          <w:sz w:val="24"/>
        </w:rPr>
        <w:t> </w:t>
      </w:r>
      <w:r>
        <w:rPr>
          <w:i/>
          <w:sz w:val="24"/>
        </w:rPr>
        <w:t>мДж/см</w:t>
      </w:r>
      <w:r>
        <w:rPr>
          <w:i/>
          <w:sz w:val="24"/>
          <w:vertAlign w:val="superscript"/>
        </w:rPr>
        <w:t>2</w:t>
      </w:r>
      <w:r>
        <w:rPr>
          <w:i/>
          <w:spacing w:val="40"/>
          <w:sz w:val="24"/>
          <w:vertAlign w:val="baseline"/>
        </w:rPr>
        <w:t> </w:t>
      </w:r>
      <w:r>
        <w:rPr>
          <w:i/>
          <w:sz w:val="24"/>
          <w:vertAlign w:val="baseline"/>
        </w:rPr>
        <w:t>и</w:t>
      </w:r>
      <w:r>
        <w:rPr>
          <w:i/>
          <w:spacing w:val="40"/>
          <w:sz w:val="24"/>
          <w:vertAlign w:val="baseline"/>
        </w:rPr>
        <w:t> </w:t>
      </w:r>
      <w:r>
        <w:rPr>
          <w:i/>
          <w:sz w:val="24"/>
          <w:vertAlign w:val="baseline"/>
        </w:rPr>
        <w:t>суммарным</w:t>
      </w:r>
      <w:r>
        <w:rPr>
          <w:i/>
          <w:spacing w:val="40"/>
          <w:sz w:val="24"/>
          <w:vertAlign w:val="baseline"/>
        </w:rPr>
        <w:t> </w:t>
      </w:r>
      <w:r>
        <w:rPr>
          <w:i/>
          <w:sz w:val="24"/>
          <w:vertAlign w:val="baseline"/>
        </w:rPr>
        <w:t>бактерицидным</w:t>
      </w:r>
      <w:r>
        <w:rPr>
          <w:i/>
          <w:spacing w:val="40"/>
          <w:sz w:val="24"/>
          <w:vertAlign w:val="baseline"/>
        </w:rPr>
        <w:t> </w:t>
      </w:r>
      <w:r>
        <w:rPr>
          <w:i/>
          <w:sz w:val="24"/>
          <w:vertAlign w:val="baseline"/>
        </w:rPr>
        <w:t>потоком</w:t>
      </w:r>
      <w:r>
        <w:rPr>
          <w:i/>
          <w:spacing w:val="40"/>
          <w:sz w:val="24"/>
          <w:vertAlign w:val="baseline"/>
        </w:rPr>
        <w:t> </w:t>
      </w:r>
      <w:r>
        <w:rPr>
          <w:i/>
          <w:sz w:val="24"/>
          <w:vertAlign w:val="baseline"/>
        </w:rPr>
        <w:t>излучения</w:t>
      </w:r>
      <w:r>
        <w:rPr>
          <w:i/>
          <w:spacing w:val="40"/>
          <w:sz w:val="24"/>
          <w:vertAlign w:val="baseline"/>
        </w:rPr>
        <w:t> </w:t>
      </w:r>
      <w:r>
        <w:rPr>
          <w:i/>
          <w:sz w:val="24"/>
          <w:vertAlign w:val="baseline"/>
        </w:rPr>
        <w:t>не</w:t>
      </w:r>
      <w:r>
        <w:rPr>
          <w:i/>
          <w:spacing w:val="40"/>
          <w:sz w:val="24"/>
          <w:vertAlign w:val="baseline"/>
        </w:rPr>
        <w:t> </w:t>
      </w:r>
      <w:r>
        <w:rPr>
          <w:i/>
          <w:sz w:val="24"/>
          <w:vertAlign w:val="baseline"/>
        </w:rPr>
        <w:t>ниже 100</w:t>
      </w:r>
      <w:r>
        <w:rPr>
          <w:i/>
          <w:spacing w:val="-3"/>
          <w:sz w:val="24"/>
          <w:vertAlign w:val="baseline"/>
        </w:rPr>
        <w:t> </w:t>
      </w:r>
      <w:r>
        <w:rPr>
          <w:i/>
          <w:sz w:val="24"/>
          <w:vertAlign w:val="baseline"/>
        </w:rPr>
        <w:t>Вт. Бактерицидные установки с открытыми облучателями могут использоваться</w:t>
      </w:r>
      <w:r>
        <w:rPr>
          <w:i/>
          <w:spacing w:val="70"/>
          <w:w w:val="150"/>
          <w:sz w:val="24"/>
          <w:vertAlign w:val="baseline"/>
        </w:rPr>
        <w:t> </w:t>
      </w:r>
      <w:r>
        <w:rPr>
          <w:i/>
          <w:sz w:val="24"/>
          <w:vertAlign w:val="baseline"/>
        </w:rPr>
        <w:t>в</w:t>
      </w:r>
      <w:r>
        <w:rPr>
          <w:i/>
          <w:spacing w:val="70"/>
          <w:w w:val="150"/>
          <w:sz w:val="24"/>
          <w:vertAlign w:val="baseline"/>
        </w:rPr>
        <w:t> </w:t>
      </w:r>
      <w:r>
        <w:rPr>
          <w:i/>
          <w:sz w:val="24"/>
          <w:vertAlign w:val="baseline"/>
        </w:rPr>
        <w:t>повторно-кратковременном</w:t>
      </w:r>
      <w:r>
        <w:rPr>
          <w:i/>
          <w:spacing w:val="70"/>
          <w:w w:val="150"/>
          <w:sz w:val="24"/>
          <w:vertAlign w:val="baseline"/>
        </w:rPr>
        <w:t> </w:t>
      </w:r>
      <w:r>
        <w:rPr>
          <w:i/>
          <w:sz w:val="24"/>
          <w:vertAlign w:val="baseline"/>
        </w:rPr>
        <w:t>режиме</w:t>
      </w:r>
      <w:r>
        <w:rPr>
          <w:i/>
          <w:spacing w:val="69"/>
          <w:w w:val="150"/>
          <w:sz w:val="24"/>
          <w:vertAlign w:val="baseline"/>
        </w:rPr>
        <w:t> </w:t>
      </w:r>
      <w:r>
        <w:rPr>
          <w:i/>
          <w:sz w:val="24"/>
          <w:vertAlign w:val="baseline"/>
        </w:rPr>
        <w:t>тогда,</w:t>
      </w:r>
      <w:r>
        <w:rPr>
          <w:i/>
          <w:spacing w:val="70"/>
          <w:w w:val="150"/>
          <w:sz w:val="24"/>
          <w:vertAlign w:val="baseline"/>
        </w:rPr>
        <w:t> </w:t>
      </w:r>
      <w:r>
        <w:rPr>
          <w:i/>
          <w:sz w:val="24"/>
          <w:vertAlign w:val="baseline"/>
        </w:rPr>
        <w:t>когда</w:t>
      </w:r>
      <w:r>
        <w:rPr>
          <w:i/>
          <w:spacing w:val="70"/>
          <w:w w:val="150"/>
          <w:sz w:val="24"/>
          <w:vertAlign w:val="baseline"/>
        </w:rPr>
        <w:t> </w:t>
      </w:r>
      <w:r>
        <w:rPr>
          <w:i/>
          <w:sz w:val="24"/>
          <w:vertAlign w:val="baseline"/>
        </w:rPr>
        <w:t>на</w:t>
      </w:r>
      <w:r>
        <w:rPr>
          <w:i/>
          <w:spacing w:val="70"/>
          <w:w w:val="150"/>
          <w:sz w:val="24"/>
          <w:vertAlign w:val="baseline"/>
        </w:rPr>
        <w:t> </w:t>
      </w:r>
      <w:r>
        <w:rPr>
          <w:i/>
          <w:spacing w:val="-2"/>
          <w:sz w:val="24"/>
          <w:vertAlign w:val="baseline"/>
        </w:rPr>
        <w:t>время</w:t>
      </w:r>
    </w:p>
    <w:p>
      <w:pPr>
        <w:spacing w:after="0" w:line="276" w:lineRule="auto"/>
        <w:jc w:val="both"/>
        <w:rPr>
          <w:i/>
          <w:sz w:val="24"/>
        </w:rPr>
        <w:sectPr>
          <w:pgSz w:w="11900" w:h="16840"/>
          <w:pgMar w:header="0" w:footer="697" w:top="1080" w:bottom="880" w:left="0" w:right="0"/>
        </w:sectPr>
      </w:pPr>
    </w:p>
    <w:p>
      <w:pPr>
        <w:spacing w:line="276" w:lineRule="auto" w:before="73"/>
        <w:ind w:left="1841" w:right="1280" w:firstLine="0"/>
        <w:jc w:val="both"/>
        <w:rPr>
          <w:i/>
          <w:sz w:val="24"/>
        </w:rPr>
      </w:pPr>
      <w:bookmarkStart w:name="32" w:id="41"/>
      <w:bookmarkEnd w:id="41"/>
      <w:r>
        <w:rPr/>
      </w:r>
      <w:r>
        <w:rPr>
          <w:i/>
          <w:sz w:val="24"/>
        </w:rPr>
        <w:t>облучения люди из помещения удаляются. При этом повторные сеансы облучения должны проводиться через каждые 2 ч в течение рабочего дня</w:t>
      </w:r>
      <w:r>
        <w:rPr>
          <w:i/>
          <w:sz w:val="24"/>
          <w:vertAlign w:val="superscript"/>
        </w:rPr>
        <w:t>1</w:t>
      </w:r>
      <w:r>
        <w:rPr>
          <w:i/>
          <w:sz w:val="24"/>
          <w:vertAlign w:val="baseline"/>
        </w:rPr>
        <w:t>.</w:t>
      </w:r>
    </w:p>
    <w:p>
      <w:pPr>
        <w:pStyle w:val="ListParagraph"/>
        <w:numPr>
          <w:ilvl w:val="0"/>
          <w:numId w:val="13"/>
        </w:numPr>
        <w:tabs>
          <w:tab w:pos="3134" w:val="left" w:leader="none"/>
        </w:tabs>
        <w:spacing w:line="276" w:lineRule="auto" w:before="0" w:after="0"/>
        <w:ind w:left="1841" w:right="1276" w:firstLine="707"/>
        <w:jc w:val="both"/>
        <w:rPr>
          <w:sz w:val="24"/>
        </w:rPr>
      </w:pPr>
      <w:r>
        <w:rPr>
          <w:sz w:val="24"/>
        </w:rPr>
        <w:t>Работа</w:t>
      </w:r>
      <w:r>
        <w:rPr>
          <w:spacing w:val="78"/>
          <w:sz w:val="24"/>
        </w:rPr>
        <w:t>  </w:t>
      </w:r>
      <w:r>
        <w:rPr>
          <w:sz w:val="24"/>
        </w:rPr>
        <w:t>кабинетов/отделений</w:t>
      </w:r>
      <w:r>
        <w:rPr>
          <w:spacing w:val="79"/>
          <w:sz w:val="24"/>
        </w:rPr>
        <w:t>  </w:t>
      </w:r>
      <w:r>
        <w:rPr>
          <w:sz w:val="24"/>
        </w:rPr>
        <w:t>лучевой</w:t>
      </w:r>
      <w:r>
        <w:rPr>
          <w:spacing w:val="79"/>
          <w:sz w:val="24"/>
        </w:rPr>
        <w:t>  </w:t>
      </w:r>
      <w:r>
        <w:rPr>
          <w:sz w:val="24"/>
        </w:rPr>
        <w:t>диагностики</w:t>
      </w:r>
      <w:r>
        <w:rPr>
          <w:spacing w:val="79"/>
          <w:sz w:val="24"/>
        </w:rPr>
        <w:t>  </w:t>
      </w:r>
      <w:r>
        <w:rPr>
          <w:sz w:val="24"/>
        </w:rPr>
        <w:t>организуется в</w:t>
      </w:r>
      <w:r>
        <w:rPr>
          <w:spacing w:val="-4"/>
          <w:sz w:val="24"/>
        </w:rPr>
        <w:t> </w:t>
      </w:r>
      <w:r>
        <w:rPr>
          <w:sz w:val="24"/>
        </w:rPr>
        <w:t>круглосуточном</w:t>
      </w:r>
      <w:r>
        <w:rPr>
          <w:spacing w:val="-11"/>
          <w:sz w:val="24"/>
        </w:rPr>
        <w:t> </w:t>
      </w:r>
      <w:r>
        <w:rPr>
          <w:sz w:val="24"/>
        </w:rPr>
        <w:t>режиме</w:t>
      </w:r>
      <w:r>
        <w:rPr>
          <w:spacing w:val="-12"/>
          <w:sz w:val="24"/>
        </w:rPr>
        <w:t> </w:t>
      </w:r>
      <w:r>
        <w:rPr>
          <w:sz w:val="24"/>
        </w:rPr>
        <w:t>(смены</w:t>
      </w:r>
      <w:r>
        <w:rPr>
          <w:spacing w:val="-11"/>
          <w:sz w:val="24"/>
        </w:rPr>
        <w:t> </w:t>
      </w:r>
      <w:r>
        <w:rPr>
          <w:sz w:val="24"/>
        </w:rPr>
        <w:t>по</w:t>
      </w:r>
      <w:r>
        <w:rPr>
          <w:spacing w:val="-11"/>
          <w:sz w:val="24"/>
        </w:rPr>
        <w:t> </w:t>
      </w:r>
      <w:r>
        <w:rPr>
          <w:sz w:val="24"/>
        </w:rPr>
        <w:t>6,</w:t>
      </w:r>
      <w:r>
        <w:rPr>
          <w:spacing w:val="-11"/>
          <w:sz w:val="24"/>
        </w:rPr>
        <w:t> </w:t>
      </w:r>
      <w:r>
        <w:rPr>
          <w:sz w:val="24"/>
        </w:rPr>
        <w:t>12</w:t>
      </w:r>
      <w:r>
        <w:rPr>
          <w:spacing w:val="-11"/>
          <w:sz w:val="24"/>
        </w:rPr>
        <w:t> </w:t>
      </w:r>
      <w:r>
        <w:rPr>
          <w:sz w:val="24"/>
        </w:rPr>
        <w:t>или</w:t>
      </w:r>
      <w:r>
        <w:rPr>
          <w:spacing w:val="-10"/>
          <w:sz w:val="24"/>
        </w:rPr>
        <w:t> </w:t>
      </w:r>
      <w:r>
        <w:rPr>
          <w:sz w:val="24"/>
        </w:rPr>
        <w:t>24</w:t>
      </w:r>
      <w:r>
        <w:rPr>
          <w:spacing w:val="-11"/>
          <w:sz w:val="24"/>
        </w:rPr>
        <w:t> </w:t>
      </w:r>
      <w:r>
        <w:rPr>
          <w:sz w:val="24"/>
        </w:rPr>
        <w:t>ч</w:t>
      </w:r>
      <w:r>
        <w:rPr>
          <w:spacing w:val="-11"/>
          <w:sz w:val="24"/>
        </w:rPr>
        <w:t> </w:t>
      </w:r>
      <w:r>
        <w:rPr>
          <w:sz w:val="24"/>
        </w:rPr>
        <w:t>в</w:t>
      </w:r>
      <w:r>
        <w:rPr>
          <w:spacing w:val="-11"/>
          <w:sz w:val="24"/>
        </w:rPr>
        <w:t> </w:t>
      </w:r>
      <w:r>
        <w:rPr>
          <w:sz w:val="24"/>
        </w:rPr>
        <w:t>сутки</w:t>
      </w:r>
      <w:r>
        <w:rPr>
          <w:spacing w:val="-10"/>
          <w:sz w:val="24"/>
        </w:rPr>
        <w:t> </w:t>
      </w:r>
      <w:r>
        <w:rPr>
          <w:sz w:val="24"/>
        </w:rPr>
        <w:t>в</w:t>
      </w:r>
      <w:r>
        <w:rPr>
          <w:spacing w:val="-11"/>
          <w:sz w:val="24"/>
        </w:rPr>
        <w:t> </w:t>
      </w:r>
      <w:r>
        <w:rPr>
          <w:sz w:val="24"/>
        </w:rPr>
        <w:t>зависимости</w:t>
      </w:r>
      <w:r>
        <w:rPr>
          <w:spacing w:val="-9"/>
          <w:sz w:val="24"/>
        </w:rPr>
        <w:t> </w:t>
      </w:r>
      <w:r>
        <w:rPr>
          <w:sz w:val="24"/>
        </w:rPr>
        <w:t>от</w:t>
      </w:r>
      <w:r>
        <w:rPr>
          <w:spacing w:val="-10"/>
          <w:sz w:val="24"/>
        </w:rPr>
        <w:t> </w:t>
      </w:r>
      <w:r>
        <w:rPr>
          <w:sz w:val="24"/>
        </w:rPr>
        <w:t>штатного расписания и загрузки</w:t>
      </w:r>
      <w:r>
        <w:rPr>
          <w:spacing w:val="-1"/>
          <w:sz w:val="24"/>
        </w:rPr>
        <w:t> </w:t>
      </w:r>
      <w:r>
        <w:rPr>
          <w:sz w:val="24"/>
        </w:rPr>
        <w:t>конкретного лечебного учреждения). Рекомендуется создание в</w:t>
      </w:r>
      <w:r>
        <w:rPr>
          <w:spacing w:val="-4"/>
          <w:sz w:val="24"/>
        </w:rPr>
        <w:t> </w:t>
      </w:r>
      <w:r>
        <w:rPr>
          <w:sz w:val="24"/>
        </w:rPr>
        <w:t>медицинских организациях системы дистанционного описания изображений дежурными врачами-рентгенологами</w:t>
      </w:r>
      <w:r>
        <w:rPr>
          <w:color w:val="FF0000"/>
          <w:sz w:val="24"/>
        </w:rPr>
        <w:t>.</w:t>
      </w:r>
    </w:p>
    <w:p>
      <w:pPr>
        <w:pStyle w:val="ListParagraph"/>
        <w:numPr>
          <w:ilvl w:val="0"/>
          <w:numId w:val="13"/>
        </w:numPr>
        <w:tabs>
          <w:tab w:pos="2933" w:val="left" w:leader="none"/>
        </w:tabs>
        <w:spacing w:line="276" w:lineRule="auto" w:before="0" w:after="0"/>
        <w:ind w:left="1841" w:right="1274" w:firstLine="707"/>
        <w:jc w:val="both"/>
        <w:rPr>
          <w:sz w:val="24"/>
        </w:rPr>
      </w:pPr>
      <w:r>
        <w:rPr>
          <w:sz w:val="24"/>
        </w:rPr>
        <w:t>Рекомендации по формированию описаний и оценке изменений в легких</w:t>
      </w:r>
      <w:r>
        <w:rPr>
          <w:spacing w:val="80"/>
          <w:sz w:val="24"/>
        </w:rPr>
        <w:t> </w:t>
      </w:r>
      <w:r>
        <w:rPr>
          <w:sz w:val="24"/>
        </w:rPr>
        <w:t>и</w:t>
      </w:r>
      <w:r>
        <w:rPr>
          <w:spacing w:val="-2"/>
          <w:sz w:val="24"/>
        </w:rPr>
        <w:t> </w:t>
      </w:r>
      <w:r>
        <w:rPr>
          <w:sz w:val="24"/>
        </w:rPr>
        <w:t>ОГК</w:t>
      </w:r>
      <w:r>
        <w:rPr>
          <w:spacing w:val="80"/>
          <w:w w:val="150"/>
          <w:sz w:val="24"/>
        </w:rPr>
        <w:t> </w:t>
      </w:r>
      <w:r>
        <w:rPr>
          <w:sz w:val="24"/>
        </w:rPr>
        <w:t>при</w:t>
      </w:r>
      <w:r>
        <w:rPr>
          <w:spacing w:val="80"/>
          <w:w w:val="150"/>
          <w:sz w:val="24"/>
        </w:rPr>
        <w:t> </w:t>
      </w:r>
      <w:r>
        <w:rPr>
          <w:sz w:val="24"/>
        </w:rPr>
        <w:t>имеющейся</w:t>
      </w:r>
      <w:r>
        <w:rPr>
          <w:spacing w:val="80"/>
          <w:w w:val="150"/>
          <w:sz w:val="24"/>
        </w:rPr>
        <w:t> </w:t>
      </w:r>
      <w:r>
        <w:rPr>
          <w:sz w:val="24"/>
        </w:rPr>
        <w:t>/</w:t>
      </w:r>
      <w:r>
        <w:rPr>
          <w:spacing w:val="80"/>
          <w:w w:val="150"/>
          <w:sz w:val="24"/>
        </w:rPr>
        <w:t> </w:t>
      </w:r>
      <w:r>
        <w:rPr>
          <w:sz w:val="24"/>
        </w:rPr>
        <w:t>подозреваемой</w:t>
      </w:r>
      <w:r>
        <w:rPr>
          <w:spacing w:val="80"/>
          <w:w w:val="150"/>
          <w:sz w:val="24"/>
        </w:rPr>
        <w:t> </w:t>
      </w:r>
      <w:r>
        <w:rPr>
          <w:sz w:val="24"/>
        </w:rPr>
        <w:t>пневмонии</w:t>
      </w:r>
      <w:r>
        <w:rPr>
          <w:spacing w:val="80"/>
          <w:w w:val="150"/>
          <w:sz w:val="24"/>
        </w:rPr>
        <w:t> </w:t>
      </w:r>
      <w:r>
        <w:rPr>
          <w:sz w:val="24"/>
        </w:rPr>
        <w:t>COVID-19</w:t>
      </w:r>
      <w:r>
        <w:rPr>
          <w:spacing w:val="80"/>
          <w:w w:val="150"/>
          <w:sz w:val="24"/>
        </w:rPr>
        <w:t> </w:t>
      </w:r>
      <w:r>
        <w:rPr>
          <w:sz w:val="24"/>
        </w:rPr>
        <w:t>представлены в </w:t>
      </w:r>
      <w:r>
        <w:rPr>
          <w:color w:val="0462C1"/>
          <w:sz w:val="24"/>
          <w:u w:val="single" w:color="0462C1"/>
        </w:rPr>
        <w:t>Приложении 1</w:t>
      </w:r>
      <w:r>
        <w:rPr>
          <w:sz w:val="24"/>
        </w:rPr>
        <w:t>.</w:t>
      </w:r>
    </w:p>
    <w:p>
      <w:pPr>
        <w:pStyle w:val="ListParagraph"/>
        <w:numPr>
          <w:ilvl w:val="0"/>
          <w:numId w:val="13"/>
        </w:numPr>
        <w:tabs>
          <w:tab w:pos="2918" w:val="left" w:leader="none"/>
        </w:tabs>
        <w:spacing w:line="278" w:lineRule="auto" w:before="0" w:after="0"/>
        <w:ind w:left="1841" w:right="1280" w:firstLine="707"/>
        <w:jc w:val="both"/>
        <w:rPr>
          <w:sz w:val="24"/>
        </w:rPr>
      </w:pPr>
      <w:r>
        <w:rPr>
          <w:sz w:val="24"/>
        </w:rPr>
        <w:t>Для диагностики тромбозов глубоких вен рекомендуется проведение УЗИ сосудов нижних конечностей с допплерографией.</w:t>
      </w:r>
    </w:p>
    <w:p>
      <w:pPr>
        <w:pStyle w:val="Heading3"/>
        <w:spacing w:before="112"/>
      </w:pPr>
      <w:r>
        <w:rPr>
          <w:spacing w:val="-2"/>
        </w:rPr>
        <w:t>Оценка</w:t>
      </w:r>
      <w:r>
        <w:rPr>
          <w:spacing w:val="1"/>
        </w:rPr>
        <w:t> </w:t>
      </w:r>
      <w:r>
        <w:rPr>
          <w:spacing w:val="-2"/>
        </w:rPr>
        <w:t>изменений</w:t>
      </w:r>
      <w:r>
        <w:rPr>
          <w:spacing w:val="2"/>
        </w:rPr>
        <w:t> </w:t>
      </w:r>
      <w:r>
        <w:rPr>
          <w:spacing w:val="-2"/>
        </w:rPr>
        <w:t>после</w:t>
      </w:r>
      <w:r>
        <w:rPr>
          <w:spacing w:val="3"/>
        </w:rPr>
        <w:t> </w:t>
      </w:r>
      <w:r>
        <w:rPr>
          <w:spacing w:val="-2"/>
        </w:rPr>
        <w:t>перенесенного</w:t>
      </w:r>
      <w:r>
        <w:rPr>
          <w:spacing w:val="1"/>
        </w:rPr>
        <w:t> </w:t>
      </w:r>
      <w:r>
        <w:rPr>
          <w:spacing w:val="-2"/>
        </w:rPr>
        <w:t>COVID-</w:t>
      </w:r>
      <w:r>
        <w:rPr>
          <w:spacing w:val="-5"/>
        </w:rPr>
        <w:t>19</w:t>
      </w:r>
    </w:p>
    <w:p>
      <w:pPr>
        <w:spacing w:before="160"/>
        <w:ind w:left="2549" w:right="0" w:firstLine="0"/>
        <w:jc w:val="left"/>
        <w:rPr>
          <w:b/>
          <w:sz w:val="24"/>
        </w:rPr>
      </w:pPr>
      <w:r>
        <w:rPr>
          <w:b/>
          <w:spacing w:val="-2"/>
          <w:sz w:val="24"/>
        </w:rPr>
        <w:t>Рекомендации</w:t>
      </w:r>
    </w:p>
    <w:p>
      <w:pPr>
        <w:pStyle w:val="ListParagraph"/>
        <w:numPr>
          <w:ilvl w:val="0"/>
          <w:numId w:val="14"/>
        </w:numPr>
        <w:tabs>
          <w:tab w:pos="2237" w:val="left" w:leader="none"/>
          <w:tab w:pos="3040" w:val="left" w:leader="none"/>
          <w:tab w:pos="3375" w:val="left" w:leader="none"/>
          <w:tab w:pos="3512" w:val="left" w:leader="none"/>
          <w:tab w:pos="5052" w:val="left" w:leader="none"/>
          <w:tab w:pos="5150" w:val="left" w:leader="none"/>
          <w:tab w:pos="5711" w:val="left" w:leader="none"/>
          <w:tab w:pos="6295" w:val="left" w:leader="none"/>
          <w:tab w:pos="6818" w:val="left" w:leader="none"/>
          <w:tab w:pos="7302" w:val="left" w:leader="none"/>
          <w:tab w:pos="9205" w:val="left" w:leader="none"/>
          <w:tab w:pos="9863" w:val="left" w:leader="none"/>
        </w:tabs>
        <w:spacing w:line="276" w:lineRule="auto" w:before="41" w:after="0"/>
        <w:ind w:left="1841" w:right="1271" w:firstLine="707"/>
        <w:jc w:val="right"/>
        <w:rPr>
          <w:sz w:val="24"/>
        </w:rPr>
      </w:pPr>
      <w:r>
        <w:rPr>
          <w:spacing w:val="-10"/>
          <w:sz w:val="24"/>
        </w:rPr>
        <w:t>В</w:t>
      </w:r>
      <w:r>
        <w:rPr>
          <w:sz w:val="24"/>
        </w:rPr>
        <w:tab/>
        <w:tab/>
      </w:r>
      <w:r>
        <w:rPr>
          <w:spacing w:val="-2"/>
          <w:sz w:val="24"/>
        </w:rPr>
        <w:t>заключениях</w:t>
      </w:r>
      <w:r>
        <w:rPr>
          <w:sz w:val="24"/>
        </w:rPr>
        <w:tab/>
        <w:tab/>
      </w:r>
      <w:r>
        <w:rPr>
          <w:spacing w:val="-6"/>
          <w:sz w:val="24"/>
        </w:rPr>
        <w:t>по</w:t>
      </w:r>
      <w:r>
        <w:rPr>
          <w:sz w:val="24"/>
        </w:rPr>
        <w:tab/>
      </w:r>
      <w:r>
        <w:rPr>
          <w:spacing w:val="-2"/>
          <w:sz w:val="24"/>
        </w:rPr>
        <w:t>данным</w:t>
      </w:r>
      <w:r>
        <w:rPr>
          <w:sz w:val="24"/>
        </w:rPr>
        <w:tab/>
      </w:r>
      <w:r>
        <w:rPr>
          <w:spacing w:val="-2"/>
          <w:sz w:val="24"/>
        </w:rPr>
        <w:t>рентгенологических</w:t>
      </w:r>
      <w:r>
        <w:rPr>
          <w:sz w:val="24"/>
        </w:rPr>
        <w:tab/>
      </w:r>
      <w:r>
        <w:rPr>
          <w:spacing w:val="-2"/>
          <w:sz w:val="24"/>
        </w:rPr>
        <w:t>исследований </w:t>
      </w:r>
      <w:r>
        <w:rPr>
          <w:sz w:val="24"/>
        </w:rPr>
        <w:t>(рентгенография</w:t>
      </w:r>
      <w:r>
        <w:rPr>
          <w:spacing w:val="80"/>
          <w:w w:val="150"/>
          <w:sz w:val="24"/>
        </w:rPr>
        <w:t> </w:t>
      </w:r>
      <w:r>
        <w:rPr>
          <w:sz w:val="24"/>
        </w:rPr>
        <w:t>и</w:t>
      </w:r>
      <w:r>
        <w:rPr>
          <w:spacing w:val="80"/>
          <w:w w:val="150"/>
          <w:sz w:val="24"/>
        </w:rPr>
        <w:t> </w:t>
      </w:r>
      <w:r>
        <w:rPr>
          <w:sz w:val="24"/>
        </w:rPr>
        <w:t>КТ),</w:t>
      </w:r>
      <w:r>
        <w:rPr>
          <w:spacing w:val="80"/>
          <w:w w:val="150"/>
          <w:sz w:val="24"/>
        </w:rPr>
        <w:t> </w:t>
      </w:r>
      <w:r>
        <w:rPr>
          <w:sz w:val="24"/>
        </w:rPr>
        <w:t>проведенных</w:t>
      </w:r>
      <w:r>
        <w:rPr>
          <w:spacing w:val="80"/>
          <w:w w:val="150"/>
          <w:sz w:val="24"/>
        </w:rPr>
        <w:t> </w:t>
      </w:r>
      <w:r>
        <w:rPr>
          <w:sz w:val="24"/>
        </w:rPr>
        <w:t>после</w:t>
      </w:r>
      <w:r>
        <w:rPr>
          <w:spacing w:val="80"/>
          <w:w w:val="150"/>
          <w:sz w:val="24"/>
        </w:rPr>
        <w:t> </w:t>
      </w:r>
      <w:r>
        <w:rPr>
          <w:sz w:val="24"/>
        </w:rPr>
        <w:t>выписки</w:t>
      </w:r>
      <w:r>
        <w:rPr>
          <w:spacing w:val="80"/>
          <w:w w:val="150"/>
          <w:sz w:val="24"/>
        </w:rPr>
        <w:t> </w:t>
      </w:r>
      <w:r>
        <w:rPr>
          <w:sz w:val="24"/>
        </w:rPr>
        <w:t>пациентов</w:t>
      </w:r>
      <w:r>
        <w:rPr>
          <w:spacing w:val="80"/>
          <w:w w:val="150"/>
          <w:sz w:val="24"/>
        </w:rPr>
        <w:t> </w:t>
      </w:r>
      <w:r>
        <w:rPr>
          <w:sz w:val="24"/>
        </w:rPr>
        <w:t>с</w:t>
      </w:r>
      <w:r>
        <w:rPr>
          <w:spacing w:val="80"/>
          <w:w w:val="150"/>
          <w:sz w:val="24"/>
        </w:rPr>
        <w:t> </w:t>
      </w:r>
      <w:r>
        <w:rPr>
          <w:sz w:val="24"/>
        </w:rPr>
        <w:t>вирусной (коронавирусной)</w:t>
      </w:r>
      <w:r>
        <w:rPr>
          <w:spacing w:val="40"/>
          <w:sz w:val="24"/>
        </w:rPr>
        <w:t> </w:t>
      </w:r>
      <w:r>
        <w:rPr>
          <w:sz w:val="24"/>
        </w:rPr>
        <w:t>пневмонией,</w:t>
      </w:r>
      <w:r>
        <w:rPr>
          <w:spacing w:val="40"/>
          <w:sz w:val="24"/>
        </w:rPr>
        <w:t> </w:t>
      </w:r>
      <w:r>
        <w:rPr>
          <w:sz w:val="24"/>
        </w:rPr>
        <w:t>выявленных</w:t>
      </w:r>
      <w:r>
        <w:rPr>
          <w:spacing w:val="40"/>
          <w:sz w:val="24"/>
        </w:rPr>
        <w:t> </w:t>
      </w:r>
      <w:r>
        <w:rPr>
          <w:sz w:val="24"/>
        </w:rPr>
        <w:t>изменения</w:t>
      </w:r>
      <w:r>
        <w:rPr>
          <w:spacing w:val="40"/>
          <w:sz w:val="24"/>
        </w:rPr>
        <w:t> </w:t>
      </w:r>
      <w:r>
        <w:rPr>
          <w:sz w:val="24"/>
        </w:rPr>
        <w:t>рекомендовано</w:t>
      </w:r>
      <w:r>
        <w:rPr>
          <w:spacing w:val="40"/>
          <w:sz w:val="24"/>
        </w:rPr>
        <w:t> </w:t>
      </w:r>
      <w:r>
        <w:rPr>
          <w:sz w:val="24"/>
        </w:rPr>
        <w:t>определять как</w:t>
      </w:r>
      <w:r>
        <w:rPr>
          <w:spacing w:val="-13"/>
          <w:sz w:val="24"/>
        </w:rPr>
        <w:t> </w:t>
      </w:r>
      <w:r>
        <w:rPr>
          <w:i/>
          <w:sz w:val="24"/>
        </w:rPr>
        <w:t>остаточные</w:t>
      </w:r>
      <w:r>
        <w:rPr>
          <w:i/>
          <w:spacing w:val="-14"/>
          <w:sz w:val="24"/>
        </w:rPr>
        <w:t> </w:t>
      </w:r>
      <w:r>
        <w:rPr>
          <w:i/>
          <w:sz w:val="24"/>
        </w:rPr>
        <w:t>изменения</w:t>
      </w:r>
      <w:r>
        <w:rPr>
          <w:i/>
          <w:spacing w:val="-12"/>
          <w:sz w:val="24"/>
        </w:rPr>
        <w:t> </w:t>
      </w:r>
      <w:r>
        <w:rPr>
          <w:i/>
          <w:sz w:val="24"/>
        </w:rPr>
        <w:t>после</w:t>
      </w:r>
      <w:r>
        <w:rPr>
          <w:i/>
          <w:spacing w:val="-14"/>
          <w:sz w:val="24"/>
        </w:rPr>
        <w:t> </w:t>
      </w:r>
      <w:r>
        <w:rPr>
          <w:i/>
          <w:sz w:val="24"/>
        </w:rPr>
        <w:t>перенесенной</w:t>
      </w:r>
      <w:r>
        <w:rPr>
          <w:i/>
          <w:spacing w:val="-14"/>
          <w:sz w:val="24"/>
        </w:rPr>
        <w:t> </w:t>
      </w:r>
      <w:r>
        <w:rPr>
          <w:i/>
          <w:sz w:val="24"/>
        </w:rPr>
        <w:t>коронавирусной</w:t>
      </w:r>
      <w:r>
        <w:rPr>
          <w:i/>
          <w:spacing w:val="-14"/>
          <w:sz w:val="24"/>
        </w:rPr>
        <w:t> </w:t>
      </w:r>
      <w:r>
        <w:rPr>
          <w:i/>
          <w:sz w:val="24"/>
        </w:rPr>
        <w:t>(вирусной)</w:t>
      </w:r>
      <w:r>
        <w:rPr>
          <w:i/>
          <w:spacing w:val="-14"/>
          <w:sz w:val="24"/>
        </w:rPr>
        <w:t> </w:t>
      </w:r>
      <w:r>
        <w:rPr>
          <w:i/>
          <w:sz w:val="24"/>
        </w:rPr>
        <w:t>пневмонии </w:t>
      </w:r>
      <w:r>
        <w:rPr>
          <w:spacing w:val="-10"/>
          <w:sz w:val="24"/>
        </w:rPr>
        <w:t>и</w:t>
      </w:r>
      <w:r>
        <w:rPr>
          <w:sz w:val="24"/>
        </w:rPr>
        <w:tab/>
      </w:r>
      <w:r>
        <w:rPr>
          <w:spacing w:val="-2"/>
          <w:sz w:val="24"/>
        </w:rPr>
        <w:t>избегать</w:t>
      </w:r>
      <w:r>
        <w:rPr>
          <w:sz w:val="24"/>
        </w:rPr>
        <w:tab/>
      </w:r>
      <w:r>
        <w:rPr>
          <w:spacing w:val="-2"/>
          <w:sz w:val="24"/>
        </w:rPr>
        <w:t>употребления</w:t>
      </w:r>
      <w:r>
        <w:rPr>
          <w:sz w:val="24"/>
        </w:rPr>
        <w:tab/>
      </w:r>
      <w:r>
        <w:rPr>
          <w:spacing w:val="-2"/>
          <w:sz w:val="24"/>
        </w:rPr>
        <w:t>терминов</w:t>
      </w:r>
      <w:r>
        <w:rPr>
          <w:sz w:val="24"/>
        </w:rPr>
        <w:tab/>
      </w:r>
      <w:r>
        <w:rPr>
          <w:i/>
          <w:spacing w:val="-2"/>
          <w:sz w:val="24"/>
        </w:rPr>
        <w:t>фиброз</w:t>
      </w:r>
      <w:r>
        <w:rPr>
          <w:i/>
          <w:sz w:val="24"/>
        </w:rPr>
        <w:tab/>
      </w:r>
      <w:r>
        <w:rPr>
          <w:spacing w:val="-2"/>
          <w:sz w:val="24"/>
        </w:rPr>
        <w:t>(пневмофиброз)</w:t>
      </w:r>
      <w:r>
        <w:rPr>
          <w:sz w:val="24"/>
        </w:rPr>
        <w:tab/>
      </w:r>
      <w:r>
        <w:rPr>
          <w:spacing w:val="-49"/>
          <w:sz w:val="24"/>
        </w:rPr>
        <w:t> </w:t>
      </w:r>
      <w:r>
        <w:rPr>
          <w:sz w:val="24"/>
        </w:rPr>
        <w:t>или</w:t>
        <w:tab/>
      </w:r>
      <w:r>
        <w:rPr>
          <w:i/>
          <w:spacing w:val="-2"/>
          <w:sz w:val="24"/>
        </w:rPr>
        <w:t>склероз </w:t>
      </w:r>
      <w:r>
        <w:rPr>
          <w:spacing w:val="-2"/>
          <w:sz w:val="24"/>
        </w:rPr>
        <w:t>(пневмосклероз)</w:t>
      </w:r>
      <w:r>
        <w:rPr>
          <w:spacing w:val="-6"/>
          <w:sz w:val="24"/>
        </w:rPr>
        <w:t> </w:t>
      </w:r>
      <w:r>
        <w:rPr>
          <w:spacing w:val="-2"/>
          <w:sz w:val="24"/>
        </w:rPr>
        <w:t>в связи</w:t>
      </w:r>
      <w:r>
        <w:rPr>
          <w:spacing w:val="-5"/>
          <w:sz w:val="24"/>
        </w:rPr>
        <w:t> </w:t>
      </w:r>
      <w:r>
        <w:rPr>
          <w:spacing w:val="-2"/>
          <w:sz w:val="24"/>
        </w:rPr>
        <w:t>с</w:t>
      </w:r>
      <w:r>
        <w:rPr>
          <w:spacing w:val="-6"/>
          <w:sz w:val="24"/>
        </w:rPr>
        <w:t> </w:t>
      </w:r>
      <w:r>
        <w:rPr>
          <w:spacing w:val="-2"/>
          <w:sz w:val="24"/>
        </w:rPr>
        <w:t>отсутствием</w:t>
      </w:r>
      <w:r>
        <w:rPr>
          <w:spacing w:val="-5"/>
          <w:sz w:val="24"/>
        </w:rPr>
        <w:t> </w:t>
      </w:r>
      <w:r>
        <w:rPr>
          <w:spacing w:val="-2"/>
          <w:sz w:val="24"/>
        </w:rPr>
        <w:t>доказательной</w:t>
      </w:r>
      <w:r>
        <w:rPr>
          <w:spacing w:val="-4"/>
          <w:sz w:val="24"/>
        </w:rPr>
        <w:t> </w:t>
      </w:r>
      <w:r>
        <w:rPr>
          <w:spacing w:val="-2"/>
          <w:sz w:val="24"/>
        </w:rPr>
        <w:t>базы</w:t>
      </w:r>
      <w:r>
        <w:rPr>
          <w:spacing w:val="-5"/>
          <w:sz w:val="24"/>
        </w:rPr>
        <w:t> </w:t>
      </w:r>
      <w:r>
        <w:rPr>
          <w:spacing w:val="-2"/>
          <w:sz w:val="24"/>
        </w:rPr>
        <w:t>для</w:t>
      </w:r>
      <w:r>
        <w:rPr>
          <w:spacing w:val="-4"/>
          <w:sz w:val="24"/>
        </w:rPr>
        <w:t> </w:t>
      </w:r>
      <w:r>
        <w:rPr>
          <w:spacing w:val="-2"/>
          <w:sz w:val="24"/>
        </w:rPr>
        <w:t>такой</w:t>
      </w:r>
      <w:r>
        <w:rPr>
          <w:spacing w:val="-5"/>
          <w:sz w:val="24"/>
        </w:rPr>
        <w:t> </w:t>
      </w:r>
      <w:r>
        <w:rPr>
          <w:spacing w:val="-2"/>
          <w:sz w:val="24"/>
        </w:rPr>
        <w:t>характеристики.</w:t>
      </w:r>
    </w:p>
    <w:p>
      <w:pPr>
        <w:pStyle w:val="BodyText"/>
        <w:spacing w:line="276" w:lineRule="auto"/>
        <w:ind w:right="1273" w:firstLine="707"/>
      </w:pPr>
      <w:r>
        <w:rPr/>
        <w:t>Изменения</w:t>
      </w:r>
      <w:r>
        <w:rPr>
          <w:spacing w:val="-15"/>
        </w:rPr>
        <w:t> </w:t>
      </w:r>
      <w:r>
        <w:rPr/>
        <w:t>в</w:t>
      </w:r>
      <w:r>
        <w:rPr>
          <w:spacing w:val="-15"/>
        </w:rPr>
        <w:t> </w:t>
      </w:r>
      <w:r>
        <w:rPr/>
        <w:t>легких</w:t>
      </w:r>
      <w:r>
        <w:rPr>
          <w:spacing w:val="-15"/>
        </w:rPr>
        <w:t> </w:t>
      </w:r>
      <w:r>
        <w:rPr/>
        <w:t>у</w:t>
      </w:r>
      <w:r>
        <w:rPr>
          <w:spacing w:val="-15"/>
        </w:rPr>
        <w:t> </w:t>
      </w:r>
      <w:r>
        <w:rPr/>
        <w:t>пациентов,</w:t>
      </w:r>
      <w:r>
        <w:rPr>
          <w:spacing w:val="-15"/>
        </w:rPr>
        <w:t> </w:t>
      </w:r>
      <w:r>
        <w:rPr/>
        <w:t>перенесших</w:t>
      </w:r>
      <w:r>
        <w:rPr>
          <w:spacing w:val="-11"/>
        </w:rPr>
        <w:t> </w:t>
      </w:r>
      <w:r>
        <w:rPr/>
        <w:t>COVID-19,</w:t>
      </w:r>
      <w:r>
        <w:rPr>
          <w:spacing w:val="-15"/>
        </w:rPr>
        <w:t> </w:t>
      </w:r>
      <w:r>
        <w:rPr/>
        <w:t>наблюдаются</w:t>
      </w:r>
      <w:r>
        <w:rPr>
          <w:spacing w:val="-15"/>
        </w:rPr>
        <w:t> </w:t>
      </w:r>
      <w:r>
        <w:rPr/>
        <w:t>при</w:t>
      </w:r>
      <w:r>
        <w:rPr>
          <w:spacing w:val="-14"/>
        </w:rPr>
        <w:t> </w:t>
      </w:r>
      <w:r>
        <w:rPr/>
        <w:t>КТ через 3 месяца у 78% пациентов, через 6 месяцев у 48% и через 12 месяцев у 27%. Наиболее часто изменения в отдаленные сроки сохраняются у пациентов после лечения</w:t>
      </w:r>
      <w:r>
        <w:rPr>
          <w:spacing w:val="-9"/>
        </w:rPr>
        <w:t> </w:t>
      </w:r>
      <w:r>
        <w:rPr/>
        <w:t>в</w:t>
      </w:r>
      <w:r>
        <w:rPr>
          <w:spacing w:val="-10"/>
        </w:rPr>
        <w:t> </w:t>
      </w:r>
      <w:r>
        <w:rPr/>
        <w:t>отделениях</w:t>
      </w:r>
      <w:r>
        <w:rPr>
          <w:spacing w:val="-9"/>
        </w:rPr>
        <w:t> </w:t>
      </w:r>
      <w:r>
        <w:rPr/>
        <w:t>ОРИТ</w:t>
      </w:r>
      <w:r>
        <w:rPr>
          <w:spacing w:val="-10"/>
        </w:rPr>
        <w:t> </w:t>
      </w:r>
      <w:r>
        <w:rPr/>
        <w:t>с</w:t>
      </w:r>
      <w:r>
        <w:rPr>
          <w:spacing w:val="-10"/>
        </w:rPr>
        <w:t> </w:t>
      </w:r>
      <w:r>
        <w:rPr/>
        <w:t>применением</w:t>
      </w:r>
      <w:r>
        <w:rPr>
          <w:spacing w:val="-10"/>
        </w:rPr>
        <w:t> </w:t>
      </w:r>
      <w:r>
        <w:rPr/>
        <w:t>ИВЛ,</w:t>
      </w:r>
      <w:r>
        <w:rPr>
          <w:spacing w:val="-9"/>
        </w:rPr>
        <w:t> </w:t>
      </w:r>
      <w:r>
        <w:rPr/>
        <w:t>в</w:t>
      </w:r>
      <w:r>
        <w:rPr>
          <w:spacing w:val="-10"/>
        </w:rPr>
        <w:t> </w:t>
      </w:r>
      <w:r>
        <w:rPr/>
        <w:t>связи</w:t>
      </w:r>
      <w:r>
        <w:rPr>
          <w:spacing w:val="-8"/>
        </w:rPr>
        <w:t> </w:t>
      </w:r>
      <w:r>
        <w:rPr/>
        <w:t>с</w:t>
      </w:r>
      <w:r>
        <w:rPr>
          <w:spacing w:val="-10"/>
        </w:rPr>
        <w:t> </w:t>
      </w:r>
      <w:r>
        <w:rPr/>
        <w:t>крайне</w:t>
      </w:r>
      <w:r>
        <w:rPr>
          <w:spacing w:val="-10"/>
        </w:rPr>
        <w:t> </w:t>
      </w:r>
      <w:r>
        <w:rPr/>
        <w:t>тяжелым</w:t>
      </w:r>
      <w:r>
        <w:rPr>
          <w:spacing w:val="-10"/>
        </w:rPr>
        <w:t> </w:t>
      </w:r>
      <w:r>
        <w:rPr/>
        <w:t>течением заболевания и с обширным поражением легочной ткани.</w:t>
      </w:r>
    </w:p>
    <w:p>
      <w:pPr>
        <w:pStyle w:val="BodyText"/>
        <w:spacing w:line="276" w:lineRule="auto"/>
        <w:ind w:right="1276" w:firstLine="707"/>
      </w:pPr>
      <w:r>
        <w:rPr/>
        <w:t>Изменения в легких после перенесенной коронавирусной пневмонии обычно представляют собой обратное развитие (разрешение) организующейся пневмонии. Этот</w:t>
      </w:r>
      <w:r>
        <w:rPr>
          <w:spacing w:val="-15"/>
        </w:rPr>
        <w:t> </w:t>
      </w:r>
      <w:r>
        <w:rPr/>
        <w:t>вид</w:t>
      </w:r>
      <w:r>
        <w:rPr>
          <w:spacing w:val="-15"/>
        </w:rPr>
        <w:t> </w:t>
      </w:r>
      <w:r>
        <w:rPr/>
        <w:t>интерстициальной</w:t>
      </w:r>
      <w:r>
        <w:rPr>
          <w:spacing w:val="-15"/>
        </w:rPr>
        <w:t> </w:t>
      </w:r>
      <w:r>
        <w:rPr/>
        <w:t>пневмонии</w:t>
      </w:r>
      <w:r>
        <w:rPr>
          <w:spacing w:val="-15"/>
        </w:rPr>
        <w:t> </w:t>
      </w:r>
      <w:r>
        <w:rPr/>
        <w:t>формируется</w:t>
      </w:r>
      <w:r>
        <w:rPr>
          <w:spacing w:val="-15"/>
        </w:rPr>
        <w:t> </w:t>
      </w:r>
      <w:r>
        <w:rPr/>
        <w:t>как</w:t>
      </w:r>
      <w:r>
        <w:rPr>
          <w:spacing w:val="-15"/>
        </w:rPr>
        <w:t> </w:t>
      </w:r>
      <w:r>
        <w:rPr/>
        <w:t>типичный</w:t>
      </w:r>
      <w:r>
        <w:rPr>
          <w:spacing w:val="-15"/>
        </w:rPr>
        <w:t> </w:t>
      </w:r>
      <w:r>
        <w:rPr/>
        <w:t>морфологический ответ легочной ткани</w:t>
      </w:r>
      <w:r>
        <w:rPr>
          <w:spacing w:val="-2"/>
        </w:rPr>
        <w:t> </w:t>
      </w:r>
      <w:r>
        <w:rPr/>
        <w:t>на</w:t>
      </w:r>
      <w:r>
        <w:rPr>
          <w:spacing w:val="-2"/>
        </w:rPr>
        <w:t> </w:t>
      </w:r>
      <w:r>
        <w:rPr/>
        <w:t>диффузное альвеолярное</w:t>
      </w:r>
      <w:r>
        <w:rPr>
          <w:spacing w:val="-2"/>
        </w:rPr>
        <w:t> </w:t>
      </w:r>
      <w:r>
        <w:rPr/>
        <w:t>повреждение,</w:t>
      </w:r>
      <w:r>
        <w:rPr>
          <w:spacing w:val="-1"/>
        </w:rPr>
        <w:t> </w:t>
      </w:r>
      <w:r>
        <w:rPr/>
        <w:t>вызванное</w:t>
      </w:r>
      <w:r>
        <w:rPr>
          <w:spacing w:val="-2"/>
        </w:rPr>
        <w:t> </w:t>
      </w:r>
      <w:r>
        <w:rPr/>
        <w:t>вирусной инфекцией. Признаки организующейся пневмонии в острый период заболевания</w:t>
      </w:r>
      <w:r>
        <w:rPr>
          <w:spacing w:val="80"/>
        </w:rPr>
        <w:t> </w:t>
      </w:r>
      <w:r>
        <w:rPr/>
        <w:t>при рентгенографии и КТ описаны выше.</w:t>
      </w:r>
    </w:p>
    <w:p>
      <w:pPr>
        <w:pStyle w:val="BodyText"/>
        <w:spacing w:line="276" w:lineRule="auto"/>
        <w:ind w:right="1279" w:firstLine="707"/>
      </w:pPr>
      <w:r>
        <w:rPr/>
        <w:t>Опубликованные</w:t>
      </w:r>
      <w:r>
        <w:rPr>
          <w:spacing w:val="80"/>
          <w:w w:val="150"/>
        </w:rPr>
        <w:t> </w:t>
      </w:r>
      <w:r>
        <w:rPr/>
        <w:t>в</w:t>
      </w:r>
      <w:r>
        <w:rPr>
          <w:spacing w:val="80"/>
          <w:w w:val="150"/>
        </w:rPr>
        <w:t> </w:t>
      </w:r>
      <w:r>
        <w:rPr/>
        <w:t>настоящее</w:t>
      </w:r>
      <w:r>
        <w:rPr>
          <w:spacing w:val="80"/>
          <w:w w:val="150"/>
        </w:rPr>
        <w:t> </w:t>
      </w:r>
      <w:r>
        <w:rPr/>
        <w:t>время</w:t>
      </w:r>
      <w:r>
        <w:rPr>
          <w:spacing w:val="80"/>
          <w:w w:val="150"/>
        </w:rPr>
        <w:t> </w:t>
      </w:r>
      <w:r>
        <w:rPr/>
        <w:t>исследования</w:t>
      </w:r>
      <w:r>
        <w:rPr>
          <w:spacing w:val="80"/>
          <w:w w:val="150"/>
        </w:rPr>
        <w:t> </w:t>
      </w:r>
      <w:r>
        <w:rPr/>
        <w:t>содержат</w:t>
      </w:r>
      <w:r>
        <w:rPr>
          <w:spacing w:val="80"/>
          <w:w w:val="150"/>
        </w:rPr>
        <w:t> </w:t>
      </w:r>
      <w:r>
        <w:rPr/>
        <w:t>сведения</w:t>
      </w:r>
      <w:r>
        <w:rPr>
          <w:spacing w:val="80"/>
        </w:rPr>
        <w:t> </w:t>
      </w:r>
      <w:r>
        <w:rPr/>
        <w:t>о</w:t>
      </w:r>
      <w:r>
        <w:rPr>
          <w:spacing w:val="-1"/>
        </w:rPr>
        <w:t> </w:t>
      </w:r>
      <w:r>
        <w:rPr/>
        <w:t>больных,</w:t>
      </w:r>
      <w:r>
        <w:rPr>
          <w:spacing w:val="-3"/>
        </w:rPr>
        <w:t> </w:t>
      </w:r>
      <w:r>
        <w:rPr/>
        <w:t>перенесших</w:t>
      </w:r>
      <w:r>
        <w:rPr>
          <w:spacing w:val="-2"/>
        </w:rPr>
        <w:t> </w:t>
      </w:r>
      <w:r>
        <w:rPr/>
        <w:t>коронавирусную</w:t>
      </w:r>
      <w:r>
        <w:rPr>
          <w:spacing w:val="-1"/>
        </w:rPr>
        <w:t> </w:t>
      </w:r>
      <w:r>
        <w:rPr/>
        <w:t>пневмонию</w:t>
      </w:r>
      <w:r>
        <w:rPr>
          <w:spacing w:val="-1"/>
        </w:rPr>
        <w:t> </w:t>
      </w:r>
      <w:r>
        <w:rPr/>
        <w:t>в</w:t>
      </w:r>
      <w:r>
        <w:rPr>
          <w:spacing w:val="-3"/>
        </w:rPr>
        <w:t> </w:t>
      </w:r>
      <w:r>
        <w:rPr/>
        <w:t>течение</w:t>
      </w:r>
      <w:r>
        <w:rPr>
          <w:spacing w:val="-2"/>
        </w:rPr>
        <w:t> </w:t>
      </w:r>
      <w:r>
        <w:rPr/>
        <w:t>не</w:t>
      </w:r>
      <w:r>
        <w:rPr>
          <w:spacing w:val="-2"/>
        </w:rPr>
        <w:t> </w:t>
      </w:r>
      <w:r>
        <w:rPr/>
        <w:t>более</w:t>
      </w:r>
      <w:r>
        <w:rPr>
          <w:spacing w:val="-2"/>
        </w:rPr>
        <w:t> </w:t>
      </w:r>
      <w:r>
        <w:rPr/>
        <w:t>одного</w:t>
      </w:r>
      <w:r>
        <w:rPr>
          <w:spacing w:val="-1"/>
        </w:rPr>
        <w:t> </w:t>
      </w:r>
      <w:r>
        <w:rPr/>
        <w:t>года. В связи с этим судить об изменениях в более отдаленные сроки затруднительно.</w:t>
      </w:r>
    </w:p>
    <w:p>
      <w:pPr>
        <w:pStyle w:val="BodyText"/>
        <w:spacing w:line="276" w:lineRule="auto"/>
        <w:ind w:right="1280" w:firstLine="707"/>
      </w:pPr>
      <w:r>
        <w:rPr/>
        <w:t>Изменения в легких в течение первого года после перенесенной коронавирусной инфекции включают:</w:t>
      </w:r>
    </w:p>
    <w:p>
      <w:pPr>
        <w:pStyle w:val="ListParagraph"/>
        <w:numPr>
          <w:ilvl w:val="1"/>
          <w:numId w:val="14"/>
        </w:numPr>
        <w:tabs>
          <w:tab w:pos="3255" w:val="left" w:leader="none"/>
        </w:tabs>
        <w:spacing w:line="271" w:lineRule="auto" w:before="0" w:after="0"/>
        <w:ind w:left="1841" w:right="1278" w:firstLine="707"/>
        <w:jc w:val="both"/>
        <w:rPr>
          <w:sz w:val="24"/>
        </w:rPr>
      </w:pPr>
      <w:r>
        <w:rPr>
          <w:sz w:val="24"/>
        </w:rPr>
        <w:t>Участки уплотнения легочной ткани по типу матового стекла, обычно расположенные в кортикальных отделах легких.</w:t>
      </w:r>
    </w:p>
    <w:p>
      <w:pPr>
        <w:pStyle w:val="BodyText"/>
        <w:ind w:left="0"/>
        <w:jc w:val="left"/>
        <w:rPr>
          <w:sz w:val="20"/>
        </w:rPr>
      </w:pPr>
    </w:p>
    <w:p>
      <w:pPr>
        <w:pStyle w:val="BodyText"/>
        <w:ind w:left="0"/>
        <w:jc w:val="left"/>
        <w:rPr>
          <w:sz w:val="20"/>
        </w:rPr>
      </w:pPr>
    </w:p>
    <w:p>
      <w:pPr>
        <w:pStyle w:val="BodyText"/>
        <w:spacing w:before="109"/>
        <w:ind w:left="0"/>
        <w:jc w:val="left"/>
        <w:rPr>
          <w:sz w:val="20"/>
        </w:rPr>
      </w:pPr>
      <w:r>
        <w:rPr>
          <w:sz w:val="20"/>
        </w:rPr>
        <mc:AlternateContent>
          <mc:Choice Requires="wps">
            <w:drawing>
              <wp:anchor distT="0" distB="0" distL="0" distR="0" allowOverlap="1" layoutInCell="1" locked="0" behindDoc="1" simplePos="0" relativeHeight="487597056">
                <wp:simplePos x="0" y="0"/>
                <wp:positionH relativeFrom="page">
                  <wp:posOffset>1170736</wp:posOffset>
                </wp:positionH>
                <wp:positionV relativeFrom="paragraph">
                  <wp:posOffset>230494</wp:posOffset>
                </wp:positionV>
                <wp:extent cx="1829435" cy="9525"/>
                <wp:effectExtent l="0" t="0" r="0" b="0"/>
                <wp:wrapTopAndBottom/>
                <wp:docPr id="58" name="Graphic 58"/>
                <wp:cNvGraphicFramePr>
                  <a:graphicFrameLocks/>
                </wp:cNvGraphicFramePr>
                <a:graphic>
                  <a:graphicData uri="http://schemas.microsoft.com/office/word/2010/wordprocessingShape">
                    <wps:wsp>
                      <wps:cNvPr id="58" name="Graphic 58"/>
                      <wps:cNvSpPr/>
                      <wps:spPr>
                        <a:xfrm>
                          <a:off x="0" y="0"/>
                          <a:ext cx="1829435" cy="9525"/>
                        </a:xfrm>
                        <a:custGeom>
                          <a:avLst/>
                          <a:gdLst/>
                          <a:ahLst/>
                          <a:cxnLst/>
                          <a:rect l="l" t="t" r="r" b="b"/>
                          <a:pathLst>
                            <a:path w="1829435" h="9525">
                              <a:moveTo>
                                <a:pt x="1826234" y="1527"/>
                              </a:moveTo>
                              <a:lnTo>
                                <a:pt x="-1100" y="1527"/>
                              </a:lnTo>
                              <a:lnTo>
                                <a:pt x="-1100" y="10662"/>
                              </a:lnTo>
                              <a:lnTo>
                                <a:pt x="1826234" y="10662"/>
                              </a:lnTo>
                              <a:lnTo>
                                <a:pt x="1826234" y="1527"/>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18.269437pt;width:143.884618pt;height:.719293pt;mso-position-horizontal-relative:page;mso-position-vertical-relative:paragraph;z-index:-15719424;mso-wrap-distance-left:0;mso-wrap-distance-right:0" id="docshape47" filled="true" fillcolor="#000000" stroked="false">
                <v:fill type="solid"/>
                <w10:wrap type="topAndBottom"/>
              </v:rect>
            </w:pict>
          </mc:Fallback>
        </mc:AlternateContent>
      </w:r>
    </w:p>
    <w:p>
      <w:pPr>
        <w:pStyle w:val="BodyText"/>
        <w:ind w:left="0"/>
        <w:jc w:val="left"/>
        <w:rPr>
          <w:sz w:val="20"/>
        </w:rPr>
      </w:pPr>
    </w:p>
    <w:p>
      <w:pPr>
        <w:pStyle w:val="BodyText"/>
        <w:spacing w:before="190"/>
        <w:ind w:left="0"/>
        <w:jc w:val="left"/>
        <w:rPr>
          <w:sz w:val="20"/>
        </w:rPr>
      </w:pPr>
    </w:p>
    <w:p>
      <w:pPr>
        <w:spacing w:before="0"/>
        <w:ind w:left="1841" w:right="0" w:firstLine="0"/>
        <w:jc w:val="left"/>
        <w:rPr>
          <w:sz w:val="20"/>
        </w:rPr>
      </w:pPr>
      <w:r>
        <w:rPr>
          <w:sz w:val="20"/>
          <w:vertAlign w:val="superscript"/>
        </w:rPr>
        <w:t>1</w:t>
      </w:r>
      <w:r>
        <w:rPr>
          <w:spacing w:val="40"/>
          <w:sz w:val="20"/>
          <w:vertAlign w:val="baseline"/>
        </w:rPr>
        <w:t> </w:t>
      </w:r>
      <w:r>
        <w:rPr>
          <w:sz w:val="20"/>
          <w:vertAlign w:val="baseline"/>
        </w:rPr>
        <w:t>Руководство</w:t>
      </w:r>
      <w:r>
        <w:rPr>
          <w:spacing w:val="80"/>
          <w:sz w:val="20"/>
          <w:vertAlign w:val="baseline"/>
        </w:rPr>
        <w:t> </w:t>
      </w:r>
      <w:r>
        <w:rPr>
          <w:sz w:val="20"/>
          <w:vertAlign w:val="baseline"/>
        </w:rPr>
        <w:t>Р3.5.1904-04</w:t>
      </w:r>
      <w:r>
        <w:rPr>
          <w:spacing w:val="80"/>
          <w:sz w:val="20"/>
          <w:vertAlign w:val="baseline"/>
        </w:rPr>
        <w:t> </w:t>
      </w:r>
      <w:r>
        <w:rPr>
          <w:sz w:val="20"/>
          <w:vertAlign w:val="baseline"/>
        </w:rPr>
        <w:t>«Использование</w:t>
      </w:r>
      <w:r>
        <w:rPr>
          <w:spacing w:val="80"/>
          <w:sz w:val="20"/>
          <w:vertAlign w:val="baseline"/>
        </w:rPr>
        <w:t> </w:t>
      </w:r>
      <w:r>
        <w:rPr>
          <w:sz w:val="20"/>
          <w:vertAlign w:val="baseline"/>
        </w:rPr>
        <w:t>ультрафиолетового</w:t>
      </w:r>
      <w:r>
        <w:rPr>
          <w:spacing w:val="80"/>
          <w:sz w:val="20"/>
          <w:vertAlign w:val="baseline"/>
        </w:rPr>
        <w:t> </w:t>
      </w:r>
      <w:r>
        <w:rPr>
          <w:sz w:val="20"/>
          <w:vertAlign w:val="baseline"/>
        </w:rPr>
        <w:t>бактерицидного</w:t>
      </w:r>
      <w:r>
        <w:rPr>
          <w:spacing w:val="80"/>
          <w:sz w:val="20"/>
          <w:vertAlign w:val="baseline"/>
        </w:rPr>
        <w:t> </w:t>
      </w:r>
      <w:r>
        <w:rPr>
          <w:sz w:val="20"/>
          <w:vertAlign w:val="baseline"/>
        </w:rPr>
        <w:t>излучения</w:t>
      </w:r>
      <w:r>
        <w:rPr>
          <w:spacing w:val="80"/>
          <w:sz w:val="20"/>
          <w:vertAlign w:val="baseline"/>
        </w:rPr>
        <w:t> </w:t>
      </w:r>
      <w:r>
        <w:rPr>
          <w:sz w:val="20"/>
          <w:vertAlign w:val="baseline"/>
        </w:rPr>
        <w:t>для обеззараживания воздуха в помещениях»</w:t>
      </w:r>
    </w:p>
    <w:p>
      <w:pPr>
        <w:spacing w:after="0"/>
        <w:jc w:val="left"/>
        <w:rPr>
          <w:sz w:val="20"/>
        </w:rPr>
        <w:sectPr>
          <w:pgSz w:w="11900" w:h="16840"/>
          <w:pgMar w:header="0" w:footer="697" w:top="1080" w:bottom="880" w:left="0" w:right="0"/>
        </w:sectPr>
      </w:pPr>
    </w:p>
    <w:p>
      <w:pPr>
        <w:pStyle w:val="ListParagraph"/>
        <w:numPr>
          <w:ilvl w:val="1"/>
          <w:numId w:val="14"/>
        </w:numPr>
        <w:tabs>
          <w:tab w:pos="3255" w:val="left" w:leader="none"/>
        </w:tabs>
        <w:spacing w:line="271" w:lineRule="auto" w:before="75" w:after="0"/>
        <w:ind w:left="1841" w:right="1273" w:firstLine="707"/>
        <w:jc w:val="both"/>
        <w:rPr>
          <w:sz w:val="24"/>
        </w:rPr>
      </w:pPr>
      <w:bookmarkStart w:name="33" w:id="42"/>
      <w:bookmarkEnd w:id="42"/>
      <w:r>
        <w:rPr/>
      </w:r>
      <w:r>
        <w:rPr>
          <w:sz w:val="24"/>
        </w:rPr>
        <w:t>Зоны ретикулярных изменений с видимыми в них расширенными просветами бронхов, тракционными бронхоэктазами</w:t>
      </w:r>
    </w:p>
    <w:p>
      <w:pPr>
        <w:pStyle w:val="ListParagraph"/>
        <w:numPr>
          <w:ilvl w:val="1"/>
          <w:numId w:val="14"/>
        </w:numPr>
        <w:tabs>
          <w:tab w:pos="3255" w:val="left" w:leader="none"/>
        </w:tabs>
        <w:spacing w:line="273" w:lineRule="auto" w:before="8" w:after="0"/>
        <w:ind w:left="1841" w:right="1273" w:firstLine="707"/>
        <w:jc w:val="both"/>
        <w:rPr>
          <w:sz w:val="24"/>
        </w:rPr>
      </w:pPr>
      <w:r>
        <w:rPr>
          <w:sz w:val="24"/>
        </w:rPr>
        <w:t>Относительно</w:t>
      </w:r>
      <w:r>
        <w:rPr>
          <w:spacing w:val="80"/>
          <w:sz w:val="24"/>
        </w:rPr>
        <w:t>   </w:t>
      </w:r>
      <w:r>
        <w:rPr>
          <w:sz w:val="24"/>
        </w:rPr>
        <w:t>толстые</w:t>
      </w:r>
      <w:r>
        <w:rPr>
          <w:spacing w:val="80"/>
          <w:sz w:val="24"/>
        </w:rPr>
        <w:t>   </w:t>
      </w:r>
      <w:r>
        <w:rPr>
          <w:sz w:val="24"/>
        </w:rPr>
        <w:t>линейные</w:t>
      </w:r>
      <w:r>
        <w:rPr>
          <w:spacing w:val="80"/>
          <w:sz w:val="24"/>
        </w:rPr>
        <w:t>   </w:t>
      </w:r>
      <w:r>
        <w:rPr>
          <w:sz w:val="24"/>
        </w:rPr>
        <w:t>участки</w:t>
      </w:r>
      <w:r>
        <w:rPr>
          <w:spacing w:val="80"/>
          <w:sz w:val="24"/>
        </w:rPr>
        <w:t>   </w:t>
      </w:r>
      <w:r>
        <w:rPr>
          <w:sz w:val="24"/>
        </w:rPr>
        <w:t>консолидации</w:t>
      </w:r>
      <w:r>
        <w:rPr>
          <w:spacing w:val="40"/>
          <w:sz w:val="24"/>
        </w:rPr>
        <w:t> </w:t>
      </w:r>
      <w:r>
        <w:rPr>
          <w:sz w:val="24"/>
        </w:rPr>
        <w:t>и перилобулярные участки уплотнения как этап медленного разрешения организующейся пневмонии</w:t>
      </w:r>
    </w:p>
    <w:p>
      <w:pPr>
        <w:pStyle w:val="ListParagraph"/>
        <w:numPr>
          <w:ilvl w:val="1"/>
          <w:numId w:val="14"/>
        </w:numPr>
        <w:tabs>
          <w:tab w:pos="3255" w:val="left" w:leader="none"/>
        </w:tabs>
        <w:spacing w:line="271" w:lineRule="auto" w:before="4" w:after="0"/>
        <w:ind w:left="1841" w:right="1275" w:firstLine="707"/>
        <w:jc w:val="both"/>
        <w:rPr>
          <w:sz w:val="24"/>
        </w:rPr>
      </w:pPr>
      <w:r>
        <w:rPr>
          <w:sz w:val="24"/>
        </w:rPr>
        <w:t>Линейные уплотнения/линейные ателектазы неправильной формы вдоль реберной плевры – субплевральные линии</w:t>
      </w:r>
    </w:p>
    <w:p>
      <w:pPr>
        <w:pStyle w:val="ListParagraph"/>
        <w:numPr>
          <w:ilvl w:val="1"/>
          <w:numId w:val="14"/>
        </w:numPr>
        <w:tabs>
          <w:tab w:pos="3255" w:val="left" w:leader="none"/>
        </w:tabs>
        <w:spacing w:line="273" w:lineRule="auto" w:before="6" w:after="0"/>
        <w:ind w:left="1841" w:right="1278" w:firstLine="707"/>
        <w:jc w:val="both"/>
        <w:rPr>
          <w:sz w:val="24"/>
        </w:rPr>
      </w:pPr>
      <w:r>
        <w:rPr>
          <w:sz w:val="24"/>
        </w:rPr>
        <w:t>Нарушение архитектоники (расположения) сосудов и бронхов, уменьшение размеров отдельных долей и сегментов</w:t>
      </w:r>
    </w:p>
    <w:p>
      <w:pPr>
        <w:pStyle w:val="BodyText"/>
        <w:spacing w:line="276" w:lineRule="auto"/>
        <w:ind w:right="1278" w:firstLine="707"/>
      </w:pPr>
      <w:r>
        <w:rPr/>
        <w:t>В исследованиях показано, что к 12 месяцам наблюдения обычно исчезают ретикулярные</w:t>
      </w:r>
      <w:r>
        <w:rPr>
          <w:spacing w:val="-5"/>
        </w:rPr>
        <w:t> </w:t>
      </w:r>
      <w:r>
        <w:rPr/>
        <w:t>изменения</w:t>
      </w:r>
      <w:r>
        <w:rPr>
          <w:spacing w:val="-3"/>
        </w:rPr>
        <w:t> </w:t>
      </w:r>
      <w:r>
        <w:rPr/>
        <w:t>и</w:t>
      </w:r>
      <w:r>
        <w:rPr>
          <w:spacing w:val="-3"/>
        </w:rPr>
        <w:t> </w:t>
      </w:r>
      <w:r>
        <w:rPr/>
        <w:t>расширенные</w:t>
      </w:r>
      <w:r>
        <w:rPr>
          <w:spacing w:val="-5"/>
        </w:rPr>
        <w:t> </w:t>
      </w:r>
      <w:r>
        <w:rPr/>
        <w:t>бронхи,</w:t>
      </w:r>
      <w:r>
        <w:rPr>
          <w:spacing w:val="-3"/>
        </w:rPr>
        <w:t> </w:t>
      </w:r>
      <w:r>
        <w:rPr/>
        <w:t>субплевральные</w:t>
      </w:r>
      <w:r>
        <w:rPr>
          <w:spacing w:val="-5"/>
        </w:rPr>
        <w:t> </w:t>
      </w:r>
      <w:r>
        <w:rPr/>
        <w:t>линии</w:t>
      </w:r>
      <w:r>
        <w:rPr>
          <w:spacing w:val="-5"/>
        </w:rPr>
        <w:t> </w:t>
      </w:r>
      <w:r>
        <w:rPr/>
        <w:t>и</w:t>
      </w:r>
      <w:r>
        <w:rPr>
          <w:spacing w:val="-3"/>
        </w:rPr>
        <w:t> </w:t>
      </w:r>
      <w:r>
        <w:rPr/>
        <w:t>линейные тяжи. Остаточные изменения в этот период представлены в основном симптомом матового стекла. Ни у одного пациента не было обнаружено прогрессирование изменений в легких при наблюдении в динамике.</w:t>
      </w:r>
    </w:p>
    <w:p>
      <w:pPr>
        <w:pStyle w:val="BodyText"/>
        <w:spacing w:line="276" w:lineRule="auto"/>
        <w:ind w:right="1274" w:firstLine="707"/>
      </w:pPr>
      <w:r>
        <w:rPr/>
        <w:t>Результаты проведенных исследований не подтверждают развитие фиброза легочной</w:t>
      </w:r>
      <w:r>
        <w:rPr>
          <w:spacing w:val="80"/>
        </w:rPr>
        <w:t> </w:t>
      </w:r>
      <w:r>
        <w:rPr/>
        <w:t>ткани,</w:t>
      </w:r>
      <w:r>
        <w:rPr>
          <w:spacing w:val="79"/>
        </w:rPr>
        <w:t> </w:t>
      </w:r>
      <w:r>
        <w:rPr/>
        <w:t>но</w:t>
      </w:r>
      <w:r>
        <w:rPr>
          <w:spacing w:val="79"/>
        </w:rPr>
        <w:t> </w:t>
      </w:r>
      <w:r>
        <w:rPr/>
        <w:t>и</w:t>
      </w:r>
      <w:r>
        <w:rPr>
          <w:spacing w:val="78"/>
        </w:rPr>
        <w:t> </w:t>
      </w:r>
      <w:r>
        <w:rPr/>
        <w:t>не</w:t>
      </w:r>
      <w:r>
        <w:rPr>
          <w:spacing w:val="78"/>
        </w:rPr>
        <w:t> </w:t>
      </w:r>
      <w:r>
        <w:rPr/>
        <w:t>позволяют</w:t>
      </w:r>
      <w:r>
        <w:rPr>
          <w:spacing w:val="80"/>
        </w:rPr>
        <w:t> </w:t>
      </w:r>
      <w:r>
        <w:rPr/>
        <w:t>полностью</w:t>
      </w:r>
      <w:r>
        <w:rPr>
          <w:spacing w:val="80"/>
        </w:rPr>
        <w:t> </w:t>
      </w:r>
      <w:r>
        <w:rPr/>
        <w:t>исключить</w:t>
      </w:r>
      <w:r>
        <w:rPr>
          <w:spacing w:val="80"/>
        </w:rPr>
        <w:t> </w:t>
      </w:r>
      <w:r>
        <w:rPr/>
        <w:t>такую</w:t>
      </w:r>
      <w:r>
        <w:rPr>
          <w:spacing w:val="80"/>
        </w:rPr>
        <w:t> </w:t>
      </w:r>
      <w:r>
        <w:rPr/>
        <w:t>возможность у</w:t>
      </w:r>
      <w:r>
        <w:rPr>
          <w:spacing w:val="-1"/>
        </w:rPr>
        <w:t> </w:t>
      </w:r>
      <w:r>
        <w:rPr/>
        <w:t>крайне</w:t>
      </w:r>
      <w:r>
        <w:rPr>
          <w:spacing w:val="-2"/>
        </w:rPr>
        <w:t> </w:t>
      </w:r>
      <w:r>
        <w:rPr/>
        <w:t>ограниченного</w:t>
      </w:r>
      <w:r>
        <w:rPr>
          <w:spacing w:val="-1"/>
        </w:rPr>
        <w:t> </w:t>
      </w:r>
      <w:r>
        <w:rPr/>
        <w:t>числа</w:t>
      </w:r>
      <w:r>
        <w:rPr>
          <w:spacing w:val="-2"/>
        </w:rPr>
        <w:t> </w:t>
      </w:r>
      <w:r>
        <w:rPr/>
        <w:t>пациентов.</w:t>
      </w:r>
      <w:r>
        <w:rPr>
          <w:spacing w:val="-1"/>
        </w:rPr>
        <w:t> </w:t>
      </w:r>
      <w:r>
        <w:rPr/>
        <w:t>В</w:t>
      </w:r>
      <w:r>
        <w:rPr>
          <w:spacing w:val="-1"/>
        </w:rPr>
        <w:t> </w:t>
      </w:r>
      <w:r>
        <w:rPr/>
        <w:t>англоязычной литературе</w:t>
      </w:r>
      <w:r>
        <w:rPr>
          <w:spacing w:val="-1"/>
        </w:rPr>
        <w:t> </w:t>
      </w:r>
      <w:r>
        <w:rPr/>
        <w:t>эти</w:t>
      </w:r>
      <w:r>
        <w:rPr>
          <w:spacing w:val="-2"/>
        </w:rPr>
        <w:t> </w:t>
      </w:r>
      <w:r>
        <w:rPr/>
        <w:t>изменения </w:t>
      </w:r>
      <w:r>
        <w:rPr>
          <w:spacing w:val="-2"/>
        </w:rPr>
        <w:t>часто определяются</w:t>
      </w:r>
      <w:r>
        <w:rPr>
          <w:spacing w:val="-3"/>
        </w:rPr>
        <w:t> </w:t>
      </w:r>
      <w:r>
        <w:rPr>
          <w:spacing w:val="-2"/>
        </w:rPr>
        <w:t>как «fibrotic-like changes»</w:t>
      </w:r>
      <w:r>
        <w:rPr>
          <w:spacing w:val="-3"/>
        </w:rPr>
        <w:t> </w:t>
      </w:r>
      <w:r>
        <w:rPr>
          <w:spacing w:val="-2"/>
        </w:rPr>
        <w:t>- фиброзоподобные</w:t>
      </w:r>
      <w:r>
        <w:rPr>
          <w:spacing w:val="-4"/>
        </w:rPr>
        <w:t> </w:t>
      </w:r>
      <w:r>
        <w:rPr>
          <w:spacing w:val="-2"/>
        </w:rPr>
        <w:t>или напоминающие </w:t>
      </w:r>
      <w:r>
        <w:rPr/>
        <w:t>фиброз [Martini, K., et al].</w:t>
      </w:r>
    </w:p>
    <w:p>
      <w:pPr>
        <w:pStyle w:val="BodyText"/>
        <w:spacing w:line="276" w:lineRule="auto"/>
        <w:ind w:right="1278" w:firstLine="707"/>
      </w:pPr>
      <w:r>
        <w:rPr/>
        <w:t>Не</w:t>
      </w:r>
      <w:r>
        <w:rPr>
          <w:spacing w:val="-15"/>
        </w:rPr>
        <w:t> </w:t>
      </w:r>
      <w:r>
        <w:rPr/>
        <w:t>выявлено</w:t>
      </w:r>
      <w:r>
        <w:rPr>
          <w:spacing w:val="-15"/>
        </w:rPr>
        <w:t> </w:t>
      </w:r>
      <w:r>
        <w:rPr/>
        <w:t>закономерностей</w:t>
      </w:r>
      <w:r>
        <w:rPr>
          <w:spacing w:val="-14"/>
        </w:rPr>
        <w:t> </w:t>
      </w:r>
      <w:r>
        <w:rPr/>
        <w:t>в</w:t>
      </w:r>
      <w:r>
        <w:rPr>
          <w:spacing w:val="-15"/>
        </w:rPr>
        <w:t> </w:t>
      </w:r>
      <w:r>
        <w:rPr/>
        <w:t>характере</w:t>
      </w:r>
      <w:r>
        <w:rPr>
          <w:spacing w:val="-15"/>
        </w:rPr>
        <w:t> </w:t>
      </w:r>
      <w:r>
        <w:rPr/>
        <w:t>и</w:t>
      </w:r>
      <w:r>
        <w:rPr>
          <w:spacing w:val="-14"/>
        </w:rPr>
        <w:t> </w:t>
      </w:r>
      <w:r>
        <w:rPr/>
        <w:t>объеме</w:t>
      </w:r>
      <w:r>
        <w:rPr>
          <w:spacing w:val="-15"/>
        </w:rPr>
        <w:t> </w:t>
      </w:r>
      <w:r>
        <w:rPr/>
        <w:t>изменений</w:t>
      </w:r>
      <w:r>
        <w:rPr>
          <w:spacing w:val="-14"/>
        </w:rPr>
        <w:t> </w:t>
      </w:r>
      <w:r>
        <w:rPr/>
        <w:t>легочной</w:t>
      </w:r>
      <w:r>
        <w:rPr>
          <w:spacing w:val="-14"/>
        </w:rPr>
        <w:t> </w:t>
      </w:r>
      <w:r>
        <w:rPr/>
        <w:t>ткани при</w:t>
      </w:r>
      <w:r>
        <w:rPr>
          <w:spacing w:val="80"/>
          <w:w w:val="150"/>
        </w:rPr>
        <w:t> </w:t>
      </w:r>
      <w:r>
        <w:rPr/>
        <w:t>рентгенологическом</w:t>
      </w:r>
      <w:r>
        <w:rPr>
          <w:spacing w:val="80"/>
          <w:w w:val="150"/>
        </w:rPr>
        <w:t> </w:t>
      </w:r>
      <w:r>
        <w:rPr/>
        <w:t>исследовании</w:t>
      </w:r>
      <w:r>
        <w:rPr>
          <w:spacing w:val="80"/>
          <w:w w:val="150"/>
        </w:rPr>
        <w:t> </w:t>
      </w:r>
      <w:r>
        <w:rPr/>
        <w:t>и</w:t>
      </w:r>
      <w:r>
        <w:rPr>
          <w:spacing w:val="80"/>
          <w:w w:val="150"/>
        </w:rPr>
        <w:t> </w:t>
      </w:r>
      <w:r>
        <w:rPr/>
        <w:t>типе</w:t>
      </w:r>
      <w:r>
        <w:rPr>
          <w:spacing w:val="80"/>
          <w:w w:val="150"/>
        </w:rPr>
        <w:t> </w:t>
      </w:r>
      <w:r>
        <w:rPr/>
        <w:t>нарушений</w:t>
      </w:r>
      <w:r>
        <w:rPr>
          <w:spacing w:val="80"/>
          <w:w w:val="150"/>
        </w:rPr>
        <w:t> </w:t>
      </w:r>
      <w:r>
        <w:rPr/>
        <w:t>функции</w:t>
      </w:r>
      <w:r>
        <w:rPr>
          <w:spacing w:val="80"/>
          <w:w w:val="150"/>
        </w:rPr>
        <w:t> </w:t>
      </w:r>
      <w:r>
        <w:rPr/>
        <w:t>дыхания, в частности выраженности одышки, бронхиальной обструкции, снижения форсированную жизненную емкость легких и других показателей.</w:t>
      </w:r>
    </w:p>
    <w:p>
      <w:pPr>
        <w:pStyle w:val="BodyText"/>
        <w:spacing w:line="276" w:lineRule="auto"/>
        <w:ind w:right="1272" w:firstLine="707"/>
      </w:pPr>
      <w:r>
        <w:rPr/>
        <w:t>В связи с отсутствием доказательной базы, изменения в легких у пациентов, перенесших</w:t>
      </w:r>
      <w:r>
        <w:rPr>
          <w:spacing w:val="40"/>
        </w:rPr>
        <w:t> </w:t>
      </w:r>
      <w:r>
        <w:rPr/>
        <w:t>коронавирусную</w:t>
      </w:r>
      <w:r>
        <w:rPr>
          <w:spacing w:val="40"/>
        </w:rPr>
        <w:t> </w:t>
      </w:r>
      <w:r>
        <w:rPr/>
        <w:t>инфекцию,</w:t>
      </w:r>
      <w:r>
        <w:rPr>
          <w:spacing w:val="40"/>
        </w:rPr>
        <w:t> </w:t>
      </w:r>
      <w:r>
        <w:rPr/>
        <w:t>нецелесообразно</w:t>
      </w:r>
      <w:r>
        <w:rPr>
          <w:spacing w:val="40"/>
        </w:rPr>
        <w:t> </w:t>
      </w:r>
      <w:r>
        <w:rPr/>
        <w:t>определять</w:t>
      </w:r>
      <w:r>
        <w:rPr>
          <w:spacing w:val="40"/>
        </w:rPr>
        <w:t> </w:t>
      </w:r>
      <w:r>
        <w:rPr/>
        <w:t>как</w:t>
      </w:r>
      <w:r>
        <w:rPr>
          <w:spacing w:val="40"/>
        </w:rPr>
        <w:t> </w:t>
      </w:r>
      <w:r>
        <w:rPr/>
        <w:t>фиброз, в</w:t>
      </w:r>
      <w:r>
        <w:rPr>
          <w:spacing w:val="32"/>
        </w:rPr>
        <w:t> </w:t>
      </w:r>
      <w:r>
        <w:rPr/>
        <w:t>том</w:t>
      </w:r>
      <w:r>
        <w:rPr>
          <w:spacing w:val="32"/>
        </w:rPr>
        <w:t> </w:t>
      </w:r>
      <w:r>
        <w:rPr/>
        <w:t>числе</w:t>
      </w:r>
      <w:r>
        <w:rPr>
          <w:spacing w:val="31"/>
        </w:rPr>
        <w:t> </w:t>
      </w:r>
      <w:r>
        <w:rPr/>
        <w:t>как</w:t>
      </w:r>
      <w:r>
        <w:rPr>
          <w:spacing w:val="33"/>
        </w:rPr>
        <w:t> </w:t>
      </w:r>
      <w:r>
        <w:rPr/>
        <w:t>фиброзные</w:t>
      </w:r>
      <w:r>
        <w:rPr>
          <w:spacing w:val="31"/>
        </w:rPr>
        <w:t> </w:t>
      </w:r>
      <w:r>
        <w:rPr/>
        <w:t>изменения,</w:t>
      </w:r>
      <w:r>
        <w:rPr>
          <w:spacing w:val="32"/>
        </w:rPr>
        <w:t> </w:t>
      </w:r>
      <w:r>
        <w:rPr/>
        <w:t>остаточный</w:t>
      </w:r>
      <w:r>
        <w:rPr>
          <w:spacing w:val="33"/>
        </w:rPr>
        <w:t> </w:t>
      </w:r>
      <w:r>
        <w:rPr/>
        <w:t>фиброз,</w:t>
      </w:r>
      <w:r>
        <w:rPr>
          <w:spacing w:val="32"/>
        </w:rPr>
        <w:t> </w:t>
      </w:r>
      <w:r>
        <w:rPr/>
        <w:t>постковидный</w:t>
      </w:r>
      <w:r>
        <w:rPr>
          <w:spacing w:val="33"/>
        </w:rPr>
        <w:t> </w:t>
      </w:r>
      <w:r>
        <w:rPr/>
        <w:t>фиброз и др. В заключениях по данным проведенных рентгенологических исследований данную картину целесообразно определять как </w:t>
      </w:r>
      <w:r>
        <w:rPr>
          <w:i/>
        </w:rPr>
        <w:t>остаточные изменения после перенесенной коронавирусной (вирусной) пневмонии</w:t>
      </w:r>
      <w:r>
        <w:rPr/>
        <w:t>.</w:t>
      </w:r>
    </w:p>
    <w:p>
      <w:pPr>
        <w:pStyle w:val="BodyText"/>
        <w:spacing w:line="276" w:lineRule="auto"/>
        <w:ind w:right="1279" w:firstLine="707"/>
      </w:pPr>
      <w:r>
        <w:rPr/>
        <w:t>Выявленные</w:t>
      </w:r>
      <w:r>
        <w:rPr>
          <w:spacing w:val="-5"/>
        </w:rPr>
        <w:t> </w:t>
      </w:r>
      <w:r>
        <w:rPr/>
        <w:t>остаточные</w:t>
      </w:r>
      <w:r>
        <w:rPr>
          <w:spacing w:val="-4"/>
        </w:rPr>
        <w:t> </w:t>
      </w:r>
      <w:r>
        <w:rPr/>
        <w:t>изменения</w:t>
      </w:r>
      <w:r>
        <w:rPr>
          <w:spacing w:val="-3"/>
        </w:rPr>
        <w:t> </w:t>
      </w:r>
      <w:r>
        <w:rPr/>
        <w:t>в</w:t>
      </w:r>
      <w:r>
        <w:rPr>
          <w:spacing w:val="-4"/>
        </w:rPr>
        <w:t> </w:t>
      </w:r>
      <w:r>
        <w:rPr/>
        <w:t>легких</w:t>
      </w:r>
      <w:r>
        <w:rPr>
          <w:spacing w:val="-3"/>
        </w:rPr>
        <w:t> </w:t>
      </w:r>
      <w:r>
        <w:rPr/>
        <w:t>требуют</w:t>
      </w:r>
      <w:r>
        <w:rPr>
          <w:spacing w:val="-2"/>
        </w:rPr>
        <w:t> </w:t>
      </w:r>
      <w:r>
        <w:rPr/>
        <w:t>наблюдения</w:t>
      </w:r>
      <w:r>
        <w:rPr>
          <w:spacing w:val="-3"/>
        </w:rPr>
        <w:t> </w:t>
      </w:r>
      <w:r>
        <w:rPr/>
        <w:t>в</w:t>
      </w:r>
      <w:r>
        <w:rPr>
          <w:spacing w:val="-4"/>
        </w:rPr>
        <w:t> </w:t>
      </w:r>
      <w:r>
        <w:rPr/>
        <w:t>динамике в рамках программ диспансеризации для лиц, перенесших коронавирусную инфекцию.</w:t>
      </w:r>
      <w:r>
        <w:rPr>
          <w:spacing w:val="-11"/>
        </w:rPr>
        <w:t> </w:t>
      </w:r>
      <w:r>
        <w:rPr/>
        <w:t>При</w:t>
      </w:r>
      <w:r>
        <w:rPr>
          <w:spacing w:val="-13"/>
        </w:rPr>
        <w:t> </w:t>
      </w:r>
      <w:r>
        <w:rPr/>
        <w:t>наличии</w:t>
      </w:r>
      <w:r>
        <w:rPr>
          <w:spacing w:val="-11"/>
        </w:rPr>
        <w:t> </w:t>
      </w:r>
      <w:r>
        <w:rPr/>
        <w:t>клинических</w:t>
      </w:r>
      <w:r>
        <w:rPr>
          <w:spacing w:val="-11"/>
        </w:rPr>
        <w:t> </w:t>
      </w:r>
      <w:r>
        <w:rPr/>
        <w:t>показаний</w:t>
      </w:r>
      <w:r>
        <w:rPr>
          <w:spacing w:val="-11"/>
        </w:rPr>
        <w:t> </w:t>
      </w:r>
      <w:r>
        <w:rPr/>
        <w:t>частота</w:t>
      </w:r>
      <w:r>
        <w:rPr>
          <w:spacing w:val="-12"/>
        </w:rPr>
        <w:t> </w:t>
      </w:r>
      <w:r>
        <w:rPr/>
        <w:t>проведения</w:t>
      </w:r>
      <w:r>
        <w:rPr>
          <w:spacing w:val="-11"/>
        </w:rPr>
        <w:t> </w:t>
      </w:r>
      <w:r>
        <w:rPr/>
        <w:t>рентгенографии или КТ исследований может быть изменена.</w:t>
      </w:r>
    </w:p>
    <w:p>
      <w:pPr>
        <w:pStyle w:val="BodyText"/>
        <w:spacing w:line="276" w:lineRule="auto"/>
        <w:ind w:right="1276" w:firstLine="707"/>
      </w:pPr>
      <w:r>
        <w:rPr/>
        <w:t>К изменениям в легких в отдаленные сроки не применяются полуколичественные</w:t>
      </w:r>
      <w:r>
        <w:rPr>
          <w:spacing w:val="80"/>
        </w:rPr>
        <w:t> </w:t>
      </w:r>
      <w:r>
        <w:rPr/>
        <w:t>критерии</w:t>
      </w:r>
      <w:r>
        <w:rPr>
          <w:spacing w:val="80"/>
        </w:rPr>
        <w:t> </w:t>
      </w:r>
      <w:r>
        <w:rPr/>
        <w:t>объема</w:t>
      </w:r>
      <w:r>
        <w:rPr>
          <w:spacing w:val="80"/>
        </w:rPr>
        <w:t> </w:t>
      </w:r>
      <w:r>
        <w:rPr/>
        <w:t>поражения</w:t>
      </w:r>
      <w:r>
        <w:rPr>
          <w:spacing w:val="80"/>
        </w:rPr>
        <w:t> </w:t>
      </w:r>
      <w:r>
        <w:rPr/>
        <w:t>(«степени</w:t>
      </w:r>
      <w:r>
        <w:rPr>
          <w:spacing w:val="80"/>
        </w:rPr>
        <w:t> </w:t>
      </w:r>
      <w:r>
        <w:rPr/>
        <w:t>тяжести»)</w:t>
      </w:r>
      <w:r>
        <w:rPr>
          <w:spacing w:val="80"/>
        </w:rPr>
        <w:t> </w:t>
      </w:r>
      <w:r>
        <w:rPr/>
        <w:t>при</w:t>
      </w:r>
      <w:r>
        <w:rPr>
          <w:spacing w:val="80"/>
        </w:rPr>
        <w:t> </w:t>
      </w:r>
      <w:r>
        <w:rPr/>
        <w:t>КТ и</w:t>
      </w:r>
      <w:r>
        <w:rPr>
          <w:spacing w:val="80"/>
        </w:rPr>
        <w:t> </w:t>
      </w:r>
      <w:r>
        <w:rPr/>
        <w:t>рентгенографии</w:t>
      </w:r>
      <w:r>
        <w:rPr>
          <w:spacing w:val="80"/>
        </w:rPr>
        <w:t> </w:t>
      </w:r>
      <w:r>
        <w:rPr/>
        <w:t>(КТ1-4)</w:t>
      </w:r>
      <w:r>
        <w:rPr>
          <w:spacing w:val="80"/>
        </w:rPr>
        <w:t> </w:t>
      </w:r>
      <w:r>
        <w:rPr/>
        <w:t>в</w:t>
      </w:r>
      <w:r>
        <w:rPr>
          <w:spacing w:val="80"/>
        </w:rPr>
        <w:t> </w:t>
      </w:r>
      <w:r>
        <w:rPr/>
        <w:t>связи</w:t>
      </w:r>
      <w:r>
        <w:rPr>
          <w:spacing w:val="80"/>
        </w:rPr>
        <w:t> </w:t>
      </w:r>
      <w:r>
        <w:rPr/>
        <w:t>с</w:t>
      </w:r>
      <w:r>
        <w:rPr>
          <w:spacing w:val="80"/>
        </w:rPr>
        <w:t> </w:t>
      </w:r>
      <w:r>
        <w:rPr/>
        <w:t>отсутствием</w:t>
      </w:r>
      <w:r>
        <w:rPr>
          <w:spacing w:val="80"/>
        </w:rPr>
        <w:t> </w:t>
      </w:r>
      <w:r>
        <w:rPr/>
        <w:t>данных</w:t>
      </w:r>
      <w:r>
        <w:rPr>
          <w:spacing w:val="80"/>
        </w:rPr>
        <w:t> </w:t>
      </w:r>
      <w:r>
        <w:rPr/>
        <w:t>об</w:t>
      </w:r>
      <w:r>
        <w:rPr>
          <w:spacing w:val="80"/>
        </w:rPr>
        <w:t> </w:t>
      </w:r>
      <w:r>
        <w:rPr/>
        <w:t>их</w:t>
      </w:r>
      <w:r>
        <w:rPr>
          <w:spacing w:val="80"/>
        </w:rPr>
        <w:t> </w:t>
      </w:r>
      <w:r>
        <w:rPr/>
        <w:t>клиническом или прогностическом значении.</w:t>
      </w:r>
    </w:p>
    <w:p>
      <w:pPr>
        <w:pStyle w:val="ListParagraph"/>
        <w:numPr>
          <w:ilvl w:val="0"/>
          <w:numId w:val="14"/>
        </w:numPr>
        <w:tabs>
          <w:tab w:pos="2885" w:val="left" w:leader="none"/>
        </w:tabs>
        <w:spacing w:line="276" w:lineRule="auto" w:before="0" w:after="0"/>
        <w:ind w:left="1841" w:right="1271" w:firstLine="707"/>
        <w:jc w:val="both"/>
        <w:rPr>
          <w:sz w:val="24"/>
        </w:rPr>
      </w:pPr>
      <w:r>
        <w:rPr>
          <w:sz w:val="24"/>
        </w:rPr>
        <w:t>Остаточные изменения в легких после перенесенной коронавирусной инфекции</w:t>
      </w:r>
      <w:r>
        <w:rPr>
          <w:spacing w:val="-7"/>
          <w:sz w:val="24"/>
        </w:rPr>
        <w:t> </w:t>
      </w:r>
      <w:r>
        <w:rPr>
          <w:sz w:val="24"/>
        </w:rPr>
        <w:t>могут</w:t>
      </w:r>
      <w:r>
        <w:rPr>
          <w:spacing w:val="-7"/>
          <w:sz w:val="24"/>
        </w:rPr>
        <w:t> </w:t>
      </w:r>
      <w:r>
        <w:rPr>
          <w:sz w:val="24"/>
        </w:rPr>
        <w:t>быть</w:t>
      </w:r>
      <w:r>
        <w:rPr>
          <w:spacing w:val="-7"/>
          <w:sz w:val="24"/>
        </w:rPr>
        <w:t> </w:t>
      </w:r>
      <w:r>
        <w:rPr>
          <w:sz w:val="24"/>
        </w:rPr>
        <w:t>обусловлены</w:t>
      </w:r>
      <w:r>
        <w:rPr>
          <w:spacing w:val="-8"/>
          <w:sz w:val="24"/>
        </w:rPr>
        <w:t> </w:t>
      </w:r>
      <w:r>
        <w:rPr>
          <w:sz w:val="24"/>
        </w:rPr>
        <w:t>не</w:t>
      </w:r>
      <w:r>
        <w:rPr>
          <w:spacing w:val="-9"/>
          <w:sz w:val="24"/>
        </w:rPr>
        <w:t> </w:t>
      </w:r>
      <w:r>
        <w:rPr>
          <w:sz w:val="24"/>
        </w:rPr>
        <w:t>только</w:t>
      </w:r>
      <w:r>
        <w:rPr>
          <w:spacing w:val="-8"/>
          <w:sz w:val="24"/>
        </w:rPr>
        <w:t> </w:t>
      </w:r>
      <w:r>
        <w:rPr>
          <w:sz w:val="24"/>
        </w:rPr>
        <w:t>основным</w:t>
      </w:r>
      <w:r>
        <w:rPr>
          <w:spacing w:val="-9"/>
          <w:sz w:val="24"/>
        </w:rPr>
        <w:t> </w:t>
      </w:r>
      <w:r>
        <w:rPr>
          <w:sz w:val="24"/>
        </w:rPr>
        <w:t>патологическим</w:t>
      </w:r>
      <w:r>
        <w:rPr>
          <w:spacing w:val="-9"/>
          <w:sz w:val="24"/>
        </w:rPr>
        <w:t> </w:t>
      </w:r>
      <w:r>
        <w:rPr>
          <w:sz w:val="24"/>
        </w:rPr>
        <w:t>процессом</w:t>
      </w:r>
      <w:r>
        <w:rPr>
          <w:spacing w:val="-3"/>
          <w:sz w:val="24"/>
        </w:rPr>
        <w:t> </w:t>
      </w:r>
      <w:r>
        <w:rPr>
          <w:sz w:val="24"/>
        </w:rPr>
        <w:t>– вирусной пневмонией, но и ее осложнениями, что требует тщательной дифференциальной</w:t>
      </w:r>
      <w:r>
        <w:rPr>
          <w:spacing w:val="80"/>
          <w:w w:val="150"/>
          <w:sz w:val="24"/>
        </w:rPr>
        <w:t>  </w:t>
      </w:r>
      <w:r>
        <w:rPr>
          <w:sz w:val="24"/>
        </w:rPr>
        <w:t>диагностики</w:t>
      </w:r>
      <w:r>
        <w:rPr>
          <w:spacing w:val="80"/>
          <w:w w:val="150"/>
          <w:sz w:val="24"/>
        </w:rPr>
        <w:t>  </w:t>
      </w:r>
      <w:r>
        <w:rPr>
          <w:sz w:val="24"/>
        </w:rPr>
        <w:t>при</w:t>
      </w:r>
      <w:r>
        <w:rPr>
          <w:spacing w:val="80"/>
          <w:w w:val="150"/>
          <w:sz w:val="24"/>
        </w:rPr>
        <w:t>  </w:t>
      </w:r>
      <w:r>
        <w:rPr>
          <w:sz w:val="24"/>
        </w:rPr>
        <w:t>рентгенологическом</w:t>
      </w:r>
      <w:r>
        <w:rPr>
          <w:spacing w:val="80"/>
          <w:w w:val="150"/>
          <w:sz w:val="24"/>
        </w:rPr>
        <w:t>  </w:t>
      </w:r>
      <w:r>
        <w:rPr>
          <w:sz w:val="24"/>
        </w:rPr>
        <w:t>исследовании для исключения гипердиагностики</w:t>
      </w:r>
    </w:p>
    <w:p>
      <w:pPr>
        <w:pStyle w:val="BodyText"/>
        <w:spacing w:line="276" w:lineRule="auto"/>
        <w:ind w:right="1277" w:firstLine="707"/>
      </w:pPr>
      <w:r>
        <w:rPr/>
        <w:t>Остаточные изменения в легких после перенесенной коронавирусной инфекции</w:t>
      </w:r>
      <w:r>
        <w:rPr>
          <w:spacing w:val="-12"/>
        </w:rPr>
        <w:t> </w:t>
      </w:r>
      <w:r>
        <w:rPr/>
        <w:t>могут</w:t>
      </w:r>
      <w:r>
        <w:rPr>
          <w:spacing w:val="-12"/>
        </w:rPr>
        <w:t> </w:t>
      </w:r>
      <w:r>
        <w:rPr/>
        <w:t>быть</w:t>
      </w:r>
      <w:r>
        <w:rPr>
          <w:spacing w:val="-13"/>
        </w:rPr>
        <w:t> </w:t>
      </w:r>
      <w:r>
        <w:rPr/>
        <w:t>следствием</w:t>
      </w:r>
      <w:r>
        <w:rPr>
          <w:spacing w:val="-13"/>
        </w:rPr>
        <w:t> </w:t>
      </w:r>
      <w:r>
        <w:rPr/>
        <w:t>как</w:t>
      </w:r>
      <w:r>
        <w:rPr>
          <w:spacing w:val="-12"/>
        </w:rPr>
        <w:t> </w:t>
      </w:r>
      <w:r>
        <w:rPr/>
        <w:t>вирусного</w:t>
      </w:r>
      <w:r>
        <w:rPr>
          <w:spacing w:val="-12"/>
        </w:rPr>
        <w:t> </w:t>
      </w:r>
      <w:r>
        <w:rPr/>
        <w:t>поражения</w:t>
      </w:r>
      <w:r>
        <w:rPr>
          <w:spacing w:val="-13"/>
        </w:rPr>
        <w:t> </w:t>
      </w:r>
      <w:r>
        <w:rPr/>
        <w:t>легочной</w:t>
      </w:r>
      <w:r>
        <w:rPr>
          <w:spacing w:val="-13"/>
        </w:rPr>
        <w:t> </w:t>
      </w:r>
      <w:r>
        <w:rPr/>
        <w:t>ткани,</w:t>
      </w:r>
      <w:r>
        <w:rPr>
          <w:spacing w:val="-12"/>
        </w:rPr>
        <w:t> </w:t>
      </w:r>
      <w:r>
        <w:rPr/>
        <w:t>так</w:t>
      </w:r>
      <w:r>
        <w:rPr>
          <w:spacing w:val="-14"/>
        </w:rPr>
        <w:t> </w:t>
      </w:r>
      <w:r>
        <w:rPr/>
        <w:t>и</w:t>
      </w:r>
      <w:r>
        <w:rPr>
          <w:spacing w:val="-12"/>
        </w:rPr>
        <w:t> </w:t>
      </w:r>
      <w:r>
        <w:rPr>
          <w:spacing w:val="-5"/>
        </w:rPr>
        <w:t>его</w:t>
      </w:r>
    </w:p>
    <w:p>
      <w:pPr>
        <w:pStyle w:val="BodyText"/>
        <w:spacing w:after="0" w:line="276" w:lineRule="auto"/>
        <w:sectPr>
          <w:pgSz w:w="11900" w:h="16840"/>
          <w:pgMar w:header="0" w:footer="697" w:top="1080" w:bottom="880" w:left="0" w:right="0"/>
        </w:sectPr>
      </w:pPr>
    </w:p>
    <w:p>
      <w:pPr>
        <w:pStyle w:val="BodyText"/>
        <w:spacing w:line="276" w:lineRule="auto" w:before="73"/>
        <w:ind w:right="1279"/>
      </w:pPr>
      <w:bookmarkStart w:name="34" w:id="43"/>
      <w:bookmarkEnd w:id="43"/>
      <w:r>
        <w:rPr/>
      </w:r>
      <w:r>
        <w:rPr/>
        <w:t>осложнениями. К относительно частым можно отнести инфаркты легких при ТЭЛА, бактериальную пневмонию, абсцесс легкого, эмпиему плевры и др. Рентгенологическая картина разрешения этих процессов может существенно отличаться от постковидных изменений и описана в специальных руководствах.</w:t>
      </w:r>
    </w:p>
    <w:p>
      <w:pPr>
        <w:pStyle w:val="Heading1"/>
        <w:numPr>
          <w:ilvl w:val="1"/>
          <w:numId w:val="5"/>
        </w:numPr>
        <w:tabs>
          <w:tab w:pos="3036" w:val="left" w:leader="none"/>
        </w:tabs>
        <w:spacing w:line="240" w:lineRule="auto" w:before="240" w:after="0"/>
        <w:ind w:left="3036" w:right="0" w:hanging="487"/>
        <w:jc w:val="left"/>
        <w:rPr>
          <w:color w:val="1F487C"/>
        </w:rPr>
      </w:pPr>
      <w:bookmarkStart w:name="_TOC_250037" w:id="44"/>
      <w:r>
        <w:rPr>
          <w:color w:val="1F487C"/>
          <w:spacing w:val="-2"/>
        </w:rPr>
        <w:t>ДИФФЕРЕНЦИАЛЬНАЯ</w:t>
      </w:r>
      <w:r>
        <w:rPr>
          <w:color w:val="1F487C"/>
          <w:spacing w:val="12"/>
        </w:rPr>
        <w:t> </w:t>
      </w:r>
      <w:r>
        <w:rPr>
          <w:color w:val="1F487C"/>
          <w:spacing w:val="-2"/>
        </w:rPr>
        <w:t>ДИАГНОСТИКА</w:t>
      </w:r>
      <w:r>
        <w:rPr>
          <w:color w:val="1F487C"/>
          <w:spacing w:val="14"/>
        </w:rPr>
        <w:t> </w:t>
      </w:r>
      <w:r>
        <w:rPr>
          <w:color w:val="1F487C"/>
          <w:spacing w:val="-2"/>
        </w:rPr>
        <w:t>COVID-</w:t>
      </w:r>
      <w:bookmarkEnd w:id="44"/>
      <w:r>
        <w:rPr>
          <w:color w:val="1F487C"/>
          <w:spacing w:val="-5"/>
        </w:rPr>
        <w:t>19</w:t>
      </w:r>
    </w:p>
    <w:p>
      <w:pPr>
        <w:pStyle w:val="BodyText"/>
        <w:spacing w:line="276" w:lineRule="auto" w:before="166"/>
        <w:ind w:right="1272" w:firstLine="707"/>
      </w:pPr>
      <w:r>
        <w:rPr/>
        <w:t>Необходимо</w:t>
      </w:r>
      <w:r>
        <w:rPr>
          <w:spacing w:val="-10"/>
        </w:rPr>
        <w:t> </w:t>
      </w:r>
      <w:r>
        <w:rPr/>
        <w:t>дифференцировать</w:t>
      </w:r>
      <w:r>
        <w:rPr>
          <w:spacing w:val="-11"/>
        </w:rPr>
        <w:t> </w:t>
      </w:r>
      <w:r>
        <w:rPr/>
        <w:t>новую</w:t>
      </w:r>
      <w:r>
        <w:rPr>
          <w:spacing w:val="-12"/>
        </w:rPr>
        <w:t> </w:t>
      </w:r>
      <w:r>
        <w:rPr/>
        <w:t>коронавирусную</w:t>
      </w:r>
      <w:r>
        <w:rPr>
          <w:spacing w:val="-12"/>
        </w:rPr>
        <w:t> </w:t>
      </w:r>
      <w:r>
        <w:rPr/>
        <w:t>инфекцию</w:t>
      </w:r>
      <w:r>
        <w:rPr>
          <w:spacing w:val="-10"/>
        </w:rPr>
        <w:t> </w:t>
      </w:r>
      <w:r>
        <w:rPr/>
        <w:t>с</w:t>
      </w:r>
      <w:r>
        <w:rPr>
          <w:spacing w:val="-9"/>
        </w:rPr>
        <w:t> </w:t>
      </w:r>
      <w:r>
        <w:rPr/>
        <w:t>гриппом, острыми респираторными вирусными инфекциями, вызываемыми риновирусами, аденовирусами, РС-вирусом, метапневмовирусами человека, MERS-CoV, вирусом парагриппа, вирусными гастроэнтеритами, бактериальными возбудителями респираторных инфекций, туберкулезом.</w:t>
      </w:r>
    </w:p>
    <w:p>
      <w:pPr>
        <w:pStyle w:val="BodyText"/>
        <w:spacing w:line="276" w:lineRule="auto" w:before="13"/>
        <w:ind w:right="1272" w:firstLine="707"/>
      </w:pPr>
      <w:r>
        <w:rPr/>
        <w:t>Длительность инкубационного периода COVID-19 до появления варианта Омикрон SARS-CoV-2 составляла от</w:t>
      </w:r>
      <w:r>
        <w:rPr>
          <w:spacing w:val="-2"/>
        </w:rPr>
        <w:t> </w:t>
      </w:r>
      <w:r>
        <w:rPr/>
        <w:t>2</w:t>
      </w:r>
      <w:r>
        <w:rPr>
          <w:spacing w:val="-4"/>
        </w:rPr>
        <w:t> </w:t>
      </w:r>
      <w:r>
        <w:rPr/>
        <w:t>до</w:t>
      </w:r>
      <w:r>
        <w:rPr>
          <w:spacing w:val="-3"/>
        </w:rPr>
        <w:t> </w:t>
      </w:r>
      <w:r>
        <w:rPr/>
        <w:t>14</w:t>
      </w:r>
      <w:r>
        <w:rPr>
          <w:spacing w:val="-4"/>
        </w:rPr>
        <w:t> </w:t>
      </w:r>
      <w:r>
        <w:rPr/>
        <w:t>дней (в среднем 5-7 дней). COVID-19, вызванная вариантом Омикрон, характеризуется более коротким инкубационным периодом (2-7 дней, в среднем 3-4 дня). Длительность инкубационного периода гриппа и ОРВИ, как правило, не превышает 3 дней. При гриппе заболевание начинается</w:t>
      </w:r>
      <w:r>
        <w:rPr>
          <w:spacing w:val="-4"/>
        </w:rPr>
        <w:t> </w:t>
      </w:r>
      <w:r>
        <w:rPr/>
        <w:t>резко,</w:t>
      </w:r>
      <w:r>
        <w:rPr>
          <w:spacing w:val="-4"/>
        </w:rPr>
        <w:t> </w:t>
      </w:r>
      <w:r>
        <w:rPr/>
        <w:t>при</w:t>
      </w:r>
      <w:r>
        <w:rPr>
          <w:spacing w:val="-5"/>
        </w:rPr>
        <w:t> </w:t>
      </w:r>
      <w:r>
        <w:rPr/>
        <w:t>COVID-19</w:t>
      </w:r>
      <w:r>
        <w:rPr>
          <w:spacing w:val="-4"/>
        </w:rPr>
        <w:t> </w:t>
      </w:r>
      <w:r>
        <w:rPr/>
        <w:t>и</w:t>
      </w:r>
      <w:r>
        <w:rPr>
          <w:spacing w:val="-3"/>
        </w:rPr>
        <w:t> </w:t>
      </w:r>
      <w:r>
        <w:rPr/>
        <w:t>ОРВИ,</w:t>
      </w:r>
      <w:r>
        <w:rPr>
          <w:spacing w:val="-3"/>
        </w:rPr>
        <w:t> </w:t>
      </w:r>
      <w:r>
        <w:rPr/>
        <w:t>как</w:t>
      </w:r>
      <w:r>
        <w:rPr>
          <w:spacing w:val="-3"/>
        </w:rPr>
        <w:t> </w:t>
      </w:r>
      <w:r>
        <w:rPr/>
        <w:t>правило,</w:t>
      </w:r>
      <w:r>
        <w:rPr>
          <w:spacing w:val="-4"/>
        </w:rPr>
        <w:t> </w:t>
      </w:r>
      <w:r>
        <w:rPr/>
        <w:t>постепенно.</w:t>
      </w:r>
      <w:r>
        <w:rPr>
          <w:spacing w:val="-6"/>
        </w:rPr>
        <w:t> </w:t>
      </w:r>
      <w:r>
        <w:rPr/>
        <w:t>Как</w:t>
      </w:r>
      <w:r>
        <w:rPr>
          <w:spacing w:val="-3"/>
        </w:rPr>
        <w:t> </w:t>
      </w:r>
      <w:r>
        <w:rPr/>
        <w:t>при</w:t>
      </w:r>
      <w:r>
        <w:rPr>
          <w:spacing w:val="-3"/>
        </w:rPr>
        <w:t> </w:t>
      </w:r>
      <w:r>
        <w:rPr/>
        <w:t>COVID- 19,</w:t>
      </w:r>
      <w:r>
        <w:rPr>
          <w:spacing w:val="40"/>
        </w:rPr>
        <w:t> </w:t>
      </w:r>
      <w:r>
        <w:rPr/>
        <w:t>так</w:t>
      </w:r>
      <w:r>
        <w:rPr>
          <w:spacing w:val="40"/>
        </w:rPr>
        <w:t> </w:t>
      </w:r>
      <w:r>
        <w:rPr/>
        <w:t>и</w:t>
      </w:r>
      <w:r>
        <w:rPr>
          <w:spacing w:val="40"/>
        </w:rPr>
        <w:t> </w:t>
      </w:r>
      <w:r>
        <w:rPr/>
        <w:t>при</w:t>
      </w:r>
      <w:r>
        <w:rPr>
          <w:spacing w:val="40"/>
        </w:rPr>
        <w:t> </w:t>
      </w:r>
      <w:r>
        <w:rPr/>
        <w:t>гриппе</w:t>
      </w:r>
      <w:r>
        <w:rPr>
          <w:spacing w:val="40"/>
        </w:rPr>
        <w:t> </w:t>
      </w:r>
      <w:r>
        <w:rPr/>
        <w:t>может</w:t>
      </w:r>
      <w:r>
        <w:rPr>
          <w:spacing w:val="40"/>
        </w:rPr>
        <w:t> </w:t>
      </w:r>
      <w:r>
        <w:rPr/>
        <w:t>отмечаться</w:t>
      </w:r>
      <w:r>
        <w:rPr>
          <w:spacing w:val="40"/>
        </w:rPr>
        <w:t> </w:t>
      </w:r>
      <w:r>
        <w:rPr/>
        <w:t>высокая</w:t>
      </w:r>
      <w:r>
        <w:rPr>
          <w:spacing w:val="40"/>
        </w:rPr>
        <w:t> </w:t>
      </w:r>
      <w:r>
        <w:rPr/>
        <w:t>лихорадка,</w:t>
      </w:r>
      <w:r>
        <w:rPr>
          <w:spacing w:val="40"/>
        </w:rPr>
        <w:t> </w:t>
      </w:r>
      <w:r>
        <w:rPr/>
        <w:t>кашель,</w:t>
      </w:r>
      <w:r>
        <w:rPr>
          <w:spacing w:val="40"/>
        </w:rPr>
        <w:t> </w:t>
      </w:r>
      <w:r>
        <w:rPr/>
        <w:t>слабость. При течении ОРВИ высокая лихорадка, слабость встречаются редко. При этом при гриппе</w:t>
      </w:r>
      <w:r>
        <w:rPr>
          <w:spacing w:val="40"/>
        </w:rPr>
        <w:t> </w:t>
      </w:r>
      <w:r>
        <w:rPr/>
        <w:t>и</w:t>
      </w:r>
      <w:r>
        <w:rPr>
          <w:spacing w:val="40"/>
        </w:rPr>
        <w:t> </w:t>
      </w:r>
      <w:r>
        <w:rPr/>
        <w:t>ОРВИ</w:t>
      </w:r>
      <w:r>
        <w:rPr>
          <w:spacing w:val="40"/>
        </w:rPr>
        <w:t> </w:t>
      </w:r>
      <w:r>
        <w:rPr/>
        <w:t>одышка</w:t>
      </w:r>
      <w:r>
        <w:rPr>
          <w:spacing w:val="40"/>
        </w:rPr>
        <w:t> </w:t>
      </w:r>
      <w:r>
        <w:rPr/>
        <w:t>и</w:t>
      </w:r>
      <w:r>
        <w:rPr>
          <w:spacing w:val="40"/>
        </w:rPr>
        <w:t> </w:t>
      </w:r>
      <w:r>
        <w:rPr/>
        <w:t>затрудненное</w:t>
      </w:r>
      <w:r>
        <w:rPr>
          <w:spacing w:val="40"/>
        </w:rPr>
        <w:t> </w:t>
      </w:r>
      <w:r>
        <w:rPr/>
        <w:t>дыхание</w:t>
      </w:r>
      <w:r>
        <w:rPr>
          <w:spacing w:val="40"/>
        </w:rPr>
        <w:t> </w:t>
      </w:r>
      <w:r>
        <w:rPr/>
        <w:t>отмечаются</w:t>
      </w:r>
      <w:r>
        <w:rPr>
          <w:spacing w:val="40"/>
        </w:rPr>
        <w:t> </w:t>
      </w:r>
      <w:r>
        <w:rPr/>
        <w:t>значительно</w:t>
      </w:r>
      <w:r>
        <w:rPr>
          <w:spacing w:val="40"/>
        </w:rPr>
        <w:t> </w:t>
      </w:r>
      <w:r>
        <w:rPr/>
        <w:t>реже, чем при COVID-19.</w:t>
      </w:r>
    </w:p>
    <w:p>
      <w:pPr>
        <w:pStyle w:val="BodyText"/>
        <w:spacing w:line="276" w:lineRule="auto" w:before="10"/>
        <w:ind w:right="1273" w:firstLine="707"/>
      </w:pPr>
      <w:r>
        <w:rPr/>
        <w:t>Симптомы COVID-19 и туберкулеза могут быть схожи (кашель, повышение температуры, слабость). При туберкулезе симптомы в большинстве случаев развиваются постепенно, но может быть и острое течение заболевания. Оба заболевания</w:t>
      </w:r>
      <w:r>
        <w:rPr>
          <w:spacing w:val="80"/>
          <w:w w:val="150"/>
        </w:rPr>
        <w:t> </w:t>
      </w:r>
      <w:r>
        <w:rPr/>
        <w:t>могут</w:t>
      </w:r>
      <w:r>
        <w:rPr>
          <w:spacing w:val="80"/>
          <w:w w:val="150"/>
        </w:rPr>
        <w:t> </w:t>
      </w:r>
      <w:r>
        <w:rPr/>
        <w:t>протекать</w:t>
      </w:r>
      <w:r>
        <w:rPr>
          <w:spacing w:val="80"/>
          <w:w w:val="150"/>
        </w:rPr>
        <w:t> </w:t>
      </w:r>
      <w:r>
        <w:rPr/>
        <w:t>одновременно,</w:t>
      </w:r>
      <w:r>
        <w:rPr>
          <w:spacing w:val="80"/>
          <w:w w:val="150"/>
        </w:rPr>
        <w:t> </w:t>
      </w:r>
      <w:r>
        <w:rPr/>
        <w:t>утяжеляя</w:t>
      </w:r>
      <w:r>
        <w:rPr>
          <w:spacing w:val="80"/>
          <w:w w:val="150"/>
        </w:rPr>
        <w:t> </w:t>
      </w:r>
      <w:r>
        <w:rPr/>
        <w:t>течение</w:t>
      </w:r>
      <w:r>
        <w:rPr>
          <w:spacing w:val="80"/>
          <w:w w:val="150"/>
        </w:rPr>
        <w:t> </w:t>
      </w:r>
      <w:r>
        <w:rPr/>
        <w:t>друг</w:t>
      </w:r>
      <w:r>
        <w:rPr>
          <w:spacing w:val="80"/>
          <w:w w:val="150"/>
        </w:rPr>
        <w:t> </w:t>
      </w:r>
      <w:r>
        <w:rPr/>
        <w:t>друга. Для</w:t>
      </w:r>
      <w:r>
        <w:rPr>
          <w:spacing w:val="-5"/>
        </w:rPr>
        <w:t> </w:t>
      </w:r>
      <w:r>
        <w:rPr/>
        <w:t>исключения туберкулеза целесообразно проведение теста in vitro для выявления эффекторных Т клеток, реагирующих на стимуляцию антигеном </w:t>
      </w:r>
      <w:r>
        <w:rPr>
          <w:i/>
        </w:rPr>
        <w:t>Mycobacterium tuberculosis </w:t>
      </w:r>
      <w:r>
        <w:rPr/>
        <w:t>методом ELISPOT, 3-х кратное исследование мокроты на наличие кислотоустойчивых</w:t>
      </w:r>
      <w:r>
        <w:rPr>
          <w:spacing w:val="40"/>
        </w:rPr>
        <w:t>  </w:t>
      </w:r>
      <w:r>
        <w:rPr/>
        <w:t>бактерий</w:t>
      </w:r>
      <w:r>
        <w:rPr>
          <w:spacing w:val="73"/>
        </w:rPr>
        <w:t>  </w:t>
      </w:r>
      <w:r>
        <w:rPr/>
        <w:t>(после</w:t>
      </w:r>
      <w:r>
        <w:rPr>
          <w:spacing w:val="40"/>
        </w:rPr>
        <w:t>  </w:t>
      </w:r>
      <w:r>
        <w:rPr/>
        <w:t>получения</w:t>
      </w:r>
      <w:r>
        <w:rPr>
          <w:spacing w:val="72"/>
        </w:rPr>
        <w:t>  </w:t>
      </w:r>
      <w:r>
        <w:rPr/>
        <w:t>отрицательного</w:t>
      </w:r>
      <w:r>
        <w:rPr>
          <w:spacing w:val="72"/>
        </w:rPr>
        <w:t>  </w:t>
      </w:r>
      <w:r>
        <w:rPr/>
        <w:t>результата на наличие РНК SARS-CoV-2). При получении отрицательного результата микроскопического исследования мокроты проводится выявление маркеров ДНК </w:t>
      </w:r>
      <w:r>
        <w:rPr>
          <w:i/>
        </w:rPr>
        <w:t>Mycobacterium tuberculosis </w:t>
      </w:r>
      <w:r>
        <w:rPr/>
        <w:t>методом ПЦР, лучевое обследование.</w:t>
      </w:r>
    </w:p>
    <w:p>
      <w:pPr>
        <w:pStyle w:val="BodyText"/>
        <w:spacing w:line="276" w:lineRule="auto" w:before="13"/>
        <w:ind w:right="1271" w:firstLine="707"/>
      </w:pPr>
      <w:r>
        <w:rPr/>
        <w:t>При</w:t>
      </w:r>
      <w:r>
        <w:rPr>
          <w:spacing w:val="80"/>
        </w:rPr>
        <w:t>  </w:t>
      </w:r>
      <w:r>
        <w:rPr/>
        <w:t>вирусных</w:t>
      </w:r>
      <w:r>
        <w:rPr>
          <w:spacing w:val="80"/>
        </w:rPr>
        <w:t>  </w:t>
      </w:r>
      <w:r>
        <w:rPr/>
        <w:t>гастроэнтеритах</w:t>
      </w:r>
      <w:r>
        <w:rPr>
          <w:spacing w:val="80"/>
        </w:rPr>
        <w:t>  </w:t>
      </w:r>
      <w:r>
        <w:rPr/>
        <w:t>ведущим</w:t>
      </w:r>
      <w:r>
        <w:rPr>
          <w:spacing w:val="80"/>
        </w:rPr>
        <w:t>  </w:t>
      </w:r>
      <w:r>
        <w:rPr/>
        <w:t>будет</w:t>
      </w:r>
      <w:r>
        <w:rPr>
          <w:spacing w:val="80"/>
        </w:rPr>
        <w:t>  </w:t>
      </w:r>
      <w:r>
        <w:rPr/>
        <w:t>поражение желудочно-кишечного</w:t>
      </w:r>
      <w:r>
        <w:rPr>
          <w:spacing w:val="40"/>
        </w:rPr>
        <w:t> </w:t>
      </w:r>
      <w:r>
        <w:rPr/>
        <w:t>тракта</w:t>
      </w:r>
      <w:r>
        <w:rPr>
          <w:spacing w:val="40"/>
        </w:rPr>
        <w:t> </w:t>
      </w:r>
      <w:r>
        <w:rPr/>
        <w:t>(ЖКТ),</w:t>
      </w:r>
      <w:r>
        <w:rPr>
          <w:spacing w:val="40"/>
        </w:rPr>
        <w:t> </w:t>
      </w:r>
      <w:r>
        <w:rPr/>
        <w:t>симптомы</w:t>
      </w:r>
      <w:r>
        <w:rPr>
          <w:spacing w:val="40"/>
        </w:rPr>
        <w:t> </w:t>
      </w:r>
      <w:r>
        <w:rPr/>
        <w:t>поражения</w:t>
      </w:r>
      <w:r>
        <w:rPr>
          <w:spacing w:val="40"/>
        </w:rPr>
        <w:t> </w:t>
      </w:r>
      <w:r>
        <w:rPr/>
        <w:t>дыхательных</w:t>
      </w:r>
      <w:r>
        <w:rPr>
          <w:spacing w:val="40"/>
        </w:rPr>
        <w:t> </w:t>
      </w:r>
      <w:r>
        <w:rPr/>
        <w:t>путей, как правило, выражены минимально.</w:t>
      </w:r>
    </w:p>
    <w:p>
      <w:pPr>
        <w:pStyle w:val="BodyText"/>
        <w:spacing w:line="276" w:lineRule="auto" w:before="12"/>
        <w:ind w:right="1271" w:firstLine="707"/>
      </w:pPr>
      <w:r>
        <w:rPr/>
        <w:t>При проведении дифференциальной диагностики необходимо учитывать данные</w:t>
      </w:r>
      <w:r>
        <w:rPr>
          <w:spacing w:val="40"/>
        </w:rPr>
        <w:t> </w:t>
      </w:r>
      <w:r>
        <w:rPr/>
        <w:t>эпидемиологического</w:t>
      </w:r>
      <w:r>
        <w:rPr>
          <w:spacing w:val="40"/>
        </w:rPr>
        <w:t> </w:t>
      </w:r>
      <w:r>
        <w:rPr/>
        <w:t>анамнеза,</w:t>
      </w:r>
      <w:r>
        <w:rPr>
          <w:spacing w:val="40"/>
        </w:rPr>
        <w:t> </w:t>
      </w:r>
      <w:r>
        <w:rPr/>
        <w:t>клинические</w:t>
      </w:r>
      <w:r>
        <w:rPr>
          <w:spacing w:val="40"/>
        </w:rPr>
        <w:t> </w:t>
      </w:r>
      <w:r>
        <w:rPr/>
        <w:t>симптомы</w:t>
      </w:r>
      <w:r>
        <w:rPr>
          <w:spacing w:val="40"/>
        </w:rPr>
        <w:t> </w:t>
      </w:r>
      <w:r>
        <w:rPr/>
        <w:t>и</w:t>
      </w:r>
      <w:r>
        <w:rPr>
          <w:spacing w:val="40"/>
        </w:rPr>
        <w:t> </w:t>
      </w:r>
      <w:r>
        <w:rPr/>
        <w:t>их</w:t>
      </w:r>
      <w:r>
        <w:rPr>
          <w:spacing w:val="40"/>
        </w:rPr>
        <w:t> </w:t>
      </w:r>
      <w:r>
        <w:rPr/>
        <w:t>динамику.</w:t>
      </w:r>
      <w:r>
        <w:rPr>
          <w:spacing w:val="40"/>
        </w:rPr>
        <w:t> </w:t>
      </w:r>
      <w:r>
        <w:rPr/>
        <w:t>Во</w:t>
      </w:r>
      <w:r>
        <w:rPr>
          <w:spacing w:val="40"/>
        </w:rPr>
        <w:t>  </w:t>
      </w:r>
      <w:r>
        <w:rPr/>
        <w:t>всех</w:t>
      </w:r>
      <w:r>
        <w:rPr>
          <w:spacing w:val="40"/>
        </w:rPr>
        <w:t>  </w:t>
      </w:r>
      <w:r>
        <w:rPr/>
        <w:t>подозрительных</w:t>
      </w:r>
      <w:r>
        <w:rPr>
          <w:spacing w:val="40"/>
        </w:rPr>
        <w:t>  </w:t>
      </w:r>
      <w:r>
        <w:rPr/>
        <w:t>случаях</w:t>
      </w:r>
      <w:r>
        <w:rPr>
          <w:spacing w:val="40"/>
        </w:rPr>
        <w:t>  </w:t>
      </w:r>
      <w:r>
        <w:rPr/>
        <w:t>показано</w:t>
      </w:r>
      <w:r>
        <w:rPr>
          <w:spacing w:val="40"/>
        </w:rPr>
        <w:t>  </w:t>
      </w:r>
      <w:r>
        <w:rPr/>
        <w:t>обследование</w:t>
      </w:r>
      <w:r>
        <w:rPr>
          <w:spacing w:val="55"/>
        </w:rPr>
        <w:t>  </w:t>
      </w:r>
      <w:r>
        <w:rPr/>
        <w:t>на</w:t>
      </w:r>
      <w:r>
        <w:rPr>
          <w:spacing w:val="40"/>
        </w:rPr>
        <w:t>  </w:t>
      </w:r>
      <w:r>
        <w:rPr/>
        <w:t>SARS-COV-2</w:t>
      </w:r>
      <w:r>
        <w:rPr>
          <w:spacing w:val="80"/>
        </w:rPr>
        <w:t> </w:t>
      </w:r>
      <w:r>
        <w:rPr/>
        <w:t>и</w:t>
      </w:r>
      <w:r>
        <w:rPr>
          <w:spacing w:val="-1"/>
        </w:rPr>
        <w:t> </w:t>
      </w:r>
      <w:r>
        <w:rPr/>
        <w:t>возбудителей других респираторных инфекций: вирусы гриппа типа А и В, парагриппа, респираторно-синцитиальный вирус, риновирусы, аденовирусы, человеческие метапневмовирусы. В период сезонного подъема заболеваемости гриппом и ОРВИ всем госпитализированным пациентам с признаками ОРВИ рекомендуется</w:t>
      </w:r>
      <w:r>
        <w:rPr>
          <w:spacing w:val="40"/>
        </w:rPr>
        <w:t> </w:t>
      </w:r>
      <w:r>
        <w:rPr/>
        <w:t>проводить</w:t>
      </w:r>
      <w:r>
        <w:rPr>
          <w:spacing w:val="40"/>
        </w:rPr>
        <w:t> </w:t>
      </w:r>
      <w:r>
        <w:rPr/>
        <w:t>лабораторное</w:t>
      </w:r>
      <w:r>
        <w:rPr>
          <w:spacing w:val="40"/>
        </w:rPr>
        <w:t> </w:t>
      </w:r>
      <w:r>
        <w:rPr/>
        <w:t>тестирование</w:t>
      </w:r>
      <w:r>
        <w:rPr>
          <w:spacing w:val="40"/>
        </w:rPr>
        <w:t> </w:t>
      </w:r>
      <w:r>
        <w:rPr/>
        <w:t>на</w:t>
      </w:r>
      <w:r>
        <w:rPr>
          <w:spacing w:val="40"/>
        </w:rPr>
        <w:t> </w:t>
      </w:r>
      <w:r>
        <w:rPr/>
        <w:t>SARS-COV-2</w:t>
      </w:r>
      <w:r>
        <w:rPr>
          <w:spacing w:val="40"/>
        </w:rPr>
        <w:t> </w:t>
      </w:r>
      <w:r>
        <w:rPr/>
        <w:t>и</w:t>
      </w:r>
      <w:r>
        <w:rPr>
          <w:spacing w:val="40"/>
        </w:rPr>
        <w:t> </w:t>
      </w:r>
      <w:r>
        <w:rPr/>
        <w:t>грипп. При</w:t>
      </w:r>
      <w:r>
        <w:rPr>
          <w:spacing w:val="80"/>
        </w:rPr>
        <w:t> </w:t>
      </w:r>
      <w:r>
        <w:rPr/>
        <w:t>наличии</w:t>
      </w:r>
      <w:r>
        <w:rPr>
          <w:spacing w:val="80"/>
        </w:rPr>
        <w:t> </w:t>
      </w:r>
      <w:r>
        <w:rPr/>
        <w:t>признаков</w:t>
      </w:r>
      <w:r>
        <w:rPr>
          <w:spacing w:val="80"/>
        </w:rPr>
        <w:t> </w:t>
      </w:r>
      <w:r>
        <w:rPr/>
        <w:t>инфекционного</w:t>
      </w:r>
      <w:r>
        <w:rPr>
          <w:spacing w:val="80"/>
        </w:rPr>
        <w:t> </w:t>
      </w:r>
      <w:r>
        <w:rPr/>
        <w:t>осложнения</w:t>
      </w:r>
      <w:r>
        <w:rPr>
          <w:spacing w:val="80"/>
        </w:rPr>
        <w:t> </w:t>
      </w:r>
      <w:r>
        <w:rPr/>
        <w:t>рекомендуется</w:t>
      </w:r>
      <w:r>
        <w:rPr>
          <w:spacing w:val="80"/>
        </w:rPr>
        <w:t> </w:t>
      </w:r>
      <w:r>
        <w:rPr/>
        <w:t>проведение</w:t>
      </w:r>
    </w:p>
    <w:p>
      <w:pPr>
        <w:pStyle w:val="BodyText"/>
        <w:spacing w:after="0" w:line="276" w:lineRule="auto"/>
        <w:sectPr>
          <w:pgSz w:w="11900" w:h="16840"/>
          <w:pgMar w:header="0" w:footer="697" w:top="1080" w:bottom="880" w:left="0" w:right="0"/>
        </w:sectPr>
      </w:pPr>
    </w:p>
    <w:p>
      <w:pPr>
        <w:spacing w:line="276" w:lineRule="auto" w:before="73"/>
        <w:ind w:left="1841" w:right="1272" w:firstLine="0"/>
        <w:jc w:val="both"/>
        <w:rPr>
          <w:sz w:val="24"/>
        </w:rPr>
      </w:pPr>
      <w:bookmarkStart w:name="35" w:id="45"/>
      <w:bookmarkEnd w:id="45"/>
      <w:r>
        <w:rPr/>
      </w:r>
      <w:r>
        <w:rPr>
          <w:sz w:val="24"/>
        </w:rPr>
        <w:t>микробиологической</w:t>
      </w:r>
      <w:r>
        <w:rPr>
          <w:spacing w:val="-11"/>
          <w:sz w:val="24"/>
        </w:rPr>
        <w:t> </w:t>
      </w:r>
      <w:r>
        <w:rPr>
          <w:sz w:val="24"/>
        </w:rPr>
        <w:t>диагностики</w:t>
      </w:r>
      <w:r>
        <w:rPr>
          <w:spacing w:val="-11"/>
          <w:sz w:val="24"/>
        </w:rPr>
        <w:t> </w:t>
      </w:r>
      <w:r>
        <w:rPr>
          <w:sz w:val="24"/>
        </w:rPr>
        <w:t>(культуральное</w:t>
      </w:r>
      <w:r>
        <w:rPr>
          <w:spacing w:val="-12"/>
          <w:sz w:val="24"/>
        </w:rPr>
        <w:t> </w:t>
      </w:r>
      <w:r>
        <w:rPr>
          <w:sz w:val="24"/>
        </w:rPr>
        <w:t>исследование)</w:t>
      </w:r>
      <w:r>
        <w:rPr>
          <w:spacing w:val="-12"/>
          <w:sz w:val="24"/>
        </w:rPr>
        <w:t> </w:t>
      </w:r>
      <w:r>
        <w:rPr>
          <w:sz w:val="24"/>
        </w:rPr>
        <w:t>и/или</w:t>
      </w:r>
      <w:r>
        <w:rPr>
          <w:spacing w:val="-11"/>
          <w:sz w:val="24"/>
        </w:rPr>
        <w:t> </w:t>
      </w:r>
      <w:r>
        <w:rPr>
          <w:sz w:val="24"/>
        </w:rPr>
        <w:t>молекулярно- генетической</w:t>
      </w:r>
      <w:r>
        <w:rPr>
          <w:spacing w:val="80"/>
          <w:w w:val="150"/>
          <w:sz w:val="24"/>
        </w:rPr>
        <w:t> </w:t>
      </w:r>
      <w:r>
        <w:rPr>
          <w:sz w:val="24"/>
        </w:rPr>
        <w:t>диагностики</w:t>
      </w:r>
      <w:r>
        <w:rPr>
          <w:spacing w:val="80"/>
          <w:w w:val="150"/>
          <w:sz w:val="24"/>
        </w:rPr>
        <w:t> </w:t>
      </w:r>
      <w:r>
        <w:rPr>
          <w:sz w:val="24"/>
        </w:rPr>
        <w:t>возбудителей</w:t>
      </w:r>
      <w:r>
        <w:rPr>
          <w:spacing w:val="80"/>
          <w:w w:val="150"/>
          <w:sz w:val="24"/>
        </w:rPr>
        <w:t> </w:t>
      </w:r>
      <w:r>
        <w:rPr>
          <w:sz w:val="24"/>
        </w:rPr>
        <w:t>нозокомиальных</w:t>
      </w:r>
      <w:r>
        <w:rPr>
          <w:spacing w:val="80"/>
          <w:w w:val="150"/>
          <w:sz w:val="24"/>
        </w:rPr>
        <w:t> </w:t>
      </w:r>
      <w:r>
        <w:rPr>
          <w:sz w:val="24"/>
        </w:rPr>
        <w:t>(</w:t>
      </w:r>
      <w:r>
        <w:rPr>
          <w:i/>
          <w:sz w:val="24"/>
        </w:rPr>
        <w:t>ESCAPE-патогены,</w:t>
      </w:r>
      <w:r>
        <w:rPr>
          <w:i/>
          <w:spacing w:val="80"/>
          <w:w w:val="150"/>
          <w:sz w:val="24"/>
        </w:rPr>
        <w:t> </w:t>
      </w:r>
      <w:r>
        <w:rPr>
          <w:i/>
          <w:sz w:val="24"/>
        </w:rPr>
        <w:t>а также Streptococcus pneumoniae, Haemophilus influenzae type B, Legionella </w:t>
      </w:r>
      <w:r>
        <w:rPr>
          <w:i/>
          <w:spacing w:val="-2"/>
          <w:sz w:val="24"/>
        </w:rPr>
        <w:t>pneumophila</w:t>
      </w:r>
      <w:r>
        <w:rPr>
          <w:spacing w:val="-2"/>
          <w:sz w:val="24"/>
        </w:rPr>
        <w:t>) и грибковых инфекций. Для экспресс-диагностики могут</w:t>
      </w:r>
      <w:r>
        <w:rPr>
          <w:spacing w:val="-3"/>
          <w:sz w:val="24"/>
        </w:rPr>
        <w:t> </w:t>
      </w:r>
      <w:r>
        <w:rPr>
          <w:spacing w:val="-2"/>
          <w:sz w:val="24"/>
        </w:rPr>
        <w:t>использоваться </w:t>
      </w:r>
      <w:r>
        <w:rPr>
          <w:sz w:val="24"/>
        </w:rPr>
        <w:t>экспресс-тесты с целью выявления пневмококковой и легионеллезной антигенурии, антигенов</w:t>
      </w:r>
      <w:r>
        <w:rPr>
          <w:spacing w:val="29"/>
          <w:sz w:val="24"/>
        </w:rPr>
        <w:t> </w:t>
      </w:r>
      <w:r>
        <w:rPr>
          <w:sz w:val="24"/>
        </w:rPr>
        <w:t>гриппа</w:t>
      </w:r>
      <w:r>
        <w:rPr>
          <w:spacing w:val="29"/>
          <w:sz w:val="24"/>
        </w:rPr>
        <w:t> </w:t>
      </w:r>
      <w:r>
        <w:rPr>
          <w:sz w:val="24"/>
        </w:rPr>
        <w:t>А</w:t>
      </w:r>
      <w:r>
        <w:rPr>
          <w:spacing w:val="29"/>
          <w:sz w:val="24"/>
        </w:rPr>
        <w:t> </w:t>
      </w:r>
      <w:r>
        <w:rPr>
          <w:sz w:val="24"/>
        </w:rPr>
        <w:t>и</w:t>
      </w:r>
      <w:r>
        <w:rPr>
          <w:spacing w:val="33"/>
          <w:sz w:val="24"/>
        </w:rPr>
        <w:t> </w:t>
      </w:r>
      <w:r>
        <w:rPr>
          <w:sz w:val="24"/>
        </w:rPr>
        <w:t>В,</w:t>
      </w:r>
      <w:r>
        <w:rPr>
          <w:spacing w:val="30"/>
          <w:sz w:val="24"/>
        </w:rPr>
        <w:t> </w:t>
      </w:r>
      <w:r>
        <w:rPr>
          <w:sz w:val="24"/>
        </w:rPr>
        <w:t>совместного</w:t>
      </w:r>
      <w:r>
        <w:rPr>
          <w:spacing w:val="30"/>
          <w:sz w:val="24"/>
        </w:rPr>
        <w:t> </w:t>
      </w:r>
      <w:r>
        <w:rPr>
          <w:sz w:val="24"/>
        </w:rPr>
        <w:t>выявления</w:t>
      </w:r>
      <w:r>
        <w:rPr>
          <w:spacing w:val="30"/>
          <w:sz w:val="24"/>
        </w:rPr>
        <w:t> </w:t>
      </w:r>
      <w:r>
        <w:rPr>
          <w:sz w:val="24"/>
        </w:rPr>
        <w:t>антигенов</w:t>
      </w:r>
      <w:r>
        <w:rPr>
          <w:spacing w:val="29"/>
          <w:sz w:val="24"/>
        </w:rPr>
        <w:t> </w:t>
      </w:r>
      <w:r>
        <w:rPr>
          <w:sz w:val="24"/>
        </w:rPr>
        <w:t>SARS-CoV-2</w:t>
      </w:r>
      <w:r>
        <w:rPr>
          <w:spacing w:val="30"/>
          <w:sz w:val="24"/>
        </w:rPr>
        <w:t> </w:t>
      </w:r>
      <w:r>
        <w:rPr>
          <w:sz w:val="24"/>
        </w:rPr>
        <w:t>и</w:t>
      </w:r>
      <w:r>
        <w:rPr>
          <w:spacing w:val="31"/>
          <w:sz w:val="24"/>
        </w:rPr>
        <w:t> </w:t>
      </w:r>
      <w:r>
        <w:rPr>
          <w:sz w:val="24"/>
        </w:rPr>
        <w:t>гриппа А и В.</w:t>
      </w:r>
    </w:p>
    <w:p>
      <w:pPr>
        <w:pStyle w:val="BodyText"/>
        <w:spacing w:before="83"/>
        <w:ind w:left="0"/>
        <w:jc w:val="left"/>
      </w:pPr>
    </w:p>
    <w:p>
      <w:pPr>
        <w:pStyle w:val="Heading1"/>
        <w:numPr>
          <w:ilvl w:val="0"/>
          <w:numId w:val="5"/>
        </w:numPr>
        <w:tabs>
          <w:tab w:pos="2828" w:val="left" w:leader="none"/>
        </w:tabs>
        <w:spacing w:line="240" w:lineRule="auto" w:before="0" w:after="0"/>
        <w:ind w:left="2828" w:right="0" w:hanging="279"/>
        <w:jc w:val="left"/>
      </w:pPr>
      <w:bookmarkStart w:name="_TOC_250036" w:id="46"/>
      <w:r>
        <w:rPr>
          <w:color w:val="1F487C"/>
        </w:rPr>
        <w:t>ЛЕЧЕНИЕ</w:t>
      </w:r>
      <w:r>
        <w:rPr>
          <w:color w:val="1F487C"/>
          <w:spacing w:val="-11"/>
        </w:rPr>
        <w:t> </w:t>
      </w:r>
      <w:r>
        <w:rPr>
          <w:color w:val="1F487C"/>
        </w:rPr>
        <w:t>КОРОНАВИРУСНОЙ</w:t>
      </w:r>
      <w:r>
        <w:rPr>
          <w:color w:val="1F487C"/>
          <w:spacing w:val="-11"/>
        </w:rPr>
        <w:t> </w:t>
      </w:r>
      <w:bookmarkEnd w:id="46"/>
      <w:r>
        <w:rPr>
          <w:color w:val="1F487C"/>
          <w:spacing w:val="-2"/>
        </w:rPr>
        <w:t>ИНФЕКЦИИ</w:t>
      </w:r>
    </w:p>
    <w:p>
      <w:pPr>
        <w:pStyle w:val="BodyText"/>
        <w:spacing w:line="276" w:lineRule="auto" w:before="167"/>
        <w:ind w:right="1273" w:firstLine="707"/>
      </w:pPr>
      <w:r>
        <w:rPr/>
        <w:t>Основным подходом к терапии COVID-19 должно быть упреждающее назначение лечения до развития полного симптомокомплекса жизнеугрожающих состояний, а именно пневмонии, ОРДС, сепсиса.</w:t>
      </w:r>
    </w:p>
    <w:p>
      <w:pPr>
        <w:pStyle w:val="BodyText"/>
        <w:spacing w:line="276" w:lineRule="auto"/>
        <w:ind w:right="1272" w:firstLine="707"/>
      </w:pPr>
      <w:r>
        <w:rPr/>
        <w:t>Лечение COVID-19 в соответствии с протоколами настоящих рекомендаций проводится в подтвержденных и вероятных случаях заболевания.</w:t>
      </w:r>
    </w:p>
    <w:p>
      <w:pPr>
        <w:pStyle w:val="BodyText"/>
        <w:spacing w:line="276" w:lineRule="auto"/>
        <w:ind w:right="1274" w:firstLine="707"/>
      </w:pPr>
      <w:r>
        <w:rPr/>
        <w:t>В рамках оказания медицинской помощи необходим мониторинг состояния пациента для выявления признаков ухудшения его клинического состояния. Пациенты, инфицированные SARS-CoV-2, должны получать поддерживающую патогенетическую и симптоматическую терапию.</w:t>
      </w:r>
    </w:p>
    <w:p>
      <w:pPr>
        <w:pStyle w:val="BodyText"/>
        <w:spacing w:line="276" w:lineRule="auto"/>
        <w:ind w:right="1278" w:firstLine="707"/>
      </w:pPr>
      <w:r>
        <w:rPr/>
        <w:t>Лечение</w:t>
      </w:r>
      <w:r>
        <w:rPr>
          <w:spacing w:val="66"/>
        </w:rPr>
        <w:t>  </w:t>
      </w:r>
      <w:r>
        <w:rPr/>
        <w:t>сопутствующих</w:t>
      </w:r>
      <w:r>
        <w:rPr>
          <w:spacing w:val="66"/>
        </w:rPr>
        <w:t>  </w:t>
      </w:r>
      <w:r>
        <w:rPr/>
        <w:t>заболеваний</w:t>
      </w:r>
      <w:r>
        <w:rPr>
          <w:spacing w:val="66"/>
        </w:rPr>
        <w:t>  </w:t>
      </w:r>
      <w:r>
        <w:rPr/>
        <w:t>и</w:t>
      </w:r>
      <w:r>
        <w:rPr>
          <w:spacing w:val="65"/>
        </w:rPr>
        <w:t>  </w:t>
      </w:r>
      <w:r>
        <w:rPr/>
        <w:t>осложнений</w:t>
      </w:r>
      <w:r>
        <w:rPr>
          <w:spacing w:val="66"/>
        </w:rPr>
        <w:t>  </w:t>
      </w:r>
      <w:r>
        <w:rPr/>
        <w:t>осуществляется в</w:t>
      </w:r>
      <w:r>
        <w:rPr>
          <w:spacing w:val="-7"/>
        </w:rPr>
        <w:t> </w:t>
      </w:r>
      <w:r>
        <w:rPr/>
        <w:t>соответствии с</w:t>
      </w:r>
      <w:r>
        <w:rPr>
          <w:spacing w:val="-2"/>
        </w:rPr>
        <w:t> </w:t>
      </w:r>
      <w:r>
        <w:rPr/>
        <w:t>клиническими рекомендациями,</w:t>
      </w:r>
      <w:r>
        <w:rPr>
          <w:spacing w:val="-1"/>
        </w:rPr>
        <w:t> </w:t>
      </w:r>
      <w:r>
        <w:rPr/>
        <w:t>стандартами медицинской</w:t>
      </w:r>
      <w:r>
        <w:rPr>
          <w:spacing w:val="-2"/>
        </w:rPr>
        <w:t> </w:t>
      </w:r>
      <w:r>
        <w:rPr/>
        <w:t>помощи по данным заболеваниям.</w:t>
      </w:r>
    </w:p>
    <w:p>
      <w:pPr>
        <w:pStyle w:val="Heading1"/>
        <w:numPr>
          <w:ilvl w:val="1"/>
          <w:numId w:val="5"/>
        </w:numPr>
        <w:tabs>
          <w:tab w:pos="3039" w:val="left" w:leader="none"/>
        </w:tabs>
        <w:spacing w:line="240" w:lineRule="auto" w:before="238" w:after="0"/>
        <w:ind w:left="3039" w:right="0" w:hanging="490"/>
        <w:jc w:val="left"/>
        <w:rPr>
          <w:color w:val="1F487C"/>
        </w:rPr>
      </w:pPr>
      <w:bookmarkStart w:name="_TOC_250035" w:id="47"/>
      <w:r>
        <w:rPr>
          <w:color w:val="1F487C"/>
        </w:rPr>
        <w:t>ЭТИОТРОПНОЕ</w:t>
      </w:r>
      <w:r>
        <w:rPr>
          <w:color w:val="1F487C"/>
          <w:spacing w:val="-10"/>
        </w:rPr>
        <w:t> </w:t>
      </w:r>
      <w:bookmarkEnd w:id="47"/>
      <w:r>
        <w:rPr>
          <w:color w:val="1F487C"/>
          <w:spacing w:val="-2"/>
        </w:rPr>
        <w:t>ЛЕЧЕНИЕ</w:t>
      </w:r>
    </w:p>
    <w:p>
      <w:pPr>
        <w:pStyle w:val="BodyText"/>
        <w:spacing w:line="276" w:lineRule="auto" w:before="166"/>
        <w:ind w:right="1274" w:firstLine="707"/>
        <w:jc w:val="right"/>
      </w:pPr>
      <w:r>
        <w:rPr/>
        <w:t>Согласно современным представлениям о патогенезе COVID-19 применение препаратов,</w:t>
      </w:r>
      <w:r>
        <w:rPr>
          <w:spacing w:val="80"/>
        </w:rPr>
        <w:t> </w:t>
      </w:r>
      <w:r>
        <w:rPr/>
        <w:t>рекомендуемых</w:t>
      </w:r>
      <w:r>
        <w:rPr>
          <w:spacing w:val="80"/>
        </w:rPr>
        <w:t> </w:t>
      </w:r>
      <w:r>
        <w:rPr/>
        <w:t>для</w:t>
      </w:r>
      <w:r>
        <w:rPr>
          <w:spacing w:val="80"/>
        </w:rPr>
        <w:t> </w:t>
      </w:r>
      <w:r>
        <w:rPr/>
        <w:t>этиотропной</w:t>
      </w:r>
      <w:r>
        <w:rPr>
          <w:spacing w:val="80"/>
        </w:rPr>
        <w:t> </w:t>
      </w:r>
      <w:r>
        <w:rPr/>
        <w:t>терапии,</w:t>
      </w:r>
      <w:r>
        <w:rPr>
          <w:spacing w:val="80"/>
        </w:rPr>
        <w:t> </w:t>
      </w:r>
      <w:r>
        <w:rPr/>
        <w:t>целесообразно</w:t>
      </w:r>
      <w:r>
        <w:rPr>
          <w:spacing w:val="80"/>
        </w:rPr>
        <w:t> </w:t>
      </w:r>
      <w:r>
        <w:rPr/>
        <w:t>начинать в</w:t>
      </w:r>
      <w:r>
        <w:rPr>
          <w:spacing w:val="-11"/>
        </w:rPr>
        <w:t> </w:t>
      </w:r>
      <w:r>
        <w:rPr/>
        <w:t>ранние</w:t>
      </w:r>
      <w:r>
        <w:rPr>
          <w:spacing w:val="-11"/>
        </w:rPr>
        <w:t> </w:t>
      </w:r>
      <w:r>
        <w:rPr/>
        <w:t>сроки,</w:t>
      </w:r>
      <w:r>
        <w:rPr>
          <w:spacing w:val="-12"/>
        </w:rPr>
        <w:t> </w:t>
      </w:r>
      <w:r>
        <w:rPr/>
        <w:t>не</w:t>
      </w:r>
      <w:r>
        <w:rPr>
          <w:spacing w:val="-12"/>
        </w:rPr>
        <w:t> </w:t>
      </w:r>
      <w:r>
        <w:rPr/>
        <w:t>позднее</w:t>
      </w:r>
      <w:r>
        <w:rPr>
          <w:spacing w:val="-11"/>
        </w:rPr>
        <w:t> </w:t>
      </w:r>
      <w:r>
        <w:rPr/>
        <w:t>7-8</w:t>
      </w:r>
      <w:r>
        <w:rPr>
          <w:spacing w:val="-10"/>
        </w:rPr>
        <w:t> </w:t>
      </w:r>
      <w:r>
        <w:rPr/>
        <w:t>дня</w:t>
      </w:r>
      <w:r>
        <w:rPr>
          <w:spacing w:val="-11"/>
        </w:rPr>
        <w:t> </w:t>
      </w:r>
      <w:r>
        <w:rPr/>
        <w:t>от</w:t>
      </w:r>
      <w:r>
        <w:rPr>
          <w:spacing w:val="-9"/>
        </w:rPr>
        <w:t> </w:t>
      </w:r>
      <w:r>
        <w:rPr/>
        <w:t>начала</w:t>
      </w:r>
      <w:r>
        <w:rPr>
          <w:spacing w:val="-11"/>
        </w:rPr>
        <w:t> </w:t>
      </w:r>
      <w:r>
        <w:rPr/>
        <w:t>болезни</w:t>
      </w:r>
      <w:r>
        <w:rPr>
          <w:spacing w:val="-10"/>
        </w:rPr>
        <w:t> </w:t>
      </w:r>
      <w:r>
        <w:rPr/>
        <w:t>(появления</w:t>
      </w:r>
      <w:r>
        <w:rPr>
          <w:spacing w:val="-10"/>
        </w:rPr>
        <w:t> </w:t>
      </w:r>
      <w:r>
        <w:rPr/>
        <w:t>первых</w:t>
      </w:r>
      <w:r>
        <w:rPr>
          <w:spacing w:val="-11"/>
        </w:rPr>
        <w:t> </w:t>
      </w:r>
      <w:r>
        <w:rPr>
          <w:spacing w:val="-2"/>
        </w:rPr>
        <w:t>симптомов).</w:t>
      </w:r>
    </w:p>
    <w:p>
      <w:pPr>
        <w:pStyle w:val="BodyText"/>
        <w:spacing w:line="276" w:lineRule="auto"/>
        <w:ind w:right="1273" w:firstLine="707"/>
      </w:pPr>
      <w:r>
        <w:rPr/>
        <w:t>Перечень</w:t>
      </w:r>
      <w:r>
        <w:rPr>
          <w:spacing w:val="80"/>
          <w:w w:val="150"/>
        </w:rPr>
        <w:t>  </w:t>
      </w:r>
      <w:r>
        <w:rPr/>
        <w:t>возможных</w:t>
      </w:r>
      <w:r>
        <w:rPr>
          <w:spacing w:val="80"/>
          <w:w w:val="150"/>
        </w:rPr>
        <w:t>  </w:t>
      </w:r>
      <w:r>
        <w:rPr/>
        <w:t>к</w:t>
      </w:r>
      <w:r>
        <w:rPr>
          <w:spacing w:val="80"/>
          <w:w w:val="150"/>
        </w:rPr>
        <w:t>  </w:t>
      </w:r>
      <w:r>
        <w:rPr/>
        <w:t>назначению</w:t>
      </w:r>
      <w:r>
        <w:rPr>
          <w:spacing w:val="80"/>
          <w:w w:val="150"/>
        </w:rPr>
        <w:t>  </w:t>
      </w:r>
      <w:r>
        <w:rPr/>
        <w:t>лекарственных</w:t>
      </w:r>
      <w:r>
        <w:rPr>
          <w:spacing w:val="80"/>
          <w:w w:val="150"/>
        </w:rPr>
        <w:t>  </w:t>
      </w:r>
      <w:r>
        <w:rPr/>
        <w:t>препаратов для этиотропной терапии COVID-19 у взрослых приведен в </w:t>
      </w:r>
      <w:r>
        <w:rPr>
          <w:color w:val="0462C1"/>
          <w:u w:val="single" w:color="0462C1"/>
        </w:rPr>
        <w:t>Приложении 5</w:t>
      </w:r>
      <w:r>
        <w:rPr/>
        <w:t>. Рекомендованные схемы лечения в зависимости от тяжести заболевания приведены</w:t>
      </w:r>
      <w:r>
        <w:rPr>
          <w:spacing w:val="40"/>
        </w:rPr>
        <w:t> </w:t>
      </w:r>
      <w:r>
        <w:rPr/>
        <w:t>в </w:t>
      </w:r>
      <w:r>
        <w:rPr>
          <w:color w:val="0462C1"/>
          <w:u w:val="single" w:color="0462C1"/>
        </w:rPr>
        <w:t>Приложениях 8-1,</w:t>
      </w:r>
      <w:r>
        <w:rPr>
          <w:color w:val="0462C1"/>
        </w:rPr>
        <w:t> </w:t>
      </w:r>
      <w:r>
        <w:rPr>
          <w:color w:val="0462C1"/>
          <w:u w:val="single" w:color="0462C1"/>
        </w:rPr>
        <w:t>8-1.1</w:t>
      </w:r>
      <w:r>
        <w:rPr>
          <w:color w:val="0462C1"/>
        </w:rPr>
        <w:t> </w:t>
      </w:r>
      <w:r>
        <w:rPr/>
        <w:t>и </w:t>
      </w:r>
      <w:r>
        <w:rPr>
          <w:color w:val="0462C1"/>
          <w:u w:val="single" w:color="0462C1"/>
        </w:rPr>
        <w:t>8-2</w:t>
      </w:r>
      <w:r>
        <w:rPr/>
        <w:t>.</w:t>
      </w:r>
    </w:p>
    <w:p>
      <w:pPr>
        <w:pStyle w:val="BodyText"/>
        <w:spacing w:line="276" w:lineRule="auto"/>
        <w:ind w:right="1272" w:firstLine="707"/>
      </w:pPr>
      <w:r>
        <w:rPr/>
        <w:t>В настоящее время следует выделить несколько препаратов, которые могут быть</w:t>
      </w:r>
      <w:r>
        <w:rPr>
          <w:spacing w:val="-1"/>
        </w:rPr>
        <w:t> </w:t>
      </w:r>
      <w:r>
        <w:rPr/>
        <w:t>использованы для</w:t>
      </w:r>
      <w:r>
        <w:rPr>
          <w:spacing w:val="-2"/>
        </w:rPr>
        <w:t> </w:t>
      </w:r>
      <w:r>
        <w:rPr/>
        <w:t>этиотропного лечения</w:t>
      </w:r>
      <w:r>
        <w:rPr>
          <w:spacing w:val="-2"/>
        </w:rPr>
        <w:t> </w:t>
      </w:r>
      <w:r>
        <w:rPr/>
        <w:t>COVID-19: фавипиравир, в частности, фиксированная комбинация с глюконатом цинка, молнупиравир, нирматрелвир+ритонавир, ремдесивир, синтетическая малая интерферирующая рибонуклеиновая кислота (миРНК) [двуцепочечная], энисамия йодид, риамиловир, умифеновир и интерферон-альфа.</w:t>
      </w:r>
    </w:p>
    <w:p>
      <w:pPr>
        <w:pStyle w:val="BodyText"/>
        <w:spacing w:line="276" w:lineRule="auto"/>
        <w:ind w:right="1270" w:firstLine="707"/>
      </w:pPr>
      <w:r>
        <w:rPr/>
        <w:t>Противовирусной активностью в отношении SARS-CoV-2 и других РНК- содержащих вирусов обладает препарат молнупиравир, представляющий собой низкомолекулярное рибонуклеозидное пролекарство N-гидроксицитидина (NHC). После приема молнупиравира NHC фосфорилируется до трифосфата NHC. Трифосфат NHC встраивается в вирусную РНК с помощью РНК-полимеразы, создавая</w:t>
      </w:r>
      <w:r>
        <w:rPr>
          <w:spacing w:val="-15"/>
        </w:rPr>
        <w:t> </w:t>
      </w:r>
      <w:r>
        <w:rPr/>
        <w:t>ошибки</w:t>
      </w:r>
      <w:r>
        <w:rPr>
          <w:spacing w:val="-15"/>
        </w:rPr>
        <w:t> </w:t>
      </w:r>
      <w:r>
        <w:rPr/>
        <w:t>в</w:t>
      </w:r>
      <w:r>
        <w:rPr>
          <w:spacing w:val="-15"/>
        </w:rPr>
        <w:t> </w:t>
      </w:r>
      <w:r>
        <w:rPr/>
        <w:t>вирусном</w:t>
      </w:r>
      <w:r>
        <w:rPr>
          <w:spacing w:val="-15"/>
        </w:rPr>
        <w:t> </w:t>
      </w:r>
      <w:r>
        <w:rPr/>
        <w:t>геноме</w:t>
      </w:r>
      <w:r>
        <w:rPr>
          <w:spacing w:val="-15"/>
        </w:rPr>
        <w:t> </w:t>
      </w:r>
      <w:r>
        <w:rPr/>
        <w:t>путем</w:t>
      </w:r>
      <w:r>
        <w:rPr>
          <w:spacing w:val="-15"/>
        </w:rPr>
        <w:t> </w:t>
      </w:r>
      <w:r>
        <w:rPr/>
        <w:t>включения</w:t>
      </w:r>
      <w:r>
        <w:rPr>
          <w:spacing w:val="-15"/>
        </w:rPr>
        <w:t> </w:t>
      </w:r>
      <w:r>
        <w:rPr/>
        <w:t>гуанозина</w:t>
      </w:r>
      <w:r>
        <w:rPr>
          <w:spacing w:val="-15"/>
        </w:rPr>
        <w:t> </w:t>
      </w:r>
      <w:r>
        <w:rPr/>
        <w:t>или</w:t>
      </w:r>
      <w:r>
        <w:rPr>
          <w:spacing w:val="-15"/>
        </w:rPr>
        <w:t> </w:t>
      </w:r>
      <w:r>
        <w:rPr/>
        <w:t>аденозина</w:t>
      </w:r>
      <w:r>
        <w:rPr>
          <w:spacing w:val="-15"/>
        </w:rPr>
        <w:t> </w:t>
      </w:r>
      <w:r>
        <w:rPr/>
        <w:t>в</w:t>
      </w:r>
      <w:r>
        <w:rPr>
          <w:spacing w:val="-15"/>
        </w:rPr>
        <w:t> </w:t>
      </w:r>
      <w:r>
        <w:rPr/>
        <w:t>цепь РНК. С каждым циклом репликации вируса мутации накапливаются, что в конечном итоге делает вирус SARS-CoV-2 неинфекционным и неспособным к репликации.</w:t>
      </w:r>
    </w:p>
    <w:p>
      <w:pPr>
        <w:pStyle w:val="BodyText"/>
        <w:spacing w:after="0" w:line="276" w:lineRule="auto"/>
        <w:sectPr>
          <w:pgSz w:w="11900" w:h="16840"/>
          <w:pgMar w:header="0" w:footer="697" w:top="1080" w:bottom="880" w:left="0" w:right="0"/>
        </w:sectPr>
      </w:pPr>
    </w:p>
    <w:p>
      <w:pPr>
        <w:pStyle w:val="BodyText"/>
        <w:spacing w:line="276" w:lineRule="auto" w:before="73"/>
        <w:ind w:right="1278" w:firstLine="707"/>
      </w:pPr>
      <w:bookmarkStart w:name="36" w:id="48"/>
      <w:bookmarkEnd w:id="48"/>
      <w:r>
        <w:rPr/>
      </w:r>
      <w:r>
        <w:rPr/>
        <w:t>В исследовании 3-й фазы (NCT04575597) с участием 1433 пациентов было установлено, что у пациентов в группе, получавших молнупиравир (n=716) в дозе 800 мг каждые 12 часов в течение 5 дней, достоверно установлено снижение риска госпитализации или смерти по сравнению с группой плацебо. Препарат продемонстрировал благоприятный профиль безопасности: соотношение пациентов, которые имели хотя бы одно нежелательное явление, было сходным в двух группах (30,4% в группе молнупиравира и 33,0% в группе плацебо).</w:t>
      </w:r>
    </w:p>
    <w:p>
      <w:pPr>
        <w:pStyle w:val="BodyText"/>
        <w:spacing w:line="276" w:lineRule="auto"/>
        <w:ind w:right="1274" w:firstLine="707"/>
      </w:pPr>
      <w:r>
        <w:rPr/>
        <w:t>В Российской Федерации молнупиравир зарегистрирован для лечения новой коронавирусной</w:t>
      </w:r>
      <w:r>
        <w:rPr>
          <w:spacing w:val="80"/>
          <w:w w:val="150"/>
        </w:rPr>
        <w:t> </w:t>
      </w:r>
      <w:r>
        <w:rPr/>
        <w:t>инфекции</w:t>
      </w:r>
      <w:r>
        <w:rPr>
          <w:spacing w:val="80"/>
          <w:w w:val="150"/>
        </w:rPr>
        <w:t> </w:t>
      </w:r>
      <w:r>
        <w:rPr/>
        <w:t>(COVID-19)</w:t>
      </w:r>
      <w:r>
        <w:rPr>
          <w:spacing w:val="80"/>
          <w:w w:val="150"/>
        </w:rPr>
        <w:t> </w:t>
      </w:r>
      <w:r>
        <w:rPr/>
        <w:t>легкого</w:t>
      </w:r>
      <w:r>
        <w:rPr>
          <w:spacing w:val="80"/>
          <w:w w:val="150"/>
        </w:rPr>
        <w:t> </w:t>
      </w:r>
      <w:r>
        <w:rPr/>
        <w:t>или</w:t>
      </w:r>
      <w:r>
        <w:rPr>
          <w:spacing w:val="80"/>
          <w:w w:val="150"/>
        </w:rPr>
        <w:t> </w:t>
      </w:r>
      <w:r>
        <w:rPr/>
        <w:t>среднетяжелого</w:t>
      </w:r>
      <w:r>
        <w:rPr>
          <w:spacing w:val="80"/>
          <w:w w:val="150"/>
        </w:rPr>
        <w:t> </w:t>
      </w:r>
      <w:r>
        <w:rPr/>
        <w:t>течения</w:t>
      </w:r>
      <w:r>
        <w:rPr>
          <w:spacing w:val="80"/>
          <w:w w:val="150"/>
        </w:rPr>
        <w:t> </w:t>
      </w:r>
      <w:r>
        <w:rPr/>
        <w:t>у</w:t>
      </w:r>
      <w:r>
        <w:rPr>
          <w:spacing w:val="40"/>
        </w:rPr>
        <w:t> </w:t>
      </w:r>
      <w:r>
        <w:rPr/>
        <w:t>взрослых,</w:t>
      </w:r>
      <w:r>
        <w:rPr>
          <w:spacing w:val="40"/>
        </w:rPr>
        <w:t> </w:t>
      </w:r>
      <w:r>
        <w:rPr/>
        <w:t>в</w:t>
      </w:r>
      <w:r>
        <w:rPr>
          <w:spacing w:val="40"/>
        </w:rPr>
        <w:t> </w:t>
      </w:r>
      <w:r>
        <w:rPr/>
        <w:t>том</w:t>
      </w:r>
      <w:r>
        <w:rPr>
          <w:spacing w:val="40"/>
        </w:rPr>
        <w:t> </w:t>
      </w:r>
      <w:r>
        <w:rPr/>
        <w:t>числе</w:t>
      </w:r>
      <w:r>
        <w:rPr>
          <w:spacing w:val="40"/>
        </w:rPr>
        <w:t> </w:t>
      </w:r>
      <w:r>
        <w:rPr/>
        <w:t>с</w:t>
      </w:r>
      <w:r>
        <w:rPr>
          <w:spacing w:val="40"/>
        </w:rPr>
        <w:t> </w:t>
      </w:r>
      <w:r>
        <w:rPr/>
        <w:t>повышенным</w:t>
      </w:r>
      <w:r>
        <w:rPr>
          <w:spacing w:val="40"/>
        </w:rPr>
        <w:t> </w:t>
      </w:r>
      <w:r>
        <w:rPr/>
        <w:t>риском</w:t>
      </w:r>
      <w:r>
        <w:rPr>
          <w:spacing w:val="40"/>
        </w:rPr>
        <w:t> </w:t>
      </w:r>
      <w:r>
        <w:rPr/>
        <w:t>прогрессирования</w:t>
      </w:r>
      <w:r>
        <w:rPr>
          <w:spacing w:val="40"/>
        </w:rPr>
        <w:t> </w:t>
      </w:r>
      <w:r>
        <w:rPr/>
        <w:t>заболевания</w:t>
      </w:r>
      <w:r>
        <w:rPr>
          <w:spacing w:val="80"/>
        </w:rPr>
        <w:t> </w:t>
      </w:r>
      <w:r>
        <w:rPr/>
        <w:t>до тяжелого течения и не требующих дополнительной оксигенотерапии. Лечение молнупиравиром должно быть начато как можно раньше после постановки диагноза новой</w:t>
      </w:r>
      <w:r>
        <w:rPr>
          <w:spacing w:val="-15"/>
        </w:rPr>
        <w:t> </w:t>
      </w:r>
      <w:r>
        <w:rPr/>
        <w:t>коронавирусной</w:t>
      </w:r>
      <w:r>
        <w:rPr>
          <w:spacing w:val="-15"/>
        </w:rPr>
        <w:t> </w:t>
      </w:r>
      <w:r>
        <w:rPr/>
        <w:t>инфекции</w:t>
      </w:r>
      <w:r>
        <w:rPr>
          <w:spacing w:val="-14"/>
        </w:rPr>
        <w:t> </w:t>
      </w:r>
      <w:r>
        <w:rPr/>
        <w:t>(COVID-19)</w:t>
      </w:r>
      <w:r>
        <w:rPr>
          <w:spacing w:val="-12"/>
        </w:rPr>
        <w:t> </w:t>
      </w:r>
      <w:r>
        <w:rPr/>
        <w:t>и/или</w:t>
      </w:r>
      <w:r>
        <w:rPr>
          <w:spacing w:val="-14"/>
        </w:rPr>
        <w:t> </w:t>
      </w:r>
      <w:r>
        <w:rPr/>
        <w:t>в</w:t>
      </w:r>
      <w:r>
        <w:rPr>
          <w:spacing w:val="-15"/>
        </w:rPr>
        <w:t> </w:t>
      </w:r>
      <w:r>
        <w:rPr/>
        <w:t>течение</w:t>
      </w:r>
      <w:r>
        <w:rPr>
          <w:spacing w:val="-15"/>
        </w:rPr>
        <w:t> </w:t>
      </w:r>
      <w:r>
        <w:rPr/>
        <w:t>5</w:t>
      </w:r>
      <w:r>
        <w:rPr>
          <w:spacing w:val="-14"/>
        </w:rPr>
        <w:t> </w:t>
      </w:r>
      <w:r>
        <w:rPr/>
        <w:t>дней</w:t>
      </w:r>
      <w:r>
        <w:rPr>
          <w:spacing w:val="-15"/>
        </w:rPr>
        <w:t> </w:t>
      </w:r>
      <w:r>
        <w:rPr/>
        <w:t>после</w:t>
      </w:r>
      <w:r>
        <w:rPr>
          <w:spacing w:val="-15"/>
        </w:rPr>
        <w:t> </w:t>
      </w:r>
      <w:r>
        <w:rPr/>
        <w:t>появления первых симптомов заболевания.</w:t>
      </w:r>
    </w:p>
    <w:p>
      <w:pPr>
        <w:pStyle w:val="BodyText"/>
        <w:spacing w:line="276" w:lineRule="auto"/>
        <w:ind w:right="1272" w:firstLine="707"/>
      </w:pPr>
      <w:r>
        <w:rPr/>
        <w:t>Принимая во внимание сходство клинической симптоматики легких форм COVID-19 с таковой, характерной для сезонных ОРВИ, для предотвращения риска перехода</w:t>
      </w:r>
      <w:r>
        <w:rPr>
          <w:spacing w:val="-11"/>
        </w:rPr>
        <w:t> </w:t>
      </w:r>
      <w:r>
        <w:rPr/>
        <w:t>заболевания</w:t>
      </w:r>
      <w:r>
        <w:rPr>
          <w:spacing w:val="-11"/>
        </w:rPr>
        <w:t> </w:t>
      </w:r>
      <w:r>
        <w:rPr/>
        <w:t>в</w:t>
      </w:r>
      <w:r>
        <w:rPr>
          <w:spacing w:val="-11"/>
        </w:rPr>
        <w:t> </w:t>
      </w:r>
      <w:r>
        <w:rPr/>
        <w:t>более</w:t>
      </w:r>
      <w:r>
        <w:rPr>
          <w:spacing w:val="-12"/>
        </w:rPr>
        <w:t> </w:t>
      </w:r>
      <w:r>
        <w:rPr/>
        <w:t>тяжелое</w:t>
      </w:r>
      <w:r>
        <w:rPr>
          <w:spacing w:val="-12"/>
        </w:rPr>
        <w:t> </w:t>
      </w:r>
      <w:r>
        <w:rPr/>
        <w:t>течение,</w:t>
      </w:r>
      <w:r>
        <w:rPr>
          <w:spacing w:val="-11"/>
        </w:rPr>
        <w:t> </w:t>
      </w:r>
      <w:r>
        <w:rPr/>
        <w:t>пациентам</w:t>
      </w:r>
      <w:r>
        <w:rPr>
          <w:spacing w:val="-12"/>
        </w:rPr>
        <w:t> </w:t>
      </w:r>
      <w:r>
        <w:rPr/>
        <w:t>с</w:t>
      </w:r>
      <w:r>
        <w:rPr>
          <w:spacing w:val="-12"/>
        </w:rPr>
        <w:t> </w:t>
      </w:r>
      <w:r>
        <w:rPr/>
        <w:t>начальными</w:t>
      </w:r>
      <w:r>
        <w:rPr>
          <w:spacing w:val="-10"/>
        </w:rPr>
        <w:t> </w:t>
      </w:r>
      <w:r>
        <w:rPr/>
        <w:t>симптомами ОРВИ,</w:t>
      </w:r>
      <w:r>
        <w:rPr>
          <w:spacing w:val="35"/>
        </w:rPr>
        <w:t>  </w:t>
      </w:r>
      <w:r>
        <w:rPr/>
        <w:t>особенно</w:t>
      </w:r>
      <w:r>
        <w:rPr>
          <w:spacing w:val="36"/>
        </w:rPr>
        <w:t>  </w:t>
      </w:r>
      <w:r>
        <w:rPr/>
        <w:t>при</w:t>
      </w:r>
      <w:r>
        <w:rPr>
          <w:spacing w:val="35"/>
        </w:rPr>
        <w:t>  </w:t>
      </w:r>
      <w:r>
        <w:rPr/>
        <w:t>подозрении</w:t>
      </w:r>
      <w:r>
        <w:rPr>
          <w:spacing w:val="80"/>
          <w:w w:val="150"/>
        </w:rPr>
        <w:t> </w:t>
      </w:r>
      <w:r>
        <w:rPr/>
        <w:t>или</w:t>
      </w:r>
      <w:r>
        <w:rPr>
          <w:spacing w:val="37"/>
        </w:rPr>
        <w:t>  </w:t>
      </w:r>
      <w:r>
        <w:rPr/>
        <w:t>при</w:t>
      </w:r>
      <w:r>
        <w:rPr>
          <w:spacing w:val="36"/>
        </w:rPr>
        <w:t>  </w:t>
      </w:r>
      <w:r>
        <w:rPr/>
        <w:t>наличии</w:t>
      </w:r>
      <w:r>
        <w:rPr>
          <w:spacing w:val="36"/>
        </w:rPr>
        <w:t>  </w:t>
      </w:r>
      <w:r>
        <w:rPr/>
        <w:t>контактов</w:t>
      </w:r>
      <w:r>
        <w:rPr>
          <w:spacing w:val="80"/>
          <w:w w:val="150"/>
        </w:rPr>
        <w:t> </w:t>
      </w:r>
      <w:r>
        <w:rPr/>
        <w:t>с</w:t>
      </w:r>
      <w:r>
        <w:rPr>
          <w:spacing w:val="35"/>
        </w:rPr>
        <w:t>  </w:t>
      </w:r>
      <w:r>
        <w:rPr/>
        <w:t>больными с подтвержденным COVID-19, рекомендуется до подтверждения этиологического диагноза</w:t>
      </w:r>
      <w:r>
        <w:rPr>
          <w:spacing w:val="-5"/>
        </w:rPr>
        <w:t> </w:t>
      </w:r>
      <w:r>
        <w:rPr/>
        <w:t>и</w:t>
      </w:r>
      <w:r>
        <w:rPr>
          <w:spacing w:val="-1"/>
        </w:rPr>
        <w:t> </w:t>
      </w:r>
      <w:r>
        <w:rPr/>
        <w:t>на</w:t>
      </w:r>
      <w:r>
        <w:rPr>
          <w:spacing w:val="-3"/>
        </w:rPr>
        <w:t> </w:t>
      </w:r>
      <w:r>
        <w:rPr/>
        <w:t>основании</w:t>
      </w:r>
      <w:r>
        <w:rPr>
          <w:spacing w:val="-1"/>
        </w:rPr>
        <w:t> </w:t>
      </w:r>
      <w:r>
        <w:rPr/>
        <w:t>клинической</w:t>
      </w:r>
      <w:r>
        <w:rPr>
          <w:spacing w:val="-1"/>
        </w:rPr>
        <w:t> </w:t>
      </w:r>
      <w:r>
        <w:rPr/>
        <w:t>картины</w:t>
      </w:r>
      <w:r>
        <w:rPr>
          <w:spacing w:val="-5"/>
        </w:rPr>
        <w:t> </w:t>
      </w:r>
      <w:r>
        <w:rPr/>
        <w:t>включать</w:t>
      </w:r>
      <w:r>
        <w:rPr>
          <w:spacing w:val="-1"/>
        </w:rPr>
        <w:t> </w:t>
      </w:r>
      <w:r>
        <w:rPr/>
        <w:t>в</w:t>
      </w:r>
      <w:r>
        <w:rPr>
          <w:spacing w:val="-3"/>
        </w:rPr>
        <w:t> </w:t>
      </w:r>
      <w:r>
        <w:rPr/>
        <w:t>схемы</w:t>
      </w:r>
      <w:r>
        <w:rPr>
          <w:spacing w:val="-3"/>
        </w:rPr>
        <w:t> </w:t>
      </w:r>
      <w:r>
        <w:rPr/>
        <w:t>терапии</w:t>
      </w:r>
      <w:r>
        <w:rPr>
          <w:spacing w:val="-4"/>
        </w:rPr>
        <w:t> </w:t>
      </w:r>
      <w:r>
        <w:rPr/>
        <w:t>препараты на основе молекул с прямым противовирусным действием в отношении вирусной РНК-полимеразы (молнупиравир, фавипиравир). При назначении необходимо учитывать эпидемиологический анамнез, тяжесть течения ранее перенесенного COVID-19 (если применимо) и соотношение польза/риск для пациента.</w:t>
      </w:r>
    </w:p>
    <w:p>
      <w:pPr>
        <w:pStyle w:val="BodyText"/>
        <w:spacing w:line="276" w:lineRule="auto"/>
        <w:ind w:right="1272" w:firstLine="707"/>
      </w:pPr>
      <w:r>
        <w:rPr/>
        <w:t>Для лечения пациентов с COVID-19 может применяться препарат нирматрелвир+ритонавир (в таблетках). В основе механизма действия препарата нирматрелвир+ритонавир лежит блокирование активности протеазы SARS-CoV-2- 3CL и предотвращение репликации вируса. Ритонавир выступает в качестве фармакокинетического бустера, помогает замедлить метаболизм или распад нирматрелвира с целью сохранения его активности в течение более длительного времени и в более высоких концентрациях.</w:t>
      </w:r>
    </w:p>
    <w:p>
      <w:pPr>
        <w:pStyle w:val="BodyText"/>
        <w:spacing w:line="276" w:lineRule="auto"/>
        <w:ind w:right="1274" w:firstLine="707"/>
      </w:pPr>
      <w:r>
        <w:rPr/>
        <w:t>Финальные</w:t>
      </w:r>
      <w:r>
        <w:rPr>
          <w:spacing w:val="-15"/>
        </w:rPr>
        <w:t> </w:t>
      </w:r>
      <w:r>
        <w:rPr/>
        <w:t>данные</w:t>
      </w:r>
      <w:r>
        <w:rPr>
          <w:spacing w:val="-15"/>
        </w:rPr>
        <w:t> </w:t>
      </w:r>
      <w:r>
        <w:rPr/>
        <w:t>клинического</w:t>
      </w:r>
      <w:r>
        <w:rPr>
          <w:spacing w:val="-15"/>
        </w:rPr>
        <w:t> </w:t>
      </w:r>
      <w:r>
        <w:rPr/>
        <w:t>исследования</w:t>
      </w:r>
      <w:r>
        <w:rPr>
          <w:spacing w:val="-15"/>
        </w:rPr>
        <w:t> </w:t>
      </w:r>
      <w:r>
        <w:rPr/>
        <w:t>фазы</w:t>
      </w:r>
      <w:r>
        <w:rPr>
          <w:spacing w:val="-15"/>
        </w:rPr>
        <w:t> </w:t>
      </w:r>
      <w:r>
        <w:rPr/>
        <w:t>2/3</w:t>
      </w:r>
      <w:r>
        <w:rPr>
          <w:spacing w:val="-15"/>
        </w:rPr>
        <w:t> </w:t>
      </w:r>
      <w:r>
        <w:rPr/>
        <w:t>у</w:t>
      </w:r>
      <w:r>
        <w:rPr>
          <w:spacing w:val="-15"/>
        </w:rPr>
        <w:t> </w:t>
      </w:r>
      <w:r>
        <w:rPr/>
        <w:t>пациентов</w:t>
      </w:r>
      <w:r>
        <w:rPr>
          <w:spacing w:val="-15"/>
        </w:rPr>
        <w:t> </w:t>
      </w:r>
      <w:r>
        <w:rPr/>
        <w:t>высокого риска показали, что препарат нирматрелвир+ритонавир (в таблетках) снижает риск госпитализации</w:t>
      </w:r>
      <w:r>
        <w:rPr>
          <w:spacing w:val="-10"/>
        </w:rPr>
        <w:t> </w:t>
      </w:r>
      <w:r>
        <w:rPr/>
        <w:t>и</w:t>
      </w:r>
      <w:r>
        <w:rPr>
          <w:spacing w:val="-10"/>
        </w:rPr>
        <w:t> </w:t>
      </w:r>
      <w:r>
        <w:rPr/>
        <w:t>смерти</w:t>
      </w:r>
      <w:r>
        <w:rPr>
          <w:spacing w:val="-9"/>
        </w:rPr>
        <w:t> </w:t>
      </w:r>
      <w:r>
        <w:rPr/>
        <w:t>на</w:t>
      </w:r>
      <w:r>
        <w:rPr>
          <w:spacing w:val="-12"/>
        </w:rPr>
        <w:t> </w:t>
      </w:r>
      <w:r>
        <w:rPr/>
        <w:t>89%</w:t>
      </w:r>
      <w:r>
        <w:rPr>
          <w:spacing w:val="-11"/>
        </w:rPr>
        <w:t> </w:t>
      </w:r>
      <w:r>
        <w:rPr/>
        <w:t>(в</w:t>
      </w:r>
      <w:r>
        <w:rPr>
          <w:spacing w:val="-12"/>
        </w:rPr>
        <w:t> </w:t>
      </w:r>
      <w:r>
        <w:rPr/>
        <w:t>течение</w:t>
      </w:r>
      <w:r>
        <w:rPr>
          <w:spacing w:val="-12"/>
        </w:rPr>
        <w:t> </w:t>
      </w:r>
      <w:r>
        <w:rPr/>
        <w:t>3</w:t>
      </w:r>
      <w:r>
        <w:rPr>
          <w:spacing w:val="-11"/>
        </w:rPr>
        <w:t> </w:t>
      </w:r>
      <w:r>
        <w:rPr/>
        <w:t>дней</w:t>
      </w:r>
      <w:r>
        <w:rPr>
          <w:spacing w:val="-10"/>
        </w:rPr>
        <w:t> </w:t>
      </w:r>
      <w:r>
        <w:rPr/>
        <w:t>от</w:t>
      </w:r>
      <w:r>
        <w:rPr>
          <w:spacing w:val="-10"/>
        </w:rPr>
        <w:t> </w:t>
      </w:r>
      <w:r>
        <w:rPr/>
        <w:t>появления</w:t>
      </w:r>
      <w:r>
        <w:rPr>
          <w:spacing w:val="-11"/>
        </w:rPr>
        <w:t> </w:t>
      </w:r>
      <w:r>
        <w:rPr/>
        <w:t>симптомов)</w:t>
      </w:r>
      <w:r>
        <w:rPr>
          <w:spacing w:val="-12"/>
        </w:rPr>
        <w:t> </w:t>
      </w:r>
      <w:r>
        <w:rPr/>
        <w:t>и</w:t>
      </w:r>
      <w:r>
        <w:rPr>
          <w:spacing w:val="-10"/>
        </w:rPr>
        <w:t> </w:t>
      </w:r>
      <w:r>
        <w:rPr/>
        <w:t>на</w:t>
      </w:r>
      <w:r>
        <w:rPr>
          <w:spacing w:val="-12"/>
        </w:rPr>
        <w:t> </w:t>
      </w:r>
      <w:r>
        <w:rPr/>
        <w:t>88% (в течение 5 дней от появления симптомов) по сравнению с плацебо. Не было зарегистрировано</w:t>
      </w:r>
      <w:r>
        <w:rPr>
          <w:spacing w:val="-6"/>
        </w:rPr>
        <w:t> </w:t>
      </w:r>
      <w:r>
        <w:rPr/>
        <w:t>случаев</w:t>
      </w:r>
      <w:r>
        <w:rPr>
          <w:spacing w:val="-6"/>
        </w:rPr>
        <w:t> </w:t>
      </w:r>
      <w:r>
        <w:rPr/>
        <w:t>смерти</w:t>
      </w:r>
      <w:r>
        <w:rPr>
          <w:spacing w:val="-4"/>
        </w:rPr>
        <w:t> </w:t>
      </w:r>
      <w:r>
        <w:rPr/>
        <w:t>по</w:t>
      </w:r>
      <w:r>
        <w:rPr>
          <w:spacing w:val="-6"/>
        </w:rPr>
        <w:t> </w:t>
      </w:r>
      <w:r>
        <w:rPr/>
        <w:t>сравнению</w:t>
      </w:r>
      <w:r>
        <w:rPr>
          <w:spacing w:val="-5"/>
        </w:rPr>
        <w:t> </w:t>
      </w:r>
      <w:r>
        <w:rPr/>
        <w:t>с</w:t>
      </w:r>
      <w:r>
        <w:rPr>
          <w:spacing w:val="-6"/>
        </w:rPr>
        <w:t> </w:t>
      </w:r>
      <w:r>
        <w:rPr/>
        <w:t>плацебо</w:t>
      </w:r>
      <w:r>
        <w:rPr>
          <w:spacing w:val="-6"/>
        </w:rPr>
        <w:t> </w:t>
      </w:r>
      <w:r>
        <w:rPr/>
        <w:t>у</w:t>
      </w:r>
      <w:r>
        <w:rPr>
          <w:spacing w:val="-8"/>
        </w:rPr>
        <w:t> </w:t>
      </w:r>
      <w:r>
        <w:rPr/>
        <w:t>не</w:t>
      </w:r>
      <w:r>
        <w:rPr>
          <w:spacing w:val="-6"/>
        </w:rPr>
        <w:t> </w:t>
      </w:r>
      <w:r>
        <w:rPr/>
        <w:t>госпитализированных пациентов высокого риска с COVID-19. Препарат одобрен для экстренного применения Европейским медицинским агентством и FDA у пациентов с COVID-19 начиная с возраста 12 лет и массой тела не менее 40 кг.</w:t>
      </w:r>
    </w:p>
    <w:p>
      <w:pPr>
        <w:pStyle w:val="BodyText"/>
        <w:spacing w:line="276" w:lineRule="auto"/>
        <w:ind w:right="1275" w:firstLine="767"/>
      </w:pPr>
      <w:r>
        <w:rPr/>
        <w:t>В Российской Федерации нирматрелвир+ритонавир показан для лечения COVID-19</w:t>
      </w:r>
      <w:r>
        <w:rPr>
          <w:spacing w:val="-5"/>
        </w:rPr>
        <w:t> </w:t>
      </w:r>
      <w:r>
        <w:rPr/>
        <w:t>легкого</w:t>
      </w:r>
      <w:r>
        <w:rPr>
          <w:spacing w:val="-5"/>
        </w:rPr>
        <w:t> </w:t>
      </w:r>
      <w:r>
        <w:rPr/>
        <w:t>и</w:t>
      </w:r>
      <w:r>
        <w:rPr>
          <w:spacing w:val="-4"/>
        </w:rPr>
        <w:t> </w:t>
      </w:r>
      <w:r>
        <w:rPr/>
        <w:t>среднетяжелого</w:t>
      </w:r>
      <w:r>
        <w:rPr>
          <w:spacing w:val="-5"/>
        </w:rPr>
        <w:t> </w:t>
      </w:r>
      <w:r>
        <w:rPr/>
        <w:t>течения</w:t>
      </w:r>
      <w:r>
        <w:rPr>
          <w:spacing w:val="-5"/>
        </w:rPr>
        <w:t> </w:t>
      </w:r>
      <w:r>
        <w:rPr/>
        <w:t>у</w:t>
      </w:r>
      <w:r>
        <w:rPr>
          <w:spacing w:val="-5"/>
        </w:rPr>
        <w:t> </w:t>
      </w:r>
      <w:r>
        <w:rPr/>
        <w:t>взрослых,</w:t>
      </w:r>
      <w:r>
        <w:rPr>
          <w:spacing w:val="-5"/>
        </w:rPr>
        <w:t> </w:t>
      </w:r>
      <w:r>
        <w:rPr/>
        <w:t>в</w:t>
      </w:r>
      <w:r>
        <w:rPr>
          <w:spacing w:val="-5"/>
        </w:rPr>
        <w:t> </w:t>
      </w:r>
      <w:r>
        <w:rPr/>
        <w:t>том</w:t>
      </w:r>
      <w:r>
        <w:rPr>
          <w:spacing w:val="-5"/>
        </w:rPr>
        <w:t> </w:t>
      </w:r>
      <w:r>
        <w:rPr/>
        <w:t>числе</w:t>
      </w:r>
      <w:r>
        <w:rPr>
          <w:spacing w:val="-3"/>
        </w:rPr>
        <w:t> </w:t>
      </w:r>
      <w:r>
        <w:rPr/>
        <w:t>с</w:t>
      </w:r>
      <w:r>
        <w:rPr>
          <w:spacing w:val="-5"/>
        </w:rPr>
        <w:t> </w:t>
      </w:r>
      <w:r>
        <w:rPr/>
        <w:t>повышенным риском прогрессирования заболевания до более тяжелого течения и не требующих дополнительной</w:t>
      </w:r>
      <w:r>
        <w:rPr>
          <w:spacing w:val="-8"/>
        </w:rPr>
        <w:t> </w:t>
      </w:r>
      <w:r>
        <w:rPr/>
        <w:t>оксигенотерапии.</w:t>
      </w:r>
      <w:r>
        <w:rPr>
          <w:spacing w:val="-11"/>
        </w:rPr>
        <w:t> </w:t>
      </w:r>
      <w:r>
        <w:rPr/>
        <w:t>Лечение</w:t>
      </w:r>
      <w:r>
        <w:rPr>
          <w:spacing w:val="-9"/>
        </w:rPr>
        <w:t> </w:t>
      </w:r>
      <w:r>
        <w:rPr/>
        <w:t>лекарственным</w:t>
      </w:r>
      <w:r>
        <w:rPr>
          <w:spacing w:val="-10"/>
        </w:rPr>
        <w:t> </w:t>
      </w:r>
      <w:r>
        <w:rPr/>
        <w:t>препаратом,</w:t>
      </w:r>
      <w:r>
        <w:rPr>
          <w:spacing w:val="-9"/>
        </w:rPr>
        <w:t> </w:t>
      </w:r>
      <w:r>
        <w:rPr/>
        <w:t>содержащим нирматрелвир+ритонавир, должно быть начато как можно раньше после постановки</w:t>
      </w:r>
    </w:p>
    <w:p>
      <w:pPr>
        <w:pStyle w:val="BodyText"/>
        <w:spacing w:after="0" w:line="276" w:lineRule="auto"/>
        <w:sectPr>
          <w:pgSz w:w="11900" w:h="16840"/>
          <w:pgMar w:header="0" w:footer="697" w:top="1080" w:bottom="880" w:left="0" w:right="0"/>
        </w:sectPr>
      </w:pPr>
    </w:p>
    <w:p>
      <w:pPr>
        <w:pStyle w:val="BodyText"/>
        <w:spacing w:line="276" w:lineRule="auto" w:before="73"/>
        <w:ind w:right="1274"/>
      </w:pPr>
      <w:bookmarkStart w:name="37" w:id="49"/>
      <w:bookmarkEnd w:id="49"/>
      <w:r>
        <w:rPr/>
      </w:r>
      <w:r>
        <w:rPr/>
        <w:t>диагноза</w:t>
      </w:r>
      <w:r>
        <w:rPr>
          <w:spacing w:val="-1"/>
        </w:rPr>
        <w:t> </w:t>
      </w:r>
      <w:r>
        <w:rPr/>
        <w:t>новой коронавирусной инфекции (COVID-19) и/или в течение 5 дней после появления первых симптомов заболевания.</w:t>
      </w:r>
    </w:p>
    <w:p>
      <w:pPr>
        <w:pStyle w:val="BodyText"/>
        <w:spacing w:line="276" w:lineRule="auto"/>
        <w:ind w:right="1277" w:firstLine="707"/>
      </w:pPr>
      <w:r>
        <w:rPr/>
        <w:t>При назначении препарата нирматрелвир+ритонавир необходимо учитывать возможные лекарственные взаимодействия (Приложение 4). Ритонавир является ингибитором фермента CYP3A и может повышать концентрации лекарственных средств, чем основной путь метаболизма зависит от цитохрома CYP3A.</w:t>
      </w:r>
    </w:p>
    <w:p>
      <w:pPr>
        <w:pStyle w:val="BodyText"/>
        <w:spacing w:line="276" w:lineRule="auto"/>
        <w:ind w:right="1270" w:firstLine="707"/>
      </w:pPr>
      <w:r>
        <w:rPr/>
        <w:t>Препарат фавипиравир – синтетический противовирусный препарат, селективный ингибитор РНК-полимеразы, активный в отношении РНК-содержащих вирусов. В Российской Федерации зарегистрированы препараты на основе фавипиравира для приема внутрь (в таблетированной форме), в том числе, фиксированная комбинация фавипиравира с глюконатом цинка, и для парентерального применения (лиофилизат для приготовления концентрата для приготовления раствора для инфузий; концентрат для приготовления раствора для инфузий; порошок для приготовления концентрата для приготовления раствора для инфузий).</w:t>
      </w:r>
      <w:r>
        <w:rPr>
          <w:spacing w:val="40"/>
        </w:rPr>
        <w:t>  </w:t>
      </w:r>
      <w:r>
        <w:rPr/>
        <w:t>Фавипиравир</w:t>
      </w:r>
      <w:r>
        <w:rPr>
          <w:spacing w:val="40"/>
        </w:rPr>
        <w:t>  </w:t>
      </w:r>
      <w:r>
        <w:rPr/>
        <w:t>в</w:t>
      </w:r>
      <w:r>
        <w:rPr>
          <w:spacing w:val="40"/>
        </w:rPr>
        <w:t>  </w:t>
      </w:r>
      <w:r>
        <w:rPr/>
        <w:t>таблетированной</w:t>
      </w:r>
      <w:r>
        <w:rPr>
          <w:spacing w:val="40"/>
        </w:rPr>
        <w:t>  </w:t>
      </w:r>
      <w:r>
        <w:rPr/>
        <w:t>форме</w:t>
      </w:r>
      <w:r>
        <w:rPr>
          <w:spacing w:val="40"/>
        </w:rPr>
        <w:t>  </w:t>
      </w:r>
      <w:r>
        <w:rPr/>
        <w:t>может</w:t>
      </w:r>
      <w:r>
        <w:rPr>
          <w:spacing w:val="40"/>
        </w:rPr>
        <w:t>  </w:t>
      </w:r>
      <w:r>
        <w:rPr/>
        <w:t>применяться</w:t>
      </w:r>
      <w:r>
        <w:rPr>
          <w:spacing w:val="40"/>
        </w:rPr>
        <w:t>  </w:t>
      </w:r>
      <w:r>
        <w:rPr/>
        <w:t>как</w:t>
      </w:r>
      <w:r>
        <w:rPr>
          <w:spacing w:val="40"/>
        </w:rPr>
        <w:t> </w:t>
      </w:r>
      <w:r>
        <w:rPr/>
        <w:t>в амбулаторных, так и в стационарных условиях.</w:t>
      </w:r>
    </w:p>
    <w:p>
      <w:pPr>
        <w:pStyle w:val="BodyText"/>
        <w:spacing w:line="276" w:lineRule="auto"/>
        <w:ind w:right="1275" w:firstLine="707"/>
      </w:pPr>
      <w:r>
        <w:rPr/>
        <w:t>В Российских и международных исследованиях показано, что применение фавипиравира ускоряет элиминацию вируса и достижение клинического улучшения. При</w:t>
      </w:r>
      <w:r>
        <w:rPr>
          <w:spacing w:val="-8"/>
        </w:rPr>
        <w:t> </w:t>
      </w:r>
      <w:r>
        <w:rPr/>
        <w:t>этом</w:t>
      </w:r>
      <w:r>
        <w:rPr>
          <w:spacing w:val="-9"/>
        </w:rPr>
        <w:t> </w:t>
      </w:r>
      <w:r>
        <w:rPr/>
        <w:t>улучшение</w:t>
      </w:r>
      <w:r>
        <w:rPr>
          <w:spacing w:val="-9"/>
        </w:rPr>
        <w:t> </w:t>
      </w:r>
      <w:r>
        <w:rPr/>
        <w:t>по</w:t>
      </w:r>
      <w:r>
        <w:rPr>
          <w:spacing w:val="-6"/>
        </w:rPr>
        <w:t> </w:t>
      </w:r>
      <w:r>
        <w:rPr/>
        <w:t>данным</w:t>
      </w:r>
      <w:r>
        <w:rPr>
          <w:spacing w:val="-9"/>
        </w:rPr>
        <w:t> </w:t>
      </w:r>
      <w:r>
        <w:rPr/>
        <w:t>КТ</w:t>
      </w:r>
      <w:r>
        <w:rPr>
          <w:spacing w:val="-9"/>
        </w:rPr>
        <w:t> </w:t>
      </w:r>
      <w:r>
        <w:rPr/>
        <w:t>ОГК</w:t>
      </w:r>
      <w:r>
        <w:rPr>
          <w:spacing w:val="-8"/>
        </w:rPr>
        <w:t> </w:t>
      </w:r>
      <w:r>
        <w:rPr/>
        <w:t>через</w:t>
      </w:r>
      <w:r>
        <w:rPr>
          <w:spacing w:val="-5"/>
        </w:rPr>
        <w:t> </w:t>
      </w:r>
      <w:r>
        <w:rPr/>
        <w:t>14</w:t>
      </w:r>
      <w:r>
        <w:rPr>
          <w:spacing w:val="-8"/>
        </w:rPr>
        <w:t> </w:t>
      </w:r>
      <w:r>
        <w:rPr/>
        <w:t>дней</w:t>
      </w:r>
      <w:r>
        <w:rPr>
          <w:spacing w:val="-7"/>
        </w:rPr>
        <w:t> </w:t>
      </w:r>
      <w:r>
        <w:rPr/>
        <w:t>после</w:t>
      </w:r>
      <w:r>
        <w:rPr>
          <w:spacing w:val="-9"/>
        </w:rPr>
        <w:t> </w:t>
      </w:r>
      <w:r>
        <w:rPr/>
        <w:t>окончания</w:t>
      </w:r>
      <w:r>
        <w:rPr>
          <w:spacing w:val="-8"/>
        </w:rPr>
        <w:t> </w:t>
      </w:r>
      <w:r>
        <w:rPr/>
        <w:t>исследуемой терапии зафиксировано у 91,4% пациентов в группе фавипиравира и только у 62,2% пациентов в контрольной группе.</w:t>
      </w:r>
    </w:p>
    <w:p>
      <w:pPr>
        <w:pStyle w:val="BodyText"/>
        <w:tabs>
          <w:tab w:pos="3358" w:val="left" w:leader="none"/>
          <w:tab w:pos="3476" w:val="left" w:leader="none"/>
          <w:tab w:pos="3531" w:val="left" w:leader="none"/>
          <w:tab w:pos="3589" w:val="left" w:leader="none"/>
          <w:tab w:pos="3729" w:val="left" w:leader="none"/>
          <w:tab w:pos="3837" w:val="left" w:leader="none"/>
          <w:tab w:pos="3950" w:val="left" w:leader="none"/>
          <w:tab w:pos="4106" w:val="left" w:leader="none"/>
          <w:tab w:pos="4482" w:val="left" w:leader="none"/>
          <w:tab w:pos="4906" w:val="left" w:leader="none"/>
          <w:tab w:pos="5031" w:val="left" w:leader="none"/>
          <w:tab w:pos="5091" w:val="left" w:leader="none"/>
          <w:tab w:pos="5148" w:val="left" w:leader="none"/>
          <w:tab w:pos="5647" w:val="left" w:leader="none"/>
          <w:tab w:pos="5690" w:val="left" w:leader="none"/>
          <w:tab w:pos="5901" w:val="left" w:leader="none"/>
          <w:tab w:pos="6107" w:val="left" w:leader="none"/>
          <w:tab w:pos="6529" w:val="left" w:leader="none"/>
          <w:tab w:pos="6649" w:val="left" w:leader="none"/>
          <w:tab w:pos="6924" w:val="left" w:leader="none"/>
          <w:tab w:pos="7000" w:val="left" w:leader="none"/>
          <w:tab w:pos="7526" w:val="left" w:leader="none"/>
          <w:tab w:pos="7722" w:val="left" w:leader="none"/>
          <w:tab w:pos="8594" w:val="left" w:leader="none"/>
          <w:tab w:pos="8854" w:val="left" w:leader="none"/>
          <w:tab w:pos="9205" w:val="left" w:leader="none"/>
          <w:tab w:pos="9266" w:val="left" w:leader="none"/>
          <w:tab w:pos="9648" w:val="left" w:leader="none"/>
          <w:tab w:pos="10266" w:val="left" w:leader="none"/>
        </w:tabs>
        <w:spacing w:line="276" w:lineRule="auto"/>
        <w:ind w:right="1272" w:firstLine="707"/>
        <w:jc w:val="right"/>
      </w:pPr>
      <w:r>
        <w:rPr/>
        <w:t>Применение</w:t>
      </w:r>
      <w:r>
        <w:rPr>
          <w:spacing w:val="-6"/>
        </w:rPr>
        <w:t> </w:t>
      </w:r>
      <w:r>
        <w:rPr/>
        <w:t>фиксированной</w:t>
      </w:r>
      <w:r>
        <w:rPr>
          <w:spacing w:val="-7"/>
        </w:rPr>
        <w:t> </w:t>
      </w:r>
      <w:r>
        <w:rPr/>
        <w:t>комбинации</w:t>
      </w:r>
      <w:r>
        <w:rPr>
          <w:spacing w:val="-5"/>
        </w:rPr>
        <w:t> </w:t>
      </w:r>
      <w:r>
        <w:rPr/>
        <w:t>фавипиравира</w:t>
      </w:r>
      <w:r>
        <w:rPr>
          <w:spacing w:val="-6"/>
        </w:rPr>
        <w:t> </w:t>
      </w:r>
      <w:r>
        <w:rPr/>
        <w:t>и</w:t>
      </w:r>
      <w:r>
        <w:rPr>
          <w:spacing w:val="-7"/>
        </w:rPr>
        <w:t> </w:t>
      </w:r>
      <w:r>
        <w:rPr/>
        <w:t>цинка</w:t>
      </w:r>
      <w:r>
        <w:rPr>
          <w:spacing w:val="-6"/>
        </w:rPr>
        <w:t> </w:t>
      </w:r>
      <w:r>
        <w:rPr/>
        <w:t>(в</w:t>
      </w:r>
      <w:r>
        <w:rPr>
          <w:spacing w:val="-7"/>
        </w:rPr>
        <w:t> </w:t>
      </w:r>
      <w:r>
        <w:rPr/>
        <w:t>виде</w:t>
      </w:r>
      <w:r>
        <w:rPr>
          <w:spacing w:val="-6"/>
        </w:rPr>
        <w:t> </w:t>
      </w:r>
      <w:r>
        <w:rPr/>
        <w:t>цинка глюконата)</w:t>
      </w:r>
      <w:r>
        <w:rPr>
          <w:spacing w:val="40"/>
        </w:rPr>
        <w:t> </w:t>
      </w:r>
      <w:r>
        <w:rPr/>
        <w:t>приводит</w:t>
      </w:r>
      <w:r>
        <w:rPr>
          <w:spacing w:val="40"/>
        </w:rPr>
        <w:t> </w:t>
      </w:r>
      <w:r>
        <w:rPr/>
        <w:t>к</w:t>
      </w:r>
      <w:r>
        <w:rPr>
          <w:spacing w:val="40"/>
        </w:rPr>
        <w:t> </w:t>
      </w:r>
      <w:r>
        <w:rPr/>
        <w:t>расширению</w:t>
      </w:r>
      <w:r>
        <w:rPr>
          <w:spacing w:val="40"/>
        </w:rPr>
        <w:t> </w:t>
      </w:r>
      <w:r>
        <w:rPr/>
        <w:t>фармакодинамического</w:t>
      </w:r>
      <w:r>
        <w:rPr>
          <w:spacing w:val="40"/>
        </w:rPr>
        <w:t> </w:t>
      </w:r>
      <w:r>
        <w:rPr/>
        <w:t>потенциала</w:t>
      </w:r>
      <w:r>
        <w:rPr>
          <w:spacing w:val="40"/>
        </w:rPr>
        <w:t> </w:t>
      </w:r>
      <w:r>
        <w:rPr/>
        <w:t>за</w:t>
      </w:r>
      <w:r>
        <w:rPr>
          <w:spacing w:val="40"/>
        </w:rPr>
        <w:t> </w:t>
      </w:r>
      <w:r>
        <w:rPr/>
        <w:t>счет</w:t>
      </w:r>
      <w:r>
        <w:rPr>
          <w:spacing w:val="40"/>
        </w:rPr>
        <w:t> </w:t>
      </w:r>
      <w:r>
        <w:rPr>
          <w:spacing w:val="-2"/>
        </w:rPr>
        <w:t>дополнительных</w:t>
      </w:r>
      <w:r>
        <w:rPr/>
        <w:tab/>
        <w:tab/>
        <w:tab/>
        <w:tab/>
      </w:r>
      <w:r>
        <w:rPr>
          <w:spacing w:val="-2"/>
        </w:rPr>
        <w:t>эффектов</w:t>
      </w:r>
      <w:r>
        <w:rPr/>
        <w:tab/>
        <w:tab/>
        <w:tab/>
      </w:r>
      <w:r>
        <w:rPr>
          <w:spacing w:val="-2"/>
        </w:rPr>
        <w:t>образуемого</w:t>
      </w:r>
      <w:r>
        <w:rPr/>
        <w:tab/>
        <w:tab/>
      </w:r>
      <w:r>
        <w:rPr>
          <w:spacing w:val="-2"/>
        </w:rPr>
        <w:t>координационного</w:t>
      </w:r>
      <w:r>
        <w:rPr/>
        <w:tab/>
        <w:tab/>
      </w:r>
      <w:r>
        <w:rPr>
          <w:spacing w:val="-53"/>
        </w:rPr>
        <w:t> </w:t>
      </w:r>
      <w:r>
        <w:rPr>
          <w:spacing w:val="-2"/>
        </w:rPr>
        <w:t>комплекса,</w:t>
      </w:r>
      <w:r>
        <w:rPr/>
        <w:tab/>
      </w:r>
      <w:r>
        <w:rPr>
          <w:spacing w:val="-56"/>
        </w:rPr>
        <w:t> </w:t>
      </w:r>
      <w:r>
        <w:rPr>
          <w:spacing w:val="-2"/>
        </w:rPr>
        <w:t>что обеспечивает</w:t>
      </w:r>
      <w:r>
        <w:rPr/>
        <w:tab/>
        <w:tab/>
      </w:r>
      <w:r>
        <w:rPr>
          <w:spacing w:val="-2"/>
        </w:rPr>
        <w:t>прямое</w:t>
      </w:r>
      <w:r>
        <w:rPr/>
        <w:tab/>
      </w:r>
      <w:r>
        <w:rPr>
          <w:spacing w:val="-2"/>
        </w:rPr>
        <w:t>противовирусное</w:t>
      </w:r>
      <w:r>
        <w:rPr/>
        <w:tab/>
      </w:r>
      <w:r>
        <w:rPr>
          <w:spacing w:val="-10"/>
        </w:rPr>
        <w:t>и</w:t>
      </w:r>
      <w:r>
        <w:rPr/>
        <w:tab/>
        <w:tab/>
      </w:r>
      <w:r>
        <w:rPr>
          <w:spacing w:val="-2"/>
        </w:rPr>
        <w:t>противовоспалительное</w:t>
      </w:r>
      <w:r>
        <w:rPr/>
        <w:tab/>
      </w:r>
      <w:r>
        <w:rPr>
          <w:spacing w:val="-2"/>
        </w:rPr>
        <w:t>действие, поддерживает</w:t>
      </w:r>
      <w:r>
        <w:rPr/>
        <w:tab/>
        <w:tab/>
        <w:tab/>
        <w:tab/>
      </w:r>
      <w:r>
        <w:rPr>
          <w:spacing w:val="-2"/>
        </w:rPr>
        <w:t>защитные</w:t>
      </w:r>
      <w:r>
        <w:rPr/>
        <w:tab/>
      </w:r>
      <w:r>
        <w:rPr>
          <w:spacing w:val="-2"/>
        </w:rPr>
        <w:t>свойства</w:t>
      </w:r>
      <w:r>
        <w:rPr/>
        <w:tab/>
        <w:tab/>
      </w:r>
      <w:r>
        <w:rPr>
          <w:spacing w:val="-2"/>
        </w:rPr>
        <w:t>организма,</w:t>
      </w:r>
      <w:r>
        <w:rPr/>
        <w:tab/>
      </w:r>
      <w:r>
        <w:rPr>
          <w:spacing w:val="-2"/>
        </w:rPr>
        <w:t>повышает</w:t>
      </w:r>
      <w:r>
        <w:rPr/>
        <w:tab/>
        <w:tab/>
      </w:r>
      <w:r>
        <w:rPr>
          <w:spacing w:val="-2"/>
        </w:rPr>
        <w:t>терапевтическую эффективность</w:t>
      </w:r>
      <w:r>
        <w:rPr/>
        <w:tab/>
        <w:tab/>
        <w:tab/>
        <w:tab/>
      </w:r>
      <w:r>
        <w:rPr>
          <w:spacing w:val="-2"/>
        </w:rPr>
        <w:t>препарата.</w:t>
      </w:r>
      <w:r>
        <w:rPr/>
        <w:tab/>
        <w:tab/>
        <w:tab/>
        <w:tab/>
      </w:r>
      <w:r>
        <w:rPr>
          <w:spacing w:val="-10"/>
        </w:rPr>
        <w:t>В</w:t>
      </w:r>
      <w:r>
        <w:rPr/>
        <w:tab/>
      </w:r>
      <w:r>
        <w:rPr>
          <w:spacing w:val="-2"/>
        </w:rPr>
        <w:t>сравнительном</w:t>
      </w:r>
      <w:r>
        <w:rPr/>
        <w:tab/>
      </w:r>
      <w:r>
        <w:rPr>
          <w:spacing w:val="-59"/>
        </w:rPr>
        <w:t> </w:t>
      </w:r>
      <w:r>
        <w:rPr>
          <w:spacing w:val="-2"/>
        </w:rPr>
        <w:t>клиническом</w:t>
      </w:r>
      <w:r>
        <w:rPr/>
        <w:tab/>
        <w:tab/>
      </w:r>
      <w:r>
        <w:rPr>
          <w:spacing w:val="-2"/>
        </w:rPr>
        <w:t>исследовании </w:t>
      </w:r>
      <w:r>
        <w:rPr/>
        <w:t>эффективности</w:t>
      </w:r>
      <w:r>
        <w:rPr>
          <w:spacing w:val="-15"/>
        </w:rPr>
        <w:t> </w:t>
      </w:r>
      <w:r>
        <w:rPr/>
        <w:t>и</w:t>
      </w:r>
      <w:r>
        <w:rPr>
          <w:spacing w:val="-15"/>
        </w:rPr>
        <w:t> </w:t>
      </w:r>
      <w:r>
        <w:rPr/>
        <w:t>безопасности</w:t>
      </w:r>
      <w:r>
        <w:rPr>
          <w:spacing w:val="-15"/>
        </w:rPr>
        <w:t> </w:t>
      </w:r>
      <w:r>
        <w:rPr/>
        <w:t>комбинированного</w:t>
      </w:r>
      <w:r>
        <w:rPr>
          <w:spacing w:val="-15"/>
        </w:rPr>
        <w:t> </w:t>
      </w:r>
      <w:r>
        <w:rPr/>
        <w:t>препарата</w:t>
      </w:r>
      <w:r>
        <w:rPr>
          <w:spacing w:val="-15"/>
        </w:rPr>
        <w:t> </w:t>
      </w:r>
      <w:r>
        <w:rPr/>
        <w:t>на</w:t>
      </w:r>
      <w:r>
        <w:rPr>
          <w:spacing w:val="-15"/>
        </w:rPr>
        <w:t> </w:t>
      </w:r>
      <w:r>
        <w:rPr/>
        <w:t>основе</w:t>
      </w:r>
      <w:r>
        <w:rPr>
          <w:spacing w:val="-15"/>
        </w:rPr>
        <w:t> </w:t>
      </w:r>
      <w:r>
        <w:rPr/>
        <w:t>фавипиравира с</w:t>
      </w:r>
      <w:r>
        <w:rPr>
          <w:spacing w:val="-16"/>
        </w:rPr>
        <w:t> </w:t>
      </w:r>
      <w:r>
        <w:rPr/>
        <w:t>цинком</w:t>
      </w:r>
      <w:r>
        <w:rPr>
          <w:spacing w:val="-16"/>
        </w:rPr>
        <w:t> </w:t>
      </w:r>
      <w:r>
        <w:rPr/>
        <w:t>у</w:t>
      </w:r>
      <w:r>
        <w:rPr>
          <w:spacing w:val="-15"/>
        </w:rPr>
        <w:t> </w:t>
      </w:r>
      <w:r>
        <w:rPr/>
        <w:t>пациентов</w:t>
      </w:r>
      <w:r>
        <w:rPr>
          <w:spacing w:val="-15"/>
        </w:rPr>
        <w:t> </w:t>
      </w:r>
      <w:r>
        <w:rPr/>
        <w:t>с</w:t>
      </w:r>
      <w:r>
        <w:rPr>
          <w:spacing w:val="-16"/>
        </w:rPr>
        <w:t> </w:t>
      </w:r>
      <w:r>
        <w:rPr/>
        <w:t>новой</w:t>
      </w:r>
      <w:r>
        <w:rPr>
          <w:spacing w:val="-15"/>
        </w:rPr>
        <w:t> </w:t>
      </w:r>
      <w:r>
        <w:rPr/>
        <w:t>коронавирусной</w:t>
      </w:r>
      <w:r>
        <w:rPr>
          <w:spacing w:val="-16"/>
        </w:rPr>
        <w:t> </w:t>
      </w:r>
      <w:r>
        <w:rPr/>
        <w:t>инфекцией</w:t>
      </w:r>
      <w:r>
        <w:rPr>
          <w:spacing w:val="-15"/>
        </w:rPr>
        <w:t> </w:t>
      </w:r>
      <w:r>
        <w:rPr/>
        <w:t>(COVID-19)</w:t>
      </w:r>
      <w:r>
        <w:rPr>
          <w:spacing w:val="-15"/>
        </w:rPr>
        <w:t> </w:t>
      </w:r>
      <w:r>
        <w:rPr/>
        <w:t>было</w:t>
      </w:r>
      <w:r>
        <w:rPr>
          <w:spacing w:val="-15"/>
        </w:rPr>
        <w:t> </w:t>
      </w:r>
      <w:r>
        <w:rPr/>
        <w:t>показано, что</w:t>
      </w:r>
      <w:r>
        <w:rPr>
          <w:spacing w:val="38"/>
        </w:rPr>
        <w:t> </w:t>
      </w:r>
      <w:r>
        <w:rPr/>
        <w:t>курс</w:t>
      </w:r>
      <w:r>
        <w:rPr>
          <w:spacing w:val="36"/>
        </w:rPr>
        <w:t> </w:t>
      </w:r>
      <w:r>
        <w:rPr/>
        <w:t>терапии</w:t>
      </w:r>
      <w:r>
        <w:rPr>
          <w:spacing w:val="36"/>
        </w:rPr>
        <w:t> </w:t>
      </w:r>
      <w:r>
        <w:rPr/>
        <w:t>препаратом</w:t>
      </w:r>
      <w:r>
        <w:rPr>
          <w:spacing w:val="37"/>
        </w:rPr>
        <w:t> </w:t>
      </w:r>
      <w:r>
        <w:rPr/>
        <w:t>продолжительностью</w:t>
      </w:r>
      <w:r>
        <w:rPr>
          <w:spacing w:val="38"/>
        </w:rPr>
        <w:t> </w:t>
      </w:r>
      <w:r>
        <w:rPr/>
        <w:t>5</w:t>
      </w:r>
      <w:r>
        <w:rPr>
          <w:spacing w:val="35"/>
        </w:rPr>
        <w:t> </w:t>
      </w:r>
      <w:r>
        <w:rPr/>
        <w:t>дней</w:t>
      </w:r>
      <w:r>
        <w:rPr>
          <w:spacing w:val="36"/>
        </w:rPr>
        <w:t> </w:t>
      </w:r>
      <w:r>
        <w:rPr/>
        <w:t>обеспечивает</w:t>
      </w:r>
      <w:r>
        <w:rPr>
          <w:spacing w:val="38"/>
        </w:rPr>
        <w:t> </w:t>
      </w:r>
      <w:r>
        <w:rPr/>
        <w:t>значимое снижение</w:t>
      </w:r>
      <w:r>
        <w:rPr>
          <w:spacing w:val="40"/>
        </w:rPr>
        <w:t> </w:t>
      </w:r>
      <w:r>
        <w:rPr/>
        <w:t>частоты</w:t>
      </w:r>
      <w:r>
        <w:rPr>
          <w:spacing w:val="40"/>
        </w:rPr>
        <w:t> </w:t>
      </w:r>
      <w:r>
        <w:rPr/>
        <w:t>прогрессирования</w:t>
      </w:r>
      <w:r>
        <w:rPr>
          <w:spacing w:val="40"/>
        </w:rPr>
        <w:t> </w:t>
      </w:r>
      <w:r>
        <w:rPr/>
        <w:t>COVID-19</w:t>
      </w:r>
      <w:r>
        <w:rPr>
          <w:spacing w:val="40"/>
        </w:rPr>
        <w:t> </w:t>
      </w:r>
      <w:r>
        <w:rPr/>
        <w:t>до</w:t>
      </w:r>
      <w:r>
        <w:rPr>
          <w:spacing w:val="40"/>
        </w:rPr>
        <w:t> </w:t>
      </w:r>
      <w:r>
        <w:rPr/>
        <w:t>тяжелого</w:t>
      </w:r>
      <w:r>
        <w:rPr>
          <w:spacing w:val="40"/>
        </w:rPr>
        <w:t> </w:t>
      </w:r>
      <w:r>
        <w:rPr/>
        <w:t>течения</w:t>
      </w:r>
      <w:r>
        <w:rPr>
          <w:spacing w:val="40"/>
        </w:rPr>
        <w:t> </w:t>
      </w:r>
      <w:r>
        <w:rPr/>
        <w:t>и</w:t>
      </w:r>
      <w:r>
        <w:rPr>
          <w:spacing w:val="40"/>
        </w:rPr>
        <w:t> </w:t>
      </w:r>
      <w:r>
        <w:rPr/>
        <w:t>ускоряет выздоровление. Терапия характеризовалась благоприятным профилем безопасности. </w:t>
      </w:r>
      <w:r>
        <w:rPr>
          <w:spacing w:val="-2"/>
        </w:rPr>
        <w:t>Фавипиравир</w:t>
      </w:r>
      <w:r>
        <w:rPr/>
        <w:tab/>
        <w:tab/>
        <w:tab/>
      </w:r>
      <w:r>
        <w:rPr>
          <w:spacing w:val="-10"/>
        </w:rPr>
        <w:t>в</w:t>
      </w:r>
      <w:r>
        <w:rPr/>
        <w:tab/>
        <w:tab/>
        <w:tab/>
      </w:r>
      <w:r>
        <w:rPr>
          <w:spacing w:val="-2"/>
        </w:rPr>
        <w:t>формах</w:t>
      </w:r>
      <w:r>
        <w:rPr/>
        <w:tab/>
        <w:tab/>
      </w:r>
      <w:r>
        <w:rPr>
          <w:spacing w:val="-4"/>
        </w:rPr>
        <w:t>для</w:t>
      </w:r>
      <w:r>
        <w:rPr/>
        <w:tab/>
        <w:tab/>
      </w:r>
      <w:r>
        <w:rPr>
          <w:spacing w:val="-2"/>
        </w:rPr>
        <w:t>парентерального</w:t>
      </w:r>
      <w:r>
        <w:rPr/>
        <w:tab/>
        <w:tab/>
      </w:r>
      <w:r>
        <w:rPr>
          <w:spacing w:val="-2"/>
        </w:rPr>
        <w:t>применения</w:t>
      </w:r>
      <w:r>
        <w:rPr/>
        <w:tab/>
        <w:tab/>
      </w:r>
      <w:r>
        <w:rPr>
          <w:spacing w:val="-2"/>
        </w:rPr>
        <w:t>может </w:t>
      </w:r>
      <w:r>
        <w:rPr/>
        <w:t>использоваться</w:t>
      </w:r>
      <w:r>
        <w:rPr>
          <w:spacing w:val="80"/>
        </w:rPr>
        <w:t> </w:t>
      </w:r>
      <w:r>
        <w:rPr/>
        <w:t>в</w:t>
      </w:r>
      <w:r>
        <w:rPr>
          <w:spacing w:val="80"/>
        </w:rPr>
        <w:t> </w:t>
      </w:r>
      <w:r>
        <w:rPr/>
        <w:t>стационарных</w:t>
      </w:r>
      <w:r>
        <w:rPr>
          <w:spacing w:val="80"/>
        </w:rPr>
        <w:t> </w:t>
      </w:r>
      <w:r>
        <w:rPr/>
        <w:t>условиях.</w:t>
      </w:r>
      <w:r>
        <w:rPr>
          <w:spacing w:val="80"/>
        </w:rPr>
        <w:t> </w:t>
      </w:r>
      <w:r>
        <w:rPr/>
        <w:t>В</w:t>
      </w:r>
      <w:r>
        <w:rPr>
          <w:spacing w:val="80"/>
        </w:rPr>
        <w:t> </w:t>
      </w:r>
      <w:r>
        <w:rPr/>
        <w:t>клинических</w:t>
      </w:r>
      <w:r>
        <w:rPr>
          <w:spacing w:val="80"/>
        </w:rPr>
        <w:t> </w:t>
      </w:r>
      <w:r>
        <w:rPr/>
        <w:t>исследованиях</w:t>
      </w:r>
      <w:r>
        <w:rPr>
          <w:spacing w:val="80"/>
        </w:rPr>
        <w:t> </w:t>
      </w:r>
      <w:r>
        <w:rPr/>
        <w:t>был </w:t>
      </w:r>
      <w:r>
        <w:rPr>
          <w:spacing w:val="-2"/>
        </w:rPr>
        <w:t>продемонстрирован</w:t>
      </w:r>
      <w:r>
        <w:rPr/>
        <w:tab/>
        <w:tab/>
      </w:r>
      <w:r>
        <w:rPr>
          <w:spacing w:val="-2"/>
        </w:rPr>
        <w:t>благоприятный</w:t>
      </w:r>
      <w:r>
        <w:rPr/>
        <w:tab/>
        <w:tab/>
      </w:r>
      <w:r>
        <w:rPr>
          <w:spacing w:val="-2"/>
        </w:rPr>
        <w:t>профиль</w:t>
      </w:r>
      <w:r>
        <w:rPr/>
        <w:tab/>
        <w:tab/>
      </w:r>
      <w:r>
        <w:rPr>
          <w:spacing w:val="-2"/>
        </w:rPr>
        <w:t>безопасности</w:t>
      </w:r>
      <w:r>
        <w:rPr/>
        <w:tab/>
      </w:r>
      <w:r>
        <w:rPr>
          <w:spacing w:val="-2"/>
        </w:rPr>
        <w:t>фавипиравира</w:t>
      </w:r>
      <w:r>
        <w:rPr/>
        <w:tab/>
      </w:r>
      <w:r>
        <w:rPr>
          <w:spacing w:val="-4"/>
        </w:rPr>
        <w:t>для </w:t>
      </w:r>
      <w:r>
        <w:rPr/>
        <w:t>парентерального</w:t>
      </w:r>
      <w:r>
        <w:rPr>
          <w:spacing w:val="-15"/>
        </w:rPr>
        <w:t> </w:t>
      </w:r>
      <w:r>
        <w:rPr/>
        <w:t>введения</w:t>
      </w:r>
      <w:r>
        <w:rPr>
          <w:spacing w:val="-15"/>
        </w:rPr>
        <w:t> </w:t>
      </w:r>
      <w:r>
        <w:rPr/>
        <w:t>(частота</w:t>
      </w:r>
      <w:r>
        <w:rPr>
          <w:spacing w:val="-15"/>
        </w:rPr>
        <w:t> </w:t>
      </w:r>
      <w:r>
        <w:rPr/>
        <w:t>нежелательных</w:t>
      </w:r>
      <w:r>
        <w:rPr>
          <w:spacing w:val="-15"/>
        </w:rPr>
        <w:t> </w:t>
      </w:r>
      <w:r>
        <w:rPr/>
        <w:t>явлений</w:t>
      </w:r>
      <w:r>
        <w:rPr>
          <w:spacing w:val="-15"/>
        </w:rPr>
        <w:t> </w:t>
      </w:r>
      <w:r>
        <w:rPr/>
        <w:t>у</w:t>
      </w:r>
      <w:r>
        <w:rPr>
          <w:spacing w:val="-13"/>
        </w:rPr>
        <w:t> </w:t>
      </w:r>
      <w:r>
        <w:rPr/>
        <w:t>пациентов,</w:t>
      </w:r>
      <w:r>
        <w:rPr>
          <w:spacing w:val="-15"/>
        </w:rPr>
        <w:t> </w:t>
      </w:r>
      <w:r>
        <w:rPr/>
        <w:t>получавших фавипиравир</w:t>
      </w:r>
      <w:r>
        <w:rPr>
          <w:spacing w:val="79"/>
        </w:rPr>
        <w:t> </w:t>
      </w:r>
      <w:r>
        <w:rPr/>
        <w:t>в</w:t>
      </w:r>
      <w:r>
        <w:rPr>
          <w:spacing w:val="40"/>
        </w:rPr>
        <w:t> </w:t>
      </w:r>
      <w:r>
        <w:rPr/>
        <w:t>клинических</w:t>
      </w:r>
      <w:r>
        <w:rPr>
          <w:spacing w:val="40"/>
        </w:rPr>
        <w:t> </w:t>
      </w:r>
      <w:r>
        <w:rPr/>
        <w:t>исследованиях,</w:t>
      </w:r>
      <w:r>
        <w:rPr>
          <w:spacing w:val="40"/>
        </w:rPr>
        <w:t> </w:t>
      </w:r>
      <w:r>
        <w:rPr/>
        <w:t>не</w:t>
      </w:r>
      <w:r>
        <w:rPr>
          <w:spacing w:val="40"/>
        </w:rPr>
        <w:t> </w:t>
      </w:r>
      <w:r>
        <w:rPr/>
        <w:t>отличалась</w:t>
      </w:r>
      <w:r>
        <w:rPr>
          <w:spacing w:val="40"/>
        </w:rPr>
        <w:t> </w:t>
      </w:r>
      <w:r>
        <w:rPr/>
        <w:t>от таковой</w:t>
      </w:r>
      <w:r>
        <w:rPr>
          <w:spacing w:val="40"/>
        </w:rPr>
        <w:t> </w:t>
      </w:r>
      <w:r>
        <w:rPr/>
        <w:t>в</w:t>
      </w:r>
      <w:r>
        <w:rPr>
          <w:spacing w:val="40"/>
        </w:rPr>
        <w:t> </w:t>
      </w:r>
      <w:r>
        <w:rPr/>
        <w:t>группе</w:t>
      </w:r>
      <w:r>
        <w:rPr>
          <w:spacing w:val="80"/>
        </w:rPr>
        <w:t> </w:t>
      </w:r>
      <w:r>
        <w:rPr>
          <w:spacing w:val="-2"/>
        </w:rPr>
        <w:t>стандартной</w:t>
      </w:r>
      <w:r>
        <w:rPr/>
        <w:tab/>
        <w:t>терапии)</w:t>
      </w:r>
      <w:r>
        <w:rPr>
          <w:spacing w:val="40"/>
        </w:rPr>
        <w:t>  </w:t>
      </w:r>
      <w:r>
        <w:rPr/>
        <w:t>и</w:t>
      </w:r>
      <w:r>
        <w:rPr>
          <w:spacing w:val="40"/>
        </w:rPr>
        <w:t>  </w:t>
      </w:r>
      <w:r>
        <w:rPr/>
        <w:t>высокая</w:t>
      </w:r>
      <w:r>
        <w:rPr>
          <w:spacing w:val="40"/>
        </w:rPr>
        <w:t>  </w:t>
      </w:r>
      <w:r>
        <w:rPr/>
        <w:t>эффективность</w:t>
      </w:r>
      <w:r>
        <w:rPr>
          <w:spacing w:val="40"/>
        </w:rPr>
        <w:t>  </w:t>
      </w:r>
      <w:r>
        <w:rPr/>
        <w:t>в</w:t>
      </w:r>
      <w:r>
        <w:rPr>
          <w:spacing w:val="40"/>
        </w:rPr>
        <w:t>  </w:t>
      </w:r>
      <w:r>
        <w:rPr/>
        <w:t>отношении</w:t>
      </w:r>
      <w:r>
        <w:rPr>
          <w:spacing w:val="40"/>
        </w:rPr>
        <w:t>  </w:t>
      </w:r>
      <w:r>
        <w:rPr/>
        <w:t>улучшения клинического</w:t>
      </w:r>
      <w:r>
        <w:rPr>
          <w:spacing w:val="36"/>
        </w:rPr>
        <w:t> </w:t>
      </w:r>
      <w:r>
        <w:rPr/>
        <w:t>статуса,</w:t>
      </w:r>
      <w:r>
        <w:rPr>
          <w:spacing w:val="38"/>
        </w:rPr>
        <w:t> </w:t>
      </w:r>
      <w:r>
        <w:rPr/>
        <w:t>в</w:t>
      </w:r>
      <w:r>
        <w:rPr>
          <w:spacing w:val="35"/>
        </w:rPr>
        <w:t> </w:t>
      </w:r>
      <w:r>
        <w:rPr/>
        <w:t>том</w:t>
      </w:r>
      <w:r>
        <w:rPr>
          <w:spacing w:val="36"/>
        </w:rPr>
        <w:t> </w:t>
      </w:r>
      <w:r>
        <w:rPr/>
        <w:t>числе</w:t>
      </w:r>
      <w:r>
        <w:rPr>
          <w:spacing w:val="37"/>
        </w:rPr>
        <w:t> </w:t>
      </w:r>
      <w:r>
        <w:rPr/>
        <w:t>у</w:t>
      </w:r>
      <w:r>
        <w:rPr>
          <w:spacing w:val="36"/>
        </w:rPr>
        <w:t> </w:t>
      </w:r>
      <w:r>
        <w:rPr/>
        <w:t>пациентов</w:t>
      </w:r>
      <w:r>
        <w:rPr>
          <w:spacing w:val="35"/>
        </w:rPr>
        <w:t> </w:t>
      </w:r>
      <w:r>
        <w:rPr/>
        <w:t>имеющих</w:t>
      </w:r>
      <w:r>
        <w:rPr>
          <w:spacing w:val="36"/>
        </w:rPr>
        <w:t> </w:t>
      </w:r>
      <w:r>
        <w:rPr/>
        <w:t>высокий</w:t>
      </w:r>
      <w:r>
        <w:rPr>
          <w:spacing w:val="37"/>
        </w:rPr>
        <w:t> </w:t>
      </w:r>
      <w:r>
        <w:rPr/>
        <w:t>риск</w:t>
      </w:r>
      <w:r>
        <w:rPr>
          <w:spacing w:val="37"/>
        </w:rPr>
        <w:t> </w:t>
      </w:r>
      <w:r>
        <w:rPr/>
        <w:t>тяжелого течения</w:t>
      </w:r>
      <w:r>
        <w:rPr>
          <w:spacing w:val="80"/>
        </w:rPr>
        <w:t> </w:t>
      </w:r>
      <w:r>
        <w:rPr/>
        <w:t>заболевания:</w:t>
      </w:r>
      <w:r>
        <w:rPr>
          <w:spacing w:val="80"/>
        </w:rPr>
        <w:t> </w:t>
      </w:r>
      <w:r>
        <w:rPr/>
        <w:t>пациенты</w:t>
      </w:r>
      <w:r>
        <w:rPr>
          <w:spacing w:val="80"/>
        </w:rPr>
        <w:t> </w:t>
      </w:r>
      <w:r>
        <w:rPr/>
        <w:t>старше</w:t>
      </w:r>
      <w:r>
        <w:rPr>
          <w:spacing w:val="80"/>
        </w:rPr>
        <w:t> </w:t>
      </w:r>
      <w:r>
        <w:rPr/>
        <w:t>65</w:t>
      </w:r>
      <w:r>
        <w:rPr>
          <w:spacing w:val="80"/>
        </w:rPr>
        <w:t> </w:t>
      </w:r>
      <w:r>
        <w:rPr/>
        <w:t>лет,</w:t>
      </w:r>
      <w:r>
        <w:rPr>
          <w:spacing w:val="80"/>
        </w:rPr>
        <w:t> </w:t>
      </w:r>
      <w:r>
        <w:rPr/>
        <w:t>пациенты</w:t>
      </w:r>
      <w:r>
        <w:rPr>
          <w:spacing w:val="80"/>
        </w:rPr>
        <w:t> </w:t>
      </w:r>
      <w:r>
        <w:rPr/>
        <w:t>с</w:t>
      </w:r>
      <w:r>
        <w:rPr>
          <w:spacing w:val="80"/>
        </w:rPr>
        <w:t> </w:t>
      </w:r>
      <w:r>
        <w:rPr/>
        <w:t>сопутствующими</w:t>
      </w:r>
      <w:r>
        <w:rPr>
          <w:spacing w:val="40"/>
        </w:rPr>
        <w:t> </w:t>
      </w:r>
      <w:r>
        <w:rPr/>
        <w:t>заболеваниями</w:t>
      </w:r>
      <w:r>
        <w:rPr>
          <w:spacing w:val="80"/>
          <w:w w:val="150"/>
        </w:rPr>
        <w:t>  </w:t>
      </w:r>
      <w:r>
        <w:rPr/>
        <w:t>(сахарный</w:t>
      </w:r>
      <w:r>
        <w:rPr>
          <w:spacing w:val="80"/>
          <w:w w:val="150"/>
        </w:rPr>
        <w:t>  </w:t>
      </w:r>
      <w:r>
        <w:rPr/>
        <w:t>диабет,</w:t>
      </w:r>
      <w:r>
        <w:rPr>
          <w:spacing w:val="80"/>
          <w:w w:val="150"/>
        </w:rPr>
        <w:t>  </w:t>
      </w:r>
      <w:r>
        <w:rPr/>
        <w:t>ожирение,</w:t>
      </w:r>
      <w:r>
        <w:rPr>
          <w:spacing w:val="80"/>
          <w:w w:val="150"/>
        </w:rPr>
        <w:t>  </w:t>
      </w:r>
      <w:r>
        <w:rPr/>
        <w:t>хронические</w:t>
      </w:r>
      <w:r>
        <w:rPr>
          <w:spacing w:val="80"/>
          <w:w w:val="150"/>
        </w:rPr>
        <w:t>  </w:t>
      </w:r>
      <w:r>
        <w:rPr/>
        <w:t>заболевания сердечно-сосудистой</w:t>
      </w:r>
      <w:r>
        <w:rPr>
          <w:spacing w:val="80"/>
        </w:rPr>
        <w:t>  </w:t>
      </w:r>
      <w:r>
        <w:rPr/>
        <w:t>системы).</w:t>
      </w:r>
      <w:r>
        <w:rPr>
          <w:spacing w:val="80"/>
        </w:rPr>
        <w:t>  </w:t>
      </w:r>
      <w:r>
        <w:rPr/>
        <w:t>В</w:t>
      </w:r>
      <w:r>
        <w:rPr>
          <w:spacing w:val="79"/>
        </w:rPr>
        <w:t>  </w:t>
      </w:r>
      <w:r>
        <w:rPr/>
        <w:t>клиническом</w:t>
      </w:r>
      <w:r>
        <w:rPr>
          <w:spacing w:val="78"/>
        </w:rPr>
        <w:t>  </w:t>
      </w:r>
      <w:r>
        <w:rPr/>
        <w:t>исследовании</w:t>
      </w:r>
      <w:r>
        <w:rPr>
          <w:spacing w:val="78"/>
        </w:rPr>
        <w:t>  </w:t>
      </w:r>
      <w:r>
        <w:rPr/>
        <w:t>применения фавипиравира в форме концентрат для приготовления раствора для инфузий у 320</w:t>
      </w:r>
      <w:r>
        <w:rPr>
          <w:spacing w:val="80"/>
        </w:rPr>
        <w:t> </w:t>
      </w:r>
      <w:r>
        <w:rPr/>
        <w:t>пациентов с COVID-19 среднетяжелого и тяжелого течения была показана высокая эффективность</w:t>
      </w:r>
      <w:r>
        <w:rPr>
          <w:spacing w:val="35"/>
        </w:rPr>
        <w:t> </w:t>
      </w:r>
      <w:r>
        <w:rPr/>
        <w:t>препарата</w:t>
      </w:r>
      <w:r>
        <w:rPr>
          <w:spacing w:val="34"/>
        </w:rPr>
        <w:t> </w:t>
      </w:r>
      <w:r>
        <w:rPr/>
        <w:t>в</w:t>
      </w:r>
      <w:r>
        <w:rPr>
          <w:spacing w:val="36"/>
        </w:rPr>
        <w:t> </w:t>
      </w:r>
      <w:r>
        <w:rPr/>
        <w:t>отношении</w:t>
      </w:r>
      <w:r>
        <w:rPr>
          <w:spacing w:val="34"/>
        </w:rPr>
        <w:t> </w:t>
      </w:r>
      <w:r>
        <w:rPr/>
        <w:t>элиминации</w:t>
      </w:r>
      <w:r>
        <w:rPr>
          <w:spacing w:val="35"/>
        </w:rPr>
        <w:t> </w:t>
      </w:r>
      <w:r>
        <w:rPr/>
        <w:t>вируса,</w:t>
      </w:r>
      <w:r>
        <w:rPr>
          <w:spacing w:val="34"/>
        </w:rPr>
        <w:t> </w:t>
      </w:r>
      <w:r>
        <w:rPr/>
        <w:t>улучшения</w:t>
      </w:r>
      <w:r>
        <w:rPr>
          <w:spacing w:val="41"/>
        </w:rPr>
        <w:t> </w:t>
      </w:r>
      <w:r>
        <w:rPr>
          <w:spacing w:val="-2"/>
        </w:rPr>
        <w:t>состояния</w:t>
      </w:r>
    </w:p>
    <w:p>
      <w:pPr>
        <w:pStyle w:val="BodyText"/>
        <w:spacing w:after="0" w:line="276" w:lineRule="auto"/>
        <w:jc w:val="right"/>
        <w:sectPr>
          <w:pgSz w:w="11900" w:h="16840"/>
          <w:pgMar w:header="0" w:footer="697" w:top="1080" w:bottom="880" w:left="0" w:right="0"/>
        </w:sectPr>
      </w:pPr>
    </w:p>
    <w:p>
      <w:pPr>
        <w:pStyle w:val="BodyText"/>
        <w:spacing w:line="276" w:lineRule="auto" w:before="73"/>
        <w:ind w:right="1278"/>
      </w:pPr>
      <w:bookmarkStart w:name="38" w:id="50"/>
      <w:bookmarkEnd w:id="50"/>
      <w:r>
        <w:rPr/>
      </w:r>
      <w:r>
        <w:rPr/>
        <w:t>легких по данным КТ ОГК, достижения клинического выздоровления, а также показаны преимущества в отношении улучшения клинического статуса пациентов</w:t>
      </w:r>
      <w:r>
        <w:rPr>
          <w:spacing w:val="40"/>
        </w:rPr>
        <w:t> </w:t>
      </w:r>
      <w:r>
        <w:rPr/>
        <w:t>по сравнению с терапией сравнения (ремдесивир).</w:t>
      </w:r>
    </w:p>
    <w:p>
      <w:pPr>
        <w:pStyle w:val="BodyText"/>
        <w:spacing w:line="276" w:lineRule="auto"/>
        <w:ind w:right="1271" w:firstLine="707"/>
      </w:pPr>
      <w:r>
        <w:rPr/>
        <w:t>Противовирусной активностью в отношении SARS-CoV-2 обладает ремдесивир. Его активный метаболит выступает в качестве аналога аденозинтрифосфата</w:t>
      </w:r>
      <w:r>
        <w:rPr>
          <w:spacing w:val="40"/>
        </w:rPr>
        <w:t>  </w:t>
      </w:r>
      <w:r>
        <w:rPr/>
        <w:t>(АТФ)</w:t>
      </w:r>
      <w:r>
        <w:rPr>
          <w:spacing w:val="40"/>
        </w:rPr>
        <w:t>  </w:t>
      </w:r>
      <w:r>
        <w:rPr/>
        <w:t>и</w:t>
      </w:r>
      <w:r>
        <w:rPr>
          <w:spacing w:val="40"/>
        </w:rPr>
        <w:t>  </w:t>
      </w:r>
      <w:r>
        <w:rPr/>
        <w:t>конкурирует</w:t>
      </w:r>
      <w:r>
        <w:rPr>
          <w:spacing w:val="40"/>
        </w:rPr>
        <w:t>  </w:t>
      </w:r>
      <w:r>
        <w:rPr/>
        <w:t>с</w:t>
      </w:r>
      <w:r>
        <w:rPr>
          <w:spacing w:val="40"/>
        </w:rPr>
        <w:t>  </w:t>
      </w:r>
      <w:r>
        <w:rPr/>
        <w:t>природным</w:t>
      </w:r>
      <w:r>
        <w:rPr>
          <w:spacing w:val="40"/>
        </w:rPr>
        <w:t>  </w:t>
      </w:r>
      <w:r>
        <w:rPr/>
        <w:t>АТФ-субстратом</w:t>
      </w:r>
      <w:r>
        <w:rPr>
          <w:spacing w:val="80"/>
          <w:w w:val="150"/>
        </w:rPr>
        <w:t> </w:t>
      </w:r>
      <w:r>
        <w:rPr/>
        <w:t>за</w:t>
      </w:r>
      <w:r>
        <w:rPr>
          <w:spacing w:val="-3"/>
        </w:rPr>
        <w:t> </w:t>
      </w:r>
      <w:r>
        <w:rPr/>
        <w:t>включение</w:t>
      </w:r>
      <w:r>
        <w:rPr>
          <w:spacing w:val="40"/>
        </w:rPr>
        <w:t>  </w:t>
      </w:r>
      <w:r>
        <w:rPr/>
        <w:t>в</w:t>
      </w:r>
      <w:r>
        <w:rPr>
          <w:spacing w:val="40"/>
        </w:rPr>
        <w:t>  </w:t>
      </w:r>
      <w:r>
        <w:rPr/>
        <w:t>формирующиеся</w:t>
      </w:r>
      <w:r>
        <w:rPr>
          <w:spacing w:val="40"/>
        </w:rPr>
        <w:t>  </w:t>
      </w:r>
      <w:r>
        <w:rPr/>
        <w:t>РНК-цепи</w:t>
      </w:r>
      <w:r>
        <w:rPr>
          <w:spacing w:val="40"/>
        </w:rPr>
        <w:t>  </w:t>
      </w:r>
      <w:r>
        <w:rPr/>
        <w:t>с</w:t>
      </w:r>
      <w:r>
        <w:rPr>
          <w:spacing w:val="40"/>
        </w:rPr>
        <w:t>  </w:t>
      </w:r>
      <w:r>
        <w:rPr/>
        <w:t>помощью</w:t>
      </w:r>
      <w:r>
        <w:rPr>
          <w:spacing w:val="40"/>
        </w:rPr>
        <w:t>  </w:t>
      </w:r>
      <w:r>
        <w:rPr/>
        <w:t>РНК-зависимой</w:t>
      </w:r>
      <w:r>
        <w:rPr>
          <w:spacing w:val="40"/>
        </w:rPr>
        <w:t> </w:t>
      </w:r>
      <w:r>
        <w:rPr/>
        <w:t>РНК-полимеразы вируса SARS-CoV-2, что приводит к задержанному обрыву цепи</w:t>
      </w:r>
      <w:r>
        <w:rPr>
          <w:spacing w:val="40"/>
        </w:rPr>
        <w:t> </w:t>
      </w:r>
      <w:r>
        <w:rPr/>
        <w:t>во</w:t>
      </w:r>
      <w:r>
        <w:rPr>
          <w:spacing w:val="71"/>
        </w:rPr>
        <w:t> </w:t>
      </w:r>
      <w:r>
        <w:rPr/>
        <w:t>время</w:t>
      </w:r>
      <w:r>
        <w:rPr>
          <w:spacing w:val="74"/>
        </w:rPr>
        <w:t> </w:t>
      </w:r>
      <w:r>
        <w:rPr/>
        <w:t>репликации</w:t>
      </w:r>
      <w:r>
        <w:rPr>
          <w:spacing w:val="71"/>
        </w:rPr>
        <w:t> </w:t>
      </w:r>
      <w:r>
        <w:rPr/>
        <w:t>вирусной</w:t>
      </w:r>
      <w:r>
        <w:rPr>
          <w:spacing w:val="73"/>
        </w:rPr>
        <w:t> </w:t>
      </w:r>
      <w:r>
        <w:rPr/>
        <w:t>РНК.</w:t>
      </w:r>
      <w:r>
        <w:rPr>
          <w:spacing w:val="74"/>
        </w:rPr>
        <w:t>  </w:t>
      </w:r>
      <w:r>
        <w:rPr/>
        <w:t>Применение</w:t>
      </w:r>
      <w:r>
        <w:rPr>
          <w:spacing w:val="71"/>
        </w:rPr>
        <w:t> </w:t>
      </w:r>
      <w:r>
        <w:rPr/>
        <w:t>препарата</w:t>
      </w:r>
      <w:r>
        <w:rPr>
          <w:spacing w:val="72"/>
        </w:rPr>
        <w:t> </w:t>
      </w:r>
      <w:r>
        <w:rPr/>
        <w:t>возможно</w:t>
      </w:r>
      <w:r>
        <w:rPr>
          <w:spacing w:val="72"/>
        </w:rPr>
        <w:t> </w:t>
      </w:r>
      <w:r>
        <w:rPr/>
        <w:t>только в медицинской организации, оказывающей медицинскую помощь в стационарных условиях. Учитывая благоприятный профиль безопасности препарата (частота нежелательных явлений у</w:t>
      </w:r>
      <w:r>
        <w:rPr>
          <w:spacing w:val="-3"/>
        </w:rPr>
        <w:t> </w:t>
      </w:r>
      <w:r>
        <w:rPr/>
        <w:t>пациентов, получавших ремдесивир в клинических исследованиях, не отличалась от таковой в группе стандартной терапии), а также данные по его эффективности, ремдесивир может рассматриваться как препарат выбора для пациентов с повышенной активностью трансаминаз на начало лечения.</w:t>
      </w:r>
    </w:p>
    <w:p>
      <w:pPr>
        <w:pStyle w:val="BodyText"/>
        <w:spacing w:line="276" w:lineRule="auto"/>
        <w:ind w:right="1271" w:firstLine="707"/>
      </w:pPr>
      <w:r>
        <w:rPr/>
        <w:t>Синтетическая малая интерферирующая рибонуклеиновая кислота (миРНК) [двуцепочечная] представляет собой комбинированное лекарственное средство, обладающее противовирусным эффектом в отношении SARS-CoV-2. Противовирусное</w:t>
      </w:r>
      <w:r>
        <w:rPr>
          <w:spacing w:val="80"/>
        </w:rPr>
        <w:t> </w:t>
      </w:r>
      <w:r>
        <w:rPr/>
        <w:t>действие</w:t>
      </w:r>
      <w:r>
        <w:rPr>
          <w:spacing w:val="80"/>
        </w:rPr>
        <w:t> </w:t>
      </w:r>
      <w:r>
        <w:rPr/>
        <w:t>миРНК</w:t>
      </w:r>
      <w:r>
        <w:rPr>
          <w:spacing w:val="80"/>
        </w:rPr>
        <w:t> </w:t>
      </w:r>
      <w:r>
        <w:rPr/>
        <w:t>основано</w:t>
      </w:r>
      <w:r>
        <w:rPr>
          <w:spacing w:val="80"/>
        </w:rPr>
        <w:t> </w:t>
      </w:r>
      <w:r>
        <w:rPr/>
        <w:t>на</w:t>
      </w:r>
      <w:r>
        <w:rPr>
          <w:spacing w:val="80"/>
        </w:rPr>
        <w:t> </w:t>
      </w:r>
      <w:r>
        <w:rPr/>
        <w:t>механизме</w:t>
      </w:r>
      <w:r>
        <w:rPr>
          <w:spacing w:val="80"/>
        </w:rPr>
        <w:t> </w:t>
      </w:r>
      <w:r>
        <w:rPr/>
        <w:t>РНК-интерференции и</w:t>
      </w:r>
      <w:r>
        <w:rPr>
          <w:spacing w:val="-12"/>
        </w:rPr>
        <w:t> </w:t>
      </w:r>
      <w:r>
        <w:rPr/>
        <w:t>включает</w:t>
      </w:r>
      <w:r>
        <w:rPr>
          <w:spacing w:val="-12"/>
        </w:rPr>
        <w:t> </w:t>
      </w:r>
      <w:r>
        <w:rPr/>
        <w:t>специфическое</w:t>
      </w:r>
      <w:r>
        <w:rPr>
          <w:spacing w:val="-14"/>
        </w:rPr>
        <w:t> </w:t>
      </w:r>
      <w:r>
        <w:rPr/>
        <w:t>распознавание</w:t>
      </w:r>
      <w:r>
        <w:rPr>
          <w:spacing w:val="-14"/>
        </w:rPr>
        <w:t> </w:t>
      </w:r>
      <w:r>
        <w:rPr/>
        <w:t>геномных</w:t>
      </w:r>
      <w:r>
        <w:rPr>
          <w:spacing w:val="-13"/>
        </w:rPr>
        <w:t> </w:t>
      </w:r>
      <w:r>
        <w:rPr/>
        <w:t>мишеней</w:t>
      </w:r>
      <w:r>
        <w:rPr>
          <w:spacing w:val="-12"/>
        </w:rPr>
        <w:t> </w:t>
      </w:r>
      <w:r>
        <w:rPr/>
        <w:t>вируса</w:t>
      </w:r>
      <w:r>
        <w:rPr>
          <w:spacing w:val="-14"/>
        </w:rPr>
        <w:t> </w:t>
      </w:r>
      <w:r>
        <w:rPr/>
        <w:t>с</w:t>
      </w:r>
      <w:r>
        <w:rPr>
          <w:spacing w:val="-14"/>
        </w:rPr>
        <w:t> </w:t>
      </w:r>
      <w:r>
        <w:rPr/>
        <w:t>последующим привлечением собственных белковых комплексов клетки, разрушающих вирусный геном (и его мРНК-транскрипты) и тем самым нарушающих процесс репликации вируса. Как известно, развитие симптомов и осложнений новой коронавирусной инфекции возникают спустя несколько дней после начала болезни.</w:t>
      </w:r>
    </w:p>
    <w:p>
      <w:pPr>
        <w:pStyle w:val="BodyText"/>
        <w:spacing w:line="276" w:lineRule="auto"/>
        <w:ind w:right="1273" w:firstLine="707"/>
      </w:pPr>
      <w:r>
        <w:rPr/>
        <w:t>Как правило, дебют заболевания пациенты переживают в домашних условиях и направляются на госпитализацию в результате ухудшения состояния ввиду отсутствия терапии или недостаточности назначенной схемы лечения. Наиболее рационально использовать препарат синтетической малой интерферирующей рибонуклеиновой</w:t>
      </w:r>
      <w:r>
        <w:rPr>
          <w:spacing w:val="40"/>
        </w:rPr>
        <w:t> </w:t>
      </w:r>
      <w:r>
        <w:rPr/>
        <w:t>кислоты</w:t>
      </w:r>
      <w:r>
        <w:rPr>
          <w:spacing w:val="40"/>
        </w:rPr>
        <w:t> </w:t>
      </w:r>
      <w:r>
        <w:rPr/>
        <w:t>(миРНК)</w:t>
      </w:r>
      <w:r>
        <w:rPr>
          <w:spacing w:val="40"/>
        </w:rPr>
        <w:t> </w:t>
      </w:r>
      <w:r>
        <w:rPr/>
        <w:t>[двуцепочечной]</w:t>
      </w:r>
      <w:r>
        <w:rPr>
          <w:spacing w:val="40"/>
        </w:rPr>
        <w:t> </w:t>
      </w:r>
      <w:r>
        <w:rPr/>
        <w:t>в</w:t>
      </w:r>
      <w:r>
        <w:rPr>
          <w:spacing w:val="40"/>
        </w:rPr>
        <w:t> </w:t>
      </w:r>
      <w:r>
        <w:rPr/>
        <w:t>амбулаторных</w:t>
      </w:r>
      <w:r>
        <w:rPr>
          <w:spacing w:val="40"/>
        </w:rPr>
        <w:t> </w:t>
      </w:r>
      <w:r>
        <w:rPr/>
        <w:t>условиях</w:t>
      </w:r>
      <w:r>
        <w:rPr>
          <w:spacing w:val="80"/>
          <w:w w:val="150"/>
        </w:rPr>
        <w:t> </w:t>
      </w:r>
      <w:r>
        <w:rPr/>
        <w:t>на</w:t>
      </w:r>
      <w:r>
        <w:rPr>
          <w:spacing w:val="80"/>
          <w:w w:val="150"/>
        </w:rPr>
        <w:t> </w:t>
      </w:r>
      <w:r>
        <w:rPr/>
        <w:t>ранней</w:t>
      </w:r>
      <w:r>
        <w:rPr>
          <w:spacing w:val="80"/>
          <w:w w:val="150"/>
        </w:rPr>
        <w:t> </w:t>
      </w:r>
      <w:r>
        <w:rPr/>
        <w:t>стадии</w:t>
      </w:r>
      <w:r>
        <w:rPr>
          <w:spacing w:val="80"/>
          <w:w w:val="150"/>
        </w:rPr>
        <w:t> </w:t>
      </w:r>
      <w:r>
        <w:rPr/>
        <w:t>заболевания</w:t>
      </w:r>
      <w:r>
        <w:rPr>
          <w:spacing w:val="80"/>
          <w:w w:val="150"/>
        </w:rPr>
        <w:t> </w:t>
      </w:r>
      <w:r>
        <w:rPr/>
        <w:t>с</w:t>
      </w:r>
      <w:r>
        <w:rPr>
          <w:spacing w:val="80"/>
          <w:w w:val="150"/>
        </w:rPr>
        <w:t> </w:t>
      </w:r>
      <w:r>
        <w:rPr/>
        <w:t>целью</w:t>
      </w:r>
      <w:r>
        <w:rPr>
          <w:spacing w:val="80"/>
          <w:w w:val="150"/>
        </w:rPr>
        <w:t> </w:t>
      </w:r>
      <w:r>
        <w:rPr/>
        <w:t>скорейшего</w:t>
      </w:r>
      <w:r>
        <w:rPr>
          <w:spacing w:val="80"/>
          <w:w w:val="150"/>
        </w:rPr>
        <w:t> </w:t>
      </w:r>
      <w:r>
        <w:rPr/>
        <w:t>купирования</w:t>
      </w:r>
      <w:r>
        <w:rPr>
          <w:spacing w:val="80"/>
          <w:w w:val="150"/>
        </w:rPr>
        <w:t> </w:t>
      </w:r>
      <w:r>
        <w:rPr/>
        <w:t>симптомов и минимизации риска развития осложнений и последующей госпитализации.</w:t>
      </w:r>
    </w:p>
    <w:p>
      <w:pPr>
        <w:pStyle w:val="BodyText"/>
        <w:spacing w:line="276" w:lineRule="auto"/>
        <w:ind w:right="1272" w:firstLine="707"/>
      </w:pPr>
      <w:r>
        <w:rPr/>
        <w:t>Согласно инструкции по медицинскому применению синтетическая малая интерферирующая рибонуклеиновая кислота (миРНК) [двуцепочечная] применяется ингаляционно с помощью меш-небулайзера. Препарат назначается в условиях стационара или амбулаторно. При легкой степени тяжести COVID-19 препарат применяют 3 раза в день с перерывом между ингаляциями 6-7 часов. Разовая доза составляет</w:t>
      </w:r>
      <w:r>
        <w:rPr>
          <w:spacing w:val="40"/>
        </w:rPr>
        <w:t> </w:t>
      </w:r>
      <w:r>
        <w:rPr/>
        <w:t>1,85</w:t>
      </w:r>
      <w:r>
        <w:rPr>
          <w:spacing w:val="40"/>
        </w:rPr>
        <w:t> </w:t>
      </w:r>
      <w:r>
        <w:rPr/>
        <w:t>мг,</w:t>
      </w:r>
      <w:r>
        <w:rPr>
          <w:spacing w:val="40"/>
        </w:rPr>
        <w:t> </w:t>
      </w:r>
      <w:r>
        <w:rPr/>
        <w:t>суточная</w:t>
      </w:r>
      <w:r>
        <w:rPr>
          <w:spacing w:val="40"/>
        </w:rPr>
        <w:t> </w:t>
      </w:r>
      <w:r>
        <w:rPr/>
        <w:t>–</w:t>
      </w:r>
      <w:r>
        <w:rPr>
          <w:spacing w:val="40"/>
        </w:rPr>
        <w:t> </w:t>
      </w:r>
      <w:r>
        <w:rPr/>
        <w:t>5,55</w:t>
      </w:r>
      <w:r>
        <w:rPr>
          <w:spacing w:val="40"/>
        </w:rPr>
        <w:t> </w:t>
      </w:r>
      <w:r>
        <w:rPr/>
        <w:t>мг/сут.</w:t>
      </w:r>
      <w:r>
        <w:rPr>
          <w:spacing w:val="40"/>
        </w:rPr>
        <w:t> </w:t>
      </w:r>
      <w:r>
        <w:rPr/>
        <w:t>Курс</w:t>
      </w:r>
      <w:r>
        <w:rPr>
          <w:spacing w:val="40"/>
        </w:rPr>
        <w:t> </w:t>
      </w:r>
      <w:r>
        <w:rPr/>
        <w:t>лечения</w:t>
      </w:r>
      <w:r>
        <w:rPr>
          <w:spacing w:val="40"/>
        </w:rPr>
        <w:t> </w:t>
      </w:r>
      <w:r>
        <w:rPr/>
        <w:t>составляет</w:t>
      </w:r>
      <w:r>
        <w:rPr>
          <w:spacing w:val="40"/>
        </w:rPr>
        <w:t> </w:t>
      </w:r>
      <w:r>
        <w:rPr/>
        <w:t>до</w:t>
      </w:r>
      <w:r>
        <w:rPr>
          <w:spacing w:val="40"/>
        </w:rPr>
        <w:t> </w:t>
      </w:r>
      <w:r>
        <w:rPr/>
        <w:t>7</w:t>
      </w:r>
      <w:r>
        <w:rPr>
          <w:spacing w:val="40"/>
        </w:rPr>
        <w:t> </w:t>
      </w:r>
      <w:r>
        <w:rPr/>
        <w:t>дней (до</w:t>
      </w:r>
      <w:r>
        <w:rPr>
          <w:spacing w:val="-4"/>
        </w:rPr>
        <w:t> </w:t>
      </w:r>
      <w:r>
        <w:rPr/>
        <w:t>21</w:t>
      </w:r>
      <w:r>
        <w:rPr>
          <w:spacing w:val="-3"/>
        </w:rPr>
        <w:t> </w:t>
      </w:r>
      <w:r>
        <w:rPr/>
        <w:t>ингаляции).</w:t>
      </w:r>
      <w:r>
        <w:rPr>
          <w:spacing w:val="40"/>
        </w:rPr>
        <w:t> </w:t>
      </w:r>
      <w:r>
        <w:rPr/>
        <w:t>При</w:t>
      </w:r>
      <w:r>
        <w:rPr>
          <w:spacing w:val="-5"/>
        </w:rPr>
        <w:t> </w:t>
      </w:r>
      <w:r>
        <w:rPr/>
        <w:t>среднетяжелой</w:t>
      </w:r>
      <w:r>
        <w:rPr>
          <w:spacing w:val="-3"/>
        </w:rPr>
        <w:t> </w:t>
      </w:r>
      <w:r>
        <w:rPr/>
        <w:t>степени</w:t>
      </w:r>
      <w:r>
        <w:rPr>
          <w:spacing w:val="-2"/>
        </w:rPr>
        <w:t> </w:t>
      </w:r>
      <w:r>
        <w:rPr/>
        <w:t>препарат</w:t>
      </w:r>
      <w:r>
        <w:rPr>
          <w:spacing w:val="-3"/>
        </w:rPr>
        <w:t> </w:t>
      </w:r>
      <w:r>
        <w:rPr/>
        <w:t>применяется ингаляционно с</w:t>
      </w:r>
      <w:r>
        <w:rPr>
          <w:spacing w:val="31"/>
        </w:rPr>
        <w:t> </w:t>
      </w:r>
      <w:r>
        <w:rPr/>
        <w:t>помощью</w:t>
      </w:r>
      <w:r>
        <w:rPr>
          <w:spacing w:val="33"/>
        </w:rPr>
        <w:t> </w:t>
      </w:r>
      <w:r>
        <w:rPr/>
        <w:t>меш-небулайзера</w:t>
      </w:r>
      <w:r>
        <w:rPr>
          <w:spacing w:val="31"/>
        </w:rPr>
        <w:t> </w:t>
      </w:r>
      <w:r>
        <w:rPr/>
        <w:t>в</w:t>
      </w:r>
      <w:r>
        <w:rPr>
          <w:spacing w:val="32"/>
        </w:rPr>
        <w:t> </w:t>
      </w:r>
      <w:r>
        <w:rPr/>
        <w:t>стационарных</w:t>
      </w:r>
      <w:r>
        <w:rPr>
          <w:spacing w:val="32"/>
        </w:rPr>
        <w:t> </w:t>
      </w:r>
      <w:r>
        <w:rPr/>
        <w:t>условиях</w:t>
      </w:r>
      <w:r>
        <w:rPr>
          <w:spacing w:val="32"/>
        </w:rPr>
        <w:t> </w:t>
      </w:r>
      <w:r>
        <w:rPr/>
        <w:t>в</w:t>
      </w:r>
      <w:r>
        <w:rPr>
          <w:spacing w:val="32"/>
        </w:rPr>
        <w:t> </w:t>
      </w:r>
      <w:r>
        <w:rPr/>
        <w:t>два</w:t>
      </w:r>
      <w:r>
        <w:rPr>
          <w:spacing w:val="31"/>
        </w:rPr>
        <w:t> </w:t>
      </w:r>
      <w:r>
        <w:rPr/>
        <w:t>приема</w:t>
      </w:r>
      <w:r>
        <w:rPr>
          <w:spacing w:val="31"/>
        </w:rPr>
        <w:t> </w:t>
      </w:r>
      <w:r>
        <w:rPr/>
        <w:t>с</w:t>
      </w:r>
      <w:r>
        <w:rPr>
          <w:spacing w:val="31"/>
        </w:rPr>
        <w:t> </w:t>
      </w:r>
      <w:r>
        <w:rPr/>
        <w:t>перерывом 7-8 часов. Разовая доза составляет 1,85 мг, суточная – 3,7 мг. Курс лечения – 14 дней (28</w:t>
      </w:r>
      <w:r>
        <w:rPr>
          <w:spacing w:val="80"/>
          <w:w w:val="150"/>
        </w:rPr>
        <w:t> </w:t>
      </w:r>
      <w:r>
        <w:rPr/>
        <w:t>ингаляций).</w:t>
      </w:r>
      <w:r>
        <w:rPr>
          <w:spacing w:val="80"/>
          <w:w w:val="150"/>
        </w:rPr>
        <w:t> </w:t>
      </w:r>
      <w:r>
        <w:rPr/>
        <w:t>Препарат</w:t>
      </w:r>
      <w:r>
        <w:rPr>
          <w:spacing w:val="80"/>
          <w:w w:val="150"/>
        </w:rPr>
        <w:t> </w:t>
      </w:r>
      <w:r>
        <w:rPr/>
        <w:t>противопоказан</w:t>
      </w:r>
      <w:r>
        <w:rPr>
          <w:spacing w:val="80"/>
          <w:w w:val="150"/>
        </w:rPr>
        <w:t> </w:t>
      </w:r>
      <w:r>
        <w:rPr/>
        <w:t>при</w:t>
      </w:r>
      <w:r>
        <w:rPr>
          <w:spacing w:val="80"/>
          <w:w w:val="150"/>
        </w:rPr>
        <w:t> </w:t>
      </w:r>
      <w:r>
        <w:rPr/>
        <w:t>повышенной</w:t>
      </w:r>
      <w:r>
        <w:rPr>
          <w:spacing w:val="80"/>
          <w:w w:val="150"/>
        </w:rPr>
        <w:t> </w:t>
      </w:r>
      <w:r>
        <w:rPr/>
        <w:t>чувствительности к</w:t>
      </w:r>
      <w:r>
        <w:rPr>
          <w:spacing w:val="40"/>
        </w:rPr>
        <w:t> </w:t>
      </w:r>
      <w:r>
        <w:rPr/>
        <w:t>действующему</w:t>
      </w:r>
      <w:r>
        <w:rPr>
          <w:spacing w:val="40"/>
        </w:rPr>
        <w:t> </w:t>
      </w:r>
      <w:r>
        <w:rPr/>
        <w:t>веществу</w:t>
      </w:r>
      <w:r>
        <w:rPr>
          <w:spacing w:val="40"/>
        </w:rPr>
        <w:t> </w:t>
      </w:r>
      <w:r>
        <w:rPr/>
        <w:t>или</w:t>
      </w:r>
      <w:r>
        <w:rPr>
          <w:spacing w:val="40"/>
        </w:rPr>
        <w:t> </w:t>
      </w:r>
      <w:r>
        <w:rPr/>
        <w:t>любому</w:t>
      </w:r>
      <w:r>
        <w:rPr>
          <w:spacing w:val="40"/>
        </w:rPr>
        <w:t> </w:t>
      </w:r>
      <w:r>
        <w:rPr/>
        <w:t>другому</w:t>
      </w:r>
      <w:r>
        <w:rPr>
          <w:spacing w:val="40"/>
        </w:rPr>
        <w:t> </w:t>
      </w:r>
      <w:r>
        <w:rPr/>
        <w:t>компоненту</w:t>
      </w:r>
      <w:r>
        <w:rPr>
          <w:spacing w:val="40"/>
        </w:rPr>
        <w:t> </w:t>
      </w:r>
      <w:r>
        <w:rPr/>
        <w:t>препарата</w:t>
      </w:r>
      <w:r>
        <w:rPr>
          <w:spacing w:val="40"/>
        </w:rPr>
        <w:t> </w:t>
      </w:r>
      <w:r>
        <w:rPr/>
        <w:t>и</w:t>
      </w:r>
      <w:r>
        <w:rPr>
          <w:spacing w:val="40"/>
        </w:rPr>
        <w:t> </w:t>
      </w:r>
      <w:r>
        <w:rPr/>
        <w:t>в</w:t>
      </w:r>
      <w:r>
        <w:rPr>
          <w:spacing w:val="40"/>
        </w:rPr>
        <w:t> </w:t>
      </w:r>
      <w:r>
        <w:rPr/>
        <w:t>связи с отсутствием данных об эффективности и безопасности – при тяжелом течении COVID-19, возрасте младше 18 и старше 65 лет, беременности и в периоде грудного вскармливания, при применении системных ГКС на постоянной основе.</w:t>
      </w:r>
    </w:p>
    <w:p>
      <w:pPr>
        <w:pStyle w:val="BodyText"/>
        <w:spacing w:after="0" w:line="276" w:lineRule="auto"/>
        <w:sectPr>
          <w:pgSz w:w="11900" w:h="16840"/>
          <w:pgMar w:header="0" w:footer="697" w:top="1080" w:bottom="880" w:left="0" w:right="0"/>
        </w:sectPr>
      </w:pPr>
    </w:p>
    <w:p>
      <w:pPr>
        <w:pStyle w:val="BodyText"/>
        <w:spacing w:line="276" w:lineRule="auto" w:before="73"/>
        <w:ind w:right="1272" w:firstLine="707"/>
      </w:pPr>
      <w:bookmarkStart w:name="39" w:id="51"/>
      <w:bookmarkEnd w:id="51"/>
      <w:r>
        <w:rPr/>
      </w:r>
      <w:r>
        <w:rPr/>
        <w:t>Вируснейтрализующим действием в отношении SARS-CoV-2 потенциально обладают искусственные моноклональные антитела (МКА). Рекомбинантные МКА человека класса IgG1, связываясь с неперекрывающимися эпитопами рецептор- связывающего</w:t>
      </w:r>
      <w:r>
        <w:rPr>
          <w:spacing w:val="71"/>
        </w:rPr>
        <w:t> </w:t>
      </w:r>
      <w:r>
        <w:rPr/>
        <w:t>домена</w:t>
      </w:r>
      <w:r>
        <w:rPr>
          <w:spacing w:val="73"/>
        </w:rPr>
        <w:t> </w:t>
      </w:r>
      <w:r>
        <w:rPr/>
        <w:t>S-белка,</w:t>
      </w:r>
      <w:r>
        <w:rPr>
          <w:spacing w:val="71"/>
        </w:rPr>
        <w:t> </w:t>
      </w:r>
      <w:r>
        <w:rPr/>
        <w:t>блокируют</w:t>
      </w:r>
      <w:r>
        <w:rPr>
          <w:spacing w:val="40"/>
        </w:rPr>
        <w:t> </w:t>
      </w:r>
      <w:r>
        <w:rPr/>
        <w:t>взаимодействие</w:t>
      </w:r>
      <w:r>
        <w:rPr>
          <w:spacing w:val="40"/>
        </w:rPr>
        <w:t> </w:t>
      </w:r>
      <w:r>
        <w:rPr/>
        <w:t>S-белка</w:t>
      </w:r>
      <w:r>
        <w:rPr>
          <w:spacing w:val="40"/>
        </w:rPr>
        <w:t> </w:t>
      </w:r>
      <w:r>
        <w:rPr/>
        <w:t>SARS-CoV-2</w:t>
      </w:r>
      <w:r>
        <w:rPr>
          <w:spacing w:val="40"/>
        </w:rPr>
        <w:t> </w:t>
      </w:r>
      <w:r>
        <w:rPr/>
        <w:t>с ангиотензин-превращающим ферментом 2 (АПФ2), что приводит к подавлению инфицирования</w:t>
      </w:r>
      <w:r>
        <w:rPr>
          <w:spacing w:val="40"/>
        </w:rPr>
        <w:t>  </w:t>
      </w:r>
      <w:r>
        <w:rPr/>
        <w:t>клеток</w:t>
      </w:r>
      <w:r>
        <w:rPr>
          <w:spacing w:val="40"/>
        </w:rPr>
        <w:t>  </w:t>
      </w:r>
      <w:r>
        <w:rPr/>
        <w:t>хозяина</w:t>
      </w:r>
      <w:r>
        <w:rPr>
          <w:spacing w:val="40"/>
        </w:rPr>
        <w:t>  </w:t>
      </w:r>
      <w:r>
        <w:rPr/>
        <w:t>и</w:t>
      </w:r>
      <w:r>
        <w:rPr>
          <w:spacing w:val="40"/>
        </w:rPr>
        <w:t>  </w:t>
      </w:r>
      <w:r>
        <w:rPr/>
        <w:t>останавливает</w:t>
      </w:r>
      <w:r>
        <w:rPr>
          <w:spacing w:val="40"/>
        </w:rPr>
        <w:t>  </w:t>
      </w:r>
      <w:r>
        <w:rPr/>
        <w:t>репликацию</w:t>
      </w:r>
      <w:r>
        <w:rPr>
          <w:spacing w:val="40"/>
        </w:rPr>
        <w:t>  </w:t>
      </w:r>
      <w:r>
        <w:rPr/>
        <w:t>вируса.</w:t>
      </w:r>
      <w:r>
        <w:rPr>
          <w:spacing w:val="40"/>
        </w:rPr>
        <w:t>  </w:t>
      </w:r>
      <w:r>
        <w:rPr/>
        <w:t>Ранее в клинической практике использовались однокомпонентные (сотровимаб, регданвимаб), а также комбинированные (бамланивимаб+этесевимаб</w:t>
      </w:r>
      <w:r>
        <w:rPr>
          <w:vertAlign w:val="superscript"/>
        </w:rPr>
        <w:t>1</w:t>
      </w:r>
      <w:r>
        <w:rPr>
          <w:vertAlign w:val="baseline"/>
        </w:rPr>
        <w:t>; касиривимаб+имдевимаб, тиксагевимаб + цилгавимаб) препараты. Данные вируснейтрализующие МКА являются высокоэффективными препаратами и обычно используются для лечения и профилактики COVID-19 в группах риска тяжелого течения заболевания. Однако они высокоселективны в отношении определенных штаммов вируса и при изменении поверхностного S-белка вируса в результате мутаций легко теряют свои вируснейтрализующие свойства. В настоящее время все вышеперечисленные</w:t>
      </w:r>
      <w:r>
        <w:rPr>
          <w:spacing w:val="-12"/>
          <w:vertAlign w:val="baseline"/>
        </w:rPr>
        <w:t> </w:t>
      </w:r>
      <w:r>
        <w:rPr>
          <w:vertAlign w:val="baseline"/>
        </w:rPr>
        <w:t>МКА</w:t>
      </w:r>
      <w:r>
        <w:rPr>
          <w:spacing w:val="-11"/>
          <w:vertAlign w:val="baseline"/>
        </w:rPr>
        <w:t> </w:t>
      </w:r>
      <w:r>
        <w:rPr>
          <w:vertAlign w:val="baseline"/>
        </w:rPr>
        <w:t>являются</w:t>
      </w:r>
      <w:r>
        <w:rPr>
          <w:spacing w:val="-10"/>
          <w:vertAlign w:val="baseline"/>
        </w:rPr>
        <w:t> </w:t>
      </w:r>
      <w:r>
        <w:rPr>
          <w:vertAlign w:val="baseline"/>
        </w:rPr>
        <w:t>не</w:t>
      </w:r>
      <w:r>
        <w:rPr>
          <w:spacing w:val="-11"/>
          <w:vertAlign w:val="baseline"/>
        </w:rPr>
        <w:t> </w:t>
      </w:r>
      <w:r>
        <w:rPr>
          <w:vertAlign w:val="baseline"/>
        </w:rPr>
        <w:t>эффективными</w:t>
      </w:r>
      <w:r>
        <w:rPr>
          <w:spacing w:val="-10"/>
          <w:vertAlign w:val="baseline"/>
        </w:rPr>
        <w:t> </w:t>
      </w:r>
      <w:r>
        <w:rPr>
          <w:vertAlign w:val="baseline"/>
        </w:rPr>
        <w:t>в</w:t>
      </w:r>
      <w:r>
        <w:rPr>
          <w:spacing w:val="-11"/>
          <w:vertAlign w:val="baseline"/>
        </w:rPr>
        <w:t> </w:t>
      </w:r>
      <w:r>
        <w:rPr>
          <w:vertAlign w:val="baseline"/>
        </w:rPr>
        <w:t>отношении</w:t>
      </w:r>
      <w:r>
        <w:rPr>
          <w:spacing w:val="-12"/>
          <w:vertAlign w:val="baseline"/>
        </w:rPr>
        <w:t> </w:t>
      </w:r>
      <w:r>
        <w:rPr>
          <w:vertAlign w:val="baseline"/>
        </w:rPr>
        <w:t>циркулирующих в Российской Федерации и в мире штаммов SARS-CoV-2.</w:t>
      </w:r>
    </w:p>
    <w:p>
      <w:pPr>
        <w:pStyle w:val="BodyText"/>
        <w:spacing w:line="276" w:lineRule="auto"/>
        <w:ind w:right="1278" w:firstLine="707"/>
      </w:pPr>
      <w:r>
        <w:rPr/>
        <w:t>Умифеновир</w:t>
      </w:r>
      <w:r>
        <w:rPr>
          <w:spacing w:val="76"/>
        </w:rPr>
        <w:t> </w:t>
      </w:r>
      <w:r>
        <w:rPr/>
        <w:t>относится</w:t>
      </w:r>
      <w:r>
        <w:rPr>
          <w:spacing w:val="76"/>
        </w:rPr>
        <w:t> </w:t>
      </w:r>
      <w:r>
        <w:rPr/>
        <w:t>к</w:t>
      </w:r>
      <w:r>
        <w:rPr>
          <w:spacing w:val="77"/>
        </w:rPr>
        <w:t> </w:t>
      </w:r>
      <w:r>
        <w:rPr/>
        <w:t>ингибиторам</w:t>
      </w:r>
      <w:r>
        <w:rPr>
          <w:spacing w:val="75"/>
        </w:rPr>
        <w:t> </w:t>
      </w:r>
      <w:r>
        <w:rPr/>
        <w:t>слияния</w:t>
      </w:r>
      <w:r>
        <w:rPr>
          <w:spacing w:val="76"/>
        </w:rPr>
        <w:t> </w:t>
      </w:r>
      <w:r>
        <w:rPr/>
        <w:t>(фузии),</w:t>
      </w:r>
      <w:r>
        <w:rPr>
          <w:spacing w:val="75"/>
        </w:rPr>
        <w:t> </w:t>
      </w:r>
      <w:r>
        <w:rPr/>
        <w:t>взаимодействует с</w:t>
      </w:r>
      <w:r>
        <w:rPr>
          <w:spacing w:val="68"/>
        </w:rPr>
        <w:t> </w:t>
      </w:r>
      <w:r>
        <w:rPr/>
        <w:t>гемагглютинином</w:t>
      </w:r>
      <w:r>
        <w:rPr>
          <w:spacing w:val="66"/>
        </w:rPr>
        <w:t> </w:t>
      </w:r>
      <w:r>
        <w:rPr/>
        <w:t>вируса</w:t>
      </w:r>
      <w:r>
        <w:rPr>
          <w:spacing w:val="68"/>
        </w:rPr>
        <w:t> </w:t>
      </w:r>
      <w:r>
        <w:rPr/>
        <w:t>и</w:t>
      </w:r>
      <w:r>
        <w:rPr>
          <w:spacing w:val="70"/>
        </w:rPr>
        <w:t> </w:t>
      </w:r>
      <w:r>
        <w:rPr/>
        <w:t>препятствует</w:t>
      </w:r>
      <w:r>
        <w:rPr>
          <w:spacing w:val="70"/>
        </w:rPr>
        <w:t> </w:t>
      </w:r>
      <w:r>
        <w:rPr/>
        <w:t>слиянию</w:t>
      </w:r>
      <w:r>
        <w:rPr>
          <w:spacing w:val="69"/>
        </w:rPr>
        <w:t> </w:t>
      </w:r>
      <w:r>
        <w:rPr/>
        <w:t>липидной</w:t>
      </w:r>
      <w:r>
        <w:rPr>
          <w:spacing w:val="70"/>
        </w:rPr>
        <w:t> </w:t>
      </w:r>
      <w:r>
        <w:rPr/>
        <w:t>оболочки</w:t>
      </w:r>
      <w:r>
        <w:rPr>
          <w:spacing w:val="71"/>
        </w:rPr>
        <w:t> </w:t>
      </w:r>
      <w:r>
        <w:rPr/>
        <w:t>вируса и клеточных мембран.</w:t>
      </w:r>
    </w:p>
    <w:p>
      <w:pPr>
        <w:pStyle w:val="BodyText"/>
        <w:spacing w:line="276" w:lineRule="auto"/>
        <w:ind w:right="1275" w:firstLine="707"/>
      </w:pPr>
      <w:r>
        <w:rPr/>
        <w:t>Имидазолилэтанамид пентандиовой кислоты на уровне инфицированных клеток активирует факторы врожденного иммунитета, подавляемых вирусными белками; подавляет продукцию ключевых провоспалительных цитокинов (фактора некроза опухоли (TNF-α), интерлейкинов (IL-1β и IL-6)), снижением активности </w:t>
      </w:r>
      <w:r>
        <w:rPr>
          <w:spacing w:val="-2"/>
        </w:rPr>
        <w:t>миелопероксидазы.</w:t>
      </w:r>
    </w:p>
    <w:p>
      <w:pPr>
        <w:pStyle w:val="BodyText"/>
        <w:spacing w:line="276" w:lineRule="auto"/>
        <w:ind w:right="1271" w:firstLine="707"/>
      </w:pPr>
      <w:r>
        <w:rPr/>
        <w:t>Рекомбинантный интерферон альфа (ИФН-α) для интраназального введения обладает иммуномодулирующим, противовоспалительным и противовирусным действием. Механизм действия основан на предотвращении репликации вирусов, попадающих в организм через дыхательные пути.</w:t>
      </w:r>
    </w:p>
    <w:p>
      <w:pPr>
        <w:pStyle w:val="BodyText"/>
        <w:spacing w:line="276" w:lineRule="auto" w:before="92"/>
        <w:ind w:right="1272" w:firstLine="707"/>
      </w:pPr>
      <w:r>
        <w:rPr/>
        <w:t>Этиотропное лечение COVID-19, особенно у больных с сопутствующей патологией, требует внимания к возможным лекарственным взаимодействиям. Лекарственные</w:t>
      </w:r>
      <w:r>
        <w:rPr>
          <w:spacing w:val="80"/>
          <w:w w:val="150"/>
        </w:rPr>
        <w:t> </w:t>
      </w:r>
      <w:r>
        <w:rPr/>
        <w:t>препараты,</w:t>
      </w:r>
      <w:r>
        <w:rPr>
          <w:spacing w:val="80"/>
          <w:w w:val="150"/>
        </w:rPr>
        <w:t> </w:t>
      </w:r>
      <w:r>
        <w:rPr/>
        <w:t>которые</w:t>
      </w:r>
      <w:r>
        <w:rPr>
          <w:spacing w:val="80"/>
          <w:w w:val="150"/>
        </w:rPr>
        <w:t> </w:t>
      </w:r>
      <w:r>
        <w:rPr/>
        <w:t>запрещено</w:t>
      </w:r>
      <w:r>
        <w:rPr>
          <w:spacing w:val="80"/>
          <w:w w:val="150"/>
        </w:rPr>
        <w:t> </w:t>
      </w:r>
      <w:r>
        <w:rPr/>
        <w:t>или</w:t>
      </w:r>
      <w:r>
        <w:rPr>
          <w:spacing w:val="80"/>
          <w:w w:val="150"/>
        </w:rPr>
        <w:t> </w:t>
      </w:r>
      <w:r>
        <w:rPr/>
        <w:t>нежелательно</w:t>
      </w:r>
      <w:r>
        <w:rPr>
          <w:spacing w:val="80"/>
          <w:w w:val="150"/>
        </w:rPr>
        <w:t> </w:t>
      </w:r>
      <w:r>
        <w:rPr/>
        <w:t>принимать</w:t>
      </w:r>
      <w:r>
        <w:rPr>
          <w:spacing w:val="80"/>
        </w:rPr>
        <w:t> </w:t>
      </w:r>
      <w:r>
        <w:rPr/>
        <w:t>с</w:t>
      </w:r>
      <w:r>
        <w:rPr>
          <w:spacing w:val="-5"/>
        </w:rPr>
        <w:t> </w:t>
      </w:r>
      <w:r>
        <w:rPr/>
        <w:t>этиотропной терапией COVID-19, можно найти на сайте </w:t>
      </w:r>
      <w:r>
        <w:rPr>
          <w:color w:val="0462C1"/>
          <w:u w:val="single" w:color="0462C1"/>
        </w:rPr>
        <w:t>https://www.covid19-</w:t>
      </w:r>
      <w:r>
        <w:rPr>
          <w:color w:val="0462C1"/>
        </w:rPr>
        <w:t> </w:t>
      </w:r>
      <w:r>
        <w:rPr>
          <w:color w:val="0462C1"/>
          <w:u w:val="single" w:color="0462C1"/>
        </w:rPr>
        <w:t>druginteractions.org/</w:t>
      </w:r>
      <w:r>
        <w:rPr/>
        <w:t>.</w:t>
      </w:r>
      <w:r>
        <w:rPr>
          <w:spacing w:val="80"/>
        </w:rPr>
        <w:t>   </w:t>
      </w:r>
      <w:r>
        <w:rPr/>
        <w:t>Лекарственные</w:t>
      </w:r>
      <w:r>
        <w:rPr>
          <w:spacing w:val="80"/>
        </w:rPr>
        <w:t>   </w:t>
      </w:r>
      <w:r>
        <w:rPr/>
        <w:t>взаимодействия</w:t>
      </w:r>
      <w:r>
        <w:rPr>
          <w:spacing w:val="80"/>
        </w:rPr>
        <w:t>   </w:t>
      </w:r>
      <w:r>
        <w:rPr/>
        <w:t>антитромботических и препаратов для лечения пациентов с COVID-19 указаны в </w:t>
      </w:r>
      <w:r>
        <w:rPr>
          <w:color w:val="0462C1"/>
          <w:u w:val="single" w:color="0462C1"/>
        </w:rPr>
        <w:t>Приложении 4</w:t>
      </w:r>
      <w:r>
        <w:rPr/>
        <w:t>.</w:t>
      </w:r>
    </w:p>
    <w:p>
      <w:pPr>
        <w:pStyle w:val="BodyText"/>
        <w:ind w:left="2549"/>
      </w:pPr>
      <w:r>
        <w:rPr/>
        <w:t>Принимая</w:t>
      </w:r>
      <w:r>
        <w:rPr>
          <w:spacing w:val="7"/>
        </w:rPr>
        <w:t> </w:t>
      </w:r>
      <w:r>
        <w:rPr/>
        <w:t>во</w:t>
      </w:r>
      <w:r>
        <w:rPr>
          <w:spacing w:val="7"/>
        </w:rPr>
        <w:t> </w:t>
      </w:r>
      <w:r>
        <w:rPr/>
        <w:t>внимание</w:t>
      </w:r>
      <w:r>
        <w:rPr>
          <w:spacing w:val="6"/>
        </w:rPr>
        <w:t> </w:t>
      </w:r>
      <w:r>
        <w:rPr/>
        <w:t>сходство</w:t>
      </w:r>
      <w:r>
        <w:rPr>
          <w:spacing w:val="8"/>
        </w:rPr>
        <w:t> </w:t>
      </w:r>
      <w:r>
        <w:rPr/>
        <w:t>клинической</w:t>
      </w:r>
      <w:r>
        <w:rPr>
          <w:spacing w:val="6"/>
        </w:rPr>
        <w:t> </w:t>
      </w:r>
      <w:r>
        <w:rPr/>
        <w:t>картины</w:t>
      </w:r>
      <w:r>
        <w:rPr>
          <w:spacing w:val="6"/>
        </w:rPr>
        <w:t> </w:t>
      </w:r>
      <w:r>
        <w:rPr/>
        <w:t>легких</w:t>
      </w:r>
      <w:r>
        <w:rPr>
          <w:spacing w:val="7"/>
        </w:rPr>
        <w:t> </w:t>
      </w:r>
      <w:r>
        <w:rPr/>
        <w:t>форм</w:t>
      </w:r>
      <w:r>
        <w:rPr>
          <w:spacing w:val="5"/>
        </w:rPr>
        <w:t> </w:t>
      </w:r>
      <w:r>
        <w:rPr>
          <w:spacing w:val="-2"/>
        </w:rPr>
        <w:t>COVID-</w:t>
      </w:r>
    </w:p>
    <w:p>
      <w:pPr>
        <w:pStyle w:val="BodyText"/>
        <w:spacing w:line="276" w:lineRule="auto" w:before="40"/>
        <w:ind w:right="1275"/>
      </w:pPr>
      <w:r>
        <w:rPr/>
        <w:t>19 с клинической картиной сезонных ОРВИ, до подтверждения этиологического диагноза в схемы терапии следует включать препараты, рекомендованные для лечения сезонных ОРВИ в соответствии Клиническими рекомендациями «Острые респираторные вирусные инфекции (ОРВИ) у взрослых», одобренные Минздравом </w:t>
      </w:r>
      <w:r>
        <w:rPr>
          <w:spacing w:val="-2"/>
        </w:rPr>
        <w:t>России.</w:t>
      </w:r>
    </w:p>
    <w:p>
      <w:pPr>
        <w:pStyle w:val="BodyText"/>
        <w:spacing w:line="276" w:lineRule="auto"/>
        <w:ind w:right="1273" w:firstLine="707"/>
      </w:pPr>
      <w:r>
        <w:rPr/>
        <w:t>Согласно</w:t>
      </w:r>
      <w:r>
        <w:rPr>
          <w:spacing w:val="80"/>
          <w:w w:val="150"/>
        </w:rPr>
        <w:t>  </w:t>
      </w:r>
      <w:r>
        <w:rPr/>
        <w:t>рекомендациям</w:t>
      </w:r>
      <w:r>
        <w:rPr>
          <w:spacing w:val="80"/>
          <w:w w:val="150"/>
        </w:rPr>
        <w:t>  </w:t>
      </w:r>
      <w:r>
        <w:rPr/>
        <w:t>ВОЗ</w:t>
      </w:r>
      <w:r>
        <w:rPr>
          <w:spacing w:val="80"/>
          <w:w w:val="150"/>
        </w:rPr>
        <w:t>  </w:t>
      </w:r>
      <w:r>
        <w:rPr/>
        <w:t>возможно</w:t>
      </w:r>
      <w:r>
        <w:rPr>
          <w:spacing w:val="80"/>
          <w:w w:val="150"/>
        </w:rPr>
        <w:t>  </w:t>
      </w:r>
      <w:r>
        <w:rPr/>
        <w:t>назначение</w:t>
      </w:r>
      <w:r>
        <w:rPr>
          <w:spacing w:val="80"/>
          <w:w w:val="150"/>
        </w:rPr>
        <w:t>  </w:t>
      </w:r>
      <w:r>
        <w:rPr/>
        <w:t>препаратов с</w:t>
      </w:r>
      <w:r>
        <w:rPr>
          <w:spacing w:val="-5"/>
        </w:rPr>
        <w:t> </w:t>
      </w:r>
      <w:r>
        <w:rPr/>
        <w:t>предполагаемой</w:t>
      </w:r>
      <w:r>
        <w:rPr>
          <w:spacing w:val="80"/>
        </w:rPr>
        <w:t> </w:t>
      </w:r>
      <w:r>
        <w:rPr/>
        <w:t>этиотропной</w:t>
      </w:r>
      <w:r>
        <w:rPr>
          <w:spacing w:val="80"/>
        </w:rPr>
        <w:t> </w:t>
      </w:r>
      <w:r>
        <w:rPr/>
        <w:t>эффективностью</w:t>
      </w:r>
      <w:r>
        <w:rPr>
          <w:spacing w:val="80"/>
        </w:rPr>
        <w:t> </w:t>
      </w:r>
      <w:r>
        <w:rPr/>
        <w:t>«off-label»</w:t>
      </w:r>
      <w:r>
        <w:rPr>
          <w:spacing w:val="80"/>
        </w:rPr>
        <w:t> </w:t>
      </w:r>
      <w:r>
        <w:rPr/>
        <w:t>(то</w:t>
      </w:r>
      <w:r>
        <w:rPr>
          <w:spacing w:val="80"/>
        </w:rPr>
        <w:t> </w:t>
      </w:r>
      <w:r>
        <w:rPr/>
        <w:t>есть</w:t>
      </w:r>
      <w:r>
        <w:rPr>
          <w:spacing w:val="80"/>
        </w:rPr>
        <w:t> </w:t>
      </w:r>
      <w:r>
        <w:rPr/>
        <w:t>применение с</w:t>
      </w:r>
      <w:r>
        <w:rPr>
          <w:spacing w:val="-6"/>
        </w:rPr>
        <w:t> </w:t>
      </w:r>
      <w:r>
        <w:rPr/>
        <w:t>медицинской целью не соответствует инструкции по медицинскому применению), при</w:t>
      </w:r>
      <w:r>
        <w:rPr>
          <w:spacing w:val="60"/>
          <w:w w:val="150"/>
        </w:rPr>
        <w:t>  </w:t>
      </w:r>
      <w:r>
        <w:rPr/>
        <w:t>этом</w:t>
      </w:r>
      <w:r>
        <w:rPr>
          <w:spacing w:val="60"/>
          <w:w w:val="150"/>
        </w:rPr>
        <w:t>  </w:t>
      </w:r>
      <w:r>
        <w:rPr/>
        <w:t>их</w:t>
      </w:r>
      <w:r>
        <w:rPr>
          <w:spacing w:val="61"/>
          <w:w w:val="150"/>
        </w:rPr>
        <w:t>  </w:t>
      </w:r>
      <w:r>
        <w:rPr/>
        <w:t>назначение</w:t>
      </w:r>
      <w:r>
        <w:rPr>
          <w:spacing w:val="60"/>
          <w:w w:val="150"/>
        </w:rPr>
        <w:t>  </w:t>
      </w:r>
      <w:r>
        <w:rPr/>
        <w:t>должно</w:t>
      </w:r>
      <w:r>
        <w:rPr>
          <w:spacing w:val="60"/>
          <w:w w:val="150"/>
        </w:rPr>
        <w:t>  </w:t>
      </w:r>
      <w:r>
        <w:rPr/>
        <w:t>соответствовать</w:t>
      </w:r>
      <w:r>
        <w:rPr>
          <w:spacing w:val="61"/>
          <w:w w:val="150"/>
        </w:rPr>
        <w:t>  </w:t>
      </w:r>
      <w:r>
        <w:rPr/>
        <w:t>этическим</w:t>
      </w:r>
      <w:r>
        <w:rPr>
          <w:spacing w:val="60"/>
          <w:w w:val="150"/>
        </w:rPr>
        <w:t>  </w:t>
      </w:r>
      <w:r>
        <w:rPr>
          <w:spacing w:val="-2"/>
        </w:rPr>
        <w:t>нормам,</w:t>
      </w:r>
    </w:p>
    <w:p>
      <w:pPr>
        <w:pStyle w:val="BodyText"/>
        <w:spacing w:after="0" w:line="276" w:lineRule="auto"/>
        <w:sectPr>
          <w:pgSz w:w="11900" w:h="16840"/>
          <w:pgMar w:header="0" w:footer="697" w:top="1080" w:bottom="880" w:left="0" w:right="0"/>
        </w:sectPr>
      </w:pPr>
    </w:p>
    <w:p>
      <w:pPr>
        <w:pStyle w:val="BodyText"/>
        <w:spacing w:line="276" w:lineRule="auto" w:before="73"/>
        <w:ind w:right="1272"/>
      </w:pPr>
      <w:bookmarkStart w:name="40" w:id="52"/>
      <w:bookmarkEnd w:id="52"/>
      <w:r>
        <w:rPr/>
      </w:r>
      <w:r>
        <w:rPr/>
        <w:t>рекомендованным</w:t>
      </w:r>
      <w:r>
        <w:rPr>
          <w:spacing w:val="80"/>
        </w:rPr>
        <w:t> </w:t>
      </w:r>
      <w:r>
        <w:rPr/>
        <w:t>ВОЗ,</w:t>
      </w:r>
      <w:r>
        <w:rPr>
          <w:spacing w:val="80"/>
        </w:rPr>
        <w:t> </w:t>
      </w:r>
      <w:r>
        <w:rPr/>
        <w:t>и</w:t>
      </w:r>
      <w:r>
        <w:rPr>
          <w:spacing w:val="80"/>
        </w:rPr>
        <w:t> </w:t>
      </w:r>
      <w:r>
        <w:rPr/>
        <w:t>осуществляться</w:t>
      </w:r>
      <w:r>
        <w:rPr>
          <w:spacing w:val="80"/>
        </w:rPr>
        <w:t> </w:t>
      </w:r>
      <w:r>
        <w:rPr/>
        <w:t>на</w:t>
      </w:r>
      <w:r>
        <w:rPr>
          <w:spacing w:val="80"/>
        </w:rPr>
        <w:t> </w:t>
      </w:r>
      <w:r>
        <w:rPr/>
        <w:t>основании:</w:t>
      </w:r>
      <w:r>
        <w:rPr>
          <w:spacing w:val="80"/>
        </w:rPr>
        <w:t> </w:t>
      </w:r>
      <w:r>
        <w:rPr/>
        <w:t>Федерального</w:t>
      </w:r>
      <w:r>
        <w:rPr>
          <w:spacing w:val="80"/>
        </w:rPr>
        <w:t> </w:t>
      </w:r>
      <w:r>
        <w:rPr/>
        <w:t>закона от 21 ноября 2011 г. № 323-ФЗ «Об основах охраны здоровья граждан в Российской Федерации», Федерального закона от 12 апреля 2010 г. № 61-ФЗ «Об обращении лекарственных</w:t>
      </w:r>
      <w:r>
        <w:rPr>
          <w:spacing w:val="40"/>
        </w:rPr>
        <w:t> </w:t>
      </w:r>
      <w:r>
        <w:rPr/>
        <w:t>средств»,</w:t>
      </w:r>
      <w:r>
        <w:rPr>
          <w:spacing w:val="40"/>
        </w:rPr>
        <w:t> </w:t>
      </w:r>
      <w:r>
        <w:rPr/>
        <w:t>Национального</w:t>
      </w:r>
      <w:r>
        <w:rPr>
          <w:spacing w:val="40"/>
        </w:rPr>
        <w:t> </w:t>
      </w:r>
      <w:r>
        <w:rPr/>
        <w:t>стандарта</w:t>
      </w:r>
      <w:r>
        <w:rPr>
          <w:spacing w:val="40"/>
        </w:rPr>
        <w:t> </w:t>
      </w:r>
      <w:r>
        <w:rPr/>
        <w:t>Российской</w:t>
      </w:r>
      <w:r>
        <w:rPr>
          <w:spacing w:val="40"/>
        </w:rPr>
        <w:t> </w:t>
      </w:r>
      <w:r>
        <w:rPr/>
        <w:t>Федерации</w:t>
      </w:r>
      <w:r>
        <w:rPr>
          <w:spacing w:val="40"/>
        </w:rPr>
        <w:t> </w:t>
      </w:r>
      <w:r>
        <w:rPr/>
        <w:t>ГОСТ Р ИСО 14155-2014 «Надлежащая клиническая практика», приказа Министерства здравоохранения</w:t>
      </w:r>
      <w:r>
        <w:rPr>
          <w:spacing w:val="-14"/>
        </w:rPr>
        <w:t> </w:t>
      </w:r>
      <w:r>
        <w:rPr/>
        <w:t>Российской</w:t>
      </w:r>
      <w:r>
        <w:rPr>
          <w:spacing w:val="-13"/>
        </w:rPr>
        <w:t> </w:t>
      </w:r>
      <w:r>
        <w:rPr/>
        <w:t>Федерации</w:t>
      </w:r>
      <w:r>
        <w:rPr>
          <w:spacing w:val="-13"/>
        </w:rPr>
        <w:t> </w:t>
      </w:r>
      <w:r>
        <w:rPr/>
        <w:t>от</w:t>
      </w:r>
      <w:r>
        <w:rPr>
          <w:spacing w:val="-13"/>
        </w:rPr>
        <w:t> </w:t>
      </w:r>
      <w:r>
        <w:rPr/>
        <w:t>1</w:t>
      </w:r>
      <w:r>
        <w:rPr>
          <w:spacing w:val="-14"/>
        </w:rPr>
        <w:t> </w:t>
      </w:r>
      <w:r>
        <w:rPr/>
        <w:t>апреля</w:t>
      </w:r>
      <w:r>
        <w:rPr>
          <w:spacing w:val="-14"/>
        </w:rPr>
        <w:t> </w:t>
      </w:r>
      <w:r>
        <w:rPr/>
        <w:t>2016</w:t>
      </w:r>
      <w:r>
        <w:rPr>
          <w:spacing w:val="-14"/>
        </w:rPr>
        <w:t> </w:t>
      </w:r>
      <w:r>
        <w:rPr/>
        <w:t>г.</w:t>
      </w:r>
      <w:r>
        <w:rPr>
          <w:spacing w:val="-14"/>
        </w:rPr>
        <w:t> </w:t>
      </w:r>
      <w:r>
        <w:rPr/>
        <w:t>№</w:t>
      </w:r>
      <w:r>
        <w:rPr>
          <w:spacing w:val="-15"/>
        </w:rPr>
        <w:t> </w:t>
      </w:r>
      <w:r>
        <w:rPr/>
        <w:t>200н</w:t>
      </w:r>
      <w:r>
        <w:rPr>
          <w:spacing w:val="-13"/>
        </w:rPr>
        <w:t> </w:t>
      </w:r>
      <w:r>
        <w:rPr/>
        <w:t>«Об</w:t>
      </w:r>
      <w:r>
        <w:rPr>
          <w:spacing w:val="-14"/>
        </w:rPr>
        <w:t> </w:t>
      </w:r>
      <w:r>
        <w:rPr/>
        <w:t>утверждении правил надлежащей клинической практики» (зарегистрирован Министерством юстиции Российской Федерации 23 августа 2016 г., регистрационный № 43357), Хельсинкской</w:t>
      </w:r>
      <w:r>
        <w:rPr>
          <w:spacing w:val="-1"/>
        </w:rPr>
        <w:t> </w:t>
      </w:r>
      <w:r>
        <w:rPr/>
        <w:t>декларации</w:t>
      </w:r>
      <w:r>
        <w:rPr>
          <w:spacing w:val="-1"/>
        </w:rPr>
        <w:t> </w:t>
      </w:r>
      <w:r>
        <w:rPr/>
        <w:t>Всемирной</w:t>
      </w:r>
      <w:r>
        <w:rPr>
          <w:spacing w:val="-1"/>
        </w:rPr>
        <w:t> </w:t>
      </w:r>
      <w:r>
        <w:rPr/>
        <w:t>медицинской</w:t>
      </w:r>
      <w:r>
        <w:rPr>
          <w:spacing w:val="-1"/>
        </w:rPr>
        <w:t> </w:t>
      </w:r>
      <w:r>
        <w:rPr/>
        <w:t>ассоциации</w:t>
      </w:r>
      <w:r>
        <w:rPr>
          <w:spacing w:val="-1"/>
        </w:rPr>
        <w:t> </w:t>
      </w:r>
      <w:r>
        <w:rPr/>
        <w:t>(ВМА)</w:t>
      </w:r>
      <w:r>
        <w:rPr>
          <w:spacing w:val="-3"/>
        </w:rPr>
        <w:t> </w:t>
      </w:r>
      <w:r>
        <w:rPr/>
        <w:t>об</w:t>
      </w:r>
      <w:r>
        <w:rPr>
          <w:spacing w:val="-2"/>
        </w:rPr>
        <w:t> </w:t>
      </w:r>
      <w:r>
        <w:rPr/>
        <w:t>этических принципах проведения исследований с участием человека в качестве субъекта, декларированных</w:t>
      </w:r>
      <w:r>
        <w:rPr>
          <w:spacing w:val="80"/>
          <w:w w:val="150"/>
        </w:rPr>
        <w:t> </w:t>
      </w:r>
      <w:r>
        <w:rPr/>
        <w:t>на</w:t>
      </w:r>
      <w:r>
        <w:rPr>
          <w:spacing w:val="80"/>
          <w:w w:val="150"/>
        </w:rPr>
        <w:t> </w:t>
      </w:r>
      <w:r>
        <w:rPr/>
        <w:t>64-ой</w:t>
      </w:r>
      <w:r>
        <w:rPr>
          <w:spacing w:val="80"/>
          <w:w w:val="150"/>
        </w:rPr>
        <w:t> </w:t>
      </w:r>
      <w:r>
        <w:rPr/>
        <w:t>Генеральной</w:t>
      </w:r>
      <w:r>
        <w:rPr>
          <w:spacing w:val="80"/>
          <w:w w:val="150"/>
        </w:rPr>
        <w:t> </w:t>
      </w:r>
      <w:r>
        <w:rPr/>
        <w:t>ассамблее</w:t>
      </w:r>
      <w:r>
        <w:rPr>
          <w:spacing w:val="80"/>
          <w:w w:val="150"/>
        </w:rPr>
        <w:t> </w:t>
      </w:r>
      <w:r>
        <w:rPr/>
        <w:t>ВМА,</w:t>
      </w:r>
      <w:r>
        <w:rPr>
          <w:spacing w:val="80"/>
          <w:w w:val="150"/>
        </w:rPr>
        <w:t> </w:t>
      </w:r>
      <w:r>
        <w:rPr/>
        <w:t>Форталеза,</w:t>
      </w:r>
      <w:r>
        <w:rPr>
          <w:spacing w:val="40"/>
        </w:rPr>
        <w:t> </w:t>
      </w:r>
      <w:r>
        <w:rPr/>
        <w:t>Бразилия, 2013 г.</w:t>
      </w:r>
    </w:p>
    <w:p>
      <w:pPr>
        <w:pStyle w:val="BodyText"/>
        <w:spacing w:line="276" w:lineRule="auto"/>
        <w:ind w:right="1276" w:firstLine="707"/>
      </w:pPr>
      <w:r>
        <w:rPr/>
        <w:t>Информация</w:t>
      </w:r>
      <w:r>
        <w:rPr>
          <w:spacing w:val="80"/>
        </w:rPr>
        <w:t> </w:t>
      </w:r>
      <w:r>
        <w:rPr/>
        <w:t>о</w:t>
      </w:r>
      <w:r>
        <w:rPr>
          <w:spacing w:val="80"/>
        </w:rPr>
        <w:t> </w:t>
      </w:r>
      <w:r>
        <w:rPr/>
        <w:t>случаях</w:t>
      </w:r>
      <w:r>
        <w:rPr>
          <w:spacing w:val="80"/>
        </w:rPr>
        <w:t> </w:t>
      </w:r>
      <w:r>
        <w:rPr/>
        <w:t>побочных</w:t>
      </w:r>
      <w:r>
        <w:rPr>
          <w:spacing w:val="80"/>
        </w:rPr>
        <w:t> </w:t>
      </w:r>
      <w:r>
        <w:rPr/>
        <w:t>действий,</w:t>
      </w:r>
      <w:r>
        <w:rPr>
          <w:spacing w:val="40"/>
        </w:rPr>
        <w:t> </w:t>
      </w:r>
      <w:r>
        <w:rPr/>
        <w:t>не</w:t>
      </w:r>
      <w:r>
        <w:rPr>
          <w:spacing w:val="40"/>
        </w:rPr>
        <w:t> </w:t>
      </w:r>
      <w:r>
        <w:rPr/>
        <w:t>указанных</w:t>
      </w:r>
      <w:r>
        <w:rPr>
          <w:spacing w:val="40"/>
        </w:rPr>
        <w:t> </w:t>
      </w:r>
      <w:r>
        <w:rPr/>
        <w:t>в</w:t>
      </w:r>
      <w:r>
        <w:rPr>
          <w:spacing w:val="40"/>
        </w:rPr>
        <w:t> </w:t>
      </w:r>
      <w:r>
        <w:rPr/>
        <w:t>инструкции по</w:t>
      </w:r>
      <w:r>
        <w:rPr>
          <w:spacing w:val="-4"/>
        </w:rPr>
        <w:t> </w:t>
      </w:r>
      <w:r>
        <w:rPr/>
        <w:t>применению лекарственных препаратов, о серьезных нежелательных реакциях, непредвиденных нежелательных реакциях при применении лекарственных препаратов, об особенностях взаимодействия лекарственных препаратов с другими лекарственными препаратами должна собираться и передаваться в установленном порядке в Росздравнадзор.</w:t>
      </w:r>
    </w:p>
    <w:p>
      <w:pPr>
        <w:pStyle w:val="Heading3"/>
        <w:spacing w:line="278" w:lineRule="auto" w:before="114"/>
        <w:ind w:left="1841" w:right="1282" w:firstLine="707"/>
      </w:pPr>
      <w:r>
        <w:rPr>
          <w:color w:val="1F487C"/>
        </w:rPr>
        <w:t>Этиотропное лечение гриппа в период совместной циркуляции вируса гриппа и SARS-CoV-2</w:t>
      </w:r>
    </w:p>
    <w:p>
      <w:pPr>
        <w:pStyle w:val="BodyText"/>
        <w:spacing w:line="276" w:lineRule="auto" w:before="115"/>
        <w:ind w:right="1274" w:firstLine="707"/>
      </w:pPr>
      <w:r>
        <w:rPr/>
        <w:t>Лечение взрослых и детей с ОРВИ, гриппом, COVID-19 и пневмонией осуществляется</w:t>
      </w:r>
      <w:r>
        <w:rPr>
          <w:spacing w:val="40"/>
        </w:rPr>
        <w:t> </w:t>
      </w:r>
      <w:r>
        <w:rPr/>
        <w:t>в</w:t>
      </w:r>
      <w:r>
        <w:rPr>
          <w:spacing w:val="40"/>
        </w:rPr>
        <w:t> </w:t>
      </w:r>
      <w:r>
        <w:rPr/>
        <w:t>соответствии</w:t>
      </w:r>
      <w:r>
        <w:rPr>
          <w:spacing w:val="40"/>
        </w:rPr>
        <w:t> </w:t>
      </w:r>
      <w:r>
        <w:rPr/>
        <w:t>с</w:t>
      </w:r>
      <w:r>
        <w:rPr>
          <w:spacing w:val="40"/>
        </w:rPr>
        <w:t> </w:t>
      </w:r>
      <w:r>
        <w:rPr/>
        <w:t>действующими</w:t>
      </w:r>
      <w:r>
        <w:rPr>
          <w:spacing w:val="40"/>
        </w:rPr>
        <w:t> </w:t>
      </w:r>
      <w:r>
        <w:rPr/>
        <w:t>клиническими</w:t>
      </w:r>
      <w:r>
        <w:rPr>
          <w:spacing w:val="40"/>
        </w:rPr>
        <w:t> </w:t>
      </w:r>
      <w:r>
        <w:rPr/>
        <w:t>рекомендациями</w:t>
      </w:r>
      <w:r>
        <w:rPr>
          <w:spacing w:val="80"/>
        </w:rPr>
        <w:t> </w:t>
      </w:r>
      <w:r>
        <w:rPr/>
        <w:t>и временными методическими рекомендациями (https://cr.minzdrav.gov.ru/).</w:t>
      </w:r>
    </w:p>
    <w:p>
      <w:pPr>
        <w:pStyle w:val="BodyText"/>
        <w:spacing w:line="276" w:lineRule="auto"/>
        <w:ind w:right="1274" w:firstLine="707"/>
      </w:pPr>
      <w:r>
        <w:rPr/>
        <w:t>Противовирусное лечение гриппа одинаково для всех пациентов, независимо от наличия или отсутствия коинфекции SARS-CoV-2. Клинически значимые взаимодействия между лекарственными средствами, которые используются для лечения COVID-19, и противовирусными препаратами для лечения гриппа </w:t>
      </w:r>
      <w:r>
        <w:rPr>
          <w:spacing w:val="-2"/>
        </w:rPr>
        <w:t>отсутствуют.</w:t>
      </w:r>
    </w:p>
    <w:p>
      <w:pPr>
        <w:pStyle w:val="BodyText"/>
        <w:spacing w:line="276" w:lineRule="auto" w:before="13"/>
        <w:ind w:right="1270" w:firstLine="707"/>
      </w:pPr>
      <w:r>
        <w:rPr/>
        <w:t>В период сезонного подъема заболеваемости гриппом и ОРВИ лабораторное тестирование на SARS-COV-2 и грипп рекомендуется проводить всем госпитализированным пациентам с признаками ОРВИ.</w:t>
      </w:r>
      <w:r>
        <w:rPr>
          <w:spacing w:val="40"/>
        </w:rPr>
        <w:t> </w:t>
      </w:r>
      <w:r>
        <w:rPr/>
        <w:t>Лабораторное тестирование на</w:t>
      </w:r>
      <w:r>
        <w:rPr>
          <w:spacing w:val="19"/>
        </w:rPr>
        <w:t> </w:t>
      </w:r>
      <w:r>
        <w:rPr/>
        <w:t>грипп</w:t>
      </w:r>
      <w:r>
        <w:rPr>
          <w:spacing w:val="21"/>
        </w:rPr>
        <w:t> </w:t>
      </w:r>
      <w:r>
        <w:rPr/>
        <w:t>в дополнение к</w:t>
      </w:r>
      <w:r>
        <w:rPr>
          <w:spacing w:val="19"/>
        </w:rPr>
        <w:t> </w:t>
      </w:r>
      <w:r>
        <w:rPr/>
        <w:t>тестированию на SARS-CoV-2</w:t>
      </w:r>
      <w:r>
        <w:rPr>
          <w:spacing w:val="20"/>
        </w:rPr>
        <w:t> </w:t>
      </w:r>
      <w:r>
        <w:rPr/>
        <w:t>у</w:t>
      </w:r>
      <w:r>
        <w:rPr>
          <w:spacing w:val="20"/>
        </w:rPr>
        <w:t> </w:t>
      </w:r>
      <w:r>
        <w:rPr/>
        <w:t>амбулаторных</w:t>
      </w:r>
      <w:r>
        <w:rPr>
          <w:spacing w:val="20"/>
        </w:rPr>
        <w:t> </w:t>
      </w:r>
      <w:r>
        <w:rPr/>
        <w:t>пациентов с признаками ОРВИ рекомендуется проводить в случае подозрения на коинфекцию вирусами гриппа и SARS-COV-2 или в случае, если при получении положительного результата лабораторного исследования на вирус гриппа потребуется изменение тактики ведения пациента.</w:t>
      </w:r>
    </w:p>
    <w:p>
      <w:pPr>
        <w:pStyle w:val="BodyText"/>
        <w:spacing w:line="278" w:lineRule="auto" w:before="10"/>
        <w:ind w:right="1274" w:firstLine="707"/>
      </w:pPr>
      <w:r>
        <w:rPr/>
        <w:t>В условиях приемного отделения инфекционных стационаров необходимо обеспечить проведение</w:t>
      </w:r>
      <w:r>
        <w:rPr>
          <w:spacing w:val="-2"/>
        </w:rPr>
        <w:t> </w:t>
      </w:r>
      <w:r>
        <w:rPr/>
        <w:t>диагностики с</w:t>
      </w:r>
      <w:r>
        <w:rPr>
          <w:spacing w:val="-3"/>
        </w:rPr>
        <w:t> </w:t>
      </w:r>
      <w:r>
        <w:rPr/>
        <w:t>помощью</w:t>
      </w:r>
      <w:r>
        <w:rPr>
          <w:spacing w:val="-1"/>
        </w:rPr>
        <w:t> </w:t>
      </w:r>
      <w:r>
        <w:rPr/>
        <w:t>экспресс-тестов</w:t>
      </w:r>
      <w:r>
        <w:rPr>
          <w:spacing w:val="-2"/>
        </w:rPr>
        <w:t> </w:t>
      </w:r>
      <w:r>
        <w:rPr/>
        <w:t>на</w:t>
      </w:r>
      <w:r>
        <w:rPr>
          <w:spacing w:val="-2"/>
        </w:rPr>
        <w:t> </w:t>
      </w:r>
      <w:r>
        <w:rPr/>
        <w:t>грипп</w:t>
      </w:r>
      <w:r>
        <w:rPr>
          <w:spacing w:val="-3"/>
        </w:rPr>
        <w:t> </w:t>
      </w:r>
      <w:r>
        <w:rPr/>
        <w:t>и</w:t>
      </w:r>
      <w:r>
        <w:rPr>
          <w:spacing w:val="-1"/>
        </w:rPr>
        <w:t> </w:t>
      </w:r>
      <w:r>
        <w:rPr>
          <w:spacing w:val="-2"/>
        </w:rPr>
        <w:t>COVID-</w:t>
      </w:r>
    </w:p>
    <w:p>
      <w:pPr>
        <w:pStyle w:val="BodyText"/>
        <w:spacing w:line="276" w:lineRule="auto"/>
        <w:ind w:right="1275"/>
      </w:pPr>
      <w:r>
        <w:rPr/>
        <w:t>19. В многопрофильных стационарах при выявлении пациентов с клиникой ОРИ необходимо обеспечить изоляцию в отдельный бокс (изолятор) с проведением диагностики с помощью экспресс-тестов.</w:t>
      </w:r>
    </w:p>
    <w:p>
      <w:pPr>
        <w:pStyle w:val="BodyText"/>
        <w:spacing w:line="276" w:lineRule="auto" w:before="7"/>
        <w:ind w:right="1272" w:firstLine="707"/>
      </w:pPr>
      <w:r>
        <w:rPr/>
        <w:t>Госпитализацию пациентов с гриппом, ОРВИ и COVID-19 в отделениях инфекционных стационаров осуществлять в отдельные боксы (полубоксы, палаты) по</w:t>
      </w:r>
      <w:r>
        <w:rPr>
          <w:spacing w:val="80"/>
        </w:rPr>
        <w:t> </w:t>
      </w:r>
      <w:r>
        <w:rPr/>
        <w:t>нозологическому</w:t>
      </w:r>
      <w:r>
        <w:rPr>
          <w:spacing w:val="80"/>
        </w:rPr>
        <w:t> </w:t>
      </w:r>
      <w:r>
        <w:rPr/>
        <w:t>принципу</w:t>
      </w:r>
      <w:r>
        <w:rPr>
          <w:spacing w:val="80"/>
        </w:rPr>
        <w:t> </w:t>
      </w:r>
      <w:r>
        <w:rPr/>
        <w:t>(запрещается</w:t>
      </w:r>
      <w:r>
        <w:rPr>
          <w:spacing w:val="80"/>
        </w:rPr>
        <w:t> </w:t>
      </w:r>
      <w:r>
        <w:rPr/>
        <w:t>размещать</w:t>
      </w:r>
      <w:r>
        <w:rPr>
          <w:spacing w:val="80"/>
        </w:rPr>
        <w:t> </w:t>
      </w:r>
      <w:r>
        <w:rPr/>
        <w:t>пациентов</w:t>
      </w:r>
      <w:r>
        <w:rPr>
          <w:spacing w:val="80"/>
        </w:rPr>
        <w:t> </w:t>
      </w:r>
      <w:r>
        <w:rPr/>
        <w:t>с</w:t>
      </w:r>
      <w:r>
        <w:rPr>
          <w:spacing w:val="80"/>
        </w:rPr>
        <w:t> </w:t>
      </w:r>
      <w:r>
        <w:rPr/>
        <w:t>гриппом,</w:t>
      </w:r>
    </w:p>
    <w:p>
      <w:pPr>
        <w:pStyle w:val="BodyText"/>
        <w:spacing w:after="0" w:line="276" w:lineRule="auto"/>
        <w:sectPr>
          <w:pgSz w:w="11900" w:h="16840"/>
          <w:pgMar w:header="0" w:footer="697" w:top="1080" w:bottom="880" w:left="0" w:right="0"/>
        </w:sectPr>
      </w:pPr>
    </w:p>
    <w:p>
      <w:pPr>
        <w:pStyle w:val="BodyText"/>
        <w:spacing w:line="276" w:lineRule="auto" w:before="73"/>
        <w:ind w:right="1274"/>
      </w:pPr>
      <w:bookmarkStart w:name="41" w:id="53"/>
      <w:bookmarkEnd w:id="53"/>
      <w:r>
        <w:rPr/>
      </w:r>
      <w:r>
        <w:rPr/>
        <w:t>пациентов с COVID-19 и пациентов с ОРВИ иной этиологии в одном боксе (полубоксе, палате)).</w:t>
      </w:r>
    </w:p>
    <w:p>
      <w:pPr>
        <w:pStyle w:val="BodyText"/>
        <w:spacing w:line="276" w:lineRule="auto" w:before="13"/>
        <w:ind w:right="1274" w:firstLine="707"/>
      </w:pPr>
      <w:r>
        <w:rPr/>
        <w:t>Госпитализированным пациентам с подозрением на грипп рекомендуется начать эмпирическое лечение гриппа до получения результатов лабораторного обследования на вирус гриппа. Противовирусное лечение гриппа может быть прекращено после получения отрицательных результатов лабораторного тестирования на вирус гриппа.</w:t>
      </w:r>
    </w:p>
    <w:p>
      <w:pPr>
        <w:pStyle w:val="BodyText"/>
        <w:spacing w:line="276" w:lineRule="auto" w:before="12"/>
        <w:ind w:right="1272" w:firstLine="707"/>
      </w:pPr>
      <w:r>
        <w:rPr/>
        <w:t>Забор образцов биологического материала у неинтубированных пациентов рекомендуется проводить из верхних дыхательных путей, у интубированных пациентов – как из верхних, так и из нижних дыхательных путей.</w:t>
      </w:r>
    </w:p>
    <w:p>
      <w:pPr>
        <w:pStyle w:val="BodyText"/>
        <w:spacing w:line="276" w:lineRule="auto" w:before="14"/>
        <w:ind w:right="1271" w:firstLine="707"/>
      </w:pPr>
      <w:r>
        <w:rPr/>
        <w:t>При</w:t>
      </w:r>
      <w:r>
        <w:rPr>
          <w:spacing w:val="70"/>
          <w:w w:val="150"/>
        </w:rPr>
        <w:t>  </w:t>
      </w:r>
      <w:r>
        <w:rPr/>
        <w:t>отрицательном</w:t>
      </w:r>
      <w:r>
        <w:rPr>
          <w:spacing w:val="69"/>
          <w:w w:val="150"/>
        </w:rPr>
        <w:t>  </w:t>
      </w:r>
      <w:r>
        <w:rPr/>
        <w:t>результате</w:t>
      </w:r>
      <w:r>
        <w:rPr>
          <w:spacing w:val="70"/>
          <w:w w:val="150"/>
        </w:rPr>
        <w:t>  </w:t>
      </w:r>
      <w:r>
        <w:rPr/>
        <w:t>исследлования</w:t>
      </w:r>
      <w:r>
        <w:rPr>
          <w:spacing w:val="70"/>
          <w:w w:val="150"/>
        </w:rPr>
        <w:t>  </w:t>
      </w:r>
      <w:r>
        <w:rPr/>
        <w:t>на</w:t>
      </w:r>
      <w:r>
        <w:rPr>
          <w:spacing w:val="69"/>
          <w:w w:val="150"/>
        </w:rPr>
        <w:t>  </w:t>
      </w:r>
      <w:r>
        <w:rPr/>
        <w:t>вирус</w:t>
      </w:r>
      <w:r>
        <w:rPr>
          <w:spacing w:val="72"/>
          <w:w w:val="150"/>
        </w:rPr>
        <w:t>  </w:t>
      </w:r>
      <w:r>
        <w:rPr/>
        <w:t>гриппа у неинтубированного пациента, противовирусное лечение от гриппа может быть прекращено. У интубированного пациента рекомендуется продолжать противовирусное лечение гриппа до получения отрицательного результата лабораторного исследлования образца биоматериала из нижних дыхательных путей (например,</w:t>
      </w:r>
      <w:r>
        <w:rPr>
          <w:spacing w:val="80"/>
        </w:rPr>
        <w:t>  </w:t>
      </w:r>
      <w:r>
        <w:rPr/>
        <w:t>эндотрахеальный</w:t>
      </w:r>
      <w:r>
        <w:rPr>
          <w:spacing w:val="80"/>
        </w:rPr>
        <w:t>  </w:t>
      </w:r>
      <w:r>
        <w:rPr/>
        <w:t>аспират).</w:t>
      </w:r>
      <w:r>
        <w:rPr>
          <w:spacing w:val="80"/>
        </w:rPr>
        <w:t>  </w:t>
      </w:r>
      <w:r>
        <w:rPr/>
        <w:t>Для</w:t>
      </w:r>
      <w:r>
        <w:rPr>
          <w:spacing w:val="80"/>
        </w:rPr>
        <w:t>  </w:t>
      </w:r>
      <w:r>
        <w:rPr/>
        <w:t>обнаружения</w:t>
      </w:r>
      <w:r>
        <w:rPr>
          <w:spacing w:val="80"/>
        </w:rPr>
        <w:t>  </w:t>
      </w:r>
      <w:r>
        <w:rPr/>
        <w:t>вируса</w:t>
      </w:r>
      <w:r>
        <w:rPr>
          <w:spacing w:val="80"/>
        </w:rPr>
        <w:t>  </w:t>
      </w:r>
      <w:r>
        <w:rPr/>
        <w:t>гриппа у интубированных пациентов рекомендутся использовать МАНК.</w:t>
      </w:r>
    </w:p>
    <w:p>
      <w:pPr>
        <w:pStyle w:val="BodyText"/>
        <w:spacing w:line="276" w:lineRule="auto" w:before="12"/>
        <w:ind w:right="1273" w:firstLine="707"/>
      </w:pPr>
      <w:r>
        <w:rPr/>
        <w:t>Кортикостероиды, которые используются для лечения пациентов с тяжелым течением</w:t>
      </w:r>
      <w:r>
        <w:rPr>
          <w:spacing w:val="-11"/>
        </w:rPr>
        <w:t> </w:t>
      </w:r>
      <w:r>
        <w:rPr/>
        <w:t>COVID-19,</w:t>
      </w:r>
      <w:r>
        <w:rPr>
          <w:spacing w:val="-10"/>
        </w:rPr>
        <w:t> </w:t>
      </w:r>
      <w:r>
        <w:rPr/>
        <w:t>могут</w:t>
      </w:r>
      <w:r>
        <w:rPr>
          <w:spacing w:val="-10"/>
        </w:rPr>
        <w:t> </w:t>
      </w:r>
      <w:r>
        <w:rPr/>
        <w:t>продлевать</w:t>
      </w:r>
      <w:r>
        <w:rPr>
          <w:spacing w:val="-9"/>
        </w:rPr>
        <w:t> </w:t>
      </w:r>
      <w:r>
        <w:rPr/>
        <w:t>репликацию</w:t>
      </w:r>
      <w:r>
        <w:rPr>
          <w:spacing w:val="-10"/>
        </w:rPr>
        <w:t> </w:t>
      </w:r>
      <w:r>
        <w:rPr/>
        <w:t>вируса</w:t>
      </w:r>
      <w:r>
        <w:rPr>
          <w:spacing w:val="-11"/>
        </w:rPr>
        <w:t> </w:t>
      </w:r>
      <w:r>
        <w:rPr/>
        <w:t>гриппа</w:t>
      </w:r>
      <w:r>
        <w:rPr>
          <w:spacing w:val="-11"/>
        </w:rPr>
        <w:t> </w:t>
      </w:r>
      <w:r>
        <w:rPr/>
        <w:t>и</w:t>
      </w:r>
      <w:r>
        <w:rPr>
          <w:spacing w:val="-5"/>
        </w:rPr>
        <w:t> </w:t>
      </w:r>
      <w:r>
        <w:rPr/>
        <w:t>увеличить</w:t>
      </w:r>
      <w:r>
        <w:rPr>
          <w:spacing w:val="-9"/>
        </w:rPr>
        <w:t> </w:t>
      </w:r>
      <w:r>
        <w:rPr/>
        <w:t>риски неблагоприятных исходов при коинфекции вирусом гриппа.</w:t>
      </w:r>
    </w:p>
    <w:p>
      <w:pPr>
        <w:pStyle w:val="BodyText"/>
        <w:spacing w:line="276" w:lineRule="auto" w:before="14"/>
        <w:ind w:right="1272" w:firstLine="707"/>
      </w:pPr>
      <w:r>
        <w:rPr/>
        <w:t>В</w:t>
      </w:r>
      <w:r>
        <w:rPr>
          <w:spacing w:val="67"/>
        </w:rPr>
        <w:t> </w:t>
      </w:r>
      <w:r>
        <w:rPr/>
        <w:t>настоящее</w:t>
      </w:r>
      <w:r>
        <w:rPr>
          <w:spacing w:val="65"/>
        </w:rPr>
        <w:t> </w:t>
      </w:r>
      <w:r>
        <w:rPr/>
        <w:t>время</w:t>
      </w:r>
      <w:r>
        <w:rPr>
          <w:spacing w:val="66"/>
        </w:rPr>
        <w:t> </w:t>
      </w:r>
      <w:r>
        <w:rPr/>
        <w:t>отсутствуют</w:t>
      </w:r>
      <w:r>
        <w:rPr>
          <w:spacing w:val="67"/>
        </w:rPr>
        <w:t> </w:t>
      </w:r>
      <w:r>
        <w:rPr/>
        <w:t>данные</w:t>
      </w:r>
      <w:r>
        <w:rPr>
          <w:spacing w:val="65"/>
        </w:rPr>
        <w:t> </w:t>
      </w:r>
      <w:r>
        <w:rPr/>
        <w:t>о</w:t>
      </w:r>
      <w:r>
        <w:rPr>
          <w:spacing w:val="64"/>
        </w:rPr>
        <w:t> </w:t>
      </w:r>
      <w:r>
        <w:rPr/>
        <w:t>применении</w:t>
      </w:r>
      <w:r>
        <w:rPr>
          <w:spacing w:val="73"/>
        </w:rPr>
        <w:t> </w:t>
      </w:r>
      <w:r>
        <w:rPr/>
        <w:t>ГКС</w:t>
      </w:r>
      <w:r>
        <w:rPr>
          <w:spacing w:val="67"/>
        </w:rPr>
        <w:t> </w:t>
      </w:r>
      <w:r>
        <w:rPr/>
        <w:t>у</w:t>
      </w:r>
      <w:r>
        <w:rPr>
          <w:spacing w:val="66"/>
        </w:rPr>
        <w:t> </w:t>
      </w:r>
      <w:r>
        <w:rPr/>
        <w:t>пациентов с коинфекцией SARS-CoV-2 и вирусом гриппа. Однако, поскольку дексаметазон продемонстрировал существенные преимущества для пациентов с COVID-19, которым требуется дополнительный кислород, преимущества применения кортикостероидов у пациентов с тяжелой сопутствующей инфекцией, вызванной SARS-CoV-2 и гриппом, вероятно, перевешивают любой потенциальный вред.</w:t>
      </w:r>
    </w:p>
    <w:p>
      <w:pPr>
        <w:pStyle w:val="BodyText"/>
        <w:spacing w:line="276" w:lineRule="auto" w:before="12"/>
        <w:ind w:right="1275" w:firstLine="707"/>
      </w:pPr>
      <w:r>
        <w:rPr/>
        <w:t>Ремдесивир</w:t>
      </w:r>
      <w:r>
        <w:rPr>
          <w:spacing w:val="80"/>
          <w:w w:val="150"/>
        </w:rPr>
        <w:t> </w:t>
      </w:r>
      <w:r>
        <w:rPr/>
        <w:t>не</w:t>
      </w:r>
      <w:r>
        <w:rPr>
          <w:spacing w:val="80"/>
          <w:w w:val="150"/>
        </w:rPr>
        <w:t> </w:t>
      </w:r>
      <w:r>
        <w:rPr/>
        <w:t>обладает</w:t>
      </w:r>
      <w:r>
        <w:rPr>
          <w:spacing w:val="80"/>
          <w:w w:val="150"/>
        </w:rPr>
        <w:t> </w:t>
      </w:r>
      <w:r>
        <w:rPr/>
        <w:t>активностью</w:t>
      </w:r>
      <w:r>
        <w:rPr>
          <w:spacing w:val="80"/>
          <w:w w:val="150"/>
        </w:rPr>
        <w:t> </w:t>
      </w:r>
      <w:r>
        <w:rPr/>
        <w:t>в</w:t>
      </w:r>
      <w:r>
        <w:rPr>
          <w:spacing w:val="80"/>
          <w:w w:val="150"/>
        </w:rPr>
        <w:t> </w:t>
      </w:r>
      <w:r>
        <w:rPr/>
        <w:t>отношении</w:t>
      </w:r>
      <w:r>
        <w:rPr>
          <w:spacing w:val="80"/>
          <w:w w:val="150"/>
        </w:rPr>
        <w:t> </w:t>
      </w:r>
      <w:r>
        <w:rPr/>
        <w:t>вирусов</w:t>
      </w:r>
      <w:r>
        <w:rPr>
          <w:spacing w:val="80"/>
          <w:w w:val="150"/>
        </w:rPr>
        <w:t> </w:t>
      </w:r>
      <w:r>
        <w:rPr/>
        <w:t>гриппа.</w:t>
      </w:r>
      <w:r>
        <w:rPr>
          <w:spacing w:val="80"/>
        </w:rPr>
        <w:t> </w:t>
      </w:r>
      <w:r>
        <w:rPr/>
        <w:t>Не существует известных взаимодействий между ремдесивиром и осельтамивиром. Таким</w:t>
      </w:r>
      <w:r>
        <w:rPr>
          <w:spacing w:val="80"/>
        </w:rPr>
        <w:t>  </w:t>
      </w:r>
      <w:r>
        <w:rPr/>
        <w:t>образом,</w:t>
      </w:r>
      <w:r>
        <w:rPr>
          <w:spacing w:val="80"/>
        </w:rPr>
        <w:t>  </w:t>
      </w:r>
      <w:r>
        <w:rPr/>
        <w:t>ремдесивир</w:t>
      </w:r>
      <w:r>
        <w:rPr>
          <w:spacing w:val="80"/>
        </w:rPr>
        <w:t>  </w:t>
      </w:r>
      <w:r>
        <w:rPr/>
        <w:t>можно</w:t>
      </w:r>
      <w:r>
        <w:rPr>
          <w:spacing w:val="80"/>
        </w:rPr>
        <w:t>  </w:t>
      </w:r>
      <w:r>
        <w:rPr/>
        <w:t>безопасно</w:t>
      </w:r>
      <w:r>
        <w:rPr>
          <w:spacing w:val="80"/>
        </w:rPr>
        <w:t>  </w:t>
      </w:r>
      <w:r>
        <w:rPr/>
        <w:t>назначать</w:t>
      </w:r>
      <w:r>
        <w:rPr>
          <w:spacing w:val="80"/>
        </w:rPr>
        <w:t>  </w:t>
      </w:r>
      <w:r>
        <w:rPr/>
        <w:t>одновременно</w:t>
      </w:r>
      <w:r>
        <w:rPr>
          <w:spacing w:val="40"/>
        </w:rPr>
        <w:t> </w:t>
      </w:r>
      <w:r>
        <w:rPr/>
        <w:t>с осельтамивиром пациентам с COVID-19 и подозрением на грипп или лабораторно подтвержденным гриппом.</w:t>
      </w:r>
    </w:p>
    <w:p>
      <w:pPr>
        <w:pStyle w:val="BodyText"/>
        <w:spacing w:line="276" w:lineRule="auto" w:before="12"/>
        <w:ind w:right="1273" w:firstLine="707"/>
      </w:pPr>
      <w:r>
        <w:rPr/>
        <w:t>Хотя тяжелое течение гриппа может быть связано с нарушением регуляции врожденного иммунного ответа, нет данных о применении иммуномодулирующей терапии,</w:t>
      </w:r>
      <w:r>
        <w:rPr>
          <w:spacing w:val="-4"/>
        </w:rPr>
        <w:t> </w:t>
      </w:r>
      <w:r>
        <w:rPr/>
        <w:t>такой</w:t>
      </w:r>
      <w:r>
        <w:rPr>
          <w:spacing w:val="-3"/>
        </w:rPr>
        <w:t> </w:t>
      </w:r>
      <w:r>
        <w:rPr/>
        <w:t>как</w:t>
      </w:r>
      <w:r>
        <w:rPr>
          <w:spacing w:val="-1"/>
        </w:rPr>
        <w:t> </w:t>
      </w:r>
      <w:r>
        <w:rPr/>
        <w:t>ингибиторы</w:t>
      </w:r>
      <w:r>
        <w:rPr>
          <w:spacing w:val="-4"/>
        </w:rPr>
        <w:t> </w:t>
      </w:r>
      <w:r>
        <w:rPr/>
        <w:t>интерлейкина-6</w:t>
      </w:r>
      <w:r>
        <w:rPr>
          <w:spacing w:val="-2"/>
        </w:rPr>
        <w:t> </w:t>
      </w:r>
      <w:r>
        <w:rPr/>
        <w:t>(например,</w:t>
      </w:r>
      <w:r>
        <w:rPr>
          <w:spacing w:val="-2"/>
        </w:rPr>
        <w:t> </w:t>
      </w:r>
      <w:r>
        <w:rPr/>
        <w:t>тоцилизумаб,</w:t>
      </w:r>
      <w:r>
        <w:rPr>
          <w:spacing w:val="-2"/>
        </w:rPr>
        <w:t> </w:t>
      </w:r>
      <w:r>
        <w:rPr/>
        <w:t>сарилумаб) или ингибиторы янус-киназ (например, барицитиниб, тофацитиниб), при лечении тяжелой формы гриппа. Также нет данных о влиянии, которое эти методы лечения могут оказывать на репликацию вируса гриппа. Поскольку эти иммуномодуляторы продемонстрировали клиническую пользу у некоторых пациентов с COVID-19, врачам следует рассмотреть возможность участия в совместном процессе принятия решений об использовании этих препаратов с пациентами, у которых был диагностирован COVID-19 и у которых лабораторно подтвержденный грипп.</w:t>
      </w:r>
    </w:p>
    <w:p>
      <w:pPr>
        <w:pStyle w:val="BodyText"/>
        <w:spacing w:line="276" w:lineRule="auto" w:before="11"/>
        <w:ind w:right="1273" w:firstLine="707"/>
      </w:pPr>
      <w:r>
        <w:rPr/>
        <w:t>Исследования показали, что одновременное возникновение внебольничных вторичных бактериальных пневмоний у пациентов с гриппом наблюдаются чаще, чем</w:t>
      </w:r>
      <w:r>
        <w:rPr>
          <w:spacing w:val="-2"/>
        </w:rPr>
        <w:t> </w:t>
      </w:r>
      <w:r>
        <w:rPr/>
        <w:t>у</w:t>
      </w:r>
      <w:r>
        <w:rPr>
          <w:spacing w:val="-1"/>
        </w:rPr>
        <w:t> </w:t>
      </w:r>
      <w:r>
        <w:rPr/>
        <w:t>пациентов с</w:t>
      </w:r>
      <w:r>
        <w:rPr>
          <w:spacing w:val="-2"/>
        </w:rPr>
        <w:t> </w:t>
      </w:r>
      <w:r>
        <w:rPr/>
        <w:t>COVID-19.</w:t>
      </w:r>
      <w:r>
        <w:rPr>
          <w:spacing w:val="-1"/>
        </w:rPr>
        <w:t> </w:t>
      </w:r>
      <w:r>
        <w:rPr/>
        <w:t>Типичными причинами внебольничной бактериальной</w:t>
      </w:r>
    </w:p>
    <w:p>
      <w:pPr>
        <w:pStyle w:val="BodyText"/>
        <w:spacing w:after="0" w:line="276" w:lineRule="auto"/>
        <w:sectPr>
          <w:pgSz w:w="11900" w:h="16840"/>
          <w:pgMar w:header="0" w:footer="697" w:top="1080" w:bottom="880" w:left="0" w:right="0"/>
        </w:sectPr>
      </w:pPr>
    </w:p>
    <w:p>
      <w:pPr>
        <w:pStyle w:val="BodyText"/>
        <w:tabs>
          <w:tab w:pos="2527" w:val="left" w:leader="none"/>
          <w:tab w:pos="3203" w:val="left" w:leader="none"/>
          <w:tab w:pos="3809" w:val="left" w:leader="none"/>
          <w:tab w:pos="4890" w:val="left" w:leader="none"/>
          <w:tab w:pos="5452" w:val="left" w:leader="none"/>
          <w:tab w:pos="5772" w:val="left" w:leader="none"/>
          <w:tab w:pos="5912" w:val="left" w:leader="none"/>
          <w:tab w:pos="6711" w:val="left" w:leader="none"/>
          <w:tab w:pos="6801" w:val="left" w:leader="none"/>
          <w:tab w:pos="7895" w:val="left" w:leader="none"/>
          <w:tab w:pos="7966" w:val="left" w:leader="none"/>
          <w:tab w:pos="8560" w:val="left" w:leader="none"/>
          <w:tab w:pos="8953" w:val="left" w:leader="none"/>
          <w:tab w:pos="9311" w:val="left" w:leader="none"/>
        </w:tabs>
        <w:spacing w:line="278" w:lineRule="auto" w:before="73"/>
        <w:ind w:right="1272"/>
        <w:jc w:val="right"/>
      </w:pPr>
      <w:bookmarkStart w:name="42" w:id="54"/>
      <w:bookmarkEnd w:id="54"/>
      <w:r>
        <w:rPr/>
      </w:r>
      <w:r>
        <w:rPr>
          <w:spacing w:val="-2"/>
        </w:rPr>
        <w:t>пневмонии</w:t>
      </w:r>
      <w:r>
        <w:rPr/>
        <w:tab/>
      </w:r>
      <w:r>
        <w:rPr>
          <w:spacing w:val="-4"/>
        </w:rPr>
        <w:t>при</w:t>
      </w:r>
      <w:r>
        <w:rPr/>
        <w:tab/>
      </w:r>
      <w:r>
        <w:rPr>
          <w:spacing w:val="-2"/>
        </w:rPr>
        <w:t>тяжелой</w:t>
      </w:r>
      <w:r>
        <w:rPr/>
        <w:tab/>
      </w:r>
      <w:r>
        <w:rPr>
          <w:spacing w:val="-2"/>
        </w:rPr>
        <w:t>форме</w:t>
      </w:r>
      <w:r>
        <w:rPr/>
        <w:tab/>
      </w:r>
      <w:r>
        <w:rPr>
          <w:spacing w:val="-2"/>
        </w:rPr>
        <w:t>гриппа</w:t>
      </w:r>
      <w:r>
        <w:rPr/>
        <w:tab/>
      </w:r>
      <w:r>
        <w:rPr>
          <w:spacing w:val="-2"/>
        </w:rPr>
        <w:t>являются</w:t>
      </w:r>
      <w:r>
        <w:rPr/>
        <w:tab/>
      </w:r>
      <w:r>
        <w:rPr>
          <w:spacing w:val="-2"/>
        </w:rPr>
        <w:t>золотистый</w:t>
      </w:r>
      <w:r>
        <w:rPr/>
        <w:tab/>
      </w:r>
      <w:r>
        <w:rPr>
          <w:spacing w:val="-2"/>
        </w:rPr>
        <w:t>стафилококк </w:t>
      </w:r>
      <w:r>
        <w:rPr>
          <w:spacing w:val="-4"/>
        </w:rPr>
        <w:t>(как</w:t>
      </w:r>
      <w:r>
        <w:rPr/>
        <w:tab/>
      </w:r>
      <w:r>
        <w:rPr>
          <w:spacing w:val="-2"/>
        </w:rPr>
        <w:t>метициллинрезистентный</w:t>
      </w:r>
      <w:r>
        <w:rPr/>
        <w:tab/>
      </w:r>
      <w:r>
        <w:rPr>
          <w:spacing w:val="-6"/>
        </w:rPr>
        <w:t>S.</w:t>
      </w:r>
      <w:r>
        <w:rPr/>
        <w:tab/>
        <w:tab/>
      </w:r>
      <w:r>
        <w:rPr>
          <w:spacing w:val="-2"/>
        </w:rPr>
        <w:t>aureus</w:t>
      </w:r>
      <w:r>
        <w:rPr/>
        <w:tab/>
        <w:tab/>
      </w:r>
      <w:r>
        <w:rPr>
          <w:spacing w:val="-2"/>
        </w:rPr>
        <w:t>[MRSA],</w:t>
      </w:r>
      <w:r>
        <w:rPr/>
        <w:tab/>
        <w:tab/>
      </w:r>
      <w:r>
        <w:rPr>
          <w:spacing w:val="-4"/>
        </w:rPr>
        <w:t>так</w:t>
      </w:r>
      <w:r>
        <w:rPr/>
        <w:tab/>
      </w:r>
      <w:r>
        <w:rPr>
          <w:spacing w:val="-10"/>
        </w:rPr>
        <w:t>и</w:t>
      </w:r>
      <w:r>
        <w:rPr/>
        <w:tab/>
      </w:r>
      <w:r>
        <w:rPr>
          <w:spacing w:val="-2"/>
        </w:rPr>
        <w:t>чувствительный </w:t>
      </w:r>
      <w:r>
        <w:rPr/>
        <w:t>к метициллину</w:t>
      </w:r>
      <w:r>
        <w:rPr>
          <w:spacing w:val="-1"/>
        </w:rPr>
        <w:t> </w:t>
      </w:r>
      <w:r>
        <w:rPr/>
        <w:t>S.</w:t>
      </w:r>
      <w:r>
        <w:rPr>
          <w:spacing w:val="-1"/>
        </w:rPr>
        <w:t> </w:t>
      </w:r>
      <w:r>
        <w:rPr/>
        <w:t>aureus</w:t>
      </w:r>
      <w:r>
        <w:rPr>
          <w:spacing w:val="-1"/>
        </w:rPr>
        <w:t> </w:t>
      </w:r>
      <w:r>
        <w:rPr/>
        <w:t>[MSSA]),</w:t>
      </w:r>
      <w:r>
        <w:rPr>
          <w:spacing w:val="-1"/>
        </w:rPr>
        <w:t> </w:t>
      </w:r>
      <w:r>
        <w:rPr/>
        <w:t>Streptococcus</w:t>
      </w:r>
      <w:r>
        <w:rPr>
          <w:spacing w:val="-1"/>
        </w:rPr>
        <w:t> </w:t>
      </w:r>
      <w:r>
        <w:rPr/>
        <w:t>pneumoniae</w:t>
      </w:r>
      <w:r>
        <w:rPr>
          <w:spacing w:val="-1"/>
        </w:rPr>
        <w:t> </w:t>
      </w:r>
      <w:r>
        <w:rPr/>
        <w:t>и стрептококк группы</w:t>
      </w:r>
      <w:r>
        <w:rPr>
          <w:spacing w:val="-1"/>
        </w:rPr>
        <w:t> </w:t>
      </w:r>
      <w:r>
        <w:rPr/>
        <w:t>А. Госпитализированные пациенты</w:t>
      </w:r>
      <w:r>
        <w:rPr>
          <w:spacing w:val="40"/>
        </w:rPr>
        <w:t> </w:t>
      </w:r>
      <w:r>
        <w:rPr/>
        <w:t>с COVID-19,</w:t>
      </w:r>
      <w:r>
        <w:rPr>
          <w:spacing w:val="40"/>
        </w:rPr>
        <w:t> </w:t>
      </w:r>
      <w:r>
        <w:rPr/>
        <w:t>у</w:t>
      </w:r>
      <w:r>
        <w:rPr>
          <w:spacing w:val="40"/>
        </w:rPr>
        <w:t> </w:t>
      </w:r>
      <w:r>
        <w:rPr/>
        <w:t>которых</w:t>
      </w:r>
      <w:r>
        <w:rPr>
          <w:spacing w:val="40"/>
        </w:rPr>
        <w:t> </w:t>
      </w:r>
      <w:r>
        <w:rPr/>
        <w:t>развиваются</w:t>
      </w:r>
      <w:r>
        <w:rPr>
          <w:spacing w:val="40"/>
        </w:rPr>
        <w:t> </w:t>
      </w:r>
      <w:r>
        <w:rPr/>
        <w:t>новые респираторные</w:t>
      </w:r>
      <w:r>
        <w:rPr>
          <w:spacing w:val="80"/>
        </w:rPr>
        <w:t> </w:t>
      </w:r>
      <w:r>
        <w:rPr/>
        <w:t>симптомы</w:t>
      </w:r>
      <w:r>
        <w:rPr>
          <w:spacing w:val="80"/>
        </w:rPr>
        <w:t> </w:t>
      </w:r>
      <w:r>
        <w:rPr/>
        <w:t>при</w:t>
      </w:r>
      <w:r>
        <w:rPr>
          <w:spacing w:val="80"/>
        </w:rPr>
        <w:t> </w:t>
      </w:r>
      <w:r>
        <w:rPr/>
        <w:t>отсутствии</w:t>
      </w:r>
      <w:r>
        <w:rPr>
          <w:spacing w:val="80"/>
        </w:rPr>
        <w:t> </w:t>
      </w:r>
      <w:r>
        <w:rPr/>
        <w:t>других</w:t>
      </w:r>
      <w:r>
        <w:rPr>
          <w:spacing w:val="80"/>
        </w:rPr>
        <w:t> </w:t>
      </w:r>
      <w:r>
        <w:rPr/>
        <w:t>известных</w:t>
      </w:r>
      <w:r>
        <w:rPr>
          <w:spacing w:val="80"/>
        </w:rPr>
        <w:t> </w:t>
      </w:r>
      <w:r>
        <w:rPr/>
        <w:t>причин,</w:t>
      </w:r>
      <w:r>
        <w:rPr>
          <w:spacing w:val="80"/>
        </w:rPr>
        <w:t> </w:t>
      </w:r>
      <w:r>
        <w:rPr/>
        <w:t>которые </w:t>
      </w:r>
      <w:r>
        <w:rPr>
          <w:spacing w:val="-2"/>
        </w:rPr>
        <w:t>объясняют</w:t>
      </w:r>
      <w:r>
        <w:rPr>
          <w:spacing w:val="-11"/>
        </w:rPr>
        <w:t> </w:t>
      </w:r>
      <w:r>
        <w:rPr>
          <w:spacing w:val="-2"/>
        </w:rPr>
        <w:t>данную</w:t>
      </w:r>
      <w:r>
        <w:rPr>
          <w:spacing w:val="-14"/>
        </w:rPr>
        <w:t> </w:t>
      </w:r>
      <w:r>
        <w:rPr>
          <w:spacing w:val="-2"/>
        </w:rPr>
        <w:t>клиническую</w:t>
      </w:r>
      <w:r>
        <w:rPr>
          <w:spacing w:val="-12"/>
        </w:rPr>
        <w:t> </w:t>
      </w:r>
      <w:r>
        <w:rPr>
          <w:spacing w:val="-2"/>
        </w:rPr>
        <w:t>картину,</w:t>
      </w:r>
      <w:r>
        <w:rPr>
          <w:spacing w:val="-11"/>
        </w:rPr>
        <w:t> </w:t>
      </w:r>
      <w:r>
        <w:rPr>
          <w:spacing w:val="-2"/>
        </w:rPr>
        <w:t>должны</w:t>
      </w:r>
      <w:r>
        <w:rPr>
          <w:spacing w:val="-12"/>
        </w:rPr>
        <w:t> </w:t>
      </w:r>
      <w:r>
        <w:rPr>
          <w:spacing w:val="-2"/>
        </w:rPr>
        <w:t>быть</w:t>
      </w:r>
      <w:r>
        <w:rPr>
          <w:spacing w:val="-12"/>
        </w:rPr>
        <w:t> </w:t>
      </w:r>
      <w:r>
        <w:rPr>
          <w:spacing w:val="-2"/>
        </w:rPr>
        <w:t>обследованы</w:t>
      </w:r>
      <w:r>
        <w:rPr>
          <w:spacing w:val="-16"/>
        </w:rPr>
        <w:t> </w:t>
      </w:r>
      <w:r>
        <w:rPr>
          <w:spacing w:val="-2"/>
        </w:rPr>
        <w:t>на</w:t>
      </w:r>
      <w:r>
        <w:rPr>
          <w:spacing w:val="-12"/>
        </w:rPr>
        <w:t> </w:t>
      </w:r>
      <w:r>
        <w:rPr>
          <w:spacing w:val="-2"/>
        </w:rPr>
        <w:t>вирус</w:t>
      </w:r>
      <w:r>
        <w:rPr>
          <w:spacing w:val="-14"/>
        </w:rPr>
        <w:t> </w:t>
      </w:r>
      <w:r>
        <w:rPr>
          <w:spacing w:val="-2"/>
        </w:rPr>
        <w:t>гриппа.</w:t>
      </w:r>
    </w:p>
    <w:p>
      <w:pPr>
        <w:pStyle w:val="BodyText"/>
        <w:spacing w:line="276" w:lineRule="auto" w:before="9"/>
        <w:ind w:right="1277" w:firstLine="707"/>
      </w:pPr>
      <w:r>
        <w:rPr/>
        <w:t>К</w:t>
      </w:r>
      <w:r>
        <w:rPr>
          <w:spacing w:val="40"/>
        </w:rPr>
        <w:t> </w:t>
      </w:r>
      <w:r>
        <w:rPr/>
        <w:t>группам</w:t>
      </w:r>
      <w:r>
        <w:rPr>
          <w:spacing w:val="40"/>
        </w:rPr>
        <w:t> </w:t>
      </w:r>
      <w:r>
        <w:rPr/>
        <w:t>риска</w:t>
      </w:r>
      <w:r>
        <w:rPr>
          <w:spacing w:val="40"/>
        </w:rPr>
        <w:t> </w:t>
      </w:r>
      <w:r>
        <w:rPr/>
        <w:t>тяжелого</w:t>
      </w:r>
      <w:r>
        <w:rPr>
          <w:spacing w:val="40"/>
        </w:rPr>
        <w:t> </w:t>
      </w:r>
      <w:r>
        <w:rPr/>
        <w:t>течения</w:t>
      </w:r>
      <w:r>
        <w:rPr>
          <w:spacing w:val="40"/>
        </w:rPr>
        <w:t> </w:t>
      </w:r>
      <w:r>
        <w:rPr/>
        <w:t>ОРИ</w:t>
      </w:r>
      <w:r>
        <w:rPr>
          <w:spacing w:val="40"/>
        </w:rPr>
        <w:t> </w:t>
      </w:r>
      <w:r>
        <w:rPr/>
        <w:t>в</w:t>
      </w:r>
      <w:r>
        <w:rPr>
          <w:spacing w:val="40"/>
        </w:rPr>
        <w:t> </w:t>
      </w:r>
      <w:r>
        <w:rPr/>
        <w:t>том</w:t>
      </w:r>
      <w:r>
        <w:rPr>
          <w:spacing w:val="40"/>
        </w:rPr>
        <w:t> </w:t>
      </w:r>
      <w:r>
        <w:rPr/>
        <w:t>числе</w:t>
      </w:r>
      <w:r>
        <w:rPr>
          <w:spacing w:val="40"/>
        </w:rPr>
        <w:t> </w:t>
      </w:r>
      <w:r>
        <w:rPr/>
        <w:t>гриппа</w:t>
      </w:r>
      <w:r>
        <w:rPr>
          <w:spacing w:val="40"/>
        </w:rPr>
        <w:t> </w:t>
      </w:r>
      <w:r>
        <w:rPr/>
        <w:t>и</w:t>
      </w:r>
      <w:r>
        <w:rPr>
          <w:spacing w:val="40"/>
        </w:rPr>
        <w:t> </w:t>
      </w:r>
      <w:r>
        <w:rPr/>
        <w:t>COVID-19</w:t>
      </w:r>
      <w:r>
        <w:rPr>
          <w:spacing w:val="40"/>
        </w:rPr>
        <w:t> </w:t>
      </w:r>
      <w:r>
        <w:rPr/>
        <w:t>у взрослых относятся:</w:t>
      </w:r>
    </w:p>
    <w:p>
      <w:pPr>
        <w:pStyle w:val="ListParagraph"/>
        <w:numPr>
          <w:ilvl w:val="0"/>
          <w:numId w:val="15"/>
        </w:numPr>
        <w:tabs>
          <w:tab w:pos="2553" w:val="left" w:leader="none"/>
        </w:tabs>
        <w:spacing w:line="240" w:lineRule="auto" w:before="123" w:after="0"/>
        <w:ind w:left="2553" w:right="0" w:hanging="354"/>
        <w:jc w:val="both"/>
        <w:rPr>
          <w:sz w:val="24"/>
        </w:rPr>
      </w:pPr>
      <w:r>
        <w:rPr>
          <w:sz w:val="24"/>
        </w:rPr>
        <w:t>беременные</w:t>
      </w:r>
      <w:r>
        <w:rPr>
          <w:spacing w:val="-12"/>
          <w:sz w:val="24"/>
        </w:rPr>
        <w:t> </w:t>
      </w:r>
      <w:r>
        <w:rPr>
          <w:sz w:val="24"/>
        </w:rPr>
        <w:t>на</w:t>
      </w:r>
      <w:r>
        <w:rPr>
          <w:spacing w:val="-11"/>
          <w:sz w:val="24"/>
        </w:rPr>
        <w:t> </w:t>
      </w:r>
      <w:r>
        <w:rPr>
          <w:sz w:val="24"/>
        </w:rPr>
        <w:t>любом</w:t>
      </w:r>
      <w:r>
        <w:rPr>
          <w:spacing w:val="-10"/>
          <w:sz w:val="24"/>
        </w:rPr>
        <w:t> </w:t>
      </w:r>
      <w:r>
        <w:rPr>
          <w:sz w:val="24"/>
        </w:rPr>
        <w:t>сроке</w:t>
      </w:r>
      <w:r>
        <w:rPr>
          <w:spacing w:val="-11"/>
          <w:sz w:val="24"/>
        </w:rPr>
        <w:t> </w:t>
      </w:r>
      <w:r>
        <w:rPr>
          <w:sz w:val="24"/>
        </w:rPr>
        <w:t>беременности</w:t>
      </w:r>
      <w:r>
        <w:rPr>
          <w:spacing w:val="-9"/>
          <w:sz w:val="24"/>
        </w:rPr>
        <w:t> </w:t>
      </w:r>
      <w:r>
        <w:rPr>
          <w:sz w:val="24"/>
        </w:rPr>
        <w:t>и</w:t>
      </w:r>
      <w:r>
        <w:rPr>
          <w:spacing w:val="-10"/>
          <w:sz w:val="24"/>
        </w:rPr>
        <w:t> </w:t>
      </w:r>
      <w:r>
        <w:rPr>
          <w:sz w:val="24"/>
        </w:rPr>
        <w:t>в</w:t>
      </w:r>
      <w:r>
        <w:rPr>
          <w:spacing w:val="-11"/>
          <w:sz w:val="24"/>
        </w:rPr>
        <w:t> </w:t>
      </w:r>
      <w:r>
        <w:rPr>
          <w:sz w:val="24"/>
        </w:rPr>
        <w:t>послеродовый</w:t>
      </w:r>
      <w:r>
        <w:rPr>
          <w:spacing w:val="-10"/>
          <w:sz w:val="24"/>
        </w:rPr>
        <w:t> </w:t>
      </w:r>
      <w:r>
        <w:rPr>
          <w:spacing w:val="-2"/>
          <w:sz w:val="24"/>
        </w:rPr>
        <w:t>период;</w:t>
      </w:r>
    </w:p>
    <w:p>
      <w:pPr>
        <w:pStyle w:val="ListParagraph"/>
        <w:numPr>
          <w:ilvl w:val="0"/>
          <w:numId w:val="15"/>
        </w:numPr>
        <w:tabs>
          <w:tab w:pos="2560" w:val="left" w:leader="none"/>
        </w:tabs>
        <w:spacing w:line="240" w:lineRule="auto" w:before="39" w:after="0"/>
        <w:ind w:left="2560" w:right="0" w:hanging="359"/>
        <w:jc w:val="both"/>
        <w:rPr>
          <w:sz w:val="24"/>
        </w:rPr>
      </w:pPr>
      <w:r>
        <w:rPr>
          <w:spacing w:val="-2"/>
          <w:sz w:val="24"/>
        </w:rPr>
        <w:t>лица</w:t>
      </w:r>
      <w:r>
        <w:rPr>
          <w:spacing w:val="-15"/>
          <w:sz w:val="24"/>
        </w:rPr>
        <w:t> </w:t>
      </w:r>
      <w:r>
        <w:rPr>
          <w:spacing w:val="-2"/>
          <w:sz w:val="24"/>
        </w:rPr>
        <w:t>с</w:t>
      </w:r>
      <w:r>
        <w:rPr>
          <w:spacing w:val="-13"/>
          <w:sz w:val="24"/>
        </w:rPr>
        <w:t> </w:t>
      </w:r>
      <w:r>
        <w:rPr>
          <w:spacing w:val="-2"/>
          <w:sz w:val="24"/>
        </w:rPr>
        <w:t>хроническими</w:t>
      </w:r>
      <w:r>
        <w:rPr>
          <w:spacing w:val="-13"/>
          <w:sz w:val="24"/>
        </w:rPr>
        <w:t> </w:t>
      </w:r>
      <w:r>
        <w:rPr>
          <w:spacing w:val="-2"/>
          <w:sz w:val="24"/>
        </w:rPr>
        <w:t>заболеваниями</w:t>
      </w:r>
      <w:r>
        <w:rPr>
          <w:spacing w:val="-12"/>
          <w:sz w:val="24"/>
        </w:rPr>
        <w:t> </w:t>
      </w:r>
      <w:r>
        <w:rPr>
          <w:spacing w:val="-2"/>
          <w:sz w:val="24"/>
        </w:rPr>
        <w:t>легких</w:t>
      </w:r>
      <w:r>
        <w:rPr>
          <w:spacing w:val="-13"/>
          <w:sz w:val="24"/>
        </w:rPr>
        <w:t> </w:t>
      </w:r>
      <w:r>
        <w:rPr>
          <w:spacing w:val="-2"/>
          <w:sz w:val="24"/>
        </w:rPr>
        <w:t>(бронхиальная</w:t>
      </w:r>
      <w:r>
        <w:rPr>
          <w:spacing w:val="-14"/>
          <w:sz w:val="24"/>
        </w:rPr>
        <w:t> </w:t>
      </w:r>
      <w:r>
        <w:rPr>
          <w:spacing w:val="-2"/>
          <w:sz w:val="24"/>
        </w:rPr>
        <w:t>астма,</w:t>
      </w:r>
      <w:r>
        <w:rPr>
          <w:spacing w:val="-11"/>
          <w:sz w:val="24"/>
        </w:rPr>
        <w:t> </w:t>
      </w:r>
      <w:r>
        <w:rPr>
          <w:spacing w:val="-2"/>
          <w:sz w:val="24"/>
        </w:rPr>
        <w:t>ХОБЛ</w:t>
      </w:r>
      <w:r>
        <w:rPr>
          <w:spacing w:val="-13"/>
          <w:sz w:val="24"/>
        </w:rPr>
        <w:t> </w:t>
      </w:r>
      <w:r>
        <w:rPr>
          <w:spacing w:val="-2"/>
          <w:sz w:val="24"/>
        </w:rPr>
        <w:t>и</w:t>
      </w:r>
      <w:r>
        <w:rPr>
          <w:spacing w:val="-13"/>
          <w:sz w:val="24"/>
        </w:rPr>
        <w:t> </w:t>
      </w:r>
      <w:r>
        <w:rPr>
          <w:spacing w:val="-2"/>
          <w:sz w:val="24"/>
        </w:rPr>
        <w:t>др.);</w:t>
      </w:r>
    </w:p>
    <w:p>
      <w:pPr>
        <w:pStyle w:val="ListParagraph"/>
        <w:numPr>
          <w:ilvl w:val="0"/>
          <w:numId w:val="15"/>
        </w:numPr>
        <w:tabs>
          <w:tab w:pos="2561" w:val="left" w:leader="none"/>
        </w:tabs>
        <w:spacing w:line="273" w:lineRule="auto" w:before="39" w:after="0"/>
        <w:ind w:left="2561" w:right="1274" w:hanging="360"/>
        <w:jc w:val="both"/>
        <w:rPr>
          <w:sz w:val="24"/>
        </w:rPr>
      </w:pPr>
      <w:r>
        <w:rPr>
          <w:sz w:val="24"/>
        </w:rPr>
        <w:t>лица</w:t>
      </w:r>
      <w:r>
        <w:rPr>
          <w:spacing w:val="40"/>
          <w:sz w:val="24"/>
        </w:rPr>
        <w:t> </w:t>
      </w:r>
      <w:r>
        <w:rPr>
          <w:sz w:val="24"/>
        </w:rPr>
        <w:t>с</w:t>
      </w:r>
      <w:r>
        <w:rPr>
          <w:spacing w:val="40"/>
          <w:sz w:val="24"/>
        </w:rPr>
        <w:t> </w:t>
      </w:r>
      <w:r>
        <w:rPr>
          <w:sz w:val="24"/>
        </w:rPr>
        <w:t>хроническими</w:t>
      </w:r>
      <w:r>
        <w:rPr>
          <w:spacing w:val="40"/>
          <w:sz w:val="24"/>
        </w:rPr>
        <w:t> </w:t>
      </w:r>
      <w:r>
        <w:rPr>
          <w:sz w:val="24"/>
        </w:rPr>
        <w:t>заболеваниями</w:t>
      </w:r>
      <w:r>
        <w:rPr>
          <w:spacing w:val="40"/>
          <w:sz w:val="24"/>
        </w:rPr>
        <w:t> </w:t>
      </w:r>
      <w:r>
        <w:rPr>
          <w:sz w:val="24"/>
        </w:rPr>
        <w:t>сердечно-сосудистой</w:t>
      </w:r>
      <w:r>
        <w:rPr>
          <w:spacing w:val="40"/>
          <w:sz w:val="24"/>
        </w:rPr>
        <w:t> </w:t>
      </w:r>
      <w:r>
        <w:rPr>
          <w:sz w:val="24"/>
        </w:rPr>
        <w:t>системы</w:t>
      </w:r>
      <w:r>
        <w:rPr>
          <w:spacing w:val="80"/>
          <w:w w:val="150"/>
          <w:sz w:val="24"/>
        </w:rPr>
        <w:t> </w:t>
      </w:r>
      <w:r>
        <w:rPr>
          <w:sz w:val="24"/>
        </w:rPr>
        <w:t>(пороки сердца, гипертоническая болезнь, ИБС с признаками сердечной недостаточности и др.);</w:t>
      </w:r>
    </w:p>
    <w:p>
      <w:pPr>
        <w:pStyle w:val="ListParagraph"/>
        <w:numPr>
          <w:ilvl w:val="0"/>
          <w:numId w:val="15"/>
        </w:numPr>
        <w:tabs>
          <w:tab w:pos="2561" w:val="left" w:leader="none"/>
        </w:tabs>
        <w:spacing w:line="273" w:lineRule="auto" w:before="5" w:after="0"/>
        <w:ind w:left="2561" w:right="1273" w:hanging="360"/>
        <w:jc w:val="both"/>
        <w:rPr>
          <w:sz w:val="24"/>
        </w:rPr>
      </w:pPr>
      <w:r>
        <w:rPr>
          <w:sz w:val="24"/>
        </w:rPr>
        <w:t>лица</w:t>
      </w:r>
      <w:r>
        <w:rPr>
          <w:spacing w:val="-9"/>
          <w:sz w:val="24"/>
        </w:rPr>
        <w:t> </w:t>
      </w:r>
      <w:r>
        <w:rPr>
          <w:sz w:val="24"/>
        </w:rPr>
        <w:t>с</w:t>
      </w:r>
      <w:r>
        <w:rPr>
          <w:spacing w:val="-9"/>
          <w:sz w:val="24"/>
        </w:rPr>
        <w:t> </w:t>
      </w:r>
      <w:r>
        <w:rPr>
          <w:sz w:val="24"/>
        </w:rPr>
        <w:t>нарушениями</w:t>
      </w:r>
      <w:r>
        <w:rPr>
          <w:spacing w:val="-7"/>
          <w:sz w:val="24"/>
        </w:rPr>
        <w:t> </w:t>
      </w:r>
      <w:r>
        <w:rPr>
          <w:sz w:val="24"/>
        </w:rPr>
        <w:t>обмена</w:t>
      </w:r>
      <w:r>
        <w:rPr>
          <w:spacing w:val="-7"/>
          <w:sz w:val="24"/>
        </w:rPr>
        <w:t> </w:t>
      </w:r>
      <w:r>
        <w:rPr>
          <w:sz w:val="24"/>
        </w:rPr>
        <w:t>веществ</w:t>
      </w:r>
      <w:r>
        <w:rPr>
          <w:spacing w:val="-8"/>
          <w:sz w:val="24"/>
        </w:rPr>
        <w:t> </w:t>
      </w:r>
      <w:r>
        <w:rPr>
          <w:sz w:val="24"/>
        </w:rPr>
        <w:t>(сахарный</w:t>
      </w:r>
      <w:r>
        <w:rPr>
          <w:spacing w:val="-8"/>
          <w:sz w:val="24"/>
        </w:rPr>
        <w:t> </w:t>
      </w:r>
      <w:r>
        <w:rPr>
          <w:sz w:val="24"/>
        </w:rPr>
        <w:t>диабет,</w:t>
      </w:r>
      <w:r>
        <w:rPr>
          <w:spacing w:val="-7"/>
          <w:sz w:val="24"/>
        </w:rPr>
        <w:t> </w:t>
      </w:r>
      <w:r>
        <w:rPr>
          <w:sz w:val="24"/>
        </w:rPr>
        <w:t>ожирение</w:t>
      </w:r>
      <w:r>
        <w:rPr>
          <w:spacing w:val="-9"/>
          <w:sz w:val="24"/>
        </w:rPr>
        <w:t> </w:t>
      </w:r>
      <w:r>
        <w:rPr>
          <w:sz w:val="24"/>
        </w:rPr>
        <w:t>2–3</w:t>
      </w:r>
      <w:r>
        <w:rPr>
          <w:spacing w:val="-10"/>
          <w:sz w:val="24"/>
        </w:rPr>
        <w:t> </w:t>
      </w:r>
      <w:r>
        <w:rPr>
          <w:sz w:val="24"/>
        </w:rPr>
        <w:t>степени и др.);</w:t>
      </w:r>
    </w:p>
    <w:p>
      <w:pPr>
        <w:pStyle w:val="ListParagraph"/>
        <w:numPr>
          <w:ilvl w:val="0"/>
          <w:numId w:val="15"/>
        </w:numPr>
        <w:tabs>
          <w:tab w:pos="2560" w:val="left" w:leader="none"/>
        </w:tabs>
        <w:spacing w:line="240" w:lineRule="auto" w:before="3" w:after="0"/>
        <w:ind w:left="2560" w:right="0" w:hanging="359"/>
        <w:jc w:val="both"/>
        <w:rPr>
          <w:sz w:val="24"/>
        </w:rPr>
      </w:pPr>
      <w:r>
        <w:rPr>
          <w:sz w:val="24"/>
        </w:rPr>
        <w:t>лица</w:t>
      </w:r>
      <w:r>
        <w:rPr>
          <w:spacing w:val="-11"/>
          <w:sz w:val="24"/>
        </w:rPr>
        <w:t> </w:t>
      </w:r>
      <w:r>
        <w:rPr>
          <w:sz w:val="24"/>
        </w:rPr>
        <w:t>с</w:t>
      </w:r>
      <w:r>
        <w:rPr>
          <w:spacing w:val="-11"/>
          <w:sz w:val="24"/>
        </w:rPr>
        <w:t> </w:t>
      </w:r>
      <w:r>
        <w:rPr>
          <w:sz w:val="24"/>
        </w:rPr>
        <w:t>хронической</w:t>
      </w:r>
      <w:r>
        <w:rPr>
          <w:spacing w:val="-10"/>
          <w:sz w:val="24"/>
        </w:rPr>
        <w:t> </w:t>
      </w:r>
      <w:r>
        <w:rPr>
          <w:sz w:val="24"/>
        </w:rPr>
        <w:t>болезнью</w:t>
      </w:r>
      <w:r>
        <w:rPr>
          <w:spacing w:val="-11"/>
          <w:sz w:val="24"/>
        </w:rPr>
        <w:t> </w:t>
      </w:r>
      <w:r>
        <w:rPr>
          <w:spacing w:val="-2"/>
          <w:sz w:val="24"/>
        </w:rPr>
        <w:t>почек;</w:t>
      </w:r>
    </w:p>
    <w:p>
      <w:pPr>
        <w:pStyle w:val="ListParagraph"/>
        <w:numPr>
          <w:ilvl w:val="0"/>
          <w:numId w:val="15"/>
        </w:numPr>
        <w:tabs>
          <w:tab w:pos="2560" w:val="left" w:leader="none"/>
        </w:tabs>
        <w:spacing w:line="240" w:lineRule="auto" w:before="39" w:after="0"/>
        <w:ind w:left="2560" w:right="0" w:hanging="359"/>
        <w:jc w:val="both"/>
        <w:rPr>
          <w:sz w:val="24"/>
        </w:rPr>
      </w:pPr>
      <w:r>
        <w:rPr>
          <w:sz w:val="24"/>
        </w:rPr>
        <w:t>лица</w:t>
      </w:r>
      <w:r>
        <w:rPr>
          <w:spacing w:val="-14"/>
          <w:sz w:val="24"/>
        </w:rPr>
        <w:t> </w:t>
      </w:r>
      <w:r>
        <w:rPr>
          <w:sz w:val="24"/>
        </w:rPr>
        <w:t>с</w:t>
      </w:r>
      <w:r>
        <w:rPr>
          <w:spacing w:val="-14"/>
          <w:sz w:val="24"/>
        </w:rPr>
        <w:t> </w:t>
      </w:r>
      <w:r>
        <w:rPr>
          <w:sz w:val="24"/>
        </w:rPr>
        <w:t>хроническими</w:t>
      </w:r>
      <w:r>
        <w:rPr>
          <w:spacing w:val="-15"/>
          <w:sz w:val="24"/>
        </w:rPr>
        <w:t> </w:t>
      </w:r>
      <w:r>
        <w:rPr>
          <w:sz w:val="24"/>
        </w:rPr>
        <w:t>заболеваниями</w:t>
      </w:r>
      <w:r>
        <w:rPr>
          <w:spacing w:val="-13"/>
          <w:sz w:val="24"/>
        </w:rPr>
        <w:t> </w:t>
      </w:r>
      <w:r>
        <w:rPr>
          <w:spacing w:val="-2"/>
          <w:sz w:val="24"/>
        </w:rPr>
        <w:t>печени;</w:t>
      </w:r>
    </w:p>
    <w:p>
      <w:pPr>
        <w:pStyle w:val="ListParagraph"/>
        <w:numPr>
          <w:ilvl w:val="0"/>
          <w:numId w:val="15"/>
        </w:numPr>
        <w:tabs>
          <w:tab w:pos="2561" w:val="left" w:leader="none"/>
        </w:tabs>
        <w:spacing w:line="271" w:lineRule="auto" w:before="42" w:after="0"/>
        <w:ind w:left="2561" w:right="1274" w:hanging="360"/>
        <w:jc w:val="both"/>
        <w:rPr>
          <w:sz w:val="24"/>
        </w:rPr>
      </w:pPr>
      <w:r>
        <w:rPr>
          <w:sz w:val="24"/>
        </w:rPr>
        <w:t>лица, с определенными неврологическими состояниями (включая нейромышечные, нейрокогнитивные нарушения, эпилепсию);</w:t>
      </w:r>
    </w:p>
    <w:p>
      <w:pPr>
        <w:pStyle w:val="ListParagraph"/>
        <w:numPr>
          <w:ilvl w:val="0"/>
          <w:numId w:val="15"/>
        </w:numPr>
        <w:tabs>
          <w:tab w:pos="2560" w:val="left" w:leader="none"/>
        </w:tabs>
        <w:spacing w:line="240" w:lineRule="auto" w:before="5" w:after="0"/>
        <w:ind w:left="2560" w:right="0" w:hanging="359"/>
        <w:jc w:val="both"/>
        <w:rPr>
          <w:sz w:val="24"/>
        </w:rPr>
      </w:pPr>
      <w:r>
        <w:rPr>
          <w:sz w:val="24"/>
        </w:rPr>
        <w:t>лица</w:t>
      </w:r>
      <w:r>
        <w:rPr>
          <w:spacing w:val="-4"/>
          <w:sz w:val="24"/>
        </w:rPr>
        <w:t> </w:t>
      </w:r>
      <w:r>
        <w:rPr>
          <w:sz w:val="24"/>
        </w:rPr>
        <w:t>с</w:t>
      </w:r>
      <w:r>
        <w:rPr>
          <w:spacing w:val="-4"/>
          <w:sz w:val="24"/>
        </w:rPr>
        <w:t> </w:t>
      </w:r>
      <w:r>
        <w:rPr>
          <w:spacing w:val="-2"/>
          <w:sz w:val="24"/>
        </w:rPr>
        <w:t>гемоглобинопатиями;</w:t>
      </w:r>
    </w:p>
    <w:p>
      <w:pPr>
        <w:pStyle w:val="ListParagraph"/>
        <w:numPr>
          <w:ilvl w:val="0"/>
          <w:numId w:val="15"/>
        </w:numPr>
        <w:tabs>
          <w:tab w:pos="2561" w:val="left" w:leader="none"/>
        </w:tabs>
        <w:spacing w:line="271" w:lineRule="auto" w:before="42" w:after="0"/>
        <w:ind w:left="2561" w:right="1274" w:hanging="360"/>
        <w:jc w:val="left"/>
        <w:rPr>
          <w:sz w:val="24"/>
        </w:rPr>
      </w:pPr>
      <w:r>
        <w:rPr>
          <w:sz w:val="24"/>
        </w:rPr>
        <w:t>лица</w:t>
      </w:r>
      <w:r>
        <w:rPr>
          <w:spacing w:val="-14"/>
          <w:sz w:val="24"/>
        </w:rPr>
        <w:t> </w:t>
      </w:r>
      <w:r>
        <w:rPr>
          <w:sz w:val="24"/>
        </w:rPr>
        <w:t>с</w:t>
      </w:r>
      <w:r>
        <w:rPr>
          <w:spacing w:val="-14"/>
          <w:sz w:val="24"/>
        </w:rPr>
        <w:t> </w:t>
      </w:r>
      <w:r>
        <w:rPr>
          <w:sz w:val="24"/>
        </w:rPr>
        <w:t>первичными</w:t>
      </w:r>
      <w:r>
        <w:rPr>
          <w:spacing w:val="-12"/>
          <w:sz w:val="24"/>
        </w:rPr>
        <w:t> </w:t>
      </w:r>
      <w:r>
        <w:rPr>
          <w:sz w:val="24"/>
        </w:rPr>
        <w:t>и</w:t>
      </w:r>
      <w:r>
        <w:rPr>
          <w:spacing w:val="-12"/>
          <w:sz w:val="24"/>
        </w:rPr>
        <w:t> </w:t>
      </w:r>
      <w:r>
        <w:rPr>
          <w:sz w:val="24"/>
        </w:rPr>
        <w:t>вторичными</w:t>
      </w:r>
      <w:r>
        <w:rPr>
          <w:spacing w:val="-12"/>
          <w:sz w:val="24"/>
        </w:rPr>
        <w:t> </w:t>
      </w:r>
      <w:r>
        <w:rPr>
          <w:sz w:val="24"/>
        </w:rPr>
        <w:t>иммунодефицитами</w:t>
      </w:r>
      <w:r>
        <w:rPr>
          <w:spacing w:val="-12"/>
          <w:sz w:val="24"/>
        </w:rPr>
        <w:t> </w:t>
      </w:r>
      <w:r>
        <w:rPr>
          <w:sz w:val="24"/>
        </w:rPr>
        <w:t>(ВИЧ-инфекция,</w:t>
      </w:r>
      <w:r>
        <w:rPr>
          <w:spacing w:val="-13"/>
          <w:sz w:val="24"/>
        </w:rPr>
        <w:t> </w:t>
      </w:r>
      <w:r>
        <w:rPr>
          <w:sz w:val="24"/>
        </w:rPr>
        <w:t>прием иммуносупрессорных медикаментов и т.п.);</w:t>
      </w:r>
    </w:p>
    <w:p>
      <w:pPr>
        <w:pStyle w:val="ListParagraph"/>
        <w:numPr>
          <w:ilvl w:val="0"/>
          <w:numId w:val="15"/>
        </w:numPr>
        <w:tabs>
          <w:tab w:pos="2561" w:val="left" w:leader="none"/>
        </w:tabs>
        <w:spacing w:line="240" w:lineRule="auto" w:before="8" w:after="0"/>
        <w:ind w:left="2561" w:right="0" w:hanging="360"/>
        <w:jc w:val="left"/>
        <w:rPr>
          <w:sz w:val="24"/>
        </w:rPr>
      </w:pPr>
      <w:r>
        <w:rPr>
          <w:sz w:val="24"/>
        </w:rPr>
        <w:t>лица</w:t>
      </w:r>
      <w:r>
        <w:rPr>
          <w:spacing w:val="-13"/>
          <w:sz w:val="24"/>
        </w:rPr>
        <w:t> </w:t>
      </w:r>
      <w:r>
        <w:rPr>
          <w:sz w:val="24"/>
        </w:rPr>
        <w:t>со</w:t>
      </w:r>
      <w:r>
        <w:rPr>
          <w:spacing w:val="-12"/>
          <w:sz w:val="24"/>
        </w:rPr>
        <w:t> </w:t>
      </w:r>
      <w:r>
        <w:rPr>
          <w:sz w:val="24"/>
        </w:rPr>
        <w:t>злокачественными</w:t>
      </w:r>
      <w:r>
        <w:rPr>
          <w:spacing w:val="-11"/>
          <w:sz w:val="24"/>
        </w:rPr>
        <w:t> </w:t>
      </w:r>
      <w:r>
        <w:rPr>
          <w:spacing w:val="-2"/>
          <w:sz w:val="24"/>
        </w:rPr>
        <w:t>новообразованиями;</w:t>
      </w:r>
    </w:p>
    <w:p>
      <w:pPr>
        <w:pStyle w:val="ListParagraph"/>
        <w:numPr>
          <w:ilvl w:val="0"/>
          <w:numId w:val="15"/>
        </w:numPr>
        <w:tabs>
          <w:tab w:pos="2561" w:val="left" w:leader="none"/>
        </w:tabs>
        <w:spacing w:line="240" w:lineRule="auto" w:before="40" w:after="0"/>
        <w:ind w:left="2561" w:right="0" w:hanging="360"/>
        <w:jc w:val="left"/>
        <w:rPr>
          <w:sz w:val="24"/>
        </w:rPr>
      </w:pPr>
      <w:r>
        <w:rPr>
          <w:sz w:val="24"/>
        </w:rPr>
        <w:t>лица</w:t>
      </w:r>
      <w:r>
        <w:rPr>
          <w:spacing w:val="-6"/>
          <w:sz w:val="24"/>
        </w:rPr>
        <w:t> </w:t>
      </w:r>
      <w:r>
        <w:rPr>
          <w:sz w:val="24"/>
        </w:rPr>
        <w:t>в</w:t>
      </w:r>
      <w:r>
        <w:rPr>
          <w:spacing w:val="-5"/>
          <w:sz w:val="24"/>
        </w:rPr>
        <w:t> </w:t>
      </w:r>
      <w:r>
        <w:rPr>
          <w:sz w:val="24"/>
        </w:rPr>
        <w:t>возрасте</w:t>
      </w:r>
      <w:r>
        <w:rPr>
          <w:spacing w:val="-5"/>
          <w:sz w:val="24"/>
        </w:rPr>
        <w:t> </w:t>
      </w:r>
      <w:r>
        <w:rPr>
          <w:sz w:val="24"/>
        </w:rPr>
        <w:t>65</w:t>
      </w:r>
      <w:r>
        <w:rPr>
          <w:spacing w:val="-6"/>
          <w:sz w:val="24"/>
        </w:rPr>
        <w:t> </w:t>
      </w:r>
      <w:r>
        <w:rPr>
          <w:sz w:val="24"/>
        </w:rPr>
        <w:t>лет</w:t>
      </w:r>
      <w:r>
        <w:rPr>
          <w:spacing w:val="-5"/>
          <w:sz w:val="24"/>
        </w:rPr>
        <w:t> </w:t>
      </w:r>
      <w:r>
        <w:rPr>
          <w:sz w:val="24"/>
        </w:rPr>
        <w:t>и</w:t>
      </w:r>
      <w:r>
        <w:rPr>
          <w:spacing w:val="-3"/>
          <w:sz w:val="24"/>
        </w:rPr>
        <w:t> </w:t>
      </w:r>
      <w:r>
        <w:rPr>
          <w:spacing w:val="-2"/>
          <w:sz w:val="24"/>
        </w:rPr>
        <w:t>старше.</w:t>
      </w:r>
    </w:p>
    <w:p>
      <w:pPr>
        <w:pStyle w:val="BodyText"/>
        <w:spacing w:before="1"/>
        <w:ind w:left="0"/>
        <w:jc w:val="left"/>
      </w:pPr>
    </w:p>
    <w:p>
      <w:pPr>
        <w:pStyle w:val="Heading3"/>
        <w:jc w:val="left"/>
      </w:pPr>
      <w:r>
        <w:rPr>
          <w:color w:val="1F487C"/>
          <w:spacing w:val="-2"/>
        </w:rPr>
        <w:t>Клиническое</w:t>
      </w:r>
      <w:r>
        <w:rPr>
          <w:color w:val="1F487C"/>
          <w:spacing w:val="2"/>
        </w:rPr>
        <w:t> </w:t>
      </w:r>
      <w:r>
        <w:rPr>
          <w:color w:val="1F487C"/>
          <w:spacing w:val="-2"/>
        </w:rPr>
        <w:t>использование</w:t>
      </w:r>
      <w:r>
        <w:rPr>
          <w:color w:val="1F487C"/>
          <w:spacing w:val="2"/>
        </w:rPr>
        <w:t> </w:t>
      </w:r>
      <w:r>
        <w:rPr>
          <w:color w:val="1F487C"/>
          <w:spacing w:val="-2"/>
        </w:rPr>
        <w:t>плазмы</w:t>
      </w:r>
      <w:r>
        <w:rPr>
          <w:color w:val="1F487C"/>
          <w:spacing w:val="3"/>
        </w:rPr>
        <w:t> </w:t>
      </w:r>
      <w:r>
        <w:rPr>
          <w:color w:val="1F487C"/>
          <w:spacing w:val="-2"/>
        </w:rPr>
        <w:t>антиковидной</w:t>
      </w:r>
    </w:p>
    <w:p>
      <w:pPr>
        <w:pStyle w:val="BodyText"/>
        <w:spacing w:line="276" w:lineRule="auto" w:before="163"/>
        <w:ind w:right="1271" w:firstLine="707"/>
      </w:pPr>
      <w:r>
        <w:rPr/>
        <w:t>Заготовка, хранение, транспортировка и клиническое использование антиковидной плазмы осуществляются в соответствии с требованиями, установленными постановлением Правительства Российской Федерации от 22 июня 2019</w:t>
      </w:r>
      <w:r>
        <w:rPr>
          <w:spacing w:val="69"/>
        </w:rPr>
        <w:t> </w:t>
      </w:r>
      <w:r>
        <w:rPr/>
        <w:t>г.</w:t>
      </w:r>
      <w:r>
        <w:rPr>
          <w:spacing w:val="69"/>
        </w:rPr>
        <w:t> </w:t>
      </w:r>
      <w:r>
        <w:rPr/>
        <w:t>№</w:t>
      </w:r>
      <w:r>
        <w:rPr>
          <w:spacing w:val="68"/>
        </w:rPr>
        <w:t> </w:t>
      </w:r>
      <w:r>
        <w:rPr/>
        <w:t>797</w:t>
      </w:r>
      <w:r>
        <w:rPr>
          <w:spacing w:val="69"/>
        </w:rPr>
        <w:t> </w:t>
      </w:r>
      <w:r>
        <w:rPr/>
        <w:t>«Об</w:t>
      </w:r>
      <w:r>
        <w:rPr>
          <w:spacing w:val="68"/>
        </w:rPr>
        <w:t> </w:t>
      </w:r>
      <w:r>
        <w:rPr/>
        <w:t>утверждении</w:t>
      </w:r>
      <w:r>
        <w:rPr>
          <w:spacing w:val="69"/>
        </w:rPr>
        <w:t> </w:t>
      </w:r>
      <w:r>
        <w:rPr/>
        <w:t>Правил</w:t>
      </w:r>
      <w:r>
        <w:rPr>
          <w:spacing w:val="66"/>
        </w:rPr>
        <w:t> </w:t>
      </w:r>
      <w:r>
        <w:rPr/>
        <w:t>заготовки,</w:t>
      </w:r>
      <w:r>
        <w:rPr>
          <w:spacing w:val="69"/>
        </w:rPr>
        <w:t> </w:t>
      </w:r>
      <w:r>
        <w:rPr/>
        <w:t>хранения,</w:t>
      </w:r>
      <w:r>
        <w:rPr>
          <w:spacing w:val="66"/>
        </w:rPr>
        <w:t> </w:t>
      </w:r>
      <w:r>
        <w:rPr/>
        <w:t>транспортировки и</w:t>
      </w:r>
      <w:r>
        <w:rPr>
          <w:spacing w:val="-1"/>
        </w:rPr>
        <w:t> </w:t>
      </w:r>
      <w:r>
        <w:rPr/>
        <w:t>клинического использования донорской крови и ее компонентов и о признании утратившими силу некоторых актов Правительства Российской Федерации», приказом</w:t>
      </w:r>
      <w:r>
        <w:rPr>
          <w:spacing w:val="54"/>
          <w:w w:val="150"/>
        </w:rPr>
        <w:t> </w:t>
      </w:r>
      <w:r>
        <w:rPr/>
        <w:t>Министерства</w:t>
      </w:r>
      <w:r>
        <w:rPr>
          <w:spacing w:val="56"/>
          <w:w w:val="150"/>
        </w:rPr>
        <w:t> </w:t>
      </w:r>
      <w:r>
        <w:rPr/>
        <w:t>здравоохранения</w:t>
      </w:r>
      <w:r>
        <w:rPr>
          <w:spacing w:val="58"/>
          <w:w w:val="150"/>
        </w:rPr>
        <w:t> </w:t>
      </w:r>
      <w:r>
        <w:rPr/>
        <w:t>Российской</w:t>
      </w:r>
      <w:r>
        <w:rPr>
          <w:spacing w:val="58"/>
          <w:w w:val="150"/>
        </w:rPr>
        <w:t> </w:t>
      </w:r>
      <w:r>
        <w:rPr/>
        <w:t>Федерации</w:t>
      </w:r>
      <w:r>
        <w:rPr>
          <w:spacing w:val="56"/>
          <w:w w:val="150"/>
        </w:rPr>
        <w:t> </w:t>
      </w:r>
      <w:r>
        <w:rPr/>
        <w:t>от</w:t>
      </w:r>
      <w:r>
        <w:rPr>
          <w:spacing w:val="61"/>
          <w:w w:val="150"/>
        </w:rPr>
        <w:t> </w:t>
      </w:r>
      <w:r>
        <w:rPr>
          <w:spacing w:val="-2"/>
        </w:rPr>
        <w:t>28.10.2020</w:t>
      </w:r>
    </w:p>
    <w:p>
      <w:pPr>
        <w:pStyle w:val="BodyText"/>
        <w:spacing w:line="276" w:lineRule="auto"/>
        <w:ind w:right="1277"/>
      </w:pPr>
      <w:r>
        <w:rPr/>
        <w:t>№ 183н 1166н «Об утверждении порядка прохождения донорами медицинского обследования и</w:t>
      </w:r>
      <w:r>
        <w:rPr>
          <w:spacing w:val="-4"/>
        </w:rPr>
        <w:t> </w:t>
      </w:r>
      <w:r>
        <w:rPr/>
        <w:t>перечня медицинских противопоказаний (временных и постоянных) для сдачи крови и (или) ее компонентов и сроков отвода, которому подлежит лицо при</w:t>
      </w:r>
      <w:r>
        <w:rPr>
          <w:spacing w:val="80"/>
        </w:rPr>
        <w:t> </w:t>
      </w:r>
      <w:r>
        <w:rPr/>
        <w:t>наличии</w:t>
      </w:r>
      <w:r>
        <w:rPr>
          <w:spacing w:val="80"/>
        </w:rPr>
        <w:t> </w:t>
      </w:r>
      <w:r>
        <w:rPr/>
        <w:t>временных</w:t>
      </w:r>
      <w:r>
        <w:rPr>
          <w:spacing w:val="80"/>
        </w:rPr>
        <w:t> </w:t>
      </w:r>
      <w:r>
        <w:rPr/>
        <w:t>медицинских</w:t>
      </w:r>
      <w:r>
        <w:rPr>
          <w:spacing w:val="80"/>
        </w:rPr>
        <w:t> </w:t>
      </w:r>
      <w:r>
        <w:rPr/>
        <w:t>показаний,</w:t>
      </w:r>
      <w:r>
        <w:rPr>
          <w:spacing w:val="80"/>
        </w:rPr>
        <w:t> </w:t>
      </w:r>
      <w:r>
        <w:rPr/>
        <w:t>от</w:t>
      </w:r>
      <w:r>
        <w:rPr>
          <w:spacing w:val="80"/>
        </w:rPr>
        <w:t> </w:t>
      </w:r>
      <w:r>
        <w:rPr/>
        <w:t>донорства</w:t>
      </w:r>
      <w:r>
        <w:rPr>
          <w:spacing w:val="80"/>
        </w:rPr>
        <w:t> </w:t>
      </w:r>
      <w:r>
        <w:rPr/>
        <w:t>крови</w:t>
      </w:r>
      <w:r>
        <w:rPr>
          <w:spacing w:val="80"/>
        </w:rPr>
        <w:t> </w:t>
      </w:r>
      <w:r>
        <w:rPr/>
        <w:t>и</w:t>
      </w:r>
      <w:r>
        <w:rPr>
          <w:spacing w:val="80"/>
        </w:rPr>
        <w:t> </w:t>
      </w:r>
      <w:r>
        <w:rPr/>
        <w:t>(или) ее компонентов».</w:t>
      </w:r>
    </w:p>
    <w:p>
      <w:pPr>
        <w:pStyle w:val="BodyText"/>
        <w:spacing w:line="276" w:lineRule="auto"/>
        <w:ind w:right="1273" w:firstLine="707"/>
      </w:pPr>
      <w:r>
        <w:rPr/>
        <w:t>Помимо установленных обязательных требований отбор доноров осуществляется</w:t>
      </w:r>
      <w:r>
        <w:rPr>
          <w:spacing w:val="75"/>
        </w:rPr>
        <w:t> </w:t>
      </w:r>
      <w:r>
        <w:rPr/>
        <w:t>по</w:t>
      </w:r>
      <w:r>
        <w:rPr>
          <w:spacing w:val="72"/>
        </w:rPr>
        <w:t> </w:t>
      </w:r>
      <w:r>
        <w:rPr/>
        <w:t>результатам</w:t>
      </w:r>
      <w:r>
        <w:rPr>
          <w:spacing w:val="71"/>
        </w:rPr>
        <w:t> </w:t>
      </w:r>
      <w:r>
        <w:rPr/>
        <w:t>предварительного</w:t>
      </w:r>
      <w:r>
        <w:rPr>
          <w:spacing w:val="72"/>
        </w:rPr>
        <w:t> </w:t>
      </w:r>
      <w:r>
        <w:rPr/>
        <w:t>исследования</w:t>
      </w:r>
      <w:r>
        <w:rPr>
          <w:spacing w:val="72"/>
        </w:rPr>
        <w:t> </w:t>
      </w:r>
      <w:r>
        <w:rPr/>
        <w:t>на</w:t>
      </w:r>
      <w:r>
        <w:rPr>
          <w:spacing w:val="71"/>
        </w:rPr>
        <w:t> </w:t>
      </w:r>
      <w:r>
        <w:rPr/>
        <w:t>наличие</w:t>
      </w:r>
      <w:r>
        <w:rPr>
          <w:spacing w:val="79"/>
        </w:rPr>
        <w:t> </w:t>
      </w:r>
      <w:r>
        <w:rPr/>
        <w:t>IgG к</w:t>
      </w:r>
      <w:r>
        <w:rPr>
          <w:spacing w:val="-2"/>
        </w:rPr>
        <w:t> </w:t>
      </w:r>
      <w:r>
        <w:rPr/>
        <w:t>SARS-CoV-2, в том числе может быть проведено экспресс-тестирование крови. Дополнительные требования к донорам антиковидной плазмы:</w:t>
      </w:r>
    </w:p>
    <w:p>
      <w:pPr>
        <w:pStyle w:val="BodyText"/>
        <w:spacing w:after="0" w:line="276" w:lineRule="auto"/>
        <w:sectPr>
          <w:pgSz w:w="11900" w:h="16840"/>
          <w:pgMar w:header="0" w:footer="697" w:top="1080" w:bottom="880" w:left="0" w:right="0"/>
        </w:sectPr>
      </w:pPr>
    </w:p>
    <w:p>
      <w:pPr>
        <w:pStyle w:val="ListParagraph"/>
        <w:numPr>
          <w:ilvl w:val="0"/>
          <w:numId w:val="16"/>
        </w:numPr>
        <w:tabs>
          <w:tab w:pos="2124" w:val="left" w:leader="none"/>
        </w:tabs>
        <w:spacing w:line="235" w:lineRule="auto" w:before="79" w:after="0"/>
        <w:ind w:left="2124" w:right="1272" w:hanging="360"/>
        <w:jc w:val="both"/>
        <w:rPr>
          <w:sz w:val="28"/>
        </w:rPr>
      </w:pPr>
      <w:bookmarkStart w:name="43" w:id="55"/>
      <w:bookmarkEnd w:id="55"/>
      <w:r>
        <w:rPr/>
      </w:r>
      <w:r>
        <w:rPr>
          <w:sz w:val="24"/>
        </w:rPr>
        <w:t>Не ранее чем через 14 дней после исчезновения клинических симптомов и при отрицательном</w:t>
      </w:r>
      <w:r>
        <w:rPr>
          <w:spacing w:val="-11"/>
          <w:sz w:val="24"/>
        </w:rPr>
        <w:t> </w:t>
      </w:r>
      <w:r>
        <w:rPr>
          <w:sz w:val="24"/>
        </w:rPr>
        <w:t>результате</w:t>
      </w:r>
      <w:r>
        <w:rPr>
          <w:spacing w:val="-10"/>
          <w:sz w:val="24"/>
        </w:rPr>
        <w:t> </w:t>
      </w:r>
      <w:r>
        <w:rPr>
          <w:sz w:val="24"/>
        </w:rPr>
        <w:t>тестирования</w:t>
      </w:r>
      <w:r>
        <w:rPr>
          <w:spacing w:val="-10"/>
          <w:sz w:val="24"/>
        </w:rPr>
        <w:t> </w:t>
      </w:r>
      <w:r>
        <w:rPr>
          <w:sz w:val="24"/>
        </w:rPr>
        <w:t>на</w:t>
      </w:r>
      <w:r>
        <w:rPr>
          <w:spacing w:val="-11"/>
          <w:sz w:val="24"/>
        </w:rPr>
        <w:t> </w:t>
      </w:r>
      <w:r>
        <w:rPr>
          <w:sz w:val="24"/>
        </w:rPr>
        <w:t>РНК</w:t>
      </w:r>
      <w:r>
        <w:rPr>
          <w:spacing w:val="-10"/>
          <w:sz w:val="24"/>
        </w:rPr>
        <w:t> </w:t>
      </w:r>
      <w:r>
        <w:rPr>
          <w:sz w:val="24"/>
        </w:rPr>
        <w:t>SARS-CoV-2</w:t>
      </w:r>
      <w:r>
        <w:rPr>
          <w:spacing w:val="-10"/>
          <w:sz w:val="24"/>
        </w:rPr>
        <w:t> </w:t>
      </w:r>
      <w:r>
        <w:rPr>
          <w:sz w:val="24"/>
        </w:rPr>
        <w:t>в</w:t>
      </w:r>
      <w:r>
        <w:rPr>
          <w:spacing w:val="-7"/>
          <w:sz w:val="24"/>
        </w:rPr>
        <w:t> </w:t>
      </w:r>
      <w:r>
        <w:rPr>
          <w:sz w:val="24"/>
        </w:rPr>
        <w:t>орофарингеальном </w:t>
      </w:r>
      <w:r>
        <w:rPr>
          <w:spacing w:val="-2"/>
          <w:sz w:val="24"/>
        </w:rPr>
        <w:t>мазке;</w:t>
      </w:r>
    </w:p>
    <w:p>
      <w:pPr>
        <w:pStyle w:val="ListParagraph"/>
        <w:numPr>
          <w:ilvl w:val="0"/>
          <w:numId w:val="16"/>
        </w:numPr>
        <w:tabs>
          <w:tab w:pos="2124" w:val="left" w:leader="none"/>
        </w:tabs>
        <w:spacing w:line="240" w:lineRule="auto" w:before="2" w:after="0"/>
        <w:ind w:left="2124" w:right="1270" w:hanging="360"/>
        <w:jc w:val="both"/>
        <w:rPr>
          <w:sz w:val="28"/>
        </w:rPr>
      </w:pPr>
      <w:r>
        <w:rPr>
          <w:sz w:val="24"/>
        </w:rPr>
        <w:t>При отсутствии в анамнезе установленного диагноза новой короновирусной инфекции отбор доноров осуществляется на основании выявления IgG к SARS- CoV-2.</w:t>
      </w:r>
      <w:r>
        <w:rPr>
          <w:spacing w:val="40"/>
          <w:sz w:val="24"/>
        </w:rPr>
        <w:t>  </w:t>
      </w:r>
      <w:r>
        <w:rPr>
          <w:sz w:val="24"/>
        </w:rPr>
        <w:t>Исследование</w:t>
      </w:r>
      <w:r>
        <w:rPr>
          <w:spacing w:val="40"/>
          <w:sz w:val="24"/>
        </w:rPr>
        <w:t>  </w:t>
      </w:r>
      <w:r>
        <w:rPr>
          <w:sz w:val="24"/>
        </w:rPr>
        <w:t>для</w:t>
      </w:r>
      <w:r>
        <w:rPr>
          <w:spacing w:val="40"/>
          <w:sz w:val="24"/>
        </w:rPr>
        <w:t>  </w:t>
      </w:r>
      <w:r>
        <w:rPr>
          <w:sz w:val="24"/>
        </w:rPr>
        <w:t>выявления</w:t>
      </w:r>
      <w:r>
        <w:rPr>
          <w:spacing w:val="40"/>
          <w:sz w:val="24"/>
        </w:rPr>
        <w:t>  </w:t>
      </w:r>
      <w:r>
        <w:rPr>
          <w:sz w:val="24"/>
        </w:rPr>
        <w:t>IgG</w:t>
      </w:r>
      <w:r>
        <w:rPr>
          <w:spacing w:val="40"/>
          <w:sz w:val="24"/>
        </w:rPr>
        <w:t>  </w:t>
      </w:r>
      <w:r>
        <w:rPr>
          <w:sz w:val="24"/>
        </w:rPr>
        <w:t>к</w:t>
      </w:r>
      <w:r>
        <w:rPr>
          <w:spacing w:val="40"/>
          <w:sz w:val="24"/>
        </w:rPr>
        <w:t>  </w:t>
      </w:r>
      <w:r>
        <w:rPr>
          <w:sz w:val="24"/>
        </w:rPr>
        <w:t>SARS-CoV-2</w:t>
      </w:r>
      <w:r>
        <w:rPr>
          <w:spacing w:val="40"/>
          <w:sz w:val="24"/>
        </w:rPr>
        <w:t>  </w:t>
      </w:r>
      <w:r>
        <w:rPr>
          <w:sz w:val="24"/>
        </w:rPr>
        <w:t>осуществляется с помощью иммуноферментной (иммунохемилюминесцентной) тест-системы, зарегистрированной в установленном порядке и разрешенной к использованию</w:t>
      </w:r>
      <w:r>
        <w:rPr>
          <w:spacing w:val="80"/>
          <w:w w:val="150"/>
          <w:sz w:val="24"/>
        </w:rPr>
        <w:t> </w:t>
      </w:r>
      <w:r>
        <w:rPr>
          <w:sz w:val="24"/>
        </w:rPr>
        <w:t>на</w:t>
      </w:r>
      <w:r>
        <w:rPr>
          <w:spacing w:val="-14"/>
          <w:sz w:val="24"/>
        </w:rPr>
        <w:t> </w:t>
      </w:r>
      <w:r>
        <w:rPr>
          <w:sz w:val="24"/>
        </w:rPr>
        <w:t>территории</w:t>
      </w:r>
      <w:r>
        <w:rPr>
          <w:spacing w:val="-12"/>
          <w:sz w:val="24"/>
        </w:rPr>
        <w:t> </w:t>
      </w:r>
      <w:r>
        <w:rPr>
          <w:sz w:val="24"/>
        </w:rPr>
        <w:t>Российской</w:t>
      </w:r>
      <w:r>
        <w:rPr>
          <w:spacing w:val="-12"/>
          <w:sz w:val="24"/>
        </w:rPr>
        <w:t> </w:t>
      </w:r>
      <w:r>
        <w:rPr>
          <w:sz w:val="24"/>
        </w:rPr>
        <w:t>Федерации,</w:t>
      </w:r>
      <w:r>
        <w:rPr>
          <w:spacing w:val="-15"/>
          <w:sz w:val="24"/>
        </w:rPr>
        <w:t> </w:t>
      </w:r>
      <w:r>
        <w:rPr>
          <w:sz w:val="24"/>
        </w:rPr>
        <w:t>для</w:t>
      </w:r>
      <w:r>
        <w:rPr>
          <w:spacing w:val="-12"/>
          <w:sz w:val="24"/>
        </w:rPr>
        <w:t> </w:t>
      </w:r>
      <w:r>
        <w:rPr>
          <w:sz w:val="24"/>
        </w:rPr>
        <w:t>которой</w:t>
      </w:r>
      <w:r>
        <w:rPr>
          <w:spacing w:val="-12"/>
          <w:sz w:val="24"/>
        </w:rPr>
        <w:t> </w:t>
      </w:r>
      <w:r>
        <w:rPr>
          <w:sz w:val="24"/>
        </w:rPr>
        <w:t>экспериментально</w:t>
      </w:r>
      <w:r>
        <w:rPr>
          <w:spacing w:val="-15"/>
          <w:sz w:val="24"/>
        </w:rPr>
        <w:t> </w:t>
      </w:r>
      <w:r>
        <w:rPr>
          <w:sz w:val="24"/>
        </w:rPr>
        <w:t>установлена корреляция</w:t>
      </w:r>
      <w:r>
        <w:rPr>
          <w:spacing w:val="80"/>
          <w:sz w:val="24"/>
        </w:rPr>
        <w:t> </w:t>
      </w:r>
      <w:r>
        <w:rPr>
          <w:sz w:val="24"/>
        </w:rPr>
        <w:t>между</w:t>
      </w:r>
      <w:r>
        <w:rPr>
          <w:spacing w:val="80"/>
          <w:sz w:val="24"/>
        </w:rPr>
        <w:t> </w:t>
      </w:r>
      <w:r>
        <w:rPr>
          <w:sz w:val="24"/>
        </w:rPr>
        <w:t>результатами</w:t>
      </w:r>
      <w:r>
        <w:rPr>
          <w:spacing w:val="80"/>
          <w:sz w:val="24"/>
        </w:rPr>
        <w:t> </w:t>
      </w:r>
      <w:r>
        <w:rPr>
          <w:sz w:val="24"/>
        </w:rPr>
        <w:t>определения</w:t>
      </w:r>
      <w:r>
        <w:rPr>
          <w:spacing w:val="80"/>
          <w:sz w:val="24"/>
        </w:rPr>
        <w:t> </w:t>
      </w:r>
      <w:r>
        <w:rPr>
          <w:sz w:val="24"/>
        </w:rPr>
        <w:t>содержания</w:t>
      </w:r>
      <w:r>
        <w:rPr>
          <w:spacing w:val="80"/>
          <w:sz w:val="24"/>
        </w:rPr>
        <w:t> </w:t>
      </w:r>
      <w:r>
        <w:rPr>
          <w:sz w:val="24"/>
        </w:rPr>
        <w:t>антител</w:t>
      </w:r>
      <w:r>
        <w:rPr>
          <w:spacing w:val="80"/>
          <w:sz w:val="24"/>
        </w:rPr>
        <w:t> </w:t>
      </w:r>
      <w:r>
        <w:rPr>
          <w:sz w:val="24"/>
        </w:rPr>
        <w:t>в</w:t>
      </w:r>
      <w:r>
        <w:rPr>
          <w:spacing w:val="80"/>
          <w:sz w:val="24"/>
        </w:rPr>
        <w:t> </w:t>
      </w:r>
      <w:r>
        <w:rPr>
          <w:sz w:val="24"/>
        </w:rPr>
        <w:t>плазме</w:t>
      </w:r>
      <w:r>
        <w:rPr>
          <w:spacing w:val="80"/>
          <w:sz w:val="24"/>
        </w:rPr>
        <w:t> </w:t>
      </w:r>
      <w:r>
        <w:rPr>
          <w:sz w:val="24"/>
        </w:rPr>
        <w:t>с вируснейтрализующей активностью, определенной в тесте с использованием пермиссивной культуры клеток.</w:t>
      </w:r>
    </w:p>
    <w:p>
      <w:pPr>
        <w:pStyle w:val="BodyText"/>
        <w:spacing w:line="276" w:lineRule="auto"/>
        <w:ind w:right="1273" w:firstLine="707"/>
      </w:pPr>
      <w:r>
        <w:rPr/>
        <w:t>С этой целью возможно применение иммуноферментного (иммунохемилюминесцентного)</w:t>
      </w:r>
      <w:r>
        <w:rPr>
          <w:spacing w:val="-13"/>
        </w:rPr>
        <w:t> </w:t>
      </w:r>
      <w:r>
        <w:rPr/>
        <w:t>анализа</w:t>
      </w:r>
      <w:r>
        <w:rPr>
          <w:spacing w:val="-14"/>
        </w:rPr>
        <w:t> </w:t>
      </w:r>
      <w:r>
        <w:rPr/>
        <w:t>IgG</w:t>
      </w:r>
      <w:r>
        <w:rPr>
          <w:spacing w:val="-14"/>
        </w:rPr>
        <w:t> </w:t>
      </w:r>
      <w:r>
        <w:rPr/>
        <w:t>к</w:t>
      </w:r>
      <w:r>
        <w:rPr>
          <w:spacing w:val="-13"/>
        </w:rPr>
        <w:t> </w:t>
      </w:r>
      <w:r>
        <w:rPr/>
        <w:t>S1</w:t>
      </w:r>
      <w:r>
        <w:rPr>
          <w:spacing w:val="-14"/>
        </w:rPr>
        <w:t> </w:t>
      </w:r>
      <w:r>
        <w:rPr/>
        <w:t>домену</w:t>
      </w:r>
      <w:r>
        <w:rPr>
          <w:spacing w:val="-14"/>
        </w:rPr>
        <w:t> </w:t>
      </w:r>
      <w:r>
        <w:rPr/>
        <w:t>Spike</w:t>
      </w:r>
      <w:r>
        <w:rPr>
          <w:spacing w:val="-14"/>
        </w:rPr>
        <w:t> </w:t>
      </w:r>
      <w:r>
        <w:rPr/>
        <w:t>гликопротеина</w:t>
      </w:r>
      <w:r>
        <w:rPr>
          <w:spacing w:val="-15"/>
        </w:rPr>
        <w:t> </w:t>
      </w:r>
      <w:r>
        <w:rPr/>
        <w:t>вируса </w:t>
      </w:r>
      <w:r>
        <w:rPr>
          <w:spacing w:val="-2"/>
        </w:rPr>
        <w:t>SARS-CoV-2.</w:t>
      </w:r>
    </w:p>
    <w:p>
      <w:pPr>
        <w:pStyle w:val="BodyText"/>
        <w:spacing w:line="276" w:lineRule="auto"/>
        <w:ind w:right="1278" w:firstLine="707"/>
      </w:pPr>
      <w:r>
        <w:rPr/>
        <w:t>Возможно сохранять контрольный образец плазмы донора для исследований ее вируснейтрализующей активности в более поздние сроки.</w:t>
      </w:r>
    </w:p>
    <w:p>
      <w:pPr>
        <w:pStyle w:val="BodyText"/>
        <w:spacing w:line="276" w:lineRule="auto" w:before="2"/>
        <w:ind w:right="1277" w:firstLine="707"/>
      </w:pPr>
      <w:r>
        <w:rPr/>
        <w:t>При незначительных изменениях, выявленных в ходе лабораторного обследования</w:t>
      </w:r>
      <w:r>
        <w:rPr>
          <w:spacing w:val="80"/>
        </w:rPr>
        <w:t>  </w:t>
      </w:r>
      <w:r>
        <w:rPr/>
        <w:t>донора,</w:t>
      </w:r>
      <w:r>
        <w:rPr>
          <w:spacing w:val="80"/>
        </w:rPr>
        <w:t>  </w:t>
      </w:r>
      <w:r>
        <w:rPr/>
        <w:t>решение</w:t>
      </w:r>
      <w:r>
        <w:rPr>
          <w:spacing w:val="80"/>
        </w:rPr>
        <w:t>  </w:t>
      </w:r>
      <w:r>
        <w:rPr/>
        <w:t>о</w:t>
      </w:r>
      <w:r>
        <w:rPr>
          <w:spacing w:val="80"/>
        </w:rPr>
        <w:t>  </w:t>
      </w:r>
      <w:r>
        <w:rPr/>
        <w:t>допуске</w:t>
      </w:r>
      <w:r>
        <w:rPr>
          <w:spacing w:val="80"/>
        </w:rPr>
        <w:t>  </w:t>
      </w:r>
      <w:r>
        <w:rPr/>
        <w:t>к</w:t>
      </w:r>
      <w:r>
        <w:rPr>
          <w:spacing w:val="80"/>
        </w:rPr>
        <w:t>  </w:t>
      </w:r>
      <w:r>
        <w:rPr/>
        <w:t>донации</w:t>
      </w:r>
      <w:r>
        <w:rPr>
          <w:spacing w:val="80"/>
        </w:rPr>
        <w:t>  </w:t>
      </w:r>
      <w:r>
        <w:rPr/>
        <w:t>принимается врачом-трансфузиологом по согласованию с заведующим отделением.</w:t>
      </w:r>
    </w:p>
    <w:p>
      <w:pPr>
        <w:pStyle w:val="Heading3"/>
        <w:spacing w:before="120"/>
        <w:ind w:left="1841"/>
      </w:pPr>
      <w:r>
        <w:rPr>
          <w:color w:val="1F487C"/>
          <w:spacing w:val="-2"/>
        </w:rPr>
        <w:t>Маркировка</w:t>
      </w:r>
      <w:r>
        <w:rPr>
          <w:color w:val="1F487C"/>
          <w:spacing w:val="-1"/>
        </w:rPr>
        <w:t> </w:t>
      </w:r>
      <w:r>
        <w:rPr>
          <w:color w:val="1F487C"/>
          <w:spacing w:val="-2"/>
        </w:rPr>
        <w:t>антиковидной</w:t>
      </w:r>
      <w:r>
        <w:rPr>
          <w:color w:val="1F487C"/>
        </w:rPr>
        <w:t> </w:t>
      </w:r>
      <w:r>
        <w:rPr>
          <w:color w:val="1F487C"/>
          <w:spacing w:val="-2"/>
        </w:rPr>
        <w:t>плазмы:</w:t>
      </w:r>
    </w:p>
    <w:p>
      <w:pPr>
        <w:pStyle w:val="BodyText"/>
        <w:spacing w:line="276" w:lineRule="auto" w:before="40"/>
        <w:ind w:right="1273" w:firstLine="707"/>
      </w:pPr>
      <w:r>
        <w:rPr/>
        <w:t>Компонент, содержащий IgG к SARS-CoV-2 с определенной вируснейтрализующей активностью плазмы не менее чем 1:160 в разведении, </w:t>
      </w:r>
      <w:r>
        <w:rPr>
          <w:spacing w:val="-2"/>
        </w:rPr>
        <w:t>маркируется</w:t>
      </w:r>
      <w:r>
        <w:rPr>
          <w:spacing w:val="-7"/>
        </w:rPr>
        <w:t> </w:t>
      </w:r>
      <w:r>
        <w:rPr>
          <w:spacing w:val="-2"/>
        </w:rPr>
        <w:t>в</w:t>
      </w:r>
      <w:r>
        <w:rPr>
          <w:spacing w:val="-7"/>
        </w:rPr>
        <w:t> </w:t>
      </w:r>
      <w:r>
        <w:rPr>
          <w:spacing w:val="-2"/>
        </w:rPr>
        <w:t>соответствии</w:t>
      </w:r>
      <w:r>
        <w:rPr>
          <w:spacing w:val="-5"/>
        </w:rPr>
        <w:t> </w:t>
      </w:r>
      <w:r>
        <w:rPr>
          <w:spacing w:val="-2"/>
        </w:rPr>
        <w:t>с</w:t>
      </w:r>
      <w:r>
        <w:rPr>
          <w:spacing w:val="5"/>
        </w:rPr>
        <w:t> </w:t>
      </w:r>
      <w:r>
        <w:rPr>
          <w:spacing w:val="-2"/>
        </w:rPr>
        <w:t>постановлением</w:t>
      </w:r>
      <w:r>
        <w:rPr>
          <w:spacing w:val="-7"/>
        </w:rPr>
        <w:t> </w:t>
      </w:r>
      <w:r>
        <w:rPr>
          <w:spacing w:val="-2"/>
        </w:rPr>
        <w:t>Правительства</w:t>
      </w:r>
      <w:r>
        <w:rPr>
          <w:spacing w:val="-7"/>
        </w:rPr>
        <w:t> </w:t>
      </w:r>
      <w:r>
        <w:rPr>
          <w:spacing w:val="-2"/>
        </w:rPr>
        <w:t>РФ</w:t>
      </w:r>
      <w:r>
        <w:rPr>
          <w:spacing w:val="-7"/>
        </w:rPr>
        <w:t> </w:t>
      </w:r>
      <w:r>
        <w:rPr>
          <w:spacing w:val="-2"/>
        </w:rPr>
        <w:t>от</w:t>
      </w:r>
      <w:r>
        <w:rPr>
          <w:spacing w:val="-5"/>
        </w:rPr>
        <w:t> </w:t>
      </w:r>
      <w:r>
        <w:rPr>
          <w:spacing w:val="-2"/>
        </w:rPr>
        <w:t>22.06.2019</w:t>
      </w:r>
      <w:r>
        <w:rPr>
          <w:spacing w:val="-6"/>
        </w:rPr>
        <w:t> </w:t>
      </w:r>
      <w:r>
        <w:rPr>
          <w:spacing w:val="-2"/>
        </w:rPr>
        <w:t>№</w:t>
      </w:r>
      <w:r>
        <w:rPr>
          <w:spacing w:val="-8"/>
        </w:rPr>
        <w:t> </w:t>
      </w:r>
      <w:r>
        <w:rPr>
          <w:spacing w:val="-5"/>
        </w:rPr>
        <w:t>797</w:t>
      </w:r>
    </w:p>
    <w:p>
      <w:pPr>
        <w:pStyle w:val="BodyText"/>
        <w:spacing w:line="276" w:lineRule="auto"/>
        <w:ind w:right="1272"/>
      </w:pPr>
      <w:r>
        <w:rPr/>
        <w:t>«Об утверждении Правил заготовки, хранения, транспортировки и клинического использования донорской крови и ее компонентов и о признании утратившими силу некоторых актов Правительства Российской Федерации» как «Плазма патогенредуцированная» или «Свежезамороженная плазма» с дополнительным признаком</w:t>
      </w:r>
      <w:r>
        <w:rPr>
          <w:spacing w:val="67"/>
        </w:rPr>
        <w:t>  </w:t>
      </w:r>
      <w:r>
        <w:rPr/>
        <w:t>«Антикоронавирусная».При</w:t>
      </w:r>
      <w:r>
        <w:rPr>
          <w:spacing w:val="67"/>
        </w:rPr>
        <w:t>  </w:t>
      </w:r>
      <w:r>
        <w:rPr/>
        <w:t>маркировке</w:t>
      </w:r>
      <w:r>
        <w:rPr>
          <w:spacing w:val="69"/>
        </w:rPr>
        <w:t>  </w:t>
      </w:r>
      <w:r>
        <w:rPr/>
        <w:t>указывается</w:t>
      </w:r>
      <w:r>
        <w:rPr>
          <w:spacing w:val="67"/>
        </w:rPr>
        <w:t>  </w:t>
      </w:r>
      <w:r>
        <w:rPr/>
        <w:t>информация о</w:t>
      </w:r>
      <w:r>
        <w:rPr>
          <w:spacing w:val="80"/>
        </w:rPr>
        <w:t> </w:t>
      </w:r>
      <w:r>
        <w:rPr/>
        <w:t>значении</w:t>
      </w:r>
      <w:r>
        <w:rPr>
          <w:spacing w:val="80"/>
        </w:rPr>
        <w:t> </w:t>
      </w:r>
      <w:r>
        <w:rPr/>
        <w:t>титра</w:t>
      </w:r>
      <w:r>
        <w:rPr>
          <w:spacing w:val="80"/>
        </w:rPr>
        <w:t> </w:t>
      </w:r>
      <w:r>
        <w:rPr/>
        <w:t>вируснейтрализующих</w:t>
      </w:r>
      <w:r>
        <w:rPr>
          <w:spacing w:val="80"/>
        </w:rPr>
        <w:t> </w:t>
      </w:r>
      <w:r>
        <w:rPr/>
        <w:t>антител</w:t>
      </w:r>
      <w:r>
        <w:rPr>
          <w:spacing w:val="80"/>
        </w:rPr>
        <w:t> </w:t>
      </w:r>
      <w:r>
        <w:rPr/>
        <w:t>(в</w:t>
      </w:r>
      <w:r>
        <w:rPr>
          <w:spacing w:val="80"/>
        </w:rPr>
        <w:t> </w:t>
      </w:r>
      <w:r>
        <w:rPr/>
        <w:t>случае</w:t>
      </w:r>
      <w:r>
        <w:rPr>
          <w:spacing w:val="80"/>
        </w:rPr>
        <w:t> </w:t>
      </w:r>
      <w:r>
        <w:rPr/>
        <w:t>его</w:t>
      </w:r>
      <w:r>
        <w:rPr>
          <w:spacing w:val="80"/>
        </w:rPr>
        <w:t> </w:t>
      </w:r>
      <w:r>
        <w:rPr/>
        <w:t>определения) или о содержании IgG к S1 домену Spike гликопротеина вируса SARS CoV-2. Назначение</w:t>
      </w:r>
      <w:r>
        <w:rPr>
          <w:spacing w:val="-1"/>
        </w:rPr>
        <w:t> </w:t>
      </w:r>
      <w:r>
        <w:rPr/>
        <w:t>антиковидной</w:t>
      </w:r>
      <w:r>
        <w:rPr>
          <w:spacing w:val="-1"/>
        </w:rPr>
        <w:t> </w:t>
      </w:r>
      <w:r>
        <w:rPr/>
        <w:t>плазмы следует рассмотреть при отсутствии возможности использования препарата специфического очищенного иммуноглобулина.</w:t>
      </w:r>
    </w:p>
    <w:p>
      <w:pPr>
        <w:pStyle w:val="Heading3"/>
        <w:spacing w:before="117"/>
        <w:ind w:left="1841"/>
      </w:pPr>
      <w:r>
        <w:rPr>
          <w:color w:val="1F487C"/>
          <w:spacing w:val="-2"/>
        </w:rPr>
        <w:t>Показания</w:t>
      </w:r>
      <w:r>
        <w:rPr>
          <w:color w:val="1F487C"/>
        </w:rPr>
        <w:t> </w:t>
      </w:r>
      <w:r>
        <w:rPr>
          <w:color w:val="1F487C"/>
          <w:spacing w:val="-2"/>
        </w:rPr>
        <w:t>к клиническому</w:t>
      </w:r>
      <w:r>
        <w:rPr>
          <w:color w:val="1F487C"/>
        </w:rPr>
        <w:t> </w:t>
      </w:r>
      <w:r>
        <w:rPr>
          <w:color w:val="1F487C"/>
          <w:spacing w:val="-2"/>
        </w:rPr>
        <w:t>использованию</w:t>
      </w:r>
      <w:r>
        <w:rPr>
          <w:color w:val="1F487C"/>
          <w:spacing w:val="-1"/>
        </w:rPr>
        <w:t> </w:t>
      </w:r>
      <w:r>
        <w:rPr>
          <w:color w:val="1F487C"/>
          <w:spacing w:val="-2"/>
        </w:rPr>
        <w:t>антиковидной</w:t>
      </w:r>
      <w:r>
        <w:rPr>
          <w:color w:val="1F487C"/>
          <w:spacing w:val="1"/>
        </w:rPr>
        <w:t> </w:t>
      </w:r>
      <w:r>
        <w:rPr>
          <w:color w:val="1F487C"/>
          <w:spacing w:val="-2"/>
        </w:rPr>
        <w:t>плазмы:</w:t>
      </w:r>
    </w:p>
    <w:p>
      <w:pPr>
        <w:pStyle w:val="BodyText"/>
        <w:spacing w:line="276" w:lineRule="auto" w:before="161"/>
        <w:ind w:right="1272" w:firstLine="707"/>
      </w:pPr>
      <w:r>
        <w:rPr/>
        <w:t>Трансфузия антиковидной плазмы показана пациентам при отсутствии у них значимого</w:t>
      </w:r>
      <w:r>
        <w:rPr>
          <w:spacing w:val="40"/>
        </w:rPr>
        <w:t>  </w:t>
      </w:r>
      <w:r>
        <w:rPr/>
        <w:t>собственного</w:t>
      </w:r>
      <w:r>
        <w:rPr>
          <w:spacing w:val="40"/>
        </w:rPr>
        <w:t>  </w:t>
      </w:r>
      <w:r>
        <w:rPr/>
        <w:t>иммуного</w:t>
      </w:r>
      <w:r>
        <w:rPr>
          <w:spacing w:val="40"/>
        </w:rPr>
        <w:t>  </w:t>
      </w:r>
      <w:r>
        <w:rPr/>
        <w:t>ответа</w:t>
      </w:r>
      <w:r>
        <w:rPr>
          <w:spacing w:val="40"/>
        </w:rPr>
        <w:t>  </w:t>
      </w:r>
      <w:r>
        <w:rPr/>
        <w:t>(IgG</w:t>
      </w:r>
      <w:r>
        <w:rPr>
          <w:spacing w:val="40"/>
        </w:rPr>
        <w:t>  </w:t>
      </w:r>
      <w:r>
        <w:rPr/>
        <w:t>к</w:t>
      </w:r>
      <w:r>
        <w:rPr>
          <w:spacing w:val="40"/>
        </w:rPr>
        <w:t>  </w:t>
      </w:r>
      <w:r>
        <w:rPr/>
        <w:t>SARS-Cov2</w:t>
      </w:r>
      <w:r>
        <w:rPr>
          <w:spacing w:val="40"/>
        </w:rPr>
        <w:t>  </w:t>
      </w:r>
      <w:r>
        <w:rPr/>
        <w:t>менее</w:t>
      </w:r>
      <w:r>
        <w:rPr>
          <w:spacing w:val="40"/>
        </w:rPr>
        <w:t>  </w:t>
      </w:r>
      <w:r>
        <w:rPr/>
        <w:t>20</w:t>
      </w:r>
      <w:r>
        <w:rPr>
          <w:spacing w:val="40"/>
        </w:rPr>
        <w:t>  </w:t>
      </w:r>
      <w:r>
        <w:rPr/>
        <w:t>-</w:t>
      </w:r>
      <w:r>
        <w:rPr>
          <w:spacing w:val="40"/>
        </w:rPr>
        <w:t> </w:t>
      </w:r>
      <w:r>
        <w:rPr/>
        <w:t>у невакцинированных пациентов или IgG к S1 домену Spike гликопротеина вируса SARS-CoV-2 менее 50 BAU/мл - у вакцинированных пациентов).</w:t>
      </w:r>
    </w:p>
    <w:p>
      <w:pPr>
        <w:pStyle w:val="Heading3"/>
        <w:spacing w:before="119"/>
        <w:ind w:left="1841"/>
      </w:pPr>
      <w:r>
        <w:rPr>
          <w:color w:val="1F487C"/>
          <w:spacing w:val="-2"/>
        </w:rPr>
        <w:t>Противопоказания</w:t>
      </w:r>
      <w:r>
        <w:rPr>
          <w:color w:val="1F487C"/>
        </w:rPr>
        <w:t> </w:t>
      </w:r>
      <w:r>
        <w:rPr>
          <w:color w:val="1F487C"/>
          <w:spacing w:val="-2"/>
        </w:rPr>
        <w:t>к клиническому</w:t>
      </w:r>
      <w:r>
        <w:rPr>
          <w:color w:val="1F487C"/>
          <w:spacing w:val="1"/>
        </w:rPr>
        <w:t> </w:t>
      </w:r>
      <w:r>
        <w:rPr>
          <w:color w:val="1F487C"/>
          <w:spacing w:val="-2"/>
        </w:rPr>
        <w:t>использованию</w:t>
      </w:r>
      <w:r>
        <w:rPr>
          <w:color w:val="1F487C"/>
          <w:spacing w:val="-1"/>
        </w:rPr>
        <w:t> </w:t>
      </w:r>
      <w:r>
        <w:rPr>
          <w:color w:val="1F487C"/>
          <w:spacing w:val="-2"/>
        </w:rPr>
        <w:t>антиковидной</w:t>
      </w:r>
      <w:r>
        <w:rPr>
          <w:color w:val="1F487C"/>
          <w:spacing w:val="2"/>
        </w:rPr>
        <w:t> </w:t>
      </w:r>
      <w:r>
        <w:rPr>
          <w:color w:val="1F487C"/>
          <w:spacing w:val="-2"/>
        </w:rPr>
        <w:t>плазмы:</w:t>
      </w:r>
    </w:p>
    <w:p>
      <w:pPr>
        <w:pStyle w:val="ListParagraph"/>
        <w:numPr>
          <w:ilvl w:val="0"/>
          <w:numId w:val="16"/>
        </w:numPr>
        <w:tabs>
          <w:tab w:pos="2124" w:val="left" w:leader="none"/>
        </w:tabs>
        <w:spacing w:line="317" w:lineRule="exact" w:before="161" w:after="0"/>
        <w:ind w:left="2124" w:right="0" w:hanging="359"/>
        <w:jc w:val="left"/>
        <w:rPr>
          <w:sz w:val="28"/>
        </w:rPr>
      </w:pPr>
      <w:r>
        <w:rPr>
          <w:sz w:val="24"/>
        </w:rPr>
        <w:t>Аллергические</w:t>
      </w:r>
      <w:r>
        <w:rPr>
          <w:spacing w:val="-10"/>
          <w:sz w:val="24"/>
        </w:rPr>
        <w:t> </w:t>
      </w:r>
      <w:r>
        <w:rPr>
          <w:sz w:val="24"/>
        </w:rPr>
        <w:t>реакции</w:t>
      </w:r>
      <w:r>
        <w:rPr>
          <w:spacing w:val="-10"/>
          <w:sz w:val="24"/>
        </w:rPr>
        <w:t> </w:t>
      </w:r>
      <w:r>
        <w:rPr>
          <w:sz w:val="24"/>
        </w:rPr>
        <w:t>на</w:t>
      </w:r>
      <w:r>
        <w:rPr>
          <w:spacing w:val="-10"/>
          <w:sz w:val="24"/>
        </w:rPr>
        <w:t> </w:t>
      </w:r>
      <w:r>
        <w:rPr>
          <w:sz w:val="24"/>
        </w:rPr>
        <w:t>белки</w:t>
      </w:r>
      <w:r>
        <w:rPr>
          <w:spacing w:val="-8"/>
          <w:sz w:val="24"/>
        </w:rPr>
        <w:t> </w:t>
      </w:r>
      <w:r>
        <w:rPr>
          <w:sz w:val="24"/>
        </w:rPr>
        <w:t>плазмы</w:t>
      </w:r>
      <w:r>
        <w:rPr>
          <w:spacing w:val="-10"/>
          <w:sz w:val="24"/>
        </w:rPr>
        <w:t> </w:t>
      </w:r>
      <w:r>
        <w:rPr>
          <w:sz w:val="24"/>
        </w:rPr>
        <w:t>или</w:t>
      </w:r>
      <w:r>
        <w:rPr>
          <w:spacing w:val="-10"/>
          <w:sz w:val="24"/>
        </w:rPr>
        <w:t> </w:t>
      </w:r>
      <w:r>
        <w:rPr>
          <w:sz w:val="24"/>
        </w:rPr>
        <w:t>цитрат</w:t>
      </w:r>
      <w:r>
        <w:rPr>
          <w:spacing w:val="-9"/>
          <w:sz w:val="24"/>
        </w:rPr>
        <w:t> </w:t>
      </w:r>
      <w:r>
        <w:rPr>
          <w:sz w:val="24"/>
        </w:rPr>
        <w:t>натрия</w:t>
      </w:r>
      <w:r>
        <w:rPr>
          <w:spacing w:val="-10"/>
          <w:sz w:val="24"/>
        </w:rPr>
        <w:t> </w:t>
      </w:r>
      <w:r>
        <w:rPr>
          <w:sz w:val="24"/>
        </w:rPr>
        <w:t>в</w:t>
      </w:r>
      <w:r>
        <w:rPr>
          <w:spacing w:val="-9"/>
          <w:sz w:val="24"/>
        </w:rPr>
        <w:t> </w:t>
      </w:r>
      <w:r>
        <w:rPr>
          <w:spacing w:val="-2"/>
          <w:sz w:val="24"/>
        </w:rPr>
        <w:t>анамнезе;</w:t>
      </w:r>
    </w:p>
    <w:p>
      <w:pPr>
        <w:pStyle w:val="ListParagraph"/>
        <w:numPr>
          <w:ilvl w:val="0"/>
          <w:numId w:val="16"/>
        </w:numPr>
        <w:tabs>
          <w:tab w:pos="2124" w:val="left" w:leader="none"/>
        </w:tabs>
        <w:spacing w:line="232" w:lineRule="auto" w:before="3" w:after="0"/>
        <w:ind w:left="2124" w:right="1281" w:hanging="360"/>
        <w:jc w:val="left"/>
        <w:rPr>
          <w:sz w:val="28"/>
        </w:rPr>
      </w:pPr>
      <w:r>
        <w:rPr>
          <w:sz w:val="24"/>
        </w:rPr>
        <w:t>Пациентам</w:t>
      </w:r>
      <w:r>
        <w:rPr>
          <w:spacing w:val="40"/>
          <w:sz w:val="24"/>
        </w:rPr>
        <w:t> </w:t>
      </w:r>
      <w:r>
        <w:rPr>
          <w:sz w:val="24"/>
        </w:rPr>
        <w:t>с</w:t>
      </w:r>
      <w:r>
        <w:rPr>
          <w:spacing w:val="40"/>
          <w:sz w:val="24"/>
        </w:rPr>
        <w:t> </w:t>
      </w:r>
      <w:r>
        <w:rPr>
          <w:sz w:val="24"/>
        </w:rPr>
        <w:t>аутоиммунными</w:t>
      </w:r>
      <w:r>
        <w:rPr>
          <w:spacing w:val="40"/>
          <w:sz w:val="24"/>
        </w:rPr>
        <w:t> </w:t>
      </w:r>
      <w:r>
        <w:rPr>
          <w:sz w:val="24"/>
        </w:rPr>
        <w:t>заболеваниями</w:t>
      </w:r>
      <w:r>
        <w:rPr>
          <w:spacing w:val="40"/>
          <w:sz w:val="24"/>
        </w:rPr>
        <w:t> </w:t>
      </w:r>
      <w:r>
        <w:rPr>
          <w:sz w:val="24"/>
        </w:rPr>
        <w:t>или</w:t>
      </w:r>
      <w:r>
        <w:rPr>
          <w:spacing w:val="40"/>
          <w:sz w:val="24"/>
        </w:rPr>
        <w:t> </w:t>
      </w:r>
      <w:r>
        <w:rPr>
          <w:sz w:val="24"/>
        </w:rPr>
        <w:t>селективным</w:t>
      </w:r>
      <w:r>
        <w:rPr>
          <w:spacing w:val="40"/>
          <w:sz w:val="24"/>
        </w:rPr>
        <w:t> </w:t>
      </w:r>
      <w:r>
        <w:rPr>
          <w:sz w:val="24"/>
        </w:rPr>
        <w:t>дефицитом</w:t>
      </w:r>
      <w:r>
        <w:rPr>
          <w:spacing w:val="40"/>
          <w:sz w:val="24"/>
        </w:rPr>
        <w:t> </w:t>
      </w:r>
      <w:r>
        <w:rPr>
          <w:sz w:val="24"/>
        </w:rPr>
        <w:t>IgА в анамнезе необходима тщательная оценка возможных побочных эффектов;</w:t>
      </w:r>
    </w:p>
    <w:p>
      <w:pPr>
        <w:pStyle w:val="ListParagraph"/>
        <w:numPr>
          <w:ilvl w:val="0"/>
          <w:numId w:val="16"/>
        </w:numPr>
        <w:tabs>
          <w:tab w:pos="2124" w:val="left" w:leader="none"/>
        </w:tabs>
        <w:spacing w:line="240" w:lineRule="auto" w:before="2" w:after="0"/>
        <w:ind w:left="2124" w:right="0" w:hanging="359"/>
        <w:jc w:val="left"/>
        <w:rPr>
          <w:sz w:val="28"/>
        </w:rPr>
      </w:pPr>
      <w:r>
        <w:rPr>
          <w:spacing w:val="-2"/>
          <w:sz w:val="24"/>
        </w:rPr>
        <w:t>Общие</w:t>
      </w:r>
      <w:r>
        <w:rPr>
          <w:sz w:val="24"/>
        </w:rPr>
        <w:t> </w:t>
      </w:r>
      <w:r>
        <w:rPr>
          <w:spacing w:val="-2"/>
          <w:sz w:val="24"/>
        </w:rPr>
        <w:t>противопоказания</w:t>
      </w:r>
      <w:r>
        <w:rPr>
          <w:spacing w:val="1"/>
          <w:sz w:val="24"/>
        </w:rPr>
        <w:t> </w:t>
      </w:r>
      <w:r>
        <w:rPr>
          <w:spacing w:val="-2"/>
          <w:sz w:val="24"/>
        </w:rPr>
        <w:t>для</w:t>
      </w:r>
      <w:r>
        <w:rPr>
          <w:spacing w:val="1"/>
          <w:sz w:val="24"/>
        </w:rPr>
        <w:t> </w:t>
      </w:r>
      <w:r>
        <w:rPr>
          <w:spacing w:val="-2"/>
          <w:sz w:val="24"/>
        </w:rPr>
        <w:t>трансфузии</w:t>
      </w:r>
      <w:r>
        <w:rPr>
          <w:spacing w:val="3"/>
          <w:sz w:val="24"/>
        </w:rPr>
        <w:t> </w:t>
      </w:r>
      <w:r>
        <w:rPr>
          <w:spacing w:val="-2"/>
          <w:sz w:val="24"/>
        </w:rPr>
        <w:t>свежезамороженной</w:t>
      </w:r>
      <w:r>
        <w:rPr>
          <w:spacing w:val="2"/>
          <w:sz w:val="24"/>
        </w:rPr>
        <w:t> </w:t>
      </w:r>
      <w:r>
        <w:rPr>
          <w:spacing w:val="-2"/>
          <w:sz w:val="24"/>
        </w:rPr>
        <w:t>плазмы.</w:t>
      </w:r>
    </w:p>
    <w:p>
      <w:pPr>
        <w:pStyle w:val="ListParagraph"/>
        <w:spacing w:after="0" w:line="240" w:lineRule="auto"/>
        <w:jc w:val="left"/>
        <w:rPr>
          <w:sz w:val="28"/>
        </w:rPr>
        <w:sectPr>
          <w:pgSz w:w="11900" w:h="16840"/>
          <w:pgMar w:header="0" w:footer="697" w:top="1080" w:bottom="880" w:left="0" w:right="0"/>
        </w:sectPr>
      </w:pPr>
    </w:p>
    <w:p>
      <w:pPr>
        <w:pStyle w:val="Heading3"/>
        <w:spacing w:before="73"/>
        <w:ind w:left="1841"/>
      </w:pPr>
      <w:bookmarkStart w:name="44" w:id="56"/>
      <w:bookmarkEnd w:id="56"/>
      <w:r>
        <w:rPr>
          <w:b w:val="0"/>
        </w:rPr>
      </w:r>
      <w:r>
        <w:rPr>
          <w:color w:val="1F487C"/>
          <w:spacing w:val="-2"/>
        </w:rPr>
        <w:t>Применение</w:t>
      </w:r>
      <w:r>
        <w:rPr>
          <w:color w:val="1F487C"/>
          <w:spacing w:val="1"/>
        </w:rPr>
        <w:t> </w:t>
      </w:r>
      <w:r>
        <w:rPr>
          <w:color w:val="1F487C"/>
          <w:spacing w:val="-2"/>
        </w:rPr>
        <w:t>иммуноглобулина</w:t>
      </w:r>
      <w:r>
        <w:rPr>
          <w:color w:val="1F487C"/>
        </w:rPr>
        <w:t> </w:t>
      </w:r>
      <w:r>
        <w:rPr>
          <w:color w:val="1F487C"/>
          <w:spacing w:val="-2"/>
        </w:rPr>
        <w:t>человека</w:t>
      </w:r>
      <w:r>
        <w:rPr>
          <w:color w:val="1F487C"/>
        </w:rPr>
        <w:t> </w:t>
      </w:r>
      <w:r>
        <w:rPr>
          <w:color w:val="1F487C"/>
          <w:spacing w:val="-2"/>
        </w:rPr>
        <w:t>против</w:t>
      </w:r>
      <w:r>
        <w:rPr>
          <w:color w:val="1F487C"/>
          <w:spacing w:val="1"/>
        </w:rPr>
        <w:t> </w:t>
      </w:r>
      <w:r>
        <w:rPr>
          <w:color w:val="1F487C"/>
          <w:spacing w:val="-2"/>
        </w:rPr>
        <w:t>COVID-</w:t>
      </w:r>
      <w:r>
        <w:rPr>
          <w:color w:val="1F487C"/>
          <w:spacing w:val="-5"/>
        </w:rPr>
        <w:t>19</w:t>
      </w:r>
    </w:p>
    <w:p>
      <w:pPr>
        <w:pStyle w:val="BodyText"/>
        <w:spacing w:line="276" w:lineRule="auto" w:before="160"/>
        <w:ind w:right="1271" w:firstLine="707"/>
      </w:pPr>
      <w:r>
        <w:rPr/>
        <w:t>Применение</w:t>
      </w:r>
      <w:r>
        <w:rPr>
          <w:spacing w:val="80"/>
          <w:w w:val="150"/>
        </w:rPr>
        <w:t> </w:t>
      </w:r>
      <w:r>
        <w:rPr/>
        <w:t>высокоочищенного</w:t>
      </w:r>
      <w:r>
        <w:rPr>
          <w:spacing w:val="80"/>
          <w:w w:val="150"/>
        </w:rPr>
        <w:t> </w:t>
      </w:r>
      <w:r>
        <w:rPr/>
        <w:t>препарата</w:t>
      </w:r>
      <w:r>
        <w:rPr>
          <w:spacing w:val="80"/>
          <w:w w:val="150"/>
        </w:rPr>
        <w:t> </w:t>
      </w:r>
      <w:r>
        <w:rPr/>
        <w:t>иммуноглобулина</w:t>
      </w:r>
      <w:r>
        <w:rPr>
          <w:spacing w:val="80"/>
          <w:w w:val="150"/>
        </w:rPr>
        <w:t> </w:t>
      </w:r>
      <w:r>
        <w:rPr/>
        <w:t>основано</w:t>
      </w:r>
      <w:r>
        <w:rPr>
          <w:spacing w:val="40"/>
        </w:rPr>
        <w:t> </w:t>
      </w:r>
      <w:r>
        <w:rPr/>
        <w:t>на концепции пассивной иммунизации. Действующим началом препарата являются иммуноглобулины</w:t>
      </w:r>
      <w:r>
        <w:rPr>
          <w:spacing w:val="75"/>
        </w:rPr>
        <w:t> </w:t>
      </w:r>
      <w:r>
        <w:rPr/>
        <w:t>класса</w:t>
      </w:r>
      <w:r>
        <w:rPr>
          <w:spacing w:val="77"/>
        </w:rPr>
        <w:t> </w:t>
      </w:r>
      <w:r>
        <w:rPr/>
        <w:t>G</w:t>
      </w:r>
      <w:r>
        <w:rPr>
          <w:spacing w:val="75"/>
        </w:rPr>
        <w:t> </w:t>
      </w:r>
      <w:r>
        <w:rPr/>
        <w:t>(не</w:t>
      </w:r>
      <w:r>
        <w:rPr>
          <w:spacing w:val="75"/>
        </w:rPr>
        <w:t> </w:t>
      </w:r>
      <w:r>
        <w:rPr/>
        <w:t>менее</w:t>
      </w:r>
      <w:r>
        <w:rPr>
          <w:spacing w:val="75"/>
        </w:rPr>
        <w:t> </w:t>
      </w:r>
      <w:r>
        <w:rPr/>
        <w:t>95%),</w:t>
      </w:r>
      <w:r>
        <w:rPr>
          <w:spacing w:val="76"/>
        </w:rPr>
        <w:t> </w:t>
      </w:r>
      <w:r>
        <w:rPr/>
        <w:t>обладающие</w:t>
      </w:r>
      <w:r>
        <w:rPr>
          <w:spacing w:val="75"/>
        </w:rPr>
        <w:t> </w:t>
      </w:r>
      <w:r>
        <w:rPr/>
        <w:t>активностью</w:t>
      </w:r>
      <w:r>
        <w:rPr>
          <w:spacing w:val="76"/>
        </w:rPr>
        <w:t> </w:t>
      </w:r>
      <w:r>
        <w:rPr/>
        <w:t>антител к</w:t>
      </w:r>
      <w:r>
        <w:rPr>
          <w:spacing w:val="80"/>
        </w:rPr>
        <w:t> </w:t>
      </w:r>
      <w:r>
        <w:rPr/>
        <w:t>SARS-CoV-2,</w:t>
      </w:r>
      <w:r>
        <w:rPr>
          <w:spacing w:val="80"/>
        </w:rPr>
        <w:t> </w:t>
      </w:r>
      <w:r>
        <w:rPr/>
        <w:t>полученные</w:t>
      </w:r>
      <w:r>
        <w:rPr>
          <w:spacing w:val="80"/>
        </w:rPr>
        <w:t> </w:t>
      </w:r>
      <w:r>
        <w:rPr/>
        <w:t>из</w:t>
      </w:r>
      <w:r>
        <w:rPr>
          <w:spacing w:val="80"/>
        </w:rPr>
        <w:t> </w:t>
      </w:r>
      <w:r>
        <w:rPr/>
        <w:t>пула</w:t>
      </w:r>
      <w:r>
        <w:rPr>
          <w:spacing w:val="80"/>
        </w:rPr>
        <w:t> </w:t>
      </w:r>
      <w:r>
        <w:rPr/>
        <w:t>плазмы</w:t>
      </w:r>
      <w:r>
        <w:rPr>
          <w:spacing w:val="80"/>
        </w:rPr>
        <w:t> </w:t>
      </w:r>
      <w:r>
        <w:rPr/>
        <w:t>доноров.</w:t>
      </w:r>
      <w:r>
        <w:rPr>
          <w:spacing w:val="80"/>
        </w:rPr>
        <w:t> </w:t>
      </w:r>
      <w:r>
        <w:rPr/>
        <w:t>Препарат</w:t>
      </w:r>
      <w:r>
        <w:rPr>
          <w:spacing w:val="80"/>
        </w:rPr>
        <w:t> </w:t>
      </w:r>
      <w:r>
        <w:rPr/>
        <w:t>изготавливают по технологии, включающей процедуры инактивации и/или удаления вирусов. Молекулы IgG при изготовлении препарата не подвергаются изменению вследствие химического</w:t>
      </w:r>
      <w:r>
        <w:rPr>
          <w:spacing w:val="-5"/>
        </w:rPr>
        <w:t> </w:t>
      </w:r>
      <w:r>
        <w:rPr/>
        <w:t>или</w:t>
      </w:r>
      <w:r>
        <w:rPr>
          <w:spacing w:val="-6"/>
        </w:rPr>
        <w:t> </w:t>
      </w:r>
      <w:r>
        <w:rPr/>
        <w:t>ферментативного</w:t>
      </w:r>
      <w:r>
        <w:rPr>
          <w:spacing w:val="-5"/>
        </w:rPr>
        <w:t> </w:t>
      </w:r>
      <w:r>
        <w:rPr/>
        <w:t>воздействия.</w:t>
      </w:r>
      <w:r>
        <w:rPr>
          <w:spacing w:val="-1"/>
        </w:rPr>
        <w:t> </w:t>
      </w:r>
      <w:r>
        <w:rPr/>
        <w:t>Препарат</w:t>
      </w:r>
      <w:r>
        <w:rPr>
          <w:spacing w:val="-5"/>
        </w:rPr>
        <w:t> </w:t>
      </w:r>
      <w:r>
        <w:rPr/>
        <w:t>не</w:t>
      </w:r>
      <w:r>
        <w:rPr>
          <w:spacing w:val="-6"/>
        </w:rPr>
        <w:t> </w:t>
      </w:r>
      <w:r>
        <w:rPr/>
        <w:t>содержит</w:t>
      </w:r>
      <w:r>
        <w:rPr>
          <w:spacing w:val="-5"/>
        </w:rPr>
        <w:t> </w:t>
      </w:r>
      <w:r>
        <w:rPr/>
        <w:t>консервантов и антибиотиков.</w:t>
      </w:r>
    </w:p>
    <w:p>
      <w:pPr>
        <w:pStyle w:val="BodyText"/>
        <w:spacing w:line="276" w:lineRule="auto"/>
        <w:ind w:right="1273" w:firstLine="707"/>
      </w:pPr>
      <w:r>
        <w:rPr/>
        <w:t>После</w:t>
      </w:r>
      <w:r>
        <w:rPr>
          <w:spacing w:val="36"/>
        </w:rPr>
        <w:t> </w:t>
      </w:r>
      <w:r>
        <w:rPr/>
        <w:t>внутривенной</w:t>
      </w:r>
      <w:r>
        <w:rPr>
          <w:spacing w:val="35"/>
        </w:rPr>
        <w:t> </w:t>
      </w:r>
      <w:r>
        <w:rPr/>
        <w:t>инфузии</w:t>
      </w:r>
      <w:r>
        <w:rPr>
          <w:spacing w:val="39"/>
        </w:rPr>
        <w:t> </w:t>
      </w:r>
      <w:r>
        <w:rPr/>
        <w:t>длительность</w:t>
      </w:r>
      <w:r>
        <w:rPr>
          <w:spacing w:val="36"/>
        </w:rPr>
        <w:t> </w:t>
      </w:r>
      <w:r>
        <w:rPr/>
        <w:t>содержания</w:t>
      </w:r>
      <w:r>
        <w:rPr>
          <w:spacing w:val="34"/>
        </w:rPr>
        <w:t> </w:t>
      </w:r>
      <w:r>
        <w:rPr/>
        <w:t>IgG</w:t>
      </w:r>
      <w:r>
        <w:rPr>
          <w:spacing w:val="33"/>
        </w:rPr>
        <w:t> </w:t>
      </w:r>
      <w:r>
        <w:rPr/>
        <w:t>к</w:t>
      </w:r>
      <w:r>
        <w:rPr>
          <w:spacing w:val="35"/>
        </w:rPr>
        <w:t> </w:t>
      </w:r>
      <w:r>
        <w:rPr/>
        <w:t>SARS-CoV-2 в</w:t>
      </w:r>
      <w:r>
        <w:rPr>
          <w:spacing w:val="-2"/>
        </w:rPr>
        <w:t> </w:t>
      </w:r>
      <w:r>
        <w:rPr/>
        <w:t>максимальной</w:t>
      </w:r>
      <w:r>
        <w:rPr>
          <w:spacing w:val="80"/>
        </w:rPr>
        <w:t>  </w:t>
      </w:r>
      <w:r>
        <w:rPr/>
        <w:t>концентрации</w:t>
      </w:r>
      <w:r>
        <w:rPr>
          <w:spacing w:val="80"/>
        </w:rPr>
        <w:t>  </w:t>
      </w:r>
      <w:r>
        <w:rPr/>
        <w:t>варьирует</w:t>
      </w:r>
      <w:r>
        <w:rPr>
          <w:spacing w:val="80"/>
        </w:rPr>
        <w:t>  </w:t>
      </w:r>
      <w:r>
        <w:rPr/>
        <w:t>от</w:t>
      </w:r>
      <w:r>
        <w:rPr>
          <w:spacing w:val="80"/>
        </w:rPr>
        <w:t>  </w:t>
      </w:r>
      <w:r>
        <w:rPr/>
        <w:t>25</w:t>
      </w:r>
      <w:r>
        <w:rPr>
          <w:spacing w:val="80"/>
        </w:rPr>
        <w:t>  </w:t>
      </w:r>
      <w:r>
        <w:rPr/>
        <w:t>минут</w:t>
      </w:r>
      <w:r>
        <w:rPr>
          <w:spacing w:val="80"/>
        </w:rPr>
        <w:t>  </w:t>
      </w:r>
      <w:r>
        <w:rPr/>
        <w:t>до</w:t>
      </w:r>
      <w:r>
        <w:rPr>
          <w:spacing w:val="80"/>
        </w:rPr>
        <w:t>  </w:t>
      </w:r>
      <w:r>
        <w:rPr/>
        <w:t>6</w:t>
      </w:r>
      <w:r>
        <w:rPr>
          <w:spacing w:val="80"/>
        </w:rPr>
        <w:t>  </w:t>
      </w:r>
      <w:r>
        <w:rPr/>
        <w:t>часов. Период полувыведения IgG к SARS-CoV-2 составляет в среднем 11 суток.</w:t>
      </w:r>
    </w:p>
    <w:p>
      <w:pPr>
        <w:pStyle w:val="Heading3"/>
        <w:spacing w:before="118"/>
        <w:ind w:left="1841"/>
      </w:pPr>
      <w:r>
        <w:rPr>
          <w:color w:val="1F487C"/>
          <w:spacing w:val="-2"/>
        </w:rPr>
        <w:t>Показания</w:t>
      </w:r>
      <w:r>
        <w:rPr>
          <w:color w:val="1F487C"/>
          <w:spacing w:val="1"/>
        </w:rPr>
        <w:t> </w:t>
      </w:r>
      <w:r>
        <w:rPr>
          <w:color w:val="1F487C"/>
          <w:spacing w:val="-2"/>
        </w:rPr>
        <w:t>к</w:t>
      </w:r>
      <w:r>
        <w:rPr>
          <w:color w:val="1F487C"/>
          <w:spacing w:val="-1"/>
        </w:rPr>
        <w:t> </w:t>
      </w:r>
      <w:r>
        <w:rPr>
          <w:color w:val="1F487C"/>
          <w:spacing w:val="-2"/>
        </w:rPr>
        <w:t>применению</w:t>
      </w:r>
      <w:r>
        <w:rPr>
          <w:color w:val="1F487C"/>
        </w:rPr>
        <w:t> </w:t>
      </w:r>
      <w:r>
        <w:rPr>
          <w:color w:val="1F487C"/>
          <w:spacing w:val="-2"/>
        </w:rPr>
        <w:t>иммуноглобулина</w:t>
      </w:r>
      <w:r>
        <w:rPr>
          <w:color w:val="1F487C"/>
          <w:spacing w:val="2"/>
        </w:rPr>
        <w:t> </w:t>
      </w:r>
      <w:r>
        <w:rPr>
          <w:color w:val="1F487C"/>
          <w:spacing w:val="-2"/>
        </w:rPr>
        <w:t>человека</w:t>
      </w:r>
      <w:r>
        <w:rPr>
          <w:color w:val="1F487C"/>
          <w:spacing w:val="1"/>
        </w:rPr>
        <w:t> </w:t>
      </w:r>
      <w:r>
        <w:rPr>
          <w:color w:val="1F487C"/>
          <w:spacing w:val="-2"/>
        </w:rPr>
        <w:t>против</w:t>
      </w:r>
      <w:r>
        <w:rPr>
          <w:color w:val="1F487C"/>
          <w:spacing w:val="1"/>
        </w:rPr>
        <w:t> </w:t>
      </w:r>
      <w:r>
        <w:rPr>
          <w:color w:val="1F487C"/>
          <w:spacing w:val="-2"/>
        </w:rPr>
        <w:t>COVID-</w:t>
      </w:r>
      <w:r>
        <w:rPr>
          <w:color w:val="1F487C"/>
          <w:spacing w:val="-5"/>
        </w:rPr>
        <w:t>19:</w:t>
      </w:r>
    </w:p>
    <w:p>
      <w:pPr>
        <w:pStyle w:val="BodyText"/>
        <w:spacing w:line="276" w:lineRule="auto" w:before="161"/>
        <w:ind w:right="1271" w:firstLine="707"/>
      </w:pPr>
      <w:r>
        <w:rPr/>
        <w:t>Лечение инфекции, вызванной вирусом SARS-CoV-2, в составе комплексной терапии. Рекомендуется для назначения пациентам с высоким риском тяжелого течения заболевания (возраст старше 65 лет, наличие сопутствующих заболеваний: сахарный диабет, ожирение, хронические заболевания сердечно-сосудистой </w:t>
      </w:r>
      <w:r>
        <w:rPr>
          <w:spacing w:val="-2"/>
        </w:rPr>
        <w:t>системы).</w:t>
      </w:r>
    </w:p>
    <w:p>
      <w:pPr>
        <w:pStyle w:val="Heading3"/>
        <w:spacing w:line="278" w:lineRule="auto"/>
        <w:ind w:left="1841" w:right="1274"/>
      </w:pPr>
      <w:r>
        <w:rPr>
          <w:color w:val="1F4E79"/>
        </w:rPr>
        <w:t>Противопоказания</w:t>
      </w:r>
      <w:r>
        <w:rPr>
          <w:color w:val="1F4E79"/>
          <w:spacing w:val="40"/>
        </w:rPr>
        <w:t> </w:t>
      </w:r>
      <w:r>
        <w:rPr>
          <w:color w:val="1F4E79"/>
        </w:rPr>
        <w:t>к</w:t>
      </w:r>
      <w:r>
        <w:rPr>
          <w:color w:val="1F4E79"/>
          <w:spacing w:val="40"/>
        </w:rPr>
        <w:t> </w:t>
      </w:r>
      <w:r>
        <w:rPr>
          <w:color w:val="1F4E79"/>
        </w:rPr>
        <w:t>применению</w:t>
      </w:r>
      <w:r>
        <w:rPr>
          <w:color w:val="1F4E79"/>
          <w:spacing w:val="40"/>
        </w:rPr>
        <w:t> </w:t>
      </w:r>
      <w:r>
        <w:rPr>
          <w:color w:val="1F4E79"/>
        </w:rPr>
        <w:t>иммуноглобулина</w:t>
      </w:r>
      <w:r>
        <w:rPr>
          <w:color w:val="1F4E79"/>
          <w:spacing w:val="40"/>
        </w:rPr>
        <w:t> </w:t>
      </w:r>
      <w:r>
        <w:rPr>
          <w:color w:val="1F4E79"/>
        </w:rPr>
        <w:t>человека</w:t>
      </w:r>
      <w:r>
        <w:rPr>
          <w:color w:val="1F4E79"/>
          <w:spacing w:val="40"/>
        </w:rPr>
        <w:t> </w:t>
      </w:r>
      <w:r>
        <w:rPr>
          <w:color w:val="1F4E79"/>
        </w:rPr>
        <w:t>против</w:t>
      </w:r>
      <w:r>
        <w:rPr>
          <w:color w:val="1F4E79"/>
          <w:spacing w:val="80"/>
        </w:rPr>
        <w:t> </w:t>
      </w:r>
      <w:r>
        <w:rPr>
          <w:color w:val="1F4E79"/>
          <w:spacing w:val="-2"/>
        </w:rPr>
        <w:t>COVID-19:</w:t>
      </w:r>
    </w:p>
    <w:p>
      <w:pPr>
        <w:pStyle w:val="ListParagraph"/>
        <w:numPr>
          <w:ilvl w:val="0"/>
          <w:numId w:val="16"/>
        </w:numPr>
        <w:tabs>
          <w:tab w:pos="2124" w:val="left" w:leader="none"/>
        </w:tabs>
        <w:spacing w:line="268" w:lineRule="auto" w:before="0" w:after="0"/>
        <w:ind w:left="2124" w:right="1271" w:hanging="360"/>
        <w:jc w:val="both"/>
        <w:rPr>
          <w:sz w:val="28"/>
        </w:rPr>
      </w:pPr>
      <w:r>
        <w:rPr>
          <w:sz w:val="24"/>
        </w:rPr>
        <w:t>повышенная чувствительность к иммуноглобулину человека, особенно в редко встречающихся</w:t>
      </w:r>
      <w:r>
        <w:rPr>
          <w:spacing w:val="80"/>
          <w:sz w:val="24"/>
        </w:rPr>
        <w:t> </w:t>
      </w:r>
      <w:r>
        <w:rPr>
          <w:sz w:val="24"/>
        </w:rPr>
        <w:t>случаях</w:t>
      </w:r>
      <w:r>
        <w:rPr>
          <w:spacing w:val="80"/>
          <w:sz w:val="24"/>
        </w:rPr>
        <w:t> </w:t>
      </w:r>
      <w:r>
        <w:rPr>
          <w:sz w:val="24"/>
        </w:rPr>
        <w:t>дефицита</w:t>
      </w:r>
      <w:r>
        <w:rPr>
          <w:spacing w:val="80"/>
          <w:sz w:val="24"/>
        </w:rPr>
        <w:t> </w:t>
      </w:r>
      <w:r>
        <w:rPr>
          <w:sz w:val="24"/>
        </w:rPr>
        <w:t>в</w:t>
      </w:r>
      <w:r>
        <w:rPr>
          <w:spacing w:val="80"/>
          <w:sz w:val="24"/>
        </w:rPr>
        <w:t> </w:t>
      </w:r>
      <w:r>
        <w:rPr>
          <w:sz w:val="24"/>
        </w:rPr>
        <w:t>крови</w:t>
      </w:r>
      <w:r>
        <w:rPr>
          <w:spacing w:val="79"/>
          <w:sz w:val="24"/>
        </w:rPr>
        <w:t> </w:t>
      </w:r>
      <w:r>
        <w:rPr>
          <w:sz w:val="24"/>
        </w:rPr>
        <w:t>иммуноглобулина</w:t>
      </w:r>
      <w:r>
        <w:rPr>
          <w:spacing w:val="80"/>
          <w:sz w:val="24"/>
        </w:rPr>
        <w:t> </w:t>
      </w:r>
      <w:r>
        <w:rPr>
          <w:sz w:val="24"/>
        </w:rPr>
        <w:t>класса</w:t>
      </w:r>
      <w:r>
        <w:rPr>
          <w:spacing w:val="80"/>
          <w:sz w:val="24"/>
        </w:rPr>
        <w:t> </w:t>
      </w:r>
      <w:r>
        <w:rPr>
          <w:sz w:val="24"/>
        </w:rPr>
        <w:t>A</w:t>
      </w:r>
      <w:r>
        <w:rPr>
          <w:spacing w:val="80"/>
          <w:sz w:val="24"/>
        </w:rPr>
        <w:t> </w:t>
      </w:r>
      <w:r>
        <w:rPr>
          <w:sz w:val="24"/>
        </w:rPr>
        <w:t>(IgA) и наличия антител против IgA;</w:t>
      </w:r>
    </w:p>
    <w:p>
      <w:pPr>
        <w:pStyle w:val="ListParagraph"/>
        <w:numPr>
          <w:ilvl w:val="0"/>
          <w:numId w:val="16"/>
        </w:numPr>
        <w:tabs>
          <w:tab w:pos="2124" w:val="left" w:leader="none"/>
        </w:tabs>
        <w:spacing w:line="240" w:lineRule="auto" w:before="4" w:after="0"/>
        <w:ind w:left="2124" w:right="0" w:hanging="359"/>
        <w:jc w:val="left"/>
        <w:rPr>
          <w:sz w:val="28"/>
        </w:rPr>
      </w:pPr>
      <w:r>
        <w:rPr>
          <w:spacing w:val="-2"/>
          <w:sz w:val="24"/>
        </w:rPr>
        <w:t>повышенная</w:t>
      </w:r>
      <w:r>
        <w:rPr>
          <w:spacing w:val="2"/>
          <w:sz w:val="24"/>
        </w:rPr>
        <w:t> </w:t>
      </w:r>
      <w:r>
        <w:rPr>
          <w:spacing w:val="-2"/>
          <w:sz w:val="24"/>
        </w:rPr>
        <w:t>чувствительность</w:t>
      </w:r>
      <w:r>
        <w:rPr>
          <w:spacing w:val="1"/>
          <w:sz w:val="24"/>
        </w:rPr>
        <w:t> </w:t>
      </w:r>
      <w:r>
        <w:rPr>
          <w:spacing w:val="-2"/>
          <w:sz w:val="24"/>
        </w:rPr>
        <w:t>к</w:t>
      </w:r>
      <w:r>
        <w:rPr>
          <w:spacing w:val="3"/>
          <w:sz w:val="24"/>
        </w:rPr>
        <w:t> </w:t>
      </w:r>
      <w:r>
        <w:rPr>
          <w:spacing w:val="-2"/>
          <w:sz w:val="24"/>
        </w:rPr>
        <w:t>компонентам</w:t>
      </w:r>
      <w:r>
        <w:rPr>
          <w:spacing w:val="3"/>
          <w:sz w:val="24"/>
        </w:rPr>
        <w:t> </w:t>
      </w:r>
      <w:r>
        <w:rPr>
          <w:spacing w:val="-2"/>
          <w:sz w:val="24"/>
        </w:rPr>
        <w:t>препарата;</w:t>
      </w:r>
    </w:p>
    <w:p>
      <w:pPr>
        <w:pStyle w:val="ListParagraph"/>
        <w:numPr>
          <w:ilvl w:val="0"/>
          <w:numId w:val="16"/>
        </w:numPr>
        <w:tabs>
          <w:tab w:pos="2124" w:val="left" w:leader="none"/>
        </w:tabs>
        <w:spacing w:line="240" w:lineRule="auto" w:before="32" w:after="0"/>
        <w:ind w:left="2124" w:right="0" w:hanging="359"/>
        <w:jc w:val="left"/>
        <w:rPr>
          <w:sz w:val="28"/>
        </w:rPr>
      </w:pPr>
      <w:r>
        <w:rPr>
          <w:sz w:val="24"/>
        </w:rPr>
        <w:t>наличие</w:t>
      </w:r>
      <w:r>
        <w:rPr>
          <w:spacing w:val="-11"/>
          <w:sz w:val="24"/>
        </w:rPr>
        <w:t> </w:t>
      </w:r>
      <w:r>
        <w:rPr>
          <w:sz w:val="24"/>
        </w:rPr>
        <w:t>в</w:t>
      </w:r>
      <w:r>
        <w:rPr>
          <w:spacing w:val="-11"/>
          <w:sz w:val="24"/>
        </w:rPr>
        <w:t> </w:t>
      </w:r>
      <w:r>
        <w:rPr>
          <w:sz w:val="24"/>
        </w:rPr>
        <w:t>анамнезе</w:t>
      </w:r>
      <w:r>
        <w:rPr>
          <w:spacing w:val="-11"/>
          <w:sz w:val="24"/>
        </w:rPr>
        <w:t> </w:t>
      </w:r>
      <w:r>
        <w:rPr>
          <w:sz w:val="24"/>
        </w:rPr>
        <w:t>аллергических</w:t>
      </w:r>
      <w:r>
        <w:rPr>
          <w:spacing w:val="-11"/>
          <w:sz w:val="24"/>
        </w:rPr>
        <w:t> </w:t>
      </w:r>
      <w:r>
        <w:rPr>
          <w:sz w:val="24"/>
        </w:rPr>
        <w:t>реакций</w:t>
      </w:r>
      <w:r>
        <w:rPr>
          <w:spacing w:val="-10"/>
          <w:sz w:val="24"/>
        </w:rPr>
        <w:t> </w:t>
      </w:r>
      <w:r>
        <w:rPr>
          <w:sz w:val="24"/>
        </w:rPr>
        <w:t>на</w:t>
      </w:r>
      <w:r>
        <w:rPr>
          <w:spacing w:val="-13"/>
          <w:sz w:val="24"/>
        </w:rPr>
        <w:t> </w:t>
      </w:r>
      <w:r>
        <w:rPr>
          <w:sz w:val="24"/>
        </w:rPr>
        <w:t>препараты</w:t>
      </w:r>
      <w:r>
        <w:rPr>
          <w:spacing w:val="-11"/>
          <w:sz w:val="24"/>
        </w:rPr>
        <w:t> </w:t>
      </w:r>
      <w:r>
        <w:rPr>
          <w:sz w:val="24"/>
        </w:rPr>
        <w:t>крови</w:t>
      </w:r>
      <w:r>
        <w:rPr>
          <w:spacing w:val="-10"/>
          <w:sz w:val="24"/>
        </w:rPr>
        <w:t> </w:t>
      </w:r>
      <w:r>
        <w:rPr>
          <w:spacing w:val="-2"/>
          <w:sz w:val="24"/>
        </w:rPr>
        <w:t>человека;</w:t>
      </w:r>
    </w:p>
    <w:p>
      <w:pPr>
        <w:pStyle w:val="ListParagraph"/>
        <w:numPr>
          <w:ilvl w:val="0"/>
          <w:numId w:val="16"/>
        </w:numPr>
        <w:tabs>
          <w:tab w:pos="2124" w:val="left" w:leader="none"/>
        </w:tabs>
        <w:spacing w:line="240" w:lineRule="auto" w:before="33" w:after="0"/>
        <w:ind w:left="2124" w:right="0" w:hanging="359"/>
        <w:jc w:val="left"/>
        <w:rPr>
          <w:sz w:val="28"/>
        </w:rPr>
      </w:pPr>
      <w:r>
        <w:rPr>
          <w:sz w:val="24"/>
        </w:rPr>
        <w:t>беременность</w:t>
      </w:r>
      <w:r>
        <w:rPr>
          <w:spacing w:val="-10"/>
          <w:sz w:val="24"/>
        </w:rPr>
        <w:t> </w:t>
      </w:r>
      <w:r>
        <w:rPr>
          <w:sz w:val="24"/>
        </w:rPr>
        <w:t>и</w:t>
      </w:r>
      <w:r>
        <w:rPr>
          <w:spacing w:val="-10"/>
          <w:sz w:val="24"/>
        </w:rPr>
        <w:t> </w:t>
      </w:r>
      <w:r>
        <w:rPr>
          <w:sz w:val="24"/>
        </w:rPr>
        <w:t>период</w:t>
      </w:r>
      <w:r>
        <w:rPr>
          <w:spacing w:val="-14"/>
          <w:sz w:val="24"/>
        </w:rPr>
        <w:t> </w:t>
      </w:r>
      <w:r>
        <w:rPr>
          <w:sz w:val="24"/>
        </w:rPr>
        <w:t>грудного</w:t>
      </w:r>
      <w:r>
        <w:rPr>
          <w:spacing w:val="-11"/>
          <w:sz w:val="24"/>
        </w:rPr>
        <w:t> </w:t>
      </w:r>
      <w:r>
        <w:rPr>
          <w:spacing w:val="-2"/>
          <w:sz w:val="24"/>
        </w:rPr>
        <w:t>вскармливания.</w:t>
      </w:r>
    </w:p>
    <w:p>
      <w:pPr>
        <w:pStyle w:val="Heading3"/>
        <w:spacing w:before="270"/>
        <w:ind w:left="1841"/>
      </w:pPr>
      <w:r>
        <w:rPr>
          <w:color w:val="1F4E79"/>
          <w:spacing w:val="-2"/>
        </w:rPr>
        <w:t>Способ</w:t>
      </w:r>
      <w:r>
        <w:rPr>
          <w:color w:val="1F4E79"/>
          <w:spacing w:val="2"/>
        </w:rPr>
        <w:t> </w:t>
      </w:r>
      <w:r>
        <w:rPr>
          <w:color w:val="1F4E79"/>
          <w:spacing w:val="-2"/>
        </w:rPr>
        <w:t>применения</w:t>
      </w:r>
      <w:r>
        <w:rPr>
          <w:color w:val="1F4E79"/>
          <w:spacing w:val="3"/>
        </w:rPr>
        <w:t> </w:t>
      </w:r>
      <w:r>
        <w:rPr>
          <w:color w:val="1F4E79"/>
          <w:spacing w:val="-2"/>
        </w:rPr>
        <w:t>иммуноглобулина</w:t>
      </w:r>
      <w:r>
        <w:rPr>
          <w:color w:val="1F4E79"/>
          <w:spacing w:val="3"/>
        </w:rPr>
        <w:t> </w:t>
      </w:r>
      <w:r>
        <w:rPr>
          <w:color w:val="1F4E79"/>
          <w:spacing w:val="-2"/>
        </w:rPr>
        <w:t>человека</w:t>
      </w:r>
      <w:r>
        <w:rPr>
          <w:color w:val="1F4E79"/>
          <w:spacing w:val="3"/>
        </w:rPr>
        <w:t> </w:t>
      </w:r>
      <w:r>
        <w:rPr>
          <w:color w:val="1F4E79"/>
          <w:spacing w:val="-2"/>
        </w:rPr>
        <w:t>против</w:t>
      </w:r>
      <w:r>
        <w:rPr>
          <w:color w:val="1F4E79"/>
          <w:spacing w:val="3"/>
        </w:rPr>
        <w:t> </w:t>
      </w:r>
      <w:r>
        <w:rPr>
          <w:color w:val="1F4E79"/>
          <w:spacing w:val="-2"/>
        </w:rPr>
        <w:t>COVID-</w:t>
      </w:r>
      <w:r>
        <w:rPr>
          <w:color w:val="1F4E79"/>
          <w:spacing w:val="-5"/>
        </w:rPr>
        <w:t>19</w:t>
      </w:r>
    </w:p>
    <w:p>
      <w:pPr>
        <w:pStyle w:val="BodyText"/>
        <w:spacing w:line="276" w:lineRule="auto" w:before="43"/>
        <w:ind w:right="1272" w:firstLine="707"/>
      </w:pPr>
      <w:r>
        <w:rPr/>
        <w:t>Препарат</w:t>
      </w:r>
      <w:r>
        <w:rPr>
          <w:spacing w:val="27"/>
        </w:rPr>
        <w:t> </w:t>
      </w:r>
      <w:r>
        <w:rPr/>
        <w:t>вводится</w:t>
      </w:r>
      <w:r>
        <w:rPr>
          <w:spacing w:val="27"/>
        </w:rPr>
        <w:t> </w:t>
      </w:r>
      <w:r>
        <w:rPr/>
        <w:t>однократно</w:t>
      </w:r>
      <w:r>
        <w:rPr>
          <w:spacing w:val="27"/>
        </w:rPr>
        <w:t> </w:t>
      </w:r>
      <w:r>
        <w:rPr/>
        <w:t>без</w:t>
      </w:r>
      <w:r>
        <w:rPr>
          <w:spacing w:val="26"/>
        </w:rPr>
        <w:t> </w:t>
      </w:r>
      <w:r>
        <w:rPr/>
        <w:t>разведения</w:t>
      </w:r>
      <w:r>
        <w:rPr>
          <w:spacing w:val="27"/>
        </w:rPr>
        <w:t> </w:t>
      </w:r>
      <w:r>
        <w:rPr/>
        <w:t>внутривенно</w:t>
      </w:r>
      <w:r>
        <w:rPr>
          <w:spacing w:val="27"/>
        </w:rPr>
        <w:t> </w:t>
      </w:r>
      <w:r>
        <w:rPr/>
        <w:t>капельно</w:t>
      </w:r>
      <w:r>
        <w:rPr>
          <w:spacing w:val="27"/>
        </w:rPr>
        <w:t> </w:t>
      </w:r>
      <w:r>
        <w:rPr/>
        <w:t>в</w:t>
      </w:r>
      <w:r>
        <w:rPr>
          <w:spacing w:val="32"/>
        </w:rPr>
        <w:t> </w:t>
      </w:r>
      <w:r>
        <w:rPr/>
        <w:t>дозе 1</w:t>
      </w:r>
      <w:r>
        <w:rPr>
          <w:spacing w:val="-4"/>
        </w:rPr>
        <w:t> </w:t>
      </w:r>
      <w:r>
        <w:rPr/>
        <w:t>мл/кг массы тела. Начальная скорость введения – от 0,01 до 0,02 мл/кг массы тела</w:t>
      </w:r>
      <w:r>
        <w:rPr>
          <w:spacing w:val="80"/>
        </w:rPr>
        <w:t> </w:t>
      </w:r>
      <w:r>
        <w:rPr/>
        <w:t>в</w:t>
      </w:r>
      <w:r>
        <w:rPr>
          <w:spacing w:val="-4"/>
        </w:rPr>
        <w:t> </w:t>
      </w:r>
      <w:r>
        <w:rPr/>
        <w:t>минуту в</w:t>
      </w:r>
      <w:r>
        <w:rPr>
          <w:spacing w:val="-1"/>
        </w:rPr>
        <w:t> </w:t>
      </w:r>
      <w:r>
        <w:rPr/>
        <w:t>течение</w:t>
      </w:r>
      <w:r>
        <w:rPr>
          <w:spacing w:val="-1"/>
        </w:rPr>
        <w:t> </w:t>
      </w:r>
      <w:r>
        <w:rPr/>
        <w:t>30</w:t>
      </w:r>
      <w:r>
        <w:rPr>
          <w:spacing w:val="-2"/>
        </w:rPr>
        <w:t> </w:t>
      </w:r>
      <w:r>
        <w:rPr/>
        <w:t>минут. Если</w:t>
      </w:r>
      <w:r>
        <w:rPr>
          <w:spacing w:val="-1"/>
        </w:rPr>
        <w:t> </w:t>
      </w:r>
      <w:r>
        <w:rPr/>
        <w:t>препарат хорошо переносится, скорость введения можно постепенно увеличивать максимально до 0,12 мл/кг массы тела в минуту.</w:t>
      </w:r>
    </w:p>
    <w:p>
      <w:pPr>
        <w:pStyle w:val="BodyText"/>
        <w:spacing w:line="276" w:lineRule="auto"/>
        <w:ind w:right="1274" w:firstLine="707"/>
      </w:pPr>
      <w:r>
        <w:rPr/>
        <w:t>Введение</w:t>
      </w:r>
      <w:r>
        <w:rPr>
          <w:spacing w:val="-15"/>
        </w:rPr>
        <w:t> </w:t>
      </w:r>
      <w:r>
        <w:rPr/>
        <w:t>препарата</w:t>
      </w:r>
      <w:r>
        <w:rPr>
          <w:spacing w:val="-15"/>
        </w:rPr>
        <w:t> </w:t>
      </w:r>
      <w:r>
        <w:rPr/>
        <w:t>должно</w:t>
      </w:r>
      <w:r>
        <w:rPr>
          <w:spacing w:val="-15"/>
        </w:rPr>
        <w:t> </w:t>
      </w:r>
      <w:r>
        <w:rPr/>
        <w:t>осуществляться</w:t>
      </w:r>
      <w:r>
        <w:rPr>
          <w:spacing w:val="-15"/>
        </w:rPr>
        <w:t> </w:t>
      </w:r>
      <w:r>
        <w:rPr/>
        <w:t>только</w:t>
      </w:r>
      <w:r>
        <w:rPr>
          <w:spacing w:val="-14"/>
        </w:rPr>
        <w:t> </w:t>
      </w:r>
      <w:r>
        <w:rPr/>
        <w:t>в</w:t>
      </w:r>
      <w:r>
        <w:rPr>
          <w:spacing w:val="-15"/>
        </w:rPr>
        <w:t> </w:t>
      </w:r>
      <w:r>
        <w:rPr/>
        <w:t>условиях</w:t>
      </w:r>
      <w:r>
        <w:rPr>
          <w:spacing w:val="-15"/>
        </w:rPr>
        <w:t> </w:t>
      </w:r>
      <w:r>
        <w:rPr/>
        <w:t>стационара</w:t>
      </w:r>
      <w:r>
        <w:rPr>
          <w:spacing w:val="-15"/>
        </w:rPr>
        <w:t> </w:t>
      </w:r>
      <w:r>
        <w:rPr/>
        <w:t>при соблюдении всех правил асептики. Перед началом введения температура раствора должна</w:t>
      </w:r>
      <w:r>
        <w:rPr>
          <w:spacing w:val="-10"/>
        </w:rPr>
        <w:t> </w:t>
      </w:r>
      <w:r>
        <w:rPr/>
        <w:t>быть</w:t>
      </w:r>
      <w:r>
        <w:rPr>
          <w:spacing w:val="-11"/>
        </w:rPr>
        <w:t> </w:t>
      </w:r>
      <w:r>
        <w:rPr/>
        <w:t>доведена</w:t>
      </w:r>
      <w:r>
        <w:rPr>
          <w:spacing w:val="-10"/>
        </w:rPr>
        <w:t> </w:t>
      </w:r>
      <w:r>
        <w:rPr/>
        <w:t>до</w:t>
      </w:r>
      <w:r>
        <w:rPr>
          <w:spacing w:val="-9"/>
        </w:rPr>
        <w:t> </w:t>
      </w:r>
      <w:r>
        <w:rPr/>
        <w:t>комнатной</w:t>
      </w:r>
      <w:r>
        <w:rPr>
          <w:spacing w:val="-11"/>
        </w:rPr>
        <w:t> </w:t>
      </w:r>
      <w:r>
        <w:rPr/>
        <w:t>или</w:t>
      </w:r>
      <w:r>
        <w:rPr>
          <w:spacing w:val="-10"/>
        </w:rPr>
        <w:t> </w:t>
      </w:r>
      <w:r>
        <w:rPr/>
        <w:t>температуры</w:t>
      </w:r>
      <w:r>
        <w:rPr>
          <w:spacing w:val="-9"/>
        </w:rPr>
        <w:t> </w:t>
      </w:r>
      <w:r>
        <w:rPr/>
        <w:t>тела</w:t>
      </w:r>
      <w:r>
        <w:rPr>
          <w:spacing w:val="-10"/>
        </w:rPr>
        <w:t> </w:t>
      </w:r>
      <w:r>
        <w:rPr/>
        <w:t>пациента.</w:t>
      </w:r>
      <w:r>
        <w:rPr>
          <w:spacing w:val="-12"/>
        </w:rPr>
        <w:t> </w:t>
      </w:r>
      <w:r>
        <w:rPr/>
        <w:t>Раствор</w:t>
      </w:r>
      <w:r>
        <w:rPr>
          <w:spacing w:val="-9"/>
        </w:rPr>
        <w:t> </w:t>
      </w:r>
      <w:r>
        <w:rPr/>
        <w:t>должен быть</w:t>
      </w:r>
      <w:r>
        <w:rPr>
          <w:spacing w:val="-4"/>
        </w:rPr>
        <w:t> </w:t>
      </w:r>
      <w:r>
        <w:rPr/>
        <w:t>прозрачным</w:t>
      </w:r>
      <w:r>
        <w:rPr>
          <w:spacing w:val="-7"/>
        </w:rPr>
        <w:t> </w:t>
      </w:r>
      <w:r>
        <w:rPr/>
        <w:t>или</w:t>
      </w:r>
      <w:r>
        <w:rPr>
          <w:spacing w:val="-5"/>
        </w:rPr>
        <w:t> </w:t>
      </w:r>
      <w:r>
        <w:rPr/>
        <w:t>слегка</w:t>
      </w:r>
      <w:r>
        <w:rPr>
          <w:spacing w:val="-6"/>
        </w:rPr>
        <w:t> </w:t>
      </w:r>
      <w:r>
        <w:rPr/>
        <w:t>опалесцирующим.</w:t>
      </w:r>
      <w:r>
        <w:rPr>
          <w:spacing w:val="-4"/>
        </w:rPr>
        <w:t> </w:t>
      </w:r>
      <w:r>
        <w:rPr/>
        <w:t>Не</w:t>
      </w:r>
      <w:r>
        <w:rPr>
          <w:spacing w:val="-7"/>
        </w:rPr>
        <w:t> </w:t>
      </w:r>
      <w:r>
        <w:rPr/>
        <w:t>пригоден</w:t>
      </w:r>
      <w:r>
        <w:rPr>
          <w:spacing w:val="-5"/>
        </w:rPr>
        <w:t> </w:t>
      </w:r>
      <w:r>
        <w:rPr/>
        <w:t>к</w:t>
      </w:r>
      <w:r>
        <w:rPr>
          <w:spacing w:val="-5"/>
        </w:rPr>
        <w:t> </w:t>
      </w:r>
      <w:r>
        <w:rPr/>
        <w:t>применению</w:t>
      </w:r>
      <w:r>
        <w:rPr>
          <w:spacing w:val="-5"/>
        </w:rPr>
        <w:t> </w:t>
      </w:r>
      <w:r>
        <w:rPr/>
        <w:t>препарат во флаконах с нарушенной целостностью и/или маркировкой, в случае помутнения раствора, изменения цвета, присутствия в растворе осадка, при истекшем сроке годности,</w:t>
      </w:r>
      <w:r>
        <w:rPr>
          <w:spacing w:val="-15"/>
        </w:rPr>
        <w:t> </w:t>
      </w:r>
      <w:r>
        <w:rPr/>
        <w:t>при</w:t>
      </w:r>
      <w:r>
        <w:rPr>
          <w:spacing w:val="-15"/>
        </w:rPr>
        <w:t> </w:t>
      </w:r>
      <w:r>
        <w:rPr/>
        <w:t>несоблюдении</w:t>
      </w:r>
      <w:r>
        <w:rPr>
          <w:spacing w:val="-15"/>
        </w:rPr>
        <w:t> </w:t>
      </w:r>
      <w:r>
        <w:rPr/>
        <w:t>условий</w:t>
      </w:r>
      <w:r>
        <w:rPr>
          <w:spacing w:val="-15"/>
        </w:rPr>
        <w:t> </w:t>
      </w:r>
      <w:r>
        <w:rPr/>
        <w:t>хранения.</w:t>
      </w:r>
      <w:r>
        <w:rPr>
          <w:spacing w:val="-15"/>
        </w:rPr>
        <w:t> </w:t>
      </w:r>
      <w:r>
        <w:rPr/>
        <w:t>Любое</w:t>
      </w:r>
      <w:r>
        <w:rPr>
          <w:spacing w:val="-15"/>
        </w:rPr>
        <w:t> </w:t>
      </w:r>
      <w:r>
        <w:rPr/>
        <w:t>количество</w:t>
      </w:r>
      <w:r>
        <w:rPr>
          <w:spacing w:val="-15"/>
        </w:rPr>
        <w:t> </w:t>
      </w:r>
      <w:r>
        <w:rPr/>
        <w:t>оставшегося</w:t>
      </w:r>
      <w:r>
        <w:rPr>
          <w:spacing w:val="-15"/>
        </w:rPr>
        <w:t> </w:t>
      </w:r>
      <w:r>
        <w:rPr/>
        <w:t>после инфузии препарата должно быть уничтожено.</w:t>
      </w:r>
    </w:p>
    <w:p>
      <w:pPr>
        <w:pStyle w:val="BodyText"/>
        <w:spacing w:line="276" w:lineRule="auto"/>
        <w:ind w:right="1278" w:firstLine="707"/>
      </w:pPr>
      <w:r>
        <w:rPr/>
        <w:t>Препарат может применяться в сочетании с другими лекарственными средствами, в частности с антибиотиками. При этом не допускается смешивание препарата с другими лекарственными средствами в одном флаконе.</w:t>
      </w:r>
    </w:p>
    <w:p>
      <w:pPr>
        <w:pStyle w:val="BodyText"/>
        <w:spacing w:after="0" w:line="276" w:lineRule="auto"/>
        <w:sectPr>
          <w:pgSz w:w="11900" w:h="16840"/>
          <w:pgMar w:header="0" w:footer="697" w:top="1080" w:bottom="880" w:left="0" w:right="0"/>
        </w:sectPr>
      </w:pPr>
    </w:p>
    <w:p>
      <w:pPr>
        <w:pStyle w:val="BodyText"/>
        <w:spacing w:line="276" w:lineRule="auto" w:before="73"/>
        <w:ind w:right="1273" w:firstLine="707"/>
      </w:pPr>
      <w:bookmarkStart w:name="45" w:id="57"/>
      <w:bookmarkEnd w:id="57"/>
      <w:r>
        <w:rPr/>
      </w:r>
      <w:r>
        <w:rPr/>
        <w:t>Иммуноглобулин</w:t>
      </w:r>
      <w:r>
        <w:rPr>
          <w:spacing w:val="80"/>
        </w:rPr>
        <w:t> </w:t>
      </w:r>
      <w:r>
        <w:rPr/>
        <w:t>человека</w:t>
      </w:r>
      <w:r>
        <w:rPr>
          <w:spacing w:val="80"/>
        </w:rPr>
        <w:t> </w:t>
      </w:r>
      <w:r>
        <w:rPr/>
        <w:t>может</w:t>
      </w:r>
      <w:r>
        <w:rPr>
          <w:spacing w:val="80"/>
        </w:rPr>
        <w:t> </w:t>
      </w:r>
      <w:r>
        <w:rPr/>
        <w:t>использоваться</w:t>
      </w:r>
      <w:r>
        <w:rPr>
          <w:spacing w:val="80"/>
        </w:rPr>
        <w:t> </w:t>
      </w:r>
      <w:r>
        <w:rPr/>
        <w:t>как</w:t>
      </w:r>
      <w:r>
        <w:rPr>
          <w:spacing w:val="80"/>
        </w:rPr>
        <w:t> </w:t>
      </w:r>
      <w:r>
        <w:rPr/>
        <w:t>компонент</w:t>
      </w:r>
      <w:r>
        <w:rPr>
          <w:spacing w:val="80"/>
        </w:rPr>
        <w:t> </w:t>
      </w:r>
      <w:r>
        <w:rPr/>
        <w:t>любой из схем для стационарного лечения (Приложение 8-2) у пациентов с подтверженным диагнозом COVID-19.</w:t>
      </w:r>
    </w:p>
    <w:p>
      <w:pPr>
        <w:pStyle w:val="Heading1"/>
        <w:numPr>
          <w:ilvl w:val="1"/>
          <w:numId w:val="5"/>
        </w:numPr>
        <w:tabs>
          <w:tab w:pos="3038" w:val="left" w:leader="none"/>
        </w:tabs>
        <w:spacing w:line="240" w:lineRule="auto" w:before="241" w:after="0"/>
        <w:ind w:left="3038" w:right="0" w:hanging="489"/>
        <w:jc w:val="left"/>
        <w:rPr>
          <w:color w:val="1F487C"/>
        </w:rPr>
      </w:pPr>
      <w:bookmarkStart w:name="_TOC_250034" w:id="58"/>
      <w:r>
        <w:rPr>
          <w:color w:val="1F487C"/>
        </w:rPr>
        <w:t>ПАТОГЕНЕТИЧЕСКОЕ</w:t>
      </w:r>
      <w:r>
        <w:rPr>
          <w:color w:val="1F487C"/>
          <w:spacing w:val="-16"/>
        </w:rPr>
        <w:t> </w:t>
      </w:r>
      <w:bookmarkEnd w:id="58"/>
      <w:r>
        <w:rPr>
          <w:color w:val="1F487C"/>
          <w:spacing w:val="-2"/>
        </w:rPr>
        <w:t>ЛЕЧЕНИЕ</w:t>
      </w:r>
    </w:p>
    <w:p>
      <w:pPr>
        <w:pStyle w:val="BodyText"/>
        <w:spacing w:line="276" w:lineRule="auto" w:before="166"/>
        <w:ind w:right="1274" w:firstLine="707"/>
      </w:pPr>
      <w:r>
        <w:rPr/>
        <w:t>Алгоритмы патогенетического лечения COVID-19 представлены в таблице (Приложение 8-2) в виде альтернативных терапевтических схем, включающих блокаторы</w:t>
      </w:r>
      <w:r>
        <w:rPr>
          <w:spacing w:val="40"/>
        </w:rPr>
        <w:t> </w:t>
      </w:r>
      <w:r>
        <w:rPr/>
        <w:t>янус-киназ,</w:t>
      </w:r>
      <w:r>
        <w:rPr>
          <w:spacing w:val="40"/>
        </w:rPr>
        <w:t> </w:t>
      </w:r>
      <w:r>
        <w:rPr/>
        <w:t>генно-инженерные</w:t>
      </w:r>
      <w:r>
        <w:rPr>
          <w:spacing w:val="40"/>
        </w:rPr>
        <w:t> </w:t>
      </w:r>
      <w:r>
        <w:rPr/>
        <w:t>биологические</w:t>
      </w:r>
      <w:r>
        <w:rPr>
          <w:spacing w:val="40"/>
        </w:rPr>
        <w:t> </w:t>
      </w:r>
      <w:r>
        <w:rPr/>
        <w:t>препараты</w:t>
      </w:r>
      <w:r>
        <w:rPr>
          <w:spacing w:val="80"/>
        </w:rPr>
        <w:t> </w:t>
      </w:r>
      <w:r>
        <w:rPr/>
        <w:t>(ГИБП)</w:t>
      </w:r>
      <w:r>
        <w:rPr>
          <w:spacing w:val="80"/>
        </w:rPr>
        <w:t> </w:t>
      </w:r>
      <w:r>
        <w:rPr/>
        <w:t>и/или ГКС.</w:t>
      </w:r>
    </w:p>
    <w:p>
      <w:pPr>
        <w:pStyle w:val="Heading3"/>
        <w:spacing w:before="119"/>
      </w:pPr>
      <w:r>
        <w:rPr>
          <w:color w:val="1F487C"/>
          <w:spacing w:val="-2"/>
        </w:rPr>
        <w:t>Амбулаторный</w:t>
      </w:r>
      <w:r>
        <w:rPr>
          <w:color w:val="1F487C"/>
          <w:spacing w:val="-3"/>
        </w:rPr>
        <w:t> </w:t>
      </w:r>
      <w:r>
        <w:rPr>
          <w:color w:val="1F487C"/>
          <w:spacing w:val="-4"/>
        </w:rPr>
        <w:t>этап</w:t>
      </w:r>
    </w:p>
    <w:p>
      <w:pPr>
        <w:pStyle w:val="BodyText"/>
        <w:spacing w:line="276" w:lineRule="auto" w:before="40"/>
        <w:ind w:right="1269" w:firstLine="707"/>
      </w:pPr>
      <w:r>
        <w:rPr/>
        <w:t>В течение первых 7 дней болезни и/или при положительном результате лабораторного исследования на РНК SARS-CoV-2 и/или антигены SARS-CoV-2 противовирусные препараты и/или препараты моноклональных антител (Приложение 7-1) могут сочетаться с ингибиторами янус-киназ (барицитиниб/тофацитиниб/упадацитиниб)</w:t>
      </w:r>
      <w:r>
        <w:rPr>
          <w:spacing w:val="-15"/>
        </w:rPr>
        <w:t> </w:t>
      </w:r>
      <w:r>
        <w:rPr/>
        <w:t>при</w:t>
      </w:r>
      <w:r>
        <w:rPr>
          <w:spacing w:val="-15"/>
        </w:rPr>
        <w:t> </w:t>
      </w:r>
      <w:r>
        <w:rPr/>
        <w:t>условии</w:t>
      </w:r>
      <w:r>
        <w:rPr>
          <w:spacing w:val="-15"/>
        </w:rPr>
        <w:t> </w:t>
      </w:r>
      <w:r>
        <w:rPr/>
        <w:t>наличия</w:t>
      </w:r>
      <w:r>
        <w:rPr>
          <w:spacing w:val="-15"/>
        </w:rPr>
        <w:t> </w:t>
      </w:r>
      <w:r>
        <w:rPr/>
        <w:t>2</w:t>
      </w:r>
      <w:r>
        <w:rPr>
          <w:spacing w:val="-15"/>
        </w:rPr>
        <w:t> </w:t>
      </w:r>
      <w:r>
        <w:rPr/>
        <w:t>и</w:t>
      </w:r>
      <w:r>
        <w:rPr>
          <w:spacing w:val="-15"/>
        </w:rPr>
        <w:t> </w:t>
      </w:r>
      <w:r>
        <w:rPr/>
        <w:t>более</w:t>
      </w:r>
      <w:r>
        <w:rPr>
          <w:spacing w:val="-15"/>
        </w:rPr>
        <w:t> </w:t>
      </w:r>
      <w:r>
        <w:rPr/>
        <w:t>признаков:</w:t>
      </w:r>
    </w:p>
    <w:p>
      <w:pPr>
        <w:pStyle w:val="ListParagraph"/>
        <w:numPr>
          <w:ilvl w:val="0"/>
          <w:numId w:val="17"/>
        </w:numPr>
        <w:tabs>
          <w:tab w:pos="3268" w:val="left" w:leader="none"/>
        </w:tabs>
        <w:spacing w:line="322" w:lineRule="exact" w:before="0" w:after="0"/>
        <w:ind w:left="3268" w:right="0" w:hanging="360"/>
        <w:jc w:val="left"/>
        <w:rPr>
          <w:sz w:val="24"/>
        </w:rPr>
      </w:pPr>
      <w:r>
        <w:rPr>
          <w:sz w:val="24"/>
        </w:rPr>
        <w:t>SpO2</w:t>
      </w:r>
      <w:r>
        <w:rPr>
          <w:spacing w:val="-6"/>
          <w:sz w:val="24"/>
        </w:rPr>
        <w:t> </w:t>
      </w:r>
      <w:r>
        <w:rPr>
          <w:sz w:val="24"/>
        </w:rPr>
        <w:t>-</w:t>
      </w:r>
      <w:r>
        <w:rPr>
          <w:spacing w:val="-6"/>
          <w:sz w:val="24"/>
        </w:rPr>
        <w:t> </w:t>
      </w:r>
      <w:r>
        <w:rPr>
          <w:sz w:val="24"/>
        </w:rPr>
        <w:t>97</w:t>
      </w:r>
      <w:r>
        <w:rPr>
          <w:spacing w:val="-6"/>
          <w:sz w:val="24"/>
        </w:rPr>
        <w:t> </w:t>
      </w:r>
      <w:r>
        <w:rPr>
          <w:sz w:val="24"/>
        </w:rPr>
        <w:t>и</w:t>
      </w:r>
      <w:r>
        <w:rPr>
          <w:spacing w:val="-5"/>
          <w:sz w:val="24"/>
        </w:rPr>
        <w:t> </w:t>
      </w:r>
      <w:r>
        <w:rPr>
          <w:sz w:val="24"/>
        </w:rPr>
        <w:t>выше,</w:t>
      </w:r>
      <w:r>
        <w:rPr>
          <w:spacing w:val="-6"/>
          <w:sz w:val="24"/>
        </w:rPr>
        <w:t> </w:t>
      </w:r>
      <w:r>
        <w:rPr>
          <w:sz w:val="24"/>
        </w:rPr>
        <w:t>без</w:t>
      </w:r>
      <w:r>
        <w:rPr>
          <w:spacing w:val="-5"/>
          <w:sz w:val="24"/>
        </w:rPr>
        <w:t> </w:t>
      </w:r>
      <w:r>
        <w:rPr>
          <w:sz w:val="24"/>
        </w:rPr>
        <w:t>признаков</w:t>
      </w:r>
      <w:r>
        <w:rPr>
          <w:spacing w:val="-7"/>
          <w:sz w:val="24"/>
        </w:rPr>
        <w:t> </w:t>
      </w:r>
      <w:r>
        <w:rPr>
          <w:spacing w:val="-2"/>
          <w:sz w:val="24"/>
        </w:rPr>
        <w:t>одышки;</w:t>
      </w:r>
    </w:p>
    <w:p>
      <w:pPr>
        <w:pStyle w:val="ListParagraph"/>
        <w:numPr>
          <w:ilvl w:val="0"/>
          <w:numId w:val="17"/>
        </w:numPr>
        <w:tabs>
          <w:tab w:pos="3268" w:val="left" w:leader="none"/>
        </w:tabs>
        <w:spacing w:line="240" w:lineRule="auto" w:before="33" w:after="0"/>
        <w:ind w:left="3268" w:right="0" w:hanging="360"/>
        <w:jc w:val="left"/>
        <w:rPr>
          <w:sz w:val="24"/>
        </w:rPr>
      </w:pPr>
      <w:r>
        <w:rPr>
          <w:sz w:val="24"/>
        </w:rPr>
        <w:t>3N</w:t>
      </w:r>
      <w:r>
        <w:rPr>
          <w:spacing w:val="-6"/>
          <w:sz w:val="24"/>
        </w:rPr>
        <w:t> </w:t>
      </w:r>
      <w:r>
        <w:rPr>
          <w:sz w:val="24"/>
        </w:rPr>
        <w:t>≤</w:t>
      </w:r>
      <w:r>
        <w:rPr>
          <w:spacing w:val="-4"/>
          <w:sz w:val="24"/>
        </w:rPr>
        <w:t> </w:t>
      </w:r>
      <w:r>
        <w:rPr>
          <w:sz w:val="24"/>
        </w:rPr>
        <w:t>уровень</w:t>
      </w:r>
      <w:r>
        <w:rPr>
          <w:spacing w:val="-4"/>
          <w:sz w:val="24"/>
        </w:rPr>
        <w:t> </w:t>
      </w:r>
      <w:r>
        <w:rPr>
          <w:sz w:val="24"/>
        </w:rPr>
        <w:t>СРБ</w:t>
      </w:r>
      <w:r>
        <w:rPr>
          <w:spacing w:val="-6"/>
          <w:sz w:val="24"/>
        </w:rPr>
        <w:t> </w:t>
      </w:r>
      <w:r>
        <w:rPr>
          <w:sz w:val="24"/>
        </w:rPr>
        <w:t>≤</w:t>
      </w:r>
      <w:r>
        <w:rPr>
          <w:spacing w:val="-6"/>
          <w:sz w:val="24"/>
        </w:rPr>
        <w:t> </w:t>
      </w:r>
      <w:r>
        <w:rPr>
          <w:spacing w:val="-5"/>
          <w:sz w:val="24"/>
        </w:rPr>
        <w:t>6N;</w:t>
      </w:r>
    </w:p>
    <w:p>
      <w:pPr>
        <w:pStyle w:val="ListParagraph"/>
        <w:numPr>
          <w:ilvl w:val="0"/>
          <w:numId w:val="17"/>
        </w:numPr>
        <w:tabs>
          <w:tab w:pos="3268" w:val="left" w:leader="none"/>
        </w:tabs>
        <w:spacing w:line="240" w:lineRule="auto" w:before="33" w:after="0"/>
        <w:ind w:left="3268" w:right="0" w:hanging="360"/>
        <w:jc w:val="left"/>
        <w:rPr>
          <w:sz w:val="24"/>
        </w:rPr>
      </w:pPr>
      <w:r>
        <w:rPr>
          <w:sz w:val="24"/>
        </w:rPr>
        <w:t>температура</w:t>
      </w:r>
      <w:r>
        <w:rPr>
          <w:spacing w:val="-8"/>
          <w:sz w:val="24"/>
        </w:rPr>
        <w:t> </w:t>
      </w:r>
      <w:r>
        <w:rPr>
          <w:sz w:val="24"/>
        </w:rPr>
        <w:t>тела</w:t>
      </w:r>
      <w:r>
        <w:rPr>
          <w:spacing w:val="-9"/>
          <w:sz w:val="24"/>
        </w:rPr>
        <w:t> </w:t>
      </w:r>
      <w:r>
        <w:rPr>
          <w:sz w:val="24"/>
        </w:rPr>
        <w:t>37,5-37,9</w:t>
      </w:r>
      <w:r>
        <w:rPr>
          <w:spacing w:val="-8"/>
          <w:sz w:val="24"/>
        </w:rPr>
        <w:t> </w:t>
      </w:r>
      <w:r>
        <w:rPr>
          <w:sz w:val="24"/>
        </w:rPr>
        <w:t>°C</w:t>
      </w:r>
      <w:r>
        <w:rPr>
          <w:spacing w:val="-6"/>
          <w:sz w:val="24"/>
        </w:rPr>
        <w:t> </w:t>
      </w:r>
      <w:r>
        <w:rPr>
          <w:sz w:val="24"/>
        </w:rPr>
        <w:t>в</w:t>
      </w:r>
      <w:r>
        <w:rPr>
          <w:spacing w:val="-8"/>
          <w:sz w:val="24"/>
        </w:rPr>
        <w:t> </w:t>
      </w:r>
      <w:r>
        <w:rPr>
          <w:sz w:val="24"/>
        </w:rPr>
        <w:t>течение</w:t>
      </w:r>
      <w:r>
        <w:rPr>
          <w:spacing w:val="-8"/>
          <w:sz w:val="24"/>
        </w:rPr>
        <w:t> </w:t>
      </w:r>
      <w:r>
        <w:rPr>
          <w:sz w:val="24"/>
        </w:rPr>
        <w:t>3-5</w:t>
      </w:r>
      <w:r>
        <w:rPr>
          <w:spacing w:val="-8"/>
          <w:sz w:val="24"/>
        </w:rPr>
        <w:t> </w:t>
      </w:r>
      <w:r>
        <w:rPr>
          <w:spacing w:val="-4"/>
          <w:sz w:val="24"/>
        </w:rPr>
        <w:t>дней;</w:t>
      </w:r>
    </w:p>
    <w:p>
      <w:pPr>
        <w:pStyle w:val="ListParagraph"/>
        <w:numPr>
          <w:ilvl w:val="0"/>
          <w:numId w:val="17"/>
        </w:numPr>
        <w:tabs>
          <w:tab w:pos="3268" w:val="left" w:leader="none"/>
        </w:tabs>
        <w:spacing w:line="240" w:lineRule="auto" w:before="33" w:after="0"/>
        <w:ind w:left="3268" w:right="0" w:hanging="360"/>
        <w:jc w:val="left"/>
        <w:rPr>
          <w:sz w:val="24"/>
        </w:rPr>
      </w:pPr>
      <w:r>
        <w:rPr>
          <w:sz w:val="24"/>
        </w:rPr>
        <w:t>число</w:t>
      </w:r>
      <w:r>
        <w:rPr>
          <w:spacing w:val="-11"/>
          <w:sz w:val="24"/>
        </w:rPr>
        <w:t> </w:t>
      </w:r>
      <w:r>
        <w:rPr>
          <w:sz w:val="24"/>
        </w:rPr>
        <w:t>лейкоцитов</w:t>
      </w:r>
      <w:r>
        <w:rPr>
          <w:spacing w:val="-10"/>
          <w:sz w:val="24"/>
        </w:rPr>
        <w:t> </w:t>
      </w:r>
      <w:r>
        <w:rPr>
          <w:sz w:val="24"/>
        </w:rPr>
        <w:t>-</w:t>
      </w:r>
      <w:r>
        <w:rPr>
          <w:spacing w:val="-11"/>
          <w:sz w:val="24"/>
        </w:rPr>
        <w:t> </w:t>
      </w:r>
      <w:r>
        <w:rPr>
          <w:sz w:val="24"/>
        </w:rPr>
        <w:t>3,5-</w:t>
      </w:r>
      <w:r>
        <w:rPr>
          <w:spacing w:val="-2"/>
          <w:sz w:val="24"/>
        </w:rPr>
        <w:t>4,0×109/л;</w:t>
      </w:r>
    </w:p>
    <w:p>
      <w:pPr>
        <w:pStyle w:val="ListParagraph"/>
        <w:numPr>
          <w:ilvl w:val="0"/>
          <w:numId w:val="17"/>
        </w:numPr>
        <w:tabs>
          <w:tab w:pos="3268" w:val="left" w:leader="none"/>
        </w:tabs>
        <w:spacing w:line="240" w:lineRule="auto" w:before="33" w:after="0"/>
        <w:ind w:left="3268" w:right="0" w:hanging="360"/>
        <w:jc w:val="left"/>
        <w:rPr>
          <w:sz w:val="24"/>
        </w:rPr>
      </w:pPr>
      <w:r>
        <w:rPr>
          <w:sz w:val="24"/>
        </w:rPr>
        <w:t>абсолютное</w:t>
      </w:r>
      <w:r>
        <w:rPr>
          <w:spacing w:val="-13"/>
          <w:sz w:val="24"/>
        </w:rPr>
        <w:t> </w:t>
      </w:r>
      <w:r>
        <w:rPr>
          <w:sz w:val="24"/>
        </w:rPr>
        <w:t>число</w:t>
      </w:r>
      <w:r>
        <w:rPr>
          <w:spacing w:val="-12"/>
          <w:sz w:val="24"/>
        </w:rPr>
        <w:t> </w:t>
      </w:r>
      <w:r>
        <w:rPr>
          <w:sz w:val="24"/>
        </w:rPr>
        <w:t>лимфоцитов</w:t>
      </w:r>
      <w:r>
        <w:rPr>
          <w:spacing w:val="-10"/>
          <w:sz w:val="24"/>
        </w:rPr>
        <w:t> </w:t>
      </w:r>
      <w:r>
        <w:rPr>
          <w:sz w:val="24"/>
        </w:rPr>
        <w:t>-</w:t>
      </w:r>
      <w:r>
        <w:rPr>
          <w:spacing w:val="-13"/>
          <w:sz w:val="24"/>
        </w:rPr>
        <w:t> </w:t>
      </w:r>
      <w:r>
        <w:rPr>
          <w:sz w:val="24"/>
        </w:rPr>
        <w:t>1,5-</w:t>
      </w:r>
      <w:r>
        <w:rPr>
          <w:spacing w:val="-2"/>
          <w:sz w:val="24"/>
        </w:rPr>
        <w:t>2,0×109/л</w:t>
      </w:r>
    </w:p>
    <w:p>
      <w:pPr>
        <w:pStyle w:val="BodyText"/>
        <w:spacing w:line="276" w:lineRule="auto" w:before="43"/>
        <w:ind w:right="1276" w:firstLine="565"/>
      </w:pPr>
      <w:r>
        <w:rPr/>
        <w:t>Пациентам с легким течением COVID-19 в качестве дополнительной терапии возможно назначение ингаляционного будесонида (порошок для ингаляций дозированный) в дозе 800 мкг 2 раза в сутки до момента выздоровления, но не более 14 суток.</w:t>
      </w:r>
    </w:p>
    <w:p>
      <w:pPr>
        <w:pStyle w:val="Heading3"/>
        <w:spacing w:before="120"/>
      </w:pPr>
      <w:r>
        <w:rPr>
          <w:color w:val="1F487C"/>
          <w:spacing w:val="-2"/>
        </w:rPr>
        <w:t>Стационарный </w:t>
      </w:r>
      <w:r>
        <w:rPr>
          <w:color w:val="1F487C"/>
          <w:spacing w:val="-4"/>
        </w:rPr>
        <w:t>этап</w:t>
      </w:r>
    </w:p>
    <w:p>
      <w:pPr>
        <w:pStyle w:val="BodyText"/>
        <w:spacing w:line="276" w:lineRule="auto" w:before="40"/>
        <w:ind w:right="1271" w:firstLine="707"/>
      </w:pPr>
      <w:r>
        <w:rPr/>
        <w:t>В течение первых 7 дней болезни и/или при положительном результате лабораторного исследования на РНК SARS-CoV-2 и/или антигены SARS-CoV-2 патогенетическая</w:t>
      </w:r>
      <w:r>
        <w:rPr>
          <w:spacing w:val="-1"/>
        </w:rPr>
        <w:t> </w:t>
      </w:r>
      <w:r>
        <w:rPr/>
        <w:t>терапия</w:t>
      </w:r>
      <w:r>
        <w:rPr>
          <w:spacing w:val="40"/>
        </w:rPr>
        <w:t> </w:t>
      </w:r>
      <w:r>
        <w:rPr/>
        <w:t>применяется</w:t>
      </w:r>
      <w:r>
        <w:rPr>
          <w:spacing w:val="-4"/>
        </w:rPr>
        <w:t> </w:t>
      </w:r>
      <w:r>
        <w:rPr/>
        <w:t>в</w:t>
      </w:r>
      <w:r>
        <w:rPr>
          <w:spacing w:val="-4"/>
        </w:rPr>
        <w:t> </w:t>
      </w:r>
      <w:r>
        <w:rPr/>
        <w:t>сочетании</w:t>
      </w:r>
      <w:r>
        <w:rPr>
          <w:spacing w:val="-2"/>
        </w:rPr>
        <w:t> </w:t>
      </w:r>
      <w:r>
        <w:rPr/>
        <w:t>с</w:t>
      </w:r>
      <w:r>
        <w:rPr>
          <w:spacing w:val="-6"/>
        </w:rPr>
        <w:t> </w:t>
      </w:r>
      <w:r>
        <w:rPr/>
        <w:t>препаратами</w:t>
      </w:r>
      <w:r>
        <w:rPr>
          <w:spacing w:val="-1"/>
        </w:rPr>
        <w:t> </w:t>
      </w:r>
      <w:r>
        <w:rPr/>
        <w:t>для</w:t>
      </w:r>
      <w:r>
        <w:rPr>
          <w:spacing w:val="-3"/>
        </w:rPr>
        <w:t> </w:t>
      </w:r>
      <w:r>
        <w:rPr/>
        <w:t>этиотропного лечения (молнупиравир или</w:t>
      </w:r>
      <w:r>
        <w:rPr>
          <w:spacing w:val="40"/>
        </w:rPr>
        <w:t> </w:t>
      </w:r>
      <w:r>
        <w:rPr/>
        <w:t>нирматрелвир в сочетании с ритонавиром, или ремдесивир, или фавипиравир, в том числе в кобинации с цинком) и/или моноклональными антителами к SARS-CoV-2, или</w:t>
      </w:r>
      <w:r>
        <w:rPr>
          <w:spacing w:val="-2"/>
        </w:rPr>
        <w:t> </w:t>
      </w:r>
      <w:r>
        <w:rPr/>
        <w:t>иммуноглобулином человека против COVID-19, а также с антикоагулянтами (см. </w:t>
      </w:r>
      <w:r>
        <w:rPr>
          <w:color w:val="0462C1"/>
          <w:u w:val="single" w:color="0462C1"/>
        </w:rPr>
        <w:t>Приложение 8-2</w:t>
      </w:r>
      <w:r>
        <w:rPr/>
        <w:t>).</w:t>
      </w:r>
    </w:p>
    <w:p>
      <w:pPr>
        <w:pStyle w:val="Heading3"/>
        <w:spacing w:before="114"/>
      </w:pPr>
      <w:r>
        <w:rPr>
          <w:color w:val="1F487C"/>
        </w:rPr>
        <w:t>Легкое</w:t>
      </w:r>
      <w:r>
        <w:rPr>
          <w:color w:val="1F487C"/>
          <w:spacing w:val="-11"/>
        </w:rPr>
        <w:t> </w:t>
      </w:r>
      <w:r>
        <w:rPr>
          <w:color w:val="1F487C"/>
        </w:rPr>
        <w:t>течение</w:t>
      </w:r>
      <w:r>
        <w:rPr>
          <w:color w:val="1F487C"/>
          <w:spacing w:val="-11"/>
        </w:rPr>
        <w:t> </w:t>
      </w:r>
      <w:r>
        <w:rPr>
          <w:color w:val="1F487C"/>
        </w:rPr>
        <w:t>(с</w:t>
      </w:r>
      <w:r>
        <w:rPr>
          <w:color w:val="1F487C"/>
          <w:spacing w:val="-12"/>
        </w:rPr>
        <w:t> </w:t>
      </w:r>
      <w:r>
        <w:rPr>
          <w:color w:val="1F487C"/>
        </w:rPr>
        <w:t>факторами</w:t>
      </w:r>
      <w:r>
        <w:rPr>
          <w:color w:val="1F487C"/>
          <w:spacing w:val="-10"/>
        </w:rPr>
        <w:t> </w:t>
      </w:r>
      <w:r>
        <w:rPr>
          <w:color w:val="1F487C"/>
        </w:rPr>
        <w:t>риска</w:t>
      </w:r>
      <w:r>
        <w:rPr>
          <w:color w:val="1F487C"/>
          <w:spacing w:val="-13"/>
        </w:rPr>
        <w:t> </w:t>
      </w:r>
      <w:r>
        <w:rPr>
          <w:color w:val="1F487C"/>
        </w:rPr>
        <w:t>прогрессии</w:t>
      </w:r>
      <w:r>
        <w:rPr>
          <w:color w:val="1F487C"/>
          <w:spacing w:val="-10"/>
        </w:rPr>
        <w:t> </w:t>
      </w:r>
      <w:r>
        <w:rPr>
          <w:color w:val="1F487C"/>
          <w:spacing w:val="-2"/>
        </w:rPr>
        <w:t>заболевания</w:t>
      </w:r>
      <w:r>
        <w:rPr>
          <w:color w:val="1F487C"/>
          <w:spacing w:val="-2"/>
          <w:position w:val="8"/>
          <w:sz w:val="16"/>
        </w:rPr>
        <w:t>1</w:t>
      </w:r>
      <w:r>
        <w:rPr>
          <w:color w:val="1F487C"/>
          <w:spacing w:val="-2"/>
        </w:rPr>
        <w:t>):</w:t>
      </w:r>
    </w:p>
    <w:p>
      <w:pPr>
        <w:pStyle w:val="BodyText"/>
        <w:ind w:left="0"/>
        <w:jc w:val="left"/>
        <w:rPr>
          <w:b/>
          <w:sz w:val="20"/>
        </w:rPr>
      </w:pPr>
    </w:p>
    <w:p>
      <w:pPr>
        <w:pStyle w:val="BodyText"/>
        <w:spacing w:before="184"/>
        <w:ind w:left="0"/>
        <w:jc w:val="left"/>
        <w:rPr>
          <w:b/>
          <w:sz w:val="20"/>
        </w:rPr>
      </w:pPr>
      <w:r>
        <w:rPr>
          <w:b/>
          <w:sz w:val="20"/>
        </w:rPr>
        <mc:AlternateContent>
          <mc:Choice Requires="wps">
            <w:drawing>
              <wp:anchor distT="0" distB="0" distL="0" distR="0" allowOverlap="1" layoutInCell="1" locked="0" behindDoc="1" simplePos="0" relativeHeight="487597568">
                <wp:simplePos x="0" y="0"/>
                <wp:positionH relativeFrom="page">
                  <wp:posOffset>1170736</wp:posOffset>
                </wp:positionH>
                <wp:positionV relativeFrom="paragraph">
                  <wp:posOffset>278700</wp:posOffset>
                </wp:positionV>
                <wp:extent cx="1829435" cy="9525"/>
                <wp:effectExtent l="0" t="0" r="0" b="0"/>
                <wp:wrapTopAndBottom/>
                <wp:docPr id="59" name="Graphic 59"/>
                <wp:cNvGraphicFramePr>
                  <a:graphicFrameLocks/>
                </wp:cNvGraphicFramePr>
                <a:graphic>
                  <a:graphicData uri="http://schemas.microsoft.com/office/word/2010/wordprocessingShape">
                    <wps:wsp>
                      <wps:cNvPr id="59" name="Graphic 59"/>
                      <wps:cNvSpPr/>
                      <wps:spPr>
                        <a:xfrm>
                          <a:off x="0" y="0"/>
                          <a:ext cx="1829435" cy="9525"/>
                        </a:xfrm>
                        <a:custGeom>
                          <a:avLst/>
                          <a:gdLst/>
                          <a:ahLst/>
                          <a:cxnLst/>
                          <a:rect l="l" t="t" r="r" b="b"/>
                          <a:pathLst>
                            <a:path w="1829435" h="9525">
                              <a:moveTo>
                                <a:pt x="1826234" y="2351"/>
                              </a:moveTo>
                              <a:lnTo>
                                <a:pt x="-1100" y="2351"/>
                              </a:lnTo>
                              <a:lnTo>
                                <a:pt x="-1100" y="11486"/>
                              </a:lnTo>
                              <a:lnTo>
                                <a:pt x="1826234" y="11486"/>
                              </a:lnTo>
                              <a:lnTo>
                                <a:pt x="1826234" y="2351"/>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22.130071pt;width:143.884618pt;height:.719293pt;mso-position-horizontal-relative:page;mso-position-vertical-relative:paragraph;z-index:-15718912;mso-wrap-distance-left:0;mso-wrap-distance-right:0" id="docshape48" filled="true" fillcolor="#000000" stroked="false">
                <v:fill type="solid"/>
                <w10:wrap type="topAndBottom"/>
              </v:rect>
            </w:pict>
          </mc:Fallback>
        </mc:AlternateContent>
      </w:r>
    </w:p>
    <w:p>
      <w:pPr>
        <w:pStyle w:val="BodyText"/>
        <w:ind w:left="0"/>
        <w:jc w:val="left"/>
        <w:rPr>
          <w:b/>
          <w:sz w:val="20"/>
        </w:rPr>
      </w:pPr>
    </w:p>
    <w:p>
      <w:pPr>
        <w:pStyle w:val="BodyText"/>
        <w:spacing w:before="191"/>
        <w:ind w:left="0"/>
        <w:jc w:val="left"/>
        <w:rPr>
          <w:b/>
          <w:sz w:val="20"/>
        </w:rPr>
      </w:pPr>
    </w:p>
    <w:p>
      <w:pPr>
        <w:spacing w:before="0"/>
        <w:ind w:left="1841" w:right="0" w:firstLine="0"/>
        <w:jc w:val="left"/>
        <w:rPr>
          <w:sz w:val="20"/>
        </w:rPr>
      </w:pPr>
      <w:r>
        <w:rPr>
          <w:sz w:val="20"/>
          <w:vertAlign w:val="superscript"/>
        </w:rPr>
        <w:t>1</w:t>
      </w:r>
      <w:r>
        <w:rPr>
          <w:spacing w:val="-6"/>
          <w:sz w:val="20"/>
          <w:vertAlign w:val="baseline"/>
        </w:rPr>
        <w:t> </w:t>
      </w:r>
      <w:r>
        <w:rPr>
          <w:sz w:val="20"/>
          <w:vertAlign w:val="baseline"/>
        </w:rPr>
        <w:t>К</w:t>
      </w:r>
      <w:r>
        <w:rPr>
          <w:spacing w:val="-6"/>
          <w:sz w:val="20"/>
          <w:vertAlign w:val="baseline"/>
        </w:rPr>
        <w:t> </w:t>
      </w:r>
      <w:r>
        <w:rPr>
          <w:sz w:val="20"/>
          <w:vertAlign w:val="baseline"/>
        </w:rPr>
        <w:t>факторам</w:t>
      </w:r>
      <w:r>
        <w:rPr>
          <w:spacing w:val="-5"/>
          <w:sz w:val="20"/>
          <w:vertAlign w:val="baseline"/>
        </w:rPr>
        <w:t> </w:t>
      </w:r>
      <w:r>
        <w:rPr>
          <w:sz w:val="20"/>
          <w:vertAlign w:val="baseline"/>
        </w:rPr>
        <w:t>риска</w:t>
      </w:r>
      <w:r>
        <w:rPr>
          <w:spacing w:val="-6"/>
          <w:sz w:val="20"/>
          <w:vertAlign w:val="baseline"/>
        </w:rPr>
        <w:t> </w:t>
      </w:r>
      <w:r>
        <w:rPr>
          <w:sz w:val="20"/>
          <w:vertAlign w:val="baseline"/>
        </w:rPr>
        <w:t>прогресии</w:t>
      </w:r>
      <w:r>
        <w:rPr>
          <w:spacing w:val="-6"/>
          <w:sz w:val="20"/>
          <w:vertAlign w:val="baseline"/>
        </w:rPr>
        <w:t> </w:t>
      </w:r>
      <w:r>
        <w:rPr>
          <w:sz w:val="20"/>
          <w:vertAlign w:val="baseline"/>
        </w:rPr>
        <w:t>заболевания</w:t>
      </w:r>
      <w:r>
        <w:rPr>
          <w:spacing w:val="-7"/>
          <w:sz w:val="20"/>
          <w:vertAlign w:val="baseline"/>
        </w:rPr>
        <w:t> </w:t>
      </w:r>
      <w:r>
        <w:rPr>
          <w:spacing w:val="-2"/>
          <w:sz w:val="20"/>
          <w:vertAlign w:val="baseline"/>
        </w:rPr>
        <w:t>относятся:</w:t>
      </w:r>
    </w:p>
    <w:p>
      <w:pPr>
        <w:pStyle w:val="ListParagraph"/>
        <w:numPr>
          <w:ilvl w:val="0"/>
          <w:numId w:val="18"/>
        </w:numPr>
        <w:tabs>
          <w:tab w:pos="1959" w:val="left" w:leader="none"/>
        </w:tabs>
        <w:spacing w:line="240" w:lineRule="auto" w:before="0" w:after="0"/>
        <w:ind w:left="1959" w:right="0" w:hanging="118"/>
        <w:jc w:val="left"/>
        <w:rPr>
          <w:sz w:val="20"/>
        </w:rPr>
      </w:pPr>
      <w:r>
        <w:rPr>
          <w:sz w:val="20"/>
        </w:rPr>
        <w:t>пожилой</w:t>
      </w:r>
      <w:r>
        <w:rPr>
          <w:spacing w:val="-3"/>
          <w:sz w:val="20"/>
        </w:rPr>
        <w:t> </w:t>
      </w:r>
      <w:r>
        <w:rPr>
          <w:sz w:val="20"/>
        </w:rPr>
        <w:t>возраст</w:t>
      </w:r>
      <w:r>
        <w:rPr>
          <w:spacing w:val="-5"/>
          <w:sz w:val="20"/>
        </w:rPr>
        <w:t> </w:t>
      </w:r>
      <w:r>
        <w:rPr>
          <w:sz w:val="20"/>
        </w:rPr>
        <w:t>≥</w:t>
      </w:r>
      <w:r>
        <w:rPr>
          <w:spacing w:val="-4"/>
          <w:sz w:val="20"/>
        </w:rPr>
        <w:t> </w:t>
      </w:r>
      <w:r>
        <w:rPr>
          <w:sz w:val="20"/>
        </w:rPr>
        <w:t>60</w:t>
      </w:r>
      <w:r>
        <w:rPr>
          <w:spacing w:val="-3"/>
          <w:sz w:val="20"/>
        </w:rPr>
        <w:t> </w:t>
      </w:r>
      <w:r>
        <w:rPr>
          <w:spacing w:val="-4"/>
          <w:sz w:val="20"/>
        </w:rPr>
        <w:t>лет;</w:t>
      </w:r>
    </w:p>
    <w:p>
      <w:pPr>
        <w:pStyle w:val="ListParagraph"/>
        <w:numPr>
          <w:ilvl w:val="0"/>
          <w:numId w:val="18"/>
        </w:numPr>
        <w:tabs>
          <w:tab w:pos="1959" w:val="left" w:leader="none"/>
        </w:tabs>
        <w:spacing w:line="240" w:lineRule="auto" w:before="1" w:after="0"/>
        <w:ind w:left="1959" w:right="0" w:hanging="118"/>
        <w:jc w:val="left"/>
        <w:rPr>
          <w:sz w:val="20"/>
        </w:rPr>
      </w:pPr>
      <w:r>
        <w:rPr>
          <w:spacing w:val="-2"/>
          <w:sz w:val="20"/>
        </w:rPr>
        <w:t>ожирение;</w:t>
      </w:r>
    </w:p>
    <w:p>
      <w:pPr>
        <w:pStyle w:val="ListParagraph"/>
        <w:numPr>
          <w:ilvl w:val="0"/>
          <w:numId w:val="18"/>
        </w:numPr>
        <w:tabs>
          <w:tab w:pos="1959" w:val="left" w:leader="none"/>
        </w:tabs>
        <w:spacing w:line="229" w:lineRule="exact" w:before="0" w:after="0"/>
        <w:ind w:left="1959" w:right="0" w:hanging="118"/>
        <w:jc w:val="left"/>
        <w:rPr>
          <w:sz w:val="20"/>
        </w:rPr>
      </w:pPr>
      <w:r>
        <w:rPr>
          <w:spacing w:val="-2"/>
          <w:sz w:val="20"/>
        </w:rPr>
        <w:t>сердечно-сосудистое</w:t>
      </w:r>
      <w:r>
        <w:rPr>
          <w:spacing w:val="11"/>
          <w:sz w:val="20"/>
        </w:rPr>
        <w:t> </w:t>
      </w:r>
      <w:r>
        <w:rPr>
          <w:spacing w:val="-2"/>
          <w:sz w:val="20"/>
        </w:rPr>
        <w:t>заболевание,</w:t>
      </w:r>
      <w:r>
        <w:rPr>
          <w:spacing w:val="12"/>
          <w:sz w:val="20"/>
        </w:rPr>
        <w:t> </w:t>
      </w:r>
      <w:r>
        <w:rPr>
          <w:spacing w:val="-2"/>
          <w:sz w:val="20"/>
        </w:rPr>
        <w:t>включая</w:t>
      </w:r>
      <w:r>
        <w:rPr>
          <w:spacing w:val="11"/>
          <w:sz w:val="20"/>
        </w:rPr>
        <w:t> </w:t>
      </w:r>
      <w:r>
        <w:rPr>
          <w:spacing w:val="-2"/>
          <w:sz w:val="20"/>
        </w:rPr>
        <w:t>артериальную</w:t>
      </w:r>
      <w:r>
        <w:rPr>
          <w:spacing w:val="11"/>
          <w:sz w:val="20"/>
        </w:rPr>
        <w:t> </w:t>
      </w:r>
      <w:r>
        <w:rPr>
          <w:spacing w:val="-2"/>
          <w:sz w:val="20"/>
        </w:rPr>
        <w:t>гипертензию;</w:t>
      </w:r>
    </w:p>
    <w:p>
      <w:pPr>
        <w:pStyle w:val="ListParagraph"/>
        <w:numPr>
          <w:ilvl w:val="0"/>
          <w:numId w:val="18"/>
        </w:numPr>
        <w:tabs>
          <w:tab w:pos="1959" w:val="left" w:leader="none"/>
        </w:tabs>
        <w:spacing w:line="229" w:lineRule="exact" w:before="0" w:after="0"/>
        <w:ind w:left="1959" w:right="0" w:hanging="118"/>
        <w:jc w:val="left"/>
        <w:rPr>
          <w:sz w:val="20"/>
        </w:rPr>
      </w:pPr>
      <w:r>
        <w:rPr>
          <w:sz w:val="20"/>
        </w:rPr>
        <w:t>хроническое</w:t>
      </w:r>
      <w:r>
        <w:rPr>
          <w:spacing w:val="-10"/>
          <w:sz w:val="20"/>
        </w:rPr>
        <w:t> </w:t>
      </w:r>
      <w:r>
        <w:rPr>
          <w:sz w:val="20"/>
        </w:rPr>
        <w:t>заболевание</w:t>
      </w:r>
      <w:r>
        <w:rPr>
          <w:spacing w:val="-8"/>
          <w:sz w:val="20"/>
        </w:rPr>
        <w:t> </w:t>
      </w:r>
      <w:r>
        <w:rPr>
          <w:sz w:val="20"/>
        </w:rPr>
        <w:t>легких,</w:t>
      </w:r>
      <w:r>
        <w:rPr>
          <w:spacing w:val="-9"/>
          <w:sz w:val="20"/>
        </w:rPr>
        <w:t> </w:t>
      </w:r>
      <w:r>
        <w:rPr>
          <w:sz w:val="20"/>
        </w:rPr>
        <w:t>включая</w:t>
      </w:r>
      <w:r>
        <w:rPr>
          <w:spacing w:val="-10"/>
          <w:sz w:val="20"/>
        </w:rPr>
        <w:t> </w:t>
      </w:r>
      <w:r>
        <w:rPr>
          <w:sz w:val="20"/>
        </w:rPr>
        <w:t>бронхиальную</w:t>
      </w:r>
      <w:r>
        <w:rPr>
          <w:spacing w:val="-10"/>
          <w:sz w:val="20"/>
        </w:rPr>
        <w:t> </w:t>
      </w:r>
      <w:r>
        <w:rPr>
          <w:sz w:val="20"/>
        </w:rPr>
        <w:t>астму,</w:t>
      </w:r>
      <w:r>
        <w:rPr>
          <w:spacing w:val="-9"/>
          <w:sz w:val="20"/>
        </w:rPr>
        <w:t> </w:t>
      </w:r>
      <w:r>
        <w:rPr>
          <w:spacing w:val="-2"/>
          <w:sz w:val="20"/>
        </w:rPr>
        <w:t>ХОБЛ;</w:t>
      </w:r>
    </w:p>
    <w:p>
      <w:pPr>
        <w:pStyle w:val="ListParagraph"/>
        <w:numPr>
          <w:ilvl w:val="0"/>
          <w:numId w:val="18"/>
        </w:numPr>
        <w:tabs>
          <w:tab w:pos="1959" w:val="left" w:leader="none"/>
        </w:tabs>
        <w:spacing w:line="240" w:lineRule="auto" w:before="0" w:after="0"/>
        <w:ind w:left="1959" w:right="0" w:hanging="118"/>
        <w:jc w:val="left"/>
        <w:rPr>
          <w:sz w:val="20"/>
        </w:rPr>
      </w:pPr>
      <w:r>
        <w:rPr>
          <w:sz w:val="20"/>
        </w:rPr>
        <w:t>сахарный</w:t>
      </w:r>
      <w:r>
        <w:rPr>
          <w:spacing w:val="-6"/>
          <w:sz w:val="20"/>
        </w:rPr>
        <w:t> </w:t>
      </w:r>
      <w:r>
        <w:rPr>
          <w:sz w:val="20"/>
        </w:rPr>
        <w:t>диабет</w:t>
      </w:r>
      <w:r>
        <w:rPr>
          <w:spacing w:val="-5"/>
          <w:sz w:val="20"/>
        </w:rPr>
        <w:t> </w:t>
      </w:r>
      <w:r>
        <w:rPr>
          <w:sz w:val="20"/>
        </w:rPr>
        <w:t>1</w:t>
      </w:r>
      <w:r>
        <w:rPr>
          <w:spacing w:val="-3"/>
          <w:sz w:val="20"/>
        </w:rPr>
        <w:t> </w:t>
      </w:r>
      <w:r>
        <w:rPr>
          <w:sz w:val="20"/>
        </w:rPr>
        <w:t>или</w:t>
      </w:r>
      <w:r>
        <w:rPr>
          <w:spacing w:val="-5"/>
          <w:sz w:val="20"/>
        </w:rPr>
        <w:t> </w:t>
      </w:r>
      <w:r>
        <w:rPr>
          <w:sz w:val="20"/>
        </w:rPr>
        <w:t>2</w:t>
      </w:r>
      <w:r>
        <w:rPr>
          <w:spacing w:val="-4"/>
          <w:sz w:val="20"/>
        </w:rPr>
        <w:t> </w:t>
      </w:r>
      <w:r>
        <w:rPr>
          <w:spacing w:val="-2"/>
          <w:sz w:val="20"/>
        </w:rPr>
        <w:t>типа;</w:t>
      </w:r>
    </w:p>
    <w:p>
      <w:pPr>
        <w:pStyle w:val="ListParagraph"/>
        <w:numPr>
          <w:ilvl w:val="0"/>
          <w:numId w:val="18"/>
        </w:numPr>
        <w:tabs>
          <w:tab w:pos="1959" w:val="left" w:leader="none"/>
        </w:tabs>
        <w:spacing w:line="240" w:lineRule="auto" w:before="1" w:after="0"/>
        <w:ind w:left="1959" w:right="0" w:hanging="118"/>
        <w:jc w:val="left"/>
        <w:rPr>
          <w:sz w:val="20"/>
        </w:rPr>
      </w:pPr>
      <w:r>
        <w:rPr>
          <w:sz w:val="20"/>
        </w:rPr>
        <w:t>хроническое</w:t>
      </w:r>
      <w:r>
        <w:rPr>
          <w:spacing w:val="-10"/>
          <w:sz w:val="20"/>
        </w:rPr>
        <w:t> </w:t>
      </w:r>
      <w:r>
        <w:rPr>
          <w:sz w:val="20"/>
        </w:rPr>
        <w:t>заболевание</w:t>
      </w:r>
      <w:r>
        <w:rPr>
          <w:spacing w:val="-9"/>
          <w:sz w:val="20"/>
        </w:rPr>
        <w:t> </w:t>
      </w:r>
      <w:r>
        <w:rPr>
          <w:sz w:val="20"/>
        </w:rPr>
        <w:t>почек,</w:t>
      </w:r>
      <w:r>
        <w:rPr>
          <w:spacing w:val="-10"/>
          <w:sz w:val="20"/>
        </w:rPr>
        <w:t> </w:t>
      </w:r>
      <w:r>
        <w:rPr>
          <w:sz w:val="20"/>
        </w:rPr>
        <w:t>включая</w:t>
      </w:r>
      <w:r>
        <w:rPr>
          <w:spacing w:val="-11"/>
          <w:sz w:val="20"/>
        </w:rPr>
        <w:t> </w:t>
      </w:r>
      <w:r>
        <w:rPr>
          <w:sz w:val="20"/>
        </w:rPr>
        <w:t>заболевания,</w:t>
      </w:r>
      <w:r>
        <w:rPr>
          <w:spacing w:val="-8"/>
          <w:sz w:val="20"/>
        </w:rPr>
        <w:t> </w:t>
      </w:r>
      <w:r>
        <w:rPr>
          <w:sz w:val="20"/>
        </w:rPr>
        <w:t>требующие</w:t>
      </w:r>
      <w:r>
        <w:rPr>
          <w:spacing w:val="-10"/>
          <w:sz w:val="20"/>
        </w:rPr>
        <w:t> </w:t>
      </w:r>
      <w:r>
        <w:rPr>
          <w:spacing w:val="-2"/>
          <w:sz w:val="20"/>
        </w:rPr>
        <w:t>диализа;</w:t>
      </w:r>
    </w:p>
    <w:p>
      <w:pPr>
        <w:pStyle w:val="ListParagraph"/>
        <w:numPr>
          <w:ilvl w:val="0"/>
          <w:numId w:val="18"/>
        </w:numPr>
        <w:tabs>
          <w:tab w:pos="1959" w:val="left" w:leader="none"/>
        </w:tabs>
        <w:spacing w:line="240" w:lineRule="auto" w:before="0" w:after="0"/>
        <w:ind w:left="1959" w:right="0" w:hanging="118"/>
        <w:jc w:val="left"/>
        <w:rPr>
          <w:sz w:val="20"/>
        </w:rPr>
      </w:pPr>
      <w:r>
        <w:rPr>
          <w:sz w:val="20"/>
        </w:rPr>
        <w:t>иммуносупрессия,</w:t>
      </w:r>
      <w:r>
        <w:rPr>
          <w:spacing w:val="-10"/>
          <w:sz w:val="20"/>
        </w:rPr>
        <w:t> </w:t>
      </w:r>
      <w:r>
        <w:rPr>
          <w:sz w:val="20"/>
        </w:rPr>
        <w:t>по</w:t>
      </w:r>
      <w:r>
        <w:rPr>
          <w:spacing w:val="-8"/>
          <w:sz w:val="20"/>
        </w:rPr>
        <w:t> </w:t>
      </w:r>
      <w:r>
        <w:rPr>
          <w:sz w:val="20"/>
        </w:rPr>
        <w:t>оценке</w:t>
      </w:r>
      <w:r>
        <w:rPr>
          <w:spacing w:val="-10"/>
          <w:sz w:val="20"/>
        </w:rPr>
        <w:t> </w:t>
      </w:r>
      <w:r>
        <w:rPr>
          <w:sz w:val="20"/>
        </w:rPr>
        <w:t>лечащего</w:t>
      </w:r>
      <w:r>
        <w:rPr>
          <w:spacing w:val="-8"/>
          <w:sz w:val="20"/>
        </w:rPr>
        <w:t> </w:t>
      </w:r>
      <w:r>
        <w:rPr>
          <w:spacing w:val="-2"/>
          <w:sz w:val="20"/>
        </w:rPr>
        <w:t>врача.</w:t>
      </w:r>
    </w:p>
    <w:p>
      <w:pPr>
        <w:pStyle w:val="ListParagraph"/>
        <w:spacing w:after="0" w:line="240" w:lineRule="auto"/>
        <w:jc w:val="left"/>
        <w:rPr>
          <w:sz w:val="20"/>
        </w:rPr>
        <w:sectPr>
          <w:pgSz w:w="11900" w:h="16840"/>
          <w:pgMar w:header="0" w:footer="697" w:top="1080" w:bottom="880" w:left="0" w:right="0"/>
        </w:sectPr>
      </w:pPr>
    </w:p>
    <w:p>
      <w:pPr>
        <w:pStyle w:val="BodyText"/>
        <w:spacing w:line="276" w:lineRule="auto" w:before="73"/>
        <w:ind w:right="1283" w:firstLine="707"/>
        <w:jc w:val="left"/>
      </w:pPr>
      <w:bookmarkStart w:name="46" w:id="59"/>
      <w:bookmarkEnd w:id="59"/>
      <w:r>
        <w:rPr/>
      </w:r>
      <w:r>
        <w:rPr/>
        <w:t>При</w:t>
      </w:r>
      <w:r>
        <w:rPr>
          <w:spacing w:val="40"/>
        </w:rPr>
        <w:t> </w:t>
      </w:r>
      <w:r>
        <w:rPr/>
        <w:t>наличии</w:t>
      </w:r>
      <w:r>
        <w:rPr>
          <w:spacing w:val="40"/>
        </w:rPr>
        <w:t> </w:t>
      </w:r>
      <w:r>
        <w:rPr/>
        <w:t>патологических</w:t>
      </w:r>
      <w:r>
        <w:rPr>
          <w:spacing w:val="40"/>
        </w:rPr>
        <w:t> </w:t>
      </w:r>
      <w:r>
        <w:rPr/>
        <w:t>изменений</w:t>
      </w:r>
      <w:r>
        <w:rPr>
          <w:spacing w:val="40"/>
        </w:rPr>
        <w:t> </w:t>
      </w:r>
      <w:r>
        <w:rPr/>
        <w:t>в</w:t>
      </w:r>
      <w:r>
        <w:rPr>
          <w:spacing w:val="40"/>
        </w:rPr>
        <w:t> </w:t>
      </w:r>
      <w:r>
        <w:rPr/>
        <w:t>легких</w:t>
      </w:r>
      <w:r>
        <w:rPr>
          <w:spacing w:val="40"/>
        </w:rPr>
        <w:t> </w:t>
      </w:r>
      <w:r>
        <w:rPr/>
        <w:t>и/или</w:t>
      </w:r>
      <w:r>
        <w:rPr>
          <w:spacing w:val="40"/>
        </w:rPr>
        <w:t> </w:t>
      </w:r>
      <w:r>
        <w:rPr/>
        <w:t>факторами</w:t>
      </w:r>
      <w:r>
        <w:rPr>
          <w:spacing w:val="40"/>
        </w:rPr>
        <w:t> </w:t>
      </w:r>
      <w:r>
        <w:rPr/>
        <w:t>риска прогрессии заболеванияв сочетании с двумя и более нижеуказанными признаками:</w:t>
      </w:r>
    </w:p>
    <w:p>
      <w:pPr>
        <w:pStyle w:val="ListParagraph"/>
        <w:numPr>
          <w:ilvl w:val="0"/>
          <w:numId w:val="18"/>
        </w:numPr>
        <w:tabs>
          <w:tab w:pos="2122" w:val="left" w:leader="none"/>
        </w:tabs>
        <w:spacing w:line="275" w:lineRule="exact" w:before="0" w:after="0"/>
        <w:ind w:left="2122" w:right="0" w:hanging="281"/>
        <w:jc w:val="left"/>
        <w:rPr>
          <w:sz w:val="24"/>
        </w:rPr>
      </w:pPr>
      <w:r>
        <w:rPr>
          <w:sz w:val="24"/>
        </w:rPr>
        <w:t>SpO2</w:t>
      </w:r>
      <w:r>
        <w:rPr>
          <w:spacing w:val="-7"/>
          <w:sz w:val="24"/>
        </w:rPr>
        <w:t> </w:t>
      </w:r>
      <w:r>
        <w:rPr>
          <w:sz w:val="24"/>
        </w:rPr>
        <w:t>-</w:t>
      </w:r>
      <w:r>
        <w:rPr>
          <w:spacing w:val="-6"/>
          <w:sz w:val="24"/>
        </w:rPr>
        <w:t> </w:t>
      </w:r>
      <w:r>
        <w:rPr>
          <w:sz w:val="24"/>
        </w:rPr>
        <w:t>97</w:t>
      </w:r>
      <w:r>
        <w:rPr>
          <w:spacing w:val="-6"/>
          <w:sz w:val="24"/>
        </w:rPr>
        <w:t> </w:t>
      </w:r>
      <w:r>
        <w:rPr>
          <w:sz w:val="24"/>
        </w:rPr>
        <w:t>и</w:t>
      </w:r>
      <w:r>
        <w:rPr>
          <w:spacing w:val="-5"/>
          <w:sz w:val="24"/>
        </w:rPr>
        <w:t> </w:t>
      </w:r>
      <w:r>
        <w:rPr>
          <w:sz w:val="24"/>
        </w:rPr>
        <w:t>выше,</w:t>
      </w:r>
      <w:r>
        <w:rPr>
          <w:spacing w:val="-6"/>
          <w:sz w:val="24"/>
        </w:rPr>
        <w:t> </w:t>
      </w:r>
      <w:r>
        <w:rPr>
          <w:sz w:val="24"/>
        </w:rPr>
        <w:t>без</w:t>
      </w:r>
      <w:r>
        <w:rPr>
          <w:spacing w:val="-5"/>
          <w:sz w:val="24"/>
        </w:rPr>
        <w:t> </w:t>
      </w:r>
      <w:r>
        <w:rPr>
          <w:sz w:val="24"/>
        </w:rPr>
        <w:t>признаков</w:t>
      </w:r>
      <w:r>
        <w:rPr>
          <w:spacing w:val="-7"/>
          <w:sz w:val="24"/>
        </w:rPr>
        <w:t> </w:t>
      </w:r>
      <w:r>
        <w:rPr>
          <w:spacing w:val="-2"/>
          <w:sz w:val="24"/>
        </w:rPr>
        <w:t>одышки;</w:t>
      </w:r>
    </w:p>
    <w:p>
      <w:pPr>
        <w:pStyle w:val="ListParagraph"/>
        <w:numPr>
          <w:ilvl w:val="0"/>
          <w:numId w:val="18"/>
        </w:numPr>
        <w:tabs>
          <w:tab w:pos="2122" w:val="left" w:leader="none"/>
        </w:tabs>
        <w:spacing w:line="240" w:lineRule="auto" w:before="43" w:after="0"/>
        <w:ind w:left="2122" w:right="0" w:hanging="281"/>
        <w:jc w:val="left"/>
        <w:rPr>
          <w:sz w:val="24"/>
        </w:rPr>
      </w:pPr>
      <w:r>
        <w:rPr>
          <w:sz w:val="24"/>
        </w:rPr>
        <w:t>3N</w:t>
      </w:r>
      <w:r>
        <w:rPr>
          <w:spacing w:val="-6"/>
          <w:sz w:val="24"/>
        </w:rPr>
        <w:t> </w:t>
      </w:r>
      <w:r>
        <w:rPr>
          <w:sz w:val="24"/>
        </w:rPr>
        <w:t>≤</w:t>
      </w:r>
      <w:r>
        <w:rPr>
          <w:spacing w:val="-6"/>
          <w:sz w:val="24"/>
        </w:rPr>
        <w:t> </w:t>
      </w:r>
      <w:r>
        <w:rPr>
          <w:sz w:val="24"/>
        </w:rPr>
        <w:t>уровень</w:t>
      </w:r>
      <w:r>
        <w:rPr>
          <w:spacing w:val="-5"/>
          <w:sz w:val="24"/>
        </w:rPr>
        <w:t> </w:t>
      </w:r>
      <w:r>
        <w:rPr>
          <w:sz w:val="24"/>
        </w:rPr>
        <w:t>СРБ</w:t>
      </w:r>
      <w:r>
        <w:rPr>
          <w:spacing w:val="-7"/>
          <w:sz w:val="24"/>
        </w:rPr>
        <w:t> </w:t>
      </w:r>
      <w:r>
        <w:rPr>
          <w:sz w:val="24"/>
        </w:rPr>
        <w:t>≤</w:t>
      </w:r>
      <w:r>
        <w:rPr>
          <w:spacing w:val="-6"/>
          <w:sz w:val="24"/>
        </w:rPr>
        <w:t> </w:t>
      </w:r>
      <w:r>
        <w:rPr>
          <w:spacing w:val="-5"/>
          <w:sz w:val="24"/>
        </w:rPr>
        <w:t>6N;</w:t>
      </w:r>
    </w:p>
    <w:p>
      <w:pPr>
        <w:pStyle w:val="ListParagraph"/>
        <w:numPr>
          <w:ilvl w:val="0"/>
          <w:numId w:val="18"/>
        </w:numPr>
        <w:tabs>
          <w:tab w:pos="2122" w:val="left" w:leader="none"/>
        </w:tabs>
        <w:spacing w:line="240" w:lineRule="auto" w:before="40" w:after="0"/>
        <w:ind w:left="2122" w:right="0" w:hanging="281"/>
        <w:jc w:val="left"/>
        <w:rPr>
          <w:sz w:val="24"/>
        </w:rPr>
      </w:pPr>
      <w:r>
        <w:rPr>
          <w:sz w:val="24"/>
        </w:rPr>
        <w:t>температура</w:t>
      </w:r>
      <w:r>
        <w:rPr>
          <w:spacing w:val="-8"/>
          <w:sz w:val="24"/>
        </w:rPr>
        <w:t> </w:t>
      </w:r>
      <w:r>
        <w:rPr>
          <w:sz w:val="24"/>
        </w:rPr>
        <w:t>тела</w:t>
      </w:r>
      <w:r>
        <w:rPr>
          <w:spacing w:val="-9"/>
          <w:sz w:val="24"/>
        </w:rPr>
        <w:t> </w:t>
      </w:r>
      <w:r>
        <w:rPr>
          <w:sz w:val="24"/>
        </w:rPr>
        <w:t>37,5-37,9</w:t>
      </w:r>
      <w:r>
        <w:rPr>
          <w:spacing w:val="-8"/>
          <w:sz w:val="24"/>
        </w:rPr>
        <w:t> </w:t>
      </w:r>
      <w:r>
        <w:rPr>
          <w:sz w:val="24"/>
        </w:rPr>
        <w:t>°C</w:t>
      </w:r>
      <w:r>
        <w:rPr>
          <w:spacing w:val="-6"/>
          <w:sz w:val="24"/>
        </w:rPr>
        <w:t> </w:t>
      </w:r>
      <w:r>
        <w:rPr>
          <w:sz w:val="24"/>
        </w:rPr>
        <w:t>в</w:t>
      </w:r>
      <w:r>
        <w:rPr>
          <w:spacing w:val="-8"/>
          <w:sz w:val="24"/>
        </w:rPr>
        <w:t> </w:t>
      </w:r>
      <w:r>
        <w:rPr>
          <w:sz w:val="24"/>
        </w:rPr>
        <w:t>течение</w:t>
      </w:r>
      <w:r>
        <w:rPr>
          <w:spacing w:val="-8"/>
          <w:sz w:val="24"/>
        </w:rPr>
        <w:t> </w:t>
      </w:r>
      <w:r>
        <w:rPr>
          <w:sz w:val="24"/>
        </w:rPr>
        <w:t>3-5</w:t>
      </w:r>
      <w:r>
        <w:rPr>
          <w:spacing w:val="-8"/>
          <w:sz w:val="24"/>
        </w:rPr>
        <w:t> </w:t>
      </w:r>
      <w:r>
        <w:rPr>
          <w:spacing w:val="-4"/>
          <w:sz w:val="24"/>
        </w:rPr>
        <w:t>дней;</w:t>
      </w:r>
    </w:p>
    <w:p>
      <w:pPr>
        <w:pStyle w:val="ListParagraph"/>
        <w:numPr>
          <w:ilvl w:val="0"/>
          <w:numId w:val="18"/>
        </w:numPr>
        <w:tabs>
          <w:tab w:pos="2122" w:val="left" w:leader="none"/>
        </w:tabs>
        <w:spacing w:line="240" w:lineRule="auto" w:before="41" w:after="0"/>
        <w:ind w:left="2122" w:right="0" w:hanging="281"/>
        <w:jc w:val="left"/>
        <w:rPr>
          <w:sz w:val="24"/>
        </w:rPr>
      </w:pPr>
      <w:r>
        <w:rPr>
          <w:sz w:val="24"/>
        </w:rPr>
        <w:t>число</w:t>
      </w:r>
      <w:r>
        <w:rPr>
          <w:spacing w:val="-11"/>
          <w:sz w:val="24"/>
        </w:rPr>
        <w:t> </w:t>
      </w:r>
      <w:r>
        <w:rPr>
          <w:sz w:val="24"/>
        </w:rPr>
        <w:t>лейкоцитов</w:t>
      </w:r>
      <w:r>
        <w:rPr>
          <w:spacing w:val="-9"/>
          <w:sz w:val="24"/>
        </w:rPr>
        <w:t> </w:t>
      </w:r>
      <w:r>
        <w:rPr>
          <w:sz w:val="24"/>
        </w:rPr>
        <w:t>-</w:t>
      </w:r>
      <w:r>
        <w:rPr>
          <w:spacing w:val="-11"/>
          <w:sz w:val="24"/>
        </w:rPr>
        <w:t> </w:t>
      </w:r>
      <w:r>
        <w:rPr>
          <w:sz w:val="24"/>
        </w:rPr>
        <w:t>3,5-</w:t>
      </w:r>
      <w:r>
        <w:rPr>
          <w:spacing w:val="-2"/>
          <w:sz w:val="24"/>
        </w:rPr>
        <w:t>4,0×109/л;</w:t>
      </w:r>
    </w:p>
    <w:p>
      <w:pPr>
        <w:pStyle w:val="ListParagraph"/>
        <w:numPr>
          <w:ilvl w:val="0"/>
          <w:numId w:val="18"/>
        </w:numPr>
        <w:tabs>
          <w:tab w:pos="2122" w:val="left" w:leader="none"/>
        </w:tabs>
        <w:spacing w:line="240" w:lineRule="auto" w:before="40" w:after="0"/>
        <w:ind w:left="2122" w:right="0" w:hanging="281"/>
        <w:jc w:val="left"/>
        <w:rPr>
          <w:sz w:val="24"/>
        </w:rPr>
      </w:pPr>
      <w:r>
        <w:rPr>
          <w:sz w:val="24"/>
        </w:rPr>
        <w:t>абсолютное</w:t>
      </w:r>
      <w:r>
        <w:rPr>
          <w:spacing w:val="-13"/>
          <w:sz w:val="24"/>
        </w:rPr>
        <w:t> </w:t>
      </w:r>
      <w:r>
        <w:rPr>
          <w:sz w:val="24"/>
        </w:rPr>
        <w:t>число</w:t>
      </w:r>
      <w:r>
        <w:rPr>
          <w:spacing w:val="-12"/>
          <w:sz w:val="24"/>
        </w:rPr>
        <w:t> </w:t>
      </w:r>
      <w:r>
        <w:rPr>
          <w:sz w:val="24"/>
        </w:rPr>
        <w:t>лимфоцитов</w:t>
      </w:r>
      <w:r>
        <w:rPr>
          <w:spacing w:val="-10"/>
          <w:sz w:val="24"/>
        </w:rPr>
        <w:t> </w:t>
      </w:r>
      <w:r>
        <w:rPr>
          <w:sz w:val="24"/>
        </w:rPr>
        <w:t>-</w:t>
      </w:r>
      <w:r>
        <w:rPr>
          <w:spacing w:val="-13"/>
          <w:sz w:val="24"/>
        </w:rPr>
        <w:t> </w:t>
      </w:r>
      <w:r>
        <w:rPr>
          <w:sz w:val="24"/>
        </w:rPr>
        <w:t>1,5-</w:t>
      </w:r>
      <w:r>
        <w:rPr>
          <w:spacing w:val="-2"/>
          <w:sz w:val="24"/>
        </w:rPr>
        <w:t>2,0×109/л</w:t>
      </w:r>
    </w:p>
    <w:p>
      <w:pPr>
        <w:pStyle w:val="ListParagraph"/>
        <w:numPr>
          <w:ilvl w:val="0"/>
          <w:numId w:val="16"/>
        </w:numPr>
        <w:tabs>
          <w:tab w:pos="2118" w:val="left" w:leader="none"/>
        </w:tabs>
        <w:spacing w:line="276" w:lineRule="auto" w:before="43" w:after="0"/>
        <w:ind w:left="1841" w:right="1272" w:firstLine="0"/>
        <w:jc w:val="both"/>
        <w:rPr>
          <w:sz w:val="24"/>
        </w:rPr>
      </w:pPr>
      <w:r>
        <w:rPr>
          <w:sz w:val="24"/>
        </w:rPr>
        <w:t>рекомендуется назначение ингибиторов янус-киназ 1,2 (барицитиниба или тофацитиниба) или селективного ингибитора янус-киназ 1 (упадацитиниба) и/или ГИБП: антагониста рецептора ИЛ-6 левилимаба (подкожно/внутривенно), или блокатора ИЛ-6 олокизумаба (подкожно/внутривенно), или антагониста рецептора ИЛ1α/ИЛ1β – анакинры (</w:t>
      </w:r>
      <w:r>
        <w:rPr>
          <w:color w:val="0462C1"/>
          <w:sz w:val="24"/>
          <w:u w:val="single" w:color="0462C1"/>
        </w:rPr>
        <w:t>Приложение 8-2</w:t>
      </w:r>
      <w:r>
        <w:rPr>
          <w:sz w:val="24"/>
        </w:rPr>
        <w:t>).</w:t>
      </w:r>
    </w:p>
    <w:p>
      <w:pPr>
        <w:pStyle w:val="Heading3"/>
        <w:spacing w:before="119"/>
      </w:pPr>
      <w:r>
        <w:rPr>
          <w:color w:val="1F487C"/>
          <w:spacing w:val="-2"/>
        </w:rPr>
        <w:t>Среднетяжелое</w:t>
      </w:r>
      <w:r>
        <w:rPr>
          <w:color w:val="1F487C"/>
        </w:rPr>
        <w:t> </w:t>
      </w:r>
      <w:r>
        <w:rPr>
          <w:color w:val="1F487C"/>
          <w:spacing w:val="-2"/>
        </w:rPr>
        <w:t>течение</w:t>
      </w:r>
    </w:p>
    <w:p>
      <w:pPr>
        <w:pStyle w:val="BodyText"/>
        <w:spacing w:line="276" w:lineRule="auto" w:before="40"/>
        <w:ind w:right="1282" w:firstLine="707"/>
      </w:pPr>
      <w:r>
        <w:rPr/>
        <w:t>При наличии изменений в легких и/или факторов риска прогрессии заболевания в сочетании с двумя и более признаками:</w:t>
      </w:r>
    </w:p>
    <w:p>
      <w:pPr>
        <w:pStyle w:val="ListParagraph"/>
        <w:numPr>
          <w:ilvl w:val="0"/>
          <w:numId w:val="18"/>
        </w:numPr>
        <w:tabs>
          <w:tab w:pos="2122" w:val="left" w:leader="none"/>
        </w:tabs>
        <w:spacing w:line="240" w:lineRule="auto" w:before="0" w:after="0"/>
        <w:ind w:left="2122" w:right="0" w:hanging="281"/>
        <w:jc w:val="left"/>
        <w:rPr>
          <w:position w:val="2"/>
          <w:sz w:val="24"/>
        </w:rPr>
      </w:pPr>
      <w:r>
        <w:rPr>
          <w:position w:val="2"/>
          <w:sz w:val="24"/>
        </w:rPr>
        <w:t>SpO</w:t>
      </w:r>
      <w:r>
        <w:rPr>
          <w:sz w:val="16"/>
        </w:rPr>
        <w:t>2</w:t>
      </w:r>
      <w:r>
        <w:rPr>
          <w:spacing w:val="11"/>
          <w:sz w:val="16"/>
        </w:rPr>
        <w:t> </w:t>
      </w:r>
      <w:r>
        <w:rPr>
          <w:position w:val="2"/>
          <w:sz w:val="24"/>
        </w:rPr>
        <w:t>94-97%</w:t>
      </w:r>
      <w:r>
        <w:rPr>
          <w:spacing w:val="-10"/>
          <w:position w:val="2"/>
          <w:sz w:val="24"/>
        </w:rPr>
        <w:t> </w:t>
      </w:r>
      <w:r>
        <w:rPr>
          <w:position w:val="2"/>
          <w:sz w:val="24"/>
        </w:rPr>
        <w:t>одышка</w:t>
      </w:r>
      <w:r>
        <w:rPr>
          <w:spacing w:val="-11"/>
          <w:position w:val="2"/>
          <w:sz w:val="24"/>
        </w:rPr>
        <w:t> </w:t>
      </w:r>
      <w:r>
        <w:rPr>
          <w:position w:val="2"/>
          <w:sz w:val="24"/>
        </w:rPr>
        <w:t>при</w:t>
      </w:r>
      <w:r>
        <w:rPr>
          <w:spacing w:val="-9"/>
          <w:position w:val="2"/>
          <w:sz w:val="24"/>
        </w:rPr>
        <w:t> </w:t>
      </w:r>
      <w:r>
        <w:rPr>
          <w:position w:val="2"/>
          <w:sz w:val="24"/>
        </w:rPr>
        <w:t>физической</w:t>
      </w:r>
      <w:r>
        <w:rPr>
          <w:spacing w:val="-9"/>
          <w:position w:val="2"/>
          <w:sz w:val="24"/>
        </w:rPr>
        <w:t> </w:t>
      </w:r>
      <w:r>
        <w:rPr>
          <w:spacing w:val="-2"/>
          <w:position w:val="2"/>
          <w:sz w:val="24"/>
        </w:rPr>
        <w:t>нагрузке;</w:t>
      </w:r>
    </w:p>
    <w:p>
      <w:pPr>
        <w:pStyle w:val="ListParagraph"/>
        <w:numPr>
          <w:ilvl w:val="0"/>
          <w:numId w:val="18"/>
        </w:numPr>
        <w:tabs>
          <w:tab w:pos="2122" w:val="left" w:leader="none"/>
        </w:tabs>
        <w:spacing w:line="240" w:lineRule="auto" w:before="39" w:after="0"/>
        <w:ind w:left="2122" w:right="0" w:hanging="281"/>
        <w:jc w:val="left"/>
        <w:rPr>
          <w:sz w:val="24"/>
        </w:rPr>
      </w:pPr>
      <w:r>
        <w:rPr>
          <w:sz w:val="24"/>
        </w:rPr>
        <w:t>6N</w:t>
      </w:r>
      <w:r>
        <w:rPr>
          <w:spacing w:val="-6"/>
          <w:sz w:val="24"/>
        </w:rPr>
        <w:t> </w:t>
      </w:r>
      <w:r>
        <w:rPr>
          <w:sz w:val="24"/>
        </w:rPr>
        <w:t>≤</w:t>
      </w:r>
      <w:r>
        <w:rPr>
          <w:spacing w:val="-6"/>
          <w:sz w:val="24"/>
        </w:rPr>
        <w:t> </w:t>
      </w:r>
      <w:r>
        <w:rPr>
          <w:sz w:val="24"/>
        </w:rPr>
        <w:t>уровень</w:t>
      </w:r>
      <w:r>
        <w:rPr>
          <w:spacing w:val="-5"/>
          <w:sz w:val="24"/>
        </w:rPr>
        <w:t> </w:t>
      </w:r>
      <w:r>
        <w:rPr>
          <w:sz w:val="24"/>
        </w:rPr>
        <w:t>СРБ</w:t>
      </w:r>
      <w:r>
        <w:rPr>
          <w:spacing w:val="-7"/>
          <w:sz w:val="24"/>
        </w:rPr>
        <w:t> </w:t>
      </w:r>
      <w:r>
        <w:rPr>
          <w:sz w:val="24"/>
        </w:rPr>
        <w:t>&lt;</w:t>
      </w:r>
      <w:r>
        <w:rPr>
          <w:spacing w:val="-6"/>
          <w:sz w:val="24"/>
        </w:rPr>
        <w:t> </w:t>
      </w:r>
      <w:r>
        <w:rPr>
          <w:spacing w:val="-5"/>
          <w:sz w:val="24"/>
        </w:rPr>
        <w:t>9N;</w:t>
      </w:r>
    </w:p>
    <w:p>
      <w:pPr>
        <w:pStyle w:val="ListParagraph"/>
        <w:numPr>
          <w:ilvl w:val="0"/>
          <w:numId w:val="18"/>
        </w:numPr>
        <w:tabs>
          <w:tab w:pos="2122" w:val="left" w:leader="none"/>
        </w:tabs>
        <w:spacing w:line="240" w:lineRule="auto" w:before="42" w:after="0"/>
        <w:ind w:left="2122" w:right="0" w:hanging="281"/>
        <w:jc w:val="left"/>
        <w:rPr>
          <w:sz w:val="24"/>
        </w:rPr>
      </w:pPr>
      <w:r>
        <w:rPr>
          <w:sz w:val="24"/>
        </w:rPr>
        <w:t>температура</w:t>
      </w:r>
      <w:r>
        <w:rPr>
          <w:spacing w:val="-8"/>
          <w:sz w:val="24"/>
        </w:rPr>
        <w:t> </w:t>
      </w:r>
      <w:r>
        <w:rPr>
          <w:sz w:val="24"/>
        </w:rPr>
        <w:t>тела</w:t>
      </w:r>
      <w:r>
        <w:rPr>
          <w:spacing w:val="-8"/>
          <w:sz w:val="24"/>
        </w:rPr>
        <w:t> </w:t>
      </w:r>
      <w:r>
        <w:rPr>
          <w:rFonts w:ascii="Symbol" w:hAnsi="Symbol"/>
          <w:sz w:val="24"/>
        </w:rPr>
        <w:t></w:t>
      </w:r>
      <w:r>
        <w:rPr>
          <w:sz w:val="24"/>
        </w:rPr>
        <w:t>38°C</w:t>
      </w:r>
      <w:r>
        <w:rPr>
          <w:spacing w:val="-6"/>
          <w:sz w:val="24"/>
        </w:rPr>
        <w:t> </w:t>
      </w:r>
      <w:r>
        <w:rPr>
          <w:sz w:val="24"/>
        </w:rPr>
        <w:t>в</w:t>
      </w:r>
      <w:r>
        <w:rPr>
          <w:spacing w:val="-8"/>
          <w:sz w:val="24"/>
        </w:rPr>
        <w:t> </w:t>
      </w:r>
      <w:r>
        <w:rPr>
          <w:sz w:val="24"/>
        </w:rPr>
        <w:t>течение</w:t>
      </w:r>
      <w:r>
        <w:rPr>
          <w:spacing w:val="-8"/>
          <w:sz w:val="24"/>
        </w:rPr>
        <w:t> </w:t>
      </w:r>
      <w:r>
        <w:rPr>
          <w:sz w:val="24"/>
        </w:rPr>
        <w:t>3-5</w:t>
      </w:r>
      <w:r>
        <w:rPr>
          <w:spacing w:val="-7"/>
          <w:sz w:val="24"/>
        </w:rPr>
        <w:t> </w:t>
      </w:r>
      <w:r>
        <w:rPr>
          <w:spacing w:val="-4"/>
          <w:sz w:val="24"/>
        </w:rPr>
        <w:t>дней;</w:t>
      </w:r>
    </w:p>
    <w:p>
      <w:pPr>
        <w:pStyle w:val="ListParagraph"/>
        <w:numPr>
          <w:ilvl w:val="0"/>
          <w:numId w:val="18"/>
        </w:numPr>
        <w:tabs>
          <w:tab w:pos="2122" w:val="left" w:leader="none"/>
        </w:tabs>
        <w:spacing w:line="240" w:lineRule="auto" w:before="42" w:after="0"/>
        <w:ind w:left="2122" w:right="0" w:hanging="281"/>
        <w:jc w:val="left"/>
        <w:rPr>
          <w:sz w:val="24"/>
        </w:rPr>
      </w:pPr>
      <w:r>
        <w:rPr>
          <w:sz w:val="24"/>
        </w:rPr>
        <w:t>число</w:t>
      </w:r>
      <w:r>
        <w:rPr>
          <w:spacing w:val="-11"/>
          <w:sz w:val="24"/>
        </w:rPr>
        <w:t> </w:t>
      </w:r>
      <w:r>
        <w:rPr>
          <w:sz w:val="24"/>
        </w:rPr>
        <w:t>лейкоцитов</w:t>
      </w:r>
      <w:r>
        <w:rPr>
          <w:spacing w:val="-9"/>
          <w:sz w:val="24"/>
        </w:rPr>
        <w:t> </w:t>
      </w:r>
      <w:r>
        <w:rPr>
          <w:sz w:val="24"/>
        </w:rPr>
        <w:t>-</w:t>
      </w:r>
      <w:r>
        <w:rPr>
          <w:spacing w:val="-11"/>
          <w:sz w:val="24"/>
        </w:rPr>
        <w:t> </w:t>
      </w:r>
      <w:r>
        <w:rPr>
          <w:sz w:val="24"/>
        </w:rPr>
        <w:t>3,0-</w:t>
      </w:r>
      <w:r>
        <w:rPr>
          <w:spacing w:val="-2"/>
          <w:sz w:val="24"/>
        </w:rPr>
        <w:t>3,5×10</w:t>
      </w:r>
      <w:r>
        <w:rPr>
          <w:spacing w:val="-2"/>
          <w:sz w:val="24"/>
          <w:vertAlign w:val="superscript"/>
        </w:rPr>
        <w:t>9</w:t>
      </w:r>
      <w:r>
        <w:rPr>
          <w:spacing w:val="-2"/>
          <w:sz w:val="24"/>
          <w:vertAlign w:val="baseline"/>
        </w:rPr>
        <w:t>/л;</w:t>
      </w:r>
    </w:p>
    <w:p>
      <w:pPr>
        <w:pStyle w:val="ListParagraph"/>
        <w:numPr>
          <w:ilvl w:val="0"/>
          <w:numId w:val="18"/>
        </w:numPr>
        <w:tabs>
          <w:tab w:pos="2122" w:val="left" w:leader="none"/>
        </w:tabs>
        <w:spacing w:line="240" w:lineRule="auto" w:before="41" w:after="0"/>
        <w:ind w:left="2122" w:right="0" w:hanging="281"/>
        <w:jc w:val="left"/>
        <w:rPr>
          <w:sz w:val="24"/>
        </w:rPr>
      </w:pPr>
      <w:r>
        <w:rPr>
          <w:sz w:val="24"/>
        </w:rPr>
        <w:t>абсолютное</w:t>
      </w:r>
      <w:r>
        <w:rPr>
          <w:spacing w:val="-13"/>
          <w:sz w:val="24"/>
        </w:rPr>
        <w:t> </w:t>
      </w:r>
      <w:r>
        <w:rPr>
          <w:sz w:val="24"/>
        </w:rPr>
        <w:t>число</w:t>
      </w:r>
      <w:r>
        <w:rPr>
          <w:spacing w:val="-12"/>
          <w:sz w:val="24"/>
        </w:rPr>
        <w:t> </w:t>
      </w:r>
      <w:r>
        <w:rPr>
          <w:sz w:val="24"/>
        </w:rPr>
        <w:t>лимфоцитов</w:t>
      </w:r>
      <w:r>
        <w:rPr>
          <w:spacing w:val="-10"/>
          <w:sz w:val="24"/>
        </w:rPr>
        <w:t> </w:t>
      </w:r>
      <w:r>
        <w:rPr>
          <w:sz w:val="24"/>
        </w:rPr>
        <w:t>-</w:t>
      </w:r>
      <w:r>
        <w:rPr>
          <w:spacing w:val="-13"/>
          <w:sz w:val="24"/>
        </w:rPr>
        <w:t> </w:t>
      </w:r>
      <w:r>
        <w:rPr>
          <w:sz w:val="24"/>
        </w:rPr>
        <w:t>1,0-</w:t>
      </w:r>
      <w:r>
        <w:rPr>
          <w:spacing w:val="-2"/>
          <w:sz w:val="24"/>
        </w:rPr>
        <w:t>1,5×10</w:t>
      </w:r>
      <w:r>
        <w:rPr>
          <w:spacing w:val="-2"/>
          <w:sz w:val="24"/>
          <w:vertAlign w:val="superscript"/>
        </w:rPr>
        <w:t>9</w:t>
      </w:r>
      <w:r>
        <w:rPr>
          <w:spacing w:val="-2"/>
          <w:sz w:val="24"/>
          <w:vertAlign w:val="baseline"/>
        </w:rPr>
        <w:t>/л</w:t>
      </w:r>
    </w:p>
    <w:p>
      <w:pPr>
        <w:pStyle w:val="ListParagraph"/>
        <w:numPr>
          <w:ilvl w:val="0"/>
          <w:numId w:val="16"/>
        </w:numPr>
        <w:tabs>
          <w:tab w:pos="2139" w:val="left" w:leader="none"/>
        </w:tabs>
        <w:spacing w:line="276" w:lineRule="auto" w:before="40" w:after="0"/>
        <w:ind w:left="1841" w:right="1271" w:firstLine="0"/>
        <w:jc w:val="both"/>
        <w:rPr>
          <w:sz w:val="24"/>
        </w:rPr>
      </w:pPr>
      <w:r>
        <w:rPr>
          <w:sz w:val="24"/>
        </w:rPr>
        <w:t>рекомендуется внутривенное назначение антагонистов рецептора ИЛ-6 – тоцилизумаба, или левилимаба, или блокатора ИЛ-6 олокизумаба, или антагониста рецептора ИЛ1α/ИЛ1β – анакинры (см. </w:t>
      </w:r>
      <w:r>
        <w:rPr>
          <w:color w:val="0462C1"/>
          <w:sz w:val="24"/>
          <w:u w:val="single" w:color="0462C1"/>
        </w:rPr>
        <w:t>Приложение 8-2</w:t>
      </w:r>
      <w:r>
        <w:rPr>
          <w:sz w:val="24"/>
        </w:rPr>
        <w:t>). Терапия ранее назначенными ингибиторами янус-киназ может быть продолжена.</w:t>
      </w:r>
    </w:p>
    <w:p>
      <w:pPr>
        <w:pStyle w:val="BodyText"/>
        <w:spacing w:line="278" w:lineRule="auto"/>
        <w:ind w:right="1273"/>
      </w:pPr>
      <w:r>
        <w:rPr/>
        <w:t>При</w:t>
      </w:r>
      <w:r>
        <w:rPr>
          <w:spacing w:val="40"/>
        </w:rPr>
        <w:t>  </w:t>
      </w:r>
      <w:r>
        <w:rPr/>
        <w:t>недостаточном</w:t>
      </w:r>
      <w:r>
        <w:rPr>
          <w:spacing w:val="40"/>
        </w:rPr>
        <w:t>  </w:t>
      </w:r>
      <w:r>
        <w:rPr/>
        <w:t>ответе</w:t>
      </w:r>
      <w:r>
        <w:rPr>
          <w:spacing w:val="40"/>
        </w:rPr>
        <w:t>  </w:t>
      </w:r>
      <w:r>
        <w:rPr/>
        <w:t>на</w:t>
      </w:r>
      <w:r>
        <w:rPr>
          <w:spacing w:val="40"/>
        </w:rPr>
        <w:t>  </w:t>
      </w:r>
      <w:r>
        <w:rPr/>
        <w:t>ГИБТ</w:t>
      </w:r>
      <w:r>
        <w:rPr>
          <w:spacing w:val="40"/>
        </w:rPr>
        <w:t>  </w:t>
      </w:r>
      <w:r>
        <w:rPr/>
        <w:t>возможно</w:t>
      </w:r>
      <w:r>
        <w:rPr>
          <w:spacing w:val="40"/>
        </w:rPr>
        <w:t>  </w:t>
      </w:r>
      <w:r>
        <w:rPr/>
        <w:t>назанчение</w:t>
      </w:r>
      <w:r>
        <w:rPr>
          <w:spacing w:val="40"/>
        </w:rPr>
        <w:t>  </w:t>
      </w:r>
      <w:r>
        <w:rPr/>
        <w:t>в</w:t>
      </w:r>
      <w:r>
        <w:rPr>
          <w:spacing w:val="52"/>
        </w:rPr>
        <w:t>  </w:t>
      </w:r>
      <w:r>
        <w:rPr/>
        <w:t>комбинации</w:t>
      </w:r>
      <w:r>
        <w:rPr>
          <w:spacing w:val="80"/>
        </w:rPr>
        <w:t> </w:t>
      </w:r>
      <w:r>
        <w:rPr/>
        <w:t>с препаратами группы блокаторов янус-киназ</w:t>
      </w:r>
    </w:p>
    <w:p>
      <w:pPr>
        <w:pStyle w:val="Heading3"/>
        <w:spacing w:before="115"/>
      </w:pPr>
      <w:r>
        <w:rPr>
          <w:color w:val="1F487C"/>
        </w:rPr>
        <w:t>Тяжелое</w:t>
      </w:r>
      <w:r>
        <w:rPr>
          <w:color w:val="1F487C"/>
          <w:spacing w:val="-12"/>
        </w:rPr>
        <w:t> </w:t>
      </w:r>
      <w:r>
        <w:rPr>
          <w:color w:val="1F487C"/>
        </w:rPr>
        <w:t>и</w:t>
      </w:r>
      <w:r>
        <w:rPr>
          <w:color w:val="1F487C"/>
          <w:spacing w:val="-9"/>
        </w:rPr>
        <w:t> </w:t>
      </w:r>
      <w:r>
        <w:rPr>
          <w:color w:val="1F487C"/>
        </w:rPr>
        <w:t>крайне</w:t>
      </w:r>
      <w:r>
        <w:rPr>
          <w:color w:val="1F487C"/>
          <w:spacing w:val="-11"/>
        </w:rPr>
        <w:t> </w:t>
      </w:r>
      <w:r>
        <w:rPr>
          <w:color w:val="1F487C"/>
        </w:rPr>
        <w:t>тяжелое</w:t>
      </w:r>
      <w:r>
        <w:rPr>
          <w:color w:val="1F487C"/>
          <w:spacing w:val="-11"/>
        </w:rPr>
        <w:t> </w:t>
      </w:r>
      <w:r>
        <w:rPr>
          <w:color w:val="1F487C"/>
          <w:spacing w:val="-2"/>
        </w:rPr>
        <w:t>течение</w:t>
      </w:r>
    </w:p>
    <w:p>
      <w:pPr>
        <w:pStyle w:val="BodyText"/>
        <w:spacing w:line="276" w:lineRule="auto" w:before="40"/>
        <w:ind w:right="1278" w:firstLine="707"/>
      </w:pPr>
      <w:r>
        <w:rPr/>
        <w:t>При наличии изменений в легких и/или факторов риска прогрессии заболевания в сочетании с двумя и более признаками:</w:t>
      </w:r>
    </w:p>
    <w:p>
      <w:pPr>
        <w:pStyle w:val="ListParagraph"/>
        <w:numPr>
          <w:ilvl w:val="0"/>
          <w:numId w:val="18"/>
        </w:numPr>
        <w:tabs>
          <w:tab w:pos="2122" w:val="left" w:leader="none"/>
          <w:tab w:pos="2124" w:val="left" w:leader="none"/>
        </w:tabs>
        <w:spacing w:line="276" w:lineRule="auto" w:before="12" w:after="0"/>
        <w:ind w:left="2124" w:right="2185" w:hanging="283"/>
        <w:jc w:val="left"/>
        <w:rPr>
          <w:position w:val="2"/>
          <w:sz w:val="24"/>
        </w:rPr>
      </w:pPr>
      <w:r>
        <w:rPr>
          <w:position w:val="2"/>
          <w:sz w:val="24"/>
        </w:rPr>
        <w:t>SpO</w:t>
      </w:r>
      <w:r>
        <w:rPr>
          <w:sz w:val="16"/>
        </w:rPr>
        <w:t>2</w:t>
      </w:r>
      <w:r>
        <w:rPr>
          <w:spacing w:val="17"/>
          <w:sz w:val="16"/>
        </w:rPr>
        <w:t> </w:t>
      </w:r>
      <w:r>
        <w:rPr>
          <w:position w:val="2"/>
          <w:sz w:val="24"/>
        </w:rPr>
        <w:t>≤</w:t>
      </w:r>
      <w:r>
        <w:rPr>
          <w:spacing w:val="-5"/>
          <w:position w:val="2"/>
          <w:sz w:val="24"/>
        </w:rPr>
        <w:t> </w:t>
      </w:r>
      <w:r>
        <w:rPr>
          <w:position w:val="2"/>
          <w:sz w:val="24"/>
        </w:rPr>
        <w:t>93%,</w:t>
      </w:r>
      <w:r>
        <w:rPr>
          <w:spacing w:val="-5"/>
          <w:position w:val="2"/>
          <w:sz w:val="24"/>
        </w:rPr>
        <w:t> </w:t>
      </w:r>
      <w:r>
        <w:rPr>
          <w:position w:val="2"/>
          <w:sz w:val="24"/>
        </w:rPr>
        <w:t>одышка</w:t>
      </w:r>
      <w:r>
        <w:rPr>
          <w:spacing w:val="-5"/>
          <w:position w:val="2"/>
          <w:sz w:val="24"/>
        </w:rPr>
        <w:t> </w:t>
      </w:r>
      <w:r>
        <w:rPr>
          <w:position w:val="2"/>
          <w:sz w:val="24"/>
        </w:rPr>
        <w:t>в</w:t>
      </w:r>
      <w:r>
        <w:rPr>
          <w:spacing w:val="-6"/>
          <w:position w:val="2"/>
          <w:sz w:val="24"/>
        </w:rPr>
        <w:t> </w:t>
      </w:r>
      <w:r>
        <w:rPr>
          <w:position w:val="2"/>
          <w:sz w:val="24"/>
        </w:rPr>
        <w:t>покое/прогрессирующая</w:t>
      </w:r>
      <w:r>
        <w:rPr>
          <w:spacing w:val="-5"/>
          <w:position w:val="2"/>
          <w:sz w:val="24"/>
        </w:rPr>
        <w:t> </w:t>
      </w:r>
      <w:r>
        <w:rPr>
          <w:position w:val="2"/>
          <w:sz w:val="24"/>
        </w:rPr>
        <w:t>одышка</w:t>
      </w:r>
      <w:r>
        <w:rPr>
          <w:spacing w:val="-3"/>
          <w:position w:val="2"/>
          <w:sz w:val="24"/>
        </w:rPr>
        <w:t> </w:t>
      </w:r>
      <w:r>
        <w:rPr>
          <w:position w:val="2"/>
          <w:sz w:val="24"/>
        </w:rPr>
        <w:t>в</w:t>
      </w:r>
      <w:r>
        <w:rPr>
          <w:spacing w:val="-5"/>
          <w:position w:val="2"/>
          <w:sz w:val="24"/>
        </w:rPr>
        <w:t> </w:t>
      </w:r>
      <w:r>
        <w:rPr>
          <w:position w:val="2"/>
          <w:sz w:val="24"/>
        </w:rPr>
        <w:t>течение</w:t>
      </w:r>
      <w:r>
        <w:rPr>
          <w:spacing w:val="-5"/>
          <w:position w:val="2"/>
          <w:sz w:val="24"/>
        </w:rPr>
        <w:t> </w:t>
      </w:r>
      <w:r>
        <w:rPr>
          <w:position w:val="2"/>
          <w:sz w:val="24"/>
        </w:rPr>
        <w:t>первых </w:t>
      </w:r>
      <w:r>
        <w:rPr>
          <w:sz w:val="24"/>
        </w:rPr>
        <w:t>2-3 дней;</w:t>
      </w:r>
    </w:p>
    <w:p>
      <w:pPr>
        <w:pStyle w:val="ListParagraph"/>
        <w:numPr>
          <w:ilvl w:val="0"/>
          <w:numId w:val="18"/>
        </w:numPr>
        <w:tabs>
          <w:tab w:pos="2122" w:val="left" w:leader="none"/>
        </w:tabs>
        <w:spacing w:line="275" w:lineRule="exact" w:before="0" w:after="0"/>
        <w:ind w:left="2122" w:right="0" w:hanging="281"/>
        <w:jc w:val="left"/>
        <w:rPr>
          <w:sz w:val="24"/>
        </w:rPr>
      </w:pPr>
      <w:r>
        <w:rPr>
          <w:sz w:val="24"/>
        </w:rPr>
        <w:t>температура</w:t>
      </w:r>
      <w:r>
        <w:rPr>
          <w:spacing w:val="-7"/>
          <w:sz w:val="24"/>
        </w:rPr>
        <w:t> </w:t>
      </w:r>
      <w:r>
        <w:rPr>
          <w:sz w:val="24"/>
        </w:rPr>
        <w:t>тела</w:t>
      </w:r>
      <w:r>
        <w:rPr>
          <w:spacing w:val="-5"/>
          <w:sz w:val="24"/>
        </w:rPr>
        <w:t> </w:t>
      </w:r>
      <w:r>
        <w:rPr>
          <w:sz w:val="24"/>
        </w:rPr>
        <w:t>&gt;</w:t>
      </w:r>
      <w:r>
        <w:rPr>
          <w:spacing w:val="-6"/>
          <w:sz w:val="24"/>
        </w:rPr>
        <w:t> </w:t>
      </w:r>
      <w:r>
        <w:rPr>
          <w:sz w:val="24"/>
        </w:rPr>
        <w:t>38</w:t>
      </w:r>
      <w:r>
        <w:rPr>
          <w:spacing w:val="-3"/>
          <w:sz w:val="24"/>
        </w:rPr>
        <w:t> </w:t>
      </w:r>
      <w:r>
        <w:rPr>
          <w:sz w:val="24"/>
        </w:rPr>
        <w:t>°C</w:t>
      </w:r>
      <w:r>
        <w:rPr>
          <w:spacing w:val="-6"/>
          <w:sz w:val="24"/>
        </w:rPr>
        <w:t> </w:t>
      </w:r>
      <w:r>
        <w:rPr>
          <w:sz w:val="24"/>
        </w:rPr>
        <w:t>в</w:t>
      </w:r>
      <w:r>
        <w:rPr>
          <w:spacing w:val="-6"/>
          <w:sz w:val="24"/>
        </w:rPr>
        <w:t> </w:t>
      </w:r>
      <w:r>
        <w:rPr>
          <w:sz w:val="24"/>
        </w:rPr>
        <w:t>течение</w:t>
      </w:r>
      <w:r>
        <w:rPr>
          <w:spacing w:val="-6"/>
          <w:sz w:val="24"/>
        </w:rPr>
        <w:t> </w:t>
      </w:r>
      <w:r>
        <w:rPr>
          <w:sz w:val="24"/>
        </w:rPr>
        <w:t>2-3</w:t>
      </w:r>
      <w:r>
        <w:rPr>
          <w:spacing w:val="-6"/>
          <w:sz w:val="24"/>
        </w:rPr>
        <w:t> </w:t>
      </w:r>
      <w:r>
        <w:rPr>
          <w:sz w:val="24"/>
        </w:rPr>
        <w:t>дней</w:t>
      </w:r>
      <w:r>
        <w:rPr>
          <w:spacing w:val="-5"/>
          <w:sz w:val="24"/>
        </w:rPr>
        <w:t> </w:t>
      </w:r>
      <w:r>
        <w:rPr>
          <w:spacing w:val="-10"/>
          <w:sz w:val="24"/>
        </w:rPr>
        <w:t>;</w:t>
      </w:r>
    </w:p>
    <w:p>
      <w:pPr>
        <w:pStyle w:val="ListParagraph"/>
        <w:numPr>
          <w:ilvl w:val="0"/>
          <w:numId w:val="18"/>
        </w:numPr>
        <w:tabs>
          <w:tab w:pos="2122" w:val="left" w:leader="none"/>
        </w:tabs>
        <w:spacing w:line="240" w:lineRule="auto" w:before="41" w:after="0"/>
        <w:ind w:left="2122" w:right="0" w:hanging="281"/>
        <w:jc w:val="left"/>
        <w:rPr>
          <w:sz w:val="24"/>
        </w:rPr>
      </w:pPr>
      <w:r>
        <w:rPr>
          <w:sz w:val="24"/>
        </w:rPr>
        <w:t>уровень</w:t>
      </w:r>
      <w:r>
        <w:rPr>
          <w:spacing w:val="-5"/>
          <w:sz w:val="24"/>
        </w:rPr>
        <w:t> </w:t>
      </w:r>
      <w:r>
        <w:rPr>
          <w:sz w:val="24"/>
        </w:rPr>
        <w:t>СРБ</w:t>
      </w:r>
      <w:r>
        <w:rPr>
          <w:spacing w:val="-6"/>
          <w:sz w:val="24"/>
        </w:rPr>
        <w:t> </w:t>
      </w:r>
      <w:r>
        <w:rPr>
          <w:sz w:val="24"/>
        </w:rPr>
        <w:t>≥</w:t>
      </w:r>
      <w:r>
        <w:rPr>
          <w:spacing w:val="-5"/>
          <w:sz w:val="24"/>
        </w:rPr>
        <w:t> </w:t>
      </w:r>
      <w:r>
        <w:rPr>
          <w:sz w:val="24"/>
        </w:rPr>
        <w:t>9N</w:t>
      </w:r>
      <w:r>
        <w:rPr>
          <w:spacing w:val="-5"/>
          <w:sz w:val="24"/>
        </w:rPr>
        <w:t> </w:t>
      </w:r>
      <w:r>
        <w:rPr>
          <w:sz w:val="24"/>
        </w:rPr>
        <w:t>или</w:t>
      </w:r>
      <w:r>
        <w:rPr>
          <w:spacing w:val="-6"/>
          <w:sz w:val="24"/>
        </w:rPr>
        <w:t> </w:t>
      </w:r>
      <w:r>
        <w:rPr>
          <w:sz w:val="24"/>
        </w:rPr>
        <w:t>рост</w:t>
      </w:r>
      <w:r>
        <w:rPr>
          <w:spacing w:val="-5"/>
          <w:sz w:val="24"/>
        </w:rPr>
        <w:t> </w:t>
      </w:r>
      <w:r>
        <w:rPr>
          <w:sz w:val="24"/>
        </w:rPr>
        <w:t>уровня</w:t>
      </w:r>
      <w:r>
        <w:rPr>
          <w:spacing w:val="-6"/>
          <w:sz w:val="24"/>
        </w:rPr>
        <w:t> </w:t>
      </w:r>
      <w:r>
        <w:rPr>
          <w:sz w:val="24"/>
        </w:rPr>
        <w:t>СРБ</w:t>
      </w:r>
      <w:r>
        <w:rPr>
          <w:spacing w:val="-6"/>
          <w:sz w:val="24"/>
        </w:rPr>
        <w:t> </w:t>
      </w:r>
      <w:r>
        <w:rPr>
          <w:sz w:val="24"/>
        </w:rPr>
        <w:t>в</w:t>
      </w:r>
      <w:r>
        <w:rPr>
          <w:spacing w:val="-5"/>
          <w:sz w:val="24"/>
        </w:rPr>
        <w:t> </w:t>
      </w:r>
      <w:r>
        <w:rPr>
          <w:sz w:val="24"/>
        </w:rPr>
        <w:t>3</w:t>
      </w:r>
      <w:r>
        <w:rPr>
          <w:spacing w:val="-5"/>
          <w:sz w:val="24"/>
        </w:rPr>
        <w:t> </w:t>
      </w:r>
      <w:r>
        <w:rPr>
          <w:sz w:val="24"/>
        </w:rPr>
        <w:t>раза</w:t>
      </w:r>
      <w:r>
        <w:rPr>
          <w:spacing w:val="-5"/>
          <w:sz w:val="24"/>
        </w:rPr>
        <w:t> </w:t>
      </w:r>
      <w:r>
        <w:rPr>
          <w:sz w:val="24"/>
        </w:rPr>
        <w:t>на</w:t>
      </w:r>
      <w:r>
        <w:rPr>
          <w:spacing w:val="-5"/>
          <w:sz w:val="24"/>
        </w:rPr>
        <w:t> </w:t>
      </w:r>
      <w:r>
        <w:rPr>
          <w:sz w:val="24"/>
        </w:rPr>
        <w:t>3-5</w:t>
      </w:r>
      <w:r>
        <w:rPr>
          <w:spacing w:val="-6"/>
          <w:sz w:val="24"/>
        </w:rPr>
        <w:t> </w:t>
      </w:r>
      <w:r>
        <w:rPr>
          <w:sz w:val="24"/>
        </w:rPr>
        <w:t>дни</w:t>
      </w:r>
      <w:r>
        <w:rPr>
          <w:spacing w:val="-4"/>
          <w:sz w:val="24"/>
        </w:rPr>
        <w:t> </w:t>
      </w:r>
      <w:r>
        <w:rPr>
          <w:spacing w:val="-2"/>
          <w:sz w:val="24"/>
        </w:rPr>
        <w:t>заболевания;</w:t>
      </w:r>
    </w:p>
    <w:p>
      <w:pPr>
        <w:pStyle w:val="ListParagraph"/>
        <w:numPr>
          <w:ilvl w:val="0"/>
          <w:numId w:val="18"/>
        </w:numPr>
        <w:tabs>
          <w:tab w:pos="2122" w:val="left" w:leader="none"/>
        </w:tabs>
        <w:spacing w:line="240" w:lineRule="auto" w:before="41" w:after="0"/>
        <w:ind w:left="2122" w:right="0" w:hanging="281"/>
        <w:jc w:val="left"/>
        <w:rPr>
          <w:sz w:val="24"/>
        </w:rPr>
      </w:pPr>
      <w:r>
        <w:rPr>
          <w:sz w:val="24"/>
        </w:rPr>
        <w:t>число</w:t>
      </w:r>
      <w:r>
        <w:rPr>
          <w:spacing w:val="-10"/>
          <w:sz w:val="24"/>
        </w:rPr>
        <w:t> </w:t>
      </w:r>
      <w:r>
        <w:rPr>
          <w:sz w:val="24"/>
        </w:rPr>
        <w:t>лейкоцитов</w:t>
      </w:r>
      <w:r>
        <w:rPr>
          <w:spacing w:val="-9"/>
          <w:sz w:val="24"/>
        </w:rPr>
        <w:t> </w:t>
      </w:r>
      <w:r>
        <w:rPr>
          <w:sz w:val="24"/>
        </w:rPr>
        <w:t>&lt;</w:t>
      </w:r>
      <w:r>
        <w:rPr>
          <w:spacing w:val="-10"/>
          <w:sz w:val="24"/>
        </w:rPr>
        <w:t> </w:t>
      </w:r>
      <w:r>
        <w:rPr>
          <w:spacing w:val="-2"/>
          <w:sz w:val="24"/>
        </w:rPr>
        <w:t>3,0×10</w:t>
      </w:r>
      <w:r>
        <w:rPr>
          <w:spacing w:val="-2"/>
          <w:sz w:val="24"/>
          <w:vertAlign w:val="superscript"/>
        </w:rPr>
        <w:t>9</w:t>
      </w:r>
      <w:r>
        <w:rPr>
          <w:spacing w:val="-2"/>
          <w:sz w:val="24"/>
          <w:vertAlign w:val="baseline"/>
        </w:rPr>
        <w:t>/л;</w:t>
      </w:r>
    </w:p>
    <w:p>
      <w:pPr>
        <w:pStyle w:val="ListParagraph"/>
        <w:numPr>
          <w:ilvl w:val="0"/>
          <w:numId w:val="18"/>
        </w:numPr>
        <w:tabs>
          <w:tab w:pos="2122" w:val="left" w:leader="none"/>
        </w:tabs>
        <w:spacing w:line="240" w:lineRule="auto" w:before="42" w:after="0"/>
        <w:ind w:left="2122" w:right="0" w:hanging="281"/>
        <w:jc w:val="left"/>
        <w:rPr>
          <w:sz w:val="24"/>
        </w:rPr>
      </w:pPr>
      <w:r>
        <w:rPr>
          <w:sz w:val="24"/>
        </w:rPr>
        <w:t>абсолютное</w:t>
      </w:r>
      <w:r>
        <w:rPr>
          <w:spacing w:val="-12"/>
          <w:sz w:val="24"/>
        </w:rPr>
        <w:t> </w:t>
      </w:r>
      <w:r>
        <w:rPr>
          <w:sz w:val="24"/>
        </w:rPr>
        <w:t>число</w:t>
      </w:r>
      <w:r>
        <w:rPr>
          <w:spacing w:val="-11"/>
          <w:sz w:val="24"/>
        </w:rPr>
        <w:t> </w:t>
      </w:r>
      <w:r>
        <w:rPr>
          <w:sz w:val="24"/>
        </w:rPr>
        <w:t>лимфоцитов</w:t>
      </w:r>
      <w:r>
        <w:rPr>
          <w:spacing w:val="-13"/>
          <w:sz w:val="24"/>
        </w:rPr>
        <w:t> </w:t>
      </w:r>
      <w:r>
        <w:rPr>
          <w:sz w:val="24"/>
        </w:rPr>
        <w:t>крови</w:t>
      </w:r>
      <w:r>
        <w:rPr>
          <w:spacing w:val="-10"/>
          <w:sz w:val="24"/>
        </w:rPr>
        <w:t> </w:t>
      </w:r>
      <w:r>
        <w:rPr>
          <w:sz w:val="24"/>
        </w:rPr>
        <w:t>&lt;</w:t>
      </w:r>
      <w:r>
        <w:rPr>
          <w:spacing w:val="-12"/>
          <w:sz w:val="24"/>
        </w:rPr>
        <w:t> </w:t>
      </w:r>
      <w:r>
        <w:rPr>
          <w:spacing w:val="-2"/>
          <w:sz w:val="24"/>
        </w:rPr>
        <w:t>1,0×10</w:t>
      </w:r>
      <w:r>
        <w:rPr>
          <w:spacing w:val="-2"/>
          <w:sz w:val="24"/>
          <w:vertAlign w:val="superscript"/>
        </w:rPr>
        <w:t>9</w:t>
      </w:r>
      <w:r>
        <w:rPr>
          <w:spacing w:val="-2"/>
          <w:sz w:val="24"/>
          <w:vertAlign w:val="baseline"/>
        </w:rPr>
        <w:t>/л;</w:t>
      </w:r>
    </w:p>
    <w:p>
      <w:pPr>
        <w:pStyle w:val="ListParagraph"/>
        <w:numPr>
          <w:ilvl w:val="0"/>
          <w:numId w:val="18"/>
        </w:numPr>
        <w:tabs>
          <w:tab w:pos="2122" w:val="left" w:leader="none"/>
        </w:tabs>
        <w:spacing w:line="240" w:lineRule="auto" w:before="41" w:after="0"/>
        <w:ind w:left="2122" w:right="0" w:hanging="281"/>
        <w:jc w:val="left"/>
        <w:rPr>
          <w:sz w:val="24"/>
        </w:rPr>
      </w:pPr>
      <w:r>
        <w:rPr>
          <w:sz w:val="24"/>
        </w:rPr>
        <w:t>уровень</w:t>
      </w:r>
      <w:r>
        <w:rPr>
          <w:spacing w:val="-7"/>
          <w:sz w:val="24"/>
        </w:rPr>
        <w:t> </w:t>
      </w:r>
      <w:r>
        <w:rPr>
          <w:sz w:val="24"/>
        </w:rPr>
        <w:t>ферритина*</w:t>
      </w:r>
      <w:r>
        <w:rPr>
          <w:spacing w:val="-8"/>
          <w:sz w:val="24"/>
        </w:rPr>
        <w:t> </w:t>
      </w:r>
      <w:r>
        <w:rPr>
          <w:sz w:val="24"/>
        </w:rPr>
        <w:t>сыворотки</w:t>
      </w:r>
      <w:r>
        <w:rPr>
          <w:spacing w:val="-7"/>
          <w:sz w:val="24"/>
        </w:rPr>
        <w:t> </w:t>
      </w:r>
      <w:r>
        <w:rPr>
          <w:sz w:val="24"/>
        </w:rPr>
        <w:t>крови</w:t>
      </w:r>
      <w:r>
        <w:rPr>
          <w:spacing w:val="-7"/>
          <w:sz w:val="24"/>
        </w:rPr>
        <w:t> </w:t>
      </w:r>
      <w:r>
        <w:rPr>
          <w:sz w:val="24"/>
        </w:rPr>
        <w:t>≥</w:t>
      </w:r>
      <w:r>
        <w:rPr>
          <w:spacing w:val="-7"/>
          <w:sz w:val="24"/>
        </w:rPr>
        <w:t> </w:t>
      </w:r>
      <w:r>
        <w:rPr>
          <w:sz w:val="24"/>
        </w:rPr>
        <w:t>2</w:t>
      </w:r>
      <w:r>
        <w:rPr>
          <w:spacing w:val="-8"/>
          <w:sz w:val="24"/>
        </w:rPr>
        <w:t> </w:t>
      </w:r>
      <w:r>
        <w:rPr>
          <w:sz w:val="24"/>
        </w:rPr>
        <w:t>норм</w:t>
      </w:r>
      <w:r>
        <w:rPr>
          <w:spacing w:val="-11"/>
          <w:sz w:val="24"/>
        </w:rPr>
        <w:t> </w:t>
      </w:r>
      <w:r>
        <w:rPr>
          <w:sz w:val="24"/>
        </w:rPr>
        <w:t>на</w:t>
      </w:r>
      <w:r>
        <w:rPr>
          <w:spacing w:val="-7"/>
          <w:sz w:val="24"/>
        </w:rPr>
        <w:t> </w:t>
      </w:r>
      <w:r>
        <w:rPr>
          <w:sz w:val="24"/>
        </w:rPr>
        <w:t>3-5</w:t>
      </w:r>
      <w:r>
        <w:rPr>
          <w:spacing w:val="-8"/>
          <w:sz w:val="24"/>
        </w:rPr>
        <w:t> </w:t>
      </w:r>
      <w:r>
        <w:rPr>
          <w:sz w:val="24"/>
        </w:rPr>
        <w:t>дни</w:t>
      </w:r>
      <w:r>
        <w:rPr>
          <w:spacing w:val="-7"/>
          <w:sz w:val="24"/>
        </w:rPr>
        <w:t> </w:t>
      </w:r>
      <w:r>
        <w:rPr>
          <w:spacing w:val="-2"/>
          <w:sz w:val="24"/>
        </w:rPr>
        <w:t>заболевания;</w:t>
      </w:r>
    </w:p>
    <w:p>
      <w:pPr>
        <w:pStyle w:val="ListParagraph"/>
        <w:numPr>
          <w:ilvl w:val="0"/>
          <w:numId w:val="18"/>
        </w:numPr>
        <w:tabs>
          <w:tab w:pos="2122" w:val="left" w:leader="none"/>
        </w:tabs>
        <w:spacing w:line="240" w:lineRule="auto" w:before="41" w:after="0"/>
        <w:ind w:left="2122" w:right="0" w:hanging="281"/>
        <w:jc w:val="left"/>
        <w:rPr>
          <w:sz w:val="24"/>
        </w:rPr>
      </w:pPr>
      <w:r>
        <w:rPr>
          <w:sz w:val="24"/>
        </w:rPr>
        <w:t>уровень</w:t>
      </w:r>
      <w:r>
        <w:rPr>
          <w:spacing w:val="-7"/>
          <w:sz w:val="24"/>
        </w:rPr>
        <w:t> </w:t>
      </w:r>
      <w:r>
        <w:rPr>
          <w:sz w:val="24"/>
        </w:rPr>
        <w:t>ЛДГ</w:t>
      </w:r>
      <w:r>
        <w:rPr>
          <w:spacing w:val="-7"/>
          <w:sz w:val="24"/>
        </w:rPr>
        <w:t> </w:t>
      </w:r>
      <w:r>
        <w:rPr>
          <w:sz w:val="24"/>
        </w:rPr>
        <w:t>сыворотки</w:t>
      </w:r>
      <w:r>
        <w:rPr>
          <w:spacing w:val="-6"/>
          <w:sz w:val="24"/>
        </w:rPr>
        <w:t> </w:t>
      </w:r>
      <w:r>
        <w:rPr>
          <w:sz w:val="24"/>
        </w:rPr>
        <w:t>крови≥</w:t>
      </w:r>
      <w:r>
        <w:rPr>
          <w:spacing w:val="-7"/>
          <w:sz w:val="24"/>
        </w:rPr>
        <w:t> </w:t>
      </w:r>
      <w:r>
        <w:rPr>
          <w:sz w:val="24"/>
        </w:rPr>
        <w:t>1,5</w:t>
      </w:r>
      <w:r>
        <w:rPr>
          <w:spacing w:val="-9"/>
          <w:sz w:val="24"/>
        </w:rPr>
        <w:t> </w:t>
      </w:r>
      <w:r>
        <w:rPr>
          <w:sz w:val="24"/>
        </w:rPr>
        <w:t>норм</w:t>
      </w:r>
      <w:r>
        <w:rPr>
          <w:spacing w:val="-7"/>
          <w:sz w:val="24"/>
        </w:rPr>
        <w:t> </w:t>
      </w:r>
      <w:r>
        <w:rPr>
          <w:sz w:val="24"/>
        </w:rPr>
        <w:t>на</w:t>
      </w:r>
      <w:r>
        <w:rPr>
          <w:spacing w:val="-7"/>
          <w:sz w:val="24"/>
        </w:rPr>
        <w:t> </w:t>
      </w:r>
      <w:r>
        <w:rPr>
          <w:sz w:val="24"/>
        </w:rPr>
        <w:t>3-5</w:t>
      </w:r>
      <w:r>
        <w:rPr>
          <w:spacing w:val="-7"/>
          <w:sz w:val="24"/>
        </w:rPr>
        <w:t> </w:t>
      </w:r>
      <w:r>
        <w:rPr>
          <w:sz w:val="24"/>
        </w:rPr>
        <w:t>дни</w:t>
      </w:r>
      <w:r>
        <w:rPr>
          <w:spacing w:val="-8"/>
          <w:sz w:val="24"/>
        </w:rPr>
        <w:t> </w:t>
      </w:r>
      <w:r>
        <w:rPr>
          <w:spacing w:val="-2"/>
          <w:sz w:val="24"/>
        </w:rPr>
        <w:t>заболевания;</w:t>
      </w:r>
    </w:p>
    <w:p>
      <w:pPr>
        <w:pStyle w:val="BodyText"/>
        <w:spacing w:before="215"/>
        <w:ind w:left="0"/>
        <w:jc w:val="left"/>
        <w:rPr>
          <w:sz w:val="20"/>
        </w:rPr>
      </w:pPr>
      <w:r>
        <w:rPr>
          <w:sz w:val="20"/>
        </w:rPr>
        <mc:AlternateContent>
          <mc:Choice Requires="wps">
            <w:drawing>
              <wp:anchor distT="0" distB="0" distL="0" distR="0" allowOverlap="1" layoutInCell="1" locked="0" behindDoc="1" simplePos="0" relativeHeight="487598080">
                <wp:simplePos x="0" y="0"/>
                <wp:positionH relativeFrom="page">
                  <wp:posOffset>1170736</wp:posOffset>
                </wp:positionH>
                <wp:positionV relativeFrom="paragraph">
                  <wp:posOffset>298412</wp:posOffset>
                </wp:positionV>
                <wp:extent cx="1829435" cy="9525"/>
                <wp:effectExtent l="0" t="0" r="0" b="0"/>
                <wp:wrapTopAndBottom/>
                <wp:docPr id="60" name="Graphic 60"/>
                <wp:cNvGraphicFramePr>
                  <a:graphicFrameLocks/>
                </wp:cNvGraphicFramePr>
                <a:graphic>
                  <a:graphicData uri="http://schemas.microsoft.com/office/word/2010/wordprocessingShape">
                    <wps:wsp>
                      <wps:cNvPr id="60" name="Graphic 60"/>
                      <wps:cNvSpPr/>
                      <wps:spPr>
                        <a:xfrm>
                          <a:off x="0" y="0"/>
                          <a:ext cx="1829435" cy="9525"/>
                        </a:xfrm>
                        <a:custGeom>
                          <a:avLst/>
                          <a:gdLst/>
                          <a:ahLst/>
                          <a:cxnLst/>
                          <a:rect l="l" t="t" r="r" b="b"/>
                          <a:pathLst>
                            <a:path w="1829435" h="9525">
                              <a:moveTo>
                                <a:pt x="1826234" y="1939"/>
                              </a:moveTo>
                              <a:lnTo>
                                <a:pt x="-1100" y="1939"/>
                              </a:lnTo>
                              <a:lnTo>
                                <a:pt x="-1100" y="11074"/>
                              </a:lnTo>
                              <a:lnTo>
                                <a:pt x="1826234" y="11074"/>
                              </a:lnTo>
                              <a:lnTo>
                                <a:pt x="1826234" y="193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23.649836pt;width:143.884618pt;height:.719293pt;mso-position-horizontal-relative:page;mso-position-vertical-relative:paragraph;z-index:-15718400;mso-wrap-distance-left:0;mso-wrap-distance-right:0" id="docshape49" filled="true" fillcolor="#000000" stroked="false">
                <v:fill type="solid"/>
                <w10:wrap type="topAndBottom"/>
              </v:rect>
            </w:pict>
          </mc:Fallback>
        </mc:AlternateContent>
      </w:r>
    </w:p>
    <w:p>
      <w:pPr>
        <w:pStyle w:val="BodyText"/>
        <w:ind w:left="0"/>
        <w:jc w:val="left"/>
        <w:rPr>
          <w:sz w:val="20"/>
        </w:rPr>
      </w:pPr>
    </w:p>
    <w:p>
      <w:pPr>
        <w:pStyle w:val="BodyText"/>
        <w:spacing w:before="193"/>
        <w:ind w:left="0"/>
        <w:jc w:val="left"/>
        <w:rPr>
          <w:sz w:val="20"/>
        </w:rPr>
      </w:pPr>
    </w:p>
    <w:p>
      <w:pPr>
        <w:spacing w:line="240" w:lineRule="auto" w:before="0"/>
        <w:ind w:left="1841" w:right="1277" w:firstLine="0"/>
        <w:jc w:val="both"/>
        <w:rPr>
          <w:sz w:val="20"/>
        </w:rPr>
      </w:pPr>
      <w:r>
        <w:rPr>
          <w:sz w:val="20"/>
        </w:rPr>
        <w:t>Примеры включают лечение онкологического заболевания, трансплантацию костного мозга или органов, иммунодефицит, ВИЧ-инфекция (при недостаточном контроле или при наличии СПИДа), серповидно-клеточную анемию, талассемию и длительное применение лекарственных препаратов, ослабляющих иммунитет. Наличие данных факторов является критерием для увеличения исходной степени тяжести течения заболевания.</w:t>
      </w:r>
    </w:p>
    <w:p>
      <w:pPr>
        <w:spacing w:after="0" w:line="240" w:lineRule="auto"/>
        <w:jc w:val="both"/>
        <w:rPr>
          <w:sz w:val="20"/>
        </w:rPr>
        <w:sectPr>
          <w:pgSz w:w="11900" w:h="16840"/>
          <w:pgMar w:header="0" w:footer="697" w:top="1080" w:bottom="880" w:left="0" w:right="0"/>
        </w:sectPr>
      </w:pPr>
    </w:p>
    <w:p>
      <w:pPr>
        <w:pStyle w:val="ListParagraph"/>
        <w:numPr>
          <w:ilvl w:val="0"/>
          <w:numId w:val="16"/>
        </w:numPr>
        <w:tabs>
          <w:tab w:pos="2072" w:val="left" w:leader="none"/>
        </w:tabs>
        <w:spacing w:line="276" w:lineRule="auto" w:before="73" w:after="0"/>
        <w:ind w:left="1841" w:right="1270" w:firstLine="0"/>
        <w:jc w:val="both"/>
        <w:rPr>
          <w:sz w:val="24"/>
        </w:rPr>
      </w:pPr>
      <w:bookmarkStart w:name="47" w:id="60"/>
      <w:bookmarkEnd w:id="60"/>
      <w:r>
        <w:rPr/>
      </w:r>
      <w:r>
        <w:rPr>
          <w:sz w:val="24"/>
        </w:rPr>
        <w:t>рекомендуется назначение антагонистов рецепторов ИЛ-6 (тоцилизумаба или левилимаба) или блокаторов ИЛ-1 (анакинры), или блокатора ИЛ-6 (олокизумаба) внутривенно.</w:t>
      </w:r>
      <w:r>
        <w:rPr>
          <w:spacing w:val="40"/>
          <w:sz w:val="24"/>
        </w:rPr>
        <w:t> </w:t>
      </w:r>
      <w:r>
        <w:rPr>
          <w:sz w:val="24"/>
        </w:rPr>
        <w:t>(</w:t>
      </w:r>
      <w:r>
        <w:rPr>
          <w:color w:val="0462C1"/>
          <w:sz w:val="24"/>
          <w:u w:val="single" w:color="0462C1"/>
        </w:rPr>
        <w:t>Приложение 8-2</w:t>
      </w:r>
      <w:r>
        <w:rPr>
          <w:sz w:val="24"/>
        </w:rPr>
        <w:t>). Терапия ранее назначенными ингибиторами янус- киназ может быть продолжена. При недостатоном ответе на ГИБТ возможно назанчение в комбинации с препаратами группы блокаторов янус-киназ</w:t>
      </w:r>
    </w:p>
    <w:p>
      <w:pPr>
        <w:spacing w:before="0"/>
        <w:ind w:left="2268" w:right="0" w:firstLine="0"/>
        <w:jc w:val="left"/>
        <w:rPr>
          <w:b/>
          <w:i/>
          <w:sz w:val="20"/>
        </w:rPr>
      </w:pPr>
      <w:r>
        <w:rPr>
          <w:b/>
          <w:i/>
          <w:sz w:val="20"/>
        </w:rPr>
        <w:t>*</w:t>
      </w:r>
      <w:r>
        <w:rPr>
          <w:b/>
          <w:i/>
          <w:spacing w:val="-7"/>
          <w:sz w:val="20"/>
        </w:rPr>
        <w:t> </w:t>
      </w:r>
      <w:r>
        <w:rPr>
          <w:b/>
          <w:i/>
          <w:sz w:val="20"/>
        </w:rPr>
        <w:t>Уровень</w:t>
      </w:r>
      <w:r>
        <w:rPr>
          <w:b/>
          <w:i/>
          <w:spacing w:val="-7"/>
          <w:sz w:val="20"/>
        </w:rPr>
        <w:t> </w:t>
      </w:r>
      <w:r>
        <w:rPr>
          <w:b/>
          <w:i/>
          <w:sz w:val="20"/>
        </w:rPr>
        <w:t>ферритина</w:t>
      </w:r>
      <w:r>
        <w:rPr>
          <w:b/>
          <w:i/>
          <w:spacing w:val="-8"/>
          <w:sz w:val="20"/>
        </w:rPr>
        <w:t> </w:t>
      </w:r>
      <w:r>
        <w:rPr>
          <w:b/>
          <w:i/>
          <w:sz w:val="20"/>
        </w:rPr>
        <w:t>определяется</w:t>
      </w:r>
      <w:r>
        <w:rPr>
          <w:b/>
          <w:i/>
          <w:spacing w:val="-7"/>
          <w:sz w:val="20"/>
        </w:rPr>
        <w:t> </w:t>
      </w:r>
      <w:r>
        <w:rPr>
          <w:b/>
          <w:i/>
          <w:sz w:val="20"/>
        </w:rPr>
        <w:t>при</w:t>
      </w:r>
      <w:r>
        <w:rPr>
          <w:b/>
          <w:i/>
          <w:spacing w:val="-8"/>
          <w:sz w:val="20"/>
        </w:rPr>
        <w:t> </w:t>
      </w:r>
      <w:r>
        <w:rPr>
          <w:b/>
          <w:i/>
          <w:sz w:val="20"/>
        </w:rPr>
        <w:t>доступности</w:t>
      </w:r>
      <w:r>
        <w:rPr>
          <w:b/>
          <w:i/>
          <w:spacing w:val="-9"/>
          <w:sz w:val="20"/>
        </w:rPr>
        <w:t> </w:t>
      </w:r>
      <w:r>
        <w:rPr>
          <w:b/>
          <w:i/>
          <w:spacing w:val="-2"/>
          <w:sz w:val="20"/>
        </w:rPr>
        <w:t>исследований.</w:t>
      </w:r>
    </w:p>
    <w:p>
      <w:pPr>
        <w:pStyle w:val="BodyText"/>
        <w:spacing w:before="68"/>
        <w:ind w:left="0"/>
        <w:jc w:val="left"/>
        <w:rPr>
          <w:b/>
          <w:i/>
          <w:sz w:val="20"/>
        </w:rPr>
      </w:pPr>
    </w:p>
    <w:p>
      <w:pPr>
        <w:pStyle w:val="BodyText"/>
        <w:tabs>
          <w:tab w:pos="4140" w:val="left" w:leader="none"/>
          <w:tab w:pos="5582" w:val="left" w:leader="none"/>
          <w:tab w:pos="5920" w:val="left" w:leader="none"/>
          <w:tab w:pos="6591" w:val="left" w:leader="none"/>
          <w:tab w:pos="7141" w:val="left" w:leader="none"/>
          <w:tab w:pos="7900" w:val="left" w:leader="none"/>
          <w:tab w:pos="9439" w:val="left" w:leader="none"/>
        </w:tabs>
        <w:spacing w:line="276" w:lineRule="auto"/>
        <w:ind w:right="1271" w:firstLine="707"/>
        <w:jc w:val="left"/>
      </w:pPr>
      <w:r>
        <w:rPr>
          <w:spacing w:val="-2"/>
        </w:rPr>
        <w:t>Тоцилизумаб</w:t>
      </w:r>
      <w:r>
        <w:rPr/>
        <w:tab/>
      </w:r>
      <w:r>
        <w:rPr>
          <w:spacing w:val="-2"/>
        </w:rPr>
        <w:t>назначается</w:t>
      </w:r>
      <w:r>
        <w:rPr/>
        <w:tab/>
      </w:r>
      <w:r>
        <w:rPr>
          <w:spacing w:val="-10"/>
        </w:rPr>
        <w:t>в</w:t>
      </w:r>
      <w:r>
        <w:rPr/>
        <w:tab/>
      </w:r>
      <w:r>
        <w:rPr>
          <w:spacing w:val="-4"/>
        </w:rPr>
        <w:t>дозе</w:t>
      </w:r>
      <w:r>
        <w:rPr/>
        <w:tab/>
      </w:r>
      <w:r>
        <w:rPr>
          <w:spacing w:val="-4"/>
        </w:rPr>
        <w:t>4‑8</w:t>
      </w:r>
      <w:r>
        <w:rPr/>
        <w:tab/>
      </w:r>
      <w:r>
        <w:rPr>
          <w:spacing w:val="-2"/>
        </w:rPr>
        <w:t>мг/кг</w:t>
      </w:r>
      <w:r>
        <w:rPr/>
        <w:tab/>
      </w:r>
      <w:r>
        <w:rPr>
          <w:spacing w:val="-2"/>
        </w:rPr>
        <w:t>внутривенно</w:t>
      </w:r>
      <w:r>
        <w:rPr/>
        <w:tab/>
      </w:r>
      <w:r>
        <w:rPr>
          <w:spacing w:val="-2"/>
        </w:rPr>
        <w:t>однократно </w:t>
      </w:r>
      <w:r>
        <w:rPr/>
        <w:t>(доза препарата рассчитывается на массу тела).</w:t>
      </w:r>
    </w:p>
    <w:p>
      <w:pPr>
        <w:pStyle w:val="BodyText"/>
        <w:spacing w:line="276" w:lineRule="auto"/>
        <w:ind w:right="1283" w:firstLine="707"/>
        <w:jc w:val="left"/>
      </w:pPr>
      <w:r>
        <w:rPr/>
        <w:t>Повторное</w:t>
      </w:r>
      <w:r>
        <w:rPr>
          <w:spacing w:val="40"/>
        </w:rPr>
        <w:t> </w:t>
      </w:r>
      <w:r>
        <w:rPr/>
        <w:t>введение</w:t>
      </w:r>
      <w:r>
        <w:rPr>
          <w:spacing w:val="40"/>
        </w:rPr>
        <w:t> </w:t>
      </w:r>
      <w:r>
        <w:rPr/>
        <w:t>тоцилизумаба</w:t>
      </w:r>
      <w:r>
        <w:rPr>
          <w:spacing w:val="40"/>
        </w:rPr>
        <w:t> </w:t>
      </w:r>
      <w:r>
        <w:rPr/>
        <w:t>возможно</w:t>
      </w:r>
      <w:r>
        <w:rPr>
          <w:spacing w:val="40"/>
        </w:rPr>
        <w:t> </w:t>
      </w:r>
      <w:r>
        <w:rPr/>
        <w:t>при</w:t>
      </w:r>
      <w:r>
        <w:rPr>
          <w:spacing w:val="40"/>
        </w:rPr>
        <w:t> </w:t>
      </w:r>
      <w:r>
        <w:rPr/>
        <w:t>сохранении</w:t>
      </w:r>
      <w:r>
        <w:rPr>
          <w:spacing w:val="40"/>
        </w:rPr>
        <w:t> </w:t>
      </w:r>
      <w:r>
        <w:rPr/>
        <w:t>фебрильной лихорадки более 12 ч после первой инфузии.</w:t>
      </w:r>
    </w:p>
    <w:p>
      <w:pPr>
        <w:pStyle w:val="Heading3"/>
        <w:jc w:val="left"/>
      </w:pPr>
      <w:r>
        <w:rPr>
          <w:spacing w:val="-2"/>
        </w:rPr>
        <w:t>Анакинра</w:t>
      </w:r>
    </w:p>
    <w:p>
      <w:pPr>
        <w:pStyle w:val="BodyText"/>
        <w:spacing w:line="276" w:lineRule="auto" w:before="40"/>
        <w:ind w:right="1272" w:firstLine="707"/>
      </w:pPr>
      <w:r>
        <w:rPr/>
        <w:t>При легком течении заболевания у пациентов с высоким индексом коморбидности, факторами риска неблагоприятного прогноза по прогрессированию COVID-19</w:t>
      </w:r>
      <w:r>
        <w:rPr>
          <w:spacing w:val="80"/>
          <w:w w:val="150"/>
        </w:rPr>
        <w:t> </w:t>
      </w:r>
      <w:r>
        <w:rPr/>
        <w:t>в</w:t>
      </w:r>
      <w:r>
        <w:rPr>
          <w:spacing w:val="80"/>
          <w:w w:val="150"/>
        </w:rPr>
        <w:t> </w:t>
      </w:r>
      <w:r>
        <w:rPr/>
        <w:t>качестве</w:t>
      </w:r>
      <w:r>
        <w:rPr>
          <w:spacing w:val="80"/>
          <w:w w:val="150"/>
        </w:rPr>
        <w:t> </w:t>
      </w:r>
      <w:r>
        <w:rPr/>
        <w:t>максимально</w:t>
      </w:r>
      <w:r>
        <w:rPr>
          <w:spacing w:val="80"/>
          <w:w w:val="150"/>
        </w:rPr>
        <w:t> </w:t>
      </w:r>
      <w:r>
        <w:rPr/>
        <w:t>ранней</w:t>
      </w:r>
      <w:r>
        <w:rPr>
          <w:spacing w:val="80"/>
          <w:w w:val="150"/>
        </w:rPr>
        <w:t> </w:t>
      </w:r>
      <w:r>
        <w:rPr/>
        <w:t>упреждающей</w:t>
      </w:r>
      <w:r>
        <w:rPr>
          <w:spacing w:val="80"/>
          <w:w w:val="150"/>
        </w:rPr>
        <w:t> </w:t>
      </w:r>
      <w:r>
        <w:rPr/>
        <w:t>терапии,</w:t>
      </w:r>
      <w:r>
        <w:rPr>
          <w:spacing w:val="80"/>
          <w:w w:val="150"/>
        </w:rPr>
        <w:t> </w:t>
      </w:r>
      <w:r>
        <w:rPr/>
        <w:t>например, в условиях дневного стационара:</w:t>
      </w:r>
    </w:p>
    <w:p>
      <w:pPr>
        <w:pStyle w:val="BodyText"/>
        <w:spacing w:line="275" w:lineRule="exact"/>
        <w:ind w:left="2549"/>
      </w:pPr>
      <w:r>
        <w:rPr/>
        <w:t>200</w:t>
      </w:r>
      <w:r>
        <w:rPr>
          <w:spacing w:val="-9"/>
        </w:rPr>
        <w:t> </w:t>
      </w:r>
      <w:r>
        <w:rPr/>
        <w:t>мг</w:t>
      </w:r>
      <w:r>
        <w:rPr>
          <w:spacing w:val="-9"/>
        </w:rPr>
        <w:t> </w:t>
      </w:r>
      <w:r>
        <w:rPr/>
        <w:t>подкожно</w:t>
      </w:r>
      <w:r>
        <w:rPr>
          <w:spacing w:val="-6"/>
        </w:rPr>
        <w:t> </w:t>
      </w:r>
      <w:r>
        <w:rPr/>
        <w:t>-</w:t>
      </w:r>
      <w:r>
        <w:rPr>
          <w:spacing w:val="-9"/>
        </w:rPr>
        <w:t> </w:t>
      </w:r>
      <w:r>
        <w:rPr/>
        <w:t>однократное</w:t>
      </w:r>
      <w:r>
        <w:rPr>
          <w:spacing w:val="-9"/>
        </w:rPr>
        <w:t> </w:t>
      </w:r>
      <w:r>
        <w:rPr>
          <w:spacing w:val="-2"/>
        </w:rPr>
        <w:t>введение</w:t>
      </w:r>
    </w:p>
    <w:p>
      <w:pPr>
        <w:pStyle w:val="BodyText"/>
        <w:spacing w:line="276" w:lineRule="auto" w:before="41"/>
        <w:ind w:right="1280" w:firstLine="707"/>
      </w:pPr>
      <w:r>
        <w:rPr/>
        <w:t>или</w:t>
      </w:r>
      <w:r>
        <w:rPr>
          <w:spacing w:val="40"/>
        </w:rPr>
        <w:t> </w:t>
      </w:r>
      <w:r>
        <w:rPr/>
        <w:t>200</w:t>
      </w:r>
      <w:r>
        <w:rPr>
          <w:spacing w:val="40"/>
        </w:rPr>
        <w:t> </w:t>
      </w:r>
      <w:r>
        <w:rPr/>
        <w:t>мг</w:t>
      </w:r>
      <w:r>
        <w:rPr>
          <w:spacing w:val="40"/>
        </w:rPr>
        <w:t> </w:t>
      </w:r>
      <w:r>
        <w:rPr/>
        <w:t>каждые</w:t>
      </w:r>
      <w:r>
        <w:rPr>
          <w:spacing w:val="40"/>
        </w:rPr>
        <w:t> </w:t>
      </w:r>
      <w:r>
        <w:rPr/>
        <w:t>12</w:t>
      </w:r>
      <w:r>
        <w:rPr>
          <w:spacing w:val="40"/>
        </w:rPr>
        <w:t> </w:t>
      </w:r>
      <w:r>
        <w:rPr/>
        <w:t>часов</w:t>
      </w:r>
      <w:r>
        <w:rPr>
          <w:spacing w:val="40"/>
        </w:rPr>
        <w:t> </w:t>
      </w:r>
      <w:r>
        <w:rPr/>
        <w:t>внутривенно</w:t>
      </w:r>
      <w:r>
        <w:rPr>
          <w:spacing w:val="40"/>
        </w:rPr>
        <w:t> </w:t>
      </w:r>
      <w:r>
        <w:rPr/>
        <w:t>или</w:t>
      </w:r>
      <w:r>
        <w:rPr>
          <w:spacing w:val="40"/>
        </w:rPr>
        <w:t> </w:t>
      </w:r>
      <w:r>
        <w:rPr/>
        <w:t>подкожно</w:t>
      </w:r>
      <w:r>
        <w:rPr>
          <w:spacing w:val="40"/>
        </w:rPr>
        <w:t> </w:t>
      </w:r>
      <w:r>
        <w:rPr/>
        <w:t>(суммарная</w:t>
      </w:r>
      <w:r>
        <w:rPr>
          <w:spacing w:val="40"/>
        </w:rPr>
        <w:t> </w:t>
      </w:r>
      <w:r>
        <w:rPr/>
        <w:t>доза 400 мг/сутки) в течение одного дня</w:t>
      </w:r>
    </w:p>
    <w:p>
      <w:pPr>
        <w:pStyle w:val="BodyText"/>
        <w:spacing w:line="274" w:lineRule="exact"/>
        <w:ind w:left="2549"/>
      </w:pPr>
      <w:r>
        <w:rPr/>
        <w:t>или</w:t>
      </w:r>
      <w:r>
        <w:rPr>
          <w:spacing w:val="-6"/>
        </w:rPr>
        <w:t> </w:t>
      </w:r>
      <w:r>
        <w:rPr/>
        <w:t>100</w:t>
      </w:r>
      <w:r>
        <w:rPr>
          <w:spacing w:val="-7"/>
        </w:rPr>
        <w:t> </w:t>
      </w:r>
      <w:r>
        <w:rPr/>
        <w:t>мг</w:t>
      </w:r>
      <w:r>
        <w:rPr>
          <w:spacing w:val="-7"/>
        </w:rPr>
        <w:t> </w:t>
      </w:r>
      <w:r>
        <w:rPr/>
        <w:t>1</w:t>
      </w:r>
      <w:r>
        <w:rPr>
          <w:spacing w:val="-7"/>
        </w:rPr>
        <w:t> </w:t>
      </w:r>
      <w:r>
        <w:rPr/>
        <w:t>раз</w:t>
      </w:r>
      <w:r>
        <w:rPr>
          <w:spacing w:val="-6"/>
        </w:rPr>
        <w:t> </w:t>
      </w:r>
      <w:r>
        <w:rPr/>
        <w:t>в</w:t>
      </w:r>
      <w:r>
        <w:rPr>
          <w:spacing w:val="-7"/>
        </w:rPr>
        <w:t> </w:t>
      </w:r>
      <w:r>
        <w:rPr/>
        <w:t>сутки</w:t>
      </w:r>
      <w:r>
        <w:rPr>
          <w:spacing w:val="-7"/>
        </w:rPr>
        <w:t> </w:t>
      </w:r>
      <w:r>
        <w:rPr/>
        <w:t>внутривенно</w:t>
      </w:r>
      <w:r>
        <w:rPr>
          <w:spacing w:val="-7"/>
        </w:rPr>
        <w:t> </w:t>
      </w:r>
      <w:r>
        <w:rPr/>
        <w:t>или</w:t>
      </w:r>
      <w:r>
        <w:rPr>
          <w:spacing w:val="-6"/>
        </w:rPr>
        <w:t> </w:t>
      </w:r>
      <w:r>
        <w:rPr/>
        <w:t>подкожно</w:t>
      </w:r>
      <w:r>
        <w:rPr>
          <w:spacing w:val="-7"/>
        </w:rPr>
        <w:t> </w:t>
      </w:r>
      <w:r>
        <w:rPr/>
        <w:t>5-7</w:t>
      </w:r>
      <w:r>
        <w:rPr>
          <w:spacing w:val="-7"/>
        </w:rPr>
        <w:t> </w:t>
      </w:r>
      <w:r>
        <w:rPr>
          <w:spacing w:val="-2"/>
        </w:rPr>
        <w:t>дней.</w:t>
      </w:r>
    </w:p>
    <w:p>
      <w:pPr>
        <w:pStyle w:val="BodyText"/>
        <w:spacing w:line="276" w:lineRule="auto" w:before="42"/>
        <w:ind w:right="1273" w:firstLine="707"/>
      </w:pPr>
      <w:r>
        <w:rPr/>
        <w:t>При</w:t>
      </w:r>
      <w:r>
        <w:rPr>
          <w:spacing w:val="-3"/>
        </w:rPr>
        <w:t> </w:t>
      </w:r>
      <w:r>
        <w:rPr/>
        <w:t>среднетяжелой</w:t>
      </w:r>
      <w:r>
        <w:rPr>
          <w:spacing w:val="-2"/>
        </w:rPr>
        <w:t> </w:t>
      </w:r>
      <w:r>
        <w:rPr/>
        <w:t>форме</w:t>
      </w:r>
      <w:r>
        <w:rPr>
          <w:spacing w:val="-3"/>
        </w:rPr>
        <w:t> </w:t>
      </w:r>
      <w:r>
        <w:rPr/>
        <w:t>COVID-19</w:t>
      </w:r>
      <w:r>
        <w:rPr>
          <w:spacing w:val="-3"/>
        </w:rPr>
        <w:t> </w:t>
      </w:r>
      <w:r>
        <w:rPr/>
        <w:t>анакинра</w:t>
      </w:r>
      <w:r>
        <w:rPr>
          <w:spacing w:val="-3"/>
        </w:rPr>
        <w:t> </w:t>
      </w:r>
      <w:r>
        <w:rPr/>
        <w:t>назначается с</w:t>
      </w:r>
      <w:r>
        <w:rPr>
          <w:spacing w:val="-3"/>
        </w:rPr>
        <w:t> </w:t>
      </w:r>
      <w:r>
        <w:rPr/>
        <w:t>использованием гибкого дозирования согласно следующим возможным схемам:</w:t>
      </w:r>
    </w:p>
    <w:p>
      <w:pPr>
        <w:pStyle w:val="Heading3"/>
        <w:spacing w:line="274" w:lineRule="exact"/>
      </w:pPr>
      <w:r>
        <w:rPr/>
        <w:t>Курс</w:t>
      </w:r>
      <w:r>
        <w:rPr>
          <w:spacing w:val="-12"/>
        </w:rPr>
        <w:t> </w:t>
      </w:r>
      <w:r>
        <w:rPr/>
        <w:t>5</w:t>
      </w:r>
      <w:r>
        <w:rPr>
          <w:spacing w:val="-11"/>
        </w:rPr>
        <w:t> </w:t>
      </w:r>
      <w:r>
        <w:rPr/>
        <w:t>дней</w:t>
      </w:r>
      <w:r>
        <w:rPr>
          <w:spacing w:val="-10"/>
        </w:rPr>
        <w:t> </w:t>
      </w:r>
      <w:r>
        <w:rPr/>
        <w:t>(внутривенное</w:t>
      </w:r>
      <w:r>
        <w:rPr>
          <w:spacing w:val="-11"/>
        </w:rPr>
        <w:t> </w:t>
      </w:r>
      <w:r>
        <w:rPr>
          <w:spacing w:val="-2"/>
        </w:rPr>
        <w:t>введение):</w:t>
      </w:r>
    </w:p>
    <w:p>
      <w:pPr>
        <w:pStyle w:val="BodyText"/>
        <w:tabs>
          <w:tab w:pos="3126" w:val="left" w:leader="none"/>
        </w:tabs>
        <w:spacing w:before="41"/>
        <w:ind w:left="2767"/>
        <w:jc w:val="left"/>
      </w:pPr>
      <w:r>
        <w:rPr>
          <w:spacing w:val="-10"/>
        </w:rPr>
        <w:t>−</w:t>
      </w:r>
      <w:r>
        <w:rPr/>
        <w:tab/>
        <w:t>200</w:t>
      </w:r>
      <w:r>
        <w:rPr>
          <w:spacing w:val="-7"/>
        </w:rPr>
        <w:t> </w:t>
      </w:r>
      <w:r>
        <w:rPr/>
        <w:t>мг</w:t>
      </w:r>
      <w:r>
        <w:rPr>
          <w:spacing w:val="-6"/>
        </w:rPr>
        <w:t> </w:t>
      </w:r>
      <w:r>
        <w:rPr/>
        <w:t>каждые</w:t>
      </w:r>
      <w:r>
        <w:rPr>
          <w:spacing w:val="-8"/>
        </w:rPr>
        <w:t> </w:t>
      </w:r>
      <w:r>
        <w:rPr/>
        <w:t>12</w:t>
      </w:r>
      <w:r>
        <w:rPr>
          <w:spacing w:val="-6"/>
        </w:rPr>
        <w:t> </w:t>
      </w:r>
      <w:r>
        <w:rPr/>
        <w:t>часов</w:t>
      </w:r>
      <w:r>
        <w:rPr>
          <w:spacing w:val="-5"/>
        </w:rPr>
        <w:t> </w:t>
      </w:r>
      <w:r>
        <w:rPr/>
        <w:t>(суммарная</w:t>
      </w:r>
      <w:r>
        <w:rPr>
          <w:spacing w:val="-6"/>
        </w:rPr>
        <w:t> </w:t>
      </w:r>
      <w:r>
        <w:rPr/>
        <w:t>доза</w:t>
      </w:r>
      <w:r>
        <w:rPr>
          <w:spacing w:val="-6"/>
        </w:rPr>
        <w:t> </w:t>
      </w:r>
      <w:r>
        <w:rPr/>
        <w:t>400</w:t>
      </w:r>
      <w:r>
        <w:rPr>
          <w:spacing w:val="-7"/>
        </w:rPr>
        <w:t> </w:t>
      </w:r>
      <w:r>
        <w:rPr/>
        <w:t>мг/сутки)</w:t>
      </w:r>
      <w:r>
        <w:rPr>
          <w:spacing w:val="-3"/>
        </w:rPr>
        <w:t> </w:t>
      </w:r>
      <w:r>
        <w:rPr/>
        <w:t>–</w:t>
      </w:r>
      <w:r>
        <w:rPr>
          <w:spacing w:val="-7"/>
        </w:rPr>
        <w:t> </w:t>
      </w:r>
      <w:r>
        <w:rPr/>
        <w:t>в</w:t>
      </w:r>
      <w:r>
        <w:rPr>
          <w:spacing w:val="-6"/>
        </w:rPr>
        <w:t> </w:t>
      </w:r>
      <w:r>
        <w:rPr/>
        <w:t>1-3</w:t>
      </w:r>
      <w:r>
        <w:rPr>
          <w:spacing w:val="-7"/>
        </w:rPr>
        <w:t> </w:t>
      </w:r>
      <w:r>
        <w:rPr>
          <w:spacing w:val="-4"/>
        </w:rPr>
        <w:t>дни;</w:t>
      </w:r>
    </w:p>
    <w:p>
      <w:pPr>
        <w:pStyle w:val="BodyText"/>
        <w:tabs>
          <w:tab w:pos="3126" w:val="left" w:leader="none"/>
        </w:tabs>
        <w:spacing w:before="43"/>
        <w:ind w:left="2767"/>
        <w:jc w:val="left"/>
      </w:pPr>
      <w:r>
        <w:rPr>
          <w:spacing w:val="-10"/>
        </w:rPr>
        <w:t>−</w:t>
      </w:r>
      <w:r>
        <w:rPr/>
        <w:tab/>
        <w:t>100</w:t>
      </w:r>
      <w:r>
        <w:rPr>
          <w:spacing w:val="-7"/>
        </w:rPr>
        <w:t> </w:t>
      </w:r>
      <w:r>
        <w:rPr/>
        <w:t>мг</w:t>
      </w:r>
      <w:r>
        <w:rPr>
          <w:spacing w:val="-6"/>
        </w:rPr>
        <w:t> </w:t>
      </w:r>
      <w:r>
        <w:rPr/>
        <w:t>каждые</w:t>
      </w:r>
      <w:r>
        <w:rPr>
          <w:spacing w:val="-8"/>
        </w:rPr>
        <w:t> </w:t>
      </w:r>
      <w:r>
        <w:rPr/>
        <w:t>12</w:t>
      </w:r>
      <w:r>
        <w:rPr>
          <w:spacing w:val="-6"/>
        </w:rPr>
        <w:t> </w:t>
      </w:r>
      <w:r>
        <w:rPr/>
        <w:t>часов</w:t>
      </w:r>
      <w:r>
        <w:rPr>
          <w:spacing w:val="-5"/>
        </w:rPr>
        <w:t> </w:t>
      </w:r>
      <w:r>
        <w:rPr/>
        <w:t>(суммарная</w:t>
      </w:r>
      <w:r>
        <w:rPr>
          <w:spacing w:val="-6"/>
        </w:rPr>
        <w:t> </w:t>
      </w:r>
      <w:r>
        <w:rPr/>
        <w:t>доза</w:t>
      </w:r>
      <w:r>
        <w:rPr>
          <w:spacing w:val="-6"/>
        </w:rPr>
        <w:t> </w:t>
      </w:r>
      <w:r>
        <w:rPr/>
        <w:t>200</w:t>
      </w:r>
      <w:r>
        <w:rPr>
          <w:spacing w:val="-7"/>
        </w:rPr>
        <w:t> </w:t>
      </w:r>
      <w:r>
        <w:rPr/>
        <w:t>мг/сутки)</w:t>
      </w:r>
      <w:r>
        <w:rPr>
          <w:spacing w:val="-4"/>
        </w:rPr>
        <w:t> </w:t>
      </w:r>
      <w:r>
        <w:rPr/>
        <w:t>–</w:t>
      </w:r>
      <w:r>
        <w:rPr>
          <w:spacing w:val="-6"/>
        </w:rPr>
        <w:t> </w:t>
      </w:r>
      <w:r>
        <w:rPr/>
        <w:t>4</w:t>
      </w:r>
      <w:r>
        <w:rPr>
          <w:spacing w:val="-6"/>
        </w:rPr>
        <w:t> </w:t>
      </w:r>
      <w:r>
        <w:rPr>
          <w:spacing w:val="-2"/>
        </w:rPr>
        <w:t>день;</w:t>
      </w:r>
    </w:p>
    <w:p>
      <w:pPr>
        <w:pStyle w:val="BodyText"/>
        <w:tabs>
          <w:tab w:pos="3126" w:val="left" w:leader="none"/>
        </w:tabs>
        <w:spacing w:before="41"/>
        <w:ind w:left="2767"/>
        <w:jc w:val="left"/>
      </w:pPr>
      <w:r>
        <w:rPr>
          <w:spacing w:val="-10"/>
        </w:rPr>
        <w:t>−</w:t>
      </w:r>
      <w:r>
        <w:rPr/>
        <w:tab/>
        <w:t>100</w:t>
      </w:r>
      <w:r>
        <w:rPr>
          <w:spacing w:val="-7"/>
        </w:rPr>
        <w:t> </w:t>
      </w:r>
      <w:r>
        <w:rPr/>
        <w:t>мг</w:t>
      </w:r>
      <w:r>
        <w:rPr>
          <w:spacing w:val="-6"/>
        </w:rPr>
        <w:t> </w:t>
      </w:r>
      <w:r>
        <w:rPr/>
        <w:t>однократно</w:t>
      </w:r>
      <w:r>
        <w:rPr>
          <w:spacing w:val="-8"/>
        </w:rPr>
        <w:t> </w:t>
      </w:r>
      <w:r>
        <w:rPr/>
        <w:t>на</w:t>
      </w:r>
      <w:r>
        <w:rPr>
          <w:spacing w:val="-6"/>
        </w:rPr>
        <w:t> </w:t>
      </w:r>
      <w:r>
        <w:rPr/>
        <w:t>5</w:t>
      </w:r>
      <w:r>
        <w:rPr>
          <w:spacing w:val="-6"/>
        </w:rPr>
        <w:t> </w:t>
      </w:r>
      <w:r>
        <w:rPr>
          <w:spacing w:val="-2"/>
        </w:rPr>
        <w:t>день.</w:t>
      </w:r>
    </w:p>
    <w:p>
      <w:pPr>
        <w:spacing w:line="276" w:lineRule="auto" w:before="40"/>
        <w:ind w:left="1841" w:right="1275" w:firstLine="707"/>
        <w:jc w:val="both"/>
        <w:rPr>
          <w:i/>
          <w:sz w:val="24"/>
        </w:rPr>
      </w:pPr>
      <w:r>
        <w:rPr>
          <w:i/>
          <w:sz w:val="24"/>
        </w:rPr>
        <w:t>При неэффективности терапии в течение первых 3-х дней, допустимо переключение</w:t>
      </w:r>
      <w:r>
        <w:rPr>
          <w:i/>
          <w:spacing w:val="-13"/>
          <w:sz w:val="24"/>
        </w:rPr>
        <w:t> </w:t>
      </w:r>
      <w:r>
        <w:rPr>
          <w:i/>
          <w:sz w:val="24"/>
        </w:rPr>
        <w:t>на</w:t>
      </w:r>
      <w:r>
        <w:rPr>
          <w:i/>
          <w:spacing w:val="-13"/>
          <w:sz w:val="24"/>
        </w:rPr>
        <w:t> </w:t>
      </w:r>
      <w:r>
        <w:rPr>
          <w:i/>
          <w:sz w:val="24"/>
        </w:rPr>
        <w:t>ингибитор</w:t>
      </w:r>
      <w:r>
        <w:rPr>
          <w:i/>
          <w:spacing w:val="-13"/>
          <w:sz w:val="24"/>
        </w:rPr>
        <w:t> </w:t>
      </w:r>
      <w:r>
        <w:rPr>
          <w:i/>
          <w:sz w:val="24"/>
        </w:rPr>
        <w:t>ИЛ-6</w:t>
      </w:r>
      <w:r>
        <w:rPr>
          <w:i/>
          <w:spacing w:val="-10"/>
          <w:sz w:val="24"/>
        </w:rPr>
        <w:t> </w:t>
      </w:r>
      <w:r>
        <w:rPr>
          <w:i/>
          <w:sz w:val="24"/>
        </w:rPr>
        <w:t>(внутривенное</w:t>
      </w:r>
      <w:r>
        <w:rPr>
          <w:i/>
          <w:spacing w:val="-14"/>
          <w:sz w:val="24"/>
        </w:rPr>
        <w:t> </w:t>
      </w:r>
      <w:r>
        <w:rPr>
          <w:i/>
          <w:sz w:val="24"/>
        </w:rPr>
        <w:t>введение)</w:t>
      </w:r>
      <w:r>
        <w:rPr>
          <w:i/>
          <w:spacing w:val="-11"/>
          <w:sz w:val="24"/>
        </w:rPr>
        <w:t> </w:t>
      </w:r>
      <w:r>
        <w:rPr>
          <w:i/>
          <w:sz w:val="24"/>
        </w:rPr>
        <w:t>или</w:t>
      </w:r>
      <w:r>
        <w:rPr>
          <w:i/>
          <w:spacing w:val="-13"/>
          <w:sz w:val="24"/>
        </w:rPr>
        <w:t> </w:t>
      </w:r>
      <w:r>
        <w:rPr>
          <w:i/>
          <w:sz w:val="24"/>
        </w:rPr>
        <w:t>продолжить</w:t>
      </w:r>
      <w:r>
        <w:rPr>
          <w:i/>
          <w:spacing w:val="-12"/>
          <w:sz w:val="24"/>
        </w:rPr>
        <w:t> </w:t>
      </w:r>
      <w:r>
        <w:rPr>
          <w:i/>
          <w:sz w:val="24"/>
        </w:rPr>
        <w:t>терапию до 5 дней.</w:t>
      </w:r>
    </w:p>
    <w:p>
      <w:pPr>
        <w:spacing w:line="276" w:lineRule="auto" w:before="0"/>
        <w:ind w:left="1841" w:right="1276" w:firstLine="707"/>
        <w:jc w:val="both"/>
        <w:rPr>
          <w:i/>
          <w:sz w:val="24"/>
        </w:rPr>
      </w:pPr>
      <w:r>
        <w:rPr>
          <w:i/>
          <w:sz w:val="24"/>
        </w:rPr>
        <w:t>При достижении досрочного положительного эффекта возможно сокращение длительности курса терапии или редуцирование дозы.</w:t>
      </w:r>
    </w:p>
    <w:p>
      <w:pPr>
        <w:pStyle w:val="Heading3"/>
        <w:spacing w:line="274" w:lineRule="exact"/>
      </w:pPr>
      <w:r>
        <w:rPr/>
        <w:t>Курс</w:t>
      </w:r>
      <w:r>
        <w:rPr>
          <w:spacing w:val="-11"/>
        </w:rPr>
        <w:t> </w:t>
      </w:r>
      <w:r>
        <w:rPr/>
        <w:t>3</w:t>
      </w:r>
      <w:r>
        <w:rPr>
          <w:spacing w:val="-10"/>
        </w:rPr>
        <w:t> </w:t>
      </w:r>
      <w:r>
        <w:rPr/>
        <w:t>дня</w:t>
      </w:r>
      <w:r>
        <w:rPr>
          <w:spacing w:val="-10"/>
        </w:rPr>
        <w:t> </w:t>
      </w:r>
      <w:r>
        <w:rPr/>
        <w:t>(внутривенное</w:t>
      </w:r>
      <w:r>
        <w:rPr>
          <w:spacing w:val="-10"/>
        </w:rPr>
        <w:t> </w:t>
      </w:r>
      <w:r>
        <w:rPr>
          <w:spacing w:val="-2"/>
        </w:rPr>
        <w:t>введение):</w:t>
      </w:r>
    </w:p>
    <w:p>
      <w:pPr>
        <w:pStyle w:val="BodyText"/>
        <w:tabs>
          <w:tab w:pos="3126" w:val="left" w:leader="none"/>
        </w:tabs>
        <w:spacing w:before="43"/>
        <w:ind w:left="2767"/>
        <w:jc w:val="left"/>
      </w:pPr>
      <w:r>
        <w:rPr>
          <w:spacing w:val="-10"/>
        </w:rPr>
        <w:t>−</w:t>
      </w:r>
      <w:r>
        <w:rPr/>
        <w:tab/>
        <w:t>200</w:t>
      </w:r>
      <w:r>
        <w:rPr>
          <w:spacing w:val="-7"/>
        </w:rPr>
        <w:t> </w:t>
      </w:r>
      <w:r>
        <w:rPr/>
        <w:t>мг</w:t>
      </w:r>
      <w:r>
        <w:rPr>
          <w:spacing w:val="-6"/>
        </w:rPr>
        <w:t> </w:t>
      </w:r>
      <w:r>
        <w:rPr/>
        <w:t>каждые</w:t>
      </w:r>
      <w:r>
        <w:rPr>
          <w:spacing w:val="-8"/>
        </w:rPr>
        <w:t> </w:t>
      </w:r>
      <w:r>
        <w:rPr/>
        <w:t>12</w:t>
      </w:r>
      <w:r>
        <w:rPr>
          <w:spacing w:val="-6"/>
        </w:rPr>
        <w:t> </w:t>
      </w:r>
      <w:r>
        <w:rPr/>
        <w:t>часов</w:t>
      </w:r>
      <w:r>
        <w:rPr>
          <w:spacing w:val="-5"/>
        </w:rPr>
        <w:t> </w:t>
      </w:r>
      <w:r>
        <w:rPr/>
        <w:t>(суммарная</w:t>
      </w:r>
      <w:r>
        <w:rPr>
          <w:spacing w:val="-6"/>
        </w:rPr>
        <w:t> </w:t>
      </w:r>
      <w:r>
        <w:rPr/>
        <w:t>доза</w:t>
      </w:r>
      <w:r>
        <w:rPr>
          <w:spacing w:val="-6"/>
        </w:rPr>
        <w:t> </w:t>
      </w:r>
      <w:r>
        <w:rPr/>
        <w:t>400</w:t>
      </w:r>
      <w:r>
        <w:rPr>
          <w:spacing w:val="-7"/>
        </w:rPr>
        <w:t> </w:t>
      </w:r>
      <w:r>
        <w:rPr/>
        <w:t>мг/сутки)</w:t>
      </w:r>
      <w:r>
        <w:rPr>
          <w:spacing w:val="-4"/>
        </w:rPr>
        <w:t> </w:t>
      </w:r>
      <w:r>
        <w:rPr/>
        <w:t>–</w:t>
      </w:r>
      <w:r>
        <w:rPr>
          <w:spacing w:val="-6"/>
        </w:rPr>
        <w:t> </w:t>
      </w:r>
      <w:r>
        <w:rPr/>
        <w:t>1</w:t>
      </w:r>
      <w:r>
        <w:rPr>
          <w:spacing w:val="-6"/>
        </w:rPr>
        <w:t> </w:t>
      </w:r>
      <w:r>
        <w:rPr>
          <w:spacing w:val="-2"/>
        </w:rPr>
        <w:t>день;</w:t>
      </w:r>
    </w:p>
    <w:p>
      <w:pPr>
        <w:pStyle w:val="BodyText"/>
        <w:tabs>
          <w:tab w:pos="3126" w:val="left" w:leader="none"/>
        </w:tabs>
        <w:spacing w:before="41"/>
        <w:ind w:left="2767"/>
        <w:jc w:val="left"/>
      </w:pPr>
      <w:r>
        <w:rPr>
          <w:spacing w:val="-10"/>
        </w:rPr>
        <w:t>−</w:t>
      </w:r>
      <w:r>
        <w:rPr/>
        <w:tab/>
        <w:t>100</w:t>
      </w:r>
      <w:r>
        <w:rPr>
          <w:spacing w:val="-7"/>
        </w:rPr>
        <w:t> </w:t>
      </w:r>
      <w:r>
        <w:rPr/>
        <w:t>мг</w:t>
      </w:r>
      <w:r>
        <w:rPr>
          <w:spacing w:val="-6"/>
        </w:rPr>
        <w:t> </w:t>
      </w:r>
      <w:r>
        <w:rPr/>
        <w:t>каждые</w:t>
      </w:r>
      <w:r>
        <w:rPr>
          <w:spacing w:val="-8"/>
        </w:rPr>
        <w:t> </w:t>
      </w:r>
      <w:r>
        <w:rPr/>
        <w:t>12</w:t>
      </w:r>
      <w:r>
        <w:rPr>
          <w:spacing w:val="-6"/>
        </w:rPr>
        <w:t> </w:t>
      </w:r>
      <w:r>
        <w:rPr/>
        <w:t>часов</w:t>
      </w:r>
      <w:r>
        <w:rPr>
          <w:spacing w:val="-5"/>
        </w:rPr>
        <w:t> </w:t>
      </w:r>
      <w:r>
        <w:rPr/>
        <w:t>(суммарная</w:t>
      </w:r>
      <w:r>
        <w:rPr>
          <w:spacing w:val="-6"/>
        </w:rPr>
        <w:t> </w:t>
      </w:r>
      <w:r>
        <w:rPr/>
        <w:t>доза</w:t>
      </w:r>
      <w:r>
        <w:rPr>
          <w:spacing w:val="-6"/>
        </w:rPr>
        <w:t> </w:t>
      </w:r>
      <w:r>
        <w:rPr/>
        <w:t>200</w:t>
      </w:r>
      <w:r>
        <w:rPr>
          <w:spacing w:val="-7"/>
        </w:rPr>
        <w:t> </w:t>
      </w:r>
      <w:r>
        <w:rPr/>
        <w:t>мг/сутки)</w:t>
      </w:r>
      <w:r>
        <w:rPr>
          <w:spacing w:val="-4"/>
        </w:rPr>
        <w:t> </w:t>
      </w:r>
      <w:r>
        <w:rPr/>
        <w:t>–</w:t>
      </w:r>
      <w:r>
        <w:rPr>
          <w:spacing w:val="-6"/>
        </w:rPr>
        <w:t> </w:t>
      </w:r>
      <w:r>
        <w:rPr/>
        <w:t>2</w:t>
      </w:r>
      <w:r>
        <w:rPr>
          <w:spacing w:val="-6"/>
        </w:rPr>
        <w:t> </w:t>
      </w:r>
      <w:r>
        <w:rPr>
          <w:spacing w:val="-2"/>
        </w:rPr>
        <w:t>день;</w:t>
      </w:r>
    </w:p>
    <w:p>
      <w:pPr>
        <w:pStyle w:val="BodyText"/>
        <w:tabs>
          <w:tab w:pos="3126" w:val="left" w:leader="none"/>
        </w:tabs>
        <w:spacing w:before="41"/>
        <w:ind w:left="2767"/>
        <w:jc w:val="left"/>
      </w:pPr>
      <w:r>
        <w:rPr>
          <w:spacing w:val="-10"/>
        </w:rPr>
        <w:t>−</w:t>
      </w:r>
      <w:r>
        <w:rPr/>
        <w:tab/>
        <w:t>100</w:t>
      </w:r>
      <w:r>
        <w:rPr>
          <w:spacing w:val="-7"/>
        </w:rPr>
        <w:t> </w:t>
      </w:r>
      <w:r>
        <w:rPr/>
        <w:t>мг</w:t>
      </w:r>
      <w:r>
        <w:rPr>
          <w:spacing w:val="-6"/>
        </w:rPr>
        <w:t> </w:t>
      </w:r>
      <w:r>
        <w:rPr/>
        <w:t>однократно</w:t>
      </w:r>
      <w:r>
        <w:rPr>
          <w:spacing w:val="-8"/>
        </w:rPr>
        <w:t> </w:t>
      </w:r>
      <w:r>
        <w:rPr/>
        <w:t>на</w:t>
      </w:r>
      <w:r>
        <w:rPr>
          <w:spacing w:val="-6"/>
        </w:rPr>
        <w:t> </w:t>
      </w:r>
      <w:r>
        <w:rPr/>
        <w:t>3</w:t>
      </w:r>
      <w:r>
        <w:rPr>
          <w:spacing w:val="-6"/>
        </w:rPr>
        <w:t> </w:t>
      </w:r>
      <w:r>
        <w:rPr>
          <w:spacing w:val="-2"/>
        </w:rPr>
        <w:t>день.</w:t>
      </w:r>
    </w:p>
    <w:p>
      <w:pPr>
        <w:spacing w:line="278" w:lineRule="auto" w:before="40"/>
        <w:ind w:left="1841" w:right="1276" w:firstLine="707"/>
        <w:jc w:val="both"/>
        <w:rPr>
          <w:i/>
          <w:sz w:val="24"/>
        </w:rPr>
      </w:pPr>
      <w:r>
        <w:rPr>
          <w:i/>
          <w:sz w:val="24"/>
        </w:rPr>
        <w:t>При достижении досрочного положительного эффекта возможно сокращение длительности курса терапии или редуцирование дозы.</w:t>
      </w:r>
    </w:p>
    <w:p>
      <w:pPr>
        <w:pStyle w:val="BodyText"/>
        <w:spacing w:line="276" w:lineRule="auto"/>
        <w:ind w:right="1272" w:firstLine="707"/>
      </w:pPr>
      <w:r>
        <w:rPr/>
        <w:t>При тяжелой форме COVID-19 препаратами первой линии терапии являются ингибитор рецептора ИЛ-6 или ИЛ-6 (внутривенное введение). Анакинру следует рассматривать как препарат замены при отсутствии препаратов первой линии терапии, в комбинации со стандартной терапией в режиме гибкого дозирования, согласно следующей схеме:</w:t>
      </w:r>
    </w:p>
    <w:p>
      <w:pPr>
        <w:pStyle w:val="BodyText"/>
        <w:spacing w:line="276" w:lineRule="auto"/>
        <w:ind w:right="1277" w:firstLine="707"/>
      </w:pPr>
      <w:r>
        <w:rPr/>
        <w:t>1-3 день - 200 мг в 200 мл 0,9% раствора NaCl внутривенно капельно каждые 12 часов (суммарная доза 400 мг/сутки);</w:t>
      </w:r>
    </w:p>
    <w:p>
      <w:pPr>
        <w:pStyle w:val="BodyText"/>
        <w:spacing w:after="0" w:line="276" w:lineRule="auto"/>
        <w:sectPr>
          <w:pgSz w:w="11900" w:h="16840"/>
          <w:pgMar w:header="0" w:footer="697" w:top="1080" w:bottom="880" w:left="0" w:right="0"/>
        </w:sectPr>
      </w:pPr>
    </w:p>
    <w:p>
      <w:pPr>
        <w:pStyle w:val="ListParagraph"/>
        <w:numPr>
          <w:ilvl w:val="0"/>
          <w:numId w:val="19"/>
        </w:numPr>
        <w:tabs>
          <w:tab w:pos="2753" w:val="left" w:leader="none"/>
        </w:tabs>
        <w:spacing w:line="276" w:lineRule="auto" w:before="73" w:after="0"/>
        <w:ind w:left="1841" w:right="1281" w:firstLine="707"/>
        <w:jc w:val="both"/>
        <w:rPr>
          <w:sz w:val="24"/>
        </w:rPr>
      </w:pPr>
      <w:bookmarkStart w:name="48" w:id="61"/>
      <w:bookmarkEnd w:id="61"/>
      <w:r>
        <w:rPr/>
      </w:r>
      <w:r>
        <w:rPr>
          <w:sz w:val="24"/>
        </w:rPr>
        <w:t>день - 100 мг в 100 мл 0,9% раствора NaCl внутривенно капельно каждые</w:t>
      </w:r>
      <w:r>
        <w:rPr>
          <w:spacing w:val="80"/>
          <w:sz w:val="24"/>
        </w:rPr>
        <w:t> </w:t>
      </w:r>
      <w:r>
        <w:rPr>
          <w:sz w:val="24"/>
        </w:rPr>
        <w:t>12 часов (суммарная доза 200 мг/сутки);</w:t>
      </w:r>
    </w:p>
    <w:p>
      <w:pPr>
        <w:pStyle w:val="ListParagraph"/>
        <w:numPr>
          <w:ilvl w:val="0"/>
          <w:numId w:val="19"/>
        </w:numPr>
        <w:tabs>
          <w:tab w:pos="2493" w:val="left" w:leader="none"/>
          <w:tab w:pos="2722" w:val="left" w:leader="none"/>
          <w:tab w:pos="2901" w:val="left" w:leader="none"/>
          <w:tab w:pos="4132" w:val="left" w:leader="none"/>
          <w:tab w:pos="4237" w:val="left" w:leader="none"/>
          <w:tab w:pos="4611" w:val="left" w:leader="none"/>
          <w:tab w:pos="5213" w:val="left" w:leader="none"/>
          <w:tab w:pos="5598" w:val="left" w:leader="none"/>
          <w:tab w:pos="6018" w:val="left" w:leader="none"/>
          <w:tab w:pos="6387" w:val="left" w:leader="none"/>
          <w:tab w:pos="6945" w:val="left" w:leader="none"/>
          <w:tab w:pos="8313" w:val="left" w:leader="none"/>
          <w:tab w:pos="8669" w:val="left" w:leader="none"/>
          <w:tab w:pos="10053" w:val="left" w:leader="none"/>
        </w:tabs>
        <w:spacing w:line="276" w:lineRule="auto" w:before="0" w:after="0"/>
        <w:ind w:left="1841" w:right="1271" w:firstLine="707"/>
        <w:jc w:val="right"/>
        <w:rPr>
          <w:sz w:val="24"/>
        </w:rPr>
      </w:pPr>
      <w:r>
        <w:rPr>
          <w:sz w:val="24"/>
        </w:rPr>
        <w:t>день</w:t>
      </w:r>
      <w:r>
        <w:rPr>
          <w:spacing w:val="-8"/>
          <w:sz w:val="24"/>
        </w:rPr>
        <w:t> </w:t>
      </w:r>
      <w:r>
        <w:rPr>
          <w:sz w:val="24"/>
        </w:rPr>
        <w:t>-100</w:t>
      </w:r>
      <w:r>
        <w:rPr>
          <w:spacing w:val="-9"/>
          <w:sz w:val="24"/>
        </w:rPr>
        <w:t> </w:t>
      </w:r>
      <w:r>
        <w:rPr>
          <w:sz w:val="24"/>
        </w:rPr>
        <w:t>мг</w:t>
      </w:r>
      <w:r>
        <w:rPr>
          <w:spacing w:val="-9"/>
          <w:sz w:val="24"/>
        </w:rPr>
        <w:t> </w:t>
      </w:r>
      <w:r>
        <w:rPr>
          <w:sz w:val="24"/>
        </w:rPr>
        <w:t>в</w:t>
      </w:r>
      <w:r>
        <w:rPr>
          <w:spacing w:val="-10"/>
          <w:sz w:val="24"/>
        </w:rPr>
        <w:t> </w:t>
      </w:r>
      <w:r>
        <w:rPr>
          <w:sz w:val="24"/>
        </w:rPr>
        <w:t>100</w:t>
      </w:r>
      <w:r>
        <w:rPr>
          <w:spacing w:val="-9"/>
          <w:sz w:val="24"/>
        </w:rPr>
        <w:t> </w:t>
      </w:r>
      <w:r>
        <w:rPr>
          <w:sz w:val="24"/>
        </w:rPr>
        <w:t>мл</w:t>
      </w:r>
      <w:r>
        <w:rPr>
          <w:spacing w:val="-9"/>
          <w:sz w:val="24"/>
        </w:rPr>
        <w:t> </w:t>
      </w:r>
      <w:r>
        <w:rPr>
          <w:sz w:val="24"/>
        </w:rPr>
        <w:t>0,9%</w:t>
      </w:r>
      <w:r>
        <w:rPr>
          <w:spacing w:val="-10"/>
          <w:sz w:val="24"/>
        </w:rPr>
        <w:t> </w:t>
      </w:r>
      <w:r>
        <w:rPr>
          <w:sz w:val="24"/>
        </w:rPr>
        <w:t>раствора</w:t>
      </w:r>
      <w:r>
        <w:rPr>
          <w:spacing w:val="-8"/>
          <w:sz w:val="24"/>
        </w:rPr>
        <w:t> </w:t>
      </w:r>
      <w:r>
        <w:rPr>
          <w:sz w:val="24"/>
        </w:rPr>
        <w:t>NaCl</w:t>
      </w:r>
      <w:r>
        <w:rPr>
          <w:spacing w:val="-8"/>
          <w:sz w:val="24"/>
        </w:rPr>
        <w:t> </w:t>
      </w:r>
      <w:r>
        <w:rPr>
          <w:sz w:val="24"/>
        </w:rPr>
        <w:t>внутривенно</w:t>
      </w:r>
      <w:r>
        <w:rPr>
          <w:spacing w:val="-12"/>
          <w:sz w:val="24"/>
        </w:rPr>
        <w:t> </w:t>
      </w:r>
      <w:r>
        <w:rPr>
          <w:sz w:val="24"/>
        </w:rPr>
        <w:t>капельно</w:t>
      </w:r>
      <w:r>
        <w:rPr>
          <w:spacing w:val="-9"/>
          <w:sz w:val="24"/>
        </w:rPr>
        <w:t> </w:t>
      </w:r>
      <w:r>
        <w:rPr>
          <w:sz w:val="24"/>
        </w:rPr>
        <w:t>однократно. </w:t>
      </w:r>
      <w:r>
        <w:rPr>
          <w:spacing w:val="-4"/>
          <w:sz w:val="24"/>
        </w:rPr>
        <w:t>При</w:t>
      </w:r>
      <w:r>
        <w:rPr>
          <w:sz w:val="24"/>
        </w:rPr>
        <w:tab/>
      </w:r>
      <w:r>
        <w:rPr>
          <w:spacing w:val="-2"/>
          <w:sz w:val="24"/>
        </w:rPr>
        <w:t>сохраняющей</w:t>
      </w:r>
      <w:r>
        <w:rPr>
          <w:sz w:val="24"/>
        </w:rPr>
        <w:tab/>
      </w:r>
      <w:r>
        <w:rPr>
          <w:spacing w:val="-2"/>
          <w:sz w:val="24"/>
        </w:rPr>
        <w:t>фебрильной</w:t>
      </w:r>
      <w:r>
        <w:rPr>
          <w:sz w:val="24"/>
        </w:rPr>
        <w:tab/>
      </w:r>
      <w:r>
        <w:rPr>
          <w:spacing w:val="-2"/>
          <w:sz w:val="24"/>
        </w:rPr>
        <w:t>лихорадке,</w:t>
      </w:r>
      <w:r>
        <w:rPr>
          <w:sz w:val="24"/>
        </w:rPr>
        <w:tab/>
      </w:r>
      <w:r>
        <w:rPr>
          <w:spacing w:val="-2"/>
          <w:sz w:val="24"/>
        </w:rPr>
        <w:t>отсутствии</w:t>
      </w:r>
      <w:r>
        <w:rPr>
          <w:sz w:val="24"/>
        </w:rPr>
        <w:tab/>
      </w:r>
      <w:r>
        <w:rPr>
          <w:spacing w:val="-2"/>
          <w:sz w:val="24"/>
        </w:rPr>
        <w:t>положительной </w:t>
      </w:r>
      <w:r>
        <w:rPr>
          <w:sz w:val="24"/>
        </w:rPr>
        <w:t>динамики/нарастании</w:t>
      </w:r>
      <w:r>
        <w:rPr>
          <w:spacing w:val="40"/>
          <w:sz w:val="24"/>
        </w:rPr>
        <w:t> </w:t>
      </w:r>
      <w:r>
        <w:rPr>
          <w:sz w:val="24"/>
        </w:rPr>
        <w:t>лабораторных</w:t>
      </w:r>
      <w:r>
        <w:rPr>
          <w:spacing w:val="40"/>
          <w:sz w:val="24"/>
        </w:rPr>
        <w:t> </w:t>
      </w:r>
      <w:r>
        <w:rPr>
          <w:sz w:val="24"/>
        </w:rPr>
        <w:t>маркеров</w:t>
      </w:r>
      <w:r>
        <w:rPr>
          <w:spacing w:val="40"/>
          <w:sz w:val="24"/>
        </w:rPr>
        <w:t> </w:t>
      </w:r>
      <w:r>
        <w:rPr>
          <w:sz w:val="24"/>
        </w:rPr>
        <w:t>воспаления</w:t>
      </w:r>
      <w:r>
        <w:rPr>
          <w:spacing w:val="40"/>
          <w:sz w:val="24"/>
        </w:rPr>
        <w:t> </w:t>
      </w:r>
      <w:r>
        <w:rPr>
          <w:sz w:val="24"/>
        </w:rPr>
        <w:t>(СРБ,</w:t>
      </w:r>
      <w:r>
        <w:rPr>
          <w:spacing w:val="40"/>
          <w:sz w:val="24"/>
        </w:rPr>
        <w:t> </w:t>
      </w:r>
      <w:r>
        <w:rPr>
          <w:sz w:val="24"/>
        </w:rPr>
        <w:t>ферритин,</w:t>
      </w:r>
      <w:r>
        <w:rPr>
          <w:spacing w:val="40"/>
          <w:sz w:val="24"/>
        </w:rPr>
        <w:t> </w:t>
      </w:r>
      <w:r>
        <w:rPr>
          <w:sz w:val="24"/>
        </w:rPr>
        <w:t>ЛДГ, АЛТ,</w:t>
      </w:r>
      <w:r>
        <w:rPr>
          <w:spacing w:val="40"/>
          <w:sz w:val="24"/>
        </w:rPr>
        <w:t> </w:t>
      </w:r>
      <w:r>
        <w:rPr>
          <w:sz w:val="24"/>
        </w:rPr>
        <w:t>АСТ)/развитии</w:t>
      </w:r>
      <w:r>
        <w:rPr>
          <w:spacing w:val="40"/>
          <w:sz w:val="24"/>
        </w:rPr>
        <w:t> </w:t>
      </w:r>
      <w:r>
        <w:rPr>
          <w:sz w:val="24"/>
        </w:rPr>
        <w:t>гемофагоцитарного</w:t>
      </w:r>
      <w:r>
        <w:rPr>
          <w:spacing w:val="40"/>
          <w:sz w:val="24"/>
        </w:rPr>
        <w:t> </w:t>
      </w:r>
      <w:r>
        <w:rPr>
          <w:sz w:val="24"/>
        </w:rPr>
        <w:t>синдрома</w:t>
      </w:r>
      <w:r>
        <w:rPr>
          <w:spacing w:val="40"/>
          <w:sz w:val="24"/>
        </w:rPr>
        <w:t> </w:t>
      </w:r>
      <w:r>
        <w:rPr>
          <w:sz w:val="24"/>
        </w:rPr>
        <w:t>(некупирующаяся</w:t>
      </w:r>
      <w:r>
        <w:rPr>
          <w:spacing w:val="40"/>
          <w:sz w:val="24"/>
        </w:rPr>
        <w:t> </w:t>
      </w:r>
      <w:r>
        <w:rPr>
          <w:sz w:val="24"/>
        </w:rPr>
        <w:t>лихорадка, </w:t>
      </w:r>
      <w:r>
        <w:rPr>
          <w:spacing w:val="-2"/>
          <w:sz w:val="24"/>
        </w:rPr>
        <w:t>уровень</w:t>
      </w:r>
      <w:r>
        <w:rPr>
          <w:sz w:val="24"/>
        </w:rPr>
        <w:tab/>
        <w:tab/>
      </w:r>
      <w:r>
        <w:rPr>
          <w:spacing w:val="-2"/>
          <w:sz w:val="24"/>
        </w:rPr>
        <w:t>ферритина</w:t>
      </w:r>
      <w:r>
        <w:rPr>
          <w:sz w:val="24"/>
        </w:rPr>
        <w:tab/>
        <w:tab/>
      </w:r>
      <w:r>
        <w:rPr>
          <w:spacing w:val="-10"/>
          <w:sz w:val="24"/>
        </w:rPr>
        <w:t>≥</w:t>
      </w:r>
      <w:r>
        <w:rPr>
          <w:sz w:val="24"/>
        </w:rPr>
        <w:tab/>
      </w:r>
      <w:r>
        <w:rPr>
          <w:spacing w:val="-4"/>
          <w:sz w:val="24"/>
        </w:rPr>
        <w:t>700</w:t>
      </w:r>
      <w:r>
        <w:rPr>
          <w:sz w:val="24"/>
        </w:rPr>
        <w:tab/>
      </w:r>
      <w:r>
        <w:rPr>
          <w:spacing w:val="-2"/>
          <w:sz w:val="24"/>
        </w:rPr>
        <w:t>нг/мл</w:t>
      </w:r>
      <w:r>
        <w:rPr>
          <w:sz w:val="24"/>
        </w:rPr>
        <w:tab/>
      </w:r>
      <w:r>
        <w:rPr>
          <w:spacing w:val="-10"/>
          <w:sz w:val="24"/>
        </w:rPr>
        <w:t>и</w:t>
      </w:r>
      <w:r>
        <w:rPr>
          <w:sz w:val="24"/>
        </w:rPr>
        <w:tab/>
      </w:r>
      <w:r>
        <w:rPr>
          <w:spacing w:val="-2"/>
          <w:sz w:val="24"/>
        </w:rPr>
        <w:t>одно-трехростковая</w:t>
      </w:r>
      <w:r>
        <w:rPr>
          <w:sz w:val="24"/>
        </w:rPr>
        <w:tab/>
      </w:r>
      <w:r>
        <w:rPr>
          <w:spacing w:val="-2"/>
          <w:sz w:val="24"/>
        </w:rPr>
        <w:t>цитопения,</w:t>
      </w:r>
      <w:r>
        <w:rPr>
          <w:sz w:val="24"/>
        </w:rPr>
        <w:tab/>
      </w:r>
      <w:r>
        <w:rPr>
          <w:spacing w:val="-2"/>
          <w:sz w:val="24"/>
        </w:rPr>
        <w:t>и/или </w:t>
      </w:r>
      <w:r>
        <w:rPr>
          <w:sz w:val="24"/>
        </w:rPr>
        <w:t>гипофебриногенемия</w:t>
      </w:r>
      <w:r>
        <w:rPr>
          <w:spacing w:val="4"/>
          <w:sz w:val="24"/>
        </w:rPr>
        <w:t> </w:t>
      </w:r>
      <w:r>
        <w:rPr>
          <w:sz w:val="24"/>
        </w:rPr>
        <w:t>≤</w:t>
      </w:r>
      <w:r>
        <w:rPr>
          <w:spacing w:val="2"/>
          <w:sz w:val="24"/>
        </w:rPr>
        <w:t> </w:t>
      </w:r>
      <w:r>
        <w:rPr>
          <w:sz w:val="24"/>
        </w:rPr>
        <w:t>2,5</w:t>
      </w:r>
      <w:r>
        <w:rPr>
          <w:spacing w:val="5"/>
          <w:sz w:val="24"/>
        </w:rPr>
        <w:t> </w:t>
      </w:r>
      <w:r>
        <w:rPr>
          <w:sz w:val="24"/>
        </w:rPr>
        <w:t>г/л,</w:t>
      </w:r>
      <w:r>
        <w:rPr>
          <w:spacing w:val="2"/>
          <w:sz w:val="24"/>
        </w:rPr>
        <w:t> </w:t>
      </w:r>
      <w:r>
        <w:rPr>
          <w:sz w:val="24"/>
        </w:rPr>
        <w:t>и/или</w:t>
      </w:r>
      <w:r>
        <w:rPr>
          <w:spacing w:val="4"/>
          <w:sz w:val="24"/>
        </w:rPr>
        <w:t> </w:t>
      </w:r>
      <w:r>
        <w:rPr>
          <w:sz w:val="24"/>
        </w:rPr>
        <w:t>гипертриглицеридемия</w:t>
      </w:r>
      <w:r>
        <w:rPr>
          <w:spacing w:val="2"/>
          <w:sz w:val="24"/>
        </w:rPr>
        <w:t> </w:t>
      </w:r>
      <w:r>
        <w:rPr>
          <w:sz w:val="24"/>
        </w:rPr>
        <w:t>≥1,5</w:t>
      </w:r>
      <w:r>
        <w:rPr>
          <w:spacing w:val="4"/>
          <w:sz w:val="24"/>
        </w:rPr>
        <w:t> </w:t>
      </w:r>
      <w:r>
        <w:rPr>
          <w:sz w:val="24"/>
        </w:rPr>
        <w:t>ммоль/л,</w:t>
      </w:r>
      <w:r>
        <w:rPr>
          <w:spacing w:val="68"/>
          <w:sz w:val="24"/>
        </w:rPr>
        <w:t> </w:t>
      </w:r>
      <w:r>
        <w:rPr>
          <w:spacing w:val="-2"/>
          <w:sz w:val="24"/>
        </w:rPr>
        <w:t>АСТ&gt;50</w:t>
      </w:r>
    </w:p>
    <w:p>
      <w:pPr>
        <w:pStyle w:val="BodyText"/>
        <w:spacing w:line="276" w:lineRule="exact"/>
      </w:pPr>
      <w:r>
        <w:rPr/>
        <w:t>Ед/л)</w:t>
      </w:r>
      <w:r>
        <w:rPr>
          <w:spacing w:val="-12"/>
        </w:rPr>
        <w:t> </w:t>
      </w:r>
      <w:r>
        <w:rPr/>
        <w:t>переключение</w:t>
      </w:r>
      <w:r>
        <w:rPr>
          <w:spacing w:val="-12"/>
        </w:rPr>
        <w:t> </w:t>
      </w:r>
      <w:r>
        <w:rPr/>
        <w:t>на</w:t>
      </w:r>
      <w:r>
        <w:rPr>
          <w:spacing w:val="-12"/>
        </w:rPr>
        <w:t> </w:t>
      </w:r>
      <w:r>
        <w:rPr/>
        <w:t>ингибитор</w:t>
      </w:r>
      <w:r>
        <w:rPr>
          <w:spacing w:val="-12"/>
        </w:rPr>
        <w:t> </w:t>
      </w:r>
      <w:r>
        <w:rPr/>
        <w:t>рецептора</w:t>
      </w:r>
      <w:r>
        <w:rPr>
          <w:spacing w:val="-12"/>
        </w:rPr>
        <w:t> </w:t>
      </w:r>
      <w:r>
        <w:rPr/>
        <w:t>ИЛ-6</w:t>
      </w:r>
      <w:r>
        <w:rPr>
          <w:spacing w:val="-12"/>
        </w:rPr>
        <w:t> </w:t>
      </w:r>
      <w:r>
        <w:rPr/>
        <w:t>или</w:t>
      </w:r>
      <w:r>
        <w:rPr>
          <w:spacing w:val="-10"/>
        </w:rPr>
        <w:t> </w:t>
      </w:r>
      <w:r>
        <w:rPr/>
        <w:t>ингибитор</w:t>
      </w:r>
      <w:r>
        <w:rPr>
          <w:spacing w:val="-12"/>
        </w:rPr>
        <w:t> </w:t>
      </w:r>
      <w:r>
        <w:rPr/>
        <w:t>ИЛ-</w:t>
      </w:r>
      <w:r>
        <w:rPr>
          <w:spacing w:val="-5"/>
        </w:rPr>
        <w:t>6.</w:t>
      </w:r>
    </w:p>
    <w:p>
      <w:pPr>
        <w:pStyle w:val="BodyText"/>
        <w:spacing w:line="276" w:lineRule="auto" w:before="39"/>
        <w:ind w:right="1270" w:firstLine="707"/>
      </w:pPr>
      <w:r>
        <w:rPr/>
        <w:t>Необходимо помнить, что на фоне повторного введения всех генно- инженерных биологических препаратов, а также первого введения тоцилизумаба возможно развитие аллергической реакции. На фоне применения блокаторов ИЛ-6 - повышение показателей липидного обмена (общего холестерина, триглицеридов, ЛПВП, ЛПНП).</w:t>
      </w:r>
    </w:p>
    <w:p>
      <w:pPr>
        <w:pStyle w:val="BodyText"/>
        <w:tabs>
          <w:tab w:pos="2555" w:val="left" w:leader="none"/>
          <w:tab w:pos="3025" w:val="left" w:leader="none"/>
          <w:tab w:pos="3243" w:val="left" w:leader="none"/>
          <w:tab w:pos="3380" w:val="left" w:leader="none"/>
          <w:tab w:pos="4082" w:val="left" w:leader="none"/>
          <w:tab w:pos="4219" w:val="left" w:leader="none"/>
          <w:tab w:pos="4401" w:val="left" w:leader="none"/>
          <w:tab w:pos="4753" w:val="left" w:leader="none"/>
          <w:tab w:pos="5362" w:val="left" w:leader="none"/>
          <w:tab w:pos="5743" w:val="left" w:leader="none"/>
          <w:tab w:pos="5839" w:val="left" w:leader="none"/>
          <w:tab w:pos="5935" w:val="left" w:leader="none"/>
          <w:tab w:pos="6205" w:val="left" w:leader="none"/>
          <w:tab w:pos="6297" w:val="left" w:leader="none"/>
          <w:tab w:pos="6543" w:val="left" w:leader="none"/>
          <w:tab w:pos="7200" w:val="left" w:leader="none"/>
          <w:tab w:pos="7317" w:val="left" w:leader="none"/>
          <w:tab w:pos="7515" w:val="left" w:leader="none"/>
          <w:tab w:pos="7621" w:val="left" w:leader="none"/>
          <w:tab w:pos="7937" w:val="left" w:leader="none"/>
          <w:tab w:pos="8669" w:val="left" w:leader="none"/>
          <w:tab w:pos="9171" w:val="left" w:leader="none"/>
          <w:tab w:pos="9456" w:val="left" w:leader="none"/>
          <w:tab w:pos="9566" w:val="left" w:leader="none"/>
          <w:tab w:pos="10046" w:val="left" w:leader="none"/>
        </w:tabs>
        <w:spacing w:line="276" w:lineRule="auto"/>
        <w:ind w:right="1271" w:firstLine="707"/>
        <w:jc w:val="right"/>
      </w:pPr>
      <w:r>
        <w:rPr>
          <w:spacing w:val="-2"/>
        </w:rPr>
        <w:t>Абсолютным</w:t>
      </w:r>
      <w:r>
        <w:rPr/>
        <w:tab/>
        <w:tab/>
      </w:r>
      <w:r>
        <w:rPr>
          <w:spacing w:val="-2"/>
        </w:rPr>
        <w:t>противопоказанием</w:t>
      </w:r>
      <w:r>
        <w:rPr/>
        <w:tab/>
        <w:tab/>
      </w:r>
      <w:r>
        <w:rPr>
          <w:spacing w:val="-4"/>
        </w:rPr>
        <w:t>для</w:t>
      </w:r>
      <w:r>
        <w:rPr/>
        <w:tab/>
      </w:r>
      <w:r>
        <w:rPr>
          <w:spacing w:val="-2"/>
        </w:rPr>
        <w:t>назначения</w:t>
      </w:r>
      <w:r>
        <w:rPr/>
        <w:tab/>
      </w:r>
      <w:r>
        <w:rPr>
          <w:spacing w:val="-2"/>
        </w:rPr>
        <w:t>генно-инженерных </w:t>
      </w:r>
      <w:r>
        <w:rPr/>
        <w:t>биологических препаратов (блокаторов рецептора ИЛ-6, ИЛ-1 и ИЛ-6) и блокаторов </w:t>
      </w:r>
      <w:r>
        <w:rPr>
          <w:spacing w:val="-2"/>
        </w:rPr>
        <w:t>янус-киназ</w:t>
      </w:r>
      <w:r>
        <w:rPr/>
        <w:tab/>
        <w:tab/>
      </w:r>
      <w:r>
        <w:rPr>
          <w:spacing w:val="-2"/>
        </w:rPr>
        <w:t>является</w:t>
      </w:r>
      <w:r>
        <w:rPr/>
        <w:tab/>
        <w:tab/>
      </w:r>
      <w:r>
        <w:rPr>
          <w:spacing w:val="-2"/>
        </w:rPr>
        <w:t>сепсис</w:t>
      </w:r>
      <w:r>
        <w:rPr/>
        <w:tab/>
      </w:r>
      <w:r>
        <w:rPr>
          <w:spacing w:val="-10"/>
        </w:rPr>
        <w:t>с</w:t>
      </w:r>
      <w:r>
        <w:rPr/>
        <w:tab/>
      </w:r>
      <w:r>
        <w:rPr>
          <w:spacing w:val="-57"/>
        </w:rPr>
        <w:t> </w:t>
      </w:r>
      <w:r>
        <w:rPr>
          <w:spacing w:val="-2"/>
        </w:rPr>
        <w:t>подтвержденными</w:t>
      </w:r>
      <w:r>
        <w:rPr/>
        <w:tab/>
      </w:r>
      <w:r>
        <w:rPr>
          <w:spacing w:val="-2"/>
        </w:rPr>
        <w:t>патогенами,</w:t>
      </w:r>
      <w:r>
        <w:rPr/>
        <w:tab/>
      </w:r>
      <w:r>
        <w:rPr>
          <w:spacing w:val="-2"/>
        </w:rPr>
        <w:t>отличными</w:t>
      </w:r>
      <w:r>
        <w:rPr>
          <w:spacing w:val="80"/>
        </w:rPr>
        <w:t> </w:t>
      </w:r>
      <w:r>
        <w:rPr/>
        <w:t>от</w:t>
      </w:r>
      <w:r>
        <w:rPr>
          <w:spacing w:val="-6"/>
        </w:rPr>
        <w:t> </w:t>
      </w:r>
      <w:r>
        <w:rPr/>
        <w:t>COVID‑19,</w:t>
      </w:r>
      <w:r>
        <w:rPr>
          <w:spacing w:val="-8"/>
        </w:rPr>
        <w:t> </w:t>
      </w:r>
      <w:r>
        <w:rPr/>
        <w:t>а</w:t>
      </w:r>
      <w:r>
        <w:rPr>
          <w:spacing w:val="-8"/>
        </w:rPr>
        <w:t> </w:t>
      </w:r>
      <w:r>
        <w:rPr/>
        <w:t>также</w:t>
      </w:r>
      <w:r>
        <w:rPr>
          <w:spacing w:val="-7"/>
        </w:rPr>
        <w:t> </w:t>
      </w:r>
      <w:r>
        <w:rPr/>
        <w:t>повышенная</w:t>
      </w:r>
      <w:r>
        <w:rPr>
          <w:spacing w:val="-7"/>
        </w:rPr>
        <w:t> </w:t>
      </w:r>
      <w:r>
        <w:rPr/>
        <w:t>чувствительность</w:t>
      </w:r>
      <w:r>
        <w:rPr>
          <w:spacing w:val="-8"/>
        </w:rPr>
        <w:t> </w:t>
      </w:r>
      <w:r>
        <w:rPr/>
        <w:t>к</w:t>
      </w:r>
      <w:r>
        <w:rPr>
          <w:spacing w:val="-6"/>
        </w:rPr>
        <w:t> </w:t>
      </w:r>
      <w:r>
        <w:rPr/>
        <w:t>препарату</w:t>
      </w:r>
      <w:r>
        <w:rPr>
          <w:spacing w:val="-6"/>
        </w:rPr>
        <w:t> </w:t>
      </w:r>
      <w:r>
        <w:rPr/>
        <w:t>и</w:t>
      </w:r>
      <w:r>
        <w:rPr>
          <w:spacing w:val="-6"/>
        </w:rPr>
        <w:t> </w:t>
      </w:r>
      <w:r>
        <w:rPr/>
        <w:t>его</w:t>
      </w:r>
      <w:r>
        <w:rPr>
          <w:spacing w:val="-7"/>
        </w:rPr>
        <w:t> </w:t>
      </w:r>
      <w:r>
        <w:rPr/>
        <w:t>компонентам. </w:t>
      </w:r>
      <w:r>
        <w:rPr>
          <w:spacing w:val="-2"/>
        </w:rPr>
        <w:t>Пожилой</w:t>
      </w:r>
      <w:r>
        <w:rPr/>
        <w:tab/>
      </w:r>
      <w:r>
        <w:rPr>
          <w:spacing w:val="-10"/>
        </w:rPr>
        <w:t>и</w:t>
      </w:r>
      <w:r>
        <w:rPr/>
        <w:tab/>
        <w:tab/>
      </w:r>
      <w:r>
        <w:rPr>
          <w:spacing w:val="-2"/>
        </w:rPr>
        <w:t>старческий</w:t>
      </w:r>
      <w:r>
        <w:rPr/>
        <w:tab/>
      </w:r>
      <w:r>
        <w:rPr>
          <w:spacing w:val="-2"/>
        </w:rPr>
        <w:t>возраст</w:t>
      </w:r>
      <w:r>
        <w:rPr/>
        <w:tab/>
      </w:r>
      <w:r>
        <w:rPr>
          <w:spacing w:val="-6"/>
        </w:rPr>
        <w:t>не</w:t>
      </w:r>
      <w:r>
        <w:rPr/>
        <w:tab/>
      </w:r>
      <w:r>
        <w:rPr>
          <w:spacing w:val="-2"/>
        </w:rPr>
        <w:t>является</w:t>
      </w:r>
      <w:r>
        <w:rPr/>
        <w:tab/>
        <w:tab/>
      </w:r>
      <w:r>
        <w:rPr>
          <w:spacing w:val="-2"/>
        </w:rPr>
        <w:t>противопоказанием</w:t>
      </w:r>
      <w:r>
        <w:rPr/>
        <w:tab/>
        <w:tab/>
      </w:r>
      <w:r>
        <w:rPr>
          <w:spacing w:val="-4"/>
        </w:rPr>
        <w:t>для </w:t>
      </w:r>
      <w:r>
        <w:rPr>
          <w:spacing w:val="-2"/>
        </w:rPr>
        <w:t>применения</w:t>
      </w:r>
      <w:r>
        <w:rPr/>
        <w:tab/>
        <w:tab/>
      </w:r>
      <w:r>
        <w:rPr>
          <w:spacing w:val="-33"/>
        </w:rPr>
        <w:t> </w:t>
      </w:r>
      <w:r>
        <w:rPr/>
        <w:t>ГИБП.</w:t>
        <w:tab/>
        <w:tab/>
      </w:r>
      <w:r>
        <w:rPr>
          <w:spacing w:val="-47"/>
        </w:rPr>
        <w:t> </w:t>
      </w:r>
      <w:r>
        <w:rPr/>
        <w:t>Пациентам,</w:t>
        <w:tab/>
        <w:tab/>
        <w:tab/>
      </w:r>
      <w:r>
        <w:rPr>
          <w:spacing w:val="-2"/>
        </w:rPr>
        <w:t>получающим</w:t>
      </w:r>
      <w:r>
        <w:rPr/>
        <w:tab/>
        <w:tab/>
        <w:tab/>
      </w:r>
      <w:r>
        <w:rPr>
          <w:spacing w:val="-2"/>
        </w:rPr>
        <w:t>иммунодепрессанты</w:t>
      </w:r>
      <w:r>
        <w:rPr/>
        <w:tab/>
      </w:r>
      <w:r>
        <w:rPr>
          <w:spacing w:val="-2"/>
        </w:rPr>
        <w:t>после </w:t>
      </w:r>
      <w:r>
        <w:rPr/>
        <w:t>трансплантации</w:t>
      </w:r>
      <w:r>
        <w:rPr>
          <w:spacing w:val="80"/>
        </w:rPr>
        <w:t> </w:t>
      </w:r>
      <w:r>
        <w:rPr/>
        <w:t>органов,</w:t>
      </w:r>
      <w:r>
        <w:rPr>
          <w:spacing w:val="80"/>
        </w:rPr>
        <w:t> </w:t>
      </w:r>
      <w:r>
        <w:rPr/>
        <w:t>ГИБП</w:t>
      </w:r>
      <w:r>
        <w:rPr>
          <w:spacing w:val="80"/>
        </w:rPr>
        <w:t> </w:t>
      </w:r>
      <w:r>
        <w:rPr/>
        <w:t>назначаются</w:t>
      </w:r>
      <w:r>
        <w:rPr>
          <w:spacing w:val="80"/>
        </w:rPr>
        <w:t> </w:t>
      </w:r>
      <w:r>
        <w:rPr/>
        <w:t>по</w:t>
      </w:r>
      <w:r>
        <w:rPr>
          <w:spacing w:val="80"/>
        </w:rPr>
        <w:t> </w:t>
      </w:r>
      <w:r>
        <w:rPr/>
        <w:t>решению</w:t>
      </w:r>
      <w:r>
        <w:rPr>
          <w:spacing w:val="80"/>
        </w:rPr>
        <w:t> </w:t>
      </w:r>
      <w:r>
        <w:rPr/>
        <w:t>врачебной</w:t>
      </w:r>
      <w:r>
        <w:rPr>
          <w:spacing w:val="80"/>
        </w:rPr>
        <w:t> </w:t>
      </w:r>
      <w:r>
        <w:rPr/>
        <w:t>комиссии с</w:t>
      </w:r>
      <w:r>
        <w:rPr>
          <w:spacing w:val="28"/>
        </w:rPr>
        <w:t> </w:t>
      </w:r>
      <w:r>
        <w:rPr/>
        <w:t>коррекцией</w:t>
      </w:r>
      <w:r>
        <w:rPr>
          <w:spacing w:val="31"/>
        </w:rPr>
        <w:t> </w:t>
      </w:r>
      <w:r>
        <w:rPr/>
        <w:t>исходной</w:t>
      </w:r>
      <w:r>
        <w:rPr>
          <w:spacing w:val="30"/>
        </w:rPr>
        <w:t> </w:t>
      </w:r>
      <w:r>
        <w:rPr/>
        <w:t>базовой</w:t>
      </w:r>
      <w:r>
        <w:rPr>
          <w:spacing w:val="30"/>
        </w:rPr>
        <w:t> </w:t>
      </w:r>
      <w:r>
        <w:rPr/>
        <w:t>иммуносупрессивной</w:t>
      </w:r>
      <w:r>
        <w:rPr>
          <w:spacing w:val="30"/>
        </w:rPr>
        <w:t> </w:t>
      </w:r>
      <w:r>
        <w:rPr/>
        <w:t>терапии.</w:t>
      </w:r>
      <w:r>
        <w:rPr>
          <w:spacing w:val="29"/>
        </w:rPr>
        <w:t> </w:t>
      </w:r>
      <w:r>
        <w:rPr/>
        <w:t>Этому</w:t>
      </w:r>
      <w:r>
        <w:rPr>
          <w:spacing w:val="29"/>
        </w:rPr>
        <w:t> </w:t>
      </w:r>
      <w:r>
        <w:rPr/>
        <w:t>контингенту пациентов</w:t>
      </w:r>
      <w:r>
        <w:rPr>
          <w:spacing w:val="-4"/>
        </w:rPr>
        <w:t> </w:t>
      </w:r>
      <w:r>
        <w:rPr/>
        <w:t>проводятся:</w:t>
      </w:r>
      <w:r>
        <w:rPr>
          <w:spacing w:val="-6"/>
        </w:rPr>
        <w:t> </w:t>
      </w:r>
      <w:r>
        <w:rPr/>
        <w:t>отмена</w:t>
      </w:r>
      <w:r>
        <w:rPr>
          <w:spacing w:val="-4"/>
        </w:rPr>
        <w:t> </w:t>
      </w:r>
      <w:r>
        <w:rPr/>
        <w:t>цитостатика,</w:t>
      </w:r>
      <w:r>
        <w:rPr>
          <w:spacing w:val="-4"/>
        </w:rPr>
        <w:t> </w:t>
      </w:r>
      <w:r>
        <w:rPr/>
        <w:t>увеличение</w:t>
      </w:r>
      <w:r>
        <w:rPr>
          <w:spacing w:val="-4"/>
        </w:rPr>
        <w:t> </w:t>
      </w:r>
      <w:r>
        <w:rPr/>
        <w:t>дозы</w:t>
      </w:r>
      <w:r>
        <w:rPr>
          <w:spacing w:val="-4"/>
        </w:rPr>
        <w:t> </w:t>
      </w:r>
      <w:r>
        <w:rPr/>
        <w:t>ГКС</w:t>
      </w:r>
      <w:r>
        <w:rPr>
          <w:spacing w:val="-3"/>
        </w:rPr>
        <w:t> </w:t>
      </w:r>
      <w:r>
        <w:rPr/>
        <w:t>в</w:t>
      </w:r>
      <w:r>
        <w:rPr>
          <w:spacing w:val="-4"/>
        </w:rPr>
        <w:t> </w:t>
      </w:r>
      <w:r>
        <w:rPr/>
        <w:t>2 раза,</w:t>
      </w:r>
      <w:r>
        <w:rPr>
          <w:spacing w:val="-3"/>
        </w:rPr>
        <w:t> </w:t>
      </w:r>
      <w:r>
        <w:rPr/>
        <w:t>снижение </w:t>
      </w:r>
      <w:r>
        <w:rPr>
          <w:spacing w:val="-4"/>
        </w:rPr>
        <w:t>дозы</w:t>
      </w:r>
      <w:r>
        <w:rPr/>
        <w:tab/>
      </w:r>
      <w:r>
        <w:rPr>
          <w:spacing w:val="-2"/>
        </w:rPr>
        <w:t>ингибиторов</w:t>
      </w:r>
      <w:r>
        <w:rPr/>
        <w:tab/>
      </w:r>
      <w:r>
        <w:rPr>
          <w:spacing w:val="-2"/>
        </w:rPr>
        <w:t>кальциневрина</w:t>
      </w:r>
      <w:r>
        <w:rPr/>
        <w:tab/>
        <w:tab/>
      </w:r>
      <w:r>
        <w:rPr>
          <w:spacing w:val="-5"/>
        </w:rPr>
        <w:t>до</w:t>
      </w:r>
      <w:r>
        <w:rPr/>
        <w:tab/>
        <w:tab/>
      </w:r>
      <w:r>
        <w:rPr>
          <w:spacing w:val="-2"/>
        </w:rPr>
        <w:t>снижения</w:t>
      </w:r>
      <w:r>
        <w:rPr/>
        <w:tab/>
        <w:tab/>
      </w:r>
      <w:r>
        <w:rPr>
          <w:spacing w:val="-2"/>
        </w:rPr>
        <w:t>концентрации</w:t>
      </w:r>
      <w:r>
        <w:rPr/>
        <w:tab/>
      </w:r>
      <w:r>
        <w:rPr>
          <w:spacing w:val="-2"/>
        </w:rPr>
        <w:t>циклоспорина</w:t>
      </w:r>
    </w:p>
    <w:p>
      <w:pPr>
        <w:pStyle w:val="BodyText"/>
        <w:spacing w:line="275" w:lineRule="exact"/>
      </w:pPr>
      <w:r>
        <w:rPr/>
        <w:t>в</w:t>
      </w:r>
      <w:r>
        <w:rPr>
          <w:spacing w:val="-10"/>
        </w:rPr>
        <w:t> </w:t>
      </w:r>
      <w:r>
        <w:rPr/>
        <w:t>сыворотке</w:t>
      </w:r>
      <w:r>
        <w:rPr>
          <w:spacing w:val="-9"/>
        </w:rPr>
        <w:t> </w:t>
      </w:r>
      <w:r>
        <w:rPr/>
        <w:t>крови</w:t>
      </w:r>
      <w:r>
        <w:rPr>
          <w:spacing w:val="-8"/>
        </w:rPr>
        <w:t> </w:t>
      </w:r>
      <w:r>
        <w:rPr/>
        <w:t>40-50</w:t>
      </w:r>
      <w:r>
        <w:rPr>
          <w:spacing w:val="-9"/>
        </w:rPr>
        <w:t> </w:t>
      </w:r>
      <w:r>
        <w:rPr/>
        <w:t>нг\мл,</w:t>
      </w:r>
      <w:r>
        <w:rPr>
          <w:spacing w:val="-9"/>
        </w:rPr>
        <w:t> </w:t>
      </w:r>
      <w:r>
        <w:rPr/>
        <w:t>такролимуса</w:t>
      </w:r>
      <w:r>
        <w:rPr>
          <w:spacing w:val="-10"/>
        </w:rPr>
        <w:t> </w:t>
      </w:r>
      <w:r>
        <w:rPr/>
        <w:t>1,5-3</w:t>
      </w:r>
      <w:r>
        <w:rPr>
          <w:spacing w:val="-9"/>
        </w:rPr>
        <w:t> </w:t>
      </w:r>
      <w:r>
        <w:rPr>
          <w:spacing w:val="-2"/>
        </w:rPr>
        <w:t>нг\мл.</w:t>
      </w:r>
    </w:p>
    <w:p>
      <w:pPr>
        <w:pStyle w:val="BodyText"/>
        <w:tabs>
          <w:tab w:pos="4094" w:val="left" w:leader="none"/>
          <w:tab w:pos="5115" w:val="left" w:leader="none"/>
          <w:tab w:pos="6546" w:val="left" w:leader="none"/>
          <w:tab w:pos="8542" w:val="left" w:leader="none"/>
          <w:tab w:pos="9556" w:val="left" w:leader="none"/>
        </w:tabs>
        <w:spacing w:line="276" w:lineRule="auto" w:before="39"/>
        <w:ind w:right="1272" w:firstLine="707"/>
      </w:pPr>
      <w:r>
        <w:rPr/>
        <w:t>Антагонисты рецептора ИЛ-6 (тоцилизумаб, левилимаб), блокаторы ИЛ-6 </w:t>
      </w:r>
      <w:r>
        <w:rPr>
          <w:spacing w:val="-2"/>
        </w:rPr>
        <w:t>(олокизумаб)</w:t>
      </w:r>
      <w:r>
        <w:rPr/>
        <w:tab/>
      </w:r>
      <w:r>
        <w:rPr>
          <w:spacing w:val="-10"/>
        </w:rPr>
        <w:t>и</w:t>
      </w:r>
      <w:r>
        <w:rPr/>
        <w:tab/>
      </w:r>
      <w:r>
        <w:rPr>
          <w:spacing w:val="-4"/>
        </w:rPr>
        <w:t>ИЛ-1</w:t>
      </w:r>
      <w:r>
        <w:rPr/>
        <w:tab/>
      </w:r>
      <w:r>
        <w:rPr>
          <w:spacing w:val="-2"/>
        </w:rPr>
        <w:t>(анакинра)</w:t>
      </w:r>
      <w:r>
        <w:rPr/>
        <w:tab/>
      </w:r>
      <w:r>
        <w:rPr>
          <w:spacing w:val="-10"/>
        </w:rPr>
        <w:t>у</w:t>
      </w:r>
      <w:r>
        <w:rPr/>
        <w:tab/>
      </w:r>
      <w:r>
        <w:rPr>
          <w:spacing w:val="-2"/>
        </w:rPr>
        <w:t>пациентов </w:t>
      </w:r>
      <w:r>
        <w:rPr/>
        <w:t>со</w:t>
      </w:r>
      <w:r>
        <w:rPr>
          <w:spacing w:val="80"/>
        </w:rPr>
        <w:t> </w:t>
      </w:r>
      <w:r>
        <w:rPr/>
        <w:t>среднетяжелым,</w:t>
      </w:r>
      <w:r>
        <w:rPr>
          <w:spacing w:val="80"/>
        </w:rPr>
        <w:t> </w:t>
      </w:r>
      <w:r>
        <w:rPr/>
        <w:t>тяжелым</w:t>
      </w:r>
      <w:r>
        <w:rPr>
          <w:spacing w:val="80"/>
        </w:rPr>
        <w:t> </w:t>
      </w:r>
      <w:r>
        <w:rPr/>
        <w:t>и</w:t>
      </w:r>
      <w:r>
        <w:rPr>
          <w:spacing w:val="80"/>
        </w:rPr>
        <w:t> </w:t>
      </w:r>
      <w:r>
        <w:rPr/>
        <w:t>критическим</w:t>
      </w:r>
      <w:r>
        <w:rPr>
          <w:spacing w:val="80"/>
        </w:rPr>
        <w:t> </w:t>
      </w:r>
      <w:r>
        <w:rPr/>
        <w:t>течением</w:t>
      </w:r>
      <w:r>
        <w:rPr>
          <w:spacing w:val="80"/>
        </w:rPr>
        <w:t> </w:t>
      </w:r>
      <w:r>
        <w:rPr/>
        <w:t>COVID-19</w:t>
      </w:r>
      <w:r>
        <w:rPr>
          <w:spacing w:val="80"/>
        </w:rPr>
        <w:t> </w:t>
      </w:r>
      <w:r>
        <w:rPr/>
        <w:t>назначаются</w:t>
      </w:r>
      <w:r>
        <w:rPr>
          <w:spacing w:val="80"/>
        </w:rPr>
        <w:t> </w:t>
      </w:r>
      <w:r>
        <w:rPr/>
        <w:t>в сочетании с ГКС при необходимости респираторной терапии (</w:t>
      </w:r>
      <w:r>
        <w:rPr>
          <w:color w:val="0462C1"/>
          <w:u w:val="single" w:color="0462C1"/>
        </w:rPr>
        <w:t>Приложение 8-2</w:t>
      </w:r>
      <w:r>
        <w:rPr/>
        <w:t>).</w:t>
      </w:r>
    </w:p>
    <w:p>
      <w:pPr>
        <w:pStyle w:val="Heading3"/>
        <w:spacing w:line="276" w:lineRule="auto"/>
        <w:ind w:left="1841" w:right="1273" w:firstLine="707"/>
      </w:pPr>
      <w:r>
        <w:rPr/>
        <w:t>Не рекомендуется использовать ГКС для перорального и внутривенного введения</w:t>
      </w:r>
      <w:r>
        <w:rPr>
          <w:spacing w:val="80"/>
          <w:w w:val="150"/>
        </w:rPr>
        <w:t>  </w:t>
      </w:r>
      <w:r>
        <w:rPr/>
        <w:t>при</w:t>
      </w:r>
      <w:r>
        <w:rPr>
          <w:spacing w:val="80"/>
          <w:w w:val="150"/>
        </w:rPr>
        <w:t>  </w:t>
      </w:r>
      <w:r>
        <w:rPr/>
        <w:t>лечении</w:t>
      </w:r>
      <w:r>
        <w:rPr>
          <w:spacing w:val="80"/>
          <w:w w:val="150"/>
        </w:rPr>
        <w:t>  </w:t>
      </w:r>
      <w:r>
        <w:rPr/>
        <w:t>легких</w:t>
      </w:r>
      <w:r>
        <w:rPr>
          <w:spacing w:val="80"/>
          <w:w w:val="150"/>
        </w:rPr>
        <w:t>  </w:t>
      </w:r>
      <w:r>
        <w:rPr/>
        <w:t>форм</w:t>
      </w:r>
      <w:r>
        <w:rPr>
          <w:spacing w:val="80"/>
          <w:w w:val="150"/>
        </w:rPr>
        <w:t>  </w:t>
      </w:r>
      <w:r>
        <w:rPr/>
        <w:t>COVID-19,</w:t>
      </w:r>
      <w:r>
        <w:rPr>
          <w:spacing w:val="80"/>
          <w:w w:val="150"/>
        </w:rPr>
        <w:t>  </w:t>
      </w:r>
      <w:r>
        <w:rPr/>
        <w:t>в</w:t>
      </w:r>
      <w:r>
        <w:rPr>
          <w:spacing w:val="80"/>
          <w:w w:val="150"/>
        </w:rPr>
        <w:t>  </w:t>
      </w:r>
      <w:r>
        <w:rPr/>
        <w:t>том</w:t>
      </w:r>
      <w:r>
        <w:rPr>
          <w:spacing w:val="80"/>
          <w:w w:val="150"/>
        </w:rPr>
        <w:t>  </w:t>
      </w:r>
      <w:r>
        <w:rPr/>
        <w:t>числе в амбулаторно-поликлинических и стационарных условиях.</w:t>
      </w:r>
    </w:p>
    <w:p>
      <w:pPr>
        <w:pStyle w:val="BodyText"/>
        <w:spacing w:line="276" w:lineRule="auto"/>
        <w:ind w:right="1273" w:firstLine="707"/>
      </w:pPr>
      <w:r>
        <w:rPr>
          <w:b/>
        </w:rPr>
        <w:t>Глюкокортикостероиды (ГКС) являются препаратами первого выбора </w:t>
      </w:r>
      <w:r>
        <w:rPr/>
        <w:t>для лечения больных с цитокиновым штормом (первичным ГЛГ и вторичным САМ/ГЛГ), они угнетают все фазы воспаления, синтез широкого спектра провоспалительных медиаторов, увеличение концентрации которых в рамках цитокинового шторма ассоциируется с</w:t>
      </w:r>
      <w:r>
        <w:rPr>
          <w:spacing w:val="-2"/>
        </w:rPr>
        <w:t> </w:t>
      </w:r>
      <w:r>
        <w:rPr/>
        <w:t>неблагоприятным прогнозом при COVID-19</w:t>
      </w:r>
      <w:r>
        <w:rPr>
          <w:spacing w:val="40"/>
        </w:rPr>
        <w:t> </w:t>
      </w:r>
      <w:r>
        <w:rPr/>
        <w:t>и риском развития ОРДС и сепсиса.</w:t>
      </w:r>
    </w:p>
    <w:p>
      <w:pPr>
        <w:pStyle w:val="BodyText"/>
        <w:spacing w:line="276" w:lineRule="auto"/>
        <w:ind w:right="1280" w:firstLine="707"/>
      </w:pPr>
      <w:r>
        <w:rPr/>
        <w:t>Для проявления полного эффекта ГКС необходимо несколько часов. Максимум фармакологической активности ГКС приходится на тот период времени, когда их пиковые концентрации в крови уже позади.</w:t>
      </w:r>
    </w:p>
    <w:p>
      <w:pPr>
        <w:pStyle w:val="BodyText"/>
        <w:spacing w:line="276" w:lineRule="auto"/>
        <w:ind w:right="1272" w:firstLine="707"/>
      </w:pPr>
      <w:r>
        <w:rPr/>
        <w:t>Для</w:t>
      </w:r>
      <w:r>
        <w:rPr>
          <w:spacing w:val="40"/>
        </w:rPr>
        <w:t>  </w:t>
      </w:r>
      <w:r>
        <w:rPr/>
        <w:t>терапии</w:t>
      </w:r>
      <w:r>
        <w:rPr>
          <w:spacing w:val="40"/>
        </w:rPr>
        <w:t>  </w:t>
      </w:r>
      <w:r>
        <w:rPr/>
        <w:t>среднетяжелой</w:t>
      </w:r>
      <w:r>
        <w:rPr>
          <w:spacing w:val="40"/>
        </w:rPr>
        <w:t>  </w:t>
      </w:r>
      <w:r>
        <w:rPr/>
        <w:t>и</w:t>
      </w:r>
      <w:r>
        <w:rPr>
          <w:spacing w:val="40"/>
        </w:rPr>
        <w:t>  </w:t>
      </w:r>
      <w:r>
        <w:rPr/>
        <w:t>тяжелой</w:t>
      </w:r>
      <w:r>
        <w:rPr>
          <w:spacing w:val="40"/>
        </w:rPr>
        <w:t>  </w:t>
      </w:r>
      <w:r>
        <w:rPr/>
        <w:t>форм</w:t>
      </w:r>
      <w:r>
        <w:rPr>
          <w:spacing w:val="40"/>
        </w:rPr>
        <w:t>  </w:t>
      </w:r>
      <w:r>
        <w:rPr/>
        <w:t>COVID-19</w:t>
      </w:r>
      <w:r>
        <w:rPr>
          <w:spacing w:val="40"/>
        </w:rPr>
        <w:t>  </w:t>
      </w:r>
      <w:r>
        <w:rPr/>
        <w:t>(пневмония с дыхательной недостаточностью/ОРДС, признаки цитокинового шторма) могут применяться различные схемы введения ГКС: дексаметазон в дозе 6-20 мг/сутки внутривенно</w:t>
      </w:r>
      <w:r>
        <w:rPr>
          <w:spacing w:val="25"/>
        </w:rPr>
        <w:t>  </w:t>
      </w:r>
      <w:r>
        <w:rPr/>
        <w:t>в</w:t>
      </w:r>
      <w:r>
        <w:rPr>
          <w:spacing w:val="-2"/>
        </w:rPr>
        <w:t> </w:t>
      </w:r>
      <w:r>
        <w:rPr/>
        <w:t>зависимости</w:t>
      </w:r>
      <w:r>
        <w:rPr>
          <w:spacing w:val="28"/>
        </w:rPr>
        <w:t>  </w:t>
      </w:r>
      <w:r>
        <w:rPr/>
        <w:t>от</w:t>
      </w:r>
      <w:r>
        <w:rPr>
          <w:spacing w:val="27"/>
        </w:rPr>
        <w:t>  </w:t>
      </w:r>
      <w:r>
        <w:rPr/>
        <w:t>тяжести</w:t>
      </w:r>
      <w:r>
        <w:rPr>
          <w:spacing w:val="27"/>
        </w:rPr>
        <w:t>  </w:t>
      </w:r>
      <w:r>
        <w:rPr/>
        <w:t>состояния</w:t>
      </w:r>
      <w:r>
        <w:rPr>
          <w:spacing w:val="26"/>
        </w:rPr>
        <w:t>  </w:t>
      </w:r>
      <w:r>
        <w:rPr/>
        <w:t>пациента</w:t>
      </w:r>
      <w:r>
        <w:rPr>
          <w:spacing w:val="27"/>
        </w:rPr>
        <w:t>  </w:t>
      </w:r>
      <w:r>
        <w:rPr/>
        <w:t>за</w:t>
      </w:r>
      <w:r>
        <w:rPr>
          <w:spacing w:val="25"/>
        </w:rPr>
        <w:t>  </w:t>
      </w:r>
      <w:r>
        <w:rPr/>
        <w:t>1-2</w:t>
      </w:r>
      <w:r>
        <w:rPr>
          <w:spacing w:val="27"/>
        </w:rPr>
        <w:t>  </w:t>
      </w:r>
      <w:r>
        <w:rPr>
          <w:spacing w:val="-2"/>
        </w:rPr>
        <w:t>введения;</w:t>
      </w:r>
    </w:p>
    <w:p>
      <w:pPr>
        <w:pStyle w:val="BodyText"/>
        <w:spacing w:after="0" w:line="276" w:lineRule="auto"/>
        <w:sectPr>
          <w:pgSz w:w="11900" w:h="16840"/>
          <w:pgMar w:header="0" w:footer="697" w:top="1080" w:bottom="880" w:left="0" w:right="0"/>
        </w:sectPr>
      </w:pPr>
    </w:p>
    <w:p>
      <w:pPr>
        <w:pStyle w:val="BodyText"/>
        <w:spacing w:line="276" w:lineRule="auto" w:before="73"/>
        <w:ind w:right="1273"/>
      </w:pPr>
      <w:bookmarkStart w:name="49" w:id="62"/>
      <w:bookmarkEnd w:id="62"/>
      <w:r>
        <w:rPr/>
      </w:r>
      <w:r>
        <w:rPr/>
        <w:t>метилпреднизолон</w:t>
      </w:r>
      <w:r>
        <w:rPr>
          <w:spacing w:val="40"/>
        </w:rPr>
        <w:t> </w:t>
      </w:r>
      <w:r>
        <w:rPr/>
        <w:t>в</w:t>
      </w:r>
      <w:r>
        <w:rPr>
          <w:spacing w:val="40"/>
        </w:rPr>
        <w:t> </w:t>
      </w:r>
      <w:r>
        <w:rPr/>
        <w:t>дозе</w:t>
      </w:r>
      <w:r>
        <w:rPr>
          <w:spacing w:val="40"/>
        </w:rPr>
        <w:t> </w:t>
      </w:r>
      <w:r>
        <w:rPr/>
        <w:t>60</w:t>
      </w:r>
      <w:r>
        <w:rPr>
          <w:spacing w:val="40"/>
        </w:rPr>
        <w:t> </w:t>
      </w:r>
      <w:r>
        <w:rPr/>
        <w:t>мг/введение/внутривенно</w:t>
      </w:r>
      <w:r>
        <w:rPr>
          <w:spacing w:val="40"/>
        </w:rPr>
        <w:t> </w:t>
      </w:r>
      <w:r>
        <w:rPr/>
        <w:t>каждые</w:t>
      </w:r>
      <w:r>
        <w:rPr>
          <w:spacing w:val="40"/>
        </w:rPr>
        <w:t> </w:t>
      </w:r>
      <w:r>
        <w:rPr/>
        <w:t>6-8</w:t>
      </w:r>
      <w:r>
        <w:rPr>
          <w:spacing w:val="40"/>
        </w:rPr>
        <w:t> </w:t>
      </w:r>
      <w:r>
        <w:rPr/>
        <w:t>ч.</w:t>
      </w:r>
      <w:r>
        <w:rPr>
          <w:spacing w:val="80"/>
        </w:rPr>
        <w:t> </w:t>
      </w:r>
      <w:r>
        <w:rPr/>
        <w:t>(</w:t>
      </w:r>
      <w:r>
        <w:rPr>
          <w:color w:val="0462C1"/>
          <w:u w:val="single" w:color="0462C1"/>
        </w:rPr>
        <w:t>Приложение 8-2</w:t>
      </w:r>
      <w:r>
        <w:rPr/>
        <w:t>).</w:t>
      </w:r>
    </w:p>
    <w:p>
      <w:pPr>
        <w:pStyle w:val="BodyText"/>
        <w:spacing w:line="276" w:lineRule="auto"/>
        <w:ind w:right="1276" w:firstLine="707"/>
      </w:pPr>
      <w:r>
        <w:rPr/>
        <w:t>У пациентов с противопоказаниями для назначения ГИБП метилпреднизолон применяется в дозе 125 мг/введение/внутривенно каждые 12 ч. или 250 мг/введение/внутривенно одномоментно (</w:t>
      </w:r>
      <w:r>
        <w:rPr>
          <w:color w:val="0462C1"/>
          <w:u w:val="single" w:color="0462C1"/>
        </w:rPr>
        <w:t>Приложение 8-2</w:t>
      </w:r>
      <w:r>
        <w:rPr/>
        <w:t>).</w:t>
      </w:r>
    </w:p>
    <w:p>
      <w:pPr>
        <w:pStyle w:val="BodyText"/>
        <w:spacing w:line="276" w:lineRule="auto"/>
        <w:ind w:right="1276" w:firstLine="707"/>
      </w:pPr>
      <w:r>
        <w:rPr/>
        <w:t>При</w:t>
      </w:r>
      <w:r>
        <w:rPr>
          <w:spacing w:val="-11"/>
        </w:rPr>
        <w:t> </w:t>
      </w:r>
      <w:r>
        <w:rPr/>
        <w:t>развитии</w:t>
      </w:r>
      <w:r>
        <w:rPr>
          <w:spacing w:val="-11"/>
        </w:rPr>
        <w:t> </w:t>
      </w:r>
      <w:r>
        <w:rPr/>
        <w:t>синдрома</w:t>
      </w:r>
      <w:r>
        <w:rPr>
          <w:spacing w:val="-13"/>
        </w:rPr>
        <w:t> </w:t>
      </w:r>
      <w:r>
        <w:rPr/>
        <w:t>активации</w:t>
      </w:r>
      <w:r>
        <w:rPr>
          <w:spacing w:val="-10"/>
        </w:rPr>
        <w:t> </w:t>
      </w:r>
      <w:r>
        <w:rPr/>
        <w:t>макрофагов</w:t>
      </w:r>
      <w:r>
        <w:rPr>
          <w:spacing w:val="-12"/>
        </w:rPr>
        <w:t> </w:t>
      </w:r>
      <w:r>
        <w:rPr/>
        <w:t>(нарастание</w:t>
      </w:r>
      <w:r>
        <w:rPr>
          <w:spacing w:val="-12"/>
        </w:rPr>
        <w:t> </w:t>
      </w:r>
      <w:r>
        <w:rPr/>
        <w:t>уровня</w:t>
      </w:r>
      <w:r>
        <w:rPr>
          <w:spacing w:val="-11"/>
        </w:rPr>
        <w:t> </w:t>
      </w:r>
      <w:r>
        <w:rPr/>
        <w:t>ферритина, СРБ сыворотки крови, развитие двух-трехростковой цитопении) метилпреднизолон применяется в дозе 125 мг/введение/внутривенно каждые 6-12 ч или</w:t>
      </w:r>
      <w:r>
        <w:rPr>
          <w:spacing w:val="31"/>
        </w:rPr>
        <w:t> </w:t>
      </w:r>
      <w:r>
        <w:rPr/>
        <w:t>дексаметазон</w:t>
      </w:r>
      <w:r>
        <w:rPr>
          <w:spacing w:val="80"/>
        </w:rPr>
        <w:t> </w:t>
      </w:r>
      <w:r>
        <w:rPr/>
        <w:t>6-20 мг/внутривенно (</w:t>
      </w:r>
      <w:r>
        <w:rPr>
          <w:color w:val="0462C1"/>
          <w:u w:val="single" w:color="0462C1"/>
        </w:rPr>
        <w:t>Приложение 8-2</w:t>
      </w:r>
      <w:r>
        <w:rPr/>
        <w:t>).</w:t>
      </w:r>
    </w:p>
    <w:p>
      <w:pPr>
        <w:pStyle w:val="BodyText"/>
        <w:spacing w:line="276" w:lineRule="auto"/>
        <w:ind w:right="1273" w:firstLine="707"/>
      </w:pPr>
      <w:r>
        <w:rPr/>
        <w:t>Максимальная доза ГКС применяется в течение 3-4 суток, а затем снижается при стабилизации состояния (купирование лихорадки, стабильное снижение уровня СРБ, активности АЛТ и/или АСТ, ЛДГ сыворотки крови).</w:t>
      </w:r>
    </w:p>
    <w:p>
      <w:pPr>
        <w:pStyle w:val="BodyText"/>
        <w:spacing w:line="276" w:lineRule="auto"/>
        <w:ind w:right="1273" w:firstLine="707"/>
      </w:pPr>
      <w:r>
        <w:rPr/>
        <w:t>Доза ГКС снижается на 20-25% на введение/сутки в первые 2 суток, далее –</w:t>
      </w:r>
      <w:r>
        <w:rPr>
          <w:spacing w:val="40"/>
        </w:rPr>
        <w:t> </w:t>
      </w:r>
      <w:r>
        <w:rPr/>
        <w:t>на 50% каждые 1-2 суток до полной отмены.</w:t>
      </w:r>
    </w:p>
    <w:p>
      <w:pPr>
        <w:pStyle w:val="BodyText"/>
        <w:spacing w:line="276" w:lineRule="auto"/>
        <w:ind w:right="1272" w:firstLine="707"/>
      </w:pPr>
      <w:r>
        <w:rPr/>
        <w:t>При наличии признаков надпочечниковой недостаточности внутривенно вводится</w:t>
      </w:r>
      <w:r>
        <w:rPr>
          <w:spacing w:val="-5"/>
        </w:rPr>
        <w:t> </w:t>
      </w:r>
      <w:r>
        <w:rPr/>
        <w:t>гидрокортизон</w:t>
      </w:r>
      <w:r>
        <w:rPr>
          <w:spacing w:val="-4"/>
        </w:rPr>
        <w:t> </w:t>
      </w:r>
      <w:r>
        <w:rPr/>
        <w:t>в</w:t>
      </w:r>
      <w:r>
        <w:rPr>
          <w:spacing w:val="-5"/>
        </w:rPr>
        <w:t> </w:t>
      </w:r>
      <w:r>
        <w:rPr/>
        <w:t>дозе</w:t>
      </w:r>
      <w:r>
        <w:rPr>
          <w:spacing w:val="-5"/>
        </w:rPr>
        <w:t> </w:t>
      </w:r>
      <w:r>
        <w:rPr/>
        <w:t>50-100</w:t>
      </w:r>
      <w:r>
        <w:rPr>
          <w:spacing w:val="-5"/>
        </w:rPr>
        <w:t> </w:t>
      </w:r>
      <w:r>
        <w:rPr/>
        <w:t>мг,</w:t>
      </w:r>
      <w:r>
        <w:rPr>
          <w:spacing w:val="-3"/>
        </w:rPr>
        <w:t> </w:t>
      </w:r>
      <w:r>
        <w:rPr/>
        <w:t>с</w:t>
      </w:r>
      <w:r>
        <w:rPr>
          <w:spacing w:val="-5"/>
        </w:rPr>
        <w:t> </w:t>
      </w:r>
      <w:r>
        <w:rPr/>
        <w:t>последующим</w:t>
      </w:r>
      <w:r>
        <w:rPr>
          <w:spacing w:val="-5"/>
        </w:rPr>
        <w:t> </w:t>
      </w:r>
      <w:r>
        <w:rPr/>
        <w:t>медленным</w:t>
      </w:r>
      <w:r>
        <w:rPr>
          <w:spacing w:val="-6"/>
        </w:rPr>
        <w:t> </w:t>
      </w:r>
      <w:r>
        <w:rPr/>
        <w:t>внутривенным введением препарата в течение 1 ч в дозе 200 мг в сутки.</w:t>
      </w:r>
    </w:p>
    <w:p>
      <w:pPr>
        <w:pStyle w:val="BodyText"/>
        <w:spacing w:line="276" w:lineRule="auto"/>
        <w:ind w:right="1278" w:firstLine="707"/>
      </w:pPr>
      <w:r>
        <w:rPr/>
        <w:t>Пациенты,</w:t>
      </w:r>
      <w:r>
        <w:rPr>
          <w:spacing w:val="40"/>
        </w:rPr>
        <w:t>  </w:t>
      </w:r>
      <w:r>
        <w:rPr/>
        <w:t>получающие</w:t>
      </w:r>
      <w:r>
        <w:rPr>
          <w:spacing w:val="40"/>
        </w:rPr>
        <w:t>  </w:t>
      </w:r>
      <w:r>
        <w:rPr/>
        <w:t>ГКС,</w:t>
      </w:r>
      <w:r>
        <w:rPr>
          <w:spacing w:val="40"/>
        </w:rPr>
        <w:t>  </w:t>
      </w:r>
      <w:r>
        <w:rPr/>
        <w:t>должны</w:t>
      </w:r>
      <w:r>
        <w:rPr>
          <w:spacing w:val="40"/>
        </w:rPr>
        <w:t>  </w:t>
      </w:r>
      <w:r>
        <w:rPr/>
        <w:t>находиться</w:t>
      </w:r>
      <w:r>
        <w:rPr>
          <w:spacing w:val="40"/>
        </w:rPr>
        <w:t>  </w:t>
      </w:r>
      <w:r>
        <w:rPr/>
        <w:t>под</w:t>
      </w:r>
      <w:r>
        <w:rPr>
          <w:spacing w:val="40"/>
        </w:rPr>
        <w:t>  </w:t>
      </w:r>
      <w:r>
        <w:rPr/>
        <w:t>наблюдением на предмет возникновения побочных эффектов. К ним относятся: гипергликемия, артериальная гипертензия, эрозивно-язвенное поражение верхних отделов ЖКТ.</w:t>
      </w:r>
    </w:p>
    <w:p>
      <w:pPr>
        <w:pStyle w:val="Heading3"/>
        <w:spacing w:line="276" w:lineRule="exact"/>
        <w:ind w:left="2407"/>
      </w:pPr>
      <w:r>
        <w:rPr/>
        <w:t>ГКС</w:t>
      </w:r>
      <w:r>
        <w:rPr>
          <w:spacing w:val="-15"/>
        </w:rPr>
        <w:t> </w:t>
      </w:r>
      <w:r>
        <w:rPr/>
        <w:t>необходимо</w:t>
      </w:r>
      <w:r>
        <w:rPr>
          <w:spacing w:val="-15"/>
        </w:rPr>
        <w:t> </w:t>
      </w:r>
      <w:r>
        <w:rPr/>
        <w:t>применять</w:t>
      </w:r>
      <w:r>
        <w:rPr>
          <w:spacing w:val="-14"/>
        </w:rPr>
        <w:t> </w:t>
      </w:r>
      <w:r>
        <w:rPr/>
        <w:t>с</w:t>
      </w:r>
      <w:r>
        <w:rPr>
          <w:spacing w:val="-15"/>
        </w:rPr>
        <w:t> </w:t>
      </w:r>
      <w:r>
        <w:rPr/>
        <w:t>осторожностью</w:t>
      </w:r>
      <w:r>
        <w:rPr>
          <w:spacing w:val="-14"/>
        </w:rPr>
        <w:t> </w:t>
      </w:r>
      <w:r>
        <w:rPr>
          <w:spacing w:val="-4"/>
        </w:rPr>
        <w:t>при:</w:t>
      </w:r>
    </w:p>
    <w:p>
      <w:pPr>
        <w:pStyle w:val="ListParagraph"/>
        <w:numPr>
          <w:ilvl w:val="0"/>
          <w:numId w:val="20"/>
        </w:numPr>
        <w:tabs>
          <w:tab w:pos="3126" w:val="left" w:leader="none"/>
        </w:tabs>
        <w:spacing w:line="240" w:lineRule="auto" w:before="38" w:after="0"/>
        <w:ind w:left="3126" w:right="0" w:hanging="359"/>
        <w:jc w:val="left"/>
        <w:rPr>
          <w:sz w:val="24"/>
        </w:rPr>
      </w:pPr>
      <w:r>
        <w:rPr>
          <w:sz w:val="24"/>
        </w:rPr>
        <w:t>Cахарном</w:t>
      </w:r>
      <w:r>
        <w:rPr>
          <w:spacing w:val="-15"/>
          <w:sz w:val="24"/>
        </w:rPr>
        <w:t> </w:t>
      </w:r>
      <w:r>
        <w:rPr>
          <w:spacing w:val="-2"/>
          <w:sz w:val="24"/>
        </w:rPr>
        <w:t>диабете;</w:t>
      </w:r>
    </w:p>
    <w:p>
      <w:pPr>
        <w:pStyle w:val="ListParagraph"/>
        <w:numPr>
          <w:ilvl w:val="0"/>
          <w:numId w:val="20"/>
        </w:numPr>
        <w:tabs>
          <w:tab w:pos="3126" w:val="left" w:leader="none"/>
        </w:tabs>
        <w:spacing w:line="240" w:lineRule="auto" w:before="40" w:after="0"/>
        <w:ind w:left="3126" w:right="0" w:hanging="359"/>
        <w:jc w:val="left"/>
        <w:rPr>
          <w:sz w:val="24"/>
        </w:rPr>
      </w:pPr>
      <w:r>
        <w:rPr>
          <w:spacing w:val="-2"/>
          <w:sz w:val="24"/>
        </w:rPr>
        <w:t>Гипертонической</w:t>
      </w:r>
      <w:r>
        <w:rPr>
          <w:spacing w:val="4"/>
          <w:sz w:val="24"/>
        </w:rPr>
        <w:t> </w:t>
      </w:r>
      <w:r>
        <w:rPr>
          <w:spacing w:val="-2"/>
          <w:sz w:val="24"/>
        </w:rPr>
        <w:t>болезни;</w:t>
      </w:r>
    </w:p>
    <w:p>
      <w:pPr>
        <w:pStyle w:val="ListParagraph"/>
        <w:numPr>
          <w:ilvl w:val="0"/>
          <w:numId w:val="20"/>
        </w:numPr>
        <w:tabs>
          <w:tab w:pos="3126" w:val="left" w:leader="none"/>
        </w:tabs>
        <w:spacing w:line="240" w:lineRule="auto" w:before="41" w:after="0"/>
        <w:ind w:left="3126" w:right="0" w:hanging="359"/>
        <w:jc w:val="left"/>
        <w:rPr>
          <w:sz w:val="24"/>
        </w:rPr>
      </w:pPr>
      <w:r>
        <w:rPr>
          <w:sz w:val="24"/>
        </w:rPr>
        <w:t>Язвенной</w:t>
      </w:r>
      <w:r>
        <w:rPr>
          <w:spacing w:val="-10"/>
          <w:sz w:val="24"/>
        </w:rPr>
        <w:t> </w:t>
      </w:r>
      <w:r>
        <w:rPr>
          <w:sz w:val="24"/>
        </w:rPr>
        <w:t>болезни</w:t>
      </w:r>
      <w:r>
        <w:rPr>
          <w:spacing w:val="-10"/>
          <w:sz w:val="24"/>
        </w:rPr>
        <w:t> </w:t>
      </w:r>
      <w:r>
        <w:rPr>
          <w:sz w:val="24"/>
        </w:rPr>
        <w:t>желудка</w:t>
      </w:r>
      <w:r>
        <w:rPr>
          <w:spacing w:val="-11"/>
          <w:sz w:val="24"/>
        </w:rPr>
        <w:t> </w:t>
      </w:r>
      <w:r>
        <w:rPr>
          <w:sz w:val="24"/>
        </w:rPr>
        <w:t>и</w:t>
      </w:r>
      <w:r>
        <w:rPr>
          <w:spacing w:val="-10"/>
          <w:sz w:val="24"/>
        </w:rPr>
        <w:t> </w:t>
      </w:r>
      <w:r>
        <w:rPr>
          <w:sz w:val="24"/>
        </w:rPr>
        <w:t>12-перстной</w:t>
      </w:r>
      <w:r>
        <w:rPr>
          <w:spacing w:val="-12"/>
          <w:sz w:val="24"/>
        </w:rPr>
        <w:t> </w:t>
      </w:r>
      <w:r>
        <w:rPr>
          <w:spacing w:val="-2"/>
          <w:sz w:val="24"/>
        </w:rPr>
        <w:t>кишки;</w:t>
      </w:r>
    </w:p>
    <w:p>
      <w:pPr>
        <w:pStyle w:val="ListParagraph"/>
        <w:numPr>
          <w:ilvl w:val="0"/>
          <w:numId w:val="20"/>
        </w:numPr>
        <w:tabs>
          <w:tab w:pos="3126" w:val="left" w:leader="none"/>
        </w:tabs>
        <w:spacing w:line="240" w:lineRule="auto" w:before="39" w:after="0"/>
        <w:ind w:left="3126" w:right="0" w:hanging="359"/>
        <w:jc w:val="left"/>
        <w:rPr>
          <w:sz w:val="24"/>
        </w:rPr>
      </w:pPr>
      <w:r>
        <w:rPr>
          <w:spacing w:val="-2"/>
          <w:sz w:val="24"/>
        </w:rPr>
        <w:t>Ожирении;</w:t>
      </w:r>
    </w:p>
    <w:p>
      <w:pPr>
        <w:pStyle w:val="ListParagraph"/>
        <w:numPr>
          <w:ilvl w:val="0"/>
          <w:numId w:val="20"/>
        </w:numPr>
        <w:tabs>
          <w:tab w:pos="3126" w:val="left" w:leader="none"/>
        </w:tabs>
        <w:spacing w:line="240" w:lineRule="auto" w:before="42" w:after="0"/>
        <w:ind w:left="3126" w:right="0" w:hanging="359"/>
        <w:jc w:val="left"/>
        <w:rPr>
          <w:sz w:val="24"/>
        </w:rPr>
      </w:pPr>
      <w:r>
        <w:rPr>
          <w:spacing w:val="-2"/>
          <w:sz w:val="24"/>
        </w:rPr>
        <w:t>Признаках</w:t>
      </w:r>
      <w:r>
        <w:rPr>
          <w:spacing w:val="1"/>
          <w:sz w:val="24"/>
        </w:rPr>
        <w:t> </w:t>
      </w:r>
      <w:r>
        <w:rPr>
          <w:spacing w:val="-2"/>
          <w:sz w:val="24"/>
        </w:rPr>
        <w:t>активной</w:t>
      </w:r>
      <w:r>
        <w:rPr>
          <w:sz w:val="24"/>
        </w:rPr>
        <w:t> </w:t>
      </w:r>
      <w:r>
        <w:rPr>
          <w:spacing w:val="-2"/>
          <w:sz w:val="24"/>
        </w:rPr>
        <w:t>бактериальной</w:t>
      </w:r>
      <w:r>
        <w:rPr>
          <w:spacing w:val="2"/>
          <w:sz w:val="24"/>
        </w:rPr>
        <w:t> </w:t>
      </w:r>
      <w:r>
        <w:rPr>
          <w:spacing w:val="-2"/>
          <w:sz w:val="24"/>
        </w:rPr>
        <w:t>инфекции;</w:t>
      </w:r>
    </w:p>
    <w:p>
      <w:pPr>
        <w:pStyle w:val="ListParagraph"/>
        <w:numPr>
          <w:ilvl w:val="0"/>
          <w:numId w:val="20"/>
        </w:numPr>
        <w:tabs>
          <w:tab w:pos="3126" w:val="left" w:leader="none"/>
        </w:tabs>
        <w:spacing w:line="240" w:lineRule="auto" w:before="39" w:after="0"/>
        <w:ind w:left="3126" w:right="0" w:hanging="359"/>
        <w:jc w:val="left"/>
        <w:rPr>
          <w:sz w:val="24"/>
        </w:rPr>
      </w:pPr>
      <w:r>
        <w:rPr>
          <w:spacing w:val="-2"/>
          <w:sz w:val="24"/>
        </w:rPr>
        <w:t>Тромботических</w:t>
      </w:r>
      <w:r>
        <w:rPr>
          <w:spacing w:val="5"/>
          <w:sz w:val="24"/>
        </w:rPr>
        <w:t> </w:t>
      </w:r>
      <w:r>
        <w:rPr>
          <w:spacing w:val="-2"/>
          <w:sz w:val="24"/>
        </w:rPr>
        <w:t>нарушениях.</w:t>
      </w:r>
    </w:p>
    <w:p>
      <w:pPr>
        <w:pStyle w:val="Heading3"/>
        <w:spacing w:before="160"/>
      </w:pPr>
      <w:r>
        <w:rPr>
          <w:color w:val="1F487C"/>
          <w:spacing w:val="-2"/>
        </w:rPr>
        <w:t>Оценка</w:t>
      </w:r>
      <w:r>
        <w:rPr>
          <w:color w:val="1F487C"/>
        </w:rPr>
        <w:t> </w:t>
      </w:r>
      <w:r>
        <w:rPr>
          <w:color w:val="1F487C"/>
          <w:spacing w:val="-2"/>
        </w:rPr>
        <w:t>эффективности</w:t>
      </w:r>
      <w:r>
        <w:rPr>
          <w:color w:val="1F487C"/>
          <w:spacing w:val="2"/>
        </w:rPr>
        <w:t> </w:t>
      </w:r>
      <w:r>
        <w:rPr>
          <w:color w:val="1F487C"/>
          <w:spacing w:val="-2"/>
        </w:rPr>
        <w:t>патогенетической</w:t>
      </w:r>
      <w:r>
        <w:rPr>
          <w:color w:val="1F487C"/>
          <w:spacing w:val="2"/>
        </w:rPr>
        <w:t> </w:t>
      </w:r>
      <w:r>
        <w:rPr>
          <w:color w:val="1F487C"/>
          <w:spacing w:val="-2"/>
        </w:rPr>
        <w:t>терапии</w:t>
      </w:r>
    </w:p>
    <w:p>
      <w:pPr>
        <w:pStyle w:val="BodyText"/>
        <w:spacing w:line="276" w:lineRule="auto" w:before="40"/>
        <w:ind w:right="1272" w:firstLine="707"/>
      </w:pPr>
      <w:r>
        <w:rPr/>
        <w:t>Основным критерием эффективности патогенетической терапии является динамика клинических показателей: снижение уровня лихорадки, улучшение самочувствия,</w:t>
      </w:r>
      <w:r>
        <w:rPr>
          <w:spacing w:val="-10"/>
        </w:rPr>
        <w:t> </w:t>
      </w:r>
      <w:r>
        <w:rPr/>
        <w:t>появление</w:t>
      </w:r>
      <w:r>
        <w:rPr>
          <w:spacing w:val="-11"/>
        </w:rPr>
        <w:t> </w:t>
      </w:r>
      <w:r>
        <w:rPr/>
        <w:t>аппетита,</w:t>
      </w:r>
      <w:r>
        <w:rPr>
          <w:spacing w:val="-11"/>
        </w:rPr>
        <w:t> </w:t>
      </w:r>
      <w:r>
        <w:rPr/>
        <w:t>уменьшение</w:t>
      </w:r>
      <w:r>
        <w:rPr>
          <w:spacing w:val="-11"/>
        </w:rPr>
        <w:t> </w:t>
      </w:r>
      <w:r>
        <w:rPr/>
        <w:t>одышки,</w:t>
      </w:r>
      <w:r>
        <w:rPr>
          <w:spacing w:val="-13"/>
        </w:rPr>
        <w:t> </w:t>
      </w:r>
      <w:r>
        <w:rPr/>
        <w:t>повышение</w:t>
      </w:r>
      <w:r>
        <w:rPr>
          <w:spacing w:val="-11"/>
        </w:rPr>
        <w:t> </w:t>
      </w:r>
      <w:r>
        <w:rPr/>
        <w:t>SpО2.</w:t>
      </w:r>
      <w:r>
        <w:rPr>
          <w:spacing w:val="-11"/>
        </w:rPr>
        <w:t> </w:t>
      </w:r>
      <w:r>
        <w:rPr/>
        <w:t>При</w:t>
      </w:r>
      <w:r>
        <w:rPr>
          <w:spacing w:val="-10"/>
        </w:rPr>
        <w:t> </w:t>
      </w:r>
      <w:r>
        <w:rPr/>
        <w:t>этом эффект</w:t>
      </w:r>
      <w:r>
        <w:rPr>
          <w:spacing w:val="28"/>
        </w:rPr>
        <w:t> </w:t>
      </w:r>
      <w:r>
        <w:rPr/>
        <w:t>от</w:t>
      </w:r>
      <w:r>
        <w:rPr>
          <w:spacing w:val="29"/>
        </w:rPr>
        <w:t> </w:t>
      </w:r>
      <w:r>
        <w:rPr/>
        <w:t>блокаторов</w:t>
      </w:r>
      <w:r>
        <w:rPr>
          <w:spacing w:val="25"/>
        </w:rPr>
        <w:t> </w:t>
      </w:r>
      <w:r>
        <w:rPr/>
        <w:t>ИЛ-6</w:t>
      </w:r>
      <w:r>
        <w:rPr>
          <w:spacing w:val="40"/>
        </w:rPr>
        <w:t> </w:t>
      </w:r>
      <w:r>
        <w:rPr>
          <w:sz w:val="28"/>
        </w:rPr>
        <w:t>и</w:t>
      </w:r>
      <w:r>
        <w:rPr>
          <w:spacing w:val="32"/>
          <w:sz w:val="28"/>
        </w:rPr>
        <w:t> </w:t>
      </w:r>
      <w:r>
        <w:rPr/>
        <w:t>ИЛ-1</w:t>
      </w:r>
      <w:r>
        <w:rPr>
          <w:spacing w:val="28"/>
        </w:rPr>
        <w:t> </w:t>
      </w:r>
      <w:r>
        <w:rPr/>
        <w:t>наступает</w:t>
      </w:r>
      <w:r>
        <w:rPr>
          <w:spacing w:val="28"/>
        </w:rPr>
        <w:t> </w:t>
      </w:r>
      <w:r>
        <w:rPr/>
        <w:t>в</w:t>
      </w:r>
      <w:r>
        <w:rPr>
          <w:spacing w:val="27"/>
        </w:rPr>
        <w:t> </w:t>
      </w:r>
      <w:r>
        <w:rPr/>
        <w:t>течение</w:t>
      </w:r>
      <w:r>
        <w:rPr>
          <w:spacing w:val="26"/>
        </w:rPr>
        <w:t> </w:t>
      </w:r>
      <w:r>
        <w:rPr/>
        <w:t>12</w:t>
      </w:r>
      <w:r>
        <w:rPr>
          <w:spacing w:val="27"/>
        </w:rPr>
        <w:t> </w:t>
      </w:r>
      <w:r>
        <w:rPr/>
        <w:t>ч</w:t>
      </w:r>
      <w:r>
        <w:rPr>
          <w:spacing w:val="27"/>
        </w:rPr>
        <w:t> </w:t>
      </w:r>
      <w:r>
        <w:rPr/>
        <w:t>(чаще</w:t>
      </w:r>
      <w:r>
        <w:rPr>
          <w:spacing w:val="29"/>
        </w:rPr>
        <w:t> </w:t>
      </w:r>
      <w:r>
        <w:rPr/>
        <w:t>используются 1-2</w:t>
      </w:r>
      <w:r>
        <w:rPr>
          <w:spacing w:val="28"/>
        </w:rPr>
        <w:t> </w:t>
      </w:r>
      <w:r>
        <w:rPr/>
        <w:t>инфузии/инъекции),</w:t>
      </w:r>
      <w:r>
        <w:rPr>
          <w:spacing w:val="27"/>
        </w:rPr>
        <w:t> </w:t>
      </w:r>
      <w:r>
        <w:rPr/>
        <w:t>лечения</w:t>
      </w:r>
      <w:r>
        <w:rPr>
          <w:spacing w:val="27"/>
        </w:rPr>
        <w:t> </w:t>
      </w:r>
      <w:r>
        <w:rPr/>
        <w:t>ГК</w:t>
      </w:r>
      <w:r>
        <w:rPr>
          <w:spacing w:val="31"/>
        </w:rPr>
        <w:t> </w:t>
      </w:r>
      <w:r>
        <w:rPr/>
        <w:t>–</w:t>
      </w:r>
      <w:r>
        <w:rPr>
          <w:spacing w:val="25"/>
        </w:rPr>
        <w:t> </w:t>
      </w:r>
      <w:r>
        <w:rPr/>
        <w:t>от</w:t>
      </w:r>
      <w:r>
        <w:rPr>
          <w:spacing w:val="28"/>
        </w:rPr>
        <w:t> </w:t>
      </w:r>
      <w:r>
        <w:rPr/>
        <w:t>12</w:t>
      </w:r>
      <w:r>
        <w:rPr>
          <w:spacing w:val="25"/>
        </w:rPr>
        <w:t> </w:t>
      </w:r>
      <w:r>
        <w:rPr/>
        <w:t>до</w:t>
      </w:r>
      <w:r>
        <w:rPr>
          <w:spacing w:val="27"/>
        </w:rPr>
        <w:t> </w:t>
      </w:r>
      <w:r>
        <w:rPr/>
        <w:t>72</w:t>
      </w:r>
      <w:r>
        <w:rPr>
          <w:spacing w:val="27"/>
        </w:rPr>
        <w:t> </w:t>
      </w:r>
      <w:r>
        <w:rPr/>
        <w:t>ч</w:t>
      </w:r>
      <w:r>
        <w:rPr>
          <w:spacing w:val="27"/>
        </w:rPr>
        <w:t> </w:t>
      </w:r>
      <w:r>
        <w:rPr/>
        <w:t>(курс</w:t>
      </w:r>
      <w:r>
        <w:rPr>
          <w:spacing w:val="27"/>
        </w:rPr>
        <w:t> </w:t>
      </w:r>
      <w:r>
        <w:rPr/>
        <w:t>2-3</w:t>
      </w:r>
      <w:r>
        <w:rPr>
          <w:spacing w:val="27"/>
        </w:rPr>
        <w:t> </w:t>
      </w:r>
      <w:r>
        <w:rPr/>
        <w:t>суток).</w:t>
      </w:r>
      <w:r>
        <w:rPr>
          <w:spacing w:val="28"/>
        </w:rPr>
        <w:t> </w:t>
      </w:r>
      <w:r>
        <w:rPr/>
        <w:t>Если</w:t>
      </w:r>
      <w:r>
        <w:rPr>
          <w:spacing w:val="29"/>
        </w:rPr>
        <w:t> </w:t>
      </w:r>
      <w:r>
        <w:rPr/>
        <w:t>эффект от патогенетической терапии не получен, необходимо предполагать другие причины ухудшения состояния (прогрессирование пневмонии, сепсис и др.).</w:t>
      </w:r>
    </w:p>
    <w:p>
      <w:pPr>
        <w:pStyle w:val="Heading3"/>
        <w:spacing w:line="276" w:lineRule="auto" w:before="117"/>
        <w:ind w:left="1841" w:right="1273" w:firstLine="707"/>
      </w:pPr>
      <w:r>
        <w:rPr>
          <w:color w:val="1F487C"/>
        </w:rPr>
        <w:t>Контроль инфекционных осложнений у пациентов с COVID-19, получающих ГКС в комбинации с генно-инженерными биологическими </w:t>
      </w:r>
      <w:r>
        <w:rPr>
          <w:color w:val="1F487C"/>
          <w:spacing w:val="-2"/>
        </w:rPr>
        <w:t>препаратами</w:t>
      </w:r>
    </w:p>
    <w:p>
      <w:pPr>
        <w:pStyle w:val="BodyText"/>
        <w:spacing w:line="276" w:lineRule="auto"/>
        <w:ind w:right="1271" w:firstLine="707"/>
      </w:pPr>
      <w:r>
        <w:rPr>
          <w:u w:val="single"/>
        </w:rPr>
        <w:t>На фоне терапии ГКС,</w:t>
      </w:r>
      <w:r>
        <w:rPr>
          <w:spacing w:val="-2"/>
          <w:u w:val="single"/>
        </w:rPr>
        <w:t> </w:t>
      </w:r>
      <w:r>
        <w:rPr>
          <w:u w:val="single"/>
        </w:rPr>
        <w:t>особенно в сочетании с</w:t>
      </w:r>
      <w:r>
        <w:rPr>
          <w:spacing w:val="-1"/>
          <w:u w:val="single"/>
        </w:rPr>
        <w:t> </w:t>
      </w:r>
      <w:r>
        <w:rPr>
          <w:u w:val="single"/>
        </w:rPr>
        <w:t>ГИБП (</w:t>
      </w:r>
      <w:r>
        <w:rPr/>
        <w:t>блокаторами рецептора ИЛ-6, или ИЛ-6, или ИЛ-1), повышается риск развития инфекционных осложнений,</w:t>
      </w:r>
      <w:r>
        <w:rPr>
          <w:spacing w:val="40"/>
        </w:rPr>
        <w:t> </w:t>
      </w:r>
      <w:r>
        <w:rPr/>
        <w:t>в том числе вызванных оппортунистической инфекцией (бактериальной, пневмоцистной, грибковой, вирусной пневмонией), инвазивного микоза, гнойных осложнений, сепсиса, активации вирусов герпетической группы.</w:t>
      </w:r>
    </w:p>
    <w:p>
      <w:pPr>
        <w:pStyle w:val="BodyText"/>
        <w:spacing w:after="0" w:line="276" w:lineRule="auto"/>
        <w:sectPr>
          <w:pgSz w:w="11900" w:h="16840"/>
          <w:pgMar w:header="0" w:footer="697" w:top="1080" w:bottom="880" w:left="0" w:right="0"/>
        </w:sectPr>
      </w:pPr>
    </w:p>
    <w:p>
      <w:pPr>
        <w:pStyle w:val="BodyText"/>
        <w:spacing w:line="276" w:lineRule="auto" w:before="73"/>
        <w:ind w:right="1275" w:firstLine="707"/>
      </w:pPr>
      <w:bookmarkStart w:name="50" w:id="63"/>
      <w:bookmarkEnd w:id="63"/>
      <w:r>
        <w:rPr/>
      </w:r>
      <w:r>
        <w:rPr/>
        <w:t>Инфекционные осложнения (бактериальные, грибковые), как правило, сопровождаются классическими признаками воспаления: лихорадкой, повышением острофазовых показателей воспаления - СОЭ, числа лейкоцитов крови, уровня СРБ сыворотки крови, прокальцитонина крови.</w:t>
      </w:r>
    </w:p>
    <w:p>
      <w:pPr>
        <w:pStyle w:val="BodyText"/>
        <w:spacing w:line="276" w:lineRule="auto"/>
        <w:ind w:right="1273" w:firstLine="707"/>
      </w:pPr>
      <w:r>
        <w:rPr/>
        <w:t>Однако необходимо помнить об особенностях течения инфекционных осложнений, развивающихся в условиях лечения генно-инженерными биологическими препаратами.</w:t>
      </w:r>
    </w:p>
    <w:p>
      <w:pPr>
        <w:pStyle w:val="Heading3"/>
        <w:spacing w:line="276" w:lineRule="auto"/>
        <w:ind w:left="1841" w:right="1272" w:firstLine="707"/>
      </w:pPr>
      <w:r>
        <w:rPr>
          <w:b w:val="0"/>
        </w:rPr>
        <w:t>Они включают: </w:t>
      </w:r>
      <w:r>
        <w:rPr/>
        <w:t>отсутствие лихорадки или низкий субфебрилитет; низкий уровень СРБ сыворотки крови; низкий уровень прокальцитонина или незначительное его повышение; низкое число лейкоцитов или незначительное его повышение; нейтропению.</w:t>
      </w:r>
    </w:p>
    <w:p>
      <w:pPr>
        <w:pStyle w:val="BodyText"/>
        <w:tabs>
          <w:tab w:pos="5437" w:val="left" w:leader="none"/>
          <w:tab w:pos="7223" w:val="left" w:leader="none"/>
          <w:tab w:pos="8306" w:val="left" w:leader="none"/>
        </w:tabs>
        <w:spacing w:line="276" w:lineRule="auto"/>
        <w:ind w:right="1273" w:firstLine="707"/>
      </w:pPr>
      <w:r>
        <w:rPr/>
        <w:t>При нарастании признаков дыхательной недостаточности, появлении </w:t>
      </w:r>
      <w:r>
        <w:rPr>
          <w:spacing w:val="-2"/>
        </w:rPr>
        <w:t>субфебрильной/фебрильной</w:t>
      </w:r>
      <w:r>
        <w:rPr/>
        <w:tab/>
      </w:r>
      <w:r>
        <w:rPr>
          <w:spacing w:val="-2"/>
        </w:rPr>
        <w:t>лихорадки</w:t>
      </w:r>
      <w:r>
        <w:rPr/>
        <w:tab/>
      </w:r>
      <w:r>
        <w:rPr>
          <w:spacing w:val="-4"/>
        </w:rPr>
        <w:t>при</w:t>
      </w:r>
      <w:r>
        <w:rPr/>
        <w:tab/>
      </w:r>
      <w:r>
        <w:rPr>
          <w:spacing w:val="-2"/>
        </w:rPr>
        <w:t>нормальных/умеренно </w:t>
      </w:r>
      <w:r>
        <w:rPr/>
        <w:t>повышенных/значительно</w:t>
      </w:r>
      <w:r>
        <w:rPr>
          <w:spacing w:val="-5"/>
        </w:rPr>
        <w:t> </w:t>
      </w:r>
      <w:r>
        <w:rPr/>
        <w:t>повышенных</w:t>
      </w:r>
      <w:r>
        <w:rPr>
          <w:spacing w:val="-6"/>
        </w:rPr>
        <w:t> </w:t>
      </w:r>
      <w:r>
        <w:rPr/>
        <w:t>маркерах</w:t>
      </w:r>
      <w:r>
        <w:rPr>
          <w:spacing w:val="-2"/>
        </w:rPr>
        <w:t> </w:t>
      </w:r>
      <w:r>
        <w:rPr/>
        <w:t>воспаления</w:t>
      </w:r>
      <w:r>
        <w:rPr>
          <w:spacing w:val="-5"/>
        </w:rPr>
        <w:t> </w:t>
      </w:r>
      <w:r>
        <w:rPr/>
        <w:t>(СОЭ,</w:t>
      </w:r>
      <w:r>
        <w:rPr>
          <w:spacing w:val="-6"/>
        </w:rPr>
        <w:t> </w:t>
      </w:r>
      <w:r>
        <w:rPr/>
        <w:t>показатели</w:t>
      </w:r>
      <w:r>
        <w:rPr>
          <w:spacing w:val="-4"/>
        </w:rPr>
        <w:t> </w:t>
      </w:r>
      <w:r>
        <w:rPr/>
        <w:t>СРБ, прокальцитонина и лейкоцитов крови) необходимо заподозрить развитие инфекционных осложнений, в том числе грибковой и/или оппортунистической инфекции, и провести:</w:t>
      </w:r>
    </w:p>
    <w:p>
      <w:pPr>
        <w:pStyle w:val="ListParagraph"/>
        <w:numPr>
          <w:ilvl w:val="0"/>
          <w:numId w:val="21"/>
        </w:numPr>
        <w:tabs>
          <w:tab w:pos="2611" w:val="left" w:leader="none"/>
        </w:tabs>
        <w:spacing w:line="276" w:lineRule="auto" w:before="0" w:after="0"/>
        <w:ind w:left="1841" w:right="1279" w:firstLine="565"/>
        <w:jc w:val="both"/>
        <w:rPr>
          <w:sz w:val="24"/>
        </w:rPr>
      </w:pPr>
      <w:r>
        <w:rPr>
          <w:sz w:val="24"/>
        </w:rPr>
        <w:t>контрольную КТ органов грудной клетки для подтверждения/исключения развития пневмонии;</w:t>
      </w:r>
    </w:p>
    <w:p>
      <w:pPr>
        <w:pStyle w:val="ListParagraph"/>
        <w:numPr>
          <w:ilvl w:val="0"/>
          <w:numId w:val="21"/>
        </w:numPr>
        <w:tabs>
          <w:tab w:pos="2537" w:val="left" w:leader="none"/>
        </w:tabs>
        <w:spacing w:line="360" w:lineRule="auto" w:before="0" w:after="0"/>
        <w:ind w:left="1841" w:right="1270" w:firstLine="565"/>
        <w:jc w:val="both"/>
        <w:rPr>
          <w:sz w:val="24"/>
        </w:rPr>
      </w:pPr>
      <w:r>
        <w:rPr>
          <w:sz w:val="24"/>
        </w:rPr>
        <w:t>микробиологическое</w:t>
      </w:r>
      <w:r>
        <w:rPr>
          <w:spacing w:val="-15"/>
          <w:sz w:val="24"/>
        </w:rPr>
        <w:t> </w:t>
      </w:r>
      <w:r>
        <w:rPr>
          <w:sz w:val="24"/>
        </w:rPr>
        <w:t>(культуральное)</w:t>
      </w:r>
      <w:r>
        <w:rPr>
          <w:spacing w:val="-15"/>
          <w:sz w:val="24"/>
        </w:rPr>
        <w:t> </w:t>
      </w:r>
      <w:r>
        <w:rPr>
          <w:sz w:val="24"/>
        </w:rPr>
        <w:t>исследование</w:t>
      </w:r>
      <w:r>
        <w:rPr>
          <w:spacing w:val="-15"/>
          <w:sz w:val="24"/>
        </w:rPr>
        <w:t> </w:t>
      </w:r>
      <w:r>
        <w:rPr>
          <w:sz w:val="24"/>
        </w:rPr>
        <w:t>биологического</w:t>
      </w:r>
      <w:r>
        <w:rPr>
          <w:spacing w:val="-15"/>
          <w:sz w:val="24"/>
        </w:rPr>
        <w:t> </w:t>
      </w:r>
      <w:r>
        <w:rPr>
          <w:sz w:val="24"/>
        </w:rPr>
        <w:t>материала (мокрота, жидкость бронхоальвеолярно лаважная, жидкость плевральной полости, кровь, моча и других локусов предполагаемого очага инфекции) пациента на аэробные и факультативно-анаэробные микроорганизмы с целью идентификации возбудителей, количественной оценки микробной обсемененности и определения чувствительности к антимикробным препаратам;</w:t>
      </w:r>
    </w:p>
    <w:p>
      <w:pPr>
        <w:pStyle w:val="ListParagraph"/>
        <w:numPr>
          <w:ilvl w:val="0"/>
          <w:numId w:val="21"/>
        </w:numPr>
        <w:tabs>
          <w:tab w:pos="2676" w:val="left" w:leader="none"/>
        </w:tabs>
        <w:spacing w:line="360" w:lineRule="auto" w:before="0" w:after="0"/>
        <w:ind w:left="1841" w:right="1271" w:firstLine="565"/>
        <w:jc w:val="both"/>
        <w:rPr>
          <w:position w:val="2"/>
          <w:sz w:val="24"/>
        </w:rPr>
      </w:pPr>
      <w:r>
        <w:rPr>
          <w:sz w:val="24"/>
        </w:rPr>
        <w:t>молекулярно-генетическое исследование (ПЦР) основных возбудителей нозокомиальных (</w:t>
      </w:r>
      <w:r>
        <w:rPr>
          <w:i/>
          <w:sz w:val="24"/>
        </w:rPr>
        <w:t>ESCAPE-</w:t>
      </w:r>
      <w:r>
        <w:rPr>
          <w:sz w:val="24"/>
        </w:rPr>
        <w:t>патогены) и грибковых инфекций, а также выявление генов резистентности к бета-лактамным и гликопептидным антибиотикам: </w:t>
      </w:r>
      <w:r>
        <w:rPr>
          <w:i/>
          <w:sz w:val="24"/>
        </w:rPr>
        <w:t>mecA </w:t>
      </w:r>
      <w:r>
        <w:rPr>
          <w:position w:val="2"/>
          <w:sz w:val="24"/>
        </w:rPr>
        <w:t>(метициллину,</w:t>
      </w:r>
      <w:r>
        <w:rPr>
          <w:spacing w:val="80"/>
          <w:w w:val="150"/>
          <w:position w:val="2"/>
          <w:sz w:val="24"/>
        </w:rPr>
        <w:t>  </w:t>
      </w:r>
      <w:r>
        <w:rPr>
          <w:position w:val="2"/>
          <w:sz w:val="24"/>
        </w:rPr>
        <w:t>оксациллину),</w:t>
      </w:r>
      <w:r>
        <w:rPr>
          <w:spacing w:val="80"/>
          <w:w w:val="150"/>
          <w:position w:val="2"/>
          <w:sz w:val="24"/>
        </w:rPr>
        <w:t>  </w:t>
      </w:r>
      <w:r>
        <w:rPr>
          <w:i/>
          <w:position w:val="2"/>
          <w:sz w:val="24"/>
        </w:rPr>
        <w:t>bla</w:t>
      </w:r>
      <w:r>
        <w:rPr>
          <w:sz w:val="16"/>
        </w:rPr>
        <w:t>TEM</w:t>
      </w:r>
      <w:r>
        <w:rPr>
          <w:position w:val="2"/>
          <w:sz w:val="24"/>
        </w:rPr>
        <w:t>,</w:t>
      </w:r>
      <w:r>
        <w:rPr>
          <w:spacing w:val="80"/>
          <w:w w:val="150"/>
          <w:position w:val="2"/>
          <w:sz w:val="24"/>
        </w:rPr>
        <w:t>  </w:t>
      </w:r>
      <w:r>
        <w:rPr>
          <w:i/>
          <w:position w:val="2"/>
          <w:sz w:val="24"/>
        </w:rPr>
        <w:t>bla</w:t>
      </w:r>
      <w:r>
        <w:rPr>
          <w:sz w:val="16"/>
        </w:rPr>
        <w:t>CTX-М-1</w:t>
      </w:r>
      <w:r>
        <w:rPr>
          <w:position w:val="2"/>
          <w:sz w:val="24"/>
        </w:rPr>
        <w:t>,</w:t>
      </w:r>
      <w:r>
        <w:rPr>
          <w:spacing w:val="80"/>
          <w:w w:val="150"/>
          <w:position w:val="2"/>
          <w:sz w:val="24"/>
        </w:rPr>
        <w:t>  </w:t>
      </w:r>
      <w:r>
        <w:rPr>
          <w:i/>
          <w:position w:val="2"/>
          <w:sz w:val="24"/>
        </w:rPr>
        <w:t>bla</w:t>
      </w:r>
      <w:r>
        <w:rPr>
          <w:sz w:val="16"/>
        </w:rPr>
        <w:t>SHV</w:t>
      </w:r>
      <w:r>
        <w:rPr>
          <w:spacing w:val="80"/>
          <w:sz w:val="16"/>
        </w:rPr>
        <w:t>   </w:t>
      </w:r>
      <w:r>
        <w:rPr>
          <w:position w:val="2"/>
          <w:sz w:val="24"/>
        </w:rPr>
        <w:t>(пенициллинам</w:t>
      </w:r>
      <w:r>
        <w:rPr>
          <w:spacing w:val="40"/>
          <w:position w:val="2"/>
          <w:sz w:val="24"/>
        </w:rPr>
        <w:t> </w:t>
      </w:r>
      <w:r>
        <w:rPr>
          <w:position w:val="2"/>
          <w:sz w:val="24"/>
        </w:rPr>
        <w:t>и цефалоспоринам), </w:t>
      </w:r>
      <w:r>
        <w:rPr>
          <w:i/>
          <w:position w:val="2"/>
          <w:sz w:val="24"/>
        </w:rPr>
        <w:t>bla</w:t>
      </w:r>
      <w:r>
        <w:rPr>
          <w:sz w:val="16"/>
        </w:rPr>
        <w:t>OXA-40-LIKE</w:t>
      </w:r>
      <w:r>
        <w:rPr>
          <w:position w:val="2"/>
          <w:sz w:val="24"/>
        </w:rPr>
        <w:t>, </w:t>
      </w:r>
      <w:r>
        <w:rPr>
          <w:i/>
          <w:position w:val="2"/>
          <w:sz w:val="24"/>
        </w:rPr>
        <w:t>bla</w:t>
      </w:r>
      <w:r>
        <w:rPr>
          <w:sz w:val="16"/>
        </w:rPr>
        <w:t>OXA-48-LIKE</w:t>
      </w:r>
      <w:r>
        <w:rPr>
          <w:position w:val="2"/>
          <w:sz w:val="24"/>
        </w:rPr>
        <w:t>, </w:t>
      </w:r>
      <w:r>
        <w:rPr>
          <w:i/>
          <w:position w:val="2"/>
          <w:sz w:val="24"/>
        </w:rPr>
        <w:t>bla</w:t>
      </w:r>
      <w:r>
        <w:rPr>
          <w:sz w:val="16"/>
        </w:rPr>
        <w:t>ОXA-23-LIKE</w:t>
      </w:r>
      <w:r>
        <w:rPr>
          <w:position w:val="2"/>
          <w:sz w:val="24"/>
        </w:rPr>
        <w:t>, </w:t>
      </w:r>
      <w:r>
        <w:rPr>
          <w:i/>
          <w:position w:val="2"/>
          <w:sz w:val="24"/>
        </w:rPr>
        <w:t>bla</w:t>
      </w:r>
      <w:r>
        <w:rPr>
          <w:sz w:val="16"/>
        </w:rPr>
        <w:t>OXA-51-LIKE</w:t>
      </w:r>
      <w:r>
        <w:rPr>
          <w:position w:val="2"/>
          <w:sz w:val="24"/>
        </w:rPr>
        <w:t>, </w:t>
      </w:r>
      <w:r>
        <w:rPr>
          <w:i/>
          <w:position w:val="2"/>
          <w:sz w:val="24"/>
        </w:rPr>
        <w:t>bla</w:t>
      </w:r>
      <w:r>
        <w:rPr>
          <w:sz w:val="16"/>
        </w:rPr>
        <w:t>IMP</w:t>
      </w:r>
      <w:r>
        <w:rPr>
          <w:position w:val="2"/>
          <w:sz w:val="24"/>
        </w:rPr>
        <w:t>, </w:t>
      </w:r>
      <w:r>
        <w:rPr>
          <w:i/>
          <w:position w:val="2"/>
          <w:sz w:val="24"/>
        </w:rPr>
        <w:t>bla</w:t>
      </w:r>
      <w:r>
        <w:rPr>
          <w:sz w:val="16"/>
        </w:rPr>
        <w:t>KPC</w:t>
      </w:r>
      <w:r>
        <w:rPr>
          <w:position w:val="2"/>
          <w:sz w:val="24"/>
        </w:rPr>
        <w:t>, </w:t>
      </w:r>
      <w:r>
        <w:rPr>
          <w:i/>
          <w:position w:val="2"/>
          <w:sz w:val="24"/>
        </w:rPr>
        <w:t>bla</w:t>
      </w:r>
      <w:r>
        <w:rPr>
          <w:sz w:val="16"/>
        </w:rPr>
        <w:t>GES</w:t>
      </w:r>
      <w:r>
        <w:rPr>
          <w:position w:val="2"/>
          <w:sz w:val="24"/>
        </w:rPr>
        <w:t>, </w:t>
      </w:r>
      <w:r>
        <w:rPr>
          <w:i/>
          <w:position w:val="2"/>
          <w:sz w:val="24"/>
        </w:rPr>
        <w:t>bla</w:t>
      </w:r>
      <w:r>
        <w:rPr>
          <w:sz w:val="16"/>
        </w:rPr>
        <w:t>NDM</w:t>
      </w:r>
      <w:r>
        <w:rPr>
          <w:position w:val="2"/>
          <w:sz w:val="24"/>
        </w:rPr>
        <w:t>, </w:t>
      </w:r>
      <w:r>
        <w:rPr>
          <w:i/>
          <w:position w:val="2"/>
          <w:sz w:val="24"/>
        </w:rPr>
        <w:t>bla</w:t>
      </w:r>
      <w:r>
        <w:rPr>
          <w:sz w:val="16"/>
        </w:rPr>
        <w:t>VIM</w:t>
      </w:r>
      <w:r>
        <w:rPr>
          <w:spacing w:val="34"/>
          <w:sz w:val="16"/>
        </w:rPr>
        <w:t> </w:t>
      </w:r>
      <w:r>
        <w:rPr>
          <w:position w:val="2"/>
          <w:sz w:val="24"/>
        </w:rPr>
        <w:t>(карбапенемам</w:t>
      </w:r>
      <w:r>
        <w:rPr>
          <w:rFonts w:ascii="Arial" w:hAnsi="Arial"/>
          <w:position w:val="2"/>
          <w:sz w:val="23"/>
        </w:rPr>
        <w:t>), </w:t>
      </w:r>
      <w:r>
        <w:rPr>
          <w:position w:val="2"/>
          <w:sz w:val="24"/>
        </w:rPr>
        <w:t>VanA\B</w:t>
      </w:r>
      <w:r>
        <w:rPr>
          <w:spacing w:val="-11"/>
          <w:position w:val="2"/>
          <w:sz w:val="24"/>
        </w:rPr>
        <w:t> </w:t>
      </w:r>
      <w:r>
        <w:rPr>
          <w:position w:val="2"/>
          <w:sz w:val="24"/>
        </w:rPr>
        <w:t>(ванкомицину, тейкопланину).</w:t>
      </w:r>
    </w:p>
    <w:p>
      <w:pPr>
        <w:pStyle w:val="ListParagraph"/>
        <w:numPr>
          <w:ilvl w:val="0"/>
          <w:numId w:val="21"/>
        </w:numPr>
        <w:tabs>
          <w:tab w:pos="2685" w:val="left" w:leader="none"/>
        </w:tabs>
        <w:spacing w:line="360" w:lineRule="auto" w:before="0" w:after="0"/>
        <w:ind w:left="1841" w:right="1277" w:firstLine="565"/>
        <w:jc w:val="both"/>
        <w:rPr>
          <w:sz w:val="24"/>
        </w:rPr>
      </w:pPr>
      <w:r>
        <w:rPr>
          <w:sz w:val="24"/>
        </w:rPr>
        <w:t>микробиологическое (культуральное) исследование бронхоальвеолярной лаважной жидкости, мокроты или эндотрахеального аспирата на дрожжевые, мицелиальные, плесневые грибы;</w:t>
      </w:r>
    </w:p>
    <w:p>
      <w:pPr>
        <w:pStyle w:val="ListParagraph"/>
        <w:numPr>
          <w:ilvl w:val="0"/>
          <w:numId w:val="21"/>
        </w:numPr>
        <w:tabs>
          <w:tab w:pos="2685" w:val="left" w:leader="none"/>
        </w:tabs>
        <w:spacing w:line="276" w:lineRule="auto" w:before="0" w:after="0"/>
        <w:ind w:left="1841" w:right="1281" w:firstLine="565"/>
        <w:jc w:val="both"/>
        <w:rPr>
          <w:sz w:val="24"/>
        </w:rPr>
      </w:pPr>
      <w:r>
        <w:rPr>
          <w:sz w:val="24"/>
        </w:rPr>
        <w:t>микробиологическое (культуральное) исследование бронхоальвеолярной лаважной жидкости на цисты пневмоцист (</w:t>
      </w:r>
      <w:r>
        <w:rPr>
          <w:i/>
          <w:sz w:val="24"/>
        </w:rPr>
        <w:t>Pneumocystis jirovecii</w:t>
      </w:r>
      <w:r>
        <w:rPr>
          <w:sz w:val="24"/>
        </w:rPr>
        <w:t>);</w:t>
      </w:r>
    </w:p>
    <w:p>
      <w:pPr>
        <w:pStyle w:val="ListParagraph"/>
        <w:numPr>
          <w:ilvl w:val="0"/>
          <w:numId w:val="21"/>
        </w:numPr>
        <w:tabs>
          <w:tab w:pos="2545" w:val="left" w:leader="none"/>
        </w:tabs>
        <w:spacing w:line="274" w:lineRule="exact" w:before="0" w:after="0"/>
        <w:ind w:left="2545" w:right="0" w:hanging="138"/>
        <w:jc w:val="both"/>
        <w:rPr>
          <w:sz w:val="24"/>
        </w:rPr>
      </w:pPr>
      <w:r>
        <w:rPr>
          <w:sz w:val="24"/>
        </w:rPr>
        <w:t>определение</w:t>
      </w:r>
      <w:r>
        <w:rPr>
          <w:spacing w:val="-13"/>
          <w:sz w:val="24"/>
        </w:rPr>
        <w:t> </w:t>
      </w:r>
      <w:r>
        <w:rPr>
          <w:sz w:val="24"/>
        </w:rPr>
        <w:t>маннана,</w:t>
      </w:r>
      <w:r>
        <w:rPr>
          <w:spacing w:val="-13"/>
          <w:sz w:val="24"/>
        </w:rPr>
        <w:t> </w:t>
      </w:r>
      <w:r>
        <w:rPr>
          <w:sz w:val="24"/>
        </w:rPr>
        <w:t>галактоманнана</w:t>
      </w:r>
      <w:r>
        <w:rPr>
          <w:spacing w:val="-13"/>
          <w:sz w:val="24"/>
        </w:rPr>
        <w:t> </w:t>
      </w:r>
      <w:r>
        <w:rPr>
          <w:sz w:val="24"/>
        </w:rPr>
        <w:t>в</w:t>
      </w:r>
      <w:r>
        <w:rPr>
          <w:spacing w:val="-12"/>
          <w:sz w:val="24"/>
        </w:rPr>
        <w:t> </w:t>
      </w:r>
      <w:r>
        <w:rPr>
          <w:sz w:val="24"/>
        </w:rPr>
        <w:t>лаважной</w:t>
      </w:r>
      <w:r>
        <w:rPr>
          <w:spacing w:val="-12"/>
          <w:sz w:val="24"/>
        </w:rPr>
        <w:t> </w:t>
      </w:r>
      <w:r>
        <w:rPr>
          <w:sz w:val="24"/>
        </w:rPr>
        <w:t>жидкости,</w:t>
      </w:r>
      <w:r>
        <w:rPr>
          <w:spacing w:val="-13"/>
          <w:sz w:val="24"/>
        </w:rPr>
        <w:t> </w:t>
      </w:r>
      <w:r>
        <w:rPr>
          <w:sz w:val="24"/>
        </w:rPr>
        <w:t>в</w:t>
      </w:r>
      <w:r>
        <w:rPr>
          <w:spacing w:val="-13"/>
          <w:sz w:val="24"/>
        </w:rPr>
        <w:t> </w:t>
      </w:r>
      <w:r>
        <w:rPr>
          <w:spacing w:val="-2"/>
          <w:sz w:val="24"/>
        </w:rPr>
        <w:t>крови;</w:t>
      </w:r>
    </w:p>
    <w:p>
      <w:pPr>
        <w:pStyle w:val="ListParagraph"/>
        <w:numPr>
          <w:ilvl w:val="0"/>
          <w:numId w:val="21"/>
        </w:numPr>
        <w:tabs>
          <w:tab w:pos="2563" w:val="left" w:leader="none"/>
        </w:tabs>
        <w:spacing w:line="276" w:lineRule="auto" w:before="25" w:after="0"/>
        <w:ind w:left="1841" w:right="1272" w:firstLine="565"/>
        <w:jc w:val="both"/>
        <w:rPr>
          <w:sz w:val="24"/>
        </w:rPr>
      </w:pPr>
      <w:r>
        <w:rPr>
          <w:sz w:val="24"/>
        </w:rPr>
        <w:t>определение ДНК </w:t>
      </w:r>
      <w:r>
        <w:rPr>
          <w:i/>
          <w:sz w:val="24"/>
        </w:rPr>
        <w:t>Pneumocystis jirovecii</w:t>
      </w:r>
      <w:r>
        <w:rPr>
          <w:sz w:val="24"/>
        </w:rPr>
        <w:t>, грибов рода аспергиллы (</w:t>
      </w:r>
      <w:r>
        <w:rPr>
          <w:i/>
          <w:sz w:val="24"/>
        </w:rPr>
        <w:t>Aspergillus </w:t>
      </w:r>
      <w:r>
        <w:rPr>
          <w:sz w:val="24"/>
        </w:rPr>
        <w:t>spp.), </w:t>
      </w:r>
      <w:r>
        <w:rPr>
          <w:i/>
          <w:sz w:val="24"/>
        </w:rPr>
        <w:t>Mycoplasma pneumoniae</w:t>
      </w:r>
      <w:r>
        <w:rPr>
          <w:sz w:val="24"/>
        </w:rPr>
        <w:t>, цитомегаловируcа (</w:t>
      </w:r>
      <w:r>
        <w:rPr>
          <w:i/>
          <w:sz w:val="24"/>
        </w:rPr>
        <w:t>Cytomegalovirus</w:t>
      </w:r>
      <w:r>
        <w:rPr>
          <w:sz w:val="24"/>
        </w:rPr>
        <w:t>) в мокроте, бронхоальвеолярной лаважной жидкости, в крови;</w:t>
      </w:r>
    </w:p>
    <w:p>
      <w:pPr>
        <w:pStyle w:val="ListParagraph"/>
        <w:spacing w:after="0" w:line="276" w:lineRule="auto"/>
        <w:jc w:val="both"/>
        <w:rPr>
          <w:sz w:val="24"/>
        </w:rPr>
        <w:sectPr>
          <w:pgSz w:w="11900" w:h="16840"/>
          <w:pgMar w:header="0" w:footer="697" w:top="1080" w:bottom="880" w:left="0" w:right="0"/>
        </w:sectPr>
      </w:pPr>
    </w:p>
    <w:p>
      <w:pPr>
        <w:pStyle w:val="ListParagraph"/>
        <w:numPr>
          <w:ilvl w:val="0"/>
          <w:numId w:val="21"/>
        </w:numPr>
        <w:tabs>
          <w:tab w:pos="2829" w:val="left" w:leader="none"/>
        </w:tabs>
        <w:spacing w:line="276" w:lineRule="auto" w:before="73" w:after="0"/>
        <w:ind w:left="1841" w:right="1270" w:firstLine="565"/>
        <w:jc w:val="both"/>
        <w:rPr>
          <w:sz w:val="24"/>
        </w:rPr>
      </w:pPr>
      <w:bookmarkStart w:name="51" w:id="64"/>
      <w:bookmarkEnd w:id="64"/>
      <w:r>
        <w:rPr/>
      </w:r>
      <w:r>
        <w:rPr>
          <w:sz w:val="24"/>
        </w:rPr>
        <w:t>определение ДНК вирусов Эпштейн-Барр (</w:t>
      </w:r>
      <w:r>
        <w:rPr>
          <w:i/>
          <w:sz w:val="24"/>
        </w:rPr>
        <w:t>Epstein-Barr virus</w:t>
      </w:r>
      <w:r>
        <w:rPr>
          <w:sz w:val="24"/>
        </w:rPr>
        <w:t>), цитомегаловируcа (</w:t>
      </w:r>
      <w:r>
        <w:rPr>
          <w:i/>
          <w:sz w:val="24"/>
        </w:rPr>
        <w:t>Cytomegalovirus</w:t>
      </w:r>
      <w:r>
        <w:rPr>
          <w:sz w:val="24"/>
        </w:rPr>
        <w:t>), вируса простого герпеса 1 и 2 типов (</w:t>
      </w:r>
      <w:r>
        <w:rPr>
          <w:i/>
          <w:sz w:val="24"/>
        </w:rPr>
        <w:t>Herpes simplex virus </w:t>
      </w:r>
      <w:r>
        <w:rPr>
          <w:sz w:val="24"/>
        </w:rPr>
        <w:t>types 1, 2) методом ПЦР в периферической крови (количественное исследование), слюне и моче;</w:t>
      </w:r>
    </w:p>
    <w:p>
      <w:pPr>
        <w:pStyle w:val="ListParagraph"/>
        <w:numPr>
          <w:ilvl w:val="0"/>
          <w:numId w:val="21"/>
        </w:numPr>
        <w:tabs>
          <w:tab w:pos="2599" w:val="left" w:leader="none"/>
        </w:tabs>
        <w:spacing w:line="276" w:lineRule="auto" w:before="0" w:after="0"/>
        <w:ind w:left="1841" w:right="1276" w:firstLine="565"/>
        <w:jc w:val="both"/>
        <w:rPr>
          <w:i/>
          <w:sz w:val="24"/>
        </w:rPr>
      </w:pPr>
      <w:r>
        <w:rPr>
          <w:sz w:val="24"/>
        </w:rPr>
        <w:t>исследование крови на антитела класса А и M (IgА, IgM) к грибам рода аспергиллы (</w:t>
      </w:r>
      <w:r>
        <w:rPr>
          <w:i/>
          <w:sz w:val="24"/>
        </w:rPr>
        <w:t>Aspergillus </w:t>
      </w:r>
      <w:r>
        <w:rPr>
          <w:sz w:val="24"/>
        </w:rPr>
        <w:t>spp.)</w:t>
      </w:r>
      <w:r>
        <w:rPr>
          <w:i/>
          <w:sz w:val="24"/>
        </w:rPr>
        <w:t>.</w:t>
      </w:r>
    </w:p>
    <w:p>
      <w:pPr>
        <w:pStyle w:val="BodyText"/>
        <w:spacing w:line="274" w:lineRule="exact"/>
        <w:ind w:left="2549"/>
      </w:pPr>
      <w:r>
        <w:rPr/>
        <w:t>Препараты</w:t>
      </w:r>
      <w:r>
        <w:rPr>
          <w:spacing w:val="-14"/>
        </w:rPr>
        <w:t> </w:t>
      </w:r>
      <w:r>
        <w:rPr/>
        <w:t>для</w:t>
      </w:r>
      <w:r>
        <w:rPr>
          <w:spacing w:val="-14"/>
        </w:rPr>
        <w:t> </w:t>
      </w:r>
      <w:r>
        <w:rPr/>
        <w:t>патогенетической</w:t>
      </w:r>
      <w:r>
        <w:rPr>
          <w:spacing w:val="-12"/>
        </w:rPr>
        <w:t> </w:t>
      </w:r>
      <w:r>
        <w:rPr/>
        <w:t>терапии</w:t>
      </w:r>
      <w:r>
        <w:rPr>
          <w:spacing w:val="-15"/>
        </w:rPr>
        <w:t> </w:t>
      </w:r>
      <w:r>
        <w:rPr/>
        <w:t>представлены</w:t>
      </w:r>
      <w:r>
        <w:rPr>
          <w:spacing w:val="-14"/>
        </w:rPr>
        <w:t> </w:t>
      </w:r>
      <w:r>
        <w:rPr/>
        <w:t>в</w:t>
      </w:r>
      <w:r>
        <w:rPr>
          <w:spacing w:val="-14"/>
        </w:rPr>
        <w:t> </w:t>
      </w:r>
      <w:r>
        <w:rPr>
          <w:color w:val="0462C1"/>
          <w:u w:val="single" w:color="0462C1"/>
        </w:rPr>
        <w:t>Приложении</w:t>
      </w:r>
      <w:r>
        <w:rPr>
          <w:color w:val="0462C1"/>
          <w:spacing w:val="-12"/>
          <w:u w:val="single" w:color="0462C1"/>
        </w:rPr>
        <w:t> </w:t>
      </w:r>
      <w:r>
        <w:rPr>
          <w:color w:val="0462C1"/>
          <w:spacing w:val="-5"/>
          <w:u w:val="single" w:color="0462C1"/>
        </w:rPr>
        <w:t>6</w:t>
      </w:r>
      <w:r>
        <w:rPr>
          <w:spacing w:val="-5"/>
        </w:rPr>
        <w:t>.</w:t>
      </w:r>
    </w:p>
    <w:p>
      <w:pPr>
        <w:pStyle w:val="Heading3"/>
        <w:spacing w:before="162"/>
      </w:pPr>
      <w:r>
        <w:rPr>
          <w:color w:val="1F487C"/>
          <w:spacing w:val="-2"/>
        </w:rPr>
        <w:t>Характеристика</w:t>
      </w:r>
      <w:r>
        <w:rPr>
          <w:color w:val="1F487C"/>
          <w:spacing w:val="-1"/>
        </w:rPr>
        <w:t> </w:t>
      </w:r>
      <w:r>
        <w:rPr>
          <w:color w:val="1F487C"/>
          <w:spacing w:val="-2"/>
        </w:rPr>
        <w:t>коагулопатии</w:t>
      </w:r>
      <w:r>
        <w:rPr>
          <w:color w:val="1F487C"/>
        </w:rPr>
        <w:t> </w:t>
      </w:r>
      <w:r>
        <w:rPr>
          <w:color w:val="1F487C"/>
          <w:spacing w:val="-2"/>
        </w:rPr>
        <w:t>при</w:t>
      </w:r>
      <w:r>
        <w:rPr>
          <w:color w:val="1F487C"/>
        </w:rPr>
        <w:t> </w:t>
      </w:r>
      <w:r>
        <w:rPr>
          <w:color w:val="1F487C"/>
          <w:spacing w:val="-2"/>
        </w:rPr>
        <w:t>COVID-</w:t>
      </w:r>
      <w:r>
        <w:rPr>
          <w:color w:val="1F487C"/>
          <w:spacing w:val="-7"/>
        </w:rPr>
        <w:t>19</w:t>
      </w:r>
    </w:p>
    <w:p>
      <w:pPr>
        <w:pStyle w:val="BodyText"/>
        <w:spacing w:line="276" w:lineRule="auto" w:before="160"/>
        <w:ind w:right="1275" w:firstLine="707"/>
      </w:pPr>
      <w:r>
        <w:rPr/>
        <w:t>Следствием цитокинового шторма может стать развитие нарушений свертывания крови. В начальных стадиях заболевания характерно развитие гиперкоагуляции без признаков потребления и ДВС‑синдрома.</w:t>
      </w:r>
    </w:p>
    <w:p>
      <w:pPr>
        <w:pStyle w:val="BodyText"/>
        <w:spacing w:line="276" w:lineRule="auto" w:before="1"/>
        <w:ind w:right="1274" w:firstLine="707"/>
      </w:pPr>
      <w:r>
        <w:rPr/>
        <w:t>Коагулопатия при COVID-19 характеризуется активацией системы свертывания</w:t>
      </w:r>
      <w:r>
        <w:rPr>
          <w:spacing w:val="-15"/>
        </w:rPr>
        <w:t> </w:t>
      </w:r>
      <w:r>
        <w:rPr/>
        <w:t>крови</w:t>
      </w:r>
      <w:r>
        <w:rPr>
          <w:spacing w:val="-15"/>
        </w:rPr>
        <w:t> </w:t>
      </w:r>
      <w:r>
        <w:rPr/>
        <w:t>в</w:t>
      </w:r>
      <w:r>
        <w:rPr>
          <w:spacing w:val="-15"/>
        </w:rPr>
        <w:t> </w:t>
      </w:r>
      <w:r>
        <w:rPr/>
        <w:t>виде</w:t>
      </w:r>
      <w:r>
        <w:rPr>
          <w:spacing w:val="-15"/>
        </w:rPr>
        <w:t> </w:t>
      </w:r>
      <w:r>
        <w:rPr/>
        <w:t>значительного</w:t>
      </w:r>
      <w:r>
        <w:rPr>
          <w:spacing w:val="-15"/>
        </w:rPr>
        <w:t> </w:t>
      </w:r>
      <w:r>
        <w:rPr/>
        <w:t>повышения</w:t>
      </w:r>
      <w:r>
        <w:rPr>
          <w:spacing w:val="-15"/>
        </w:rPr>
        <w:t> </w:t>
      </w:r>
      <w:r>
        <w:rPr/>
        <w:t>концентрации</w:t>
      </w:r>
      <w:r>
        <w:rPr>
          <w:spacing w:val="-15"/>
        </w:rPr>
        <w:t> </w:t>
      </w:r>
      <w:r>
        <w:rPr/>
        <w:t>D-димера</w:t>
      </w:r>
      <w:r>
        <w:rPr>
          <w:spacing w:val="-15"/>
        </w:rPr>
        <w:t> </w:t>
      </w:r>
      <w:r>
        <w:rPr/>
        <w:t>в</w:t>
      </w:r>
      <w:r>
        <w:rPr>
          <w:spacing w:val="-15"/>
        </w:rPr>
        <w:t> </w:t>
      </w:r>
      <w:r>
        <w:rPr/>
        <w:t>крови. Количество тромбоцитов умеренно снижено, незначительно удлинено протромбиновое</w:t>
      </w:r>
      <w:r>
        <w:rPr>
          <w:spacing w:val="-11"/>
        </w:rPr>
        <w:t> </w:t>
      </w:r>
      <w:r>
        <w:rPr/>
        <w:t>время,</w:t>
      </w:r>
      <w:r>
        <w:rPr>
          <w:spacing w:val="-8"/>
        </w:rPr>
        <w:t> </w:t>
      </w:r>
      <w:r>
        <w:rPr/>
        <w:t>значительно</w:t>
      </w:r>
      <w:r>
        <w:rPr>
          <w:spacing w:val="-12"/>
        </w:rPr>
        <w:t> </w:t>
      </w:r>
      <w:r>
        <w:rPr/>
        <w:t>повышен</w:t>
      </w:r>
      <w:r>
        <w:rPr>
          <w:spacing w:val="-9"/>
        </w:rPr>
        <w:t> </w:t>
      </w:r>
      <w:r>
        <w:rPr/>
        <w:t>фибриноген.</w:t>
      </w:r>
      <w:r>
        <w:rPr>
          <w:spacing w:val="-10"/>
        </w:rPr>
        <w:t> </w:t>
      </w:r>
      <w:r>
        <w:rPr/>
        <w:t>Единичные</w:t>
      </w:r>
      <w:r>
        <w:rPr>
          <w:spacing w:val="-11"/>
        </w:rPr>
        <w:t> </w:t>
      </w:r>
      <w:r>
        <w:rPr/>
        <w:t>исследования фоуказывают, что концентрация в крови антитромбина редко снижается до менее 80%. Концентрация протеина С существенно не меняется. Таким образом, коагулопатия при COVID-19, наряду с</w:t>
      </w:r>
      <w:r>
        <w:rPr>
          <w:spacing w:val="-4"/>
        </w:rPr>
        <w:t> </w:t>
      </w:r>
      <w:r>
        <w:rPr/>
        <w:t>признаками, характерными для развернутой фазы</w:t>
      </w:r>
      <w:r>
        <w:rPr>
          <w:spacing w:val="-14"/>
        </w:rPr>
        <w:t> </w:t>
      </w:r>
      <w:r>
        <w:rPr/>
        <w:t>ДВС-синдрома</w:t>
      </w:r>
      <w:r>
        <w:rPr>
          <w:spacing w:val="-15"/>
        </w:rPr>
        <w:t> </w:t>
      </w:r>
      <w:r>
        <w:rPr/>
        <w:t>в</w:t>
      </w:r>
      <w:r>
        <w:rPr>
          <w:spacing w:val="-14"/>
        </w:rPr>
        <w:t> </w:t>
      </w:r>
      <w:r>
        <w:rPr/>
        <w:t>виде</w:t>
      </w:r>
      <w:r>
        <w:rPr>
          <w:spacing w:val="-14"/>
        </w:rPr>
        <w:t> </w:t>
      </w:r>
      <w:r>
        <w:rPr/>
        <w:t>высокого</w:t>
      </w:r>
      <w:r>
        <w:rPr>
          <w:spacing w:val="-13"/>
        </w:rPr>
        <w:t> </w:t>
      </w:r>
      <w:r>
        <w:rPr/>
        <w:t>уровня</w:t>
      </w:r>
      <w:r>
        <w:rPr>
          <w:spacing w:val="-11"/>
        </w:rPr>
        <w:t> </w:t>
      </w:r>
      <w:r>
        <w:rPr/>
        <w:t>D-димера,</w:t>
      </w:r>
      <w:r>
        <w:rPr>
          <w:spacing w:val="-13"/>
        </w:rPr>
        <w:t> </w:t>
      </w:r>
      <w:r>
        <w:rPr/>
        <w:t>не</w:t>
      </w:r>
      <w:r>
        <w:rPr>
          <w:spacing w:val="-14"/>
        </w:rPr>
        <w:t> </w:t>
      </w:r>
      <w:r>
        <w:rPr/>
        <w:t>имеет</w:t>
      </w:r>
      <w:r>
        <w:rPr>
          <w:spacing w:val="-12"/>
        </w:rPr>
        <w:t> </w:t>
      </w:r>
      <w:r>
        <w:rPr/>
        <w:t>типичных</w:t>
      </w:r>
      <w:r>
        <w:rPr>
          <w:spacing w:val="-14"/>
        </w:rPr>
        <w:t> </w:t>
      </w:r>
      <w:r>
        <w:rPr/>
        <w:t>признаков потребления фибриногена и тромбоцитов. Также не отмечено потребления компонентов противосвертывающей системы антитромбина и протеина С, характерного для ДВС-синдрома, отмечаемого при сепсисе. Наличие коагулопатии при COVID-19 ассоциируется с риском смерти. Кроме того, у больных COVID-19 часто наблюдается артериальный и венозный тромбоз.</w:t>
      </w:r>
    </w:p>
    <w:p>
      <w:pPr>
        <w:pStyle w:val="BodyText"/>
        <w:spacing w:line="276" w:lineRule="auto"/>
        <w:ind w:right="1271" w:firstLine="707"/>
      </w:pPr>
      <w:r>
        <w:rPr/>
        <w:t>Анализ секционных данных пациентов, погибших от</w:t>
      </w:r>
      <w:r>
        <w:rPr>
          <w:spacing w:val="40"/>
        </w:rPr>
        <w:t> </w:t>
      </w:r>
      <w:r>
        <w:rPr/>
        <w:t>COVID-19, указывает</w:t>
      </w:r>
      <w:r>
        <w:rPr>
          <w:spacing w:val="80"/>
        </w:rPr>
        <w:t> </w:t>
      </w:r>
      <w:r>
        <w:rPr/>
        <w:t>на</w:t>
      </w:r>
      <w:r>
        <w:rPr>
          <w:spacing w:val="-7"/>
        </w:rPr>
        <w:t> </w:t>
      </w:r>
      <w:r>
        <w:rPr/>
        <w:t>наличие,</w:t>
      </w:r>
      <w:r>
        <w:rPr>
          <w:spacing w:val="-3"/>
        </w:rPr>
        <w:t> </w:t>
      </w:r>
      <w:r>
        <w:rPr/>
        <w:t>помимо</w:t>
      </w:r>
      <w:r>
        <w:rPr>
          <w:spacing w:val="-2"/>
        </w:rPr>
        <w:t> </w:t>
      </w:r>
      <w:r>
        <w:rPr/>
        <w:t>диффузного</w:t>
      </w:r>
      <w:r>
        <w:rPr>
          <w:spacing w:val="-6"/>
        </w:rPr>
        <w:t> </w:t>
      </w:r>
      <w:r>
        <w:rPr/>
        <w:t>повреждения</w:t>
      </w:r>
      <w:r>
        <w:rPr>
          <w:spacing w:val="-6"/>
        </w:rPr>
        <w:t> </w:t>
      </w:r>
      <w:r>
        <w:rPr/>
        <w:t>альвеол,</w:t>
      </w:r>
      <w:r>
        <w:rPr>
          <w:spacing w:val="-3"/>
        </w:rPr>
        <w:t> </w:t>
      </w:r>
      <w:r>
        <w:rPr/>
        <w:t>множества</w:t>
      </w:r>
      <w:r>
        <w:rPr>
          <w:spacing w:val="-4"/>
        </w:rPr>
        <w:t> </w:t>
      </w:r>
      <w:r>
        <w:rPr/>
        <w:t>тромбозов</w:t>
      </w:r>
      <w:r>
        <w:rPr>
          <w:spacing w:val="-4"/>
        </w:rPr>
        <w:t> </w:t>
      </w:r>
      <w:r>
        <w:rPr/>
        <w:t>мелких сосудов</w:t>
      </w:r>
      <w:r>
        <w:rPr>
          <w:spacing w:val="80"/>
        </w:rPr>
        <w:t> </w:t>
      </w:r>
      <w:r>
        <w:rPr/>
        <w:t>легких</w:t>
      </w:r>
      <w:r>
        <w:rPr>
          <w:spacing w:val="80"/>
        </w:rPr>
        <w:t> </w:t>
      </w:r>
      <w:r>
        <w:rPr/>
        <w:t>и</w:t>
      </w:r>
      <w:r>
        <w:rPr>
          <w:spacing w:val="80"/>
        </w:rPr>
        <w:t> </w:t>
      </w:r>
      <w:r>
        <w:rPr/>
        <w:t>связанных</w:t>
      </w:r>
      <w:r>
        <w:rPr>
          <w:spacing w:val="80"/>
        </w:rPr>
        <w:t> </w:t>
      </w:r>
      <w:r>
        <w:rPr/>
        <w:t>с</w:t>
      </w:r>
      <w:r>
        <w:rPr>
          <w:spacing w:val="80"/>
        </w:rPr>
        <w:t> </w:t>
      </w:r>
      <w:r>
        <w:rPr/>
        <w:t>этим</w:t>
      </w:r>
      <w:r>
        <w:rPr>
          <w:spacing w:val="80"/>
        </w:rPr>
        <w:t> </w:t>
      </w:r>
      <w:r>
        <w:rPr/>
        <w:t>множественных</w:t>
      </w:r>
      <w:r>
        <w:rPr>
          <w:spacing w:val="80"/>
        </w:rPr>
        <w:t> </w:t>
      </w:r>
      <w:r>
        <w:rPr/>
        <w:t>геморрагий</w:t>
      </w:r>
      <w:r>
        <w:rPr>
          <w:spacing w:val="80"/>
        </w:rPr>
        <w:t> </w:t>
      </w:r>
      <w:r>
        <w:rPr/>
        <w:t>в</w:t>
      </w:r>
      <w:r>
        <w:rPr>
          <w:spacing w:val="80"/>
        </w:rPr>
        <w:t> </w:t>
      </w:r>
      <w:r>
        <w:rPr/>
        <w:t>альвеолах.</w:t>
      </w:r>
      <w:r>
        <w:rPr>
          <w:spacing w:val="80"/>
        </w:rPr>
        <w:t> </w:t>
      </w:r>
      <w:r>
        <w:rPr/>
        <w:t>В</w:t>
      </w:r>
      <w:r>
        <w:rPr>
          <w:spacing w:val="-2"/>
        </w:rPr>
        <w:t> </w:t>
      </w:r>
      <w:r>
        <w:rPr/>
        <w:t>тромботический процесс в легких вовлечены мегакариоциты, тромбоциты; формирующиеся тромбы богаты не только фибрином, но и тромбоцитами. Отмечаются признаки тромботической микроангиопатии в легких.</w:t>
      </w:r>
    </w:p>
    <w:p>
      <w:pPr>
        <w:pStyle w:val="BodyText"/>
        <w:spacing w:line="276" w:lineRule="auto"/>
        <w:ind w:right="1269" w:firstLine="707"/>
      </w:pPr>
      <w:r>
        <w:rPr/>
        <w:t>Данные электронной микроскопии свидетельствуют о наличии значительного повреждения</w:t>
      </w:r>
      <w:r>
        <w:rPr>
          <w:spacing w:val="40"/>
        </w:rPr>
        <w:t> </w:t>
      </w:r>
      <w:r>
        <w:rPr/>
        <w:t>эндотелиальных</w:t>
      </w:r>
      <w:r>
        <w:rPr>
          <w:spacing w:val="40"/>
        </w:rPr>
        <w:t> </w:t>
      </w:r>
      <w:r>
        <w:rPr/>
        <w:t>клеток,</w:t>
      </w:r>
      <w:r>
        <w:rPr>
          <w:spacing w:val="40"/>
        </w:rPr>
        <w:t> </w:t>
      </w:r>
      <w:r>
        <w:rPr/>
        <w:t>связанного</w:t>
      </w:r>
      <w:r>
        <w:rPr>
          <w:spacing w:val="40"/>
        </w:rPr>
        <w:t> </w:t>
      </w:r>
      <w:r>
        <w:rPr/>
        <w:t>с</w:t>
      </w:r>
      <w:r>
        <w:rPr>
          <w:spacing w:val="40"/>
        </w:rPr>
        <w:t> </w:t>
      </w:r>
      <w:r>
        <w:rPr/>
        <w:t>проникновением</w:t>
      </w:r>
      <w:r>
        <w:rPr>
          <w:spacing w:val="40"/>
        </w:rPr>
        <w:t> </w:t>
      </w:r>
      <w:r>
        <w:rPr/>
        <w:t>в</w:t>
      </w:r>
      <w:r>
        <w:rPr>
          <w:spacing w:val="40"/>
        </w:rPr>
        <w:t> </w:t>
      </w:r>
      <w:r>
        <w:rPr/>
        <w:t>клетки SARS-CoV-2, распространенного тромбоза мелких сосудов, микроангиопатии, окклюзии капилляров альвеол и признаков неоангиогенеза.</w:t>
      </w:r>
    </w:p>
    <w:p>
      <w:pPr>
        <w:pStyle w:val="BodyText"/>
        <w:spacing w:line="276" w:lineRule="auto"/>
        <w:ind w:right="1273" w:firstLine="625"/>
      </w:pPr>
      <w:r>
        <w:rPr/>
        <w:t>ДВС-синдром</w:t>
      </w:r>
      <w:r>
        <w:rPr>
          <w:spacing w:val="40"/>
        </w:rPr>
        <w:t> </w:t>
      </w:r>
      <w:r>
        <w:rPr/>
        <w:t>развивается,</w:t>
      </w:r>
      <w:r>
        <w:rPr>
          <w:spacing w:val="40"/>
        </w:rPr>
        <w:t> </w:t>
      </w:r>
      <w:r>
        <w:rPr/>
        <w:t>как</w:t>
      </w:r>
      <w:r>
        <w:rPr>
          <w:spacing w:val="40"/>
        </w:rPr>
        <w:t> </w:t>
      </w:r>
      <w:r>
        <w:rPr/>
        <w:t>правило,</w:t>
      </w:r>
      <w:r>
        <w:rPr>
          <w:spacing w:val="40"/>
        </w:rPr>
        <w:t> </w:t>
      </w:r>
      <w:r>
        <w:rPr/>
        <w:t>на</w:t>
      </w:r>
      <w:r>
        <w:rPr>
          <w:spacing w:val="40"/>
        </w:rPr>
        <w:t> </w:t>
      </w:r>
      <w:r>
        <w:rPr/>
        <w:t>поздних</w:t>
      </w:r>
      <w:r>
        <w:rPr>
          <w:spacing w:val="40"/>
        </w:rPr>
        <w:t> </w:t>
      </w:r>
      <w:r>
        <w:rPr/>
        <w:t>стадиях</w:t>
      </w:r>
      <w:r>
        <w:rPr>
          <w:spacing w:val="40"/>
        </w:rPr>
        <w:t> </w:t>
      </w:r>
      <w:r>
        <w:rPr/>
        <w:t>заболевания. Он</w:t>
      </w:r>
      <w:r>
        <w:rPr>
          <w:spacing w:val="-1"/>
        </w:rPr>
        <w:t> </w:t>
      </w:r>
      <w:r>
        <w:rPr/>
        <w:t>встречается лишь у 0,6% выживших больных и в 71,4% - у умерших больных. Развитие гиперкоагуляции сопряжено с риском развития тромботических осложнений.</w:t>
      </w:r>
      <w:r>
        <w:rPr>
          <w:spacing w:val="80"/>
          <w:w w:val="150"/>
        </w:rPr>
        <w:t> </w:t>
      </w:r>
      <w:r>
        <w:rPr/>
        <w:t>Для</w:t>
      </w:r>
      <w:r>
        <w:rPr>
          <w:spacing w:val="80"/>
          <w:w w:val="150"/>
        </w:rPr>
        <w:t> </w:t>
      </w:r>
      <w:r>
        <w:rPr/>
        <w:t>верификации</w:t>
      </w:r>
      <w:r>
        <w:rPr>
          <w:spacing w:val="80"/>
          <w:w w:val="150"/>
        </w:rPr>
        <w:t> </w:t>
      </w:r>
      <w:r>
        <w:rPr/>
        <w:t>диагноза</w:t>
      </w:r>
      <w:r>
        <w:rPr>
          <w:spacing w:val="80"/>
          <w:w w:val="150"/>
        </w:rPr>
        <w:t> </w:t>
      </w:r>
      <w:r>
        <w:rPr/>
        <w:t>ТЭЛА</w:t>
      </w:r>
      <w:r>
        <w:rPr>
          <w:spacing w:val="80"/>
          <w:w w:val="150"/>
        </w:rPr>
        <w:t> </w:t>
      </w:r>
      <w:r>
        <w:rPr/>
        <w:t>необходимо</w:t>
      </w:r>
      <w:r>
        <w:rPr>
          <w:spacing w:val="80"/>
          <w:w w:val="150"/>
        </w:rPr>
        <w:t> </w:t>
      </w:r>
      <w:r>
        <w:rPr/>
        <w:t>выполнение</w:t>
      </w:r>
      <w:r>
        <w:rPr>
          <w:spacing w:val="80"/>
          <w:w w:val="150"/>
        </w:rPr>
        <w:t> </w:t>
      </w:r>
      <w:r>
        <w:rPr/>
        <w:t>КТ</w:t>
      </w:r>
      <w:r>
        <w:rPr>
          <w:spacing w:val="80"/>
        </w:rPr>
        <w:t> </w:t>
      </w:r>
      <w:r>
        <w:rPr/>
        <w:t>с внутривенным контрастированием, для диагностики тромбоза глубоких вен (ТГВ) нижних конечностей – проведение УЗИ сосудов нижних конечностей.</w:t>
      </w:r>
    </w:p>
    <w:p>
      <w:pPr>
        <w:pStyle w:val="Heading3"/>
        <w:spacing w:before="112"/>
      </w:pPr>
      <w:r>
        <w:rPr>
          <w:color w:val="1F487C"/>
          <w:spacing w:val="-2"/>
        </w:rPr>
        <w:t>Антитромботическая</w:t>
      </w:r>
      <w:r>
        <w:rPr>
          <w:color w:val="1F487C"/>
          <w:spacing w:val="4"/>
        </w:rPr>
        <w:t> </w:t>
      </w:r>
      <w:r>
        <w:rPr>
          <w:color w:val="1F487C"/>
          <w:spacing w:val="-2"/>
        </w:rPr>
        <w:t>терапия</w:t>
      </w:r>
    </w:p>
    <w:p>
      <w:pPr>
        <w:pStyle w:val="Heading4"/>
        <w:spacing w:before="160"/>
      </w:pPr>
      <w:r>
        <w:rPr>
          <w:spacing w:val="-2"/>
        </w:rPr>
        <w:t>Антитромботическая</w:t>
      </w:r>
      <w:r>
        <w:rPr>
          <w:spacing w:val="1"/>
        </w:rPr>
        <w:t> </w:t>
      </w:r>
      <w:r>
        <w:rPr>
          <w:spacing w:val="-2"/>
        </w:rPr>
        <w:t>терапия</w:t>
      </w:r>
      <w:r>
        <w:rPr>
          <w:spacing w:val="1"/>
        </w:rPr>
        <w:t> </w:t>
      </w:r>
      <w:r>
        <w:rPr>
          <w:spacing w:val="-2"/>
        </w:rPr>
        <w:t>у</w:t>
      </w:r>
      <w:r>
        <w:rPr/>
        <w:t> </w:t>
      </w:r>
      <w:r>
        <w:rPr>
          <w:spacing w:val="-2"/>
        </w:rPr>
        <w:t>пациентов,</w:t>
      </w:r>
      <w:r>
        <w:rPr/>
        <w:t> </w:t>
      </w:r>
      <w:r>
        <w:rPr>
          <w:spacing w:val="-2"/>
        </w:rPr>
        <w:t>которые</w:t>
      </w:r>
      <w:r>
        <w:rPr/>
        <w:t> </w:t>
      </w:r>
      <w:r>
        <w:rPr>
          <w:spacing w:val="-2"/>
        </w:rPr>
        <w:t>лечатся</w:t>
      </w:r>
      <w:r>
        <w:rPr/>
        <w:t> </w:t>
      </w:r>
      <w:r>
        <w:rPr>
          <w:spacing w:val="-2"/>
        </w:rPr>
        <w:t>дома.</w:t>
      </w:r>
    </w:p>
    <w:p>
      <w:pPr>
        <w:pStyle w:val="Heading4"/>
        <w:spacing w:after="0"/>
        <w:sectPr>
          <w:pgSz w:w="11900" w:h="16840"/>
          <w:pgMar w:header="0" w:footer="697" w:top="1080" w:bottom="880" w:left="0" w:right="0"/>
        </w:sectPr>
      </w:pPr>
    </w:p>
    <w:p>
      <w:pPr>
        <w:pStyle w:val="BodyText"/>
        <w:spacing w:line="276" w:lineRule="auto" w:before="73"/>
        <w:ind w:right="1275" w:firstLine="707"/>
      </w:pPr>
      <w:bookmarkStart w:name="52" w:id="65"/>
      <w:bookmarkEnd w:id="65"/>
      <w:r>
        <w:rPr/>
      </w:r>
      <w:r>
        <w:rPr/>
        <w:t>Применение антикоагулянтов для лечения COVID-19 в домашних условиях</w:t>
      </w:r>
      <w:r>
        <w:rPr>
          <w:spacing w:val="40"/>
        </w:rPr>
        <w:t> </w:t>
      </w:r>
      <w:r>
        <w:rPr/>
        <w:t>не рекомендуется. Доказательств пользы от рутинного назначения антикоагулянтов пациентам с COVID-19, которые не были госпитализированы, в рандомизированных контролируемых клинических исследованиях не получено.</w:t>
      </w:r>
    </w:p>
    <w:p>
      <w:pPr>
        <w:pStyle w:val="BodyText"/>
        <w:spacing w:line="276" w:lineRule="auto"/>
        <w:ind w:right="1271" w:firstLine="707"/>
      </w:pPr>
      <w:r>
        <w:rPr/>
        <w:t>Профилактика ТГВ нижних конечностей/ТЭЛА с использованием профилактических доз низкомолекулярного гепарина (НМГ) или фондапаринукса натрия может рассматриваться у отдельных пациентов со среднетяжёлой формой COVID-19, которые лечатся дома, имеют высокий риск венозных тромбоэмболических осложнений, низкий риск кровотечений и не получают антикоагулянтного</w:t>
      </w:r>
      <w:r>
        <w:rPr>
          <w:spacing w:val="67"/>
        </w:rPr>
        <w:t> </w:t>
      </w:r>
      <w:r>
        <w:rPr/>
        <w:t>лечения</w:t>
      </w:r>
      <w:r>
        <w:rPr>
          <w:spacing w:val="67"/>
        </w:rPr>
        <w:t> </w:t>
      </w:r>
      <w:r>
        <w:rPr/>
        <w:t>по</w:t>
      </w:r>
      <w:r>
        <w:rPr>
          <w:spacing w:val="67"/>
        </w:rPr>
        <w:t> </w:t>
      </w:r>
      <w:r>
        <w:rPr/>
        <w:t>другим</w:t>
      </w:r>
      <w:r>
        <w:rPr>
          <w:spacing w:val="66"/>
        </w:rPr>
        <w:t> </w:t>
      </w:r>
      <w:r>
        <w:rPr/>
        <w:t>показаниям.</w:t>
      </w:r>
      <w:r>
        <w:rPr>
          <w:spacing w:val="67"/>
        </w:rPr>
        <w:t> </w:t>
      </w:r>
      <w:r>
        <w:rPr/>
        <w:t>Это</w:t>
      </w:r>
      <w:r>
        <w:rPr>
          <w:spacing w:val="67"/>
        </w:rPr>
        <w:t> </w:t>
      </w:r>
      <w:r>
        <w:rPr/>
        <w:t>относится</w:t>
      </w:r>
      <w:r>
        <w:rPr>
          <w:spacing w:val="65"/>
        </w:rPr>
        <w:t> </w:t>
      </w:r>
      <w:r>
        <w:rPr/>
        <w:t>прежде</w:t>
      </w:r>
      <w:r>
        <w:rPr>
          <w:spacing w:val="66"/>
        </w:rPr>
        <w:t> </w:t>
      </w:r>
      <w:r>
        <w:rPr/>
        <w:t>всего к</w:t>
      </w:r>
      <w:r>
        <w:rPr>
          <w:spacing w:val="-4"/>
        </w:rPr>
        <w:t> </w:t>
      </w:r>
      <w:r>
        <w:rPr/>
        <w:t>больным с сильно ограниченной подвижностью, ТГВ/ТЭЛА в анамнезе, активным злокачественным</w:t>
      </w:r>
      <w:r>
        <w:rPr>
          <w:spacing w:val="80"/>
          <w:w w:val="150"/>
        </w:rPr>
        <w:t>  </w:t>
      </w:r>
      <w:r>
        <w:rPr/>
        <w:t>новообразованием,</w:t>
      </w:r>
      <w:r>
        <w:rPr>
          <w:spacing w:val="80"/>
          <w:w w:val="150"/>
        </w:rPr>
        <w:t>  </w:t>
      </w:r>
      <w:r>
        <w:rPr/>
        <w:t>крупной</w:t>
      </w:r>
      <w:r>
        <w:rPr>
          <w:spacing w:val="80"/>
          <w:w w:val="150"/>
        </w:rPr>
        <w:t>  </w:t>
      </w:r>
      <w:r>
        <w:rPr/>
        <w:t>операцией</w:t>
      </w:r>
      <w:r>
        <w:rPr>
          <w:spacing w:val="80"/>
          <w:w w:val="150"/>
        </w:rPr>
        <w:t>  </w:t>
      </w:r>
      <w:r>
        <w:rPr/>
        <w:t>или</w:t>
      </w:r>
      <w:r>
        <w:rPr>
          <w:spacing w:val="80"/>
          <w:w w:val="150"/>
        </w:rPr>
        <w:t>  </w:t>
      </w:r>
      <w:r>
        <w:rPr/>
        <w:t>травмой</w:t>
      </w:r>
      <w:r>
        <w:rPr>
          <w:spacing w:val="80"/>
        </w:rPr>
        <w:t> </w:t>
      </w:r>
      <w:r>
        <w:rPr/>
        <w:t>в предшествующий месяц, носителям ряда тромбофилий (дефициты антитромбина, протеинов С или S, антифосфолипидный синдром, фактор V Лейден, мутация гена протромбина G-20210A), а также при сочетании дополнительных факторов риска ТГВ/ТЭЛА (возраст старше 70 лет, сердечная/дыхательная недостаточность, ожирение, системные заболевания соединительной ткани, продолжающаяся гормональная заместительная терапия/приём оральных контрацептивов).</w:t>
      </w:r>
    </w:p>
    <w:p>
      <w:pPr>
        <w:pStyle w:val="BodyText"/>
        <w:tabs>
          <w:tab w:pos="3907" w:val="left" w:leader="none"/>
        </w:tabs>
        <w:spacing w:line="276" w:lineRule="auto"/>
        <w:ind w:right="1272" w:firstLine="707"/>
      </w:pPr>
      <w:r>
        <w:rPr/>
        <w:t>При</w:t>
      </w:r>
      <w:r>
        <w:rPr>
          <w:spacing w:val="-14"/>
        </w:rPr>
        <w:t> </w:t>
      </w:r>
      <w:r>
        <w:rPr/>
        <w:t>отсутствии</w:t>
      </w:r>
      <w:r>
        <w:rPr>
          <w:spacing w:val="-14"/>
        </w:rPr>
        <w:t> </w:t>
      </w:r>
      <w:r>
        <w:rPr/>
        <w:t>НМГ/НФГ/фондапаринукса</w:t>
      </w:r>
      <w:r>
        <w:rPr>
          <w:spacing w:val="-15"/>
        </w:rPr>
        <w:t> </w:t>
      </w:r>
      <w:r>
        <w:rPr/>
        <w:t>натрия</w:t>
      </w:r>
      <w:r>
        <w:rPr>
          <w:spacing w:val="-15"/>
        </w:rPr>
        <w:t> </w:t>
      </w:r>
      <w:r>
        <w:rPr/>
        <w:t>можно</w:t>
      </w:r>
      <w:r>
        <w:rPr>
          <w:spacing w:val="-15"/>
        </w:rPr>
        <w:t> </w:t>
      </w:r>
      <w:r>
        <w:rPr/>
        <w:t>рассмотреть</w:t>
      </w:r>
      <w:r>
        <w:rPr>
          <w:spacing w:val="-14"/>
        </w:rPr>
        <w:t> </w:t>
      </w:r>
      <w:r>
        <w:rPr/>
        <w:t>вопрос о применении профилактических доз прямых пероральных антикоагулянтов: </w:t>
      </w:r>
      <w:r>
        <w:rPr>
          <w:spacing w:val="-2"/>
        </w:rPr>
        <w:t>тедиксабан</w:t>
      </w:r>
      <w:r>
        <w:rPr/>
        <w:tab/>
      </w:r>
      <w:r>
        <w:rPr>
          <w:spacing w:val="-2"/>
        </w:rPr>
        <w:t>(N-(5-Хлорпиридин-2-ил)-5-метил-2-(4-(N-метилацетимидамидо) </w:t>
      </w:r>
      <w:r>
        <w:rPr/>
        <w:t>бензамидо) бензамида гидрохлорид) в дозе 60 мг 1 раз в сутки, ривароксабан в дозе 10</w:t>
      </w:r>
      <w:r>
        <w:rPr>
          <w:spacing w:val="25"/>
        </w:rPr>
        <w:t> </w:t>
      </w:r>
      <w:r>
        <w:rPr/>
        <w:t>мг</w:t>
      </w:r>
      <w:r>
        <w:rPr>
          <w:spacing w:val="25"/>
        </w:rPr>
        <w:t> </w:t>
      </w:r>
      <w:r>
        <w:rPr/>
        <w:t>1</w:t>
      </w:r>
      <w:r>
        <w:rPr>
          <w:spacing w:val="25"/>
        </w:rPr>
        <w:t> </w:t>
      </w:r>
      <w:r>
        <w:rPr/>
        <w:t>раз</w:t>
      </w:r>
      <w:r>
        <w:rPr>
          <w:spacing w:val="26"/>
        </w:rPr>
        <w:t> </w:t>
      </w:r>
      <w:r>
        <w:rPr/>
        <w:t>в</w:t>
      </w:r>
      <w:r>
        <w:rPr>
          <w:spacing w:val="22"/>
        </w:rPr>
        <w:t> </w:t>
      </w:r>
      <w:r>
        <w:rPr/>
        <w:t>сутки,</w:t>
      </w:r>
      <w:r>
        <w:rPr>
          <w:spacing w:val="23"/>
        </w:rPr>
        <w:t> </w:t>
      </w:r>
      <w:r>
        <w:rPr/>
        <w:t>апиксабан</w:t>
      </w:r>
      <w:r>
        <w:rPr>
          <w:spacing w:val="26"/>
        </w:rPr>
        <w:t> </w:t>
      </w:r>
      <w:r>
        <w:rPr/>
        <w:t>в</w:t>
      </w:r>
      <w:r>
        <w:rPr>
          <w:spacing w:val="24"/>
        </w:rPr>
        <w:t> </w:t>
      </w:r>
      <w:r>
        <w:rPr/>
        <w:t>дозе</w:t>
      </w:r>
      <w:r>
        <w:rPr>
          <w:spacing w:val="24"/>
        </w:rPr>
        <w:t> </w:t>
      </w:r>
      <w:r>
        <w:rPr/>
        <w:t>2,5</w:t>
      </w:r>
      <w:r>
        <w:rPr>
          <w:spacing w:val="25"/>
        </w:rPr>
        <w:t> </w:t>
      </w:r>
      <w:r>
        <w:rPr/>
        <w:t>мг</w:t>
      </w:r>
      <w:r>
        <w:rPr>
          <w:spacing w:val="23"/>
        </w:rPr>
        <w:t> </w:t>
      </w:r>
      <w:r>
        <w:rPr/>
        <w:t>2</w:t>
      </w:r>
      <w:r>
        <w:rPr>
          <w:spacing w:val="25"/>
        </w:rPr>
        <w:t> </w:t>
      </w:r>
      <w:r>
        <w:rPr/>
        <w:t>раза</w:t>
      </w:r>
      <w:r>
        <w:rPr>
          <w:spacing w:val="24"/>
        </w:rPr>
        <w:t> </w:t>
      </w:r>
      <w:r>
        <w:rPr/>
        <w:t>в</w:t>
      </w:r>
      <w:r>
        <w:rPr>
          <w:spacing w:val="24"/>
        </w:rPr>
        <w:t> </w:t>
      </w:r>
      <w:r>
        <w:rPr/>
        <w:t>сутки,</w:t>
      </w:r>
      <w:r>
        <w:rPr>
          <w:spacing w:val="25"/>
        </w:rPr>
        <w:t> </w:t>
      </w:r>
      <w:r>
        <w:rPr/>
        <w:t>дабигатрана</w:t>
      </w:r>
      <w:r>
        <w:rPr>
          <w:spacing w:val="24"/>
        </w:rPr>
        <w:t> </w:t>
      </w:r>
      <w:r>
        <w:rPr/>
        <w:t>этексилат в дозе 110 мг 2 раза в сутки (для</w:t>
      </w:r>
      <w:r>
        <w:rPr>
          <w:spacing w:val="-2"/>
        </w:rPr>
        <w:t> </w:t>
      </w:r>
      <w:r>
        <w:rPr/>
        <w:t>больных с клиренсом креатинина 30-49 мл/мин – 75 мг</w:t>
      </w:r>
      <w:r>
        <w:rPr>
          <w:spacing w:val="-6"/>
        </w:rPr>
        <w:t> </w:t>
      </w:r>
      <w:r>
        <w:rPr/>
        <w:t>2</w:t>
      </w:r>
      <w:r>
        <w:rPr>
          <w:spacing w:val="-6"/>
        </w:rPr>
        <w:t> </w:t>
      </w:r>
      <w:r>
        <w:rPr/>
        <w:t>раза</w:t>
      </w:r>
      <w:r>
        <w:rPr>
          <w:spacing w:val="-7"/>
        </w:rPr>
        <w:t> </w:t>
      </w:r>
      <w:r>
        <w:rPr/>
        <w:t>в</w:t>
      </w:r>
      <w:r>
        <w:rPr>
          <w:spacing w:val="-6"/>
        </w:rPr>
        <w:t> </w:t>
      </w:r>
      <w:r>
        <w:rPr/>
        <w:t>сутки).</w:t>
      </w:r>
      <w:r>
        <w:rPr>
          <w:spacing w:val="40"/>
        </w:rPr>
        <w:t> </w:t>
      </w:r>
      <w:r>
        <w:rPr/>
        <w:t>Предложенная</w:t>
      </w:r>
      <w:r>
        <w:rPr>
          <w:spacing w:val="-6"/>
        </w:rPr>
        <w:t> </w:t>
      </w:r>
      <w:r>
        <w:rPr/>
        <w:t>доза</w:t>
      </w:r>
      <w:r>
        <w:rPr>
          <w:spacing w:val="-7"/>
        </w:rPr>
        <w:t> </w:t>
      </w:r>
      <w:r>
        <w:rPr/>
        <w:t>дабигатрана</w:t>
      </w:r>
      <w:r>
        <w:rPr>
          <w:spacing w:val="-7"/>
        </w:rPr>
        <w:t> </w:t>
      </w:r>
      <w:r>
        <w:rPr/>
        <w:t>этексилата</w:t>
      </w:r>
      <w:r>
        <w:rPr>
          <w:spacing w:val="-6"/>
        </w:rPr>
        <w:t> </w:t>
      </w:r>
      <w:r>
        <w:rPr/>
        <w:t>основана</w:t>
      </w:r>
      <w:r>
        <w:rPr>
          <w:spacing w:val="-7"/>
        </w:rPr>
        <w:t> </w:t>
      </w:r>
      <w:r>
        <w:rPr/>
        <w:t>на</w:t>
      </w:r>
      <w:r>
        <w:rPr>
          <w:spacing w:val="-7"/>
        </w:rPr>
        <w:t> </w:t>
      </w:r>
      <w:r>
        <w:rPr/>
        <w:t>опыте</w:t>
      </w:r>
      <w:r>
        <w:rPr>
          <w:spacing w:val="-7"/>
        </w:rPr>
        <w:t> </w:t>
      </w:r>
      <w:r>
        <w:rPr/>
        <w:t>его применения для профилактики ТГВ/ТЭЛА в ортопедической хирургии, а также для профилактики сосудистых осложнений после несердечных хирургических вмешательств у больных с синусовым ритмом и повышенным уровнем тропонина.</w:t>
      </w:r>
    </w:p>
    <w:p>
      <w:pPr>
        <w:pStyle w:val="BodyText"/>
        <w:spacing w:line="276" w:lineRule="auto"/>
        <w:ind w:right="1273" w:firstLine="707"/>
      </w:pPr>
      <w:r>
        <w:rPr/>
        <w:t>При амбулаторном назначении антикоагулянтов следует уделять особое внимание наличию противопоказаний (прежде всего – выраженной почечной недостаточности), во время их использования необходимо повторно оценивать риск и</w:t>
      </w:r>
      <w:r>
        <w:rPr>
          <w:spacing w:val="-15"/>
        </w:rPr>
        <w:t> </w:t>
      </w:r>
      <w:r>
        <w:rPr/>
        <w:t>активно</w:t>
      </w:r>
      <w:r>
        <w:rPr>
          <w:spacing w:val="-15"/>
        </w:rPr>
        <w:t> </w:t>
      </w:r>
      <w:r>
        <w:rPr/>
        <w:t>искать</w:t>
      </w:r>
      <w:r>
        <w:rPr>
          <w:spacing w:val="-15"/>
        </w:rPr>
        <w:t> </w:t>
      </w:r>
      <w:r>
        <w:rPr/>
        <w:t>признаки</w:t>
      </w:r>
      <w:r>
        <w:rPr>
          <w:spacing w:val="-15"/>
        </w:rPr>
        <w:t> </w:t>
      </w:r>
      <w:r>
        <w:rPr/>
        <w:t>кровотечений.</w:t>
      </w:r>
      <w:r>
        <w:rPr>
          <w:spacing w:val="-15"/>
        </w:rPr>
        <w:t> </w:t>
      </w:r>
      <w:r>
        <w:rPr/>
        <w:t>Длительность</w:t>
      </w:r>
      <w:r>
        <w:rPr>
          <w:spacing w:val="-15"/>
        </w:rPr>
        <w:t> </w:t>
      </w:r>
      <w:r>
        <w:rPr/>
        <w:t>применения</w:t>
      </w:r>
      <w:r>
        <w:rPr>
          <w:spacing w:val="-15"/>
        </w:rPr>
        <w:t> </w:t>
      </w:r>
      <w:r>
        <w:rPr/>
        <w:t>антикоагулянтов при амбулаторном лечении COVID-19 не ясна и, по-видимому, может продолжаться вплоть</w:t>
      </w:r>
      <w:r>
        <w:rPr>
          <w:spacing w:val="37"/>
        </w:rPr>
        <w:t> </w:t>
      </w:r>
      <w:r>
        <w:rPr/>
        <w:t>до</w:t>
      </w:r>
      <w:r>
        <w:rPr>
          <w:spacing w:val="36"/>
        </w:rPr>
        <w:t> </w:t>
      </w:r>
      <w:r>
        <w:rPr/>
        <w:t>30</w:t>
      </w:r>
      <w:r>
        <w:rPr>
          <w:spacing w:val="36"/>
        </w:rPr>
        <w:t> </w:t>
      </w:r>
      <w:r>
        <w:rPr/>
        <w:t>суток</w:t>
      </w:r>
      <w:r>
        <w:rPr>
          <w:spacing w:val="40"/>
        </w:rPr>
        <w:t> </w:t>
      </w:r>
      <w:r>
        <w:rPr/>
        <w:t>в</w:t>
      </w:r>
      <w:r>
        <w:rPr>
          <w:spacing w:val="35"/>
        </w:rPr>
        <w:t> </w:t>
      </w:r>
      <w:r>
        <w:rPr/>
        <w:t>зависимости</w:t>
      </w:r>
      <w:r>
        <w:rPr>
          <w:spacing w:val="38"/>
        </w:rPr>
        <w:t> </w:t>
      </w:r>
      <w:r>
        <w:rPr/>
        <w:t>от</w:t>
      </w:r>
      <w:r>
        <w:rPr>
          <w:spacing w:val="39"/>
        </w:rPr>
        <w:t> </w:t>
      </w:r>
      <w:r>
        <w:rPr/>
        <w:t>динамики</w:t>
      </w:r>
      <w:r>
        <w:rPr>
          <w:spacing w:val="37"/>
        </w:rPr>
        <w:t> </w:t>
      </w:r>
      <w:r>
        <w:rPr/>
        <w:t>клинического</w:t>
      </w:r>
      <w:r>
        <w:rPr>
          <w:spacing w:val="36"/>
        </w:rPr>
        <w:t> </w:t>
      </w:r>
      <w:r>
        <w:rPr/>
        <w:t>состояния</w:t>
      </w:r>
      <w:r>
        <w:rPr>
          <w:spacing w:val="36"/>
        </w:rPr>
        <w:t> </w:t>
      </w:r>
      <w:r>
        <w:rPr/>
        <w:t>пациента и сроков восстановления двигательной активности.</w:t>
      </w:r>
    </w:p>
    <w:p>
      <w:pPr>
        <w:pStyle w:val="BodyText"/>
        <w:spacing w:line="276" w:lineRule="auto"/>
        <w:ind w:right="1277" w:firstLine="565"/>
      </w:pPr>
      <w:r>
        <w:rPr/>
        <w:t>В рандомизированном плацебо-контролируемом исследовании, включившем 243 амбулаторных пациента в первые 3 дня после клинического начала COVID-19, применение сулодeксида в дозе 500 ЛЕ 2 два раза в день в течение 21 дня ассоциировалось</w:t>
      </w:r>
      <w:r>
        <w:rPr>
          <w:spacing w:val="80"/>
          <w:w w:val="150"/>
        </w:rPr>
        <w:t> </w:t>
      </w:r>
      <w:r>
        <w:rPr/>
        <w:t>со</w:t>
      </w:r>
      <w:r>
        <w:rPr>
          <w:spacing w:val="80"/>
          <w:w w:val="150"/>
        </w:rPr>
        <w:t> </w:t>
      </w:r>
      <w:r>
        <w:rPr/>
        <w:t>снижением</w:t>
      </w:r>
      <w:r>
        <w:rPr>
          <w:spacing w:val="80"/>
          <w:w w:val="150"/>
        </w:rPr>
        <w:t> </w:t>
      </w:r>
      <w:r>
        <w:rPr/>
        <w:t>риска</w:t>
      </w:r>
      <w:r>
        <w:rPr>
          <w:spacing w:val="80"/>
          <w:w w:val="150"/>
        </w:rPr>
        <w:t> </w:t>
      </w:r>
      <w:r>
        <w:rPr/>
        <w:t>госпитализаций,</w:t>
      </w:r>
      <w:r>
        <w:rPr>
          <w:spacing w:val="80"/>
          <w:w w:val="150"/>
        </w:rPr>
        <w:t> </w:t>
      </w:r>
      <w:r>
        <w:rPr/>
        <w:t>а</w:t>
      </w:r>
      <w:r>
        <w:rPr>
          <w:spacing w:val="80"/>
          <w:w w:val="150"/>
        </w:rPr>
        <w:t> </w:t>
      </w:r>
      <w:r>
        <w:rPr/>
        <w:t>также</w:t>
      </w:r>
      <w:r>
        <w:rPr>
          <w:spacing w:val="80"/>
          <w:w w:val="150"/>
        </w:rPr>
        <w:t> </w:t>
      </w:r>
      <w:r>
        <w:rPr/>
        <w:t>потребности</w:t>
      </w:r>
      <w:r>
        <w:rPr>
          <w:spacing w:val="80"/>
        </w:rPr>
        <w:t> </w:t>
      </w:r>
      <w:r>
        <w:rPr/>
        <w:t>в кислородной поддержке. Полагают, что положительные эффекты сулодексида при COVID-19 связаны преимущественно с его воздействием на эндотелий.</w:t>
      </w:r>
    </w:p>
    <w:p>
      <w:pPr>
        <w:pStyle w:val="Heading4"/>
        <w:spacing w:line="276" w:lineRule="exact"/>
        <w:rPr>
          <w:b w:val="0"/>
        </w:rPr>
      </w:pPr>
      <w:r>
        <w:rPr>
          <w:spacing w:val="-2"/>
        </w:rPr>
        <w:t>Антитромботическая</w:t>
      </w:r>
      <w:r>
        <w:rPr>
          <w:spacing w:val="1"/>
        </w:rPr>
        <w:t> </w:t>
      </w:r>
      <w:r>
        <w:rPr>
          <w:spacing w:val="-2"/>
        </w:rPr>
        <w:t>терапия</w:t>
      </w:r>
      <w:r>
        <w:rPr>
          <w:spacing w:val="1"/>
        </w:rPr>
        <w:t> </w:t>
      </w:r>
      <w:r>
        <w:rPr>
          <w:spacing w:val="-2"/>
        </w:rPr>
        <w:t>у</w:t>
      </w:r>
      <w:r>
        <w:rPr/>
        <w:t> </w:t>
      </w:r>
      <w:r>
        <w:rPr>
          <w:spacing w:val="-2"/>
        </w:rPr>
        <w:t>пациентов,</w:t>
      </w:r>
      <w:r>
        <w:rPr/>
        <w:t> </w:t>
      </w:r>
      <w:r>
        <w:rPr>
          <w:spacing w:val="-2"/>
        </w:rPr>
        <w:t>поступивших в</w:t>
      </w:r>
      <w:r>
        <w:rPr>
          <w:spacing w:val="1"/>
        </w:rPr>
        <w:t> </w:t>
      </w:r>
      <w:r>
        <w:rPr>
          <w:spacing w:val="-2"/>
        </w:rPr>
        <w:t>стационар</w:t>
      </w:r>
      <w:r>
        <w:rPr>
          <w:b w:val="0"/>
          <w:spacing w:val="-2"/>
        </w:rPr>
        <w:t>.</w:t>
      </w:r>
    </w:p>
    <w:p>
      <w:pPr>
        <w:pStyle w:val="BodyText"/>
        <w:spacing w:line="273" w:lineRule="auto" w:before="32"/>
        <w:ind w:right="1272" w:firstLine="707"/>
      </w:pPr>
      <w:r>
        <w:rPr/>
        <w:t>Назначение</w:t>
      </w:r>
      <w:r>
        <w:rPr>
          <w:spacing w:val="80"/>
          <w:w w:val="150"/>
        </w:rPr>
        <w:t>  </w:t>
      </w:r>
      <w:r>
        <w:rPr/>
        <w:t>НМГ</w:t>
      </w:r>
      <w:r>
        <w:rPr>
          <w:spacing w:val="80"/>
          <w:w w:val="150"/>
        </w:rPr>
        <w:t>  </w:t>
      </w:r>
      <w:r>
        <w:rPr/>
        <w:t>или</w:t>
      </w:r>
      <w:r>
        <w:rPr>
          <w:spacing w:val="80"/>
          <w:w w:val="150"/>
        </w:rPr>
        <w:t>  </w:t>
      </w:r>
      <w:r>
        <w:rPr>
          <w:sz w:val="28"/>
        </w:rPr>
        <w:t>ф</w:t>
      </w:r>
      <w:r>
        <w:rPr/>
        <w:t>ондапаринукса</w:t>
      </w:r>
      <w:r>
        <w:rPr>
          <w:spacing w:val="80"/>
          <w:w w:val="150"/>
        </w:rPr>
        <w:t>  </w:t>
      </w:r>
      <w:r>
        <w:rPr/>
        <w:t>натрия</w:t>
      </w:r>
      <w:r>
        <w:rPr>
          <w:spacing w:val="80"/>
          <w:w w:val="150"/>
        </w:rPr>
        <w:t>  </w:t>
      </w:r>
      <w:r>
        <w:rPr/>
        <w:t>как</w:t>
      </w:r>
      <w:r>
        <w:rPr>
          <w:spacing w:val="80"/>
          <w:w w:val="150"/>
        </w:rPr>
        <w:t>  </w:t>
      </w:r>
      <w:r>
        <w:rPr/>
        <w:t>минимум</w:t>
      </w:r>
      <w:r>
        <w:rPr>
          <w:spacing w:val="80"/>
          <w:w w:val="150"/>
        </w:rPr>
        <w:t> </w:t>
      </w:r>
      <w:r>
        <w:rPr/>
        <w:t>в</w:t>
      </w:r>
      <w:r>
        <w:rPr>
          <w:spacing w:val="-3"/>
        </w:rPr>
        <w:t> </w:t>
      </w:r>
      <w:r>
        <w:rPr/>
        <w:t>профилактических</w:t>
      </w:r>
      <w:r>
        <w:rPr>
          <w:spacing w:val="40"/>
        </w:rPr>
        <w:t>  </w:t>
      </w:r>
      <w:r>
        <w:rPr/>
        <w:t>дозах</w:t>
      </w:r>
      <w:r>
        <w:rPr>
          <w:spacing w:val="40"/>
        </w:rPr>
        <w:t>  </w:t>
      </w:r>
      <w:r>
        <w:rPr/>
        <w:t>показано</w:t>
      </w:r>
      <w:r>
        <w:rPr>
          <w:spacing w:val="40"/>
        </w:rPr>
        <w:t>  </w:t>
      </w:r>
      <w:r>
        <w:rPr/>
        <w:t>ВСЕМ</w:t>
      </w:r>
      <w:r>
        <w:rPr>
          <w:spacing w:val="40"/>
        </w:rPr>
        <w:t>  </w:t>
      </w:r>
      <w:r>
        <w:rPr/>
        <w:t>госпитализированным</w:t>
      </w:r>
      <w:r>
        <w:rPr>
          <w:spacing w:val="40"/>
        </w:rPr>
        <w:t>  </w:t>
      </w:r>
      <w:r>
        <w:rPr/>
        <w:t>пациентам</w:t>
      </w:r>
    </w:p>
    <w:p>
      <w:pPr>
        <w:pStyle w:val="BodyText"/>
        <w:spacing w:after="0" w:line="273" w:lineRule="auto"/>
        <w:sectPr>
          <w:pgSz w:w="11900" w:h="16840"/>
          <w:pgMar w:header="0" w:footer="697" w:top="1080" w:bottom="880" w:left="0" w:right="0"/>
        </w:sectPr>
      </w:pPr>
    </w:p>
    <w:p>
      <w:pPr>
        <w:pStyle w:val="BodyText"/>
        <w:spacing w:line="276" w:lineRule="auto" w:before="73"/>
        <w:ind w:right="1271"/>
      </w:pPr>
      <w:bookmarkStart w:name="53" w:id="66"/>
      <w:bookmarkEnd w:id="66"/>
      <w:r>
        <w:rPr/>
      </w:r>
      <w:r>
        <w:rPr/>
        <w:t>и должно продолжаться до выписки. Нет доказанных преимуществ какого-либо одного НМГ по сравнению с другими. При недоступности НМГ или противопоказаниях к ним возможно использование НФГ.</w:t>
      </w:r>
    </w:p>
    <w:p>
      <w:pPr>
        <w:pStyle w:val="BodyText"/>
        <w:spacing w:line="276" w:lineRule="auto"/>
        <w:ind w:right="1276" w:firstLine="707"/>
      </w:pPr>
      <w:r>
        <w:rPr/>
        <w:t>У больных с ожирением (индекс массы тела &gt;30 кг/м</w:t>
      </w:r>
      <w:r>
        <w:rPr>
          <w:vertAlign w:val="superscript"/>
        </w:rPr>
        <w:t>2</w:t>
      </w:r>
      <w:r>
        <w:rPr>
          <w:vertAlign w:val="baseline"/>
        </w:rPr>
        <w:t>) следует рассмотреть увеличение профилактической дозы на 50%.</w:t>
      </w:r>
    </w:p>
    <w:p>
      <w:pPr>
        <w:pStyle w:val="BodyText"/>
        <w:spacing w:line="276" w:lineRule="auto"/>
        <w:ind w:right="1274" w:firstLine="707"/>
      </w:pPr>
      <w:r>
        <w:rPr/>
        <w:t>По опубликованным результатам рандомизированных контролируемых исследований</w:t>
      </w:r>
      <w:r>
        <w:rPr>
          <w:spacing w:val="-15"/>
        </w:rPr>
        <w:t> </w:t>
      </w:r>
      <w:r>
        <w:rPr/>
        <w:t>у</w:t>
      </w:r>
      <w:r>
        <w:rPr>
          <w:spacing w:val="-15"/>
        </w:rPr>
        <w:t> </w:t>
      </w:r>
      <w:r>
        <w:rPr/>
        <w:t>больных,</w:t>
      </w:r>
      <w:r>
        <w:rPr>
          <w:spacing w:val="-15"/>
        </w:rPr>
        <w:t> </w:t>
      </w:r>
      <w:r>
        <w:rPr/>
        <w:t>находящихся</w:t>
      </w:r>
      <w:r>
        <w:rPr>
          <w:spacing w:val="-15"/>
        </w:rPr>
        <w:t> </w:t>
      </w:r>
      <w:r>
        <w:rPr/>
        <w:t>в</w:t>
      </w:r>
      <w:r>
        <w:rPr>
          <w:spacing w:val="-15"/>
        </w:rPr>
        <w:t> </w:t>
      </w:r>
      <w:r>
        <w:rPr/>
        <w:t>ОРИТ,</w:t>
      </w:r>
      <w:r>
        <w:rPr>
          <w:spacing w:val="-15"/>
        </w:rPr>
        <w:t> </w:t>
      </w:r>
      <w:r>
        <w:rPr/>
        <w:t>рутинное</w:t>
      </w:r>
      <w:r>
        <w:rPr>
          <w:spacing w:val="-15"/>
        </w:rPr>
        <w:t> </w:t>
      </w:r>
      <w:r>
        <w:rPr/>
        <w:t>увеличение</w:t>
      </w:r>
      <w:r>
        <w:rPr>
          <w:spacing w:val="-15"/>
        </w:rPr>
        <w:t> </w:t>
      </w:r>
      <w:r>
        <w:rPr/>
        <w:t>дозы</w:t>
      </w:r>
      <w:r>
        <w:rPr>
          <w:spacing w:val="-15"/>
        </w:rPr>
        <w:t> </w:t>
      </w:r>
      <w:r>
        <w:rPr/>
        <w:t>НМГ/НФГ до промежуточной или лечебной не улучшает клинических исходов заболевания. Вместе</w:t>
      </w:r>
      <w:r>
        <w:rPr>
          <w:spacing w:val="80"/>
        </w:rPr>
        <w:t> </w:t>
      </w:r>
      <w:r>
        <w:rPr/>
        <w:t>с</w:t>
      </w:r>
      <w:r>
        <w:rPr>
          <w:spacing w:val="80"/>
        </w:rPr>
        <w:t> </w:t>
      </w:r>
      <w:r>
        <w:rPr/>
        <w:t>тем</w:t>
      </w:r>
      <w:r>
        <w:rPr>
          <w:spacing w:val="80"/>
        </w:rPr>
        <w:t> </w:t>
      </w:r>
      <w:r>
        <w:rPr/>
        <w:t>у</w:t>
      </w:r>
      <w:r>
        <w:rPr>
          <w:spacing w:val="80"/>
        </w:rPr>
        <w:t> </w:t>
      </w:r>
      <w:r>
        <w:rPr/>
        <w:t>отдельных</w:t>
      </w:r>
      <w:r>
        <w:rPr>
          <w:spacing w:val="80"/>
        </w:rPr>
        <w:t> </w:t>
      </w:r>
      <w:r>
        <w:rPr/>
        <w:t>больных,</w:t>
      </w:r>
      <w:r>
        <w:rPr>
          <w:spacing w:val="80"/>
        </w:rPr>
        <w:t> </w:t>
      </w:r>
      <w:r>
        <w:rPr/>
        <w:t>находящихся</w:t>
      </w:r>
      <w:r>
        <w:rPr>
          <w:spacing w:val="80"/>
        </w:rPr>
        <w:t> </w:t>
      </w:r>
      <w:r>
        <w:rPr/>
        <w:t>в</w:t>
      </w:r>
      <w:r>
        <w:rPr>
          <w:spacing w:val="80"/>
        </w:rPr>
        <w:t> </w:t>
      </w:r>
      <w:r>
        <w:rPr/>
        <w:t>ОРИТ,</w:t>
      </w:r>
      <w:r>
        <w:rPr>
          <w:spacing w:val="80"/>
        </w:rPr>
        <w:t> </w:t>
      </w:r>
      <w:r>
        <w:rPr/>
        <w:t>преимущественно не нуждающихся в поддержке функций жизненно важных органов (внутривенное введение вазопрессорных препаратов, механическая ИВЛ, заместительная почечная терапия), лечебные дозы НМГ/НФГ могут способствовать снижению частоты венозных тромбоэмболических осложнений ценой увеличения риска кровотечений. У госпитализированных больных, не нуждающихся в пребывании в ОРИТ, данные трех</w:t>
      </w:r>
      <w:r>
        <w:rPr>
          <w:spacing w:val="80"/>
        </w:rPr>
        <w:t>   </w:t>
      </w:r>
      <w:r>
        <w:rPr/>
        <w:t>рандомизированных</w:t>
      </w:r>
      <w:r>
        <w:rPr>
          <w:spacing w:val="80"/>
        </w:rPr>
        <w:t>   </w:t>
      </w:r>
      <w:r>
        <w:rPr/>
        <w:t>контролируемых</w:t>
      </w:r>
      <w:r>
        <w:rPr>
          <w:spacing w:val="80"/>
        </w:rPr>
        <w:t>   </w:t>
      </w:r>
      <w:r>
        <w:rPr/>
        <w:t>исследований</w:t>
      </w:r>
      <w:r>
        <w:rPr>
          <w:spacing w:val="80"/>
        </w:rPr>
        <w:t>   </w:t>
      </w:r>
      <w:r>
        <w:rPr/>
        <w:t>указывают</w:t>
      </w:r>
      <w:r>
        <w:rPr>
          <w:spacing w:val="80"/>
        </w:rPr>
        <w:t> </w:t>
      </w:r>
      <w:r>
        <w:rPr/>
        <w:t>на преимущество лечебных доз НМГ/НФГ.</w:t>
      </w:r>
    </w:p>
    <w:p>
      <w:pPr>
        <w:pStyle w:val="BodyText"/>
        <w:spacing w:line="276" w:lineRule="auto"/>
        <w:ind w:right="1270" w:firstLine="707"/>
      </w:pPr>
      <w:r>
        <w:rPr>
          <w:b/>
          <w:i/>
        </w:rPr>
        <w:t>Продленная</w:t>
      </w:r>
      <w:r>
        <w:rPr>
          <w:b/>
          <w:i/>
          <w:spacing w:val="-15"/>
        </w:rPr>
        <w:t> </w:t>
      </w:r>
      <w:r>
        <w:rPr>
          <w:b/>
          <w:i/>
        </w:rPr>
        <w:t>профилактика</w:t>
      </w:r>
      <w:r>
        <w:rPr>
          <w:b/>
          <w:i/>
          <w:spacing w:val="-15"/>
        </w:rPr>
        <w:t> </w:t>
      </w:r>
      <w:r>
        <w:rPr>
          <w:b/>
          <w:i/>
        </w:rPr>
        <w:t>ТГВ/ТЭЛА</w:t>
      </w:r>
      <w:r>
        <w:rPr>
          <w:i/>
        </w:rPr>
        <w:t>.</w:t>
      </w:r>
      <w:r>
        <w:rPr>
          <w:i/>
          <w:spacing w:val="-15"/>
        </w:rPr>
        <w:t> </w:t>
      </w:r>
      <w:r>
        <w:rPr/>
        <w:t>Продленная</w:t>
      </w:r>
      <w:r>
        <w:rPr>
          <w:spacing w:val="-15"/>
        </w:rPr>
        <w:t> </w:t>
      </w:r>
      <w:r>
        <w:rPr/>
        <w:t>профилактика</w:t>
      </w:r>
      <w:r>
        <w:rPr>
          <w:spacing w:val="-15"/>
        </w:rPr>
        <w:t> </w:t>
      </w:r>
      <w:r>
        <w:rPr/>
        <w:t>у</w:t>
      </w:r>
      <w:r>
        <w:rPr>
          <w:spacing w:val="-15"/>
        </w:rPr>
        <w:t> </w:t>
      </w:r>
      <w:r>
        <w:rPr/>
        <w:t>больных с COVID-19 после выписки рекомендуется при сохраняющемся повышенном риске венозных</w:t>
      </w:r>
      <w:r>
        <w:rPr>
          <w:spacing w:val="-8"/>
        </w:rPr>
        <w:t> </w:t>
      </w:r>
      <w:r>
        <w:rPr/>
        <w:t>тромбоэмболических</w:t>
      </w:r>
      <w:r>
        <w:rPr>
          <w:spacing w:val="-8"/>
        </w:rPr>
        <w:t> </w:t>
      </w:r>
      <w:r>
        <w:rPr/>
        <w:t>осложнений</w:t>
      </w:r>
      <w:r>
        <w:rPr>
          <w:spacing w:val="-6"/>
        </w:rPr>
        <w:t> </w:t>
      </w:r>
      <w:r>
        <w:rPr/>
        <w:t>и</w:t>
      </w:r>
      <w:r>
        <w:rPr>
          <w:spacing w:val="-9"/>
        </w:rPr>
        <w:t> </w:t>
      </w:r>
      <w:r>
        <w:rPr/>
        <w:t>низком</w:t>
      </w:r>
      <w:r>
        <w:rPr>
          <w:spacing w:val="-9"/>
        </w:rPr>
        <w:t> </w:t>
      </w:r>
      <w:r>
        <w:rPr/>
        <w:t>риске</w:t>
      </w:r>
      <w:r>
        <w:rPr>
          <w:spacing w:val="-9"/>
        </w:rPr>
        <w:t> </w:t>
      </w:r>
      <w:r>
        <w:rPr/>
        <w:t>кровотечений</w:t>
      </w:r>
      <w:r>
        <w:rPr>
          <w:vertAlign w:val="superscript"/>
        </w:rPr>
        <w:t>1</w:t>
      </w:r>
      <w:r>
        <w:rPr>
          <w:spacing w:val="-4"/>
          <w:vertAlign w:val="baseline"/>
        </w:rPr>
        <w:t> </w:t>
      </w:r>
      <w:r>
        <w:rPr>
          <w:vertAlign w:val="baseline"/>
        </w:rPr>
        <w:t>в</w:t>
      </w:r>
      <w:r>
        <w:rPr>
          <w:spacing w:val="-8"/>
          <w:vertAlign w:val="baseline"/>
        </w:rPr>
        <w:t> </w:t>
      </w:r>
      <w:r>
        <w:rPr>
          <w:vertAlign w:val="baseline"/>
        </w:rPr>
        <w:t>случаях, когда не требуются лечебные дозы антикоагулянта по другим показаниям.</w:t>
      </w:r>
      <w:r>
        <w:rPr>
          <w:spacing w:val="40"/>
          <w:vertAlign w:val="baseline"/>
        </w:rPr>
        <w:t> </w:t>
      </w:r>
      <w:r>
        <w:rPr>
          <w:vertAlign w:val="baseline"/>
        </w:rPr>
        <w:t>При продленной профилактике ТГВ/ТЭЛА у</w:t>
      </w:r>
      <w:r>
        <w:rPr>
          <w:spacing w:val="-3"/>
          <w:vertAlign w:val="baseline"/>
        </w:rPr>
        <w:t> </w:t>
      </w:r>
      <w:r>
        <w:rPr>
          <w:vertAlign w:val="baseline"/>
        </w:rPr>
        <w:t>терапевтических больных в исследованиях, выполненных до начала пандемии COVID-19, есть свидтельства пользы профилактической дозы эноксапарина (40 мг 1 раз в сутки) и ривароксабана в дозе</w:t>
      </w:r>
      <w:r>
        <w:rPr>
          <w:spacing w:val="40"/>
          <w:vertAlign w:val="baseline"/>
        </w:rPr>
        <w:t> </w:t>
      </w:r>
      <w:r>
        <w:rPr>
          <w:vertAlign w:val="baseline"/>
        </w:rPr>
        <w:t>10</w:t>
      </w:r>
      <w:r>
        <w:rPr>
          <w:spacing w:val="-15"/>
          <w:vertAlign w:val="baseline"/>
        </w:rPr>
        <w:t> </w:t>
      </w:r>
      <w:r>
        <w:rPr>
          <w:vertAlign w:val="baseline"/>
        </w:rPr>
        <w:t>мг</w:t>
      </w:r>
      <w:r>
        <w:rPr>
          <w:spacing w:val="-14"/>
          <w:vertAlign w:val="baseline"/>
        </w:rPr>
        <w:t> </w:t>
      </w:r>
      <w:r>
        <w:rPr>
          <w:vertAlign w:val="baseline"/>
        </w:rPr>
        <w:t>1</w:t>
      </w:r>
      <w:r>
        <w:rPr>
          <w:spacing w:val="-14"/>
          <w:vertAlign w:val="baseline"/>
        </w:rPr>
        <w:t> </w:t>
      </w:r>
      <w:r>
        <w:rPr>
          <w:vertAlign w:val="baseline"/>
        </w:rPr>
        <w:t>раз</w:t>
      </w:r>
      <w:r>
        <w:rPr>
          <w:spacing w:val="-13"/>
          <w:vertAlign w:val="baseline"/>
        </w:rPr>
        <w:t> </w:t>
      </w:r>
      <w:r>
        <w:rPr>
          <w:vertAlign w:val="baseline"/>
        </w:rPr>
        <w:t>в</w:t>
      </w:r>
      <w:r>
        <w:rPr>
          <w:spacing w:val="-15"/>
          <w:vertAlign w:val="baseline"/>
        </w:rPr>
        <w:t> </w:t>
      </w:r>
      <w:r>
        <w:rPr>
          <w:vertAlign w:val="baseline"/>
        </w:rPr>
        <w:t>сутки.</w:t>
      </w:r>
      <w:r>
        <w:rPr>
          <w:spacing w:val="-15"/>
          <w:vertAlign w:val="baseline"/>
        </w:rPr>
        <w:t> </w:t>
      </w:r>
      <w:r>
        <w:rPr>
          <w:vertAlign w:val="baseline"/>
        </w:rPr>
        <w:t>Тенденция</w:t>
      </w:r>
      <w:r>
        <w:rPr>
          <w:spacing w:val="-15"/>
          <w:vertAlign w:val="baseline"/>
        </w:rPr>
        <w:t> </w:t>
      </w:r>
      <w:r>
        <w:rPr>
          <w:vertAlign w:val="baseline"/>
        </w:rPr>
        <w:t>к</w:t>
      </w:r>
      <w:r>
        <w:rPr>
          <w:spacing w:val="-15"/>
          <w:vertAlign w:val="baseline"/>
        </w:rPr>
        <w:t> </w:t>
      </w:r>
      <w:r>
        <w:rPr>
          <w:vertAlign w:val="baseline"/>
        </w:rPr>
        <w:t>преимуществу</w:t>
      </w:r>
      <w:r>
        <w:rPr>
          <w:spacing w:val="-14"/>
          <w:vertAlign w:val="baseline"/>
        </w:rPr>
        <w:t> </w:t>
      </w:r>
      <w:r>
        <w:rPr>
          <w:vertAlign w:val="baseline"/>
        </w:rPr>
        <w:t>продленной</w:t>
      </w:r>
      <w:r>
        <w:rPr>
          <w:spacing w:val="-15"/>
          <w:vertAlign w:val="baseline"/>
        </w:rPr>
        <w:t> </w:t>
      </w:r>
      <w:r>
        <w:rPr>
          <w:vertAlign w:val="baseline"/>
        </w:rPr>
        <w:t>профилактики</w:t>
      </w:r>
      <w:r>
        <w:rPr>
          <w:spacing w:val="-15"/>
          <w:vertAlign w:val="baseline"/>
        </w:rPr>
        <w:t> </w:t>
      </w:r>
      <w:r>
        <w:rPr>
          <w:vertAlign w:val="baseline"/>
        </w:rPr>
        <w:t>ТГВ/ТЭЛА отмечалась также при использовании апиксабана в дозе 2,5 мг 2 раза в сутки.</w:t>
      </w:r>
    </w:p>
    <w:p>
      <w:pPr>
        <w:pStyle w:val="BodyText"/>
        <w:spacing w:line="276" w:lineRule="auto"/>
        <w:ind w:right="1272" w:firstLine="707"/>
      </w:pPr>
      <w:r>
        <w:rPr/>
        <w:t>По опубликованным результатам многоцентрового рандомизированного проспективного открытого исследования тедиксабан (N-(5-Хлорпиридин-2-ил)-5- </w:t>
      </w:r>
      <w:r>
        <w:rPr>
          <w:spacing w:val="-2"/>
        </w:rPr>
        <w:t>метил-2-(4-(N-метилацетимидамидо)бензамидо)бензамида</w:t>
      </w:r>
      <w:r>
        <w:rPr>
          <w:spacing w:val="7"/>
        </w:rPr>
        <w:t> </w:t>
      </w:r>
      <w:r>
        <w:rPr>
          <w:spacing w:val="-2"/>
        </w:rPr>
        <w:t>гидрохлорид)</w:t>
      </w:r>
      <w:r>
        <w:rPr>
          <w:spacing w:val="8"/>
        </w:rPr>
        <w:t> </w:t>
      </w:r>
      <w:r>
        <w:rPr>
          <w:spacing w:val="-2"/>
        </w:rPr>
        <w:t>в</w:t>
      </w:r>
      <w:r>
        <w:rPr>
          <w:spacing w:val="8"/>
        </w:rPr>
        <w:t> </w:t>
      </w:r>
      <w:r>
        <w:rPr>
          <w:spacing w:val="-2"/>
        </w:rPr>
        <w:t>дозе</w:t>
      </w:r>
      <w:r>
        <w:rPr>
          <w:spacing w:val="8"/>
        </w:rPr>
        <w:t> </w:t>
      </w:r>
      <w:r>
        <w:rPr>
          <w:spacing w:val="-2"/>
        </w:rPr>
        <w:t>60</w:t>
      </w:r>
      <w:r>
        <w:rPr>
          <w:spacing w:val="9"/>
        </w:rPr>
        <w:t> </w:t>
      </w:r>
      <w:r>
        <w:rPr>
          <w:spacing w:val="-5"/>
        </w:rPr>
        <w:t>мг</w:t>
      </w:r>
    </w:p>
    <w:p>
      <w:pPr>
        <w:pStyle w:val="BodyText"/>
        <w:spacing w:line="276" w:lineRule="auto"/>
        <w:ind w:right="1276"/>
      </w:pPr>
      <w:r>
        <w:rPr/>
        <w:t>1 раз в сутки показал свою эффективность и безопасность в качестве средства профилактики</w:t>
      </w:r>
      <w:r>
        <w:rPr>
          <w:spacing w:val="80"/>
          <w:w w:val="150"/>
        </w:rPr>
        <w:t> </w:t>
      </w:r>
      <w:r>
        <w:rPr/>
        <w:t>тромботических</w:t>
      </w:r>
      <w:r>
        <w:rPr>
          <w:spacing w:val="80"/>
          <w:w w:val="150"/>
        </w:rPr>
        <w:t> </w:t>
      </w:r>
      <w:r>
        <w:rPr/>
        <w:t>осложнений</w:t>
      </w:r>
      <w:r>
        <w:rPr>
          <w:spacing w:val="80"/>
          <w:w w:val="150"/>
        </w:rPr>
        <w:t> </w:t>
      </w:r>
      <w:r>
        <w:rPr/>
        <w:t>у</w:t>
      </w:r>
      <w:r>
        <w:rPr>
          <w:spacing w:val="80"/>
          <w:w w:val="150"/>
        </w:rPr>
        <w:t> </w:t>
      </w:r>
      <w:r>
        <w:rPr/>
        <w:t>госпитализированных</w:t>
      </w:r>
      <w:r>
        <w:rPr>
          <w:spacing w:val="80"/>
          <w:w w:val="150"/>
        </w:rPr>
        <w:t> </w:t>
      </w:r>
      <w:r>
        <w:rPr/>
        <w:t>пациентов с COVID-19.</w:t>
      </w:r>
    </w:p>
    <w:p>
      <w:pPr>
        <w:pStyle w:val="BodyText"/>
        <w:spacing w:line="276" w:lineRule="auto"/>
        <w:ind w:right="1273" w:firstLine="707"/>
      </w:pPr>
      <w:r>
        <w:rPr/>
        <w:t>В единственном к настоящему времени рандомизированном контролируемом исследовании</w:t>
      </w:r>
      <w:r>
        <w:rPr>
          <w:spacing w:val="80"/>
        </w:rPr>
        <w:t> </w:t>
      </w:r>
      <w:r>
        <w:rPr/>
        <w:t>продемонстрирована</w:t>
      </w:r>
      <w:r>
        <w:rPr>
          <w:spacing w:val="80"/>
        </w:rPr>
        <w:t> </w:t>
      </w:r>
      <w:r>
        <w:rPr/>
        <w:t>польза</w:t>
      </w:r>
      <w:r>
        <w:rPr>
          <w:spacing w:val="80"/>
        </w:rPr>
        <w:t> </w:t>
      </w:r>
      <w:r>
        <w:rPr/>
        <w:t>продления</w:t>
      </w:r>
      <w:r>
        <w:rPr>
          <w:spacing w:val="80"/>
        </w:rPr>
        <w:t> </w:t>
      </w:r>
      <w:r>
        <w:rPr/>
        <w:t>профилактики</w:t>
      </w:r>
      <w:r>
        <w:rPr>
          <w:spacing w:val="80"/>
        </w:rPr>
        <w:t> </w:t>
      </w:r>
      <w:r>
        <w:rPr/>
        <w:t>ТГВ/ТЭЛА у</w:t>
      </w:r>
      <w:r>
        <w:rPr>
          <w:spacing w:val="28"/>
        </w:rPr>
        <w:t> </w:t>
      </w:r>
      <w:r>
        <w:rPr/>
        <w:t>больных</w:t>
      </w:r>
      <w:r>
        <w:rPr>
          <w:spacing w:val="28"/>
        </w:rPr>
        <w:t> </w:t>
      </w:r>
      <w:r>
        <w:rPr/>
        <w:t>с</w:t>
      </w:r>
      <w:r>
        <w:rPr>
          <w:spacing w:val="29"/>
        </w:rPr>
        <w:t> </w:t>
      </w:r>
      <w:r>
        <w:rPr/>
        <w:t>COVID-19</w:t>
      </w:r>
      <w:r>
        <w:rPr>
          <w:spacing w:val="28"/>
        </w:rPr>
        <w:t> </w:t>
      </w:r>
      <w:r>
        <w:rPr/>
        <w:t>при</w:t>
      </w:r>
      <w:r>
        <w:rPr>
          <w:spacing w:val="29"/>
        </w:rPr>
        <w:t> </w:t>
      </w:r>
      <w:r>
        <w:rPr/>
        <w:t>применении</w:t>
      </w:r>
      <w:r>
        <w:rPr>
          <w:spacing w:val="29"/>
        </w:rPr>
        <w:t> </w:t>
      </w:r>
      <w:r>
        <w:rPr/>
        <w:t>ривароксабана</w:t>
      </w:r>
      <w:r>
        <w:rPr>
          <w:spacing w:val="30"/>
        </w:rPr>
        <w:t> </w:t>
      </w:r>
      <w:r>
        <w:rPr/>
        <w:t>в</w:t>
      </w:r>
      <w:r>
        <w:rPr>
          <w:spacing w:val="28"/>
        </w:rPr>
        <w:t> </w:t>
      </w:r>
      <w:r>
        <w:rPr/>
        <w:t>дозе</w:t>
      </w:r>
      <w:r>
        <w:rPr>
          <w:spacing w:val="27"/>
        </w:rPr>
        <w:t> </w:t>
      </w:r>
      <w:r>
        <w:rPr/>
        <w:t>10</w:t>
      </w:r>
      <w:r>
        <w:rPr>
          <w:spacing w:val="31"/>
        </w:rPr>
        <w:t> </w:t>
      </w:r>
      <w:r>
        <w:rPr/>
        <w:t>мг</w:t>
      </w:r>
      <w:r>
        <w:rPr>
          <w:spacing w:val="28"/>
        </w:rPr>
        <w:t> </w:t>
      </w:r>
      <w:r>
        <w:rPr/>
        <w:t>1</w:t>
      </w:r>
      <w:r>
        <w:rPr>
          <w:spacing w:val="28"/>
        </w:rPr>
        <w:t> </w:t>
      </w:r>
      <w:r>
        <w:rPr/>
        <w:t>раз</w:t>
      </w:r>
      <w:r>
        <w:rPr>
          <w:spacing w:val="32"/>
        </w:rPr>
        <w:t> </w:t>
      </w:r>
      <w:r>
        <w:rPr/>
        <w:t>в</w:t>
      </w:r>
      <w:r>
        <w:rPr>
          <w:spacing w:val="28"/>
        </w:rPr>
        <w:t> </w:t>
      </w:r>
      <w:r>
        <w:rPr/>
        <w:t>сутки в течение 35 дней после выписки. Для отбора больных для продленного использования</w:t>
      </w:r>
      <w:r>
        <w:rPr>
          <w:spacing w:val="37"/>
        </w:rPr>
        <w:t>  </w:t>
      </w:r>
      <w:r>
        <w:rPr/>
        <w:t>профилактических</w:t>
      </w:r>
      <w:r>
        <w:rPr>
          <w:spacing w:val="39"/>
        </w:rPr>
        <w:t>  </w:t>
      </w:r>
      <w:r>
        <w:rPr/>
        <w:t>доз</w:t>
      </w:r>
      <w:r>
        <w:rPr>
          <w:spacing w:val="41"/>
        </w:rPr>
        <w:t>  </w:t>
      </w:r>
      <w:r>
        <w:rPr/>
        <w:t>антикоагулянтов</w:t>
      </w:r>
      <w:r>
        <w:rPr>
          <w:spacing w:val="39"/>
        </w:rPr>
        <w:t>  </w:t>
      </w:r>
      <w:r>
        <w:rPr/>
        <w:t>в</w:t>
      </w:r>
      <w:r>
        <w:rPr>
          <w:spacing w:val="38"/>
        </w:rPr>
        <w:t>  </w:t>
      </w:r>
      <w:r>
        <w:rPr/>
        <w:t>этом</w:t>
      </w:r>
      <w:r>
        <w:rPr>
          <w:spacing w:val="38"/>
        </w:rPr>
        <w:t>  </w:t>
      </w:r>
      <w:r>
        <w:rPr>
          <w:spacing w:val="-2"/>
        </w:rPr>
        <w:t>исследовании</w:t>
      </w:r>
    </w:p>
    <w:p>
      <w:pPr>
        <w:pStyle w:val="BodyText"/>
        <w:ind w:left="0"/>
        <w:jc w:val="left"/>
        <w:rPr>
          <w:sz w:val="20"/>
        </w:rPr>
      </w:pPr>
    </w:p>
    <w:p>
      <w:pPr>
        <w:pStyle w:val="BodyText"/>
        <w:spacing w:before="66"/>
        <w:ind w:left="0"/>
        <w:jc w:val="left"/>
        <w:rPr>
          <w:sz w:val="20"/>
        </w:rPr>
      </w:pPr>
      <w:r>
        <w:rPr>
          <w:sz w:val="20"/>
        </w:rPr>
        <mc:AlternateContent>
          <mc:Choice Requires="wps">
            <w:drawing>
              <wp:anchor distT="0" distB="0" distL="0" distR="0" allowOverlap="1" layoutInCell="1" locked="0" behindDoc="1" simplePos="0" relativeHeight="487598592">
                <wp:simplePos x="0" y="0"/>
                <wp:positionH relativeFrom="page">
                  <wp:posOffset>1170736</wp:posOffset>
                </wp:positionH>
                <wp:positionV relativeFrom="paragraph">
                  <wp:posOffset>203701</wp:posOffset>
                </wp:positionV>
                <wp:extent cx="1829435" cy="9525"/>
                <wp:effectExtent l="0" t="0" r="0" b="0"/>
                <wp:wrapTopAndBottom/>
                <wp:docPr id="61" name="Graphic 61"/>
                <wp:cNvGraphicFramePr>
                  <a:graphicFrameLocks/>
                </wp:cNvGraphicFramePr>
                <a:graphic>
                  <a:graphicData uri="http://schemas.microsoft.com/office/word/2010/wordprocessingShape">
                    <wps:wsp>
                      <wps:cNvPr id="61" name="Graphic 61"/>
                      <wps:cNvSpPr/>
                      <wps:spPr>
                        <a:xfrm>
                          <a:off x="0" y="0"/>
                          <a:ext cx="1829435" cy="9525"/>
                        </a:xfrm>
                        <a:custGeom>
                          <a:avLst/>
                          <a:gdLst/>
                          <a:ahLst/>
                          <a:cxnLst/>
                          <a:rect l="l" t="t" r="r" b="b"/>
                          <a:pathLst>
                            <a:path w="1829435" h="9525">
                              <a:moveTo>
                                <a:pt x="1826234" y="2215"/>
                              </a:moveTo>
                              <a:lnTo>
                                <a:pt x="-1100" y="2215"/>
                              </a:lnTo>
                              <a:lnTo>
                                <a:pt x="-1100" y="11350"/>
                              </a:lnTo>
                              <a:lnTo>
                                <a:pt x="1826234" y="11350"/>
                              </a:lnTo>
                              <a:lnTo>
                                <a:pt x="1826234" y="2215"/>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16.213934pt;width:143.884618pt;height:.719293pt;mso-position-horizontal-relative:page;mso-position-vertical-relative:paragraph;z-index:-15717888;mso-wrap-distance-left:0;mso-wrap-distance-right:0" id="docshape50" filled="true" fillcolor="#000000" stroked="false">
                <v:fill type="solid"/>
                <w10:wrap type="topAndBottom"/>
              </v:rect>
            </w:pict>
          </mc:Fallback>
        </mc:AlternateContent>
      </w:r>
    </w:p>
    <w:p>
      <w:pPr>
        <w:pStyle w:val="BodyText"/>
        <w:ind w:left="0"/>
        <w:jc w:val="left"/>
        <w:rPr>
          <w:sz w:val="20"/>
        </w:rPr>
      </w:pPr>
    </w:p>
    <w:p>
      <w:pPr>
        <w:pStyle w:val="BodyText"/>
        <w:spacing w:before="193"/>
        <w:ind w:left="0"/>
        <w:jc w:val="left"/>
        <w:rPr>
          <w:sz w:val="20"/>
        </w:rPr>
      </w:pPr>
    </w:p>
    <w:p>
      <w:pPr>
        <w:spacing w:line="240" w:lineRule="auto" w:before="0"/>
        <w:ind w:left="1841" w:right="1279" w:firstLine="0"/>
        <w:jc w:val="both"/>
        <w:rPr>
          <w:sz w:val="20"/>
        </w:rPr>
      </w:pPr>
      <w:r>
        <w:rPr>
          <w:sz w:val="20"/>
          <w:vertAlign w:val="superscript"/>
        </w:rPr>
        <w:t>1</w:t>
      </w:r>
      <w:r>
        <w:rPr>
          <w:sz w:val="20"/>
          <w:vertAlign w:val="baseline"/>
        </w:rPr>
        <w:t> Оценка риска кровотечений у больных с COVID-19 не разработана. Согласно шкале IMPROVE наиболее</w:t>
      </w:r>
      <w:r>
        <w:rPr>
          <w:spacing w:val="34"/>
          <w:sz w:val="20"/>
          <w:vertAlign w:val="baseline"/>
        </w:rPr>
        <w:t> </w:t>
      </w:r>
      <w:r>
        <w:rPr>
          <w:sz w:val="20"/>
          <w:vertAlign w:val="baseline"/>
        </w:rPr>
        <w:t>значимыми</w:t>
      </w:r>
      <w:r>
        <w:rPr>
          <w:spacing w:val="32"/>
          <w:sz w:val="20"/>
          <w:vertAlign w:val="baseline"/>
        </w:rPr>
        <w:t> </w:t>
      </w:r>
      <w:r>
        <w:rPr>
          <w:sz w:val="20"/>
          <w:vertAlign w:val="baseline"/>
        </w:rPr>
        <w:t>факторами</w:t>
      </w:r>
      <w:r>
        <w:rPr>
          <w:spacing w:val="32"/>
          <w:sz w:val="20"/>
          <w:vertAlign w:val="baseline"/>
        </w:rPr>
        <w:t> </w:t>
      </w:r>
      <w:r>
        <w:rPr>
          <w:sz w:val="20"/>
          <w:vertAlign w:val="baseline"/>
        </w:rPr>
        <w:t>риска</w:t>
      </w:r>
      <w:r>
        <w:rPr>
          <w:spacing w:val="33"/>
          <w:sz w:val="20"/>
          <w:vertAlign w:val="baseline"/>
        </w:rPr>
        <w:t> </w:t>
      </w:r>
      <w:r>
        <w:rPr>
          <w:sz w:val="20"/>
          <w:vertAlign w:val="baseline"/>
        </w:rPr>
        <w:t>крупных</w:t>
      </w:r>
      <w:r>
        <w:rPr>
          <w:spacing w:val="35"/>
          <w:sz w:val="20"/>
          <w:vertAlign w:val="baseline"/>
        </w:rPr>
        <w:t> </w:t>
      </w:r>
      <w:r>
        <w:rPr>
          <w:sz w:val="20"/>
          <w:vertAlign w:val="baseline"/>
        </w:rPr>
        <w:t>и</w:t>
      </w:r>
      <w:r>
        <w:rPr>
          <w:spacing w:val="32"/>
          <w:sz w:val="20"/>
          <w:vertAlign w:val="baseline"/>
        </w:rPr>
        <w:t> </w:t>
      </w:r>
      <w:r>
        <w:rPr>
          <w:sz w:val="20"/>
          <w:vertAlign w:val="baseline"/>
        </w:rPr>
        <w:t>клинически</w:t>
      </w:r>
      <w:r>
        <w:rPr>
          <w:spacing w:val="32"/>
          <w:sz w:val="20"/>
          <w:vertAlign w:val="baseline"/>
        </w:rPr>
        <w:t> </w:t>
      </w:r>
      <w:r>
        <w:rPr>
          <w:sz w:val="20"/>
          <w:vertAlign w:val="baseline"/>
        </w:rPr>
        <w:t>значимых</w:t>
      </w:r>
      <w:r>
        <w:rPr>
          <w:spacing w:val="35"/>
          <w:sz w:val="20"/>
          <w:vertAlign w:val="baseline"/>
        </w:rPr>
        <w:t> </w:t>
      </w:r>
      <w:r>
        <w:rPr>
          <w:sz w:val="20"/>
          <w:vertAlign w:val="baseline"/>
        </w:rPr>
        <w:t>некрупных</w:t>
      </w:r>
      <w:r>
        <w:rPr>
          <w:spacing w:val="35"/>
          <w:sz w:val="20"/>
          <w:vertAlign w:val="baseline"/>
        </w:rPr>
        <w:t> </w:t>
      </w:r>
      <w:r>
        <w:rPr>
          <w:sz w:val="20"/>
          <w:vertAlign w:val="baseline"/>
        </w:rPr>
        <w:t>кровотечений в</w:t>
      </w:r>
      <w:r>
        <w:rPr>
          <w:spacing w:val="-4"/>
          <w:sz w:val="20"/>
          <w:vertAlign w:val="baseline"/>
        </w:rPr>
        <w:t> </w:t>
      </w:r>
      <w:r>
        <w:rPr>
          <w:sz w:val="20"/>
          <w:vertAlign w:val="baseline"/>
        </w:rPr>
        <w:t>первые 2 недели госпитализации у терапевтических больных являются: активная язва желудка или 12-перстной кишки, кровотечение в предшествующие 3 месяца, возраст старше 85 лет, уровень тромбоцитов в крови ниже 50х10</w:t>
      </w:r>
      <w:r>
        <w:rPr>
          <w:sz w:val="20"/>
          <w:vertAlign w:val="superscript"/>
        </w:rPr>
        <w:t>9</w:t>
      </w:r>
      <w:r>
        <w:rPr>
          <w:sz w:val="20"/>
          <w:vertAlign w:val="baseline"/>
        </w:rPr>
        <w:t>/л, тяжелая печеночная недостаточность, скорость клубочковой фильтрации</w:t>
      </w:r>
      <w:r>
        <w:rPr>
          <w:spacing w:val="80"/>
          <w:w w:val="150"/>
          <w:sz w:val="20"/>
          <w:vertAlign w:val="baseline"/>
        </w:rPr>
        <w:t> </w:t>
      </w:r>
      <w:r>
        <w:rPr>
          <w:sz w:val="20"/>
          <w:vertAlign w:val="baseline"/>
        </w:rPr>
        <w:t>ниже</w:t>
      </w:r>
      <w:r>
        <w:rPr>
          <w:spacing w:val="80"/>
          <w:w w:val="150"/>
          <w:sz w:val="20"/>
          <w:vertAlign w:val="baseline"/>
        </w:rPr>
        <w:t> </w:t>
      </w:r>
      <w:r>
        <w:rPr>
          <w:sz w:val="20"/>
          <w:vertAlign w:val="baseline"/>
        </w:rPr>
        <w:t>30</w:t>
      </w:r>
      <w:r>
        <w:rPr>
          <w:spacing w:val="80"/>
          <w:w w:val="150"/>
          <w:sz w:val="20"/>
          <w:vertAlign w:val="baseline"/>
        </w:rPr>
        <w:t> </w:t>
      </w:r>
      <w:r>
        <w:rPr>
          <w:sz w:val="20"/>
          <w:vertAlign w:val="baseline"/>
        </w:rPr>
        <w:t>мл/мин/1,73</w:t>
      </w:r>
      <w:r>
        <w:rPr>
          <w:spacing w:val="80"/>
          <w:w w:val="150"/>
          <w:sz w:val="20"/>
          <w:vertAlign w:val="baseline"/>
        </w:rPr>
        <w:t> </w:t>
      </w:r>
      <w:r>
        <w:rPr>
          <w:sz w:val="20"/>
          <w:vertAlign w:val="baseline"/>
        </w:rPr>
        <w:t>м</w:t>
      </w:r>
      <w:r>
        <w:rPr>
          <w:sz w:val="20"/>
          <w:vertAlign w:val="superscript"/>
        </w:rPr>
        <w:t>2</w:t>
      </w:r>
      <w:r>
        <w:rPr>
          <w:sz w:val="20"/>
          <w:vertAlign w:val="baseline"/>
        </w:rPr>
        <w:t>.</w:t>
      </w:r>
      <w:r>
        <w:rPr>
          <w:spacing w:val="80"/>
          <w:w w:val="150"/>
          <w:sz w:val="20"/>
          <w:vertAlign w:val="baseline"/>
        </w:rPr>
        <w:t> </w:t>
      </w:r>
      <w:r>
        <w:rPr>
          <w:sz w:val="20"/>
          <w:vertAlign w:val="baseline"/>
        </w:rPr>
        <w:t>Следует</w:t>
      </w:r>
      <w:r>
        <w:rPr>
          <w:spacing w:val="80"/>
          <w:w w:val="150"/>
          <w:sz w:val="20"/>
          <w:vertAlign w:val="baseline"/>
        </w:rPr>
        <w:t> </w:t>
      </w:r>
      <w:r>
        <w:rPr>
          <w:sz w:val="20"/>
          <w:vertAlign w:val="baseline"/>
        </w:rPr>
        <w:t>также</w:t>
      </w:r>
      <w:r>
        <w:rPr>
          <w:spacing w:val="80"/>
          <w:w w:val="150"/>
          <w:sz w:val="20"/>
          <w:vertAlign w:val="baseline"/>
        </w:rPr>
        <w:t> </w:t>
      </w:r>
      <w:r>
        <w:rPr>
          <w:sz w:val="20"/>
          <w:vertAlign w:val="baseline"/>
        </w:rPr>
        <w:t>учитывать</w:t>
      </w:r>
      <w:r>
        <w:rPr>
          <w:spacing w:val="80"/>
          <w:w w:val="150"/>
          <w:sz w:val="20"/>
          <w:vertAlign w:val="baseline"/>
        </w:rPr>
        <w:t> </w:t>
      </w:r>
      <w:r>
        <w:rPr>
          <w:sz w:val="20"/>
          <w:vertAlign w:val="baseline"/>
        </w:rPr>
        <w:t>наличие</w:t>
      </w:r>
      <w:r>
        <w:rPr>
          <w:spacing w:val="80"/>
          <w:w w:val="150"/>
          <w:sz w:val="20"/>
          <w:vertAlign w:val="baseline"/>
        </w:rPr>
        <w:t> </w:t>
      </w:r>
      <w:r>
        <w:rPr>
          <w:sz w:val="20"/>
          <w:vertAlign w:val="baseline"/>
        </w:rPr>
        <w:t>противопоказаний к антикоагулянтам, изложенных в инструкциях к препаратам.</w:t>
      </w:r>
    </w:p>
    <w:p>
      <w:pPr>
        <w:spacing w:after="0" w:line="240" w:lineRule="auto"/>
        <w:jc w:val="both"/>
        <w:rPr>
          <w:sz w:val="20"/>
        </w:rPr>
        <w:sectPr>
          <w:pgSz w:w="11900" w:h="16840"/>
          <w:pgMar w:header="0" w:footer="697" w:top="1080" w:bottom="880" w:left="0" w:right="0"/>
        </w:sectPr>
      </w:pPr>
    </w:p>
    <w:p>
      <w:pPr>
        <w:pStyle w:val="BodyText"/>
        <w:spacing w:line="276" w:lineRule="auto" w:before="73"/>
        <w:ind w:right="1283"/>
        <w:jc w:val="left"/>
      </w:pPr>
      <w:bookmarkStart w:name="54" w:id="67"/>
      <w:bookmarkEnd w:id="67"/>
      <w:r>
        <w:rPr/>
      </w:r>
      <w:r>
        <w:rPr/>
        <w:t>применяли</w:t>
      </w:r>
      <w:r>
        <w:rPr>
          <w:spacing w:val="40"/>
        </w:rPr>
        <w:t> </w:t>
      </w:r>
      <w:r>
        <w:rPr/>
        <w:t>модифицированную</w:t>
      </w:r>
      <w:r>
        <w:rPr>
          <w:spacing w:val="40"/>
        </w:rPr>
        <w:t> </w:t>
      </w:r>
      <w:r>
        <w:rPr/>
        <w:t>шкалу</w:t>
      </w:r>
      <w:r>
        <w:rPr>
          <w:spacing w:val="40"/>
        </w:rPr>
        <w:t> </w:t>
      </w:r>
      <w:r>
        <w:rPr/>
        <w:t>IMPROVE</w:t>
      </w:r>
      <w:r>
        <w:rPr>
          <w:spacing w:val="40"/>
        </w:rPr>
        <w:t> </w:t>
      </w:r>
      <w:r>
        <w:rPr/>
        <w:t>VTE</w:t>
      </w:r>
      <w:r>
        <w:rPr>
          <w:spacing w:val="40"/>
        </w:rPr>
        <w:t> </w:t>
      </w:r>
      <w:r>
        <w:rPr/>
        <w:t>с</w:t>
      </w:r>
      <w:r>
        <w:rPr>
          <w:spacing w:val="40"/>
        </w:rPr>
        <w:t> </w:t>
      </w:r>
      <w:r>
        <w:rPr/>
        <w:t>учетом</w:t>
      </w:r>
      <w:r>
        <w:rPr>
          <w:spacing w:val="40"/>
        </w:rPr>
        <w:t> </w:t>
      </w:r>
      <w:r>
        <w:rPr/>
        <w:t>уровня</w:t>
      </w:r>
      <w:r>
        <w:rPr>
          <w:spacing w:val="40"/>
        </w:rPr>
        <w:t> </w:t>
      </w:r>
      <w:r>
        <w:rPr/>
        <w:t>D-димера во время госпитализации (таблица 2).</w:t>
      </w:r>
    </w:p>
    <w:p>
      <w:pPr>
        <w:pStyle w:val="BodyText"/>
        <w:spacing w:before="12"/>
        <w:ind w:left="0"/>
        <w:jc w:val="left"/>
      </w:pPr>
    </w:p>
    <w:p>
      <w:pPr>
        <w:pStyle w:val="BodyText"/>
        <w:spacing w:after="2"/>
        <w:ind w:left="2201" w:right="1334"/>
        <w:jc w:val="left"/>
      </w:pPr>
      <w:r>
        <w:rPr>
          <w:b/>
        </w:rPr>
        <w:t>Таблица</w:t>
      </w:r>
      <w:r>
        <w:rPr>
          <w:b/>
          <w:spacing w:val="-5"/>
        </w:rPr>
        <w:t> </w:t>
      </w:r>
      <w:r>
        <w:rPr>
          <w:b/>
        </w:rPr>
        <w:t>2.</w:t>
      </w:r>
      <w:r>
        <w:rPr>
          <w:b/>
          <w:spacing w:val="-6"/>
        </w:rPr>
        <w:t> </w:t>
      </w:r>
      <w:r>
        <w:rPr/>
        <w:t>Оценка</w:t>
      </w:r>
      <w:r>
        <w:rPr>
          <w:spacing w:val="-6"/>
        </w:rPr>
        <w:t> </w:t>
      </w:r>
      <w:r>
        <w:rPr/>
        <w:t>риска</w:t>
      </w:r>
      <w:r>
        <w:rPr>
          <w:spacing w:val="-6"/>
        </w:rPr>
        <w:t> </w:t>
      </w:r>
      <w:r>
        <w:rPr/>
        <w:t>венозных</w:t>
      </w:r>
      <w:r>
        <w:rPr>
          <w:spacing w:val="-6"/>
        </w:rPr>
        <w:t> </w:t>
      </w:r>
      <w:r>
        <w:rPr/>
        <w:t>тромбоэмболических</w:t>
      </w:r>
      <w:r>
        <w:rPr>
          <w:spacing w:val="-6"/>
        </w:rPr>
        <w:t> </w:t>
      </w:r>
      <w:r>
        <w:rPr/>
        <w:t>осложнений</w:t>
      </w:r>
      <w:r>
        <w:rPr>
          <w:spacing w:val="-7"/>
        </w:rPr>
        <w:t> </w:t>
      </w:r>
      <w:r>
        <w:rPr/>
        <w:t>у</w:t>
      </w:r>
      <w:r>
        <w:rPr>
          <w:spacing w:val="-6"/>
        </w:rPr>
        <w:t> </w:t>
      </w:r>
      <w:r>
        <w:rPr/>
        <w:t>больных с COVID-19 после выписки из стационара.</w:t>
      </w:r>
    </w:p>
    <w:tbl>
      <w:tblPr>
        <w:tblW w:w="0" w:type="auto"/>
        <w:jc w:val="left"/>
        <w:tblInd w:w="22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724"/>
        <w:gridCol w:w="1697"/>
      </w:tblGrid>
      <w:tr>
        <w:trPr>
          <w:trHeight w:val="290" w:hRule="atLeast"/>
        </w:trPr>
        <w:tc>
          <w:tcPr>
            <w:tcW w:w="6724" w:type="dxa"/>
          </w:tcPr>
          <w:p>
            <w:pPr>
              <w:pStyle w:val="TableParagraph"/>
              <w:spacing w:line="258" w:lineRule="exact" w:before="12"/>
              <w:ind w:left="105"/>
              <w:rPr>
                <w:b/>
                <w:sz w:val="24"/>
              </w:rPr>
            </w:pPr>
            <w:r>
              <w:rPr>
                <w:b/>
                <w:sz w:val="24"/>
              </w:rPr>
              <w:t>Фактор</w:t>
            </w:r>
            <w:r>
              <w:rPr>
                <w:b/>
                <w:spacing w:val="-15"/>
                <w:sz w:val="24"/>
              </w:rPr>
              <w:t> </w:t>
            </w:r>
            <w:r>
              <w:rPr>
                <w:b/>
                <w:spacing w:val="-2"/>
                <w:sz w:val="24"/>
              </w:rPr>
              <w:t>риска</w:t>
            </w:r>
          </w:p>
        </w:tc>
        <w:tc>
          <w:tcPr>
            <w:tcW w:w="1697" w:type="dxa"/>
          </w:tcPr>
          <w:p>
            <w:pPr>
              <w:pStyle w:val="TableParagraph"/>
              <w:spacing w:line="258" w:lineRule="exact" w:before="12"/>
              <w:ind w:left="2" w:right="23"/>
              <w:jc w:val="center"/>
              <w:rPr>
                <w:b/>
                <w:sz w:val="24"/>
              </w:rPr>
            </w:pPr>
            <w:r>
              <w:rPr>
                <w:b/>
                <w:spacing w:val="-4"/>
                <w:sz w:val="24"/>
              </w:rPr>
              <w:t>Балл</w:t>
            </w:r>
          </w:p>
        </w:tc>
      </w:tr>
      <w:tr>
        <w:trPr>
          <w:trHeight w:val="290" w:hRule="atLeast"/>
        </w:trPr>
        <w:tc>
          <w:tcPr>
            <w:tcW w:w="6724" w:type="dxa"/>
          </w:tcPr>
          <w:p>
            <w:pPr>
              <w:pStyle w:val="TableParagraph"/>
              <w:spacing w:line="258" w:lineRule="exact" w:before="11"/>
              <w:ind w:left="105"/>
              <w:rPr>
                <w:sz w:val="24"/>
              </w:rPr>
            </w:pPr>
            <w:r>
              <w:rPr>
                <w:spacing w:val="-2"/>
                <w:sz w:val="24"/>
              </w:rPr>
              <w:t>ТГВ/ТЭЛА</w:t>
            </w:r>
            <w:r>
              <w:rPr>
                <w:spacing w:val="-8"/>
                <w:sz w:val="24"/>
              </w:rPr>
              <w:t> </w:t>
            </w:r>
            <w:r>
              <w:rPr>
                <w:spacing w:val="-2"/>
                <w:sz w:val="24"/>
              </w:rPr>
              <w:t>в</w:t>
            </w:r>
            <w:r>
              <w:rPr>
                <w:spacing w:val="-7"/>
                <w:sz w:val="24"/>
              </w:rPr>
              <w:t> </w:t>
            </w:r>
            <w:r>
              <w:rPr>
                <w:spacing w:val="-2"/>
                <w:sz w:val="24"/>
              </w:rPr>
              <w:t>анамнезе</w:t>
            </w:r>
          </w:p>
        </w:tc>
        <w:tc>
          <w:tcPr>
            <w:tcW w:w="1697" w:type="dxa"/>
          </w:tcPr>
          <w:p>
            <w:pPr>
              <w:pStyle w:val="TableParagraph"/>
              <w:spacing w:line="258" w:lineRule="exact" w:before="11"/>
              <w:ind w:right="23"/>
              <w:jc w:val="center"/>
              <w:rPr>
                <w:sz w:val="24"/>
              </w:rPr>
            </w:pPr>
            <w:r>
              <w:rPr>
                <w:spacing w:val="-10"/>
                <w:sz w:val="24"/>
              </w:rPr>
              <w:t>3</w:t>
            </w:r>
          </w:p>
        </w:tc>
      </w:tr>
      <w:tr>
        <w:trPr>
          <w:trHeight w:val="1103" w:hRule="atLeast"/>
        </w:trPr>
        <w:tc>
          <w:tcPr>
            <w:tcW w:w="6724" w:type="dxa"/>
          </w:tcPr>
          <w:p>
            <w:pPr>
              <w:pStyle w:val="TableParagraph"/>
              <w:spacing w:line="276" w:lineRule="exact"/>
              <w:ind w:left="105" w:right="188"/>
              <w:rPr>
                <w:sz w:val="24"/>
              </w:rPr>
            </w:pPr>
            <w:r>
              <w:rPr>
                <w:sz w:val="24"/>
              </w:rPr>
              <w:t>Известная врожденная или приобретенная тромбофилия, приводящая к повышению риска венозных тромбозов (дефицит</w:t>
            </w:r>
            <w:r>
              <w:rPr>
                <w:spacing w:val="-9"/>
                <w:sz w:val="24"/>
              </w:rPr>
              <w:t> </w:t>
            </w:r>
            <w:r>
              <w:rPr>
                <w:sz w:val="24"/>
              </w:rPr>
              <w:t>протеина</w:t>
            </w:r>
            <w:r>
              <w:rPr>
                <w:spacing w:val="-9"/>
                <w:sz w:val="24"/>
              </w:rPr>
              <w:t> </w:t>
            </w:r>
            <w:r>
              <w:rPr>
                <w:sz w:val="24"/>
              </w:rPr>
              <w:t>С</w:t>
            </w:r>
            <w:r>
              <w:rPr>
                <w:spacing w:val="-8"/>
                <w:sz w:val="24"/>
              </w:rPr>
              <w:t> </w:t>
            </w:r>
            <w:r>
              <w:rPr>
                <w:sz w:val="24"/>
              </w:rPr>
              <w:t>или</w:t>
            </w:r>
            <w:r>
              <w:rPr>
                <w:spacing w:val="-5"/>
                <w:sz w:val="24"/>
              </w:rPr>
              <w:t> </w:t>
            </w:r>
            <w:r>
              <w:rPr>
                <w:sz w:val="24"/>
              </w:rPr>
              <w:t>S,</w:t>
            </w:r>
            <w:r>
              <w:rPr>
                <w:spacing w:val="-9"/>
                <w:sz w:val="24"/>
              </w:rPr>
              <w:t> </w:t>
            </w:r>
            <w:r>
              <w:rPr>
                <w:sz w:val="24"/>
              </w:rPr>
              <w:t>фактор</w:t>
            </w:r>
            <w:r>
              <w:rPr>
                <w:spacing w:val="-8"/>
                <w:sz w:val="24"/>
              </w:rPr>
              <w:t> </w:t>
            </w:r>
            <w:r>
              <w:rPr>
                <w:sz w:val="24"/>
              </w:rPr>
              <w:t>V</w:t>
            </w:r>
            <w:r>
              <w:rPr>
                <w:spacing w:val="-9"/>
                <w:sz w:val="24"/>
              </w:rPr>
              <w:t> </w:t>
            </w:r>
            <w:r>
              <w:rPr>
                <w:sz w:val="24"/>
              </w:rPr>
              <w:t>Лейден,</w:t>
            </w:r>
            <w:r>
              <w:rPr>
                <w:spacing w:val="-9"/>
                <w:sz w:val="24"/>
              </w:rPr>
              <w:t> </w:t>
            </w:r>
            <w:r>
              <w:rPr>
                <w:sz w:val="24"/>
              </w:rPr>
              <w:t>волчаночный </w:t>
            </w:r>
            <w:r>
              <w:rPr>
                <w:spacing w:val="-2"/>
                <w:sz w:val="24"/>
              </w:rPr>
              <w:t>антикоагулянт)</w:t>
            </w:r>
          </w:p>
        </w:tc>
        <w:tc>
          <w:tcPr>
            <w:tcW w:w="1697" w:type="dxa"/>
          </w:tcPr>
          <w:p>
            <w:pPr>
              <w:pStyle w:val="TableParagraph"/>
              <w:spacing w:before="11"/>
              <w:ind w:right="23"/>
              <w:jc w:val="center"/>
              <w:rPr>
                <w:sz w:val="24"/>
              </w:rPr>
            </w:pPr>
            <w:r>
              <w:rPr>
                <w:spacing w:val="-10"/>
                <w:sz w:val="24"/>
              </w:rPr>
              <w:t>2</w:t>
            </w:r>
          </w:p>
        </w:tc>
      </w:tr>
      <w:tr>
        <w:trPr>
          <w:trHeight w:val="290" w:hRule="atLeast"/>
        </w:trPr>
        <w:tc>
          <w:tcPr>
            <w:tcW w:w="6724" w:type="dxa"/>
          </w:tcPr>
          <w:p>
            <w:pPr>
              <w:pStyle w:val="TableParagraph"/>
              <w:spacing w:line="260" w:lineRule="exact" w:before="10"/>
              <w:ind w:left="105"/>
              <w:rPr>
                <w:sz w:val="24"/>
              </w:rPr>
            </w:pPr>
            <w:r>
              <w:rPr>
                <w:sz w:val="24"/>
              </w:rPr>
              <w:t>Парез</w:t>
            </w:r>
            <w:r>
              <w:rPr>
                <w:spacing w:val="-8"/>
                <w:sz w:val="24"/>
              </w:rPr>
              <w:t> </w:t>
            </w:r>
            <w:r>
              <w:rPr>
                <w:sz w:val="24"/>
              </w:rPr>
              <w:t>или</w:t>
            </w:r>
            <w:r>
              <w:rPr>
                <w:spacing w:val="-9"/>
                <w:sz w:val="24"/>
              </w:rPr>
              <w:t> </w:t>
            </w:r>
            <w:r>
              <w:rPr>
                <w:sz w:val="24"/>
              </w:rPr>
              <w:t>паралич</w:t>
            </w:r>
            <w:r>
              <w:rPr>
                <w:spacing w:val="-8"/>
                <w:sz w:val="24"/>
              </w:rPr>
              <w:t> </w:t>
            </w:r>
            <w:r>
              <w:rPr>
                <w:sz w:val="24"/>
              </w:rPr>
              <w:t>нижних</w:t>
            </w:r>
            <w:r>
              <w:rPr>
                <w:spacing w:val="-9"/>
                <w:sz w:val="24"/>
              </w:rPr>
              <w:t> </w:t>
            </w:r>
            <w:r>
              <w:rPr>
                <w:spacing w:val="-2"/>
                <w:sz w:val="24"/>
              </w:rPr>
              <w:t>конечностей</w:t>
            </w:r>
          </w:p>
        </w:tc>
        <w:tc>
          <w:tcPr>
            <w:tcW w:w="1697" w:type="dxa"/>
          </w:tcPr>
          <w:p>
            <w:pPr>
              <w:pStyle w:val="TableParagraph"/>
              <w:spacing w:line="260" w:lineRule="exact" w:before="10"/>
              <w:ind w:right="23"/>
              <w:jc w:val="center"/>
              <w:rPr>
                <w:sz w:val="24"/>
              </w:rPr>
            </w:pPr>
            <w:r>
              <w:rPr>
                <w:spacing w:val="-10"/>
                <w:sz w:val="24"/>
              </w:rPr>
              <w:t>2</w:t>
            </w:r>
          </w:p>
        </w:tc>
      </w:tr>
      <w:tr>
        <w:trPr>
          <w:trHeight w:val="1118" w:hRule="atLeast"/>
        </w:trPr>
        <w:tc>
          <w:tcPr>
            <w:tcW w:w="6724" w:type="dxa"/>
          </w:tcPr>
          <w:p>
            <w:pPr>
              <w:pStyle w:val="TableParagraph"/>
              <w:spacing w:before="10"/>
              <w:ind w:left="105" w:right="188"/>
              <w:rPr>
                <w:sz w:val="24"/>
              </w:rPr>
            </w:pPr>
            <w:r>
              <w:rPr>
                <w:sz w:val="24"/>
              </w:rPr>
              <w:t>Злокачественное</w:t>
            </w:r>
            <w:r>
              <w:rPr>
                <w:spacing w:val="-15"/>
                <w:sz w:val="24"/>
              </w:rPr>
              <w:t> </w:t>
            </w:r>
            <w:r>
              <w:rPr>
                <w:sz w:val="24"/>
              </w:rPr>
              <w:t>новообразование</w:t>
            </w:r>
            <w:r>
              <w:rPr>
                <w:spacing w:val="-15"/>
                <w:sz w:val="24"/>
              </w:rPr>
              <w:t> </w:t>
            </w:r>
            <w:r>
              <w:rPr>
                <w:sz w:val="24"/>
              </w:rPr>
              <w:t>(кроме</w:t>
            </w:r>
            <w:r>
              <w:rPr>
                <w:spacing w:val="-15"/>
                <w:sz w:val="24"/>
              </w:rPr>
              <w:t> </w:t>
            </w:r>
            <w:r>
              <w:rPr>
                <w:sz w:val="24"/>
              </w:rPr>
              <w:t>карциномы</w:t>
            </w:r>
            <w:r>
              <w:rPr>
                <w:spacing w:val="-15"/>
                <w:sz w:val="24"/>
              </w:rPr>
              <w:t> </w:t>
            </w:r>
            <w:r>
              <w:rPr>
                <w:sz w:val="24"/>
              </w:rPr>
              <w:t>кожи</w:t>
            </w:r>
            <w:r>
              <w:rPr>
                <w:spacing w:val="-15"/>
                <w:sz w:val="24"/>
              </w:rPr>
              <w:t> </w:t>
            </w:r>
            <w:r>
              <w:rPr>
                <w:sz w:val="24"/>
              </w:rPr>
              <w:t>– не меланомы) в любое время последние 5 лет в состоянии</w:t>
            </w:r>
          </w:p>
          <w:p>
            <w:pPr>
              <w:pStyle w:val="TableParagraph"/>
              <w:spacing w:line="276" w:lineRule="exact"/>
              <w:ind w:left="105"/>
              <w:rPr>
                <w:sz w:val="24"/>
              </w:rPr>
            </w:pPr>
            <w:r>
              <w:rPr>
                <w:sz w:val="24"/>
              </w:rPr>
              <w:t>ремиссии</w:t>
            </w:r>
            <w:r>
              <w:rPr>
                <w:spacing w:val="-8"/>
                <w:sz w:val="24"/>
              </w:rPr>
              <w:t> </w:t>
            </w:r>
            <w:r>
              <w:rPr>
                <w:sz w:val="24"/>
              </w:rPr>
              <w:t>более</w:t>
            </w:r>
            <w:r>
              <w:rPr>
                <w:spacing w:val="-9"/>
                <w:sz w:val="24"/>
              </w:rPr>
              <w:t> </w:t>
            </w:r>
            <w:r>
              <w:rPr>
                <w:sz w:val="24"/>
              </w:rPr>
              <w:t>6</w:t>
            </w:r>
            <w:r>
              <w:rPr>
                <w:spacing w:val="-9"/>
                <w:sz w:val="24"/>
              </w:rPr>
              <w:t> </w:t>
            </w:r>
            <w:r>
              <w:rPr>
                <w:sz w:val="24"/>
              </w:rPr>
              <w:t>месяцев,</w:t>
            </w:r>
            <w:r>
              <w:rPr>
                <w:spacing w:val="-9"/>
                <w:sz w:val="24"/>
              </w:rPr>
              <w:t> </w:t>
            </w:r>
            <w:r>
              <w:rPr>
                <w:sz w:val="24"/>
              </w:rPr>
              <w:t>не</w:t>
            </w:r>
            <w:r>
              <w:rPr>
                <w:spacing w:val="-9"/>
                <w:sz w:val="24"/>
              </w:rPr>
              <w:t> </w:t>
            </w:r>
            <w:r>
              <w:rPr>
                <w:sz w:val="24"/>
              </w:rPr>
              <w:t>требующее</w:t>
            </w:r>
            <w:r>
              <w:rPr>
                <w:spacing w:val="-9"/>
                <w:sz w:val="24"/>
              </w:rPr>
              <w:t> </w:t>
            </w:r>
            <w:r>
              <w:rPr>
                <w:sz w:val="24"/>
              </w:rPr>
              <w:t>активной химиотерапии или дополнительного лечения</w:t>
            </w:r>
          </w:p>
        </w:tc>
        <w:tc>
          <w:tcPr>
            <w:tcW w:w="1697" w:type="dxa"/>
          </w:tcPr>
          <w:p>
            <w:pPr>
              <w:pStyle w:val="TableParagraph"/>
              <w:spacing w:before="10"/>
              <w:ind w:right="23"/>
              <w:jc w:val="center"/>
              <w:rPr>
                <w:sz w:val="24"/>
              </w:rPr>
            </w:pPr>
            <w:r>
              <w:rPr>
                <w:spacing w:val="-10"/>
                <w:sz w:val="24"/>
              </w:rPr>
              <w:t>2</w:t>
            </w:r>
          </w:p>
        </w:tc>
      </w:tr>
      <w:tr>
        <w:trPr>
          <w:trHeight w:val="290" w:hRule="atLeast"/>
        </w:trPr>
        <w:tc>
          <w:tcPr>
            <w:tcW w:w="6724" w:type="dxa"/>
          </w:tcPr>
          <w:p>
            <w:pPr>
              <w:pStyle w:val="TableParagraph"/>
              <w:spacing w:line="261" w:lineRule="exact" w:before="9"/>
              <w:ind w:left="105"/>
              <w:rPr>
                <w:sz w:val="24"/>
              </w:rPr>
            </w:pPr>
            <w:r>
              <w:rPr>
                <w:spacing w:val="-2"/>
                <w:sz w:val="24"/>
              </w:rPr>
              <w:t>Пребывание</w:t>
            </w:r>
            <w:r>
              <w:rPr>
                <w:spacing w:val="-3"/>
                <w:sz w:val="24"/>
              </w:rPr>
              <w:t> </w:t>
            </w:r>
            <w:r>
              <w:rPr>
                <w:spacing w:val="-2"/>
                <w:sz w:val="24"/>
              </w:rPr>
              <w:t>в</w:t>
            </w:r>
            <w:r>
              <w:rPr>
                <w:spacing w:val="-3"/>
                <w:sz w:val="24"/>
              </w:rPr>
              <w:t> </w:t>
            </w:r>
            <w:r>
              <w:rPr>
                <w:spacing w:val="-2"/>
                <w:sz w:val="24"/>
              </w:rPr>
              <w:t>отделении</w:t>
            </w:r>
            <w:r>
              <w:rPr>
                <w:spacing w:val="-1"/>
                <w:sz w:val="24"/>
              </w:rPr>
              <w:t> </w:t>
            </w:r>
            <w:r>
              <w:rPr>
                <w:spacing w:val="-2"/>
                <w:sz w:val="24"/>
              </w:rPr>
              <w:t>(блоке)</w:t>
            </w:r>
            <w:r>
              <w:rPr>
                <w:spacing w:val="-3"/>
                <w:sz w:val="24"/>
              </w:rPr>
              <w:t> </w:t>
            </w:r>
            <w:r>
              <w:rPr>
                <w:spacing w:val="-2"/>
                <w:sz w:val="24"/>
              </w:rPr>
              <w:t>интенсивной</w:t>
            </w:r>
            <w:r>
              <w:rPr>
                <w:spacing w:val="-4"/>
                <w:sz w:val="24"/>
              </w:rPr>
              <w:t> </w:t>
            </w:r>
            <w:r>
              <w:rPr>
                <w:spacing w:val="-2"/>
                <w:sz w:val="24"/>
              </w:rPr>
              <w:t>терапии</w:t>
            </w:r>
          </w:p>
        </w:tc>
        <w:tc>
          <w:tcPr>
            <w:tcW w:w="1697" w:type="dxa"/>
          </w:tcPr>
          <w:p>
            <w:pPr>
              <w:pStyle w:val="TableParagraph"/>
              <w:spacing w:line="261" w:lineRule="exact" w:before="9"/>
              <w:ind w:right="23"/>
              <w:jc w:val="center"/>
              <w:rPr>
                <w:sz w:val="24"/>
              </w:rPr>
            </w:pPr>
            <w:r>
              <w:rPr>
                <w:spacing w:val="-10"/>
                <w:sz w:val="24"/>
              </w:rPr>
              <w:t>1</w:t>
            </w:r>
          </w:p>
        </w:tc>
      </w:tr>
      <w:tr>
        <w:trPr>
          <w:trHeight w:val="551" w:hRule="atLeast"/>
        </w:trPr>
        <w:tc>
          <w:tcPr>
            <w:tcW w:w="6724" w:type="dxa"/>
          </w:tcPr>
          <w:p>
            <w:pPr>
              <w:pStyle w:val="TableParagraph"/>
              <w:spacing w:line="276" w:lineRule="exact"/>
              <w:ind w:left="105"/>
              <w:rPr>
                <w:sz w:val="24"/>
              </w:rPr>
            </w:pPr>
            <w:r>
              <w:rPr>
                <w:sz w:val="24"/>
              </w:rPr>
              <w:t>Полная</w:t>
            </w:r>
            <w:r>
              <w:rPr>
                <w:spacing w:val="-9"/>
                <w:sz w:val="24"/>
              </w:rPr>
              <w:t> </w:t>
            </w:r>
            <w:r>
              <w:rPr>
                <w:sz w:val="24"/>
              </w:rPr>
              <w:t>иммобилизация</w:t>
            </w:r>
            <w:r>
              <w:rPr>
                <w:spacing w:val="-11"/>
                <w:sz w:val="24"/>
              </w:rPr>
              <w:t> </w:t>
            </w:r>
            <w:r>
              <w:rPr>
                <w:sz w:val="24"/>
              </w:rPr>
              <w:t>≥1</w:t>
            </w:r>
            <w:r>
              <w:rPr>
                <w:spacing w:val="-9"/>
                <w:sz w:val="24"/>
              </w:rPr>
              <w:t> </w:t>
            </w:r>
            <w:r>
              <w:rPr>
                <w:sz w:val="24"/>
              </w:rPr>
              <w:t>дня</w:t>
            </w:r>
            <w:r>
              <w:rPr>
                <w:spacing w:val="-9"/>
                <w:sz w:val="24"/>
              </w:rPr>
              <w:t> </w:t>
            </w:r>
            <w:r>
              <w:rPr>
                <w:sz w:val="24"/>
              </w:rPr>
              <w:t>(нахождение</w:t>
            </w:r>
            <w:r>
              <w:rPr>
                <w:spacing w:val="-9"/>
                <w:sz w:val="24"/>
              </w:rPr>
              <w:t> </w:t>
            </w:r>
            <w:r>
              <w:rPr>
                <w:sz w:val="24"/>
              </w:rPr>
              <w:t>в</w:t>
            </w:r>
            <w:r>
              <w:rPr>
                <w:spacing w:val="-9"/>
                <w:sz w:val="24"/>
              </w:rPr>
              <w:t> </w:t>
            </w:r>
            <w:r>
              <w:rPr>
                <w:sz w:val="24"/>
              </w:rPr>
              <w:t>кровати</w:t>
            </w:r>
            <w:r>
              <w:rPr>
                <w:spacing w:val="-9"/>
                <w:sz w:val="24"/>
              </w:rPr>
              <w:t> </w:t>
            </w:r>
            <w:r>
              <w:rPr>
                <w:sz w:val="24"/>
              </w:rPr>
              <w:t>или</w:t>
            </w:r>
            <w:r>
              <w:rPr>
                <w:spacing w:val="-10"/>
                <w:sz w:val="24"/>
              </w:rPr>
              <w:t> </w:t>
            </w:r>
            <w:r>
              <w:rPr>
                <w:sz w:val="24"/>
              </w:rPr>
              <w:t>на стуле с выходом в туалет или без него)</w:t>
            </w:r>
          </w:p>
        </w:tc>
        <w:tc>
          <w:tcPr>
            <w:tcW w:w="1697" w:type="dxa"/>
          </w:tcPr>
          <w:p>
            <w:pPr>
              <w:pStyle w:val="TableParagraph"/>
              <w:spacing w:before="9"/>
              <w:ind w:right="23"/>
              <w:jc w:val="center"/>
              <w:rPr>
                <w:sz w:val="24"/>
              </w:rPr>
            </w:pPr>
            <w:r>
              <w:rPr>
                <w:spacing w:val="-10"/>
                <w:sz w:val="24"/>
              </w:rPr>
              <w:t>1</w:t>
            </w:r>
          </w:p>
        </w:tc>
      </w:tr>
      <w:tr>
        <w:trPr>
          <w:trHeight w:val="290" w:hRule="atLeast"/>
        </w:trPr>
        <w:tc>
          <w:tcPr>
            <w:tcW w:w="6724" w:type="dxa"/>
          </w:tcPr>
          <w:p>
            <w:pPr>
              <w:pStyle w:val="TableParagraph"/>
              <w:spacing w:line="262" w:lineRule="exact" w:before="8"/>
              <w:ind w:left="105"/>
              <w:rPr>
                <w:sz w:val="24"/>
              </w:rPr>
            </w:pPr>
            <w:r>
              <w:rPr>
                <w:sz w:val="24"/>
              </w:rPr>
              <w:t>Возраст</w:t>
            </w:r>
            <w:r>
              <w:rPr>
                <w:spacing w:val="-8"/>
                <w:sz w:val="24"/>
              </w:rPr>
              <w:t> </w:t>
            </w:r>
            <w:r>
              <w:rPr>
                <w:sz w:val="24"/>
              </w:rPr>
              <w:t>старше</w:t>
            </w:r>
            <w:r>
              <w:rPr>
                <w:spacing w:val="-7"/>
                <w:sz w:val="24"/>
              </w:rPr>
              <w:t> </w:t>
            </w:r>
            <w:r>
              <w:rPr>
                <w:sz w:val="24"/>
              </w:rPr>
              <w:t>60</w:t>
            </w:r>
            <w:r>
              <w:rPr>
                <w:spacing w:val="-7"/>
                <w:sz w:val="24"/>
              </w:rPr>
              <w:t> </w:t>
            </w:r>
            <w:r>
              <w:rPr>
                <w:spacing w:val="-5"/>
                <w:sz w:val="24"/>
              </w:rPr>
              <w:t>лет</w:t>
            </w:r>
          </w:p>
        </w:tc>
        <w:tc>
          <w:tcPr>
            <w:tcW w:w="1697" w:type="dxa"/>
          </w:tcPr>
          <w:p>
            <w:pPr>
              <w:pStyle w:val="TableParagraph"/>
              <w:spacing w:line="262" w:lineRule="exact" w:before="8"/>
              <w:ind w:right="23"/>
              <w:jc w:val="center"/>
              <w:rPr>
                <w:sz w:val="24"/>
              </w:rPr>
            </w:pPr>
            <w:r>
              <w:rPr>
                <w:spacing w:val="-10"/>
                <w:sz w:val="24"/>
              </w:rPr>
              <w:t>1</w:t>
            </w:r>
          </w:p>
        </w:tc>
      </w:tr>
    </w:tbl>
    <w:p>
      <w:pPr>
        <w:pStyle w:val="BodyText"/>
        <w:spacing w:before="23"/>
        <w:ind w:left="0"/>
        <w:jc w:val="left"/>
      </w:pPr>
    </w:p>
    <w:p>
      <w:pPr>
        <w:pStyle w:val="BodyText"/>
        <w:ind w:left="2201" w:right="1280" w:firstLine="347"/>
      </w:pPr>
      <w:r>
        <w:rPr/>
        <w:t>Примечание: продленная профилактика после выписки может быть рассмотрена у пациентов с суммой баллов </w:t>
      </w:r>
      <w:r>
        <w:rPr>
          <w:rFonts w:ascii="Symbol" w:hAnsi="Symbol"/>
        </w:rPr>
        <w:t></w:t>
      </w:r>
      <w:r>
        <w:rPr/>
        <w:t>4 или при сочетании суммы баллов</w:t>
      </w:r>
      <w:r>
        <w:rPr>
          <w:spacing w:val="80"/>
        </w:rPr>
        <w:t> </w:t>
      </w:r>
      <w:r>
        <w:rPr/>
        <w:t>2-3 с концентрацией D-димера в крови во время госпитализации выше верхней референсной границы.</w:t>
      </w:r>
    </w:p>
    <w:p>
      <w:pPr>
        <w:pStyle w:val="BodyText"/>
        <w:spacing w:before="152"/>
        <w:ind w:left="0"/>
        <w:jc w:val="left"/>
      </w:pPr>
    </w:p>
    <w:p>
      <w:pPr>
        <w:spacing w:line="276" w:lineRule="auto" w:before="0"/>
        <w:ind w:left="1841" w:right="1273" w:firstLine="707"/>
        <w:jc w:val="both"/>
        <w:rPr>
          <w:i/>
          <w:sz w:val="24"/>
        </w:rPr>
      </w:pPr>
      <w:r>
        <w:rPr>
          <w:b/>
          <w:i/>
          <w:sz w:val="24"/>
        </w:rPr>
        <w:t>Антиагреганты. </w:t>
      </w:r>
      <w:r>
        <w:rPr>
          <w:i/>
          <w:sz w:val="24"/>
        </w:rPr>
        <w:t>Нет доказательств целесообразности широкого применения</w:t>
      </w:r>
      <w:r>
        <w:rPr>
          <w:i/>
          <w:spacing w:val="80"/>
          <w:sz w:val="24"/>
        </w:rPr>
        <w:t> </w:t>
      </w:r>
      <w:r>
        <w:rPr>
          <w:i/>
          <w:sz w:val="24"/>
        </w:rPr>
        <w:t>антиагрегантов</w:t>
      </w:r>
      <w:r>
        <w:rPr>
          <w:i/>
          <w:spacing w:val="80"/>
          <w:sz w:val="24"/>
        </w:rPr>
        <w:t> </w:t>
      </w:r>
      <w:r>
        <w:rPr>
          <w:i/>
          <w:sz w:val="24"/>
        </w:rPr>
        <w:t>для</w:t>
      </w:r>
      <w:r>
        <w:rPr>
          <w:i/>
          <w:spacing w:val="80"/>
          <w:sz w:val="24"/>
        </w:rPr>
        <w:t> </w:t>
      </w:r>
      <w:r>
        <w:rPr>
          <w:i/>
          <w:sz w:val="24"/>
        </w:rPr>
        <w:t>лечения</w:t>
      </w:r>
      <w:r>
        <w:rPr>
          <w:i/>
          <w:spacing w:val="80"/>
          <w:sz w:val="24"/>
        </w:rPr>
        <w:t> </w:t>
      </w:r>
      <w:r>
        <w:rPr>
          <w:i/>
          <w:sz w:val="24"/>
        </w:rPr>
        <w:t>COVID-19.</w:t>
      </w:r>
      <w:r>
        <w:rPr>
          <w:i/>
          <w:spacing w:val="80"/>
          <w:sz w:val="24"/>
        </w:rPr>
        <w:t> </w:t>
      </w:r>
      <w:r>
        <w:rPr>
          <w:i/>
          <w:sz w:val="24"/>
        </w:rPr>
        <w:t>Когда</w:t>
      </w:r>
      <w:r>
        <w:rPr>
          <w:i/>
          <w:spacing w:val="80"/>
          <w:sz w:val="24"/>
        </w:rPr>
        <w:t> </w:t>
      </w:r>
      <w:r>
        <w:rPr>
          <w:i/>
          <w:sz w:val="24"/>
        </w:rPr>
        <w:t>требуется</w:t>
      </w:r>
      <w:r>
        <w:rPr>
          <w:i/>
          <w:spacing w:val="80"/>
          <w:sz w:val="24"/>
        </w:rPr>
        <w:t> </w:t>
      </w:r>
      <w:r>
        <w:rPr>
          <w:i/>
          <w:sz w:val="24"/>
        </w:rPr>
        <w:t>лечение</w:t>
      </w:r>
      <w:r>
        <w:rPr>
          <w:i/>
          <w:spacing w:val="40"/>
          <w:sz w:val="24"/>
        </w:rPr>
        <w:t> </w:t>
      </w:r>
      <w:r>
        <w:rPr>
          <w:i/>
          <w:sz w:val="24"/>
        </w:rPr>
        <w:t>в ОРИТ, данные одного рандомизированного контролируемоно исследования указывают</w:t>
      </w:r>
      <w:r>
        <w:rPr>
          <w:i/>
          <w:spacing w:val="-10"/>
          <w:sz w:val="24"/>
        </w:rPr>
        <w:t> </w:t>
      </w:r>
      <w:r>
        <w:rPr>
          <w:i/>
          <w:sz w:val="24"/>
        </w:rPr>
        <w:t>на</w:t>
      </w:r>
      <w:r>
        <w:rPr>
          <w:i/>
          <w:spacing w:val="-10"/>
          <w:sz w:val="24"/>
        </w:rPr>
        <w:t> </w:t>
      </w:r>
      <w:r>
        <w:rPr>
          <w:i/>
          <w:sz w:val="24"/>
        </w:rPr>
        <w:t>возможную</w:t>
      </w:r>
      <w:r>
        <w:rPr>
          <w:i/>
          <w:spacing w:val="-9"/>
          <w:sz w:val="24"/>
        </w:rPr>
        <w:t> </w:t>
      </w:r>
      <w:r>
        <w:rPr>
          <w:i/>
          <w:sz w:val="24"/>
        </w:rPr>
        <w:t>пользу</w:t>
      </w:r>
      <w:r>
        <w:rPr>
          <w:i/>
          <w:spacing w:val="-10"/>
          <w:sz w:val="24"/>
        </w:rPr>
        <w:t> </w:t>
      </w:r>
      <w:r>
        <w:rPr>
          <w:i/>
          <w:sz w:val="24"/>
        </w:rPr>
        <w:t>от</w:t>
      </w:r>
      <w:r>
        <w:rPr>
          <w:i/>
          <w:spacing w:val="-10"/>
          <w:sz w:val="24"/>
        </w:rPr>
        <w:t> </w:t>
      </w:r>
      <w:r>
        <w:rPr>
          <w:i/>
          <w:sz w:val="24"/>
        </w:rPr>
        <w:t>добавления</w:t>
      </w:r>
      <w:r>
        <w:rPr>
          <w:i/>
          <w:spacing w:val="-9"/>
          <w:sz w:val="24"/>
        </w:rPr>
        <w:t> </w:t>
      </w:r>
      <w:r>
        <w:rPr>
          <w:i/>
          <w:sz w:val="24"/>
        </w:rPr>
        <w:t>антиагреганта</w:t>
      </w:r>
      <w:r>
        <w:rPr>
          <w:i/>
          <w:spacing w:val="-10"/>
          <w:sz w:val="24"/>
        </w:rPr>
        <w:t> </w:t>
      </w:r>
      <w:r>
        <w:rPr>
          <w:i/>
          <w:sz w:val="24"/>
        </w:rPr>
        <w:t>(ацетилсалициловой кислоты</w:t>
      </w:r>
      <w:r>
        <w:rPr>
          <w:i/>
          <w:spacing w:val="80"/>
          <w:sz w:val="24"/>
        </w:rPr>
        <w:t> </w:t>
      </w:r>
      <w:r>
        <w:rPr>
          <w:i/>
          <w:sz w:val="24"/>
        </w:rPr>
        <w:t>или</w:t>
      </w:r>
      <w:r>
        <w:rPr>
          <w:i/>
          <w:spacing w:val="80"/>
          <w:sz w:val="24"/>
        </w:rPr>
        <w:t> </w:t>
      </w:r>
      <w:r>
        <w:rPr>
          <w:i/>
          <w:sz w:val="24"/>
        </w:rPr>
        <w:t>клопидогрела)</w:t>
      </w:r>
      <w:r>
        <w:rPr>
          <w:i/>
          <w:spacing w:val="80"/>
          <w:sz w:val="24"/>
        </w:rPr>
        <w:t> </w:t>
      </w:r>
      <w:r>
        <w:rPr>
          <w:i/>
          <w:sz w:val="24"/>
        </w:rPr>
        <w:t>к</w:t>
      </w:r>
      <w:r>
        <w:rPr>
          <w:i/>
          <w:spacing w:val="80"/>
          <w:sz w:val="24"/>
        </w:rPr>
        <w:t> </w:t>
      </w:r>
      <w:r>
        <w:rPr>
          <w:i/>
          <w:sz w:val="24"/>
        </w:rPr>
        <w:t>профилактической</w:t>
      </w:r>
      <w:r>
        <w:rPr>
          <w:i/>
          <w:spacing w:val="80"/>
          <w:sz w:val="24"/>
        </w:rPr>
        <w:t> </w:t>
      </w:r>
      <w:r>
        <w:rPr>
          <w:i/>
          <w:sz w:val="24"/>
        </w:rPr>
        <w:t>дозе</w:t>
      </w:r>
      <w:r>
        <w:rPr>
          <w:i/>
          <w:spacing w:val="80"/>
          <w:sz w:val="24"/>
        </w:rPr>
        <w:t> </w:t>
      </w:r>
      <w:r>
        <w:rPr>
          <w:i/>
          <w:sz w:val="24"/>
        </w:rPr>
        <w:t>гепарина.</w:t>
      </w:r>
      <w:r>
        <w:rPr>
          <w:i/>
          <w:spacing w:val="77"/>
          <w:w w:val="150"/>
          <w:sz w:val="24"/>
        </w:rPr>
        <w:t> </w:t>
      </w:r>
      <w:r>
        <w:rPr>
          <w:i/>
          <w:sz w:val="24"/>
        </w:rPr>
        <w:t>У</w:t>
      </w:r>
      <w:r>
        <w:rPr>
          <w:i/>
          <w:spacing w:val="80"/>
          <w:sz w:val="24"/>
        </w:rPr>
        <w:t> </w:t>
      </w:r>
      <w:r>
        <w:rPr>
          <w:i/>
          <w:sz w:val="24"/>
        </w:rPr>
        <w:t>пациентов</w:t>
      </w:r>
      <w:r>
        <w:rPr>
          <w:i/>
          <w:spacing w:val="80"/>
          <w:sz w:val="24"/>
        </w:rPr>
        <w:t> </w:t>
      </w:r>
      <w:r>
        <w:rPr>
          <w:i/>
          <w:sz w:val="24"/>
        </w:rPr>
        <w:t>с сердечно-сосудистыми заболеваниями антиагреганты следует использовать при наличии соотвествующих показаний. В частности, ацетилсалициловая кислота, назначенная</w:t>
      </w:r>
      <w:r>
        <w:rPr>
          <w:i/>
          <w:spacing w:val="-8"/>
          <w:sz w:val="24"/>
        </w:rPr>
        <w:t> </w:t>
      </w:r>
      <w:r>
        <w:rPr>
          <w:i/>
          <w:sz w:val="24"/>
        </w:rPr>
        <w:t>ранее</w:t>
      </w:r>
      <w:r>
        <w:rPr>
          <w:i/>
          <w:spacing w:val="-9"/>
          <w:sz w:val="24"/>
        </w:rPr>
        <w:t> </w:t>
      </w:r>
      <w:r>
        <w:rPr>
          <w:i/>
          <w:sz w:val="24"/>
        </w:rPr>
        <w:t>с</w:t>
      </w:r>
      <w:r>
        <w:rPr>
          <w:i/>
          <w:spacing w:val="-9"/>
          <w:sz w:val="24"/>
        </w:rPr>
        <w:t> </w:t>
      </w:r>
      <w:r>
        <w:rPr>
          <w:i/>
          <w:sz w:val="24"/>
        </w:rPr>
        <w:t>целью</w:t>
      </w:r>
      <w:r>
        <w:rPr>
          <w:i/>
          <w:spacing w:val="-8"/>
          <w:sz w:val="24"/>
        </w:rPr>
        <w:t> </w:t>
      </w:r>
      <w:r>
        <w:rPr>
          <w:i/>
          <w:sz w:val="24"/>
        </w:rPr>
        <w:t>вторичной</w:t>
      </w:r>
      <w:r>
        <w:rPr>
          <w:i/>
          <w:spacing w:val="-9"/>
          <w:sz w:val="24"/>
        </w:rPr>
        <w:t> </w:t>
      </w:r>
      <w:r>
        <w:rPr>
          <w:i/>
          <w:sz w:val="24"/>
        </w:rPr>
        <w:t>профилактики</w:t>
      </w:r>
      <w:r>
        <w:rPr>
          <w:i/>
          <w:spacing w:val="-8"/>
          <w:sz w:val="24"/>
        </w:rPr>
        <w:t> </w:t>
      </w:r>
      <w:r>
        <w:rPr>
          <w:i/>
          <w:sz w:val="24"/>
        </w:rPr>
        <w:t>сердечно-сосудистых</w:t>
      </w:r>
      <w:r>
        <w:rPr>
          <w:i/>
          <w:spacing w:val="-9"/>
          <w:sz w:val="24"/>
        </w:rPr>
        <w:t> </w:t>
      </w:r>
      <w:r>
        <w:rPr>
          <w:i/>
          <w:sz w:val="24"/>
        </w:rPr>
        <w:t>событий, не должна отменяться в условиях COVID-19 и ее прием должен быть продолжен. Если пациент получает два антиагреганта, решение о составе антитромботической терапии</w:t>
      </w:r>
      <w:r>
        <w:rPr>
          <w:i/>
          <w:spacing w:val="-2"/>
          <w:sz w:val="24"/>
        </w:rPr>
        <w:t> </w:t>
      </w:r>
      <w:r>
        <w:rPr>
          <w:i/>
          <w:sz w:val="24"/>
        </w:rPr>
        <w:t>должно</w:t>
      </w:r>
      <w:r>
        <w:rPr>
          <w:i/>
          <w:spacing w:val="-2"/>
          <w:sz w:val="24"/>
        </w:rPr>
        <w:t> </w:t>
      </w:r>
      <w:r>
        <w:rPr>
          <w:i/>
          <w:sz w:val="24"/>
        </w:rPr>
        <w:t>приниматься</w:t>
      </w:r>
      <w:r>
        <w:rPr>
          <w:i/>
          <w:spacing w:val="-1"/>
          <w:sz w:val="24"/>
        </w:rPr>
        <w:t> </w:t>
      </w:r>
      <w:r>
        <w:rPr>
          <w:i/>
          <w:sz w:val="24"/>
        </w:rPr>
        <w:t>индивидуально</w:t>
      </w:r>
      <w:r>
        <w:rPr>
          <w:i/>
          <w:spacing w:val="-7"/>
          <w:sz w:val="24"/>
        </w:rPr>
        <w:t> </w:t>
      </w:r>
      <w:r>
        <w:rPr>
          <w:i/>
          <w:sz w:val="24"/>
        </w:rPr>
        <w:t>с</w:t>
      </w:r>
      <w:r>
        <w:rPr>
          <w:i/>
          <w:spacing w:val="-3"/>
          <w:sz w:val="24"/>
        </w:rPr>
        <w:t> </w:t>
      </w:r>
      <w:r>
        <w:rPr>
          <w:i/>
          <w:sz w:val="24"/>
        </w:rPr>
        <w:t>учетом</w:t>
      </w:r>
      <w:r>
        <w:rPr>
          <w:i/>
          <w:spacing w:val="-2"/>
          <w:sz w:val="24"/>
        </w:rPr>
        <w:t> </w:t>
      </w:r>
      <w:r>
        <w:rPr>
          <w:i/>
          <w:sz w:val="24"/>
        </w:rPr>
        <w:t>риска тромботических осложнений и кровотечений, особенно во время использования высоких доз антикоагулянтов.</w:t>
      </w:r>
    </w:p>
    <w:p>
      <w:pPr>
        <w:pStyle w:val="Heading4"/>
        <w:spacing w:line="272" w:lineRule="exact"/>
        <w:jc w:val="left"/>
      </w:pPr>
      <w:r>
        <w:rPr/>
        <w:t>Лечение</w:t>
      </w:r>
      <w:r>
        <w:rPr>
          <w:spacing w:val="-12"/>
        </w:rPr>
        <w:t> </w:t>
      </w:r>
      <w:r>
        <w:rPr>
          <w:spacing w:val="-2"/>
        </w:rPr>
        <w:t>ТГВ/ТЭЛА.</w:t>
      </w:r>
    </w:p>
    <w:p>
      <w:pPr>
        <w:pStyle w:val="BodyText"/>
        <w:spacing w:line="276" w:lineRule="auto" w:before="40"/>
        <w:ind w:right="1271" w:firstLine="707"/>
      </w:pPr>
      <w:r>
        <w:rPr/>
        <w:t>В случае развития ТГВ/ТЭЛА у пациента с COVID-19 следует использовать лечебные дозы НМГ/НФГ/фондапаринукса натрия. Применение лечебных доз НМГ/НФГ/фондапаринукса</w:t>
      </w:r>
      <w:r>
        <w:rPr>
          <w:spacing w:val="40"/>
        </w:rPr>
        <w:t>  </w:t>
      </w:r>
      <w:r>
        <w:rPr/>
        <w:t>натрия</w:t>
      </w:r>
      <w:r>
        <w:rPr>
          <w:spacing w:val="59"/>
        </w:rPr>
        <w:t>  </w:t>
      </w:r>
      <w:r>
        <w:rPr/>
        <w:t>может</w:t>
      </w:r>
      <w:r>
        <w:rPr>
          <w:spacing w:val="58"/>
        </w:rPr>
        <w:t>  </w:t>
      </w:r>
      <w:r>
        <w:rPr/>
        <w:t>рассматриваться</w:t>
      </w:r>
      <w:r>
        <w:rPr>
          <w:spacing w:val="58"/>
        </w:rPr>
        <w:t>  </w:t>
      </w:r>
      <w:r>
        <w:rPr/>
        <w:t>также</w:t>
      </w:r>
      <w:r>
        <w:rPr>
          <w:spacing w:val="40"/>
        </w:rPr>
        <w:t>  </w:t>
      </w:r>
      <w:r>
        <w:rPr/>
        <w:t>у</w:t>
      </w:r>
      <w:r>
        <w:rPr>
          <w:spacing w:val="-1"/>
        </w:rPr>
        <w:t> </w:t>
      </w:r>
      <w:r>
        <w:rPr/>
        <w:t>больных с</w:t>
      </w:r>
      <w:r>
        <w:rPr>
          <w:spacing w:val="-6"/>
        </w:rPr>
        <w:t> </w:t>
      </w:r>
      <w:r>
        <w:rPr/>
        <w:t>клиническим подозрением на тромботические осложнения, когда нет возможности верифицировать диагноз. Лечение ТГВ/ТЭЛА, ассоциированных с COVID-19, антикоагулянтами</w:t>
      </w:r>
      <w:r>
        <w:rPr>
          <w:spacing w:val="34"/>
        </w:rPr>
        <w:t>  </w:t>
      </w:r>
      <w:r>
        <w:rPr/>
        <w:t>следует</w:t>
      </w:r>
      <w:r>
        <w:rPr>
          <w:spacing w:val="34"/>
        </w:rPr>
        <w:t>  </w:t>
      </w:r>
      <w:r>
        <w:rPr/>
        <w:t>продолжать</w:t>
      </w:r>
      <w:r>
        <w:rPr>
          <w:spacing w:val="35"/>
        </w:rPr>
        <w:t>  </w:t>
      </w:r>
      <w:r>
        <w:rPr/>
        <w:t>не</w:t>
      </w:r>
      <w:r>
        <w:rPr>
          <w:spacing w:val="32"/>
        </w:rPr>
        <w:t>  </w:t>
      </w:r>
      <w:r>
        <w:rPr/>
        <w:t>менее</w:t>
      </w:r>
      <w:r>
        <w:rPr>
          <w:spacing w:val="34"/>
        </w:rPr>
        <w:t>  </w:t>
      </w:r>
      <w:r>
        <w:rPr/>
        <w:t>3</w:t>
      </w:r>
      <w:r>
        <w:rPr>
          <w:spacing w:val="35"/>
        </w:rPr>
        <w:t>  </w:t>
      </w:r>
      <w:r>
        <w:rPr/>
        <w:t>месяцев;</w:t>
      </w:r>
      <w:r>
        <w:rPr>
          <w:spacing w:val="35"/>
        </w:rPr>
        <w:t>  </w:t>
      </w:r>
      <w:r>
        <w:rPr/>
        <w:t>после</w:t>
      </w:r>
      <w:r>
        <w:rPr>
          <w:spacing w:val="34"/>
        </w:rPr>
        <w:t>  </w:t>
      </w:r>
      <w:r>
        <w:rPr>
          <w:spacing w:val="-2"/>
        </w:rPr>
        <w:t>выписки</w:t>
      </w:r>
    </w:p>
    <w:p>
      <w:pPr>
        <w:pStyle w:val="BodyText"/>
        <w:spacing w:after="0" w:line="276" w:lineRule="auto"/>
        <w:sectPr>
          <w:pgSz w:w="11900" w:h="16840"/>
          <w:pgMar w:header="0" w:footer="697" w:top="1080" w:bottom="880" w:left="0" w:right="0"/>
        </w:sectPr>
      </w:pPr>
    </w:p>
    <w:p>
      <w:pPr>
        <w:pStyle w:val="BodyText"/>
        <w:spacing w:line="276" w:lineRule="auto" w:before="73"/>
        <w:ind w:right="1278"/>
      </w:pPr>
      <w:bookmarkStart w:name="55" w:id="68"/>
      <w:bookmarkEnd w:id="68"/>
      <w:r>
        <w:rPr/>
      </w:r>
      <w:r>
        <w:rPr/>
        <w:t>предпочтительно</w:t>
      </w:r>
      <w:r>
        <w:rPr>
          <w:spacing w:val="80"/>
        </w:rPr>
        <w:t>   </w:t>
      </w:r>
      <w:r>
        <w:rPr/>
        <w:t>использовать</w:t>
      </w:r>
      <w:r>
        <w:rPr>
          <w:spacing w:val="80"/>
        </w:rPr>
        <w:t>   </w:t>
      </w:r>
      <w:r>
        <w:rPr/>
        <w:t>прямые</w:t>
      </w:r>
      <w:r>
        <w:rPr>
          <w:spacing w:val="80"/>
        </w:rPr>
        <w:t>   </w:t>
      </w:r>
      <w:r>
        <w:rPr/>
        <w:t>пероральные</w:t>
      </w:r>
      <w:r>
        <w:rPr>
          <w:spacing w:val="80"/>
        </w:rPr>
        <w:t>   </w:t>
      </w:r>
      <w:r>
        <w:rPr/>
        <w:t>антикоагулянты</w:t>
      </w:r>
      <w:r>
        <w:rPr>
          <w:spacing w:val="80"/>
        </w:rPr>
        <w:t> </w:t>
      </w:r>
      <w:r>
        <w:rPr/>
        <w:t>в общепринятых дозах, если к ним нет противопоказаний.</w:t>
      </w:r>
    </w:p>
    <w:p>
      <w:pPr>
        <w:pStyle w:val="Heading4"/>
        <w:spacing w:line="275" w:lineRule="exact"/>
        <w:rPr>
          <w:b w:val="0"/>
        </w:rPr>
      </w:pPr>
      <w:r>
        <w:rPr>
          <w:spacing w:val="-2"/>
        </w:rPr>
        <w:t>Особенности</w:t>
      </w:r>
      <w:r>
        <w:rPr>
          <w:spacing w:val="3"/>
        </w:rPr>
        <w:t> </w:t>
      </w:r>
      <w:r>
        <w:rPr>
          <w:spacing w:val="-2"/>
        </w:rPr>
        <w:t>использования</w:t>
      </w:r>
      <w:r>
        <w:rPr>
          <w:spacing w:val="2"/>
        </w:rPr>
        <w:t> </w:t>
      </w:r>
      <w:r>
        <w:rPr>
          <w:spacing w:val="-2"/>
        </w:rPr>
        <w:t>антикоагулянтов</w:t>
      </w:r>
      <w:r>
        <w:rPr>
          <w:b w:val="0"/>
          <w:spacing w:val="-2"/>
        </w:rPr>
        <w:t>.</w:t>
      </w:r>
    </w:p>
    <w:p>
      <w:pPr>
        <w:pStyle w:val="BodyText"/>
        <w:spacing w:line="276" w:lineRule="auto" w:before="138"/>
        <w:ind w:right="1272" w:firstLine="707"/>
      </w:pPr>
      <w:r>
        <w:rPr/>
        <w:t>Список</w:t>
      </w:r>
      <w:r>
        <w:rPr>
          <w:spacing w:val="32"/>
        </w:rPr>
        <w:t> </w:t>
      </w:r>
      <w:r>
        <w:rPr/>
        <w:t>возможных</w:t>
      </w:r>
      <w:r>
        <w:rPr>
          <w:spacing w:val="31"/>
        </w:rPr>
        <w:t> </w:t>
      </w:r>
      <w:r>
        <w:rPr/>
        <w:t>к</w:t>
      </w:r>
      <w:r>
        <w:rPr>
          <w:spacing w:val="30"/>
        </w:rPr>
        <w:t> </w:t>
      </w:r>
      <w:r>
        <w:rPr/>
        <w:t>назначению</w:t>
      </w:r>
      <w:r>
        <w:rPr>
          <w:spacing w:val="32"/>
        </w:rPr>
        <w:t> </w:t>
      </w:r>
      <w:r>
        <w:rPr/>
        <w:t>антикоагулянтов</w:t>
      </w:r>
      <w:r>
        <w:rPr>
          <w:spacing w:val="31"/>
        </w:rPr>
        <w:t> </w:t>
      </w:r>
      <w:r>
        <w:rPr/>
        <w:t>и</w:t>
      </w:r>
      <w:r>
        <w:rPr>
          <w:spacing w:val="32"/>
        </w:rPr>
        <w:t> </w:t>
      </w:r>
      <w:r>
        <w:rPr/>
        <w:t>их</w:t>
      </w:r>
      <w:r>
        <w:rPr>
          <w:spacing w:val="31"/>
        </w:rPr>
        <w:t> </w:t>
      </w:r>
      <w:r>
        <w:rPr/>
        <w:t>дозы</w:t>
      </w:r>
      <w:r>
        <w:rPr>
          <w:spacing w:val="31"/>
        </w:rPr>
        <w:t> </w:t>
      </w:r>
      <w:r>
        <w:rPr/>
        <w:t>представлены в</w:t>
      </w:r>
      <w:r>
        <w:rPr>
          <w:spacing w:val="-5"/>
        </w:rPr>
        <w:t> </w:t>
      </w:r>
      <w:r>
        <w:rPr>
          <w:color w:val="0462C1"/>
          <w:u w:val="single" w:color="0462C1"/>
        </w:rPr>
        <w:t>Приложении</w:t>
      </w:r>
      <w:r>
        <w:rPr>
          <w:color w:val="0462C1"/>
          <w:spacing w:val="-3"/>
          <w:u w:val="single" w:color="0462C1"/>
        </w:rPr>
        <w:t> </w:t>
      </w:r>
      <w:r>
        <w:rPr>
          <w:color w:val="0462C1"/>
          <w:u w:val="single" w:color="0462C1"/>
        </w:rPr>
        <w:t>7-1</w:t>
      </w:r>
      <w:r>
        <w:rPr/>
        <w:t>. Алгоритмы применения антикоагулянтов для лечения COVID-19 у</w:t>
      </w:r>
      <w:r>
        <w:rPr>
          <w:spacing w:val="-3"/>
        </w:rPr>
        <w:t> </w:t>
      </w:r>
      <w:r>
        <w:rPr/>
        <w:t>взрослых пациентов в условиях стационара и в амбулаторных условиях представлены в Приложениях 7-2 и 7-3 соответственно. У пациентов с иммунной тромбоцитопенией, вызванной гепарином, а также при исходно низком количестве тромбоцитов, для профилактики и лечения венозных тромбоэмболических осложнений рекомендуется использовать фондапаринукс натрия. Фондапаринукс натрия, в отличие от препаратов НМГ/НФГ, лишен потенциально благоприятных плейотропных эффектов, однако, с</w:t>
      </w:r>
      <w:r>
        <w:rPr>
          <w:spacing w:val="-1"/>
        </w:rPr>
        <w:t> </w:t>
      </w:r>
      <w:r>
        <w:rPr/>
        <w:t>другой стороны, он не вызывает гепарин- индуцированную тромбоцитопению.</w:t>
      </w:r>
    </w:p>
    <w:p>
      <w:pPr>
        <w:pStyle w:val="BodyText"/>
        <w:spacing w:line="276" w:lineRule="auto"/>
        <w:ind w:right="1272" w:firstLine="707"/>
        <w:jc w:val="right"/>
      </w:pPr>
      <w:r>
        <w:rPr/>
        <w:t>НМГ/фондапаринукс</w:t>
      </w:r>
      <w:r>
        <w:rPr>
          <w:spacing w:val="80"/>
        </w:rPr>
        <w:t> </w:t>
      </w:r>
      <w:r>
        <w:rPr/>
        <w:t>натрия</w:t>
      </w:r>
      <w:r>
        <w:rPr>
          <w:spacing w:val="80"/>
        </w:rPr>
        <w:t> </w:t>
      </w:r>
      <w:r>
        <w:rPr/>
        <w:t>не</w:t>
      </w:r>
      <w:r>
        <w:rPr>
          <w:spacing w:val="80"/>
        </w:rPr>
        <w:t> </w:t>
      </w:r>
      <w:r>
        <w:rPr/>
        <w:t>рекомендуется</w:t>
      </w:r>
      <w:r>
        <w:rPr>
          <w:spacing w:val="80"/>
        </w:rPr>
        <w:t> </w:t>
      </w:r>
      <w:r>
        <w:rPr/>
        <w:t>использовать</w:t>
      </w:r>
      <w:r>
        <w:rPr>
          <w:spacing w:val="80"/>
        </w:rPr>
        <w:t> </w:t>
      </w:r>
      <w:r>
        <w:rPr/>
        <w:t>у</w:t>
      </w:r>
      <w:r>
        <w:rPr>
          <w:spacing w:val="80"/>
        </w:rPr>
        <w:t> </w:t>
      </w:r>
      <w:r>
        <w:rPr/>
        <w:t>пациентов с</w:t>
      </w:r>
      <w:r>
        <w:rPr>
          <w:spacing w:val="-8"/>
        </w:rPr>
        <w:t> </w:t>
      </w:r>
      <w:r>
        <w:rPr/>
        <w:t>выраженной</w:t>
      </w:r>
      <w:r>
        <w:rPr>
          <w:spacing w:val="-9"/>
        </w:rPr>
        <w:t> </w:t>
      </w:r>
      <w:r>
        <w:rPr/>
        <w:t>почечной</w:t>
      </w:r>
      <w:r>
        <w:rPr>
          <w:spacing w:val="-9"/>
        </w:rPr>
        <w:t> </w:t>
      </w:r>
      <w:r>
        <w:rPr/>
        <w:t>недостаточностью</w:t>
      </w:r>
      <w:r>
        <w:rPr>
          <w:spacing w:val="-10"/>
        </w:rPr>
        <w:t> </w:t>
      </w:r>
      <w:r>
        <w:rPr/>
        <w:t>или</w:t>
      </w:r>
      <w:r>
        <w:rPr>
          <w:spacing w:val="-9"/>
        </w:rPr>
        <w:t> </w:t>
      </w:r>
      <w:r>
        <w:rPr/>
        <w:t>быстро</w:t>
      </w:r>
      <w:r>
        <w:rPr>
          <w:spacing w:val="-10"/>
        </w:rPr>
        <w:t> </w:t>
      </w:r>
      <w:r>
        <w:rPr/>
        <w:t>меняющейся</w:t>
      </w:r>
      <w:r>
        <w:rPr>
          <w:spacing w:val="-8"/>
        </w:rPr>
        <w:t> </w:t>
      </w:r>
      <w:r>
        <w:rPr/>
        <w:t>функцией</w:t>
      </w:r>
      <w:r>
        <w:rPr>
          <w:spacing w:val="-9"/>
        </w:rPr>
        <w:t> </w:t>
      </w:r>
      <w:r>
        <w:rPr/>
        <w:t>почек. </w:t>
      </w:r>
      <w:r>
        <w:rPr>
          <w:b/>
          <w:i/>
        </w:rPr>
        <w:t>Противопоказания для использования антикоагулянтов </w:t>
      </w:r>
      <w:r>
        <w:rPr/>
        <w:t>– продолжающееся кровотечение,</w:t>
      </w:r>
      <w:r>
        <w:rPr>
          <w:spacing w:val="-4"/>
        </w:rPr>
        <w:t> </w:t>
      </w:r>
      <w:r>
        <w:rPr/>
        <w:t>уровень</w:t>
      </w:r>
      <w:r>
        <w:rPr>
          <w:spacing w:val="-5"/>
        </w:rPr>
        <w:t> </w:t>
      </w:r>
      <w:r>
        <w:rPr/>
        <w:t>тромбоцитов</w:t>
      </w:r>
      <w:r>
        <w:rPr>
          <w:spacing w:val="-4"/>
        </w:rPr>
        <w:t> </w:t>
      </w:r>
      <w:r>
        <w:rPr/>
        <w:t>в</w:t>
      </w:r>
      <w:r>
        <w:rPr>
          <w:spacing w:val="-6"/>
        </w:rPr>
        <w:t> </w:t>
      </w:r>
      <w:r>
        <w:rPr/>
        <w:t>крови</w:t>
      </w:r>
      <w:r>
        <w:rPr>
          <w:spacing w:val="-5"/>
        </w:rPr>
        <w:t> </w:t>
      </w:r>
      <w:r>
        <w:rPr/>
        <w:t>ниже</w:t>
      </w:r>
      <w:r>
        <w:rPr>
          <w:spacing w:val="-5"/>
        </w:rPr>
        <w:t> </w:t>
      </w:r>
      <w:r>
        <w:rPr/>
        <w:t>25*10</w:t>
      </w:r>
      <w:r>
        <w:rPr>
          <w:vertAlign w:val="superscript"/>
        </w:rPr>
        <w:t>9</w:t>
      </w:r>
      <w:r>
        <w:rPr>
          <w:vertAlign w:val="baseline"/>
        </w:rPr>
        <w:t>/л,</w:t>
      </w:r>
      <w:r>
        <w:rPr>
          <w:spacing w:val="-4"/>
          <w:vertAlign w:val="baseline"/>
        </w:rPr>
        <w:t> </w:t>
      </w:r>
      <w:r>
        <w:rPr>
          <w:vertAlign w:val="baseline"/>
        </w:rPr>
        <w:t>гепарин-индуцированная тромбоцитопения</w:t>
      </w:r>
      <w:r>
        <w:rPr>
          <w:spacing w:val="76"/>
          <w:vertAlign w:val="baseline"/>
        </w:rPr>
        <w:t> </w:t>
      </w:r>
      <w:r>
        <w:rPr>
          <w:vertAlign w:val="baseline"/>
        </w:rPr>
        <w:t>в</w:t>
      </w:r>
      <w:r>
        <w:rPr>
          <w:spacing w:val="76"/>
          <w:vertAlign w:val="baseline"/>
        </w:rPr>
        <w:t> </w:t>
      </w:r>
      <w:r>
        <w:rPr>
          <w:vertAlign w:val="baseline"/>
        </w:rPr>
        <w:t>анамнезе,</w:t>
      </w:r>
      <w:r>
        <w:rPr>
          <w:spacing w:val="80"/>
          <w:vertAlign w:val="baseline"/>
        </w:rPr>
        <w:t> </w:t>
      </w:r>
      <w:r>
        <w:rPr>
          <w:vertAlign w:val="baseline"/>
        </w:rPr>
        <w:t>выраженная</w:t>
      </w:r>
      <w:r>
        <w:rPr>
          <w:spacing w:val="79"/>
          <w:vertAlign w:val="baseline"/>
        </w:rPr>
        <w:t> </w:t>
      </w:r>
      <w:r>
        <w:rPr>
          <w:vertAlign w:val="baseline"/>
        </w:rPr>
        <w:t>почечная</w:t>
      </w:r>
      <w:r>
        <w:rPr>
          <w:spacing w:val="76"/>
          <w:vertAlign w:val="baseline"/>
        </w:rPr>
        <w:t> </w:t>
      </w:r>
      <w:r>
        <w:rPr>
          <w:vertAlign w:val="baseline"/>
        </w:rPr>
        <w:t>недостаточность</w:t>
      </w:r>
      <w:r>
        <w:rPr>
          <w:spacing w:val="78"/>
          <w:vertAlign w:val="baseline"/>
        </w:rPr>
        <w:t> </w:t>
      </w:r>
      <w:r>
        <w:rPr>
          <w:vertAlign w:val="baseline"/>
        </w:rPr>
        <w:t>(для</w:t>
      </w:r>
      <w:r>
        <w:rPr>
          <w:spacing w:val="76"/>
          <w:vertAlign w:val="baseline"/>
        </w:rPr>
        <w:t> </w:t>
      </w:r>
      <w:r>
        <w:rPr>
          <w:vertAlign w:val="baseline"/>
        </w:rPr>
        <w:t>НМГ </w:t>
      </w:r>
      <w:r>
        <w:rPr>
          <w:spacing w:val="-2"/>
          <w:vertAlign w:val="baseline"/>
        </w:rPr>
        <w:t>и</w:t>
      </w:r>
      <w:r>
        <w:rPr>
          <w:spacing w:val="4"/>
          <w:vertAlign w:val="baseline"/>
        </w:rPr>
        <w:t> </w:t>
      </w:r>
      <w:r>
        <w:rPr>
          <w:spacing w:val="-2"/>
          <w:vertAlign w:val="baseline"/>
        </w:rPr>
        <w:t>фондапаринукса</w:t>
      </w:r>
      <w:r>
        <w:rPr>
          <w:spacing w:val="-8"/>
          <w:vertAlign w:val="baseline"/>
        </w:rPr>
        <w:t> </w:t>
      </w:r>
      <w:r>
        <w:rPr>
          <w:spacing w:val="-2"/>
          <w:vertAlign w:val="baseline"/>
        </w:rPr>
        <w:t>натрия).</w:t>
      </w:r>
      <w:r>
        <w:rPr>
          <w:spacing w:val="-8"/>
          <w:vertAlign w:val="baseline"/>
        </w:rPr>
        <w:t> </w:t>
      </w:r>
      <w:r>
        <w:rPr>
          <w:spacing w:val="-2"/>
          <w:vertAlign w:val="baseline"/>
        </w:rPr>
        <w:t>Повышенное</w:t>
      </w:r>
      <w:r>
        <w:rPr>
          <w:spacing w:val="-8"/>
          <w:vertAlign w:val="baseline"/>
        </w:rPr>
        <w:t> </w:t>
      </w:r>
      <w:r>
        <w:rPr>
          <w:spacing w:val="-2"/>
          <w:vertAlign w:val="baseline"/>
        </w:rPr>
        <w:t>протромбиновое</w:t>
      </w:r>
      <w:r>
        <w:rPr>
          <w:spacing w:val="-9"/>
          <w:vertAlign w:val="baseline"/>
        </w:rPr>
        <w:t> </w:t>
      </w:r>
      <w:r>
        <w:rPr>
          <w:spacing w:val="-2"/>
          <w:vertAlign w:val="baseline"/>
        </w:rPr>
        <w:t>время</w:t>
      </w:r>
      <w:r>
        <w:rPr>
          <w:spacing w:val="-7"/>
          <w:vertAlign w:val="baseline"/>
        </w:rPr>
        <w:t> </w:t>
      </w:r>
      <w:r>
        <w:rPr>
          <w:spacing w:val="-2"/>
          <w:vertAlign w:val="baseline"/>
        </w:rPr>
        <w:t>и</w:t>
      </w:r>
      <w:r>
        <w:rPr>
          <w:spacing w:val="-6"/>
          <w:vertAlign w:val="baseline"/>
        </w:rPr>
        <w:t> </w:t>
      </w:r>
      <w:r>
        <w:rPr>
          <w:spacing w:val="-2"/>
          <w:vertAlign w:val="baseline"/>
        </w:rPr>
        <w:t>АЧТВ</w:t>
      </w:r>
      <w:r>
        <w:rPr>
          <w:spacing w:val="-7"/>
          <w:vertAlign w:val="baseline"/>
        </w:rPr>
        <w:t> </w:t>
      </w:r>
      <w:r>
        <w:rPr>
          <w:spacing w:val="-2"/>
          <w:vertAlign w:val="baseline"/>
        </w:rPr>
        <w:t>не</w:t>
      </w:r>
      <w:r>
        <w:rPr>
          <w:spacing w:val="-9"/>
          <w:vertAlign w:val="baseline"/>
        </w:rPr>
        <w:t> </w:t>
      </w:r>
      <w:r>
        <w:rPr>
          <w:spacing w:val="-2"/>
          <w:vertAlign w:val="baseline"/>
        </w:rPr>
        <w:t>относятся</w:t>
      </w:r>
    </w:p>
    <w:p>
      <w:pPr>
        <w:pStyle w:val="BodyText"/>
        <w:spacing w:line="276" w:lineRule="exact"/>
      </w:pPr>
      <w:r>
        <w:rPr/>
        <w:t>к</w:t>
      </w:r>
      <w:r>
        <w:rPr>
          <w:spacing w:val="-13"/>
        </w:rPr>
        <w:t> </w:t>
      </w:r>
      <w:r>
        <w:rPr/>
        <w:t>противопоказаниям</w:t>
      </w:r>
      <w:r>
        <w:rPr>
          <w:spacing w:val="-13"/>
        </w:rPr>
        <w:t> </w:t>
      </w:r>
      <w:r>
        <w:rPr/>
        <w:t>к</w:t>
      </w:r>
      <w:r>
        <w:rPr>
          <w:spacing w:val="-13"/>
        </w:rPr>
        <w:t> </w:t>
      </w:r>
      <w:r>
        <w:rPr/>
        <w:t>назначению</w:t>
      </w:r>
      <w:r>
        <w:rPr>
          <w:spacing w:val="-12"/>
        </w:rPr>
        <w:t> </w:t>
      </w:r>
      <w:r>
        <w:rPr>
          <w:spacing w:val="-2"/>
        </w:rPr>
        <w:t>антикоагулянтов.</w:t>
      </w:r>
    </w:p>
    <w:p>
      <w:pPr>
        <w:pStyle w:val="BodyText"/>
        <w:spacing w:line="276" w:lineRule="auto" w:before="38"/>
        <w:ind w:right="1275" w:firstLine="707"/>
      </w:pPr>
      <w:r>
        <w:rPr/>
        <w:t>Если антикоагулянты противопоказаны, следует использовать механические способы профилактики ТГВ нижних конечностей (предпочтительно перемежающуюся пневматическую компрессию). Применение механических способов профилактики ТГВ нижних конечностей в дополнение к антикоагулянтам можно</w:t>
      </w:r>
      <w:r>
        <w:rPr>
          <w:spacing w:val="80"/>
          <w:w w:val="150"/>
        </w:rPr>
        <w:t> </w:t>
      </w:r>
      <w:r>
        <w:rPr/>
        <w:t>рассмотреть</w:t>
      </w:r>
      <w:r>
        <w:rPr>
          <w:spacing w:val="80"/>
          <w:w w:val="150"/>
        </w:rPr>
        <w:t> </w:t>
      </w:r>
      <w:r>
        <w:rPr/>
        <w:t>также</w:t>
      </w:r>
      <w:r>
        <w:rPr>
          <w:spacing w:val="80"/>
          <w:w w:val="150"/>
        </w:rPr>
        <w:t> </w:t>
      </w:r>
      <w:r>
        <w:rPr/>
        <w:t>у</w:t>
      </w:r>
      <w:r>
        <w:rPr>
          <w:spacing w:val="-3"/>
        </w:rPr>
        <w:t> </w:t>
      </w:r>
      <w:r>
        <w:rPr/>
        <w:t>больных,</w:t>
      </w:r>
      <w:r>
        <w:rPr>
          <w:spacing w:val="80"/>
          <w:w w:val="150"/>
        </w:rPr>
        <w:t> </w:t>
      </w:r>
      <w:r>
        <w:rPr/>
        <w:t>находящихся</w:t>
      </w:r>
      <w:r>
        <w:rPr>
          <w:spacing w:val="80"/>
          <w:w w:val="150"/>
        </w:rPr>
        <w:t> </w:t>
      </w:r>
      <w:r>
        <w:rPr/>
        <w:t>в</w:t>
      </w:r>
      <w:r>
        <w:rPr>
          <w:spacing w:val="80"/>
          <w:w w:val="150"/>
        </w:rPr>
        <w:t> </w:t>
      </w:r>
      <w:r>
        <w:rPr/>
        <w:t>отделениях</w:t>
      </w:r>
      <w:r>
        <w:rPr>
          <w:spacing w:val="80"/>
          <w:w w:val="150"/>
        </w:rPr>
        <w:t> </w:t>
      </w:r>
      <w:r>
        <w:rPr/>
        <w:t>реанимации и интенсивной терапии.</w:t>
      </w:r>
    </w:p>
    <w:p>
      <w:pPr>
        <w:pStyle w:val="Heading4"/>
        <w:spacing w:line="278" w:lineRule="auto"/>
        <w:ind w:left="1841" w:right="1276" w:firstLine="707"/>
      </w:pPr>
      <w:r>
        <w:rPr/>
        <w:t>Профилактика ТГВ/ТЭЛА у больных, принимающих пероральные антикоагулянты по другим показаниями.</w:t>
      </w:r>
    </w:p>
    <w:p>
      <w:pPr>
        <w:pStyle w:val="BodyText"/>
        <w:spacing w:line="276" w:lineRule="auto"/>
        <w:ind w:right="1274" w:firstLine="707"/>
      </w:pPr>
      <w:r>
        <w:rPr/>
        <w:t>Пациентам,</w:t>
      </w:r>
      <w:r>
        <w:rPr>
          <w:spacing w:val="-15"/>
        </w:rPr>
        <w:t> </w:t>
      </w:r>
      <w:r>
        <w:rPr/>
        <w:t>получающим</w:t>
      </w:r>
      <w:r>
        <w:rPr>
          <w:spacing w:val="-15"/>
        </w:rPr>
        <w:t> </w:t>
      </w:r>
      <w:r>
        <w:rPr/>
        <w:t>пероральные</w:t>
      </w:r>
      <w:r>
        <w:rPr>
          <w:spacing w:val="-15"/>
        </w:rPr>
        <w:t> </w:t>
      </w:r>
      <w:r>
        <w:rPr/>
        <w:t>антикоагулянты</w:t>
      </w:r>
      <w:r>
        <w:rPr>
          <w:spacing w:val="-15"/>
        </w:rPr>
        <w:t> </w:t>
      </w:r>
      <w:r>
        <w:rPr/>
        <w:t>по</w:t>
      </w:r>
      <w:r>
        <w:rPr>
          <w:spacing w:val="-15"/>
        </w:rPr>
        <w:t> </w:t>
      </w:r>
      <w:r>
        <w:rPr/>
        <w:t>другим</w:t>
      </w:r>
      <w:r>
        <w:rPr>
          <w:spacing w:val="-15"/>
        </w:rPr>
        <w:t> </w:t>
      </w:r>
      <w:r>
        <w:rPr/>
        <w:t>показаниям, при</w:t>
      </w:r>
      <w:r>
        <w:rPr>
          <w:spacing w:val="40"/>
        </w:rPr>
        <w:t>  </w:t>
      </w:r>
      <w:r>
        <w:rPr/>
        <w:t>не</w:t>
      </w:r>
      <w:r>
        <w:rPr>
          <w:spacing w:val="40"/>
        </w:rPr>
        <w:t>  </w:t>
      </w:r>
      <w:r>
        <w:rPr/>
        <w:t>тяжелых</w:t>
      </w:r>
      <w:r>
        <w:rPr>
          <w:spacing w:val="40"/>
        </w:rPr>
        <w:t>  </w:t>
      </w:r>
      <w:r>
        <w:rPr/>
        <w:t>проявлениях</w:t>
      </w:r>
      <w:r>
        <w:rPr>
          <w:spacing w:val="40"/>
        </w:rPr>
        <w:t>  </w:t>
      </w:r>
      <w:r>
        <w:rPr/>
        <w:t>COVID‑19,</w:t>
      </w:r>
      <w:r>
        <w:rPr>
          <w:spacing w:val="40"/>
        </w:rPr>
        <w:t>  </w:t>
      </w:r>
      <w:r>
        <w:rPr/>
        <w:t>их</w:t>
      </w:r>
      <w:r>
        <w:rPr>
          <w:spacing w:val="40"/>
        </w:rPr>
        <w:t>  </w:t>
      </w:r>
      <w:r>
        <w:rPr/>
        <w:t>прием</w:t>
      </w:r>
      <w:r>
        <w:rPr>
          <w:spacing w:val="40"/>
        </w:rPr>
        <w:t>  </w:t>
      </w:r>
      <w:r>
        <w:rPr/>
        <w:t>можно</w:t>
      </w:r>
      <w:r>
        <w:rPr>
          <w:spacing w:val="40"/>
        </w:rPr>
        <w:t>  </w:t>
      </w:r>
      <w:r>
        <w:rPr/>
        <w:t>продолжить. При</w:t>
      </w:r>
      <w:r>
        <w:rPr>
          <w:spacing w:val="-3"/>
        </w:rPr>
        <w:t> </w:t>
      </w:r>
      <w:r>
        <w:rPr/>
        <w:t>неприемлемых лекарственных взаимодействиях с препаратами для лечения COVID‑19 (Приложение 4), а также у госпитализированных больных рекомендуется переход на лечебные дозы препаратов гепарина (предпочтительно НМГ).</w:t>
      </w:r>
    </w:p>
    <w:p>
      <w:pPr>
        <w:pStyle w:val="Heading3"/>
        <w:spacing w:line="275" w:lineRule="exact"/>
      </w:pPr>
      <w:r>
        <w:rPr/>
        <w:t>Оценка</w:t>
      </w:r>
      <w:r>
        <w:rPr>
          <w:spacing w:val="-12"/>
        </w:rPr>
        <w:t> </w:t>
      </w:r>
      <w:r>
        <w:rPr/>
        <w:t>показателей</w:t>
      </w:r>
      <w:r>
        <w:rPr>
          <w:spacing w:val="-10"/>
        </w:rPr>
        <w:t> </w:t>
      </w:r>
      <w:r>
        <w:rPr/>
        <w:t>гемостаза</w:t>
      </w:r>
      <w:r>
        <w:rPr>
          <w:spacing w:val="-12"/>
        </w:rPr>
        <w:t> </w:t>
      </w:r>
      <w:r>
        <w:rPr/>
        <w:t>в</w:t>
      </w:r>
      <w:r>
        <w:rPr>
          <w:spacing w:val="-11"/>
        </w:rPr>
        <w:t> </w:t>
      </w:r>
      <w:r>
        <w:rPr/>
        <w:t>период</w:t>
      </w:r>
      <w:r>
        <w:rPr>
          <w:spacing w:val="-11"/>
        </w:rPr>
        <w:t> </w:t>
      </w:r>
      <w:r>
        <w:rPr/>
        <w:t>пребывания</w:t>
      </w:r>
      <w:r>
        <w:rPr>
          <w:spacing w:val="-11"/>
        </w:rPr>
        <w:t> </w:t>
      </w:r>
      <w:r>
        <w:rPr/>
        <w:t>в</w:t>
      </w:r>
      <w:r>
        <w:rPr>
          <w:spacing w:val="-11"/>
        </w:rPr>
        <w:t> </w:t>
      </w:r>
      <w:r>
        <w:rPr>
          <w:spacing w:val="-2"/>
        </w:rPr>
        <w:t>стационаре.</w:t>
      </w:r>
    </w:p>
    <w:p>
      <w:pPr>
        <w:pStyle w:val="BodyText"/>
        <w:tabs>
          <w:tab w:pos="3524" w:val="left" w:leader="none"/>
          <w:tab w:pos="5635" w:val="left" w:leader="none"/>
          <w:tab w:pos="7735" w:val="left" w:leader="none"/>
          <w:tab w:pos="9837" w:val="left" w:leader="none"/>
        </w:tabs>
        <w:spacing w:line="276" w:lineRule="auto" w:before="33"/>
        <w:ind w:right="1270" w:firstLine="707"/>
      </w:pPr>
      <w:r>
        <w:rPr/>
        <w:t>Кратность</w:t>
      </w:r>
      <w:r>
        <w:rPr>
          <w:spacing w:val="-13"/>
        </w:rPr>
        <w:t> </w:t>
      </w:r>
      <w:r>
        <w:rPr/>
        <w:t>определения</w:t>
      </w:r>
      <w:r>
        <w:rPr>
          <w:spacing w:val="-14"/>
        </w:rPr>
        <w:t> </w:t>
      </w:r>
      <w:r>
        <w:rPr/>
        <w:t>D-димера</w:t>
      </w:r>
      <w:r>
        <w:rPr>
          <w:spacing w:val="-14"/>
        </w:rPr>
        <w:t> </w:t>
      </w:r>
      <w:r>
        <w:rPr/>
        <w:t>(см.</w:t>
      </w:r>
      <w:r>
        <w:rPr>
          <w:spacing w:val="-14"/>
        </w:rPr>
        <w:t> </w:t>
      </w:r>
      <w:r>
        <w:rPr/>
        <w:t>также</w:t>
      </w:r>
      <w:r>
        <w:rPr>
          <w:spacing w:val="-14"/>
        </w:rPr>
        <w:t> </w:t>
      </w:r>
      <w:r>
        <w:rPr>
          <w:color w:val="0462C1"/>
          <w:u w:val="single" w:color="0462C1"/>
        </w:rPr>
        <w:t>Приложение</w:t>
      </w:r>
      <w:r>
        <w:rPr>
          <w:color w:val="0462C1"/>
          <w:spacing w:val="-14"/>
          <w:u w:val="single" w:color="0462C1"/>
        </w:rPr>
        <w:t> </w:t>
      </w:r>
      <w:r>
        <w:rPr>
          <w:color w:val="0462C1"/>
          <w:u w:val="single" w:color="0462C1"/>
        </w:rPr>
        <w:t>2</w:t>
      </w:r>
      <w:r>
        <w:rPr/>
        <w:t>),</w:t>
      </w:r>
      <w:r>
        <w:rPr>
          <w:spacing w:val="-15"/>
        </w:rPr>
        <w:t> </w:t>
      </w:r>
      <w:r>
        <w:rPr/>
        <w:t>протромбинового </w:t>
      </w:r>
      <w:r>
        <w:rPr>
          <w:spacing w:val="-2"/>
        </w:rPr>
        <w:t>времени,</w:t>
      </w:r>
      <w:r>
        <w:rPr/>
        <w:tab/>
      </w:r>
      <w:r>
        <w:rPr>
          <w:spacing w:val="-2"/>
        </w:rPr>
        <w:t>фибриногена</w:t>
      </w:r>
      <w:r>
        <w:rPr/>
        <w:tab/>
        <w:t>и количества</w:t>
        <w:tab/>
      </w:r>
      <w:r>
        <w:rPr>
          <w:spacing w:val="-2"/>
        </w:rPr>
        <w:t>тромбоцитов</w:t>
      </w:r>
      <w:r>
        <w:rPr/>
        <w:tab/>
      </w:r>
      <w:r>
        <w:rPr>
          <w:spacing w:val="-2"/>
        </w:rPr>
        <w:t>зависит </w:t>
      </w:r>
      <w:r>
        <w:rPr/>
        <w:t>от</w:t>
      </w:r>
      <w:r>
        <w:rPr>
          <w:spacing w:val="40"/>
        </w:rPr>
        <w:t> </w:t>
      </w:r>
      <w:r>
        <w:rPr/>
        <w:t>тяжести</w:t>
      </w:r>
      <w:r>
        <w:rPr>
          <w:spacing w:val="40"/>
        </w:rPr>
        <w:t> </w:t>
      </w:r>
      <w:r>
        <w:rPr/>
        <w:t>COVID‑19</w:t>
      </w:r>
      <w:r>
        <w:rPr>
          <w:spacing w:val="40"/>
        </w:rPr>
        <w:t> </w:t>
      </w:r>
      <w:r>
        <w:rPr/>
        <w:t>инфекции,</w:t>
      </w:r>
      <w:r>
        <w:rPr>
          <w:spacing w:val="40"/>
        </w:rPr>
        <w:t> </w:t>
      </w:r>
      <w:r>
        <w:rPr/>
        <w:t>важна</w:t>
      </w:r>
      <w:r>
        <w:rPr>
          <w:spacing w:val="40"/>
        </w:rPr>
        <w:t> </w:t>
      </w:r>
      <w:r>
        <w:rPr/>
        <w:t>динамика</w:t>
      </w:r>
      <w:r>
        <w:rPr>
          <w:spacing w:val="40"/>
        </w:rPr>
        <w:t> </w:t>
      </w:r>
      <w:r>
        <w:rPr/>
        <w:t>как</w:t>
      </w:r>
      <w:r>
        <w:rPr>
          <w:spacing w:val="40"/>
        </w:rPr>
        <w:t> </w:t>
      </w:r>
      <w:r>
        <w:rPr/>
        <w:t>в</w:t>
      </w:r>
      <w:r>
        <w:rPr>
          <w:spacing w:val="40"/>
        </w:rPr>
        <w:t> </w:t>
      </w:r>
      <w:r>
        <w:rPr/>
        <w:t>сторону</w:t>
      </w:r>
      <w:r>
        <w:rPr>
          <w:spacing w:val="40"/>
        </w:rPr>
        <w:t> </w:t>
      </w:r>
      <w:r>
        <w:rPr/>
        <w:t>повышения,</w:t>
      </w:r>
      <w:r>
        <w:rPr>
          <w:spacing w:val="40"/>
        </w:rPr>
        <w:t> </w:t>
      </w:r>
      <w:r>
        <w:rPr/>
        <w:t>так и</w:t>
      </w:r>
      <w:r>
        <w:rPr>
          <w:spacing w:val="28"/>
        </w:rPr>
        <w:t> </w:t>
      </w:r>
      <w:r>
        <w:rPr/>
        <w:t>понижения</w:t>
      </w:r>
      <w:r>
        <w:rPr>
          <w:spacing w:val="24"/>
        </w:rPr>
        <w:t> </w:t>
      </w:r>
      <w:r>
        <w:rPr/>
        <w:t>показателей.</w:t>
      </w:r>
      <w:r>
        <w:rPr>
          <w:spacing w:val="27"/>
        </w:rPr>
        <w:t> </w:t>
      </w:r>
      <w:r>
        <w:rPr/>
        <w:t>У</w:t>
      </w:r>
      <w:r>
        <w:rPr>
          <w:spacing w:val="-1"/>
        </w:rPr>
        <w:t> </w:t>
      </w:r>
      <w:r>
        <w:rPr/>
        <w:t>госпитализированных</w:t>
      </w:r>
      <w:r>
        <w:rPr>
          <w:spacing w:val="26"/>
        </w:rPr>
        <w:t> </w:t>
      </w:r>
      <w:r>
        <w:rPr/>
        <w:t>больных</w:t>
      </w:r>
      <w:r>
        <w:rPr>
          <w:spacing w:val="24"/>
        </w:rPr>
        <w:t> </w:t>
      </w:r>
      <w:r>
        <w:rPr/>
        <w:t>при</w:t>
      </w:r>
      <w:r>
        <w:rPr>
          <w:spacing w:val="26"/>
        </w:rPr>
        <w:t> </w:t>
      </w:r>
      <w:r>
        <w:rPr/>
        <w:t>средней</w:t>
      </w:r>
      <w:r>
        <w:rPr>
          <w:spacing w:val="28"/>
        </w:rPr>
        <w:t> </w:t>
      </w:r>
      <w:r>
        <w:rPr/>
        <w:t>тяжести</w:t>
      </w:r>
      <w:r>
        <w:rPr>
          <w:spacing w:val="34"/>
        </w:rPr>
        <w:t> </w:t>
      </w:r>
      <w:r>
        <w:rPr/>
        <w:t>- 1 раз в два дня, при тяжелом течении болезни – ежедневно. Внеочередной анализ вышеперечисленных показателей берется при усугублении тяжести по COVID</w:t>
      </w:r>
      <w:r>
        <w:rPr>
          <w:rFonts w:ascii="MS Mincho" w:hAnsi="MS Mincho"/>
        </w:rPr>
        <w:t>‑</w:t>
      </w:r>
      <w:r>
        <w:rPr/>
        <w:t>19.</w:t>
      </w:r>
    </w:p>
    <w:p>
      <w:pPr>
        <w:pStyle w:val="BodyText"/>
        <w:spacing w:line="276" w:lineRule="auto" w:before="4"/>
        <w:ind w:right="1270" w:firstLine="707"/>
      </w:pPr>
      <w:r>
        <w:rPr/>
        <w:t>Для диагностики ДВС-синдрома рекомендуется использовать критерии Международного</w:t>
      </w:r>
      <w:r>
        <w:rPr>
          <w:spacing w:val="-15"/>
        </w:rPr>
        <w:t> </w:t>
      </w:r>
      <w:r>
        <w:rPr/>
        <w:t>общества</w:t>
      </w:r>
      <w:r>
        <w:rPr>
          <w:spacing w:val="-15"/>
        </w:rPr>
        <w:t> </w:t>
      </w:r>
      <w:r>
        <w:rPr/>
        <w:t>тромбоза</w:t>
      </w:r>
      <w:r>
        <w:rPr>
          <w:spacing w:val="-15"/>
        </w:rPr>
        <w:t> </w:t>
      </w:r>
      <w:r>
        <w:rPr/>
        <w:t>и</w:t>
      </w:r>
      <w:r>
        <w:rPr>
          <w:spacing w:val="-15"/>
        </w:rPr>
        <w:t> </w:t>
      </w:r>
      <w:r>
        <w:rPr/>
        <w:t>гемостаза</w:t>
      </w:r>
      <w:r>
        <w:rPr>
          <w:spacing w:val="-15"/>
        </w:rPr>
        <w:t> </w:t>
      </w:r>
      <w:r>
        <w:rPr/>
        <w:t>(таблица</w:t>
      </w:r>
      <w:r>
        <w:rPr>
          <w:spacing w:val="-15"/>
        </w:rPr>
        <w:t> </w:t>
      </w:r>
      <w:r>
        <w:rPr/>
        <w:t>3).</w:t>
      </w:r>
      <w:r>
        <w:rPr>
          <w:spacing w:val="-15"/>
        </w:rPr>
        <w:t> </w:t>
      </w:r>
      <w:r>
        <w:rPr/>
        <w:t>Диагноз</w:t>
      </w:r>
      <w:r>
        <w:rPr>
          <w:spacing w:val="-15"/>
        </w:rPr>
        <w:t> </w:t>
      </w:r>
      <w:r>
        <w:rPr/>
        <w:t>ДВС</w:t>
      </w:r>
      <w:r>
        <w:rPr>
          <w:rFonts w:ascii="MS Mincho" w:hAnsi="MS Mincho"/>
        </w:rPr>
        <w:t>‑</w:t>
      </w:r>
      <w:r>
        <w:rPr/>
        <w:t>синдрома устанавливается при наличии 5 баллов по этим критериям.</w:t>
      </w:r>
    </w:p>
    <w:p>
      <w:pPr>
        <w:pStyle w:val="BodyText"/>
        <w:spacing w:after="0" w:line="276" w:lineRule="auto"/>
        <w:sectPr>
          <w:pgSz w:w="11900" w:h="16840"/>
          <w:pgMar w:header="0" w:footer="697" w:top="1080" w:bottom="880" w:left="0" w:right="0"/>
        </w:sectPr>
      </w:pPr>
    </w:p>
    <w:p>
      <w:pPr>
        <w:pStyle w:val="BodyText"/>
        <w:spacing w:before="73"/>
        <w:ind w:left="479"/>
        <w:jc w:val="center"/>
      </w:pPr>
      <w:bookmarkStart w:name="56" w:id="69"/>
      <w:bookmarkEnd w:id="69"/>
      <w:r>
        <w:rPr/>
      </w:r>
      <w:r>
        <w:rPr>
          <w:b/>
        </w:rPr>
        <w:t>Таблица</w:t>
      </w:r>
      <w:r>
        <w:rPr>
          <w:b/>
          <w:spacing w:val="-11"/>
        </w:rPr>
        <w:t> </w:t>
      </w:r>
      <w:r>
        <w:rPr>
          <w:b/>
        </w:rPr>
        <w:t>3.</w:t>
      </w:r>
      <w:r>
        <w:rPr>
          <w:b/>
          <w:spacing w:val="-11"/>
        </w:rPr>
        <w:t> </w:t>
      </w:r>
      <w:r>
        <w:rPr/>
        <w:t>Критерии</w:t>
      </w:r>
      <w:r>
        <w:rPr>
          <w:spacing w:val="-11"/>
        </w:rPr>
        <w:t> </w:t>
      </w:r>
      <w:r>
        <w:rPr/>
        <w:t>явного</w:t>
      </w:r>
      <w:r>
        <w:rPr>
          <w:spacing w:val="-11"/>
        </w:rPr>
        <w:t> </w:t>
      </w:r>
      <w:r>
        <w:rPr/>
        <w:t>ДВС</w:t>
      </w:r>
      <w:r>
        <w:rPr>
          <w:spacing w:val="-11"/>
        </w:rPr>
        <w:t> </w:t>
      </w:r>
      <w:r>
        <w:rPr/>
        <w:t>Международного</w:t>
      </w:r>
      <w:r>
        <w:rPr>
          <w:spacing w:val="-11"/>
        </w:rPr>
        <w:t> </w:t>
      </w:r>
      <w:r>
        <w:rPr/>
        <w:t>общества</w:t>
      </w:r>
      <w:r>
        <w:rPr>
          <w:spacing w:val="-11"/>
        </w:rPr>
        <w:t> </w:t>
      </w:r>
      <w:r>
        <w:rPr/>
        <w:t>тромбоза</w:t>
      </w:r>
      <w:r>
        <w:rPr>
          <w:spacing w:val="-11"/>
        </w:rPr>
        <w:t> </w:t>
      </w:r>
      <w:r>
        <w:rPr/>
        <w:t>и</w:t>
      </w:r>
      <w:r>
        <w:rPr>
          <w:spacing w:val="-8"/>
        </w:rPr>
        <w:t> </w:t>
      </w:r>
      <w:r>
        <w:rPr>
          <w:spacing w:val="-2"/>
        </w:rPr>
        <w:t>гемостаза.</w:t>
      </w:r>
    </w:p>
    <w:p>
      <w:pPr>
        <w:pStyle w:val="BodyText"/>
        <w:spacing w:before="2"/>
        <w:ind w:left="0"/>
        <w:jc w:val="left"/>
        <w:rPr>
          <w:sz w:val="9"/>
        </w:rPr>
      </w:pPr>
    </w:p>
    <w:tbl>
      <w:tblPr>
        <w:tblW w:w="0" w:type="auto"/>
        <w:jc w:val="left"/>
        <w:tblInd w:w="18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625"/>
        <w:gridCol w:w="838"/>
        <w:gridCol w:w="4470"/>
      </w:tblGrid>
      <w:tr>
        <w:trPr>
          <w:trHeight w:val="283" w:hRule="atLeast"/>
        </w:trPr>
        <w:tc>
          <w:tcPr>
            <w:tcW w:w="3625" w:type="dxa"/>
            <w:shd w:val="clear" w:color="auto" w:fill="F1F1F1"/>
          </w:tcPr>
          <w:p>
            <w:pPr>
              <w:pStyle w:val="TableParagraph"/>
              <w:spacing w:line="250" w:lineRule="exact" w:before="13"/>
              <w:ind w:left="105"/>
              <w:rPr>
                <w:sz w:val="24"/>
              </w:rPr>
            </w:pPr>
            <w:r>
              <w:rPr>
                <w:spacing w:val="-2"/>
                <w:sz w:val="24"/>
              </w:rPr>
              <w:t>Показатель</w:t>
            </w:r>
          </w:p>
        </w:tc>
        <w:tc>
          <w:tcPr>
            <w:tcW w:w="838" w:type="dxa"/>
            <w:shd w:val="clear" w:color="auto" w:fill="F1F1F1"/>
          </w:tcPr>
          <w:p>
            <w:pPr>
              <w:pStyle w:val="TableParagraph"/>
              <w:spacing w:line="250" w:lineRule="exact" w:before="13"/>
              <w:ind w:right="144"/>
              <w:jc w:val="center"/>
              <w:rPr>
                <w:sz w:val="24"/>
              </w:rPr>
            </w:pPr>
            <w:r>
              <w:rPr>
                <w:spacing w:val="-4"/>
                <w:sz w:val="24"/>
              </w:rPr>
              <w:t>Балл</w:t>
            </w:r>
          </w:p>
        </w:tc>
        <w:tc>
          <w:tcPr>
            <w:tcW w:w="4470" w:type="dxa"/>
            <w:shd w:val="clear" w:color="auto" w:fill="F1F1F1"/>
          </w:tcPr>
          <w:p>
            <w:pPr>
              <w:pStyle w:val="TableParagraph"/>
              <w:spacing w:line="250" w:lineRule="exact" w:before="13"/>
              <w:ind w:left="1163"/>
              <w:rPr>
                <w:sz w:val="24"/>
              </w:rPr>
            </w:pPr>
            <w:r>
              <w:rPr>
                <w:sz w:val="24"/>
              </w:rPr>
              <w:t>Значения</w:t>
            </w:r>
            <w:r>
              <w:rPr>
                <w:spacing w:val="-15"/>
                <w:sz w:val="24"/>
              </w:rPr>
              <w:t> </w:t>
            </w:r>
            <w:r>
              <w:rPr>
                <w:spacing w:val="-2"/>
                <w:sz w:val="24"/>
              </w:rPr>
              <w:t>показателя</w:t>
            </w:r>
          </w:p>
        </w:tc>
      </w:tr>
      <w:tr>
        <w:trPr>
          <w:trHeight w:val="282" w:hRule="atLeast"/>
        </w:trPr>
        <w:tc>
          <w:tcPr>
            <w:tcW w:w="3625" w:type="dxa"/>
            <w:vMerge w:val="restart"/>
          </w:tcPr>
          <w:p>
            <w:pPr>
              <w:pStyle w:val="TableParagraph"/>
              <w:spacing w:line="276" w:lineRule="exact" w:before="3"/>
              <w:ind w:left="105" w:right="910"/>
              <w:rPr>
                <w:sz w:val="24"/>
              </w:rPr>
            </w:pPr>
            <w:r>
              <w:rPr>
                <w:sz w:val="24"/>
              </w:rPr>
              <w:t>Количество</w:t>
            </w:r>
            <w:r>
              <w:rPr>
                <w:spacing w:val="-15"/>
                <w:sz w:val="24"/>
              </w:rPr>
              <w:t> </w:t>
            </w:r>
            <w:r>
              <w:rPr>
                <w:sz w:val="24"/>
              </w:rPr>
              <w:t>тромбоцитов (на 10</w:t>
            </w:r>
            <w:r>
              <w:rPr>
                <w:sz w:val="24"/>
                <w:vertAlign w:val="superscript"/>
              </w:rPr>
              <w:t>9</w:t>
            </w:r>
            <w:r>
              <w:rPr>
                <w:sz w:val="24"/>
                <w:vertAlign w:val="baseline"/>
              </w:rPr>
              <w:t>/л)</w:t>
            </w:r>
          </w:p>
        </w:tc>
        <w:tc>
          <w:tcPr>
            <w:tcW w:w="838" w:type="dxa"/>
          </w:tcPr>
          <w:p>
            <w:pPr>
              <w:pStyle w:val="TableParagraph"/>
              <w:spacing w:line="250" w:lineRule="exact" w:before="13"/>
              <w:ind w:right="7"/>
              <w:jc w:val="center"/>
              <w:rPr>
                <w:sz w:val="24"/>
              </w:rPr>
            </w:pPr>
            <w:r>
              <w:rPr>
                <w:spacing w:val="-10"/>
                <w:sz w:val="24"/>
              </w:rPr>
              <w:t>2</w:t>
            </w:r>
          </w:p>
        </w:tc>
        <w:tc>
          <w:tcPr>
            <w:tcW w:w="4470" w:type="dxa"/>
          </w:tcPr>
          <w:p>
            <w:pPr>
              <w:pStyle w:val="TableParagraph"/>
              <w:spacing w:line="250" w:lineRule="exact" w:before="13"/>
              <w:ind w:right="894"/>
              <w:jc w:val="center"/>
              <w:rPr>
                <w:sz w:val="24"/>
              </w:rPr>
            </w:pPr>
            <w:r>
              <w:rPr>
                <w:sz w:val="24"/>
              </w:rPr>
              <w:t>&lt;</w:t>
            </w:r>
            <w:r>
              <w:rPr>
                <w:spacing w:val="-3"/>
                <w:sz w:val="24"/>
              </w:rPr>
              <w:t> </w:t>
            </w:r>
            <w:r>
              <w:rPr>
                <w:spacing w:val="-5"/>
                <w:sz w:val="24"/>
              </w:rPr>
              <w:t>50</w:t>
            </w:r>
          </w:p>
        </w:tc>
      </w:tr>
      <w:tr>
        <w:trPr>
          <w:trHeight w:val="282" w:hRule="atLeast"/>
        </w:trPr>
        <w:tc>
          <w:tcPr>
            <w:tcW w:w="3625" w:type="dxa"/>
            <w:vMerge/>
            <w:tcBorders>
              <w:top w:val="nil"/>
            </w:tcBorders>
          </w:tcPr>
          <w:p>
            <w:pPr>
              <w:rPr>
                <w:sz w:val="2"/>
                <w:szCs w:val="2"/>
              </w:rPr>
            </w:pPr>
          </w:p>
        </w:tc>
        <w:tc>
          <w:tcPr>
            <w:tcW w:w="838" w:type="dxa"/>
          </w:tcPr>
          <w:p>
            <w:pPr>
              <w:pStyle w:val="TableParagraph"/>
              <w:spacing w:line="250" w:lineRule="exact" w:before="12"/>
              <w:ind w:right="7"/>
              <w:jc w:val="center"/>
              <w:rPr>
                <w:sz w:val="24"/>
              </w:rPr>
            </w:pPr>
            <w:r>
              <w:rPr>
                <w:spacing w:val="-10"/>
                <w:sz w:val="24"/>
              </w:rPr>
              <w:t>1</w:t>
            </w:r>
          </w:p>
        </w:tc>
        <w:tc>
          <w:tcPr>
            <w:tcW w:w="4470" w:type="dxa"/>
          </w:tcPr>
          <w:p>
            <w:pPr>
              <w:pStyle w:val="TableParagraph"/>
              <w:spacing w:line="250" w:lineRule="exact" w:before="12"/>
              <w:ind w:left="671" w:right="894"/>
              <w:jc w:val="center"/>
              <w:rPr>
                <w:sz w:val="24"/>
              </w:rPr>
            </w:pPr>
            <w:r>
              <w:rPr>
                <w:sz w:val="24"/>
              </w:rPr>
              <w:t>≥</w:t>
            </w:r>
            <w:r>
              <w:rPr>
                <w:spacing w:val="-2"/>
                <w:sz w:val="24"/>
              </w:rPr>
              <w:t> </w:t>
            </w:r>
            <w:r>
              <w:rPr>
                <w:sz w:val="24"/>
              </w:rPr>
              <w:t>50,</w:t>
            </w:r>
            <w:r>
              <w:rPr>
                <w:spacing w:val="-3"/>
                <w:sz w:val="24"/>
              </w:rPr>
              <w:t> </w:t>
            </w:r>
            <w:r>
              <w:rPr>
                <w:sz w:val="24"/>
              </w:rPr>
              <w:t>&lt;</w:t>
            </w:r>
            <w:r>
              <w:rPr>
                <w:spacing w:val="-3"/>
                <w:sz w:val="24"/>
              </w:rPr>
              <w:t> </w:t>
            </w:r>
            <w:r>
              <w:rPr>
                <w:spacing w:val="-5"/>
                <w:sz w:val="24"/>
              </w:rPr>
              <w:t>100</w:t>
            </w:r>
          </w:p>
        </w:tc>
      </w:tr>
      <w:tr>
        <w:trPr>
          <w:trHeight w:val="282" w:hRule="atLeast"/>
        </w:trPr>
        <w:tc>
          <w:tcPr>
            <w:tcW w:w="3625" w:type="dxa"/>
            <w:vMerge w:val="restart"/>
            <w:shd w:val="clear" w:color="auto" w:fill="F1F1F1"/>
          </w:tcPr>
          <w:p>
            <w:pPr>
              <w:pStyle w:val="TableParagraph"/>
              <w:spacing w:line="276" w:lineRule="exact" w:before="3"/>
              <w:ind w:left="105" w:right="1242"/>
              <w:rPr>
                <w:sz w:val="24"/>
              </w:rPr>
            </w:pPr>
            <w:r>
              <w:rPr>
                <w:sz w:val="24"/>
              </w:rPr>
              <w:t>Продукты</w:t>
            </w:r>
            <w:r>
              <w:rPr>
                <w:spacing w:val="-15"/>
                <w:sz w:val="24"/>
              </w:rPr>
              <w:t> </w:t>
            </w:r>
            <w:r>
              <w:rPr>
                <w:sz w:val="24"/>
              </w:rPr>
              <w:t>деградации </w:t>
            </w:r>
            <w:r>
              <w:rPr>
                <w:spacing w:val="-2"/>
                <w:sz w:val="24"/>
              </w:rPr>
              <w:t>фибрина/D-димер</w:t>
            </w:r>
          </w:p>
        </w:tc>
        <w:tc>
          <w:tcPr>
            <w:tcW w:w="838" w:type="dxa"/>
            <w:shd w:val="clear" w:color="auto" w:fill="F1F1F1"/>
          </w:tcPr>
          <w:p>
            <w:pPr>
              <w:pStyle w:val="TableParagraph"/>
              <w:spacing w:line="251" w:lineRule="exact" w:before="12"/>
              <w:ind w:right="7"/>
              <w:jc w:val="center"/>
              <w:rPr>
                <w:sz w:val="24"/>
              </w:rPr>
            </w:pPr>
            <w:r>
              <w:rPr>
                <w:spacing w:val="-10"/>
                <w:sz w:val="24"/>
              </w:rPr>
              <w:t>3</w:t>
            </w:r>
          </w:p>
        </w:tc>
        <w:tc>
          <w:tcPr>
            <w:tcW w:w="4470" w:type="dxa"/>
            <w:shd w:val="clear" w:color="auto" w:fill="F1F1F1"/>
          </w:tcPr>
          <w:p>
            <w:pPr>
              <w:pStyle w:val="TableParagraph"/>
              <w:spacing w:line="251" w:lineRule="exact" w:before="12"/>
              <w:ind w:left="1564"/>
              <w:rPr>
                <w:sz w:val="24"/>
              </w:rPr>
            </w:pPr>
            <w:r>
              <w:rPr>
                <w:sz w:val="24"/>
              </w:rPr>
              <w:t>Сильно</w:t>
            </w:r>
            <w:r>
              <w:rPr>
                <w:spacing w:val="-12"/>
                <w:sz w:val="24"/>
              </w:rPr>
              <w:t> </w:t>
            </w:r>
            <w:r>
              <w:rPr>
                <w:spacing w:val="-2"/>
                <w:sz w:val="24"/>
              </w:rPr>
              <w:t>повышен</w:t>
            </w:r>
          </w:p>
        </w:tc>
      </w:tr>
      <w:tr>
        <w:trPr>
          <w:trHeight w:val="282" w:hRule="atLeast"/>
        </w:trPr>
        <w:tc>
          <w:tcPr>
            <w:tcW w:w="3625" w:type="dxa"/>
            <w:vMerge/>
            <w:tcBorders>
              <w:top w:val="nil"/>
            </w:tcBorders>
            <w:shd w:val="clear" w:color="auto" w:fill="F1F1F1"/>
          </w:tcPr>
          <w:p>
            <w:pPr>
              <w:rPr>
                <w:sz w:val="2"/>
                <w:szCs w:val="2"/>
              </w:rPr>
            </w:pPr>
          </w:p>
        </w:tc>
        <w:tc>
          <w:tcPr>
            <w:tcW w:w="838" w:type="dxa"/>
            <w:shd w:val="clear" w:color="auto" w:fill="F1F1F1"/>
          </w:tcPr>
          <w:p>
            <w:pPr>
              <w:pStyle w:val="TableParagraph"/>
              <w:spacing w:line="251" w:lineRule="exact" w:before="12"/>
              <w:ind w:right="7"/>
              <w:jc w:val="center"/>
              <w:rPr>
                <w:sz w:val="24"/>
              </w:rPr>
            </w:pPr>
            <w:r>
              <w:rPr>
                <w:spacing w:val="-10"/>
                <w:sz w:val="24"/>
              </w:rPr>
              <w:t>2</w:t>
            </w:r>
          </w:p>
        </w:tc>
        <w:tc>
          <w:tcPr>
            <w:tcW w:w="4470" w:type="dxa"/>
            <w:shd w:val="clear" w:color="auto" w:fill="F1F1F1"/>
          </w:tcPr>
          <w:p>
            <w:pPr>
              <w:pStyle w:val="TableParagraph"/>
              <w:spacing w:line="251" w:lineRule="exact" w:before="12"/>
              <w:ind w:left="1564"/>
              <w:rPr>
                <w:sz w:val="24"/>
              </w:rPr>
            </w:pPr>
            <w:r>
              <w:rPr>
                <w:sz w:val="24"/>
              </w:rPr>
              <w:t>Умеренно</w:t>
            </w:r>
            <w:r>
              <w:rPr>
                <w:spacing w:val="-15"/>
                <w:sz w:val="24"/>
              </w:rPr>
              <w:t> </w:t>
            </w:r>
            <w:r>
              <w:rPr>
                <w:spacing w:val="-2"/>
                <w:sz w:val="24"/>
              </w:rPr>
              <w:t>повышен</w:t>
            </w:r>
          </w:p>
        </w:tc>
      </w:tr>
      <w:tr>
        <w:trPr>
          <w:trHeight w:val="282" w:hRule="atLeast"/>
        </w:trPr>
        <w:tc>
          <w:tcPr>
            <w:tcW w:w="3625" w:type="dxa"/>
            <w:vMerge w:val="restart"/>
          </w:tcPr>
          <w:p>
            <w:pPr>
              <w:pStyle w:val="TableParagraph"/>
              <w:spacing w:before="14"/>
              <w:ind w:left="105"/>
              <w:rPr>
                <w:sz w:val="24"/>
              </w:rPr>
            </w:pPr>
            <w:r>
              <w:rPr>
                <w:spacing w:val="-2"/>
                <w:sz w:val="24"/>
              </w:rPr>
              <w:t>Протромбиновое</w:t>
            </w:r>
            <w:r>
              <w:rPr>
                <w:sz w:val="24"/>
              </w:rPr>
              <w:t> </w:t>
            </w:r>
            <w:r>
              <w:rPr>
                <w:spacing w:val="-4"/>
                <w:sz w:val="24"/>
              </w:rPr>
              <w:t>время</w:t>
            </w:r>
          </w:p>
        </w:tc>
        <w:tc>
          <w:tcPr>
            <w:tcW w:w="838" w:type="dxa"/>
          </w:tcPr>
          <w:p>
            <w:pPr>
              <w:pStyle w:val="TableParagraph"/>
              <w:spacing w:line="249" w:lineRule="exact" w:before="14"/>
              <w:ind w:right="7"/>
              <w:jc w:val="center"/>
              <w:rPr>
                <w:sz w:val="24"/>
              </w:rPr>
            </w:pPr>
            <w:r>
              <w:rPr>
                <w:spacing w:val="-10"/>
                <w:sz w:val="24"/>
              </w:rPr>
              <w:t>2</w:t>
            </w:r>
          </w:p>
        </w:tc>
        <w:tc>
          <w:tcPr>
            <w:tcW w:w="4470" w:type="dxa"/>
          </w:tcPr>
          <w:p>
            <w:pPr>
              <w:pStyle w:val="TableParagraph"/>
              <w:spacing w:line="249" w:lineRule="exact" w:before="14"/>
              <w:ind w:left="265" w:right="894"/>
              <w:jc w:val="center"/>
              <w:rPr>
                <w:sz w:val="24"/>
              </w:rPr>
            </w:pPr>
            <w:r>
              <w:rPr>
                <w:sz w:val="24"/>
              </w:rPr>
              <w:t>≥</w:t>
            </w:r>
            <w:r>
              <w:rPr>
                <w:spacing w:val="-2"/>
                <w:sz w:val="24"/>
              </w:rPr>
              <w:t> </w:t>
            </w:r>
            <w:r>
              <w:rPr>
                <w:sz w:val="24"/>
              </w:rPr>
              <w:t>6</w:t>
            </w:r>
            <w:r>
              <w:rPr>
                <w:spacing w:val="-2"/>
                <w:sz w:val="24"/>
              </w:rPr>
              <w:t> </w:t>
            </w:r>
            <w:r>
              <w:rPr>
                <w:spacing w:val="-5"/>
                <w:sz w:val="24"/>
              </w:rPr>
              <w:t>сек</w:t>
            </w:r>
          </w:p>
        </w:tc>
      </w:tr>
      <w:tr>
        <w:trPr>
          <w:trHeight w:val="285" w:hRule="atLeast"/>
        </w:trPr>
        <w:tc>
          <w:tcPr>
            <w:tcW w:w="3625" w:type="dxa"/>
            <w:vMerge/>
            <w:tcBorders>
              <w:top w:val="nil"/>
            </w:tcBorders>
          </w:tcPr>
          <w:p>
            <w:pPr>
              <w:rPr>
                <w:sz w:val="2"/>
                <w:szCs w:val="2"/>
              </w:rPr>
            </w:pPr>
          </w:p>
        </w:tc>
        <w:tc>
          <w:tcPr>
            <w:tcW w:w="838" w:type="dxa"/>
          </w:tcPr>
          <w:p>
            <w:pPr>
              <w:pStyle w:val="TableParagraph"/>
              <w:spacing w:line="251" w:lineRule="exact" w:before="14"/>
              <w:ind w:right="7"/>
              <w:jc w:val="center"/>
              <w:rPr>
                <w:sz w:val="24"/>
              </w:rPr>
            </w:pPr>
            <w:r>
              <w:rPr>
                <w:spacing w:val="-10"/>
                <w:sz w:val="24"/>
              </w:rPr>
              <w:t>1</w:t>
            </w:r>
          </w:p>
        </w:tc>
        <w:tc>
          <w:tcPr>
            <w:tcW w:w="4470" w:type="dxa"/>
          </w:tcPr>
          <w:p>
            <w:pPr>
              <w:pStyle w:val="TableParagraph"/>
              <w:spacing w:line="251" w:lineRule="exact" w:before="14"/>
              <w:ind w:left="1564"/>
              <w:rPr>
                <w:sz w:val="24"/>
              </w:rPr>
            </w:pPr>
            <w:r>
              <w:rPr>
                <w:sz w:val="24"/>
              </w:rPr>
              <w:t>≥</w:t>
            </w:r>
            <w:r>
              <w:rPr>
                <w:spacing w:val="-3"/>
                <w:sz w:val="24"/>
              </w:rPr>
              <w:t> </w:t>
            </w:r>
            <w:r>
              <w:rPr>
                <w:sz w:val="24"/>
              </w:rPr>
              <w:t>3</w:t>
            </w:r>
            <w:r>
              <w:rPr>
                <w:spacing w:val="-3"/>
                <w:sz w:val="24"/>
              </w:rPr>
              <w:t> </w:t>
            </w:r>
            <w:r>
              <w:rPr>
                <w:sz w:val="24"/>
              </w:rPr>
              <w:t>сек,</w:t>
            </w:r>
            <w:r>
              <w:rPr>
                <w:spacing w:val="-3"/>
                <w:sz w:val="24"/>
              </w:rPr>
              <w:t> </w:t>
            </w:r>
            <w:r>
              <w:rPr>
                <w:sz w:val="24"/>
              </w:rPr>
              <w:t>&lt;</w:t>
            </w:r>
            <w:r>
              <w:rPr>
                <w:spacing w:val="-3"/>
                <w:sz w:val="24"/>
              </w:rPr>
              <w:t> </w:t>
            </w:r>
            <w:r>
              <w:rPr>
                <w:sz w:val="24"/>
              </w:rPr>
              <w:t>6</w:t>
            </w:r>
            <w:r>
              <w:rPr>
                <w:spacing w:val="-3"/>
                <w:sz w:val="24"/>
              </w:rPr>
              <w:t> </w:t>
            </w:r>
            <w:r>
              <w:rPr>
                <w:spacing w:val="-5"/>
                <w:sz w:val="24"/>
              </w:rPr>
              <w:t>сек</w:t>
            </w:r>
          </w:p>
        </w:tc>
      </w:tr>
      <w:tr>
        <w:trPr>
          <w:trHeight w:val="282" w:hRule="atLeast"/>
        </w:trPr>
        <w:tc>
          <w:tcPr>
            <w:tcW w:w="3625" w:type="dxa"/>
            <w:shd w:val="clear" w:color="auto" w:fill="F1F1F1"/>
          </w:tcPr>
          <w:p>
            <w:pPr>
              <w:pStyle w:val="TableParagraph"/>
              <w:spacing w:line="252" w:lineRule="exact" w:before="11"/>
              <w:ind w:left="105"/>
              <w:rPr>
                <w:sz w:val="24"/>
              </w:rPr>
            </w:pPr>
            <w:r>
              <w:rPr>
                <w:spacing w:val="-2"/>
                <w:sz w:val="24"/>
              </w:rPr>
              <w:t>Фибриноген</w:t>
            </w:r>
            <w:r>
              <w:rPr>
                <w:spacing w:val="3"/>
                <w:sz w:val="24"/>
              </w:rPr>
              <w:t> </w:t>
            </w:r>
            <w:r>
              <w:rPr>
                <w:spacing w:val="-2"/>
                <w:sz w:val="24"/>
              </w:rPr>
              <w:t>(мг/мл)</w:t>
            </w:r>
          </w:p>
        </w:tc>
        <w:tc>
          <w:tcPr>
            <w:tcW w:w="838" w:type="dxa"/>
            <w:shd w:val="clear" w:color="auto" w:fill="F1F1F1"/>
          </w:tcPr>
          <w:p>
            <w:pPr>
              <w:pStyle w:val="TableParagraph"/>
              <w:spacing w:line="252" w:lineRule="exact" w:before="11"/>
              <w:ind w:right="7"/>
              <w:jc w:val="center"/>
              <w:rPr>
                <w:sz w:val="24"/>
              </w:rPr>
            </w:pPr>
            <w:r>
              <w:rPr>
                <w:spacing w:val="-10"/>
                <w:sz w:val="24"/>
              </w:rPr>
              <w:t>1</w:t>
            </w:r>
          </w:p>
        </w:tc>
        <w:tc>
          <w:tcPr>
            <w:tcW w:w="4470" w:type="dxa"/>
            <w:shd w:val="clear" w:color="auto" w:fill="F1F1F1"/>
          </w:tcPr>
          <w:p>
            <w:pPr>
              <w:pStyle w:val="TableParagraph"/>
              <w:spacing w:line="252" w:lineRule="exact" w:before="11"/>
              <w:ind w:left="119" w:right="894"/>
              <w:jc w:val="center"/>
              <w:rPr>
                <w:sz w:val="24"/>
              </w:rPr>
            </w:pPr>
            <w:r>
              <w:rPr>
                <w:sz w:val="24"/>
              </w:rPr>
              <w:t>&lt;</w:t>
            </w:r>
            <w:r>
              <w:rPr>
                <w:spacing w:val="-3"/>
                <w:sz w:val="24"/>
              </w:rPr>
              <w:t> </w:t>
            </w:r>
            <w:r>
              <w:rPr>
                <w:spacing w:val="-5"/>
                <w:sz w:val="24"/>
              </w:rPr>
              <w:t>100</w:t>
            </w:r>
          </w:p>
        </w:tc>
      </w:tr>
    </w:tbl>
    <w:p>
      <w:pPr>
        <w:pStyle w:val="BodyText"/>
        <w:spacing w:before="70"/>
        <w:ind w:left="0"/>
        <w:jc w:val="left"/>
      </w:pPr>
    </w:p>
    <w:p>
      <w:pPr>
        <w:pStyle w:val="BodyText"/>
        <w:spacing w:line="276" w:lineRule="auto" w:before="1"/>
        <w:ind w:right="1273" w:firstLine="707"/>
      </w:pPr>
      <w:r>
        <w:rPr/>
        <w:t>У пациентов с коагулопатией потребления при отсутствии кровотечений следует поддерживать количество тромбоцитов выше 20*10</w:t>
      </w:r>
      <w:r>
        <w:rPr>
          <w:vertAlign w:val="superscript"/>
        </w:rPr>
        <w:t>9</w:t>
      </w:r>
      <w:r>
        <w:rPr>
          <w:vertAlign w:val="baseline"/>
        </w:rPr>
        <w:t>/л, плазменную концентрацию фибриногена – выше 2,0 г/л. У пациентов с кровотечениями следует поддерживать количество тромбоцитов выше 50*10</w:t>
      </w:r>
      <w:r>
        <w:rPr>
          <w:vertAlign w:val="superscript"/>
        </w:rPr>
        <w:t>9</w:t>
      </w:r>
      <w:r>
        <w:rPr>
          <w:vertAlign w:val="baseline"/>
        </w:rPr>
        <w:t>/л, плазменную концентрацию фибриногена – выше 2,0 г/л, протромбиновое отношение &lt;1,5.</w:t>
      </w:r>
    </w:p>
    <w:p>
      <w:pPr>
        <w:pStyle w:val="BodyText"/>
        <w:spacing w:line="276" w:lineRule="auto" w:before="13"/>
        <w:ind w:right="1270" w:firstLine="707"/>
      </w:pPr>
      <w:r>
        <w:rPr/>
        <w:t>У пациентов с очень низкой или высокой массой тела, выраженным нарушением функции почек, высоким риском кровотечений, а также при беременности подбор дозы гепарина целесообразно осуществлять под контролем анти-Ха активности в крови (целевые диапазоны представлены в </w:t>
      </w:r>
      <w:r>
        <w:rPr>
          <w:color w:val="0462C1"/>
          <w:u w:val="single" w:color="0462C1"/>
        </w:rPr>
        <w:t>Приложении 7-1</w:t>
      </w:r>
      <w:r>
        <w:rPr/>
        <w:t>).</w:t>
      </w:r>
      <w:r>
        <w:rPr>
          <w:spacing w:val="40"/>
        </w:rPr>
        <w:t> </w:t>
      </w:r>
      <w:r>
        <w:rPr/>
        <w:t>У больных в критическом состоянии, а также при использовании методов экстракорпоральной поддержки кровообращения, при отсутствии возможности мониторировать состояние системы гемостаза традиционными методами допустимо использовать глобальные тесты (тромбоэластография/тромбоэластометрия) при наличии опыта их применения и интерпретации.</w:t>
      </w:r>
    </w:p>
    <w:p>
      <w:pPr>
        <w:pStyle w:val="Heading3"/>
        <w:spacing w:before="117"/>
        <w:ind w:left="2407"/>
      </w:pPr>
      <w:r>
        <w:rPr>
          <w:color w:val="1F4E79"/>
          <w:spacing w:val="-2"/>
        </w:rPr>
        <w:t>Инфузионная</w:t>
      </w:r>
      <w:r>
        <w:rPr>
          <w:color w:val="1F4E79"/>
          <w:spacing w:val="4"/>
        </w:rPr>
        <w:t> </w:t>
      </w:r>
      <w:r>
        <w:rPr>
          <w:color w:val="1F4E79"/>
          <w:spacing w:val="-2"/>
        </w:rPr>
        <w:t>терапия</w:t>
      </w:r>
    </w:p>
    <w:p>
      <w:pPr>
        <w:pStyle w:val="BodyText"/>
        <w:spacing w:line="276" w:lineRule="auto" w:before="160"/>
        <w:ind w:right="1273" w:firstLine="707"/>
      </w:pPr>
      <w:r>
        <w:rPr/>
        <w:t>При лечении COVID-19 необходимо обеспечивать достаточное поступление жидкости в организм. Восполнение суточной потребности в жидкости должно обеспечиваться преимущественно за счет пероральной регидратации. Суточная потребность</w:t>
      </w:r>
      <w:r>
        <w:rPr>
          <w:spacing w:val="-11"/>
        </w:rPr>
        <w:t> </w:t>
      </w:r>
      <w:r>
        <w:rPr/>
        <w:t>в</w:t>
      </w:r>
      <w:r>
        <w:rPr>
          <w:spacing w:val="-11"/>
        </w:rPr>
        <w:t> </w:t>
      </w:r>
      <w:r>
        <w:rPr/>
        <w:t>жидкости</w:t>
      </w:r>
      <w:r>
        <w:rPr>
          <w:spacing w:val="-9"/>
        </w:rPr>
        <w:t> </w:t>
      </w:r>
      <w:r>
        <w:rPr/>
        <w:t>должна</w:t>
      </w:r>
      <w:r>
        <w:rPr>
          <w:spacing w:val="-11"/>
        </w:rPr>
        <w:t> </w:t>
      </w:r>
      <w:r>
        <w:rPr/>
        <w:t>рассчитываться</w:t>
      </w:r>
      <w:r>
        <w:rPr>
          <w:spacing w:val="-10"/>
        </w:rPr>
        <w:t> </w:t>
      </w:r>
      <w:r>
        <w:rPr/>
        <w:t>с</w:t>
      </w:r>
      <w:r>
        <w:rPr>
          <w:spacing w:val="-11"/>
        </w:rPr>
        <w:t> </w:t>
      </w:r>
      <w:r>
        <w:rPr/>
        <w:t>учетом</w:t>
      </w:r>
      <w:r>
        <w:rPr>
          <w:spacing w:val="-10"/>
        </w:rPr>
        <w:t> </w:t>
      </w:r>
      <w:r>
        <w:rPr/>
        <w:t>лихорадки,</w:t>
      </w:r>
      <w:r>
        <w:rPr>
          <w:spacing w:val="-13"/>
        </w:rPr>
        <w:t> </w:t>
      </w:r>
      <w:r>
        <w:rPr/>
        <w:t>одышки,</w:t>
      </w:r>
      <w:r>
        <w:rPr>
          <w:spacing w:val="-13"/>
        </w:rPr>
        <w:t> </w:t>
      </w:r>
      <w:r>
        <w:rPr/>
        <w:t>потерь жидкости</w:t>
      </w:r>
      <w:r>
        <w:rPr>
          <w:spacing w:val="-7"/>
        </w:rPr>
        <w:t> </w:t>
      </w:r>
      <w:r>
        <w:rPr/>
        <w:t>при</w:t>
      </w:r>
      <w:r>
        <w:rPr>
          <w:spacing w:val="-8"/>
        </w:rPr>
        <w:t> </w:t>
      </w:r>
      <w:r>
        <w:rPr/>
        <w:t>диарее,</w:t>
      </w:r>
      <w:r>
        <w:rPr>
          <w:spacing w:val="-7"/>
        </w:rPr>
        <w:t> </w:t>
      </w:r>
      <w:r>
        <w:rPr/>
        <w:t>рвоте</w:t>
      </w:r>
      <w:r>
        <w:rPr>
          <w:spacing w:val="-8"/>
        </w:rPr>
        <w:t> </w:t>
      </w:r>
      <w:r>
        <w:rPr/>
        <w:t>(в</w:t>
      </w:r>
      <w:r>
        <w:rPr>
          <w:spacing w:val="-8"/>
        </w:rPr>
        <w:t> </w:t>
      </w:r>
      <w:r>
        <w:rPr/>
        <w:t>случае</w:t>
      </w:r>
      <w:r>
        <w:rPr>
          <w:spacing w:val="-8"/>
        </w:rPr>
        <w:t> </w:t>
      </w:r>
      <w:r>
        <w:rPr/>
        <w:t>наличия</w:t>
      </w:r>
      <w:r>
        <w:rPr>
          <w:spacing w:val="-7"/>
        </w:rPr>
        <w:t> </w:t>
      </w:r>
      <w:r>
        <w:rPr/>
        <w:t>у</w:t>
      </w:r>
      <w:r>
        <w:rPr>
          <w:spacing w:val="-7"/>
        </w:rPr>
        <w:t> </w:t>
      </w:r>
      <w:r>
        <w:rPr/>
        <w:t>пациента</w:t>
      </w:r>
      <w:r>
        <w:rPr>
          <w:spacing w:val="-7"/>
        </w:rPr>
        <w:t> </w:t>
      </w:r>
      <w:r>
        <w:rPr/>
        <w:t>таких</w:t>
      </w:r>
      <w:r>
        <w:rPr>
          <w:spacing w:val="-7"/>
        </w:rPr>
        <w:t> </w:t>
      </w:r>
      <w:r>
        <w:rPr/>
        <w:t>симптомов).</w:t>
      </w:r>
      <w:r>
        <w:rPr>
          <w:spacing w:val="-7"/>
        </w:rPr>
        <w:t> </w:t>
      </w:r>
      <w:r>
        <w:rPr/>
        <w:t>С</w:t>
      </w:r>
      <w:r>
        <w:rPr>
          <w:spacing w:val="-6"/>
        </w:rPr>
        <w:t> </w:t>
      </w:r>
      <w:r>
        <w:rPr/>
        <w:t>целью профилактики отека легких пациентам следует ограничить объем вводимой жидкости, соблюдать нулевой или отрицательный гидробаланс. При выраженной интоксикации, а также при дискомфорте в животе, тошноте и/или рвоте показаны энтеросорбенты</w:t>
      </w:r>
      <w:r>
        <w:rPr>
          <w:spacing w:val="80"/>
        </w:rPr>
        <w:t> </w:t>
      </w:r>
      <w:r>
        <w:rPr/>
        <w:t>(диоксид</w:t>
      </w:r>
      <w:r>
        <w:rPr>
          <w:spacing w:val="80"/>
        </w:rPr>
        <w:t> </w:t>
      </w:r>
      <w:r>
        <w:rPr/>
        <w:t>кремния</w:t>
      </w:r>
      <w:r>
        <w:rPr>
          <w:spacing w:val="80"/>
        </w:rPr>
        <w:t> </w:t>
      </w:r>
      <w:r>
        <w:rPr/>
        <w:t>коллоидный,</w:t>
      </w:r>
      <w:r>
        <w:rPr>
          <w:spacing w:val="80"/>
        </w:rPr>
        <w:t> </w:t>
      </w:r>
      <w:r>
        <w:rPr/>
        <w:t>полиметилсилоксанаполигидрат и другие).</w:t>
      </w:r>
    </w:p>
    <w:p>
      <w:pPr>
        <w:pStyle w:val="BodyText"/>
        <w:spacing w:line="276" w:lineRule="auto" w:before="14"/>
        <w:ind w:right="1277" w:firstLine="707"/>
      </w:pPr>
      <w:r>
        <w:rPr/>
        <w:t>Пациентам</w:t>
      </w:r>
      <w:r>
        <w:rPr>
          <w:spacing w:val="-8"/>
        </w:rPr>
        <w:t> </w:t>
      </w:r>
      <w:r>
        <w:rPr/>
        <w:t>в</w:t>
      </w:r>
      <w:r>
        <w:rPr>
          <w:spacing w:val="-7"/>
        </w:rPr>
        <w:t> </w:t>
      </w:r>
      <w:r>
        <w:rPr/>
        <w:t>тяжелом</w:t>
      </w:r>
      <w:r>
        <w:rPr>
          <w:spacing w:val="-8"/>
        </w:rPr>
        <w:t> </w:t>
      </w:r>
      <w:r>
        <w:rPr/>
        <w:t>состоянии</w:t>
      </w:r>
      <w:r>
        <w:rPr>
          <w:spacing w:val="-6"/>
        </w:rPr>
        <w:t> </w:t>
      </w:r>
      <w:r>
        <w:rPr/>
        <w:t>(в</w:t>
      </w:r>
      <w:r>
        <w:rPr>
          <w:spacing w:val="-8"/>
        </w:rPr>
        <w:t> </w:t>
      </w:r>
      <w:r>
        <w:rPr/>
        <w:t>ОРИТ)</w:t>
      </w:r>
      <w:r>
        <w:rPr>
          <w:spacing w:val="-8"/>
        </w:rPr>
        <w:t> </w:t>
      </w:r>
      <w:r>
        <w:rPr/>
        <w:t>при</w:t>
      </w:r>
      <w:r>
        <w:rPr>
          <w:spacing w:val="-6"/>
        </w:rPr>
        <w:t> </w:t>
      </w:r>
      <w:r>
        <w:rPr/>
        <w:t>наличии</w:t>
      </w:r>
      <w:r>
        <w:rPr>
          <w:spacing w:val="-6"/>
        </w:rPr>
        <w:t> </w:t>
      </w:r>
      <w:r>
        <w:rPr/>
        <w:t>показаний</w:t>
      </w:r>
      <w:r>
        <w:rPr>
          <w:spacing w:val="-6"/>
        </w:rPr>
        <w:t> </w:t>
      </w:r>
      <w:r>
        <w:rPr/>
        <w:t>проводится инфузионная терапия. Следует с осторожностью подходить к инфузионной терапии, поскольку избыточные трансфузии жидкостей могут ухудшить насыщение крови кислородом, особенно в условиях ограниченных возможностей ИВЛ, а также спровоцировать или усугубить проявления ОРДС. Объем инфузионной терапии должен составлять 10-15 мл/кг/сут.</w:t>
      </w:r>
    </w:p>
    <w:p>
      <w:pPr>
        <w:pStyle w:val="BodyText"/>
        <w:spacing w:line="276" w:lineRule="auto" w:before="11"/>
        <w:ind w:right="1282" w:firstLine="707"/>
      </w:pPr>
      <w:r>
        <w:rPr/>
        <w:t>При проведении инфузионной терапии важное значение имеет скорость введения жидкости: чем меньше скорость введения жидкости, тем безопаснее для </w:t>
      </w:r>
      <w:r>
        <w:rPr>
          <w:spacing w:val="-2"/>
        </w:rPr>
        <w:t>пациента.</w:t>
      </w:r>
    </w:p>
    <w:p>
      <w:pPr>
        <w:pStyle w:val="BodyText"/>
        <w:spacing w:after="0" w:line="276" w:lineRule="auto"/>
        <w:sectPr>
          <w:pgSz w:w="11900" w:h="16840"/>
          <w:pgMar w:header="0" w:footer="697" w:top="1080" w:bottom="880" w:left="0" w:right="0"/>
        </w:sectPr>
      </w:pPr>
    </w:p>
    <w:p>
      <w:pPr>
        <w:pStyle w:val="BodyText"/>
        <w:spacing w:line="276" w:lineRule="auto" w:before="73"/>
        <w:ind w:right="1276" w:firstLine="707"/>
      </w:pPr>
      <w:bookmarkStart w:name="57" w:id="70"/>
      <w:bookmarkEnd w:id="70"/>
      <w:r>
        <w:rPr/>
      </w:r>
      <w:r>
        <w:rPr/>
        <w:t>В условиях проведения инфузионной терапии врач оценивает суточный диурез,</w:t>
      </w:r>
      <w:r>
        <w:rPr>
          <w:spacing w:val="76"/>
        </w:rPr>
        <w:t> </w:t>
      </w:r>
      <w:r>
        <w:rPr/>
        <w:t>динамику</w:t>
      </w:r>
      <w:r>
        <w:rPr>
          <w:spacing w:val="76"/>
        </w:rPr>
        <w:t> </w:t>
      </w:r>
      <w:r>
        <w:rPr/>
        <w:t>артериального</w:t>
      </w:r>
      <w:r>
        <w:rPr>
          <w:spacing w:val="76"/>
        </w:rPr>
        <w:t> </w:t>
      </w:r>
      <w:r>
        <w:rPr/>
        <w:t>давления,</w:t>
      </w:r>
      <w:r>
        <w:rPr>
          <w:spacing w:val="76"/>
        </w:rPr>
        <w:t> </w:t>
      </w:r>
      <w:r>
        <w:rPr/>
        <w:t>изменения</w:t>
      </w:r>
      <w:r>
        <w:rPr>
          <w:spacing w:val="76"/>
        </w:rPr>
        <w:t> </w:t>
      </w:r>
      <w:r>
        <w:rPr/>
        <w:t>аускультативной</w:t>
      </w:r>
      <w:r>
        <w:rPr>
          <w:spacing w:val="77"/>
        </w:rPr>
        <w:t> </w:t>
      </w:r>
      <w:r>
        <w:rPr/>
        <w:t>картины в легких, гематокрита (не ниже 35%). При снижении объема диуреза, повышении артериального давления, увеличении количества хрипов в легких, снижении гематокрита - объем парентерально вводимой жидкости должен быть уменьшен.</w:t>
      </w:r>
    </w:p>
    <w:p>
      <w:pPr>
        <w:pStyle w:val="BodyText"/>
        <w:spacing w:line="276" w:lineRule="auto" w:before="12"/>
        <w:ind w:right="1278" w:firstLine="707"/>
      </w:pPr>
      <w:r>
        <w:rPr/>
        <w:t>Для снижения объема инфузионной терапии поддержание нутритивного статуса пациента при необходимости нужно проводить методом зондового питания</w:t>
      </w:r>
      <w:r>
        <w:rPr>
          <w:spacing w:val="80"/>
        </w:rPr>
        <w:t> </w:t>
      </w:r>
      <w:r>
        <w:rPr/>
        <w:t>с</w:t>
      </w:r>
      <w:r>
        <w:rPr>
          <w:spacing w:val="-4"/>
        </w:rPr>
        <w:t> </w:t>
      </w:r>
      <w:r>
        <w:rPr/>
        <w:t>использованием стандартных и полуэлементарных смесей для энтерального питания. Питание должно быть частым и дробным для исключения переполнения желудка и уменьшения экскурсии легких.</w:t>
      </w:r>
    </w:p>
    <w:p>
      <w:pPr>
        <w:pStyle w:val="BodyText"/>
        <w:spacing w:line="276" w:lineRule="auto" w:before="13"/>
        <w:ind w:right="1272" w:firstLine="707"/>
      </w:pPr>
      <w:r>
        <w:rPr/>
        <w:t>С</w:t>
      </w:r>
      <w:r>
        <w:rPr>
          <w:spacing w:val="-6"/>
        </w:rPr>
        <w:t> </w:t>
      </w:r>
      <w:r>
        <w:rPr/>
        <w:t>целью</w:t>
      </w:r>
      <w:r>
        <w:rPr>
          <w:spacing w:val="-9"/>
        </w:rPr>
        <w:t> </w:t>
      </w:r>
      <w:r>
        <w:rPr/>
        <w:t>улучшения</w:t>
      </w:r>
      <w:r>
        <w:rPr>
          <w:spacing w:val="-7"/>
        </w:rPr>
        <w:t> </w:t>
      </w:r>
      <w:r>
        <w:rPr/>
        <w:t>отхождения</w:t>
      </w:r>
      <w:r>
        <w:rPr>
          <w:spacing w:val="-7"/>
        </w:rPr>
        <w:t> </w:t>
      </w:r>
      <w:r>
        <w:rPr/>
        <w:t>мокроты</w:t>
      </w:r>
      <w:r>
        <w:rPr>
          <w:spacing w:val="-9"/>
        </w:rPr>
        <w:t> </w:t>
      </w:r>
      <w:r>
        <w:rPr/>
        <w:t>при</w:t>
      </w:r>
      <w:r>
        <w:rPr>
          <w:spacing w:val="-11"/>
        </w:rPr>
        <w:t> </w:t>
      </w:r>
      <w:r>
        <w:rPr/>
        <w:t>продуктивном</w:t>
      </w:r>
      <w:r>
        <w:rPr>
          <w:spacing w:val="-8"/>
        </w:rPr>
        <w:t> </w:t>
      </w:r>
      <w:r>
        <w:rPr/>
        <w:t>кашле</w:t>
      </w:r>
      <w:r>
        <w:rPr>
          <w:spacing w:val="-10"/>
        </w:rPr>
        <w:t> </w:t>
      </w:r>
      <w:r>
        <w:rPr/>
        <w:t>назначают мукоактивные препараты (ацетилцистеин, амброксол, карбоцистеин). Бронхолитическая ингаляционная терапия с использованием сальбутамола, фенотерола, с применением комбинированных средств (ипратропия бромид+фенотерол) целесообразна при наличии бронхообструктивного синдрома.</w:t>
      </w:r>
    </w:p>
    <w:p>
      <w:pPr>
        <w:pStyle w:val="Heading3"/>
        <w:spacing w:before="118"/>
      </w:pPr>
      <w:r>
        <w:rPr>
          <w:color w:val="1F487C"/>
          <w:spacing w:val="-2"/>
        </w:rPr>
        <w:t>Особенности</w:t>
      </w:r>
      <w:r>
        <w:rPr>
          <w:color w:val="1F487C"/>
          <w:spacing w:val="1"/>
        </w:rPr>
        <w:t> </w:t>
      </w:r>
      <w:r>
        <w:rPr>
          <w:color w:val="1F487C"/>
          <w:spacing w:val="-2"/>
        </w:rPr>
        <w:t>применения</w:t>
      </w:r>
      <w:r>
        <w:rPr>
          <w:color w:val="1F487C"/>
          <w:spacing w:val="1"/>
        </w:rPr>
        <w:t> </w:t>
      </w:r>
      <w:r>
        <w:rPr>
          <w:color w:val="1F487C"/>
          <w:spacing w:val="-2"/>
        </w:rPr>
        <w:t>экзогенного</w:t>
      </w:r>
      <w:r>
        <w:rPr>
          <w:color w:val="1F487C"/>
          <w:spacing w:val="1"/>
        </w:rPr>
        <w:t> </w:t>
      </w:r>
      <w:r>
        <w:rPr>
          <w:color w:val="1F487C"/>
          <w:spacing w:val="-2"/>
        </w:rPr>
        <w:t>сурфактанта</w:t>
      </w:r>
    </w:p>
    <w:p>
      <w:pPr>
        <w:pStyle w:val="BodyText"/>
        <w:spacing w:line="276" w:lineRule="auto" w:before="161"/>
        <w:ind w:right="1275" w:firstLine="707"/>
      </w:pPr>
      <w:r>
        <w:rPr/>
        <w:t>Одним</w:t>
      </w:r>
      <w:r>
        <w:rPr>
          <w:spacing w:val="76"/>
        </w:rPr>
        <w:t> </w:t>
      </w:r>
      <w:r>
        <w:rPr/>
        <w:t>из</w:t>
      </w:r>
      <w:r>
        <w:rPr>
          <w:spacing w:val="76"/>
        </w:rPr>
        <w:t> </w:t>
      </w:r>
      <w:r>
        <w:rPr/>
        <w:t>перспективных</w:t>
      </w:r>
      <w:r>
        <w:rPr>
          <w:spacing w:val="77"/>
        </w:rPr>
        <w:t> </w:t>
      </w:r>
      <w:r>
        <w:rPr/>
        <w:t>методов</w:t>
      </w:r>
      <w:r>
        <w:rPr>
          <w:spacing w:val="77"/>
        </w:rPr>
        <w:t> </w:t>
      </w:r>
      <w:r>
        <w:rPr/>
        <w:t>лечения</w:t>
      </w:r>
      <w:r>
        <w:rPr>
          <w:spacing w:val="75"/>
        </w:rPr>
        <w:t> </w:t>
      </w:r>
      <w:r>
        <w:rPr/>
        <w:t>при</w:t>
      </w:r>
      <w:r>
        <w:rPr>
          <w:spacing w:val="76"/>
        </w:rPr>
        <w:t> </w:t>
      </w:r>
      <w:r>
        <w:rPr/>
        <w:t>ОРДС,</w:t>
      </w:r>
      <w:r>
        <w:rPr>
          <w:spacing w:val="77"/>
        </w:rPr>
        <w:t> </w:t>
      </w:r>
      <w:r>
        <w:rPr/>
        <w:t>ассоциированным с</w:t>
      </w:r>
      <w:r>
        <w:rPr>
          <w:spacing w:val="-7"/>
        </w:rPr>
        <w:t> </w:t>
      </w:r>
      <w:r>
        <w:rPr/>
        <w:t>COVID-19,</w:t>
      </w:r>
      <w:r>
        <w:rPr>
          <w:spacing w:val="-2"/>
        </w:rPr>
        <w:t> </w:t>
      </w:r>
      <w:r>
        <w:rPr/>
        <w:t>является</w:t>
      </w:r>
      <w:r>
        <w:rPr>
          <w:spacing w:val="-2"/>
        </w:rPr>
        <w:t> </w:t>
      </w:r>
      <w:r>
        <w:rPr/>
        <w:t>применение</w:t>
      </w:r>
      <w:r>
        <w:rPr>
          <w:spacing w:val="-5"/>
        </w:rPr>
        <w:t> </w:t>
      </w:r>
      <w:r>
        <w:rPr/>
        <w:t>препаратов</w:t>
      </w:r>
      <w:r>
        <w:rPr>
          <w:spacing w:val="-4"/>
        </w:rPr>
        <w:t> </w:t>
      </w:r>
      <w:r>
        <w:rPr/>
        <w:t>экзогенного</w:t>
      </w:r>
      <w:r>
        <w:rPr>
          <w:spacing w:val="-4"/>
        </w:rPr>
        <w:t> </w:t>
      </w:r>
      <w:r>
        <w:rPr/>
        <w:t>сурфактанта.</w:t>
      </w:r>
      <w:r>
        <w:rPr>
          <w:spacing w:val="-5"/>
        </w:rPr>
        <w:t> </w:t>
      </w:r>
      <w:r>
        <w:rPr/>
        <w:t>Важнейшим свойством легочного сурфактанта является его способность снижать поверхностное натяжение в альвеолах, кроме того, сурфактант участвует в барьерной и защитной функциях легких, влияя на врожденный и адаптивный местный иммунитет. При ОРДС</w:t>
      </w:r>
      <w:r>
        <w:rPr>
          <w:spacing w:val="40"/>
        </w:rPr>
        <w:t>  </w:t>
      </w:r>
      <w:r>
        <w:rPr/>
        <w:t>происходит</w:t>
      </w:r>
      <w:r>
        <w:rPr>
          <w:spacing w:val="40"/>
        </w:rPr>
        <w:t>  </w:t>
      </w:r>
      <w:r>
        <w:rPr/>
        <w:t>повреждение</w:t>
      </w:r>
      <w:r>
        <w:rPr>
          <w:spacing w:val="40"/>
        </w:rPr>
        <w:t>  </w:t>
      </w:r>
      <w:r>
        <w:rPr/>
        <w:t>альвеолоцитов</w:t>
      </w:r>
      <w:r>
        <w:rPr>
          <w:spacing w:val="40"/>
        </w:rPr>
        <w:t>  </w:t>
      </w:r>
      <w:r>
        <w:rPr/>
        <w:t>второго</w:t>
      </w:r>
      <w:r>
        <w:rPr>
          <w:spacing w:val="40"/>
        </w:rPr>
        <w:t>  </w:t>
      </w:r>
      <w:r>
        <w:rPr/>
        <w:t>типа,</w:t>
      </w:r>
      <w:r>
        <w:rPr>
          <w:spacing w:val="40"/>
        </w:rPr>
        <w:t>  </w:t>
      </w:r>
      <w:r>
        <w:rPr/>
        <w:t>что</w:t>
      </w:r>
      <w:r>
        <w:rPr>
          <w:spacing w:val="40"/>
        </w:rPr>
        <w:t>  </w:t>
      </w:r>
      <w:r>
        <w:rPr/>
        <w:t>приводит к нарушению синтеза легочного сурфактанта de novo, а также в результате выхода лейкоцитов и белков плазмы крови в альвеолярное пространство происходит ингибирование сурфактанта.</w:t>
      </w:r>
    </w:p>
    <w:p>
      <w:pPr>
        <w:pStyle w:val="BodyText"/>
        <w:spacing w:line="276" w:lineRule="auto" w:before="12"/>
        <w:ind w:right="1271" w:firstLine="707"/>
      </w:pPr>
      <w:r>
        <w:rPr/>
        <w:t>В России для лечения ОРДС у взрослых пациентов разрешено использование природного препарата Сурфактант-БЛ. Согласно результатам пилотных исследований, применение ингаляций Сурфактант-БЛ при ОРДС, ассоциированным с</w:t>
      </w:r>
      <w:r>
        <w:rPr>
          <w:spacing w:val="-11"/>
        </w:rPr>
        <w:t> </w:t>
      </w:r>
      <w:r>
        <w:rPr/>
        <w:t>COVID-19,</w:t>
      </w:r>
      <w:r>
        <w:rPr>
          <w:spacing w:val="-10"/>
        </w:rPr>
        <w:t> </w:t>
      </w:r>
      <w:r>
        <w:rPr/>
        <w:t>сопровождалось</w:t>
      </w:r>
      <w:r>
        <w:rPr>
          <w:spacing w:val="-10"/>
        </w:rPr>
        <w:t> </w:t>
      </w:r>
      <w:r>
        <w:rPr/>
        <w:t>улучшением</w:t>
      </w:r>
      <w:r>
        <w:rPr>
          <w:spacing w:val="-11"/>
        </w:rPr>
        <w:t> </w:t>
      </w:r>
      <w:r>
        <w:rPr/>
        <w:t>уровня</w:t>
      </w:r>
      <w:r>
        <w:rPr>
          <w:spacing w:val="-10"/>
        </w:rPr>
        <w:t> </w:t>
      </w:r>
      <w:r>
        <w:rPr/>
        <w:t>оксигенации</w:t>
      </w:r>
      <w:r>
        <w:rPr>
          <w:spacing w:val="-12"/>
        </w:rPr>
        <w:t> </w:t>
      </w:r>
      <w:r>
        <w:rPr/>
        <w:t>и</w:t>
      </w:r>
      <w:r>
        <w:rPr>
          <w:spacing w:val="-9"/>
        </w:rPr>
        <w:t> </w:t>
      </w:r>
      <w:r>
        <w:rPr/>
        <w:t>уменьшением</w:t>
      </w:r>
      <w:r>
        <w:rPr>
          <w:spacing w:val="-11"/>
        </w:rPr>
        <w:t> </w:t>
      </w:r>
      <w:r>
        <w:rPr/>
        <w:t>риска использования инвазивной респираторной поддержки. Препарат рекомендовано </w:t>
      </w:r>
      <w:r>
        <w:rPr>
          <w:position w:val="2"/>
        </w:rPr>
        <w:t>назначать при SpO</w:t>
      </w:r>
      <w:r>
        <w:rPr>
          <w:sz w:val="16"/>
        </w:rPr>
        <w:t>2</w:t>
      </w:r>
      <w:r>
        <w:rPr>
          <w:spacing w:val="38"/>
          <w:sz w:val="16"/>
        </w:rPr>
        <w:t> </w:t>
      </w:r>
      <w:r>
        <w:rPr>
          <w:position w:val="2"/>
        </w:rPr>
        <w:t>≤ 92% у неинтубированных пациентов с помощью небулайзера </w:t>
      </w:r>
      <w:r>
        <w:rPr/>
        <w:t>(преимущество имеют меш-небулайзеры) в дозе 75-150 мг 2 раза в сутки в течение</w:t>
      </w:r>
      <w:r>
        <w:rPr>
          <w:spacing w:val="80"/>
        </w:rPr>
        <w:t> </w:t>
      </w:r>
      <w:r>
        <w:rPr/>
        <w:t>3-5 суток.</w:t>
      </w:r>
    </w:p>
    <w:p>
      <w:pPr>
        <w:pStyle w:val="Heading3"/>
        <w:spacing w:line="276" w:lineRule="auto" w:before="10"/>
        <w:ind w:left="1841" w:right="1272" w:firstLine="707"/>
      </w:pPr>
      <w:r>
        <w:rPr/>
        <w:t>Применение тирозил-D-аланил-глицил-фенилаланил-лейцил-аргинина </w:t>
      </w:r>
      <w:r>
        <w:rPr>
          <w:spacing w:val="-2"/>
        </w:rPr>
        <w:t>сукцината</w:t>
      </w:r>
    </w:p>
    <w:p>
      <w:pPr>
        <w:pStyle w:val="BodyText"/>
        <w:spacing w:line="276" w:lineRule="auto" w:before="15"/>
        <w:ind w:right="1270" w:firstLine="707"/>
      </w:pPr>
      <w:r>
        <w:rPr/>
        <w:t>В</w:t>
      </w:r>
      <w:r>
        <w:rPr>
          <w:spacing w:val="-2"/>
        </w:rPr>
        <w:t> </w:t>
      </w:r>
      <w:r>
        <w:rPr/>
        <w:t>результате</w:t>
      </w:r>
      <w:r>
        <w:rPr>
          <w:spacing w:val="-3"/>
        </w:rPr>
        <w:t> </w:t>
      </w:r>
      <w:r>
        <w:rPr/>
        <w:t>проведенного</w:t>
      </w:r>
      <w:r>
        <w:rPr>
          <w:spacing w:val="-3"/>
        </w:rPr>
        <w:t> </w:t>
      </w:r>
      <w:r>
        <w:rPr/>
        <w:t>в</w:t>
      </w:r>
      <w:r>
        <w:rPr>
          <w:spacing w:val="-3"/>
        </w:rPr>
        <w:t> </w:t>
      </w:r>
      <w:r>
        <w:rPr/>
        <w:t>России</w:t>
      </w:r>
      <w:r>
        <w:rPr>
          <w:spacing w:val="-2"/>
        </w:rPr>
        <w:t> </w:t>
      </w:r>
      <w:r>
        <w:rPr/>
        <w:t>в</w:t>
      </w:r>
      <w:r>
        <w:rPr>
          <w:spacing w:val="-3"/>
        </w:rPr>
        <w:t> </w:t>
      </w:r>
      <w:r>
        <w:rPr/>
        <w:t>2022</w:t>
      </w:r>
      <w:r>
        <w:rPr>
          <w:spacing w:val="-1"/>
        </w:rPr>
        <w:t> </w:t>
      </w:r>
      <w:r>
        <w:rPr/>
        <w:t>г.</w:t>
      </w:r>
      <w:r>
        <w:rPr>
          <w:spacing w:val="-3"/>
        </w:rPr>
        <w:t> </w:t>
      </w:r>
      <w:r>
        <w:rPr/>
        <w:t>исследования</w:t>
      </w:r>
      <w:r>
        <w:rPr>
          <w:spacing w:val="-3"/>
        </w:rPr>
        <w:t> </w:t>
      </w:r>
      <w:r>
        <w:rPr/>
        <w:t>в</w:t>
      </w:r>
      <w:r>
        <w:rPr>
          <w:spacing w:val="-3"/>
        </w:rPr>
        <w:t> </w:t>
      </w:r>
      <w:r>
        <w:rPr/>
        <w:t>10</w:t>
      </w:r>
      <w:r>
        <w:rPr>
          <w:spacing w:val="-3"/>
        </w:rPr>
        <w:t> </w:t>
      </w:r>
      <w:r>
        <w:rPr/>
        <w:t>центрах</w:t>
      </w:r>
      <w:r>
        <w:rPr>
          <w:spacing w:val="-3"/>
        </w:rPr>
        <w:t> </w:t>
      </w:r>
      <w:r>
        <w:rPr/>
        <w:t>были получены данные, что в результате применения тирозил-D-аланил-глицил- фенилаланил-лейцил-аргинина</w:t>
      </w:r>
      <w:r>
        <w:rPr>
          <w:spacing w:val="40"/>
        </w:rPr>
        <w:t>  </w:t>
      </w:r>
      <w:r>
        <w:rPr/>
        <w:t>сукцината</w:t>
      </w:r>
      <w:r>
        <w:rPr>
          <w:spacing w:val="40"/>
        </w:rPr>
        <w:t>  </w:t>
      </w:r>
      <w:r>
        <w:rPr/>
        <w:t>в</w:t>
      </w:r>
      <w:r>
        <w:rPr>
          <w:spacing w:val="40"/>
        </w:rPr>
        <w:t>  </w:t>
      </w:r>
      <w:r>
        <w:rPr/>
        <w:t>комплексной</w:t>
      </w:r>
      <w:r>
        <w:rPr>
          <w:spacing w:val="40"/>
        </w:rPr>
        <w:t>  </w:t>
      </w:r>
      <w:r>
        <w:rPr/>
        <w:t>терапии</w:t>
      </w:r>
      <w:r>
        <w:rPr>
          <w:spacing w:val="40"/>
        </w:rPr>
        <w:t>  </w:t>
      </w:r>
      <w:r>
        <w:rPr/>
        <w:t>COVID-19</w:t>
      </w:r>
      <w:r>
        <w:rPr>
          <w:spacing w:val="80"/>
        </w:rPr>
        <w:t> </w:t>
      </w:r>
      <w:r>
        <w:rPr/>
        <w:t>в ингаляционной или внутримышечной форме у пациентов происходит уменьшение длительности симптомов COVID-19. Механизм действия препарата основан на подавлении синтеза в легких провоспалительных цитокинов и торможении поступления в системный кровоток одного из основных провоспалительных медиаторов</w:t>
      </w:r>
      <w:r>
        <w:rPr>
          <w:spacing w:val="55"/>
          <w:w w:val="150"/>
        </w:rPr>
        <w:t> </w:t>
      </w:r>
      <w:r>
        <w:rPr/>
        <w:t>цитокинового</w:t>
      </w:r>
      <w:r>
        <w:rPr>
          <w:spacing w:val="54"/>
          <w:w w:val="150"/>
        </w:rPr>
        <w:t> </w:t>
      </w:r>
      <w:r>
        <w:rPr/>
        <w:t>шторма</w:t>
      </w:r>
      <w:r>
        <w:rPr>
          <w:spacing w:val="56"/>
          <w:w w:val="150"/>
        </w:rPr>
        <w:t> </w:t>
      </w:r>
      <w:r>
        <w:rPr/>
        <w:t>–</w:t>
      </w:r>
      <w:r>
        <w:rPr>
          <w:spacing w:val="54"/>
          <w:w w:val="150"/>
        </w:rPr>
        <w:t> </w:t>
      </w:r>
      <w:r>
        <w:rPr/>
        <w:t>IL-6,</w:t>
      </w:r>
      <w:r>
        <w:rPr>
          <w:spacing w:val="55"/>
          <w:w w:val="150"/>
        </w:rPr>
        <w:t> </w:t>
      </w:r>
      <w:r>
        <w:rPr/>
        <w:t>а</w:t>
      </w:r>
      <w:r>
        <w:rPr>
          <w:spacing w:val="55"/>
          <w:w w:val="150"/>
        </w:rPr>
        <w:t> </w:t>
      </w:r>
      <w:r>
        <w:rPr/>
        <w:t>за</w:t>
      </w:r>
      <w:r>
        <w:rPr>
          <w:spacing w:val="53"/>
          <w:w w:val="150"/>
        </w:rPr>
        <w:t> </w:t>
      </w:r>
      <w:r>
        <w:rPr/>
        <w:t>счет</w:t>
      </w:r>
      <w:r>
        <w:rPr>
          <w:spacing w:val="54"/>
          <w:w w:val="150"/>
        </w:rPr>
        <w:t> </w:t>
      </w:r>
      <w:r>
        <w:rPr/>
        <w:t>включенного</w:t>
      </w:r>
      <w:r>
        <w:rPr>
          <w:spacing w:val="52"/>
          <w:w w:val="150"/>
        </w:rPr>
        <w:t> </w:t>
      </w:r>
      <w:r>
        <w:rPr/>
        <w:t>в</w:t>
      </w:r>
      <w:r>
        <w:rPr>
          <w:spacing w:val="53"/>
          <w:w w:val="150"/>
        </w:rPr>
        <w:t> </w:t>
      </w:r>
      <w:r>
        <w:rPr>
          <w:spacing w:val="-2"/>
        </w:rPr>
        <w:t>структуру</w:t>
      </w:r>
    </w:p>
    <w:p>
      <w:pPr>
        <w:pStyle w:val="BodyText"/>
        <w:spacing w:after="0" w:line="276" w:lineRule="auto"/>
        <w:sectPr>
          <w:pgSz w:w="11900" w:h="16840"/>
          <w:pgMar w:header="0" w:footer="697" w:top="1080" w:bottom="880" w:left="0" w:right="0"/>
        </w:sectPr>
      </w:pPr>
    </w:p>
    <w:p>
      <w:pPr>
        <w:pStyle w:val="BodyText"/>
        <w:spacing w:line="276" w:lineRule="auto" w:before="73"/>
        <w:ind w:right="1277"/>
      </w:pPr>
      <w:bookmarkStart w:name="58" w:id="71"/>
      <w:bookmarkEnd w:id="71"/>
      <w:r>
        <w:rPr/>
      </w:r>
      <w:r>
        <w:rPr/>
        <w:t>фрагмента янтарной кислоты, препарат проявляет антиоксидантные, антигипоксические свойства.</w:t>
      </w:r>
    </w:p>
    <w:p>
      <w:pPr>
        <w:pStyle w:val="BodyText"/>
        <w:spacing w:line="278" w:lineRule="auto" w:before="13"/>
        <w:ind w:right="1274" w:firstLine="707"/>
      </w:pPr>
      <w:r>
        <w:rPr/>
        <w:t>Препарат применяется внутримышечно или ингаляционно. Внутримышечно тирозил-D-аланил-глицил-фенилаланил-лейцил-аргинина</w:t>
      </w:r>
      <w:r>
        <w:rPr>
          <w:spacing w:val="52"/>
          <w:w w:val="150"/>
        </w:rPr>
        <w:t> </w:t>
      </w:r>
      <w:r>
        <w:rPr/>
        <w:t>сукцинат</w:t>
      </w:r>
      <w:r>
        <w:rPr>
          <w:spacing w:val="51"/>
          <w:w w:val="150"/>
        </w:rPr>
        <w:t> </w:t>
      </w:r>
      <w:r>
        <w:rPr/>
        <w:t>вводят</w:t>
      </w:r>
      <w:r>
        <w:rPr>
          <w:spacing w:val="54"/>
          <w:w w:val="150"/>
        </w:rPr>
        <w:t> </w:t>
      </w:r>
      <w:r>
        <w:rPr/>
        <w:t>в</w:t>
      </w:r>
      <w:r>
        <w:rPr>
          <w:spacing w:val="52"/>
          <w:w w:val="150"/>
        </w:rPr>
        <w:t> </w:t>
      </w:r>
      <w:r>
        <w:rPr>
          <w:spacing w:val="-4"/>
        </w:rPr>
        <w:t>дозе</w:t>
      </w:r>
    </w:p>
    <w:p>
      <w:pPr>
        <w:pStyle w:val="BodyText"/>
        <w:spacing w:line="271" w:lineRule="exact"/>
      </w:pPr>
      <w:r>
        <w:rPr/>
        <w:t>1.16</w:t>
      </w:r>
      <w:r>
        <w:rPr>
          <w:spacing w:val="44"/>
        </w:rPr>
        <w:t> </w:t>
      </w:r>
      <w:r>
        <w:rPr/>
        <w:t>мг</w:t>
      </w:r>
      <w:r>
        <w:rPr>
          <w:spacing w:val="45"/>
        </w:rPr>
        <w:t> </w:t>
      </w:r>
      <w:r>
        <w:rPr/>
        <w:t>1</w:t>
      </w:r>
      <w:r>
        <w:rPr>
          <w:spacing w:val="45"/>
        </w:rPr>
        <w:t> </w:t>
      </w:r>
      <w:r>
        <w:rPr/>
        <w:t>раз/сут</w:t>
      </w:r>
      <w:r>
        <w:rPr>
          <w:spacing w:val="45"/>
        </w:rPr>
        <w:t> </w:t>
      </w:r>
      <w:r>
        <w:rPr/>
        <w:t>в</w:t>
      </w:r>
      <w:r>
        <w:rPr>
          <w:spacing w:val="42"/>
        </w:rPr>
        <w:t> </w:t>
      </w:r>
      <w:r>
        <w:rPr/>
        <w:t>течение</w:t>
      </w:r>
      <w:r>
        <w:rPr>
          <w:spacing w:val="44"/>
        </w:rPr>
        <w:t> </w:t>
      </w:r>
      <w:r>
        <w:rPr/>
        <w:t>10</w:t>
      </w:r>
      <w:r>
        <w:rPr>
          <w:spacing w:val="44"/>
        </w:rPr>
        <w:t> </w:t>
      </w:r>
      <w:r>
        <w:rPr/>
        <w:t>дней.</w:t>
      </w:r>
      <w:r>
        <w:rPr>
          <w:spacing w:val="43"/>
        </w:rPr>
        <w:t> </w:t>
      </w:r>
      <w:r>
        <w:rPr/>
        <w:t>Ингаляционное</w:t>
      </w:r>
      <w:r>
        <w:rPr>
          <w:spacing w:val="44"/>
        </w:rPr>
        <w:t> </w:t>
      </w:r>
      <w:r>
        <w:rPr/>
        <w:t>применение:</w:t>
      </w:r>
      <w:r>
        <w:rPr>
          <w:spacing w:val="43"/>
        </w:rPr>
        <w:t> </w:t>
      </w:r>
      <w:r>
        <w:rPr/>
        <w:t>в</w:t>
      </w:r>
      <w:r>
        <w:rPr>
          <w:spacing w:val="44"/>
        </w:rPr>
        <w:t> </w:t>
      </w:r>
      <w:r>
        <w:rPr/>
        <w:t>дозе</w:t>
      </w:r>
      <w:r>
        <w:rPr>
          <w:spacing w:val="44"/>
        </w:rPr>
        <w:t> </w:t>
      </w:r>
      <w:r>
        <w:rPr/>
        <w:t>11.6</w:t>
      </w:r>
      <w:r>
        <w:rPr>
          <w:spacing w:val="45"/>
        </w:rPr>
        <w:t> </w:t>
      </w:r>
      <w:r>
        <w:rPr>
          <w:spacing w:val="-5"/>
        </w:rPr>
        <w:t>мг</w:t>
      </w:r>
    </w:p>
    <w:p>
      <w:pPr>
        <w:pStyle w:val="BodyText"/>
        <w:spacing w:line="276" w:lineRule="auto" w:before="40"/>
        <w:ind w:right="1279"/>
      </w:pPr>
      <w:r>
        <w:rPr/>
        <w:t>1 раз/сут в течение 10 дней, с помощью небулайзера до полного опустошения резервуара (продолжительность ингаляции составляет 10-40 мин).</w:t>
      </w:r>
    </w:p>
    <w:p>
      <w:pPr>
        <w:pStyle w:val="Heading3"/>
        <w:spacing w:before="13"/>
      </w:pPr>
      <w:r>
        <w:rPr/>
        <w:t>Применение</w:t>
      </w:r>
      <w:r>
        <w:rPr>
          <w:spacing w:val="-14"/>
        </w:rPr>
        <w:t> </w:t>
      </w:r>
      <w:r>
        <w:rPr/>
        <w:t>дииндолилметана</w:t>
      </w:r>
      <w:r>
        <w:rPr>
          <w:spacing w:val="-13"/>
        </w:rPr>
        <w:t> </w:t>
      </w:r>
      <w:r>
        <w:rPr/>
        <w:t>+</w:t>
      </w:r>
      <w:r>
        <w:rPr>
          <w:spacing w:val="-13"/>
        </w:rPr>
        <w:t> </w:t>
      </w:r>
      <w:r>
        <w:rPr/>
        <w:t>[рыбий</w:t>
      </w:r>
      <w:r>
        <w:rPr>
          <w:spacing w:val="-12"/>
        </w:rPr>
        <w:t> </w:t>
      </w:r>
      <w:r>
        <w:rPr/>
        <w:t>жир</w:t>
      </w:r>
      <w:r>
        <w:rPr>
          <w:spacing w:val="-12"/>
        </w:rPr>
        <w:t> </w:t>
      </w:r>
      <w:r>
        <w:rPr/>
        <w:t>из</w:t>
      </w:r>
      <w:r>
        <w:rPr>
          <w:spacing w:val="-14"/>
        </w:rPr>
        <w:t> </w:t>
      </w:r>
      <w:r>
        <w:rPr/>
        <w:t>печени</w:t>
      </w:r>
      <w:r>
        <w:rPr>
          <w:spacing w:val="-12"/>
        </w:rPr>
        <w:t> </w:t>
      </w:r>
      <w:r>
        <w:rPr/>
        <w:t>тресковых</w:t>
      </w:r>
      <w:r>
        <w:rPr>
          <w:spacing w:val="-13"/>
        </w:rPr>
        <w:t> </w:t>
      </w:r>
      <w:r>
        <w:rPr>
          <w:spacing w:val="-4"/>
        </w:rPr>
        <w:t>рыб]</w:t>
      </w:r>
    </w:p>
    <w:p>
      <w:pPr>
        <w:pStyle w:val="BodyText"/>
        <w:spacing w:line="276" w:lineRule="auto" w:before="55"/>
        <w:ind w:right="1272" w:firstLine="707"/>
      </w:pPr>
      <w:r>
        <w:rPr/>
        <w:t>По результатам III фазы двойного слепого, рандомизированного, плацебо- контролируемого клинического исследования, завершившегося 31 июля 2022 г, применение комбинации дииндолилметана + [рыбий жир из печени тресковых рыб] предотвращает</w:t>
      </w:r>
      <w:r>
        <w:rPr>
          <w:spacing w:val="-15"/>
        </w:rPr>
        <w:t> </w:t>
      </w:r>
      <w:r>
        <w:rPr/>
        <w:t>возникновение</w:t>
      </w:r>
      <w:r>
        <w:rPr>
          <w:spacing w:val="-15"/>
        </w:rPr>
        <w:t> </w:t>
      </w:r>
      <w:r>
        <w:rPr/>
        <w:t>или</w:t>
      </w:r>
      <w:r>
        <w:rPr>
          <w:spacing w:val="-15"/>
        </w:rPr>
        <w:t> </w:t>
      </w:r>
      <w:r>
        <w:rPr/>
        <w:t>прогрессирование</w:t>
      </w:r>
      <w:r>
        <w:rPr>
          <w:spacing w:val="-15"/>
        </w:rPr>
        <w:t> </w:t>
      </w:r>
      <w:r>
        <w:rPr/>
        <w:t>дыхательной</w:t>
      </w:r>
      <w:r>
        <w:rPr>
          <w:spacing w:val="-15"/>
        </w:rPr>
        <w:t> </w:t>
      </w:r>
      <w:r>
        <w:rPr/>
        <w:t>недостаточности</w:t>
      </w:r>
      <w:r>
        <w:rPr>
          <w:spacing w:val="-15"/>
        </w:rPr>
        <w:t> </w:t>
      </w:r>
      <w:r>
        <w:rPr/>
        <w:t>у пациентов</w:t>
      </w:r>
      <w:r>
        <w:rPr>
          <w:spacing w:val="-15"/>
        </w:rPr>
        <w:t> </w:t>
      </w:r>
      <w:r>
        <w:rPr/>
        <w:t>с</w:t>
      </w:r>
      <w:r>
        <w:rPr>
          <w:spacing w:val="-15"/>
        </w:rPr>
        <w:t> </w:t>
      </w:r>
      <w:r>
        <w:rPr/>
        <w:t>коронавирусной</w:t>
      </w:r>
      <w:r>
        <w:rPr>
          <w:spacing w:val="-15"/>
        </w:rPr>
        <w:t> </w:t>
      </w:r>
      <w:r>
        <w:rPr/>
        <w:t>пневмонией</w:t>
      </w:r>
      <w:r>
        <w:rPr>
          <w:spacing w:val="-15"/>
        </w:rPr>
        <w:t> </w:t>
      </w:r>
      <w:r>
        <w:rPr/>
        <w:t>среднетяжелого</w:t>
      </w:r>
      <w:r>
        <w:rPr>
          <w:spacing w:val="-15"/>
        </w:rPr>
        <w:t> </w:t>
      </w:r>
      <w:r>
        <w:rPr/>
        <w:t>и</w:t>
      </w:r>
      <w:r>
        <w:rPr>
          <w:spacing w:val="-15"/>
        </w:rPr>
        <w:t> </w:t>
      </w:r>
      <w:r>
        <w:rPr/>
        <w:t>тяжелого</w:t>
      </w:r>
      <w:r>
        <w:rPr>
          <w:spacing w:val="-15"/>
        </w:rPr>
        <w:t> </w:t>
      </w:r>
      <w:r>
        <w:rPr/>
        <w:t>течения,</w:t>
      </w:r>
      <w:r>
        <w:rPr>
          <w:spacing w:val="-15"/>
        </w:rPr>
        <w:t> </w:t>
      </w:r>
      <w:r>
        <w:rPr/>
        <w:t>а</w:t>
      </w:r>
      <w:r>
        <w:rPr>
          <w:spacing w:val="-15"/>
        </w:rPr>
        <w:t> </w:t>
      </w:r>
      <w:r>
        <w:rPr/>
        <w:t>также способствует уменьшению времени лихорадочного периода и более быстрой нормализации маркеров воспаления – С-реактивного белка и ИЛ-6.</w:t>
      </w:r>
    </w:p>
    <w:p>
      <w:pPr>
        <w:pStyle w:val="BodyText"/>
        <w:spacing w:line="276" w:lineRule="auto" w:before="13"/>
        <w:ind w:right="1278" w:firstLine="707"/>
      </w:pPr>
      <w:r>
        <w:rPr/>
        <w:t>Препарат</w:t>
      </w:r>
      <w:r>
        <w:rPr>
          <w:spacing w:val="40"/>
        </w:rPr>
        <w:t> </w:t>
      </w:r>
      <w:r>
        <w:rPr/>
        <w:t>ингибирует</w:t>
      </w:r>
      <w:r>
        <w:rPr>
          <w:spacing w:val="40"/>
        </w:rPr>
        <w:t> </w:t>
      </w:r>
      <w:r>
        <w:rPr/>
        <w:t>активность</w:t>
      </w:r>
      <w:r>
        <w:rPr>
          <w:spacing w:val="40"/>
        </w:rPr>
        <w:t> </w:t>
      </w:r>
      <w:r>
        <w:rPr/>
        <w:t>широкого</w:t>
      </w:r>
      <w:r>
        <w:rPr>
          <w:spacing w:val="40"/>
        </w:rPr>
        <w:t> </w:t>
      </w:r>
      <w:r>
        <w:rPr/>
        <w:t>спектра</w:t>
      </w:r>
      <w:r>
        <w:rPr>
          <w:spacing w:val="40"/>
        </w:rPr>
        <w:t> </w:t>
      </w:r>
      <w:r>
        <w:rPr/>
        <w:t>молекул,</w:t>
      </w:r>
      <w:r>
        <w:rPr>
          <w:spacing w:val="40"/>
        </w:rPr>
        <w:t> </w:t>
      </w:r>
      <w:r>
        <w:rPr/>
        <w:t>участвующих в развитии воспалительных реакций при респираторных вирусных инфекциях верхних дыхательных путей и лёгких, подавляя развитие чрезмерного воспалительного ответа.</w:t>
      </w:r>
    </w:p>
    <w:p>
      <w:pPr>
        <w:pStyle w:val="BodyText"/>
        <w:spacing w:line="276" w:lineRule="auto" w:before="14"/>
        <w:ind w:right="1272" w:firstLine="707"/>
      </w:pPr>
      <w:r>
        <w:rPr/>
        <w:t>Механизм</w:t>
      </w:r>
      <w:r>
        <w:rPr>
          <w:spacing w:val="-4"/>
        </w:rPr>
        <w:t> </w:t>
      </w:r>
      <w:r>
        <w:rPr/>
        <w:t>действия</w:t>
      </w:r>
      <w:r>
        <w:rPr>
          <w:spacing w:val="-3"/>
        </w:rPr>
        <w:t> </w:t>
      </w:r>
      <w:r>
        <w:rPr/>
        <w:t>дииндолилметана</w:t>
      </w:r>
      <w:r>
        <w:rPr>
          <w:spacing w:val="-4"/>
        </w:rPr>
        <w:t> </w:t>
      </w:r>
      <w:r>
        <w:rPr/>
        <w:t>включает</w:t>
      </w:r>
      <w:r>
        <w:rPr>
          <w:spacing w:val="-2"/>
        </w:rPr>
        <w:t> </w:t>
      </w:r>
      <w:r>
        <w:rPr/>
        <w:t>подавление</w:t>
      </w:r>
      <w:r>
        <w:rPr>
          <w:spacing w:val="-4"/>
        </w:rPr>
        <w:t> </w:t>
      </w:r>
      <w:r>
        <w:rPr/>
        <w:t>активности</w:t>
      </w:r>
      <w:r>
        <w:rPr>
          <w:spacing w:val="-1"/>
        </w:rPr>
        <w:t> </w:t>
      </w:r>
      <w:r>
        <w:rPr/>
        <w:t>Янус- киназы и фактора транскрипции Stat3. Кроме того, NF-κB является дополнительным путем, вовлеченным в дииндолилметан-опосредованное подавление цитокинового шторма.</w:t>
      </w:r>
      <w:r>
        <w:rPr>
          <w:spacing w:val="70"/>
        </w:rPr>
        <w:t>  </w:t>
      </w:r>
      <w:r>
        <w:rPr/>
        <w:t>Дииндолилметан</w:t>
      </w:r>
      <w:r>
        <w:rPr>
          <w:spacing w:val="70"/>
        </w:rPr>
        <w:t>  </w:t>
      </w:r>
      <w:r>
        <w:rPr/>
        <w:t>подавляет</w:t>
      </w:r>
      <w:r>
        <w:rPr>
          <w:spacing w:val="70"/>
        </w:rPr>
        <w:t>  </w:t>
      </w:r>
      <w:r>
        <w:rPr/>
        <w:t>транскрипционную</w:t>
      </w:r>
      <w:r>
        <w:rPr>
          <w:spacing w:val="70"/>
        </w:rPr>
        <w:t>  </w:t>
      </w:r>
      <w:r>
        <w:rPr/>
        <w:t>активность</w:t>
      </w:r>
      <w:r>
        <w:rPr>
          <w:spacing w:val="71"/>
        </w:rPr>
        <w:t>  </w:t>
      </w:r>
      <w:r>
        <w:rPr/>
        <w:t>NF-κB и ослабляет экспрессию TNF-α, IL-6, 1L- 1 р, PLA2 и iNOS.</w:t>
      </w:r>
    </w:p>
    <w:p>
      <w:pPr>
        <w:pStyle w:val="BodyText"/>
        <w:spacing w:before="13"/>
        <w:ind w:left="2549"/>
      </w:pPr>
      <w:r>
        <w:rPr/>
        <w:t>Также</w:t>
      </w:r>
      <w:r>
        <w:rPr>
          <w:spacing w:val="-14"/>
        </w:rPr>
        <w:t> </w:t>
      </w:r>
      <w:r>
        <w:rPr/>
        <w:t>дииндолилметан</w:t>
      </w:r>
      <w:r>
        <w:rPr>
          <w:spacing w:val="-13"/>
        </w:rPr>
        <w:t> </w:t>
      </w:r>
      <w:r>
        <w:rPr/>
        <w:t>был</w:t>
      </w:r>
      <w:r>
        <w:rPr>
          <w:spacing w:val="-14"/>
        </w:rPr>
        <w:t> </w:t>
      </w:r>
      <w:r>
        <w:rPr/>
        <w:t>исследован</w:t>
      </w:r>
      <w:r>
        <w:rPr>
          <w:spacing w:val="-13"/>
        </w:rPr>
        <w:t> </w:t>
      </w:r>
      <w:r>
        <w:rPr/>
        <w:t>при</w:t>
      </w:r>
      <w:r>
        <w:rPr>
          <w:spacing w:val="-13"/>
        </w:rPr>
        <w:t> </w:t>
      </w:r>
      <w:r>
        <w:rPr/>
        <w:t>лечении</w:t>
      </w:r>
      <w:r>
        <w:rPr>
          <w:spacing w:val="-13"/>
        </w:rPr>
        <w:t> </w:t>
      </w:r>
      <w:r>
        <w:rPr/>
        <w:t>гриппозной</w:t>
      </w:r>
      <w:r>
        <w:rPr>
          <w:spacing w:val="-13"/>
        </w:rPr>
        <w:t> </w:t>
      </w:r>
      <w:r>
        <w:rPr>
          <w:spacing w:val="-2"/>
        </w:rPr>
        <w:t>пневмонии.</w:t>
      </w:r>
    </w:p>
    <w:p>
      <w:pPr>
        <w:pStyle w:val="BodyText"/>
        <w:spacing w:line="276" w:lineRule="auto" w:before="54"/>
        <w:ind w:right="1277" w:firstLine="707"/>
      </w:pPr>
      <w:r>
        <w:rPr>
          <w:spacing w:val="-2"/>
        </w:rPr>
        <w:t>Препарат</w:t>
      </w:r>
      <w:r>
        <w:rPr>
          <w:spacing w:val="-7"/>
        </w:rPr>
        <w:t> </w:t>
      </w:r>
      <w:r>
        <w:rPr>
          <w:spacing w:val="-2"/>
        </w:rPr>
        <w:t>применяется</w:t>
      </w:r>
      <w:r>
        <w:rPr>
          <w:spacing w:val="-8"/>
        </w:rPr>
        <w:t> </w:t>
      </w:r>
      <w:r>
        <w:rPr>
          <w:spacing w:val="-2"/>
        </w:rPr>
        <w:t>перорально,</w:t>
      </w:r>
      <w:r>
        <w:rPr>
          <w:spacing w:val="-8"/>
        </w:rPr>
        <w:t> </w:t>
      </w:r>
      <w:r>
        <w:rPr>
          <w:spacing w:val="-2"/>
        </w:rPr>
        <w:t>4</w:t>
      </w:r>
      <w:r>
        <w:rPr>
          <w:spacing w:val="-8"/>
        </w:rPr>
        <w:t> </w:t>
      </w:r>
      <w:r>
        <w:rPr>
          <w:spacing w:val="-2"/>
        </w:rPr>
        <w:t>капсулы</w:t>
      </w:r>
      <w:r>
        <w:rPr>
          <w:spacing w:val="-8"/>
        </w:rPr>
        <w:t> </w:t>
      </w:r>
      <w:r>
        <w:rPr>
          <w:spacing w:val="-2"/>
        </w:rPr>
        <w:t>(100</w:t>
      </w:r>
      <w:r>
        <w:rPr>
          <w:spacing w:val="-9"/>
        </w:rPr>
        <w:t> </w:t>
      </w:r>
      <w:r>
        <w:rPr>
          <w:spacing w:val="-2"/>
        </w:rPr>
        <w:t>мг</w:t>
      </w:r>
      <w:r>
        <w:rPr>
          <w:spacing w:val="-8"/>
        </w:rPr>
        <w:t> </w:t>
      </w:r>
      <w:r>
        <w:rPr>
          <w:spacing w:val="-2"/>
        </w:rPr>
        <w:t>+</w:t>
      </w:r>
      <w:r>
        <w:rPr>
          <w:spacing w:val="-9"/>
        </w:rPr>
        <w:t> </w:t>
      </w:r>
      <w:r>
        <w:rPr>
          <w:spacing w:val="-2"/>
        </w:rPr>
        <w:t>20</w:t>
      </w:r>
      <w:r>
        <w:rPr>
          <w:spacing w:val="-8"/>
        </w:rPr>
        <w:t> </w:t>
      </w:r>
      <w:r>
        <w:rPr>
          <w:spacing w:val="-2"/>
        </w:rPr>
        <w:t>мг)</w:t>
      </w:r>
      <w:r>
        <w:rPr>
          <w:spacing w:val="-9"/>
        </w:rPr>
        <w:t> </w:t>
      </w:r>
      <w:r>
        <w:rPr>
          <w:spacing w:val="-2"/>
        </w:rPr>
        <w:t>утром,</w:t>
      </w:r>
      <w:r>
        <w:rPr>
          <w:spacing w:val="-8"/>
        </w:rPr>
        <w:t> </w:t>
      </w:r>
      <w:r>
        <w:rPr>
          <w:spacing w:val="-2"/>
        </w:rPr>
        <w:t>4</w:t>
      </w:r>
      <w:r>
        <w:rPr>
          <w:spacing w:val="-8"/>
        </w:rPr>
        <w:t> </w:t>
      </w:r>
      <w:r>
        <w:rPr>
          <w:spacing w:val="-2"/>
        </w:rPr>
        <w:t>капсулы </w:t>
      </w:r>
      <w:r>
        <w:rPr/>
        <w:t>днём</w:t>
      </w:r>
      <w:r>
        <w:rPr>
          <w:spacing w:val="40"/>
        </w:rPr>
        <w:t> </w:t>
      </w:r>
      <w:r>
        <w:rPr/>
        <w:t>и</w:t>
      </w:r>
      <w:r>
        <w:rPr>
          <w:spacing w:val="40"/>
        </w:rPr>
        <w:t> </w:t>
      </w:r>
      <w:r>
        <w:rPr/>
        <w:t>4</w:t>
      </w:r>
      <w:r>
        <w:rPr>
          <w:spacing w:val="40"/>
        </w:rPr>
        <w:t> </w:t>
      </w:r>
      <w:r>
        <w:rPr/>
        <w:t>капсулы</w:t>
      </w:r>
      <w:r>
        <w:rPr>
          <w:spacing w:val="40"/>
        </w:rPr>
        <w:t> </w:t>
      </w:r>
      <w:r>
        <w:rPr/>
        <w:t>на</w:t>
      </w:r>
      <w:r>
        <w:rPr>
          <w:spacing w:val="40"/>
        </w:rPr>
        <w:t> </w:t>
      </w:r>
      <w:r>
        <w:rPr/>
        <w:t>ночь</w:t>
      </w:r>
      <w:r>
        <w:rPr>
          <w:spacing w:val="40"/>
        </w:rPr>
        <w:t> </w:t>
      </w:r>
      <w:r>
        <w:rPr/>
        <w:t>в</w:t>
      </w:r>
      <w:r>
        <w:rPr>
          <w:spacing w:val="40"/>
        </w:rPr>
        <w:t> </w:t>
      </w:r>
      <w:r>
        <w:rPr/>
        <w:t>течение</w:t>
      </w:r>
      <w:r>
        <w:rPr>
          <w:spacing w:val="40"/>
        </w:rPr>
        <w:t> </w:t>
      </w:r>
      <w:r>
        <w:rPr/>
        <w:t>первых</w:t>
      </w:r>
      <w:r>
        <w:rPr>
          <w:spacing w:val="40"/>
        </w:rPr>
        <w:t> </w:t>
      </w:r>
      <w:r>
        <w:rPr/>
        <w:t>48</w:t>
      </w:r>
      <w:r>
        <w:rPr>
          <w:spacing w:val="40"/>
        </w:rPr>
        <w:t> </w:t>
      </w:r>
      <w:r>
        <w:rPr/>
        <w:t>часов</w:t>
      </w:r>
      <w:r>
        <w:rPr>
          <w:spacing w:val="40"/>
        </w:rPr>
        <w:t> </w:t>
      </w:r>
      <w:r>
        <w:rPr/>
        <w:t>от</w:t>
      </w:r>
      <w:r>
        <w:rPr>
          <w:spacing w:val="40"/>
        </w:rPr>
        <w:t> </w:t>
      </w:r>
      <w:r>
        <w:rPr/>
        <w:t>начала</w:t>
      </w:r>
      <w:r>
        <w:rPr>
          <w:spacing w:val="40"/>
        </w:rPr>
        <w:t> </w:t>
      </w:r>
      <w:r>
        <w:rPr/>
        <w:t>заболевания. Далее</w:t>
      </w:r>
      <w:r>
        <w:rPr>
          <w:spacing w:val="40"/>
        </w:rPr>
        <w:t> </w:t>
      </w:r>
      <w:r>
        <w:rPr/>
        <w:t>препарат</w:t>
      </w:r>
      <w:r>
        <w:rPr>
          <w:spacing w:val="40"/>
        </w:rPr>
        <w:t> </w:t>
      </w:r>
      <w:r>
        <w:rPr/>
        <w:t>применяется</w:t>
      </w:r>
      <w:r>
        <w:rPr>
          <w:spacing w:val="40"/>
        </w:rPr>
        <w:t> </w:t>
      </w:r>
      <w:r>
        <w:rPr/>
        <w:t>по</w:t>
      </w:r>
      <w:r>
        <w:rPr>
          <w:spacing w:val="40"/>
        </w:rPr>
        <w:t> </w:t>
      </w:r>
      <w:r>
        <w:rPr/>
        <w:t>2</w:t>
      </w:r>
      <w:r>
        <w:rPr>
          <w:spacing w:val="40"/>
        </w:rPr>
        <w:t> </w:t>
      </w:r>
      <w:r>
        <w:rPr/>
        <w:t>капсулы</w:t>
      </w:r>
      <w:r>
        <w:rPr>
          <w:spacing w:val="40"/>
        </w:rPr>
        <w:t> </w:t>
      </w:r>
      <w:r>
        <w:rPr/>
        <w:t>(100</w:t>
      </w:r>
      <w:r>
        <w:rPr>
          <w:spacing w:val="40"/>
        </w:rPr>
        <w:t> </w:t>
      </w:r>
      <w:r>
        <w:rPr/>
        <w:t>мг</w:t>
      </w:r>
      <w:r>
        <w:rPr>
          <w:spacing w:val="40"/>
        </w:rPr>
        <w:t> </w:t>
      </w:r>
      <w:r>
        <w:rPr/>
        <w:t>+</w:t>
      </w:r>
      <w:r>
        <w:rPr>
          <w:spacing w:val="40"/>
        </w:rPr>
        <w:t> </w:t>
      </w:r>
      <w:r>
        <w:rPr/>
        <w:t>20</w:t>
      </w:r>
      <w:r>
        <w:rPr>
          <w:spacing w:val="40"/>
        </w:rPr>
        <w:t> </w:t>
      </w:r>
      <w:r>
        <w:rPr/>
        <w:t>мг)</w:t>
      </w:r>
      <w:r>
        <w:rPr>
          <w:spacing w:val="40"/>
        </w:rPr>
        <w:t> </w:t>
      </w:r>
      <w:r>
        <w:rPr/>
        <w:t>2</w:t>
      </w:r>
      <w:r>
        <w:rPr>
          <w:spacing w:val="40"/>
        </w:rPr>
        <w:t> </w:t>
      </w:r>
      <w:r>
        <w:rPr/>
        <w:t>раза</w:t>
      </w:r>
      <w:r>
        <w:rPr>
          <w:spacing w:val="40"/>
        </w:rPr>
        <w:t> </w:t>
      </w:r>
      <w:r>
        <w:rPr/>
        <w:t>в</w:t>
      </w:r>
      <w:r>
        <w:rPr>
          <w:spacing w:val="40"/>
        </w:rPr>
        <w:t> </w:t>
      </w:r>
      <w:r>
        <w:rPr/>
        <w:t>день</w:t>
      </w:r>
      <w:r>
        <w:rPr>
          <w:spacing w:val="40"/>
        </w:rPr>
        <w:t> </w:t>
      </w:r>
      <w:r>
        <w:rPr/>
        <w:t>утром и вечером на протяжении ещё 5 дней.</w:t>
      </w:r>
    </w:p>
    <w:p>
      <w:pPr>
        <w:pStyle w:val="Heading3"/>
        <w:spacing w:before="14"/>
      </w:pPr>
      <w:r>
        <w:rPr>
          <w:spacing w:val="-2"/>
        </w:rPr>
        <w:t>Применение</w:t>
      </w:r>
      <w:r>
        <w:rPr>
          <w:spacing w:val="2"/>
        </w:rPr>
        <w:t> </w:t>
      </w:r>
      <w:r>
        <w:rPr>
          <w:spacing w:val="-2"/>
        </w:rPr>
        <w:t>риамиловира</w:t>
      </w:r>
    </w:p>
    <w:p>
      <w:pPr>
        <w:pStyle w:val="BodyText"/>
        <w:spacing w:line="276" w:lineRule="auto" w:before="55"/>
        <w:ind w:right="1272" w:firstLine="707"/>
      </w:pPr>
      <w:r>
        <w:rPr/>
        <w:t>По результатам проведенного в России в 2022 году многоцентрового рандомизированного</w:t>
      </w:r>
      <w:r>
        <w:rPr>
          <w:spacing w:val="-15"/>
        </w:rPr>
        <w:t> </w:t>
      </w:r>
      <w:r>
        <w:rPr/>
        <w:t>двойного</w:t>
      </w:r>
      <w:r>
        <w:rPr>
          <w:spacing w:val="-15"/>
        </w:rPr>
        <w:t> </w:t>
      </w:r>
      <w:r>
        <w:rPr/>
        <w:t>слепого</w:t>
      </w:r>
      <w:r>
        <w:rPr>
          <w:spacing w:val="-15"/>
        </w:rPr>
        <w:t> </w:t>
      </w:r>
      <w:r>
        <w:rPr/>
        <w:t>клинического</w:t>
      </w:r>
      <w:r>
        <w:rPr>
          <w:spacing w:val="-15"/>
        </w:rPr>
        <w:t> </w:t>
      </w:r>
      <w:r>
        <w:rPr/>
        <w:t>исследования</w:t>
      </w:r>
      <w:r>
        <w:rPr>
          <w:spacing w:val="-15"/>
        </w:rPr>
        <w:t> </w:t>
      </w:r>
      <w:r>
        <w:rPr/>
        <w:t>была</w:t>
      </w:r>
      <w:r>
        <w:rPr>
          <w:spacing w:val="-15"/>
        </w:rPr>
        <w:t> </w:t>
      </w:r>
      <w:r>
        <w:rPr/>
        <w:t>установлено статистически значимое ускорение наступления стойкого улучшения клинических симптомов</w:t>
      </w:r>
      <w:r>
        <w:rPr>
          <w:spacing w:val="-9"/>
        </w:rPr>
        <w:t> </w:t>
      </w:r>
      <w:r>
        <w:rPr/>
        <w:t>у</w:t>
      </w:r>
      <w:r>
        <w:rPr>
          <w:spacing w:val="-8"/>
        </w:rPr>
        <w:t> </w:t>
      </w:r>
      <w:r>
        <w:rPr/>
        <w:t>пациентов</w:t>
      </w:r>
      <w:r>
        <w:rPr>
          <w:spacing w:val="-11"/>
        </w:rPr>
        <w:t> </w:t>
      </w:r>
      <w:r>
        <w:rPr/>
        <w:t>с</w:t>
      </w:r>
      <w:r>
        <w:rPr>
          <w:spacing w:val="-9"/>
        </w:rPr>
        <w:t> </w:t>
      </w:r>
      <w:r>
        <w:rPr/>
        <w:t>COVID-19</w:t>
      </w:r>
      <w:r>
        <w:rPr>
          <w:spacing w:val="-8"/>
        </w:rPr>
        <w:t> </w:t>
      </w:r>
      <w:r>
        <w:rPr/>
        <w:t>при</w:t>
      </w:r>
      <w:r>
        <w:rPr>
          <w:spacing w:val="-8"/>
        </w:rPr>
        <w:t> </w:t>
      </w:r>
      <w:r>
        <w:rPr/>
        <w:t>лечении</w:t>
      </w:r>
      <w:r>
        <w:rPr>
          <w:spacing w:val="-8"/>
        </w:rPr>
        <w:t> </w:t>
      </w:r>
      <w:r>
        <w:rPr/>
        <w:t>препаратом</w:t>
      </w:r>
      <w:r>
        <w:rPr>
          <w:spacing w:val="-8"/>
        </w:rPr>
        <w:t> </w:t>
      </w:r>
      <w:r>
        <w:rPr/>
        <w:t>риамиловир</w:t>
      </w:r>
      <w:r>
        <w:rPr>
          <w:spacing w:val="-8"/>
        </w:rPr>
        <w:t> </w:t>
      </w:r>
      <w:r>
        <w:rPr/>
        <w:t>в</w:t>
      </w:r>
      <w:r>
        <w:rPr>
          <w:spacing w:val="-9"/>
        </w:rPr>
        <w:t> </w:t>
      </w:r>
      <w:r>
        <w:rPr/>
        <w:t>дозе</w:t>
      </w:r>
      <w:r>
        <w:rPr>
          <w:spacing w:val="-9"/>
        </w:rPr>
        <w:t> </w:t>
      </w:r>
      <w:r>
        <w:rPr/>
        <w:t>1250 мг/сутки (капсулы 250 мг 5 раз в день) в течение 10 суток (Сабитов А.У., Лиознов Д.А., Жданов К.В. и соавт. Результаты рандомизированного двойного слепого многоцентрового клинического исследования эффективности и безопасности препарата риамиловира в терапии COVID-19. Терапевтический архив. 2024;96(5): . DOI: 10.26442/00403660.2024.05.202770) Механизмом действия препарата риамиловир</w:t>
      </w:r>
      <w:r>
        <w:rPr>
          <w:spacing w:val="-1"/>
        </w:rPr>
        <w:t> </w:t>
      </w:r>
      <w:r>
        <w:rPr/>
        <w:t>является</w:t>
      </w:r>
      <w:r>
        <w:rPr>
          <w:spacing w:val="-1"/>
        </w:rPr>
        <w:t> </w:t>
      </w:r>
      <w:r>
        <w:rPr/>
        <w:t>ингибирование</w:t>
      </w:r>
      <w:r>
        <w:rPr>
          <w:spacing w:val="-2"/>
        </w:rPr>
        <w:t> </w:t>
      </w:r>
      <w:r>
        <w:rPr/>
        <w:t>синтеза</w:t>
      </w:r>
      <w:r>
        <w:rPr>
          <w:spacing w:val="-2"/>
        </w:rPr>
        <w:t> </w:t>
      </w:r>
      <w:r>
        <w:rPr/>
        <w:t>вирусных</w:t>
      </w:r>
      <w:r>
        <w:rPr>
          <w:spacing w:val="-1"/>
        </w:rPr>
        <w:t> </w:t>
      </w:r>
      <w:r>
        <w:rPr/>
        <w:t>РНК</w:t>
      </w:r>
      <w:r>
        <w:rPr>
          <w:spacing w:val="-1"/>
        </w:rPr>
        <w:t> </w:t>
      </w:r>
      <w:r>
        <w:rPr/>
        <w:t>и</w:t>
      </w:r>
      <w:r>
        <w:rPr>
          <w:spacing w:val="-2"/>
        </w:rPr>
        <w:t> </w:t>
      </w:r>
      <w:r>
        <w:rPr/>
        <w:t>репликации геномных фрагментов,</w:t>
      </w:r>
      <w:r>
        <w:rPr>
          <w:spacing w:val="80"/>
        </w:rPr>
        <w:t> </w:t>
      </w:r>
      <w:r>
        <w:rPr/>
        <w:t>тем</w:t>
      </w:r>
      <w:r>
        <w:rPr>
          <w:spacing w:val="80"/>
        </w:rPr>
        <w:t> </w:t>
      </w:r>
      <w:r>
        <w:rPr/>
        <w:t>самым</w:t>
      </w:r>
      <w:r>
        <w:rPr>
          <w:spacing w:val="80"/>
        </w:rPr>
        <w:t> </w:t>
      </w:r>
      <w:r>
        <w:rPr/>
        <w:t>препарат</w:t>
      </w:r>
      <w:r>
        <w:rPr>
          <w:spacing w:val="80"/>
        </w:rPr>
        <w:t> </w:t>
      </w:r>
      <w:r>
        <w:rPr/>
        <w:t>тормозит</w:t>
      </w:r>
      <w:r>
        <w:rPr>
          <w:spacing w:val="80"/>
        </w:rPr>
        <w:t> </w:t>
      </w:r>
      <w:r>
        <w:rPr/>
        <w:t>жизненный</w:t>
      </w:r>
      <w:r>
        <w:rPr>
          <w:spacing w:val="80"/>
        </w:rPr>
        <w:t> </w:t>
      </w:r>
      <w:r>
        <w:rPr/>
        <w:t>цикл</w:t>
      </w:r>
      <w:r>
        <w:rPr>
          <w:spacing w:val="80"/>
        </w:rPr>
        <w:t> </w:t>
      </w:r>
      <w:r>
        <w:rPr/>
        <w:t>вирусных</w:t>
      </w:r>
      <w:r>
        <w:rPr>
          <w:spacing w:val="80"/>
        </w:rPr>
        <w:t> </w:t>
      </w:r>
      <w:r>
        <w:rPr/>
        <w:t>белков и</w:t>
      </w:r>
      <w:r>
        <w:rPr>
          <w:spacing w:val="-15"/>
        </w:rPr>
        <w:t> </w:t>
      </w:r>
      <w:r>
        <w:rPr/>
        <w:t>обеспечивает</w:t>
      </w:r>
      <w:r>
        <w:rPr>
          <w:spacing w:val="-15"/>
        </w:rPr>
        <w:t> </w:t>
      </w:r>
      <w:r>
        <w:rPr/>
        <w:t>прямое</w:t>
      </w:r>
      <w:r>
        <w:rPr>
          <w:spacing w:val="-15"/>
        </w:rPr>
        <w:t> </w:t>
      </w:r>
      <w:r>
        <w:rPr/>
        <w:t>противовирусное</w:t>
      </w:r>
      <w:r>
        <w:rPr>
          <w:spacing w:val="-15"/>
        </w:rPr>
        <w:t> </w:t>
      </w:r>
      <w:r>
        <w:rPr/>
        <w:t>действие.</w:t>
      </w:r>
      <w:r>
        <w:rPr>
          <w:spacing w:val="-15"/>
        </w:rPr>
        <w:t> </w:t>
      </w:r>
      <w:r>
        <w:rPr/>
        <w:t>Препарат</w:t>
      </w:r>
      <w:r>
        <w:rPr>
          <w:spacing w:val="-15"/>
        </w:rPr>
        <w:t> </w:t>
      </w:r>
      <w:r>
        <w:rPr/>
        <w:t>применяется</w:t>
      </w:r>
      <w:r>
        <w:rPr>
          <w:spacing w:val="-15"/>
        </w:rPr>
        <w:t> </w:t>
      </w:r>
      <w:r>
        <w:rPr/>
        <w:t>перорально в дозе 250 мг 5 раз в сутки в течение 10 суток для лечения пациентов с COVID-19.</w:t>
      </w:r>
    </w:p>
    <w:p>
      <w:pPr>
        <w:pStyle w:val="Heading3"/>
        <w:spacing w:before="11"/>
      </w:pPr>
      <w:r>
        <w:rPr>
          <w:spacing w:val="-2"/>
        </w:rPr>
        <w:t>Применение</w:t>
      </w:r>
      <w:r>
        <w:rPr>
          <w:spacing w:val="-1"/>
        </w:rPr>
        <w:t> </w:t>
      </w:r>
      <w:r>
        <w:rPr>
          <w:spacing w:val="-2"/>
        </w:rPr>
        <w:t>Энисамия</w:t>
      </w:r>
      <w:r>
        <w:rPr/>
        <w:t> </w:t>
      </w:r>
      <w:r>
        <w:rPr>
          <w:spacing w:val="-2"/>
        </w:rPr>
        <w:t>йодида</w:t>
      </w:r>
    </w:p>
    <w:p>
      <w:pPr>
        <w:pStyle w:val="Heading3"/>
        <w:spacing w:after="0"/>
        <w:sectPr>
          <w:pgSz w:w="11900" w:h="16840"/>
          <w:pgMar w:header="0" w:footer="697" w:top="1080" w:bottom="880" w:left="0" w:right="0"/>
        </w:sectPr>
      </w:pPr>
    </w:p>
    <w:p>
      <w:pPr>
        <w:pStyle w:val="BodyText"/>
        <w:spacing w:line="276" w:lineRule="auto" w:before="64"/>
        <w:ind w:right="1275" w:firstLine="707"/>
      </w:pPr>
      <w:bookmarkStart w:name="59" w:id="72"/>
      <w:bookmarkEnd w:id="72"/>
      <w:r>
        <w:rPr/>
      </w:r>
      <w:r>
        <w:rPr/>
        <w:t>В клиническом исследовании (2020-2022 гг), проведенном для оценки эффективности и безопасности энисамия йодида у пациентов с COVID -19, подтвержденным лабораторными методами, была доказана превосходящая эффективность</w:t>
      </w:r>
      <w:r>
        <w:rPr>
          <w:spacing w:val="-4"/>
        </w:rPr>
        <w:t> </w:t>
      </w:r>
      <w:r>
        <w:rPr/>
        <w:t>энисамия</w:t>
      </w:r>
      <w:r>
        <w:rPr>
          <w:spacing w:val="-6"/>
        </w:rPr>
        <w:t> </w:t>
      </w:r>
      <w:r>
        <w:rPr/>
        <w:t>йодида,</w:t>
      </w:r>
      <w:r>
        <w:rPr>
          <w:spacing w:val="-6"/>
        </w:rPr>
        <w:t> </w:t>
      </w:r>
      <w:r>
        <w:rPr/>
        <w:t>применяемого</w:t>
      </w:r>
      <w:r>
        <w:rPr>
          <w:spacing w:val="-6"/>
        </w:rPr>
        <w:t> </w:t>
      </w:r>
      <w:r>
        <w:rPr/>
        <w:t>в</w:t>
      </w:r>
      <w:r>
        <w:rPr>
          <w:spacing w:val="-6"/>
        </w:rPr>
        <w:t> </w:t>
      </w:r>
      <w:r>
        <w:rPr/>
        <w:t>добавлении</w:t>
      </w:r>
      <w:r>
        <w:rPr>
          <w:spacing w:val="-5"/>
        </w:rPr>
        <w:t> </w:t>
      </w:r>
      <w:r>
        <w:rPr/>
        <w:t>к</w:t>
      </w:r>
      <w:r>
        <w:rPr>
          <w:spacing w:val="-5"/>
        </w:rPr>
        <w:t> </w:t>
      </w:r>
      <w:r>
        <w:rPr/>
        <w:t>стандартной</w:t>
      </w:r>
      <w:r>
        <w:rPr>
          <w:spacing w:val="-5"/>
        </w:rPr>
        <w:t> </w:t>
      </w:r>
      <w:r>
        <w:rPr/>
        <w:t>терапии COVID-19, в отношении сокращения длительности заболевания, скорости купирования основных симптомов и снижения летальности. При этом добавление энисамия</w:t>
      </w:r>
      <w:r>
        <w:rPr>
          <w:spacing w:val="-11"/>
        </w:rPr>
        <w:t> </w:t>
      </w:r>
      <w:r>
        <w:rPr/>
        <w:t>йодида</w:t>
      </w:r>
      <w:r>
        <w:rPr>
          <w:spacing w:val="-12"/>
        </w:rPr>
        <w:t> </w:t>
      </w:r>
      <w:r>
        <w:rPr/>
        <w:t>к</w:t>
      </w:r>
      <w:r>
        <w:rPr>
          <w:spacing w:val="-11"/>
        </w:rPr>
        <w:t> </w:t>
      </w:r>
      <w:r>
        <w:rPr/>
        <w:t>стандартной</w:t>
      </w:r>
      <w:r>
        <w:rPr>
          <w:spacing w:val="-10"/>
        </w:rPr>
        <w:t> </w:t>
      </w:r>
      <w:r>
        <w:rPr/>
        <w:t>терапии</w:t>
      </w:r>
      <w:r>
        <w:rPr>
          <w:spacing w:val="-13"/>
        </w:rPr>
        <w:t> </w:t>
      </w:r>
      <w:r>
        <w:rPr/>
        <w:t>не</w:t>
      </w:r>
      <w:r>
        <w:rPr>
          <w:spacing w:val="-12"/>
        </w:rPr>
        <w:t> </w:t>
      </w:r>
      <w:r>
        <w:rPr/>
        <w:t>сопровождалось</w:t>
      </w:r>
      <w:r>
        <w:rPr>
          <w:spacing w:val="-11"/>
        </w:rPr>
        <w:t> </w:t>
      </w:r>
      <w:r>
        <w:rPr/>
        <w:t>ухудшением</w:t>
      </w:r>
      <w:r>
        <w:rPr>
          <w:spacing w:val="-12"/>
        </w:rPr>
        <w:t> </w:t>
      </w:r>
      <w:r>
        <w:rPr/>
        <w:t>показателей безопасности лечения.</w:t>
      </w:r>
    </w:p>
    <w:p>
      <w:pPr>
        <w:pStyle w:val="BodyText"/>
        <w:spacing w:line="276" w:lineRule="auto" w:before="12"/>
        <w:ind w:right="1270" w:firstLine="707"/>
      </w:pPr>
      <w:r>
        <w:rPr/>
        <w:t>Противовирусное действие энисамия йодида связано с угнетением РНК- зависимой РНК-полимеразы вируса гриппа. Энисамия йодид эффективно ингибировал репликацию вируса SARS-CoV-2 in vitro в клетках Сaco-2.</w:t>
      </w:r>
    </w:p>
    <w:p>
      <w:pPr>
        <w:pStyle w:val="BodyText"/>
        <w:spacing w:line="278" w:lineRule="auto" w:before="118"/>
        <w:ind w:right="1272" w:firstLine="707"/>
      </w:pPr>
      <w:r>
        <w:rPr/>
        <w:t>Рекомендованная схема назначения препарата по 500 мг 3 раза в сутки перорально, курс 7 дней.</w:t>
      </w:r>
    </w:p>
    <w:p>
      <w:pPr>
        <w:pStyle w:val="Heading3"/>
        <w:spacing w:before="115"/>
      </w:pPr>
      <w:r>
        <w:rPr>
          <w:color w:val="1F487C"/>
          <w:spacing w:val="-2"/>
        </w:rPr>
        <w:t>Возможные</w:t>
      </w:r>
      <w:r>
        <w:rPr>
          <w:color w:val="1F487C"/>
        </w:rPr>
        <w:t> </w:t>
      </w:r>
      <w:r>
        <w:rPr>
          <w:color w:val="1F487C"/>
          <w:spacing w:val="-2"/>
        </w:rPr>
        <w:t>замены</w:t>
      </w:r>
      <w:r>
        <w:rPr>
          <w:color w:val="1F487C"/>
          <w:spacing w:val="2"/>
        </w:rPr>
        <w:t> </w:t>
      </w:r>
      <w:r>
        <w:rPr>
          <w:color w:val="1F487C"/>
          <w:spacing w:val="-2"/>
        </w:rPr>
        <w:t>лекарственных</w:t>
      </w:r>
      <w:r>
        <w:rPr>
          <w:color w:val="1F487C"/>
          <w:spacing w:val="5"/>
        </w:rPr>
        <w:t> </w:t>
      </w:r>
      <w:r>
        <w:rPr>
          <w:color w:val="1F487C"/>
          <w:spacing w:val="-2"/>
        </w:rPr>
        <w:t>препаратов</w:t>
      </w:r>
    </w:p>
    <w:p>
      <w:pPr>
        <w:pStyle w:val="BodyText"/>
        <w:spacing w:line="276" w:lineRule="auto" w:before="41"/>
        <w:ind w:right="1270" w:firstLine="707"/>
      </w:pPr>
      <w:r>
        <w:rPr/>
        <w:t>Лекарственные</w:t>
      </w:r>
      <w:r>
        <w:rPr>
          <w:spacing w:val="75"/>
        </w:rPr>
        <w:t>  </w:t>
      </w:r>
      <w:r>
        <w:rPr/>
        <w:t>препараты</w:t>
      </w:r>
      <w:r>
        <w:rPr>
          <w:spacing w:val="76"/>
        </w:rPr>
        <w:t>  </w:t>
      </w:r>
      <w:r>
        <w:rPr/>
        <w:t>Надропарин</w:t>
      </w:r>
      <w:r>
        <w:rPr>
          <w:spacing w:val="76"/>
        </w:rPr>
        <w:t>  </w:t>
      </w:r>
      <w:r>
        <w:rPr/>
        <w:t>кальция,</w:t>
      </w:r>
      <w:r>
        <w:rPr>
          <w:spacing w:val="75"/>
        </w:rPr>
        <w:t>  </w:t>
      </w:r>
      <w:r>
        <w:rPr/>
        <w:t>парнапарин</w:t>
      </w:r>
      <w:r>
        <w:rPr>
          <w:spacing w:val="75"/>
        </w:rPr>
        <w:t>  </w:t>
      </w:r>
      <w:r>
        <w:rPr/>
        <w:t>натрия и</w:t>
      </w:r>
      <w:r>
        <w:rPr>
          <w:spacing w:val="-1"/>
        </w:rPr>
        <w:t> </w:t>
      </w:r>
      <w:r>
        <w:rPr/>
        <w:t>фондапаринукс натрия могут быть заменены любым доступным препаратом гепарина для парентерального введения. Фавипиравир на этапе стационарного лечения может быть заменен препаратом ремдесивир. В случае отсутствия лекарственного препарата тоцилизумаб могут быть использованы препараты сарилумаб или олокизумаб или левилимаб в соответствии со схемами терапии, указанными в </w:t>
      </w:r>
      <w:r>
        <w:rPr>
          <w:color w:val="0462C1"/>
          <w:u w:val="single" w:color="0462C1"/>
        </w:rPr>
        <w:t>Приложении 8-2</w:t>
      </w:r>
      <w:r>
        <w:rPr/>
        <w:t>.</w:t>
      </w:r>
    </w:p>
    <w:p>
      <w:pPr>
        <w:pStyle w:val="Heading3"/>
        <w:numPr>
          <w:ilvl w:val="1"/>
          <w:numId w:val="5"/>
        </w:numPr>
        <w:tabs>
          <w:tab w:pos="2967" w:val="left" w:leader="none"/>
        </w:tabs>
        <w:spacing w:line="240" w:lineRule="auto" w:before="238" w:after="0"/>
        <w:ind w:left="2967" w:right="0" w:hanging="418"/>
        <w:jc w:val="left"/>
        <w:rPr>
          <w:color w:val="1F487C"/>
        </w:rPr>
      </w:pPr>
      <w:bookmarkStart w:name="_TOC_250033" w:id="73"/>
      <w:r>
        <w:rPr>
          <w:color w:val="1F487C"/>
          <w:spacing w:val="-2"/>
        </w:rPr>
        <w:t>СИМПТОМАТИЧЕСКОЕ</w:t>
      </w:r>
      <w:r>
        <w:rPr>
          <w:color w:val="1F487C"/>
          <w:spacing w:val="-5"/>
        </w:rPr>
        <w:t> </w:t>
      </w:r>
      <w:bookmarkEnd w:id="73"/>
      <w:r>
        <w:rPr>
          <w:color w:val="1F487C"/>
          <w:spacing w:val="-2"/>
        </w:rPr>
        <w:t>ЛЕЧЕНИЕ</w:t>
      </w:r>
    </w:p>
    <w:p>
      <w:pPr>
        <w:pStyle w:val="BodyText"/>
        <w:spacing w:before="142"/>
        <w:ind w:left="2549"/>
        <w:jc w:val="left"/>
      </w:pPr>
      <w:r>
        <w:rPr>
          <w:spacing w:val="-2"/>
        </w:rPr>
        <w:t>Симптоматическое</w:t>
      </w:r>
      <w:r>
        <w:rPr>
          <w:spacing w:val="4"/>
        </w:rPr>
        <w:t> </w:t>
      </w:r>
      <w:r>
        <w:rPr>
          <w:spacing w:val="-2"/>
        </w:rPr>
        <w:t>лечение</w:t>
      </w:r>
      <w:r>
        <w:rPr>
          <w:spacing w:val="4"/>
        </w:rPr>
        <w:t> </w:t>
      </w:r>
      <w:r>
        <w:rPr>
          <w:spacing w:val="-2"/>
        </w:rPr>
        <w:t>включает:</w:t>
      </w:r>
    </w:p>
    <w:p>
      <w:pPr>
        <w:pStyle w:val="ListParagraph"/>
        <w:numPr>
          <w:ilvl w:val="0"/>
          <w:numId w:val="22"/>
        </w:numPr>
        <w:tabs>
          <w:tab w:pos="2124" w:val="left" w:leader="none"/>
        </w:tabs>
        <w:spacing w:line="264" w:lineRule="auto" w:before="41" w:after="0"/>
        <w:ind w:left="2124" w:right="1277" w:hanging="360"/>
        <w:jc w:val="left"/>
        <w:rPr>
          <w:sz w:val="24"/>
        </w:rPr>
      </w:pPr>
      <w:r>
        <w:rPr>
          <w:sz w:val="24"/>
        </w:rPr>
        <w:t>Купирование</w:t>
      </w:r>
      <w:r>
        <w:rPr>
          <w:spacing w:val="40"/>
          <w:sz w:val="24"/>
        </w:rPr>
        <w:t> </w:t>
      </w:r>
      <w:r>
        <w:rPr>
          <w:sz w:val="24"/>
        </w:rPr>
        <w:t>лихорадки</w:t>
      </w:r>
      <w:r>
        <w:rPr>
          <w:spacing w:val="40"/>
          <w:sz w:val="24"/>
        </w:rPr>
        <w:t> </w:t>
      </w:r>
      <w:r>
        <w:rPr>
          <w:sz w:val="24"/>
        </w:rPr>
        <w:t>(жаропонижающие</w:t>
      </w:r>
      <w:r>
        <w:rPr>
          <w:spacing w:val="40"/>
          <w:sz w:val="24"/>
        </w:rPr>
        <w:t> </w:t>
      </w:r>
      <w:r>
        <w:rPr>
          <w:sz w:val="24"/>
        </w:rPr>
        <w:t>препараты,</w:t>
      </w:r>
      <w:r>
        <w:rPr>
          <w:spacing w:val="40"/>
          <w:sz w:val="24"/>
        </w:rPr>
        <w:t> </w:t>
      </w:r>
      <w:r>
        <w:rPr>
          <w:sz w:val="24"/>
        </w:rPr>
        <w:t>например,</w:t>
      </w:r>
      <w:r>
        <w:rPr>
          <w:spacing w:val="40"/>
          <w:sz w:val="24"/>
        </w:rPr>
        <w:t> </w:t>
      </w:r>
      <w:r>
        <w:rPr>
          <w:sz w:val="24"/>
        </w:rPr>
        <w:t>парацетамол или ибупрофен);</w:t>
      </w:r>
    </w:p>
    <w:p>
      <w:pPr>
        <w:pStyle w:val="ListParagraph"/>
        <w:numPr>
          <w:ilvl w:val="0"/>
          <w:numId w:val="22"/>
        </w:numPr>
        <w:tabs>
          <w:tab w:pos="2124" w:val="left" w:leader="none"/>
          <w:tab w:pos="3905" w:val="left" w:leader="none"/>
          <w:tab w:pos="5120" w:val="left" w:leader="none"/>
          <w:tab w:pos="6179" w:val="left" w:leader="none"/>
          <w:tab w:pos="7092" w:val="left" w:leader="none"/>
          <w:tab w:pos="9008" w:val="left" w:leader="none"/>
        </w:tabs>
        <w:spacing w:line="264" w:lineRule="auto" w:before="14" w:after="0"/>
        <w:ind w:left="2124" w:right="1281" w:hanging="360"/>
        <w:jc w:val="left"/>
        <w:rPr>
          <w:sz w:val="24"/>
        </w:rPr>
      </w:pPr>
      <w:r>
        <w:rPr>
          <w:spacing w:val="-2"/>
          <w:sz w:val="24"/>
        </w:rPr>
        <w:t>Комплексную</w:t>
      </w:r>
      <w:r>
        <w:rPr>
          <w:sz w:val="24"/>
        </w:rPr>
        <w:tab/>
      </w:r>
      <w:r>
        <w:rPr>
          <w:spacing w:val="-2"/>
          <w:sz w:val="24"/>
        </w:rPr>
        <w:t>терапию</w:t>
      </w:r>
      <w:r>
        <w:rPr>
          <w:sz w:val="24"/>
        </w:rPr>
        <w:tab/>
      </w:r>
      <w:r>
        <w:rPr>
          <w:spacing w:val="-2"/>
          <w:sz w:val="24"/>
        </w:rPr>
        <w:t>ринита</w:t>
      </w:r>
      <w:r>
        <w:rPr>
          <w:sz w:val="24"/>
        </w:rPr>
        <w:tab/>
      </w:r>
      <w:r>
        <w:rPr>
          <w:spacing w:val="-2"/>
          <w:sz w:val="24"/>
        </w:rPr>
        <w:t>и/или</w:t>
      </w:r>
      <w:r>
        <w:rPr>
          <w:sz w:val="24"/>
        </w:rPr>
        <w:tab/>
      </w:r>
      <w:r>
        <w:rPr>
          <w:spacing w:val="-2"/>
          <w:sz w:val="24"/>
        </w:rPr>
        <w:t>ринофарингита</w:t>
      </w:r>
      <w:r>
        <w:rPr>
          <w:sz w:val="24"/>
        </w:rPr>
        <w:tab/>
      </w:r>
      <w:r>
        <w:rPr>
          <w:spacing w:val="-2"/>
          <w:sz w:val="24"/>
        </w:rPr>
        <w:t>(увлажняющие/ </w:t>
      </w:r>
      <w:r>
        <w:rPr>
          <w:sz w:val="24"/>
        </w:rPr>
        <w:t>элиминационные препараты, назальные деконгестанты);</w:t>
      </w:r>
    </w:p>
    <w:p>
      <w:pPr>
        <w:pStyle w:val="ListParagraph"/>
        <w:numPr>
          <w:ilvl w:val="0"/>
          <w:numId w:val="22"/>
        </w:numPr>
        <w:tabs>
          <w:tab w:pos="2124" w:val="left" w:leader="none"/>
        </w:tabs>
        <w:spacing w:line="264" w:lineRule="auto" w:before="13" w:after="0"/>
        <w:ind w:left="2124" w:right="1278" w:hanging="360"/>
        <w:jc w:val="left"/>
        <w:rPr>
          <w:sz w:val="24"/>
        </w:rPr>
      </w:pPr>
      <w:r>
        <w:rPr>
          <w:sz w:val="24"/>
        </w:rPr>
        <w:t>Комплексную</w:t>
      </w:r>
      <w:r>
        <w:rPr>
          <w:spacing w:val="40"/>
          <w:sz w:val="24"/>
        </w:rPr>
        <w:t> </w:t>
      </w:r>
      <w:r>
        <w:rPr>
          <w:sz w:val="24"/>
        </w:rPr>
        <w:t>терапию</w:t>
      </w:r>
      <w:r>
        <w:rPr>
          <w:spacing w:val="40"/>
          <w:sz w:val="24"/>
        </w:rPr>
        <w:t> </w:t>
      </w:r>
      <w:r>
        <w:rPr>
          <w:sz w:val="24"/>
        </w:rPr>
        <w:t>бронхита</w:t>
      </w:r>
      <w:r>
        <w:rPr>
          <w:spacing w:val="40"/>
          <w:sz w:val="24"/>
        </w:rPr>
        <w:t> </w:t>
      </w:r>
      <w:r>
        <w:rPr>
          <w:sz w:val="24"/>
        </w:rPr>
        <w:t>(мукоактивные,</w:t>
      </w:r>
      <w:r>
        <w:rPr>
          <w:spacing w:val="40"/>
          <w:sz w:val="24"/>
        </w:rPr>
        <w:t> </w:t>
      </w:r>
      <w:r>
        <w:rPr>
          <w:sz w:val="24"/>
        </w:rPr>
        <w:t>бронхолитические</w:t>
      </w:r>
      <w:r>
        <w:rPr>
          <w:spacing w:val="40"/>
          <w:sz w:val="24"/>
        </w:rPr>
        <w:t> </w:t>
      </w:r>
      <w:r>
        <w:rPr>
          <w:sz w:val="24"/>
        </w:rPr>
        <w:t>и</w:t>
      </w:r>
      <w:r>
        <w:rPr>
          <w:spacing w:val="40"/>
          <w:sz w:val="24"/>
        </w:rPr>
        <w:t> </w:t>
      </w:r>
      <w:r>
        <w:rPr>
          <w:sz w:val="24"/>
        </w:rPr>
        <w:t>прочие</w:t>
      </w:r>
      <w:r>
        <w:rPr>
          <w:spacing w:val="40"/>
          <w:sz w:val="24"/>
        </w:rPr>
        <w:t> </w:t>
      </w:r>
      <w:r>
        <w:rPr>
          <w:spacing w:val="-2"/>
          <w:sz w:val="24"/>
        </w:rPr>
        <w:t>средства).</w:t>
      </w:r>
    </w:p>
    <w:p>
      <w:pPr>
        <w:pStyle w:val="BodyText"/>
        <w:spacing w:line="276" w:lineRule="auto" w:before="27"/>
        <w:ind w:right="1274" w:firstLine="707"/>
      </w:pPr>
      <w:r>
        <w:rPr/>
        <w:t>Жаропонижающие назначают при t тела &gt;38,0-38,5 ºС. При плохой переносимости</w:t>
      </w:r>
      <w:r>
        <w:rPr>
          <w:spacing w:val="-13"/>
        </w:rPr>
        <w:t> </w:t>
      </w:r>
      <w:r>
        <w:rPr/>
        <w:t>лихорадочного</w:t>
      </w:r>
      <w:r>
        <w:rPr>
          <w:spacing w:val="-14"/>
        </w:rPr>
        <w:t> </w:t>
      </w:r>
      <w:r>
        <w:rPr/>
        <w:t>синдрома,</w:t>
      </w:r>
      <w:r>
        <w:rPr>
          <w:spacing w:val="-15"/>
        </w:rPr>
        <w:t> </w:t>
      </w:r>
      <w:r>
        <w:rPr/>
        <w:t>головных</w:t>
      </w:r>
      <w:r>
        <w:rPr>
          <w:spacing w:val="-15"/>
        </w:rPr>
        <w:t> </w:t>
      </w:r>
      <w:r>
        <w:rPr/>
        <w:t>болях,</w:t>
      </w:r>
      <w:r>
        <w:rPr>
          <w:spacing w:val="-14"/>
        </w:rPr>
        <w:t> </w:t>
      </w:r>
      <w:r>
        <w:rPr/>
        <w:t>повышении</w:t>
      </w:r>
      <w:r>
        <w:rPr>
          <w:spacing w:val="-15"/>
        </w:rPr>
        <w:t> </w:t>
      </w:r>
      <w:r>
        <w:rPr/>
        <w:t>артериального давления</w:t>
      </w:r>
      <w:r>
        <w:rPr>
          <w:spacing w:val="-4"/>
        </w:rPr>
        <w:t> </w:t>
      </w:r>
      <w:r>
        <w:rPr/>
        <w:t>и</w:t>
      </w:r>
      <w:r>
        <w:rPr>
          <w:spacing w:val="-3"/>
        </w:rPr>
        <w:t> </w:t>
      </w:r>
      <w:r>
        <w:rPr/>
        <w:t>выраженной</w:t>
      </w:r>
      <w:r>
        <w:rPr>
          <w:spacing w:val="-3"/>
        </w:rPr>
        <w:t> </w:t>
      </w:r>
      <w:r>
        <w:rPr/>
        <w:t>тахикардии</w:t>
      </w:r>
      <w:r>
        <w:rPr>
          <w:spacing w:val="-3"/>
        </w:rPr>
        <w:t> </w:t>
      </w:r>
      <w:r>
        <w:rPr/>
        <w:t>(особенно</w:t>
      </w:r>
      <w:r>
        <w:rPr>
          <w:spacing w:val="-4"/>
        </w:rPr>
        <w:t> </w:t>
      </w:r>
      <w:r>
        <w:rPr/>
        <w:t>при</w:t>
      </w:r>
      <w:r>
        <w:rPr>
          <w:spacing w:val="-6"/>
        </w:rPr>
        <w:t> </w:t>
      </w:r>
      <w:r>
        <w:rPr/>
        <w:t>наличии</w:t>
      </w:r>
      <w:r>
        <w:rPr>
          <w:spacing w:val="-6"/>
        </w:rPr>
        <w:t> </w:t>
      </w:r>
      <w:r>
        <w:rPr/>
        <w:t>ишемических</w:t>
      </w:r>
      <w:r>
        <w:rPr>
          <w:spacing w:val="-4"/>
        </w:rPr>
        <w:t> </w:t>
      </w:r>
      <w:r>
        <w:rPr/>
        <w:t>изменений или</w:t>
      </w:r>
      <w:r>
        <w:rPr>
          <w:spacing w:val="-11"/>
        </w:rPr>
        <w:t> </w:t>
      </w:r>
      <w:r>
        <w:rPr/>
        <w:t>нарушениях</w:t>
      </w:r>
      <w:r>
        <w:rPr>
          <w:spacing w:val="-13"/>
        </w:rPr>
        <w:t> </w:t>
      </w:r>
      <w:r>
        <w:rPr/>
        <w:t>ритма)</w:t>
      </w:r>
      <w:r>
        <w:rPr>
          <w:spacing w:val="-11"/>
        </w:rPr>
        <w:t> </w:t>
      </w:r>
      <w:r>
        <w:rPr/>
        <w:t>жаропонижающие</w:t>
      </w:r>
      <w:r>
        <w:rPr>
          <w:spacing w:val="-11"/>
        </w:rPr>
        <w:t> </w:t>
      </w:r>
      <w:r>
        <w:rPr/>
        <w:t>препараты</w:t>
      </w:r>
      <w:r>
        <w:rPr>
          <w:spacing w:val="-10"/>
        </w:rPr>
        <w:t> </w:t>
      </w:r>
      <w:r>
        <w:rPr/>
        <w:t>используют</w:t>
      </w:r>
      <w:r>
        <w:rPr>
          <w:spacing w:val="-12"/>
        </w:rPr>
        <w:t> </w:t>
      </w:r>
      <w:r>
        <w:rPr/>
        <w:t>и</w:t>
      </w:r>
      <w:r>
        <w:rPr>
          <w:spacing w:val="-12"/>
        </w:rPr>
        <w:t> </w:t>
      </w:r>
      <w:r>
        <w:rPr/>
        <w:t>при</w:t>
      </w:r>
      <w:r>
        <w:rPr>
          <w:spacing w:val="-9"/>
        </w:rPr>
        <w:t> </w:t>
      </w:r>
      <w:r>
        <w:rPr/>
        <w:t>более</w:t>
      </w:r>
      <w:r>
        <w:rPr>
          <w:spacing w:val="-12"/>
        </w:rPr>
        <w:t> </w:t>
      </w:r>
      <w:r>
        <w:rPr/>
        <w:t>низких цифрах. Наиболее безопасным препаратом является парацетамол.</w:t>
      </w:r>
    </w:p>
    <w:p>
      <w:pPr>
        <w:pStyle w:val="BodyText"/>
        <w:spacing w:line="276" w:lineRule="auto"/>
        <w:ind w:right="1277" w:firstLine="707"/>
      </w:pPr>
      <w:r>
        <w:rPr/>
        <w:t>Для</w:t>
      </w:r>
      <w:r>
        <w:rPr>
          <w:spacing w:val="-14"/>
        </w:rPr>
        <w:t> </w:t>
      </w:r>
      <w:r>
        <w:rPr/>
        <w:t>местного</w:t>
      </w:r>
      <w:r>
        <w:rPr>
          <w:spacing w:val="-14"/>
        </w:rPr>
        <w:t> </w:t>
      </w:r>
      <w:r>
        <w:rPr/>
        <w:t>лечения</w:t>
      </w:r>
      <w:r>
        <w:rPr>
          <w:spacing w:val="-14"/>
        </w:rPr>
        <w:t> </w:t>
      </w:r>
      <w:r>
        <w:rPr/>
        <w:t>ринита,</w:t>
      </w:r>
      <w:r>
        <w:rPr>
          <w:spacing w:val="-14"/>
        </w:rPr>
        <w:t> </w:t>
      </w:r>
      <w:r>
        <w:rPr/>
        <w:t>фарингита,</w:t>
      </w:r>
      <w:r>
        <w:rPr>
          <w:spacing w:val="-14"/>
        </w:rPr>
        <w:t> </w:t>
      </w:r>
      <w:r>
        <w:rPr/>
        <w:t>при</w:t>
      </w:r>
      <w:r>
        <w:rPr>
          <w:spacing w:val="-13"/>
        </w:rPr>
        <w:t> </w:t>
      </w:r>
      <w:r>
        <w:rPr/>
        <w:t>заложенности</w:t>
      </w:r>
      <w:r>
        <w:rPr>
          <w:spacing w:val="-12"/>
        </w:rPr>
        <w:t> </w:t>
      </w:r>
      <w:r>
        <w:rPr/>
        <w:t>и/или</w:t>
      </w:r>
      <w:r>
        <w:rPr>
          <w:spacing w:val="-15"/>
        </w:rPr>
        <w:t> </w:t>
      </w:r>
      <w:r>
        <w:rPr/>
        <w:t>выделениях из носа начинают с солевых средств для местного применения на основе морской воды (изотонических, а при заложенности – гипертонических). В случае их неэффективности показаны назальные деконгенстанты. При неэффективности или выраженных</w:t>
      </w:r>
      <w:r>
        <w:rPr>
          <w:spacing w:val="80"/>
        </w:rPr>
        <w:t>  </w:t>
      </w:r>
      <w:r>
        <w:rPr/>
        <w:t>симптомах</w:t>
      </w:r>
      <w:r>
        <w:rPr>
          <w:spacing w:val="80"/>
        </w:rPr>
        <w:t>  </w:t>
      </w:r>
      <w:r>
        <w:rPr/>
        <w:t>могут</w:t>
      </w:r>
      <w:r>
        <w:rPr>
          <w:spacing w:val="80"/>
        </w:rPr>
        <w:t>  </w:t>
      </w:r>
      <w:r>
        <w:rPr/>
        <w:t>быть</w:t>
      </w:r>
      <w:r>
        <w:rPr>
          <w:spacing w:val="80"/>
        </w:rPr>
        <w:t>  </w:t>
      </w:r>
      <w:r>
        <w:rPr/>
        <w:t>использованы</w:t>
      </w:r>
      <w:r>
        <w:rPr>
          <w:spacing w:val="80"/>
        </w:rPr>
        <w:t>  </w:t>
      </w:r>
      <w:r>
        <w:rPr/>
        <w:t>различные</w:t>
      </w:r>
      <w:r>
        <w:rPr>
          <w:spacing w:val="80"/>
        </w:rPr>
        <w:t>  </w:t>
      </w:r>
      <w:r>
        <w:rPr/>
        <w:t>растворы с антисептическим действием. С целью купирования кашля при COVID-19 используются противокашлевые препараты: бутамират, леводропропизин.</w:t>
      </w:r>
    </w:p>
    <w:p>
      <w:pPr>
        <w:pStyle w:val="BodyText"/>
        <w:spacing w:after="0" w:line="276" w:lineRule="auto"/>
        <w:sectPr>
          <w:pgSz w:w="11900" w:h="16840"/>
          <w:pgMar w:header="0" w:footer="697" w:top="1420" w:bottom="880" w:left="0" w:right="0"/>
        </w:sectPr>
      </w:pPr>
    </w:p>
    <w:p>
      <w:pPr>
        <w:pStyle w:val="Heading3"/>
        <w:spacing w:before="73"/>
      </w:pPr>
      <w:bookmarkStart w:name="60" w:id="74"/>
      <w:bookmarkEnd w:id="74"/>
      <w:r>
        <w:rPr>
          <w:b w:val="0"/>
        </w:rPr>
      </w:r>
      <w:r>
        <w:rPr>
          <w:color w:val="1F487C"/>
        </w:rPr>
        <w:t>Лечение</w:t>
      </w:r>
      <w:r>
        <w:rPr>
          <w:color w:val="1F487C"/>
          <w:spacing w:val="-12"/>
        </w:rPr>
        <w:t> </w:t>
      </w:r>
      <w:r>
        <w:rPr>
          <w:color w:val="1F487C"/>
        </w:rPr>
        <w:t>беременных,</w:t>
      </w:r>
      <w:r>
        <w:rPr>
          <w:color w:val="1F487C"/>
          <w:spacing w:val="-10"/>
        </w:rPr>
        <w:t> </w:t>
      </w:r>
      <w:r>
        <w:rPr>
          <w:color w:val="1F487C"/>
        </w:rPr>
        <w:t>рожениц</w:t>
      </w:r>
      <w:r>
        <w:rPr>
          <w:color w:val="1F487C"/>
          <w:spacing w:val="-11"/>
        </w:rPr>
        <w:t> </w:t>
      </w:r>
      <w:r>
        <w:rPr>
          <w:color w:val="1F487C"/>
        </w:rPr>
        <w:t>и</w:t>
      </w:r>
      <w:r>
        <w:rPr>
          <w:color w:val="1F487C"/>
          <w:spacing w:val="-7"/>
        </w:rPr>
        <w:t> </w:t>
      </w:r>
      <w:r>
        <w:rPr>
          <w:color w:val="1F487C"/>
          <w:spacing w:val="-2"/>
        </w:rPr>
        <w:t>родильниц</w:t>
      </w:r>
    </w:p>
    <w:p>
      <w:pPr>
        <w:pStyle w:val="BodyText"/>
        <w:spacing w:line="276" w:lineRule="auto" w:before="160"/>
        <w:ind w:right="1277" w:firstLine="707"/>
      </w:pPr>
      <w:r>
        <w:rPr/>
        <w:t>Информация</w:t>
      </w:r>
      <w:r>
        <w:rPr>
          <w:spacing w:val="30"/>
        </w:rPr>
        <w:t> </w:t>
      </w:r>
      <w:r>
        <w:rPr/>
        <w:t>о</w:t>
      </w:r>
      <w:r>
        <w:rPr>
          <w:spacing w:val="30"/>
        </w:rPr>
        <w:t> </w:t>
      </w:r>
      <w:r>
        <w:rPr/>
        <w:t>профилактике</w:t>
      </w:r>
      <w:r>
        <w:rPr>
          <w:spacing w:val="29"/>
        </w:rPr>
        <w:t> </w:t>
      </w:r>
      <w:r>
        <w:rPr/>
        <w:t>и</w:t>
      </w:r>
      <w:r>
        <w:rPr>
          <w:spacing w:val="31"/>
        </w:rPr>
        <w:t> </w:t>
      </w:r>
      <w:r>
        <w:rPr/>
        <w:t>лечении</w:t>
      </w:r>
      <w:r>
        <w:rPr>
          <w:spacing w:val="31"/>
        </w:rPr>
        <w:t> </w:t>
      </w:r>
      <w:r>
        <w:rPr/>
        <w:t>беременных,</w:t>
      </w:r>
      <w:r>
        <w:rPr>
          <w:spacing w:val="30"/>
        </w:rPr>
        <w:t> </w:t>
      </w:r>
      <w:r>
        <w:rPr/>
        <w:t>рожениц</w:t>
      </w:r>
      <w:r>
        <w:rPr>
          <w:spacing w:val="31"/>
        </w:rPr>
        <w:t> </w:t>
      </w:r>
      <w:r>
        <w:rPr/>
        <w:t>и</w:t>
      </w:r>
      <w:r>
        <w:rPr>
          <w:spacing w:val="31"/>
        </w:rPr>
        <w:t> </w:t>
      </w:r>
      <w:r>
        <w:rPr/>
        <w:t>родильниц и новорожденных детей представлена в методических рекомендациях Минздрава России </w:t>
      </w:r>
      <w:r>
        <w:rPr>
          <w:color w:val="1F487C"/>
        </w:rPr>
        <w:t>«Организация оказания медицинской помощи беременным, роженицам, родильницам и новорожденным при новой коронавирусной инфекции COVID-19»</w:t>
      </w:r>
      <w:r>
        <w:rPr/>
        <w:t>.</w:t>
      </w:r>
    </w:p>
    <w:p>
      <w:pPr>
        <w:pStyle w:val="Heading3"/>
        <w:spacing w:before="119"/>
      </w:pPr>
      <w:r>
        <w:rPr>
          <w:color w:val="1F487C"/>
        </w:rPr>
        <w:t>Особенности</w:t>
      </w:r>
      <w:r>
        <w:rPr>
          <w:color w:val="1F487C"/>
          <w:spacing w:val="-15"/>
        </w:rPr>
        <w:t> </w:t>
      </w:r>
      <w:r>
        <w:rPr>
          <w:color w:val="1F487C"/>
        </w:rPr>
        <w:t>ведения</w:t>
      </w:r>
      <w:r>
        <w:rPr>
          <w:color w:val="1F487C"/>
          <w:spacing w:val="-15"/>
        </w:rPr>
        <w:t> </w:t>
      </w:r>
      <w:r>
        <w:rPr>
          <w:color w:val="1F487C"/>
        </w:rPr>
        <w:t>пациентов</w:t>
      </w:r>
      <w:r>
        <w:rPr>
          <w:color w:val="1F487C"/>
          <w:spacing w:val="-15"/>
        </w:rPr>
        <w:t> </w:t>
      </w:r>
      <w:r>
        <w:rPr>
          <w:color w:val="1F487C"/>
        </w:rPr>
        <w:t>пожилого</w:t>
      </w:r>
      <w:r>
        <w:rPr>
          <w:color w:val="1F487C"/>
          <w:spacing w:val="-15"/>
        </w:rPr>
        <w:t> </w:t>
      </w:r>
      <w:r>
        <w:rPr>
          <w:color w:val="1F487C"/>
        </w:rPr>
        <w:t>и</w:t>
      </w:r>
      <w:r>
        <w:rPr>
          <w:color w:val="1F487C"/>
          <w:spacing w:val="-14"/>
        </w:rPr>
        <w:t> </w:t>
      </w:r>
      <w:r>
        <w:rPr>
          <w:color w:val="1F487C"/>
        </w:rPr>
        <w:t>старческого</w:t>
      </w:r>
      <w:r>
        <w:rPr>
          <w:color w:val="1F487C"/>
          <w:spacing w:val="-15"/>
        </w:rPr>
        <w:t> </w:t>
      </w:r>
      <w:r>
        <w:rPr>
          <w:color w:val="1F487C"/>
          <w:spacing w:val="-2"/>
        </w:rPr>
        <w:t>возраста</w:t>
      </w:r>
    </w:p>
    <w:p>
      <w:pPr>
        <w:pStyle w:val="BodyText"/>
        <w:spacing w:line="276" w:lineRule="auto" w:before="161"/>
        <w:ind w:right="1275" w:firstLine="707"/>
      </w:pPr>
      <w:r>
        <w:rPr/>
        <w:t>У пациентов пожилого и старческого возраста делирий может быть первой манифестацией заболевания или развиться по мере его прогрессирования. Госпитализация пациента, помещение в блок интенсивной терапии и на ИВЛ повышают риск развития делирия. Развитие делирия, особенно гиперактивной формы, может представлять собой дополнительные трудности лечения пациентов.</w:t>
      </w:r>
    </w:p>
    <w:p>
      <w:pPr>
        <w:pStyle w:val="BodyText"/>
        <w:spacing w:before="1"/>
        <w:ind w:left="2549"/>
        <w:jc w:val="left"/>
      </w:pPr>
      <w:r>
        <w:rPr>
          <w:spacing w:val="-2"/>
        </w:rPr>
        <w:t>Рекомендации:</w:t>
      </w:r>
    </w:p>
    <w:p>
      <w:pPr>
        <w:pStyle w:val="ListParagraph"/>
        <w:numPr>
          <w:ilvl w:val="0"/>
          <w:numId w:val="23"/>
        </w:numPr>
        <w:tabs>
          <w:tab w:pos="2786" w:val="left" w:leader="none"/>
        </w:tabs>
        <w:spacing w:line="276" w:lineRule="auto" w:before="40" w:after="0"/>
        <w:ind w:left="1841" w:right="1278" w:firstLine="707"/>
        <w:jc w:val="both"/>
        <w:rPr>
          <w:sz w:val="24"/>
        </w:rPr>
      </w:pPr>
      <w:r>
        <w:rPr>
          <w:sz w:val="24"/>
        </w:rPr>
        <w:t>Регулярный скрининг делирия с использованием рекомендованных инструментов у всех пациентов пожилого и старческого возраста, госпитализированных в связи с COVID-19.</w:t>
      </w:r>
    </w:p>
    <w:p>
      <w:pPr>
        <w:pStyle w:val="ListParagraph"/>
        <w:numPr>
          <w:ilvl w:val="0"/>
          <w:numId w:val="23"/>
        </w:numPr>
        <w:tabs>
          <w:tab w:pos="2786" w:val="left" w:leader="none"/>
        </w:tabs>
        <w:spacing w:line="276" w:lineRule="auto" w:before="0" w:after="0"/>
        <w:ind w:left="1841" w:right="1272" w:firstLine="707"/>
        <w:jc w:val="both"/>
        <w:rPr>
          <w:sz w:val="24"/>
        </w:rPr>
      </w:pPr>
      <w:r>
        <w:rPr>
          <w:sz w:val="24"/>
        </w:rPr>
        <w:t>Рекомендуется проводить профилактику делирия у всех пациентов пожилого и старческого возраста, госпитализированных в связи с COVID-19, путем коррекции его триггеров. Профилактические меры включают: регулярную ориентацию пациента в его личности, во времени и пространстве, профилактику запоров,</w:t>
      </w:r>
      <w:r>
        <w:rPr>
          <w:spacing w:val="80"/>
          <w:sz w:val="24"/>
        </w:rPr>
        <w:t> </w:t>
      </w:r>
      <w:r>
        <w:rPr>
          <w:sz w:val="24"/>
        </w:rPr>
        <w:t>лечение</w:t>
      </w:r>
      <w:r>
        <w:rPr>
          <w:spacing w:val="80"/>
          <w:sz w:val="24"/>
        </w:rPr>
        <w:t> </w:t>
      </w:r>
      <w:r>
        <w:rPr>
          <w:sz w:val="24"/>
        </w:rPr>
        <w:t>боли,</w:t>
      </w:r>
      <w:r>
        <w:rPr>
          <w:spacing w:val="80"/>
          <w:sz w:val="24"/>
        </w:rPr>
        <w:t> </w:t>
      </w:r>
      <w:r>
        <w:rPr>
          <w:sz w:val="24"/>
        </w:rPr>
        <w:t>лечение</w:t>
      </w:r>
      <w:r>
        <w:rPr>
          <w:spacing w:val="80"/>
          <w:sz w:val="24"/>
        </w:rPr>
        <w:t> </w:t>
      </w:r>
      <w:r>
        <w:rPr>
          <w:sz w:val="24"/>
        </w:rPr>
        <w:t>бактериальной</w:t>
      </w:r>
      <w:r>
        <w:rPr>
          <w:spacing w:val="80"/>
          <w:sz w:val="24"/>
        </w:rPr>
        <w:t> </w:t>
      </w:r>
      <w:r>
        <w:rPr>
          <w:sz w:val="24"/>
        </w:rPr>
        <w:t>пневмонии</w:t>
      </w:r>
      <w:r>
        <w:rPr>
          <w:spacing w:val="80"/>
          <w:sz w:val="24"/>
        </w:rPr>
        <w:t> </w:t>
      </w:r>
      <w:r>
        <w:rPr>
          <w:sz w:val="24"/>
        </w:rPr>
        <w:t>(высока</w:t>
      </w:r>
      <w:r>
        <w:rPr>
          <w:spacing w:val="80"/>
          <w:sz w:val="24"/>
        </w:rPr>
        <w:t> </w:t>
      </w:r>
      <w:r>
        <w:rPr>
          <w:sz w:val="24"/>
        </w:rPr>
        <w:t>вероятность ее присоединения у пациентов с COVID-19), адекватную оксигенотерапию, профилактику задержки мочи, а также пересмотр сопутствующей терапии для минимизации назначения препаратов, повышающих риск делирия.</w:t>
      </w:r>
    </w:p>
    <w:p>
      <w:pPr>
        <w:pStyle w:val="ListParagraph"/>
        <w:numPr>
          <w:ilvl w:val="0"/>
          <w:numId w:val="23"/>
        </w:numPr>
        <w:tabs>
          <w:tab w:pos="2786" w:val="left" w:leader="none"/>
        </w:tabs>
        <w:spacing w:line="276" w:lineRule="auto" w:before="0" w:after="0"/>
        <w:ind w:left="1841" w:right="1277" w:firstLine="707"/>
        <w:jc w:val="both"/>
        <w:rPr>
          <w:sz w:val="24"/>
        </w:rPr>
      </w:pPr>
      <w:r>
        <w:rPr>
          <w:sz w:val="24"/>
        </w:rPr>
        <w:t>При появлении поведенческих нарушений необходимо, прежде всего, оценить и провести коррекцию триггеров развития делирия (см. выше). При неэффективности этих мер и/или необходимости более быстрого контроля ситуации для снижения риска для пациента или окружающих может потребоваться более ранний, чем обычно, переход к фармакологическому лечению.</w:t>
      </w:r>
    </w:p>
    <w:p>
      <w:pPr>
        <w:pStyle w:val="ListParagraph"/>
        <w:numPr>
          <w:ilvl w:val="0"/>
          <w:numId w:val="23"/>
        </w:numPr>
        <w:tabs>
          <w:tab w:pos="2786" w:val="left" w:leader="none"/>
        </w:tabs>
        <w:spacing w:line="276" w:lineRule="auto" w:before="0" w:after="0"/>
        <w:ind w:left="1841" w:right="1272" w:firstLine="707"/>
        <w:jc w:val="both"/>
        <w:rPr>
          <w:sz w:val="24"/>
        </w:rPr>
      </w:pPr>
      <w:r>
        <w:rPr>
          <w:sz w:val="24"/>
        </w:rPr>
        <w:t>При назначении быстро действующих транквилизаторов необходимо мониторировать развитие побочных эффектов, состояние жизненно важных </w:t>
      </w:r>
      <w:r>
        <w:rPr>
          <w:position w:val="2"/>
          <w:sz w:val="24"/>
        </w:rPr>
        <w:t>показателей</w:t>
      </w:r>
      <w:r>
        <w:rPr>
          <w:spacing w:val="-8"/>
          <w:position w:val="2"/>
          <w:sz w:val="24"/>
        </w:rPr>
        <w:t> </w:t>
      </w:r>
      <w:r>
        <w:rPr>
          <w:position w:val="2"/>
          <w:sz w:val="24"/>
        </w:rPr>
        <w:t>(ЧДД,</w:t>
      </w:r>
      <w:r>
        <w:rPr>
          <w:spacing w:val="-9"/>
          <w:position w:val="2"/>
          <w:sz w:val="24"/>
        </w:rPr>
        <w:t> </w:t>
      </w:r>
      <w:r>
        <w:rPr>
          <w:position w:val="2"/>
          <w:sz w:val="24"/>
        </w:rPr>
        <w:t>SрO</w:t>
      </w:r>
      <w:r>
        <w:rPr>
          <w:sz w:val="16"/>
        </w:rPr>
        <w:t>2</w:t>
      </w:r>
      <w:r>
        <w:rPr>
          <w:position w:val="2"/>
          <w:sz w:val="24"/>
        </w:rPr>
        <w:t>,</w:t>
      </w:r>
      <w:r>
        <w:rPr>
          <w:spacing w:val="-8"/>
          <w:position w:val="2"/>
          <w:sz w:val="24"/>
        </w:rPr>
        <w:t> </w:t>
      </w:r>
      <w:r>
        <w:rPr>
          <w:position w:val="2"/>
          <w:sz w:val="24"/>
        </w:rPr>
        <w:t>АД,</w:t>
      </w:r>
      <w:r>
        <w:rPr>
          <w:spacing w:val="-8"/>
          <w:position w:val="2"/>
          <w:sz w:val="24"/>
        </w:rPr>
        <w:t> </w:t>
      </w:r>
      <w:r>
        <w:rPr>
          <w:position w:val="2"/>
          <w:sz w:val="24"/>
        </w:rPr>
        <w:t>ЧСС),</w:t>
      </w:r>
      <w:r>
        <w:rPr>
          <w:spacing w:val="-9"/>
          <w:position w:val="2"/>
          <w:sz w:val="24"/>
        </w:rPr>
        <w:t> </w:t>
      </w:r>
      <w:r>
        <w:rPr>
          <w:position w:val="2"/>
          <w:sz w:val="24"/>
        </w:rPr>
        <w:t>уровень</w:t>
      </w:r>
      <w:r>
        <w:rPr>
          <w:spacing w:val="-8"/>
          <w:position w:val="2"/>
          <w:sz w:val="24"/>
        </w:rPr>
        <w:t> </w:t>
      </w:r>
      <w:r>
        <w:rPr>
          <w:position w:val="2"/>
          <w:sz w:val="24"/>
        </w:rPr>
        <w:t>гидратации</w:t>
      </w:r>
      <w:r>
        <w:rPr>
          <w:spacing w:val="-8"/>
          <w:position w:val="2"/>
          <w:sz w:val="24"/>
        </w:rPr>
        <w:t> </w:t>
      </w:r>
      <w:r>
        <w:rPr>
          <w:position w:val="2"/>
          <w:sz w:val="24"/>
        </w:rPr>
        <w:t>и</w:t>
      </w:r>
      <w:r>
        <w:rPr>
          <w:spacing w:val="-8"/>
          <w:position w:val="2"/>
          <w:sz w:val="24"/>
        </w:rPr>
        <w:t> </w:t>
      </w:r>
      <w:r>
        <w:rPr>
          <w:position w:val="2"/>
          <w:sz w:val="24"/>
        </w:rPr>
        <w:t>сознания,</w:t>
      </w:r>
      <w:r>
        <w:rPr>
          <w:spacing w:val="-8"/>
          <w:position w:val="2"/>
          <w:sz w:val="24"/>
        </w:rPr>
        <w:t> </w:t>
      </w:r>
      <w:r>
        <w:rPr>
          <w:position w:val="2"/>
          <w:sz w:val="24"/>
        </w:rPr>
        <w:t>по</w:t>
      </w:r>
      <w:r>
        <w:rPr>
          <w:spacing w:val="-8"/>
          <w:position w:val="2"/>
          <w:sz w:val="24"/>
        </w:rPr>
        <w:t> </w:t>
      </w:r>
      <w:r>
        <w:rPr>
          <w:position w:val="2"/>
          <w:sz w:val="24"/>
        </w:rPr>
        <w:t>крайней</w:t>
      </w:r>
      <w:r>
        <w:rPr>
          <w:spacing w:val="-8"/>
          <w:position w:val="2"/>
          <w:sz w:val="24"/>
        </w:rPr>
        <w:t> </w:t>
      </w:r>
      <w:r>
        <w:rPr>
          <w:position w:val="2"/>
          <w:sz w:val="24"/>
        </w:rPr>
        <w:t>мере, </w:t>
      </w:r>
      <w:r>
        <w:rPr>
          <w:sz w:val="24"/>
        </w:rPr>
        <w:t>каждый час до тех пор, пока не будет убежденности в их стабильности. Следует помнить о том, что бенздиазепины угнетают дыхание, а также не превышать максимальные дозы препаратов галоперидола (2 мг/сутки независимо от пути введения), рисперидона (1 мг/сутки в несколько приемов), лоразепама (2 мг/сутки независимо от пути введения).</w:t>
      </w:r>
    </w:p>
    <w:p>
      <w:pPr>
        <w:pStyle w:val="BodyText"/>
        <w:spacing w:line="276" w:lineRule="auto"/>
        <w:ind w:right="1272" w:firstLine="707"/>
      </w:pPr>
      <w:r>
        <w:rPr/>
        <w:t>У пациентов пожилого и старческого возраста COVID-19 повышает риск развития</w:t>
      </w:r>
      <w:r>
        <w:rPr>
          <w:spacing w:val="63"/>
        </w:rPr>
        <w:t>  </w:t>
      </w:r>
      <w:r>
        <w:rPr/>
        <w:t>недостаточности</w:t>
      </w:r>
      <w:r>
        <w:rPr>
          <w:spacing w:val="65"/>
        </w:rPr>
        <w:t>  </w:t>
      </w:r>
      <w:r>
        <w:rPr/>
        <w:t>питания.</w:t>
      </w:r>
      <w:r>
        <w:rPr>
          <w:spacing w:val="65"/>
        </w:rPr>
        <w:t>  </w:t>
      </w:r>
      <w:r>
        <w:rPr/>
        <w:t>Повышение</w:t>
      </w:r>
      <w:r>
        <w:rPr>
          <w:spacing w:val="64"/>
        </w:rPr>
        <w:t>  </w:t>
      </w:r>
      <w:r>
        <w:rPr/>
        <w:t>этого</w:t>
      </w:r>
      <w:r>
        <w:rPr>
          <w:spacing w:val="65"/>
        </w:rPr>
        <w:t>  </w:t>
      </w:r>
      <w:r>
        <w:rPr/>
        <w:t>риска</w:t>
      </w:r>
      <w:r>
        <w:rPr>
          <w:spacing w:val="64"/>
        </w:rPr>
        <w:t>  </w:t>
      </w:r>
      <w:r>
        <w:rPr/>
        <w:t>связано</w:t>
      </w:r>
      <w:r>
        <w:rPr>
          <w:spacing w:val="65"/>
        </w:rPr>
        <w:t>  </w:t>
      </w:r>
      <w:r>
        <w:rPr/>
        <w:t>как с</w:t>
      </w:r>
      <w:r>
        <w:rPr>
          <w:spacing w:val="-5"/>
        </w:rPr>
        <w:t> </w:t>
      </w:r>
      <w:r>
        <w:rPr/>
        <w:t>клиническими симптомами заболевания (снижение обоняния и вкуса, снижение аппетита, диарея, лихорадка, слабость), так и с социальными факторами (самоизоляция), которые в ряде случаев потенцируют предсуществующие риски. Пациенты</w:t>
      </w:r>
      <w:r>
        <w:rPr>
          <w:spacing w:val="-10"/>
        </w:rPr>
        <w:t> </w:t>
      </w:r>
      <w:r>
        <w:rPr/>
        <w:t>старческого</w:t>
      </w:r>
      <w:r>
        <w:rPr>
          <w:spacing w:val="-8"/>
        </w:rPr>
        <w:t> </w:t>
      </w:r>
      <w:r>
        <w:rPr/>
        <w:t>возраста</w:t>
      </w:r>
      <w:r>
        <w:rPr>
          <w:spacing w:val="-11"/>
        </w:rPr>
        <w:t> </w:t>
      </w:r>
      <w:r>
        <w:rPr/>
        <w:t>с</w:t>
      </w:r>
      <w:r>
        <w:rPr>
          <w:spacing w:val="-9"/>
        </w:rPr>
        <w:t> </w:t>
      </w:r>
      <w:r>
        <w:rPr/>
        <w:t>полиморбидностью</w:t>
      </w:r>
      <w:r>
        <w:rPr>
          <w:spacing w:val="-10"/>
        </w:rPr>
        <w:t> </w:t>
      </w:r>
      <w:r>
        <w:rPr/>
        <w:t>в</w:t>
      </w:r>
      <w:r>
        <w:rPr>
          <w:spacing w:val="-11"/>
        </w:rPr>
        <w:t> </w:t>
      </w:r>
      <w:r>
        <w:rPr/>
        <w:t>большей</w:t>
      </w:r>
      <w:r>
        <w:rPr>
          <w:spacing w:val="-9"/>
        </w:rPr>
        <w:t> </w:t>
      </w:r>
      <w:r>
        <w:rPr/>
        <w:t>степени</w:t>
      </w:r>
      <w:r>
        <w:rPr>
          <w:spacing w:val="-9"/>
        </w:rPr>
        <w:t> </w:t>
      </w:r>
      <w:r>
        <w:rPr/>
        <w:t>подвержены риску недостаточности питания и ассоциированной с ней саркопении,</w:t>
      </w:r>
      <w:r>
        <w:rPr>
          <w:spacing w:val="-1"/>
        </w:rPr>
        <w:t> </w:t>
      </w:r>
      <w:r>
        <w:rPr/>
        <w:t>именно у этой</w:t>
      </w:r>
    </w:p>
    <w:p>
      <w:pPr>
        <w:pStyle w:val="BodyText"/>
        <w:spacing w:after="0" w:line="276" w:lineRule="auto"/>
        <w:sectPr>
          <w:pgSz w:w="11900" w:h="16840"/>
          <w:pgMar w:header="0" w:footer="697" w:top="1080" w:bottom="880" w:left="0" w:right="0"/>
        </w:sectPr>
      </w:pPr>
    </w:p>
    <w:p>
      <w:pPr>
        <w:pStyle w:val="BodyText"/>
        <w:spacing w:line="276" w:lineRule="auto" w:before="73"/>
        <w:ind w:right="1274"/>
      </w:pPr>
      <w:bookmarkStart w:name="61" w:id="75"/>
      <w:bookmarkEnd w:id="75"/>
      <w:r>
        <w:rPr/>
      </w:r>
      <w:r>
        <w:rPr/>
        <w:t>группы прогноз при COVID-19 наиболее неблагоприятен. ИВЛ, особенно пролонгированная, является хорошо документированной причиной недостаточности питания с потерей мышечной массы и функции, что, в свою очередь, ассоциировано в</w:t>
      </w:r>
      <w:r>
        <w:rPr>
          <w:spacing w:val="-4"/>
        </w:rPr>
        <w:t> </w:t>
      </w:r>
      <w:r>
        <w:rPr/>
        <w:t>дальнейшем со снижением качества жизни и утратой автономности после выписки из</w:t>
      </w:r>
      <w:r>
        <w:rPr>
          <w:spacing w:val="-2"/>
        </w:rPr>
        <w:t> </w:t>
      </w:r>
      <w:r>
        <w:rPr/>
        <w:t>стационара. Адекватная оценка пищевого статуса, профилактика и коррекция недостаточности питания эффективно снижают риск осложнений и улучшают клинические исходы.</w:t>
      </w:r>
    </w:p>
    <w:p>
      <w:pPr>
        <w:pStyle w:val="BodyText"/>
        <w:spacing w:line="275" w:lineRule="exact"/>
        <w:ind w:left="2549"/>
        <w:jc w:val="left"/>
      </w:pPr>
      <w:r>
        <w:rPr>
          <w:spacing w:val="-2"/>
        </w:rPr>
        <w:t>Рекомендуется:</w:t>
      </w:r>
    </w:p>
    <w:p>
      <w:pPr>
        <w:pStyle w:val="ListParagraph"/>
        <w:numPr>
          <w:ilvl w:val="0"/>
          <w:numId w:val="24"/>
        </w:numPr>
        <w:tabs>
          <w:tab w:pos="2786" w:val="left" w:leader="none"/>
        </w:tabs>
        <w:spacing w:line="276" w:lineRule="auto" w:before="40" w:after="0"/>
        <w:ind w:left="1841" w:right="1271" w:firstLine="707"/>
        <w:jc w:val="both"/>
        <w:rPr>
          <w:sz w:val="24"/>
        </w:rPr>
      </w:pPr>
      <w:r>
        <w:rPr>
          <w:sz w:val="24"/>
        </w:rPr>
        <w:t>У всех пациентов пожилого и старческого возраста, госпитализированных</w:t>
      </w:r>
      <w:r>
        <w:rPr>
          <w:spacing w:val="80"/>
          <w:sz w:val="24"/>
        </w:rPr>
        <w:t> </w:t>
      </w:r>
      <w:r>
        <w:rPr>
          <w:sz w:val="24"/>
        </w:rPr>
        <w:t>с</w:t>
      </w:r>
      <w:r>
        <w:rPr>
          <w:spacing w:val="-6"/>
          <w:sz w:val="24"/>
        </w:rPr>
        <w:t> </w:t>
      </w:r>
      <w:r>
        <w:rPr>
          <w:sz w:val="24"/>
        </w:rPr>
        <w:t>COVID-19, проводить скрининг риска недостаточности питания с использованием валидированных инструментов.</w:t>
      </w:r>
    </w:p>
    <w:p>
      <w:pPr>
        <w:pStyle w:val="ListParagraph"/>
        <w:numPr>
          <w:ilvl w:val="0"/>
          <w:numId w:val="24"/>
        </w:numPr>
        <w:tabs>
          <w:tab w:pos="2787" w:val="left" w:leader="none"/>
        </w:tabs>
        <w:spacing w:line="276" w:lineRule="exact" w:before="0" w:after="0"/>
        <w:ind w:left="2787" w:right="0" w:hanging="238"/>
        <w:jc w:val="both"/>
        <w:rPr>
          <w:sz w:val="24"/>
        </w:rPr>
      </w:pPr>
      <w:r>
        <w:rPr>
          <w:sz w:val="24"/>
        </w:rPr>
        <w:t>Для</w:t>
      </w:r>
      <w:r>
        <w:rPr>
          <w:spacing w:val="7"/>
          <w:sz w:val="24"/>
        </w:rPr>
        <w:t> </w:t>
      </w:r>
      <w:r>
        <w:rPr>
          <w:sz w:val="24"/>
        </w:rPr>
        <w:t>пациентов,</w:t>
      </w:r>
      <w:r>
        <w:rPr>
          <w:spacing w:val="8"/>
          <w:sz w:val="24"/>
        </w:rPr>
        <w:t> </w:t>
      </w:r>
      <w:r>
        <w:rPr>
          <w:sz w:val="24"/>
        </w:rPr>
        <w:t>которые</w:t>
      </w:r>
      <w:r>
        <w:rPr>
          <w:spacing w:val="7"/>
          <w:sz w:val="24"/>
        </w:rPr>
        <w:t> </w:t>
      </w:r>
      <w:r>
        <w:rPr>
          <w:sz w:val="24"/>
        </w:rPr>
        <w:t>по</w:t>
      </w:r>
      <w:r>
        <w:rPr>
          <w:spacing w:val="7"/>
          <w:sz w:val="24"/>
        </w:rPr>
        <w:t> </w:t>
      </w:r>
      <w:r>
        <w:rPr>
          <w:sz w:val="24"/>
        </w:rPr>
        <w:t>результатам</w:t>
      </w:r>
      <w:r>
        <w:rPr>
          <w:spacing w:val="7"/>
          <w:sz w:val="24"/>
        </w:rPr>
        <w:t> </w:t>
      </w:r>
      <w:r>
        <w:rPr>
          <w:sz w:val="24"/>
        </w:rPr>
        <w:t>скрининга</w:t>
      </w:r>
      <w:r>
        <w:rPr>
          <w:spacing w:val="6"/>
          <w:sz w:val="24"/>
        </w:rPr>
        <w:t> </w:t>
      </w:r>
      <w:r>
        <w:rPr>
          <w:sz w:val="24"/>
        </w:rPr>
        <w:t>относятся</w:t>
      </w:r>
      <w:r>
        <w:rPr>
          <w:spacing w:val="7"/>
          <w:sz w:val="24"/>
        </w:rPr>
        <w:t> </w:t>
      </w:r>
      <w:r>
        <w:rPr>
          <w:sz w:val="24"/>
        </w:rPr>
        <w:t>к</w:t>
      </w:r>
      <w:r>
        <w:rPr>
          <w:spacing w:val="7"/>
          <w:sz w:val="24"/>
        </w:rPr>
        <w:t> </w:t>
      </w:r>
      <w:r>
        <w:rPr>
          <w:spacing w:val="-2"/>
          <w:sz w:val="24"/>
        </w:rPr>
        <w:t>категориям</w:t>
      </w:r>
    </w:p>
    <w:p>
      <w:pPr>
        <w:pStyle w:val="BodyText"/>
        <w:spacing w:line="276" w:lineRule="auto" w:before="41"/>
        <w:ind w:right="1278"/>
      </w:pPr>
      <w:r>
        <w:rPr/>
        <w:t>«риск недостаточности питания» или «недостаточность питания», необходимо проводить коррекцию с использованием продуктов перорального энтерального питания (ПЭП).</w:t>
      </w:r>
    </w:p>
    <w:p>
      <w:pPr>
        <w:pStyle w:val="ListParagraph"/>
        <w:numPr>
          <w:ilvl w:val="0"/>
          <w:numId w:val="24"/>
        </w:numPr>
        <w:tabs>
          <w:tab w:pos="2786" w:val="left" w:leader="none"/>
        </w:tabs>
        <w:spacing w:line="276" w:lineRule="auto" w:before="0" w:after="0"/>
        <w:ind w:left="1841" w:right="1276" w:firstLine="707"/>
        <w:jc w:val="both"/>
        <w:rPr>
          <w:sz w:val="24"/>
        </w:rPr>
      </w:pPr>
      <w:r>
        <w:rPr>
          <w:sz w:val="24"/>
        </w:rPr>
        <w:t>Рекомендуется рассчитывать энергетическую ценность рациона пациента пожилого и старческого возраста, ориентируясь на уровень 30 ккал на кг массы тела в</w:t>
      </w:r>
      <w:r>
        <w:rPr>
          <w:spacing w:val="-3"/>
          <w:sz w:val="24"/>
        </w:rPr>
        <w:t> </w:t>
      </w:r>
      <w:r>
        <w:rPr>
          <w:sz w:val="24"/>
        </w:rPr>
        <w:t>сутки, суточный уровень потребления белка должен составлять не менее 1,0-1,2 г на</w:t>
      </w:r>
      <w:r>
        <w:rPr>
          <w:spacing w:val="-5"/>
          <w:sz w:val="24"/>
        </w:rPr>
        <w:t> </w:t>
      </w:r>
      <w:r>
        <w:rPr>
          <w:sz w:val="24"/>
        </w:rPr>
        <w:t>кг массы тела в сутки (при тяжелом течении заболевания и диагностированной недостаточности питания – до 2,0 г/кг массы тела в сутки).</w:t>
      </w:r>
    </w:p>
    <w:p>
      <w:pPr>
        <w:pStyle w:val="ListParagraph"/>
        <w:numPr>
          <w:ilvl w:val="0"/>
          <w:numId w:val="24"/>
        </w:numPr>
        <w:tabs>
          <w:tab w:pos="2786" w:val="left" w:leader="none"/>
        </w:tabs>
        <w:spacing w:line="276" w:lineRule="auto" w:before="0" w:after="0"/>
        <w:ind w:left="1841" w:right="1275" w:firstLine="707"/>
        <w:jc w:val="both"/>
        <w:rPr>
          <w:sz w:val="24"/>
        </w:rPr>
      </w:pPr>
      <w:r>
        <w:rPr>
          <w:sz w:val="24"/>
        </w:rPr>
        <w:t>Рекомендуется назначать препараты ПЭП, которые обеспечивают поступление в организм энергии не менее 400 ккал/сут и белка не менее 30 г/сут.</w:t>
      </w:r>
      <w:r>
        <w:rPr>
          <w:spacing w:val="40"/>
          <w:sz w:val="24"/>
        </w:rPr>
        <w:t> </w:t>
      </w:r>
      <w:r>
        <w:rPr>
          <w:sz w:val="24"/>
        </w:rPr>
        <w:t>При</w:t>
      </w:r>
      <w:r>
        <w:rPr>
          <w:spacing w:val="-1"/>
          <w:sz w:val="24"/>
        </w:rPr>
        <w:t> </w:t>
      </w:r>
      <w:r>
        <w:rPr>
          <w:sz w:val="24"/>
        </w:rPr>
        <w:t>отсутствии противопоказаний для обеспечения оптимального функционирования желудочно-кишечного тракта предпочтительны продукты ПЭП, содержащие пищевые волокна.</w:t>
      </w:r>
    </w:p>
    <w:p>
      <w:pPr>
        <w:pStyle w:val="ListParagraph"/>
        <w:numPr>
          <w:ilvl w:val="0"/>
          <w:numId w:val="24"/>
        </w:numPr>
        <w:tabs>
          <w:tab w:pos="2856" w:val="left" w:leader="none"/>
        </w:tabs>
        <w:spacing w:line="276" w:lineRule="auto" w:before="0" w:after="0"/>
        <w:ind w:left="1841" w:right="1283" w:firstLine="707"/>
        <w:jc w:val="both"/>
        <w:rPr>
          <w:sz w:val="24"/>
        </w:rPr>
      </w:pPr>
      <w:r>
        <w:rPr>
          <w:sz w:val="24"/>
        </w:rPr>
        <w:t>В случаях, когда пероральное питание невозможно, рекомендуется без промедлений начинать зондовое энтеральное питание (ЗЭП).</w:t>
      </w:r>
    </w:p>
    <w:p>
      <w:pPr>
        <w:pStyle w:val="ListParagraph"/>
        <w:numPr>
          <w:ilvl w:val="0"/>
          <w:numId w:val="24"/>
        </w:numPr>
        <w:tabs>
          <w:tab w:pos="2832" w:val="left" w:leader="none"/>
        </w:tabs>
        <w:spacing w:line="276" w:lineRule="auto" w:before="0" w:after="0"/>
        <w:ind w:left="1841" w:right="1275" w:firstLine="707"/>
        <w:jc w:val="both"/>
        <w:rPr>
          <w:sz w:val="24"/>
        </w:rPr>
      </w:pPr>
      <w:r>
        <w:rPr>
          <w:sz w:val="24"/>
        </w:rPr>
        <w:t>При выписке из стационара пациентам с недостаточностью питания или риском ее развития рекомендуется применять ПЭП с целью оптимизации уровня потребления пищи и массы тела, а также с целью уменьшения риска снижения функциональных возможностей. Рекомендуется назначать ПЭП на срок не менее одного</w:t>
      </w:r>
      <w:r>
        <w:rPr>
          <w:spacing w:val="65"/>
          <w:sz w:val="24"/>
        </w:rPr>
        <w:t> </w:t>
      </w:r>
      <w:r>
        <w:rPr>
          <w:sz w:val="24"/>
        </w:rPr>
        <w:t>месяца</w:t>
      </w:r>
      <w:r>
        <w:rPr>
          <w:spacing w:val="64"/>
          <w:sz w:val="24"/>
        </w:rPr>
        <w:t> </w:t>
      </w:r>
      <w:r>
        <w:rPr>
          <w:sz w:val="24"/>
        </w:rPr>
        <w:t>и</w:t>
      </w:r>
      <w:r>
        <w:rPr>
          <w:spacing w:val="66"/>
          <w:sz w:val="24"/>
        </w:rPr>
        <w:t> </w:t>
      </w:r>
      <w:r>
        <w:rPr>
          <w:sz w:val="24"/>
        </w:rPr>
        <w:t>оценивать</w:t>
      </w:r>
      <w:r>
        <w:rPr>
          <w:spacing w:val="66"/>
          <w:sz w:val="24"/>
        </w:rPr>
        <w:t> </w:t>
      </w:r>
      <w:r>
        <w:rPr>
          <w:sz w:val="24"/>
        </w:rPr>
        <w:t>эффективность</w:t>
      </w:r>
      <w:r>
        <w:rPr>
          <w:spacing w:val="64"/>
          <w:sz w:val="24"/>
        </w:rPr>
        <w:t> </w:t>
      </w:r>
      <w:r>
        <w:rPr>
          <w:sz w:val="24"/>
        </w:rPr>
        <w:t>и</w:t>
      </w:r>
      <w:r>
        <w:rPr>
          <w:spacing w:val="66"/>
          <w:sz w:val="24"/>
        </w:rPr>
        <w:t> </w:t>
      </w:r>
      <w:r>
        <w:rPr>
          <w:sz w:val="24"/>
        </w:rPr>
        <w:t>ожидаемую</w:t>
      </w:r>
      <w:r>
        <w:rPr>
          <w:spacing w:val="65"/>
          <w:sz w:val="24"/>
        </w:rPr>
        <w:t> </w:t>
      </w:r>
      <w:r>
        <w:rPr>
          <w:sz w:val="24"/>
        </w:rPr>
        <w:t>пользу</w:t>
      </w:r>
      <w:r>
        <w:rPr>
          <w:spacing w:val="62"/>
          <w:sz w:val="24"/>
        </w:rPr>
        <w:t> </w:t>
      </w:r>
      <w:r>
        <w:rPr>
          <w:sz w:val="24"/>
        </w:rPr>
        <w:t>ПЭП</w:t>
      </w:r>
      <w:r>
        <w:rPr>
          <w:spacing w:val="64"/>
          <w:sz w:val="24"/>
        </w:rPr>
        <w:t> </w:t>
      </w:r>
      <w:r>
        <w:rPr>
          <w:sz w:val="24"/>
        </w:rPr>
        <w:t>один</w:t>
      </w:r>
      <w:r>
        <w:rPr>
          <w:spacing w:val="66"/>
          <w:sz w:val="24"/>
        </w:rPr>
        <w:t> </w:t>
      </w:r>
      <w:r>
        <w:rPr>
          <w:sz w:val="24"/>
        </w:rPr>
        <w:t>раз в месяц.</w:t>
      </w:r>
    </w:p>
    <w:p>
      <w:pPr>
        <w:pStyle w:val="Heading1"/>
        <w:numPr>
          <w:ilvl w:val="1"/>
          <w:numId w:val="5"/>
        </w:numPr>
        <w:tabs>
          <w:tab w:pos="3037" w:val="left" w:leader="none"/>
        </w:tabs>
        <w:spacing w:line="259" w:lineRule="auto" w:before="236" w:after="0"/>
        <w:ind w:left="2549" w:right="1627" w:firstLine="0"/>
        <w:jc w:val="both"/>
        <w:rPr>
          <w:color w:val="1F487C"/>
        </w:rPr>
      </w:pPr>
      <w:r>
        <w:rPr>
          <w:color w:val="1F487C"/>
        </w:rPr>
        <w:t>АНТИБАКТЕРИАЛЬНАЯ И АНТИМИКОТИЧЕСКАЯ ТЕРАПИЯ</w:t>
      </w:r>
      <w:r>
        <w:rPr>
          <w:color w:val="1F487C"/>
          <w:spacing w:val="-11"/>
        </w:rPr>
        <w:t> </w:t>
      </w:r>
      <w:r>
        <w:rPr>
          <w:color w:val="1F487C"/>
        </w:rPr>
        <w:t>ПРИ</w:t>
      </w:r>
      <w:r>
        <w:rPr>
          <w:color w:val="1F487C"/>
          <w:spacing w:val="-11"/>
        </w:rPr>
        <w:t> </w:t>
      </w:r>
      <w:r>
        <w:rPr>
          <w:color w:val="1F487C"/>
        </w:rPr>
        <w:t>ОСЛОЖНЕННЫХ</w:t>
      </w:r>
      <w:r>
        <w:rPr>
          <w:color w:val="1F487C"/>
          <w:spacing w:val="-14"/>
        </w:rPr>
        <w:t> </w:t>
      </w:r>
      <w:r>
        <w:rPr>
          <w:color w:val="1F487C"/>
        </w:rPr>
        <w:t>ФОРМАХ</w:t>
      </w:r>
      <w:r>
        <w:rPr>
          <w:color w:val="1F487C"/>
          <w:spacing w:val="-11"/>
        </w:rPr>
        <w:t> </w:t>
      </w:r>
      <w:r>
        <w:rPr>
          <w:color w:val="1F487C"/>
        </w:rPr>
        <w:t>ИНФЕКЦИИ</w:t>
      </w:r>
    </w:p>
    <w:p>
      <w:pPr>
        <w:pStyle w:val="Heading3"/>
        <w:numPr>
          <w:ilvl w:val="2"/>
          <w:numId w:val="5"/>
        </w:numPr>
        <w:tabs>
          <w:tab w:pos="3147" w:val="left" w:leader="none"/>
        </w:tabs>
        <w:spacing w:line="240" w:lineRule="auto" w:before="116" w:after="0"/>
        <w:ind w:left="3147" w:right="0" w:hanging="598"/>
        <w:jc w:val="both"/>
      </w:pPr>
      <w:r>
        <w:rPr>
          <w:color w:val="1F487C"/>
          <w:spacing w:val="-2"/>
        </w:rPr>
        <w:t>Антибактериальная</w:t>
      </w:r>
      <w:r>
        <w:rPr>
          <w:color w:val="1F487C"/>
        </w:rPr>
        <w:t> </w:t>
      </w:r>
      <w:r>
        <w:rPr>
          <w:color w:val="1F487C"/>
          <w:spacing w:val="-2"/>
        </w:rPr>
        <w:t>терапия</w:t>
      </w:r>
      <w:r>
        <w:rPr>
          <w:color w:val="1F487C"/>
        </w:rPr>
        <w:t> </w:t>
      </w:r>
      <w:r>
        <w:rPr>
          <w:color w:val="1F487C"/>
          <w:spacing w:val="-2"/>
        </w:rPr>
        <w:t>при</w:t>
      </w:r>
      <w:r>
        <w:rPr>
          <w:color w:val="1F487C"/>
          <w:spacing w:val="2"/>
        </w:rPr>
        <w:t> </w:t>
      </w:r>
      <w:r>
        <w:rPr>
          <w:color w:val="1F487C"/>
          <w:spacing w:val="-2"/>
        </w:rPr>
        <w:t>осложненных</w:t>
      </w:r>
      <w:r>
        <w:rPr>
          <w:color w:val="1F487C"/>
        </w:rPr>
        <w:t> </w:t>
      </w:r>
      <w:r>
        <w:rPr>
          <w:color w:val="1F487C"/>
          <w:spacing w:val="-2"/>
        </w:rPr>
        <w:t>формах</w:t>
      </w:r>
      <w:r>
        <w:rPr>
          <w:color w:val="1F487C"/>
        </w:rPr>
        <w:t> </w:t>
      </w:r>
      <w:r>
        <w:rPr>
          <w:color w:val="1F487C"/>
          <w:spacing w:val="-2"/>
        </w:rPr>
        <w:t>инфекции</w:t>
      </w:r>
    </w:p>
    <w:p>
      <w:pPr>
        <w:pStyle w:val="BodyText"/>
        <w:spacing w:line="312" w:lineRule="auto" w:before="43"/>
        <w:ind w:right="1275" w:firstLine="707"/>
      </w:pPr>
      <w:r>
        <w:rPr/>
        <w:t>COVID-19,</w:t>
      </w:r>
      <w:r>
        <w:rPr>
          <w:spacing w:val="-15"/>
        </w:rPr>
        <w:t> </w:t>
      </w:r>
      <w:r>
        <w:rPr/>
        <w:t>как</w:t>
      </w:r>
      <w:r>
        <w:rPr>
          <w:spacing w:val="-14"/>
        </w:rPr>
        <w:t> </w:t>
      </w:r>
      <w:r>
        <w:rPr/>
        <w:t>и</w:t>
      </w:r>
      <w:r>
        <w:rPr>
          <w:spacing w:val="-13"/>
        </w:rPr>
        <w:t> </w:t>
      </w:r>
      <w:r>
        <w:rPr/>
        <w:t>любая</w:t>
      </w:r>
      <w:r>
        <w:rPr>
          <w:spacing w:val="-14"/>
        </w:rPr>
        <w:t> </w:t>
      </w:r>
      <w:r>
        <w:rPr/>
        <w:t>другая</w:t>
      </w:r>
      <w:r>
        <w:rPr>
          <w:spacing w:val="-14"/>
        </w:rPr>
        <w:t> </w:t>
      </w:r>
      <w:r>
        <w:rPr/>
        <w:t>вирусная</w:t>
      </w:r>
      <w:r>
        <w:rPr>
          <w:spacing w:val="-14"/>
        </w:rPr>
        <w:t> </w:t>
      </w:r>
      <w:r>
        <w:rPr/>
        <w:t>инфекция,</w:t>
      </w:r>
      <w:r>
        <w:rPr>
          <w:spacing w:val="-15"/>
        </w:rPr>
        <w:t> </w:t>
      </w:r>
      <w:r>
        <w:rPr/>
        <w:t>не</w:t>
      </w:r>
      <w:r>
        <w:rPr>
          <w:spacing w:val="-15"/>
        </w:rPr>
        <w:t> </w:t>
      </w:r>
      <w:r>
        <w:rPr/>
        <w:t>является</w:t>
      </w:r>
      <w:r>
        <w:rPr>
          <w:spacing w:val="-14"/>
        </w:rPr>
        <w:t> </w:t>
      </w:r>
      <w:r>
        <w:rPr/>
        <w:t>показанием</w:t>
      </w:r>
      <w:r>
        <w:rPr>
          <w:spacing w:val="-15"/>
        </w:rPr>
        <w:t> </w:t>
      </w:r>
      <w:r>
        <w:rPr/>
        <w:t>для применения антибиотиков. В патогенезе поражения легких при COVID-19 лежат иммунные механизмы – синдром активации макрофагов с развитием «цитокинового шторма», на который антибактериальные препараты не оказывают воздействия.</w:t>
      </w:r>
    </w:p>
    <w:p>
      <w:pPr>
        <w:pStyle w:val="BodyText"/>
        <w:spacing w:line="276" w:lineRule="auto"/>
        <w:ind w:right="1273" w:firstLine="707"/>
      </w:pPr>
      <w:r>
        <w:rPr/>
        <w:t>Антибактериальная терапия назначается только при наличии убедительных признаков</w:t>
      </w:r>
      <w:r>
        <w:rPr>
          <w:spacing w:val="-15"/>
        </w:rPr>
        <w:t> </w:t>
      </w:r>
      <w:r>
        <w:rPr/>
        <w:t>присоединения</w:t>
      </w:r>
      <w:r>
        <w:rPr>
          <w:spacing w:val="-15"/>
        </w:rPr>
        <w:t> </w:t>
      </w:r>
      <w:r>
        <w:rPr/>
        <w:t>бактериальной</w:t>
      </w:r>
      <w:r>
        <w:rPr>
          <w:spacing w:val="-15"/>
        </w:rPr>
        <w:t> </w:t>
      </w:r>
      <w:r>
        <w:rPr/>
        <w:t>инфекции</w:t>
      </w:r>
      <w:r>
        <w:rPr>
          <w:spacing w:val="-15"/>
        </w:rPr>
        <w:t> </w:t>
      </w:r>
      <w:r>
        <w:rPr/>
        <w:t>(повышение</w:t>
      </w:r>
      <w:r>
        <w:rPr>
          <w:spacing w:val="-15"/>
        </w:rPr>
        <w:t> </w:t>
      </w:r>
      <w:r>
        <w:rPr/>
        <w:t>ПКТ</w:t>
      </w:r>
      <w:r>
        <w:rPr>
          <w:spacing w:val="-15"/>
        </w:rPr>
        <w:t> </w:t>
      </w:r>
      <w:r>
        <w:rPr/>
        <w:t>более</w:t>
      </w:r>
      <w:r>
        <w:rPr>
          <w:spacing w:val="-15"/>
        </w:rPr>
        <w:t> </w:t>
      </w:r>
      <w:r>
        <w:rPr/>
        <w:t>0,5</w:t>
      </w:r>
      <w:r>
        <w:rPr>
          <w:spacing w:val="-15"/>
        </w:rPr>
        <w:t> </w:t>
      </w:r>
      <w:r>
        <w:rPr/>
        <w:t>нг/мл, появление</w:t>
      </w:r>
      <w:r>
        <w:rPr>
          <w:spacing w:val="54"/>
        </w:rPr>
        <w:t>   </w:t>
      </w:r>
      <w:r>
        <w:rPr/>
        <w:t>гнойной</w:t>
      </w:r>
      <w:r>
        <w:rPr>
          <w:spacing w:val="54"/>
        </w:rPr>
        <w:t>   </w:t>
      </w:r>
      <w:r>
        <w:rPr/>
        <w:t>мокроты,</w:t>
      </w:r>
      <w:r>
        <w:rPr>
          <w:spacing w:val="55"/>
        </w:rPr>
        <w:t>   </w:t>
      </w:r>
      <w:r>
        <w:rPr/>
        <w:t>лейкоцитоз</w:t>
      </w:r>
      <w:r>
        <w:rPr>
          <w:spacing w:val="56"/>
        </w:rPr>
        <w:t>   </w:t>
      </w:r>
      <w:r>
        <w:rPr/>
        <w:t>&gt;12×10</w:t>
      </w:r>
      <w:r>
        <w:rPr>
          <w:vertAlign w:val="superscript"/>
        </w:rPr>
        <w:t>9</w:t>
      </w:r>
      <w:r>
        <w:rPr>
          <w:vertAlign w:val="baseline"/>
        </w:rPr>
        <w:t>/л</w:t>
      </w:r>
      <w:r>
        <w:rPr>
          <w:spacing w:val="55"/>
          <w:vertAlign w:val="baseline"/>
        </w:rPr>
        <w:t>   </w:t>
      </w:r>
      <w:r>
        <w:rPr>
          <w:vertAlign w:val="baseline"/>
        </w:rPr>
        <w:t>(при</w:t>
      </w:r>
      <w:r>
        <w:rPr>
          <w:spacing w:val="55"/>
          <w:vertAlign w:val="baseline"/>
        </w:rPr>
        <w:t>   </w:t>
      </w:r>
      <w:r>
        <w:rPr>
          <w:spacing w:val="-2"/>
          <w:vertAlign w:val="baseline"/>
        </w:rPr>
        <w:t>отсутствии</w:t>
      </w:r>
    </w:p>
    <w:p>
      <w:pPr>
        <w:pStyle w:val="BodyText"/>
        <w:spacing w:after="0" w:line="276" w:lineRule="auto"/>
        <w:sectPr>
          <w:pgSz w:w="11900" w:h="16840"/>
          <w:pgMar w:header="0" w:footer="697" w:top="1080" w:bottom="880" w:left="0" w:right="0"/>
        </w:sectPr>
      </w:pPr>
    </w:p>
    <w:p>
      <w:pPr>
        <w:pStyle w:val="BodyText"/>
        <w:spacing w:line="276" w:lineRule="auto" w:before="73"/>
        <w:ind w:right="1271"/>
      </w:pPr>
      <w:bookmarkStart w:name="62" w:id="76"/>
      <w:bookmarkEnd w:id="76"/>
      <w:r>
        <w:rPr/>
      </w:r>
      <w:r>
        <w:rPr/>
        <w:t>предшествующего применения глюкокортикоидов), повышение числа палочкоядерных нейтрофилов более 10%).</w:t>
      </w:r>
    </w:p>
    <w:p>
      <w:pPr>
        <w:pStyle w:val="BodyText"/>
        <w:spacing w:line="276" w:lineRule="auto"/>
        <w:ind w:right="1271" w:firstLine="707"/>
      </w:pPr>
      <w:r>
        <w:rPr/>
        <w:t>Бактериальные</w:t>
      </w:r>
      <w:r>
        <w:rPr>
          <w:spacing w:val="80"/>
        </w:rPr>
        <w:t> </w:t>
      </w:r>
      <w:r>
        <w:rPr/>
        <w:t>инфекции</w:t>
      </w:r>
      <w:r>
        <w:rPr>
          <w:spacing w:val="80"/>
        </w:rPr>
        <w:t> </w:t>
      </w:r>
      <w:r>
        <w:rPr/>
        <w:t>не</w:t>
      </w:r>
      <w:r>
        <w:rPr>
          <w:spacing w:val="80"/>
        </w:rPr>
        <w:t> </w:t>
      </w:r>
      <w:r>
        <w:rPr/>
        <w:t>часто</w:t>
      </w:r>
      <w:r>
        <w:rPr>
          <w:spacing w:val="80"/>
        </w:rPr>
        <w:t> </w:t>
      </w:r>
      <w:r>
        <w:rPr/>
        <w:t>осложняют</w:t>
      </w:r>
      <w:r>
        <w:rPr>
          <w:spacing w:val="80"/>
        </w:rPr>
        <w:t> </w:t>
      </w:r>
      <w:r>
        <w:rPr/>
        <w:t>течение</w:t>
      </w:r>
      <w:r>
        <w:rPr>
          <w:spacing w:val="80"/>
        </w:rPr>
        <w:t> </w:t>
      </w:r>
      <w:r>
        <w:rPr/>
        <w:t>COVID-19.</w:t>
      </w:r>
      <w:r>
        <w:rPr>
          <w:spacing w:val="80"/>
        </w:rPr>
        <w:t> </w:t>
      </w:r>
      <w:r>
        <w:rPr/>
        <w:t>Так,</w:t>
      </w:r>
      <w:r>
        <w:rPr>
          <w:spacing w:val="80"/>
        </w:rPr>
        <w:t> </w:t>
      </w:r>
      <w:r>
        <w:rPr/>
        <w:t>в</w:t>
      </w:r>
      <w:r>
        <w:rPr>
          <w:spacing w:val="-15"/>
        </w:rPr>
        <w:t> </w:t>
      </w:r>
      <w:r>
        <w:rPr/>
        <w:t>мета-анализе</w:t>
      </w:r>
      <w:r>
        <w:rPr>
          <w:spacing w:val="-15"/>
        </w:rPr>
        <w:t> </w:t>
      </w:r>
      <w:r>
        <w:rPr/>
        <w:t>24</w:t>
      </w:r>
      <w:r>
        <w:rPr>
          <w:spacing w:val="-15"/>
        </w:rPr>
        <w:t> </w:t>
      </w:r>
      <w:r>
        <w:rPr/>
        <w:t>исследований,</w:t>
      </w:r>
      <w:r>
        <w:rPr>
          <w:spacing w:val="-15"/>
        </w:rPr>
        <w:t> </w:t>
      </w:r>
      <w:r>
        <w:rPr/>
        <w:t>включавших</w:t>
      </w:r>
      <w:r>
        <w:rPr>
          <w:spacing w:val="-15"/>
        </w:rPr>
        <w:t> </w:t>
      </w:r>
      <w:r>
        <w:rPr/>
        <w:t>3</w:t>
      </w:r>
      <w:r>
        <w:rPr>
          <w:spacing w:val="-15"/>
        </w:rPr>
        <w:t> </w:t>
      </w:r>
      <w:r>
        <w:rPr/>
        <w:t>338</w:t>
      </w:r>
      <w:r>
        <w:rPr>
          <w:spacing w:val="-15"/>
        </w:rPr>
        <w:t> </w:t>
      </w:r>
      <w:r>
        <w:rPr/>
        <w:t>пациентов,</w:t>
      </w:r>
      <w:r>
        <w:rPr>
          <w:spacing w:val="-15"/>
        </w:rPr>
        <w:t> </w:t>
      </w:r>
      <w:r>
        <w:rPr/>
        <w:t>частота</w:t>
      </w:r>
      <w:r>
        <w:rPr>
          <w:spacing w:val="-15"/>
        </w:rPr>
        <w:t> </w:t>
      </w:r>
      <w:r>
        <w:rPr/>
        <w:t>бактериальной ко-инфекции на момент обращения за медицинской помощью составила 3,5% (95% ДИ-0,4-6,7%);</w:t>
      </w:r>
      <w:r>
        <w:rPr>
          <w:spacing w:val="40"/>
        </w:rPr>
        <w:t> </w:t>
      </w:r>
      <w:r>
        <w:rPr/>
        <w:t>вторичные</w:t>
      </w:r>
      <w:r>
        <w:rPr>
          <w:spacing w:val="40"/>
        </w:rPr>
        <w:t> </w:t>
      </w:r>
      <w:r>
        <w:rPr/>
        <w:t>бактериальные</w:t>
      </w:r>
      <w:r>
        <w:rPr>
          <w:spacing w:val="40"/>
        </w:rPr>
        <w:t> </w:t>
      </w:r>
      <w:r>
        <w:rPr/>
        <w:t>инфекции</w:t>
      </w:r>
      <w:r>
        <w:rPr>
          <w:spacing w:val="40"/>
        </w:rPr>
        <w:t> </w:t>
      </w:r>
      <w:r>
        <w:rPr/>
        <w:t>осложняли</w:t>
      </w:r>
      <w:r>
        <w:rPr>
          <w:spacing w:val="40"/>
        </w:rPr>
        <w:t> </w:t>
      </w:r>
      <w:r>
        <w:rPr/>
        <w:t>течение</w:t>
      </w:r>
      <w:r>
        <w:rPr>
          <w:spacing w:val="40"/>
        </w:rPr>
        <w:t> </w:t>
      </w:r>
      <w:r>
        <w:rPr/>
        <w:t>COVID-19 у</w:t>
      </w:r>
      <w:r>
        <w:rPr>
          <w:spacing w:val="-2"/>
        </w:rPr>
        <w:t> </w:t>
      </w:r>
      <w:r>
        <w:rPr/>
        <w:t>14,3%</w:t>
      </w:r>
      <w:r>
        <w:rPr>
          <w:spacing w:val="74"/>
        </w:rPr>
        <w:t>  </w:t>
      </w:r>
      <w:r>
        <w:rPr/>
        <w:t>пациентов</w:t>
      </w:r>
      <w:r>
        <w:rPr>
          <w:spacing w:val="74"/>
        </w:rPr>
        <w:t>  </w:t>
      </w:r>
      <w:r>
        <w:rPr/>
        <w:t>(95%</w:t>
      </w:r>
      <w:r>
        <w:rPr>
          <w:spacing w:val="74"/>
        </w:rPr>
        <w:t>  </w:t>
      </w:r>
      <w:r>
        <w:rPr/>
        <w:t>ДИ-9,6-18,9%);</w:t>
      </w:r>
      <w:r>
        <w:rPr>
          <w:spacing w:val="76"/>
        </w:rPr>
        <w:t>  </w:t>
      </w:r>
      <w:r>
        <w:rPr/>
        <w:t>в</w:t>
      </w:r>
      <w:r>
        <w:rPr>
          <w:spacing w:val="74"/>
        </w:rPr>
        <w:t>  </w:t>
      </w:r>
      <w:r>
        <w:rPr/>
        <w:t>целом</w:t>
      </w:r>
      <w:r>
        <w:rPr>
          <w:spacing w:val="75"/>
        </w:rPr>
        <w:t>  </w:t>
      </w:r>
      <w:r>
        <w:rPr/>
        <w:t>пропорция</w:t>
      </w:r>
      <w:r>
        <w:rPr>
          <w:spacing w:val="75"/>
        </w:rPr>
        <w:t>  </w:t>
      </w:r>
      <w:r>
        <w:rPr/>
        <w:t>пациентов с</w:t>
      </w:r>
      <w:r>
        <w:rPr>
          <w:spacing w:val="-6"/>
        </w:rPr>
        <w:t> </w:t>
      </w:r>
      <w:r>
        <w:rPr/>
        <w:t>бактериальными инфекциями составила 6,9% (95% ДИ-4,3-9,5%); бактериальные инфекции</w:t>
      </w:r>
      <w:r>
        <w:rPr>
          <w:spacing w:val="-7"/>
        </w:rPr>
        <w:t> </w:t>
      </w:r>
      <w:r>
        <w:rPr/>
        <w:t>чаще</w:t>
      </w:r>
      <w:r>
        <w:rPr>
          <w:spacing w:val="-8"/>
        </w:rPr>
        <w:t> </w:t>
      </w:r>
      <w:r>
        <w:rPr/>
        <w:t>регистрировались</w:t>
      </w:r>
      <w:r>
        <w:rPr>
          <w:spacing w:val="-7"/>
        </w:rPr>
        <w:t> </w:t>
      </w:r>
      <w:r>
        <w:rPr/>
        <w:t>у</w:t>
      </w:r>
      <w:r>
        <w:rPr>
          <w:spacing w:val="-7"/>
        </w:rPr>
        <w:t> </w:t>
      </w:r>
      <w:r>
        <w:rPr/>
        <w:t>пациентов</w:t>
      </w:r>
      <w:r>
        <w:rPr>
          <w:spacing w:val="-7"/>
        </w:rPr>
        <w:t> </w:t>
      </w:r>
      <w:r>
        <w:rPr/>
        <w:t>с</w:t>
      </w:r>
      <w:r>
        <w:rPr>
          <w:spacing w:val="-8"/>
        </w:rPr>
        <w:t> </w:t>
      </w:r>
      <w:r>
        <w:rPr/>
        <w:t>тяжелым</w:t>
      </w:r>
      <w:r>
        <w:rPr>
          <w:spacing w:val="-6"/>
        </w:rPr>
        <w:t> </w:t>
      </w:r>
      <w:r>
        <w:rPr/>
        <w:t>течением</w:t>
      </w:r>
      <w:r>
        <w:rPr>
          <w:spacing w:val="-3"/>
        </w:rPr>
        <w:t> </w:t>
      </w:r>
      <w:r>
        <w:rPr/>
        <w:t>COVID-19</w:t>
      </w:r>
      <w:r>
        <w:rPr>
          <w:spacing w:val="-6"/>
        </w:rPr>
        <w:t> </w:t>
      </w:r>
      <w:r>
        <w:rPr/>
        <w:t>(8,1%, 95% ДИ-2,3-13,8%). Поэтому подавляющее большинство пациентов с COVID-19, особенно при легком и среднетяжелом течении, </w:t>
      </w:r>
      <w:r>
        <w:rPr>
          <w:b/>
        </w:rPr>
        <w:t>НЕ НУЖДАЮТСЯ </w:t>
      </w:r>
      <w:r>
        <w:rPr/>
        <w:t>в назначении антибактериальной терапии.</w:t>
      </w:r>
    </w:p>
    <w:p>
      <w:pPr>
        <w:pStyle w:val="BodyText"/>
        <w:spacing w:line="276" w:lineRule="auto"/>
        <w:ind w:right="1273" w:firstLine="707"/>
      </w:pPr>
      <w:r>
        <w:rPr/>
        <w:t>При развитии бактериальной инфекции вне стационара или в первые 48 ч. пребывания в стационаре антибактериальная терапия соответствует таковой при внебольничной пневмонии (таблицы 4-6).</w:t>
      </w:r>
    </w:p>
    <w:p>
      <w:pPr>
        <w:pStyle w:val="BodyText"/>
        <w:spacing w:line="276" w:lineRule="auto"/>
        <w:ind w:right="1280" w:firstLine="707"/>
      </w:pPr>
      <w:r>
        <w:rPr/>
        <w:t>У пациентов, не нуждающихся в госпитализации, целесообразно назначение пероральных лекарственных форм.</w:t>
      </w:r>
    </w:p>
    <w:p>
      <w:pPr>
        <w:pStyle w:val="BodyText"/>
        <w:spacing w:before="38"/>
        <w:ind w:left="0"/>
        <w:jc w:val="left"/>
      </w:pPr>
    </w:p>
    <w:p>
      <w:pPr>
        <w:spacing w:before="0"/>
        <w:ind w:left="1841" w:right="0" w:firstLine="0"/>
        <w:jc w:val="left"/>
        <w:rPr>
          <w:b/>
          <w:sz w:val="22"/>
        </w:rPr>
      </w:pPr>
      <w:r>
        <w:rPr>
          <w:b/>
          <w:sz w:val="22"/>
        </w:rPr>
        <w:t>Таблица</w:t>
      </w:r>
      <w:r>
        <w:rPr>
          <w:b/>
          <w:spacing w:val="-11"/>
          <w:sz w:val="22"/>
        </w:rPr>
        <w:t> </w:t>
      </w:r>
      <w:r>
        <w:rPr>
          <w:b/>
          <w:sz w:val="22"/>
        </w:rPr>
        <w:t>4.</w:t>
      </w:r>
      <w:r>
        <w:rPr>
          <w:b/>
          <w:spacing w:val="-8"/>
          <w:sz w:val="22"/>
        </w:rPr>
        <w:t> </w:t>
      </w:r>
      <w:r>
        <w:rPr>
          <w:b/>
          <w:sz w:val="22"/>
        </w:rPr>
        <w:t>Антибактериальная</w:t>
      </w:r>
      <w:r>
        <w:rPr>
          <w:b/>
          <w:spacing w:val="-8"/>
          <w:sz w:val="22"/>
        </w:rPr>
        <w:t> </w:t>
      </w:r>
      <w:r>
        <w:rPr>
          <w:b/>
          <w:sz w:val="22"/>
        </w:rPr>
        <w:t>терапия</w:t>
      </w:r>
      <w:r>
        <w:rPr>
          <w:b/>
          <w:spacing w:val="-10"/>
          <w:sz w:val="22"/>
        </w:rPr>
        <w:t> </w:t>
      </w:r>
      <w:r>
        <w:rPr>
          <w:b/>
          <w:sz w:val="22"/>
        </w:rPr>
        <w:t>внебольничной</w:t>
      </w:r>
      <w:r>
        <w:rPr>
          <w:b/>
          <w:spacing w:val="-8"/>
          <w:sz w:val="22"/>
        </w:rPr>
        <w:t> </w:t>
      </w:r>
      <w:r>
        <w:rPr>
          <w:b/>
          <w:sz w:val="22"/>
        </w:rPr>
        <w:t>пневмонии</w:t>
      </w:r>
      <w:r>
        <w:rPr>
          <w:b/>
          <w:spacing w:val="-7"/>
          <w:sz w:val="22"/>
        </w:rPr>
        <w:t> </w:t>
      </w:r>
      <w:r>
        <w:rPr>
          <w:b/>
          <w:spacing w:val="-4"/>
          <w:sz w:val="22"/>
        </w:rPr>
        <w:t>(ВП)</w:t>
      </w:r>
    </w:p>
    <w:p>
      <w:pPr>
        <w:pStyle w:val="BodyText"/>
        <w:spacing w:before="1"/>
        <w:ind w:left="0"/>
        <w:jc w:val="left"/>
        <w:rPr>
          <w:b/>
          <w:sz w:val="10"/>
        </w:rPr>
      </w:pPr>
    </w:p>
    <w:tbl>
      <w:tblPr>
        <w:tblW w:w="0" w:type="auto"/>
        <w:jc w:val="left"/>
        <w:tblInd w:w="18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254"/>
        <w:gridCol w:w="2746"/>
        <w:gridCol w:w="1932"/>
      </w:tblGrid>
      <w:tr>
        <w:trPr>
          <w:trHeight w:val="381" w:hRule="atLeast"/>
        </w:trPr>
        <w:tc>
          <w:tcPr>
            <w:tcW w:w="4254" w:type="dxa"/>
            <w:shd w:val="clear" w:color="auto" w:fill="F1F1F1"/>
          </w:tcPr>
          <w:p>
            <w:pPr>
              <w:pStyle w:val="TableParagraph"/>
              <w:spacing w:before="12"/>
              <w:ind w:left="2"/>
              <w:jc w:val="center"/>
              <w:rPr>
                <w:sz w:val="22"/>
              </w:rPr>
            </w:pPr>
            <w:r>
              <w:rPr>
                <w:spacing w:val="-2"/>
                <w:sz w:val="22"/>
              </w:rPr>
              <w:t>Группа</w:t>
            </w:r>
          </w:p>
        </w:tc>
        <w:tc>
          <w:tcPr>
            <w:tcW w:w="2746" w:type="dxa"/>
            <w:shd w:val="clear" w:color="auto" w:fill="F1F1F1"/>
          </w:tcPr>
          <w:p>
            <w:pPr>
              <w:pStyle w:val="TableParagraph"/>
              <w:spacing w:before="12"/>
              <w:ind w:right="484"/>
              <w:jc w:val="right"/>
              <w:rPr>
                <w:sz w:val="22"/>
              </w:rPr>
            </w:pPr>
            <w:r>
              <w:rPr>
                <w:sz w:val="22"/>
              </w:rPr>
              <w:t>Препараты</w:t>
            </w:r>
            <w:r>
              <w:rPr>
                <w:spacing w:val="-2"/>
                <w:sz w:val="22"/>
              </w:rPr>
              <w:t> выбора</w:t>
            </w:r>
          </w:p>
        </w:tc>
        <w:tc>
          <w:tcPr>
            <w:tcW w:w="1932" w:type="dxa"/>
            <w:shd w:val="clear" w:color="auto" w:fill="F1F1F1"/>
          </w:tcPr>
          <w:p>
            <w:pPr>
              <w:pStyle w:val="TableParagraph"/>
              <w:spacing w:before="12"/>
              <w:ind w:left="305"/>
              <w:rPr>
                <w:sz w:val="22"/>
              </w:rPr>
            </w:pPr>
            <w:r>
              <w:rPr>
                <w:spacing w:val="-2"/>
                <w:sz w:val="22"/>
              </w:rPr>
              <w:t>Альтернатива</w:t>
            </w:r>
          </w:p>
        </w:tc>
      </w:tr>
      <w:tr>
        <w:trPr>
          <w:trHeight w:val="1264" w:hRule="atLeast"/>
        </w:trPr>
        <w:tc>
          <w:tcPr>
            <w:tcW w:w="4254" w:type="dxa"/>
          </w:tcPr>
          <w:p>
            <w:pPr>
              <w:pStyle w:val="TableParagraph"/>
              <w:spacing w:before="7"/>
              <w:ind w:left="105" w:right="1216"/>
              <w:jc w:val="both"/>
              <w:rPr>
                <w:sz w:val="22"/>
              </w:rPr>
            </w:pPr>
            <w:r>
              <w:rPr>
                <w:sz w:val="22"/>
              </w:rPr>
              <w:t>Нетяжелая</w:t>
            </w:r>
            <w:r>
              <w:rPr>
                <w:spacing w:val="-10"/>
                <w:sz w:val="22"/>
              </w:rPr>
              <w:t> </w:t>
            </w:r>
            <w:r>
              <w:rPr>
                <w:sz w:val="22"/>
              </w:rPr>
              <w:t>ВП</w:t>
            </w:r>
            <w:r>
              <w:rPr>
                <w:spacing w:val="-10"/>
                <w:sz w:val="22"/>
              </w:rPr>
              <w:t> </w:t>
            </w:r>
            <w:r>
              <w:rPr>
                <w:sz w:val="22"/>
              </w:rPr>
              <w:t>у</w:t>
            </w:r>
            <w:r>
              <w:rPr>
                <w:spacing w:val="-9"/>
                <w:sz w:val="22"/>
              </w:rPr>
              <w:t> </w:t>
            </w:r>
            <w:r>
              <w:rPr>
                <w:sz w:val="22"/>
              </w:rPr>
              <w:t>пациентов</w:t>
            </w:r>
            <w:r>
              <w:rPr>
                <w:spacing w:val="-10"/>
                <w:sz w:val="22"/>
              </w:rPr>
              <w:t> </w:t>
            </w:r>
            <w:r>
              <w:rPr>
                <w:sz w:val="22"/>
              </w:rPr>
              <w:t>без сопутствующих заболеваний</w:t>
            </w:r>
            <w:r>
              <w:rPr>
                <w:sz w:val="22"/>
                <w:vertAlign w:val="superscript"/>
              </w:rPr>
              <w:t>1</w:t>
            </w:r>
            <w:r>
              <w:rPr>
                <w:sz w:val="22"/>
                <w:vertAlign w:val="baseline"/>
              </w:rPr>
              <w:t>,</w:t>
            </w:r>
          </w:p>
          <w:p>
            <w:pPr>
              <w:pStyle w:val="TableParagraph"/>
              <w:spacing w:line="252" w:lineRule="exact"/>
              <w:ind w:left="105" w:right="675"/>
              <w:jc w:val="both"/>
              <w:rPr>
                <w:sz w:val="22"/>
              </w:rPr>
            </w:pPr>
            <w:r>
              <w:rPr>
                <w:sz w:val="22"/>
              </w:rPr>
              <w:t>не принимавших за последние 3 мес антибиотики</w:t>
            </w:r>
            <w:r>
              <w:rPr>
                <w:spacing w:val="-9"/>
                <w:sz w:val="22"/>
              </w:rPr>
              <w:t> </w:t>
            </w:r>
            <w:r>
              <w:rPr>
                <w:sz w:val="22"/>
              </w:rPr>
              <w:t>≥</w:t>
            </w:r>
            <w:r>
              <w:rPr>
                <w:spacing w:val="-5"/>
                <w:sz w:val="22"/>
              </w:rPr>
              <w:t> </w:t>
            </w:r>
            <w:r>
              <w:rPr>
                <w:sz w:val="22"/>
              </w:rPr>
              <w:t>2</w:t>
            </w:r>
            <w:r>
              <w:rPr>
                <w:spacing w:val="-7"/>
                <w:sz w:val="22"/>
              </w:rPr>
              <w:t> </w:t>
            </w:r>
            <w:r>
              <w:rPr>
                <w:sz w:val="22"/>
              </w:rPr>
              <w:t>дней</w:t>
            </w:r>
            <w:r>
              <w:rPr>
                <w:spacing w:val="-7"/>
                <w:sz w:val="22"/>
              </w:rPr>
              <w:t> </w:t>
            </w:r>
            <w:r>
              <w:rPr>
                <w:sz w:val="22"/>
              </w:rPr>
              <w:t>и</w:t>
            </w:r>
            <w:r>
              <w:rPr>
                <w:spacing w:val="-8"/>
                <w:sz w:val="22"/>
              </w:rPr>
              <w:t> </w:t>
            </w:r>
            <w:r>
              <w:rPr>
                <w:sz w:val="22"/>
              </w:rPr>
              <w:t>не</w:t>
            </w:r>
            <w:r>
              <w:rPr>
                <w:spacing w:val="-7"/>
                <w:sz w:val="22"/>
              </w:rPr>
              <w:t> </w:t>
            </w:r>
            <w:r>
              <w:rPr>
                <w:sz w:val="22"/>
              </w:rPr>
              <w:t>имеющих других факторов риска</w:t>
            </w:r>
            <w:r>
              <w:rPr>
                <w:sz w:val="22"/>
                <w:vertAlign w:val="superscript"/>
              </w:rPr>
              <w:t>2</w:t>
            </w:r>
          </w:p>
        </w:tc>
        <w:tc>
          <w:tcPr>
            <w:tcW w:w="2746" w:type="dxa"/>
          </w:tcPr>
          <w:p>
            <w:pPr>
              <w:pStyle w:val="TableParagraph"/>
              <w:spacing w:before="7"/>
              <w:ind w:right="518"/>
              <w:jc w:val="right"/>
              <w:rPr>
                <w:sz w:val="22"/>
              </w:rPr>
            </w:pPr>
            <w:r>
              <w:rPr>
                <w:sz w:val="22"/>
              </w:rPr>
              <w:t>Амоксициллин</w:t>
            </w:r>
            <w:r>
              <w:rPr>
                <w:spacing w:val="-13"/>
                <w:sz w:val="22"/>
              </w:rPr>
              <w:t> </w:t>
            </w:r>
            <w:r>
              <w:rPr>
                <w:spacing w:val="-2"/>
                <w:sz w:val="22"/>
              </w:rPr>
              <w:t>внутрь</w:t>
            </w:r>
          </w:p>
        </w:tc>
        <w:tc>
          <w:tcPr>
            <w:tcW w:w="1932" w:type="dxa"/>
          </w:tcPr>
          <w:p>
            <w:pPr>
              <w:pStyle w:val="TableParagraph"/>
              <w:spacing w:before="7"/>
              <w:ind w:left="99" w:right="205"/>
              <w:rPr>
                <w:sz w:val="22"/>
              </w:rPr>
            </w:pPr>
            <w:r>
              <w:rPr>
                <w:spacing w:val="-2"/>
                <w:sz w:val="22"/>
              </w:rPr>
              <w:t>Макролид внутрь</w:t>
            </w:r>
            <w:r>
              <w:rPr>
                <w:spacing w:val="-2"/>
                <w:sz w:val="22"/>
                <w:vertAlign w:val="superscript"/>
              </w:rPr>
              <w:t>3</w:t>
            </w:r>
          </w:p>
        </w:tc>
      </w:tr>
      <w:tr>
        <w:trPr>
          <w:trHeight w:val="1514" w:hRule="atLeast"/>
        </w:trPr>
        <w:tc>
          <w:tcPr>
            <w:tcW w:w="4254" w:type="dxa"/>
            <w:shd w:val="clear" w:color="auto" w:fill="F1F1F1"/>
          </w:tcPr>
          <w:p>
            <w:pPr>
              <w:pStyle w:val="TableParagraph"/>
              <w:spacing w:before="1"/>
              <w:ind w:left="105"/>
              <w:rPr>
                <w:sz w:val="22"/>
              </w:rPr>
            </w:pPr>
            <w:r>
              <w:rPr>
                <w:sz w:val="22"/>
              </w:rPr>
              <w:t>Нетяжелая</w:t>
            </w:r>
            <w:r>
              <w:rPr>
                <w:spacing w:val="-3"/>
                <w:sz w:val="22"/>
              </w:rPr>
              <w:t> </w:t>
            </w:r>
            <w:r>
              <w:rPr>
                <w:sz w:val="22"/>
              </w:rPr>
              <w:t>ВП</w:t>
            </w:r>
            <w:r>
              <w:rPr>
                <w:spacing w:val="-2"/>
                <w:sz w:val="22"/>
              </w:rPr>
              <w:t> </w:t>
            </w:r>
            <w:r>
              <w:rPr>
                <w:sz w:val="22"/>
              </w:rPr>
              <w:t>у</w:t>
            </w:r>
            <w:r>
              <w:rPr>
                <w:spacing w:val="-1"/>
                <w:sz w:val="22"/>
              </w:rPr>
              <w:t> </w:t>
            </w:r>
            <w:r>
              <w:rPr>
                <w:spacing w:val="-2"/>
                <w:sz w:val="22"/>
              </w:rPr>
              <w:t>пациентов</w:t>
            </w:r>
          </w:p>
          <w:p>
            <w:pPr>
              <w:pStyle w:val="TableParagraph"/>
              <w:spacing w:before="1"/>
              <w:ind w:left="105" w:right="300"/>
              <w:rPr>
                <w:sz w:val="22"/>
              </w:rPr>
            </w:pPr>
            <w:r>
              <w:rPr>
                <w:sz w:val="22"/>
              </w:rPr>
              <w:t>с сопутствующими заболеваниями</w:t>
            </w:r>
            <w:r>
              <w:rPr>
                <w:sz w:val="22"/>
                <w:vertAlign w:val="superscript"/>
              </w:rPr>
              <w:t>1</w:t>
            </w:r>
            <w:r>
              <w:rPr>
                <w:sz w:val="22"/>
                <w:vertAlign w:val="baseline"/>
              </w:rPr>
              <w:t> и/или</w:t>
            </w:r>
            <w:r>
              <w:rPr>
                <w:spacing w:val="-7"/>
                <w:sz w:val="22"/>
                <w:vertAlign w:val="baseline"/>
              </w:rPr>
              <w:t> </w:t>
            </w:r>
            <w:r>
              <w:rPr>
                <w:sz w:val="22"/>
                <w:vertAlign w:val="baseline"/>
              </w:rPr>
              <w:t>принимавших</w:t>
            </w:r>
            <w:r>
              <w:rPr>
                <w:spacing w:val="-7"/>
                <w:sz w:val="22"/>
                <w:vertAlign w:val="baseline"/>
              </w:rPr>
              <w:t> </w:t>
            </w:r>
            <w:r>
              <w:rPr>
                <w:sz w:val="22"/>
                <w:vertAlign w:val="baseline"/>
              </w:rPr>
              <w:t>за</w:t>
            </w:r>
            <w:r>
              <w:rPr>
                <w:spacing w:val="-7"/>
                <w:sz w:val="22"/>
                <w:vertAlign w:val="baseline"/>
              </w:rPr>
              <w:t> </w:t>
            </w:r>
            <w:r>
              <w:rPr>
                <w:sz w:val="22"/>
                <w:vertAlign w:val="baseline"/>
              </w:rPr>
              <w:t>последние</w:t>
            </w:r>
            <w:r>
              <w:rPr>
                <w:spacing w:val="-10"/>
                <w:sz w:val="22"/>
                <w:vertAlign w:val="baseline"/>
              </w:rPr>
              <w:t> </w:t>
            </w:r>
            <w:r>
              <w:rPr>
                <w:sz w:val="22"/>
                <w:vertAlign w:val="baseline"/>
              </w:rPr>
              <w:t>3</w:t>
            </w:r>
            <w:r>
              <w:rPr>
                <w:spacing w:val="-7"/>
                <w:sz w:val="22"/>
                <w:vertAlign w:val="baseline"/>
              </w:rPr>
              <w:t> </w:t>
            </w:r>
            <w:r>
              <w:rPr>
                <w:sz w:val="22"/>
                <w:vertAlign w:val="baseline"/>
              </w:rPr>
              <w:t>мес антибиотики ≥2 дней и/или имеющих другие факторы риска</w:t>
            </w:r>
            <w:r>
              <w:rPr>
                <w:sz w:val="22"/>
                <w:vertAlign w:val="superscript"/>
              </w:rPr>
              <w:t>2</w:t>
            </w:r>
          </w:p>
        </w:tc>
        <w:tc>
          <w:tcPr>
            <w:tcW w:w="2746" w:type="dxa"/>
            <w:shd w:val="clear" w:color="auto" w:fill="F1F1F1"/>
          </w:tcPr>
          <w:p>
            <w:pPr>
              <w:pStyle w:val="TableParagraph"/>
              <w:spacing w:before="1"/>
              <w:ind w:left="101" w:right="176"/>
              <w:rPr>
                <w:sz w:val="22"/>
              </w:rPr>
            </w:pPr>
            <w:r>
              <w:rPr>
                <w:spacing w:val="-2"/>
                <w:sz w:val="22"/>
              </w:rPr>
              <w:t>Амоксициллин/ </w:t>
            </w:r>
            <w:r>
              <w:rPr>
                <w:sz w:val="22"/>
              </w:rPr>
              <w:t>клавулановая</w:t>
            </w:r>
            <w:r>
              <w:rPr>
                <w:spacing w:val="-14"/>
                <w:sz w:val="22"/>
              </w:rPr>
              <w:t> </w:t>
            </w:r>
            <w:r>
              <w:rPr>
                <w:sz w:val="22"/>
              </w:rPr>
              <w:t>кислота</w:t>
            </w:r>
            <w:r>
              <w:rPr>
                <w:spacing w:val="-14"/>
                <w:sz w:val="22"/>
              </w:rPr>
              <w:t> </w:t>
            </w:r>
            <w:r>
              <w:rPr>
                <w:sz w:val="22"/>
              </w:rPr>
              <w:t>и др. ИЗП внутрь</w:t>
            </w:r>
          </w:p>
        </w:tc>
        <w:tc>
          <w:tcPr>
            <w:tcW w:w="1932" w:type="dxa"/>
            <w:shd w:val="clear" w:color="auto" w:fill="F1F1F1"/>
          </w:tcPr>
          <w:p>
            <w:pPr>
              <w:pStyle w:val="TableParagraph"/>
              <w:spacing w:before="1"/>
              <w:ind w:left="99"/>
              <w:rPr>
                <w:sz w:val="22"/>
              </w:rPr>
            </w:pPr>
            <w:r>
              <w:rPr>
                <w:spacing w:val="-5"/>
                <w:sz w:val="22"/>
              </w:rPr>
              <w:t>РХ</w:t>
            </w:r>
          </w:p>
          <w:p>
            <w:pPr>
              <w:pStyle w:val="TableParagraph"/>
              <w:spacing w:before="1"/>
              <w:ind w:left="99"/>
              <w:rPr>
                <w:sz w:val="22"/>
              </w:rPr>
            </w:pPr>
            <w:r>
              <w:rPr>
                <w:spacing w:val="-2"/>
                <w:sz w:val="22"/>
              </w:rPr>
              <w:t>(левофлоксацин, моксифлоксацин) внутрь</w:t>
            </w:r>
          </w:p>
          <w:p>
            <w:pPr>
              <w:pStyle w:val="TableParagraph"/>
              <w:spacing w:line="251" w:lineRule="exact"/>
              <w:ind w:left="99"/>
              <w:rPr>
                <w:sz w:val="22"/>
              </w:rPr>
            </w:pPr>
            <w:r>
              <w:rPr>
                <w:spacing w:val="-5"/>
                <w:sz w:val="22"/>
              </w:rPr>
              <w:t>ИЛИ</w:t>
            </w:r>
          </w:p>
          <w:p>
            <w:pPr>
              <w:pStyle w:val="TableParagraph"/>
              <w:spacing w:line="229" w:lineRule="exact"/>
              <w:ind w:left="99"/>
              <w:rPr>
                <w:sz w:val="22"/>
              </w:rPr>
            </w:pPr>
            <w:r>
              <w:rPr>
                <w:sz w:val="22"/>
              </w:rPr>
              <w:t>ЦС</w:t>
            </w:r>
            <w:r>
              <w:rPr>
                <w:spacing w:val="-5"/>
                <w:sz w:val="22"/>
              </w:rPr>
              <w:t> </w:t>
            </w:r>
            <w:r>
              <w:rPr>
                <w:sz w:val="22"/>
              </w:rPr>
              <w:t>III</w:t>
            </w:r>
            <w:r>
              <w:rPr>
                <w:sz w:val="22"/>
                <w:vertAlign w:val="superscript"/>
              </w:rPr>
              <w:t>4</w:t>
            </w:r>
            <w:r>
              <w:rPr>
                <w:spacing w:val="-4"/>
                <w:sz w:val="22"/>
                <w:vertAlign w:val="baseline"/>
              </w:rPr>
              <w:t> </w:t>
            </w:r>
            <w:r>
              <w:rPr>
                <w:spacing w:val="-2"/>
                <w:sz w:val="22"/>
                <w:vertAlign w:val="baseline"/>
              </w:rPr>
              <w:t>внутрь</w:t>
            </w:r>
          </w:p>
        </w:tc>
      </w:tr>
    </w:tbl>
    <w:p>
      <w:pPr>
        <w:spacing w:before="235"/>
        <w:ind w:left="1841" w:right="1283" w:firstLine="0"/>
        <w:jc w:val="left"/>
        <w:rPr>
          <w:sz w:val="20"/>
        </w:rPr>
      </w:pPr>
      <w:r>
        <w:rPr>
          <w:i/>
          <w:sz w:val="20"/>
        </w:rPr>
        <w:t>Примечание</w:t>
      </w:r>
      <w:r>
        <w:rPr>
          <w:sz w:val="20"/>
        </w:rPr>
        <w:t>: ИЗП – ингибиторозащищенный аминопенициллин (амоксициллин/ клавулановая кислота,</w:t>
      </w:r>
      <w:r>
        <w:rPr>
          <w:spacing w:val="-7"/>
          <w:sz w:val="20"/>
        </w:rPr>
        <w:t> </w:t>
      </w:r>
      <w:r>
        <w:rPr>
          <w:sz w:val="20"/>
        </w:rPr>
        <w:t>амоксициллин/сульбактам,</w:t>
      </w:r>
      <w:r>
        <w:rPr>
          <w:spacing w:val="-7"/>
          <w:sz w:val="20"/>
        </w:rPr>
        <w:t> </w:t>
      </w:r>
      <w:r>
        <w:rPr>
          <w:sz w:val="20"/>
        </w:rPr>
        <w:t>ампициллин/сульбактам),</w:t>
      </w:r>
      <w:r>
        <w:rPr>
          <w:spacing w:val="-7"/>
          <w:sz w:val="20"/>
        </w:rPr>
        <w:t> </w:t>
      </w:r>
      <w:r>
        <w:rPr>
          <w:sz w:val="20"/>
        </w:rPr>
        <w:t>РХ</w:t>
      </w:r>
      <w:r>
        <w:rPr>
          <w:spacing w:val="-7"/>
          <w:sz w:val="20"/>
        </w:rPr>
        <w:t> </w:t>
      </w:r>
      <w:r>
        <w:rPr>
          <w:sz w:val="20"/>
        </w:rPr>
        <w:t>–</w:t>
      </w:r>
      <w:r>
        <w:rPr>
          <w:spacing w:val="-6"/>
          <w:sz w:val="20"/>
        </w:rPr>
        <w:t> </w:t>
      </w:r>
      <w:r>
        <w:rPr>
          <w:sz w:val="20"/>
        </w:rPr>
        <w:t>респираторный</w:t>
      </w:r>
      <w:r>
        <w:rPr>
          <w:spacing w:val="-5"/>
          <w:sz w:val="20"/>
        </w:rPr>
        <w:t> </w:t>
      </w:r>
      <w:r>
        <w:rPr>
          <w:sz w:val="20"/>
        </w:rPr>
        <w:t>хинолон,</w:t>
      </w:r>
      <w:r>
        <w:rPr>
          <w:spacing w:val="-7"/>
          <w:sz w:val="20"/>
        </w:rPr>
        <w:t> </w:t>
      </w:r>
      <w:r>
        <w:rPr>
          <w:sz w:val="20"/>
        </w:rPr>
        <w:t>ЦС</w:t>
      </w:r>
      <w:r>
        <w:rPr>
          <w:spacing w:val="-5"/>
          <w:sz w:val="20"/>
        </w:rPr>
        <w:t> </w:t>
      </w:r>
      <w:r>
        <w:rPr>
          <w:sz w:val="20"/>
        </w:rPr>
        <w:t>– </w:t>
      </w:r>
      <w:r>
        <w:rPr>
          <w:spacing w:val="-2"/>
          <w:sz w:val="20"/>
        </w:rPr>
        <w:t>цефалоспорин</w:t>
      </w:r>
    </w:p>
    <w:p>
      <w:pPr>
        <w:spacing w:before="1"/>
        <w:ind w:left="1841" w:right="0" w:firstLine="0"/>
        <w:jc w:val="left"/>
        <w:rPr>
          <w:sz w:val="20"/>
        </w:rPr>
      </w:pPr>
      <w:r>
        <w:rPr>
          <w:sz w:val="20"/>
          <w:vertAlign w:val="superscript"/>
        </w:rPr>
        <w:t>1</w:t>
      </w:r>
      <w:r>
        <w:rPr>
          <w:spacing w:val="-17"/>
          <w:sz w:val="20"/>
          <w:vertAlign w:val="baseline"/>
        </w:rPr>
        <w:t> </w:t>
      </w:r>
      <w:r>
        <w:rPr>
          <w:sz w:val="20"/>
          <w:vertAlign w:val="baseline"/>
        </w:rPr>
        <w:t>ХОБЛ,</w:t>
      </w:r>
      <w:r>
        <w:rPr>
          <w:spacing w:val="-12"/>
          <w:sz w:val="20"/>
          <w:vertAlign w:val="baseline"/>
        </w:rPr>
        <w:t> </w:t>
      </w:r>
      <w:r>
        <w:rPr>
          <w:sz w:val="20"/>
          <w:vertAlign w:val="baseline"/>
        </w:rPr>
        <w:t>СД,</w:t>
      </w:r>
      <w:r>
        <w:rPr>
          <w:spacing w:val="-8"/>
          <w:sz w:val="20"/>
          <w:vertAlign w:val="baseline"/>
        </w:rPr>
        <w:t> </w:t>
      </w:r>
      <w:r>
        <w:rPr>
          <w:sz w:val="20"/>
          <w:vertAlign w:val="baseline"/>
        </w:rPr>
        <w:t>ХСН,</w:t>
      </w:r>
      <w:r>
        <w:rPr>
          <w:spacing w:val="-7"/>
          <w:sz w:val="20"/>
          <w:vertAlign w:val="baseline"/>
        </w:rPr>
        <w:t> </w:t>
      </w:r>
      <w:r>
        <w:rPr>
          <w:sz w:val="20"/>
          <w:vertAlign w:val="baseline"/>
        </w:rPr>
        <w:t>ХБП,</w:t>
      </w:r>
      <w:r>
        <w:rPr>
          <w:spacing w:val="-7"/>
          <w:sz w:val="20"/>
          <w:vertAlign w:val="baseline"/>
        </w:rPr>
        <w:t> </w:t>
      </w:r>
      <w:r>
        <w:rPr>
          <w:sz w:val="20"/>
          <w:vertAlign w:val="baseline"/>
        </w:rPr>
        <w:t>цирроз</w:t>
      </w:r>
      <w:r>
        <w:rPr>
          <w:spacing w:val="-7"/>
          <w:sz w:val="20"/>
          <w:vertAlign w:val="baseline"/>
        </w:rPr>
        <w:t> </w:t>
      </w:r>
      <w:r>
        <w:rPr>
          <w:sz w:val="20"/>
          <w:vertAlign w:val="baseline"/>
        </w:rPr>
        <w:t>печени,</w:t>
      </w:r>
      <w:r>
        <w:rPr>
          <w:spacing w:val="-7"/>
          <w:sz w:val="20"/>
          <w:vertAlign w:val="baseline"/>
        </w:rPr>
        <w:t> </w:t>
      </w:r>
      <w:r>
        <w:rPr>
          <w:sz w:val="20"/>
          <w:vertAlign w:val="baseline"/>
        </w:rPr>
        <w:t>алкоголизм,</w:t>
      </w:r>
      <w:r>
        <w:rPr>
          <w:spacing w:val="-7"/>
          <w:sz w:val="20"/>
          <w:vertAlign w:val="baseline"/>
        </w:rPr>
        <w:t> </w:t>
      </w:r>
      <w:r>
        <w:rPr>
          <w:sz w:val="20"/>
          <w:vertAlign w:val="baseline"/>
        </w:rPr>
        <w:t>наркомания,</w:t>
      </w:r>
      <w:r>
        <w:rPr>
          <w:spacing w:val="-6"/>
          <w:sz w:val="20"/>
          <w:vertAlign w:val="baseline"/>
        </w:rPr>
        <w:t> </w:t>
      </w:r>
      <w:r>
        <w:rPr>
          <w:spacing w:val="-2"/>
          <w:sz w:val="20"/>
          <w:vertAlign w:val="baseline"/>
        </w:rPr>
        <w:t>истощение.</w:t>
      </w:r>
    </w:p>
    <w:p>
      <w:pPr>
        <w:spacing w:line="276" w:lineRule="auto" w:before="34"/>
        <w:ind w:left="1841" w:right="1278" w:firstLine="0"/>
        <w:jc w:val="both"/>
        <w:rPr>
          <w:sz w:val="20"/>
        </w:rPr>
      </w:pPr>
      <w:r>
        <w:rPr>
          <w:sz w:val="20"/>
          <w:vertAlign w:val="superscript"/>
        </w:rPr>
        <w:t>2</w:t>
      </w:r>
      <w:r>
        <w:rPr>
          <w:sz w:val="20"/>
          <w:vertAlign w:val="baseline"/>
        </w:rPr>
        <w:t> К факторам риска инфицирования редкими и/или полирезистентными возбудителями относят пребывание</w:t>
      </w:r>
      <w:r>
        <w:rPr>
          <w:spacing w:val="-5"/>
          <w:sz w:val="20"/>
          <w:vertAlign w:val="baseline"/>
        </w:rPr>
        <w:t> </w:t>
      </w:r>
      <w:r>
        <w:rPr>
          <w:sz w:val="20"/>
          <w:vertAlign w:val="baseline"/>
        </w:rPr>
        <w:t>в</w:t>
      </w:r>
      <w:r>
        <w:rPr>
          <w:spacing w:val="-8"/>
          <w:sz w:val="20"/>
          <w:vertAlign w:val="baseline"/>
        </w:rPr>
        <w:t> </w:t>
      </w:r>
      <w:r>
        <w:rPr>
          <w:sz w:val="20"/>
          <w:vertAlign w:val="baseline"/>
        </w:rPr>
        <w:t>доме</w:t>
      </w:r>
      <w:r>
        <w:rPr>
          <w:spacing w:val="-5"/>
          <w:sz w:val="20"/>
          <w:vertAlign w:val="baseline"/>
        </w:rPr>
        <w:t> </w:t>
      </w:r>
      <w:r>
        <w:rPr>
          <w:sz w:val="20"/>
          <w:vertAlign w:val="baseline"/>
        </w:rPr>
        <w:t>престарелых</w:t>
      </w:r>
      <w:r>
        <w:rPr>
          <w:spacing w:val="-6"/>
          <w:sz w:val="20"/>
          <w:vertAlign w:val="baseline"/>
        </w:rPr>
        <w:t> </w:t>
      </w:r>
      <w:r>
        <w:rPr>
          <w:sz w:val="20"/>
          <w:vertAlign w:val="baseline"/>
        </w:rPr>
        <w:t>или</w:t>
      </w:r>
      <w:r>
        <w:rPr>
          <w:spacing w:val="-6"/>
          <w:sz w:val="20"/>
          <w:vertAlign w:val="baseline"/>
        </w:rPr>
        <w:t> </w:t>
      </w:r>
      <w:r>
        <w:rPr>
          <w:sz w:val="20"/>
          <w:vertAlign w:val="baseline"/>
        </w:rPr>
        <w:t>других</w:t>
      </w:r>
      <w:r>
        <w:rPr>
          <w:spacing w:val="-7"/>
          <w:sz w:val="20"/>
          <w:vertAlign w:val="baseline"/>
        </w:rPr>
        <w:t> </w:t>
      </w:r>
      <w:r>
        <w:rPr>
          <w:sz w:val="20"/>
          <w:vertAlign w:val="baseline"/>
        </w:rPr>
        <w:t>учреждениях</w:t>
      </w:r>
      <w:r>
        <w:rPr>
          <w:spacing w:val="-7"/>
          <w:sz w:val="20"/>
          <w:vertAlign w:val="baseline"/>
        </w:rPr>
        <w:t> </w:t>
      </w:r>
      <w:r>
        <w:rPr>
          <w:sz w:val="20"/>
          <w:vertAlign w:val="baseline"/>
        </w:rPr>
        <w:t>длительного</w:t>
      </w:r>
      <w:r>
        <w:rPr>
          <w:spacing w:val="-7"/>
          <w:sz w:val="20"/>
          <w:vertAlign w:val="baseline"/>
        </w:rPr>
        <w:t> </w:t>
      </w:r>
      <w:r>
        <w:rPr>
          <w:sz w:val="20"/>
          <w:vertAlign w:val="baseline"/>
        </w:rPr>
        <w:t>ухода,</w:t>
      </w:r>
      <w:r>
        <w:rPr>
          <w:spacing w:val="-7"/>
          <w:sz w:val="20"/>
          <w:vertAlign w:val="baseline"/>
        </w:rPr>
        <w:t> </w:t>
      </w:r>
      <w:r>
        <w:rPr>
          <w:sz w:val="20"/>
          <w:vertAlign w:val="baseline"/>
        </w:rPr>
        <w:t>наличие</w:t>
      </w:r>
      <w:r>
        <w:rPr>
          <w:spacing w:val="-7"/>
          <w:sz w:val="20"/>
          <w:vertAlign w:val="baseline"/>
        </w:rPr>
        <w:t> </w:t>
      </w:r>
      <w:r>
        <w:rPr>
          <w:sz w:val="20"/>
          <w:vertAlign w:val="baseline"/>
        </w:rPr>
        <w:t>госпитализаций </w:t>
      </w:r>
      <w:r>
        <w:rPr>
          <w:spacing w:val="-2"/>
          <w:sz w:val="20"/>
          <w:vertAlign w:val="baseline"/>
        </w:rPr>
        <w:t>по</w:t>
      </w:r>
      <w:r>
        <w:rPr>
          <w:spacing w:val="-5"/>
          <w:sz w:val="20"/>
          <w:vertAlign w:val="baseline"/>
        </w:rPr>
        <w:t> </w:t>
      </w:r>
      <w:r>
        <w:rPr>
          <w:spacing w:val="-2"/>
          <w:sz w:val="20"/>
          <w:vertAlign w:val="baseline"/>
        </w:rPr>
        <w:t>любому</w:t>
      </w:r>
      <w:r>
        <w:rPr>
          <w:spacing w:val="-5"/>
          <w:sz w:val="20"/>
          <w:vertAlign w:val="baseline"/>
        </w:rPr>
        <w:t> </w:t>
      </w:r>
      <w:r>
        <w:rPr>
          <w:spacing w:val="-2"/>
          <w:sz w:val="20"/>
          <w:vertAlign w:val="baseline"/>
        </w:rPr>
        <w:t>поводу</w:t>
      </w:r>
      <w:r>
        <w:rPr>
          <w:spacing w:val="-6"/>
          <w:sz w:val="20"/>
          <w:vertAlign w:val="baseline"/>
        </w:rPr>
        <w:t> </w:t>
      </w:r>
      <w:r>
        <w:rPr>
          <w:spacing w:val="-2"/>
          <w:sz w:val="20"/>
          <w:vertAlign w:val="baseline"/>
        </w:rPr>
        <w:t>в</w:t>
      </w:r>
      <w:r>
        <w:rPr>
          <w:spacing w:val="-7"/>
          <w:sz w:val="20"/>
          <w:vertAlign w:val="baseline"/>
        </w:rPr>
        <w:t> </w:t>
      </w:r>
      <w:r>
        <w:rPr>
          <w:spacing w:val="-2"/>
          <w:sz w:val="20"/>
          <w:vertAlign w:val="baseline"/>
        </w:rPr>
        <w:t>течение</w:t>
      </w:r>
      <w:r>
        <w:rPr>
          <w:spacing w:val="-6"/>
          <w:sz w:val="20"/>
          <w:vertAlign w:val="baseline"/>
        </w:rPr>
        <w:t> </w:t>
      </w:r>
      <w:r>
        <w:rPr>
          <w:spacing w:val="-2"/>
          <w:sz w:val="20"/>
          <w:vertAlign w:val="baseline"/>
        </w:rPr>
        <w:t>≥</w:t>
      </w:r>
      <w:r>
        <w:rPr>
          <w:spacing w:val="-5"/>
          <w:sz w:val="20"/>
          <w:vertAlign w:val="baseline"/>
        </w:rPr>
        <w:t> </w:t>
      </w:r>
      <w:r>
        <w:rPr>
          <w:spacing w:val="-2"/>
          <w:sz w:val="20"/>
          <w:vertAlign w:val="baseline"/>
        </w:rPr>
        <w:t>2</w:t>
      </w:r>
      <w:r>
        <w:rPr>
          <w:spacing w:val="-5"/>
          <w:sz w:val="20"/>
          <w:vertAlign w:val="baseline"/>
        </w:rPr>
        <w:t> </w:t>
      </w:r>
      <w:r>
        <w:rPr>
          <w:spacing w:val="-2"/>
          <w:sz w:val="20"/>
          <w:vertAlign w:val="baseline"/>
        </w:rPr>
        <w:t>суток</w:t>
      </w:r>
      <w:r>
        <w:rPr>
          <w:spacing w:val="-7"/>
          <w:sz w:val="20"/>
          <w:vertAlign w:val="baseline"/>
        </w:rPr>
        <w:t> </w:t>
      </w:r>
      <w:r>
        <w:rPr>
          <w:spacing w:val="-2"/>
          <w:sz w:val="20"/>
          <w:vertAlign w:val="baseline"/>
        </w:rPr>
        <w:t>в</w:t>
      </w:r>
      <w:r>
        <w:rPr>
          <w:spacing w:val="-7"/>
          <w:sz w:val="20"/>
          <w:vertAlign w:val="baseline"/>
        </w:rPr>
        <w:t> </w:t>
      </w:r>
      <w:r>
        <w:rPr>
          <w:spacing w:val="-2"/>
          <w:sz w:val="20"/>
          <w:vertAlign w:val="baseline"/>
        </w:rPr>
        <w:t>предшествующие</w:t>
      </w:r>
      <w:r>
        <w:rPr>
          <w:spacing w:val="-3"/>
          <w:sz w:val="20"/>
          <w:vertAlign w:val="baseline"/>
        </w:rPr>
        <w:t> </w:t>
      </w:r>
      <w:r>
        <w:rPr>
          <w:spacing w:val="-2"/>
          <w:sz w:val="20"/>
          <w:vertAlign w:val="baseline"/>
        </w:rPr>
        <w:t>90</w:t>
      </w:r>
      <w:r>
        <w:rPr>
          <w:spacing w:val="-5"/>
          <w:sz w:val="20"/>
          <w:vertAlign w:val="baseline"/>
        </w:rPr>
        <w:t> </w:t>
      </w:r>
      <w:r>
        <w:rPr>
          <w:spacing w:val="-2"/>
          <w:sz w:val="20"/>
          <w:vertAlign w:val="baseline"/>
        </w:rPr>
        <w:t>дней,</w:t>
      </w:r>
      <w:r>
        <w:rPr>
          <w:spacing w:val="-6"/>
          <w:sz w:val="20"/>
          <w:vertAlign w:val="baseline"/>
        </w:rPr>
        <w:t> </w:t>
      </w:r>
      <w:r>
        <w:rPr>
          <w:spacing w:val="-2"/>
          <w:sz w:val="20"/>
          <w:vertAlign w:val="baseline"/>
        </w:rPr>
        <w:t>в/в</w:t>
      </w:r>
      <w:r>
        <w:rPr>
          <w:spacing w:val="-7"/>
          <w:sz w:val="20"/>
          <w:vertAlign w:val="baseline"/>
        </w:rPr>
        <w:t> </w:t>
      </w:r>
      <w:r>
        <w:rPr>
          <w:spacing w:val="-2"/>
          <w:sz w:val="20"/>
          <w:vertAlign w:val="baseline"/>
        </w:rPr>
        <w:t>терапия, наличие</w:t>
      </w:r>
      <w:r>
        <w:rPr>
          <w:spacing w:val="-6"/>
          <w:sz w:val="20"/>
          <w:vertAlign w:val="baseline"/>
        </w:rPr>
        <w:t> </w:t>
      </w:r>
      <w:r>
        <w:rPr>
          <w:spacing w:val="-2"/>
          <w:sz w:val="20"/>
          <w:vertAlign w:val="baseline"/>
        </w:rPr>
        <w:t>сеансов</w:t>
      </w:r>
      <w:r>
        <w:rPr>
          <w:spacing w:val="-7"/>
          <w:sz w:val="20"/>
          <w:vertAlign w:val="baseline"/>
        </w:rPr>
        <w:t> </w:t>
      </w:r>
      <w:r>
        <w:rPr>
          <w:spacing w:val="-2"/>
          <w:sz w:val="20"/>
          <w:vertAlign w:val="baseline"/>
        </w:rPr>
        <w:t>диализа </w:t>
      </w:r>
      <w:r>
        <w:rPr>
          <w:sz w:val="20"/>
          <w:vertAlign w:val="baseline"/>
        </w:rPr>
        <w:t>или лечение ран в домашних условиях в предшествующие 30 дней.</w:t>
      </w:r>
    </w:p>
    <w:p>
      <w:pPr>
        <w:spacing w:line="240" w:lineRule="auto" w:before="0"/>
        <w:ind w:left="1841" w:right="1275" w:firstLine="0"/>
        <w:jc w:val="both"/>
        <w:rPr>
          <w:sz w:val="20"/>
        </w:rPr>
      </w:pPr>
      <w:r>
        <w:rPr>
          <w:sz w:val="20"/>
          <w:vertAlign w:val="superscript"/>
        </w:rPr>
        <w:t>3</w:t>
      </w:r>
      <w:r>
        <w:rPr>
          <w:sz w:val="20"/>
          <w:vertAlign w:val="baseline"/>
        </w:rPr>
        <w:t> В</w:t>
      </w:r>
      <w:r>
        <w:rPr>
          <w:spacing w:val="38"/>
          <w:sz w:val="20"/>
          <w:vertAlign w:val="baseline"/>
        </w:rPr>
        <w:t> </w:t>
      </w:r>
      <w:r>
        <w:rPr>
          <w:sz w:val="20"/>
          <w:vertAlign w:val="baseline"/>
        </w:rPr>
        <w:t>районах</w:t>
      </w:r>
      <w:r>
        <w:rPr>
          <w:spacing w:val="39"/>
          <w:sz w:val="20"/>
          <w:vertAlign w:val="baseline"/>
        </w:rPr>
        <w:t> </w:t>
      </w:r>
      <w:r>
        <w:rPr>
          <w:sz w:val="20"/>
          <w:vertAlign w:val="baseline"/>
        </w:rPr>
        <w:t>с</w:t>
      </w:r>
      <w:r>
        <w:rPr>
          <w:spacing w:val="38"/>
          <w:sz w:val="20"/>
          <w:vertAlign w:val="baseline"/>
        </w:rPr>
        <w:t> </w:t>
      </w:r>
      <w:r>
        <w:rPr>
          <w:sz w:val="20"/>
          <w:vertAlign w:val="baseline"/>
        </w:rPr>
        <w:t>высоким</w:t>
      </w:r>
      <w:r>
        <w:rPr>
          <w:spacing w:val="39"/>
          <w:sz w:val="20"/>
          <w:vertAlign w:val="baseline"/>
        </w:rPr>
        <w:t> </w:t>
      </w:r>
      <w:r>
        <w:rPr>
          <w:sz w:val="20"/>
          <w:vertAlign w:val="baseline"/>
        </w:rPr>
        <w:t>(&gt;25%)</w:t>
      </w:r>
      <w:r>
        <w:rPr>
          <w:spacing w:val="38"/>
          <w:sz w:val="20"/>
          <w:vertAlign w:val="baseline"/>
        </w:rPr>
        <w:t> </w:t>
      </w:r>
      <w:r>
        <w:rPr>
          <w:sz w:val="20"/>
          <w:vertAlign w:val="baseline"/>
        </w:rPr>
        <w:t>уровнем</w:t>
      </w:r>
      <w:r>
        <w:rPr>
          <w:spacing w:val="39"/>
          <w:sz w:val="20"/>
          <w:vertAlign w:val="baseline"/>
        </w:rPr>
        <w:t> </w:t>
      </w:r>
      <w:r>
        <w:rPr>
          <w:sz w:val="20"/>
          <w:vertAlign w:val="baseline"/>
        </w:rPr>
        <w:t>устойчивости</w:t>
      </w:r>
      <w:r>
        <w:rPr>
          <w:spacing w:val="40"/>
          <w:sz w:val="20"/>
          <w:vertAlign w:val="baseline"/>
        </w:rPr>
        <w:t> </w:t>
      </w:r>
      <w:r>
        <w:rPr>
          <w:i/>
          <w:sz w:val="20"/>
          <w:vertAlign w:val="baseline"/>
        </w:rPr>
        <w:t>S.</w:t>
      </w:r>
      <w:r>
        <w:rPr>
          <w:i/>
          <w:spacing w:val="38"/>
          <w:sz w:val="20"/>
          <w:vertAlign w:val="baseline"/>
        </w:rPr>
        <w:t> </w:t>
      </w:r>
      <w:r>
        <w:rPr>
          <w:i/>
          <w:sz w:val="20"/>
          <w:vertAlign w:val="baseline"/>
        </w:rPr>
        <w:t>pneumoniae</w:t>
      </w:r>
      <w:r>
        <w:rPr>
          <w:i/>
          <w:spacing w:val="40"/>
          <w:sz w:val="20"/>
          <w:vertAlign w:val="baseline"/>
        </w:rPr>
        <w:t> </w:t>
      </w:r>
      <w:r>
        <w:rPr>
          <w:sz w:val="20"/>
          <w:vertAlign w:val="baseline"/>
        </w:rPr>
        <w:t>к</w:t>
      </w:r>
      <w:r>
        <w:rPr>
          <w:spacing w:val="38"/>
          <w:sz w:val="20"/>
          <w:vertAlign w:val="baseline"/>
        </w:rPr>
        <w:t> </w:t>
      </w:r>
      <w:r>
        <w:rPr>
          <w:sz w:val="20"/>
          <w:vertAlign w:val="baseline"/>
        </w:rPr>
        <w:t>макролидам</w:t>
      </w:r>
      <w:r>
        <w:rPr>
          <w:spacing w:val="39"/>
          <w:sz w:val="20"/>
          <w:vertAlign w:val="baseline"/>
        </w:rPr>
        <w:t> </w:t>
      </w:r>
      <w:r>
        <w:rPr>
          <w:sz w:val="20"/>
          <w:vertAlign w:val="baseline"/>
        </w:rPr>
        <w:t>(определяется по</w:t>
      </w:r>
      <w:r>
        <w:rPr>
          <w:spacing w:val="-5"/>
          <w:sz w:val="20"/>
          <w:vertAlign w:val="baseline"/>
        </w:rPr>
        <w:t> </w:t>
      </w:r>
      <w:r>
        <w:rPr>
          <w:sz w:val="20"/>
          <w:vertAlign w:val="baseline"/>
        </w:rPr>
        <w:t>эритромицину) следует рассмотреть возможность применения РХ. Следует отдавать предпочтение наиболее изученным при ВП макролидам с улучшенными фармакокинетическими свойствами (азитромицин,</w:t>
      </w:r>
      <w:r>
        <w:rPr>
          <w:spacing w:val="72"/>
          <w:sz w:val="20"/>
          <w:vertAlign w:val="baseline"/>
        </w:rPr>
        <w:t> </w:t>
      </w:r>
      <w:r>
        <w:rPr>
          <w:sz w:val="20"/>
          <w:vertAlign w:val="baseline"/>
        </w:rPr>
        <w:t>кларитромицин);</w:t>
      </w:r>
      <w:r>
        <w:rPr>
          <w:spacing w:val="76"/>
          <w:sz w:val="20"/>
          <w:vertAlign w:val="baseline"/>
        </w:rPr>
        <w:t> </w:t>
      </w:r>
      <w:r>
        <w:rPr>
          <w:sz w:val="20"/>
          <w:vertAlign w:val="baseline"/>
        </w:rPr>
        <w:t>при</w:t>
      </w:r>
      <w:r>
        <w:rPr>
          <w:spacing w:val="72"/>
          <w:sz w:val="20"/>
          <w:vertAlign w:val="baseline"/>
        </w:rPr>
        <w:t> </w:t>
      </w:r>
      <w:r>
        <w:rPr>
          <w:sz w:val="20"/>
          <w:vertAlign w:val="baseline"/>
        </w:rPr>
        <w:t>известной</w:t>
      </w:r>
      <w:r>
        <w:rPr>
          <w:spacing w:val="71"/>
          <w:sz w:val="20"/>
          <w:vertAlign w:val="baseline"/>
        </w:rPr>
        <w:t> </w:t>
      </w:r>
      <w:r>
        <w:rPr>
          <w:sz w:val="20"/>
          <w:vertAlign w:val="baseline"/>
        </w:rPr>
        <w:t>или</w:t>
      </w:r>
      <w:r>
        <w:rPr>
          <w:spacing w:val="73"/>
          <w:sz w:val="20"/>
          <w:vertAlign w:val="baseline"/>
        </w:rPr>
        <w:t> </w:t>
      </w:r>
      <w:r>
        <w:rPr>
          <w:sz w:val="20"/>
          <w:vertAlign w:val="baseline"/>
        </w:rPr>
        <w:t>предполагаемой</w:t>
      </w:r>
      <w:r>
        <w:rPr>
          <w:spacing w:val="72"/>
          <w:sz w:val="20"/>
          <w:vertAlign w:val="baseline"/>
        </w:rPr>
        <w:t> </w:t>
      </w:r>
      <w:r>
        <w:rPr>
          <w:sz w:val="20"/>
          <w:vertAlign w:val="baseline"/>
        </w:rPr>
        <w:t>микоплазменной</w:t>
      </w:r>
      <w:r>
        <w:rPr>
          <w:spacing w:val="71"/>
          <w:sz w:val="20"/>
          <w:vertAlign w:val="baseline"/>
        </w:rPr>
        <w:t> </w:t>
      </w:r>
      <w:r>
        <w:rPr>
          <w:sz w:val="20"/>
          <w:vertAlign w:val="baseline"/>
        </w:rPr>
        <w:t>этиологии в</w:t>
      </w:r>
      <w:r>
        <w:rPr>
          <w:spacing w:val="-5"/>
          <w:sz w:val="20"/>
          <w:vertAlign w:val="baseline"/>
        </w:rPr>
        <w:t> </w:t>
      </w:r>
      <w:r>
        <w:rPr>
          <w:sz w:val="20"/>
          <w:vertAlign w:val="baseline"/>
        </w:rPr>
        <w:t>районах</w:t>
      </w:r>
      <w:r>
        <w:rPr>
          <w:spacing w:val="-1"/>
          <w:sz w:val="20"/>
          <w:vertAlign w:val="baseline"/>
        </w:rPr>
        <w:t> </w:t>
      </w:r>
      <w:r>
        <w:rPr>
          <w:sz w:val="20"/>
          <w:vertAlign w:val="baseline"/>
        </w:rPr>
        <w:t>с</w:t>
      </w:r>
      <w:r>
        <w:rPr>
          <w:spacing w:val="-2"/>
          <w:sz w:val="20"/>
          <w:vertAlign w:val="baseline"/>
        </w:rPr>
        <w:t> </w:t>
      </w:r>
      <w:r>
        <w:rPr>
          <w:sz w:val="20"/>
          <w:vertAlign w:val="baseline"/>
        </w:rPr>
        <w:t>высоким</w:t>
      </w:r>
      <w:r>
        <w:rPr>
          <w:spacing w:val="-1"/>
          <w:sz w:val="20"/>
          <w:vertAlign w:val="baseline"/>
        </w:rPr>
        <w:t> </w:t>
      </w:r>
      <w:r>
        <w:rPr>
          <w:sz w:val="20"/>
          <w:vertAlign w:val="baseline"/>
        </w:rPr>
        <w:t>(&gt;25%)</w:t>
      </w:r>
      <w:r>
        <w:rPr>
          <w:spacing w:val="-1"/>
          <w:sz w:val="20"/>
          <w:vertAlign w:val="baseline"/>
        </w:rPr>
        <w:t> </w:t>
      </w:r>
      <w:r>
        <w:rPr>
          <w:sz w:val="20"/>
          <w:vertAlign w:val="baseline"/>
        </w:rPr>
        <w:t>уровнем</w:t>
      </w:r>
      <w:r>
        <w:rPr>
          <w:spacing w:val="-1"/>
          <w:sz w:val="20"/>
          <w:vertAlign w:val="baseline"/>
        </w:rPr>
        <w:t> </w:t>
      </w:r>
      <w:r>
        <w:rPr>
          <w:sz w:val="20"/>
          <w:vertAlign w:val="baseline"/>
        </w:rPr>
        <w:t>устойчивости </w:t>
      </w:r>
      <w:r>
        <w:rPr>
          <w:i/>
          <w:sz w:val="20"/>
          <w:vertAlign w:val="baseline"/>
        </w:rPr>
        <w:t>M.</w:t>
      </w:r>
      <w:r>
        <w:rPr>
          <w:i/>
          <w:spacing w:val="-2"/>
          <w:sz w:val="20"/>
          <w:vertAlign w:val="baseline"/>
        </w:rPr>
        <w:t> </w:t>
      </w:r>
      <w:r>
        <w:rPr>
          <w:i/>
          <w:sz w:val="20"/>
          <w:vertAlign w:val="baseline"/>
        </w:rPr>
        <w:t>pneumoniae </w:t>
      </w:r>
      <w:r>
        <w:rPr>
          <w:sz w:val="20"/>
          <w:vertAlign w:val="baseline"/>
        </w:rPr>
        <w:t>к</w:t>
      </w:r>
      <w:r>
        <w:rPr>
          <w:spacing w:val="-3"/>
          <w:sz w:val="20"/>
          <w:vertAlign w:val="baseline"/>
        </w:rPr>
        <w:t> </w:t>
      </w:r>
      <w:r>
        <w:rPr>
          <w:sz w:val="20"/>
          <w:vertAlign w:val="baseline"/>
        </w:rPr>
        <w:t>макролидам</w:t>
      </w:r>
      <w:r>
        <w:rPr>
          <w:spacing w:val="-1"/>
          <w:sz w:val="20"/>
          <w:vertAlign w:val="baseline"/>
        </w:rPr>
        <w:t> </w:t>
      </w:r>
      <w:r>
        <w:rPr>
          <w:sz w:val="20"/>
          <w:vertAlign w:val="baseline"/>
        </w:rPr>
        <w:t>следует</w:t>
      </w:r>
      <w:r>
        <w:rPr>
          <w:spacing w:val="-2"/>
          <w:sz w:val="20"/>
          <w:vertAlign w:val="baseline"/>
        </w:rPr>
        <w:t> </w:t>
      </w:r>
      <w:r>
        <w:rPr>
          <w:sz w:val="20"/>
          <w:vertAlign w:val="baseline"/>
        </w:rPr>
        <w:t>рассмотреть возможность применения РХ или доксициклина.</w:t>
      </w:r>
    </w:p>
    <w:p>
      <w:pPr>
        <w:spacing w:line="229" w:lineRule="exact" w:before="0"/>
        <w:ind w:left="1841" w:right="0" w:firstLine="0"/>
        <w:jc w:val="both"/>
        <w:rPr>
          <w:sz w:val="20"/>
        </w:rPr>
      </w:pPr>
      <w:r>
        <w:rPr>
          <w:spacing w:val="-2"/>
          <w:sz w:val="20"/>
          <w:vertAlign w:val="superscript"/>
        </w:rPr>
        <w:t>4</w:t>
      </w:r>
      <w:r>
        <w:rPr>
          <w:spacing w:val="-16"/>
          <w:sz w:val="20"/>
          <w:vertAlign w:val="baseline"/>
        </w:rPr>
        <w:t> </w:t>
      </w:r>
      <w:r>
        <w:rPr>
          <w:spacing w:val="-2"/>
          <w:sz w:val="20"/>
          <w:vertAlign w:val="baseline"/>
        </w:rPr>
        <w:t>Цефдиторен</w:t>
      </w:r>
    </w:p>
    <w:p>
      <w:pPr>
        <w:spacing w:after="0" w:line="229" w:lineRule="exact"/>
        <w:jc w:val="both"/>
        <w:rPr>
          <w:sz w:val="20"/>
        </w:rPr>
        <w:sectPr>
          <w:pgSz w:w="11900" w:h="16840"/>
          <w:pgMar w:header="0" w:footer="697" w:top="1080" w:bottom="880" w:left="0" w:right="0"/>
        </w:sectPr>
      </w:pPr>
    </w:p>
    <w:p>
      <w:pPr>
        <w:spacing w:line="276" w:lineRule="auto" w:before="74"/>
        <w:ind w:left="1841" w:right="2095" w:firstLine="0"/>
        <w:jc w:val="left"/>
        <w:rPr>
          <w:b/>
          <w:sz w:val="22"/>
        </w:rPr>
      </w:pPr>
      <w:bookmarkStart w:name="63" w:id="77"/>
      <w:bookmarkEnd w:id="77"/>
      <w:r>
        <w:rPr/>
      </w:r>
      <w:r>
        <w:rPr>
          <w:b/>
          <w:sz w:val="22"/>
        </w:rPr>
        <w:t>Таблица</w:t>
      </w:r>
      <w:r>
        <w:rPr>
          <w:b/>
          <w:spacing w:val="-9"/>
          <w:sz w:val="22"/>
        </w:rPr>
        <w:t> </w:t>
      </w:r>
      <w:r>
        <w:rPr>
          <w:b/>
          <w:sz w:val="22"/>
        </w:rPr>
        <w:t>5.</w:t>
      </w:r>
      <w:r>
        <w:rPr>
          <w:b/>
          <w:spacing w:val="-7"/>
          <w:sz w:val="22"/>
        </w:rPr>
        <w:t> </w:t>
      </w:r>
      <w:r>
        <w:rPr>
          <w:b/>
          <w:sz w:val="22"/>
        </w:rPr>
        <w:t>Антибактериальная</w:t>
      </w:r>
      <w:r>
        <w:rPr>
          <w:b/>
          <w:spacing w:val="-7"/>
          <w:sz w:val="22"/>
        </w:rPr>
        <w:t> </w:t>
      </w:r>
      <w:r>
        <w:rPr>
          <w:b/>
          <w:sz w:val="22"/>
        </w:rPr>
        <w:t>терапия</w:t>
      </w:r>
      <w:r>
        <w:rPr>
          <w:b/>
          <w:spacing w:val="-9"/>
          <w:sz w:val="22"/>
        </w:rPr>
        <w:t> </w:t>
      </w:r>
      <w:r>
        <w:rPr>
          <w:b/>
          <w:sz w:val="22"/>
        </w:rPr>
        <w:t>нетяжелой</w:t>
      </w:r>
      <w:r>
        <w:rPr>
          <w:b/>
          <w:spacing w:val="-6"/>
          <w:sz w:val="22"/>
        </w:rPr>
        <w:t> </w:t>
      </w:r>
      <w:r>
        <w:rPr>
          <w:b/>
          <w:sz w:val="22"/>
        </w:rPr>
        <w:t>внебольничной</w:t>
      </w:r>
      <w:r>
        <w:rPr>
          <w:b/>
          <w:spacing w:val="-7"/>
          <w:sz w:val="22"/>
        </w:rPr>
        <w:t> </w:t>
      </w:r>
      <w:r>
        <w:rPr>
          <w:b/>
          <w:sz w:val="22"/>
        </w:rPr>
        <w:t>пневмонии в стационаре</w:t>
      </w:r>
    </w:p>
    <w:tbl>
      <w:tblPr>
        <w:tblW w:w="0" w:type="auto"/>
        <w:jc w:val="left"/>
        <w:tblInd w:w="18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254"/>
        <w:gridCol w:w="2694"/>
        <w:gridCol w:w="1986"/>
      </w:tblGrid>
      <w:tr>
        <w:trPr>
          <w:trHeight w:val="292" w:hRule="atLeast"/>
        </w:trPr>
        <w:tc>
          <w:tcPr>
            <w:tcW w:w="4254" w:type="dxa"/>
            <w:shd w:val="clear" w:color="auto" w:fill="F1F1F1"/>
          </w:tcPr>
          <w:p>
            <w:pPr>
              <w:pStyle w:val="TableParagraph"/>
              <w:spacing w:before="1"/>
              <w:ind w:left="2"/>
              <w:jc w:val="center"/>
              <w:rPr>
                <w:sz w:val="22"/>
              </w:rPr>
            </w:pPr>
            <w:r>
              <w:rPr>
                <w:spacing w:val="-2"/>
                <w:sz w:val="22"/>
              </w:rPr>
              <w:t>Группа</w:t>
            </w:r>
          </w:p>
        </w:tc>
        <w:tc>
          <w:tcPr>
            <w:tcW w:w="2694" w:type="dxa"/>
            <w:shd w:val="clear" w:color="auto" w:fill="F1F1F1"/>
          </w:tcPr>
          <w:p>
            <w:pPr>
              <w:pStyle w:val="TableParagraph"/>
              <w:spacing w:before="1"/>
              <w:ind w:left="454"/>
              <w:rPr>
                <w:sz w:val="22"/>
              </w:rPr>
            </w:pPr>
            <w:r>
              <w:rPr>
                <w:sz w:val="22"/>
              </w:rPr>
              <w:t>Препараты</w:t>
            </w:r>
            <w:r>
              <w:rPr>
                <w:spacing w:val="-2"/>
                <w:sz w:val="22"/>
              </w:rPr>
              <w:t> выбора</w:t>
            </w:r>
          </w:p>
        </w:tc>
        <w:tc>
          <w:tcPr>
            <w:tcW w:w="1986" w:type="dxa"/>
            <w:shd w:val="clear" w:color="auto" w:fill="F1F1F1"/>
          </w:tcPr>
          <w:p>
            <w:pPr>
              <w:pStyle w:val="TableParagraph"/>
              <w:spacing w:before="1"/>
              <w:ind w:left="331"/>
              <w:rPr>
                <w:sz w:val="22"/>
              </w:rPr>
            </w:pPr>
            <w:r>
              <w:rPr>
                <w:spacing w:val="-2"/>
                <w:sz w:val="22"/>
              </w:rPr>
              <w:t>Альтернатива</w:t>
            </w:r>
          </w:p>
        </w:tc>
      </w:tr>
      <w:tr>
        <w:trPr>
          <w:trHeight w:val="1454" w:hRule="atLeast"/>
        </w:trPr>
        <w:tc>
          <w:tcPr>
            <w:tcW w:w="4254" w:type="dxa"/>
          </w:tcPr>
          <w:p>
            <w:pPr>
              <w:pStyle w:val="TableParagraph"/>
              <w:spacing w:line="276" w:lineRule="auto"/>
              <w:ind w:left="105"/>
              <w:rPr>
                <w:sz w:val="22"/>
              </w:rPr>
            </w:pPr>
            <w:r>
              <w:rPr>
                <w:sz w:val="22"/>
              </w:rPr>
              <w:t>Нетяжелая ВП у пациентов без сопутствующих заболеваний</w:t>
            </w:r>
            <w:r>
              <w:rPr>
                <w:sz w:val="22"/>
                <w:vertAlign w:val="superscript"/>
              </w:rPr>
              <w:t>1</w:t>
            </w:r>
            <w:r>
              <w:rPr>
                <w:sz w:val="22"/>
                <w:vertAlign w:val="baseline"/>
              </w:rPr>
              <w:t>, не принимавших</w:t>
            </w:r>
            <w:r>
              <w:rPr>
                <w:spacing w:val="-7"/>
                <w:sz w:val="22"/>
                <w:vertAlign w:val="baseline"/>
              </w:rPr>
              <w:t> </w:t>
            </w:r>
            <w:r>
              <w:rPr>
                <w:sz w:val="22"/>
                <w:vertAlign w:val="baseline"/>
              </w:rPr>
              <w:t>за</w:t>
            </w:r>
            <w:r>
              <w:rPr>
                <w:spacing w:val="-7"/>
                <w:sz w:val="22"/>
                <w:vertAlign w:val="baseline"/>
              </w:rPr>
              <w:t> </w:t>
            </w:r>
            <w:r>
              <w:rPr>
                <w:sz w:val="22"/>
                <w:vertAlign w:val="baseline"/>
              </w:rPr>
              <w:t>последние</w:t>
            </w:r>
            <w:r>
              <w:rPr>
                <w:spacing w:val="-7"/>
                <w:sz w:val="22"/>
                <w:vertAlign w:val="baseline"/>
              </w:rPr>
              <w:t> </w:t>
            </w:r>
            <w:r>
              <w:rPr>
                <w:sz w:val="22"/>
                <w:vertAlign w:val="baseline"/>
              </w:rPr>
              <w:t>3</w:t>
            </w:r>
            <w:r>
              <w:rPr>
                <w:spacing w:val="-7"/>
                <w:sz w:val="22"/>
                <w:vertAlign w:val="baseline"/>
              </w:rPr>
              <w:t> </w:t>
            </w:r>
            <w:r>
              <w:rPr>
                <w:sz w:val="22"/>
                <w:vertAlign w:val="baseline"/>
              </w:rPr>
              <w:t>мес</w:t>
            </w:r>
            <w:r>
              <w:rPr>
                <w:spacing w:val="-7"/>
                <w:sz w:val="22"/>
                <w:vertAlign w:val="baseline"/>
              </w:rPr>
              <w:t> </w:t>
            </w:r>
            <w:r>
              <w:rPr>
                <w:sz w:val="22"/>
                <w:vertAlign w:val="baseline"/>
              </w:rPr>
              <w:t>АМП</w:t>
            </w:r>
            <w:r>
              <w:rPr>
                <w:spacing w:val="-7"/>
                <w:sz w:val="22"/>
                <w:vertAlign w:val="baseline"/>
              </w:rPr>
              <w:t> </w:t>
            </w:r>
            <w:r>
              <w:rPr>
                <w:sz w:val="22"/>
                <w:vertAlign w:val="baseline"/>
              </w:rPr>
              <w:t>≥2 дней и не имеющих других факторов</w:t>
            </w:r>
          </w:p>
          <w:p>
            <w:pPr>
              <w:pStyle w:val="TableParagraph"/>
              <w:spacing w:line="252" w:lineRule="exact"/>
              <w:ind w:left="105"/>
              <w:rPr>
                <w:sz w:val="22"/>
              </w:rPr>
            </w:pPr>
            <w:r>
              <w:rPr>
                <w:spacing w:val="-2"/>
                <w:sz w:val="22"/>
              </w:rPr>
              <w:t>риска</w:t>
            </w:r>
            <w:r>
              <w:rPr>
                <w:spacing w:val="-2"/>
                <w:sz w:val="22"/>
                <w:vertAlign w:val="superscript"/>
              </w:rPr>
              <w:t>2</w:t>
            </w:r>
          </w:p>
        </w:tc>
        <w:tc>
          <w:tcPr>
            <w:tcW w:w="2694" w:type="dxa"/>
          </w:tcPr>
          <w:p>
            <w:pPr>
              <w:pStyle w:val="TableParagraph"/>
              <w:spacing w:line="276" w:lineRule="auto"/>
              <w:ind w:left="101" w:right="124"/>
              <w:rPr>
                <w:sz w:val="22"/>
              </w:rPr>
            </w:pPr>
            <w:r>
              <w:rPr>
                <w:spacing w:val="-2"/>
                <w:sz w:val="22"/>
              </w:rPr>
              <w:t>Амоксициллин/ </w:t>
            </w:r>
            <w:r>
              <w:rPr>
                <w:sz w:val="22"/>
              </w:rPr>
              <w:t>клавулановая</w:t>
            </w:r>
            <w:r>
              <w:rPr>
                <w:spacing w:val="-14"/>
                <w:sz w:val="22"/>
              </w:rPr>
              <w:t> </w:t>
            </w:r>
            <w:r>
              <w:rPr>
                <w:sz w:val="22"/>
              </w:rPr>
              <w:t>кислота</w:t>
            </w:r>
            <w:r>
              <w:rPr>
                <w:spacing w:val="-14"/>
                <w:sz w:val="22"/>
              </w:rPr>
              <w:t> </w:t>
            </w:r>
            <w:r>
              <w:rPr>
                <w:sz w:val="22"/>
              </w:rPr>
              <w:t>и др. ИЗП* в/в, в/м ИЛИ Ампициллин в/в, в/м</w:t>
            </w:r>
          </w:p>
        </w:tc>
        <w:tc>
          <w:tcPr>
            <w:tcW w:w="1986" w:type="dxa"/>
          </w:tcPr>
          <w:p>
            <w:pPr>
              <w:pStyle w:val="TableParagraph"/>
              <w:spacing w:line="252" w:lineRule="exact"/>
              <w:ind w:left="98"/>
              <w:rPr>
                <w:sz w:val="22"/>
              </w:rPr>
            </w:pPr>
            <w:r>
              <w:rPr>
                <w:spacing w:val="-5"/>
                <w:sz w:val="22"/>
              </w:rPr>
              <w:t>РХ</w:t>
            </w:r>
          </w:p>
          <w:p>
            <w:pPr>
              <w:pStyle w:val="TableParagraph"/>
              <w:spacing w:line="276" w:lineRule="auto" w:before="37"/>
              <w:ind w:left="98" w:right="8"/>
              <w:rPr>
                <w:sz w:val="22"/>
              </w:rPr>
            </w:pPr>
            <w:r>
              <w:rPr>
                <w:spacing w:val="-2"/>
                <w:sz w:val="22"/>
              </w:rPr>
              <w:t>(левофлоксацин, моксифлоксацин) </w:t>
            </w:r>
            <w:r>
              <w:rPr>
                <w:spacing w:val="-4"/>
                <w:sz w:val="22"/>
              </w:rPr>
              <w:t>в/в</w:t>
            </w:r>
          </w:p>
        </w:tc>
      </w:tr>
      <w:tr>
        <w:trPr>
          <w:trHeight w:val="4075" w:hRule="atLeast"/>
        </w:trPr>
        <w:tc>
          <w:tcPr>
            <w:tcW w:w="4254" w:type="dxa"/>
            <w:shd w:val="clear" w:color="auto" w:fill="F1F1F1"/>
          </w:tcPr>
          <w:p>
            <w:pPr>
              <w:pStyle w:val="TableParagraph"/>
              <w:spacing w:line="276" w:lineRule="auto"/>
              <w:ind w:left="105"/>
              <w:rPr>
                <w:sz w:val="22"/>
              </w:rPr>
            </w:pPr>
            <w:r>
              <w:rPr>
                <w:sz w:val="22"/>
              </w:rPr>
              <w:t>Нетяжелая ВП у пациентов с сопутствующими</w:t>
            </w:r>
            <w:r>
              <w:rPr>
                <w:spacing w:val="-14"/>
                <w:sz w:val="22"/>
              </w:rPr>
              <w:t> </w:t>
            </w:r>
            <w:r>
              <w:rPr>
                <w:sz w:val="22"/>
              </w:rPr>
              <w:t>заболеваниями</w:t>
            </w:r>
            <w:r>
              <w:rPr>
                <w:sz w:val="22"/>
                <w:vertAlign w:val="superscript"/>
              </w:rPr>
              <w:t>1</w:t>
            </w:r>
            <w:r>
              <w:rPr>
                <w:spacing w:val="-14"/>
                <w:sz w:val="22"/>
                <w:vertAlign w:val="baseline"/>
              </w:rPr>
              <w:t> </w:t>
            </w:r>
            <w:r>
              <w:rPr>
                <w:sz w:val="22"/>
                <w:vertAlign w:val="baseline"/>
              </w:rPr>
              <w:t>и/или принимавших за последние</w:t>
            </w:r>
          </w:p>
          <w:p>
            <w:pPr>
              <w:pStyle w:val="TableParagraph"/>
              <w:spacing w:line="276" w:lineRule="auto"/>
              <w:ind w:left="105" w:right="300"/>
              <w:rPr>
                <w:sz w:val="22"/>
              </w:rPr>
            </w:pPr>
            <w:r>
              <w:rPr>
                <w:sz w:val="22"/>
              </w:rPr>
              <w:t>3</w:t>
            </w:r>
            <w:r>
              <w:rPr>
                <w:spacing w:val="-5"/>
                <w:sz w:val="22"/>
              </w:rPr>
              <w:t> </w:t>
            </w:r>
            <w:r>
              <w:rPr>
                <w:sz w:val="22"/>
              </w:rPr>
              <w:t>мес</w:t>
            </w:r>
            <w:r>
              <w:rPr>
                <w:spacing w:val="-5"/>
                <w:sz w:val="22"/>
              </w:rPr>
              <w:t> </w:t>
            </w:r>
            <w:r>
              <w:rPr>
                <w:sz w:val="22"/>
              </w:rPr>
              <w:t>АМП</w:t>
            </w:r>
            <w:r>
              <w:rPr>
                <w:spacing w:val="-8"/>
                <w:sz w:val="22"/>
              </w:rPr>
              <w:t> </w:t>
            </w:r>
            <w:r>
              <w:rPr>
                <w:sz w:val="22"/>
              </w:rPr>
              <w:t>≥2</w:t>
            </w:r>
            <w:r>
              <w:rPr>
                <w:spacing w:val="-5"/>
                <w:sz w:val="22"/>
              </w:rPr>
              <w:t> </w:t>
            </w:r>
            <w:r>
              <w:rPr>
                <w:sz w:val="22"/>
              </w:rPr>
              <w:t>дней</w:t>
            </w:r>
            <w:r>
              <w:rPr>
                <w:spacing w:val="-5"/>
                <w:sz w:val="22"/>
              </w:rPr>
              <w:t> </w:t>
            </w:r>
            <w:r>
              <w:rPr>
                <w:sz w:val="22"/>
              </w:rPr>
              <w:t>и/или</w:t>
            </w:r>
            <w:r>
              <w:rPr>
                <w:spacing w:val="-9"/>
                <w:sz w:val="22"/>
              </w:rPr>
              <w:t> </w:t>
            </w:r>
            <w:r>
              <w:rPr>
                <w:sz w:val="22"/>
              </w:rPr>
              <w:t>имеющих другие факторы риска</w:t>
            </w:r>
            <w:r>
              <w:rPr>
                <w:sz w:val="22"/>
                <w:vertAlign w:val="superscript"/>
              </w:rPr>
              <w:t>2</w:t>
            </w:r>
          </w:p>
        </w:tc>
        <w:tc>
          <w:tcPr>
            <w:tcW w:w="4680" w:type="dxa"/>
            <w:gridSpan w:val="2"/>
            <w:shd w:val="clear" w:color="auto" w:fill="F1F1F1"/>
          </w:tcPr>
          <w:p>
            <w:pPr>
              <w:pStyle w:val="TableParagraph"/>
              <w:spacing w:line="276" w:lineRule="auto"/>
              <w:ind w:left="101" w:right="228"/>
              <w:rPr>
                <w:sz w:val="22"/>
              </w:rPr>
            </w:pPr>
            <w:r>
              <w:rPr>
                <w:sz w:val="22"/>
              </w:rPr>
              <w:t>Амоксициллин/клавулановая</w:t>
            </w:r>
            <w:r>
              <w:rPr>
                <w:spacing w:val="-13"/>
                <w:sz w:val="22"/>
              </w:rPr>
              <w:t> </w:t>
            </w:r>
            <w:r>
              <w:rPr>
                <w:sz w:val="22"/>
              </w:rPr>
              <w:t>кислота</w:t>
            </w:r>
            <w:r>
              <w:rPr>
                <w:spacing w:val="-12"/>
                <w:sz w:val="22"/>
              </w:rPr>
              <w:t> </w:t>
            </w:r>
            <w:r>
              <w:rPr>
                <w:sz w:val="22"/>
              </w:rPr>
              <w:t>и</w:t>
            </w:r>
            <w:r>
              <w:rPr>
                <w:spacing w:val="-14"/>
                <w:sz w:val="22"/>
              </w:rPr>
              <w:t> </w:t>
            </w:r>
            <w:r>
              <w:rPr>
                <w:sz w:val="22"/>
              </w:rPr>
              <w:t>др. ИЗП* в/в, в/м</w:t>
            </w:r>
          </w:p>
          <w:p>
            <w:pPr>
              <w:pStyle w:val="TableParagraph"/>
              <w:ind w:left="101"/>
              <w:rPr>
                <w:sz w:val="22"/>
              </w:rPr>
            </w:pPr>
            <w:r>
              <w:rPr>
                <w:spacing w:val="-5"/>
                <w:sz w:val="22"/>
              </w:rPr>
              <w:t>ИЛИ</w:t>
            </w:r>
          </w:p>
          <w:p>
            <w:pPr>
              <w:pStyle w:val="TableParagraph"/>
              <w:spacing w:line="276" w:lineRule="auto" w:before="35"/>
              <w:ind w:left="101" w:right="228"/>
              <w:rPr>
                <w:sz w:val="22"/>
              </w:rPr>
            </w:pPr>
            <w:r>
              <w:rPr>
                <w:sz w:val="22"/>
              </w:rPr>
              <w:t>ЦС</w:t>
            </w:r>
            <w:r>
              <w:rPr>
                <w:spacing w:val="-10"/>
                <w:sz w:val="22"/>
              </w:rPr>
              <w:t> </w:t>
            </w:r>
            <w:r>
              <w:rPr>
                <w:sz w:val="22"/>
              </w:rPr>
              <w:t>III</w:t>
            </w:r>
            <w:r>
              <w:rPr>
                <w:spacing w:val="-11"/>
                <w:sz w:val="22"/>
              </w:rPr>
              <w:t> </w:t>
            </w:r>
            <w:r>
              <w:rPr>
                <w:sz w:val="22"/>
              </w:rPr>
              <w:t>поколения</w:t>
            </w:r>
            <w:r>
              <w:rPr>
                <w:spacing w:val="-10"/>
                <w:sz w:val="22"/>
              </w:rPr>
              <w:t> </w:t>
            </w:r>
            <w:r>
              <w:rPr>
                <w:sz w:val="22"/>
              </w:rPr>
              <w:t>(цефотаксим,</w:t>
            </w:r>
            <w:r>
              <w:rPr>
                <w:spacing w:val="-10"/>
                <w:sz w:val="22"/>
              </w:rPr>
              <w:t> </w:t>
            </w:r>
            <w:r>
              <w:rPr>
                <w:sz w:val="22"/>
              </w:rPr>
              <w:t>цефтриаксон, </w:t>
            </w:r>
            <w:r>
              <w:rPr>
                <w:spacing w:val="-2"/>
                <w:sz w:val="22"/>
              </w:rPr>
              <w:t>цефтриаксон/сульбактам, </w:t>
            </w:r>
            <w:r>
              <w:rPr>
                <w:sz w:val="22"/>
              </w:rPr>
              <w:t>цефотаксим/сульбактам) в/в, в/м</w:t>
            </w:r>
          </w:p>
          <w:p>
            <w:pPr>
              <w:pStyle w:val="TableParagraph"/>
              <w:spacing w:before="1"/>
              <w:ind w:left="101"/>
              <w:rPr>
                <w:sz w:val="22"/>
              </w:rPr>
            </w:pPr>
            <w:r>
              <w:rPr>
                <w:spacing w:val="-5"/>
                <w:sz w:val="22"/>
              </w:rPr>
              <w:t>ИЛИ</w:t>
            </w:r>
          </w:p>
          <w:p>
            <w:pPr>
              <w:pStyle w:val="TableParagraph"/>
              <w:spacing w:line="276" w:lineRule="auto" w:before="37"/>
              <w:ind w:left="101" w:right="228"/>
              <w:rPr>
                <w:sz w:val="22"/>
              </w:rPr>
            </w:pPr>
            <w:r>
              <w:rPr>
                <w:sz w:val="22"/>
              </w:rPr>
              <w:t>РХ</w:t>
            </w:r>
            <w:r>
              <w:rPr>
                <w:spacing w:val="-14"/>
                <w:sz w:val="22"/>
              </w:rPr>
              <w:t> </w:t>
            </w:r>
            <w:r>
              <w:rPr>
                <w:sz w:val="22"/>
              </w:rPr>
              <w:t>(левофлоксацин,</w:t>
            </w:r>
            <w:r>
              <w:rPr>
                <w:spacing w:val="-13"/>
                <w:sz w:val="22"/>
              </w:rPr>
              <w:t> </w:t>
            </w:r>
            <w:r>
              <w:rPr>
                <w:sz w:val="22"/>
              </w:rPr>
              <w:t>моксифлоксацин)</w:t>
            </w:r>
            <w:r>
              <w:rPr>
                <w:spacing w:val="-12"/>
                <w:sz w:val="22"/>
              </w:rPr>
              <w:t> </w:t>
            </w:r>
            <w:r>
              <w:rPr>
                <w:sz w:val="22"/>
              </w:rPr>
              <w:t>в/в </w:t>
            </w:r>
            <w:r>
              <w:rPr>
                <w:spacing w:val="-4"/>
                <w:sz w:val="22"/>
              </w:rPr>
              <w:t>ИЛИ</w:t>
            </w:r>
          </w:p>
          <w:p>
            <w:pPr>
              <w:pStyle w:val="TableParagraph"/>
              <w:spacing w:line="276" w:lineRule="auto"/>
              <w:ind w:left="101" w:right="2757"/>
              <w:rPr>
                <w:sz w:val="22"/>
              </w:rPr>
            </w:pPr>
            <w:r>
              <w:rPr>
                <w:spacing w:val="-2"/>
                <w:sz w:val="22"/>
              </w:rPr>
              <w:t>Цефтаролин</w:t>
            </w:r>
            <w:r>
              <w:rPr>
                <w:spacing w:val="-2"/>
                <w:sz w:val="22"/>
                <w:vertAlign w:val="superscript"/>
              </w:rPr>
              <w:t>3</w:t>
            </w:r>
            <w:r>
              <w:rPr>
                <w:spacing w:val="-20"/>
                <w:sz w:val="22"/>
                <w:vertAlign w:val="baseline"/>
              </w:rPr>
              <w:t> </w:t>
            </w:r>
            <w:r>
              <w:rPr>
                <w:spacing w:val="-2"/>
                <w:sz w:val="22"/>
                <w:vertAlign w:val="baseline"/>
              </w:rPr>
              <w:t>в/в </w:t>
            </w:r>
            <w:r>
              <w:rPr>
                <w:spacing w:val="-4"/>
                <w:sz w:val="22"/>
                <w:vertAlign w:val="baseline"/>
              </w:rPr>
              <w:t>ИЛИ</w:t>
            </w:r>
          </w:p>
          <w:p>
            <w:pPr>
              <w:pStyle w:val="TableParagraph"/>
              <w:spacing w:line="276" w:lineRule="auto"/>
              <w:ind w:left="101" w:right="2757"/>
              <w:rPr>
                <w:sz w:val="22"/>
              </w:rPr>
            </w:pPr>
            <w:r>
              <w:rPr>
                <w:sz w:val="22"/>
              </w:rPr>
              <w:t>Эртапенем</w:t>
            </w:r>
            <w:r>
              <w:rPr>
                <w:sz w:val="22"/>
                <w:vertAlign w:val="superscript"/>
              </w:rPr>
              <w:t>4</w:t>
            </w:r>
            <w:r>
              <w:rPr>
                <w:spacing w:val="-22"/>
                <w:sz w:val="22"/>
                <w:vertAlign w:val="baseline"/>
              </w:rPr>
              <w:t> </w:t>
            </w:r>
            <w:r>
              <w:rPr>
                <w:sz w:val="22"/>
                <w:vertAlign w:val="baseline"/>
              </w:rPr>
              <w:t>в/в,</w:t>
            </w:r>
            <w:r>
              <w:rPr>
                <w:spacing w:val="-14"/>
                <w:sz w:val="22"/>
                <w:vertAlign w:val="baseline"/>
              </w:rPr>
              <w:t> </w:t>
            </w:r>
            <w:r>
              <w:rPr>
                <w:sz w:val="22"/>
                <w:vertAlign w:val="baseline"/>
              </w:rPr>
              <w:t>в/м </w:t>
            </w:r>
            <w:r>
              <w:rPr>
                <w:spacing w:val="-4"/>
                <w:sz w:val="22"/>
                <w:vertAlign w:val="baseline"/>
              </w:rPr>
              <w:t>ИЛИ</w:t>
            </w:r>
          </w:p>
          <w:p>
            <w:pPr>
              <w:pStyle w:val="TableParagraph"/>
              <w:spacing w:line="251" w:lineRule="exact"/>
              <w:ind w:left="101"/>
              <w:rPr>
                <w:sz w:val="22"/>
              </w:rPr>
            </w:pPr>
            <w:r>
              <w:rPr>
                <w:sz w:val="22"/>
              </w:rPr>
              <w:t>Биапенем</w:t>
            </w:r>
            <w:r>
              <w:rPr>
                <w:spacing w:val="-2"/>
                <w:sz w:val="22"/>
              </w:rPr>
              <w:t> </w:t>
            </w:r>
            <w:r>
              <w:rPr>
                <w:spacing w:val="-4"/>
                <w:sz w:val="22"/>
              </w:rPr>
              <w:t>в/в</w:t>
            </w:r>
            <w:r>
              <w:rPr>
                <w:spacing w:val="-4"/>
                <w:sz w:val="22"/>
                <w:vertAlign w:val="superscript"/>
              </w:rPr>
              <w:t>4</w:t>
            </w:r>
          </w:p>
        </w:tc>
      </w:tr>
    </w:tbl>
    <w:p>
      <w:pPr>
        <w:spacing w:line="276" w:lineRule="auto" w:before="0"/>
        <w:ind w:left="1841" w:right="1283" w:firstLine="0"/>
        <w:jc w:val="left"/>
        <w:rPr>
          <w:sz w:val="20"/>
        </w:rPr>
      </w:pPr>
      <w:r>
        <w:rPr>
          <w:i/>
          <w:sz w:val="20"/>
        </w:rPr>
        <w:t>Примечание</w:t>
      </w:r>
      <w:r>
        <w:rPr>
          <w:sz w:val="20"/>
        </w:rPr>
        <w:t>:</w:t>
      </w:r>
      <w:r>
        <w:rPr>
          <w:spacing w:val="-9"/>
          <w:sz w:val="20"/>
        </w:rPr>
        <w:t> </w:t>
      </w:r>
      <w:r>
        <w:rPr>
          <w:sz w:val="20"/>
        </w:rPr>
        <w:t>*</w:t>
      </w:r>
      <w:r>
        <w:rPr>
          <w:spacing w:val="-9"/>
          <w:sz w:val="20"/>
        </w:rPr>
        <w:t> </w:t>
      </w:r>
      <w:r>
        <w:rPr>
          <w:sz w:val="20"/>
        </w:rPr>
        <w:t>ИЗП</w:t>
      </w:r>
      <w:r>
        <w:rPr>
          <w:spacing w:val="-8"/>
          <w:sz w:val="20"/>
        </w:rPr>
        <w:t> </w:t>
      </w:r>
      <w:r>
        <w:rPr>
          <w:sz w:val="20"/>
        </w:rPr>
        <w:t>–</w:t>
      </w:r>
      <w:r>
        <w:rPr>
          <w:spacing w:val="-8"/>
          <w:sz w:val="20"/>
        </w:rPr>
        <w:t> </w:t>
      </w:r>
      <w:r>
        <w:rPr>
          <w:sz w:val="20"/>
        </w:rPr>
        <w:t>ингибиторозащищенный</w:t>
      </w:r>
      <w:r>
        <w:rPr>
          <w:spacing w:val="-9"/>
          <w:sz w:val="20"/>
        </w:rPr>
        <w:t> </w:t>
      </w:r>
      <w:r>
        <w:rPr>
          <w:sz w:val="20"/>
        </w:rPr>
        <w:t>аминопенициллин</w:t>
      </w:r>
      <w:r>
        <w:rPr>
          <w:spacing w:val="-6"/>
          <w:sz w:val="20"/>
        </w:rPr>
        <w:t> </w:t>
      </w:r>
      <w:r>
        <w:rPr>
          <w:sz w:val="20"/>
        </w:rPr>
        <w:t>(амоксициллин/клавулановая кислота, амоксициллин/сульбактам, ампициллин/сульбактам), ЦС – цефалоспорин,</w:t>
      </w:r>
    </w:p>
    <w:p>
      <w:pPr>
        <w:spacing w:line="229" w:lineRule="exact" w:before="0"/>
        <w:ind w:left="1841" w:right="0" w:firstLine="0"/>
        <w:jc w:val="left"/>
        <w:rPr>
          <w:sz w:val="20"/>
        </w:rPr>
      </w:pPr>
      <w:r>
        <w:rPr>
          <w:sz w:val="20"/>
        </w:rPr>
        <w:t>РХ</w:t>
      </w:r>
      <w:r>
        <w:rPr>
          <w:spacing w:val="-8"/>
          <w:sz w:val="20"/>
        </w:rPr>
        <w:t> </w:t>
      </w:r>
      <w:r>
        <w:rPr>
          <w:sz w:val="20"/>
        </w:rPr>
        <w:t>-</w:t>
      </w:r>
      <w:r>
        <w:rPr>
          <w:spacing w:val="-6"/>
          <w:sz w:val="20"/>
        </w:rPr>
        <w:t> </w:t>
      </w:r>
      <w:r>
        <w:rPr>
          <w:sz w:val="20"/>
        </w:rPr>
        <w:t>респираторный</w:t>
      </w:r>
      <w:r>
        <w:rPr>
          <w:spacing w:val="-8"/>
          <w:sz w:val="20"/>
        </w:rPr>
        <w:t> </w:t>
      </w:r>
      <w:r>
        <w:rPr>
          <w:spacing w:val="-2"/>
          <w:sz w:val="20"/>
        </w:rPr>
        <w:t>хинолон.</w:t>
      </w:r>
    </w:p>
    <w:p>
      <w:pPr>
        <w:spacing w:before="28"/>
        <w:ind w:left="1841" w:right="0" w:firstLine="0"/>
        <w:jc w:val="left"/>
        <w:rPr>
          <w:sz w:val="20"/>
        </w:rPr>
      </w:pPr>
      <w:r>
        <w:rPr>
          <w:sz w:val="20"/>
          <w:vertAlign w:val="superscript"/>
        </w:rPr>
        <w:t>1</w:t>
      </w:r>
      <w:r>
        <w:rPr>
          <w:spacing w:val="-17"/>
          <w:sz w:val="20"/>
          <w:vertAlign w:val="baseline"/>
        </w:rPr>
        <w:t> </w:t>
      </w:r>
      <w:r>
        <w:rPr>
          <w:sz w:val="20"/>
          <w:vertAlign w:val="baseline"/>
        </w:rPr>
        <w:t>ХОБЛ,</w:t>
      </w:r>
      <w:r>
        <w:rPr>
          <w:spacing w:val="-12"/>
          <w:sz w:val="20"/>
          <w:vertAlign w:val="baseline"/>
        </w:rPr>
        <w:t> </w:t>
      </w:r>
      <w:r>
        <w:rPr>
          <w:sz w:val="20"/>
          <w:vertAlign w:val="baseline"/>
        </w:rPr>
        <w:t>СД,</w:t>
      </w:r>
      <w:r>
        <w:rPr>
          <w:spacing w:val="-8"/>
          <w:sz w:val="20"/>
          <w:vertAlign w:val="baseline"/>
        </w:rPr>
        <w:t> </w:t>
      </w:r>
      <w:r>
        <w:rPr>
          <w:sz w:val="20"/>
          <w:vertAlign w:val="baseline"/>
        </w:rPr>
        <w:t>ХСН,</w:t>
      </w:r>
      <w:r>
        <w:rPr>
          <w:spacing w:val="-7"/>
          <w:sz w:val="20"/>
          <w:vertAlign w:val="baseline"/>
        </w:rPr>
        <w:t> </w:t>
      </w:r>
      <w:r>
        <w:rPr>
          <w:sz w:val="20"/>
          <w:vertAlign w:val="baseline"/>
        </w:rPr>
        <w:t>ХБП,</w:t>
      </w:r>
      <w:r>
        <w:rPr>
          <w:spacing w:val="-7"/>
          <w:sz w:val="20"/>
          <w:vertAlign w:val="baseline"/>
        </w:rPr>
        <w:t> </w:t>
      </w:r>
      <w:r>
        <w:rPr>
          <w:sz w:val="20"/>
          <w:vertAlign w:val="baseline"/>
        </w:rPr>
        <w:t>цирроз</w:t>
      </w:r>
      <w:r>
        <w:rPr>
          <w:spacing w:val="-7"/>
          <w:sz w:val="20"/>
          <w:vertAlign w:val="baseline"/>
        </w:rPr>
        <w:t> </w:t>
      </w:r>
      <w:r>
        <w:rPr>
          <w:sz w:val="20"/>
          <w:vertAlign w:val="baseline"/>
        </w:rPr>
        <w:t>печени,</w:t>
      </w:r>
      <w:r>
        <w:rPr>
          <w:spacing w:val="-7"/>
          <w:sz w:val="20"/>
          <w:vertAlign w:val="baseline"/>
        </w:rPr>
        <w:t> </w:t>
      </w:r>
      <w:r>
        <w:rPr>
          <w:sz w:val="20"/>
          <w:vertAlign w:val="baseline"/>
        </w:rPr>
        <w:t>алкоголизм,</w:t>
      </w:r>
      <w:r>
        <w:rPr>
          <w:spacing w:val="-7"/>
          <w:sz w:val="20"/>
          <w:vertAlign w:val="baseline"/>
        </w:rPr>
        <w:t> </w:t>
      </w:r>
      <w:r>
        <w:rPr>
          <w:sz w:val="20"/>
          <w:vertAlign w:val="baseline"/>
        </w:rPr>
        <w:t>наркомания,</w:t>
      </w:r>
      <w:r>
        <w:rPr>
          <w:spacing w:val="-6"/>
          <w:sz w:val="20"/>
          <w:vertAlign w:val="baseline"/>
        </w:rPr>
        <w:t> </w:t>
      </w:r>
      <w:r>
        <w:rPr>
          <w:spacing w:val="-2"/>
          <w:sz w:val="20"/>
          <w:vertAlign w:val="baseline"/>
        </w:rPr>
        <w:t>истощение.</w:t>
      </w:r>
    </w:p>
    <w:p>
      <w:pPr>
        <w:spacing w:line="276" w:lineRule="auto" w:before="34"/>
        <w:ind w:left="1841" w:right="1278" w:firstLine="0"/>
        <w:jc w:val="both"/>
        <w:rPr>
          <w:sz w:val="20"/>
        </w:rPr>
      </w:pPr>
      <w:r>
        <w:rPr>
          <w:sz w:val="20"/>
          <w:vertAlign w:val="superscript"/>
        </w:rPr>
        <w:t>2</w:t>
      </w:r>
      <w:r>
        <w:rPr>
          <w:sz w:val="20"/>
          <w:vertAlign w:val="baseline"/>
        </w:rPr>
        <w:t> К факторам риска инфицирования редкими и/или полирезистентными возбудителями относят пребывание</w:t>
      </w:r>
      <w:r>
        <w:rPr>
          <w:spacing w:val="-5"/>
          <w:sz w:val="20"/>
          <w:vertAlign w:val="baseline"/>
        </w:rPr>
        <w:t> </w:t>
      </w:r>
      <w:r>
        <w:rPr>
          <w:sz w:val="20"/>
          <w:vertAlign w:val="baseline"/>
        </w:rPr>
        <w:t>в</w:t>
      </w:r>
      <w:r>
        <w:rPr>
          <w:spacing w:val="-8"/>
          <w:sz w:val="20"/>
          <w:vertAlign w:val="baseline"/>
        </w:rPr>
        <w:t> </w:t>
      </w:r>
      <w:r>
        <w:rPr>
          <w:sz w:val="20"/>
          <w:vertAlign w:val="baseline"/>
        </w:rPr>
        <w:t>доме</w:t>
      </w:r>
      <w:r>
        <w:rPr>
          <w:spacing w:val="-5"/>
          <w:sz w:val="20"/>
          <w:vertAlign w:val="baseline"/>
        </w:rPr>
        <w:t> </w:t>
      </w:r>
      <w:r>
        <w:rPr>
          <w:sz w:val="20"/>
          <w:vertAlign w:val="baseline"/>
        </w:rPr>
        <w:t>престарелых</w:t>
      </w:r>
      <w:r>
        <w:rPr>
          <w:spacing w:val="-6"/>
          <w:sz w:val="20"/>
          <w:vertAlign w:val="baseline"/>
        </w:rPr>
        <w:t> </w:t>
      </w:r>
      <w:r>
        <w:rPr>
          <w:sz w:val="20"/>
          <w:vertAlign w:val="baseline"/>
        </w:rPr>
        <w:t>или</w:t>
      </w:r>
      <w:r>
        <w:rPr>
          <w:spacing w:val="-6"/>
          <w:sz w:val="20"/>
          <w:vertAlign w:val="baseline"/>
        </w:rPr>
        <w:t> </w:t>
      </w:r>
      <w:r>
        <w:rPr>
          <w:sz w:val="20"/>
          <w:vertAlign w:val="baseline"/>
        </w:rPr>
        <w:t>других</w:t>
      </w:r>
      <w:r>
        <w:rPr>
          <w:spacing w:val="-7"/>
          <w:sz w:val="20"/>
          <w:vertAlign w:val="baseline"/>
        </w:rPr>
        <w:t> </w:t>
      </w:r>
      <w:r>
        <w:rPr>
          <w:sz w:val="20"/>
          <w:vertAlign w:val="baseline"/>
        </w:rPr>
        <w:t>учреждениях</w:t>
      </w:r>
      <w:r>
        <w:rPr>
          <w:spacing w:val="-7"/>
          <w:sz w:val="20"/>
          <w:vertAlign w:val="baseline"/>
        </w:rPr>
        <w:t> </w:t>
      </w:r>
      <w:r>
        <w:rPr>
          <w:sz w:val="20"/>
          <w:vertAlign w:val="baseline"/>
        </w:rPr>
        <w:t>длительного</w:t>
      </w:r>
      <w:r>
        <w:rPr>
          <w:spacing w:val="-7"/>
          <w:sz w:val="20"/>
          <w:vertAlign w:val="baseline"/>
        </w:rPr>
        <w:t> </w:t>
      </w:r>
      <w:r>
        <w:rPr>
          <w:sz w:val="20"/>
          <w:vertAlign w:val="baseline"/>
        </w:rPr>
        <w:t>ухода,</w:t>
      </w:r>
      <w:r>
        <w:rPr>
          <w:spacing w:val="-7"/>
          <w:sz w:val="20"/>
          <w:vertAlign w:val="baseline"/>
        </w:rPr>
        <w:t> </w:t>
      </w:r>
      <w:r>
        <w:rPr>
          <w:sz w:val="20"/>
          <w:vertAlign w:val="baseline"/>
        </w:rPr>
        <w:t>наличие</w:t>
      </w:r>
      <w:r>
        <w:rPr>
          <w:spacing w:val="-7"/>
          <w:sz w:val="20"/>
          <w:vertAlign w:val="baseline"/>
        </w:rPr>
        <w:t> </w:t>
      </w:r>
      <w:r>
        <w:rPr>
          <w:sz w:val="20"/>
          <w:vertAlign w:val="baseline"/>
        </w:rPr>
        <w:t>госпитализаций </w:t>
      </w:r>
      <w:r>
        <w:rPr>
          <w:spacing w:val="-2"/>
          <w:sz w:val="20"/>
          <w:vertAlign w:val="baseline"/>
        </w:rPr>
        <w:t>по</w:t>
      </w:r>
      <w:r>
        <w:rPr>
          <w:spacing w:val="-5"/>
          <w:sz w:val="20"/>
          <w:vertAlign w:val="baseline"/>
        </w:rPr>
        <w:t> </w:t>
      </w:r>
      <w:r>
        <w:rPr>
          <w:spacing w:val="-2"/>
          <w:sz w:val="20"/>
          <w:vertAlign w:val="baseline"/>
        </w:rPr>
        <w:t>любому</w:t>
      </w:r>
      <w:r>
        <w:rPr>
          <w:spacing w:val="-5"/>
          <w:sz w:val="20"/>
          <w:vertAlign w:val="baseline"/>
        </w:rPr>
        <w:t> </w:t>
      </w:r>
      <w:r>
        <w:rPr>
          <w:spacing w:val="-2"/>
          <w:sz w:val="20"/>
          <w:vertAlign w:val="baseline"/>
        </w:rPr>
        <w:t>поводу</w:t>
      </w:r>
      <w:r>
        <w:rPr>
          <w:spacing w:val="-6"/>
          <w:sz w:val="20"/>
          <w:vertAlign w:val="baseline"/>
        </w:rPr>
        <w:t> </w:t>
      </w:r>
      <w:r>
        <w:rPr>
          <w:spacing w:val="-2"/>
          <w:sz w:val="20"/>
          <w:vertAlign w:val="baseline"/>
        </w:rPr>
        <w:t>в</w:t>
      </w:r>
      <w:r>
        <w:rPr>
          <w:spacing w:val="-7"/>
          <w:sz w:val="20"/>
          <w:vertAlign w:val="baseline"/>
        </w:rPr>
        <w:t> </w:t>
      </w:r>
      <w:r>
        <w:rPr>
          <w:spacing w:val="-2"/>
          <w:sz w:val="20"/>
          <w:vertAlign w:val="baseline"/>
        </w:rPr>
        <w:t>течение</w:t>
      </w:r>
      <w:r>
        <w:rPr>
          <w:spacing w:val="-6"/>
          <w:sz w:val="20"/>
          <w:vertAlign w:val="baseline"/>
        </w:rPr>
        <w:t> </w:t>
      </w:r>
      <w:r>
        <w:rPr>
          <w:spacing w:val="-2"/>
          <w:sz w:val="20"/>
          <w:vertAlign w:val="baseline"/>
        </w:rPr>
        <w:t>≥</w:t>
      </w:r>
      <w:r>
        <w:rPr>
          <w:spacing w:val="-5"/>
          <w:sz w:val="20"/>
          <w:vertAlign w:val="baseline"/>
        </w:rPr>
        <w:t> </w:t>
      </w:r>
      <w:r>
        <w:rPr>
          <w:spacing w:val="-2"/>
          <w:sz w:val="20"/>
          <w:vertAlign w:val="baseline"/>
        </w:rPr>
        <w:t>2</w:t>
      </w:r>
      <w:r>
        <w:rPr>
          <w:spacing w:val="-5"/>
          <w:sz w:val="20"/>
          <w:vertAlign w:val="baseline"/>
        </w:rPr>
        <w:t> </w:t>
      </w:r>
      <w:r>
        <w:rPr>
          <w:spacing w:val="-2"/>
          <w:sz w:val="20"/>
          <w:vertAlign w:val="baseline"/>
        </w:rPr>
        <w:t>суток</w:t>
      </w:r>
      <w:r>
        <w:rPr>
          <w:spacing w:val="-7"/>
          <w:sz w:val="20"/>
          <w:vertAlign w:val="baseline"/>
        </w:rPr>
        <w:t> </w:t>
      </w:r>
      <w:r>
        <w:rPr>
          <w:spacing w:val="-2"/>
          <w:sz w:val="20"/>
          <w:vertAlign w:val="baseline"/>
        </w:rPr>
        <w:t>в</w:t>
      </w:r>
      <w:r>
        <w:rPr>
          <w:spacing w:val="-7"/>
          <w:sz w:val="20"/>
          <w:vertAlign w:val="baseline"/>
        </w:rPr>
        <w:t> </w:t>
      </w:r>
      <w:r>
        <w:rPr>
          <w:spacing w:val="-2"/>
          <w:sz w:val="20"/>
          <w:vertAlign w:val="baseline"/>
        </w:rPr>
        <w:t>предшествующие</w:t>
      </w:r>
      <w:r>
        <w:rPr>
          <w:spacing w:val="-3"/>
          <w:sz w:val="20"/>
          <w:vertAlign w:val="baseline"/>
        </w:rPr>
        <w:t> </w:t>
      </w:r>
      <w:r>
        <w:rPr>
          <w:spacing w:val="-2"/>
          <w:sz w:val="20"/>
          <w:vertAlign w:val="baseline"/>
        </w:rPr>
        <w:t>90</w:t>
      </w:r>
      <w:r>
        <w:rPr>
          <w:spacing w:val="-5"/>
          <w:sz w:val="20"/>
          <w:vertAlign w:val="baseline"/>
        </w:rPr>
        <w:t> </w:t>
      </w:r>
      <w:r>
        <w:rPr>
          <w:spacing w:val="-2"/>
          <w:sz w:val="20"/>
          <w:vertAlign w:val="baseline"/>
        </w:rPr>
        <w:t>дней,</w:t>
      </w:r>
      <w:r>
        <w:rPr>
          <w:spacing w:val="-6"/>
          <w:sz w:val="20"/>
          <w:vertAlign w:val="baseline"/>
        </w:rPr>
        <w:t> </w:t>
      </w:r>
      <w:r>
        <w:rPr>
          <w:spacing w:val="-2"/>
          <w:sz w:val="20"/>
          <w:vertAlign w:val="baseline"/>
        </w:rPr>
        <w:t>в/в</w:t>
      </w:r>
      <w:r>
        <w:rPr>
          <w:spacing w:val="-7"/>
          <w:sz w:val="20"/>
          <w:vertAlign w:val="baseline"/>
        </w:rPr>
        <w:t> </w:t>
      </w:r>
      <w:r>
        <w:rPr>
          <w:spacing w:val="-2"/>
          <w:sz w:val="20"/>
          <w:vertAlign w:val="baseline"/>
        </w:rPr>
        <w:t>терапия, наличие</w:t>
      </w:r>
      <w:r>
        <w:rPr>
          <w:spacing w:val="-6"/>
          <w:sz w:val="20"/>
          <w:vertAlign w:val="baseline"/>
        </w:rPr>
        <w:t> </w:t>
      </w:r>
      <w:r>
        <w:rPr>
          <w:spacing w:val="-2"/>
          <w:sz w:val="20"/>
          <w:vertAlign w:val="baseline"/>
        </w:rPr>
        <w:t>сеансов</w:t>
      </w:r>
      <w:r>
        <w:rPr>
          <w:spacing w:val="-7"/>
          <w:sz w:val="20"/>
          <w:vertAlign w:val="baseline"/>
        </w:rPr>
        <w:t> </w:t>
      </w:r>
      <w:r>
        <w:rPr>
          <w:spacing w:val="-2"/>
          <w:sz w:val="20"/>
          <w:vertAlign w:val="baseline"/>
        </w:rPr>
        <w:t>диализа </w:t>
      </w:r>
      <w:r>
        <w:rPr>
          <w:sz w:val="20"/>
          <w:vertAlign w:val="baseline"/>
        </w:rPr>
        <w:t>или лечение ран в домашних условиях в предшествующие 30 дней.</w:t>
      </w:r>
    </w:p>
    <w:p>
      <w:pPr>
        <w:spacing w:line="276" w:lineRule="auto" w:before="0"/>
        <w:ind w:left="1841" w:right="1272" w:firstLine="0"/>
        <w:jc w:val="both"/>
        <w:rPr>
          <w:sz w:val="20"/>
        </w:rPr>
      </w:pPr>
      <w:r>
        <w:rPr>
          <w:sz w:val="20"/>
          <w:vertAlign w:val="superscript"/>
        </w:rPr>
        <w:t>3</w:t>
      </w:r>
      <w:r>
        <w:rPr>
          <w:spacing w:val="-8"/>
          <w:sz w:val="20"/>
          <w:vertAlign w:val="baseline"/>
        </w:rPr>
        <w:t> </w:t>
      </w:r>
      <w:r>
        <w:rPr>
          <w:sz w:val="20"/>
          <w:vertAlign w:val="baseline"/>
        </w:rPr>
        <w:t>Предпочтителен при высокой распространенности пенициллинорезистентных</w:t>
      </w:r>
      <w:r>
        <w:rPr>
          <w:spacing w:val="21"/>
          <w:sz w:val="20"/>
          <w:vertAlign w:val="baseline"/>
        </w:rPr>
        <w:t> </w:t>
      </w:r>
      <w:r>
        <w:rPr>
          <w:i/>
          <w:sz w:val="20"/>
          <w:vertAlign w:val="baseline"/>
        </w:rPr>
        <w:t>S. pneumoniae </w:t>
      </w:r>
      <w:r>
        <w:rPr>
          <w:sz w:val="20"/>
          <w:vertAlign w:val="baseline"/>
        </w:rPr>
        <w:t>(ПРП)</w:t>
      </w:r>
      <w:r>
        <w:rPr>
          <w:spacing w:val="80"/>
          <w:sz w:val="20"/>
          <w:vertAlign w:val="baseline"/>
        </w:rPr>
        <w:t> </w:t>
      </w:r>
      <w:r>
        <w:rPr>
          <w:sz w:val="20"/>
          <w:vertAlign w:val="baseline"/>
        </w:rPr>
        <w:t>в регионе или наличии индивидуальных факторов риска инфицирования ПРП.</w:t>
      </w:r>
    </w:p>
    <w:p>
      <w:pPr>
        <w:spacing w:line="276" w:lineRule="auto" w:before="0"/>
        <w:ind w:left="1841" w:right="1281" w:firstLine="0"/>
        <w:jc w:val="both"/>
        <w:rPr>
          <w:sz w:val="20"/>
        </w:rPr>
      </w:pPr>
      <w:r>
        <w:rPr>
          <w:sz w:val="20"/>
          <w:vertAlign w:val="superscript"/>
        </w:rPr>
        <w:t>4</w:t>
      </w:r>
      <w:r>
        <w:rPr>
          <w:spacing w:val="-13"/>
          <w:sz w:val="20"/>
          <w:vertAlign w:val="baseline"/>
        </w:rPr>
        <w:t> </w:t>
      </w:r>
      <w:r>
        <w:rPr>
          <w:sz w:val="20"/>
          <w:vertAlign w:val="baseline"/>
        </w:rPr>
        <w:t>Использовать по ограниченным показаниям – пациенты из учреждений длительного ухода, наличие факторов риска аспирации, пожилой и старческий возраст с множественной сопутствующей </w:t>
      </w:r>
      <w:r>
        <w:rPr>
          <w:spacing w:val="-2"/>
          <w:sz w:val="20"/>
          <w:vertAlign w:val="baseline"/>
        </w:rPr>
        <w:t>патологией.</w:t>
      </w:r>
    </w:p>
    <w:p>
      <w:pPr>
        <w:pStyle w:val="BodyText"/>
        <w:spacing w:before="73"/>
        <w:ind w:left="0"/>
        <w:jc w:val="left"/>
        <w:rPr>
          <w:sz w:val="20"/>
        </w:rPr>
      </w:pPr>
    </w:p>
    <w:p>
      <w:pPr>
        <w:spacing w:line="276" w:lineRule="auto" w:before="0" w:after="8"/>
        <w:ind w:left="1841" w:right="1377" w:firstLine="0"/>
        <w:jc w:val="both"/>
        <w:rPr>
          <w:b/>
          <w:sz w:val="22"/>
        </w:rPr>
      </w:pPr>
      <w:r>
        <w:rPr>
          <w:b/>
          <w:sz w:val="22"/>
        </w:rPr>
        <w:t>Таблица</w:t>
      </w:r>
      <w:r>
        <w:rPr>
          <w:b/>
          <w:spacing w:val="-8"/>
          <w:sz w:val="22"/>
        </w:rPr>
        <w:t> </w:t>
      </w:r>
      <w:r>
        <w:rPr>
          <w:b/>
          <w:sz w:val="22"/>
        </w:rPr>
        <w:t>6.</w:t>
      </w:r>
      <w:r>
        <w:rPr>
          <w:b/>
          <w:spacing w:val="-5"/>
          <w:sz w:val="22"/>
        </w:rPr>
        <w:t> </w:t>
      </w:r>
      <w:r>
        <w:rPr>
          <w:b/>
          <w:sz w:val="22"/>
        </w:rPr>
        <w:t>Антибактериальная</w:t>
      </w:r>
      <w:r>
        <w:rPr>
          <w:b/>
          <w:spacing w:val="-5"/>
          <w:sz w:val="22"/>
        </w:rPr>
        <w:t> </w:t>
      </w:r>
      <w:r>
        <w:rPr>
          <w:b/>
          <w:sz w:val="22"/>
        </w:rPr>
        <w:t>терапия</w:t>
      </w:r>
      <w:r>
        <w:rPr>
          <w:b/>
          <w:spacing w:val="-5"/>
          <w:sz w:val="22"/>
        </w:rPr>
        <w:t> </w:t>
      </w:r>
      <w:r>
        <w:rPr>
          <w:b/>
          <w:sz w:val="22"/>
        </w:rPr>
        <w:t>тяжелой</w:t>
      </w:r>
      <w:r>
        <w:rPr>
          <w:b/>
          <w:spacing w:val="-5"/>
          <w:sz w:val="22"/>
        </w:rPr>
        <w:t> </w:t>
      </w:r>
      <w:r>
        <w:rPr>
          <w:b/>
          <w:sz w:val="22"/>
        </w:rPr>
        <w:t>(пациент</w:t>
      </w:r>
      <w:r>
        <w:rPr>
          <w:b/>
          <w:spacing w:val="-5"/>
          <w:sz w:val="22"/>
        </w:rPr>
        <w:t> </w:t>
      </w:r>
      <w:r>
        <w:rPr>
          <w:b/>
          <w:sz w:val="22"/>
        </w:rPr>
        <w:t>госпитализирован</w:t>
      </w:r>
      <w:r>
        <w:rPr>
          <w:b/>
          <w:spacing w:val="-7"/>
          <w:sz w:val="22"/>
        </w:rPr>
        <w:t> </w:t>
      </w:r>
      <w:r>
        <w:rPr>
          <w:b/>
          <w:sz w:val="22"/>
        </w:rPr>
        <w:t>в</w:t>
      </w:r>
      <w:r>
        <w:rPr>
          <w:b/>
          <w:spacing w:val="-5"/>
          <w:sz w:val="22"/>
        </w:rPr>
        <w:t> </w:t>
      </w:r>
      <w:r>
        <w:rPr>
          <w:b/>
          <w:sz w:val="22"/>
        </w:rPr>
        <w:t>ОРИТ) внебольничной пневмонии</w:t>
      </w:r>
    </w:p>
    <w:p>
      <w:pPr>
        <w:pStyle w:val="BodyText"/>
        <w:ind w:left="1951"/>
        <w:jc w:val="left"/>
        <w:rPr>
          <w:sz w:val="20"/>
        </w:rPr>
      </w:pPr>
      <w:r>
        <w:rPr>
          <w:sz w:val="20"/>
        </w:rPr>
        <mc:AlternateContent>
          <mc:Choice Requires="wps">
            <w:drawing>
              <wp:inline distT="0" distB="0" distL="0" distR="0">
                <wp:extent cx="5513705" cy="1763395"/>
                <wp:effectExtent l="0" t="0" r="0" b="8255"/>
                <wp:docPr id="62" name="Group 62"/>
                <wp:cNvGraphicFramePr>
                  <a:graphicFrameLocks/>
                </wp:cNvGraphicFramePr>
                <a:graphic>
                  <a:graphicData uri="http://schemas.microsoft.com/office/word/2010/wordprocessingGroup">
                    <wpg:wgp>
                      <wpg:cNvPr id="62" name="Group 62"/>
                      <wpg:cNvGrpSpPr/>
                      <wpg:grpSpPr>
                        <a:xfrm>
                          <a:off x="0" y="0"/>
                          <a:ext cx="5513705" cy="1763395"/>
                          <a:chExt cx="5513705" cy="1763395"/>
                        </a:xfrm>
                      </wpg:grpSpPr>
                      <wps:wsp>
                        <wps:cNvPr id="63" name="Textbox 63"/>
                        <wps:cNvSpPr txBox="1"/>
                        <wps:spPr>
                          <a:xfrm>
                            <a:off x="3048" y="239268"/>
                            <a:ext cx="5507990" cy="1521460"/>
                          </a:xfrm>
                          <a:prstGeom prst="rect">
                            <a:avLst/>
                          </a:prstGeom>
                          <a:ln w="6096">
                            <a:solidFill>
                              <a:srgbClr val="000000"/>
                            </a:solidFill>
                            <a:prstDash val="solid"/>
                          </a:ln>
                        </wps:spPr>
                        <wps:txbx>
                          <w:txbxContent>
                            <w:p>
                              <w:pPr>
                                <w:spacing w:before="7"/>
                                <w:ind w:left="101" w:right="0" w:firstLine="0"/>
                                <w:jc w:val="left"/>
                                <w:rPr>
                                  <w:sz w:val="22"/>
                                </w:rPr>
                              </w:pPr>
                              <w:r>
                                <w:rPr>
                                  <w:spacing w:val="-2"/>
                                  <w:sz w:val="22"/>
                                </w:rPr>
                                <w:t>Рекомендованный</w:t>
                              </w:r>
                              <w:r>
                                <w:rPr>
                                  <w:spacing w:val="14"/>
                                  <w:sz w:val="22"/>
                                </w:rPr>
                                <w:t> </w:t>
                              </w:r>
                              <w:r>
                                <w:rPr>
                                  <w:spacing w:val="-2"/>
                                  <w:sz w:val="22"/>
                                </w:rPr>
                                <w:t>режим:</w:t>
                              </w:r>
                            </w:p>
                            <w:p>
                              <w:pPr>
                                <w:spacing w:line="276" w:lineRule="auto" w:before="52"/>
                                <w:ind w:left="101" w:right="416" w:firstLine="0"/>
                                <w:jc w:val="left"/>
                                <w:rPr>
                                  <w:sz w:val="22"/>
                                </w:rPr>
                              </w:pPr>
                              <w:r>
                                <w:rPr>
                                  <w:sz w:val="22"/>
                                </w:rPr>
                                <w:t>Амоксициллин/клавулановая</w:t>
                              </w:r>
                              <w:r>
                                <w:rPr>
                                  <w:spacing w:val="-8"/>
                                  <w:sz w:val="22"/>
                                </w:rPr>
                                <w:t> </w:t>
                              </w:r>
                              <w:r>
                                <w:rPr>
                                  <w:sz w:val="22"/>
                                </w:rPr>
                                <w:t>кислота</w:t>
                              </w:r>
                              <w:r>
                                <w:rPr>
                                  <w:spacing w:val="-8"/>
                                  <w:sz w:val="22"/>
                                </w:rPr>
                                <w:t> </w:t>
                              </w:r>
                              <w:r>
                                <w:rPr>
                                  <w:sz w:val="22"/>
                                </w:rPr>
                                <w:t>или</w:t>
                              </w:r>
                              <w:r>
                                <w:rPr>
                                  <w:spacing w:val="-8"/>
                                  <w:sz w:val="22"/>
                                </w:rPr>
                                <w:t> </w:t>
                              </w:r>
                              <w:r>
                                <w:rPr>
                                  <w:sz w:val="22"/>
                                </w:rPr>
                                <w:t>ампициллин/сульбактам</w:t>
                              </w:r>
                              <w:r>
                                <w:rPr>
                                  <w:spacing w:val="-9"/>
                                  <w:sz w:val="22"/>
                                </w:rPr>
                                <w:t> </w:t>
                              </w:r>
                              <w:r>
                                <w:rPr>
                                  <w:sz w:val="22"/>
                                </w:rPr>
                                <w:t>или</w:t>
                              </w:r>
                              <w:r>
                                <w:rPr>
                                  <w:spacing w:val="-9"/>
                                  <w:sz w:val="22"/>
                                </w:rPr>
                                <w:t> </w:t>
                              </w:r>
                              <w:r>
                                <w:rPr>
                                  <w:sz w:val="22"/>
                                </w:rPr>
                                <w:t>цефотаксим или цефтриаксон или цефтаролин</w:t>
                              </w:r>
                            </w:p>
                            <w:p>
                              <w:pPr>
                                <w:spacing w:line="288" w:lineRule="auto" w:before="0"/>
                                <w:ind w:left="101" w:right="3648" w:firstLine="55"/>
                                <w:jc w:val="left"/>
                                <w:rPr>
                                  <w:sz w:val="22"/>
                                </w:rPr>
                              </w:pPr>
                              <w:r>
                                <w:rPr>
                                  <w:sz w:val="22"/>
                                </w:rPr>
                                <w:t>+</w:t>
                              </w:r>
                              <w:r>
                                <w:rPr>
                                  <w:spacing w:val="-13"/>
                                  <w:sz w:val="22"/>
                                </w:rPr>
                                <w:t> </w:t>
                              </w:r>
                              <w:r>
                                <w:rPr>
                                  <w:sz w:val="22"/>
                                </w:rPr>
                                <w:t>азитромицин</w:t>
                              </w:r>
                              <w:r>
                                <w:rPr>
                                  <w:spacing w:val="-14"/>
                                  <w:sz w:val="22"/>
                                </w:rPr>
                                <w:t> </w:t>
                              </w:r>
                              <w:r>
                                <w:rPr>
                                  <w:sz w:val="22"/>
                                </w:rPr>
                                <w:t>или</w:t>
                              </w:r>
                              <w:r>
                                <w:rPr>
                                  <w:spacing w:val="-14"/>
                                  <w:sz w:val="22"/>
                                </w:rPr>
                                <w:t> </w:t>
                              </w:r>
                              <w:r>
                                <w:rPr>
                                  <w:sz w:val="22"/>
                                </w:rPr>
                                <w:t>кларитромицин Альтернативный режим:</w:t>
                              </w:r>
                            </w:p>
                            <w:p>
                              <w:pPr>
                                <w:spacing w:line="276" w:lineRule="auto" w:before="0"/>
                                <w:ind w:left="101" w:right="416" w:firstLine="0"/>
                                <w:jc w:val="left"/>
                                <w:rPr>
                                  <w:sz w:val="22"/>
                                </w:rPr>
                              </w:pPr>
                              <w:r>
                                <w:rPr>
                                  <w:sz w:val="22"/>
                                </w:rPr>
                                <w:t>Амоксициллин/клавулановая</w:t>
                              </w:r>
                              <w:r>
                                <w:rPr>
                                  <w:spacing w:val="-8"/>
                                  <w:sz w:val="22"/>
                                </w:rPr>
                                <w:t> </w:t>
                              </w:r>
                              <w:r>
                                <w:rPr>
                                  <w:sz w:val="22"/>
                                </w:rPr>
                                <w:t>кислота</w:t>
                              </w:r>
                              <w:r>
                                <w:rPr>
                                  <w:spacing w:val="-8"/>
                                  <w:sz w:val="22"/>
                                </w:rPr>
                                <w:t> </w:t>
                              </w:r>
                              <w:r>
                                <w:rPr>
                                  <w:sz w:val="22"/>
                                </w:rPr>
                                <w:t>или</w:t>
                              </w:r>
                              <w:r>
                                <w:rPr>
                                  <w:spacing w:val="-8"/>
                                  <w:sz w:val="22"/>
                                </w:rPr>
                                <w:t> </w:t>
                              </w:r>
                              <w:r>
                                <w:rPr>
                                  <w:sz w:val="22"/>
                                </w:rPr>
                                <w:t>ампициллин/сульбактам</w:t>
                              </w:r>
                              <w:r>
                                <w:rPr>
                                  <w:spacing w:val="-9"/>
                                  <w:sz w:val="22"/>
                                </w:rPr>
                                <w:t> </w:t>
                              </w:r>
                              <w:r>
                                <w:rPr>
                                  <w:sz w:val="22"/>
                                </w:rPr>
                                <w:t>или</w:t>
                              </w:r>
                              <w:r>
                                <w:rPr>
                                  <w:spacing w:val="-9"/>
                                  <w:sz w:val="22"/>
                                </w:rPr>
                                <w:t> </w:t>
                              </w:r>
                              <w:r>
                                <w:rPr>
                                  <w:sz w:val="22"/>
                                </w:rPr>
                                <w:t>цефотаксим или цефтриаксон или цефтаролин или цефотаксим/сульбактам или цефтриаксон/сульбактам + моксифлоксацин или левофлоксацин</w:t>
                              </w:r>
                            </w:p>
                          </w:txbxContent>
                        </wps:txbx>
                        <wps:bodyPr wrap="square" lIns="0" tIns="0" rIns="0" bIns="0" rtlCol="0">
                          <a:noAutofit/>
                        </wps:bodyPr>
                      </wps:wsp>
                      <wps:wsp>
                        <wps:cNvPr id="64" name="Textbox 64"/>
                        <wps:cNvSpPr txBox="1"/>
                        <wps:spPr>
                          <a:xfrm>
                            <a:off x="3048" y="3048"/>
                            <a:ext cx="5507990" cy="236220"/>
                          </a:xfrm>
                          <a:prstGeom prst="rect">
                            <a:avLst/>
                          </a:prstGeom>
                          <a:solidFill>
                            <a:srgbClr val="F1F1F1"/>
                          </a:solidFill>
                          <a:ln w="6096">
                            <a:solidFill>
                              <a:srgbClr val="000000"/>
                            </a:solidFill>
                            <a:prstDash val="solid"/>
                          </a:ln>
                        </wps:spPr>
                        <wps:txbx>
                          <w:txbxContent>
                            <w:p>
                              <w:pPr>
                                <w:spacing w:before="8"/>
                                <w:ind w:left="101" w:right="0" w:firstLine="0"/>
                                <w:jc w:val="left"/>
                                <w:rPr>
                                  <w:i/>
                                  <w:color w:val="000000"/>
                                  <w:sz w:val="22"/>
                                </w:rPr>
                              </w:pPr>
                              <w:r>
                                <w:rPr>
                                  <w:i/>
                                  <w:color w:val="2D74B5"/>
                                  <w:sz w:val="22"/>
                                </w:rPr>
                                <w:t>1.</w:t>
                              </w:r>
                              <w:r>
                                <w:rPr>
                                  <w:i/>
                                  <w:color w:val="2D74B5"/>
                                  <w:spacing w:val="57"/>
                                  <w:w w:val="150"/>
                                  <w:sz w:val="22"/>
                                </w:rPr>
                                <w:t> </w:t>
                              </w:r>
                              <w:r>
                                <w:rPr>
                                  <w:i/>
                                  <w:color w:val="2D74B5"/>
                                  <w:sz w:val="22"/>
                                </w:rPr>
                                <w:t>Пациенты</w:t>
                              </w:r>
                              <w:r>
                                <w:rPr>
                                  <w:i/>
                                  <w:color w:val="2D74B5"/>
                                  <w:spacing w:val="-4"/>
                                  <w:sz w:val="22"/>
                                </w:rPr>
                                <w:t> </w:t>
                              </w:r>
                              <w:r>
                                <w:rPr>
                                  <w:i/>
                                  <w:color w:val="2D74B5"/>
                                  <w:sz w:val="22"/>
                                  <w:u w:val="single" w:color="2D74B5"/>
                                </w:rPr>
                                <w:t>без</w:t>
                              </w:r>
                              <w:r>
                                <w:rPr>
                                  <w:i/>
                                  <w:color w:val="2D74B5"/>
                                  <w:spacing w:val="-6"/>
                                  <w:sz w:val="22"/>
                                  <w:u w:val="single" w:color="2D74B5"/>
                                </w:rPr>
                                <w:t> </w:t>
                              </w:r>
                              <w:r>
                                <w:rPr>
                                  <w:i/>
                                  <w:color w:val="2D74B5"/>
                                  <w:sz w:val="22"/>
                                  <w:u w:val="single" w:color="2D74B5"/>
                                </w:rPr>
                                <w:t>дополнительных</w:t>
                              </w:r>
                              <w:r>
                                <w:rPr>
                                  <w:i/>
                                  <w:color w:val="2D74B5"/>
                                  <w:spacing w:val="-4"/>
                                  <w:sz w:val="22"/>
                                  <w:u w:val="single" w:color="2D74B5"/>
                                </w:rPr>
                                <w:t> </w:t>
                              </w:r>
                              <w:r>
                                <w:rPr>
                                  <w:i/>
                                  <w:color w:val="2D74B5"/>
                                  <w:sz w:val="22"/>
                                  <w:u w:val="single" w:color="2D74B5"/>
                                </w:rPr>
                                <w:t>факторов</w:t>
                              </w:r>
                              <w:r>
                                <w:rPr>
                                  <w:i/>
                                  <w:color w:val="2D74B5"/>
                                  <w:spacing w:val="-4"/>
                                  <w:sz w:val="22"/>
                                  <w:u w:val="single" w:color="2D74B5"/>
                                </w:rPr>
                                <w:t> </w:t>
                              </w:r>
                              <w:r>
                                <w:rPr>
                                  <w:i/>
                                  <w:color w:val="2D74B5"/>
                                  <w:spacing w:val="-2"/>
                                  <w:sz w:val="22"/>
                                  <w:u w:val="single" w:color="2D74B5"/>
                                </w:rPr>
                                <w:t>риска</w:t>
                              </w:r>
                            </w:p>
                          </w:txbxContent>
                        </wps:txbx>
                        <wps:bodyPr wrap="square" lIns="0" tIns="0" rIns="0" bIns="0" rtlCol="0">
                          <a:noAutofit/>
                        </wps:bodyPr>
                      </wps:wsp>
                    </wpg:wgp>
                  </a:graphicData>
                </a:graphic>
              </wp:inline>
            </w:drawing>
          </mc:Choice>
          <mc:Fallback>
            <w:pict>
              <v:group style="width:434.15pt;height:138.85pt;mso-position-horizontal-relative:char;mso-position-vertical-relative:line" id="docshapegroup51" coordorigin="0,0" coordsize="8683,2777">
                <v:shape style="position:absolute;left:4;top:376;width:8674;height:2396" type="#_x0000_t202" id="docshape52" filled="false" stroked="true" strokeweight=".48004pt" strokecolor="#000000">
                  <v:textbox inset="0,0,0,0">
                    <w:txbxContent>
                      <w:p>
                        <w:pPr>
                          <w:spacing w:before="7"/>
                          <w:ind w:left="101" w:right="0" w:firstLine="0"/>
                          <w:jc w:val="left"/>
                          <w:rPr>
                            <w:sz w:val="22"/>
                          </w:rPr>
                        </w:pPr>
                        <w:r>
                          <w:rPr>
                            <w:spacing w:val="-2"/>
                            <w:sz w:val="22"/>
                          </w:rPr>
                          <w:t>Рекомендованный</w:t>
                        </w:r>
                        <w:r>
                          <w:rPr>
                            <w:spacing w:val="14"/>
                            <w:sz w:val="22"/>
                          </w:rPr>
                          <w:t> </w:t>
                        </w:r>
                        <w:r>
                          <w:rPr>
                            <w:spacing w:val="-2"/>
                            <w:sz w:val="22"/>
                          </w:rPr>
                          <w:t>режим:</w:t>
                        </w:r>
                      </w:p>
                      <w:p>
                        <w:pPr>
                          <w:spacing w:line="276" w:lineRule="auto" w:before="52"/>
                          <w:ind w:left="101" w:right="416" w:firstLine="0"/>
                          <w:jc w:val="left"/>
                          <w:rPr>
                            <w:sz w:val="22"/>
                          </w:rPr>
                        </w:pPr>
                        <w:r>
                          <w:rPr>
                            <w:sz w:val="22"/>
                          </w:rPr>
                          <w:t>Амоксициллин/клавулановая</w:t>
                        </w:r>
                        <w:r>
                          <w:rPr>
                            <w:spacing w:val="-8"/>
                            <w:sz w:val="22"/>
                          </w:rPr>
                          <w:t> </w:t>
                        </w:r>
                        <w:r>
                          <w:rPr>
                            <w:sz w:val="22"/>
                          </w:rPr>
                          <w:t>кислота</w:t>
                        </w:r>
                        <w:r>
                          <w:rPr>
                            <w:spacing w:val="-8"/>
                            <w:sz w:val="22"/>
                          </w:rPr>
                          <w:t> </w:t>
                        </w:r>
                        <w:r>
                          <w:rPr>
                            <w:sz w:val="22"/>
                          </w:rPr>
                          <w:t>или</w:t>
                        </w:r>
                        <w:r>
                          <w:rPr>
                            <w:spacing w:val="-8"/>
                            <w:sz w:val="22"/>
                          </w:rPr>
                          <w:t> </w:t>
                        </w:r>
                        <w:r>
                          <w:rPr>
                            <w:sz w:val="22"/>
                          </w:rPr>
                          <w:t>ампициллин/сульбактам</w:t>
                        </w:r>
                        <w:r>
                          <w:rPr>
                            <w:spacing w:val="-9"/>
                            <w:sz w:val="22"/>
                          </w:rPr>
                          <w:t> </w:t>
                        </w:r>
                        <w:r>
                          <w:rPr>
                            <w:sz w:val="22"/>
                          </w:rPr>
                          <w:t>или</w:t>
                        </w:r>
                        <w:r>
                          <w:rPr>
                            <w:spacing w:val="-9"/>
                            <w:sz w:val="22"/>
                          </w:rPr>
                          <w:t> </w:t>
                        </w:r>
                        <w:r>
                          <w:rPr>
                            <w:sz w:val="22"/>
                          </w:rPr>
                          <w:t>цефотаксим или цефтриаксон или цефтаролин</w:t>
                        </w:r>
                      </w:p>
                      <w:p>
                        <w:pPr>
                          <w:spacing w:line="288" w:lineRule="auto" w:before="0"/>
                          <w:ind w:left="101" w:right="3648" w:firstLine="55"/>
                          <w:jc w:val="left"/>
                          <w:rPr>
                            <w:sz w:val="22"/>
                          </w:rPr>
                        </w:pPr>
                        <w:r>
                          <w:rPr>
                            <w:sz w:val="22"/>
                          </w:rPr>
                          <w:t>+</w:t>
                        </w:r>
                        <w:r>
                          <w:rPr>
                            <w:spacing w:val="-13"/>
                            <w:sz w:val="22"/>
                          </w:rPr>
                          <w:t> </w:t>
                        </w:r>
                        <w:r>
                          <w:rPr>
                            <w:sz w:val="22"/>
                          </w:rPr>
                          <w:t>азитромицин</w:t>
                        </w:r>
                        <w:r>
                          <w:rPr>
                            <w:spacing w:val="-14"/>
                            <w:sz w:val="22"/>
                          </w:rPr>
                          <w:t> </w:t>
                        </w:r>
                        <w:r>
                          <w:rPr>
                            <w:sz w:val="22"/>
                          </w:rPr>
                          <w:t>или</w:t>
                        </w:r>
                        <w:r>
                          <w:rPr>
                            <w:spacing w:val="-14"/>
                            <w:sz w:val="22"/>
                          </w:rPr>
                          <w:t> </w:t>
                        </w:r>
                        <w:r>
                          <w:rPr>
                            <w:sz w:val="22"/>
                          </w:rPr>
                          <w:t>кларитромицин Альтернативный режим:</w:t>
                        </w:r>
                      </w:p>
                      <w:p>
                        <w:pPr>
                          <w:spacing w:line="276" w:lineRule="auto" w:before="0"/>
                          <w:ind w:left="101" w:right="416" w:firstLine="0"/>
                          <w:jc w:val="left"/>
                          <w:rPr>
                            <w:sz w:val="22"/>
                          </w:rPr>
                        </w:pPr>
                        <w:r>
                          <w:rPr>
                            <w:sz w:val="22"/>
                          </w:rPr>
                          <w:t>Амоксициллин/клавулановая</w:t>
                        </w:r>
                        <w:r>
                          <w:rPr>
                            <w:spacing w:val="-8"/>
                            <w:sz w:val="22"/>
                          </w:rPr>
                          <w:t> </w:t>
                        </w:r>
                        <w:r>
                          <w:rPr>
                            <w:sz w:val="22"/>
                          </w:rPr>
                          <w:t>кислота</w:t>
                        </w:r>
                        <w:r>
                          <w:rPr>
                            <w:spacing w:val="-8"/>
                            <w:sz w:val="22"/>
                          </w:rPr>
                          <w:t> </w:t>
                        </w:r>
                        <w:r>
                          <w:rPr>
                            <w:sz w:val="22"/>
                          </w:rPr>
                          <w:t>или</w:t>
                        </w:r>
                        <w:r>
                          <w:rPr>
                            <w:spacing w:val="-8"/>
                            <w:sz w:val="22"/>
                          </w:rPr>
                          <w:t> </w:t>
                        </w:r>
                        <w:r>
                          <w:rPr>
                            <w:sz w:val="22"/>
                          </w:rPr>
                          <w:t>ампициллин/сульбактам</w:t>
                        </w:r>
                        <w:r>
                          <w:rPr>
                            <w:spacing w:val="-9"/>
                            <w:sz w:val="22"/>
                          </w:rPr>
                          <w:t> </w:t>
                        </w:r>
                        <w:r>
                          <w:rPr>
                            <w:sz w:val="22"/>
                          </w:rPr>
                          <w:t>или</w:t>
                        </w:r>
                        <w:r>
                          <w:rPr>
                            <w:spacing w:val="-9"/>
                            <w:sz w:val="22"/>
                          </w:rPr>
                          <w:t> </w:t>
                        </w:r>
                        <w:r>
                          <w:rPr>
                            <w:sz w:val="22"/>
                          </w:rPr>
                          <w:t>цефотаксим или цефтриаксон или цефтаролин или цефотаксим/сульбактам или цефтриаксон/сульбактам + моксифлоксацин или левофлоксацин</w:t>
                        </w:r>
                      </w:p>
                    </w:txbxContent>
                  </v:textbox>
                  <v:stroke dashstyle="solid"/>
                  <w10:wrap type="none"/>
                </v:shape>
                <v:shape style="position:absolute;left:4;top:4;width:8674;height:372" type="#_x0000_t202" id="docshape53" filled="true" fillcolor="#f1f1f1" stroked="true" strokeweight=".48004pt" strokecolor="#000000">
                  <v:textbox inset="0,0,0,0">
                    <w:txbxContent>
                      <w:p>
                        <w:pPr>
                          <w:spacing w:before="8"/>
                          <w:ind w:left="101" w:right="0" w:firstLine="0"/>
                          <w:jc w:val="left"/>
                          <w:rPr>
                            <w:i/>
                            <w:color w:val="000000"/>
                            <w:sz w:val="22"/>
                          </w:rPr>
                        </w:pPr>
                        <w:r>
                          <w:rPr>
                            <w:i/>
                            <w:color w:val="2D74B5"/>
                            <w:sz w:val="22"/>
                          </w:rPr>
                          <w:t>1.</w:t>
                        </w:r>
                        <w:r>
                          <w:rPr>
                            <w:i/>
                            <w:color w:val="2D74B5"/>
                            <w:spacing w:val="57"/>
                            <w:w w:val="150"/>
                            <w:sz w:val="22"/>
                          </w:rPr>
                          <w:t> </w:t>
                        </w:r>
                        <w:r>
                          <w:rPr>
                            <w:i/>
                            <w:color w:val="2D74B5"/>
                            <w:sz w:val="22"/>
                          </w:rPr>
                          <w:t>Пациенты</w:t>
                        </w:r>
                        <w:r>
                          <w:rPr>
                            <w:i/>
                            <w:color w:val="2D74B5"/>
                            <w:spacing w:val="-4"/>
                            <w:sz w:val="22"/>
                          </w:rPr>
                          <w:t> </w:t>
                        </w:r>
                        <w:r>
                          <w:rPr>
                            <w:i/>
                            <w:color w:val="2D74B5"/>
                            <w:sz w:val="22"/>
                            <w:u w:val="single" w:color="2D74B5"/>
                          </w:rPr>
                          <w:t>без</w:t>
                        </w:r>
                        <w:r>
                          <w:rPr>
                            <w:i/>
                            <w:color w:val="2D74B5"/>
                            <w:spacing w:val="-6"/>
                            <w:sz w:val="22"/>
                            <w:u w:val="single" w:color="2D74B5"/>
                          </w:rPr>
                          <w:t> </w:t>
                        </w:r>
                        <w:r>
                          <w:rPr>
                            <w:i/>
                            <w:color w:val="2D74B5"/>
                            <w:sz w:val="22"/>
                            <w:u w:val="single" w:color="2D74B5"/>
                          </w:rPr>
                          <w:t>дополнительных</w:t>
                        </w:r>
                        <w:r>
                          <w:rPr>
                            <w:i/>
                            <w:color w:val="2D74B5"/>
                            <w:spacing w:val="-4"/>
                            <w:sz w:val="22"/>
                            <w:u w:val="single" w:color="2D74B5"/>
                          </w:rPr>
                          <w:t> </w:t>
                        </w:r>
                        <w:r>
                          <w:rPr>
                            <w:i/>
                            <w:color w:val="2D74B5"/>
                            <w:sz w:val="22"/>
                            <w:u w:val="single" w:color="2D74B5"/>
                          </w:rPr>
                          <w:t>факторов</w:t>
                        </w:r>
                        <w:r>
                          <w:rPr>
                            <w:i/>
                            <w:color w:val="2D74B5"/>
                            <w:spacing w:val="-4"/>
                            <w:sz w:val="22"/>
                            <w:u w:val="single" w:color="2D74B5"/>
                          </w:rPr>
                          <w:t> </w:t>
                        </w:r>
                        <w:r>
                          <w:rPr>
                            <w:i/>
                            <w:color w:val="2D74B5"/>
                            <w:spacing w:val="-2"/>
                            <w:sz w:val="22"/>
                            <w:u w:val="single" w:color="2D74B5"/>
                          </w:rPr>
                          <w:t>риска</w:t>
                        </w:r>
                      </w:p>
                    </w:txbxContent>
                  </v:textbox>
                  <v:fill type="solid"/>
                  <v:stroke dashstyle="solid"/>
                  <w10:wrap type="none"/>
                </v:shape>
              </v:group>
            </w:pict>
          </mc:Fallback>
        </mc:AlternateContent>
      </w:r>
      <w:r>
        <w:rPr>
          <w:sz w:val="20"/>
        </w:rPr>
      </w:r>
    </w:p>
    <w:p>
      <w:pPr>
        <w:pStyle w:val="BodyText"/>
        <w:spacing w:after="0"/>
        <w:jc w:val="left"/>
        <w:rPr>
          <w:sz w:val="20"/>
        </w:rPr>
        <w:sectPr>
          <w:pgSz w:w="11900" w:h="16840"/>
          <w:pgMar w:header="0" w:footer="697" w:top="1080" w:bottom="880" w:left="0" w:right="0"/>
        </w:sectPr>
      </w:pPr>
    </w:p>
    <w:tbl>
      <w:tblPr>
        <w:tblW w:w="0" w:type="auto"/>
        <w:jc w:val="left"/>
        <w:tblInd w:w="19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673"/>
      </w:tblGrid>
      <w:tr>
        <w:trPr>
          <w:trHeight w:val="361" w:hRule="atLeast"/>
        </w:trPr>
        <w:tc>
          <w:tcPr>
            <w:tcW w:w="8673" w:type="dxa"/>
            <w:shd w:val="clear" w:color="auto" w:fill="F1F1F1"/>
          </w:tcPr>
          <w:p>
            <w:pPr>
              <w:pStyle w:val="TableParagraph"/>
              <w:spacing w:before="15"/>
              <w:ind w:left="105"/>
              <w:rPr>
                <w:i/>
                <w:sz w:val="22"/>
              </w:rPr>
            </w:pPr>
            <w:bookmarkStart w:name="64" w:id="78"/>
            <w:bookmarkEnd w:id="78"/>
            <w:r>
              <w:rPr/>
            </w:r>
            <w:r>
              <w:rPr>
                <w:i/>
                <w:color w:val="2D74B5"/>
                <w:sz w:val="22"/>
              </w:rPr>
              <w:t>2.</w:t>
            </w:r>
            <w:r>
              <w:rPr>
                <w:i/>
                <w:color w:val="2D74B5"/>
                <w:spacing w:val="58"/>
                <w:w w:val="150"/>
                <w:sz w:val="22"/>
              </w:rPr>
              <w:t> </w:t>
            </w:r>
            <w:r>
              <w:rPr>
                <w:i/>
                <w:color w:val="2D74B5"/>
                <w:sz w:val="22"/>
              </w:rPr>
              <w:t>Пациенты</w:t>
            </w:r>
            <w:r>
              <w:rPr>
                <w:i/>
                <w:color w:val="2D74B5"/>
                <w:spacing w:val="-4"/>
                <w:sz w:val="22"/>
              </w:rPr>
              <w:t> </w:t>
            </w:r>
            <w:r>
              <w:rPr>
                <w:i/>
                <w:color w:val="2D74B5"/>
                <w:sz w:val="22"/>
                <w:u w:val="single" w:color="2D74B5"/>
              </w:rPr>
              <w:t>с</w:t>
            </w:r>
            <w:r>
              <w:rPr>
                <w:i/>
                <w:color w:val="2D74B5"/>
                <w:spacing w:val="-4"/>
                <w:sz w:val="22"/>
                <w:u w:val="single" w:color="2D74B5"/>
              </w:rPr>
              <w:t> </w:t>
            </w:r>
            <w:r>
              <w:rPr>
                <w:i/>
                <w:color w:val="2D74B5"/>
                <w:sz w:val="22"/>
                <w:u w:val="single" w:color="2D74B5"/>
              </w:rPr>
              <w:t>факторами</w:t>
            </w:r>
            <w:r>
              <w:rPr>
                <w:i/>
                <w:color w:val="2D74B5"/>
                <w:spacing w:val="-8"/>
                <w:sz w:val="22"/>
                <w:u w:val="single" w:color="2D74B5"/>
              </w:rPr>
              <w:t> </w:t>
            </w:r>
            <w:r>
              <w:rPr>
                <w:i/>
                <w:color w:val="2D74B5"/>
                <w:sz w:val="22"/>
                <w:u w:val="single" w:color="2D74B5"/>
              </w:rPr>
              <w:t>риска</w:t>
            </w:r>
            <w:r>
              <w:rPr>
                <w:i/>
                <w:color w:val="2D74B5"/>
                <w:spacing w:val="-4"/>
                <w:sz w:val="22"/>
                <w:u w:val="single" w:color="2D74B5"/>
              </w:rPr>
              <w:t> </w:t>
            </w:r>
            <w:r>
              <w:rPr>
                <w:i/>
                <w:color w:val="2D74B5"/>
                <w:sz w:val="22"/>
                <w:u w:val="single" w:color="2D74B5"/>
              </w:rPr>
              <w:t>инфицирования</w:t>
            </w:r>
            <w:r>
              <w:rPr>
                <w:i/>
                <w:color w:val="2D74B5"/>
                <w:spacing w:val="-4"/>
                <w:sz w:val="22"/>
                <w:u w:val="single" w:color="2D74B5"/>
              </w:rPr>
              <w:t> </w:t>
            </w:r>
            <w:r>
              <w:rPr>
                <w:i/>
                <w:color w:val="2D74B5"/>
                <w:spacing w:val="-5"/>
                <w:sz w:val="22"/>
                <w:u w:val="single" w:color="2D74B5"/>
              </w:rPr>
              <w:t>ПРП</w:t>
            </w:r>
          </w:p>
        </w:tc>
      </w:tr>
      <w:tr>
        <w:trPr>
          <w:trHeight w:val="2092" w:hRule="atLeast"/>
        </w:trPr>
        <w:tc>
          <w:tcPr>
            <w:tcW w:w="8673" w:type="dxa"/>
          </w:tcPr>
          <w:p>
            <w:pPr>
              <w:pStyle w:val="TableParagraph"/>
              <w:spacing w:before="15"/>
              <w:ind w:left="105"/>
              <w:rPr>
                <w:sz w:val="22"/>
              </w:rPr>
            </w:pPr>
            <w:r>
              <w:rPr>
                <w:spacing w:val="-2"/>
                <w:sz w:val="22"/>
              </w:rPr>
              <w:t>Рекомендованный</w:t>
            </w:r>
            <w:r>
              <w:rPr>
                <w:spacing w:val="16"/>
                <w:sz w:val="22"/>
              </w:rPr>
              <w:t> </w:t>
            </w:r>
            <w:r>
              <w:rPr>
                <w:spacing w:val="-2"/>
                <w:sz w:val="22"/>
              </w:rPr>
              <w:t>режим:</w:t>
            </w:r>
          </w:p>
          <w:p>
            <w:pPr>
              <w:pStyle w:val="TableParagraph"/>
              <w:spacing w:before="52"/>
              <w:ind w:left="105"/>
              <w:rPr>
                <w:sz w:val="22"/>
              </w:rPr>
            </w:pPr>
            <w:r>
              <w:rPr>
                <w:sz w:val="22"/>
              </w:rPr>
              <w:t>Цефтаролин</w:t>
            </w:r>
            <w:r>
              <w:rPr>
                <w:spacing w:val="-6"/>
                <w:sz w:val="22"/>
              </w:rPr>
              <w:t> </w:t>
            </w:r>
            <w:r>
              <w:rPr>
                <w:sz w:val="22"/>
              </w:rPr>
              <w:t>или</w:t>
            </w:r>
            <w:r>
              <w:rPr>
                <w:spacing w:val="-5"/>
                <w:sz w:val="22"/>
              </w:rPr>
              <w:t> </w:t>
            </w:r>
            <w:r>
              <w:rPr>
                <w:sz w:val="22"/>
              </w:rPr>
              <w:t>цефотаксим</w:t>
            </w:r>
            <w:r>
              <w:rPr>
                <w:sz w:val="22"/>
                <w:vertAlign w:val="superscript"/>
              </w:rPr>
              <w:t>2</w:t>
            </w:r>
            <w:r>
              <w:rPr>
                <w:spacing w:val="-4"/>
                <w:sz w:val="22"/>
                <w:vertAlign w:val="baseline"/>
              </w:rPr>
              <w:t> </w:t>
            </w:r>
            <w:r>
              <w:rPr>
                <w:sz w:val="22"/>
                <w:vertAlign w:val="baseline"/>
              </w:rPr>
              <w:t>или</w:t>
            </w:r>
            <w:r>
              <w:rPr>
                <w:spacing w:val="-5"/>
                <w:sz w:val="22"/>
                <w:vertAlign w:val="baseline"/>
              </w:rPr>
              <w:t> </w:t>
            </w:r>
            <w:r>
              <w:rPr>
                <w:spacing w:val="-2"/>
                <w:sz w:val="22"/>
                <w:vertAlign w:val="baseline"/>
              </w:rPr>
              <w:t>цефтриаксон</w:t>
            </w:r>
            <w:r>
              <w:rPr>
                <w:spacing w:val="-2"/>
                <w:sz w:val="22"/>
                <w:vertAlign w:val="superscript"/>
              </w:rPr>
              <w:t>2</w:t>
            </w:r>
          </w:p>
          <w:p>
            <w:pPr>
              <w:pStyle w:val="TableParagraph"/>
              <w:spacing w:line="288" w:lineRule="auto" w:before="37"/>
              <w:ind w:left="105" w:right="3643" w:firstLine="55"/>
              <w:rPr>
                <w:sz w:val="22"/>
              </w:rPr>
            </w:pPr>
            <w:r>
              <w:rPr>
                <w:sz w:val="22"/>
              </w:rPr>
              <w:t>+</w:t>
            </w:r>
            <w:r>
              <w:rPr>
                <w:spacing w:val="-13"/>
                <w:sz w:val="22"/>
              </w:rPr>
              <w:t> </w:t>
            </w:r>
            <w:r>
              <w:rPr>
                <w:sz w:val="22"/>
              </w:rPr>
              <w:t>азитромицин</w:t>
            </w:r>
            <w:r>
              <w:rPr>
                <w:spacing w:val="-14"/>
                <w:sz w:val="22"/>
              </w:rPr>
              <w:t> </w:t>
            </w:r>
            <w:r>
              <w:rPr>
                <w:sz w:val="22"/>
              </w:rPr>
              <w:t>или</w:t>
            </w:r>
            <w:r>
              <w:rPr>
                <w:spacing w:val="-14"/>
                <w:sz w:val="22"/>
              </w:rPr>
              <w:t> </w:t>
            </w:r>
            <w:r>
              <w:rPr>
                <w:sz w:val="22"/>
              </w:rPr>
              <w:t>кларитромицин Альтернативный режим:</w:t>
            </w:r>
          </w:p>
          <w:p>
            <w:pPr>
              <w:pStyle w:val="TableParagraph"/>
              <w:spacing w:line="276" w:lineRule="auto" w:before="4"/>
              <w:ind w:left="105"/>
              <w:rPr>
                <w:sz w:val="22"/>
              </w:rPr>
            </w:pPr>
            <w:r>
              <w:rPr>
                <w:sz w:val="22"/>
              </w:rPr>
              <w:t>Цефтаролин</w:t>
            </w:r>
            <w:r>
              <w:rPr>
                <w:spacing w:val="-11"/>
                <w:sz w:val="22"/>
              </w:rPr>
              <w:t> </w:t>
            </w:r>
            <w:r>
              <w:rPr>
                <w:sz w:val="22"/>
              </w:rPr>
              <w:t>или</w:t>
            </w:r>
            <w:r>
              <w:rPr>
                <w:spacing w:val="-7"/>
                <w:sz w:val="22"/>
              </w:rPr>
              <w:t> </w:t>
            </w:r>
            <w:r>
              <w:rPr>
                <w:sz w:val="22"/>
              </w:rPr>
              <w:t>цефотаксим</w:t>
            </w:r>
            <w:r>
              <w:rPr>
                <w:sz w:val="22"/>
                <w:vertAlign w:val="superscript"/>
              </w:rPr>
              <w:t>2</w:t>
            </w:r>
            <w:r>
              <w:rPr>
                <w:spacing w:val="-6"/>
                <w:sz w:val="22"/>
                <w:vertAlign w:val="baseline"/>
              </w:rPr>
              <w:t> </w:t>
            </w:r>
            <w:r>
              <w:rPr>
                <w:sz w:val="22"/>
                <w:vertAlign w:val="baseline"/>
              </w:rPr>
              <w:t>или</w:t>
            </w:r>
            <w:r>
              <w:rPr>
                <w:spacing w:val="-7"/>
                <w:sz w:val="22"/>
                <w:vertAlign w:val="baseline"/>
              </w:rPr>
              <w:t> </w:t>
            </w:r>
            <w:r>
              <w:rPr>
                <w:sz w:val="22"/>
                <w:vertAlign w:val="baseline"/>
              </w:rPr>
              <w:t>цефтриаксон</w:t>
            </w:r>
            <w:r>
              <w:rPr>
                <w:sz w:val="22"/>
                <w:vertAlign w:val="superscript"/>
              </w:rPr>
              <w:t>2</w:t>
            </w:r>
            <w:r>
              <w:rPr>
                <w:spacing w:val="-20"/>
                <w:sz w:val="22"/>
                <w:vertAlign w:val="baseline"/>
              </w:rPr>
              <w:t> </w:t>
            </w:r>
            <w:r>
              <w:rPr>
                <w:sz w:val="22"/>
                <w:vertAlign w:val="baseline"/>
              </w:rPr>
              <w:t>или</w:t>
            </w:r>
            <w:r>
              <w:rPr>
                <w:spacing w:val="-6"/>
                <w:sz w:val="22"/>
                <w:vertAlign w:val="baseline"/>
              </w:rPr>
              <w:t> </w:t>
            </w:r>
            <w:r>
              <w:rPr>
                <w:sz w:val="22"/>
                <w:vertAlign w:val="baseline"/>
              </w:rPr>
              <w:t>цефтриаксон/сульбактам</w:t>
            </w:r>
            <w:r>
              <w:rPr>
                <w:spacing w:val="-5"/>
                <w:sz w:val="22"/>
                <w:vertAlign w:val="baseline"/>
              </w:rPr>
              <w:t> </w:t>
            </w:r>
            <w:r>
              <w:rPr>
                <w:sz w:val="22"/>
                <w:vertAlign w:val="baseline"/>
              </w:rPr>
              <w:t>или </w:t>
            </w:r>
            <w:r>
              <w:rPr>
                <w:spacing w:val="-2"/>
                <w:sz w:val="22"/>
                <w:vertAlign w:val="baseline"/>
              </w:rPr>
              <w:t>цефотаксим/сульбактам</w:t>
            </w:r>
          </w:p>
          <w:p>
            <w:pPr>
              <w:pStyle w:val="TableParagraph"/>
              <w:spacing w:line="251" w:lineRule="exact"/>
              <w:ind w:left="105"/>
              <w:rPr>
                <w:sz w:val="22"/>
              </w:rPr>
            </w:pPr>
            <w:r>
              <w:rPr>
                <w:sz w:val="22"/>
              </w:rPr>
              <w:t>+</w:t>
            </w:r>
            <w:r>
              <w:rPr>
                <w:spacing w:val="-5"/>
                <w:sz w:val="22"/>
              </w:rPr>
              <w:t> </w:t>
            </w:r>
            <w:r>
              <w:rPr>
                <w:sz w:val="22"/>
              </w:rPr>
              <w:t>моксифлоксацин</w:t>
            </w:r>
            <w:r>
              <w:rPr>
                <w:spacing w:val="-4"/>
                <w:sz w:val="22"/>
              </w:rPr>
              <w:t> </w:t>
            </w:r>
            <w:r>
              <w:rPr>
                <w:sz w:val="22"/>
              </w:rPr>
              <w:t>или</w:t>
            </w:r>
            <w:r>
              <w:rPr>
                <w:spacing w:val="-6"/>
                <w:sz w:val="22"/>
              </w:rPr>
              <w:t> </w:t>
            </w:r>
            <w:r>
              <w:rPr>
                <w:spacing w:val="-2"/>
                <w:sz w:val="22"/>
              </w:rPr>
              <w:t>левофлоксацин</w:t>
            </w:r>
          </w:p>
        </w:tc>
      </w:tr>
      <w:tr>
        <w:trPr>
          <w:trHeight w:val="361" w:hRule="atLeast"/>
        </w:trPr>
        <w:tc>
          <w:tcPr>
            <w:tcW w:w="8673" w:type="dxa"/>
            <w:shd w:val="clear" w:color="auto" w:fill="F1F1F1"/>
          </w:tcPr>
          <w:p>
            <w:pPr>
              <w:pStyle w:val="TableParagraph"/>
              <w:spacing w:before="13"/>
              <w:ind w:left="105"/>
              <w:rPr>
                <w:i/>
                <w:sz w:val="22"/>
              </w:rPr>
            </w:pPr>
            <w:r>
              <w:rPr>
                <w:i/>
                <w:color w:val="2D74B5"/>
                <w:sz w:val="22"/>
              </w:rPr>
              <w:t>3.</w:t>
            </w:r>
            <w:r>
              <w:rPr>
                <w:i/>
                <w:color w:val="2D74B5"/>
                <w:spacing w:val="59"/>
                <w:w w:val="150"/>
                <w:sz w:val="22"/>
              </w:rPr>
              <w:t> </w:t>
            </w:r>
            <w:r>
              <w:rPr>
                <w:i/>
                <w:color w:val="2D74B5"/>
                <w:sz w:val="22"/>
              </w:rPr>
              <w:t>Пациенты</w:t>
            </w:r>
            <w:r>
              <w:rPr>
                <w:i/>
                <w:color w:val="2D74B5"/>
                <w:spacing w:val="-4"/>
                <w:sz w:val="22"/>
              </w:rPr>
              <w:t> </w:t>
            </w:r>
            <w:r>
              <w:rPr>
                <w:i/>
                <w:color w:val="2D74B5"/>
                <w:sz w:val="22"/>
                <w:u w:val="single" w:color="2D74B5"/>
              </w:rPr>
              <w:t>с</w:t>
            </w:r>
            <w:r>
              <w:rPr>
                <w:i/>
                <w:color w:val="2D74B5"/>
                <w:spacing w:val="-3"/>
                <w:sz w:val="22"/>
                <w:u w:val="single" w:color="2D74B5"/>
              </w:rPr>
              <w:t> </w:t>
            </w:r>
            <w:r>
              <w:rPr>
                <w:i/>
                <w:color w:val="2D74B5"/>
                <w:sz w:val="22"/>
                <w:u w:val="single" w:color="2D74B5"/>
              </w:rPr>
              <w:t>факторами</w:t>
            </w:r>
            <w:r>
              <w:rPr>
                <w:i/>
                <w:color w:val="2D74B5"/>
                <w:spacing w:val="-8"/>
                <w:sz w:val="22"/>
                <w:u w:val="single" w:color="2D74B5"/>
              </w:rPr>
              <w:t> </w:t>
            </w:r>
            <w:r>
              <w:rPr>
                <w:i/>
                <w:color w:val="2D74B5"/>
                <w:sz w:val="22"/>
                <w:u w:val="single" w:color="2D74B5"/>
              </w:rPr>
              <w:t>риска</w:t>
            </w:r>
            <w:r>
              <w:rPr>
                <w:i/>
                <w:color w:val="2D74B5"/>
                <w:spacing w:val="-3"/>
                <w:sz w:val="22"/>
                <w:u w:val="single" w:color="2D74B5"/>
              </w:rPr>
              <w:t> </w:t>
            </w:r>
            <w:r>
              <w:rPr>
                <w:i/>
                <w:color w:val="2D74B5"/>
                <w:sz w:val="22"/>
                <w:u w:val="single" w:color="2D74B5"/>
              </w:rPr>
              <w:t>инфицирования</w:t>
            </w:r>
            <w:r>
              <w:rPr>
                <w:i/>
                <w:color w:val="2D74B5"/>
                <w:spacing w:val="-4"/>
                <w:sz w:val="22"/>
                <w:u w:val="single" w:color="2D74B5"/>
              </w:rPr>
              <w:t> </w:t>
            </w:r>
            <w:r>
              <w:rPr>
                <w:i/>
                <w:color w:val="2D74B5"/>
                <w:sz w:val="22"/>
                <w:u w:val="single" w:color="2D74B5"/>
              </w:rPr>
              <w:t>P.</w:t>
            </w:r>
            <w:r>
              <w:rPr>
                <w:i/>
                <w:color w:val="2D74B5"/>
                <w:spacing w:val="-3"/>
                <w:sz w:val="22"/>
                <w:u w:val="single" w:color="2D74B5"/>
              </w:rPr>
              <w:t> </w:t>
            </w:r>
            <w:r>
              <w:rPr>
                <w:i/>
                <w:color w:val="2D74B5"/>
                <w:spacing w:val="-2"/>
                <w:sz w:val="22"/>
                <w:u w:val="single" w:color="2D74B5"/>
              </w:rPr>
              <w:t>aeruginosa</w:t>
            </w:r>
          </w:p>
        </w:tc>
      </w:tr>
      <w:tr>
        <w:trPr>
          <w:trHeight w:val="2412" w:hRule="atLeast"/>
        </w:trPr>
        <w:tc>
          <w:tcPr>
            <w:tcW w:w="8673" w:type="dxa"/>
          </w:tcPr>
          <w:p>
            <w:pPr>
              <w:pStyle w:val="TableParagraph"/>
              <w:spacing w:before="12"/>
              <w:ind w:left="105"/>
              <w:rPr>
                <w:sz w:val="22"/>
              </w:rPr>
            </w:pPr>
            <w:r>
              <w:rPr>
                <w:spacing w:val="-2"/>
                <w:sz w:val="22"/>
              </w:rPr>
              <w:t>Рекомендованный</w:t>
            </w:r>
            <w:r>
              <w:rPr>
                <w:spacing w:val="16"/>
                <w:sz w:val="22"/>
              </w:rPr>
              <w:t> </w:t>
            </w:r>
            <w:r>
              <w:rPr>
                <w:spacing w:val="-2"/>
                <w:sz w:val="22"/>
              </w:rPr>
              <w:t>режим:</w:t>
            </w:r>
          </w:p>
          <w:p>
            <w:pPr>
              <w:pStyle w:val="TableParagraph"/>
              <w:spacing w:before="52"/>
              <w:ind w:left="105"/>
              <w:rPr>
                <w:sz w:val="22"/>
              </w:rPr>
            </w:pPr>
            <w:r>
              <w:rPr>
                <w:sz w:val="22"/>
              </w:rPr>
              <w:t>Пиперациллин/тазобактам</w:t>
            </w:r>
            <w:r>
              <w:rPr>
                <w:spacing w:val="-6"/>
                <w:sz w:val="22"/>
              </w:rPr>
              <w:t> </w:t>
            </w:r>
            <w:r>
              <w:rPr>
                <w:sz w:val="22"/>
              </w:rPr>
              <w:t>или</w:t>
            </w:r>
            <w:r>
              <w:rPr>
                <w:spacing w:val="-6"/>
                <w:sz w:val="22"/>
              </w:rPr>
              <w:t> </w:t>
            </w:r>
            <w:r>
              <w:rPr>
                <w:sz w:val="22"/>
              </w:rPr>
              <w:t>цефепим</w:t>
            </w:r>
            <w:r>
              <w:rPr>
                <w:spacing w:val="-6"/>
                <w:sz w:val="22"/>
              </w:rPr>
              <w:t> </w:t>
            </w:r>
            <w:r>
              <w:rPr>
                <w:sz w:val="22"/>
              </w:rPr>
              <w:t>или</w:t>
            </w:r>
            <w:r>
              <w:rPr>
                <w:spacing w:val="-6"/>
                <w:sz w:val="22"/>
              </w:rPr>
              <w:t> </w:t>
            </w:r>
            <w:r>
              <w:rPr>
                <w:sz w:val="22"/>
              </w:rPr>
              <w:t>меропенем</w:t>
            </w:r>
            <w:r>
              <w:rPr>
                <w:spacing w:val="-6"/>
                <w:sz w:val="22"/>
              </w:rPr>
              <w:t> </w:t>
            </w:r>
            <w:r>
              <w:rPr>
                <w:sz w:val="22"/>
              </w:rPr>
              <w:t>или</w:t>
            </w:r>
            <w:r>
              <w:rPr>
                <w:spacing w:val="-6"/>
                <w:sz w:val="22"/>
              </w:rPr>
              <w:t> </w:t>
            </w:r>
            <w:r>
              <w:rPr>
                <w:spacing w:val="-2"/>
                <w:sz w:val="22"/>
              </w:rPr>
              <w:t>имипенем</w:t>
            </w:r>
          </w:p>
          <w:p>
            <w:pPr>
              <w:pStyle w:val="TableParagraph"/>
              <w:spacing w:line="278" w:lineRule="auto" w:before="51"/>
              <w:ind w:left="105"/>
              <w:rPr>
                <w:sz w:val="22"/>
              </w:rPr>
            </w:pPr>
            <w:r>
              <w:rPr>
                <w:sz w:val="22"/>
              </w:rPr>
              <w:t>+</w:t>
            </w:r>
            <w:r>
              <w:rPr>
                <w:spacing w:val="-7"/>
                <w:sz w:val="22"/>
              </w:rPr>
              <w:t> </w:t>
            </w:r>
            <w:r>
              <w:rPr>
                <w:sz w:val="22"/>
              </w:rPr>
              <w:t>ципрофлоксацин</w:t>
            </w:r>
            <w:r>
              <w:rPr>
                <w:spacing w:val="-7"/>
                <w:sz w:val="22"/>
              </w:rPr>
              <w:t> </w:t>
            </w:r>
            <w:r>
              <w:rPr>
                <w:sz w:val="22"/>
              </w:rPr>
              <w:t>или</w:t>
            </w:r>
            <w:r>
              <w:rPr>
                <w:spacing w:val="-7"/>
                <w:sz w:val="22"/>
              </w:rPr>
              <w:t> </w:t>
            </w:r>
            <w:r>
              <w:rPr>
                <w:sz w:val="22"/>
              </w:rPr>
              <w:t>левофлоксацин</w:t>
            </w:r>
            <w:r>
              <w:rPr>
                <w:spacing w:val="-6"/>
                <w:sz w:val="22"/>
              </w:rPr>
              <w:t> </w:t>
            </w:r>
            <w:r>
              <w:rPr>
                <w:sz w:val="22"/>
              </w:rPr>
              <w:t>или</w:t>
            </w:r>
            <w:r>
              <w:rPr>
                <w:spacing w:val="-7"/>
                <w:sz w:val="22"/>
              </w:rPr>
              <w:t> </w:t>
            </w:r>
            <w:r>
              <w:rPr>
                <w:sz w:val="22"/>
              </w:rPr>
              <w:t>цефепим/сульбактам</w:t>
            </w:r>
            <w:r>
              <w:rPr>
                <w:spacing w:val="-8"/>
                <w:sz w:val="22"/>
              </w:rPr>
              <w:t> </w:t>
            </w:r>
            <w:r>
              <w:rPr>
                <w:sz w:val="22"/>
              </w:rPr>
              <w:t>или </w:t>
            </w:r>
            <w:r>
              <w:rPr>
                <w:spacing w:val="-2"/>
                <w:sz w:val="22"/>
              </w:rPr>
              <w:t>цефоперазон/сульбактам</w:t>
            </w:r>
          </w:p>
          <w:p>
            <w:pPr>
              <w:pStyle w:val="TableParagraph"/>
              <w:spacing w:before="11"/>
              <w:ind w:left="105"/>
              <w:rPr>
                <w:sz w:val="22"/>
              </w:rPr>
            </w:pPr>
            <w:r>
              <w:rPr>
                <w:spacing w:val="-2"/>
                <w:sz w:val="22"/>
              </w:rPr>
              <w:t>Альтернативный</w:t>
            </w:r>
            <w:r>
              <w:rPr>
                <w:spacing w:val="13"/>
                <w:sz w:val="22"/>
              </w:rPr>
              <w:t> </w:t>
            </w:r>
            <w:r>
              <w:rPr>
                <w:spacing w:val="-2"/>
                <w:sz w:val="22"/>
              </w:rPr>
              <w:t>режим:</w:t>
            </w:r>
          </w:p>
          <w:p>
            <w:pPr>
              <w:pStyle w:val="TableParagraph"/>
              <w:spacing w:before="52"/>
              <w:ind w:left="105"/>
              <w:rPr>
                <w:sz w:val="22"/>
              </w:rPr>
            </w:pPr>
            <w:r>
              <w:rPr>
                <w:sz w:val="22"/>
              </w:rPr>
              <w:t>Пиперациллин/тазобактам</w:t>
            </w:r>
            <w:r>
              <w:rPr>
                <w:spacing w:val="-6"/>
                <w:sz w:val="22"/>
              </w:rPr>
              <w:t> </w:t>
            </w:r>
            <w:r>
              <w:rPr>
                <w:sz w:val="22"/>
              </w:rPr>
              <w:t>или</w:t>
            </w:r>
            <w:r>
              <w:rPr>
                <w:spacing w:val="-6"/>
                <w:sz w:val="22"/>
              </w:rPr>
              <w:t> </w:t>
            </w:r>
            <w:r>
              <w:rPr>
                <w:sz w:val="22"/>
              </w:rPr>
              <w:t>цефепим</w:t>
            </w:r>
            <w:r>
              <w:rPr>
                <w:spacing w:val="-6"/>
                <w:sz w:val="22"/>
              </w:rPr>
              <w:t> </w:t>
            </w:r>
            <w:r>
              <w:rPr>
                <w:sz w:val="22"/>
              </w:rPr>
              <w:t>или</w:t>
            </w:r>
            <w:r>
              <w:rPr>
                <w:spacing w:val="-6"/>
                <w:sz w:val="22"/>
              </w:rPr>
              <w:t> </w:t>
            </w:r>
            <w:r>
              <w:rPr>
                <w:sz w:val="22"/>
              </w:rPr>
              <w:t>меропенем</w:t>
            </w:r>
            <w:r>
              <w:rPr>
                <w:spacing w:val="-6"/>
                <w:sz w:val="22"/>
              </w:rPr>
              <w:t> </w:t>
            </w:r>
            <w:r>
              <w:rPr>
                <w:sz w:val="22"/>
              </w:rPr>
              <w:t>или</w:t>
            </w:r>
            <w:r>
              <w:rPr>
                <w:spacing w:val="-6"/>
                <w:sz w:val="22"/>
              </w:rPr>
              <w:t> </w:t>
            </w:r>
            <w:r>
              <w:rPr>
                <w:spacing w:val="-2"/>
                <w:sz w:val="22"/>
              </w:rPr>
              <w:t>имипенем</w:t>
            </w:r>
          </w:p>
          <w:p>
            <w:pPr>
              <w:pStyle w:val="TableParagraph"/>
              <w:spacing w:line="290" w:lineRule="atLeast" w:before="14"/>
              <w:ind w:left="105"/>
              <w:rPr>
                <w:sz w:val="22"/>
              </w:rPr>
            </w:pPr>
            <w:r>
              <w:rPr>
                <w:sz w:val="22"/>
              </w:rPr>
              <w:t>+</w:t>
            </w:r>
            <w:r>
              <w:rPr>
                <w:spacing w:val="-5"/>
                <w:sz w:val="22"/>
              </w:rPr>
              <w:t> </w:t>
            </w:r>
            <w:r>
              <w:rPr>
                <w:sz w:val="22"/>
              </w:rPr>
              <w:t>азитромицин</w:t>
            </w:r>
            <w:r>
              <w:rPr>
                <w:spacing w:val="-6"/>
                <w:sz w:val="22"/>
              </w:rPr>
              <w:t> </w:t>
            </w:r>
            <w:r>
              <w:rPr>
                <w:sz w:val="22"/>
              </w:rPr>
              <w:t>или</w:t>
            </w:r>
            <w:r>
              <w:rPr>
                <w:spacing w:val="-6"/>
                <w:sz w:val="22"/>
              </w:rPr>
              <w:t> </w:t>
            </w:r>
            <w:r>
              <w:rPr>
                <w:sz w:val="22"/>
              </w:rPr>
              <w:t>кларитромицин</w:t>
            </w:r>
            <w:r>
              <w:rPr>
                <w:spacing w:val="-5"/>
                <w:sz w:val="22"/>
              </w:rPr>
              <w:t> </w:t>
            </w:r>
            <w:r>
              <w:rPr>
                <w:sz w:val="22"/>
              </w:rPr>
              <w:t>+/-</w:t>
            </w:r>
            <w:r>
              <w:rPr>
                <w:spacing w:val="-7"/>
                <w:sz w:val="22"/>
              </w:rPr>
              <w:t> </w:t>
            </w:r>
            <w:r>
              <w:rPr>
                <w:sz w:val="22"/>
              </w:rPr>
              <w:t>амикацин</w:t>
            </w:r>
            <w:r>
              <w:rPr>
                <w:spacing w:val="-6"/>
                <w:sz w:val="22"/>
              </w:rPr>
              <w:t> </w:t>
            </w:r>
            <w:r>
              <w:rPr>
                <w:sz w:val="22"/>
              </w:rPr>
              <w:t>или</w:t>
            </w:r>
            <w:r>
              <w:rPr>
                <w:spacing w:val="-5"/>
                <w:sz w:val="22"/>
              </w:rPr>
              <w:t> </w:t>
            </w:r>
            <w:r>
              <w:rPr>
                <w:sz w:val="22"/>
              </w:rPr>
              <w:t>цефепим/сульбактам</w:t>
            </w:r>
            <w:r>
              <w:rPr>
                <w:spacing w:val="-6"/>
                <w:sz w:val="22"/>
              </w:rPr>
              <w:t> </w:t>
            </w:r>
            <w:r>
              <w:rPr>
                <w:sz w:val="22"/>
              </w:rPr>
              <w:t>или </w:t>
            </w:r>
            <w:r>
              <w:rPr>
                <w:spacing w:val="-2"/>
                <w:sz w:val="22"/>
              </w:rPr>
              <w:t>цефоперазон/сульбактам</w:t>
            </w:r>
          </w:p>
        </w:tc>
      </w:tr>
      <w:tr>
        <w:trPr>
          <w:trHeight w:val="362" w:hRule="atLeast"/>
        </w:trPr>
        <w:tc>
          <w:tcPr>
            <w:tcW w:w="8673" w:type="dxa"/>
            <w:shd w:val="clear" w:color="auto" w:fill="F1F1F1"/>
          </w:tcPr>
          <w:p>
            <w:pPr>
              <w:pStyle w:val="TableParagraph"/>
              <w:spacing w:before="10"/>
              <w:ind w:left="86"/>
              <w:rPr>
                <w:i/>
                <w:sz w:val="22"/>
              </w:rPr>
            </w:pPr>
            <w:r>
              <w:rPr>
                <w:sz w:val="22"/>
              </w:rPr>
              <w:t>4.</w:t>
            </w:r>
            <w:r>
              <w:rPr>
                <w:spacing w:val="35"/>
                <w:sz w:val="22"/>
              </w:rPr>
              <w:t>  </w:t>
            </w:r>
            <w:r>
              <w:rPr>
                <w:i/>
                <w:color w:val="2D74B5"/>
                <w:sz w:val="22"/>
              </w:rPr>
              <w:t>Пациенты</w:t>
            </w:r>
            <w:r>
              <w:rPr>
                <w:i/>
                <w:color w:val="2D74B5"/>
                <w:spacing w:val="-2"/>
                <w:sz w:val="22"/>
              </w:rPr>
              <w:t> </w:t>
            </w:r>
            <w:r>
              <w:rPr>
                <w:i/>
                <w:color w:val="2D74B5"/>
                <w:sz w:val="22"/>
                <w:u w:val="single" w:color="2D74B5"/>
              </w:rPr>
              <w:t>с</w:t>
            </w:r>
            <w:r>
              <w:rPr>
                <w:i/>
                <w:color w:val="2D74B5"/>
                <w:spacing w:val="-4"/>
                <w:sz w:val="22"/>
                <w:u w:val="single" w:color="2D74B5"/>
              </w:rPr>
              <w:t> </w:t>
            </w:r>
            <w:r>
              <w:rPr>
                <w:i/>
                <w:color w:val="2D74B5"/>
                <w:sz w:val="22"/>
                <w:u w:val="single" w:color="2D74B5"/>
              </w:rPr>
              <w:t>факторами</w:t>
            </w:r>
            <w:r>
              <w:rPr>
                <w:i/>
                <w:color w:val="2D74B5"/>
                <w:spacing w:val="-8"/>
                <w:sz w:val="22"/>
                <w:u w:val="single" w:color="2D74B5"/>
              </w:rPr>
              <w:t> </w:t>
            </w:r>
            <w:r>
              <w:rPr>
                <w:i/>
                <w:color w:val="2D74B5"/>
                <w:sz w:val="22"/>
                <w:u w:val="single" w:color="2D74B5"/>
              </w:rPr>
              <w:t>риска</w:t>
            </w:r>
            <w:r>
              <w:rPr>
                <w:i/>
                <w:color w:val="2D74B5"/>
                <w:spacing w:val="-3"/>
                <w:sz w:val="22"/>
                <w:u w:val="single" w:color="2D74B5"/>
              </w:rPr>
              <w:t> </w:t>
            </w:r>
            <w:r>
              <w:rPr>
                <w:i/>
                <w:color w:val="2D74B5"/>
                <w:sz w:val="22"/>
                <w:u w:val="single" w:color="2D74B5"/>
              </w:rPr>
              <w:t>инфицирования</w:t>
            </w:r>
            <w:r>
              <w:rPr>
                <w:i/>
                <w:color w:val="2D74B5"/>
                <w:spacing w:val="-5"/>
                <w:sz w:val="22"/>
                <w:u w:val="single" w:color="2D74B5"/>
              </w:rPr>
              <w:t> </w:t>
            </w:r>
            <w:r>
              <w:rPr>
                <w:i/>
                <w:color w:val="2D74B5"/>
                <w:spacing w:val="-4"/>
                <w:sz w:val="22"/>
                <w:u w:val="single" w:color="2D74B5"/>
              </w:rPr>
              <w:t>MRSA</w:t>
            </w:r>
          </w:p>
        </w:tc>
      </w:tr>
      <w:tr>
        <w:trPr>
          <w:trHeight w:val="4185" w:hRule="atLeast"/>
        </w:trPr>
        <w:tc>
          <w:tcPr>
            <w:tcW w:w="8673" w:type="dxa"/>
          </w:tcPr>
          <w:p>
            <w:pPr>
              <w:pStyle w:val="TableParagraph"/>
              <w:spacing w:before="10"/>
              <w:ind w:left="105"/>
              <w:rPr>
                <w:i/>
                <w:sz w:val="22"/>
              </w:rPr>
            </w:pPr>
            <w:r>
              <w:rPr>
                <w:i/>
                <w:sz w:val="22"/>
              </w:rPr>
              <w:t>Рекомендованный</w:t>
            </w:r>
            <w:r>
              <w:rPr>
                <w:i/>
                <w:spacing w:val="-8"/>
                <w:sz w:val="22"/>
              </w:rPr>
              <w:t> </w:t>
            </w:r>
            <w:r>
              <w:rPr>
                <w:i/>
                <w:spacing w:val="-2"/>
                <w:sz w:val="22"/>
              </w:rPr>
              <w:t>режим:</w:t>
            </w:r>
          </w:p>
          <w:p>
            <w:pPr>
              <w:pStyle w:val="TableParagraph"/>
              <w:numPr>
                <w:ilvl w:val="0"/>
                <w:numId w:val="25"/>
              </w:numPr>
              <w:tabs>
                <w:tab w:pos="325" w:val="left" w:leader="none"/>
              </w:tabs>
              <w:spacing w:line="276" w:lineRule="auto" w:before="51" w:after="0"/>
              <w:ind w:left="105" w:right="549" w:firstLine="0"/>
              <w:jc w:val="left"/>
              <w:rPr>
                <w:i/>
                <w:sz w:val="22"/>
              </w:rPr>
            </w:pPr>
            <w:r>
              <w:rPr>
                <w:i/>
                <w:sz w:val="22"/>
              </w:rPr>
              <w:t>Амоксициллин/клавулановая</w:t>
            </w:r>
            <w:r>
              <w:rPr>
                <w:i/>
                <w:spacing w:val="-9"/>
                <w:sz w:val="22"/>
              </w:rPr>
              <w:t> </w:t>
            </w:r>
            <w:r>
              <w:rPr>
                <w:i/>
                <w:sz w:val="22"/>
              </w:rPr>
              <w:t>кислота</w:t>
            </w:r>
            <w:r>
              <w:rPr>
                <w:i/>
                <w:spacing w:val="-9"/>
                <w:sz w:val="22"/>
              </w:rPr>
              <w:t> </w:t>
            </w:r>
            <w:r>
              <w:rPr>
                <w:i/>
                <w:sz w:val="22"/>
              </w:rPr>
              <w:t>или</w:t>
            </w:r>
            <w:r>
              <w:rPr>
                <w:i/>
                <w:spacing w:val="-9"/>
                <w:sz w:val="22"/>
              </w:rPr>
              <w:t> </w:t>
            </w:r>
            <w:r>
              <w:rPr>
                <w:i/>
                <w:sz w:val="22"/>
              </w:rPr>
              <w:t>ампициллин/сульбактам</w:t>
            </w:r>
            <w:r>
              <w:rPr>
                <w:i/>
                <w:spacing w:val="-9"/>
                <w:sz w:val="22"/>
              </w:rPr>
              <w:t> </w:t>
            </w:r>
            <w:r>
              <w:rPr>
                <w:i/>
                <w:sz w:val="22"/>
              </w:rPr>
              <w:t>или</w:t>
            </w:r>
            <w:r>
              <w:rPr>
                <w:i/>
                <w:spacing w:val="-12"/>
                <w:sz w:val="22"/>
              </w:rPr>
              <w:t> </w:t>
            </w:r>
            <w:r>
              <w:rPr>
                <w:i/>
                <w:sz w:val="22"/>
              </w:rPr>
              <w:t>цефотаксим или цефтриаксон или цефепим</w:t>
            </w:r>
          </w:p>
          <w:p>
            <w:pPr>
              <w:pStyle w:val="TableParagraph"/>
              <w:spacing w:before="1"/>
              <w:ind w:left="105"/>
              <w:rPr>
                <w:i/>
                <w:sz w:val="22"/>
              </w:rPr>
            </w:pPr>
            <w:r>
              <w:rPr>
                <w:i/>
                <w:sz w:val="22"/>
              </w:rPr>
              <w:t>+</w:t>
            </w:r>
            <w:r>
              <w:rPr>
                <w:i/>
                <w:spacing w:val="-4"/>
                <w:sz w:val="22"/>
              </w:rPr>
              <w:t> </w:t>
            </w:r>
            <w:r>
              <w:rPr>
                <w:i/>
                <w:sz w:val="22"/>
              </w:rPr>
              <w:t>азитромицин</w:t>
            </w:r>
            <w:r>
              <w:rPr>
                <w:i/>
                <w:spacing w:val="-6"/>
                <w:sz w:val="22"/>
              </w:rPr>
              <w:t> </w:t>
            </w:r>
            <w:r>
              <w:rPr>
                <w:i/>
                <w:sz w:val="22"/>
              </w:rPr>
              <w:t>или</w:t>
            </w:r>
            <w:r>
              <w:rPr>
                <w:i/>
                <w:spacing w:val="-3"/>
                <w:sz w:val="22"/>
              </w:rPr>
              <w:t> </w:t>
            </w:r>
            <w:r>
              <w:rPr>
                <w:i/>
                <w:spacing w:val="-2"/>
                <w:sz w:val="22"/>
              </w:rPr>
              <w:t>кларитромицин</w:t>
            </w:r>
          </w:p>
          <w:p>
            <w:pPr>
              <w:pStyle w:val="TableParagraph"/>
              <w:spacing w:before="37"/>
              <w:ind w:left="105"/>
              <w:rPr>
                <w:i/>
                <w:sz w:val="22"/>
              </w:rPr>
            </w:pPr>
            <w:r>
              <w:rPr>
                <w:i/>
                <w:sz w:val="22"/>
              </w:rPr>
              <w:t>+</w:t>
            </w:r>
            <w:r>
              <w:rPr>
                <w:i/>
                <w:spacing w:val="-2"/>
                <w:sz w:val="22"/>
              </w:rPr>
              <w:t> </w:t>
            </w:r>
            <w:r>
              <w:rPr>
                <w:i/>
                <w:sz w:val="22"/>
              </w:rPr>
              <w:t>линезолид</w:t>
            </w:r>
            <w:r>
              <w:rPr>
                <w:i/>
                <w:spacing w:val="-2"/>
                <w:sz w:val="22"/>
              </w:rPr>
              <w:t> </w:t>
            </w:r>
            <w:r>
              <w:rPr>
                <w:i/>
                <w:sz w:val="22"/>
              </w:rPr>
              <w:t>или</w:t>
            </w:r>
            <w:r>
              <w:rPr>
                <w:i/>
                <w:spacing w:val="-1"/>
                <w:sz w:val="22"/>
              </w:rPr>
              <w:t> </w:t>
            </w:r>
            <w:r>
              <w:rPr>
                <w:i/>
                <w:spacing w:val="-2"/>
                <w:sz w:val="22"/>
              </w:rPr>
              <w:t>ванкомицин</w:t>
            </w:r>
          </w:p>
          <w:p>
            <w:pPr>
              <w:pStyle w:val="TableParagraph"/>
              <w:numPr>
                <w:ilvl w:val="0"/>
                <w:numId w:val="25"/>
              </w:numPr>
              <w:tabs>
                <w:tab w:pos="325" w:val="left" w:leader="none"/>
              </w:tabs>
              <w:spacing w:line="240" w:lineRule="auto" w:before="52" w:after="0"/>
              <w:ind w:left="325" w:right="0" w:hanging="220"/>
              <w:jc w:val="left"/>
              <w:rPr>
                <w:sz w:val="22"/>
              </w:rPr>
            </w:pPr>
            <w:r>
              <w:rPr>
                <w:spacing w:val="-2"/>
                <w:sz w:val="22"/>
              </w:rPr>
              <w:t>Цефтаролин</w:t>
            </w:r>
          </w:p>
          <w:p>
            <w:pPr>
              <w:pStyle w:val="TableParagraph"/>
              <w:spacing w:before="52"/>
              <w:ind w:left="105"/>
              <w:rPr>
                <w:sz w:val="22"/>
              </w:rPr>
            </w:pPr>
            <w:r>
              <w:rPr>
                <w:sz w:val="22"/>
              </w:rPr>
              <w:t>+</w:t>
            </w:r>
            <w:r>
              <w:rPr>
                <w:spacing w:val="-4"/>
                <w:sz w:val="22"/>
              </w:rPr>
              <w:t> </w:t>
            </w:r>
            <w:r>
              <w:rPr>
                <w:sz w:val="22"/>
              </w:rPr>
              <w:t>азитромицин</w:t>
            </w:r>
            <w:r>
              <w:rPr>
                <w:spacing w:val="-5"/>
                <w:sz w:val="22"/>
              </w:rPr>
              <w:t> </w:t>
            </w:r>
            <w:r>
              <w:rPr>
                <w:sz w:val="22"/>
              </w:rPr>
              <w:t>или</w:t>
            </w:r>
            <w:r>
              <w:rPr>
                <w:spacing w:val="-4"/>
                <w:sz w:val="22"/>
              </w:rPr>
              <w:t> </w:t>
            </w:r>
            <w:r>
              <w:rPr>
                <w:spacing w:val="-2"/>
                <w:sz w:val="22"/>
              </w:rPr>
              <w:t>кларитромицин</w:t>
            </w:r>
          </w:p>
          <w:p>
            <w:pPr>
              <w:pStyle w:val="TableParagraph"/>
              <w:spacing w:before="51"/>
              <w:ind w:left="105"/>
              <w:rPr>
                <w:i/>
                <w:sz w:val="22"/>
              </w:rPr>
            </w:pPr>
            <w:r>
              <w:rPr>
                <w:i/>
                <w:sz w:val="22"/>
              </w:rPr>
              <w:t>Альтернативный</w:t>
            </w:r>
            <w:r>
              <w:rPr>
                <w:i/>
                <w:spacing w:val="-12"/>
                <w:sz w:val="22"/>
              </w:rPr>
              <w:t> </w:t>
            </w:r>
            <w:r>
              <w:rPr>
                <w:i/>
                <w:spacing w:val="-2"/>
                <w:sz w:val="22"/>
              </w:rPr>
              <w:t>режим:</w:t>
            </w:r>
          </w:p>
          <w:p>
            <w:pPr>
              <w:pStyle w:val="TableParagraph"/>
              <w:numPr>
                <w:ilvl w:val="1"/>
                <w:numId w:val="25"/>
              </w:numPr>
              <w:tabs>
                <w:tab w:pos="325" w:val="left" w:leader="none"/>
              </w:tabs>
              <w:spacing w:line="276" w:lineRule="auto" w:before="52" w:after="0"/>
              <w:ind w:left="105" w:right="549" w:firstLine="0"/>
              <w:jc w:val="left"/>
              <w:rPr>
                <w:i/>
                <w:sz w:val="22"/>
              </w:rPr>
            </w:pPr>
            <w:r>
              <w:rPr>
                <w:i/>
                <w:sz w:val="22"/>
              </w:rPr>
              <w:t>Амоксициллин/клавулановая</w:t>
            </w:r>
            <w:r>
              <w:rPr>
                <w:i/>
                <w:spacing w:val="-9"/>
                <w:sz w:val="22"/>
              </w:rPr>
              <w:t> </w:t>
            </w:r>
            <w:r>
              <w:rPr>
                <w:i/>
                <w:sz w:val="22"/>
              </w:rPr>
              <w:t>кислота</w:t>
            </w:r>
            <w:r>
              <w:rPr>
                <w:i/>
                <w:spacing w:val="-9"/>
                <w:sz w:val="22"/>
              </w:rPr>
              <w:t> </w:t>
            </w:r>
            <w:r>
              <w:rPr>
                <w:i/>
                <w:sz w:val="22"/>
              </w:rPr>
              <w:t>или</w:t>
            </w:r>
            <w:r>
              <w:rPr>
                <w:i/>
                <w:spacing w:val="-9"/>
                <w:sz w:val="22"/>
              </w:rPr>
              <w:t> </w:t>
            </w:r>
            <w:r>
              <w:rPr>
                <w:i/>
                <w:sz w:val="22"/>
              </w:rPr>
              <w:t>ампициллин/сульбактам</w:t>
            </w:r>
            <w:r>
              <w:rPr>
                <w:i/>
                <w:spacing w:val="-9"/>
                <w:sz w:val="22"/>
              </w:rPr>
              <w:t> </w:t>
            </w:r>
            <w:r>
              <w:rPr>
                <w:i/>
                <w:sz w:val="22"/>
              </w:rPr>
              <w:t>или</w:t>
            </w:r>
            <w:r>
              <w:rPr>
                <w:i/>
                <w:spacing w:val="-12"/>
                <w:sz w:val="22"/>
              </w:rPr>
              <w:t> </w:t>
            </w:r>
            <w:r>
              <w:rPr>
                <w:i/>
                <w:sz w:val="22"/>
              </w:rPr>
              <w:t>цефотаксим или цефтриаксон или цефтриаксон/сульбактам или цефотаксим/сульбактам</w:t>
            </w:r>
          </w:p>
          <w:p>
            <w:pPr>
              <w:pStyle w:val="TableParagraph"/>
              <w:spacing w:line="251" w:lineRule="exact"/>
              <w:ind w:left="105"/>
              <w:rPr>
                <w:i/>
                <w:sz w:val="22"/>
              </w:rPr>
            </w:pPr>
            <w:r>
              <w:rPr>
                <w:i/>
                <w:sz w:val="22"/>
              </w:rPr>
              <w:t>+</w:t>
            </w:r>
            <w:r>
              <w:rPr>
                <w:i/>
                <w:spacing w:val="-3"/>
                <w:sz w:val="22"/>
              </w:rPr>
              <w:t> </w:t>
            </w:r>
            <w:r>
              <w:rPr>
                <w:i/>
                <w:sz w:val="22"/>
              </w:rPr>
              <w:t>моксифлоксацин</w:t>
            </w:r>
            <w:r>
              <w:rPr>
                <w:i/>
                <w:spacing w:val="-2"/>
                <w:sz w:val="22"/>
              </w:rPr>
              <w:t> </w:t>
            </w:r>
            <w:r>
              <w:rPr>
                <w:i/>
                <w:sz w:val="22"/>
              </w:rPr>
              <w:t>или</w:t>
            </w:r>
            <w:r>
              <w:rPr>
                <w:i/>
                <w:spacing w:val="-5"/>
                <w:sz w:val="22"/>
              </w:rPr>
              <w:t> </w:t>
            </w:r>
            <w:r>
              <w:rPr>
                <w:i/>
                <w:spacing w:val="-2"/>
                <w:sz w:val="22"/>
              </w:rPr>
              <w:t>левофлоксацин</w:t>
            </w:r>
          </w:p>
          <w:p>
            <w:pPr>
              <w:pStyle w:val="TableParagraph"/>
              <w:spacing w:before="39"/>
              <w:ind w:left="105"/>
              <w:rPr>
                <w:i/>
                <w:sz w:val="22"/>
              </w:rPr>
            </w:pPr>
            <w:r>
              <w:rPr>
                <w:i/>
                <w:sz w:val="22"/>
              </w:rPr>
              <w:t>+</w:t>
            </w:r>
            <w:r>
              <w:rPr>
                <w:i/>
                <w:spacing w:val="-2"/>
                <w:sz w:val="22"/>
              </w:rPr>
              <w:t> </w:t>
            </w:r>
            <w:r>
              <w:rPr>
                <w:i/>
                <w:sz w:val="22"/>
              </w:rPr>
              <w:t>линезолид</w:t>
            </w:r>
            <w:r>
              <w:rPr>
                <w:i/>
                <w:spacing w:val="-2"/>
                <w:sz w:val="22"/>
              </w:rPr>
              <w:t> </w:t>
            </w:r>
            <w:r>
              <w:rPr>
                <w:i/>
                <w:sz w:val="22"/>
              </w:rPr>
              <w:t>или</w:t>
            </w:r>
            <w:r>
              <w:rPr>
                <w:i/>
                <w:spacing w:val="-1"/>
                <w:sz w:val="22"/>
              </w:rPr>
              <w:t> </w:t>
            </w:r>
            <w:r>
              <w:rPr>
                <w:i/>
                <w:spacing w:val="-2"/>
                <w:sz w:val="22"/>
              </w:rPr>
              <w:t>ванкомицин</w:t>
            </w:r>
          </w:p>
          <w:p>
            <w:pPr>
              <w:pStyle w:val="TableParagraph"/>
              <w:numPr>
                <w:ilvl w:val="1"/>
                <w:numId w:val="25"/>
              </w:numPr>
              <w:tabs>
                <w:tab w:pos="325" w:val="left" w:leader="none"/>
              </w:tabs>
              <w:spacing w:line="240" w:lineRule="auto" w:before="52" w:after="0"/>
              <w:ind w:left="325" w:right="0" w:hanging="220"/>
              <w:jc w:val="left"/>
              <w:rPr>
                <w:sz w:val="22"/>
              </w:rPr>
            </w:pPr>
            <w:r>
              <w:rPr>
                <w:spacing w:val="-2"/>
                <w:sz w:val="22"/>
              </w:rPr>
              <w:t>Цефтаролин</w:t>
            </w:r>
          </w:p>
          <w:p>
            <w:pPr>
              <w:pStyle w:val="TableParagraph"/>
              <w:spacing w:before="51"/>
              <w:ind w:left="105"/>
              <w:rPr>
                <w:sz w:val="22"/>
              </w:rPr>
            </w:pPr>
            <w:r>
              <w:rPr>
                <w:sz w:val="22"/>
              </w:rPr>
              <w:t>+</w:t>
            </w:r>
            <w:r>
              <w:rPr>
                <w:spacing w:val="-5"/>
                <w:sz w:val="22"/>
              </w:rPr>
              <w:t> </w:t>
            </w:r>
            <w:r>
              <w:rPr>
                <w:sz w:val="22"/>
              </w:rPr>
              <w:t>моксифлоксацин</w:t>
            </w:r>
            <w:r>
              <w:rPr>
                <w:spacing w:val="-4"/>
                <w:sz w:val="22"/>
              </w:rPr>
              <w:t> </w:t>
            </w:r>
            <w:r>
              <w:rPr>
                <w:sz w:val="22"/>
              </w:rPr>
              <w:t>или</w:t>
            </w:r>
            <w:r>
              <w:rPr>
                <w:spacing w:val="-6"/>
                <w:sz w:val="22"/>
              </w:rPr>
              <w:t> </w:t>
            </w:r>
            <w:r>
              <w:rPr>
                <w:spacing w:val="-2"/>
                <w:sz w:val="22"/>
              </w:rPr>
              <w:t>левофлоксацин</w:t>
            </w:r>
          </w:p>
        </w:tc>
      </w:tr>
      <w:tr>
        <w:trPr>
          <w:trHeight w:val="362" w:hRule="atLeast"/>
        </w:trPr>
        <w:tc>
          <w:tcPr>
            <w:tcW w:w="8673" w:type="dxa"/>
            <w:shd w:val="clear" w:color="auto" w:fill="F1F1F1"/>
          </w:tcPr>
          <w:p>
            <w:pPr>
              <w:pStyle w:val="TableParagraph"/>
              <w:spacing w:before="6"/>
              <w:ind w:left="86"/>
              <w:rPr>
                <w:i/>
                <w:sz w:val="22"/>
              </w:rPr>
            </w:pPr>
            <w:r>
              <w:rPr>
                <w:sz w:val="22"/>
              </w:rPr>
              <w:t>5.</w:t>
            </w:r>
            <w:r>
              <w:rPr>
                <w:spacing w:val="32"/>
                <w:sz w:val="22"/>
              </w:rPr>
              <w:t>  </w:t>
            </w:r>
            <w:r>
              <w:rPr>
                <w:i/>
                <w:color w:val="2D74B5"/>
                <w:sz w:val="22"/>
              </w:rPr>
              <w:t>Пациенты</w:t>
            </w:r>
            <w:r>
              <w:rPr>
                <w:i/>
                <w:color w:val="2D74B5"/>
                <w:spacing w:val="-4"/>
                <w:sz w:val="22"/>
              </w:rPr>
              <w:t> </w:t>
            </w:r>
            <w:r>
              <w:rPr>
                <w:i/>
                <w:color w:val="2D74B5"/>
                <w:sz w:val="22"/>
                <w:u w:val="single" w:color="2D74B5"/>
              </w:rPr>
              <w:t>с</w:t>
            </w:r>
            <w:r>
              <w:rPr>
                <w:i/>
                <w:color w:val="2D74B5"/>
                <w:spacing w:val="-4"/>
                <w:sz w:val="22"/>
                <w:u w:val="single" w:color="2D74B5"/>
              </w:rPr>
              <w:t> </w:t>
            </w:r>
            <w:r>
              <w:rPr>
                <w:i/>
                <w:color w:val="2D74B5"/>
                <w:sz w:val="22"/>
                <w:u w:val="single" w:color="2D74B5"/>
              </w:rPr>
              <w:t>факторами</w:t>
            </w:r>
            <w:r>
              <w:rPr>
                <w:i/>
                <w:color w:val="2D74B5"/>
                <w:spacing w:val="-9"/>
                <w:sz w:val="22"/>
                <w:u w:val="single" w:color="2D74B5"/>
              </w:rPr>
              <w:t> </w:t>
            </w:r>
            <w:r>
              <w:rPr>
                <w:i/>
                <w:color w:val="2D74B5"/>
                <w:sz w:val="22"/>
                <w:u w:val="single" w:color="2D74B5"/>
              </w:rPr>
              <w:t>риска</w:t>
            </w:r>
            <w:r>
              <w:rPr>
                <w:i/>
                <w:color w:val="2D74B5"/>
                <w:spacing w:val="-5"/>
                <w:sz w:val="22"/>
                <w:u w:val="single" w:color="2D74B5"/>
              </w:rPr>
              <w:t> </w:t>
            </w:r>
            <w:r>
              <w:rPr>
                <w:i/>
                <w:color w:val="2D74B5"/>
                <w:sz w:val="22"/>
                <w:u w:val="single" w:color="2D74B5"/>
              </w:rPr>
              <w:t>инфицирования</w:t>
            </w:r>
            <w:r>
              <w:rPr>
                <w:i/>
                <w:color w:val="2D74B5"/>
                <w:spacing w:val="-6"/>
                <w:sz w:val="22"/>
                <w:u w:val="single" w:color="2D74B5"/>
              </w:rPr>
              <w:t> </w:t>
            </w:r>
            <w:r>
              <w:rPr>
                <w:i/>
                <w:color w:val="2D74B5"/>
                <w:sz w:val="22"/>
                <w:u w:val="single" w:color="2D74B5"/>
              </w:rPr>
              <w:t>энтеробактериями,</w:t>
            </w:r>
            <w:r>
              <w:rPr>
                <w:i/>
                <w:color w:val="2D74B5"/>
                <w:spacing w:val="-4"/>
                <w:sz w:val="22"/>
                <w:u w:val="single" w:color="2D74B5"/>
              </w:rPr>
              <w:t> </w:t>
            </w:r>
            <w:r>
              <w:rPr>
                <w:i/>
                <w:color w:val="2D74B5"/>
                <w:sz w:val="22"/>
                <w:u w:val="single" w:color="2D74B5"/>
              </w:rPr>
              <w:t>БЛРС</w:t>
            </w:r>
            <w:r>
              <w:rPr>
                <w:i/>
                <w:color w:val="2D74B5"/>
                <w:spacing w:val="-6"/>
                <w:sz w:val="22"/>
                <w:u w:val="single" w:color="2D74B5"/>
              </w:rPr>
              <w:t> </w:t>
            </w:r>
            <w:r>
              <w:rPr>
                <w:i/>
                <w:color w:val="2D74B5"/>
                <w:spacing w:val="-5"/>
                <w:sz w:val="22"/>
                <w:u w:val="single" w:color="2D74B5"/>
              </w:rPr>
              <w:t>(+)</w:t>
            </w:r>
          </w:p>
        </w:tc>
      </w:tr>
      <w:tr>
        <w:trPr>
          <w:trHeight w:val="2092" w:hRule="atLeast"/>
        </w:trPr>
        <w:tc>
          <w:tcPr>
            <w:tcW w:w="8673" w:type="dxa"/>
          </w:tcPr>
          <w:p>
            <w:pPr>
              <w:pStyle w:val="TableParagraph"/>
              <w:spacing w:before="5"/>
              <w:ind w:left="105"/>
              <w:rPr>
                <w:i/>
                <w:sz w:val="22"/>
              </w:rPr>
            </w:pPr>
            <w:r>
              <w:rPr>
                <w:i/>
                <w:sz w:val="22"/>
              </w:rPr>
              <w:t>Рекомендованный</w:t>
            </w:r>
            <w:r>
              <w:rPr>
                <w:i/>
                <w:spacing w:val="-8"/>
                <w:sz w:val="22"/>
              </w:rPr>
              <w:t> </w:t>
            </w:r>
            <w:r>
              <w:rPr>
                <w:i/>
                <w:spacing w:val="-2"/>
                <w:sz w:val="22"/>
              </w:rPr>
              <w:t>режим:</w:t>
            </w:r>
          </w:p>
          <w:p>
            <w:pPr>
              <w:pStyle w:val="TableParagraph"/>
              <w:spacing w:line="276" w:lineRule="auto" w:before="53"/>
              <w:ind w:left="105"/>
              <w:rPr>
                <w:i/>
                <w:sz w:val="22"/>
              </w:rPr>
            </w:pPr>
            <w:r>
              <w:rPr>
                <w:i/>
                <w:sz w:val="22"/>
              </w:rPr>
              <w:t>Имипенем</w:t>
            </w:r>
            <w:r>
              <w:rPr>
                <w:i/>
                <w:spacing w:val="-6"/>
                <w:sz w:val="22"/>
              </w:rPr>
              <w:t> </w:t>
            </w:r>
            <w:r>
              <w:rPr>
                <w:i/>
                <w:sz w:val="22"/>
              </w:rPr>
              <w:t>или</w:t>
            </w:r>
            <w:r>
              <w:rPr>
                <w:i/>
                <w:spacing w:val="-4"/>
                <w:sz w:val="22"/>
              </w:rPr>
              <w:t> </w:t>
            </w:r>
            <w:r>
              <w:rPr>
                <w:i/>
                <w:sz w:val="22"/>
              </w:rPr>
              <w:t>меропенем</w:t>
            </w:r>
            <w:r>
              <w:rPr>
                <w:i/>
                <w:spacing w:val="-6"/>
                <w:sz w:val="22"/>
              </w:rPr>
              <w:t> </w:t>
            </w:r>
            <w:r>
              <w:rPr>
                <w:i/>
                <w:sz w:val="22"/>
              </w:rPr>
              <w:t>или</w:t>
            </w:r>
            <w:r>
              <w:rPr>
                <w:i/>
                <w:spacing w:val="-3"/>
                <w:sz w:val="22"/>
              </w:rPr>
              <w:t> </w:t>
            </w:r>
            <w:r>
              <w:rPr>
                <w:i/>
                <w:sz w:val="22"/>
              </w:rPr>
              <w:t>эртапенем или</w:t>
            </w:r>
            <w:r>
              <w:rPr>
                <w:i/>
                <w:spacing w:val="-4"/>
                <w:sz w:val="22"/>
              </w:rPr>
              <w:t> </w:t>
            </w:r>
            <w:r>
              <w:rPr>
                <w:i/>
                <w:sz w:val="22"/>
              </w:rPr>
              <w:t>биапенем</w:t>
            </w:r>
            <w:r>
              <w:rPr>
                <w:i/>
                <w:spacing w:val="-6"/>
                <w:sz w:val="22"/>
              </w:rPr>
              <w:t> </w:t>
            </w:r>
            <w:r>
              <w:rPr>
                <w:i/>
                <w:sz w:val="22"/>
              </w:rPr>
              <w:t>или цефепим/сульбактам</w:t>
            </w:r>
            <w:r>
              <w:rPr>
                <w:i/>
                <w:spacing w:val="-4"/>
                <w:sz w:val="22"/>
              </w:rPr>
              <w:t> </w:t>
            </w:r>
            <w:r>
              <w:rPr>
                <w:i/>
                <w:sz w:val="22"/>
              </w:rPr>
              <w:t>или </w:t>
            </w:r>
            <w:r>
              <w:rPr>
                <w:i/>
                <w:spacing w:val="-2"/>
                <w:sz w:val="22"/>
              </w:rPr>
              <w:t>цефоперазон/сульбактам</w:t>
            </w:r>
          </w:p>
          <w:p>
            <w:pPr>
              <w:pStyle w:val="TableParagraph"/>
              <w:spacing w:line="288" w:lineRule="auto"/>
              <w:ind w:left="105" w:right="3643" w:firstLine="55"/>
              <w:rPr>
                <w:i/>
                <w:sz w:val="22"/>
              </w:rPr>
            </w:pPr>
            <w:r>
              <w:rPr>
                <w:i/>
                <w:sz w:val="22"/>
              </w:rPr>
              <w:t>+</w:t>
            </w:r>
            <w:r>
              <w:rPr>
                <w:i/>
                <w:spacing w:val="-13"/>
                <w:sz w:val="22"/>
              </w:rPr>
              <w:t> </w:t>
            </w:r>
            <w:r>
              <w:rPr>
                <w:i/>
                <w:sz w:val="22"/>
              </w:rPr>
              <w:t>азитромицин</w:t>
            </w:r>
            <w:r>
              <w:rPr>
                <w:i/>
                <w:spacing w:val="-14"/>
                <w:sz w:val="22"/>
              </w:rPr>
              <w:t> </w:t>
            </w:r>
            <w:r>
              <w:rPr>
                <w:i/>
                <w:sz w:val="22"/>
              </w:rPr>
              <w:t>или</w:t>
            </w:r>
            <w:r>
              <w:rPr>
                <w:i/>
                <w:spacing w:val="-12"/>
                <w:sz w:val="22"/>
              </w:rPr>
              <w:t> </w:t>
            </w:r>
            <w:r>
              <w:rPr>
                <w:i/>
                <w:sz w:val="22"/>
              </w:rPr>
              <w:t>кларитромицин Альтернативный режим:</w:t>
            </w:r>
          </w:p>
          <w:p>
            <w:pPr>
              <w:pStyle w:val="TableParagraph"/>
              <w:spacing w:before="2"/>
              <w:ind w:left="105"/>
              <w:rPr>
                <w:i/>
                <w:sz w:val="22"/>
              </w:rPr>
            </w:pPr>
            <w:r>
              <w:rPr>
                <w:i/>
                <w:sz w:val="22"/>
              </w:rPr>
              <w:t>Имипенем</w:t>
            </w:r>
            <w:r>
              <w:rPr>
                <w:i/>
                <w:spacing w:val="-6"/>
                <w:sz w:val="22"/>
              </w:rPr>
              <w:t> </w:t>
            </w:r>
            <w:r>
              <w:rPr>
                <w:i/>
                <w:sz w:val="22"/>
              </w:rPr>
              <w:t>или</w:t>
            </w:r>
            <w:r>
              <w:rPr>
                <w:i/>
                <w:spacing w:val="-4"/>
                <w:sz w:val="22"/>
              </w:rPr>
              <w:t> </w:t>
            </w:r>
            <w:r>
              <w:rPr>
                <w:i/>
                <w:sz w:val="22"/>
              </w:rPr>
              <w:t>меропенем</w:t>
            </w:r>
            <w:r>
              <w:rPr>
                <w:i/>
                <w:spacing w:val="-6"/>
                <w:sz w:val="22"/>
              </w:rPr>
              <w:t> </w:t>
            </w:r>
            <w:r>
              <w:rPr>
                <w:i/>
                <w:sz w:val="22"/>
              </w:rPr>
              <w:t>или</w:t>
            </w:r>
            <w:r>
              <w:rPr>
                <w:i/>
                <w:spacing w:val="-3"/>
                <w:sz w:val="22"/>
              </w:rPr>
              <w:t> </w:t>
            </w:r>
            <w:r>
              <w:rPr>
                <w:i/>
                <w:spacing w:val="-2"/>
                <w:sz w:val="22"/>
              </w:rPr>
              <w:t>эртапенем</w:t>
            </w:r>
          </w:p>
          <w:p>
            <w:pPr>
              <w:pStyle w:val="TableParagraph"/>
              <w:spacing w:before="37"/>
              <w:ind w:left="105"/>
              <w:rPr>
                <w:i/>
                <w:sz w:val="22"/>
              </w:rPr>
            </w:pPr>
            <w:r>
              <w:rPr>
                <w:i/>
                <w:sz w:val="22"/>
              </w:rPr>
              <w:t>+</w:t>
            </w:r>
            <w:r>
              <w:rPr>
                <w:i/>
                <w:spacing w:val="-3"/>
                <w:sz w:val="22"/>
              </w:rPr>
              <w:t> </w:t>
            </w:r>
            <w:r>
              <w:rPr>
                <w:i/>
                <w:sz w:val="22"/>
              </w:rPr>
              <w:t>моксифлоксацин</w:t>
            </w:r>
            <w:r>
              <w:rPr>
                <w:i/>
                <w:spacing w:val="-2"/>
                <w:sz w:val="22"/>
              </w:rPr>
              <w:t> </w:t>
            </w:r>
            <w:r>
              <w:rPr>
                <w:i/>
                <w:sz w:val="22"/>
              </w:rPr>
              <w:t>или</w:t>
            </w:r>
            <w:r>
              <w:rPr>
                <w:i/>
                <w:spacing w:val="-5"/>
                <w:sz w:val="22"/>
              </w:rPr>
              <w:t> </w:t>
            </w:r>
            <w:r>
              <w:rPr>
                <w:i/>
                <w:spacing w:val="-2"/>
                <w:sz w:val="22"/>
              </w:rPr>
              <w:t>левофлоксацин</w:t>
            </w:r>
          </w:p>
        </w:tc>
      </w:tr>
      <w:tr>
        <w:trPr>
          <w:trHeight w:val="362" w:hRule="atLeast"/>
        </w:trPr>
        <w:tc>
          <w:tcPr>
            <w:tcW w:w="8673" w:type="dxa"/>
            <w:shd w:val="clear" w:color="auto" w:fill="F1F1F1"/>
          </w:tcPr>
          <w:p>
            <w:pPr>
              <w:pStyle w:val="TableParagraph"/>
              <w:spacing w:before="3"/>
              <w:ind w:left="86"/>
              <w:rPr>
                <w:i/>
                <w:sz w:val="22"/>
              </w:rPr>
            </w:pPr>
            <w:r>
              <w:rPr>
                <w:i/>
                <w:color w:val="2D74B5"/>
                <w:sz w:val="22"/>
              </w:rPr>
              <w:t>6.</w:t>
            </w:r>
            <w:r>
              <w:rPr>
                <w:i/>
                <w:color w:val="2D74B5"/>
                <w:spacing w:val="34"/>
                <w:sz w:val="22"/>
              </w:rPr>
              <w:t>  </w:t>
            </w:r>
            <w:r>
              <w:rPr>
                <w:i/>
                <w:color w:val="2D74B5"/>
                <w:sz w:val="22"/>
              </w:rPr>
              <w:t>Пациенты</w:t>
            </w:r>
            <w:r>
              <w:rPr>
                <w:i/>
                <w:color w:val="2D74B5"/>
                <w:spacing w:val="-6"/>
                <w:sz w:val="22"/>
              </w:rPr>
              <w:t> </w:t>
            </w:r>
            <w:r>
              <w:rPr>
                <w:i/>
                <w:color w:val="2D74B5"/>
                <w:sz w:val="22"/>
              </w:rPr>
              <w:t>с</w:t>
            </w:r>
            <w:r>
              <w:rPr>
                <w:i/>
                <w:color w:val="2D74B5"/>
                <w:spacing w:val="-4"/>
                <w:sz w:val="22"/>
              </w:rPr>
              <w:t> </w:t>
            </w:r>
            <w:r>
              <w:rPr>
                <w:i/>
                <w:color w:val="2D74B5"/>
                <w:sz w:val="22"/>
              </w:rPr>
              <w:t>подтвержденной/предполагаемой</w:t>
            </w:r>
            <w:r>
              <w:rPr>
                <w:i/>
                <w:color w:val="2D74B5"/>
                <w:spacing w:val="-4"/>
                <w:sz w:val="22"/>
              </w:rPr>
              <w:t> </w:t>
            </w:r>
            <w:r>
              <w:rPr>
                <w:i/>
                <w:color w:val="2D74B5"/>
                <w:spacing w:val="-2"/>
                <w:sz w:val="22"/>
              </w:rPr>
              <w:t>аспирацией</w:t>
            </w:r>
          </w:p>
        </w:tc>
      </w:tr>
    </w:tbl>
    <w:p>
      <w:pPr>
        <w:pStyle w:val="TableParagraph"/>
        <w:spacing w:after="0"/>
        <w:rPr>
          <w:i/>
          <w:sz w:val="22"/>
        </w:rPr>
        <w:sectPr>
          <w:pgSz w:w="11900" w:h="16840"/>
          <w:pgMar w:header="0" w:footer="697" w:top="1120" w:bottom="880" w:left="0" w:right="0"/>
        </w:sectPr>
      </w:pPr>
    </w:p>
    <w:tbl>
      <w:tblPr>
        <w:tblW w:w="0" w:type="auto"/>
        <w:jc w:val="left"/>
        <w:tblInd w:w="19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673"/>
      </w:tblGrid>
      <w:tr>
        <w:trPr>
          <w:trHeight w:val="2995" w:hRule="atLeast"/>
        </w:trPr>
        <w:tc>
          <w:tcPr>
            <w:tcW w:w="8673" w:type="dxa"/>
          </w:tcPr>
          <w:p>
            <w:pPr>
              <w:pStyle w:val="TableParagraph"/>
              <w:spacing w:before="15"/>
              <w:ind w:left="105"/>
              <w:rPr>
                <w:i/>
                <w:sz w:val="22"/>
              </w:rPr>
            </w:pPr>
            <w:bookmarkStart w:name="65" w:id="79"/>
            <w:bookmarkEnd w:id="79"/>
            <w:r>
              <w:rPr/>
            </w:r>
            <w:r>
              <w:rPr>
                <w:i/>
                <w:sz w:val="22"/>
              </w:rPr>
              <w:t>Рекомендованный</w:t>
            </w:r>
            <w:r>
              <w:rPr>
                <w:i/>
                <w:spacing w:val="-8"/>
                <w:sz w:val="22"/>
              </w:rPr>
              <w:t> </w:t>
            </w:r>
            <w:r>
              <w:rPr>
                <w:i/>
                <w:spacing w:val="-2"/>
                <w:sz w:val="22"/>
              </w:rPr>
              <w:t>режим:</w:t>
            </w:r>
          </w:p>
          <w:p>
            <w:pPr>
              <w:pStyle w:val="TableParagraph"/>
              <w:spacing w:line="276" w:lineRule="auto" w:before="52"/>
              <w:ind w:left="105" w:right="147"/>
              <w:rPr>
                <w:i/>
                <w:sz w:val="22"/>
              </w:rPr>
            </w:pPr>
            <w:r>
              <w:rPr>
                <w:i/>
                <w:sz w:val="22"/>
              </w:rPr>
              <w:t>Ампициллин/сульбактам,</w:t>
            </w:r>
            <w:r>
              <w:rPr>
                <w:i/>
                <w:spacing w:val="-14"/>
                <w:sz w:val="22"/>
              </w:rPr>
              <w:t> </w:t>
            </w:r>
            <w:r>
              <w:rPr>
                <w:i/>
                <w:sz w:val="22"/>
              </w:rPr>
              <w:t>амоксициллин/клавулановая</w:t>
            </w:r>
            <w:r>
              <w:rPr>
                <w:i/>
                <w:spacing w:val="-14"/>
                <w:sz w:val="22"/>
              </w:rPr>
              <w:t> </w:t>
            </w:r>
            <w:r>
              <w:rPr>
                <w:i/>
                <w:sz w:val="22"/>
              </w:rPr>
              <w:t>кислота, </w:t>
            </w:r>
            <w:r>
              <w:rPr>
                <w:i/>
                <w:spacing w:val="-2"/>
                <w:sz w:val="22"/>
              </w:rPr>
              <w:t>пиперациллин/тазобактам,</w:t>
            </w:r>
          </w:p>
          <w:p>
            <w:pPr>
              <w:pStyle w:val="TableParagraph"/>
              <w:spacing w:before="1"/>
              <w:ind w:left="105"/>
              <w:rPr>
                <w:i/>
                <w:sz w:val="22"/>
              </w:rPr>
            </w:pPr>
            <w:r>
              <w:rPr>
                <w:i/>
                <w:sz w:val="22"/>
              </w:rPr>
              <w:t>эртапенем</w:t>
            </w:r>
            <w:r>
              <w:rPr>
                <w:i/>
                <w:spacing w:val="11"/>
                <w:sz w:val="22"/>
              </w:rPr>
              <w:t> </w:t>
            </w:r>
            <w:r>
              <w:rPr>
                <w:i/>
                <w:sz w:val="22"/>
              </w:rPr>
              <w:t>или</w:t>
            </w:r>
            <w:r>
              <w:rPr>
                <w:i/>
                <w:spacing w:val="-3"/>
                <w:sz w:val="22"/>
              </w:rPr>
              <w:t> </w:t>
            </w:r>
            <w:r>
              <w:rPr>
                <w:i/>
                <w:spacing w:val="-2"/>
                <w:sz w:val="22"/>
              </w:rPr>
              <w:t>биапенем</w:t>
            </w:r>
          </w:p>
          <w:p>
            <w:pPr>
              <w:pStyle w:val="TableParagraph"/>
              <w:spacing w:before="51"/>
              <w:ind w:left="105"/>
              <w:rPr>
                <w:sz w:val="22"/>
              </w:rPr>
            </w:pPr>
            <w:r>
              <w:rPr>
                <w:sz w:val="22"/>
              </w:rPr>
              <w:t>+</w:t>
            </w:r>
            <w:r>
              <w:rPr>
                <w:spacing w:val="-4"/>
                <w:sz w:val="22"/>
              </w:rPr>
              <w:t> </w:t>
            </w:r>
            <w:r>
              <w:rPr>
                <w:sz w:val="22"/>
              </w:rPr>
              <w:t>азитромицин</w:t>
            </w:r>
            <w:r>
              <w:rPr>
                <w:spacing w:val="-5"/>
                <w:sz w:val="22"/>
              </w:rPr>
              <w:t> </w:t>
            </w:r>
            <w:r>
              <w:rPr>
                <w:sz w:val="22"/>
              </w:rPr>
              <w:t>или</w:t>
            </w:r>
            <w:r>
              <w:rPr>
                <w:spacing w:val="-4"/>
                <w:sz w:val="22"/>
              </w:rPr>
              <w:t> </w:t>
            </w:r>
            <w:r>
              <w:rPr>
                <w:spacing w:val="-2"/>
                <w:sz w:val="22"/>
              </w:rPr>
              <w:t>кларитромицин</w:t>
            </w:r>
          </w:p>
          <w:p>
            <w:pPr>
              <w:pStyle w:val="TableParagraph"/>
              <w:spacing w:before="52"/>
              <w:ind w:left="105"/>
              <w:rPr>
                <w:i/>
                <w:sz w:val="22"/>
              </w:rPr>
            </w:pPr>
            <w:r>
              <w:rPr>
                <w:i/>
                <w:sz w:val="22"/>
              </w:rPr>
              <w:t>Альтернативный</w:t>
            </w:r>
            <w:r>
              <w:rPr>
                <w:i/>
                <w:spacing w:val="-12"/>
                <w:sz w:val="22"/>
              </w:rPr>
              <w:t> </w:t>
            </w:r>
            <w:r>
              <w:rPr>
                <w:i/>
                <w:spacing w:val="-2"/>
                <w:sz w:val="22"/>
              </w:rPr>
              <w:t>режим:</w:t>
            </w:r>
          </w:p>
          <w:p>
            <w:pPr>
              <w:pStyle w:val="TableParagraph"/>
              <w:spacing w:line="276" w:lineRule="auto" w:before="51"/>
              <w:ind w:left="105" w:right="147"/>
              <w:rPr>
                <w:i/>
                <w:sz w:val="22"/>
              </w:rPr>
            </w:pPr>
            <w:r>
              <w:rPr>
                <w:i/>
                <w:sz w:val="22"/>
              </w:rPr>
              <w:t>Ампициллин/сульбактам,</w:t>
            </w:r>
            <w:r>
              <w:rPr>
                <w:i/>
                <w:spacing w:val="-14"/>
                <w:sz w:val="22"/>
              </w:rPr>
              <w:t> </w:t>
            </w:r>
            <w:r>
              <w:rPr>
                <w:i/>
                <w:sz w:val="22"/>
              </w:rPr>
              <w:t>амоксициллин/клавулановая</w:t>
            </w:r>
            <w:r>
              <w:rPr>
                <w:i/>
                <w:spacing w:val="-14"/>
                <w:sz w:val="22"/>
              </w:rPr>
              <w:t> </w:t>
            </w:r>
            <w:r>
              <w:rPr>
                <w:i/>
                <w:sz w:val="22"/>
              </w:rPr>
              <w:t>кислота, </w:t>
            </w:r>
            <w:r>
              <w:rPr>
                <w:i/>
                <w:spacing w:val="-2"/>
                <w:sz w:val="22"/>
              </w:rPr>
              <w:t>пиперациллин/тазобактам,</w:t>
            </w:r>
          </w:p>
          <w:p>
            <w:pPr>
              <w:pStyle w:val="TableParagraph"/>
              <w:spacing w:line="251" w:lineRule="exact"/>
              <w:ind w:left="105"/>
              <w:rPr>
                <w:i/>
                <w:sz w:val="22"/>
              </w:rPr>
            </w:pPr>
            <w:r>
              <w:rPr>
                <w:i/>
                <w:spacing w:val="-2"/>
                <w:sz w:val="22"/>
              </w:rPr>
              <w:t>эртапенем</w:t>
            </w:r>
          </w:p>
          <w:p>
            <w:pPr>
              <w:pStyle w:val="TableParagraph"/>
              <w:spacing w:before="52"/>
              <w:ind w:left="105"/>
              <w:rPr>
                <w:sz w:val="22"/>
              </w:rPr>
            </w:pPr>
            <w:r>
              <w:rPr>
                <w:sz w:val="22"/>
              </w:rPr>
              <w:t>+</w:t>
            </w:r>
            <w:r>
              <w:rPr>
                <w:spacing w:val="-6"/>
                <w:sz w:val="22"/>
              </w:rPr>
              <w:t> </w:t>
            </w:r>
            <w:r>
              <w:rPr>
                <w:sz w:val="22"/>
              </w:rPr>
              <w:t>моксифлоксацин</w:t>
            </w:r>
            <w:r>
              <w:rPr>
                <w:spacing w:val="-5"/>
                <w:sz w:val="22"/>
              </w:rPr>
              <w:t> </w:t>
            </w:r>
            <w:r>
              <w:rPr>
                <w:sz w:val="22"/>
              </w:rPr>
              <w:t>или</w:t>
            </w:r>
            <w:r>
              <w:rPr>
                <w:spacing w:val="-8"/>
                <w:sz w:val="22"/>
              </w:rPr>
              <w:t> </w:t>
            </w:r>
            <w:r>
              <w:rPr>
                <w:spacing w:val="-2"/>
                <w:sz w:val="22"/>
              </w:rPr>
              <w:t>левофлоксацин</w:t>
            </w:r>
          </w:p>
        </w:tc>
      </w:tr>
    </w:tbl>
    <w:p>
      <w:pPr>
        <w:spacing w:before="148"/>
        <w:ind w:left="1841" w:right="0" w:firstLine="0"/>
        <w:jc w:val="both"/>
        <w:rPr>
          <w:sz w:val="20"/>
        </w:rPr>
      </w:pPr>
      <w:r>
        <w:rPr>
          <w:i/>
          <w:color w:val="1F4D78"/>
          <w:sz w:val="20"/>
        </w:rPr>
        <w:t>Примечание:</w:t>
      </w:r>
      <w:r>
        <w:rPr>
          <w:i/>
          <w:color w:val="1F4D78"/>
          <w:spacing w:val="-6"/>
          <w:sz w:val="20"/>
        </w:rPr>
        <w:t> </w:t>
      </w:r>
      <w:r>
        <w:rPr>
          <w:color w:val="1F4D78"/>
          <w:sz w:val="20"/>
        </w:rPr>
        <w:t>ПРП</w:t>
      </w:r>
      <w:r>
        <w:rPr>
          <w:color w:val="1F4D78"/>
          <w:spacing w:val="-8"/>
          <w:sz w:val="20"/>
        </w:rPr>
        <w:t> </w:t>
      </w:r>
      <w:r>
        <w:rPr>
          <w:color w:val="1F4D78"/>
          <w:sz w:val="20"/>
        </w:rPr>
        <w:t>–</w:t>
      </w:r>
      <w:r>
        <w:rPr>
          <w:color w:val="1F4D78"/>
          <w:spacing w:val="-6"/>
          <w:sz w:val="20"/>
        </w:rPr>
        <w:t> </w:t>
      </w:r>
      <w:r>
        <w:rPr>
          <w:color w:val="1F4D78"/>
          <w:sz w:val="20"/>
        </w:rPr>
        <w:t>пенициллинорезистентные</w:t>
      </w:r>
      <w:r>
        <w:rPr>
          <w:color w:val="1F4D78"/>
          <w:spacing w:val="-5"/>
          <w:sz w:val="20"/>
        </w:rPr>
        <w:t> </w:t>
      </w:r>
      <w:r>
        <w:rPr>
          <w:i/>
          <w:color w:val="1F4D78"/>
          <w:sz w:val="20"/>
        </w:rPr>
        <w:t>S.</w:t>
      </w:r>
      <w:r>
        <w:rPr>
          <w:i/>
          <w:color w:val="1F4D78"/>
          <w:spacing w:val="-8"/>
          <w:sz w:val="20"/>
        </w:rPr>
        <w:t> </w:t>
      </w:r>
      <w:r>
        <w:rPr>
          <w:i/>
          <w:color w:val="1F4D78"/>
          <w:sz w:val="20"/>
        </w:rPr>
        <w:t>pneumoniae;</w:t>
      </w:r>
      <w:r>
        <w:rPr>
          <w:i/>
          <w:color w:val="1F4D78"/>
          <w:spacing w:val="-6"/>
          <w:sz w:val="20"/>
        </w:rPr>
        <w:t> </w:t>
      </w:r>
      <w:r>
        <w:rPr>
          <w:i/>
          <w:color w:val="1F4D78"/>
          <w:sz w:val="20"/>
        </w:rPr>
        <w:t>MRSA</w:t>
      </w:r>
      <w:r>
        <w:rPr>
          <w:i/>
          <w:color w:val="1F4D78"/>
          <w:spacing w:val="-10"/>
          <w:sz w:val="20"/>
        </w:rPr>
        <w:t> </w:t>
      </w:r>
      <w:r>
        <w:rPr>
          <w:color w:val="1F4D78"/>
          <w:sz w:val="20"/>
        </w:rPr>
        <w:t>-</w:t>
      </w:r>
      <w:r>
        <w:rPr>
          <w:color w:val="1F4D78"/>
          <w:spacing w:val="-6"/>
          <w:sz w:val="20"/>
        </w:rPr>
        <w:t> </w:t>
      </w:r>
      <w:r>
        <w:rPr>
          <w:color w:val="1F4D78"/>
          <w:spacing w:val="-2"/>
          <w:sz w:val="20"/>
        </w:rPr>
        <w:t>метициллинорезистентные</w:t>
      </w:r>
    </w:p>
    <w:p>
      <w:pPr>
        <w:spacing w:before="1"/>
        <w:ind w:left="1841" w:right="0" w:firstLine="0"/>
        <w:jc w:val="both"/>
        <w:rPr>
          <w:sz w:val="20"/>
        </w:rPr>
      </w:pPr>
      <w:r>
        <w:rPr>
          <w:i/>
          <w:color w:val="1F4D78"/>
          <w:sz w:val="20"/>
        </w:rPr>
        <w:t>S.aureus;</w:t>
      </w:r>
      <w:r>
        <w:rPr>
          <w:i/>
          <w:color w:val="1F4D78"/>
          <w:spacing w:val="-8"/>
          <w:sz w:val="20"/>
        </w:rPr>
        <w:t> </w:t>
      </w:r>
      <w:r>
        <w:rPr>
          <w:color w:val="1F4D78"/>
          <w:sz w:val="20"/>
        </w:rPr>
        <w:t>БЛРС</w:t>
      </w:r>
      <w:r>
        <w:rPr>
          <w:color w:val="1F4D78"/>
          <w:spacing w:val="-8"/>
          <w:sz w:val="20"/>
        </w:rPr>
        <w:t> </w:t>
      </w:r>
      <w:r>
        <w:rPr>
          <w:color w:val="1F4D78"/>
          <w:sz w:val="20"/>
        </w:rPr>
        <w:t>-</w:t>
      </w:r>
      <w:r>
        <w:rPr>
          <w:color w:val="1F4D78"/>
          <w:spacing w:val="-7"/>
          <w:sz w:val="20"/>
        </w:rPr>
        <w:t> </w:t>
      </w:r>
      <w:r>
        <w:rPr>
          <w:color w:val="1F4D78"/>
          <w:sz w:val="20"/>
        </w:rPr>
        <w:t>бета-лактамазы</w:t>
      </w:r>
      <w:r>
        <w:rPr>
          <w:color w:val="1F4D78"/>
          <w:spacing w:val="-8"/>
          <w:sz w:val="20"/>
        </w:rPr>
        <w:t> </w:t>
      </w:r>
      <w:r>
        <w:rPr>
          <w:color w:val="1F4D78"/>
          <w:sz w:val="20"/>
        </w:rPr>
        <w:t>расширенного</w:t>
      </w:r>
      <w:r>
        <w:rPr>
          <w:color w:val="1F4D78"/>
          <w:spacing w:val="-7"/>
          <w:sz w:val="20"/>
        </w:rPr>
        <w:t> </w:t>
      </w:r>
      <w:r>
        <w:rPr>
          <w:color w:val="1F4D78"/>
          <w:spacing w:val="-2"/>
          <w:sz w:val="20"/>
        </w:rPr>
        <w:t>спектра</w:t>
      </w:r>
    </w:p>
    <w:p>
      <w:pPr>
        <w:spacing w:before="0"/>
        <w:ind w:left="1841" w:right="1275" w:firstLine="0"/>
        <w:jc w:val="both"/>
        <w:rPr>
          <w:sz w:val="20"/>
        </w:rPr>
      </w:pPr>
      <w:r>
        <w:rPr>
          <w:sz w:val="20"/>
          <w:vertAlign w:val="superscript"/>
        </w:rPr>
        <w:t>1</w:t>
      </w:r>
      <w:r>
        <w:rPr>
          <w:spacing w:val="-13"/>
          <w:sz w:val="20"/>
          <w:vertAlign w:val="baseline"/>
        </w:rPr>
        <w:t> </w:t>
      </w:r>
      <w:r>
        <w:rPr>
          <w:sz w:val="20"/>
          <w:vertAlign w:val="baseline"/>
        </w:rPr>
        <w:t>при наличии аллергических реакций немедленного типа на любой бета-лактам предпочтение нужно отдавать</w:t>
      </w:r>
      <w:r>
        <w:rPr>
          <w:spacing w:val="-9"/>
          <w:sz w:val="20"/>
          <w:vertAlign w:val="baseline"/>
        </w:rPr>
        <w:t> </w:t>
      </w:r>
      <w:r>
        <w:rPr>
          <w:sz w:val="20"/>
          <w:vertAlign w:val="baseline"/>
        </w:rPr>
        <w:t>АБП</w:t>
      </w:r>
      <w:r>
        <w:rPr>
          <w:spacing w:val="-11"/>
          <w:sz w:val="20"/>
          <w:vertAlign w:val="baseline"/>
        </w:rPr>
        <w:t> </w:t>
      </w:r>
      <w:r>
        <w:rPr>
          <w:sz w:val="20"/>
          <w:vertAlign w:val="baseline"/>
        </w:rPr>
        <w:t>с</w:t>
      </w:r>
      <w:r>
        <w:rPr>
          <w:spacing w:val="-11"/>
          <w:sz w:val="20"/>
          <w:vertAlign w:val="baseline"/>
        </w:rPr>
        <w:t> </w:t>
      </w:r>
      <w:r>
        <w:rPr>
          <w:sz w:val="20"/>
          <w:vertAlign w:val="baseline"/>
        </w:rPr>
        <w:t>другой</w:t>
      </w:r>
      <w:r>
        <w:rPr>
          <w:spacing w:val="-12"/>
          <w:sz w:val="20"/>
          <w:vertAlign w:val="baseline"/>
        </w:rPr>
        <w:t> </w:t>
      </w:r>
      <w:r>
        <w:rPr>
          <w:sz w:val="20"/>
          <w:vertAlign w:val="baseline"/>
        </w:rPr>
        <w:t>химической</w:t>
      </w:r>
      <w:r>
        <w:rPr>
          <w:spacing w:val="-12"/>
          <w:sz w:val="20"/>
          <w:vertAlign w:val="baseline"/>
        </w:rPr>
        <w:t> </w:t>
      </w:r>
      <w:r>
        <w:rPr>
          <w:sz w:val="20"/>
          <w:vertAlign w:val="baseline"/>
        </w:rPr>
        <w:t>структурой</w:t>
      </w:r>
      <w:r>
        <w:rPr>
          <w:spacing w:val="-12"/>
          <w:sz w:val="20"/>
          <w:vertAlign w:val="baseline"/>
        </w:rPr>
        <w:t> </w:t>
      </w:r>
      <w:r>
        <w:rPr>
          <w:sz w:val="20"/>
          <w:vertAlign w:val="baseline"/>
        </w:rPr>
        <w:t>(например,</w:t>
      </w:r>
      <w:r>
        <w:rPr>
          <w:spacing w:val="-11"/>
          <w:sz w:val="20"/>
          <w:vertAlign w:val="baseline"/>
        </w:rPr>
        <w:t> </w:t>
      </w:r>
      <w:r>
        <w:rPr>
          <w:sz w:val="20"/>
          <w:vertAlign w:val="baseline"/>
        </w:rPr>
        <w:t>может</w:t>
      </w:r>
      <w:r>
        <w:rPr>
          <w:spacing w:val="-12"/>
          <w:sz w:val="20"/>
          <w:vertAlign w:val="baseline"/>
        </w:rPr>
        <w:t> </w:t>
      </w:r>
      <w:r>
        <w:rPr>
          <w:sz w:val="20"/>
          <w:vertAlign w:val="baseline"/>
        </w:rPr>
        <w:t>назначаться</w:t>
      </w:r>
      <w:r>
        <w:rPr>
          <w:spacing w:val="-12"/>
          <w:sz w:val="20"/>
          <w:vertAlign w:val="baseline"/>
        </w:rPr>
        <w:t> </w:t>
      </w:r>
      <w:r>
        <w:rPr>
          <w:sz w:val="20"/>
          <w:vertAlign w:val="baseline"/>
        </w:rPr>
        <w:t>респираторный</w:t>
      </w:r>
      <w:r>
        <w:rPr>
          <w:spacing w:val="-12"/>
          <w:sz w:val="20"/>
          <w:vertAlign w:val="baseline"/>
        </w:rPr>
        <w:t> </w:t>
      </w:r>
      <w:r>
        <w:rPr>
          <w:sz w:val="20"/>
          <w:vertAlign w:val="baseline"/>
        </w:rPr>
        <w:t>хинолон в комбинации с линезолидом или ванкомицином).</w:t>
      </w:r>
    </w:p>
    <w:p>
      <w:pPr>
        <w:spacing w:line="229" w:lineRule="exact" w:before="0"/>
        <w:ind w:left="1841" w:right="0" w:firstLine="0"/>
        <w:jc w:val="both"/>
        <w:rPr>
          <w:i/>
          <w:sz w:val="20"/>
        </w:rPr>
      </w:pPr>
      <w:r>
        <w:rPr>
          <w:i/>
          <w:color w:val="2D74B5"/>
          <w:sz w:val="20"/>
          <w:vertAlign w:val="superscript"/>
        </w:rPr>
        <w:t>2</w:t>
      </w:r>
      <w:r>
        <w:rPr>
          <w:i/>
          <w:color w:val="2D74B5"/>
          <w:spacing w:val="-5"/>
          <w:sz w:val="20"/>
          <w:vertAlign w:val="baseline"/>
        </w:rPr>
        <w:t> </w:t>
      </w:r>
      <w:r>
        <w:rPr>
          <w:i/>
          <w:color w:val="2D74B5"/>
          <w:sz w:val="20"/>
          <w:vertAlign w:val="baseline"/>
        </w:rPr>
        <w:t>цефотаксим</w:t>
      </w:r>
      <w:r>
        <w:rPr>
          <w:i/>
          <w:color w:val="2D74B5"/>
          <w:spacing w:val="-5"/>
          <w:sz w:val="20"/>
          <w:vertAlign w:val="baseline"/>
        </w:rPr>
        <w:t> </w:t>
      </w:r>
      <w:r>
        <w:rPr>
          <w:i/>
          <w:color w:val="2D74B5"/>
          <w:sz w:val="20"/>
          <w:vertAlign w:val="baseline"/>
        </w:rPr>
        <w:t>должен</w:t>
      </w:r>
      <w:r>
        <w:rPr>
          <w:i/>
          <w:color w:val="2D74B5"/>
          <w:spacing w:val="-5"/>
          <w:sz w:val="20"/>
          <w:vertAlign w:val="baseline"/>
        </w:rPr>
        <w:t> </w:t>
      </w:r>
      <w:r>
        <w:rPr>
          <w:i/>
          <w:color w:val="2D74B5"/>
          <w:sz w:val="20"/>
          <w:vertAlign w:val="baseline"/>
        </w:rPr>
        <w:t>назначаться</w:t>
      </w:r>
      <w:r>
        <w:rPr>
          <w:i/>
          <w:color w:val="2D74B5"/>
          <w:spacing w:val="-4"/>
          <w:sz w:val="20"/>
          <w:vertAlign w:val="baseline"/>
        </w:rPr>
        <w:t> </w:t>
      </w:r>
      <w:r>
        <w:rPr>
          <w:i/>
          <w:color w:val="2D74B5"/>
          <w:sz w:val="20"/>
          <w:vertAlign w:val="baseline"/>
        </w:rPr>
        <w:t>в</w:t>
      </w:r>
      <w:r>
        <w:rPr>
          <w:i/>
          <w:color w:val="2D74B5"/>
          <w:spacing w:val="-5"/>
          <w:sz w:val="20"/>
          <w:vertAlign w:val="baseline"/>
        </w:rPr>
        <w:t> </w:t>
      </w:r>
      <w:r>
        <w:rPr>
          <w:i/>
          <w:color w:val="2D74B5"/>
          <w:sz w:val="20"/>
          <w:vertAlign w:val="baseline"/>
        </w:rPr>
        <w:t>дозе</w:t>
      </w:r>
      <w:r>
        <w:rPr>
          <w:i/>
          <w:color w:val="2D74B5"/>
          <w:spacing w:val="-5"/>
          <w:sz w:val="20"/>
          <w:vertAlign w:val="baseline"/>
        </w:rPr>
        <w:t> </w:t>
      </w:r>
      <w:r>
        <w:rPr>
          <w:i/>
          <w:color w:val="2D74B5"/>
          <w:sz w:val="20"/>
          <w:vertAlign w:val="baseline"/>
        </w:rPr>
        <w:t>не</w:t>
      </w:r>
      <w:r>
        <w:rPr>
          <w:i/>
          <w:color w:val="2D74B5"/>
          <w:spacing w:val="-5"/>
          <w:sz w:val="20"/>
          <w:vertAlign w:val="baseline"/>
        </w:rPr>
        <w:t> </w:t>
      </w:r>
      <w:r>
        <w:rPr>
          <w:i/>
          <w:color w:val="2D74B5"/>
          <w:sz w:val="20"/>
          <w:vertAlign w:val="baseline"/>
        </w:rPr>
        <w:t>менее</w:t>
      </w:r>
      <w:r>
        <w:rPr>
          <w:i/>
          <w:color w:val="2D74B5"/>
          <w:spacing w:val="-5"/>
          <w:sz w:val="20"/>
          <w:vertAlign w:val="baseline"/>
        </w:rPr>
        <w:t> </w:t>
      </w:r>
      <w:r>
        <w:rPr>
          <w:i/>
          <w:color w:val="2D74B5"/>
          <w:sz w:val="20"/>
          <w:vertAlign w:val="baseline"/>
        </w:rPr>
        <w:t>6</w:t>
      </w:r>
      <w:r>
        <w:rPr>
          <w:i/>
          <w:color w:val="2D74B5"/>
          <w:spacing w:val="-4"/>
          <w:sz w:val="20"/>
          <w:vertAlign w:val="baseline"/>
        </w:rPr>
        <w:t> </w:t>
      </w:r>
      <w:r>
        <w:rPr>
          <w:i/>
          <w:color w:val="2D74B5"/>
          <w:sz w:val="20"/>
          <w:vertAlign w:val="baseline"/>
        </w:rPr>
        <w:t>г/сут,</w:t>
      </w:r>
      <w:r>
        <w:rPr>
          <w:i/>
          <w:color w:val="2D74B5"/>
          <w:spacing w:val="-4"/>
          <w:sz w:val="20"/>
          <w:vertAlign w:val="baseline"/>
        </w:rPr>
        <w:t> </w:t>
      </w:r>
      <w:r>
        <w:rPr>
          <w:i/>
          <w:color w:val="2D74B5"/>
          <w:sz w:val="20"/>
          <w:vertAlign w:val="baseline"/>
        </w:rPr>
        <w:t>цефтриаксон</w:t>
      </w:r>
      <w:r>
        <w:rPr>
          <w:i/>
          <w:color w:val="2D74B5"/>
          <w:spacing w:val="-1"/>
          <w:sz w:val="20"/>
          <w:vertAlign w:val="baseline"/>
        </w:rPr>
        <w:t> </w:t>
      </w:r>
      <w:r>
        <w:rPr>
          <w:i/>
          <w:color w:val="2D74B5"/>
          <w:sz w:val="20"/>
          <w:vertAlign w:val="baseline"/>
        </w:rPr>
        <w:t>–</w:t>
      </w:r>
      <w:r>
        <w:rPr>
          <w:i/>
          <w:color w:val="2D74B5"/>
          <w:spacing w:val="-4"/>
          <w:sz w:val="20"/>
          <w:vertAlign w:val="baseline"/>
        </w:rPr>
        <w:t> </w:t>
      </w:r>
      <w:r>
        <w:rPr>
          <w:i/>
          <w:color w:val="2D74B5"/>
          <w:sz w:val="20"/>
          <w:vertAlign w:val="baseline"/>
        </w:rPr>
        <w:t>4</w:t>
      </w:r>
      <w:r>
        <w:rPr>
          <w:i/>
          <w:color w:val="2D74B5"/>
          <w:spacing w:val="-3"/>
          <w:sz w:val="20"/>
          <w:vertAlign w:val="baseline"/>
        </w:rPr>
        <w:t> </w:t>
      </w:r>
      <w:r>
        <w:rPr>
          <w:i/>
          <w:color w:val="2D74B5"/>
          <w:spacing w:val="-2"/>
          <w:sz w:val="20"/>
          <w:vertAlign w:val="baseline"/>
        </w:rPr>
        <w:t>г/сут</w:t>
      </w:r>
    </w:p>
    <w:p>
      <w:pPr>
        <w:pStyle w:val="BodyText"/>
        <w:spacing w:before="44"/>
        <w:ind w:left="0"/>
        <w:jc w:val="left"/>
        <w:rPr>
          <w:i/>
          <w:sz w:val="20"/>
        </w:rPr>
      </w:pPr>
    </w:p>
    <w:p>
      <w:pPr>
        <w:pStyle w:val="BodyText"/>
        <w:spacing w:line="276" w:lineRule="auto"/>
        <w:ind w:right="1273" w:firstLine="707"/>
      </w:pPr>
      <w:r>
        <w:rPr/>
        <w:t>В стационаре, с целью уменьшения нагрузки на медицинский персонал, целесообразно использовать пероральные формы антимикробных препаратов, ступенчатую</w:t>
      </w:r>
      <w:r>
        <w:rPr>
          <w:spacing w:val="-7"/>
        </w:rPr>
        <w:t> </w:t>
      </w:r>
      <w:r>
        <w:rPr/>
        <w:t>терапию</w:t>
      </w:r>
      <w:r>
        <w:rPr>
          <w:spacing w:val="-7"/>
        </w:rPr>
        <w:t> </w:t>
      </w:r>
      <w:r>
        <w:rPr/>
        <w:t>(например</w:t>
      </w:r>
      <w:r>
        <w:rPr>
          <w:spacing w:val="-6"/>
        </w:rPr>
        <w:t> </w:t>
      </w:r>
      <w:r>
        <w:rPr/>
        <w:t>-</w:t>
      </w:r>
      <w:r>
        <w:rPr>
          <w:spacing w:val="-9"/>
        </w:rPr>
        <w:t> </w:t>
      </w:r>
      <w:r>
        <w:rPr/>
        <w:t>амоксициллин/клавулановая</w:t>
      </w:r>
      <w:r>
        <w:rPr>
          <w:spacing w:val="-8"/>
        </w:rPr>
        <w:t> </w:t>
      </w:r>
      <w:r>
        <w:rPr/>
        <w:t>кислота</w:t>
      </w:r>
      <w:r>
        <w:rPr>
          <w:spacing w:val="-9"/>
        </w:rPr>
        <w:t> </w:t>
      </w:r>
      <w:r>
        <w:rPr/>
        <w:t>в/в</w:t>
      </w:r>
      <w:r>
        <w:rPr>
          <w:spacing w:val="-5"/>
        </w:rPr>
        <w:t> </w:t>
      </w:r>
      <w:r>
        <w:rPr/>
        <w:t>–</w:t>
      </w:r>
      <w:r>
        <w:rPr>
          <w:spacing w:val="-8"/>
        </w:rPr>
        <w:t> </w:t>
      </w:r>
      <w:r>
        <w:rPr/>
        <w:t>переход на прием амоксициллина/клавулановой кислоты внутрь, цефтриаксон, цефотаксим, цефтриаксон/сульбактам в/м, в/в с последующим переходом на цефдиторен внутрь).</w:t>
      </w:r>
    </w:p>
    <w:p>
      <w:pPr>
        <w:pStyle w:val="BodyText"/>
        <w:tabs>
          <w:tab w:pos="4628" w:val="left" w:leader="none"/>
          <w:tab w:pos="4858" w:val="left" w:leader="none"/>
          <w:tab w:pos="6560" w:val="left" w:leader="none"/>
          <w:tab w:pos="7013" w:val="left" w:leader="none"/>
          <w:tab w:pos="8128" w:val="left" w:leader="none"/>
          <w:tab w:pos="8384" w:val="left" w:leader="none"/>
          <w:tab w:pos="9359" w:val="left" w:leader="none"/>
          <w:tab w:pos="9997" w:val="left" w:leader="none"/>
        </w:tabs>
        <w:spacing w:line="276" w:lineRule="auto" w:before="1"/>
        <w:ind w:right="1273" w:firstLine="707"/>
      </w:pPr>
      <w:r>
        <w:rPr/>
        <w:t>В случае клинической неэффективности или развития нозокомиальных (внутрибольничных)</w:t>
      </w:r>
      <w:r>
        <w:rPr>
          <w:spacing w:val="-15"/>
        </w:rPr>
        <w:t> </w:t>
      </w:r>
      <w:r>
        <w:rPr/>
        <w:t>осложнений</w:t>
      </w:r>
      <w:r>
        <w:rPr>
          <w:spacing w:val="-14"/>
        </w:rPr>
        <w:t> </w:t>
      </w:r>
      <w:r>
        <w:rPr/>
        <w:t>выбор</w:t>
      </w:r>
      <w:r>
        <w:rPr>
          <w:spacing w:val="-14"/>
        </w:rPr>
        <w:t> </w:t>
      </w:r>
      <w:r>
        <w:rPr/>
        <w:t>режима</w:t>
      </w:r>
      <w:r>
        <w:rPr>
          <w:spacing w:val="-15"/>
        </w:rPr>
        <w:t> </w:t>
      </w:r>
      <w:r>
        <w:rPr/>
        <w:t>антимикробной</w:t>
      </w:r>
      <w:r>
        <w:rPr>
          <w:spacing w:val="-14"/>
        </w:rPr>
        <w:t> </w:t>
      </w:r>
      <w:r>
        <w:rPr/>
        <w:t>терапии</w:t>
      </w:r>
      <w:r>
        <w:rPr>
          <w:spacing w:val="-14"/>
        </w:rPr>
        <w:t> </w:t>
      </w:r>
      <w:r>
        <w:rPr/>
        <w:t>необходимо осуществлять на основании выявления факторов риска резистентных возбудителей, результатов мониторинга антибиотикорезистентности в стационаре, анализа предшествующей терапии, результатов микробиологической диагностики. Инфекционные осложнения, вызванные полирезистентными микроорганизмами (ESCAPE – патогенами) в отделениях реанимации и интенсивной терапии, требуют соблюдения</w:t>
      </w:r>
      <w:r>
        <w:rPr>
          <w:spacing w:val="-2"/>
        </w:rPr>
        <w:t> </w:t>
      </w:r>
      <w:r>
        <w:rPr/>
        <w:t>строгого</w:t>
      </w:r>
      <w:r>
        <w:rPr>
          <w:spacing w:val="-1"/>
        </w:rPr>
        <w:t> </w:t>
      </w:r>
      <w:r>
        <w:rPr/>
        <w:t>инфекционного</w:t>
      </w:r>
      <w:r>
        <w:rPr>
          <w:spacing w:val="-2"/>
        </w:rPr>
        <w:t> </w:t>
      </w:r>
      <w:r>
        <w:rPr/>
        <w:t>контроля</w:t>
      </w:r>
      <w:r>
        <w:rPr>
          <w:spacing w:val="-2"/>
        </w:rPr>
        <w:t> </w:t>
      </w:r>
      <w:r>
        <w:rPr/>
        <w:t>и</w:t>
      </w:r>
      <w:r>
        <w:rPr>
          <w:spacing w:val="-1"/>
        </w:rPr>
        <w:t> </w:t>
      </w:r>
      <w:r>
        <w:rPr/>
        <w:t>таргетного</w:t>
      </w:r>
      <w:r>
        <w:rPr>
          <w:spacing w:val="-2"/>
        </w:rPr>
        <w:t> </w:t>
      </w:r>
      <w:r>
        <w:rPr/>
        <w:t>назначения</w:t>
      </w:r>
      <w:r>
        <w:rPr>
          <w:spacing w:val="-2"/>
        </w:rPr>
        <w:t> </w:t>
      </w:r>
      <w:r>
        <w:rPr/>
        <w:t>комбинации </w:t>
      </w:r>
      <w:r>
        <w:rPr>
          <w:spacing w:val="-2"/>
        </w:rPr>
        <w:t>антибактериальных</w:t>
      </w:r>
      <w:r>
        <w:rPr/>
        <w:tab/>
        <w:tab/>
      </w:r>
      <w:r>
        <w:rPr>
          <w:spacing w:val="-2"/>
        </w:rPr>
        <w:t>препаратов</w:t>
      </w:r>
      <w:r>
        <w:rPr/>
        <w:tab/>
        <w:tab/>
      </w:r>
      <w:r>
        <w:rPr>
          <w:spacing w:val="-10"/>
        </w:rPr>
        <w:t>в</w:t>
      </w:r>
      <w:r>
        <w:rPr/>
        <w:tab/>
      </w:r>
      <w:r>
        <w:rPr>
          <w:spacing w:val="-2"/>
        </w:rPr>
        <w:t>высоких</w:t>
      </w:r>
      <w:r>
        <w:rPr/>
        <w:tab/>
        <w:tab/>
      </w:r>
      <w:r>
        <w:rPr>
          <w:spacing w:val="-2"/>
        </w:rPr>
        <w:t>дозах. </w:t>
      </w:r>
      <w:r>
        <w:rPr/>
        <w:t>Для</w:t>
      </w:r>
      <w:r>
        <w:rPr>
          <w:spacing w:val="40"/>
        </w:rPr>
        <w:t>  </w:t>
      </w:r>
      <w:r>
        <w:rPr/>
        <w:t>терапии</w:t>
      </w:r>
      <w:r>
        <w:rPr>
          <w:spacing w:val="40"/>
        </w:rPr>
        <w:t>  </w:t>
      </w:r>
      <w:r>
        <w:rPr/>
        <w:t>нозокомиальных</w:t>
      </w:r>
      <w:r>
        <w:rPr>
          <w:spacing w:val="40"/>
        </w:rPr>
        <w:t>  </w:t>
      </w:r>
      <w:r>
        <w:rPr/>
        <w:t>(внутрибольничных)</w:t>
      </w:r>
      <w:r>
        <w:rPr>
          <w:spacing w:val="40"/>
        </w:rPr>
        <w:t>  </w:t>
      </w:r>
      <w:r>
        <w:rPr/>
        <w:t>бактериальных</w:t>
      </w:r>
      <w:r>
        <w:rPr>
          <w:spacing w:val="40"/>
        </w:rPr>
        <w:t>  </w:t>
      </w:r>
      <w:r>
        <w:rPr/>
        <w:t>инфекций</w:t>
      </w:r>
      <w:r>
        <w:rPr>
          <w:spacing w:val="40"/>
        </w:rPr>
        <w:t> </w:t>
      </w:r>
      <w:r>
        <w:rPr/>
        <w:t>в стационаре, в</w:t>
      </w:r>
      <w:r>
        <w:rPr>
          <w:spacing w:val="-1"/>
        </w:rPr>
        <w:t> </w:t>
      </w:r>
      <w:r>
        <w:rPr/>
        <w:t>зависимости от результатов мониторинга чувствительности возбудителей нозокомиальных инфекций и результатов микробиологической диагностики у</w:t>
      </w:r>
      <w:r>
        <w:rPr>
          <w:spacing w:val="-1"/>
        </w:rPr>
        <w:t> </w:t>
      </w:r>
      <w:r>
        <w:rPr/>
        <w:t>конкретного пациента, - могут использоваться следующие </w:t>
      </w:r>
      <w:r>
        <w:rPr>
          <w:spacing w:val="-2"/>
        </w:rPr>
        <w:t>антибактериальные</w:t>
      </w:r>
      <w:r>
        <w:rPr/>
        <w:tab/>
      </w:r>
      <w:r>
        <w:rPr>
          <w:spacing w:val="-2"/>
        </w:rPr>
        <w:t>препараты:</w:t>
      </w:r>
      <w:r>
        <w:rPr/>
        <w:tab/>
      </w:r>
      <w:r>
        <w:rPr>
          <w:spacing w:val="-2"/>
        </w:rPr>
        <w:t>азтреонам</w:t>
      </w:r>
      <w:r>
        <w:rPr/>
        <w:tab/>
        <w:tab/>
      </w:r>
      <w:r>
        <w:rPr>
          <w:spacing w:val="-6"/>
        </w:rPr>
        <w:t>(в</w:t>
      </w:r>
      <w:r>
        <w:rPr/>
        <w:tab/>
      </w:r>
      <w:r>
        <w:rPr>
          <w:spacing w:val="-2"/>
        </w:rPr>
        <w:t>комбинации </w:t>
      </w:r>
      <w:r>
        <w:rPr/>
        <w:t>с цефтазидимом/авибактамом), имипенем/циластатин, линезолид, меропенем, пиперациллин/тазобактам, полимиксин В (только в комбинации), телаванцин, тигециклин, фосфомицин (только в комбинации), цефтазидим/авибактам, цефтолозан/тазобактам, цефепим/сульбактам или биапенем и</w:t>
      </w:r>
      <w:r>
        <w:rPr>
          <w:spacing w:val="-1"/>
        </w:rPr>
        <w:t> </w:t>
      </w:r>
      <w:r>
        <w:rPr/>
        <w:t>др. Выбор антибактериальной терапии нозокомиальных инфекций рекомендован на основании консультации клинического фармаколога.</w:t>
      </w:r>
    </w:p>
    <w:p>
      <w:pPr>
        <w:pStyle w:val="Heading3"/>
        <w:numPr>
          <w:ilvl w:val="2"/>
          <w:numId w:val="5"/>
        </w:numPr>
        <w:tabs>
          <w:tab w:pos="3142" w:val="left" w:leader="none"/>
        </w:tabs>
        <w:spacing w:line="278" w:lineRule="auto" w:before="233" w:after="0"/>
        <w:ind w:left="1841" w:right="1274" w:firstLine="707"/>
        <w:jc w:val="left"/>
      </w:pPr>
      <w:r>
        <w:rPr>
          <w:color w:val="1F487C"/>
        </w:rPr>
        <w:t>Антимикотическая</w:t>
      </w:r>
      <w:r>
        <w:rPr>
          <w:color w:val="1F487C"/>
          <w:spacing w:val="-15"/>
        </w:rPr>
        <w:t> </w:t>
      </w:r>
      <w:r>
        <w:rPr>
          <w:color w:val="1F487C"/>
        </w:rPr>
        <w:t>терапия</w:t>
      </w:r>
      <w:r>
        <w:rPr>
          <w:color w:val="1F487C"/>
          <w:spacing w:val="-15"/>
        </w:rPr>
        <w:t> </w:t>
      </w:r>
      <w:r>
        <w:rPr>
          <w:color w:val="1F487C"/>
        </w:rPr>
        <w:t>инвазивного</w:t>
      </w:r>
      <w:r>
        <w:rPr>
          <w:color w:val="1F487C"/>
          <w:spacing w:val="-15"/>
        </w:rPr>
        <w:t> </w:t>
      </w:r>
      <w:r>
        <w:rPr>
          <w:color w:val="1F487C"/>
        </w:rPr>
        <w:t>аспергиллеза,</w:t>
      </w:r>
      <w:r>
        <w:rPr>
          <w:color w:val="1F487C"/>
          <w:spacing w:val="-15"/>
        </w:rPr>
        <w:t> </w:t>
      </w:r>
      <w:r>
        <w:rPr>
          <w:color w:val="1F487C"/>
        </w:rPr>
        <w:t>инвазивного кандидоза и мукормикоза у больных COVID-19</w:t>
      </w:r>
    </w:p>
    <w:p>
      <w:pPr>
        <w:pStyle w:val="BodyText"/>
        <w:spacing w:before="115"/>
        <w:ind w:left="2407"/>
        <w:jc w:val="left"/>
      </w:pPr>
      <w:r>
        <w:rPr/>
        <w:t>Препараты</w:t>
      </w:r>
      <w:r>
        <w:rPr>
          <w:spacing w:val="77"/>
        </w:rPr>
        <w:t> </w:t>
      </w:r>
      <w:r>
        <w:rPr/>
        <w:t>выбора</w:t>
      </w:r>
      <w:r>
        <w:rPr>
          <w:spacing w:val="76"/>
        </w:rPr>
        <w:t> </w:t>
      </w:r>
      <w:r>
        <w:rPr/>
        <w:t>для</w:t>
      </w:r>
      <w:r>
        <w:rPr>
          <w:spacing w:val="77"/>
        </w:rPr>
        <w:t> </w:t>
      </w:r>
      <w:r>
        <w:rPr/>
        <w:t>лечения</w:t>
      </w:r>
      <w:r>
        <w:rPr>
          <w:spacing w:val="77"/>
        </w:rPr>
        <w:t> </w:t>
      </w:r>
      <w:r>
        <w:rPr/>
        <w:t>COVID-ИА</w:t>
      </w:r>
      <w:r>
        <w:rPr>
          <w:spacing w:val="79"/>
        </w:rPr>
        <w:t> </w:t>
      </w:r>
      <w:r>
        <w:rPr/>
        <w:t>–</w:t>
      </w:r>
      <w:r>
        <w:rPr>
          <w:spacing w:val="77"/>
        </w:rPr>
        <w:t> </w:t>
      </w:r>
      <w:r>
        <w:rPr/>
        <w:t>вориконазол</w:t>
      </w:r>
      <w:r>
        <w:rPr>
          <w:spacing w:val="77"/>
        </w:rPr>
        <w:t> </w:t>
      </w:r>
      <w:r>
        <w:rPr/>
        <w:t>(в/в</w:t>
      </w:r>
      <w:r>
        <w:rPr>
          <w:spacing w:val="74"/>
        </w:rPr>
        <w:t> </w:t>
      </w:r>
      <w:r>
        <w:rPr/>
        <w:t>2x6</w:t>
      </w:r>
      <w:r>
        <w:rPr>
          <w:spacing w:val="77"/>
        </w:rPr>
        <w:t> </w:t>
      </w:r>
      <w:r>
        <w:rPr>
          <w:spacing w:val="-2"/>
        </w:rPr>
        <w:t>мг/кг</w:t>
      </w:r>
    </w:p>
    <w:p>
      <w:pPr>
        <w:pStyle w:val="BodyText"/>
        <w:spacing w:after="0"/>
        <w:jc w:val="left"/>
        <w:sectPr>
          <w:type w:val="continuous"/>
          <w:pgSz w:w="11900" w:h="16840"/>
          <w:pgMar w:header="0" w:footer="697" w:top="1120" w:bottom="880" w:left="0" w:right="0"/>
        </w:sectPr>
      </w:pPr>
    </w:p>
    <w:p>
      <w:pPr>
        <w:pStyle w:val="BodyText"/>
        <w:spacing w:line="276" w:lineRule="auto" w:before="73"/>
        <w:ind w:right="1271"/>
      </w:pPr>
      <w:bookmarkStart w:name="66" w:id="80"/>
      <w:bookmarkEnd w:id="80"/>
      <w:r>
        <w:rPr/>
      </w:r>
      <w:r>
        <w:rPr/>
        <w:t>в</w:t>
      </w:r>
      <w:r>
        <w:rPr>
          <w:spacing w:val="80"/>
        </w:rPr>
        <w:t> </w:t>
      </w:r>
      <w:r>
        <w:rPr/>
        <w:t>1-е</w:t>
      </w:r>
      <w:r>
        <w:rPr>
          <w:spacing w:val="80"/>
        </w:rPr>
        <w:t> </w:t>
      </w:r>
      <w:r>
        <w:rPr/>
        <w:t>сутки,</w:t>
      </w:r>
      <w:r>
        <w:rPr>
          <w:spacing w:val="80"/>
        </w:rPr>
        <w:t> </w:t>
      </w:r>
      <w:r>
        <w:rPr/>
        <w:t>затем</w:t>
      </w:r>
      <w:r>
        <w:rPr>
          <w:spacing w:val="80"/>
        </w:rPr>
        <w:t> </w:t>
      </w:r>
      <w:r>
        <w:rPr/>
        <w:t>2x4</w:t>
      </w:r>
      <w:r>
        <w:rPr>
          <w:spacing w:val="80"/>
        </w:rPr>
        <w:t> </w:t>
      </w:r>
      <w:r>
        <w:rPr/>
        <w:t>мг/кг/с)</w:t>
      </w:r>
      <w:r>
        <w:rPr>
          <w:spacing w:val="80"/>
        </w:rPr>
        <w:t> </w:t>
      </w:r>
      <w:r>
        <w:rPr/>
        <w:t>и</w:t>
      </w:r>
      <w:r>
        <w:rPr>
          <w:spacing w:val="80"/>
        </w:rPr>
        <w:t> </w:t>
      </w:r>
      <w:r>
        <w:rPr/>
        <w:t>изавуконазол</w:t>
      </w:r>
      <w:r>
        <w:rPr>
          <w:spacing w:val="80"/>
        </w:rPr>
        <w:t> </w:t>
      </w:r>
      <w:r>
        <w:rPr/>
        <w:t>(в/в</w:t>
      </w:r>
      <w:r>
        <w:rPr>
          <w:spacing w:val="80"/>
        </w:rPr>
        <w:t> </w:t>
      </w:r>
      <w:r>
        <w:rPr/>
        <w:t>3х200</w:t>
      </w:r>
      <w:r>
        <w:rPr>
          <w:spacing w:val="80"/>
        </w:rPr>
        <w:t> </w:t>
      </w:r>
      <w:r>
        <w:rPr/>
        <w:t>мг</w:t>
      </w:r>
      <w:r>
        <w:rPr>
          <w:spacing w:val="80"/>
        </w:rPr>
        <w:t> </w:t>
      </w:r>
      <w:r>
        <w:rPr/>
        <w:t>в</w:t>
      </w:r>
      <w:r>
        <w:rPr>
          <w:spacing w:val="80"/>
        </w:rPr>
        <w:t> </w:t>
      </w:r>
      <w:r>
        <w:rPr/>
        <w:t>1-2-е</w:t>
      </w:r>
      <w:r>
        <w:rPr>
          <w:spacing w:val="80"/>
        </w:rPr>
        <w:t> </w:t>
      </w:r>
      <w:r>
        <w:rPr/>
        <w:t>сутки, затем 200 мг/с). После стабилизации состояния пациента, возможно, п/о применение этих</w:t>
      </w:r>
      <w:r>
        <w:rPr>
          <w:spacing w:val="-12"/>
        </w:rPr>
        <w:t> </w:t>
      </w:r>
      <w:r>
        <w:rPr/>
        <w:t>ЛС.</w:t>
      </w:r>
      <w:r>
        <w:rPr>
          <w:spacing w:val="-12"/>
        </w:rPr>
        <w:t> </w:t>
      </w:r>
      <w:r>
        <w:rPr/>
        <w:t>Альтернативные</w:t>
      </w:r>
      <w:r>
        <w:rPr>
          <w:spacing w:val="-13"/>
        </w:rPr>
        <w:t> </w:t>
      </w:r>
      <w:r>
        <w:rPr/>
        <w:t>ЛС</w:t>
      </w:r>
      <w:r>
        <w:rPr>
          <w:spacing w:val="-11"/>
        </w:rPr>
        <w:t> </w:t>
      </w:r>
      <w:r>
        <w:rPr/>
        <w:t>(липосомальный</w:t>
      </w:r>
      <w:r>
        <w:rPr>
          <w:spacing w:val="-13"/>
        </w:rPr>
        <w:t> </w:t>
      </w:r>
      <w:r>
        <w:rPr/>
        <w:t>АмВ</w:t>
      </w:r>
      <w:r>
        <w:rPr>
          <w:spacing w:val="-11"/>
        </w:rPr>
        <w:t> </w:t>
      </w:r>
      <w:r>
        <w:rPr/>
        <w:t>в/в</w:t>
      </w:r>
      <w:r>
        <w:rPr>
          <w:spacing w:val="-12"/>
        </w:rPr>
        <w:t> </w:t>
      </w:r>
      <w:r>
        <w:rPr/>
        <w:t>3</w:t>
      </w:r>
      <w:r>
        <w:rPr>
          <w:spacing w:val="-12"/>
        </w:rPr>
        <w:t> </w:t>
      </w:r>
      <w:r>
        <w:rPr/>
        <w:t>мг/кг/с,</w:t>
      </w:r>
      <w:r>
        <w:rPr>
          <w:spacing w:val="-12"/>
        </w:rPr>
        <w:t> </w:t>
      </w:r>
      <w:r>
        <w:rPr/>
        <w:t>липидный</w:t>
      </w:r>
      <w:r>
        <w:rPr>
          <w:spacing w:val="-11"/>
        </w:rPr>
        <w:t> </w:t>
      </w:r>
      <w:r>
        <w:rPr/>
        <w:t>комплекс АмВ в/в 5</w:t>
      </w:r>
      <w:r>
        <w:rPr>
          <w:spacing w:val="-2"/>
        </w:rPr>
        <w:t> </w:t>
      </w:r>
      <w:r>
        <w:rPr/>
        <w:t>мг/кг/с и каспофунгин в/в 70 мг в день 1, затем 50 мг/с) назначают при невозможности</w:t>
      </w:r>
      <w:r>
        <w:rPr>
          <w:spacing w:val="-15"/>
        </w:rPr>
        <w:t> </w:t>
      </w:r>
      <w:r>
        <w:rPr/>
        <w:t>применения</w:t>
      </w:r>
      <w:r>
        <w:rPr>
          <w:spacing w:val="-15"/>
        </w:rPr>
        <w:t> </w:t>
      </w:r>
      <w:r>
        <w:rPr/>
        <w:t>вориконазола</w:t>
      </w:r>
      <w:r>
        <w:rPr>
          <w:spacing w:val="-15"/>
        </w:rPr>
        <w:t> </w:t>
      </w:r>
      <w:r>
        <w:rPr/>
        <w:t>или</w:t>
      </w:r>
      <w:r>
        <w:rPr>
          <w:spacing w:val="-15"/>
        </w:rPr>
        <w:t> </w:t>
      </w:r>
      <w:r>
        <w:rPr/>
        <w:t>изавуконазола.</w:t>
      </w:r>
      <w:r>
        <w:rPr>
          <w:spacing w:val="-15"/>
        </w:rPr>
        <w:t> </w:t>
      </w:r>
      <w:r>
        <w:rPr/>
        <w:t>Оценку</w:t>
      </w:r>
      <w:r>
        <w:rPr>
          <w:spacing w:val="-15"/>
        </w:rPr>
        <w:t> </w:t>
      </w:r>
      <w:r>
        <w:rPr/>
        <w:t>эффективности стартовой</w:t>
      </w:r>
      <w:r>
        <w:rPr>
          <w:spacing w:val="40"/>
        </w:rPr>
        <w:t>  </w:t>
      </w:r>
      <w:r>
        <w:rPr/>
        <w:t>терапии</w:t>
      </w:r>
      <w:r>
        <w:rPr>
          <w:spacing w:val="40"/>
        </w:rPr>
        <w:t>  </w:t>
      </w:r>
      <w:r>
        <w:rPr/>
        <w:t>следует</w:t>
      </w:r>
      <w:r>
        <w:rPr>
          <w:spacing w:val="40"/>
        </w:rPr>
        <w:t>  </w:t>
      </w:r>
      <w:r>
        <w:rPr/>
        <w:t>провести</w:t>
      </w:r>
      <w:r>
        <w:rPr>
          <w:spacing w:val="40"/>
        </w:rPr>
        <w:t>  </w:t>
      </w:r>
      <w:r>
        <w:rPr/>
        <w:t>в</w:t>
      </w:r>
      <w:r>
        <w:rPr>
          <w:spacing w:val="40"/>
        </w:rPr>
        <w:t>  </w:t>
      </w:r>
      <w:r>
        <w:rPr/>
        <w:t>течение</w:t>
      </w:r>
      <w:r>
        <w:rPr>
          <w:spacing w:val="40"/>
        </w:rPr>
        <w:t>  </w:t>
      </w:r>
      <w:r>
        <w:rPr/>
        <w:t>первой</w:t>
      </w:r>
      <w:r>
        <w:rPr>
          <w:spacing w:val="40"/>
        </w:rPr>
        <w:t>  </w:t>
      </w:r>
      <w:r>
        <w:rPr/>
        <w:t>недели</w:t>
      </w:r>
      <w:r>
        <w:rPr>
          <w:spacing w:val="40"/>
        </w:rPr>
        <w:t>  </w:t>
      </w:r>
      <w:r>
        <w:rPr/>
        <w:t>лечения. При отсутствии убедительных клинических и КТ признаков эффективности следует перейти на альтернативные препараты. Важные условия успешного лечения – хирургическое удаление пораженных тканей и уменьшение степени иммуносупрессии (отмена или снижение дозы ГКС и пр.). Продолжительность противогрибковой терапии – 4-6 недель.</w:t>
      </w:r>
    </w:p>
    <w:p>
      <w:pPr>
        <w:pStyle w:val="BodyText"/>
        <w:spacing w:line="276" w:lineRule="auto"/>
        <w:ind w:right="1279" w:firstLine="707"/>
      </w:pPr>
      <w:r>
        <w:rPr/>
        <w:t>Риск развития COVID-ИК у больных в ОРИТ без специфических факторов риска (например, выраженной нейтропении) невысок, поэтому рутинная первичная антифунгальная профилактика не рекомендуется.</w:t>
      </w:r>
    </w:p>
    <w:p>
      <w:pPr>
        <w:pStyle w:val="BodyText"/>
        <w:spacing w:line="276" w:lineRule="auto"/>
        <w:ind w:right="1271" w:firstLine="707"/>
      </w:pPr>
      <w:r>
        <w:rPr/>
        <w:t>Раннее эмпирическое назначение эхинокандинов повышает выживаемость больных ИК. Показанием для эмпирической терапии COVID-ИК у больных в ОРИТ является резистентная к адекватной терапии антибактериальными ЛС лихорадка продолжительностью более 4 суток, в сочетании с наличием ≥2 факторов риска (длительное</w:t>
      </w:r>
      <w:r>
        <w:rPr>
          <w:spacing w:val="-8"/>
        </w:rPr>
        <w:t> </w:t>
      </w:r>
      <w:r>
        <w:rPr/>
        <w:t>применение</w:t>
      </w:r>
      <w:r>
        <w:rPr>
          <w:spacing w:val="-7"/>
        </w:rPr>
        <w:t> </w:t>
      </w:r>
      <w:r>
        <w:rPr/>
        <w:t>ЦВК,</w:t>
      </w:r>
      <w:r>
        <w:rPr>
          <w:spacing w:val="-8"/>
        </w:rPr>
        <w:t> </w:t>
      </w:r>
      <w:r>
        <w:rPr/>
        <w:t>полное</w:t>
      </w:r>
      <w:r>
        <w:rPr>
          <w:spacing w:val="-9"/>
        </w:rPr>
        <w:t> </w:t>
      </w:r>
      <w:r>
        <w:rPr/>
        <w:t>парентеральное</w:t>
      </w:r>
      <w:r>
        <w:rPr>
          <w:spacing w:val="-9"/>
        </w:rPr>
        <w:t> </w:t>
      </w:r>
      <w:r>
        <w:rPr/>
        <w:t>питание,</w:t>
      </w:r>
      <w:r>
        <w:rPr>
          <w:spacing w:val="-8"/>
        </w:rPr>
        <w:t> </w:t>
      </w:r>
      <w:r>
        <w:rPr/>
        <w:t>применение</w:t>
      </w:r>
      <w:r>
        <w:rPr>
          <w:spacing w:val="-9"/>
        </w:rPr>
        <w:t> </w:t>
      </w:r>
      <w:r>
        <w:rPr/>
        <w:t>ГКС</w:t>
      </w:r>
      <w:r>
        <w:rPr>
          <w:spacing w:val="-10"/>
        </w:rPr>
        <w:t> </w:t>
      </w:r>
      <w:r>
        <w:rPr/>
        <w:t>или иммуносупрессоров). При наличии факторов риска COVID-ИК и</w:t>
      </w:r>
      <w:r>
        <w:rPr>
          <w:spacing w:val="-2"/>
        </w:rPr>
        <w:t> </w:t>
      </w:r>
      <w:r>
        <w:rPr/>
        <w:t>клинических признаков</w:t>
      </w:r>
      <w:r>
        <w:rPr>
          <w:spacing w:val="-2"/>
        </w:rPr>
        <w:t> </w:t>
      </w:r>
      <w:r>
        <w:rPr/>
        <w:t>септического</w:t>
      </w:r>
      <w:r>
        <w:rPr>
          <w:spacing w:val="-1"/>
        </w:rPr>
        <w:t> </w:t>
      </w:r>
      <w:r>
        <w:rPr/>
        <w:t>шока</w:t>
      </w:r>
      <w:r>
        <w:rPr>
          <w:spacing w:val="-2"/>
        </w:rPr>
        <w:t> </w:t>
      </w:r>
      <w:r>
        <w:rPr/>
        <w:t>эмпирическую</w:t>
      </w:r>
      <w:r>
        <w:rPr>
          <w:spacing w:val="-1"/>
        </w:rPr>
        <w:t> </w:t>
      </w:r>
      <w:r>
        <w:rPr/>
        <w:t>терапию</w:t>
      </w:r>
      <w:r>
        <w:rPr>
          <w:spacing w:val="-1"/>
        </w:rPr>
        <w:t> </w:t>
      </w:r>
      <w:r>
        <w:rPr/>
        <w:t>следует начинать немедленно. Препараты выбора для эмпирической терапии COVID-ИК – анидулафунгин (в/в 200 мг</w:t>
      </w:r>
      <w:r>
        <w:rPr>
          <w:spacing w:val="73"/>
        </w:rPr>
        <w:t> </w:t>
      </w:r>
      <w:r>
        <w:rPr/>
        <w:t>в</w:t>
      </w:r>
      <w:r>
        <w:rPr>
          <w:spacing w:val="72"/>
        </w:rPr>
        <w:t> </w:t>
      </w:r>
      <w:r>
        <w:rPr/>
        <w:t>день</w:t>
      </w:r>
      <w:r>
        <w:rPr>
          <w:spacing w:val="74"/>
        </w:rPr>
        <w:t> </w:t>
      </w:r>
      <w:r>
        <w:rPr/>
        <w:t>1,</w:t>
      </w:r>
      <w:r>
        <w:rPr>
          <w:spacing w:val="71"/>
        </w:rPr>
        <w:t> </w:t>
      </w:r>
      <w:r>
        <w:rPr/>
        <w:t>затем</w:t>
      </w:r>
      <w:r>
        <w:rPr>
          <w:spacing w:val="72"/>
        </w:rPr>
        <w:t> </w:t>
      </w:r>
      <w:r>
        <w:rPr/>
        <w:t>100</w:t>
      </w:r>
      <w:r>
        <w:rPr>
          <w:spacing w:val="73"/>
        </w:rPr>
        <w:t> </w:t>
      </w:r>
      <w:r>
        <w:rPr/>
        <w:t>мг/с),</w:t>
      </w:r>
      <w:r>
        <w:rPr>
          <w:spacing w:val="72"/>
        </w:rPr>
        <w:t> </w:t>
      </w:r>
      <w:r>
        <w:rPr/>
        <w:t>каспофунгин</w:t>
      </w:r>
      <w:r>
        <w:rPr>
          <w:spacing w:val="72"/>
        </w:rPr>
        <w:t> </w:t>
      </w:r>
      <w:r>
        <w:rPr/>
        <w:t>(в/в</w:t>
      </w:r>
      <w:r>
        <w:rPr>
          <w:spacing w:val="-2"/>
        </w:rPr>
        <w:t> </w:t>
      </w:r>
      <w:r>
        <w:rPr/>
        <w:t>70</w:t>
      </w:r>
      <w:r>
        <w:rPr>
          <w:spacing w:val="-2"/>
        </w:rPr>
        <w:t> </w:t>
      </w:r>
      <w:r>
        <w:rPr/>
        <w:t>мг</w:t>
      </w:r>
      <w:r>
        <w:rPr>
          <w:spacing w:val="73"/>
        </w:rPr>
        <w:t> </w:t>
      </w:r>
      <w:r>
        <w:rPr/>
        <w:t>в</w:t>
      </w:r>
      <w:r>
        <w:rPr>
          <w:spacing w:val="72"/>
        </w:rPr>
        <w:t> </w:t>
      </w:r>
      <w:r>
        <w:rPr/>
        <w:t>день</w:t>
      </w:r>
      <w:r>
        <w:rPr>
          <w:spacing w:val="74"/>
        </w:rPr>
        <w:t> </w:t>
      </w:r>
      <w:r>
        <w:rPr/>
        <w:t>1,</w:t>
      </w:r>
      <w:r>
        <w:rPr>
          <w:spacing w:val="71"/>
        </w:rPr>
        <w:t> </w:t>
      </w:r>
      <w:r>
        <w:rPr/>
        <w:t>затем</w:t>
      </w:r>
      <w:r>
        <w:rPr>
          <w:spacing w:val="72"/>
        </w:rPr>
        <w:t> </w:t>
      </w:r>
      <w:r>
        <w:rPr/>
        <w:t>50</w:t>
      </w:r>
      <w:r>
        <w:rPr>
          <w:spacing w:val="73"/>
        </w:rPr>
        <w:t> </w:t>
      </w:r>
      <w:r>
        <w:rPr/>
        <w:t>мг/с) и микафунгин (в/в 100 мг/с). При назначении эмпирической терапии COVID-ИК следует</w:t>
      </w:r>
      <w:r>
        <w:rPr>
          <w:spacing w:val="-5"/>
        </w:rPr>
        <w:t> </w:t>
      </w:r>
      <w:r>
        <w:rPr/>
        <w:t>заменить</w:t>
      </w:r>
      <w:r>
        <w:rPr>
          <w:spacing w:val="-5"/>
        </w:rPr>
        <w:t> </w:t>
      </w:r>
      <w:r>
        <w:rPr/>
        <w:t>ЦВК</w:t>
      </w:r>
      <w:r>
        <w:rPr>
          <w:spacing w:val="-7"/>
        </w:rPr>
        <w:t> </w:t>
      </w:r>
      <w:r>
        <w:rPr/>
        <w:t>(не</w:t>
      </w:r>
      <w:r>
        <w:rPr>
          <w:spacing w:val="-5"/>
        </w:rPr>
        <w:t> </w:t>
      </w:r>
      <w:r>
        <w:rPr/>
        <w:t>по</w:t>
      </w:r>
      <w:r>
        <w:rPr>
          <w:spacing w:val="-5"/>
        </w:rPr>
        <w:t> </w:t>
      </w:r>
      <w:r>
        <w:rPr/>
        <w:t>проводнику),</w:t>
      </w:r>
      <w:r>
        <w:rPr>
          <w:spacing w:val="-3"/>
        </w:rPr>
        <w:t> </w:t>
      </w:r>
      <w:r>
        <w:rPr/>
        <w:t>а</w:t>
      </w:r>
      <w:r>
        <w:rPr>
          <w:spacing w:val="-6"/>
        </w:rPr>
        <w:t> </w:t>
      </w:r>
      <w:r>
        <w:rPr/>
        <w:t>также</w:t>
      </w:r>
      <w:r>
        <w:rPr>
          <w:spacing w:val="-5"/>
        </w:rPr>
        <w:t> </w:t>
      </w:r>
      <w:r>
        <w:rPr/>
        <w:t>посеять</w:t>
      </w:r>
      <w:r>
        <w:rPr>
          <w:spacing w:val="-3"/>
        </w:rPr>
        <w:t> </w:t>
      </w:r>
      <w:r>
        <w:rPr/>
        <w:t>кровь</w:t>
      </w:r>
      <w:r>
        <w:rPr>
          <w:spacing w:val="-5"/>
        </w:rPr>
        <w:t> </w:t>
      </w:r>
      <w:r>
        <w:rPr/>
        <w:t>(≥40</w:t>
      </w:r>
      <w:r>
        <w:rPr>
          <w:spacing w:val="-5"/>
        </w:rPr>
        <w:t> </w:t>
      </w:r>
      <w:r>
        <w:rPr/>
        <w:t>мл</w:t>
      </w:r>
      <w:r>
        <w:rPr>
          <w:spacing w:val="-5"/>
        </w:rPr>
        <w:t> </w:t>
      </w:r>
      <w:r>
        <w:rPr/>
        <w:t>в</w:t>
      </w:r>
      <w:r>
        <w:rPr>
          <w:spacing w:val="-4"/>
        </w:rPr>
        <w:t> </w:t>
      </w:r>
      <w:r>
        <w:rPr/>
        <w:t>сутки</w:t>
      </w:r>
      <w:r>
        <w:rPr>
          <w:spacing w:val="-5"/>
        </w:rPr>
        <w:t> </w:t>
      </w:r>
      <w:r>
        <w:rPr/>
        <w:t>для взрослого пациента), материал из возможных локусов диссеминации и дистальный фрагмент ЦВК.</w:t>
      </w:r>
    </w:p>
    <w:p>
      <w:pPr>
        <w:pStyle w:val="BodyText"/>
        <w:spacing w:line="276" w:lineRule="auto"/>
        <w:ind w:right="1273" w:firstLine="707"/>
      </w:pPr>
      <w:r>
        <w:rPr/>
        <w:t>При выделении </w:t>
      </w:r>
      <w:r>
        <w:rPr>
          <w:i/>
        </w:rPr>
        <w:t>Candida spp</w:t>
      </w:r>
      <w:r>
        <w:rPr/>
        <w:t>. из стерильных в норме субстратов (кровь, СМЖ и пр.) в течение 24 часов следует назначить противогрибковое ЛС и заменить ЦВК (не</w:t>
      </w:r>
      <w:r>
        <w:rPr>
          <w:spacing w:val="-13"/>
        </w:rPr>
        <w:t> </w:t>
      </w:r>
      <w:r>
        <w:rPr/>
        <w:t>по</w:t>
      </w:r>
      <w:r>
        <w:rPr>
          <w:spacing w:val="-13"/>
        </w:rPr>
        <w:t> </w:t>
      </w:r>
      <w:r>
        <w:rPr/>
        <w:t>проводнику).</w:t>
      </w:r>
      <w:r>
        <w:rPr>
          <w:spacing w:val="-13"/>
        </w:rPr>
        <w:t> </w:t>
      </w:r>
      <w:r>
        <w:rPr/>
        <w:t>Анидулафунгин,</w:t>
      </w:r>
      <w:r>
        <w:rPr>
          <w:spacing w:val="-13"/>
        </w:rPr>
        <w:t> </w:t>
      </w:r>
      <w:r>
        <w:rPr/>
        <w:t>каспофунгин</w:t>
      </w:r>
      <w:r>
        <w:rPr>
          <w:spacing w:val="-12"/>
        </w:rPr>
        <w:t> </w:t>
      </w:r>
      <w:r>
        <w:rPr/>
        <w:t>и</w:t>
      </w:r>
      <w:r>
        <w:rPr>
          <w:spacing w:val="-12"/>
        </w:rPr>
        <w:t> </w:t>
      </w:r>
      <w:r>
        <w:rPr/>
        <w:t>микафунгин</w:t>
      </w:r>
      <w:r>
        <w:rPr>
          <w:spacing w:val="-8"/>
        </w:rPr>
        <w:t> </w:t>
      </w:r>
      <w:r>
        <w:rPr/>
        <w:t>–</w:t>
      </w:r>
      <w:r>
        <w:rPr>
          <w:spacing w:val="-15"/>
        </w:rPr>
        <w:t> </w:t>
      </w:r>
      <w:r>
        <w:rPr/>
        <w:t>препараты</w:t>
      </w:r>
      <w:r>
        <w:rPr>
          <w:spacing w:val="-12"/>
        </w:rPr>
        <w:t> </w:t>
      </w:r>
      <w:r>
        <w:rPr/>
        <w:t>выбора для</w:t>
      </w:r>
      <w:r>
        <w:rPr>
          <w:spacing w:val="80"/>
          <w:w w:val="150"/>
        </w:rPr>
        <w:t> </w:t>
      </w:r>
      <w:r>
        <w:rPr/>
        <w:t>целенаправленной</w:t>
      </w:r>
      <w:r>
        <w:rPr>
          <w:spacing w:val="80"/>
          <w:w w:val="150"/>
        </w:rPr>
        <w:t> </w:t>
      </w:r>
      <w:r>
        <w:rPr/>
        <w:t>терапии</w:t>
      </w:r>
      <w:r>
        <w:rPr>
          <w:spacing w:val="80"/>
          <w:w w:val="150"/>
        </w:rPr>
        <w:t> </w:t>
      </w:r>
      <w:r>
        <w:rPr/>
        <w:t>всех</w:t>
      </w:r>
      <w:r>
        <w:rPr>
          <w:spacing w:val="80"/>
          <w:w w:val="150"/>
        </w:rPr>
        <w:t> </w:t>
      </w:r>
      <w:r>
        <w:rPr/>
        <w:t>вариантов</w:t>
      </w:r>
      <w:r>
        <w:rPr>
          <w:spacing w:val="80"/>
          <w:w w:val="150"/>
        </w:rPr>
        <w:t> </w:t>
      </w:r>
      <w:r>
        <w:rPr/>
        <w:t>COVID-ИК,</w:t>
      </w:r>
      <w:r>
        <w:rPr>
          <w:spacing w:val="80"/>
          <w:w w:val="150"/>
        </w:rPr>
        <w:t> </w:t>
      </w:r>
      <w:r>
        <w:rPr/>
        <w:t>кроме</w:t>
      </w:r>
      <w:r>
        <w:rPr>
          <w:spacing w:val="80"/>
          <w:w w:val="150"/>
        </w:rPr>
        <w:t> </w:t>
      </w:r>
      <w:r>
        <w:rPr/>
        <w:t>менингита и</w:t>
      </w:r>
      <w:r>
        <w:rPr>
          <w:spacing w:val="-8"/>
        </w:rPr>
        <w:t> </w:t>
      </w:r>
      <w:r>
        <w:rPr/>
        <w:t>эндофтальмита.</w:t>
      </w:r>
      <w:r>
        <w:rPr>
          <w:spacing w:val="-8"/>
        </w:rPr>
        <w:t> </w:t>
      </w:r>
      <w:r>
        <w:rPr/>
        <w:t>Триазольные</w:t>
      </w:r>
      <w:r>
        <w:rPr>
          <w:spacing w:val="-10"/>
        </w:rPr>
        <w:t> </w:t>
      </w:r>
      <w:r>
        <w:rPr/>
        <w:t>ЛС</w:t>
      </w:r>
      <w:r>
        <w:rPr>
          <w:spacing w:val="-8"/>
        </w:rPr>
        <w:t> </w:t>
      </w:r>
      <w:r>
        <w:rPr/>
        <w:t>(вориконазол</w:t>
      </w:r>
      <w:r>
        <w:rPr>
          <w:spacing w:val="-7"/>
        </w:rPr>
        <w:t> </w:t>
      </w:r>
      <w:r>
        <w:rPr/>
        <w:t>в/в</w:t>
      </w:r>
      <w:r>
        <w:rPr>
          <w:spacing w:val="-10"/>
        </w:rPr>
        <w:t> </w:t>
      </w:r>
      <w:r>
        <w:rPr/>
        <w:t>или</w:t>
      </w:r>
      <w:r>
        <w:rPr>
          <w:spacing w:val="-10"/>
        </w:rPr>
        <w:t> </w:t>
      </w:r>
      <w:r>
        <w:rPr/>
        <w:t>п/о</w:t>
      </w:r>
      <w:r>
        <w:rPr>
          <w:spacing w:val="-9"/>
        </w:rPr>
        <w:t> </w:t>
      </w:r>
      <w:r>
        <w:rPr/>
        <w:t>6</w:t>
      </w:r>
      <w:r>
        <w:rPr>
          <w:spacing w:val="-11"/>
        </w:rPr>
        <w:t> </w:t>
      </w:r>
      <w:r>
        <w:rPr/>
        <w:t>мг/кг</w:t>
      </w:r>
      <w:r>
        <w:rPr>
          <w:spacing w:val="-9"/>
        </w:rPr>
        <w:t> </w:t>
      </w:r>
      <w:r>
        <w:rPr/>
        <w:t>2</w:t>
      </w:r>
      <w:r>
        <w:rPr>
          <w:spacing w:val="-9"/>
        </w:rPr>
        <w:t> </w:t>
      </w:r>
      <w:r>
        <w:rPr/>
        <w:t>раза</w:t>
      </w:r>
      <w:r>
        <w:rPr>
          <w:spacing w:val="-10"/>
        </w:rPr>
        <w:t> </w:t>
      </w:r>
      <w:r>
        <w:rPr/>
        <w:t>в</w:t>
      </w:r>
      <w:r>
        <w:rPr>
          <w:spacing w:val="-10"/>
        </w:rPr>
        <w:t> </w:t>
      </w:r>
      <w:r>
        <w:rPr/>
        <w:t>1-е</w:t>
      </w:r>
      <w:r>
        <w:rPr>
          <w:spacing w:val="-10"/>
        </w:rPr>
        <w:t> </w:t>
      </w:r>
      <w:r>
        <w:rPr/>
        <w:t>сутки, затем по 4 мг/кг 2 раза в сутки, флуконазол в/в или п/о 12 мг/кг в 1-е сутки, затем по 6</w:t>
      </w:r>
      <w:r>
        <w:rPr>
          <w:spacing w:val="-4"/>
        </w:rPr>
        <w:t> </w:t>
      </w:r>
      <w:r>
        <w:rPr/>
        <w:t>мг/кг/с) можно назначать только в случае выделения чувствительного к препарату возбудителя COVID-ИК при стабильном состоянии пациента, а также для лечения кандидозного менингита и эндофтальмита. Кроме того, вориконазол и флуконазол используют для де-эскалационной терапии после стабилизации больного на фоне применения</w:t>
      </w:r>
      <w:r>
        <w:rPr>
          <w:spacing w:val="-15"/>
        </w:rPr>
        <w:t> </w:t>
      </w:r>
      <w:r>
        <w:rPr/>
        <w:t>эхинокандина.</w:t>
      </w:r>
      <w:r>
        <w:rPr>
          <w:spacing w:val="-15"/>
        </w:rPr>
        <w:t> </w:t>
      </w:r>
      <w:r>
        <w:rPr/>
        <w:t>Липосомальный</w:t>
      </w:r>
      <w:r>
        <w:rPr>
          <w:spacing w:val="-15"/>
        </w:rPr>
        <w:t> </w:t>
      </w:r>
      <w:r>
        <w:rPr/>
        <w:t>АмВ</w:t>
      </w:r>
      <w:r>
        <w:rPr>
          <w:spacing w:val="-15"/>
        </w:rPr>
        <w:t> </w:t>
      </w:r>
      <w:r>
        <w:rPr/>
        <w:t>(в/в</w:t>
      </w:r>
      <w:r>
        <w:rPr>
          <w:spacing w:val="-15"/>
        </w:rPr>
        <w:t> </w:t>
      </w:r>
      <w:r>
        <w:rPr/>
        <w:t>3</w:t>
      </w:r>
      <w:r>
        <w:rPr>
          <w:spacing w:val="-15"/>
        </w:rPr>
        <w:t> </w:t>
      </w:r>
      <w:r>
        <w:rPr/>
        <w:t>мг/кг/с,)</w:t>
      </w:r>
      <w:r>
        <w:rPr>
          <w:spacing w:val="-15"/>
        </w:rPr>
        <w:t> </w:t>
      </w:r>
      <w:r>
        <w:rPr/>
        <w:t>и</w:t>
      </w:r>
      <w:r>
        <w:rPr>
          <w:spacing w:val="-15"/>
        </w:rPr>
        <w:t> </w:t>
      </w:r>
      <w:r>
        <w:rPr/>
        <w:t>липидный</w:t>
      </w:r>
      <w:r>
        <w:rPr>
          <w:spacing w:val="-15"/>
        </w:rPr>
        <w:t> </w:t>
      </w:r>
      <w:r>
        <w:rPr/>
        <w:t>комплекс АмВ (в/в 5 мг/кг/с,) применяют в случае неэффективности, токсичности или недоступности</w:t>
      </w:r>
      <w:r>
        <w:rPr>
          <w:spacing w:val="80"/>
          <w:w w:val="150"/>
        </w:rPr>
        <w:t> </w:t>
      </w:r>
      <w:r>
        <w:rPr/>
        <w:t>эхинокандинов.</w:t>
      </w:r>
      <w:r>
        <w:rPr>
          <w:spacing w:val="80"/>
          <w:w w:val="150"/>
        </w:rPr>
        <w:t> </w:t>
      </w:r>
      <w:r>
        <w:rPr/>
        <w:t>Амфотерицин</w:t>
      </w:r>
      <w:r>
        <w:rPr>
          <w:spacing w:val="80"/>
          <w:w w:val="150"/>
        </w:rPr>
        <w:t> </w:t>
      </w:r>
      <w:r>
        <w:rPr/>
        <w:t>В,</w:t>
      </w:r>
      <w:r>
        <w:rPr>
          <w:spacing w:val="80"/>
          <w:w w:val="150"/>
        </w:rPr>
        <w:t> </w:t>
      </w:r>
      <w:r>
        <w:rPr/>
        <w:t>позаконазол</w:t>
      </w:r>
      <w:r>
        <w:rPr>
          <w:spacing w:val="80"/>
          <w:w w:val="150"/>
        </w:rPr>
        <w:t> </w:t>
      </w:r>
      <w:r>
        <w:rPr/>
        <w:t>и</w:t>
      </w:r>
      <w:r>
        <w:rPr>
          <w:spacing w:val="80"/>
          <w:w w:val="150"/>
        </w:rPr>
        <w:t> </w:t>
      </w:r>
      <w:r>
        <w:rPr/>
        <w:t>итраконазол</w:t>
      </w:r>
      <w:r>
        <w:rPr>
          <w:spacing w:val="80"/>
        </w:rPr>
        <w:t> </w:t>
      </w:r>
      <w:r>
        <w:rPr/>
        <w:t>не рекомендованы для лечения ИК. Продолжительность лечения – не менее 14 суток после исчезновения клинических признаков COVID-ИК и отрицательного посева </w:t>
      </w:r>
      <w:r>
        <w:rPr>
          <w:spacing w:val="-2"/>
        </w:rPr>
        <w:t>крови.</w:t>
      </w:r>
    </w:p>
    <w:p>
      <w:pPr>
        <w:pStyle w:val="BodyText"/>
        <w:tabs>
          <w:tab w:pos="3169" w:val="left" w:leader="none"/>
          <w:tab w:pos="4510" w:val="left" w:leader="none"/>
          <w:tab w:pos="5561" w:val="left" w:leader="none"/>
          <w:tab w:pos="6839" w:val="left" w:leader="none"/>
          <w:tab w:pos="8281" w:val="left" w:leader="none"/>
          <w:tab w:pos="10136" w:val="left" w:leader="none"/>
        </w:tabs>
        <w:spacing w:line="278" w:lineRule="auto"/>
        <w:ind w:right="1271" w:firstLine="707"/>
        <w:jc w:val="left"/>
      </w:pPr>
      <w:r>
        <w:rPr>
          <w:spacing w:val="-4"/>
        </w:rPr>
        <w:t>Для</w:t>
      </w:r>
      <w:r>
        <w:rPr/>
        <w:tab/>
      </w:r>
      <w:r>
        <w:rPr>
          <w:spacing w:val="-2"/>
        </w:rPr>
        <w:t>стартового</w:t>
      </w:r>
      <w:r>
        <w:rPr/>
        <w:tab/>
      </w:r>
      <w:r>
        <w:rPr>
          <w:spacing w:val="-2"/>
        </w:rPr>
        <w:t>лечения</w:t>
      </w:r>
      <w:r>
        <w:rPr/>
        <w:tab/>
      </w:r>
      <w:r>
        <w:rPr>
          <w:spacing w:val="-2"/>
        </w:rPr>
        <w:t>COVID-М</w:t>
      </w:r>
      <w:r>
        <w:rPr/>
        <w:tab/>
      </w:r>
      <w:r>
        <w:rPr>
          <w:spacing w:val="-2"/>
        </w:rPr>
        <w:t>используют</w:t>
      </w:r>
      <w:r>
        <w:rPr/>
        <w:tab/>
      </w:r>
      <w:r>
        <w:rPr>
          <w:spacing w:val="-2"/>
        </w:rPr>
        <w:t>липосомальный</w:t>
      </w:r>
      <w:r>
        <w:rPr/>
        <w:tab/>
      </w:r>
      <w:r>
        <w:rPr>
          <w:spacing w:val="-4"/>
        </w:rPr>
        <w:t>АмВ </w:t>
      </w:r>
      <w:r>
        <w:rPr/>
        <w:t>(в/в</w:t>
      </w:r>
      <w:r>
        <w:rPr>
          <w:spacing w:val="65"/>
          <w:w w:val="150"/>
        </w:rPr>
        <w:t> </w:t>
      </w:r>
      <w:r>
        <w:rPr/>
        <w:t>5-10</w:t>
      </w:r>
      <w:r>
        <w:rPr>
          <w:spacing w:val="68"/>
          <w:w w:val="150"/>
        </w:rPr>
        <w:t> </w:t>
      </w:r>
      <w:r>
        <w:rPr/>
        <w:t>мг/кг/с)</w:t>
      </w:r>
      <w:r>
        <w:rPr>
          <w:spacing w:val="65"/>
          <w:w w:val="150"/>
        </w:rPr>
        <w:t> </w:t>
      </w:r>
      <w:r>
        <w:rPr/>
        <w:t>или</w:t>
      </w:r>
      <w:r>
        <w:rPr>
          <w:spacing w:val="67"/>
          <w:w w:val="150"/>
        </w:rPr>
        <w:t> </w:t>
      </w:r>
      <w:r>
        <w:rPr/>
        <w:t>липидный</w:t>
      </w:r>
      <w:r>
        <w:rPr>
          <w:spacing w:val="66"/>
          <w:w w:val="150"/>
        </w:rPr>
        <w:t> </w:t>
      </w:r>
      <w:r>
        <w:rPr/>
        <w:t>комплекс</w:t>
      </w:r>
      <w:r>
        <w:rPr>
          <w:spacing w:val="64"/>
          <w:w w:val="150"/>
        </w:rPr>
        <w:t> </w:t>
      </w:r>
      <w:r>
        <w:rPr/>
        <w:t>АмВ</w:t>
      </w:r>
      <w:r>
        <w:rPr>
          <w:spacing w:val="69"/>
          <w:w w:val="150"/>
        </w:rPr>
        <w:t> </w:t>
      </w:r>
      <w:r>
        <w:rPr/>
        <w:t>(5</w:t>
      </w:r>
      <w:r>
        <w:rPr>
          <w:spacing w:val="65"/>
          <w:w w:val="150"/>
        </w:rPr>
        <w:t> </w:t>
      </w:r>
      <w:r>
        <w:rPr/>
        <w:t>мг/кг/с).</w:t>
      </w:r>
      <w:r>
        <w:rPr>
          <w:spacing w:val="70"/>
          <w:w w:val="150"/>
        </w:rPr>
        <w:t> </w:t>
      </w:r>
      <w:r>
        <w:rPr/>
        <w:t>Амфотерицин</w:t>
      </w:r>
      <w:r>
        <w:rPr>
          <w:spacing w:val="74"/>
          <w:w w:val="150"/>
        </w:rPr>
        <w:t> </w:t>
      </w:r>
      <w:r>
        <w:rPr>
          <w:spacing w:val="-10"/>
        </w:rPr>
        <w:t>В</w:t>
      </w:r>
    </w:p>
    <w:p>
      <w:pPr>
        <w:pStyle w:val="BodyText"/>
        <w:spacing w:after="0" w:line="278" w:lineRule="auto"/>
        <w:jc w:val="left"/>
        <w:sectPr>
          <w:pgSz w:w="11900" w:h="16840"/>
          <w:pgMar w:header="0" w:footer="697" w:top="1080" w:bottom="880" w:left="0" w:right="0"/>
        </w:sectPr>
      </w:pPr>
    </w:p>
    <w:p>
      <w:pPr>
        <w:pStyle w:val="BodyText"/>
        <w:spacing w:line="276" w:lineRule="auto" w:before="73"/>
        <w:ind w:right="1277"/>
      </w:pPr>
      <w:bookmarkStart w:name="67" w:id="81"/>
      <w:bookmarkEnd w:id="81"/>
      <w:r>
        <w:rPr/>
      </w:r>
      <w:r>
        <w:rPr/>
        <w:t>деоксихолат (1,0-1,5 мг/кг/с) менее эффективен и более токсичен, его применение возможно</w:t>
      </w:r>
      <w:r>
        <w:rPr>
          <w:spacing w:val="80"/>
        </w:rPr>
        <w:t>  </w:t>
      </w:r>
      <w:r>
        <w:rPr/>
        <w:t>только</w:t>
      </w:r>
      <w:r>
        <w:rPr>
          <w:spacing w:val="80"/>
        </w:rPr>
        <w:t>  </w:t>
      </w:r>
      <w:r>
        <w:rPr/>
        <w:t>при</w:t>
      </w:r>
      <w:r>
        <w:rPr>
          <w:spacing w:val="80"/>
        </w:rPr>
        <w:t>  </w:t>
      </w:r>
      <w:r>
        <w:rPr/>
        <w:t>отсутствии</w:t>
      </w:r>
      <w:r>
        <w:rPr>
          <w:spacing w:val="80"/>
        </w:rPr>
        <w:t>  </w:t>
      </w:r>
      <w:r>
        <w:rPr/>
        <w:t>липидных</w:t>
      </w:r>
      <w:r>
        <w:rPr>
          <w:spacing w:val="80"/>
        </w:rPr>
        <w:t>  </w:t>
      </w:r>
      <w:r>
        <w:rPr/>
        <w:t>форм</w:t>
      </w:r>
      <w:r>
        <w:rPr>
          <w:spacing w:val="80"/>
        </w:rPr>
        <w:t>  </w:t>
      </w:r>
      <w:r>
        <w:rPr/>
        <w:t>АмВ.</w:t>
      </w:r>
      <w:r>
        <w:rPr>
          <w:spacing w:val="80"/>
        </w:rPr>
        <w:t>  </w:t>
      </w:r>
      <w:r>
        <w:rPr/>
        <w:t>Изавуконазол или позаконазол назначают при невозможности (почечная недостаточность и пр.) или</w:t>
      </w:r>
      <w:r>
        <w:rPr>
          <w:spacing w:val="-9"/>
        </w:rPr>
        <w:t> </w:t>
      </w:r>
      <w:r>
        <w:rPr/>
        <w:t>неэффективности</w:t>
      </w:r>
      <w:r>
        <w:rPr>
          <w:spacing w:val="-9"/>
        </w:rPr>
        <w:t> </w:t>
      </w:r>
      <w:r>
        <w:rPr/>
        <w:t>применения</w:t>
      </w:r>
      <w:r>
        <w:rPr>
          <w:spacing w:val="-10"/>
        </w:rPr>
        <w:t> </w:t>
      </w:r>
      <w:r>
        <w:rPr/>
        <w:t>указанных</w:t>
      </w:r>
      <w:r>
        <w:rPr>
          <w:spacing w:val="-11"/>
        </w:rPr>
        <w:t> </w:t>
      </w:r>
      <w:r>
        <w:rPr/>
        <w:t>форм</w:t>
      </w:r>
      <w:r>
        <w:rPr>
          <w:spacing w:val="-11"/>
        </w:rPr>
        <w:t> </w:t>
      </w:r>
      <w:r>
        <w:rPr/>
        <w:t>АмВ,</w:t>
      </w:r>
      <w:r>
        <w:rPr>
          <w:spacing w:val="-10"/>
        </w:rPr>
        <w:t> </w:t>
      </w:r>
      <w:r>
        <w:rPr/>
        <w:t>а</w:t>
      </w:r>
      <w:r>
        <w:rPr>
          <w:spacing w:val="-11"/>
        </w:rPr>
        <w:t> </w:t>
      </w:r>
      <w:r>
        <w:rPr/>
        <w:t>также</w:t>
      </w:r>
      <w:r>
        <w:rPr>
          <w:spacing w:val="-9"/>
        </w:rPr>
        <w:t> </w:t>
      </w:r>
      <w:r>
        <w:rPr/>
        <w:t>после</w:t>
      </w:r>
      <w:r>
        <w:rPr>
          <w:spacing w:val="-11"/>
        </w:rPr>
        <w:t> </w:t>
      </w:r>
      <w:r>
        <w:rPr/>
        <w:t>стабилизации состояния пациента. Важные условия успешного лечения – хирургическое удаление пораженных тканей, стабилизация фоновых заболеваний и уменьшение степени иммуносупрессии (отмена или снижение дозы ГКС и пр.).</w:t>
      </w:r>
    </w:p>
    <w:p>
      <w:pPr>
        <w:pStyle w:val="Heading3"/>
        <w:spacing w:before="119"/>
        <w:ind w:left="1841" w:right="1279" w:firstLine="707"/>
      </w:pPr>
      <w:r>
        <w:rPr>
          <w:color w:val="1F487C"/>
        </w:rPr>
        <w:t>Особенности</w:t>
      </w:r>
      <w:r>
        <w:rPr>
          <w:color w:val="1F487C"/>
          <w:spacing w:val="40"/>
        </w:rPr>
        <w:t>  </w:t>
      </w:r>
      <w:r>
        <w:rPr>
          <w:color w:val="1F487C"/>
        </w:rPr>
        <w:t>антибактериальной</w:t>
      </w:r>
      <w:r>
        <w:rPr>
          <w:color w:val="1F487C"/>
          <w:spacing w:val="40"/>
        </w:rPr>
        <w:t>  </w:t>
      </w:r>
      <w:r>
        <w:rPr>
          <w:color w:val="1F487C"/>
        </w:rPr>
        <w:t>терапии</w:t>
      </w:r>
      <w:r>
        <w:rPr>
          <w:color w:val="1F487C"/>
          <w:spacing w:val="40"/>
        </w:rPr>
        <w:t>  </w:t>
      </w:r>
      <w:r>
        <w:rPr>
          <w:color w:val="1F487C"/>
        </w:rPr>
        <w:t>у</w:t>
      </w:r>
      <w:r>
        <w:rPr>
          <w:color w:val="1F487C"/>
          <w:spacing w:val="40"/>
        </w:rPr>
        <w:t>  </w:t>
      </w:r>
      <w:r>
        <w:rPr>
          <w:color w:val="1F487C"/>
        </w:rPr>
        <w:t>беременных,</w:t>
      </w:r>
      <w:r>
        <w:rPr>
          <w:color w:val="1F487C"/>
          <w:spacing w:val="40"/>
        </w:rPr>
        <w:t>  </w:t>
      </w:r>
      <w:r>
        <w:rPr>
          <w:color w:val="1F487C"/>
        </w:rPr>
        <w:t>рожениц</w:t>
      </w:r>
      <w:r>
        <w:rPr>
          <w:color w:val="1F487C"/>
          <w:spacing w:val="40"/>
        </w:rPr>
        <w:t> </w:t>
      </w:r>
      <w:r>
        <w:rPr>
          <w:color w:val="1F487C"/>
        </w:rPr>
        <w:t>и родильниц</w:t>
      </w:r>
    </w:p>
    <w:p>
      <w:pPr>
        <w:pStyle w:val="BodyText"/>
        <w:spacing w:line="276" w:lineRule="auto" w:before="119"/>
        <w:ind w:right="1274" w:firstLine="707"/>
      </w:pPr>
      <w:r>
        <w:rPr/>
        <w:t>Информация об особенностях антибактериальной терапии во время беременности, родов и в послеродовом периоде представлена в методических рекомендациях Минздрава России «Организация оказания медицинской помощи беременным,</w:t>
      </w:r>
      <w:r>
        <w:rPr>
          <w:spacing w:val="-11"/>
        </w:rPr>
        <w:t> </w:t>
      </w:r>
      <w:r>
        <w:rPr/>
        <w:t>роженицам,</w:t>
      </w:r>
      <w:r>
        <w:rPr>
          <w:spacing w:val="-11"/>
        </w:rPr>
        <w:t> </w:t>
      </w:r>
      <w:r>
        <w:rPr/>
        <w:t>родильницам</w:t>
      </w:r>
      <w:r>
        <w:rPr>
          <w:spacing w:val="-12"/>
        </w:rPr>
        <w:t> </w:t>
      </w:r>
      <w:r>
        <w:rPr/>
        <w:t>и</w:t>
      </w:r>
      <w:r>
        <w:rPr>
          <w:spacing w:val="-10"/>
        </w:rPr>
        <w:t> </w:t>
      </w:r>
      <w:r>
        <w:rPr/>
        <w:t>новорожденным</w:t>
      </w:r>
      <w:r>
        <w:rPr>
          <w:spacing w:val="-12"/>
        </w:rPr>
        <w:t> </w:t>
      </w:r>
      <w:r>
        <w:rPr/>
        <w:t>при</w:t>
      </w:r>
      <w:r>
        <w:rPr>
          <w:spacing w:val="-10"/>
        </w:rPr>
        <w:t> </w:t>
      </w:r>
      <w:r>
        <w:rPr/>
        <w:t>новой</w:t>
      </w:r>
      <w:r>
        <w:rPr>
          <w:spacing w:val="-13"/>
        </w:rPr>
        <w:t> </w:t>
      </w:r>
      <w:r>
        <w:rPr/>
        <w:t>коронавирусной инфекции COVID-19».</w:t>
      </w:r>
    </w:p>
    <w:p>
      <w:pPr>
        <w:pStyle w:val="Heading3"/>
        <w:spacing w:before="119"/>
      </w:pPr>
      <w:r>
        <w:rPr>
          <w:color w:val="1F487C"/>
          <w:spacing w:val="-2"/>
        </w:rPr>
        <w:t>Особенности</w:t>
      </w:r>
      <w:r>
        <w:rPr>
          <w:color w:val="1F487C"/>
          <w:spacing w:val="2"/>
        </w:rPr>
        <w:t> </w:t>
      </w:r>
      <w:r>
        <w:rPr>
          <w:color w:val="1F487C"/>
          <w:spacing w:val="-2"/>
        </w:rPr>
        <w:t>применения</w:t>
      </w:r>
      <w:r>
        <w:rPr>
          <w:color w:val="1F487C"/>
          <w:spacing w:val="1"/>
        </w:rPr>
        <w:t> </w:t>
      </w:r>
      <w:r>
        <w:rPr>
          <w:color w:val="1F487C"/>
          <w:spacing w:val="-2"/>
        </w:rPr>
        <w:t>пробиотиков</w:t>
      </w:r>
    </w:p>
    <w:p>
      <w:pPr>
        <w:pStyle w:val="BodyText"/>
        <w:spacing w:line="276" w:lineRule="auto" w:before="160"/>
        <w:ind w:right="1272" w:firstLine="707"/>
      </w:pPr>
      <w:r>
        <w:rPr/>
        <w:t>Использование пробиотических препаратов в качестве дополнительной терапии при различных состояниях практикуется весьма широко, в т.ч. обсуждается их</w:t>
      </w:r>
      <w:r>
        <w:rPr>
          <w:spacing w:val="-4"/>
        </w:rPr>
        <w:t> </w:t>
      </w:r>
      <w:r>
        <w:rPr/>
        <w:t>возможный благотворный эффект при лечении пациентов с COVID-19. Однако следует отметить, что из возможных направлений применения пробиотиков при COVID-19</w:t>
      </w:r>
      <w:r>
        <w:rPr>
          <w:spacing w:val="-13"/>
        </w:rPr>
        <w:t> </w:t>
      </w:r>
      <w:r>
        <w:rPr/>
        <w:t>только</w:t>
      </w:r>
      <w:r>
        <w:rPr>
          <w:spacing w:val="-15"/>
        </w:rPr>
        <w:t> </w:t>
      </w:r>
      <w:r>
        <w:rPr/>
        <w:t>их</w:t>
      </w:r>
      <w:r>
        <w:rPr>
          <w:spacing w:val="-15"/>
        </w:rPr>
        <w:t> </w:t>
      </w:r>
      <w:r>
        <w:rPr/>
        <w:t>назначение</w:t>
      </w:r>
      <w:r>
        <w:rPr>
          <w:spacing w:val="-12"/>
        </w:rPr>
        <w:t> </w:t>
      </w:r>
      <w:r>
        <w:rPr/>
        <w:t>вовремя</w:t>
      </w:r>
      <w:r>
        <w:rPr>
          <w:spacing w:val="-12"/>
        </w:rPr>
        <w:t> </w:t>
      </w:r>
      <w:r>
        <w:rPr/>
        <w:t>и/или</w:t>
      </w:r>
      <w:r>
        <w:rPr>
          <w:spacing w:val="-14"/>
        </w:rPr>
        <w:t> </w:t>
      </w:r>
      <w:r>
        <w:rPr/>
        <w:t>после</w:t>
      </w:r>
      <w:r>
        <w:rPr>
          <w:spacing w:val="-13"/>
        </w:rPr>
        <w:t> </w:t>
      </w:r>
      <w:r>
        <w:rPr/>
        <w:t>антибактериальной</w:t>
      </w:r>
      <w:r>
        <w:rPr>
          <w:spacing w:val="-12"/>
        </w:rPr>
        <w:t> </w:t>
      </w:r>
      <w:r>
        <w:rPr/>
        <w:t>терапии</w:t>
      </w:r>
      <w:r>
        <w:rPr>
          <w:spacing w:val="-14"/>
        </w:rPr>
        <w:t> </w:t>
      </w:r>
      <w:r>
        <w:rPr/>
        <w:t>для профилактики и лечения различных побочных эффектов имеет доказательную базу. Как правило, в качестве пробиотиков используются препараты, содержащие различные виды и штаммы бифидобактерий и лактобактерий. Важно подчеркнуть, что</w:t>
      </w:r>
      <w:r>
        <w:rPr>
          <w:spacing w:val="-15"/>
        </w:rPr>
        <w:t> </w:t>
      </w:r>
      <w:r>
        <w:rPr/>
        <w:t>применение</w:t>
      </w:r>
      <w:r>
        <w:rPr>
          <w:spacing w:val="-15"/>
        </w:rPr>
        <w:t> </w:t>
      </w:r>
      <w:r>
        <w:rPr/>
        <w:t>пробиотиков</w:t>
      </w:r>
      <w:r>
        <w:rPr>
          <w:spacing w:val="-15"/>
        </w:rPr>
        <w:t> </w:t>
      </w:r>
      <w:r>
        <w:rPr/>
        <w:t>для</w:t>
      </w:r>
      <w:r>
        <w:rPr>
          <w:spacing w:val="-15"/>
        </w:rPr>
        <w:t> </w:t>
      </w:r>
      <w:r>
        <w:rPr/>
        <w:t>профилактики</w:t>
      </w:r>
      <w:r>
        <w:rPr>
          <w:spacing w:val="-15"/>
        </w:rPr>
        <w:t> </w:t>
      </w:r>
      <w:r>
        <w:rPr/>
        <w:t>антибиотик-ассоциированной</w:t>
      </w:r>
      <w:r>
        <w:rPr>
          <w:spacing w:val="-15"/>
        </w:rPr>
        <w:t> </w:t>
      </w:r>
      <w:r>
        <w:rPr/>
        <w:t>диареи достоверно более эффективно, если они назначаются как можно раньше с момента приема первой дозы антибиотика.</w:t>
      </w:r>
    </w:p>
    <w:p>
      <w:pPr>
        <w:pStyle w:val="Heading1"/>
        <w:numPr>
          <w:ilvl w:val="1"/>
          <w:numId w:val="5"/>
        </w:numPr>
        <w:tabs>
          <w:tab w:pos="3037" w:val="left" w:leader="none"/>
        </w:tabs>
        <w:spacing w:line="240" w:lineRule="auto" w:before="239" w:after="0"/>
        <w:ind w:left="3037" w:right="0" w:hanging="488"/>
        <w:jc w:val="left"/>
        <w:rPr>
          <w:color w:val="1F487C"/>
        </w:rPr>
      </w:pPr>
      <w:bookmarkStart w:name="_TOC_250032" w:id="82"/>
      <w:r>
        <w:rPr>
          <w:color w:val="1F487C"/>
        </w:rPr>
        <w:t>АКУШЕРСКАЯ</w:t>
      </w:r>
      <w:r>
        <w:rPr>
          <w:color w:val="1F487C"/>
          <w:spacing w:val="-8"/>
        </w:rPr>
        <w:t> </w:t>
      </w:r>
      <w:r>
        <w:rPr>
          <w:color w:val="1F487C"/>
        </w:rPr>
        <w:t>ТАКТИКА</w:t>
      </w:r>
      <w:r>
        <w:rPr>
          <w:color w:val="1F487C"/>
          <w:spacing w:val="-10"/>
        </w:rPr>
        <w:t> </w:t>
      </w:r>
      <w:r>
        <w:rPr>
          <w:color w:val="1F487C"/>
        </w:rPr>
        <w:t>ПРИ</w:t>
      </w:r>
      <w:r>
        <w:rPr>
          <w:color w:val="1F487C"/>
          <w:spacing w:val="-7"/>
        </w:rPr>
        <w:t> </w:t>
      </w:r>
      <w:r>
        <w:rPr>
          <w:color w:val="1F487C"/>
        </w:rPr>
        <w:t>COVID-</w:t>
      </w:r>
      <w:bookmarkEnd w:id="82"/>
      <w:r>
        <w:rPr>
          <w:color w:val="1F487C"/>
          <w:spacing w:val="-5"/>
        </w:rPr>
        <w:t>19</w:t>
      </w:r>
    </w:p>
    <w:p>
      <w:pPr>
        <w:pStyle w:val="BodyText"/>
        <w:spacing w:line="276" w:lineRule="auto" w:before="166"/>
        <w:ind w:right="1270" w:firstLine="707"/>
      </w:pPr>
      <w:r>
        <w:rPr/>
        <w:t>Акушерская тактика определяется несколькими аспектами: тяжестью состояния пациентки, состоянием плода, сроком гестации. COVID-19, перенесенный до</w:t>
      </w:r>
      <w:r>
        <w:rPr>
          <w:spacing w:val="-15"/>
        </w:rPr>
        <w:t> </w:t>
      </w:r>
      <w:r>
        <w:rPr/>
        <w:t>12</w:t>
      </w:r>
      <w:r>
        <w:rPr>
          <w:spacing w:val="-15"/>
        </w:rPr>
        <w:t> </w:t>
      </w:r>
      <w:r>
        <w:rPr/>
        <w:t>недель</w:t>
      </w:r>
      <w:r>
        <w:rPr>
          <w:spacing w:val="-15"/>
        </w:rPr>
        <w:t> </w:t>
      </w:r>
      <w:r>
        <w:rPr/>
        <w:t>беременности,</w:t>
      </w:r>
      <w:r>
        <w:rPr>
          <w:spacing w:val="-15"/>
        </w:rPr>
        <w:t> </w:t>
      </w:r>
      <w:r>
        <w:rPr/>
        <w:t>в</w:t>
      </w:r>
      <w:r>
        <w:rPr>
          <w:spacing w:val="-15"/>
        </w:rPr>
        <w:t> </w:t>
      </w:r>
      <w:r>
        <w:rPr/>
        <w:t>связи</w:t>
      </w:r>
      <w:r>
        <w:rPr>
          <w:spacing w:val="-15"/>
        </w:rPr>
        <w:t> </w:t>
      </w:r>
      <w:r>
        <w:rPr/>
        <w:t>с</w:t>
      </w:r>
      <w:r>
        <w:rPr>
          <w:spacing w:val="-15"/>
        </w:rPr>
        <w:t> </w:t>
      </w:r>
      <w:r>
        <w:rPr/>
        <w:t>недоказанным</w:t>
      </w:r>
      <w:r>
        <w:rPr>
          <w:spacing w:val="-15"/>
        </w:rPr>
        <w:t> </w:t>
      </w:r>
      <w:r>
        <w:rPr/>
        <w:t>отрицательным</w:t>
      </w:r>
      <w:r>
        <w:rPr>
          <w:spacing w:val="-15"/>
        </w:rPr>
        <w:t> </w:t>
      </w:r>
      <w:r>
        <w:rPr/>
        <w:t>влиянием</w:t>
      </w:r>
      <w:r>
        <w:rPr>
          <w:spacing w:val="-15"/>
        </w:rPr>
        <w:t> </w:t>
      </w:r>
      <w:r>
        <w:rPr/>
        <w:t>на</w:t>
      </w:r>
      <w:r>
        <w:rPr>
          <w:spacing w:val="-15"/>
        </w:rPr>
        <w:t> </w:t>
      </w:r>
      <w:r>
        <w:rPr/>
        <w:t>плод, не является</w:t>
      </w:r>
      <w:r>
        <w:rPr>
          <w:spacing w:val="27"/>
        </w:rPr>
        <w:t> </w:t>
      </w:r>
      <w:r>
        <w:rPr/>
        <w:t>медицинским показанием для прерывания беременности. При тяжелом</w:t>
      </w:r>
      <w:r>
        <w:rPr>
          <w:spacing w:val="80"/>
        </w:rPr>
        <w:t> </w:t>
      </w:r>
      <w:r>
        <w:rPr/>
        <w:t>и крайне тяжелом течении заболевания вопрос о пролонгировании беременности решается консилиумом врачей. При заболевании и невозможности проведения скрининга 1-го триместра оценка риска хромосомных анеуплоидий у плода проводится на основании скрининга 2-го триместра. При заболевании COVID-19 рекомендуется</w:t>
      </w:r>
      <w:r>
        <w:rPr>
          <w:spacing w:val="72"/>
        </w:rPr>
        <w:t>  </w:t>
      </w:r>
      <w:r>
        <w:rPr/>
        <w:t>отложить</w:t>
      </w:r>
      <w:r>
        <w:rPr>
          <w:spacing w:val="72"/>
        </w:rPr>
        <w:t>  </w:t>
      </w:r>
      <w:r>
        <w:rPr/>
        <w:t>проведение</w:t>
      </w:r>
      <w:r>
        <w:rPr>
          <w:spacing w:val="71"/>
        </w:rPr>
        <w:t>  </w:t>
      </w:r>
      <w:r>
        <w:rPr/>
        <w:t>инвазивной</w:t>
      </w:r>
      <w:r>
        <w:rPr>
          <w:spacing w:val="72"/>
        </w:rPr>
        <w:t>  </w:t>
      </w:r>
      <w:r>
        <w:rPr/>
        <w:t>диагностики</w:t>
      </w:r>
      <w:r>
        <w:rPr>
          <w:spacing w:val="72"/>
        </w:rPr>
        <w:t>  </w:t>
      </w:r>
      <w:r>
        <w:rPr/>
        <w:t>минимально на 14 дней.</w:t>
      </w:r>
    </w:p>
    <w:p>
      <w:pPr>
        <w:pStyle w:val="BodyText"/>
        <w:spacing w:line="276" w:lineRule="auto"/>
        <w:ind w:right="1273" w:firstLine="707"/>
      </w:pPr>
      <w:r>
        <w:rPr/>
        <w:t>Наличие</w:t>
      </w:r>
      <w:r>
        <w:rPr>
          <w:spacing w:val="80"/>
        </w:rPr>
        <w:t>  </w:t>
      </w:r>
      <w:r>
        <w:rPr/>
        <w:t>COVID-19</w:t>
      </w:r>
      <w:r>
        <w:rPr>
          <w:spacing w:val="80"/>
        </w:rPr>
        <w:t>  </w:t>
      </w:r>
      <w:r>
        <w:rPr/>
        <w:t>не</w:t>
      </w:r>
      <w:r>
        <w:rPr>
          <w:spacing w:val="80"/>
        </w:rPr>
        <w:t>  </w:t>
      </w:r>
      <w:r>
        <w:rPr/>
        <w:t>является</w:t>
      </w:r>
      <w:r>
        <w:rPr>
          <w:spacing w:val="80"/>
        </w:rPr>
        <w:t>  </w:t>
      </w:r>
      <w:r>
        <w:rPr/>
        <w:t>показанием</w:t>
      </w:r>
      <w:r>
        <w:rPr>
          <w:spacing w:val="80"/>
        </w:rPr>
        <w:t>  </w:t>
      </w:r>
      <w:r>
        <w:rPr/>
        <w:t>для</w:t>
      </w:r>
      <w:r>
        <w:rPr>
          <w:spacing w:val="80"/>
        </w:rPr>
        <w:t>  </w:t>
      </w:r>
      <w:r>
        <w:rPr/>
        <w:t>родоразрешения за</w:t>
      </w:r>
      <w:r>
        <w:rPr>
          <w:spacing w:val="-4"/>
        </w:rPr>
        <w:t> </w:t>
      </w:r>
      <w:r>
        <w:rPr/>
        <w:t>исключением случаев, требующих улучшения уровня оксигенации крови беременной. Родоразрешение в разгар заболевания сопряжено с увеличением показателя материнской летальности и большим числом осложнений: утяжеление основного</w:t>
      </w:r>
      <w:r>
        <w:rPr>
          <w:spacing w:val="24"/>
        </w:rPr>
        <w:t> </w:t>
      </w:r>
      <w:r>
        <w:rPr/>
        <w:t>заболевания</w:t>
      </w:r>
      <w:r>
        <w:rPr>
          <w:spacing w:val="25"/>
        </w:rPr>
        <w:t> </w:t>
      </w:r>
      <w:r>
        <w:rPr/>
        <w:t>и</w:t>
      </w:r>
      <w:r>
        <w:rPr>
          <w:spacing w:val="28"/>
        </w:rPr>
        <w:t> </w:t>
      </w:r>
      <w:r>
        <w:rPr/>
        <w:t>вызванных</w:t>
      </w:r>
      <w:r>
        <w:rPr>
          <w:spacing w:val="25"/>
        </w:rPr>
        <w:t> </w:t>
      </w:r>
      <w:r>
        <w:rPr/>
        <w:t>им</w:t>
      </w:r>
      <w:r>
        <w:rPr>
          <w:spacing w:val="25"/>
        </w:rPr>
        <w:t> </w:t>
      </w:r>
      <w:r>
        <w:rPr/>
        <w:t>осложнений,</w:t>
      </w:r>
      <w:r>
        <w:rPr>
          <w:spacing w:val="25"/>
        </w:rPr>
        <w:t> </w:t>
      </w:r>
      <w:r>
        <w:rPr/>
        <w:t>развитие</w:t>
      </w:r>
      <w:r>
        <w:rPr>
          <w:spacing w:val="23"/>
        </w:rPr>
        <w:t> </w:t>
      </w:r>
      <w:r>
        <w:rPr/>
        <w:t>и</w:t>
      </w:r>
      <w:r>
        <w:rPr>
          <w:spacing w:val="-3"/>
        </w:rPr>
        <w:t> </w:t>
      </w:r>
      <w:r>
        <w:rPr>
          <w:spacing w:val="-2"/>
        </w:rPr>
        <w:t>прогрессирование</w:t>
      </w:r>
    </w:p>
    <w:p>
      <w:pPr>
        <w:pStyle w:val="BodyText"/>
        <w:spacing w:after="0" w:line="276" w:lineRule="auto"/>
        <w:sectPr>
          <w:pgSz w:w="11900" w:h="16840"/>
          <w:pgMar w:header="0" w:footer="697" w:top="1080" w:bottom="880" w:left="0" w:right="0"/>
        </w:sectPr>
      </w:pPr>
    </w:p>
    <w:p>
      <w:pPr>
        <w:pStyle w:val="BodyText"/>
        <w:spacing w:line="276" w:lineRule="auto" w:before="73"/>
        <w:ind w:right="1274"/>
      </w:pPr>
      <w:bookmarkStart w:name="68" w:id="83"/>
      <w:bookmarkEnd w:id="83"/>
      <w:r>
        <w:rPr/>
      </w:r>
      <w:r>
        <w:rPr/>
        <w:t>дыхательной недостаточности, возникновение акушерских кровотечений, интранатальная гибель плода, послеродовые гнойно-септические осложнения. Однако при невозможности устранения гипоксии на фоне ИВЛ или при прогрессировании дыхательной недостаточности, развитии альвеолярного отека легких,</w:t>
      </w:r>
      <w:r>
        <w:rPr>
          <w:spacing w:val="40"/>
        </w:rPr>
        <w:t> </w:t>
      </w:r>
      <w:r>
        <w:rPr/>
        <w:t>а</w:t>
      </w:r>
      <w:r>
        <w:rPr>
          <w:spacing w:val="40"/>
        </w:rPr>
        <w:t> </w:t>
      </w:r>
      <w:r>
        <w:rPr/>
        <w:t>также</w:t>
      </w:r>
      <w:r>
        <w:rPr>
          <w:spacing w:val="40"/>
        </w:rPr>
        <w:t> </w:t>
      </w:r>
      <w:r>
        <w:rPr/>
        <w:t>при</w:t>
      </w:r>
      <w:r>
        <w:rPr>
          <w:spacing w:val="40"/>
        </w:rPr>
        <w:t> </w:t>
      </w:r>
      <w:r>
        <w:rPr/>
        <w:t>рефрактерном</w:t>
      </w:r>
      <w:r>
        <w:rPr>
          <w:spacing w:val="40"/>
        </w:rPr>
        <w:t> </w:t>
      </w:r>
      <w:r>
        <w:rPr/>
        <w:t>септическом</w:t>
      </w:r>
      <w:r>
        <w:rPr>
          <w:spacing w:val="40"/>
        </w:rPr>
        <w:t> </w:t>
      </w:r>
      <w:r>
        <w:rPr/>
        <w:t>шоке</w:t>
      </w:r>
      <w:r>
        <w:rPr>
          <w:spacing w:val="40"/>
        </w:rPr>
        <w:t> </w:t>
      </w:r>
      <w:r>
        <w:rPr/>
        <w:t>по</w:t>
      </w:r>
      <w:r>
        <w:rPr>
          <w:spacing w:val="40"/>
        </w:rPr>
        <w:t> </w:t>
      </w:r>
      <w:r>
        <w:rPr/>
        <w:t>жизненным</w:t>
      </w:r>
      <w:r>
        <w:rPr>
          <w:spacing w:val="40"/>
        </w:rPr>
        <w:t> </w:t>
      </w:r>
      <w:r>
        <w:rPr/>
        <w:t>показаниям</w:t>
      </w:r>
      <w:r>
        <w:rPr>
          <w:spacing w:val="40"/>
        </w:rPr>
        <w:t> </w:t>
      </w:r>
      <w:r>
        <w:rPr/>
        <w:t>в</w:t>
      </w:r>
      <w:r>
        <w:rPr>
          <w:spacing w:val="-4"/>
        </w:rPr>
        <w:t> </w:t>
      </w:r>
      <w:r>
        <w:rPr/>
        <w:t>интересах матери и плода показано экстренное абдоминальное родоразрешение (кесарево сечение) с</w:t>
      </w:r>
      <w:r>
        <w:rPr>
          <w:spacing w:val="-4"/>
        </w:rPr>
        <w:t> </w:t>
      </w:r>
      <w:r>
        <w:rPr/>
        <w:t>проведением всех необходимых мероприятий по профилактике коагулопатического и гипотонического акушерского кровотечения.</w:t>
      </w:r>
    </w:p>
    <w:p>
      <w:pPr>
        <w:pStyle w:val="BodyText"/>
        <w:spacing w:line="276" w:lineRule="auto"/>
        <w:ind w:right="1272" w:firstLine="707"/>
      </w:pPr>
      <w:r>
        <w:rPr/>
        <w:t>В</w:t>
      </w:r>
      <w:r>
        <w:rPr>
          <w:spacing w:val="40"/>
        </w:rPr>
        <w:t> </w:t>
      </w:r>
      <w:r>
        <w:rPr/>
        <w:t>сроке</w:t>
      </w:r>
      <w:r>
        <w:rPr>
          <w:spacing w:val="40"/>
        </w:rPr>
        <w:t> </w:t>
      </w:r>
      <w:r>
        <w:rPr/>
        <w:t>беременности</w:t>
      </w:r>
      <w:r>
        <w:rPr>
          <w:spacing w:val="40"/>
        </w:rPr>
        <w:t> </w:t>
      </w:r>
      <w:r>
        <w:rPr/>
        <w:t>до</w:t>
      </w:r>
      <w:r>
        <w:rPr>
          <w:spacing w:val="40"/>
        </w:rPr>
        <w:t> </w:t>
      </w:r>
      <w:r>
        <w:rPr/>
        <w:t>20</w:t>
      </w:r>
      <w:r>
        <w:rPr>
          <w:spacing w:val="40"/>
        </w:rPr>
        <w:t> </w:t>
      </w:r>
      <w:r>
        <w:rPr/>
        <w:t>недель</w:t>
      </w:r>
      <w:r>
        <w:rPr>
          <w:spacing w:val="40"/>
        </w:rPr>
        <w:t> </w:t>
      </w:r>
      <w:r>
        <w:rPr/>
        <w:t>экстренное</w:t>
      </w:r>
      <w:r>
        <w:rPr>
          <w:spacing w:val="40"/>
        </w:rPr>
        <w:t> </w:t>
      </w:r>
      <w:r>
        <w:rPr/>
        <w:t>кесарево</w:t>
      </w:r>
      <w:r>
        <w:rPr>
          <w:spacing w:val="40"/>
        </w:rPr>
        <w:t> </w:t>
      </w:r>
      <w:r>
        <w:rPr/>
        <w:t>сечение</w:t>
      </w:r>
      <w:r>
        <w:rPr>
          <w:spacing w:val="40"/>
        </w:rPr>
        <w:t> </w:t>
      </w:r>
      <w:r>
        <w:rPr/>
        <w:t>можно</w:t>
      </w:r>
      <w:r>
        <w:rPr>
          <w:spacing w:val="80"/>
        </w:rPr>
        <w:t> </w:t>
      </w:r>
      <w:r>
        <w:rPr/>
        <w:t>не</w:t>
      </w:r>
      <w:r>
        <w:rPr>
          <w:spacing w:val="-6"/>
        </w:rPr>
        <w:t> </w:t>
      </w:r>
      <w:r>
        <w:rPr/>
        <w:t>проводить,</w:t>
      </w:r>
      <w:r>
        <w:rPr>
          <w:spacing w:val="-5"/>
        </w:rPr>
        <w:t> </w:t>
      </w:r>
      <w:r>
        <w:rPr/>
        <w:t>так</w:t>
      </w:r>
      <w:r>
        <w:rPr>
          <w:spacing w:val="-6"/>
        </w:rPr>
        <w:t> </w:t>
      </w:r>
      <w:r>
        <w:rPr/>
        <w:t>как</w:t>
      </w:r>
      <w:r>
        <w:rPr>
          <w:spacing w:val="-6"/>
        </w:rPr>
        <w:t> </w:t>
      </w:r>
      <w:r>
        <w:rPr/>
        <w:t>беременная</w:t>
      </w:r>
      <w:r>
        <w:rPr>
          <w:spacing w:val="-5"/>
        </w:rPr>
        <w:t> </w:t>
      </w:r>
      <w:r>
        <w:rPr/>
        <w:t>матка</w:t>
      </w:r>
      <w:r>
        <w:rPr>
          <w:spacing w:val="-5"/>
        </w:rPr>
        <w:t> </w:t>
      </w:r>
      <w:r>
        <w:rPr/>
        <w:t>в</w:t>
      </w:r>
      <w:r>
        <w:rPr>
          <w:spacing w:val="-5"/>
        </w:rPr>
        <w:t> </w:t>
      </w:r>
      <w:r>
        <w:rPr/>
        <w:t>этом</w:t>
      </w:r>
      <w:r>
        <w:rPr>
          <w:spacing w:val="-5"/>
        </w:rPr>
        <w:t> </w:t>
      </w:r>
      <w:r>
        <w:rPr/>
        <w:t>сроке</w:t>
      </w:r>
      <w:r>
        <w:rPr>
          <w:spacing w:val="-5"/>
        </w:rPr>
        <w:t> </w:t>
      </w:r>
      <w:r>
        <w:rPr/>
        <w:t>не</w:t>
      </w:r>
      <w:r>
        <w:rPr>
          <w:spacing w:val="-5"/>
        </w:rPr>
        <w:t> </w:t>
      </w:r>
      <w:r>
        <w:rPr/>
        <w:t>влияет</w:t>
      </w:r>
      <w:r>
        <w:rPr>
          <w:spacing w:val="-5"/>
        </w:rPr>
        <w:t> </w:t>
      </w:r>
      <w:r>
        <w:rPr/>
        <w:t>на</w:t>
      </w:r>
      <w:r>
        <w:rPr>
          <w:spacing w:val="-5"/>
        </w:rPr>
        <w:t> </w:t>
      </w:r>
      <w:r>
        <w:rPr/>
        <w:t>сердечный</w:t>
      </w:r>
      <w:r>
        <w:rPr>
          <w:spacing w:val="-4"/>
        </w:rPr>
        <w:t> </w:t>
      </w:r>
      <w:r>
        <w:rPr/>
        <w:t>выброс. В</w:t>
      </w:r>
      <w:r>
        <w:rPr>
          <w:spacing w:val="80"/>
        </w:rPr>
        <w:t> </w:t>
      </w:r>
      <w:r>
        <w:rPr/>
        <w:t>сроке</w:t>
      </w:r>
      <w:r>
        <w:rPr>
          <w:spacing w:val="80"/>
        </w:rPr>
        <w:t> </w:t>
      </w:r>
      <w:r>
        <w:rPr/>
        <w:t>беременности</w:t>
      </w:r>
      <w:r>
        <w:rPr>
          <w:spacing w:val="80"/>
        </w:rPr>
        <w:t> </w:t>
      </w:r>
      <w:r>
        <w:rPr/>
        <w:t>20-23</w:t>
      </w:r>
      <w:r>
        <w:rPr>
          <w:spacing w:val="80"/>
        </w:rPr>
        <w:t> </w:t>
      </w:r>
      <w:r>
        <w:rPr/>
        <w:t>недели</w:t>
      </w:r>
      <w:r>
        <w:rPr>
          <w:spacing w:val="80"/>
        </w:rPr>
        <w:t> </w:t>
      </w:r>
      <w:r>
        <w:rPr/>
        <w:t>экстренное</w:t>
      </w:r>
      <w:r>
        <w:rPr>
          <w:spacing w:val="80"/>
        </w:rPr>
        <w:t> </w:t>
      </w:r>
      <w:r>
        <w:rPr/>
        <w:t>кесарево</w:t>
      </w:r>
      <w:r>
        <w:rPr>
          <w:spacing w:val="80"/>
        </w:rPr>
        <w:t> </w:t>
      </w:r>
      <w:r>
        <w:rPr/>
        <w:t>сечение</w:t>
      </w:r>
      <w:r>
        <w:rPr>
          <w:spacing w:val="80"/>
        </w:rPr>
        <w:t> </w:t>
      </w:r>
      <w:r>
        <w:rPr/>
        <w:t>проводится для сохранения жизни матери, но не плода, а в сроке более 24 недель – для спасения жизни матери и плода.</w:t>
      </w:r>
    </w:p>
    <w:p>
      <w:pPr>
        <w:pStyle w:val="BodyText"/>
        <w:spacing w:line="276" w:lineRule="auto"/>
        <w:ind w:right="1276" w:firstLine="707"/>
      </w:pPr>
      <w:r>
        <w:rPr/>
        <w:t>Подробная информация об акушерской тактике и тактике ведения новорожденных в условиях пандемии COVID-19 представлена в методических рекомендациях Минздрава России </w:t>
      </w:r>
      <w:r>
        <w:rPr>
          <w:color w:val="1F487C"/>
        </w:rPr>
        <w:t>«Организация оказания медицинской помощи беременным,</w:t>
      </w:r>
      <w:r>
        <w:rPr>
          <w:color w:val="1F487C"/>
          <w:spacing w:val="-11"/>
        </w:rPr>
        <w:t> </w:t>
      </w:r>
      <w:r>
        <w:rPr>
          <w:color w:val="1F487C"/>
        </w:rPr>
        <w:t>роженицам,</w:t>
      </w:r>
      <w:r>
        <w:rPr>
          <w:color w:val="1F487C"/>
          <w:spacing w:val="-11"/>
        </w:rPr>
        <w:t> </w:t>
      </w:r>
      <w:r>
        <w:rPr>
          <w:color w:val="1F487C"/>
        </w:rPr>
        <w:t>родильницам</w:t>
      </w:r>
      <w:r>
        <w:rPr>
          <w:color w:val="1F487C"/>
          <w:spacing w:val="-12"/>
        </w:rPr>
        <w:t> </w:t>
      </w:r>
      <w:r>
        <w:rPr>
          <w:color w:val="1F487C"/>
        </w:rPr>
        <w:t>и</w:t>
      </w:r>
      <w:r>
        <w:rPr>
          <w:color w:val="1F487C"/>
          <w:spacing w:val="-11"/>
        </w:rPr>
        <w:t> </w:t>
      </w:r>
      <w:r>
        <w:rPr>
          <w:color w:val="1F487C"/>
        </w:rPr>
        <w:t>новорожденным</w:t>
      </w:r>
      <w:r>
        <w:rPr>
          <w:color w:val="1F487C"/>
          <w:spacing w:val="-12"/>
        </w:rPr>
        <w:t> </w:t>
      </w:r>
      <w:r>
        <w:rPr>
          <w:color w:val="1F487C"/>
        </w:rPr>
        <w:t>при</w:t>
      </w:r>
      <w:r>
        <w:rPr>
          <w:color w:val="1F487C"/>
          <w:spacing w:val="-11"/>
        </w:rPr>
        <w:t> </w:t>
      </w:r>
      <w:r>
        <w:rPr>
          <w:color w:val="1F487C"/>
        </w:rPr>
        <w:t>новой</w:t>
      </w:r>
      <w:r>
        <w:rPr>
          <w:color w:val="1F487C"/>
          <w:spacing w:val="-13"/>
        </w:rPr>
        <w:t> </w:t>
      </w:r>
      <w:r>
        <w:rPr>
          <w:color w:val="1F487C"/>
        </w:rPr>
        <w:t>коронавирусной инфекции COVID-19.</w:t>
      </w:r>
    </w:p>
    <w:p>
      <w:pPr>
        <w:pStyle w:val="Heading1"/>
        <w:numPr>
          <w:ilvl w:val="1"/>
          <w:numId w:val="5"/>
        </w:numPr>
        <w:tabs>
          <w:tab w:pos="3039" w:val="left" w:leader="none"/>
        </w:tabs>
        <w:spacing w:line="259" w:lineRule="auto" w:before="235" w:after="0"/>
        <w:ind w:left="2549" w:right="1573" w:firstLine="0"/>
        <w:jc w:val="both"/>
        <w:rPr>
          <w:color w:val="1F487C"/>
        </w:rPr>
      </w:pPr>
      <w:bookmarkStart w:name="_TOC_250031" w:id="84"/>
      <w:r>
        <w:rPr>
          <w:color w:val="1F487C"/>
        </w:rPr>
        <w:t>ОСНОВНЫЕ</w:t>
      </w:r>
      <w:r>
        <w:rPr>
          <w:color w:val="1F487C"/>
          <w:spacing w:val="-16"/>
        </w:rPr>
        <w:t> </w:t>
      </w:r>
      <w:r>
        <w:rPr>
          <w:color w:val="1F487C"/>
        </w:rPr>
        <w:t>ПРИНЦИПЫ</w:t>
      </w:r>
      <w:r>
        <w:rPr>
          <w:color w:val="1F487C"/>
          <w:spacing w:val="-14"/>
        </w:rPr>
        <w:t> </w:t>
      </w:r>
      <w:r>
        <w:rPr>
          <w:color w:val="1F487C"/>
        </w:rPr>
        <w:t>ТЕРАПИИ</w:t>
      </w:r>
      <w:r>
        <w:rPr>
          <w:color w:val="1F487C"/>
          <w:spacing w:val="-16"/>
        </w:rPr>
        <w:t> </w:t>
      </w:r>
      <w:r>
        <w:rPr>
          <w:color w:val="1F487C"/>
        </w:rPr>
        <w:t>НЕОТЛОЖНЫХ </w:t>
      </w:r>
      <w:bookmarkEnd w:id="84"/>
      <w:r>
        <w:rPr>
          <w:color w:val="1F487C"/>
          <w:spacing w:val="-2"/>
        </w:rPr>
        <w:t>СОСТОЯНИЙ</w:t>
      </w:r>
    </w:p>
    <w:p>
      <w:pPr>
        <w:pStyle w:val="Heading3"/>
        <w:numPr>
          <w:ilvl w:val="2"/>
          <w:numId w:val="5"/>
        </w:numPr>
        <w:tabs>
          <w:tab w:pos="3147" w:val="left" w:leader="none"/>
        </w:tabs>
        <w:spacing w:line="240" w:lineRule="auto" w:before="239" w:after="0"/>
        <w:ind w:left="3147" w:right="0" w:hanging="598"/>
        <w:jc w:val="both"/>
      </w:pPr>
      <w:r>
        <w:rPr>
          <w:color w:val="1F487C"/>
        </w:rPr>
        <w:t>Показания</w:t>
      </w:r>
      <w:r>
        <w:rPr>
          <w:color w:val="1F487C"/>
          <w:spacing w:val="-8"/>
        </w:rPr>
        <w:t> </w:t>
      </w:r>
      <w:r>
        <w:rPr>
          <w:color w:val="1F487C"/>
        </w:rPr>
        <w:t>к</w:t>
      </w:r>
      <w:r>
        <w:rPr>
          <w:color w:val="1F487C"/>
          <w:spacing w:val="-10"/>
        </w:rPr>
        <w:t> </w:t>
      </w:r>
      <w:r>
        <w:rPr>
          <w:color w:val="1F487C"/>
        </w:rPr>
        <w:t>переводу</w:t>
      </w:r>
      <w:r>
        <w:rPr>
          <w:color w:val="1F487C"/>
          <w:spacing w:val="-8"/>
        </w:rPr>
        <w:t> </w:t>
      </w:r>
      <w:r>
        <w:rPr>
          <w:color w:val="1F487C"/>
        </w:rPr>
        <w:t>в</w:t>
      </w:r>
      <w:r>
        <w:rPr>
          <w:color w:val="1F487C"/>
          <w:spacing w:val="-9"/>
        </w:rPr>
        <w:t> </w:t>
      </w:r>
      <w:r>
        <w:rPr>
          <w:color w:val="1F487C"/>
          <w:spacing w:val="-4"/>
        </w:rPr>
        <w:t>ОРИТ</w:t>
      </w:r>
    </w:p>
    <w:p>
      <w:pPr>
        <w:pStyle w:val="BodyText"/>
        <w:spacing w:line="276" w:lineRule="auto" w:before="142"/>
        <w:ind w:right="1271" w:firstLine="539"/>
      </w:pPr>
      <w:r>
        <w:rPr/>
        <w:t>Согласно Приказу №459н Минздрава РФ от 18 мая 2020 г. пациенты, находящиеся в крайне тяжелом состоянии, госпитализируются в структурное подразделение медицинской организации для лечения COVID-19 на койки для пациентов, находящихся в крайне тяжелом состоянии, требующих проведения ИВЛ, исходя из наличия двух из следующих критериев:</w:t>
      </w:r>
    </w:p>
    <w:p>
      <w:pPr>
        <w:pStyle w:val="BodyText"/>
        <w:spacing w:line="274" w:lineRule="exact"/>
        <w:ind w:left="2381"/>
      </w:pPr>
      <w:r>
        <w:rPr/>
        <w:t>а)</w:t>
      </w:r>
      <w:r>
        <w:rPr>
          <w:spacing w:val="-10"/>
        </w:rPr>
        <w:t> </w:t>
      </w:r>
      <w:r>
        <w:rPr/>
        <w:t>нарушение</w:t>
      </w:r>
      <w:r>
        <w:rPr>
          <w:spacing w:val="-9"/>
        </w:rPr>
        <w:t> </w:t>
      </w:r>
      <w:r>
        <w:rPr>
          <w:spacing w:val="-2"/>
        </w:rPr>
        <w:t>сознания;</w:t>
      </w:r>
    </w:p>
    <w:p>
      <w:pPr>
        <w:pStyle w:val="BodyText"/>
        <w:spacing w:line="309" w:lineRule="auto" w:before="82"/>
        <w:ind w:left="2381" w:right="5007"/>
      </w:pPr>
      <w:r>
        <w:rPr>
          <w:position w:val="2"/>
        </w:rPr>
        <w:t>б)</w:t>
      </w:r>
      <w:r>
        <w:rPr>
          <w:spacing w:val="-8"/>
          <w:position w:val="2"/>
        </w:rPr>
        <w:t> </w:t>
      </w:r>
      <w:r>
        <w:rPr>
          <w:position w:val="2"/>
        </w:rPr>
        <w:t>SpO</w:t>
      </w:r>
      <w:r>
        <w:rPr>
          <w:sz w:val="16"/>
        </w:rPr>
        <w:t>2</w:t>
      </w:r>
      <w:r>
        <w:rPr>
          <w:spacing w:val="14"/>
          <w:sz w:val="16"/>
        </w:rPr>
        <w:t> </w:t>
      </w:r>
      <w:r>
        <w:rPr>
          <w:position w:val="2"/>
        </w:rPr>
        <w:t>&lt;</w:t>
      </w:r>
      <w:r>
        <w:rPr>
          <w:spacing w:val="-8"/>
          <w:position w:val="2"/>
        </w:rPr>
        <w:t> </w:t>
      </w:r>
      <w:r>
        <w:rPr>
          <w:position w:val="2"/>
        </w:rPr>
        <w:t>92%</w:t>
      </w:r>
      <w:r>
        <w:rPr>
          <w:spacing w:val="-8"/>
          <w:position w:val="2"/>
        </w:rPr>
        <w:t> </w:t>
      </w:r>
      <w:r>
        <w:rPr>
          <w:position w:val="2"/>
        </w:rPr>
        <w:t>(на</w:t>
      </w:r>
      <w:r>
        <w:rPr>
          <w:spacing w:val="-8"/>
          <w:position w:val="2"/>
        </w:rPr>
        <w:t> </w:t>
      </w:r>
      <w:r>
        <w:rPr>
          <w:position w:val="2"/>
        </w:rPr>
        <w:t>фоне</w:t>
      </w:r>
      <w:r>
        <w:rPr>
          <w:spacing w:val="-8"/>
          <w:position w:val="2"/>
        </w:rPr>
        <w:t> </w:t>
      </w:r>
      <w:r>
        <w:rPr>
          <w:position w:val="2"/>
        </w:rPr>
        <w:t>кислородотерапии); </w:t>
      </w:r>
      <w:r>
        <w:rPr/>
        <w:t>в) ЧДД &gt;35 мин</w:t>
      </w:r>
      <w:r>
        <w:rPr>
          <w:vertAlign w:val="superscript"/>
        </w:rPr>
        <w:t>-1</w:t>
      </w:r>
      <w:r>
        <w:rPr>
          <w:vertAlign w:val="baseline"/>
        </w:rPr>
        <w:t>.</w:t>
      </w:r>
    </w:p>
    <w:p>
      <w:pPr>
        <w:pStyle w:val="Heading3"/>
        <w:numPr>
          <w:ilvl w:val="2"/>
          <w:numId w:val="5"/>
        </w:numPr>
        <w:tabs>
          <w:tab w:pos="3147" w:val="left" w:leader="none"/>
        </w:tabs>
        <w:spacing w:line="240" w:lineRule="auto" w:before="243" w:after="0"/>
        <w:ind w:left="3147" w:right="0" w:hanging="598"/>
        <w:jc w:val="both"/>
      </w:pPr>
      <w:r>
        <w:rPr>
          <w:color w:val="1F487C"/>
        </w:rPr>
        <w:t>Мониторинг</w:t>
      </w:r>
      <w:r>
        <w:rPr>
          <w:color w:val="1F487C"/>
          <w:spacing w:val="-13"/>
        </w:rPr>
        <w:t> </w:t>
      </w:r>
      <w:r>
        <w:rPr>
          <w:color w:val="1F487C"/>
        </w:rPr>
        <w:t>состояния</w:t>
      </w:r>
      <w:r>
        <w:rPr>
          <w:color w:val="1F487C"/>
          <w:spacing w:val="-13"/>
        </w:rPr>
        <w:t> </w:t>
      </w:r>
      <w:r>
        <w:rPr>
          <w:color w:val="1F487C"/>
        </w:rPr>
        <w:t>пациента</w:t>
      </w:r>
      <w:r>
        <w:rPr>
          <w:color w:val="1F487C"/>
          <w:spacing w:val="-13"/>
        </w:rPr>
        <w:t> </w:t>
      </w:r>
      <w:r>
        <w:rPr>
          <w:color w:val="1F487C"/>
        </w:rPr>
        <w:t>в</w:t>
      </w:r>
      <w:r>
        <w:rPr>
          <w:color w:val="1F487C"/>
          <w:spacing w:val="-13"/>
        </w:rPr>
        <w:t> </w:t>
      </w:r>
      <w:r>
        <w:rPr>
          <w:color w:val="1F487C"/>
        </w:rPr>
        <w:t>отделении</w:t>
      </w:r>
      <w:r>
        <w:rPr>
          <w:color w:val="1F487C"/>
          <w:spacing w:val="-11"/>
        </w:rPr>
        <w:t> </w:t>
      </w:r>
      <w:r>
        <w:rPr>
          <w:color w:val="1F487C"/>
          <w:spacing w:val="-2"/>
        </w:rPr>
        <w:t>реанимации</w:t>
      </w:r>
    </w:p>
    <w:p>
      <w:pPr>
        <w:pStyle w:val="BodyText"/>
        <w:spacing w:line="273" w:lineRule="auto" w:before="142"/>
        <w:ind w:right="1272" w:firstLine="707"/>
      </w:pPr>
      <w:r>
        <w:rPr/>
        <w:t>У пациентов с COVID-19, находящихся в ОРИТ, рекомендуется рутинно </w:t>
      </w:r>
      <w:r>
        <w:rPr>
          <w:position w:val="2"/>
        </w:rPr>
        <w:t>мониторировать</w:t>
      </w:r>
      <w:r>
        <w:rPr>
          <w:spacing w:val="40"/>
          <w:position w:val="2"/>
        </w:rPr>
        <w:t> </w:t>
      </w:r>
      <w:r>
        <w:rPr>
          <w:position w:val="2"/>
        </w:rPr>
        <w:t>SpO</w:t>
      </w:r>
      <w:r>
        <w:rPr>
          <w:sz w:val="16"/>
        </w:rPr>
        <w:t>2</w:t>
      </w:r>
      <w:r>
        <w:rPr>
          <w:position w:val="2"/>
        </w:rPr>
        <w:t>,</w:t>
      </w:r>
      <w:r>
        <w:rPr>
          <w:spacing w:val="40"/>
          <w:position w:val="2"/>
        </w:rPr>
        <w:t> </w:t>
      </w:r>
      <w:r>
        <w:rPr>
          <w:position w:val="2"/>
        </w:rPr>
        <w:t>ЧДД,</w:t>
      </w:r>
      <w:r>
        <w:rPr>
          <w:spacing w:val="40"/>
          <w:position w:val="2"/>
        </w:rPr>
        <w:t> </w:t>
      </w:r>
      <w:r>
        <w:rPr>
          <w:position w:val="2"/>
        </w:rPr>
        <w:t>ЭКГ</w:t>
      </w:r>
      <w:r>
        <w:rPr>
          <w:spacing w:val="40"/>
          <w:position w:val="2"/>
        </w:rPr>
        <w:t> </w:t>
      </w:r>
      <w:r>
        <w:rPr>
          <w:position w:val="2"/>
        </w:rPr>
        <w:t>с</w:t>
      </w:r>
      <w:r>
        <w:rPr>
          <w:spacing w:val="40"/>
          <w:position w:val="2"/>
        </w:rPr>
        <w:t> </w:t>
      </w:r>
      <w:r>
        <w:rPr>
          <w:position w:val="2"/>
        </w:rPr>
        <w:t>подсчетом</w:t>
      </w:r>
      <w:r>
        <w:rPr>
          <w:spacing w:val="40"/>
          <w:position w:val="2"/>
        </w:rPr>
        <w:t> </w:t>
      </w:r>
      <w:r>
        <w:rPr>
          <w:position w:val="2"/>
        </w:rPr>
        <w:t>ЧСС,</w:t>
      </w:r>
      <w:r>
        <w:rPr>
          <w:spacing w:val="40"/>
          <w:position w:val="2"/>
        </w:rPr>
        <w:t> </w:t>
      </w:r>
      <w:r>
        <w:rPr>
          <w:position w:val="2"/>
        </w:rPr>
        <w:t>неинвазивное</w:t>
      </w:r>
      <w:r>
        <w:rPr>
          <w:spacing w:val="40"/>
          <w:position w:val="2"/>
        </w:rPr>
        <w:t> </w:t>
      </w:r>
      <w:r>
        <w:rPr>
          <w:position w:val="2"/>
        </w:rPr>
        <w:t>измерение</w:t>
      </w:r>
      <w:r>
        <w:rPr>
          <w:spacing w:val="40"/>
          <w:position w:val="2"/>
        </w:rPr>
        <w:t> </w:t>
      </w:r>
      <w:r>
        <w:rPr>
          <w:position w:val="2"/>
        </w:rPr>
        <w:t>АД </w:t>
      </w:r>
      <w:r>
        <w:rPr/>
        <w:t>и</w:t>
      </w:r>
      <w:r>
        <w:rPr>
          <w:spacing w:val="-1"/>
        </w:rPr>
        <w:t> </w:t>
      </w:r>
      <w:r>
        <w:rPr/>
        <w:t>температуру тела. При проведении ИВЛ дополнительно рекомендуется мониторировать</w:t>
      </w:r>
      <w:r>
        <w:rPr>
          <w:spacing w:val="80"/>
          <w:w w:val="150"/>
        </w:rPr>
        <w:t> </w:t>
      </w:r>
      <w:r>
        <w:rPr/>
        <w:t>газовый</w:t>
      </w:r>
      <w:r>
        <w:rPr>
          <w:spacing w:val="80"/>
          <w:w w:val="150"/>
        </w:rPr>
        <w:t> </w:t>
      </w:r>
      <w:r>
        <w:rPr/>
        <w:t>состав</w:t>
      </w:r>
      <w:r>
        <w:rPr>
          <w:spacing w:val="80"/>
          <w:w w:val="150"/>
        </w:rPr>
        <w:t> </w:t>
      </w:r>
      <w:r>
        <w:rPr/>
        <w:t>и</w:t>
      </w:r>
      <w:r>
        <w:rPr>
          <w:spacing w:val="80"/>
          <w:w w:val="150"/>
        </w:rPr>
        <w:t> </w:t>
      </w:r>
      <w:r>
        <w:rPr/>
        <w:t>кислотно-основное</w:t>
      </w:r>
      <w:r>
        <w:rPr>
          <w:spacing w:val="80"/>
          <w:w w:val="150"/>
        </w:rPr>
        <w:t> </w:t>
      </w:r>
      <w:r>
        <w:rPr/>
        <w:t>состояние</w:t>
      </w:r>
      <w:r>
        <w:rPr>
          <w:spacing w:val="80"/>
          <w:w w:val="150"/>
        </w:rPr>
        <w:t> </w:t>
      </w:r>
      <w:r>
        <w:rPr/>
        <w:t>артериальной </w:t>
      </w:r>
      <w:r>
        <w:rPr>
          <w:position w:val="2"/>
        </w:rPr>
        <w:t>и</w:t>
      </w:r>
      <w:r>
        <w:rPr>
          <w:spacing w:val="-2"/>
          <w:position w:val="2"/>
        </w:rPr>
        <w:t> </w:t>
      </w:r>
      <w:r>
        <w:rPr>
          <w:position w:val="2"/>
        </w:rPr>
        <w:t>венозной</w:t>
      </w:r>
      <w:r>
        <w:rPr>
          <w:spacing w:val="40"/>
          <w:position w:val="2"/>
        </w:rPr>
        <w:t> </w:t>
      </w:r>
      <w:r>
        <w:rPr>
          <w:position w:val="2"/>
        </w:rPr>
        <w:t>крови,</w:t>
      </w:r>
      <w:r>
        <w:rPr>
          <w:spacing w:val="40"/>
          <w:position w:val="2"/>
        </w:rPr>
        <w:t> </w:t>
      </w:r>
      <w:r>
        <w:rPr>
          <w:position w:val="2"/>
        </w:rPr>
        <w:t>содержание</w:t>
      </w:r>
      <w:r>
        <w:rPr>
          <w:spacing w:val="40"/>
          <w:position w:val="2"/>
        </w:rPr>
        <w:t> </w:t>
      </w:r>
      <w:r>
        <w:rPr>
          <w:position w:val="2"/>
        </w:rPr>
        <w:t>кислорода</w:t>
      </w:r>
      <w:r>
        <w:rPr>
          <w:spacing w:val="40"/>
          <w:position w:val="2"/>
        </w:rPr>
        <w:t> </w:t>
      </w:r>
      <w:r>
        <w:rPr>
          <w:position w:val="2"/>
        </w:rPr>
        <w:t>во</w:t>
      </w:r>
      <w:r>
        <w:rPr>
          <w:spacing w:val="40"/>
          <w:position w:val="2"/>
        </w:rPr>
        <w:t> </w:t>
      </w:r>
      <w:r>
        <w:rPr>
          <w:position w:val="2"/>
        </w:rPr>
        <w:t>вдыхаемой</w:t>
      </w:r>
      <w:r>
        <w:rPr>
          <w:spacing w:val="40"/>
          <w:position w:val="2"/>
        </w:rPr>
        <w:t> </w:t>
      </w:r>
      <w:r>
        <w:rPr>
          <w:position w:val="2"/>
        </w:rPr>
        <w:t>смеси</w:t>
      </w:r>
      <w:r>
        <w:rPr>
          <w:spacing w:val="40"/>
          <w:position w:val="2"/>
        </w:rPr>
        <w:t> </w:t>
      </w:r>
      <w:r>
        <w:rPr>
          <w:position w:val="2"/>
        </w:rPr>
        <w:t>(FiO</w:t>
      </w:r>
      <w:r>
        <w:rPr>
          <w:sz w:val="16"/>
        </w:rPr>
        <w:t>2</w:t>
      </w:r>
      <w:r>
        <w:rPr>
          <w:position w:val="2"/>
        </w:rPr>
        <w:t>,</w:t>
      </w:r>
      <w:r>
        <w:rPr>
          <w:spacing w:val="68"/>
          <w:position w:val="2"/>
        </w:rPr>
        <w:t> </w:t>
      </w:r>
      <w:r>
        <w:rPr>
          <w:position w:val="2"/>
        </w:rPr>
        <w:t>выражается</w:t>
      </w:r>
      <w:r>
        <w:rPr>
          <w:spacing w:val="40"/>
          <w:position w:val="2"/>
        </w:rPr>
        <w:t> </w:t>
      </w:r>
      <w:r>
        <w:rPr>
          <w:spacing w:val="-2"/>
          <w:position w:val="2"/>
        </w:rPr>
        <w:t>в</w:t>
      </w:r>
      <w:r>
        <w:rPr>
          <w:spacing w:val="-6"/>
          <w:position w:val="2"/>
        </w:rPr>
        <w:t> </w:t>
      </w:r>
      <w:r>
        <w:rPr>
          <w:spacing w:val="-2"/>
          <w:position w:val="2"/>
        </w:rPr>
        <w:t>долях</w:t>
      </w:r>
      <w:r>
        <w:rPr>
          <w:spacing w:val="-5"/>
          <w:position w:val="2"/>
        </w:rPr>
        <w:t> </w:t>
      </w:r>
      <w:r>
        <w:rPr>
          <w:spacing w:val="-2"/>
          <w:position w:val="2"/>
        </w:rPr>
        <w:t>единицы:</w:t>
      </w:r>
      <w:r>
        <w:rPr>
          <w:spacing w:val="-6"/>
          <w:position w:val="2"/>
        </w:rPr>
        <w:t> </w:t>
      </w:r>
      <w:r>
        <w:rPr>
          <w:spacing w:val="-2"/>
          <w:position w:val="2"/>
        </w:rPr>
        <w:t>0,21;</w:t>
      </w:r>
      <w:r>
        <w:rPr>
          <w:spacing w:val="-5"/>
          <w:position w:val="2"/>
        </w:rPr>
        <w:t> </w:t>
      </w:r>
      <w:r>
        <w:rPr>
          <w:spacing w:val="-2"/>
          <w:position w:val="2"/>
        </w:rPr>
        <w:t>0,5</w:t>
      </w:r>
      <w:r>
        <w:rPr>
          <w:spacing w:val="-6"/>
          <w:position w:val="2"/>
        </w:rPr>
        <w:t> </w:t>
      </w:r>
      <w:r>
        <w:rPr>
          <w:spacing w:val="-2"/>
          <w:position w:val="2"/>
        </w:rPr>
        <w:t>и</w:t>
      </w:r>
      <w:r>
        <w:rPr>
          <w:spacing w:val="-5"/>
          <w:position w:val="2"/>
        </w:rPr>
        <w:t> </w:t>
      </w:r>
      <w:r>
        <w:rPr>
          <w:spacing w:val="-2"/>
          <w:position w:val="2"/>
        </w:rPr>
        <w:t>т.д.),</w:t>
      </w:r>
      <w:r>
        <w:rPr>
          <w:spacing w:val="-8"/>
          <w:position w:val="2"/>
        </w:rPr>
        <w:t> </w:t>
      </w:r>
      <w:r>
        <w:rPr>
          <w:spacing w:val="-2"/>
          <w:position w:val="2"/>
        </w:rPr>
        <w:t>содержание</w:t>
      </w:r>
      <w:r>
        <w:rPr>
          <w:spacing w:val="-8"/>
          <w:position w:val="2"/>
        </w:rPr>
        <w:t> </w:t>
      </w:r>
      <w:r>
        <w:rPr>
          <w:spacing w:val="-2"/>
          <w:position w:val="2"/>
        </w:rPr>
        <w:t>углекислого</w:t>
      </w:r>
      <w:r>
        <w:rPr>
          <w:spacing w:val="-6"/>
          <w:position w:val="2"/>
        </w:rPr>
        <w:t> </w:t>
      </w:r>
      <w:r>
        <w:rPr>
          <w:spacing w:val="-2"/>
          <w:position w:val="2"/>
        </w:rPr>
        <w:t>газа</w:t>
      </w:r>
      <w:r>
        <w:rPr>
          <w:spacing w:val="-8"/>
          <w:position w:val="2"/>
        </w:rPr>
        <w:t> </w:t>
      </w:r>
      <w:r>
        <w:rPr>
          <w:spacing w:val="-2"/>
          <w:position w:val="2"/>
        </w:rPr>
        <w:t>в</w:t>
      </w:r>
      <w:r>
        <w:rPr>
          <w:spacing w:val="-6"/>
          <w:position w:val="2"/>
        </w:rPr>
        <w:t> </w:t>
      </w:r>
      <w:r>
        <w:rPr>
          <w:spacing w:val="-2"/>
          <w:position w:val="2"/>
        </w:rPr>
        <w:t>конце</w:t>
      </w:r>
      <w:r>
        <w:rPr>
          <w:spacing w:val="-8"/>
          <w:position w:val="2"/>
        </w:rPr>
        <w:t> </w:t>
      </w:r>
      <w:r>
        <w:rPr>
          <w:spacing w:val="-2"/>
          <w:position w:val="2"/>
        </w:rPr>
        <w:t>выдоха</w:t>
      </w:r>
      <w:r>
        <w:rPr>
          <w:spacing w:val="-8"/>
          <w:position w:val="2"/>
        </w:rPr>
        <w:t> </w:t>
      </w:r>
      <w:r>
        <w:rPr>
          <w:spacing w:val="-2"/>
          <w:position w:val="2"/>
        </w:rPr>
        <w:t>(EtCO</w:t>
      </w:r>
      <w:r>
        <w:rPr>
          <w:spacing w:val="-2"/>
          <w:sz w:val="16"/>
        </w:rPr>
        <w:t>2</w:t>
      </w:r>
      <w:r>
        <w:rPr>
          <w:spacing w:val="-2"/>
          <w:position w:val="2"/>
        </w:rPr>
        <w:t>) </w:t>
      </w:r>
      <w:r>
        <w:rPr>
          <w:position w:val="2"/>
        </w:rPr>
        <w:t>и</w:t>
      </w:r>
      <w:r>
        <w:rPr>
          <w:spacing w:val="-2"/>
          <w:position w:val="2"/>
        </w:rPr>
        <w:t> </w:t>
      </w:r>
      <w:r>
        <w:rPr>
          <w:position w:val="2"/>
        </w:rPr>
        <w:t>давление</w:t>
      </w:r>
      <w:r>
        <w:rPr>
          <w:spacing w:val="-4"/>
          <w:position w:val="2"/>
        </w:rPr>
        <w:t> </w:t>
      </w:r>
      <w:r>
        <w:rPr>
          <w:position w:val="2"/>
        </w:rPr>
        <w:t>в</w:t>
      </w:r>
      <w:r>
        <w:rPr>
          <w:spacing w:val="-4"/>
          <w:position w:val="2"/>
        </w:rPr>
        <w:t> </w:t>
      </w:r>
      <w:r>
        <w:rPr>
          <w:position w:val="2"/>
        </w:rPr>
        <w:t>дыхательных</w:t>
      </w:r>
      <w:r>
        <w:rPr>
          <w:spacing w:val="-4"/>
          <w:position w:val="2"/>
        </w:rPr>
        <w:t> </w:t>
      </w:r>
      <w:r>
        <w:rPr>
          <w:position w:val="2"/>
        </w:rPr>
        <w:t>путях.</w:t>
      </w:r>
      <w:r>
        <w:rPr>
          <w:spacing w:val="-3"/>
          <w:position w:val="2"/>
        </w:rPr>
        <w:t> </w:t>
      </w:r>
      <w:r>
        <w:rPr>
          <w:position w:val="2"/>
        </w:rPr>
        <w:t>Если</w:t>
      </w:r>
      <w:r>
        <w:rPr>
          <w:spacing w:val="-2"/>
          <w:position w:val="2"/>
        </w:rPr>
        <w:t> </w:t>
      </w:r>
      <w:r>
        <w:rPr>
          <w:position w:val="2"/>
        </w:rPr>
        <w:t>определение</w:t>
      </w:r>
      <w:r>
        <w:rPr>
          <w:spacing w:val="-4"/>
          <w:position w:val="2"/>
        </w:rPr>
        <w:t> </w:t>
      </w:r>
      <w:r>
        <w:rPr>
          <w:position w:val="2"/>
        </w:rPr>
        <w:t>РaO</w:t>
      </w:r>
      <w:r>
        <w:rPr>
          <w:sz w:val="16"/>
        </w:rPr>
        <w:t>2</w:t>
      </w:r>
      <w:r>
        <w:rPr>
          <w:spacing w:val="18"/>
          <w:sz w:val="16"/>
        </w:rPr>
        <w:t> </w:t>
      </w:r>
      <w:r>
        <w:rPr>
          <w:position w:val="2"/>
        </w:rPr>
        <w:t>недоступно,</w:t>
      </w:r>
      <w:r>
        <w:rPr>
          <w:spacing w:val="-6"/>
          <w:position w:val="2"/>
        </w:rPr>
        <w:t> </w:t>
      </w:r>
      <w:r>
        <w:rPr>
          <w:position w:val="2"/>
        </w:rPr>
        <w:t>рекомендуется использовать</w:t>
      </w:r>
      <w:r>
        <w:rPr>
          <w:spacing w:val="-15"/>
          <w:position w:val="2"/>
        </w:rPr>
        <w:t> </w:t>
      </w:r>
      <w:r>
        <w:rPr>
          <w:position w:val="2"/>
        </w:rPr>
        <w:t>показатель</w:t>
      </w:r>
      <w:r>
        <w:rPr>
          <w:spacing w:val="-15"/>
          <w:position w:val="2"/>
        </w:rPr>
        <w:t> </w:t>
      </w:r>
      <w:r>
        <w:rPr>
          <w:position w:val="2"/>
        </w:rPr>
        <w:t>SpO</w:t>
      </w:r>
      <w:r>
        <w:rPr>
          <w:sz w:val="16"/>
        </w:rPr>
        <w:t>2</w:t>
      </w:r>
      <w:r>
        <w:rPr>
          <w:position w:val="2"/>
        </w:rPr>
        <w:t>/FiO</w:t>
      </w:r>
      <w:r>
        <w:rPr>
          <w:sz w:val="16"/>
        </w:rPr>
        <w:t>2</w:t>
      </w:r>
      <w:r>
        <w:rPr>
          <w:position w:val="2"/>
        </w:rPr>
        <w:t>:</w:t>
      </w:r>
      <w:r>
        <w:rPr>
          <w:spacing w:val="-15"/>
          <w:position w:val="2"/>
        </w:rPr>
        <w:t> </w:t>
      </w:r>
      <w:r>
        <w:rPr>
          <w:position w:val="2"/>
        </w:rPr>
        <w:t>если</w:t>
      </w:r>
      <w:r>
        <w:rPr>
          <w:spacing w:val="-15"/>
          <w:position w:val="2"/>
        </w:rPr>
        <w:t> </w:t>
      </w:r>
      <w:r>
        <w:rPr>
          <w:position w:val="2"/>
        </w:rPr>
        <w:t>его</w:t>
      </w:r>
      <w:r>
        <w:rPr>
          <w:spacing w:val="-15"/>
          <w:position w:val="2"/>
        </w:rPr>
        <w:t> </w:t>
      </w:r>
      <w:r>
        <w:rPr>
          <w:position w:val="2"/>
        </w:rPr>
        <w:t>максимально</w:t>
      </w:r>
      <w:r>
        <w:rPr>
          <w:spacing w:val="-15"/>
          <w:position w:val="2"/>
        </w:rPr>
        <w:t> </w:t>
      </w:r>
      <w:r>
        <w:rPr>
          <w:position w:val="2"/>
        </w:rPr>
        <w:t>достижимое</w:t>
      </w:r>
      <w:r>
        <w:rPr>
          <w:spacing w:val="-15"/>
          <w:position w:val="2"/>
        </w:rPr>
        <w:t> </w:t>
      </w:r>
      <w:r>
        <w:rPr>
          <w:position w:val="2"/>
        </w:rPr>
        <w:t>значение</w:t>
      </w:r>
      <w:r>
        <w:rPr>
          <w:spacing w:val="-15"/>
          <w:position w:val="2"/>
        </w:rPr>
        <w:t> </w:t>
      </w:r>
      <w:r>
        <w:rPr>
          <w:position w:val="2"/>
        </w:rPr>
        <w:t>ниже </w:t>
      </w:r>
      <w:r>
        <w:rPr/>
        <w:t>или равно 315, то это свидетельствует об ОРДС (в том числе у пациентов без ИВЛ).</w:t>
      </w:r>
    </w:p>
    <w:p>
      <w:pPr>
        <w:pStyle w:val="BodyText"/>
        <w:spacing w:line="276" w:lineRule="auto" w:before="8"/>
        <w:ind w:right="1275" w:firstLine="707"/>
      </w:pPr>
      <w:r>
        <w:rPr/>
        <w:t>У пациентов с шоком на фоне COVID-19 следует при наличии соответствующих</w:t>
      </w:r>
      <w:r>
        <w:rPr>
          <w:spacing w:val="80"/>
        </w:rPr>
        <w:t>  </w:t>
      </w:r>
      <w:r>
        <w:rPr/>
        <w:t>технических</w:t>
      </w:r>
      <w:r>
        <w:rPr>
          <w:spacing w:val="80"/>
        </w:rPr>
        <w:t>  </w:t>
      </w:r>
      <w:r>
        <w:rPr/>
        <w:t>возможностей</w:t>
      </w:r>
      <w:r>
        <w:rPr>
          <w:spacing w:val="80"/>
        </w:rPr>
        <w:t>  </w:t>
      </w:r>
      <w:r>
        <w:rPr/>
        <w:t>комплексно</w:t>
      </w:r>
      <w:r>
        <w:rPr>
          <w:spacing w:val="80"/>
        </w:rPr>
        <w:t>  </w:t>
      </w:r>
      <w:r>
        <w:rPr/>
        <w:t>мониторировать</w:t>
      </w:r>
    </w:p>
    <w:p>
      <w:pPr>
        <w:pStyle w:val="BodyText"/>
        <w:spacing w:after="0" w:line="276" w:lineRule="auto"/>
        <w:sectPr>
          <w:pgSz w:w="11900" w:h="16840"/>
          <w:pgMar w:header="0" w:footer="697" w:top="1080" w:bottom="880" w:left="0" w:right="0"/>
        </w:sectPr>
      </w:pPr>
    </w:p>
    <w:p>
      <w:pPr>
        <w:pStyle w:val="BodyText"/>
        <w:spacing w:line="276" w:lineRule="auto" w:before="73"/>
        <w:ind w:right="1270"/>
      </w:pPr>
      <w:bookmarkStart w:name="69" w:id="85"/>
      <w:bookmarkEnd w:id="85"/>
      <w:r>
        <w:rPr/>
      </w:r>
      <w:r>
        <w:rPr/>
        <w:t>параметры гемодинамики согласно рекомендациям Европейского общества медицины критических состояний (ESICM). Для оценки ответа на волемическую нагрузку рекомендуется по возможности использовать не статические показатели преднагрузки (ЦВД, ДЗЛА, ИГКДО и др.), а</w:t>
      </w:r>
      <w:r>
        <w:rPr>
          <w:spacing w:val="-1"/>
        </w:rPr>
        <w:t> </w:t>
      </w:r>
      <w:r>
        <w:rPr/>
        <w:t>динамические параметры – вариации ударного объема (SVV) и пульсового давления (PPV), температуру кожи, время наполнения</w:t>
      </w:r>
      <w:r>
        <w:rPr>
          <w:spacing w:val="-8"/>
        </w:rPr>
        <w:t> </w:t>
      </w:r>
      <w:r>
        <w:rPr/>
        <w:t>капилляров</w:t>
      </w:r>
      <w:r>
        <w:rPr>
          <w:spacing w:val="-10"/>
        </w:rPr>
        <w:t> </w:t>
      </w:r>
      <w:r>
        <w:rPr/>
        <w:t>и/или</w:t>
      </w:r>
      <w:r>
        <w:rPr>
          <w:spacing w:val="-7"/>
        </w:rPr>
        <w:t> </w:t>
      </w:r>
      <w:r>
        <w:rPr/>
        <w:t>уровень</w:t>
      </w:r>
      <w:r>
        <w:rPr>
          <w:spacing w:val="-7"/>
        </w:rPr>
        <w:t> </w:t>
      </w:r>
      <w:r>
        <w:rPr/>
        <w:t>лактата.</w:t>
      </w:r>
      <w:r>
        <w:rPr>
          <w:spacing w:val="-5"/>
        </w:rPr>
        <w:t> </w:t>
      </w:r>
      <w:r>
        <w:rPr/>
        <w:t>Необходимо</w:t>
      </w:r>
      <w:r>
        <w:rPr>
          <w:spacing w:val="-7"/>
        </w:rPr>
        <w:t> </w:t>
      </w:r>
      <w:r>
        <w:rPr/>
        <w:t>помнить,</w:t>
      </w:r>
      <w:r>
        <w:rPr>
          <w:spacing w:val="-7"/>
        </w:rPr>
        <w:t> </w:t>
      </w:r>
      <w:r>
        <w:rPr/>
        <w:t>что</w:t>
      </w:r>
      <w:r>
        <w:rPr>
          <w:spacing w:val="-7"/>
        </w:rPr>
        <w:t> </w:t>
      </w:r>
      <w:r>
        <w:rPr/>
        <w:t>SVV</w:t>
      </w:r>
      <w:r>
        <w:rPr>
          <w:spacing w:val="-9"/>
        </w:rPr>
        <w:t> </w:t>
      </w:r>
      <w:r>
        <w:rPr/>
        <w:t>и</w:t>
      </w:r>
      <w:r>
        <w:rPr>
          <w:spacing w:val="-6"/>
        </w:rPr>
        <w:t> </w:t>
      </w:r>
      <w:r>
        <w:rPr/>
        <w:t>PPV применимы только у пациентов на ИВЛ без попыток самостоятельного дыхания.</w:t>
      </w:r>
    </w:p>
    <w:p>
      <w:pPr>
        <w:pStyle w:val="BodyText"/>
        <w:spacing w:line="276" w:lineRule="auto"/>
        <w:ind w:right="1272" w:firstLine="707"/>
      </w:pPr>
      <w:r>
        <w:rPr/>
        <w:t>При множественной органной дисфункции на фоне COVID-19 рекомендуется мониторировать суточный и кумулятивный гидробаланс, избегая гипергидратации,</w:t>
      </w:r>
      <w:r>
        <w:rPr>
          <w:spacing w:val="80"/>
          <w:w w:val="150"/>
        </w:rPr>
        <w:t> </w:t>
      </w:r>
      <w:r>
        <w:rPr/>
        <w:t>а</w:t>
      </w:r>
      <w:r>
        <w:rPr>
          <w:spacing w:val="-6"/>
        </w:rPr>
        <w:t> </w:t>
      </w:r>
      <w:r>
        <w:rPr/>
        <w:t>тяжесть полиорганной недостаточности количественно оценивать по шкале SOFA (таблица 7).</w:t>
      </w:r>
    </w:p>
    <w:p>
      <w:pPr>
        <w:pStyle w:val="BodyText"/>
        <w:spacing w:before="39"/>
        <w:ind w:left="0"/>
        <w:jc w:val="left"/>
      </w:pPr>
    </w:p>
    <w:p>
      <w:pPr>
        <w:pStyle w:val="Heading3"/>
        <w:ind w:left="1841"/>
      </w:pPr>
      <w:r>
        <w:rPr/>
        <w:t>Таблица</w:t>
      </w:r>
      <w:r>
        <w:rPr>
          <w:spacing w:val="-12"/>
        </w:rPr>
        <w:t> </w:t>
      </w:r>
      <w:r>
        <w:rPr/>
        <w:t>7.</w:t>
      </w:r>
      <w:r>
        <w:rPr>
          <w:spacing w:val="-13"/>
        </w:rPr>
        <w:t> </w:t>
      </w:r>
      <w:r>
        <w:rPr/>
        <w:t>Шкала</w:t>
      </w:r>
      <w:r>
        <w:rPr>
          <w:spacing w:val="-12"/>
        </w:rPr>
        <w:t> </w:t>
      </w:r>
      <w:r>
        <w:rPr/>
        <w:t>оценки</w:t>
      </w:r>
      <w:r>
        <w:rPr>
          <w:spacing w:val="-12"/>
        </w:rPr>
        <w:t> </w:t>
      </w:r>
      <w:r>
        <w:rPr/>
        <w:t>органной</w:t>
      </w:r>
      <w:r>
        <w:rPr>
          <w:spacing w:val="-13"/>
        </w:rPr>
        <w:t> </w:t>
      </w:r>
      <w:r>
        <w:rPr/>
        <w:t>дисфункции</w:t>
      </w:r>
      <w:r>
        <w:rPr>
          <w:spacing w:val="-8"/>
        </w:rPr>
        <w:t> </w:t>
      </w:r>
      <w:r>
        <w:rPr>
          <w:spacing w:val="-4"/>
        </w:rPr>
        <w:t>SOFA</w:t>
      </w:r>
    </w:p>
    <w:p>
      <w:pPr>
        <w:pStyle w:val="BodyText"/>
        <w:spacing w:before="2"/>
        <w:ind w:left="0"/>
        <w:jc w:val="left"/>
        <w:rPr>
          <w:b/>
          <w:sz w:val="6"/>
        </w:rPr>
      </w:pPr>
    </w:p>
    <w:tbl>
      <w:tblPr>
        <w:tblW w:w="0" w:type="auto"/>
        <w:jc w:val="left"/>
        <w:tblInd w:w="18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625"/>
        <w:gridCol w:w="2402"/>
        <w:gridCol w:w="566"/>
        <w:gridCol w:w="928"/>
        <w:gridCol w:w="945"/>
        <w:gridCol w:w="1316"/>
        <w:gridCol w:w="1086"/>
      </w:tblGrid>
      <w:tr>
        <w:trPr>
          <w:trHeight w:val="253" w:hRule="atLeast"/>
        </w:trPr>
        <w:tc>
          <w:tcPr>
            <w:tcW w:w="1625" w:type="dxa"/>
            <w:vMerge w:val="restart"/>
            <w:shd w:val="clear" w:color="auto" w:fill="F1F1F1"/>
          </w:tcPr>
          <w:p>
            <w:pPr>
              <w:pStyle w:val="TableParagraph"/>
              <w:spacing w:before="141"/>
              <w:ind w:left="168"/>
              <w:rPr>
                <w:b/>
                <w:sz w:val="22"/>
              </w:rPr>
            </w:pPr>
            <w:r>
              <w:rPr>
                <w:b/>
                <w:spacing w:val="-2"/>
                <w:sz w:val="22"/>
              </w:rPr>
              <w:t>Функция</w:t>
            </w:r>
          </w:p>
        </w:tc>
        <w:tc>
          <w:tcPr>
            <w:tcW w:w="2402" w:type="dxa"/>
            <w:vMerge w:val="restart"/>
            <w:shd w:val="clear" w:color="auto" w:fill="F1F1F1"/>
          </w:tcPr>
          <w:p>
            <w:pPr>
              <w:pStyle w:val="TableParagraph"/>
              <w:spacing w:before="141"/>
              <w:ind w:left="116"/>
              <w:rPr>
                <w:b/>
                <w:sz w:val="22"/>
              </w:rPr>
            </w:pPr>
            <w:r>
              <w:rPr>
                <w:b/>
                <w:spacing w:val="-2"/>
                <w:sz w:val="22"/>
              </w:rPr>
              <w:t>Показатель</w:t>
            </w:r>
          </w:p>
        </w:tc>
        <w:tc>
          <w:tcPr>
            <w:tcW w:w="4841" w:type="dxa"/>
            <w:gridSpan w:val="5"/>
            <w:shd w:val="clear" w:color="auto" w:fill="F1F1F1"/>
          </w:tcPr>
          <w:p>
            <w:pPr>
              <w:pStyle w:val="TableParagraph"/>
              <w:spacing w:line="223" w:lineRule="exact" w:before="11"/>
              <w:ind w:left="124"/>
              <w:rPr>
                <w:b/>
                <w:sz w:val="22"/>
              </w:rPr>
            </w:pPr>
            <w:r>
              <w:rPr>
                <w:b/>
                <w:spacing w:val="-2"/>
                <w:sz w:val="22"/>
              </w:rPr>
              <w:t>Баллы</w:t>
            </w:r>
          </w:p>
        </w:tc>
      </w:tr>
      <w:tr>
        <w:trPr>
          <w:trHeight w:val="254" w:hRule="atLeast"/>
        </w:trPr>
        <w:tc>
          <w:tcPr>
            <w:tcW w:w="1625" w:type="dxa"/>
            <w:vMerge/>
            <w:tcBorders>
              <w:top w:val="nil"/>
            </w:tcBorders>
            <w:shd w:val="clear" w:color="auto" w:fill="F1F1F1"/>
          </w:tcPr>
          <w:p>
            <w:pPr>
              <w:rPr>
                <w:sz w:val="2"/>
                <w:szCs w:val="2"/>
              </w:rPr>
            </w:pPr>
          </w:p>
        </w:tc>
        <w:tc>
          <w:tcPr>
            <w:tcW w:w="2402" w:type="dxa"/>
            <w:vMerge/>
            <w:tcBorders>
              <w:top w:val="nil"/>
            </w:tcBorders>
            <w:shd w:val="clear" w:color="auto" w:fill="F1F1F1"/>
          </w:tcPr>
          <w:p>
            <w:pPr>
              <w:rPr>
                <w:sz w:val="2"/>
                <w:szCs w:val="2"/>
              </w:rPr>
            </w:pPr>
          </w:p>
        </w:tc>
        <w:tc>
          <w:tcPr>
            <w:tcW w:w="566" w:type="dxa"/>
            <w:shd w:val="clear" w:color="auto" w:fill="F1F1F1"/>
          </w:tcPr>
          <w:p>
            <w:pPr>
              <w:pStyle w:val="TableParagraph"/>
              <w:spacing w:line="225" w:lineRule="exact" w:before="9"/>
              <w:ind w:left="5" w:right="5"/>
              <w:jc w:val="center"/>
              <w:rPr>
                <w:b/>
                <w:sz w:val="22"/>
              </w:rPr>
            </w:pPr>
            <w:r>
              <w:rPr>
                <w:b/>
                <w:spacing w:val="-10"/>
                <w:sz w:val="22"/>
              </w:rPr>
              <w:t>0</w:t>
            </w:r>
          </w:p>
        </w:tc>
        <w:tc>
          <w:tcPr>
            <w:tcW w:w="928" w:type="dxa"/>
            <w:shd w:val="clear" w:color="auto" w:fill="F1F1F1"/>
          </w:tcPr>
          <w:p>
            <w:pPr>
              <w:pStyle w:val="TableParagraph"/>
              <w:spacing w:line="225" w:lineRule="exact" w:before="9"/>
              <w:ind w:right="4"/>
              <w:jc w:val="center"/>
              <w:rPr>
                <w:b/>
                <w:sz w:val="22"/>
              </w:rPr>
            </w:pPr>
            <w:r>
              <w:rPr>
                <w:b/>
                <w:spacing w:val="-10"/>
                <w:sz w:val="22"/>
              </w:rPr>
              <w:t>1</w:t>
            </w:r>
          </w:p>
        </w:tc>
        <w:tc>
          <w:tcPr>
            <w:tcW w:w="945" w:type="dxa"/>
            <w:shd w:val="clear" w:color="auto" w:fill="F1F1F1"/>
          </w:tcPr>
          <w:p>
            <w:pPr>
              <w:pStyle w:val="TableParagraph"/>
              <w:spacing w:line="225" w:lineRule="exact" w:before="9"/>
              <w:ind w:right="2"/>
              <w:jc w:val="center"/>
              <w:rPr>
                <w:b/>
                <w:sz w:val="22"/>
              </w:rPr>
            </w:pPr>
            <w:r>
              <w:rPr>
                <w:b/>
                <w:spacing w:val="-10"/>
                <w:sz w:val="22"/>
              </w:rPr>
              <w:t>2</w:t>
            </w:r>
          </w:p>
        </w:tc>
        <w:tc>
          <w:tcPr>
            <w:tcW w:w="1316" w:type="dxa"/>
            <w:shd w:val="clear" w:color="auto" w:fill="F1F1F1"/>
          </w:tcPr>
          <w:p>
            <w:pPr>
              <w:pStyle w:val="TableParagraph"/>
              <w:spacing w:line="225" w:lineRule="exact" w:before="9"/>
              <w:ind w:left="1" w:right="2"/>
              <w:jc w:val="center"/>
              <w:rPr>
                <w:b/>
                <w:sz w:val="22"/>
              </w:rPr>
            </w:pPr>
            <w:r>
              <w:rPr>
                <w:b/>
                <w:spacing w:val="-10"/>
                <w:sz w:val="22"/>
              </w:rPr>
              <w:t>3</w:t>
            </w:r>
          </w:p>
        </w:tc>
        <w:tc>
          <w:tcPr>
            <w:tcW w:w="1086" w:type="dxa"/>
            <w:shd w:val="clear" w:color="auto" w:fill="F1F1F1"/>
          </w:tcPr>
          <w:p>
            <w:pPr>
              <w:pStyle w:val="TableParagraph"/>
              <w:spacing w:line="225" w:lineRule="exact" w:before="9"/>
              <w:ind w:left="2" w:right="2"/>
              <w:jc w:val="center"/>
              <w:rPr>
                <w:b/>
                <w:sz w:val="22"/>
              </w:rPr>
            </w:pPr>
            <w:r>
              <w:rPr>
                <w:b/>
                <w:spacing w:val="-10"/>
                <w:sz w:val="22"/>
              </w:rPr>
              <w:t>4</w:t>
            </w:r>
          </w:p>
        </w:tc>
      </w:tr>
      <w:tr>
        <w:trPr>
          <w:trHeight w:val="337" w:hRule="atLeast"/>
        </w:trPr>
        <w:tc>
          <w:tcPr>
            <w:tcW w:w="1625" w:type="dxa"/>
          </w:tcPr>
          <w:p>
            <w:pPr>
              <w:pStyle w:val="TableParagraph"/>
              <w:spacing w:before="8"/>
              <w:ind w:left="108"/>
              <w:rPr>
                <w:b/>
                <w:sz w:val="22"/>
              </w:rPr>
            </w:pPr>
            <w:r>
              <w:rPr>
                <w:b/>
                <w:spacing w:val="-5"/>
                <w:sz w:val="22"/>
              </w:rPr>
              <w:t>ЦНС</w:t>
            </w:r>
          </w:p>
        </w:tc>
        <w:tc>
          <w:tcPr>
            <w:tcW w:w="2402" w:type="dxa"/>
          </w:tcPr>
          <w:p>
            <w:pPr>
              <w:pStyle w:val="TableParagraph"/>
              <w:spacing w:before="8"/>
              <w:ind w:left="75"/>
              <w:rPr>
                <w:sz w:val="22"/>
              </w:rPr>
            </w:pPr>
            <w:r>
              <w:rPr>
                <w:sz w:val="22"/>
              </w:rPr>
              <w:t>Оценка</w:t>
            </w:r>
            <w:r>
              <w:rPr>
                <w:spacing w:val="-5"/>
                <w:sz w:val="22"/>
              </w:rPr>
              <w:t> </w:t>
            </w:r>
            <w:r>
              <w:rPr>
                <w:sz w:val="22"/>
              </w:rPr>
              <w:t>по</w:t>
            </w:r>
            <w:r>
              <w:rPr>
                <w:spacing w:val="-6"/>
                <w:sz w:val="22"/>
              </w:rPr>
              <w:t> </w:t>
            </w:r>
            <w:r>
              <w:rPr>
                <w:sz w:val="22"/>
              </w:rPr>
              <w:t>ШКГ,</w:t>
            </w:r>
            <w:r>
              <w:rPr>
                <w:spacing w:val="-2"/>
                <w:sz w:val="22"/>
              </w:rPr>
              <w:t> баллы</w:t>
            </w:r>
          </w:p>
        </w:tc>
        <w:tc>
          <w:tcPr>
            <w:tcW w:w="566" w:type="dxa"/>
          </w:tcPr>
          <w:p>
            <w:pPr>
              <w:pStyle w:val="TableParagraph"/>
              <w:spacing w:before="8"/>
              <w:ind w:left="5" w:right="5"/>
              <w:jc w:val="center"/>
              <w:rPr>
                <w:sz w:val="22"/>
              </w:rPr>
            </w:pPr>
            <w:r>
              <w:rPr>
                <w:spacing w:val="-5"/>
                <w:sz w:val="22"/>
              </w:rPr>
              <w:t>15</w:t>
            </w:r>
          </w:p>
        </w:tc>
        <w:tc>
          <w:tcPr>
            <w:tcW w:w="928" w:type="dxa"/>
          </w:tcPr>
          <w:p>
            <w:pPr>
              <w:pStyle w:val="TableParagraph"/>
              <w:spacing w:before="8"/>
              <w:ind w:right="4"/>
              <w:jc w:val="center"/>
              <w:rPr>
                <w:sz w:val="22"/>
              </w:rPr>
            </w:pPr>
            <w:r>
              <w:rPr>
                <w:spacing w:val="-2"/>
                <w:sz w:val="22"/>
              </w:rPr>
              <w:t>13-</w:t>
            </w:r>
            <w:r>
              <w:rPr>
                <w:spacing w:val="-7"/>
                <w:sz w:val="22"/>
              </w:rPr>
              <w:t>14</w:t>
            </w:r>
          </w:p>
        </w:tc>
        <w:tc>
          <w:tcPr>
            <w:tcW w:w="945" w:type="dxa"/>
          </w:tcPr>
          <w:p>
            <w:pPr>
              <w:pStyle w:val="TableParagraph"/>
              <w:spacing w:before="8"/>
              <w:ind w:right="2"/>
              <w:jc w:val="center"/>
              <w:rPr>
                <w:sz w:val="22"/>
              </w:rPr>
            </w:pPr>
            <w:r>
              <w:rPr>
                <w:spacing w:val="-2"/>
                <w:sz w:val="22"/>
              </w:rPr>
              <w:t>10-</w:t>
            </w:r>
            <w:r>
              <w:rPr>
                <w:spacing w:val="-7"/>
                <w:sz w:val="22"/>
              </w:rPr>
              <w:t>12</w:t>
            </w:r>
          </w:p>
        </w:tc>
        <w:tc>
          <w:tcPr>
            <w:tcW w:w="1316" w:type="dxa"/>
          </w:tcPr>
          <w:p>
            <w:pPr>
              <w:pStyle w:val="TableParagraph"/>
              <w:spacing w:before="8"/>
              <w:ind w:left="1" w:right="2"/>
              <w:jc w:val="center"/>
              <w:rPr>
                <w:sz w:val="22"/>
              </w:rPr>
            </w:pPr>
            <w:r>
              <w:rPr>
                <w:spacing w:val="-2"/>
                <w:sz w:val="22"/>
              </w:rPr>
              <w:t>6-</w:t>
            </w:r>
            <w:r>
              <w:rPr>
                <w:spacing w:val="-10"/>
                <w:sz w:val="22"/>
              </w:rPr>
              <w:t>9</w:t>
            </w:r>
          </w:p>
        </w:tc>
        <w:tc>
          <w:tcPr>
            <w:tcW w:w="1086" w:type="dxa"/>
          </w:tcPr>
          <w:p>
            <w:pPr>
              <w:pStyle w:val="TableParagraph"/>
              <w:spacing w:before="8"/>
              <w:ind w:left="2"/>
              <w:jc w:val="center"/>
              <w:rPr>
                <w:sz w:val="22"/>
              </w:rPr>
            </w:pPr>
            <w:r>
              <w:rPr>
                <w:sz w:val="22"/>
              </w:rPr>
              <w:t>&lt; </w:t>
            </w:r>
            <w:r>
              <w:rPr>
                <w:spacing w:val="-10"/>
                <w:sz w:val="22"/>
              </w:rPr>
              <w:t>6</w:t>
            </w:r>
          </w:p>
        </w:tc>
      </w:tr>
      <w:tr>
        <w:trPr>
          <w:trHeight w:val="340" w:hRule="atLeast"/>
        </w:trPr>
        <w:tc>
          <w:tcPr>
            <w:tcW w:w="1625" w:type="dxa"/>
            <w:shd w:val="clear" w:color="auto" w:fill="F1F1F1"/>
          </w:tcPr>
          <w:p>
            <w:pPr>
              <w:pStyle w:val="TableParagraph"/>
              <w:spacing w:before="10"/>
              <w:ind w:left="108"/>
              <w:rPr>
                <w:b/>
                <w:sz w:val="22"/>
              </w:rPr>
            </w:pPr>
            <w:r>
              <w:rPr>
                <w:b/>
                <w:spacing w:val="-2"/>
                <w:sz w:val="22"/>
              </w:rPr>
              <w:t>Оксигенация</w:t>
            </w:r>
          </w:p>
        </w:tc>
        <w:tc>
          <w:tcPr>
            <w:tcW w:w="2402" w:type="dxa"/>
            <w:shd w:val="clear" w:color="auto" w:fill="F1F1F1"/>
          </w:tcPr>
          <w:p>
            <w:pPr>
              <w:pStyle w:val="TableParagraph"/>
              <w:spacing w:before="10"/>
              <w:ind w:left="75"/>
              <w:rPr>
                <w:position w:val="2"/>
                <w:sz w:val="22"/>
              </w:rPr>
            </w:pPr>
            <w:r>
              <w:rPr>
                <w:position w:val="2"/>
                <w:sz w:val="22"/>
              </w:rPr>
              <w:t>PaO</w:t>
            </w:r>
            <w:r>
              <w:rPr>
                <w:sz w:val="14"/>
              </w:rPr>
              <w:t>2</w:t>
            </w:r>
            <w:r>
              <w:rPr>
                <w:position w:val="2"/>
                <w:sz w:val="22"/>
              </w:rPr>
              <w:t>/FiO</w:t>
            </w:r>
            <w:r>
              <w:rPr>
                <w:sz w:val="14"/>
              </w:rPr>
              <w:t>2</w:t>
            </w:r>
            <w:r>
              <w:rPr>
                <w:position w:val="2"/>
                <w:sz w:val="22"/>
              </w:rPr>
              <w:t>,</w:t>
            </w:r>
            <w:r>
              <w:rPr>
                <w:spacing w:val="-2"/>
                <w:position w:val="2"/>
                <w:sz w:val="22"/>
              </w:rPr>
              <w:t> </w:t>
            </w:r>
            <w:r>
              <w:rPr>
                <w:position w:val="2"/>
                <w:sz w:val="22"/>
              </w:rPr>
              <w:t>мм</w:t>
            </w:r>
            <w:r>
              <w:rPr>
                <w:spacing w:val="-3"/>
                <w:position w:val="2"/>
                <w:sz w:val="22"/>
              </w:rPr>
              <w:t> </w:t>
            </w:r>
            <w:r>
              <w:rPr>
                <w:spacing w:val="-2"/>
                <w:position w:val="2"/>
                <w:sz w:val="22"/>
              </w:rPr>
              <w:t>рт.ст.</w:t>
            </w:r>
          </w:p>
        </w:tc>
        <w:tc>
          <w:tcPr>
            <w:tcW w:w="566" w:type="dxa"/>
            <w:shd w:val="clear" w:color="auto" w:fill="F1F1F1"/>
          </w:tcPr>
          <w:p>
            <w:pPr>
              <w:pStyle w:val="TableParagraph"/>
              <w:spacing w:before="11"/>
              <w:ind w:left="5"/>
              <w:jc w:val="center"/>
              <w:rPr>
                <w:sz w:val="22"/>
              </w:rPr>
            </w:pPr>
            <w:r>
              <w:rPr>
                <w:rFonts w:ascii="Symbol" w:hAnsi="Symbol"/>
                <w:sz w:val="22"/>
              </w:rPr>
              <w:t></w:t>
            </w:r>
            <w:r>
              <w:rPr>
                <w:spacing w:val="1"/>
                <w:sz w:val="22"/>
              </w:rPr>
              <w:t> </w:t>
            </w:r>
            <w:r>
              <w:rPr>
                <w:spacing w:val="-5"/>
                <w:sz w:val="22"/>
              </w:rPr>
              <w:t>400</w:t>
            </w:r>
          </w:p>
        </w:tc>
        <w:tc>
          <w:tcPr>
            <w:tcW w:w="928" w:type="dxa"/>
            <w:shd w:val="clear" w:color="auto" w:fill="F1F1F1"/>
          </w:tcPr>
          <w:p>
            <w:pPr>
              <w:pStyle w:val="TableParagraph"/>
              <w:spacing w:before="10"/>
              <w:ind w:left="2" w:right="4"/>
              <w:jc w:val="center"/>
              <w:rPr>
                <w:sz w:val="22"/>
              </w:rPr>
            </w:pPr>
            <w:r>
              <w:rPr>
                <w:sz w:val="22"/>
              </w:rPr>
              <w:t>&lt; </w:t>
            </w:r>
            <w:r>
              <w:rPr>
                <w:spacing w:val="-5"/>
                <w:sz w:val="22"/>
              </w:rPr>
              <w:t>400</w:t>
            </w:r>
          </w:p>
        </w:tc>
        <w:tc>
          <w:tcPr>
            <w:tcW w:w="945" w:type="dxa"/>
            <w:shd w:val="clear" w:color="auto" w:fill="F1F1F1"/>
          </w:tcPr>
          <w:p>
            <w:pPr>
              <w:pStyle w:val="TableParagraph"/>
              <w:spacing w:before="10"/>
              <w:ind w:left="2" w:right="2"/>
              <w:jc w:val="center"/>
              <w:rPr>
                <w:sz w:val="22"/>
              </w:rPr>
            </w:pPr>
            <w:r>
              <w:rPr>
                <w:sz w:val="22"/>
              </w:rPr>
              <w:t>&lt; </w:t>
            </w:r>
            <w:r>
              <w:rPr>
                <w:spacing w:val="-5"/>
                <w:sz w:val="22"/>
              </w:rPr>
              <w:t>300</w:t>
            </w:r>
          </w:p>
        </w:tc>
        <w:tc>
          <w:tcPr>
            <w:tcW w:w="1316" w:type="dxa"/>
            <w:shd w:val="clear" w:color="auto" w:fill="F1F1F1"/>
          </w:tcPr>
          <w:p>
            <w:pPr>
              <w:pStyle w:val="TableParagraph"/>
              <w:spacing w:before="10"/>
              <w:ind w:left="2" w:right="1"/>
              <w:jc w:val="center"/>
              <w:rPr>
                <w:sz w:val="22"/>
              </w:rPr>
            </w:pPr>
            <w:r>
              <w:rPr>
                <w:sz w:val="22"/>
              </w:rPr>
              <w:t>&lt; </w:t>
            </w:r>
            <w:r>
              <w:rPr>
                <w:spacing w:val="-4"/>
                <w:sz w:val="22"/>
              </w:rPr>
              <w:t>200*</w:t>
            </w:r>
          </w:p>
        </w:tc>
        <w:tc>
          <w:tcPr>
            <w:tcW w:w="1086" w:type="dxa"/>
            <w:shd w:val="clear" w:color="auto" w:fill="F1F1F1"/>
          </w:tcPr>
          <w:p>
            <w:pPr>
              <w:pStyle w:val="TableParagraph"/>
              <w:spacing w:before="10"/>
              <w:ind w:left="2" w:right="1"/>
              <w:jc w:val="center"/>
              <w:rPr>
                <w:sz w:val="22"/>
              </w:rPr>
            </w:pPr>
            <w:r>
              <w:rPr>
                <w:sz w:val="22"/>
              </w:rPr>
              <w:t>&lt; </w:t>
            </w:r>
            <w:r>
              <w:rPr>
                <w:spacing w:val="-4"/>
                <w:sz w:val="22"/>
              </w:rPr>
              <w:t>100*</w:t>
            </w:r>
          </w:p>
        </w:tc>
      </w:tr>
      <w:tr>
        <w:trPr>
          <w:trHeight w:val="1134" w:hRule="atLeast"/>
        </w:trPr>
        <w:tc>
          <w:tcPr>
            <w:tcW w:w="1625" w:type="dxa"/>
          </w:tcPr>
          <w:p>
            <w:pPr>
              <w:pStyle w:val="TableParagraph"/>
              <w:spacing w:before="191"/>
              <w:rPr>
                <w:b/>
                <w:sz w:val="22"/>
              </w:rPr>
            </w:pPr>
          </w:p>
          <w:p>
            <w:pPr>
              <w:pStyle w:val="TableParagraph"/>
              <w:ind w:left="108"/>
              <w:rPr>
                <w:b/>
                <w:sz w:val="22"/>
              </w:rPr>
            </w:pPr>
            <w:r>
              <w:rPr>
                <w:b/>
                <w:spacing w:val="-2"/>
                <w:sz w:val="22"/>
              </w:rPr>
              <w:t>Гемодинамика</w:t>
            </w:r>
          </w:p>
        </w:tc>
        <w:tc>
          <w:tcPr>
            <w:tcW w:w="2402" w:type="dxa"/>
          </w:tcPr>
          <w:p>
            <w:pPr>
              <w:pStyle w:val="TableParagraph"/>
              <w:spacing w:line="244" w:lineRule="auto" w:before="8"/>
              <w:ind w:left="75" w:right="236"/>
              <w:rPr>
                <w:sz w:val="22"/>
              </w:rPr>
            </w:pPr>
            <w:r>
              <w:rPr>
                <w:sz w:val="22"/>
              </w:rPr>
              <w:t>Среднее</w:t>
            </w:r>
            <w:r>
              <w:rPr>
                <w:spacing w:val="-12"/>
                <w:sz w:val="22"/>
              </w:rPr>
              <w:t> </w:t>
            </w:r>
            <w:r>
              <w:rPr>
                <w:sz w:val="22"/>
              </w:rPr>
              <w:t>АД,</w:t>
            </w:r>
            <w:r>
              <w:rPr>
                <w:spacing w:val="-12"/>
                <w:sz w:val="22"/>
              </w:rPr>
              <w:t> </w:t>
            </w:r>
            <w:r>
              <w:rPr>
                <w:sz w:val="22"/>
              </w:rPr>
              <w:t>мм</w:t>
            </w:r>
            <w:r>
              <w:rPr>
                <w:spacing w:val="-12"/>
                <w:sz w:val="22"/>
              </w:rPr>
              <w:t> </w:t>
            </w:r>
            <w:r>
              <w:rPr>
                <w:sz w:val="22"/>
              </w:rPr>
              <w:t>рт.ст. или дозы </w:t>
            </w:r>
            <w:r>
              <w:rPr>
                <w:spacing w:val="-2"/>
                <w:sz w:val="22"/>
              </w:rPr>
              <w:t>катехоламинов,</w:t>
            </w:r>
            <w:r>
              <w:rPr>
                <w:spacing w:val="80"/>
                <w:sz w:val="22"/>
              </w:rPr>
              <w:t> </w:t>
            </w:r>
            <w:r>
              <w:rPr>
                <w:sz w:val="22"/>
              </w:rPr>
              <w:t>мкг/кг в мин</w:t>
            </w:r>
          </w:p>
        </w:tc>
        <w:tc>
          <w:tcPr>
            <w:tcW w:w="566" w:type="dxa"/>
          </w:tcPr>
          <w:p>
            <w:pPr>
              <w:pStyle w:val="TableParagraph"/>
              <w:spacing w:before="9"/>
              <w:ind w:left="5"/>
              <w:jc w:val="center"/>
              <w:rPr>
                <w:sz w:val="22"/>
              </w:rPr>
            </w:pPr>
            <w:r>
              <w:rPr>
                <w:rFonts w:ascii="Symbol" w:hAnsi="Symbol"/>
                <w:sz w:val="22"/>
              </w:rPr>
              <w:t></w:t>
            </w:r>
            <w:r>
              <w:rPr>
                <w:spacing w:val="1"/>
                <w:sz w:val="22"/>
              </w:rPr>
              <w:t> </w:t>
            </w:r>
            <w:r>
              <w:rPr>
                <w:spacing w:val="-5"/>
                <w:sz w:val="22"/>
              </w:rPr>
              <w:t>70</w:t>
            </w:r>
          </w:p>
        </w:tc>
        <w:tc>
          <w:tcPr>
            <w:tcW w:w="928" w:type="dxa"/>
          </w:tcPr>
          <w:p>
            <w:pPr>
              <w:pStyle w:val="TableParagraph"/>
              <w:spacing w:before="10"/>
              <w:ind w:left="2" w:right="4"/>
              <w:jc w:val="center"/>
              <w:rPr>
                <w:sz w:val="22"/>
              </w:rPr>
            </w:pPr>
            <w:r>
              <w:rPr>
                <w:sz w:val="22"/>
              </w:rPr>
              <w:t>&lt; </w:t>
            </w:r>
            <w:r>
              <w:rPr>
                <w:spacing w:val="-5"/>
                <w:sz w:val="22"/>
              </w:rPr>
              <w:t>70</w:t>
            </w:r>
          </w:p>
        </w:tc>
        <w:tc>
          <w:tcPr>
            <w:tcW w:w="945" w:type="dxa"/>
          </w:tcPr>
          <w:p>
            <w:pPr>
              <w:pStyle w:val="TableParagraph"/>
              <w:spacing w:before="8"/>
              <w:ind w:left="79" w:right="80" w:hanging="1"/>
              <w:jc w:val="center"/>
              <w:rPr>
                <w:sz w:val="22"/>
              </w:rPr>
            </w:pPr>
            <w:r>
              <w:rPr>
                <w:sz w:val="22"/>
              </w:rPr>
              <w:t>Доф</w:t>
            </w:r>
            <w:r>
              <w:rPr>
                <w:spacing w:val="-6"/>
                <w:sz w:val="22"/>
              </w:rPr>
              <w:t> </w:t>
            </w:r>
            <w:r>
              <w:rPr>
                <w:sz w:val="22"/>
              </w:rPr>
              <w:t>&lt;</w:t>
            </w:r>
            <w:r>
              <w:rPr>
                <w:spacing w:val="-5"/>
                <w:sz w:val="22"/>
              </w:rPr>
              <w:t> </w:t>
            </w:r>
            <w:r>
              <w:rPr>
                <w:sz w:val="22"/>
              </w:rPr>
              <w:t>5 или</w:t>
            </w:r>
            <w:r>
              <w:rPr>
                <w:spacing w:val="-14"/>
                <w:sz w:val="22"/>
              </w:rPr>
              <w:t> </w:t>
            </w:r>
            <w:r>
              <w:rPr>
                <w:sz w:val="22"/>
              </w:rPr>
              <w:t>Доб </w:t>
            </w:r>
            <w:r>
              <w:rPr>
                <w:spacing w:val="-2"/>
                <w:sz w:val="22"/>
              </w:rPr>
              <w:t>(любая доза)</w:t>
            </w:r>
          </w:p>
        </w:tc>
        <w:tc>
          <w:tcPr>
            <w:tcW w:w="1316" w:type="dxa"/>
          </w:tcPr>
          <w:p>
            <w:pPr>
              <w:pStyle w:val="TableParagraph"/>
              <w:spacing w:line="244" w:lineRule="auto" w:before="10"/>
              <w:ind w:left="168" w:right="166" w:firstLine="282"/>
              <w:rPr>
                <w:sz w:val="22"/>
              </w:rPr>
            </w:pPr>
            <w:r>
              <w:rPr>
                <w:spacing w:val="-4"/>
                <w:sz w:val="22"/>
              </w:rPr>
              <w:t>Доф </w:t>
            </w:r>
            <w:r>
              <w:rPr>
                <w:sz w:val="22"/>
              </w:rPr>
              <w:t>5,1-15</w:t>
            </w:r>
            <w:r>
              <w:rPr>
                <w:spacing w:val="-14"/>
                <w:sz w:val="22"/>
              </w:rPr>
              <w:t> </w:t>
            </w:r>
            <w:r>
              <w:rPr>
                <w:sz w:val="22"/>
              </w:rPr>
              <w:t>или Эпи</w:t>
            </w:r>
            <w:r>
              <w:rPr>
                <w:spacing w:val="-4"/>
                <w:sz w:val="22"/>
              </w:rPr>
              <w:t> </w:t>
            </w:r>
            <w:r>
              <w:rPr>
                <w:spacing w:val="-2"/>
                <w:sz w:val="22"/>
              </w:rPr>
              <w:t>(Нор)</w:t>
            </w:r>
          </w:p>
          <w:p>
            <w:pPr>
              <w:pStyle w:val="TableParagraph"/>
              <w:spacing w:line="266" w:lineRule="exact"/>
              <w:ind w:left="427"/>
              <w:rPr>
                <w:sz w:val="22"/>
              </w:rPr>
            </w:pPr>
            <w:r>
              <w:rPr>
                <w:rFonts w:ascii="Symbol" w:hAnsi="Symbol"/>
                <w:sz w:val="22"/>
              </w:rPr>
              <w:t></w:t>
            </w:r>
            <w:r>
              <w:rPr>
                <w:spacing w:val="1"/>
                <w:sz w:val="22"/>
              </w:rPr>
              <w:t> </w:t>
            </w:r>
            <w:r>
              <w:rPr>
                <w:spacing w:val="-5"/>
                <w:sz w:val="22"/>
              </w:rPr>
              <w:t>0,1</w:t>
            </w:r>
          </w:p>
        </w:tc>
        <w:tc>
          <w:tcPr>
            <w:tcW w:w="1086" w:type="dxa"/>
          </w:tcPr>
          <w:p>
            <w:pPr>
              <w:pStyle w:val="TableParagraph"/>
              <w:spacing w:before="8"/>
              <w:ind w:left="48" w:right="44" w:firstLine="88"/>
              <w:jc w:val="both"/>
              <w:rPr>
                <w:sz w:val="22"/>
              </w:rPr>
            </w:pPr>
            <w:r>
              <w:rPr>
                <w:sz w:val="22"/>
              </w:rPr>
              <w:t>Доф &gt;15 или Эпи (Нор)</w:t>
            </w:r>
            <w:r>
              <w:rPr>
                <w:spacing w:val="-3"/>
                <w:sz w:val="22"/>
              </w:rPr>
              <w:t> </w:t>
            </w:r>
            <w:r>
              <w:rPr>
                <w:spacing w:val="-4"/>
                <w:sz w:val="22"/>
              </w:rPr>
              <w:t>&gt;0,1</w:t>
            </w:r>
          </w:p>
        </w:tc>
      </w:tr>
      <w:tr>
        <w:trPr>
          <w:trHeight w:val="340" w:hRule="atLeast"/>
        </w:trPr>
        <w:tc>
          <w:tcPr>
            <w:tcW w:w="1625" w:type="dxa"/>
            <w:shd w:val="clear" w:color="auto" w:fill="F1F1F1"/>
          </w:tcPr>
          <w:p>
            <w:pPr>
              <w:pStyle w:val="TableParagraph"/>
              <w:spacing w:before="9"/>
              <w:ind w:left="108"/>
              <w:rPr>
                <w:b/>
                <w:sz w:val="22"/>
              </w:rPr>
            </w:pPr>
            <w:r>
              <w:rPr>
                <w:b/>
                <w:spacing w:val="-2"/>
                <w:sz w:val="22"/>
              </w:rPr>
              <w:t>Гемостаз</w:t>
            </w:r>
          </w:p>
        </w:tc>
        <w:tc>
          <w:tcPr>
            <w:tcW w:w="2402" w:type="dxa"/>
            <w:shd w:val="clear" w:color="auto" w:fill="F1F1F1"/>
          </w:tcPr>
          <w:p>
            <w:pPr>
              <w:pStyle w:val="TableParagraph"/>
              <w:spacing w:before="8"/>
              <w:ind w:left="75"/>
              <w:rPr>
                <w:sz w:val="22"/>
              </w:rPr>
            </w:pPr>
            <w:r>
              <w:rPr>
                <w:sz w:val="22"/>
              </w:rPr>
              <w:t>Тромбоциты,</w:t>
            </w:r>
            <w:r>
              <w:rPr>
                <w:spacing w:val="-6"/>
                <w:sz w:val="22"/>
              </w:rPr>
              <w:t> </w:t>
            </w:r>
            <w:r>
              <w:rPr>
                <w:rFonts w:ascii="Symbol" w:hAnsi="Symbol"/>
                <w:spacing w:val="-2"/>
                <w:sz w:val="22"/>
              </w:rPr>
              <w:t></w:t>
            </w:r>
            <w:r>
              <w:rPr>
                <w:spacing w:val="-2"/>
                <w:sz w:val="22"/>
              </w:rPr>
              <w:t>10</w:t>
            </w:r>
            <w:r>
              <w:rPr>
                <w:spacing w:val="-2"/>
                <w:sz w:val="22"/>
                <w:vertAlign w:val="superscript"/>
              </w:rPr>
              <w:t>9</w:t>
            </w:r>
            <w:r>
              <w:rPr>
                <w:spacing w:val="-2"/>
                <w:sz w:val="22"/>
                <w:vertAlign w:val="baseline"/>
              </w:rPr>
              <w:t>/мкл</w:t>
            </w:r>
          </w:p>
        </w:tc>
        <w:tc>
          <w:tcPr>
            <w:tcW w:w="566" w:type="dxa"/>
            <w:shd w:val="clear" w:color="auto" w:fill="F1F1F1"/>
          </w:tcPr>
          <w:p>
            <w:pPr>
              <w:pStyle w:val="TableParagraph"/>
              <w:spacing w:before="8"/>
              <w:ind w:left="5"/>
              <w:jc w:val="center"/>
              <w:rPr>
                <w:sz w:val="22"/>
              </w:rPr>
            </w:pPr>
            <w:r>
              <w:rPr>
                <w:rFonts w:ascii="Symbol" w:hAnsi="Symbol"/>
                <w:sz w:val="22"/>
              </w:rPr>
              <w:t></w:t>
            </w:r>
            <w:r>
              <w:rPr>
                <w:spacing w:val="1"/>
                <w:sz w:val="22"/>
              </w:rPr>
              <w:t> </w:t>
            </w:r>
            <w:r>
              <w:rPr>
                <w:spacing w:val="-5"/>
                <w:sz w:val="22"/>
              </w:rPr>
              <w:t>150</w:t>
            </w:r>
          </w:p>
        </w:tc>
        <w:tc>
          <w:tcPr>
            <w:tcW w:w="928" w:type="dxa"/>
            <w:shd w:val="clear" w:color="auto" w:fill="F1F1F1"/>
          </w:tcPr>
          <w:p>
            <w:pPr>
              <w:pStyle w:val="TableParagraph"/>
              <w:spacing w:before="9"/>
              <w:ind w:left="2" w:right="4"/>
              <w:jc w:val="center"/>
              <w:rPr>
                <w:sz w:val="22"/>
              </w:rPr>
            </w:pPr>
            <w:r>
              <w:rPr>
                <w:sz w:val="22"/>
              </w:rPr>
              <w:t>&lt; </w:t>
            </w:r>
            <w:r>
              <w:rPr>
                <w:spacing w:val="-5"/>
                <w:sz w:val="22"/>
              </w:rPr>
              <w:t>150</w:t>
            </w:r>
          </w:p>
        </w:tc>
        <w:tc>
          <w:tcPr>
            <w:tcW w:w="945" w:type="dxa"/>
            <w:shd w:val="clear" w:color="auto" w:fill="F1F1F1"/>
          </w:tcPr>
          <w:p>
            <w:pPr>
              <w:pStyle w:val="TableParagraph"/>
              <w:spacing w:before="9"/>
              <w:ind w:left="2" w:right="2"/>
              <w:jc w:val="center"/>
              <w:rPr>
                <w:sz w:val="22"/>
              </w:rPr>
            </w:pPr>
            <w:r>
              <w:rPr>
                <w:sz w:val="22"/>
              </w:rPr>
              <w:t>&lt; </w:t>
            </w:r>
            <w:r>
              <w:rPr>
                <w:spacing w:val="-5"/>
                <w:sz w:val="22"/>
              </w:rPr>
              <w:t>100</w:t>
            </w:r>
          </w:p>
        </w:tc>
        <w:tc>
          <w:tcPr>
            <w:tcW w:w="1316" w:type="dxa"/>
            <w:shd w:val="clear" w:color="auto" w:fill="F1F1F1"/>
          </w:tcPr>
          <w:p>
            <w:pPr>
              <w:pStyle w:val="TableParagraph"/>
              <w:spacing w:before="9"/>
              <w:ind w:left="2" w:right="1"/>
              <w:jc w:val="center"/>
              <w:rPr>
                <w:sz w:val="22"/>
              </w:rPr>
            </w:pPr>
            <w:r>
              <w:rPr>
                <w:sz w:val="22"/>
              </w:rPr>
              <w:t>&lt; </w:t>
            </w:r>
            <w:r>
              <w:rPr>
                <w:spacing w:val="-5"/>
                <w:sz w:val="22"/>
              </w:rPr>
              <w:t>50</w:t>
            </w:r>
          </w:p>
        </w:tc>
        <w:tc>
          <w:tcPr>
            <w:tcW w:w="1086" w:type="dxa"/>
            <w:shd w:val="clear" w:color="auto" w:fill="F1F1F1"/>
          </w:tcPr>
          <w:p>
            <w:pPr>
              <w:pStyle w:val="TableParagraph"/>
              <w:spacing w:before="9"/>
              <w:ind w:left="2"/>
              <w:jc w:val="center"/>
              <w:rPr>
                <w:sz w:val="22"/>
              </w:rPr>
            </w:pPr>
            <w:r>
              <w:rPr>
                <w:sz w:val="22"/>
              </w:rPr>
              <w:t>&lt; </w:t>
            </w:r>
            <w:r>
              <w:rPr>
                <w:spacing w:val="-5"/>
                <w:sz w:val="22"/>
              </w:rPr>
              <w:t>20</w:t>
            </w:r>
          </w:p>
        </w:tc>
      </w:tr>
      <w:tr>
        <w:trPr>
          <w:trHeight w:val="340" w:hRule="atLeast"/>
        </w:trPr>
        <w:tc>
          <w:tcPr>
            <w:tcW w:w="1625" w:type="dxa"/>
          </w:tcPr>
          <w:p>
            <w:pPr>
              <w:pStyle w:val="TableParagraph"/>
              <w:spacing w:before="9"/>
              <w:ind w:left="108"/>
              <w:rPr>
                <w:b/>
                <w:sz w:val="22"/>
              </w:rPr>
            </w:pPr>
            <w:r>
              <w:rPr>
                <w:b/>
                <w:spacing w:val="-2"/>
                <w:sz w:val="22"/>
              </w:rPr>
              <w:t>Печень</w:t>
            </w:r>
          </w:p>
        </w:tc>
        <w:tc>
          <w:tcPr>
            <w:tcW w:w="2402" w:type="dxa"/>
          </w:tcPr>
          <w:p>
            <w:pPr>
              <w:pStyle w:val="TableParagraph"/>
              <w:spacing w:before="9"/>
              <w:ind w:left="75"/>
              <w:rPr>
                <w:sz w:val="22"/>
              </w:rPr>
            </w:pPr>
            <w:r>
              <w:rPr>
                <w:sz w:val="22"/>
              </w:rPr>
              <w:t>Билирубин,</w:t>
            </w:r>
            <w:r>
              <w:rPr>
                <w:spacing w:val="-10"/>
                <w:sz w:val="22"/>
              </w:rPr>
              <w:t> </w:t>
            </w:r>
            <w:r>
              <w:rPr>
                <w:spacing w:val="-2"/>
                <w:sz w:val="22"/>
              </w:rPr>
              <w:t>мкмоль/л</w:t>
            </w:r>
          </w:p>
        </w:tc>
        <w:tc>
          <w:tcPr>
            <w:tcW w:w="566" w:type="dxa"/>
          </w:tcPr>
          <w:p>
            <w:pPr>
              <w:pStyle w:val="TableParagraph"/>
              <w:spacing w:before="9"/>
              <w:ind w:left="5" w:right="2"/>
              <w:jc w:val="center"/>
              <w:rPr>
                <w:sz w:val="22"/>
              </w:rPr>
            </w:pPr>
            <w:r>
              <w:rPr>
                <w:sz w:val="22"/>
              </w:rPr>
              <w:t>&lt; </w:t>
            </w:r>
            <w:r>
              <w:rPr>
                <w:spacing w:val="-5"/>
                <w:sz w:val="22"/>
              </w:rPr>
              <w:t>20</w:t>
            </w:r>
          </w:p>
        </w:tc>
        <w:tc>
          <w:tcPr>
            <w:tcW w:w="928" w:type="dxa"/>
          </w:tcPr>
          <w:p>
            <w:pPr>
              <w:pStyle w:val="TableParagraph"/>
              <w:spacing w:before="9"/>
              <w:ind w:right="4"/>
              <w:jc w:val="center"/>
              <w:rPr>
                <w:sz w:val="22"/>
              </w:rPr>
            </w:pPr>
            <w:r>
              <w:rPr>
                <w:spacing w:val="-2"/>
                <w:sz w:val="22"/>
              </w:rPr>
              <w:t>20-</w:t>
            </w:r>
            <w:r>
              <w:rPr>
                <w:spacing w:val="-7"/>
                <w:sz w:val="22"/>
              </w:rPr>
              <w:t>32</w:t>
            </w:r>
          </w:p>
        </w:tc>
        <w:tc>
          <w:tcPr>
            <w:tcW w:w="945" w:type="dxa"/>
          </w:tcPr>
          <w:p>
            <w:pPr>
              <w:pStyle w:val="TableParagraph"/>
              <w:spacing w:before="9"/>
              <w:ind w:right="2"/>
              <w:jc w:val="center"/>
              <w:rPr>
                <w:sz w:val="22"/>
              </w:rPr>
            </w:pPr>
            <w:r>
              <w:rPr>
                <w:spacing w:val="-2"/>
                <w:sz w:val="22"/>
              </w:rPr>
              <w:t>33-</w:t>
            </w:r>
            <w:r>
              <w:rPr>
                <w:spacing w:val="-5"/>
                <w:sz w:val="22"/>
              </w:rPr>
              <w:t>101</w:t>
            </w:r>
          </w:p>
        </w:tc>
        <w:tc>
          <w:tcPr>
            <w:tcW w:w="1316" w:type="dxa"/>
          </w:tcPr>
          <w:p>
            <w:pPr>
              <w:pStyle w:val="TableParagraph"/>
              <w:spacing w:before="9"/>
              <w:ind w:left="1" w:right="2"/>
              <w:jc w:val="center"/>
              <w:rPr>
                <w:sz w:val="22"/>
              </w:rPr>
            </w:pPr>
            <w:r>
              <w:rPr>
                <w:spacing w:val="-2"/>
                <w:sz w:val="22"/>
              </w:rPr>
              <w:t>102-</w:t>
            </w:r>
            <w:r>
              <w:rPr>
                <w:spacing w:val="-5"/>
                <w:sz w:val="22"/>
              </w:rPr>
              <w:t>204</w:t>
            </w:r>
          </w:p>
        </w:tc>
        <w:tc>
          <w:tcPr>
            <w:tcW w:w="1086" w:type="dxa"/>
          </w:tcPr>
          <w:p>
            <w:pPr>
              <w:pStyle w:val="TableParagraph"/>
              <w:spacing w:before="9"/>
              <w:ind w:left="2"/>
              <w:jc w:val="center"/>
              <w:rPr>
                <w:sz w:val="22"/>
              </w:rPr>
            </w:pPr>
            <w:r>
              <w:rPr>
                <w:sz w:val="22"/>
              </w:rPr>
              <w:t>&gt; </w:t>
            </w:r>
            <w:r>
              <w:rPr>
                <w:spacing w:val="-5"/>
                <w:sz w:val="22"/>
              </w:rPr>
              <w:t>204</w:t>
            </w:r>
          </w:p>
        </w:tc>
      </w:tr>
      <w:tr>
        <w:trPr>
          <w:trHeight w:val="282" w:hRule="atLeast"/>
        </w:trPr>
        <w:tc>
          <w:tcPr>
            <w:tcW w:w="1625" w:type="dxa"/>
            <w:vMerge w:val="restart"/>
            <w:shd w:val="clear" w:color="auto" w:fill="F1F1F1"/>
          </w:tcPr>
          <w:p>
            <w:pPr>
              <w:pStyle w:val="TableParagraph"/>
              <w:spacing w:before="162"/>
              <w:ind w:left="108"/>
              <w:rPr>
                <w:b/>
                <w:sz w:val="22"/>
              </w:rPr>
            </w:pPr>
            <w:r>
              <w:rPr>
                <w:b/>
                <w:spacing w:val="-2"/>
                <w:sz w:val="22"/>
              </w:rPr>
              <w:t>Почки</w:t>
            </w:r>
          </w:p>
        </w:tc>
        <w:tc>
          <w:tcPr>
            <w:tcW w:w="2402" w:type="dxa"/>
            <w:shd w:val="clear" w:color="auto" w:fill="F1F1F1"/>
          </w:tcPr>
          <w:p>
            <w:pPr>
              <w:pStyle w:val="TableParagraph"/>
              <w:spacing w:before="8"/>
              <w:ind w:left="75"/>
              <w:rPr>
                <w:sz w:val="22"/>
              </w:rPr>
            </w:pPr>
            <w:r>
              <w:rPr>
                <w:sz w:val="22"/>
              </w:rPr>
              <w:t>Креатинин,</w:t>
            </w:r>
            <w:r>
              <w:rPr>
                <w:spacing w:val="-7"/>
                <w:sz w:val="22"/>
              </w:rPr>
              <w:t> </w:t>
            </w:r>
            <w:r>
              <w:rPr>
                <w:spacing w:val="-2"/>
                <w:sz w:val="22"/>
              </w:rPr>
              <w:t>моль/л</w:t>
            </w:r>
          </w:p>
        </w:tc>
        <w:tc>
          <w:tcPr>
            <w:tcW w:w="566" w:type="dxa"/>
            <w:shd w:val="clear" w:color="auto" w:fill="F1F1F1"/>
          </w:tcPr>
          <w:p>
            <w:pPr>
              <w:pStyle w:val="TableParagraph"/>
              <w:spacing w:before="8"/>
              <w:ind w:left="5" w:right="2"/>
              <w:jc w:val="center"/>
              <w:rPr>
                <w:sz w:val="22"/>
              </w:rPr>
            </w:pPr>
            <w:r>
              <w:rPr>
                <w:sz w:val="22"/>
              </w:rPr>
              <w:t>&lt; </w:t>
            </w:r>
            <w:r>
              <w:rPr>
                <w:spacing w:val="-5"/>
                <w:sz w:val="22"/>
              </w:rPr>
              <w:t>100</w:t>
            </w:r>
          </w:p>
        </w:tc>
        <w:tc>
          <w:tcPr>
            <w:tcW w:w="928" w:type="dxa"/>
            <w:shd w:val="clear" w:color="auto" w:fill="F1F1F1"/>
          </w:tcPr>
          <w:p>
            <w:pPr>
              <w:pStyle w:val="TableParagraph"/>
              <w:spacing w:before="8"/>
              <w:ind w:right="4"/>
              <w:jc w:val="center"/>
              <w:rPr>
                <w:sz w:val="22"/>
              </w:rPr>
            </w:pPr>
            <w:r>
              <w:rPr>
                <w:spacing w:val="-2"/>
                <w:sz w:val="22"/>
              </w:rPr>
              <w:t>110-</w:t>
            </w:r>
            <w:r>
              <w:rPr>
                <w:spacing w:val="-5"/>
                <w:sz w:val="22"/>
              </w:rPr>
              <w:t>170</w:t>
            </w:r>
          </w:p>
        </w:tc>
        <w:tc>
          <w:tcPr>
            <w:tcW w:w="945" w:type="dxa"/>
            <w:shd w:val="clear" w:color="auto" w:fill="F1F1F1"/>
          </w:tcPr>
          <w:p>
            <w:pPr>
              <w:pStyle w:val="TableParagraph"/>
              <w:spacing w:before="8"/>
              <w:ind w:right="2"/>
              <w:jc w:val="center"/>
              <w:rPr>
                <w:sz w:val="22"/>
              </w:rPr>
            </w:pPr>
            <w:r>
              <w:rPr>
                <w:spacing w:val="-2"/>
                <w:sz w:val="22"/>
              </w:rPr>
              <w:t>171-</w:t>
            </w:r>
            <w:r>
              <w:rPr>
                <w:spacing w:val="-5"/>
                <w:sz w:val="22"/>
              </w:rPr>
              <w:t>299</w:t>
            </w:r>
          </w:p>
        </w:tc>
        <w:tc>
          <w:tcPr>
            <w:tcW w:w="1316" w:type="dxa"/>
            <w:shd w:val="clear" w:color="auto" w:fill="F1F1F1"/>
          </w:tcPr>
          <w:p>
            <w:pPr>
              <w:pStyle w:val="TableParagraph"/>
              <w:spacing w:before="8"/>
              <w:ind w:left="1" w:right="2"/>
              <w:jc w:val="center"/>
              <w:rPr>
                <w:sz w:val="22"/>
              </w:rPr>
            </w:pPr>
            <w:r>
              <w:rPr>
                <w:spacing w:val="-2"/>
                <w:sz w:val="22"/>
              </w:rPr>
              <w:t>300-</w:t>
            </w:r>
            <w:r>
              <w:rPr>
                <w:spacing w:val="-5"/>
                <w:sz w:val="22"/>
              </w:rPr>
              <w:t>440</w:t>
            </w:r>
          </w:p>
        </w:tc>
        <w:tc>
          <w:tcPr>
            <w:tcW w:w="1086" w:type="dxa"/>
            <w:shd w:val="clear" w:color="auto" w:fill="F1F1F1"/>
          </w:tcPr>
          <w:p>
            <w:pPr>
              <w:pStyle w:val="TableParagraph"/>
              <w:spacing w:before="8"/>
              <w:ind w:left="2"/>
              <w:jc w:val="center"/>
              <w:rPr>
                <w:sz w:val="22"/>
              </w:rPr>
            </w:pPr>
            <w:r>
              <w:rPr>
                <w:sz w:val="22"/>
              </w:rPr>
              <w:t>&gt; </w:t>
            </w:r>
            <w:r>
              <w:rPr>
                <w:spacing w:val="-5"/>
                <w:sz w:val="22"/>
              </w:rPr>
              <w:t>440</w:t>
            </w:r>
          </w:p>
        </w:tc>
      </w:tr>
      <w:tr>
        <w:trPr>
          <w:trHeight w:val="282" w:hRule="atLeast"/>
        </w:trPr>
        <w:tc>
          <w:tcPr>
            <w:tcW w:w="1625" w:type="dxa"/>
            <w:vMerge/>
            <w:tcBorders>
              <w:top w:val="nil"/>
            </w:tcBorders>
            <w:shd w:val="clear" w:color="auto" w:fill="F1F1F1"/>
          </w:tcPr>
          <w:p>
            <w:pPr>
              <w:rPr>
                <w:sz w:val="2"/>
                <w:szCs w:val="2"/>
              </w:rPr>
            </w:pPr>
          </w:p>
        </w:tc>
        <w:tc>
          <w:tcPr>
            <w:tcW w:w="2402" w:type="dxa"/>
          </w:tcPr>
          <w:p>
            <w:pPr>
              <w:pStyle w:val="TableParagraph"/>
              <w:spacing w:before="8"/>
              <w:ind w:left="75"/>
              <w:rPr>
                <w:sz w:val="22"/>
              </w:rPr>
            </w:pPr>
            <w:r>
              <w:rPr>
                <w:sz w:val="22"/>
              </w:rPr>
              <w:t>Диурез, </w:t>
            </w:r>
            <w:r>
              <w:rPr>
                <w:spacing w:val="-2"/>
                <w:sz w:val="22"/>
              </w:rPr>
              <w:t>мл/сут</w:t>
            </w:r>
          </w:p>
        </w:tc>
        <w:tc>
          <w:tcPr>
            <w:tcW w:w="566" w:type="dxa"/>
          </w:tcPr>
          <w:p>
            <w:pPr>
              <w:pStyle w:val="TableParagraph"/>
              <w:rPr>
                <w:sz w:val="20"/>
              </w:rPr>
            </w:pPr>
          </w:p>
        </w:tc>
        <w:tc>
          <w:tcPr>
            <w:tcW w:w="928" w:type="dxa"/>
          </w:tcPr>
          <w:p>
            <w:pPr>
              <w:pStyle w:val="TableParagraph"/>
              <w:rPr>
                <w:sz w:val="20"/>
              </w:rPr>
            </w:pPr>
          </w:p>
        </w:tc>
        <w:tc>
          <w:tcPr>
            <w:tcW w:w="945" w:type="dxa"/>
          </w:tcPr>
          <w:p>
            <w:pPr>
              <w:pStyle w:val="TableParagraph"/>
              <w:rPr>
                <w:sz w:val="20"/>
              </w:rPr>
            </w:pPr>
          </w:p>
        </w:tc>
        <w:tc>
          <w:tcPr>
            <w:tcW w:w="1316" w:type="dxa"/>
          </w:tcPr>
          <w:p>
            <w:pPr>
              <w:pStyle w:val="TableParagraph"/>
              <w:spacing w:before="8"/>
              <w:ind w:left="2" w:right="1"/>
              <w:jc w:val="center"/>
              <w:rPr>
                <w:sz w:val="22"/>
              </w:rPr>
            </w:pPr>
            <w:r>
              <w:rPr>
                <w:sz w:val="22"/>
              </w:rPr>
              <w:t>&lt; </w:t>
            </w:r>
            <w:r>
              <w:rPr>
                <w:spacing w:val="-5"/>
                <w:sz w:val="22"/>
              </w:rPr>
              <w:t>500</w:t>
            </w:r>
          </w:p>
        </w:tc>
        <w:tc>
          <w:tcPr>
            <w:tcW w:w="1086" w:type="dxa"/>
          </w:tcPr>
          <w:p>
            <w:pPr>
              <w:pStyle w:val="TableParagraph"/>
              <w:spacing w:before="8"/>
              <w:ind w:left="2"/>
              <w:jc w:val="center"/>
              <w:rPr>
                <w:sz w:val="22"/>
              </w:rPr>
            </w:pPr>
            <w:r>
              <w:rPr>
                <w:sz w:val="22"/>
              </w:rPr>
              <w:t>&lt; </w:t>
            </w:r>
            <w:r>
              <w:rPr>
                <w:spacing w:val="-5"/>
                <w:sz w:val="22"/>
              </w:rPr>
              <w:t>200</w:t>
            </w:r>
          </w:p>
        </w:tc>
      </w:tr>
    </w:tbl>
    <w:p>
      <w:pPr>
        <w:spacing w:line="229" w:lineRule="exact" w:before="14"/>
        <w:ind w:left="1841" w:right="0" w:firstLine="0"/>
        <w:jc w:val="both"/>
        <w:rPr>
          <w:sz w:val="20"/>
        </w:rPr>
      </w:pPr>
      <w:r>
        <w:rPr>
          <w:sz w:val="20"/>
        </w:rPr>
        <w:t>*</w:t>
      </w:r>
      <w:r>
        <w:rPr>
          <w:spacing w:val="-8"/>
          <w:sz w:val="20"/>
        </w:rPr>
        <w:t> </w:t>
      </w:r>
      <w:r>
        <w:rPr>
          <w:sz w:val="20"/>
        </w:rPr>
        <w:t>на</w:t>
      </w:r>
      <w:r>
        <w:rPr>
          <w:spacing w:val="-5"/>
          <w:sz w:val="20"/>
        </w:rPr>
        <w:t> </w:t>
      </w:r>
      <w:r>
        <w:rPr>
          <w:sz w:val="20"/>
        </w:rPr>
        <w:t>фоне</w:t>
      </w:r>
      <w:r>
        <w:rPr>
          <w:spacing w:val="-6"/>
          <w:sz w:val="20"/>
        </w:rPr>
        <w:t> </w:t>
      </w:r>
      <w:r>
        <w:rPr>
          <w:sz w:val="20"/>
        </w:rPr>
        <w:t>респираторной</w:t>
      </w:r>
      <w:r>
        <w:rPr>
          <w:spacing w:val="-5"/>
          <w:sz w:val="20"/>
        </w:rPr>
        <w:t> </w:t>
      </w:r>
      <w:r>
        <w:rPr>
          <w:spacing w:val="-2"/>
          <w:sz w:val="20"/>
        </w:rPr>
        <w:t>поддержки;</w:t>
      </w:r>
    </w:p>
    <w:p>
      <w:pPr>
        <w:spacing w:before="0"/>
        <w:ind w:left="1841" w:right="1283" w:firstLine="0"/>
        <w:jc w:val="left"/>
        <w:rPr>
          <w:sz w:val="20"/>
        </w:rPr>
      </w:pPr>
      <w:r>
        <w:rPr>
          <w:sz w:val="20"/>
        </w:rPr>
        <w:t>обозначения:</w:t>
      </w:r>
      <w:r>
        <w:rPr>
          <w:spacing w:val="-6"/>
          <w:sz w:val="20"/>
        </w:rPr>
        <w:t> </w:t>
      </w:r>
      <w:r>
        <w:rPr>
          <w:sz w:val="20"/>
        </w:rPr>
        <w:t>Доф</w:t>
      </w:r>
      <w:r>
        <w:rPr>
          <w:spacing w:val="-3"/>
          <w:sz w:val="20"/>
        </w:rPr>
        <w:t> </w:t>
      </w:r>
      <w:r>
        <w:rPr>
          <w:sz w:val="20"/>
        </w:rPr>
        <w:t>–</w:t>
      </w:r>
      <w:r>
        <w:rPr>
          <w:spacing w:val="-4"/>
          <w:sz w:val="20"/>
        </w:rPr>
        <w:t> </w:t>
      </w:r>
      <w:r>
        <w:rPr>
          <w:sz w:val="20"/>
        </w:rPr>
        <w:t>дофамин,</w:t>
      </w:r>
      <w:r>
        <w:rPr>
          <w:spacing w:val="-5"/>
          <w:sz w:val="20"/>
        </w:rPr>
        <w:t> </w:t>
      </w:r>
      <w:r>
        <w:rPr>
          <w:sz w:val="20"/>
        </w:rPr>
        <w:t>Доб</w:t>
      </w:r>
      <w:r>
        <w:rPr>
          <w:spacing w:val="-4"/>
          <w:sz w:val="20"/>
        </w:rPr>
        <w:t> </w:t>
      </w:r>
      <w:r>
        <w:rPr>
          <w:sz w:val="20"/>
        </w:rPr>
        <w:t>–</w:t>
      </w:r>
      <w:r>
        <w:rPr>
          <w:spacing w:val="-4"/>
          <w:sz w:val="20"/>
        </w:rPr>
        <w:t> </w:t>
      </w:r>
      <w:r>
        <w:rPr>
          <w:sz w:val="20"/>
        </w:rPr>
        <w:t>добутамин,</w:t>
      </w:r>
      <w:r>
        <w:rPr>
          <w:spacing w:val="-3"/>
          <w:sz w:val="20"/>
        </w:rPr>
        <w:t> </w:t>
      </w:r>
      <w:r>
        <w:rPr>
          <w:sz w:val="20"/>
        </w:rPr>
        <w:t>Эпи</w:t>
      </w:r>
      <w:r>
        <w:rPr>
          <w:spacing w:val="-6"/>
          <w:sz w:val="20"/>
        </w:rPr>
        <w:t> </w:t>
      </w:r>
      <w:r>
        <w:rPr>
          <w:sz w:val="20"/>
        </w:rPr>
        <w:t>–</w:t>
      </w:r>
      <w:r>
        <w:rPr>
          <w:spacing w:val="-4"/>
          <w:sz w:val="20"/>
        </w:rPr>
        <w:t> </w:t>
      </w:r>
      <w:r>
        <w:rPr>
          <w:sz w:val="20"/>
        </w:rPr>
        <w:t>эпинефрин</w:t>
      </w:r>
      <w:r>
        <w:rPr>
          <w:spacing w:val="-6"/>
          <w:sz w:val="20"/>
        </w:rPr>
        <w:t> </w:t>
      </w:r>
      <w:r>
        <w:rPr>
          <w:sz w:val="20"/>
        </w:rPr>
        <w:t>(адреналин),</w:t>
      </w:r>
      <w:r>
        <w:rPr>
          <w:spacing w:val="-5"/>
          <w:sz w:val="20"/>
        </w:rPr>
        <w:t> </w:t>
      </w:r>
      <w:r>
        <w:rPr>
          <w:sz w:val="20"/>
        </w:rPr>
        <w:t>Нор</w:t>
      </w:r>
      <w:r>
        <w:rPr>
          <w:spacing w:val="-3"/>
          <w:sz w:val="20"/>
        </w:rPr>
        <w:t> </w:t>
      </w:r>
      <w:r>
        <w:rPr>
          <w:sz w:val="20"/>
        </w:rPr>
        <w:t>–</w:t>
      </w:r>
      <w:r>
        <w:rPr>
          <w:spacing w:val="-4"/>
          <w:sz w:val="20"/>
        </w:rPr>
        <w:t> </w:t>
      </w:r>
      <w:r>
        <w:rPr>
          <w:sz w:val="20"/>
        </w:rPr>
        <w:t>норэпинефрин </w:t>
      </w:r>
      <w:r>
        <w:rPr>
          <w:spacing w:val="-2"/>
          <w:sz w:val="20"/>
        </w:rPr>
        <w:t>(норадреналин).</w:t>
      </w:r>
    </w:p>
    <w:p>
      <w:pPr>
        <w:pStyle w:val="BodyText"/>
        <w:spacing w:before="7"/>
        <w:ind w:left="0"/>
        <w:jc w:val="left"/>
        <w:rPr>
          <w:sz w:val="20"/>
        </w:rPr>
      </w:pPr>
    </w:p>
    <w:p>
      <w:pPr>
        <w:pStyle w:val="Heading3"/>
        <w:numPr>
          <w:ilvl w:val="2"/>
          <w:numId w:val="5"/>
        </w:numPr>
        <w:tabs>
          <w:tab w:pos="3147" w:val="left" w:leader="none"/>
        </w:tabs>
        <w:spacing w:line="240" w:lineRule="auto" w:before="0" w:after="0"/>
        <w:ind w:left="3147" w:right="0" w:hanging="598"/>
        <w:jc w:val="both"/>
      </w:pPr>
      <w:r>
        <w:rPr>
          <w:color w:val="1F487C"/>
          <w:spacing w:val="-2"/>
        </w:rPr>
        <w:t>Интенсивная</w:t>
      </w:r>
      <w:r>
        <w:rPr>
          <w:color w:val="1F487C"/>
          <w:spacing w:val="3"/>
        </w:rPr>
        <w:t> </w:t>
      </w:r>
      <w:r>
        <w:rPr>
          <w:color w:val="1F487C"/>
          <w:spacing w:val="-2"/>
        </w:rPr>
        <w:t>терапия</w:t>
      </w:r>
      <w:r>
        <w:rPr>
          <w:color w:val="1F487C"/>
          <w:spacing w:val="3"/>
        </w:rPr>
        <w:t> </w:t>
      </w:r>
      <w:r>
        <w:rPr>
          <w:color w:val="1F487C"/>
          <w:spacing w:val="-2"/>
        </w:rPr>
        <w:t>острой</w:t>
      </w:r>
      <w:r>
        <w:rPr>
          <w:color w:val="1F487C"/>
        </w:rPr>
        <w:t> </w:t>
      </w:r>
      <w:r>
        <w:rPr>
          <w:color w:val="1F487C"/>
          <w:spacing w:val="-2"/>
        </w:rPr>
        <w:t>дыхательной</w:t>
      </w:r>
      <w:r>
        <w:rPr>
          <w:color w:val="1F487C"/>
          <w:spacing w:val="3"/>
        </w:rPr>
        <w:t> </w:t>
      </w:r>
      <w:r>
        <w:rPr>
          <w:color w:val="1F487C"/>
          <w:spacing w:val="-2"/>
        </w:rPr>
        <w:t>недостаточности</w:t>
      </w:r>
    </w:p>
    <w:p>
      <w:pPr>
        <w:pStyle w:val="BodyText"/>
        <w:spacing w:line="276" w:lineRule="auto" w:before="142"/>
        <w:ind w:right="1271" w:firstLine="707"/>
      </w:pPr>
      <w:r>
        <w:rPr/>
        <w:t>ОДН</w:t>
      </w:r>
      <w:r>
        <w:rPr>
          <w:spacing w:val="-6"/>
        </w:rPr>
        <w:t> </w:t>
      </w:r>
      <w:r>
        <w:rPr/>
        <w:t>является</w:t>
      </w:r>
      <w:r>
        <w:rPr>
          <w:spacing w:val="-7"/>
        </w:rPr>
        <w:t> </w:t>
      </w:r>
      <w:r>
        <w:rPr/>
        <w:t>одним</w:t>
      </w:r>
      <w:r>
        <w:rPr>
          <w:spacing w:val="-7"/>
        </w:rPr>
        <w:t> </w:t>
      </w:r>
      <w:r>
        <w:rPr/>
        <w:t>из</w:t>
      </w:r>
      <w:r>
        <w:rPr>
          <w:spacing w:val="-6"/>
        </w:rPr>
        <w:t> </w:t>
      </w:r>
      <w:r>
        <w:rPr/>
        <w:t>наиболее</w:t>
      </w:r>
      <w:r>
        <w:rPr>
          <w:spacing w:val="-7"/>
        </w:rPr>
        <w:t> </w:t>
      </w:r>
      <w:r>
        <w:rPr/>
        <w:t>частых</w:t>
      </w:r>
      <w:r>
        <w:rPr>
          <w:spacing w:val="-6"/>
        </w:rPr>
        <w:t> </w:t>
      </w:r>
      <w:r>
        <w:rPr/>
        <w:t>осложнений</w:t>
      </w:r>
      <w:r>
        <w:rPr>
          <w:spacing w:val="-6"/>
        </w:rPr>
        <w:t> </w:t>
      </w:r>
      <w:r>
        <w:rPr/>
        <w:t>COVID-19.</w:t>
      </w:r>
      <w:r>
        <w:rPr>
          <w:spacing w:val="-6"/>
        </w:rPr>
        <w:t> </w:t>
      </w:r>
      <w:r>
        <w:rPr/>
        <w:t>У</w:t>
      </w:r>
      <w:r>
        <w:rPr>
          <w:spacing w:val="-4"/>
        </w:rPr>
        <w:t> </w:t>
      </w:r>
      <w:r>
        <w:rPr/>
        <w:t>пациентов с</w:t>
      </w:r>
      <w:r>
        <w:rPr>
          <w:spacing w:val="-5"/>
        </w:rPr>
        <w:t> </w:t>
      </w:r>
      <w:r>
        <w:rPr/>
        <w:t>тяжелым и крайне тяжелым течением (10-15%) после 5-го дня болезни сохраняется лихорадка, появляются симптомы дыхательной недостаточности, прогрессируют инфильтративные</w:t>
      </w:r>
      <w:r>
        <w:rPr>
          <w:spacing w:val="-15"/>
        </w:rPr>
        <w:t> </w:t>
      </w:r>
      <w:r>
        <w:rPr/>
        <w:t>изменения</w:t>
      </w:r>
      <w:r>
        <w:rPr>
          <w:spacing w:val="-14"/>
        </w:rPr>
        <w:t> </w:t>
      </w:r>
      <w:r>
        <w:rPr/>
        <w:t>в</w:t>
      </w:r>
      <w:r>
        <w:rPr>
          <w:spacing w:val="-12"/>
        </w:rPr>
        <w:t> </w:t>
      </w:r>
      <w:r>
        <w:rPr/>
        <w:t>легких</w:t>
      </w:r>
      <w:r>
        <w:rPr>
          <w:spacing w:val="-14"/>
        </w:rPr>
        <w:t> </w:t>
      </w:r>
      <w:r>
        <w:rPr/>
        <w:t>(вирусная</w:t>
      </w:r>
      <w:r>
        <w:rPr>
          <w:spacing w:val="-12"/>
        </w:rPr>
        <w:t> </w:t>
      </w:r>
      <w:r>
        <w:rPr/>
        <w:t>пневмония),</w:t>
      </w:r>
      <w:r>
        <w:rPr>
          <w:spacing w:val="-12"/>
        </w:rPr>
        <w:t> </w:t>
      </w:r>
      <w:r>
        <w:rPr/>
        <w:t>ОРДС.</w:t>
      </w:r>
      <w:r>
        <w:rPr>
          <w:spacing w:val="-15"/>
        </w:rPr>
        <w:t> </w:t>
      </w:r>
      <w:r>
        <w:rPr/>
        <w:t>Даже</w:t>
      </w:r>
      <w:r>
        <w:rPr>
          <w:spacing w:val="-13"/>
        </w:rPr>
        <w:t> </w:t>
      </w:r>
      <w:r>
        <w:rPr/>
        <w:t>при</w:t>
      </w:r>
      <w:r>
        <w:rPr>
          <w:spacing w:val="-11"/>
        </w:rPr>
        <w:t> </w:t>
      </w:r>
      <w:r>
        <w:rPr/>
        <w:t>легком течении</w:t>
      </w:r>
      <w:r>
        <w:rPr>
          <w:spacing w:val="-11"/>
        </w:rPr>
        <w:t> </w:t>
      </w:r>
      <w:r>
        <w:rPr/>
        <w:t>COVID-19</w:t>
      </w:r>
      <w:r>
        <w:rPr>
          <w:spacing w:val="-12"/>
        </w:rPr>
        <w:t> </w:t>
      </w:r>
      <w:r>
        <w:rPr/>
        <w:t>у</w:t>
      </w:r>
      <w:r>
        <w:rPr>
          <w:spacing w:val="-10"/>
        </w:rPr>
        <w:t> </w:t>
      </w:r>
      <w:r>
        <w:rPr/>
        <w:t>большинства</w:t>
      </w:r>
      <w:r>
        <w:rPr>
          <w:spacing w:val="-12"/>
        </w:rPr>
        <w:t> </w:t>
      </w:r>
      <w:r>
        <w:rPr/>
        <w:t>пациентов</w:t>
      </w:r>
      <w:r>
        <w:rPr>
          <w:spacing w:val="-12"/>
        </w:rPr>
        <w:t> </w:t>
      </w:r>
      <w:r>
        <w:rPr/>
        <w:t>при</w:t>
      </w:r>
      <w:r>
        <w:rPr>
          <w:spacing w:val="-11"/>
        </w:rPr>
        <w:t> </w:t>
      </w:r>
      <w:r>
        <w:rPr/>
        <w:t>КТ</w:t>
      </w:r>
      <w:r>
        <w:rPr>
          <w:spacing w:val="-12"/>
        </w:rPr>
        <w:t> </w:t>
      </w:r>
      <w:r>
        <w:rPr/>
        <w:t>легких</w:t>
      </w:r>
      <w:r>
        <w:rPr>
          <w:spacing w:val="-12"/>
        </w:rPr>
        <w:t> </w:t>
      </w:r>
      <w:r>
        <w:rPr/>
        <w:t>видны</w:t>
      </w:r>
      <w:r>
        <w:rPr>
          <w:spacing w:val="-12"/>
        </w:rPr>
        <w:t> </w:t>
      </w:r>
      <w:r>
        <w:rPr/>
        <w:t>инфильтративные изменения. Так, SARS-CoV-2 обнаруживался в носоглоточных смывах у 59% пациентов,</w:t>
      </w:r>
      <w:r>
        <w:rPr>
          <w:spacing w:val="71"/>
          <w:w w:val="150"/>
        </w:rPr>
        <w:t> </w:t>
      </w:r>
      <w:r>
        <w:rPr/>
        <w:t>а</w:t>
      </w:r>
      <w:r>
        <w:rPr>
          <w:spacing w:val="80"/>
        </w:rPr>
        <w:t> </w:t>
      </w:r>
      <w:r>
        <w:rPr/>
        <w:t>инфильтративные</w:t>
      </w:r>
      <w:r>
        <w:rPr>
          <w:spacing w:val="69"/>
          <w:w w:val="150"/>
        </w:rPr>
        <w:t> </w:t>
      </w:r>
      <w:r>
        <w:rPr/>
        <w:t>изменения</w:t>
      </w:r>
      <w:r>
        <w:rPr>
          <w:spacing w:val="68"/>
          <w:w w:val="150"/>
        </w:rPr>
        <w:t> </w:t>
      </w:r>
      <w:r>
        <w:rPr/>
        <w:t>на</w:t>
      </w:r>
      <w:r>
        <w:rPr>
          <w:spacing w:val="70"/>
          <w:w w:val="150"/>
        </w:rPr>
        <w:t> </w:t>
      </w:r>
      <w:r>
        <w:rPr/>
        <w:t>КТ</w:t>
      </w:r>
      <w:r>
        <w:rPr>
          <w:spacing w:val="71"/>
          <w:w w:val="150"/>
        </w:rPr>
        <w:t> </w:t>
      </w:r>
      <w:r>
        <w:rPr/>
        <w:t>легких</w:t>
      </w:r>
      <w:r>
        <w:rPr>
          <w:spacing w:val="78"/>
          <w:w w:val="150"/>
        </w:rPr>
        <w:t> </w:t>
      </w:r>
      <w:r>
        <w:rPr/>
        <w:t>–</w:t>
      </w:r>
      <w:r>
        <w:rPr>
          <w:spacing w:val="71"/>
          <w:w w:val="150"/>
        </w:rPr>
        <w:t> </w:t>
      </w:r>
      <w:r>
        <w:rPr/>
        <w:t>у</w:t>
      </w:r>
      <w:r>
        <w:rPr>
          <w:spacing w:val="71"/>
          <w:w w:val="150"/>
        </w:rPr>
        <w:t> </w:t>
      </w:r>
      <w:r>
        <w:rPr/>
        <w:t>88%</w:t>
      </w:r>
      <w:r>
        <w:rPr>
          <w:spacing w:val="70"/>
          <w:w w:val="150"/>
        </w:rPr>
        <w:t> </w:t>
      </w:r>
      <w:r>
        <w:rPr/>
        <w:t>пациентов с вероятным COVID-19.</w:t>
      </w:r>
    </w:p>
    <w:p>
      <w:pPr>
        <w:pStyle w:val="Heading3"/>
        <w:spacing w:before="238"/>
        <w:ind w:left="849" w:right="1316"/>
        <w:jc w:val="center"/>
      </w:pPr>
      <w:r>
        <w:rPr>
          <w:color w:val="1F487C"/>
        </w:rPr>
        <w:t>Особенности</w:t>
      </w:r>
      <w:r>
        <w:rPr>
          <w:color w:val="1F487C"/>
          <w:spacing w:val="-12"/>
        </w:rPr>
        <w:t> </w:t>
      </w:r>
      <w:r>
        <w:rPr>
          <w:color w:val="1F487C"/>
        </w:rPr>
        <w:t>вирусной</w:t>
      </w:r>
      <w:r>
        <w:rPr>
          <w:color w:val="1F487C"/>
          <w:spacing w:val="-12"/>
        </w:rPr>
        <w:t> </w:t>
      </w:r>
      <w:r>
        <w:rPr>
          <w:color w:val="1F487C"/>
        </w:rPr>
        <w:t>пневмонии</w:t>
      </w:r>
      <w:r>
        <w:rPr>
          <w:color w:val="1F487C"/>
          <w:spacing w:val="-10"/>
        </w:rPr>
        <w:t> </w:t>
      </w:r>
      <w:r>
        <w:rPr>
          <w:color w:val="1F487C"/>
        </w:rPr>
        <w:t>и</w:t>
      </w:r>
      <w:r>
        <w:rPr>
          <w:color w:val="1F487C"/>
          <w:spacing w:val="-13"/>
        </w:rPr>
        <w:t> </w:t>
      </w:r>
      <w:r>
        <w:rPr>
          <w:color w:val="1F487C"/>
        </w:rPr>
        <w:t>ОРДС</w:t>
      </w:r>
      <w:r>
        <w:rPr>
          <w:color w:val="1F487C"/>
          <w:spacing w:val="-14"/>
        </w:rPr>
        <w:t> </w:t>
      </w:r>
      <w:r>
        <w:rPr>
          <w:color w:val="1F487C"/>
        </w:rPr>
        <w:t>при</w:t>
      </w:r>
      <w:r>
        <w:rPr>
          <w:color w:val="1F487C"/>
          <w:spacing w:val="-13"/>
        </w:rPr>
        <w:t> </w:t>
      </w:r>
      <w:r>
        <w:rPr>
          <w:color w:val="1F487C"/>
        </w:rPr>
        <w:t>COVID-</w:t>
      </w:r>
      <w:r>
        <w:rPr>
          <w:color w:val="1F487C"/>
          <w:spacing w:val="-5"/>
        </w:rPr>
        <w:t>19</w:t>
      </w:r>
    </w:p>
    <w:p>
      <w:pPr>
        <w:pStyle w:val="BodyText"/>
        <w:spacing w:line="276" w:lineRule="auto" w:before="163"/>
        <w:ind w:right="1276" w:firstLine="707"/>
      </w:pPr>
      <w:r>
        <w:rPr/>
        <w:t>Поражения легких при COVID-19 отличаются выраженной артериальной гипоксемией, часто не соответствующей объёму поражения и степени снижения податливости лёгочной ткани, что связано с феноменом избыточной перфузии пораженных альвеол при COVID-19 (расширение</w:t>
      </w:r>
      <w:r>
        <w:rPr>
          <w:spacing w:val="-1"/>
        </w:rPr>
        <w:t> </w:t>
      </w:r>
      <w:r>
        <w:rPr/>
        <w:t>сосудов)</w:t>
      </w:r>
      <w:r>
        <w:rPr>
          <w:spacing w:val="-1"/>
        </w:rPr>
        <w:t> </w:t>
      </w:r>
      <w:r>
        <w:rPr/>
        <w:t>и</w:t>
      </w:r>
      <w:r>
        <w:rPr>
          <w:spacing w:val="-1"/>
        </w:rPr>
        <w:t> </w:t>
      </w:r>
      <w:r>
        <w:rPr/>
        <w:t>несоответствием между вентиляцией и перфузией. При развитии ОРДС у этих пациентов, как правило, нет других</w:t>
      </w:r>
      <w:r>
        <w:rPr>
          <w:spacing w:val="32"/>
        </w:rPr>
        <w:t> </w:t>
      </w:r>
      <w:r>
        <w:rPr/>
        <w:t>причин</w:t>
      </w:r>
      <w:r>
        <w:rPr>
          <w:spacing w:val="33"/>
        </w:rPr>
        <w:t> </w:t>
      </w:r>
      <w:r>
        <w:rPr/>
        <w:t>для</w:t>
      </w:r>
      <w:r>
        <w:rPr>
          <w:spacing w:val="33"/>
        </w:rPr>
        <w:t> </w:t>
      </w:r>
      <w:r>
        <w:rPr/>
        <w:t>интубации</w:t>
      </w:r>
      <w:r>
        <w:rPr>
          <w:spacing w:val="33"/>
        </w:rPr>
        <w:t> </w:t>
      </w:r>
      <w:r>
        <w:rPr/>
        <w:t>трахеи</w:t>
      </w:r>
      <w:r>
        <w:rPr>
          <w:spacing w:val="37"/>
        </w:rPr>
        <w:t> </w:t>
      </w:r>
      <w:r>
        <w:rPr/>
        <w:t>–</w:t>
      </w:r>
      <w:r>
        <w:rPr>
          <w:spacing w:val="33"/>
        </w:rPr>
        <w:t> </w:t>
      </w:r>
      <w:r>
        <w:rPr/>
        <w:t>нарушения</w:t>
      </w:r>
      <w:r>
        <w:rPr>
          <w:spacing w:val="32"/>
        </w:rPr>
        <w:t> </w:t>
      </w:r>
      <w:r>
        <w:rPr/>
        <w:t>сознания,</w:t>
      </w:r>
      <w:r>
        <w:rPr>
          <w:spacing w:val="32"/>
        </w:rPr>
        <w:t> </w:t>
      </w:r>
      <w:r>
        <w:rPr/>
        <w:t>мышечной</w:t>
      </w:r>
      <w:r>
        <w:rPr>
          <w:spacing w:val="33"/>
        </w:rPr>
        <w:t> </w:t>
      </w:r>
      <w:r>
        <w:rPr>
          <w:spacing w:val="-2"/>
        </w:rPr>
        <w:t>слабости</w:t>
      </w:r>
    </w:p>
    <w:p>
      <w:pPr>
        <w:pStyle w:val="BodyText"/>
        <w:spacing w:after="0" w:line="276" w:lineRule="auto"/>
        <w:sectPr>
          <w:pgSz w:w="11900" w:h="16840"/>
          <w:pgMar w:header="0" w:footer="697" w:top="1080" w:bottom="880" w:left="0" w:right="0"/>
        </w:sectPr>
      </w:pPr>
    </w:p>
    <w:p>
      <w:pPr>
        <w:pStyle w:val="BodyText"/>
        <w:spacing w:line="276" w:lineRule="auto" w:before="73"/>
        <w:ind w:right="1273"/>
        <w:rPr>
          <w:position w:val="2"/>
        </w:rPr>
      </w:pPr>
      <w:bookmarkStart w:name="70" w:id="86"/>
      <w:bookmarkEnd w:id="86"/>
      <w:r>
        <w:rPr/>
      </w:r>
      <w:r>
        <w:rPr/>
        <w:t>(дисфункция диафрагмы при полинейромиопатии критических состояний), нестабильной гемодинамики, интраабдоминальной гипертензии, низкой податливости</w:t>
      </w:r>
      <w:r>
        <w:rPr>
          <w:spacing w:val="58"/>
        </w:rPr>
        <w:t>  </w:t>
      </w:r>
      <w:r>
        <w:rPr/>
        <w:t>грудной</w:t>
      </w:r>
      <w:r>
        <w:rPr>
          <w:spacing w:val="57"/>
        </w:rPr>
        <w:t>  </w:t>
      </w:r>
      <w:r>
        <w:rPr/>
        <w:t>стенки,</w:t>
      </w:r>
      <w:r>
        <w:rPr>
          <w:spacing w:val="56"/>
        </w:rPr>
        <w:t>  </w:t>
      </w:r>
      <w:r>
        <w:rPr/>
        <w:t>нарушений</w:t>
      </w:r>
      <w:r>
        <w:rPr>
          <w:spacing w:val="57"/>
        </w:rPr>
        <w:t>  </w:t>
      </w:r>
      <w:r>
        <w:rPr/>
        <w:t>биомеханики</w:t>
      </w:r>
      <w:r>
        <w:rPr>
          <w:spacing w:val="57"/>
        </w:rPr>
        <w:t>  </w:t>
      </w:r>
      <w:r>
        <w:rPr/>
        <w:t>дыхания,</w:t>
      </w:r>
      <w:r>
        <w:rPr>
          <w:spacing w:val="57"/>
        </w:rPr>
        <w:t>  </w:t>
      </w:r>
      <w:r>
        <w:rPr/>
        <w:t>ведущих к повышенной работе дыхания. Вследствие этого у значимой части таких пациентов компенсация гипоксемии и ОДН достигается неинвазивными методами – оксигенотерапией и неинвазивной ИВЛ (НИВЛ) даже при снижении индекса </w:t>
      </w:r>
      <w:r>
        <w:rPr>
          <w:position w:val="2"/>
        </w:rPr>
        <w:t>PaO</w:t>
      </w:r>
      <w:r>
        <w:rPr>
          <w:sz w:val="16"/>
        </w:rPr>
        <w:t>2</w:t>
      </w:r>
      <w:r>
        <w:rPr>
          <w:position w:val="2"/>
        </w:rPr>
        <w:t>/FiO</w:t>
      </w:r>
      <w:r>
        <w:rPr>
          <w:sz w:val="16"/>
        </w:rPr>
        <w:t>2</w:t>
      </w:r>
      <w:r>
        <w:rPr>
          <w:spacing w:val="36"/>
          <w:sz w:val="16"/>
        </w:rPr>
        <w:t> </w:t>
      </w:r>
      <w:r>
        <w:rPr>
          <w:position w:val="2"/>
        </w:rPr>
        <w:t>до 100 мм рт.ст., а у некоторых – и ниже.</w:t>
      </w:r>
    </w:p>
    <w:p>
      <w:pPr>
        <w:pStyle w:val="BodyText"/>
        <w:spacing w:line="276" w:lineRule="auto" w:before="10"/>
        <w:ind w:right="1274" w:firstLine="707"/>
      </w:pPr>
      <w:r>
        <w:rPr/>
        <w:t>При</w:t>
      </w:r>
      <w:r>
        <w:rPr>
          <w:spacing w:val="-15"/>
        </w:rPr>
        <w:t> </w:t>
      </w:r>
      <w:r>
        <w:rPr/>
        <w:t>COVID-19</w:t>
      </w:r>
      <w:r>
        <w:rPr>
          <w:spacing w:val="-15"/>
        </w:rPr>
        <w:t> </w:t>
      </w:r>
      <w:r>
        <w:rPr/>
        <w:t>описаны</w:t>
      </w:r>
      <w:r>
        <w:rPr>
          <w:spacing w:val="-15"/>
        </w:rPr>
        <w:t> </w:t>
      </w:r>
      <w:r>
        <w:rPr/>
        <w:t>два</w:t>
      </w:r>
      <w:r>
        <w:rPr>
          <w:spacing w:val="-15"/>
        </w:rPr>
        <w:t> </w:t>
      </w:r>
      <w:r>
        <w:rPr/>
        <w:t>варианта</w:t>
      </w:r>
      <w:r>
        <w:rPr>
          <w:spacing w:val="-15"/>
        </w:rPr>
        <w:t> </w:t>
      </w:r>
      <w:r>
        <w:rPr/>
        <w:t>поражений</w:t>
      </w:r>
      <w:r>
        <w:rPr>
          <w:spacing w:val="-15"/>
        </w:rPr>
        <w:t> </w:t>
      </w:r>
      <w:r>
        <w:rPr/>
        <w:t>легких,</w:t>
      </w:r>
      <w:r>
        <w:rPr>
          <w:spacing w:val="-15"/>
        </w:rPr>
        <w:t> </w:t>
      </w:r>
      <w:r>
        <w:rPr/>
        <w:t>являющихся,</w:t>
      </w:r>
      <w:r>
        <w:rPr>
          <w:spacing w:val="-15"/>
        </w:rPr>
        <w:t> </w:t>
      </w:r>
      <w:r>
        <w:rPr/>
        <w:t>по</w:t>
      </w:r>
      <w:r>
        <w:rPr>
          <w:spacing w:val="-15"/>
        </w:rPr>
        <w:t> </w:t>
      </w:r>
      <w:r>
        <w:rPr/>
        <w:t>сути, стадиями одного процесса, которые приводят к ОДН:</w:t>
      </w:r>
    </w:p>
    <w:p>
      <w:pPr>
        <w:pStyle w:val="ListParagraph"/>
        <w:numPr>
          <w:ilvl w:val="0"/>
          <w:numId w:val="26"/>
        </w:numPr>
        <w:tabs>
          <w:tab w:pos="2549" w:val="left" w:leader="none"/>
        </w:tabs>
        <w:spacing w:line="276" w:lineRule="auto" w:before="15" w:after="0"/>
        <w:ind w:left="2549" w:right="1270" w:hanging="281"/>
        <w:jc w:val="both"/>
        <w:rPr>
          <w:sz w:val="24"/>
        </w:rPr>
      </w:pPr>
      <w:r>
        <w:rPr>
          <w:sz w:val="24"/>
        </w:rPr>
        <w:t>Очаговое поражение лёгких (вирусная пневмония, более ранняя стадия): нормальная или немного сниженная податливость лёгочной ткани, на КТ только участки матового стекла, расположенные субплеврально и вдоль междолевых</w:t>
      </w:r>
      <w:r>
        <w:rPr>
          <w:spacing w:val="80"/>
          <w:w w:val="150"/>
          <w:sz w:val="24"/>
        </w:rPr>
        <w:t> </w:t>
      </w:r>
      <w:r>
        <w:rPr>
          <w:sz w:val="24"/>
        </w:rPr>
        <w:t>щелей,</w:t>
      </w:r>
      <w:r>
        <w:rPr>
          <w:spacing w:val="80"/>
          <w:w w:val="150"/>
          <w:sz w:val="24"/>
        </w:rPr>
        <w:t> </w:t>
      </w:r>
      <w:r>
        <w:rPr>
          <w:sz w:val="24"/>
        </w:rPr>
        <w:t>низкая</w:t>
      </w:r>
      <w:r>
        <w:rPr>
          <w:spacing w:val="80"/>
          <w:w w:val="150"/>
          <w:sz w:val="24"/>
        </w:rPr>
        <w:t> </w:t>
      </w:r>
      <w:r>
        <w:rPr>
          <w:sz w:val="24"/>
        </w:rPr>
        <w:t>рекрутабельность</w:t>
      </w:r>
      <w:r>
        <w:rPr>
          <w:spacing w:val="80"/>
          <w:w w:val="150"/>
          <w:sz w:val="24"/>
        </w:rPr>
        <w:t> </w:t>
      </w:r>
      <w:r>
        <w:rPr>
          <w:sz w:val="24"/>
        </w:rPr>
        <w:t>легких.</w:t>
      </w:r>
      <w:r>
        <w:rPr>
          <w:spacing w:val="80"/>
          <w:w w:val="150"/>
          <w:sz w:val="24"/>
        </w:rPr>
        <w:t> </w:t>
      </w:r>
      <w:r>
        <w:rPr>
          <w:sz w:val="24"/>
        </w:rPr>
        <w:t>Таким</w:t>
      </w:r>
      <w:r>
        <w:rPr>
          <w:spacing w:val="80"/>
          <w:w w:val="150"/>
          <w:sz w:val="24"/>
        </w:rPr>
        <w:t> </w:t>
      </w:r>
      <w:r>
        <w:rPr>
          <w:sz w:val="24"/>
        </w:rPr>
        <w:t>пациентам в большей степени показана кислородотерапия, при неуспехе - неинвазивная ИВЛ (шаги 1-2).</w:t>
      </w:r>
    </w:p>
    <w:p>
      <w:pPr>
        <w:pStyle w:val="ListParagraph"/>
        <w:numPr>
          <w:ilvl w:val="0"/>
          <w:numId w:val="26"/>
        </w:numPr>
        <w:tabs>
          <w:tab w:pos="2549" w:val="left" w:leader="none"/>
        </w:tabs>
        <w:spacing w:line="276" w:lineRule="auto" w:before="0" w:after="0"/>
        <w:ind w:left="2549" w:right="1270" w:hanging="360"/>
        <w:jc w:val="both"/>
        <w:rPr>
          <w:sz w:val="24"/>
        </w:rPr>
      </w:pPr>
      <w:r>
        <w:rPr>
          <w:sz w:val="24"/>
        </w:rPr>
        <w:t>Диффузное повреждение альвеол (соответствует</w:t>
      </w:r>
      <w:r>
        <w:rPr>
          <w:spacing w:val="40"/>
          <w:sz w:val="24"/>
        </w:rPr>
        <w:t> </w:t>
      </w:r>
      <w:r>
        <w:rPr>
          <w:sz w:val="24"/>
        </w:rPr>
        <w:t>3-4</w:t>
      </w:r>
      <w:r>
        <w:rPr>
          <w:spacing w:val="40"/>
          <w:sz w:val="24"/>
        </w:rPr>
        <w:t> </w:t>
      </w:r>
      <w:r>
        <w:rPr>
          <w:sz w:val="24"/>
        </w:rPr>
        <w:t>стадиям КТ)</w:t>
      </w:r>
      <w:r>
        <w:rPr>
          <w:spacing w:val="40"/>
          <w:sz w:val="24"/>
        </w:rPr>
        <w:t> </w:t>
      </w:r>
      <w:r>
        <w:rPr>
          <w:sz w:val="24"/>
        </w:rPr>
        <w:t>(собственно ОРДС). Альвеолы заполнены экссудатом, диффузное нарушение соотношения</w:t>
      </w:r>
      <w:r>
        <w:rPr>
          <w:spacing w:val="-12"/>
          <w:sz w:val="24"/>
        </w:rPr>
        <w:t> </w:t>
      </w:r>
      <w:r>
        <w:rPr>
          <w:sz w:val="24"/>
        </w:rPr>
        <w:t>вентиляции-перфузии,</w:t>
      </w:r>
      <w:r>
        <w:rPr>
          <w:spacing w:val="-15"/>
          <w:sz w:val="24"/>
        </w:rPr>
        <w:t> </w:t>
      </w:r>
      <w:r>
        <w:rPr>
          <w:sz w:val="24"/>
        </w:rPr>
        <w:t>часть</w:t>
      </w:r>
      <w:r>
        <w:rPr>
          <w:spacing w:val="-12"/>
          <w:sz w:val="24"/>
        </w:rPr>
        <w:t> </w:t>
      </w:r>
      <w:r>
        <w:rPr>
          <w:sz w:val="24"/>
        </w:rPr>
        <w:t>альвеол</w:t>
      </w:r>
      <w:r>
        <w:rPr>
          <w:spacing w:val="-13"/>
          <w:sz w:val="24"/>
        </w:rPr>
        <w:t> </w:t>
      </w:r>
      <w:r>
        <w:rPr>
          <w:sz w:val="24"/>
        </w:rPr>
        <w:t>может</w:t>
      </w:r>
      <w:r>
        <w:rPr>
          <w:spacing w:val="-14"/>
          <w:sz w:val="24"/>
        </w:rPr>
        <w:t> </w:t>
      </w:r>
      <w:r>
        <w:rPr>
          <w:sz w:val="24"/>
        </w:rPr>
        <w:t>быть</w:t>
      </w:r>
      <w:r>
        <w:rPr>
          <w:spacing w:val="-12"/>
          <w:sz w:val="24"/>
        </w:rPr>
        <w:t> </w:t>
      </w:r>
      <w:r>
        <w:rPr>
          <w:sz w:val="24"/>
        </w:rPr>
        <w:t>коллабирована, возможно</w:t>
      </w:r>
      <w:r>
        <w:rPr>
          <w:spacing w:val="-15"/>
          <w:sz w:val="24"/>
        </w:rPr>
        <w:t> </w:t>
      </w:r>
      <w:r>
        <w:rPr>
          <w:sz w:val="24"/>
        </w:rPr>
        <w:t>ателектазирование</w:t>
      </w:r>
      <w:r>
        <w:rPr>
          <w:spacing w:val="-15"/>
          <w:sz w:val="24"/>
        </w:rPr>
        <w:t> </w:t>
      </w:r>
      <w:r>
        <w:rPr>
          <w:sz w:val="24"/>
        </w:rPr>
        <w:t>участков</w:t>
      </w:r>
      <w:r>
        <w:rPr>
          <w:spacing w:val="-15"/>
          <w:sz w:val="24"/>
        </w:rPr>
        <w:t> </w:t>
      </w:r>
      <w:r>
        <w:rPr>
          <w:sz w:val="24"/>
        </w:rPr>
        <w:t>легких,</w:t>
      </w:r>
      <w:r>
        <w:rPr>
          <w:spacing w:val="-15"/>
          <w:sz w:val="24"/>
        </w:rPr>
        <w:t> </w:t>
      </w:r>
      <w:r>
        <w:rPr>
          <w:sz w:val="24"/>
        </w:rPr>
        <w:t>более</w:t>
      </w:r>
      <w:r>
        <w:rPr>
          <w:spacing w:val="-15"/>
          <w:sz w:val="24"/>
        </w:rPr>
        <w:t> </w:t>
      </w:r>
      <w:r>
        <w:rPr>
          <w:sz w:val="24"/>
        </w:rPr>
        <w:t>выраженное</w:t>
      </w:r>
      <w:r>
        <w:rPr>
          <w:spacing w:val="-15"/>
          <w:sz w:val="24"/>
        </w:rPr>
        <w:t> </w:t>
      </w:r>
      <w:r>
        <w:rPr>
          <w:sz w:val="24"/>
        </w:rPr>
        <w:t>в</w:t>
      </w:r>
      <w:r>
        <w:rPr>
          <w:spacing w:val="-15"/>
          <w:sz w:val="24"/>
        </w:rPr>
        <w:t> </w:t>
      </w:r>
      <w:r>
        <w:rPr>
          <w:sz w:val="24"/>
        </w:rPr>
        <w:t>дорсальных отделах. Показаны неинвазивная и инвазивная ИВЛ в</w:t>
      </w:r>
      <w:r>
        <w:rPr>
          <w:spacing w:val="-4"/>
          <w:sz w:val="24"/>
        </w:rPr>
        <w:t> </w:t>
      </w:r>
      <w:r>
        <w:rPr>
          <w:sz w:val="24"/>
        </w:rPr>
        <w:t>прон-позиции. При диффузном повреждении альвеол у пациентов с COVID-19 очень высока вероятность</w:t>
      </w:r>
      <w:r>
        <w:rPr>
          <w:spacing w:val="-3"/>
          <w:sz w:val="24"/>
        </w:rPr>
        <w:t> </w:t>
      </w:r>
      <w:r>
        <w:rPr>
          <w:sz w:val="24"/>
        </w:rPr>
        <w:t>волюмотравмы</w:t>
      </w:r>
      <w:r>
        <w:rPr>
          <w:spacing w:val="-5"/>
          <w:sz w:val="24"/>
        </w:rPr>
        <w:t> </w:t>
      </w:r>
      <w:r>
        <w:rPr>
          <w:sz w:val="24"/>
        </w:rPr>
        <w:t>(травмы</w:t>
      </w:r>
      <w:r>
        <w:rPr>
          <w:spacing w:val="-8"/>
          <w:sz w:val="24"/>
        </w:rPr>
        <w:t> </w:t>
      </w:r>
      <w:r>
        <w:rPr>
          <w:sz w:val="24"/>
        </w:rPr>
        <w:t>альвеол</w:t>
      </w:r>
      <w:r>
        <w:rPr>
          <w:spacing w:val="-5"/>
          <w:sz w:val="24"/>
        </w:rPr>
        <w:t> </w:t>
      </w:r>
      <w:r>
        <w:rPr>
          <w:sz w:val="24"/>
        </w:rPr>
        <w:t>повышенным</w:t>
      </w:r>
      <w:r>
        <w:rPr>
          <w:spacing w:val="-5"/>
          <w:sz w:val="24"/>
        </w:rPr>
        <w:t> </w:t>
      </w:r>
      <w:r>
        <w:rPr>
          <w:sz w:val="24"/>
        </w:rPr>
        <w:t>объемом),</w:t>
      </w:r>
      <w:r>
        <w:rPr>
          <w:spacing w:val="-3"/>
          <w:sz w:val="24"/>
        </w:rPr>
        <w:t> </w:t>
      </w:r>
      <w:r>
        <w:rPr>
          <w:sz w:val="24"/>
        </w:rPr>
        <w:t>поэтому не</w:t>
      </w:r>
      <w:r>
        <w:rPr>
          <w:spacing w:val="-4"/>
          <w:sz w:val="24"/>
        </w:rPr>
        <w:t> </w:t>
      </w:r>
      <w:r>
        <w:rPr>
          <w:sz w:val="24"/>
        </w:rPr>
        <w:t>следует</w:t>
      </w:r>
      <w:r>
        <w:rPr>
          <w:spacing w:val="-2"/>
          <w:sz w:val="24"/>
        </w:rPr>
        <w:t> </w:t>
      </w:r>
      <w:r>
        <w:rPr>
          <w:sz w:val="24"/>
        </w:rPr>
        <w:t>устанавливать</w:t>
      </w:r>
      <w:r>
        <w:rPr>
          <w:spacing w:val="-1"/>
          <w:sz w:val="24"/>
        </w:rPr>
        <w:t> </w:t>
      </w:r>
      <w:r>
        <w:rPr>
          <w:sz w:val="24"/>
        </w:rPr>
        <w:t>дыхательный</w:t>
      </w:r>
      <w:r>
        <w:rPr>
          <w:spacing w:val="-1"/>
          <w:sz w:val="24"/>
        </w:rPr>
        <w:t> </w:t>
      </w:r>
      <w:r>
        <w:rPr>
          <w:sz w:val="24"/>
        </w:rPr>
        <w:t>объем</w:t>
      </w:r>
      <w:r>
        <w:rPr>
          <w:spacing w:val="-4"/>
          <w:sz w:val="24"/>
        </w:rPr>
        <w:t> </w:t>
      </w:r>
      <w:r>
        <w:rPr>
          <w:sz w:val="24"/>
        </w:rPr>
        <w:t>на</w:t>
      </w:r>
      <w:r>
        <w:rPr>
          <w:spacing w:val="-4"/>
          <w:sz w:val="24"/>
        </w:rPr>
        <w:t> </w:t>
      </w:r>
      <w:r>
        <w:rPr>
          <w:sz w:val="24"/>
        </w:rPr>
        <w:t>величину</w:t>
      </w:r>
      <w:r>
        <w:rPr>
          <w:spacing w:val="-4"/>
          <w:sz w:val="24"/>
        </w:rPr>
        <w:t> </w:t>
      </w:r>
      <w:r>
        <w:rPr>
          <w:sz w:val="24"/>
        </w:rPr>
        <w:t>более</w:t>
      </w:r>
      <w:r>
        <w:rPr>
          <w:spacing w:val="-5"/>
          <w:sz w:val="24"/>
        </w:rPr>
        <w:t> </w:t>
      </w:r>
      <w:r>
        <w:rPr>
          <w:sz w:val="24"/>
        </w:rPr>
        <w:t>6</w:t>
      </w:r>
      <w:r>
        <w:rPr>
          <w:spacing w:val="-3"/>
          <w:sz w:val="24"/>
        </w:rPr>
        <w:t> </w:t>
      </w:r>
      <w:r>
        <w:rPr>
          <w:sz w:val="24"/>
        </w:rPr>
        <w:t>мл/кг</w:t>
      </w:r>
      <w:r>
        <w:rPr>
          <w:spacing w:val="-3"/>
          <w:sz w:val="24"/>
        </w:rPr>
        <w:t> </w:t>
      </w:r>
      <w:r>
        <w:rPr>
          <w:sz w:val="24"/>
        </w:rPr>
        <w:t>ИМТ (или следует следить за величиной дыхательного объема при неинвазивной ИВЛ) и следует использовать минимальный или умеренный РЕЕР (как правило, до 8-10 см вод.ст, при прогрессировании заболевания - меньше).</w:t>
      </w:r>
    </w:p>
    <w:p>
      <w:pPr>
        <w:pStyle w:val="BodyText"/>
        <w:spacing w:line="276" w:lineRule="auto"/>
        <w:ind w:right="1271" w:firstLine="707"/>
        <w:rPr>
          <w:position w:val="2"/>
        </w:rPr>
      </w:pPr>
      <w:r>
        <w:rPr/>
        <w:t>При ОРДС у пациентов с COVID-19 высока частота гиперкапнии, сохраняющейся даже на фоне инвазивной ИВЛ из-за роста альвеолярного мертвого пространства (микротромбоз легочных капилляров, тромбоэмболия легочной артерии) и/или увеличения шунта (венозного примешивания), что ведет к большой </w:t>
      </w:r>
      <w:r>
        <w:rPr>
          <w:position w:val="2"/>
        </w:rPr>
        <w:t>(выше 5 мм рт.ст.) разнице напряжений СО</w:t>
      </w:r>
      <w:r>
        <w:rPr>
          <w:sz w:val="16"/>
        </w:rPr>
        <w:t>2</w:t>
      </w:r>
      <w:r>
        <w:rPr>
          <w:spacing w:val="23"/>
          <w:sz w:val="16"/>
        </w:rPr>
        <w:t> </w:t>
      </w:r>
      <w:r>
        <w:rPr>
          <w:position w:val="2"/>
        </w:rPr>
        <w:t>в</w:t>
      </w:r>
      <w:r>
        <w:rPr>
          <w:spacing w:val="-1"/>
          <w:position w:val="2"/>
        </w:rPr>
        <w:t> </w:t>
      </w:r>
      <w:r>
        <w:rPr>
          <w:position w:val="2"/>
        </w:rPr>
        <w:t>артериальной крови и в</w:t>
      </w:r>
      <w:r>
        <w:rPr>
          <w:spacing w:val="-1"/>
          <w:position w:val="2"/>
        </w:rPr>
        <w:t> </w:t>
      </w:r>
      <w:r>
        <w:rPr>
          <w:position w:val="2"/>
        </w:rPr>
        <w:t>конце выдоха.</w:t>
      </w:r>
    </w:p>
    <w:p>
      <w:pPr>
        <w:pStyle w:val="BodyText"/>
        <w:ind w:left="2549"/>
      </w:pPr>
      <w:r>
        <w:rPr/>
        <w:t>Целевые</w:t>
      </w:r>
      <w:r>
        <w:rPr>
          <w:spacing w:val="5"/>
        </w:rPr>
        <w:t> </w:t>
      </w:r>
      <w:r>
        <w:rPr/>
        <w:t>показатели</w:t>
      </w:r>
      <w:r>
        <w:rPr>
          <w:spacing w:val="9"/>
        </w:rPr>
        <w:t> </w:t>
      </w:r>
      <w:r>
        <w:rPr/>
        <w:t>газообмена,</w:t>
      </w:r>
      <w:r>
        <w:rPr>
          <w:spacing w:val="7"/>
        </w:rPr>
        <w:t> </w:t>
      </w:r>
      <w:r>
        <w:rPr/>
        <w:t>ассоциированные</w:t>
      </w:r>
      <w:r>
        <w:rPr>
          <w:spacing w:val="7"/>
        </w:rPr>
        <w:t> </w:t>
      </w:r>
      <w:r>
        <w:rPr/>
        <w:t>с</w:t>
      </w:r>
      <w:r>
        <w:rPr>
          <w:spacing w:val="6"/>
        </w:rPr>
        <w:t> </w:t>
      </w:r>
      <w:r>
        <w:rPr/>
        <w:t>улучшением</w:t>
      </w:r>
      <w:r>
        <w:rPr>
          <w:spacing w:val="8"/>
        </w:rPr>
        <w:t> </w:t>
      </w:r>
      <w:r>
        <w:rPr/>
        <w:t>исхода</w:t>
      </w:r>
      <w:r>
        <w:rPr>
          <w:spacing w:val="7"/>
        </w:rPr>
        <w:t> </w:t>
      </w:r>
      <w:r>
        <w:rPr>
          <w:spacing w:val="-5"/>
        </w:rPr>
        <w:t>при</w:t>
      </w:r>
    </w:p>
    <w:p>
      <w:pPr>
        <w:pStyle w:val="BodyText"/>
        <w:spacing w:after="0"/>
        <w:sectPr>
          <w:pgSz w:w="11900" w:h="16840"/>
          <w:pgMar w:header="0" w:footer="697" w:top="1080" w:bottom="880" w:left="0" w:right="0"/>
        </w:sectPr>
      </w:pPr>
    </w:p>
    <w:p>
      <w:pPr>
        <w:pStyle w:val="BodyText"/>
        <w:spacing w:before="36"/>
        <w:ind w:left="0"/>
        <w:jc w:val="right"/>
      </w:pPr>
      <w:r>
        <w:rPr>
          <w:spacing w:val="-2"/>
        </w:rPr>
        <w:t>ОРДС:</w:t>
      </w:r>
    </w:p>
    <w:p>
      <w:pPr>
        <w:spacing w:line="240" w:lineRule="auto" w:before="119"/>
        <w:rPr>
          <w:sz w:val="24"/>
        </w:rPr>
      </w:pPr>
      <w:r>
        <w:rPr/>
        <w:br w:type="column"/>
      </w:r>
      <w:r>
        <w:rPr>
          <w:sz w:val="24"/>
        </w:rPr>
      </w:r>
    </w:p>
    <w:p>
      <w:pPr>
        <w:pStyle w:val="ListParagraph"/>
        <w:numPr>
          <w:ilvl w:val="0"/>
          <w:numId w:val="27"/>
        </w:numPr>
        <w:tabs>
          <w:tab w:pos="285" w:val="left" w:leader="none"/>
        </w:tabs>
        <w:spacing w:line="240" w:lineRule="auto" w:before="0" w:after="0"/>
        <w:ind w:left="285" w:right="0" w:hanging="285"/>
        <w:jc w:val="left"/>
        <w:rPr>
          <w:position w:val="2"/>
          <w:sz w:val="24"/>
        </w:rPr>
      </w:pPr>
      <w:r>
        <w:rPr>
          <w:position w:val="2"/>
          <w:sz w:val="24"/>
        </w:rPr>
        <w:t>PaO</w:t>
      </w:r>
      <w:r>
        <w:rPr>
          <w:sz w:val="16"/>
        </w:rPr>
        <w:t>2</w:t>
      </w:r>
      <w:r>
        <w:rPr>
          <w:spacing w:val="14"/>
          <w:sz w:val="16"/>
        </w:rPr>
        <w:t> </w:t>
      </w:r>
      <w:r>
        <w:rPr>
          <w:position w:val="2"/>
          <w:sz w:val="24"/>
        </w:rPr>
        <w:t>90-105</w:t>
      </w:r>
      <w:r>
        <w:rPr>
          <w:spacing w:val="-7"/>
          <w:position w:val="2"/>
          <w:sz w:val="24"/>
        </w:rPr>
        <w:t> </w:t>
      </w:r>
      <w:r>
        <w:rPr>
          <w:position w:val="2"/>
          <w:sz w:val="24"/>
        </w:rPr>
        <w:t>мм</w:t>
      </w:r>
      <w:r>
        <w:rPr>
          <w:spacing w:val="-6"/>
          <w:position w:val="2"/>
          <w:sz w:val="24"/>
        </w:rPr>
        <w:t> </w:t>
      </w:r>
      <w:r>
        <w:rPr>
          <w:position w:val="2"/>
          <w:sz w:val="24"/>
        </w:rPr>
        <w:t>рт.ст</w:t>
      </w:r>
      <w:r>
        <w:rPr>
          <w:spacing w:val="-6"/>
          <w:position w:val="2"/>
          <w:sz w:val="24"/>
        </w:rPr>
        <w:t> </w:t>
      </w:r>
      <w:r>
        <w:rPr>
          <w:position w:val="2"/>
          <w:sz w:val="24"/>
        </w:rPr>
        <w:t>или</w:t>
      </w:r>
      <w:r>
        <w:rPr>
          <w:spacing w:val="-6"/>
          <w:position w:val="2"/>
          <w:sz w:val="24"/>
        </w:rPr>
        <w:t> </w:t>
      </w:r>
      <w:r>
        <w:rPr>
          <w:position w:val="2"/>
          <w:sz w:val="24"/>
        </w:rPr>
        <w:t>SpO</w:t>
      </w:r>
      <w:r>
        <w:rPr>
          <w:sz w:val="16"/>
        </w:rPr>
        <w:t>2</w:t>
      </w:r>
      <w:r>
        <w:rPr>
          <w:spacing w:val="15"/>
          <w:sz w:val="16"/>
        </w:rPr>
        <w:t> </w:t>
      </w:r>
      <w:r>
        <w:rPr>
          <w:position w:val="2"/>
          <w:sz w:val="24"/>
        </w:rPr>
        <w:t>95-</w:t>
      </w:r>
      <w:r>
        <w:rPr>
          <w:spacing w:val="-4"/>
          <w:position w:val="2"/>
          <w:sz w:val="24"/>
        </w:rPr>
        <w:t>98%;</w:t>
      </w:r>
    </w:p>
    <w:p>
      <w:pPr>
        <w:pStyle w:val="ListParagraph"/>
        <w:numPr>
          <w:ilvl w:val="0"/>
          <w:numId w:val="27"/>
        </w:numPr>
        <w:tabs>
          <w:tab w:pos="285" w:val="left" w:leader="none"/>
        </w:tabs>
        <w:spacing w:line="240" w:lineRule="auto" w:before="78" w:after="0"/>
        <w:ind w:left="285" w:right="0" w:hanging="285"/>
        <w:jc w:val="left"/>
        <w:rPr>
          <w:position w:val="2"/>
          <w:sz w:val="24"/>
        </w:rPr>
      </w:pPr>
      <w:r>
        <w:rPr>
          <w:position w:val="2"/>
          <w:sz w:val="24"/>
        </w:rPr>
        <w:t>PaCO</w:t>
      </w:r>
      <w:r>
        <w:rPr>
          <w:sz w:val="16"/>
        </w:rPr>
        <w:t>2</w:t>
      </w:r>
      <w:r>
        <w:rPr>
          <w:spacing w:val="37"/>
          <w:sz w:val="16"/>
        </w:rPr>
        <w:t> </w:t>
      </w:r>
      <w:r>
        <w:rPr>
          <w:position w:val="2"/>
          <w:sz w:val="24"/>
        </w:rPr>
        <w:t>35-50</w:t>
      </w:r>
      <w:r>
        <w:rPr>
          <w:spacing w:val="15"/>
          <w:position w:val="2"/>
          <w:sz w:val="24"/>
        </w:rPr>
        <w:t> </w:t>
      </w:r>
      <w:r>
        <w:rPr>
          <w:position w:val="2"/>
          <w:sz w:val="24"/>
        </w:rPr>
        <w:t>мм</w:t>
      </w:r>
      <w:r>
        <w:rPr>
          <w:spacing w:val="15"/>
          <w:position w:val="2"/>
          <w:sz w:val="24"/>
        </w:rPr>
        <w:t> </w:t>
      </w:r>
      <w:r>
        <w:rPr>
          <w:position w:val="2"/>
          <w:sz w:val="24"/>
        </w:rPr>
        <w:t>рт.ст.,</w:t>
      </w:r>
      <w:r>
        <w:rPr>
          <w:spacing w:val="16"/>
          <w:position w:val="2"/>
          <w:sz w:val="24"/>
        </w:rPr>
        <w:t> </w:t>
      </w:r>
      <w:r>
        <w:rPr>
          <w:position w:val="2"/>
          <w:sz w:val="24"/>
        </w:rPr>
        <w:t>возможно</w:t>
      </w:r>
      <w:r>
        <w:rPr>
          <w:spacing w:val="17"/>
          <w:position w:val="2"/>
          <w:sz w:val="24"/>
        </w:rPr>
        <w:t> </w:t>
      </w:r>
      <w:r>
        <w:rPr>
          <w:position w:val="2"/>
          <w:sz w:val="24"/>
        </w:rPr>
        <w:t>допущение</w:t>
      </w:r>
      <w:r>
        <w:rPr>
          <w:spacing w:val="13"/>
          <w:position w:val="2"/>
          <w:sz w:val="24"/>
        </w:rPr>
        <w:t> </w:t>
      </w:r>
      <w:r>
        <w:rPr>
          <w:position w:val="2"/>
          <w:sz w:val="24"/>
        </w:rPr>
        <w:t>гиперкапнии</w:t>
      </w:r>
      <w:r>
        <w:rPr>
          <w:spacing w:val="16"/>
          <w:position w:val="2"/>
          <w:sz w:val="24"/>
        </w:rPr>
        <w:t> </w:t>
      </w:r>
      <w:r>
        <w:rPr>
          <w:position w:val="2"/>
          <w:sz w:val="24"/>
        </w:rPr>
        <w:t>до</w:t>
      </w:r>
      <w:r>
        <w:rPr>
          <w:spacing w:val="16"/>
          <w:position w:val="2"/>
          <w:sz w:val="24"/>
        </w:rPr>
        <w:t> </w:t>
      </w:r>
      <w:r>
        <w:rPr>
          <w:position w:val="2"/>
          <w:sz w:val="24"/>
        </w:rPr>
        <w:t>70</w:t>
      </w:r>
      <w:r>
        <w:rPr>
          <w:spacing w:val="15"/>
          <w:position w:val="2"/>
          <w:sz w:val="24"/>
        </w:rPr>
        <w:t> </w:t>
      </w:r>
      <w:r>
        <w:rPr>
          <w:position w:val="2"/>
          <w:sz w:val="24"/>
        </w:rPr>
        <w:t>мм</w:t>
      </w:r>
      <w:r>
        <w:rPr>
          <w:spacing w:val="15"/>
          <w:position w:val="2"/>
          <w:sz w:val="24"/>
        </w:rPr>
        <w:t> </w:t>
      </w:r>
      <w:r>
        <w:rPr>
          <w:spacing w:val="-2"/>
          <w:position w:val="2"/>
          <w:sz w:val="24"/>
        </w:rPr>
        <w:t>рт.ст.</w:t>
      </w:r>
    </w:p>
    <w:p>
      <w:pPr>
        <w:pStyle w:val="ListParagraph"/>
        <w:spacing w:after="0" w:line="240" w:lineRule="auto"/>
        <w:jc w:val="left"/>
        <w:rPr>
          <w:position w:val="2"/>
          <w:sz w:val="24"/>
        </w:rPr>
        <w:sectPr>
          <w:type w:val="continuous"/>
          <w:pgSz w:w="11900" w:h="16840"/>
          <w:pgMar w:header="0" w:footer="697" w:top="880" w:bottom="0" w:left="0" w:right="0"/>
          <w:cols w:num="2" w:equalWidth="0">
            <w:col w:w="2540" w:space="9"/>
            <w:col w:w="9351"/>
          </w:cols>
        </w:sectPr>
      </w:pPr>
    </w:p>
    <w:p>
      <w:pPr>
        <w:pStyle w:val="BodyText"/>
        <w:spacing w:line="276" w:lineRule="auto" w:before="37"/>
        <w:ind w:left="2124" w:right="1272"/>
      </w:pPr>
      <w:r>
        <w:rPr/>
        <w:t>при невозможности достижения нормокапнии при дыхатальном объеме 6 мл/кг ИМТ и частоте дыхания 30 в мин.</w:t>
      </w:r>
    </w:p>
    <w:p>
      <w:pPr>
        <w:pStyle w:val="Heading4"/>
        <w:spacing w:line="276" w:lineRule="auto" w:before="120"/>
        <w:ind w:left="1841" w:right="1273" w:firstLine="707"/>
      </w:pPr>
      <w:r>
        <w:rPr>
          <w:color w:val="1F487C"/>
        </w:rPr>
        <w:t>Физиологические</w:t>
      </w:r>
      <w:r>
        <w:rPr>
          <w:color w:val="1F487C"/>
          <w:spacing w:val="40"/>
        </w:rPr>
        <w:t> </w:t>
      </w:r>
      <w:r>
        <w:rPr>
          <w:color w:val="1F487C"/>
        </w:rPr>
        <w:t>критерии</w:t>
      </w:r>
      <w:r>
        <w:rPr>
          <w:color w:val="1F487C"/>
          <w:spacing w:val="40"/>
        </w:rPr>
        <w:t> </w:t>
      </w:r>
      <w:r>
        <w:rPr>
          <w:color w:val="1F487C"/>
        </w:rPr>
        <w:t>стратификации</w:t>
      </w:r>
      <w:r>
        <w:rPr>
          <w:color w:val="1F487C"/>
          <w:spacing w:val="40"/>
        </w:rPr>
        <w:t> </w:t>
      </w:r>
      <w:r>
        <w:rPr>
          <w:color w:val="1F487C"/>
        </w:rPr>
        <w:t>респираторной</w:t>
      </w:r>
      <w:r>
        <w:rPr>
          <w:color w:val="1F487C"/>
          <w:spacing w:val="40"/>
        </w:rPr>
        <w:t> </w:t>
      </w:r>
      <w:r>
        <w:rPr>
          <w:color w:val="1F487C"/>
        </w:rPr>
        <w:t>поддержки и оценки ее эффективности</w:t>
      </w:r>
    </w:p>
    <w:p>
      <w:pPr>
        <w:pStyle w:val="BodyText"/>
        <w:spacing w:line="276" w:lineRule="auto" w:before="118"/>
        <w:ind w:right="1271" w:firstLine="707"/>
      </w:pPr>
      <w:r>
        <w:rPr/>
        <w:t>К настоящему времени накоплен значительный мировой опыт, включающий обсервационные,</w:t>
      </w:r>
      <w:r>
        <w:rPr>
          <w:spacing w:val="75"/>
        </w:rPr>
        <w:t>  </w:t>
      </w:r>
      <w:r>
        <w:rPr/>
        <w:t>рандомизированные</w:t>
      </w:r>
      <w:r>
        <w:rPr>
          <w:spacing w:val="74"/>
        </w:rPr>
        <w:t>  </w:t>
      </w:r>
      <w:r>
        <w:rPr/>
        <w:t>исследования,</w:t>
      </w:r>
      <w:r>
        <w:rPr>
          <w:spacing w:val="75"/>
        </w:rPr>
        <w:t>  </w:t>
      </w:r>
      <w:r>
        <w:rPr/>
        <w:t>а</w:t>
      </w:r>
      <w:r>
        <w:rPr>
          <w:spacing w:val="74"/>
        </w:rPr>
        <w:t>  </w:t>
      </w:r>
      <w:r>
        <w:rPr/>
        <w:t>также</w:t>
      </w:r>
      <w:r>
        <w:rPr>
          <w:spacing w:val="74"/>
        </w:rPr>
        <w:t>  </w:t>
      </w:r>
      <w:r>
        <w:rPr/>
        <w:t>мета-анализы по применению респираторной поддержки при COVID-19-ассоциированной ОДН.</w:t>
      </w:r>
    </w:p>
    <w:p>
      <w:pPr>
        <w:pStyle w:val="BodyText"/>
        <w:spacing w:after="0" w:line="276" w:lineRule="auto"/>
        <w:sectPr>
          <w:type w:val="continuous"/>
          <w:pgSz w:w="11900" w:h="16840"/>
          <w:pgMar w:header="0" w:footer="697" w:top="880" w:bottom="0" w:left="0" w:right="0"/>
        </w:sectPr>
      </w:pPr>
    </w:p>
    <w:p>
      <w:pPr>
        <w:pStyle w:val="Heading3"/>
        <w:spacing w:line="276" w:lineRule="auto" w:before="73"/>
        <w:ind w:left="1841" w:right="1271" w:firstLine="707"/>
        <w:rPr>
          <w:b w:val="0"/>
        </w:rPr>
      </w:pPr>
      <w:bookmarkStart w:name="71" w:id="87"/>
      <w:bookmarkEnd w:id="87"/>
      <w:r>
        <w:rPr>
          <w:b w:val="0"/>
        </w:rPr>
      </w:r>
      <w:r>
        <w:rPr>
          <w:b w:val="0"/>
        </w:rPr>
        <w:t>На основании их </w:t>
      </w:r>
      <w:r>
        <w:rPr/>
        <w:t>рекомендовано оценивать следующие физиологические показатели, имеющие высокую прогностическую ценность для выбора метода респираторной терапии и оценки ее эффективности</w:t>
      </w:r>
      <w:r>
        <w:rPr>
          <w:b w:val="0"/>
        </w:rPr>
        <w:t>:</w:t>
      </w:r>
    </w:p>
    <w:p>
      <w:pPr>
        <w:pStyle w:val="ListParagraph"/>
        <w:numPr>
          <w:ilvl w:val="0"/>
          <w:numId w:val="28"/>
        </w:numPr>
        <w:tabs>
          <w:tab w:pos="2546" w:val="left" w:leader="none"/>
        </w:tabs>
        <w:spacing w:line="276" w:lineRule="auto" w:before="14" w:after="0"/>
        <w:ind w:left="1841" w:right="1272" w:firstLine="467"/>
        <w:jc w:val="both"/>
        <w:rPr>
          <w:rFonts w:ascii="Arial" w:hAnsi="Arial"/>
          <w:sz w:val="22"/>
        </w:rPr>
      </w:pPr>
      <w:r>
        <w:rPr>
          <w:b/>
          <w:sz w:val="24"/>
        </w:rPr>
        <w:t>частота дыхания пациента (RR) </w:t>
      </w:r>
      <w:r>
        <w:rPr>
          <w:sz w:val="24"/>
        </w:rPr>
        <w:t>- в этом показателе крайне важен точный подсчет ввиду высокой прогностической значимости и высокой вероятности недооценки реальной частоты дыхания,</w:t>
      </w:r>
    </w:p>
    <w:p>
      <w:pPr>
        <w:pStyle w:val="ListParagraph"/>
        <w:numPr>
          <w:ilvl w:val="0"/>
          <w:numId w:val="28"/>
        </w:numPr>
        <w:tabs>
          <w:tab w:pos="2547" w:val="left" w:leader="none"/>
        </w:tabs>
        <w:spacing w:line="240" w:lineRule="auto" w:before="12" w:after="0"/>
        <w:ind w:left="2547" w:right="0" w:hanging="238"/>
        <w:jc w:val="both"/>
        <w:rPr>
          <w:rFonts w:ascii="Arial" w:hAnsi="Arial"/>
          <w:position w:val="1"/>
          <w:sz w:val="22"/>
        </w:rPr>
      </w:pPr>
      <w:r>
        <w:rPr>
          <w:b/>
          <w:position w:val="1"/>
          <w:sz w:val="24"/>
        </w:rPr>
        <w:t>SpO</w:t>
      </w:r>
      <w:r>
        <w:rPr>
          <w:b/>
          <w:sz w:val="16"/>
        </w:rPr>
        <w:t>2</w:t>
      </w:r>
      <w:r>
        <w:rPr>
          <w:b/>
          <w:spacing w:val="-10"/>
          <w:sz w:val="16"/>
        </w:rPr>
        <w:t> </w:t>
      </w:r>
      <w:r>
        <w:rPr>
          <w:b/>
          <w:position w:val="1"/>
          <w:sz w:val="24"/>
        </w:rPr>
        <w:t>-</w:t>
      </w:r>
      <w:r>
        <w:rPr>
          <w:b/>
          <w:spacing w:val="-20"/>
          <w:position w:val="1"/>
          <w:sz w:val="24"/>
        </w:rPr>
        <w:t> </w:t>
      </w:r>
      <w:r>
        <w:rPr>
          <w:position w:val="1"/>
          <w:sz w:val="24"/>
        </w:rPr>
        <w:t>насыщение</w:t>
      </w:r>
      <w:r>
        <w:rPr>
          <w:spacing w:val="-15"/>
          <w:position w:val="1"/>
          <w:sz w:val="24"/>
        </w:rPr>
        <w:t> </w:t>
      </w:r>
      <w:r>
        <w:rPr>
          <w:position w:val="1"/>
          <w:sz w:val="24"/>
        </w:rPr>
        <w:t>гемоглобина</w:t>
      </w:r>
      <w:r>
        <w:rPr>
          <w:spacing w:val="-15"/>
          <w:position w:val="1"/>
          <w:sz w:val="24"/>
        </w:rPr>
        <w:t> </w:t>
      </w:r>
      <w:r>
        <w:rPr>
          <w:position w:val="1"/>
          <w:sz w:val="24"/>
        </w:rPr>
        <w:t>кислорода</w:t>
      </w:r>
      <w:r>
        <w:rPr>
          <w:spacing w:val="-15"/>
          <w:position w:val="1"/>
          <w:sz w:val="24"/>
        </w:rPr>
        <w:t> </w:t>
      </w:r>
      <w:r>
        <w:rPr>
          <w:position w:val="1"/>
          <w:sz w:val="24"/>
        </w:rPr>
        <w:t>по</w:t>
      </w:r>
      <w:r>
        <w:rPr>
          <w:spacing w:val="-15"/>
          <w:position w:val="1"/>
          <w:sz w:val="24"/>
        </w:rPr>
        <w:t> </w:t>
      </w:r>
      <w:r>
        <w:rPr>
          <w:position w:val="1"/>
          <w:sz w:val="24"/>
        </w:rPr>
        <w:t>данным</w:t>
      </w:r>
      <w:r>
        <w:rPr>
          <w:spacing w:val="-15"/>
          <w:position w:val="1"/>
          <w:sz w:val="24"/>
        </w:rPr>
        <w:t> </w:t>
      </w:r>
      <w:r>
        <w:rPr>
          <w:position w:val="1"/>
          <w:sz w:val="24"/>
        </w:rPr>
        <w:t>пульсоксиметрии</w:t>
      </w:r>
      <w:r>
        <w:rPr>
          <w:spacing w:val="-13"/>
          <w:position w:val="1"/>
          <w:sz w:val="24"/>
        </w:rPr>
        <w:t> </w:t>
      </w:r>
      <w:r>
        <w:rPr>
          <w:spacing w:val="-4"/>
          <w:position w:val="1"/>
          <w:sz w:val="24"/>
        </w:rPr>
        <w:t>(%),</w:t>
      </w:r>
    </w:p>
    <w:p>
      <w:pPr>
        <w:pStyle w:val="ListParagraph"/>
        <w:numPr>
          <w:ilvl w:val="0"/>
          <w:numId w:val="28"/>
        </w:numPr>
        <w:tabs>
          <w:tab w:pos="2546" w:val="left" w:leader="none"/>
        </w:tabs>
        <w:spacing w:line="273" w:lineRule="auto" w:before="54" w:after="0"/>
        <w:ind w:left="1841" w:right="1271" w:firstLine="467"/>
        <w:jc w:val="both"/>
        <w:rPr>
          <w:rFonts w:ascii="Arial" w:hAnsi="Arial"/>
          <w:position w:val="2"/>
          <w:sz w:val="22"/>
        </w:rPr>
      </w:pPr>
      <w:r>
        <w:rPr>
          <w:b/>
          <w:position w:val="2"/>
          <w:sz w:val="24"/>
        </w:rPr>
        <w:t>ROX-индекс - SpO</w:t>
      </w:r>
      <w:r>
        <w:rPr>
          <w:b/>
          <w:position w:val="1"/>
          <w:sz w:val="16"/>
        </w:rPr>
        <w:t>2</w:t>
      </w:r>
      <w:r>
        <w:rPr>
          <w:b/>
          <w:position w:val="2"/>
          <w:sz w:val="24"/>
        </w:rPr>
        <w:t>/FiO</w:t>
      </w:r>
      <w:r>
        <w:rPr>
          <w:b/>
          <w:position w:val="1"/>
          <w:sz w:val="16"/>
        </w:rPr>
        <w:t>2</w:t>
      </w:r>
      <w:r>
        <w:rPr>
          <w:b/>
          <w:position w:val="2"/>
          <w:sz w:val="24"/>
        </w:rPr>
        <w:t>/RR, </w:t>
      </w:r>
      <w:r>
        <w:rPr>
          <w:position w:val="2"/>
          <w:sz w:val="24"/>
        </w:rPr>
        <w:t>где FiO</w:t>
      </w:r>
      <w:r>
        <w:rPr>
          <w:sz w:val="16"/>
        </w:rPr>
        <w:t>2</w:t>
      </w:r>
      <w:r>
        <w:rPr>
          <w:spacing w:val="40"/>
          <w:sz w:val="16"/>
        </w:rPr>
        <w:t> </w:t>
      </w:r>
      <w:r>
        <w:rPr>
          <w:position w:val="2"/>
          <w:sz w:val="24"/>
        </w:rPr>
        <w:t>- инспираторная фракция кислорода </w:t>
      </w:r>
      <w:r>
        <w:rPr>
          <w:sz w:val="24"/>
        </w:rPr>
        <w:t>(доля);</w:t>
      </w:r>
      <w:r>
        <w:rPr>
          <w:spacing w:val="80"/>
          <w:sz w:val="24"/>
        </w:rPr>
        <w:t> </w:t>
      </w:r>
      <w:r>
        <w:rPr>
          <w:sz w:val="24"/>
        </w:rPr>
        <w:t>в</w:t>
      </w:r>
      <w:r>
        <w:rPr>
          <w:spacing w:val="80"/>
          <w:sz w:val="24"/>
        </w:rPr>
        <w:t> </w:t>
      </w:r>
      <w:r>
        <w:rPr>
          <w:sz w:val="24"/>
        </w:rPr>
        <w:t>этом</w:t>
      </w:r>
      <w:r>
        <w:rPr>
          <w:spacing w:val="80"/>
          <w:sz w:val="24"/>
        </w:rPr>
        <w:t> </w:t>
      </w:r>
      <w:r>
        <w:rPr>
          <w:sz w:val="24"/>
        </w:rPr>
        <w:t>показателе</w:t>
      </w:r>
      <w:r>
        <w:rPr>
          <w:spacing w:val="80"/>
          <w:sz w:val="24"/>
        </w:rPr>
        <w:t> </w:t>
      </w:r>
      <w:r>
        <w:rPr>
          <w:sz w:val="24"/>
        </w:rPr>
        <w:t>следует</w:t>
      </w:r>
      <w:r>
        <w:rPr>
          <w:spacing w:val="80"/>
          <w:sz w:val="24"/>
        </w:rPr>
        <w:t> </w:t>
      </w:r>
      <w:r>
        <w:rPr>
          <w:sz w:val="24"/>
        </w:rPr>
        <w:t>учитывать,</w:t>
      </w:r>
      <w:r>
        <w:rPr>
          <w:spacing w:val="80"/>
          <w:sz w:val="24"/>
        </w:rPr>
        <w:t> </w:t>
      </w:r>
      <w:r>
        <w:rPr>
          <w:sz w:val="24"/>
        </w:rPr>
        <w:t>что</w:t>
      </w:r>
      <w:r>
        <w:rPr>
          <w:spacing w:val="80"/>
          <w:sz w:val="24"/>
        </w:rPr>
        <w:t> </w:t>
      </w:r>
      <w:r>
        <w:rPr>
          <w:sz w:val="24"/>
        </w:rPr>
        <w:t>неточность</w:t>
      </w:r>
      <w:r>
        <w:rPr>
          <w:spacing w:val="80"/>
          <w:sz w:val="24"/>
        </w:rPr>
        <w:t> </w:t>
      </w:r>
      <w:r>
        <w:rPr>
          <w:sz w:val="24"/>
        </w:rPr>
        <w:t>расчета</w:t>
      </w:r>
      <w:r>
        <w:rPr>
          <w:spacing w:val="80"/>
          <w:sz w:val="24"/>
        </w:rPr>
        <w:t> </w:t>
      </w:r>
      <w:r>
        <w:rPr>
          <w:sz w:val="24"/>
        </w:rPr>
        <w:t>каждого </w:t>
      </w:r>
      <w:r>
        <w:rPr>
          <w:position w:val="2"/>
          <w:sz w:val="24"/>
        </w:rPr>
        <w:t>из</w:t>
      </w:r>
      <w:r>
        <w:rPr>
          <w:spacing w:val="40"/>
          <w:position w:val="2"/>
          <w:sz w:val="24"/>
        </w:rPr>
        <w:t> </w:t>
      </w:r>
      <w:r>
        <w:rPr>
          <w:position w:val="2"/>
          <w:sz w:val="24"/>
        </w:rPr>
        <w:t>компонентов</w:t>
      </w:r>
      <w:r>
        <w:rPr>
          <w:spacing w:val="40"/>
          <w:position w:val="2"/>
          <w:sz w:val="24"/>
        </w:rPr>
        <w:t> </w:t>
      </w:r>
      <w:r>
        <w:rPr>
          <w:position w:val="2"/>
          <w:sz w:val="24"/>
        </w:rPr>
        <w:t>значимо</w:t>
      </w:r>
      <w:r>
        <w:rPr>
          <w:spacing w:val="40"/>
          <w:position w:val="2"/>
          <w:sz w:val="24"/>
        </w:rPr>
        <w:t> </w:t>
      </w:r>
      <w:r>
        <w:rPr>
          <w:position w:val="2"/>
          <w:sz w:val="24"/>
        </w:rPr>
        <w:t>влияют</w:t>
      </w:r>
      <w:r>
        <w:rPr>
          <w:spacing w:val="40"/>
          <w:position w:val="2"/>
          <w:sz w:val="24"/>
        </w:rPr>
        <w:t> </w:t>
      </w:r>
      <w:r>
        <w:rPr>
          <w:position w:val="2"/>
          <w:sz w:val="24"/>
        </w:rPr>
        <w:t>на</w:t>
      </w:r>
      <w:r>
        <w:rPr>
          <w:spacing w:val="40"/>
          <w:position w:val="2"/>
          <w:sz w:val="24"/>
        </w:rPr>
        <w:t> </w:t>
      </w:r>
      <w:r>
        <w:rPr>
          <w:position w:val="2"/>
          <w:sz w:val="24"/>
        </w:rPr>
        <w:t>результат</w:t>
      </w:r>
      <w:r>
        <w:rPr>
          <w:spacing w:val="40"/>
          <w:position w:val="2"/>
          <w:sz w:val="24"/>
        </w:rPr>
        <w:t> </w:t>
      </w:r>
      <w:r>
        <w:rPr>
          <w:position w:val="2"/>
          <w:sz w:val="24"/>
        </w:rPr>
        <w:t>оценки;</w:t>
      </w:r>
      <w:r>
        <w:rPr>
          <w:spacing w:val="40"/>
          <w:position w:val="2"/>
          <w:sz w:val="24"/>
        </w:rPr>
        <w:t> </w:t>
      </w:r>
      <w:r>
        <w:rPr>
          <w:position w:val="2"/>
          <w:sz w:val="24"/>
        </w:rPr>
        <w:t>SpO</w:t>
      </w:r>
      <w:r>
        <w:rPr>
          <w:sz w:val="16"/>
        </w:rPr>
        <w:t>2</w:t>
      </w:r>
      <w:r>
        <w:rPr>
          <w:spacing w:val="72"/>
          <w:sz w:val="16"/>
        </w:rPr>
        <w:t> </w:t>
      </w:r>
      <w:r>
        <w:rPr>
          <w:position w:val="2"/>
          <w:sz w:val="24"/>
        </w:rPr>
        <w:t>для</w:t>
      </w:r>
      <w:r>
        <w:rPr>
          <w:spacing w:val="40"/>
          <w:position w:val="2"/>
          <w:sz w:val="24"/>
        </w:rPr>
        <w:t> </w:t>
      </w:r>
      <w:r>
        <w:rPr>
          <w:position w:val="2"/>
          <w:sz w:val="24"/>
        </w:rPr>
        <w:t>точного</w:t>
      </w:r>
      <w:r>
        <w:rPr>
          <w:spacing w:val="40"/>
          <w:position w:val="2"/>
          <w:sz w:val="24"/>
        </w:rPr>
        <w:t> </w:t>
      </w:r>
      <w:r>
        <w:rPr>
          <w:position w:val="2"/>
          <w:sz w:val="24"/>
        </w:rPr>
        <w:t>расчета не должна превышать 96%, FiO</w:t>
      </w:r>
      <w:r>
        <w:rPr>
          <w:sz w:val="16"/>
        </w:rPr>
        <w:t>2</w:t>
      </w:r>
      <w:r>
        <w:rPr>
          <w:spacing w:val="40"/>
          <w:sz w:val="16"/>
        </w:rPr>
        <w:t> </w:t>
      </w:r>
      <w:r>
        <w:rPr>
          <w:position w:val="2"/>
          <w:sz w:val="24"/>
        </w:rPr>
        <w:t>может быть завышена при применении расчётных </w:t>
      </w:r>
      <w:r>
        <w:rPr>
          <w:sz w:val="24"/>
        </w:rPr>
        <w:t>формул (чаще вне ОРИТ) в 1,2-2 раза, RR - часто занижен (см.выше)</w:t>
      </w:r>
    </w:p>
    <w:p>
      <w:pPr>
        <w:pStyle w:val="Heading3"/>
        <w:numPr>
          <w:ilvl w:val="0"/>
          <w:numId w:val="28"/>
        </w:numPr>
        <w:tabs>
          <w:tab w:pos="2546" w:val="left" w:leader="none"/>
        </w:tabs>
        <w:spacing w:line="276" w:lineRule="auto" w:before="20" w:after="0"/>
        <w:ind w:left="1841" w:right="1275" w:firstLine="467"/>
        <w:jc w:val="both"/>
        <w:rPr>
          <w:rFonts w:ascii="Arial" w:hAnsi="Arial"/>
          <w:b w:val="0"/>
          <w:sz w:val="22"/>
        </w:rPr>
      </w:pPr>
      <w:r>
        <w:rPr/>
        <w:t>шкала</w:t>
      </w:r>
      <w:r>
        <w:rPr>
          <w:spacing w:val="80"/>
        </w:rPr>
        <w:t>  </w:t>
      </w:r>
      <w:r>
        <w:rPr/>
        <w:t>оценки</w:t>
      </w:r>
      <w:r>
        <w:rPr>
          <w:spacing w:val="80"/>
        </w:rPr>
        <w:t>  </w:t>
      </w:r>
      <w:r>
        <w:rPr/>
        <w:t>работы</w:t>
      </w:r>
      <w:r>
        <w:rPr>
          <w:spacing w:val="80"/>
        </w:rPr>
        <w:t>  </w:t>
      </w:r>
      <w:r>
        <w:rPr/>
        <w:t>вспомогательных</w:t>
      </w:r>
      <w:r>
        <w:rPr>
          <w:spacing w:val="80"/>
        </w:rPr>
        <w:t>  </w:t>
      </w:r>
      <w:r>
        <w:rPr/>
        <w:t>дыхательных</w:t>
      </w:r>
      <w:r>
        <w:rPr>
          <w:spacing w:val="80"/>
        </w:rPr>
        <w:t>  </w:t>
      </w:r>
      <w:r>
        <w:rPr/>
        <w:t>мышц (по Patrick et al</w:t>
      </w:r>
      <w:r>
        <w:rPr>
          <w:b w:val="0"/>
        </w:rPr>
        <w:t>),</w:t>
      </w:r>
    </w:p>
    <w:p>
      <w:pPr>
        <w:pStyle w:val="ListParagraph"/>
        <w:numPr>
          <w:ilvl w:val="0"/>
          <w:numId w:val="28"/>
        </w:numPr>
        <w:tabs>
          <w:tab w:pos="2546" w:val="left" w:leader="none"/>
        </w:tabs>
        <w:spacing w:line="276" w:lineRule="auto" w:before="15" w:after="0"/>
        <w:ind w:left="1841" w:right="1271" w:firstLine="467"/>
        <w:jc w:val="both"/>
        <w:rPr>
          <w:rFonts w:ascii="Arial" w:hAnsi="Arial"/>
          <w:sz w:val="22"/>
        </w:rPr>
      </w:pPr>
      <w:r>
        <w:rPr>
          <w:b/>
          <w:sz w:val="24"/>
        </w:rPr>
        <w:t>оценка уровня диспноэ по визуально-аналоговой шкале (ВАШ) </w:t>
      </w:r>
      <w:r>
        <w:rPr>
          <w:sz w:val="24"/>
        </w:rPr>
        <w:t>пациента (от</w:t>
      </w:r>
      <w:r>
        <w:rPr>
          <w:spacing w:val="80"/>
          <w:w w:val="150"/>
          <w:sz w:val="24"/>
        </w:rPr>
        <w:t> </w:t>
      </w:r>
      <w:r>
        <w:rPr>
          <w:sz w:val="24"/>
        </w:rPr>
        <w:t>0</w:t>
      </w:r>
      <w:r>
        <w:rPr>
          <w:spacing w:val="80"/>
          <w:w w:val="150"/>
          <w:sz w:val="24"/>
        </w:rPr>
        <w:t> </w:t>
      </w:r>
      <w:r>
        <w:rPr>
          <w:sz w:val="24"/>
        </w:rPr>
        <w:t>до</w:t>
      </w:r>
      <w:r>
        <w:rPr>
          <w:spacing w:val="80"/>
          <w:w w:val="150"/>
          <w:sz w:val="24"/>
        </w:rPr>
        <w:t> </w:t>
      </w:r>
      <w:r>
        <w:rPr>
          <w:sz w:val="24"/>
        </w:rPr>
        <w:t>10</w:t>
      </w:r>
      <w:r>
        <w:rPr>
          <w:spacing w:val="80"/>
          <w:w w:val="150"/>
          <w:sz w:val="24"/>
        </w:rPr>
        <w:t> </w:t>
      </w:r>
      <w:r>
        <w:rPr>
          <w:sz w:val="24"/>
        </w:rPr>
        <w:t>баллов)</w:t>
      </w:r>
      <w:r>
        <w:rPr>
          <w:spacing w:val="80"/>
          <w:w w:val="150"/>
          <w:sz w:val="24"/>
        </w:rPr>
        <w:t> </w:t>
      </w:r>
      <w:r>
        <w:rPr>
          <w:sz w:val="24"/>
        </w:rPr>
        <w:t>-</w:t>
      </w:r>
      <w:r>
        <w:rPr>
          <w:spacing w:val="80"/>
          <w:w w:val="150"/>
          <w:sz w:val="24"/>
        </w:rPr>
        <w:t> </w:t>
      </w:r>
      <w:r>
        <w:rPr>
          <w:sz w:val="24"/>
        </w:rPr>
        <w:t>пациента</w:t>
      </w:r>
      <w:r>
        <w:rPr>
          <w:spacing w:val="80"/>
          <w:w w:val="150"/>
          <w:sz w:val="24"/>
        </w:rPr>
        <w:t> </w:t>
      </w:r>
      <w:r>
        <w:rPr>
          <w:sz w:val="24"/>
        </w:rPr>
        <w:t>просят</w:t>
      </w:r>
      <w:r>
        <w:rPr>
          <w:spacing w:val="80"/>
          <w:w w:val="150"/>
          <w:sz w:val="24"/>
        </w:rPr>
        <w:t> </w:t>
      </w:r>
      <w:r>
        <w:rPr>
          <w:sz w:val="24"/>
        </w:rPr>
        <w:t>оценить</w:t>
      </w:r>
      <w:r>
        <w:rPr>
          <w:spacing w:val="80"/>
          <w:w w:val="150"/>
          <w:sz w:val="24"/>
        </w:rPr>
        <w:t> </w:t>
      </w:r>
      <w:r>
        <w:rPr>
          <w:sz w:val="24"/>
        </w:rPr>
        <w:t>дыхательный</w:t>
      </w:r>
      <w:r>
        <w:rPr>
          <w:spacing w:val="80"/>
          <w:w w:val="150"/>
          <w:sz w:val="24"/>
        </w:rPr>
        <w:t> </w:t>
      </w:r>
      <w:r>
        <w:rPr>
          <w:sz w:val="24"/>
        </w:rPr>
        <w:t>дискомфорт по 10-балльной шкале,</w:t>
      </w:r>
    </w:p>
    <w:p>
      <w:pPr>
        <w:pStyle w:val="ListParagraph"/>
        <w:numPr>
          <w:ilvl w:val="0"/>
          <w:numId w:val="28"/>
        </w:numPr>
        <w:tabs>
          <w:tab w:pos="2546" w:val="left" w:leader="none"/>
        </w:tabs>
        <w:spacing w:line="276" w:lineRule="auto" w:before="11" w:after="0"/>
        <w:ind w:left="1841" w:right="1272" w:firstLine="467"/>
        <w:jc w:val="both"/>
        <w:rPr>
          <w:rFonts w:ascii="Arial" w:hAnsi="Arial"/>
          <w:sz w:val="22"/>
        </w:rPr>
      </w:pPr>
      <w:r>
        <w:rPr>
          <w:b/>
          <w:sz w:val="24"/>
        </w:rPr>
        <w:t>диффузное или очаговое поражение лёгких </w:t>
      </w:r>
      <w:r>
        <w:rPr>
          <w:sz w:val="24"/>
        </w:rPr>
        <w:t>при проведении КТ или </w:t>
      </w:r>
      <w:r>
        <w:rPr>
          <w:spacing w:val="-2"/>
          <w:sz w:val="24"/>
        </w:rPr>
        <w:t>рентгенографии,</w:t>
      </w:r>
    </w:p>
    <w:p>
      <w:pPr>
        <w:pStyle w:val="ListParagraph"/>
        <w:numPr>
          <w:ilvl w:val="0"/>
          <w:numId w:val="28"/>
        </w:numPr>
        <w:tabs>
          <w:tab w:pos="2547" w:val="left" w:leader="none"/>
        </w:tabs>
        <w:spacing w:line="240" w:lineRule="auto" w:before="13" w:after="0"/>
        <w:ind w:left="2547" w:right="0" w:hanging="238"/>
        <w:jc w:val="both"/>
        <w:rPr>
          <w:rFonts w:ascii="Arial" w:hAnsi="Arial"/>
          <w:position w:val="1"/>
          <w:sz w:val="22"/>
        </w:rPr>
      </w:pPr>
      <w:r>
        <w:rPr>
          <w:b/>
          <w:spacing w:val="-2"/>
          <w:position w:val="1"/>
          <w:sz w:val="24"/>
        </w:rPr>
        <w:t>индекс</w:t>
      </w:r>
      <w:r>
        <w:rPr>
          <w:b/>
          <w:spacing w:val="2"/>
          <w:position w:val="1"/>
          <w:sz w:val="24"/>
        </w:rPr>
        <w:t> </w:t>
      </w:r>
      <w:r>
        <w:rPr>
          <w:b/>
          <w:spacing w:val="-2"/>
          <w:position w:val="1"/>
          <w:sz w:val="24"/>
        </w:rPr>
        <w:t>PaO</w:t>
      </w:r>
      <w:r>
        <w:rPr>
          <w:b/>
          <w:spacing w:val="-2"/>
          <w:sz w:val="16"/>
        </w:rPr>
        <w:t>2</w:t>
      </w:r>
      <w:r>
        <w:rPr>
          <w:b/>
          <w:spacing w:val="-2"/>
          <w:position w:val="1"/>
          <w:sz w:val="24"/>
        </w:rPr>
        <w:t>/FiO</w:t>
      </w:r>
      <w:r>
        <w:rPr>
          <w:b/>
          <w:spacing w:val="-2"/>
          <w:sz w:val="16"/>
        </w:rPr>
        <w:t>2</w:t>
      </w:r>
      <w:r>
        <w:rPr>
          <w:b/>
          <w:spacing w:val="3"/>
          <w:sz w:val="16"/>
        </w:rPr>
        <w:t> </w:t>
      </w:r>
      <w:r>
        <w:rPr>
          <w:spacing w:val="-2"/>
          <w:position w:val="1"/>
          <w:sz w:val="24"/>
        </w:rPr>
        <w:t>(дополнительный</w:t>
      </w:r>
      <w:r>
        <w:rPr>
          <w:spacing w:val="1"/>
          <w:position w:val="1"/>
          <w:sz w:val="24"/>
        </w:rPr>
        <w:t> </w:t>
      </w:r>
      <w:r>
        <w:rPr>
          <w:spacing w:val="-2"/>
          <w:position w:val="1"/>
          <w:sz w:val="24"/>
        </w:rPr>
        <w:t>критерий</w:t>
      </w:r>
      <w:r>
        <w:rPr>
          <w:spacing w:val="1"/>
          <w:position w:val="1"/>
          <w:sz w:val="24"/>
        </w:rPr>
        <w:t> </w:t>
      </w:r>
      <w:r>
        <w:rPr>
          <w:spacing w:val="-2"/>
          <w:position w:val="1"/>
          <w:sz w:val="24"/>
        </w:rPr>
        <w:t>для</w:t>
      </w:r>
      <w:r>
        <w:rPr>
          <w:spacing w:val="2"/>
          <w:position w:val="1"/>
          <w:sz w:val="24"/>
        </w:rPr>
        <w:t> </w:t>
      </w:r>
      <w:r>
        <w:rPr>
          <w:spacing w:val="-2"/>
          <w:position w:val="1"/>
          <w:sz w:val="24"/>
        </w:rPr>
        <w:t>ОРИТ),</w:t>
      </w:r>
    </w:p>
    <w:p>
      <w:pPr>
        <w:pStyle w:val="ListParagraph"/>
        <w:numPr>
          <w:ilvl w:val="0"/>
          <w:numId w:val="28"/>
        </w:numPr>
        <w:tabs>
          <w:tab w:pos="2547" w:val="left" w:leader="none"/>
        </w:tabs>
        <w:spacing w:line="240" w:lineRule="auto" w:before="55" w:after="0"/>
        <w:ind w:left="2547" w:right="0" w:hanging="238"/>
        <w:jc w:val="both"/>
        <w:rPr>
          <w:rFonts w:ascii="Arial" w:hAnsi="Arial"/>
          <w:position w:val="1"/>
          <w:sz w:val="22"/>
        </w:rPr>
      </w:pPr>
      <w:r>
        <w:rPr>
          <w:b/>
          <w:position w:val="1"/>
          <w:sz w:val="24"/>
        </w:rPr>
        <w:t>P</w:t>
      </w:r>
      <w:r>
        <w:rPr>
          <w:b/>
          <w:sz w:val="16"/>
        </w:rPr>
        <w:t>ET</w:t>
      </w:r>
      <w:r>
        <w:rPr>
          <w:b/>
          <w:position w:val="1"/>
          <w:sz w:val="24"/>
        </w:rPr>
        <w:t>CO</w:t>
      </w:r>
      <w:r>
        <w:rPr>
          <w:b/>
          <w:sz w:val="16"/>
        </w:rPr>
        <w:t>2</w:t>
      </w:r>
      <w:r>
        <w:rPr>
          <w:b/>
          <w:spacing w:val="53"/>
          <w:sz w:val="16"/>
        </w:rPr>
        <w:t> </w:t>
      </w:r>
      <w:r>
        <w:rPr>
          <w:position w:val="1"/>
          <w:sz w:val="24"/>
        </w:rPr>
        <w:t>-</w:t>
      </w:r>
      <w:r>
        <w:rPr>
          <w:spacing w:val="30"/>
          <w:position w:val="1"/>
          <w:sz w:val="24"/>
        </w:rPr>
        <w:t> </w:t>
      </w:r>
      <w:r>
        <w:rPr>
          <w:position w:val="1"/>
          <w:sz w:val="24"/>
        </w:rPr>
        <w:t>парциальное</w:t>
      </w:r>
      <w:r>
        <w:rPr>
          <w:spacing w:val="32"/>
          <w:position w:val="1"/>
          <w:sz w:val="24"/>
        </w:rPr>
        <w:t> </w:t>
      </w:r>
      <w:r>
        <w:rPr>
          <w:position w:val="1"/>
          <w:sz w:val="24"/>
        </w:rPr>
        <w:t>давление</w:t>
      </w:r>
      <w:r>
        <w:rPr>
          <w:spacing w:val="31"/>
          <w:position w:val="1"/>
          <w:sz w:val="24"/>
        </w:rPr>
        <w:t> </w:t>
      </w:r>
      <w:r>
        <w:rPr>
          <w:position w:val="1"/>
          <w:sz w:val="24"/>
        </w:rPr>
        <w:t>углекислого</w:t>
      </w:r>
      <w:r>
        <w:rPr>
          <w:spacing w:val="33"/>
          <w:position w:val="1"/>
          <w:sz w:val="24"/>
        </w:rPr>
        <w:t> </w:t>
      </w:r>
      <w:r>
        <w:rPr>
          <w:position w:val="1"/>
          <w:sz w:val="24"/>
        </w:rPr>
        <w:t>газа</w:t>
      </w:r>
      <w:r>
        <w:rPr>
          <w:spacing w:val="31"/>
          <w:position w:val="1"/>
          <w:sz w:val="24"/>
        </w:rPr>
        <w:t> </w:t>
      </w:r>
      <w:r>
        <w:rPr>
          <w:position w:val="1"/>
          <w:sz w:val="24"/>
        </w:rPr>
        <w:t>в</w:t>
      </w:r>
      <w:r>
        <w:rPr>
          <w:spacing w:val="31"/>
          <w:position w:val="1"/>
          <w:sz w:val="24"/>
        </w:rPr>
        <w:t> </w:t>
      </w:r>
      <w:r>
        <w:rPr>
          <w:position w:val="1"/>
          <w:sz w:val="24"/>
        </w:rPr>
        <w:t>конце</w:t>
      </w:r>
      <w:r>
        <w:rPr>
          <w:spacing w:val="32"/>
          <w:position w:val="1"/>
          <w:sz w:val="24"/>
        </w:rPr>
        <w:t> </w:t>
      </w:r>
      <w:r>
        <w:rPr>
          <w:position w:val="1"/>
          <w:sz w:val="24"/>
        </w:rPr>
        <w:t>выдоха</w:t>
      </w:r>
      <w:r>
        <w:rPr>
          <w:spacing w:val="33"/>
          <w:position w:val="1"/>
          <w:sz w:val="24"/>
        </w:rPr>
        <w:t> </w:t>
      </w:r>
      <w:r>
        <w:rPr>
          <w:spacing w:val="-2"/>
          <w:position w:val="1"/>
          <w:sz w:val="24"/>
        </w:rPr>
        <w:t>пациента</w:t>
      </w:r>
    </w:p>
    <w:p>
      <w:pPr>
        <w:pStyle w:val="BodyText"/>
        <w:spacing w:before="43"/>
      </w:pPr>
      <w:r>
        <w:rPr/>
        <w:t>(дополнительный</w:t>
      </w:r>
      <w:r>
        <w:rPr>
          <w:spacing w:val="-7"/>
        </w:rPr>
        <w:t> </w:t>
      </w:r>
      <w:r>
        <w:rPr/>
        <w:t>критерий</w:t>
      </w:r>
      <w:r>
        <w:rPr>
          <w:spacing w:val="-4"/>
        </w:rPr>
        <w:t> </w:t>
      </w:r>
      <w:r>
        <w:rPr/>
        <w:t>для</w:t>
      </w:r>
      <w:r>
        <w:rPr>
          <w:spacing w:val="-6"/>
        </w:rPr>
        <w:t> </w:t>
      </w:r>
      <w:r>
        <w:rPr>
          <w:spacing w:val="-2"/>
        </w:rPr>
        <w:t>ОРИТ).</w:t>
      </w:r>
    </w:p>
    <w:p>
      <w:pPr>
        <w:pStyle w:val="BodyText"/>
        <w:spacing w:line="276" w:lineRule="auto" w:before="55"/>
        <w:ind w:right="1272" w:firstLine="707"/>
      </w:pPr>
      <w:r>
        <w:rPr/>
        <w:t>Каждый из этих критериев и их сочетание служат инструментом для выбора тактики респираторной поддержки в динамике. Оценку основных критериев следует </w:t>
      </w:r>
      <w:r>
        <w:rPr>
          <w:spacing w:val="-2"/>
        </w:rPr>
        <w:t>производить</w:t>
      </w:r>
      <w:r>
        <w:rPr>
          <w:spacing w:val="-6"/>
        </w:rPr>
        <w:t> </w:t>
      </w:r>
      <w:r>
        <w:rPr>
          <w:spacing w:val="-2"/>
        </w:rPr>
        <w:t>не</w:t>
      </w:r>
      <w:r>
        <w:rPr>
          <w:spacing w:val="-9"/>
        </w:rPr>
        <w:t> </w:t>
      </w:r>
      <w:r>
        <w:rPr>
          <w:spacing w:val="-2"/>
        </w:rPr>
        <w:t>реже,</w:t>
      </w:r>
      <w:r>
        <w:rPr>
          <w:spacing w:val="-8"/>
        </w:rPr>
        <w:t> </w:t>
      </w:r>
      <w:r>
        <w:rPr>
          <w:spacing w:val="-2"/>
        </w:rPr>
        <w:t>чем</w:t>
      </w:r>
      <w:r>
        <w:rPr>
          <w:spacing w:val="-10"/>
        </w:rPr>
        <w:t> </w:t>
      </w:r>
      <w:r>
        <w:rPr>
          <w:spacing w:val="-2"/>
        </w:rPr>
        <w:t>2</w:t>
      </w:r>
      <w:r>
        <w:rPr>
          <w:spacing w:val="-8"/>
        </w:rPr>
        <w:t> </w:t>
      </w:r>
      <w:r>
        <w:rPr>
          <w:spacing w:val="-2"/>
        </w:rPr>
        <w:t>раза</w:t>
      </w:r>
      <w:r>
        <w:rPr>
          <w:spacing w:val="-9"/>
        </w:rPr>
        <w:t> </w:t>
      </w:r>
      <w:r>
        <w:rPr>
          <w:spacing w:val="-2"/>
        </w:rPr>
        <w:t>в</w:t>
      </w:r>
      <w:r>
        <w:rPr>
          <w:spacing w:val="-9"/>
        </w:rPr>
        <w:t> </w:t>
      </w:r>
      <w:r>
        <w:rPr>
          <w:spacing w:val="-2"/>
        </w:rPr>
        <w:t>сутки,</w:t>
      </w:r>
      <w:r>
        <w:rPr>
          <w:spacing w:val="-7"/>
        </w:rPr>
        <w:t> </w:t>
      </w:r>
      <w:r>
        <w:rPr>
          <w:spacing w:val="-2"/>
        </w:rPr>
        <w:t>а</w:t>
      </w:r>
      <w:r>
        <w:rPr>
          <w:spacing w:val="-9"/>
        </w:rPr>
        <w:t> </w:t>
      </w:r>
      <w:r>
        <w:rPr>
          <w:spacing w:val="-2"/>
        </w:rPr>
        <w:t>при</w:t>
      </w:r>
      <w:r>
        <w:rPr>
          <w:spacing w:val="-7"/>
        </w:rPr>
        <w:t> </w:t>
      </w:r>
      <w:r>
        <w:rPr>
          <w:spacing w:val="-2"/>
        </w:rPr>
        <w:t>поступлении</w:t>
      </w:r>
      <w:r>
        <w:rPr>
          <w:spacing w:val="-8"/>
        </w:rPr>
        <w:t> </w:t>
      </w:r>
      <w:r>
        <w:rPr>
          <w:spacing w:val="-2"/>
        </w:rPr>
        <w:t>или</w:t>
      </w:r>
      <w:r>
        <w:rPr>
          <w:spacing w:val="-6"/>
        </w:rPr>
        <w:t> </w:t>
      </w:r>
      <w:r>
        <w:rPr>
          <w:spacing w:val="-2"/>
        </w:rPr>
        <w:t>ухудшении</w:t>
      </w:r>
      <w:r>
        <w:rPr>
          <w:spacing w:val="-6"/>
        </w:rPr>
        <w:t> </w:t>
      </w:r>
      <w:r>
        <w:rPr>
          <w:spacing w:val="-2"/>
        </w:rPr>
        <w:t>состояния</w:t>
      </w:r>
    </w:p>
    <w:p>
      <w:pPr>
        <w:pStyle w:val="BodyText"/>
        <w:spacing w:line="273" w:lineRule="exact"/>
      </w:pPr>
      <w:r>
        <w:rPr/>
        <w:t>-</w:t>
      </w:r>
      <w:r>
        <w:rPr>
          <w:spacing w:val="-4"/>
        </w:rPr>
        <w:t> </w:t>
      </w:r>
      <w:r>
        <w:rPr/>
        <w:t>не</w:t>
      </w:r>
      <w:r>
        <w:rPr>
          <w:spacing w:val="-5"/>
        </w:rPr>
        <w:t> </w:t>
      </w:r>
      <w:r>
        <w:rPr/>
        <w:t>реже</w:t>
      </w:r>
      <w:r>
        <w:rPr>
          <w:spacing w:val="-5"/>
        </w:rPr>
        <w:t> </w:t>
      </w:r>
      <w:r>
        <w:rPr/>
        <w:t>чем</w:t>
      </w:r>
      <w:r>
        <w:rPr>
          <w:spacing w:val="-4"/>
        </w:rPr>
        <w:t> </w:t>
      </w:r>
      <w:r>
        <w:rPr/>
        <w:t>каждые</w:t>
      </w:r>
      <w:r>
        <w:rPr>
          <w:spacing w:val="-6"/>
        </w:rPr>
        <w:t> </w:t>
      </w:r>
      <w:r>
        <w:rPr/>
        <w:t>6</w:t>
      </w:r>
      <w:r>
        <w:rPr>
          <w:spacing w:val="-1"/>
        </w:rPr>
        <w:t> </w:t>
      </w:r>
      <w:r>
        <w:rPr>
          <w:spacing w:val="-2"/>
        </w:rPr>
        <w:t>часов.</w:t>
      </w:r>
    </w:p>
    <w:p>
      <w:pPr>
        <w:pStyle w:val="Heading3"/>
        <w:spacing w:line="276" w:lineRule="auto" w:before="58"/>
        <w:ind w:left="1841" w:right="1275" w:firstLine="707"/>
      </w:pPr>
      <w:r>
        <w:rPr>
          <w:color w:val="1F487C"/>
        </w:rPr>
        <w:t>Шкала</w:t>
      </w:r>
      <w:r>
        <w:rPr>
          <w:color w:val="1F487C"/>
          <w:spacing w:val="80"/>
        </w:rPr>
        <w:t>  </w:t>
      </w:r>
      <w:r>
        <w:rPr>
          <w:color w:val="1F487C"/>
        </w:rPr>
        <w:t>оценки</w:t>
      </w:r>
      <w:r>
        <w:rPr>
          <w:color w:val="1F487C"/>
          <w:spacing w:val="80"/>
        </w:rPr>
        <w:t>  </w:t>
      </w:r>
      <w:r>
        <w:rPr>
          <w:color w:val="1F487C"/>
        </w:rPr>
        <w:t>работы</w:t>
      </w:r>
      <w:r>
        <w:rPr>
          <w:color w:val="1F487C"/>
          <w:spacing w:val="80"/>
        </w:rPr>
        <w:t>  </w:t>
      </w:r>
      <w:r>
        <w:rPr>
          <w:color w:val="1F487C"/>
        </w:rPr>
        <w:t>вспомогательных</w:t>
      </w:r>
      <w:r>
        <w:rPr>
          <w:color w:val="1F487C"/>
          <w:spacing w:val="80"/>
        </w:rPr>
        <w:t>  </w:t>
      </w:r>
      <w:r>
        <w:rPr>
          <w:color w:val="1F487C"/>
        </w:rPr>
        <w:t>дыхательных</w:t>
      </w:r>
      <w:r>
        <w:rPr>
          <w:color w:val="1F487C"/>
          <w:spacing w:val="80"/>
        </w:rPr>
        <w:t>  </w:t>
      </w:r>
      <w:r>
        <w:rPr>
          <w:color w:val="1F487C"/>
        </w:rPr>
        <w:t>мышц (по Patrick et al.):</w:t>
      </w:r>
    </w:p>
    <w:p>
      <w:pPr>
        <w:pStyle w:val="ListParagraph"/>
        <w:numPr>
          <w:ilvl w:val="0"/>
          <w:numId w:val="29"/>
        </w:numPr>
        <w:tabs>
          <w:tab w:pos="2725" w:val="left" w:leader="none"/>
        </w:tabs>
        <w:spacing w:line="240" w:lineRule="auto" w:before="12" w:after="0"/>
        <w:ind w:left="2725" w:right="0" w:hanging="176"/>
        <w:jc w:val="both"/>
        <w:rPr>
          <w:sz w:val="24"/>
        </w:rPr>
      </w:pPr>
      <w:r>
        <w:rPr>
          <w:b/>
          <w:sz w:val="24"/>
        </w:rPr>
        <w:t>баллов</w:t>
      </w:r>
      <w:r>
        <w:rPr>
          <w:b/>
          <w:spacing w:val="-13"/>
          <w:sz w:val="24"/>
        </w:rPr>
        <w:t> </w:t>
      </w:r>
      <w:r>
        <w:rPr>
          <w:sz w:val="24"/>
        </w:rPr>
        <w:t>-</w:t>
      </w:r>
      <w:r>
        <w:rPr>
          <w:spacing w:val="-14"/>
          <w:sz w:val="24"/>
        </w:rPr>
        <w:t> </w:t>
      </w:r>
      <w:r>
        <w:rPr>
          <w:sz w:val="24"/>
        </w:rPr>
        <w:t>Отсутствуют</w:t>
      </w:r>
      <w:r>
        <w:rPr>
          <w:spacing w:val="-12"/>
          <w:sz w:val="24"/>
        </w:rPr>
        <w:t> </w:t>
      </w:r>
      <w:r>
        <w:rPr>
          <w:sz w:val="24"/>
        </w:rPr>
        <w:t>видимые</w:t>
      </w:r>
      <w:r>
        <w:rPr>
          <w:spacing w:val="-13"/>
          <w:sz w:val="24"/>
        </w:rPr>
        <w:t> </w:t>
      </w:r>
      <w:r>
        <w:rPr>
          <w:sz w:val="24"/>
        </w:rPr>
        <w:t>тонические</w:t>
      </w:r>
      <w:r>
        <w:rPr>
          <w:spacing w:val="-13"/>
          <w:sz w:val="24"/>
        </w:rPr>
        <w:t> </w:t>
      </w:r>
      <w:r>
        <w:rPr>
          <w:sz w:val="24"/>
        </w:rPr>
        <w:t>или</w:t>
      </w:r>
      <w:r>
        <w:rPr>
          <w:spacing w:val="-11"/>
          <w:sz w:val="24"/>
        </w:rPr>
        <w:t> </w:t>
      </w:r>
      <w:r>
        <w:rPr>
          <w:sz w:val="24"/>
        </w:rPr>
        <w:t>фазные</w:t>
      </w:r>
      <w:r>
        <w:rPr>
          <w:spacing w:val="-15"/>
          <w:sz w:val="24"/>
        </w:rPr>
        <w:t> </w:t>
      </w:r>
      <w:r>
        <w:rPr>
          <w:sz w:val="24"/>
        </w:rPr>
        <w:t>сокращения</w:t>
      </w:r>
      <w:r>
        <w:rPr>
          <w:spacing w:val="-13"/>
          <w:sz w:val="24"/>
        </w:rPr>
        <w:t> </w:t>
      </w:r>
      <w:r>
        <w:rPr>
          <w:spacing w:val="-2"/>
          <w:sz w:val="24"/>
        </w:rPr>
        <w:t>шейных</w:t>
      </w:r>
    </w:p>
    <w:p>
      <w:pPr>
        <w:pStyle w:val="BodyText"/>
        <w:spacing w:before="41"/>
        <w:jc w:val="left"/>
      </w:pPr>
      <w:r>
        <w:rPr>
          <w:spacing w:val="-4"/>
        </w:rPr>
        <w:t>мышц</w:t>
      </w:r>
    </w:p>
    <w:p>
      <w:pPr>
        <w:pStyle w:val="ListParagraph"/>
        <w:numPr>
          <w:ilvl w:val="0"/>
          <w:numId w:val="29"/>
        </w:numPr>
        <w:tabs>
          <w:tab w:pos="2751" w:val="left" w:leader="none"/>
        </w:tabs>
        <w:spacing w:line="240" w:lineRule="auto" w:before="55" w:after="0"/>
        <w:ind w:left="2751" w:right="0" w:hanging="202"/>
        <w:jc w:val="left"/>
        <w:rPr>
          <w:sz w:val="24"/>
        </w:rPr>
      </w:pPr>
      <w:r>
        <w:rPr>
          <w:b/>
          <w:sz w:val="24"/>
        </w:rPr>
        <w:t>балл</w:t>
      </w:r>
      <w:r>
        <w:rPr>
          <w:b/>
          <w:spacing w:val="13"/>
          <w:sz w:val="24"/>
        </w:rPr>
        <w:t> </w:t>
      </w:r>
      <w:r>
        <w:rPr>
          <w:sz w:val="24"/>
        </w:rPr>
        <w:t>-</w:t>
      </w:r>
      <w:r>
        <w:rPr>
          <w:spacing w:val="15"/>
          <w:sz w:val="24"/>
        </w:rPr>
        <w:t> </w:t>
      </w:r>
      <w:r>
        <w:rPr>
          <w:sz w:val="24"/>
        </w:rPr>
        <w:t>Шейные</w:t>
      </w:r>
      <w:r>
        <w:rPr>
          <w:spacing w:val="14"/>
          <w:sz w:val="24"/>
        </w:rPr>
        <w:t> </w:t>
      </w:r>
      <w:r>
        <w:rPr>
          <w:sz w:val="24"/>
        </w:rPr>
        <w:t>мышцы</w:t>
      </w:r>
      <w:r>
        <w:rPr>
          <w:spacing w:val="15"/>
          <w:sz w:val="24"/>
        </w:rPr>
        <w:t> </w:t>
      </w:r>
      <w:r>
        <w:rPr>
          <w:sz w:val="24"/>
        </w:rPr>
        <w:t>напряжены,</w:t>
      </w:r>
      <w:r>
        <w:rPr>
          <w:spacing w:val="14"/>
          <w:sz w:val="24"/>
        </w:rPr>
        <w:t> </w:t>
      </w:r>
      <w:r>
        <w:rPr>
          <w:sz w:val="24"/>
        </w:rPr>
        <w:t>но</w:t>
      </w:r>
      <w:r>
        <w:rPr>
          <w:spacing w:val="14"/>
          <w:sz w:val="24"/>
        </w:rPr>
        <w:t> </w:t>
      </w:r>
      <w:r>
        <w:rPr>
          <w:sz w:val="24"/>
        </w:rPr>
        <w:t>без</w:t>
      </w:r>
      <w:r>
        <w:rPr>
          <w:spacing w:val="12"/>
          <w:sz w:val="24"/>
        </w:rPr>
        <w:t> </w:t>
      </w:r>
      <w:r>
        <w:rPr>
          <w:sz w:val="24"/>
        </w:rPr>
        <w:t>фазной</w:t>
      </w:r>
      <w:r>
        <w:rPr>
          <w:spacing w:val="15"/>
          <w:sz w:val="24"/>
        </w:rPr>
        <w:t> </w:t>
      </w:r>
      <w:r>
        <w:rPr>
          <w:sz w:val="24"/>
        </w:rPr>
        <w:t>модуляции</w:t>
      </w:r>
      <w:r>
        <w:rPr>
          <w:spacing w:val="17"/>
          <w:sz w:val="24"/>
        </w:rPr>
        <w:t> </w:t>
      </w:r>
      <w:r>
        <w:rPr>
          <w:spacing w:val="-2"/>
          <w:sz w:val="24"/>
        </w:rPr>
        <w:t>(тоническая</w:t>
      </w:r>
    </w:p>
    <w:p>
      <w:pPr>
        <w:pStyle w:val="BodyText"/>
        <w:spacing w:before="40"/>
        <w:jc w:val="left"/>
      </w:pPr>
      <w:r>
        <w:rPr>
          <w:spacing w:val="-2"/>
        </w:rPr>
        <w:t>активность)</w:t>
      </w:r>
    </w:p>
    <w:p>
      <w:pPr>
        <w:pStyle w:val="ListParagraph"/>
        <w:numPr>
          <w:ilvl w:val="0"/>
          <w:numId w:val="29"/>
        </w:numPr>
        <w:tabs>
          <w:tab w:pos="2727" w:val="left" w:leader="none"/>
        </w:tabs>
        <w:spacing w:line="240" w:lineRule="auto" w:before="56" w:after="0"/>
        <w:ind w:left="2727" w:right="0" w:hanging="178"/>
        <w:jc w:val="left"/>
        <w:rPr>
          <w:sz w:val="24"/>
        </w:rPr>
      </w:pPr>
      <w:r>
        <w:rPr>
          <w:b/>
          <w:sz w:val="24"/>
        </w:rPr>
        <w:t>балла</w:t>
      </w:r>
      <w:r>
        <w:rPr>
          <w:b/>
          <w:spacing w:val="-9"/>
          <w:sz w:val="24"/>
        </w:rPr>
        <w:t> </w:t>
      </w:r>
      <w:r>
        <w:rPr>
          <w:sz w:val="24"/>
        </w:rPr>
        <w:t>-</w:t>
      </w:r>
      <w:r>
        <w:rPr>
          <w:spacing w:val="-10"/>
          <w:sz w:val="24"/>
        </w:rPr>
        <w:t> </w:t>
      </w:r>
      <w:r>
        <w:rPr>
          <w:sz w:val="24"/>
        </w:rPr>
        <w:t>Слабые</w:t>
      </w:r>
      <w:r>
        <w:rPr>
          <w:spacing w:val="-10"/>
          <w:sz w:val="24"/>
        </w:rPr>
        <w:t> </w:t>
      </w:r>
      <w:r>
        <w:rPr>
          <w:sz w:val="24"/>
        </w:rPr>
        <w:t>сокращения</w:t>
      </w:r>
      <w:r>
        <w:rPr>
          <w:spacing w:val="-8"/>
          <w:sz w:val="24"/>
        </w:rPr>
        <w:t> </w:t>
      </w:r>
      <w:r>
        <w:rPr>
          <w:sz w:val="24"/>
        </w:rPr>
        <w:t>шейных</w:t>
      </w:r>
      <w:r>
        <w:rPr>
          <w:spacing w:val="-9"/>
          <w:sz w:val="24"/>
        </w:rPr>
        <w:t> </w:t>
      </w:r>
      <w:r>
        <w:rPr>
          <w:sz w:val="24"/>
        </w:rPr>
        <w:t>мышц</w:t>
      </w:r>
      <w:r>
        <w:rPr>
          <w:spacing w:val="-9"/>
          <w:sz w:val="24"/>
        </w:rPr>
        <w:t> </w:t>
      </w:r>
      <w:r>
        <w:rPr>
          <w:sz w:val="24"/>
        </w:rPr>
        <w:t>(видимые</w:t>
      </w:r>
      <w:r>
        <w:rPr>
          <w:spacing w:val="-9"/>
          <w:sz w:val="24"/>
        </w:rPr>
        <w:t> </w:t>
      </w:r>
      <w:r>
        <w:rPr>
          <w:sz w:val="24"/>
        </w:rPr>
        <w:t>или</w:t>
      </w:r>
      <w:r>
        <w:rPr>
          <w:spacing w:val="-10"/>
          <w:sz w:val="24"/>
        </w:rPr>
        <w:t> </w:t>
      </w:r>
      <w:r>
        <w:rPr>
          <w:spacing w:val="-2"/>
          <w:sz w:val="24"/>
        </w:rPr>
        <w:t>пальпируемые)</w:t>
      </w:r>
    </w:p>
    <w:p>
      <w:pPr>
        <w:pStyle w:val="ListParagraph"/>
        <w:numPr>
          <w:ilvl w:val="0"/>
          <w:numId w:val="29"/>
        </w:numPr>
        <w:tabs>
          <w:tab w:pos="2717" w:val="left" w:leader="none"/>
        </w:tabs>
        <w:spacing w:line="276" w:lineRule="auto" w:before="57" w:after="0"/>
        <w:ind w:left="1841" w:right="1274" w:firstLine="707"/>
        <w:jc w:val="left"/>
        <w:rPr>
          <w:sz w:val="24"/>
        </w:rPr>
      </w:pPr>
      <w:r>
        <w:rPr>
          <w:b/>
          <w:sz w:val="24"/>
        </w:rPr>
        <w:t>балла</w:t>
      </w:r>
      <w:r>
        <w:rPr>
          <w:b/>
          <w:spacing w:val="-15"/>
          <w:sz w:val="24"/>
        </w:rPr>
        <w:t> </w:t>
      </w:r>
      <w:r>
        <w:rPr>
          <w:sz w:val="24"/>
        </w:rPr>
        <w:t>-</w:t>
      </w:r>
      <w:r>
        <w:rPr>
          <w:spacing w:val="-15"/>
          <w:sz w:val="24"/>
        </w:rPr>
        <w:t> </w:t>
      </w:r>
      <w:r>
        <w:rPr>
          <w:sz w:val="24"/>
        </w:rPr>
        <w:t>Умеренные</w:t>
      </w:r>
      <w:r>
        <w:rPr>
          <w:spacing w:val="-15"/>
          <w:sz w:val="24"/>
        </w:rPr>
        <w:t> </w:t>
      </w:r>
      <w:r>
        <w:rPr>
          <w:sz w:val="24"/>
        </w:rPr>
        <w:t>сокращения</w:t>
      </w:r>
      <w:r>
        <w:rPr>
          <w:spacing w:val="-15"/>
          <w:sz w:val="24"/>
        </w:rPr>
        <w:t> </w:t>
      </w:r>
      <w:r>
        <w:rPr>
          <w:sz w:val="24"/>
        </w:rPr>
        <w:t>шейных</w:t>
      </w:r>
      <w:r>
        <w:rPr>
          <w:spacing w:val="-15"/>
          <w:sz w:val="24"/>
        </w:rPr>
        <w:t> </w:t>
      </w:r>
      <w:r>
        <w:rPr>
          <w:sz w:val="24"/>
        </w:rPr>
        <w:t>мышц</w:t>
      </w:r>
      <w:r>
        <w:rPr>
          <w:spacing w:val="-15"/>
          <w:sz w:val="24"/>
        </w:rPr>
        <w:t> </w:t>
      </w:r>
      <w:r>
        <w:rPr>
          <w:sz w:val="24"/>
        </w:rPr>
        <w:t>(нет</w:t>
      </w:r>
      <w:r>
        <w:rPr>
          <w:spacing w:val="-15"/>
          <w:sz w:val="24"/>
        </w:rPr>
        <w:t> </w:t>
      </w:r>
      <w:r>
        <w:rPr>
          <w:sz w:val="24"/>
        </w:rPr>
        <w:t>втяжения</w:t>
      </w:r>
      <w:r>
        <w:rPr>
          <w:spacing w:val="-15"/>
          <w:sz w:val="24"/>
        </w:rPr>
        <w:t> </w:t>
      </w:r>
      <w:r>
        <w:rPr>
          <w:sz w:val="24"/>
        </w:rPr>
        <w:t>надключичных ямок и межреберных промежутков)</w:t>
      </w:r>
    </w:p>
    <w:p>
      <w:pPr>
        <w:pStyle w:val="ListParagraph"/>
        <w:numPr>
          <w:ilvl w:val="0"/>
          <w:numId w:val="29"/>
        </w:numPr>
        <w:tabs>
          <w:tab w:pos="2755" w:val="left" w:leader="none"/>
        </w:tabs>
        <w:spacing w:line="276" w:lineRule="auto" w:before="13" w:after="0"/>
        <w:ind w:left="1841" w:right="1272" w:firstLine="707"/>
        <w:jc w:val="left"/>
        <w:rPr>
          <w:sz w:val="24"/>
        </w:rPr>
      </w:pPr>
      <w:r>
        <w:rPr>
          <w:b/>
          <w:sz w:val="24"/>
        </w:rPr>
        <w:t>балла </w:t>
      </w:r>
      <w:r>
        <w:rPr>
          <w:sz w:val="24"/>
        </w:rPr>
        <w:t>- Сильные сокращения шейных мышц (с втяжением надключичных ямок и межреберных промежутков)</w:t>
      </w:r>
    </w:p>
    <w:p>
      <w:pPr>
        <w:pStyle w:val="ListParagraph"/>
        <w:numPr>
          <w:ilvl w:val="0"/>
          <w:numId w:val="29"/>
        </w:numPr>
        <w:tabs>
          <w:tab w:pos="2727" w:val="left" w:leader="none"/>
        </w:tabs>
        <w:spacing w:line="240" w:lineRule="auto" w:before="12" w:after="0"/>
        <w:ind w:left="2727" w:right="0" w:hanging="178"/>
        <w:jc w:val="left"/>
        <w:rPr>
          <w:sz w:val="24"/>
        </w:rPr>
      </w:pPr>
      <w:r>
        <w:rPr>
          <w:b/>
          <w:sz w:val="24"/>
        </w:rPr>
        <w:t>баллов</w:t>
      </w:r>
      <w:r>
        <w:rPr>
          <w:b/>
          <w:spacing w:val="-10"/>
          <w:sz w:val="24"/>
        </w:rPr>
        <w:t> </w:t>
      </w:r>
      <w:r>
        <w:rPr>
          <w:sz w:val="24"/>
        </w:rPr>
        <w:t>-</w:t>
      </w:r>
      <w:r>
        <w:rPr>
          <w:spacing w:val="-10"/>
          <w:sz w:val="24"/>
        </w:rPr>
        <w:t> </w:t>
      </w:r>
      <w:r>
        <w:rPr>
          <w:sz w:val="24"/>
        </w:rPr>
        <w:t>Сильные</w:t>
      </w:r>
      <w:r>
        <w:rPr>
          <w:spacing w:val="-10"/>
          <w:sz w:val="24"/>
        </w:rPr>
        <w:t> </w:t>
      </w:r>
      <w:r>
        <w:rPr>
          <w:sz w:val="24"/>
        </w:rPr>
        <w:t>сокращения</w:t>
      </w:r>
      <w:r>
        <w:rPr>
          <w:spacing w:val="-9"/>
          <w:sz w:val="24"/>
        </w:rPr>
        <w:t> </w:t>
      </w:r>
      <w:r>
        <w:rPr>
          <w:sz w:val="24"/>
        </w:rPr>
        <w:t>шейных</w:t>
      </w:r>
      <w:r>
        <w:rPr>
          <w:spacing w:val="-11"/>
          <w:sz w:val="24"/>
        </w:rPr>
        <w:t> </w:t>
      </w:r>
      <w:r>
        <w:rPr>
          <w:sz w:val="24"/>
        </w:rPr>
        <w:t>мышц</w:t>
      </w:r>
      <w:r>
        <w:rPr>
          <w:spacing w:val="-9"/>
          <w:sz w:val="24"/>
        </w:rPr>
        <w:t> </w:t>
      </w:r>
      <w:r>
        <w:rPr>
          <w:sz w:val="24"/>
        </w:rPr>
        <w:t>+</w:t>
      </w:r>
      <w:r>
        <w:rPr>
          <w:spacing w:val="-10"/>
          <w:sz w:val="24"/>
        </w:rPr>
        <w:t> </w:t>
      </w:r>
      <w:r>
        <w:rPr>
          <w:sz w:val="24"/>
        </w:rPr>
        <w:t>абдоминальный</w:t>
      </w:r>
      <w:r>
        <w:rPr>
          <w:spacing w:val="-15"/>
          <w:sz w:val="24"/>
        </w:rPr>
        <w:t> </w:t>
      </w:r>
      <w:r>
        <w:rPr>
          <w:spacing w:val="-2"/>
          <w:sz w:val="24"/>
        </w:rPr>
        <w:t>парадокс</w:t>
      </w:r>
    </w:p>
    <w:p>
      <w:pPr>
        <w:pStyle w:val="Heading4"/>
        <w:spacing w:before="161"/>
        <w:jc w:val="left"/>
      </w:pPr>
      <w:r>
        <w:rPr>
          <w:color w:val="1F487C"/>
        </w:rPr>
        <w:t>Оценка</w:t>
      </w:r>
      <w:r>
        <w:rPr>
          <w:color w:val="1F487C"/>
          <w:spacing w:val="-12"/>
        </w:rPr>
        <w:t> </w:t>
      </w:r>
      <w:r>
        <w:rPr>
          <w:color w:val="1F487C"/>
        </w:rPr>
        <w:t>тяжести</w:t>
      </w:r>
      <w:r>
        <w:rPr>
          <w:color w:val="1F487C"/>
          <w:spacing w:val="-12"/>
        </w:rPr>
        <w:t> </w:t>
      </w:r>
      <w:r>
        <w:rPr>
          <w:color w:val="1F487C"/>
          <w:spacing w:val="-2"/>
        </w:rPr>
        <w:t>гипоксемии</w:t>
      </w:r>
    </w:p>
    <w:p>
      <w:pPr>
        <w:spacing w:line="321" w:lineRule="auto" w:before="162"/>
        <w:ind w:left="2549" w:right="1283" w:firstLine="0"/>
        <w:jc w:val="left"/>
        <w:rPr>
          <w:position w:val="2"/>
          <w:sz w:val="24"/>
        </w:rPr>
      </w:pPr>
      <w:r>
        <w:rPr>
          <w:b/>
          <w:position w:val="2"/>
          <w:sz w:val="24"/>
        </w:rPr>
        <w:t>Лёгкой степени </w:t>
      </w:r>
      <w:r>
        <w:rPr>
          <w:position w:val="2"/>
          <w:sz w:val="24"/>
        </w:rPr>
        <w:t>- SpO</w:t>
      </w:r>
      <w:r>
        <w:rPr>
          <w:sz w:val="16"/>
        </w:rPr>
        <w:t>2</w:t>
      </w:r>
      <w:r>
        <w:rPr>
          <w:spacing w:val="26"/>
          <w:sz w:val="16"/>
        </w:rPr>
        <w:t> </w:t>
      </w:r>
      <w:r>
        <w:rPr>
          <w:position w:val="2"/>
          <w:sz w:val="24"/>
        </w:rPr>
        <w:t>без кислорода 75-92%, PaO</w:t>
      </w:r>
      <w:r>
        <w:rPr>
          <w:sz w:val="16"/>
        </w:rPr>
        <w:t>2</w:t>
      </w:r>
      <w:r>
        <w:rPr>
          <w:position w:val="2"/>
          <w:sz w:val="24"/>
        </w:rPr>
        <w:t>/FiO</w:t>
      </w:r>
      <w:r>
        <w:rPr>
          <w:sz w:val="16"/>
        </w:rPr>
        <w:t>2</w:t>
      </w:r>
      <w:r>
        <w:rPr>
          <w:spacing w:val="29"/>
          <w:sz w:val="16"/>
        </w:rPr>
        <w:t> </w:t>
      </w:r>
      <w:r>
        <w:rPr>
          <w:position w:val="2"/>
          <w:sz w:val="24"/>
        </w:rPr>
        <w:t>200-300 мм рт.ст. </w:t>
      </w:r>
      <w:r>
        <w:rPr>
          <w:b/>
          <w:position w:val="2"/>
          <w:sz w:val="24"/>
        </w:rPr>
        <w:t>Средней</w:t>
      </w:r>
      <w:r>
        <w:rPr>
          <w:b/>
          <w:spacing w:val="-4"/>
          <w:position w:val="2"/>
          <w:sz w:val="24"/>
        </w:rPr>
        <w:t> </w:t>
      </w:r>
      <w:r>
        <w:rPr>
          <w:b/>
          <w:position w:val="2"/>
          <w:sz w:val="24"/>
        </w:rPr>
        <w:t>степени</w:t>
      </w:r>
      <w:r>
        <w:rPr>
          <w:b/>
          <w:spacing w:val="-4"/>
          <w:position w:val="2"/>
          <w:sz w:val="24"/>
        </w:rPr>
        <w:t> </w:t>
      </w:r>
      <w:r>
        <w:rPr>
          <w:position w:val="2"/>
          <w:sz w:val="24"/>
        </w:rPr>
        <w:t>-</w:t>
      </w:r>
      <w:r>
        <w:rPr>
          <w:spacing w:val="-6"/>
          <w:position w:val="2"/>
          <w:sz w:val="24"/>
        </w:rPr>
        <w:t> </w:t>
      </w:r>
      <w:r>
        <w:rPr>
          <w:position w:val="2"/>
          <w:sz w:val="24"/>
        </w:rPr>
        <w:t>SpO</w:t>
      </w:r>
      <w:r>
        <w:rPr>
          <w:sz w:val="16"/>
        </w:rPr>
        <w:t>2</w:t>
      </w:r>
      <w:r>
        <w:rPr>
          <w:spacing w:val="16"/>
          <w:sz w:val="16"/>
        </w:rPr>
        <w:t> </w:t>
      </w:r>
      <w:r>
        <w:rPr>
          <w:position w:val="2"/>
          <w:sz w:val="24"/>
        </w:rPr>
        <w:t>без</w:t>
      </w:r>
      <w:r>
        <w:rPr>
          <w:spacing w:val="-4"/>
          <w:position w:val="2"/>
          <w:sz w:val="24"/>
        </w:rPr>
        <w:t> </w:t>
      </w:r>
      <w:r>
        <w:rPr>
          <w:position w:val="2"/>
          <w:sz w:val="24"/>
        </w:rPr>
        <w:t>кислорода</w:t>
      </w:r>
      <w:r>
        <w:rPr>
          <w:spacing w:val="-8"/>
          <w:position w:val="2"/>
          <w:sz w:val="24"/>
        </w:rPr>
        <w:t> </w:t>
      </w:r>
      <w:r>
        <w:rPr>
          <w:position w:val="2"/>
          <w:sz w:val="24"/>
        </w:rPr>
        <w:t>50-75%,</w:t>
      </w:r>
      <w:r>
        <w:rPr>
          <w:spacing w:val="-6"/>
          <w:position w:val="2"/>
          <w:sz w:val="24"/>
        </w:rPr>
        <w:t> </w:t>
      </w:r>
      <w:r>
        <w:rPr>
          <w:position w:val="2"/>
          <w:sz w:val="24"/>
        </w:rPr>
        <w:t>PaO</w:t>
      </w:r>
      <w:r>
        <w:rPr>
          <w:sz w:val="16"/>
        </w:rPr>
        <w:t>2</w:t>
      </w:r>
      <w:r>
        <w:rPr>
          <w:position w:val="2"/>
          <w:sz w:val="24"/>
        </w:rPr>
        <w:t>/FiO</w:t>
      </w:r>
      <w:r>
        <w:rPr>
          <w:sz w:val="16"/>
        </w:rPr>
        <w:t>2</w:t>
      </w:r>
      <w:r>
        <w:rPr>
          <w:spacing w:val="16"/>
          <w:sz w:val="16"/>
        </w:rPr>
        <w:t> </w:t>
      </w:r>
      <w:r>
        <w:rPr>
          <w:position w:val="2"/>
          <w:sz w:val="24"/>
        </w:rPr>
        <w:t>100-200</w:t>
      </w:r>
      <w:r>
        <w:rPr>
          <w:spacing w:val="-6"/>
          <w:position w:val="2"/>
          <w:sz w:val="24"/>
        </w:rPr>
        <w:t> </w:t>
      </w:r>
      <w:r>
        <w:rPr>
          <w:position w:val="2"/>
          <w:sz w:val="24"/>
        </w:rPr>
        <w:t>мм</w:t>
      </w:r>
      <w:r>
        <w:rPr>
          <w:spacing w:val="-6"/>
          <w:position w:val="2"/>
          <w:sz w:val="24"/>
        </w:rPr>
        <w:t> </w:t>
      </w:r>
      <w:r>
        <w:rPr>
          <w:position w:val="2"/>
          <w:sz w:val="24"/>
        </w:rPr>
        <w:t>рт.ст. </w:t>
      </w:r>
      <w:r>
        <w:rPr>
          <w:b/>
          <w:position w:val="2"/>
          <w:sz w:val="24"/>
        </w:rPr>
        <w:t>Тяжёлой степени </w:t>
      </w:r>
      <w:r>
        <w:rPr>
          <w:position w:val="2"/>
          <w:sz w:val="24"/>
        </w:rPr>
        <w:t>- SpO</w:t>
      </w:r>
      <w:r>
        <w:rPr>
          <w:sz w:val="16"/>
        </w:rPr>
        <w:t>2</w:t>
      </w:r>
      <w:r>
        <w:rPr>
          <w:spacing w:val="33"/>
          <w:sz w:val="16"/>
        </w:rPr>
        <w:t> </w:t>
      </w:r>
      <w:r>
        <w:rPr>
          <w:position w:val="2"/>
          <w:sz w:val="24"/>
        </w:rPr>
        <w:t>без кислорода &lt;50%, PaO</w:t>
      </w:r>
      <w:r>
        <w:rPr>
          <w:sz w:val="16"/>
        </w:rPr>
        <w:t>2</w:t>
      </w:r>
      <w:r>
        <w:rPr>
          <w:position w:val="2"/>
          <w:sz w:val="24"/>
        </w:rPr>
        <w:t>/FiO</w:t>
      </w:r>
      <w:r>
        <w:rPr>
          <w:sz w:val="16"/>
        </w:rPr>
        <w:t>2</w:t>
      </w:r>
      <w:r>
        <w:rPr>
          <w:spacing w:val="33"/>
          <w:sz w:val="16"/>
        </w:rPr>
        <w:t> </w:t>
      </w:r>
      <w:r>
        <w:rPr>
          <w:position w:val="2"/>
          <w:sz w:val="24"/>
        </w:rPr>
        <w:t>&lt;100 мм рт.ст.</w:t>
      </w:r>
    </w:p>
    <w:p>
      <w:pPr>
        <w:spacing w:after="0" w:line="321" w:lineRule="auto"/>
        <w:jc w:val="left"/>
        <w:rPr>
          <w:position w:val="2"/>
          <w:sz w:val="24"/>
        </w:rPr>
        <w:sectPr>
          <w:pgSz w:w="11900" w:h="16840"/>
          <w:pgMar w:header="0" w:footer="697" w:top="1080" w:bottom="880" w:left="0" w:right="0"/>
        </w:sectPr>
      </w:pPr>
    </w:p>
    <w:p>
      <w:pPr>
        <w:pStyle w:val="Heading3"/>
        <w:spacing w:line="312" w:lineRule="auto" w:before="73"/>
        <w:ind w:left="1841" w:right="1271" w:firstLine="707"/>
      </w:pPr>
      <w:bookmarkStart w:name="72" w:id="88"/>
      <w:bookmarkEnd w:id="88"/>
      <w:r>
        <w:rPr>
          <w:b w:val="0"/>
        </w:rPr>
      </w:r>
      <w:r>
        <w:rPr/>
        <w:t>Для практических целей у пациентов</w:t>
      </w:r>
      <w:r>
        <w:rPr>
          <w:spacing w:val="-1"/>
        </w:rPr>
        <w:t> </w:t>
      </w:r>
      <w:r>
        <w:rPr/>
        <w:t>с COVID-19-ассоциированной ОДН для выбора и оценки эффекта респираторной поддержки следует выделить </w:t>
      </w:r>
      <w:r>
        <w:rPr>
          <w:position w:val="1"/>
        </w:rPr>
        <w:t>следующие</w:t>
      </w:r>
      <w:r>
        <w:rPr>
          <w:spacing w:val="76"/>
          <w:position w:val="1"/>
        </w:rPr>
        <w:t>   </w:t>
      </w:r>
      <w:r>
        <w:rPr>
          <w:position w:val="1"/>
        </w:rPr>
        <w:t>пороговые</w:t>
      </w:r>
      <w:r>
        <w:rPr>
          <w:spacing w:val="76"/>
          <w:position w:val="1"/>
        </w:rPr>
        <w:t>   </w:t>
      </w:r>
      <w:r>
        <w:rPr>
          <w:position w:val="1"/>
        </w:rPr>
        <w:t>значения</w:t>
      </w:r>
      <w:r>
        <w:rPr>
          <w:spacing w:val="76"/>
          <w:position w:val="1"/>
        </w:rPr>
        <w:t>   </w:t>
      </w:r>
      <w:r>
        <w:rPr>
          <w:position w:val="1"/>
        </w:rPr>
        <w:t>индекса</w:t>
      </w:r>
      <w:r>
        <w:rPr>
          <w:spacing w:val="76"/>
          <w:position w:val="1"/>
        </w:rPr>
        <w:t>   </w:t>
      </w:r>
      <w:r>
        <w:rPr>
          <w:position w:val="1"/>
        </w:rPr>
        <w:t>PaO</w:t>
      </w:r>
      <w:r>
        <w:rPr>
          <w:sz w:val="16"/>
        </w:rPr>
        <w:t>2</w:t>
      </w:r>
      <w:r>
        <w:rPr>
          <w:position w:val="1"/>
        </w:rPr>
        <w:t>/FiO</w:t>
      </w:r>
      <w:r>
        <w:rPr>
          <w:sz w:val="16"/>
        </w:rPr>
        <w:t>2</w:t>
      </w:r>
      <w:r>
        <w:rPr>
          <w:position w:val="1"/>
        </w:rPr>
        <w:t>,</w:t>
      </w:r>
      <w:r>
        <w:rPr>
          <w:spacing w:val="80"/>
          <w:w w:val="150"/>
          <w:position w:val="1"/>
        </w:rPr>
        <w:t>  </w:t>
      </w:r>
      <w:r>
        <w:rPr>
          <w:position w:val="1"/>
        </w:rPr>
        <w:t>основанные </w:t>
      </w:r>
      <w:r>
        <w:rPr/>
        <w:t>на обсервационных, рандомизированных исследованиях, и их мета-анализах:</w:t>
      </w:r>
    </w:p>
    <w:p>
      <w:pPr>
        <w:pStyle w:val="ListParagraph"/>
        <w:numPr>
          <w:ilvl w:val="0"/>
          <w:numId w:val="30"/>
        </w:numPr>
        <w:tabs>
          <w:tab w:pos="2546" w:val="left" w:leader="none"/>
        </w:tabs>
        <w:spacing w:line="309" w:lineRule="auto" w:before="12" w:after="0"/>
        <w:ind w:left="1841" w:right="1275" w:firstLine="467"/>
        <w:jc w:val="both"/>
        <w:rPr>
          <w:rFonts w:ascii="Arial" w:hAnsi="Arial"/>
          <w:position w:val="2"/>
          <w:sz w:val="22"/>
        </w:rPr>
      </w:pPr>
      <w:r>
        <w:rPr>
          <w:position w:val="2"/>
          <w:sz w:val="24"/>
        </w:rPr>
        <w:t>PaO</w:t>
      </w:r>
      <w:r>
        <w:rPr>
          <w:sz w:val="16"/>
        </w:rPr>
        <w:t>2</w:t>
      </w:r>
      <w:r>
        <w:rPr>
          <w:position w:val="2"/>
          <w:sz w:val="24"/>
        </w:rPr>
        <w:t>/FiO</w:t>
      </w:r>
      <w:r>
        <w:rPr>
          <w:sz w:val="16"/>
        </w:rPr>
        <w:t>2 </w:t>
      </w:r>
      <w:r>
        <w:rPr>
          <w:position w:val="2"/>
          <w:sz w:val="24"/>
        </w:rPr>
        <w:t>&gt;150 мм рт.ст. (высокая эффективность применения </w:t>
      </w:r>
      <w:r>
        <w:rPr>
          <w:sz w:val="24"/>
        </w:rPr>
        <w:t>оксигенотерапии и НИВЛ вне ОРИТ/в ОРИТ - до ~60-80%),</w:t>
      </w:r>
    </w:p>
    <w:p>
      <w:pPr>
        <w:pStyle w:val="ListParagraph"/>
        <w:numPr>
          <w:ilvl w:val="0"/>
          <w:numId w:val="30"/>
        </w:numPr>
        <w:tabs>
          <w:tab w:pos="2546" w:val="left" w:leader="none"/>
        </w:tabs>
        <w:spacing w:line="309" w:lineRule="auto" w:before="17" w:after="0"/>
        <w:ind w:left="1841" w:right="1274" w:firstLine="467"/>
        <w:jc w:val="both"/>
        <w:rPr>
          <w:rFonts w:ascii="Arial" w:hAnsi="Arial"/>
          <w:position w:val="2"/>
          <w:sz w:val="22"/>
        </w:rPr>
      </w:pPr>
      <w:r>
        <w:rPr>
          <w:spacing w:val="-2"/>
          <w:position w:val="2"/>
          <w:sz w:val="24"/>
        </w:rPr>
        <w:t>PaO</w:t>
      </w:r>
      <w:r>
        <w:rPr>
          <w:spacing w:val="-2"/>
          <w:sz w:val="16"/>
        </w:rPr>
        <w:t>2</w:t>
      </w:r>
      <w:r>
        <w:rPr>
          <w:spacing w:val="-2"/>
          <w:position w:val="2"/>
          <w:sz w:val="24"/>
        </w:rPr>
        <w:t>/FiO</w:t>
      </w:r>
      <w:r>
        <w:rPr>
          <w:spacing w:val="-2"/>
          <w:sz w:val="16"/>
        </w:rPr>
        <w:t>2 </w:t>
      </w:r>
      <w:r>
        <w:rPr>
          <w:spacing w:val="-2"/>
          <w:position w:val="2"/>
          <w:sz w:val="24"/>
        </w:rPr>
        <w:t>&lt;150</w:t>
      </w:r>
      <w:r>
        <w:rPr>
          <w:spacing w:val="-6"/>
          <w:position w:val="2"/>
          <w:sz w:val="24"/>
        </w:rPr>
        <w:t> </w:t>
      </w:r>
      <w:r>
        <w:rPr>
          <w:spacing w:val="-2"/>
          <w:position w:val="2"/>
          <w:sz w:val="24"/>
        </w:rPr>
        <w:t>мм</w:t>
      </w:r>
      <w:r>
        <w:rPr>
          <w:spacing w:val="-8"/>
          <w:position w:val="2"/>
          <w:sz w:val="24"/>
        </w:rPr>
        <w:t> </w:t>
      </w:r>
      <w:r>
        <w:rPr>
          <w:spacing w:val="-2"/>
          <w:position w:val="2"/>
          <w:sz w:val="24"/>
        </w:rPr>
        <w:t>рт.ст.</w:t>
      </w:r>
      <w:r>
        <w:rPr>
          <w:spacing w:val="-6"/>
          <w:position w:val="2"/>
          <w:sz w:val="24"/>
        </w:rPr>
        <w:t> </w:t>
      </w:r>
      <w:r>
        <w:rPr>
          <w:spacing w:val="-2"/>
          <w:position w:val="2"/>
          <w:sz w:val="24"/>
        </w:rPr>
        <w:t>(неэффективность</w:t>
      </w:r>
      <w:r>
        <w:rPr>
          <w:spacing w:val="-3"/>
          <w:position w:val="2"/>
          <w:sz w:val="24"/>
        </w:rPr>
        <w:t> </w:t>
      </w:r>
      <w:r>
        <w:rPr>
          <w:spacing w:val="-2"/>
          <w:position w:val="2"/>
          <w:sz w:val="24"/>
        </w:rPr>
        <w:t>применения</w:t>
      </w:r>
      <w:r>
        <w:rPr>
          <w:spacing w:val="-4"/>
          <w:position w:val="2"/>
          <w:sz w:val="24"/>
        </w:rPr>
        <w:t> </w:t>
      </w:r>
      <w:r>
        <w:rPr>
          <w:spacing w:val="-2"/>
          <w:position w:val="2"/>
          <w:sz w:val="24"/>
        </w:rPr>
        <w:t>НИВЛ</w:t>
      </w:r>
      <w:r>
        <w:rPr>
          <w:spacing w:val="-5"/>
          <w:position w:val="2"/>
          <w:sz w:val="24"/>
        </w:rPr>
        <w:t> </w:t>
      </w:r>
      <w:r>
        <w:rPr>
          <w:spacing w:val="-2"/>
          <w:position w:val="2"/>
          <w:sz w:val="24"/>
        </w:rPr>
        <w:t>вне</w:t>
      </w:r>
      <w:r>
        <w:rPr>
          <w:spacing w:val="-8"/>
          <w:position w:val="2"/>
          <w:sz w:val="24"/>
        </w:rPr>
        <w:t> </w:t>
      </w:r>
      <w:r>
        <w:rPr>
          <w:spacing w:val="-2"/>
          <w:position w:val="2"/>
          <w:sz w:val="24"/>
        </w:rPr>
        <w:t>ОРИТ</w:t>
      </w:r>
      <w:r>
        <w:rPr>
          <w:spacing w:val="-8"/>
          <w:position w:val="2"/>
          <w:sz w:val="24"/>
        </w:rPr>
        <w:t> </w:t>
      </w:r>
      <w:r>
        <w:rPr>
          <w:spacing w:val="-2"/>
          <w:position w:val="2"/>
          <w:sz w:val="24"/>
        </w:rPr>
        <w:t>~50% </w:t>
      </w:r>
      <w:r>
        <w:rPr>
          <w:sz w:val="24"/>
        </w:rPr>
        <w:t>и более),</w:t>
      </w:r>
    </w:p>
    <w:p>
      <w:pPr>
        <w:pStyle w:val="ListParagraph"/>
        <w:numPr>
          <w:ilvl w:val="0"/>
          <w:numId w:val="30"/>
        </w:numPr>
        <w:tabs>
          <w:tab w:pos="2546" w:val="left" w:leader="none"/>
        </w:tabs>
        <w:spacing w:line="312" w:lineRule="auto" w:before="14" w:after="0"/>
        <w:ind w:left="1841" w:right="1273" w:firstLine="467"/>
        <w:jc w:val="both"/>
        <w:rPr>
          <w:rFonts w:ascii="Arial" w:hAnsi="Arial"/>
          <w:position w:val="2"/>
          <w:sz w:val="22"/>
        </w:rPr>
      </w:pPr>
      <w:r>
        <w:rPr>
          <w:position w:val="2"/>
          <w:sz w:val="24"/>
        </w:rPr>
        <w:t>PaO</w:t>
      </w:r>
      <w:r>
        <w:rPr>
          <w:sz w:val="16"/>
        </w:rPr>
        <w:t>2</w:t>
      </w:r>
      <w:r>
        <w:rPr>
          <w:position w:val="2"/>
          <w:sz w:val="24"/>
        </w:rPr>
        <w:t>/FiO</w:t>
      </w:r>
      <w:r>
        <w:rPr>
          <w:sz w:val="16"/>
        </w:rPr>
        <w:t>2</w:t>
      </w:r>
      <w:r>
        <w:rPr>
          <w:spacing w:val="10"/>
          <w:sz w:val="16"/>
        </w:rPr>
        <w:t> </w:t>
      </w:r>
      <w:r>
        <w:rPr>
          <w:position w:val="2"/>
          <w:sz w:val="24"/>
        </w:rPr>
        <w:t>&lt;100</w:t>
      </w:r>
      <w:r>
        <w:rPr>
          <w:spacing w:val="-11"/>
          <w:position w:val="2"/>
          <w:sz w:val="24"/>
        </w:rPr>
        <w:t> </w:t>
      </w:r>
      <w:r>
        <w:rPr>
          <w:position w:val="2"/>
          <w:sz w:val="24"/>
        </w:rPr>
        <w:t>мм</w:t>
      </w:r>
      <w:r>
        <w:rPr>
          <w:spacing w:val="-11"/>
          <w:position w:val="2"/>
          <w:sz w:val="24"/>
        </w:rPr>
        <w:t> </w:t>
      </w:r>
      <w:r>
        <w:rPr>
          <w:position w:val="2"/>
          <w:sz w:val="24"/>
        </w:rPr>
        <w:t>рт.ст.</w:t>
      </w:r>
      <w:r>
        <w:rPr>
          <w:spacing w:val="-10"/>
          <w:position w:val="2"/>
          <w:sz w:val="24"/>
        </w:rPr>
        <w:t> </w:t>
      </w:r>
      <w:r>
        <w:rPr>
          <w:position w:val="2"/>
          <w:sz w:val="24"/>
        </w:rPr>
        <w:t>(при</w:t>
      </w:r>
      <w:r>
        <w:rPr>
          <w:spacing w:val="-9"/>
          <w:position w:val="2"/>
          <w:sz w:val="24"/>
        </w:rPr>
        <w:t> </w:t>
      </w:r>
      <w:r>
        <w:rPr>
          <w:position w:val="2"/>
          <w:sz w:val="24"/>
        </w:rPr>
        <w:t>сохранении</w:t>
      </w:r>
      <w:r>
        <w:rPr>
          <w:spacing w:val="-9"/>
          <w:position w:val="2"/>
          <w:sz w:val="24"/>
        </w:rPr>
        <w:t> </w:t>
      </w:r>
      <w:r>
        <w:rPr>
          <w:position w:val="2"/>
          <w:sz w:val="24"/>
        </w:rPr>
        <w:t>такого</w:t>
      </w:r>
      <w:r>
        <w:rPr>
          <w:spacing w:val="-11"/>
          <w:position w:val="2"/>
          <w:sz w:val="24"/>
        </w:rPr>
        <w:t> </w:t>
      </w:r>
      <w:r>
        <w:rPr>
          <w:position w:val="2"/>
          <w:sz w:val="24"/>
        </w:rPr>
        <w:t>индекса</w:t>
      </w:r>
      <w:r>
        <w:rPr>
          <w:spacing w:val="-10"/>
          <w:position w:val="2"/>
          <w:sz w:val="24"/>
        </w:rPr>
        <w:t> </w:t>
      </w:r>
      <w:r>
        <w:rPr>
          <w:position w:val="2"/>
          <w:sz w:val="24"/>
        </w:rPr>
        <w:t>на</w:t>
      </w:r>
      <w:r>
        <w:rPr>
          <w:spacing w:val="-12"/>
          <w:position w:val="2"/>
          <w:sz w:val="24"/>
        </w:rPr>
        <w:t> </w:t>
      </w:r>
      <w:r>
        <w:rPr>
          <w:position w:val="2"/>
          <w:sz w:val="24"/>
        </w:rPr>
        <w:t>фоне</w:t>
      </w:r>
      <w:r>
        <w:rPr>
          <w:spacing w:val="-11"/>
          <w:position w:val="2"/>
          <w:sz w:val="24"/>
        </w:rPr>
        <w:t> </w:t>
      </w:r>
      <w:r>
        <w:rPr>
          <w:position w:val="2"/>
          <w:sz w:val="24"/>
        </w:rPr>
        <w:t>НИВЛ</w:t>
      </w:r>
      <w:r>
        <w:rPr>
          <w:spacing w:val="-10"/>
          <w:position w:val="2"/>
          <w:sz w:val="24"/>
        </w:rPr>
        <w:t> </w:t>
      </w:r>
      <w:r>
        <w:rPr>
          <w:position w:val="2"/>
          <w:sz w:val="24"/>
        </w:rPr>
        <w:t>более </w:t>
      </w:r>
      <w:r>
        <w:rPr>
          <w:sz w:val="24"/>
        </w:rPr>
        <w:t>24 часов высокий риск неудачи НИВЛ - более 80%, а также риск прогрессирования повреждения лёгких на фоне продолжающейся НИВЛ),</w:t>
      </w:r>
    </w:p>
    <w:p>
      <w:pPr>
        <w:pStyle w:val="ListParagraph"/>
        <w:numPr>
          <w:ilvl w:val="0"/>
          <w:numId w:val="30"/>
        </w:numPr>
        <w:tabs>
          <w:tab w:pos="2546" w:val="left" w:leader="none"/>
        </w:tabs>
        <w:spacing w:line="312" w:lineRule="auto" w:before="13" w:after="0"/>
        <w:ind w:left="1841" w:right="1270" w:firstLine="467"/>
        <w:jc w:val="both"/>
        <w:rPr>
          <w:rFonts w:ascii="Arial" w:hAnsi="Arial"/>
          <w:position w:val="2"/>
          <w:sz w:val="22"/>
        </w:rPr>
      </w:pPr>
      <w:r>
        <w:rPr>
          <w:position w:val="2"/>
          <w:sz w:val="24"/>
        </w:rPr>
        <w:t>PaO</w:t>
      </w:r>
      <w:r>
        <w:rPr>
          <w:sz w:val="16"/>
        </w:rPr>
        <w:t>2</w:t>
      </w:r>
      <w:r>
        <w:rPr>
          <w:position w:val="2"/>
          <w:sz w:val="24"/>
        </w:rPr>
        <w:t>/FiO</w:t>
      </w:r>
      <w:r>
        <w:rPr>
          <w:sz w:val="16"/>
        </w:rPr>
        <w:t>2</w:t>
      </w:r>
      <w:r>
        <w:rPr>
          <w:spacing w:val="40"/>
          <w:sz w:val="16"/>
        </w:rPr>
        <w:t> </w:t>
      </w:r>
      <w:r>
        <w:rPr>
          <w:position w:val="2"/>
          <w:sz w:val="24"/>
        </w:rPr>
        <w:t>&lt;80 мм рт.ст. (неэффективность применения НИВЛ и ИВЛ при </w:t>
      </w:r>
      <w:r>
        <w:rPr>
          <w:sz w:val="24"/>
        </w:rPr>
        <w:t>сохранении более 24 часов, риск прогрессирования повреждения лёгких на фоне продолжающейся НИВЛ и ИВЛ, пациент должен быть обсужден для проведения </w:t>
      </w:r>
      <w:r>
        <w:rPr>
          <w:spacing w:val="-2"/>
          <w:sz w:val="24"/>
        </w:rPr>
        <w:t>ЭКМО).</w:t>
      </w:r>
    </w:p>
    <w:p>
      <w:pPr>
        <w:pStyle w:val="Heading3"/>
        <w:spacing w:before="114"/>
        <w:jc w:val="left"/>
      </w:pPr>
      <w:r>
        <w:rPr>
          <w:color w:val="1F487C"/>
          <w:spacing w:val="-2"/>
        </w:rPr>
        <w:t>Критерии</w:t>
      </w:r>
      <w:r>
        <w:rPr>
          <w:color w:val="1F487C"/>
          <w:spacing w:val="3"/>
        </w:rPr>
        <w:t> </w:t>
      </w:r>
      <w:r>
        <w:rPr>
          <w:color w:val="1F487C"/>
          <w:spacing w:val="-2"/>
        </w:rPr>
        <w:t>«респираторного</w:t>
      </w:r>
      <w:r>
        <w:rPr>
          <w:color w:val="1F487C"/>
          <w:spacing w:val="2"/>
        </w:rPr>
        <w:t> </w:t>
      </w:r>
      <w:r>
        <w:rPr>
          <w:color w:val="1F487C"/>
          <w:spacing w:val="-2"/>
        </w:rPr>
        <w:t>дистресса»:</w:t>
      </w:r>
    </w:p>
    <w:p>
      <w:pPr>
        <w:pStyle w:val="ListParagraph"/>
        <w:numPr>
          <w:ilvl w:val="0"/>
          <w:numId w:val="30"/>
        </w:numPr>
        <w:tabs>
          <w:tab w:pos="2547" w:val="left" w:leader="none"/>
        </w:tabs>
        <w:spacing w:line="240" w:lineRule="auto" w:before="163" w:after="0"/>
        <w:ind w:left="2547" w:right="0" w:hanging="238"/>
        <w:jc w:val="left"/>
        <w:rPr>
          <w:rFonts w:ascii="Arial" w:hAnsi="Arial"/>
          <w:sz w:val="22"/>
        </w:rPr>
      </w:pPr>
      <w:r>
        <w:rPr>
          <w:sz w:val="24"/>
        </w:rPr>
        <w:t>ROX-индекс</w:t>
      </w:r>
      <w:r>
        <w:rPr>
          <w:spacing w:val="-13"/>
          <w:sz w:val="24"/>
        </w:rPr>
        <w:t> </w:t>
      </w:r>
      <w:r>
        <w:rPr>
          <w:sz w:val="24"/>
        </w:rPr>
        <w:t>менее</w:t>
      </w:r>
      <w:r>
        <w:rPr>
          <w:spacing w:val="-13"/>
          <w:sz w:val="24"/>
        </w:rPr>
        <w:t> </w:t>
      </w:r>
      <w:r>
        <w:rPr>
          <w:spacing w:val="-5"/>
          <w:sz w:val="24"/>
        </w:rPr>
        <w:t>5,</w:t>
      </w:r>
    </w:p>
    <w:p>
      <w:pPr>
        <w:pStyle w:val="ListParagraph"/>
        <w:numPr>
          <w:ilvl w:val="0"/>
          <w:numId w:val="30"/>
        </w:numPr>
        <w:tabs>
          <w:tab w:pos="2547" w:val="left" w:leader="none"/>
        </w:tabs>
        <w:spacing w:line="240" w:lineRule="auto" w:before="55" w:after="0"/>
        <w:ind w:left="2547" w:right="0" w:hanging="238"/>
        <w:jc w:val="left"/>
        <w:rPr>
          <w:rFonts w:ascii="Arial" w:hAnsi="Arial"/>
          <w:sz w:val="22"/>
        </w:rPr>
      </w:pPr>
      <w:r>
        <w:rPr>
          <w:sz w:val="24"/>
        </w:rPr>
        <w:t>частота</w:t>
      </w:r>
      <w:r>
        <w:rPr>
          <w:spacing w:val="-10"/>
          <w:sz w:val="24"/>
        </w:rPr>
        <w:t> </w:t>
      </w:r>
      <w:r>
        <w:rPr>
          <w:sz w:val="24"/>
        </w:rPr>
        <w:t>дыхательных</w:t>
      </w:r>
      <w:r>
        <w:rPr>
          <w:spacing w:val="-8"/>
          <w:sz w:val="24"/>
        </w:rPr>
        <w:t> </w:t>
      </w:r>
      <w:r>
        <w:rPr>
          <w:sz w:val="24"/>
        </w:rPr>
        <w:t>движений</w:t>
      </w:r>
      <w:r>
        <w:rPr>
          <w:spacing w:val="-6"/>
          <w:sz w:val="24"/>
        </w:rPr>
        <w:t> </w:t>
      </w:r>
      <w:r>
        <w:rPr>
          <w:sz w:val="24"/>
        </w:rPr>
        <w:t>более</w:t>
      </w:r>
      <w:r>
        <w:rPr>
          <w:spacing w:val="-10"/>
          <w:sz w:val="24"/>
        </w:rPr>
        <w:t> </w:t>
      </w:r>
      <w:r>
        <w:rPr>
          <w:sz w:val="24"/>
        </w:rPr>
        <w:t>30</w:t>
      </w:r>
      <w:r>
        <w:rPr>
          <w:spacing w:val="-9"/>
          <w:sz w:val="24"/>
        </w:rPr>
        <w:t> </w:t>
      </w:r>
      <w:r>
        <w:rPr>
          <w:sz w:val="24"/>
        </w:rPr>
        <w:t>в</w:t>
      </w:r>
      <w:r>
        <w:rPr>
          <w:spacing w:val="-9"/>
          <w:sz w:val="24"/>
        </w:rPr>
        <w:t> </w:t>
      </w:r>
      <w:r>
        <w:rPr>
          <w:spacing w:val="-4"/>
          <w:sz w:val="24"/>
        </w:rPr>
        <w:t>мин,</w:t>
      </w:r>
    </w:p>
    <w:p>
      <w:pPr>
        <w:pStyle w:val="ListParagraph"/>
        <w:numPr>
          <w:ilvl w:val="0"/>
          <w:numId w:val="30"/>
        </w:numPr>
        <w:tabs>
          <w:tab w:pos="2546" w:val="left" w:leader="none"/>
          <w:tab w:pos="3516" w:val="left" w:leader="none"/>
          <w:tab w:pos="5600" w:val="left" w:leader="none"/>
          <w:tab w:pos="7244" w:val="left" w:leader="none"/>
          <w:tab w:pos="8159" w:val="left" w:leader="none"/>
          <w:tab w:pos="8645" w:val="left" w:leader="none"/>
          <w:tab w:pos="9062" w:val="left" w:leader="none"/>
          <w:tab w:pos="9923" w:val="left" w:leader="none"/>
        </w:tabs>
        <w:spacing w:line="276" w:lineRule="auto" w:before="55" w:after="0"/>
        <w:ind w:left="1841" w:right="1274" w:firstLine="467"/>
        <w:jc w:val="left"/>
        <w:rPr>
          <w:rFonts w:ascii="Arial" w:hAnsi="Arial"/>
          <w:sz w:val="22"/>
        </w:rPr>
      </w:pPr>
      <w:r>
        <w:rPr>
          <w:spacing w:val="-2"/>
          <w:sz w:val="24"/>
        </w:rPr>
        <w:t>работа</w:t>
      </w:r>
      <w:r>
        <w:rPr>
          <w:sz w:val="24"/>
        </w:rPr>
        <w:tab/>
      </w:r>
      <w:r>
        <w:rPr>
          <w:spacing w:val="-2"/>
          <w:sz w:val="24"/>
        </w:rPr>
        <w:t>вспомогательных</w:t>
      </w:r>
      <w:r>
        <w:rPr>
          <w:sz w:val="24"/>
        </w:rPr>
        <w:tab/>
      </w:r>
      <w:r>
        <w:rPr>
          <w:spacing w:val="-2"/>
          <w:sz w:val="24"/>
        </w:rPr>
        <w:t>дыхательных</w:t>
      </w:r>
      <w:r>
        <w:rPr>
          <w:sz w:val="24"/>
        </w:rPr>
        <w:tab/>
      </w:r>
      <w:r>
        <w:rPr>
          <w:spacing w:val="-4"/>
          <w:sz w:val="24"/>
        </w:rPr>
        <w:t>мышц</w:t>
      </w:r>
      <w:r>
        <w:rPr>
          <w:sz w:val="24"/>
        </w:rPr>
        <w:tab/>
      </w:r>
      <w:r>
        <w:rPr>
          <w:spacing w:val="-6"/>
          <w:sz w:val="24"/>
        </w:rPr>
        <w:t>(2</w:t>
      </w:r>
      <w:r>
        <w:rPr>
          <w:sz w:val="24"/>
        </w:rPr>
        <w:tab/>
      </w:r>
      <w:r>
        <w:rPr>
          <w:spacing w:val="-10"/>
          <w:sz w:val="24"/>
        </w:rPr>
        <w:t>и</w:t>
      </w:r>
      <w:r>
        <w:rPr>
          <w:sz w:val="24"/>
        </w:rPr>
        <w:tab/>
      </w:r>
      <w:r>
        <w:rPr>
          <w:spacing w:val="-2"/>
          <w:sz w:val="24"/>
        </w:rPr>
        <w:t>более</w:t>
      </w:r>
      <w:r>
        <w:rPr>
          <w:sz w:val="24"/>
        </w:rPr>
        <w:tab/>
      </w:r>
      <w:r>
        <w:rPr>
          <w:spacing w:val="-2"/>
          <w:sz w:val="24"/>
        </w:rPr>
        <w:t>баллов </w:t>
      </w:r>
      <w:r>
        <w:rPr>
          <w:sz w:val="24"/>
        </w:rPr>
        <w:t>по шкале Patriсk)</w:t>
      </w:r>
    </w:p>
    <w:p>
      <w:pPr>
        <w:pStyle w:val="ListParagraph"/>
        <w:numPr>
          <w:ilvl w:val="0"/>
          <w:numId w:val="30"/>
        </w:numPr>
        <w:tabs>
          <w:tab w:pos="2547" w:val="left" w:leader="none"/>
        </w:tabs>
        <w:spacing w:line="240" w:lineRule="auto" w:before="12" w:after="0"/>
        <w:ind w:left="2547" w:right="0" w:hanging="238"/>
        <w:jc w:val="left"/>
        <w:rPr>
          <w:rFonts w:ascii="Arial" w:hAnsi="Arial"/>
          <w:position w:val="2"/>
          <w:sz w:val="22"/>
        </w:rPr>
      </w:pPr>
      <w:r>
        <w:rPr>
          <w:position w:val="2"/>
          <w:sz w:val="24"/>
        </w:rPr>
        <w:t>PaO</w:t>
      </w:r>
      <w:r>
        <w:rPr>
          <w:sz w:val="16"/>
        </w:rPr>
        <w:t>2</w:t>
      </w:r>
      <w:r>
        <w:rPr>
          <w:position w:val="2"/>
          <w:sz w:val="24"/>
        </w:rPr>
        <w:t>/FiO</w:t>
      </w:r>
      <w:r>
        <w:rPr>
          <w:sz w:val="16"/>
        </w:rPr>
        <w:t>2</w:t>
      </w:r>
      <w:r>
        <w:rPr>
          <w:spacing w:val="13"/>
          <w:sz w:val="16"/>
        </w:rPr>
        <w:t> </w:t>
      </w:r>
      <w:r>
        <w:rPr>
          <w:position w:val="2"/>
          <w:sz w:val="24"/>
        </w:rPr>
        <w:t>&lt;100</w:t>
      </w:r>
      <w:r>
        <w:rPr>
          <w:spacing w:val="-8"/>
          <w:position w:val="2"/>
          <w:sz w:val="24"/>
        </w:rPr>
        <w:t> </w:t>
      </w:r>
      <w:r>
        <w:rPr>
          <w:position w:val="2"/>
          <w:sz w:val="24"/>
        </w:rPr>
        <w:t>мм</w:t>
      </w:r>
      <w:r>
        <w:rPr>
          <w:spacing w:val="-8"/>
          <w:position w:val="2"/>
          <w:sz w:val="24"/>
        </w:rPr>
        <w:t> </w:t>
      </w:r>
      <w:r>
        <w:rPr>
          <w:spacing w:val="-2"/>
          <w:position w:val="2"/>
          <w:sz w:val="24"/>
        </w:rPr>
        <w:t>рт.ст.</w:t>
      </w:r>
    </w:p>
    <w:p>
      <w:pPr>
        <w:pStyle w:val="ListParagraph"/>
        <w:numPr>
          <w:ilvl w:val="0"/>
          <w:numId w:val="30"/>
        </w:numPr>
        <w:tabs>
          <w:tab w:pos="2547" w:val="left" w:leader="none"/>
        </w:tabs>
        <w:spacing w:line="240" w:lineRule="auto" w:before="53" w:after="0"/>
        <w:ind w:left="2547" w:right="0" w:hanging="238"/>
        <w:jc w:val="left"/>
        <w:rPr>
          <w:rFonts w:ascii="Arial" w:hAnsi="Arial"/>
          <w:sz w:val="22"/>
        </w:rPr>
      </w:pPr>
      <w:r>
        <w:rPr>
          <w:sz w:val="24"/>
        </w:rPr>
        <w:t>4</w:t>
      </w:r>
      <w:r>
        <w:rPr>
          <w:spacing w:val="-6"/>
          <w:sz w:val="24"/>
        </w:rPr>
        <w:t> </w:t>
      </w:r>
      <w:r>
        <w:rPr>
          <w:sz w:val="24"/>
        </w:rPr>
        <w:t>и</w:t>
      </w:r>
      <w:r>
        <w:rPr>
          <w:spacing w:val="-3"/>
          <w:sz w:val="24"/>
        </w:rPr>
        <w:t> </w:t>
      </w:r>
      <w:r>
        <w:rPr>
          <w:sz w:val="24"/>
        </w:rPr>
        <w:t>более</w:t>
      </w:r>
      <w:r>
        <w:rPr>
          <w:spacing w:val="-5"/>
          <w:sz w:val="24"/>
        </w:rPr>
        <w:t> </w:t>
      </w:r>
      <w:r>
        <w:rPr>
          <w:sz w:val="24"/>
        </w:rPr>
        <w:t>баллов</w:t>
      </w:r>
      <w:r>
        <w:rPr>
          <w:spacing w:val="-4"/>
          <w:sz w:val="24"/>
        </w:rPr>
        <w:t> </w:t>
      </w:r>
      <w:r>
        <w:rPr>
          <w:sz w:val="24"/>
        </w:rPr>
        <w:t>по</w:t>
      </w:r>
      <w:r>
        <w:rPr>
          <w:spacing w:val="-5"/>
          <w:sz w:val="24"/>
        </w:rPr>
        <w:t> </w:t>
      </w:r>
      <w:r>
        <w:rPr>
          <w:spacing w:val="-4"/>
          <w:sz w:val="24"/>
        </w:rPr>
        <w:t>ВАШ.</w:t>
      </w:r>
    </w:p>
    <w:p>
      <w:pPr>
        <w:pStyle w:val="BodyText"/>
        <w:spacing w:line="276" w:lineRule="auto" w:before="55"/>
        <w:ind w:right="1270" w:firstLine="707"/>
      </w:pPr>
      <w:r>
        <w:rPr>
          <w:b/>
        </w:rPr>
        <w:t>Важно</w:t>
      </w:r>
      <w:r>
        <w:rPr/>
        <w:t>: наличие у пациента хотя бы одного из признаков «респираторного дистресса»</w:t>
      </w:r>
      <w:r>
        <w:rPr>
          <w:spacing w:val="79"/>
        </w:rPr>
        <w:t> </w:t>
      </w:r>
      <w:r>
        <w:rPr/>
        <w:t>на</w:t>
      </w:r>
      <w:r>
        <w:rPr>
          <w:spacing w:val="78"/>
        </w:rPr>
        <w:t> </w:t>
      </w:r>
      <w:r>
        <w:rPr/>
        <w:t>фоне</w:t>
      </w:r>
      <w:r>
        <w:rPr>
          <w:spacing w:val="78"/>
        </w:rPr>
        <w:t> </w:t>
      </w:r>
      <w:r>
        <w:rPr/>
        <w:t>неинвазивной</w:t>
      </w:r>
      <w:r>
        <w:rPr>
          <w:spacing w:val="80"/>
        </w:rPr>
        <w:t> </w:t>
      </w:r>
      <w:r>
        <w:rPr/>
        <w:t>ИВЛ</w:t>
      </w:r>
      <w:r>
        <w:rPr>
          <w:spacing w:val="79"/>
        </w:rPr>
        <w:t> </w:t>
      </w:r>
      <w:r>
        <w:rPr/>
        <w:t>требует</w:t>
      </w:r>
      <w:r>
        <w:rPr>
          <w:spacing w:val="79"/>
        </w:rPr>
        <w:t> </w:t>
      </w:r>
      <w:r>
        <w:rPr/>
        <w:t>его</w:t>
      </w:r>
      <w:r>
        <w:rPr>
          <w:spacing w:val="78"/>
        </w:rPr>
        <w:t> </w:t>
      </w:r>
      <w:r>
        <w:rPr/>
        <w:t>повторной</w:t>
      </w:r>
      <w:r>
        <w:rPr>
          <w:spacing w:val="78"/>
        </w:rPr>
        <w:t> </w:t>
      </w:r>
      <w:r>
        <w:rPr/>
        <w:t>оценки</w:t>
      </w:r>
      <w:r>
        <w:rPr>
          <w:spacing w:val="78"/>
        </w:rPr>
        <w:t> </w:t>
      </w:r>
      <w:r>
        <w:rPr/>
        <w:t>каждые </w:t>
      </w:r>
      <w:r>
        <w:rPr>
          <w:position w:val="2"/>
        </w:rPr>
        <w:t>2-6 часов; если в течение 24 часов индекс PaO</w:t>
      </w:r>
      <w:r>
        <w:rPr>
          <w:sz w:val="16"/>
        </w:rPr>
        <w:t>2</w:t>
      </w:r>
      <w:r>
        <w:rPr>
          <w:position w:val="2"/>
        </w:rPr>
        <w:t>/FiO</w:t>
      </w:r>
      <w:r>
        <w:rPr>
          <w:sz w:val="16"/>
        </w:rPr>
        <w:t>2 </w:t>
      </w:r>
      <w:r>
        <w:rPr>
          <w:position w:val="2"/>
        </w:rPr>
        <w:t>не увеличивается до 125-150 мм </w:t>
      </w:r>
      <w:r>
        <w:rPr/>
        <w:t>рт.ст.,</w:t>
      </w:r>
      <w:r>
        <w:rPr>
          <w:spacing w:val="62"/>
        </w:rPr>
        <w:t> </w:t>
      </w:r>
      <w:r>
        <w:rPr/>
        <w:t>ЧД</w:t>
      </w:r>
      <w:r>
        <w:rPr>
          <w:spacing w:val="61"/>
        </w:rPr>
        <w:t> </w:t>
      </w:r>
      <w:r>
        <w:rPr/>
        <w:t>не</w:t>
      </w:r>
      <w:r>
        <w:rPr>
          <w:spacing w:val="61"/>
        </w:rPr>
        <w:t> </w:t>
      </w:r>
      <w:r>
        <w:rPr/>
        <w:t>снижается</w:t>
      </w:r>
      <w:r>
        <w:rPr>
          <w:spacing w:val="62"/>
        </w:rPr>
        <w:t> </w:t>
      </w:r>
      <w:r>
        <w:rPr/>
        <w:t>менее</w:t>
      </w:r>
      <w:r>
        <w:rPr>
          <w:spacing w:val="61"/>
        </w:rPr>
        <w:t> </w:t>
      </w:r>
      <w:r>
        <w:rPr/>
        <w:t>30</w:t>
      </w:r>
      <w:r>
        <w:rPr>
          <w:spacing w:val="64"/>
        </w:rPr>
        <w:t> </w:t>
      </w:r>
      <w:r>
        <w:rPr/>
        <w:t>в</w:t>
      </w:r>
      <w:r>
        <w:rPr>
          <w:spacing w:val="61"/>
        </w:rPr>
        <w:t> </w:t>
      </w:r>
      <w:r>
        <w:rPr/>
        <w:t>мин,</w:t>
      </w:r>
      <w:r>
        <w:rPr>
          <w:spacing w:val="63"/>
        </w:rPr>
        <w:t>  </w:t>
      </w:r>
      <w:r>
        <w:rPr/>
        <w:t>пациенту</w:t>
      </w:r>
      <w:r>
        <w:rPr>
          <w:spacing w:val="60"/>
        </w:rPr>
        <w:t> </w:t>
      </w:r>
      <w:r>
        <w:rPr/>
        <w:t>показана</w:t>
      </w:r>
      <w:r>
        <w:rPr>
          <w:spacing w:val="59"/>
        </w:rPr>
        <w:t> </w:t>
      </w:r>
      <w:r>
        <w:rPr/>
        <w:t>интубация</w:t>
      </w:r>
      <w:r>
        <w:rPr>
          <w:spacing w:val="62"/>
        </w:rPr>
        <w:t> </w:t>
      </w:r>
      <w:r>
        <w:rPr/>
        <w:t>трахеи и</w:t>
      </w:r>
      <w:r>
        <w:rPr>
          <w:spacing w:val="-13"/>
        </w:rPr>
        <w:t> </w:t>
      </w:r>
      <w:r>
        <w:rPr/>
        <w:t>инвазивная</w:t>
      </w:r>
      <w:r>
        <w:rPr>
          <w:spacing w:val="-13"/>
        </w:rPr>
        <w:t> </w:t>
      </w:r>
      <w:r>
        <w:rPr/>
        <w:t>ИВЛ,</w:t>
      </w:r>
      <w:r>
        <w:rPr>
          <w:spacing w:val="-15"/>
        </w:rPr>
        <w:t> </w:t>
      </w:r>
      <w:r>
        <w:rPr/>
        <w:t>так</w:t>
      </w:r>
      <w:r>
        <w:rPr>
          <w:spacing w:val="-15"/>
        </w:rPr>
        <w:t> </w:t>
      </w:r>
      <w:r>
        <w:rPr/>
        <w:t>как</w:t>
      </w:r>
      <w:r>
        <w:rPr>
          <w:spacing w:val="-13"/>
        </w:rPr>
        <w:t> </w:t>
      </w:r>
      <w:r>
        <w:rPr/>
        <w:t>при</w:t>
      </w:r>
      <w:r>
        <w:rPr>
          <w:spacing w:val="-13"/>
        </w:rPr>
        <w:t> </w:t>
      </w:r>
      <w:r>
        <w:rPr/>
        <w:t>этом</w:t>
      </w:r>
      <w:r>
        <w:rPr>
          <w:spacing w:val="-14"/>
        </w:rPr>
        <w:t> </w:t>
      </w:r>
      <w:r>
        <w:rPr/>
        <w:t>очень</w:t>
      </w:r>
      <w:r>
        <w:rPr>
          <w:spacing w:val="-14"/>
        </w:rPr>
        <w:t> </w:t>
      </w:r>
      <w:r>
        <w:rPr/>
        <w:t>низкая</w:t>
      </w:r>
      <w:r>
        <w:rPr>
          <w:spacing w:val="-14"/>
        </w:rPr>
        <w:t> </w:t>
      </w:r>
      <w:r>
        <w:rPr/>
        <w:t>вероятность</w:t>
      </w:r>
      <w:r>
        <w:rPr>
          <w:spacing w:val="-12"/>
        </w:rPr>
        <w:t> </w:t>
      </w:r>
      <w:r>
        <w:rPr/>
        <w:t>успешного</w:t>
      </w:r>
      <w:r>
        <w:rPr>
          <w:spacing w:val="-14"/>
        </w:rPr>
        <w:t> </w:t>
      </w:r>
      <w:r>
        <w:rPr/>
        <w:t>применения НИВЛ (~20%), но высок риск прогрессирования повреждения лёгких на фоне продолжающейся НИВЛ и ухудшения исхода.</w:t>
      </w:r>
    </w:p>
    <w:p>
      <w:pPr>
        <w:pStyle w:val="BodyText"/>
        <w:spacing w:line="276" w:lineRule="auto" w:before="10"/>
        <w:ind w:right="1272" w:firstLine="707"/>
      </w:pPr>
      <w:r>
        <w:rPr/>
        <w:t>У пациентов с COVID-19 при наличии признаков респираторного дистресса не рекомендуется задерживать интубацию трахеи и начало ИВЛ, так как отсрочка интубации трахеи ухудшает прогноз. Важно помнить, что</w:t>
      </w:r>
      <w:r>
        <w:rPr>
          <w:spacing w:val="-2"/>
        </w:rPr>
        <w:t> </w:t>
      </w:r>
      <w:r>
        <w:rPr/>
        <w:t>дыхательная недостаточность может прогрессировать чрезвычайно быстро.</w:t>
      </w:r>
    </w:p>
    <w:p>
      <w:pPr>
        <w:pStyle w:val="Heading3"/>
        <w:spacing w:line="276" w:lineRule="auto" w:before="14"/>
        <w:ind w:left="1841" w:right="1275" w:firstLine="707"/>
      </w:pPr>
      <w:r>
        <w:rPr/>
        <w:t>Стратификация</w:t>
      </w:r>
      <w:r>
        <w:rPr>
          <w:spacing w:val="80"/>
        </w:rPr>
        <w:t>   </w:t>
      </w:r>
      <w:r>
        <w:rPr/>
        <w:t>респираторной</w:t>
      </w:r>
      <w:r>
        <w:rPr>
          <w:spacing w:val="80"/>
        </w:rPr>
        <w:t>   </w:t>
      </w:r>
      <w:r>
        <w:rPr/>
        <w:t>поддержки</w:t>
      </w:r>
      <w:r>
        <w:rPr>
          <w:spacing w:val="80"/>
        </w:rPr>
        <w:t>   </w:t>
      </w:r>
      <w:r>
        <w:rPr/>
        <w:t>в</w:t>
      </w:r>
      <w:r>
        <w:rPr>
          <w:spacing w:val="80"/>
        </w:rPr>
        <w:t>   </w:t>
      </w:r>
      <w:r>
        <w:rPr/>
        <w:t>зависимости</w:t>
      </w:r>
      <w:r>
        <w:rPr>
          <w:spacing w:val="40"/>
        </w:rPr>
        <w:t> </w:t>
      </w:r>
      <w:r>
        <w:rPr/>
        <w:t>от физиологических показателей при ОДН (схема 1)</w:t>
      </w:r>
    </w:p>
    <w:p>
      <w:pPr>
        <w:spacing w:line="276" w:lineRule="auto" w:before="13"/>
        <w:ind w:left="1841" w:right="1271" w:firstLine="707"/>
        <w:jc w:val="both"/>
        <w:rPr>
          <w:sz w:val="24"/>
        </w:rPr>
      </w:pPr>
      <w:r>
        <w:rPr>
          <w:b/>
          <w:sz w:val="24"/>
        </w:rPr>
        <w:t>Низкопоточная оксигенотерапия через назальные канюли: </w:t>
      </w:r>
      <w:r>
        <w:rPr>
          <w:sz w:val="24"/>
        </w:rPr>
        <w:t>показана пациентам</w:t>
      </w:r>
      <w:r>
        <w:rPr>
          <w:spacing w:val="40"/>
          <w:sz w:val="24"/>
        </w:rPr>
        <w:t>  </w:t>
      </w:r>
      <w:r>
        <w:rPr>
          <w:sz w:val="24"/>
        </w:rPr>
        <w:t>с</w:t>
      </w:r>
      <w:r>
        <w:rPr>
          <w:spacing w:val="40"/>
          <w:sz w:val="24"/>
        </w:rPr>
        <w:t>  </w:t>
      </w:r>
      <w:r>
        <w:rPr>
          <w:sz w:val="24"/>
        </w:rPr>
        <w:t>очаговым</w:t>
      </w:r>
      <w:r>
        <w:rPr>
          <w:spacing w:val="40"/>
          <w:sz w:val="24"/>
        </w:rPr>
        <w:t>  </w:t>
      </w:r>
      <w:r>
        <w:rPr>
          <w:sz w:val="24"/>
        </w:rPr>
        <w:t>поражением</w:t>
      </w:r>
      <w:r>
        <w:rPr>
          <w:spacing w:val="40"/>
          <w:sz w:val="24"/>
        </w:rPr>
        <w:t>  </w:t>
      </w:r>
      <w:r>
        <w:rPr>
          <w:sz w:val="24"/>
        </w:rPr>
        <w:t>легких,</w:t>
      </w:r>
      <w:r>
        <w:rPr>
          <w:spacing w:val="40"/>
          <w:sz w:val="24"/>
        </w:rPr>
        <w:t>  </w:t>
      </w:r>
      <w:r>
        <w:rPr>
          <w:sz w:val="24"/>
        </w:rPr>
        <w:t>лёгкой</w:t>
      </w:r>
      <w:r>
        <w:rPr>
          <w:spacing w:val="40"/>
          <w:sz w:val="24"/>
        </w:rPr>
        <w:t>  </w:t>
      </w:r>
      <w:r>
        <w:rPr>
          <w:sz w:val="24"/>
        </w:rPr>
        <w:t>степенью</w:t>
      </w:r>
      <w:r>
        <w:rPr>
          <w:spacing w:val="40"/>
          <w:sz w:val="24"/>
        </w:rPr>
        <w:t>  </w:t>
      </w:r>
      <w:r>
        <w:rPr>
          <w:sz w:val="24"/>
        </w:rPr>
        <w:t>гипоксемии, без признаков выраженного диспноэ (до 4 баллов по ВАШ)</w:t>
      </w:r>
    </w:p>
    <w:p>
      <w:pPr>
        <w:spacing w:line="276" w:lineRule="auto" w:before="14"/>
        <w:ind w:left="1841" w:right="1270" w:firstLine="707"/>
        <w:jc w:val="both"/>
        <w:rPr>
          <w:sz w:val="24"/>
        </w:rPr>
      </w:pPr>
      <w:r>
        <w:rPr>
          <w:b/>
          <w:sz w:val="24"/>
        </w:rPr>
        <w:t>Низкопоточная</w:t>
      </w:r>
      <w:r>
        <w:rPr>
          <w:b/>
          <w:spacing w:val="66"/>
          <w:sz w:val="24"/>
        </w:rPr>
        <w:t>  </w:t>
      </w:r>
      <w:r>
        <w:rPr>
          <w:b/>
          <w:sz w:val="24"/>
        </w:rPr>
        <w:t>оксигенотерапия</w:t>
      </w:r>
      <w:r>
        <w:rPr>
          <w:b/>
          <w:spacing w:val="66"/>
          <w:sz w:val="24"/>
        </w:rPr>
        <w:t>  </w:t>
      </w:r>
      <w:r>
        <w:rPr>
          <w:b/>
          <w:sz w:val="24"/>
        </w:rPr>
        <w:t>через</w:t>
      </w:r>
      <w:r>
        <w:rPr>
          <w:b/>
          <w:spacing w:val="66"/>
          <w:sz w:val="24"/>
        </w:rPr>
        <w:t>  </w:t>
      </w:r>
      <w:r>
        <w:rPr>
          <w:b/>
          <w:sz w:val="24"/>
        </w:rPr>
        <w:t>лицевую</w:t>
      </w:r>
      <w:r>
        <w:rPr>
          <w:b/>
          <w:spacing w:val="65"/>
          <w:sz w:val="24"/>
        </w:rPr>
        <w:t>  </w:t>
      </w:r>
      <w:r>
        <w:rPr>
          <w:b/>
          <w:sz w:val="24"/>
        </w:rPr>
        <w:t>маску</w:t>
      </w:r>
      <w:r>
        <w:rPr>
          <w:b/>
          <w:spacing w:val="66"/>
          <w:sz w:val="24"/>
        </w:rPr>
        <w:t>  </w:t>
      </w:r>
      <w:r>
        <w:rPr>
          <w:b/>
          <w:sz w:val="24"/>
        </w:rPr>
        <w:t>и</w:t>
      </w:r>
      <w:r>
        <w:rPr>
          <w:b/>
          <w:spacing w:val="65"/>
          <w:sz w:val="24"/>
        </w:rPr>
        <w:t>  </w:t>
      </w:r>
      <w:r>
        <w:rPr>
          <w:b/>
          <w:sz w:val="24"/>
        </w:rPr>
        <w:t>маску с</w:t>
      </w:r>
      <w:r>
        <w:rPr>
          <w:b/>
          <w:spacing w:val="77"/>
          <w:w w:val="150"/>
          <w:sz w:val="24"/>
        </w:rPr>
        <w:t> </w:t>
      </w:r>
      <w:r>
        <w:rPr>
          <w:b/>
          <w:sz w:val="24"/>
        </w:rPr>
        <w:t>резервуаром:</w:t>
      </w:r>
      <w:r>
        <w:rPr>
          <w:b/>
          <w:spacing w:val="25"/>
          <w:sz w:val="24"/>
        </w:rPr>
        <w:t>  </w:t>
      </w:r>
      <w:r>
        <w:rPr>
          <w:sz w:val="24"/>
        </w:rPr>
        <w:t>показана</w:t>
      </w:r>
      <w:r>
        <w:rPr>
          <w:spacing w:val="79"/>
          <w:w w:val="150"/>
          <w:sz w:val="24"/>
        </w:rPr>
        <w:t> </w:t>
      </w:r>
      <w:r>
        <w:rPr>
          <w:sz w:val="24"/>
        </w:rPr>
        <w:t>пациентам</w:t>
      </w:r>
      <w:r>
        <w:rPr>
          <w:spacing w:val="78"/>
          <w:w w:val="150"/>
          <w:sz w:val="24"/>
        </w:rPr>
        <w:t> </w:t>
      </w:r>
      <w:r>
        <w:rPr>
          <w:sz w:val="24"/>
        </w:rPr>
        <w:t>с</w:t>
      </w:r>
      <w:r>
        <w:rPr>
          <w:spacing w:val="78"/>
          <w:w w:val="150"/>
          <w:sz w:val="24"/>
        </w:rPr>
        <w:t> </w:t>
      </w:r>
      <w:r>
        <w:rPr>
          <w:sz w:val="24"/>
        </w:rPr>
        <w:t>очаговым</w:t>
      </w:r>
      <w:r>
        <w:rPr>
          <w:spacing w:val="79"/>
          <w:w w:val="150"/>
          <w:sz w:val="24"/>
        </w:rPr>
        <w:t> </w:t>
      </w:r>
      <w:r>
        <w:rPr>
          <w:sz w:val="24"/>
        </w:rPr>
        <w:t>поражением</w:t>
      </w:r>
      <w:r>
        <w:rPr>
          <w:spacing w:val="79"/>
          <w:w w:val="150"/>
          <w:sz w:val="24"/>
        </w:rPr>
        <w:t> </w:t>
      </w:r>
      <w:r>
        <w:rPr>
          <w:sz w:val="24"/>
        </w:rPr>
        <w:t>легких,</w:t>
      </w:r>
      <w:r>
        <w:rPr>
          <w:spacing w:val="25"/>
          <w:sz w:val="24"/>
        </w:rPr>
        <w:t>  </w:t>
      </w:r>
      <w:r>
        <w:rPr>
          <w:spacing w:val="-2"/>
          <w:sz w:val="24"/>
        </w:rPr>
        <w:t>лёгкой</w:t>
      </w:r>
    </w:p>
    <w:p>
      <w:pPr>
        <w:spacing w:after="0" w:line="276" w:lineRule="auto"/>
        <w:jc w:val="both"/>
        <w:rPr>
          <w:sz w:val="24"/>
        </w:rPr>
        <w:sectPr>
          <w:pgSz w:w="11900" w:h="16840"/>
          <w:pgMar w:header="0" w:footer="697" w:top="1080" w:bottom="880" w:left="0" w:right="0"/>
        </w:sectPr>
      </w:pPr>
    </w:p>
    <w:p>
      <w:pPr>
        <w:pStyle w:val="BodyText"/>
        <w:spacing w:line="276" w:lineRule="auto" w:before="73"/>
        <w:ind w:right="1274"/>
      </w:pPr>
      <w:bookmarkStart w:name="73" w:id="89"/>
      <w:bookmarkEnd w:id="89"/>
      <w:r>
        <w:rPr/>
      </w:r>
      <w:r>
        <w:rPr/>
        <w:t>или</w:t>
      </w:r>
      <w:r>
        <w:rPr>
          <w:spacing w:val="-2"/>
        </w:rPr>
        <w:t> </w:t>
      </w:r>
      <w:r>
        <w:rPr/>
        <w:t>средней</w:t>
      </w:r>
      <w:r>
        <w:rPr>
          <w:spacing w:val="-2"/>
        </w:rPr>
        <w:t> </w:t>
      </w:r>
      <w:r>
        <w:rPr/>
        <w:t>степенью</w:t>
      </w:r>
      <w:r>
        <w:rPr>
          <w:spacing w:val="-1"/>
        </w:rPr>
        <w:t> </w:t>
      </w:r>
      <w:r>
        <w:rPr/>
        <w:t>гипоксемии,</w:t>
      </w:r>
      <w:r>
        <w:rPr>
          <w:spacing w:val="-4"/>
        </w:rPr>
        <w:t> </w:t>
      </w:r>
      <w:r>
        <w:rPr/>
        <w:t>без</w:t>
      </w:r>
      <w:r>
        <w:rPr>
          <w:spacing w:val="-3"/>
        </w:rPr>
        <w:t> </w:t>
      </w:r>
      <w:r>
        <w:rPr/>
        <w:t>признаков</w:t>
      </w:r>
      <w:r>
        <w:rPr>
          <w:spacing w:val="-3"/>
        </w:rPr>
        <w:t> </w:t>
      </w:r>
      <w:r>
        <w:rPr/>
        <w:t>выраженного</w:t>
      </w:r>
      <w:r>
        <w:rPr>
          <w:spacing w:val="-2"/>
        </w:rPr>
        <w:t> </w:t>
      </w:r>
      <w:r>
        <w:rPr/>
        <w:t>диспноэ</w:t>
      </w:r>
      <w:r>
        <w:rPr>
          <w:spacing w:val="-2"/>
        </w:rPr>
        <w:t> </w:t>
      </w:r>
      <w:r>
        <w:rPr/>
        <w:t>(до</w:t>
      </w:r>
      <w:r>
        <w:rPr>
          <w:spacing w:val="-4"/>
        </w:rPr>
        <w:t> </w:t>
      </w:r>
      <w:r>
        <w:rPr/>
        <w:t>4</w:t>
      </w:r>
      <w:r>
        <w:rPr>
          <w:spacing w:val="-3"/>
        </w:rPr>
        <w:t> </w:t>
      </w:r>
      <w:r>
        <w:rPr/>
        <w:t>баллов по ВАШ)</w:t>
      </w:r>
    </w:p>
    <w:p>
      <w:pPr>
        <w:spacing w:line="276" w:lineRule="auto" w:before="13"/>
        <w:ind w:left="1841" w:right="1268" w:firstLine="707"/>
        <w:jc w:val="both"/>
        <w:rPr>
          <w:b/>
          <w:sz w:val="24"/>
        </w:rPr>
      </w:pPr>
      <w:r>
        <w:rPr>
          <w:b/>
          <w:sz w:val="24"/>
        </w:rPr>
        <w:t>Высокопоточная оксигенотерапия через назальные канюли: </w:t>
      </w:r>
      <w:r>
        <w:rPr>
          <w:sz w:val="24"/>
        </w:rPr>
        <w:t>показана пациентам с очаговым или диффузным поражением легких, средней степенью гипоксемии,</w:t>
      </w:r>
      <w:r>
        <w:rPr>
          <w:spacing w:val="40"/>
          <w:sz w:val="24"/>
        </w:rPr>
        <w:t> </w:t>
      </w:r>
      <w:r>
        <w:rPr>
          <w:sz w:val="24"/>
        </w:rPr>
        <w:t>без</w:t>
      </w:r>
      <w:r>
        <w:rPr>
          <w:spacing w:val="40"/>
          <w:sz w:val="24"/>
        </w:rPr>
        <w:t> </w:t>
      </w:r>
      <w:r>
        <w:rPr>
          <w:sz w:val="24"/>
        </w:rPr>
        <w:t>признаков</w:t>
      </w:r>
      <w:r>
        <w:rPr>
          <w:spacing w:val="40"/>
          <w:sz w:val="24"/>
        </w:rPr>
        <w:t> </w:t>
      </w:r>
      <w:r>
        <w:rPr>
          <w:sz w:val="24"/>
        </w:rPr>
        <w:t>выраженного</w:t>
      </w:r>
      <w:r>
        <w:rPr>
          <w:spacing w:val="40"/>
          <w:sz w:val="24"/>
        </w:rPr>
        <w:t> </w:t>
      </w:r>
      <w:r>
        <w:rPr>
          <w:sz w:val="24"/>
        </w:rPr>
        <w:t>диспноэ</w:t>
      </w:r>
      <w:r>
        <w:rPr>
          <w:spacing w:val="40"/>
          <w:sz w:val="24"/>
        </w:rPr>
        <w:t> </w:t>
      </w:r>
      <w:r>
        <w:rPr>
          <w:sz w:val="24"/>
        </w:rPr>
        <w:t>(менее</w:t>
      </w:r>
      <w:r>
        <w:rPr>
          <w:spacing w:val="40"/>
          <w:sz w:val="24"/>
        </w:rPr>
        <w:t> </w:t>
      </w:r>
      <w:r>
        <w:rPr>
          <w:sz w:val="24"/>
        </w:rPr>
        <w:t>4</w:t>
      </w:r>
      <w:r>
        <w:rPr>
          <w:spacing w:val="40"/>
          <w:sz w:val="24"/>
        </w:rPr>
        <w:t> </w:t>
      </w:r>
      <w:r>
        <w:rPr>
          <w:sz w:val="24"/>
        </w:rPr>
        <w:t>баллов</w:t>
      </w:r>
      <w:r>
        <w:rPr>
          <w:spacing w:val="40"/>
          <w:sz w:val="24"/>
        </w:rPr>
        <w:t> </w:t>
      </w:r>
      <w:r>
        <w:rPr>
          <w:sz w:val="24"/>
        </w:rPr>
        <w:t>по</w:t>
      </w:r>
      <w:r>
        <w:rPr>
          <w:spacing w:val="40"/>
          <w:sz w:val="24"/>
        </w:rPr>
        <w:t> </w:t>
      </w:r>
      <w:r>
        <w:rPr>
          <w:sz w:val="24"/>
        </w:rPr>
        <w:t>ВАШ)</w:t>
      </w:r>
      <w:r>
        <w:rPr>
          <w:spacing w:val="40"/>
          <w:sz w:val="24"/>
        </w:rPr>
        <w:t> </w:t>
      </w:r>
      <w:r>
        <w:rPr>
          <w:sz w:val="24"/>
        </w:rPr>
        <w:t>или</w:t>
      </w:r>
      <w:r>
        <w:rPr>
          <w:spacing w:val="40"/>
          <w:sz w:val="24"/>
        </w:rPr>
        <w:t> </w:t>
      </w:r>
      <w:r>
        <w:rPr>
          <w:sz w:val="24"/>
        </w:rPr>
        <w:t>с признаками выраженного диспноэ на фоне низкопоточной оксигенотерапии (выше 4 баллов по ВАШ); </w:t>
      </w:r>
      <w:r>
        <w:rPr>
          <w:b/>
          <w:sz w:val="24"/>
        </w:rPr>
        <w:t>2 РКИ (HENIVOT и RECOVERY-RS) продемонстрировали снижение</w:t>
      </w:r>
      <w:r>
        <w:rPr>
          <w:b/>
          <w:spacing w:val="-10"/>
          <w:sz w:val="24"/>
        </w:rPr>
        <w:t> </w:t>
      </w:r>
      <w:r>
        <w:rPr>
          <w:b/>
          <w:sz w:val="24"/>
        </w:rPr>
        <w:t>частоты</w:t>
      </w:r>
      <w:r>
        <w:rPr>
          <w:b/>
          <w:spacing w:val="-10"/>
          <w:sz w:val="24"/>
        </w:rPr>
        <w:t> </w:t>
      </w:r>
      <w:r>
        <w:rPr>
          <w:b/>
          <w:sz w:val="24"/>
        </w:rPr>
        <w:t>интубации</w:t>
      </w:r>
      <w:r>
        <w:rPr>
          <w:b/>
          <w:spacing w:val="-9"/>
          <w:sz w:val="24"/>
        </w:rPr>
        <w:t> </w:t>
      </w:r>
      <w:r>
        <w:rPr>
          <w:b/>
          <w:sz w:val="24"/>
        </w:rPr>
        <w:t>трахеи</w:t>
      </w:r>
      <w:r>
        <w:rPr>
          <w:b/>
          <w:spacing w:val="-10"/>
          <w:sz w:val="24"/>
        </w:rPr>
        <w:t> </w:t>
      </w:r>
      <w:r>
        <w:rPr>
          <w:b/>
          <w:sz w:val="24"/>
        </w:rPr>
        <w:t>при</w:t>
      </w:r>
      <w:r>
        <w:rPr>
          <w:b/>
          <w:spacing w:val="-10"/>
          <w:sz w:val="24"/>
        </w:rPr>
        <w:t> </w:t>
      </w:r>
      <w:r>
        <w:rPr>
          <w:b/>
          <w:sz w:val="24"/>
        </w:rPr>
        <w:t>применении</w:t>
      </w:r>
      <w:r>
        <w:rPr>
          <w:b/>
          <w:spacing w:val="-9"/>
          <w:sz w:val="24"/>
        </w:rPr>
        <w:t> </w:t>
      </w:r>
      <w:r>
        <w:rPr>
          <w:b/>
          <w:sz w:val="24"/>
        </w:rPr>
        <w:t>СРАР-терапии</w:t>
      </w:r>
      <w:r>
        <w:rPr>
          <w:b/>
          <w:spacing w:val="-10"/>
          <w:sz w:val="24"/>
        </w:rPr>
        <w:t> </w:t>
      </w:r>
      <w:r>
        <w:rPr>
          <w:b/>
          <w:sz w:val="24"/>
        </w:rPr>
        <w:t>или</w:t>
      </w:r>
      <w:r>
        <w:rPr>
          <w:b/>
          <w:spacing w:val="-10"/>
          <w:sz w:val="24"/>
        </w:rPr>
        <w:t> </w:t>
      </w:r>
      <w:r>
        <w:rPr>
          <w:b/>
          <w:sz w:val="24"/>
        </w:rPr>
        <w:t>НИВЛ по сравнению с высокопоточной оксигенотерапией при диффузном поражении лёгких и средней степени гипоксемии</w:t>
      </w:r>
      <w:r>
        <w:rPr>
          <w:sz w:val="24"/>
        </w:rPr>
        <w:t>. </w:t>
      </w:r>
      <w:r>
        <w:rPr>
          <w:b/>
          <w:sz w:val="24"/>
        </w:rPr>
        <w:t>Наличие у пациента со среднетяжёлой степенью гипоксемии диспноэ (по ВАШ более 4 баллов) перед началом ВПО приводит</w:t>
      </w:r>
      <w:r>
        <w:rPr>
          <w:b/>
          <w:spacing w:val="80"/>
          <w:sz w:val="24"/>
        </w:rPr>
        <w:t> </w:t>
      </w:r>
      <w:r>
        <w:rPr>
          <w:b/>
          <w:sz w:val="24"/>
        </w:rPr>
        <w:t>к</w:t>
      </w:r>
      <w:r>
        <w:rPr>
          <w:b/>
          <w:spacing w:val="80"/>
          <w:sz w:val="24"/>
        </w:rPr>
        <w:t> </w:t>
      </w:r>
      <w:r>
        <w:rPr>
          <w:b/>
          <w:sz w:val="24"/>
        </w:rPr>
        <w:t>увеличению</w:t>
      </w:r>
      <w:r>
        <w:rPr>
          <w:b/>
          <w:spacing w:val="80"/>
          <w:sz w:val="24"/>
        </w:rPr>
        <w:t> </w:t>
      </w:r>
      <w:r>
        <w:rPr>
          <w:b/>
          <w:sz w:val="24"/>
        </w:rPr>
        <w:t>частоты</w:t>
      </w:r>
      <w:r>
        <w:rPr>
          <w:b/>
          <w:spacing w:val="80"/>
          <w:sz w:val="24"/>
        </w:rPr>
        <w:t> </w:t>
      </w:r>
      <w:r>
        <w:rPr>
          <w:b/>
          <w:sz w:val="24"/>
        </w:rPr>
        <w:t>интубации</w:t>
      </w:r>
      <w:r>
        <w:rPr>
          <w:b/>
          <w:spacing w:val="80"/>
          <w:sz w:val="24"/>
        </w:rPr>
        <w:t> </w:t>
      </w:r>
      <w:r>
        <w:rPr>
          <w:b/>
          <w:sz w:val="24"/>
        </w:rPr>
        <w:t>трахеи</w:t>
      </w:r>
      <w:r>
        <w:rPr>
          <w:b/>
          <w:spacing w:val="80"/>
          <w:sz w:val="24"/>
        </w:rPr>
        <w:t> </w:t>
      </w:r>
      <w:r>
        <w:rPr>
          <w:b/>
          <w:sz w:val="24"/>
        </w:rPr>
        <w:t>при</w:t>
      </w:r>
      <w:r>
        <w:rPr>
          <w:b/>
          <w:spacing w:val="80"/>
          <w:sz w:val="24"/>
        </w:rPr>
        <w:t> </w:t>
      </w:r>
      <w:r>
        <w:rPr>
          <w:b/>
          <w:sz w:val="24"/>
        </w:rPr>
        <w:t>применении</w:t>
      </w:r>
      <w:r>
        <w:rPr>
          <w:b/>
          <w:spacing w:val="80"/>
          <w:sz w:val="24"/>
        </w:rPr>
        <w:t> </w:t>
      </w:r>
      <w:r>
        <w:rPr>
          <w:b/>
          <w:sz w:val="24"/>
        </w:rPr>
        <w:t>ВПО по сравнению СРАР-терапией или НИВЛ.</w:t>
      </w:r>
    </w:p>
    <w:p>
      <w:pPr>
        <w:spacing w:line="276" w:lineRule="auto" w:before="12"/>
        <w:ind w:left="1841" w:right="1270" w:firstLine="707"/>
        <w:jc w:val="both"/>
        <w:rPr>
          <w:sz w:val="24"/>
        </w:rPr>
      </w:pPr>
      <w:r>
        <w:rPr>
          <w:b/>
          <w:sz w:val="24"/>
        </w:rPr>
        <w:t>СРАР-терапия</w:t>
      </w:r>
      <w:r>
        <w:rPr>
          <w:b/>
          <w:spacing w:val="80"/>
          <w:sz w:val="24"/>
        </w:rPr>
        <w:t>  </w:t>
      </w:r>
      <w:r>
        <w:rPr>
          <w:b/>
          <w:sz w:val="24"/>
        </w:rPr>
        <w:t>(с</w:t>
      </w:r>
      <w:r>
        <w:rPr>
          <w:b/>
          <w:spacing w:val="80"/>
          <w:sz w:val="24"/>
        </w:rPr>
        <w:t>  </w:t>
      </w:r>
      <w:r>
        <w:rPr>
          <w:b/>
          <w:sz w:val="24"/>
        </w:rPr>
        <w:t>помощью</w:t>
      </w:r>
      <w:r>
        <w:rPr>
          <w:b/>
          <w:spacing w:val="80"/>
          <w:sz w:val="24"/>
        </w:rPr>
        <w:t>  </w:t>
      </w:r>
      <w:r>
        <w:rPr>
          <w:b/>
          <w:sz w:val="24"/>
        </w:rPr>
        <w:t>аппарата</w:t>
      </w:r>
      <w:r>
        <w:rPr>
          <w:b/>
          <w:spacing w:val="80"/>
          <w:sz w:val="24"/>
        </w:rPr>
        <w:t>  </w:t>
      </w:r>
      <w:r>
        <w:rPr>
          <w:b/>
          <w:sz w:val="24"/>
        </w:rPr>
        <w:t>ИВЛ,</w:t>
      </w:r>
      <w:r>
        <w:rPr>
          <w:b/>
          <w:spacing w:val="80"/>
          <w:sz w:val="24"/>
        </w:rPr>
        <w:t>  </w:t>
      </w:r>
      <w:r>
        <w:rPr>
          <w:b/>
          <w:sz w:val="24"/>
        </w:rPr>
        <w:t>системы</w:t>
      </w:r>
      <w:r>
        <w:rPr>
          <w:b/>
          <w:spacing w:val="80"/>
          <w:sz w:val="24"/>
        </w:rPr>
        <w:t>  </w:t>
      </w:r>
      <w:r>
        <w:rPr>
          <w:b/>
          <w:sz w:val="24"/>
        </w:rPr>
        <w:t>Вентури с ороназальной маской или шлемом, аппарата для домашней НИВЛ): </w:t>
      </w:r>
      <w:r>
        <w:rPr>
          <w:sz w:val="24"/>
        </w:rPr>
        <w:t>показана пациентам с диффузным поражением легких, средней степенью гипоксемии, без признаков выраженного диспноэ (менее 4 баллов по ВАШ) или с признаками выраженного</w:t>
      </w:r>
      <w:r>
        <w:rPr>
          <w:spacing w:val="-8"/>
          <w:sz w:val="24"/>
        </w:rPr>
        <w:t> </w:t>
      </w:r>
      <w:r>
        <w:rPr>
          <w:sz w:val="24"/>
        </w:rPr>
        <w:t>диспноэ</w:t>
      </w:r>
      <w:r>
        <w:rPr>
          <w:spacing w:val="-9"/>
          <w:sz w:val="24"/>
        </w:rPr>
        <w:t> </w:t>
      </w:r>
      <w:r>
        <w:rPr>
          <w:sz w:val="24"/>
        </w:rPr>
        <w:t>на</w:t>
      </w:r>
      <w:r>
        <w:rPr>
          <w:spacing w:val="-9"/>
          <w:sz w:val="24"/>
        </w:rPr>
        <w:t> </w:t>
      </w:r>
      <w:r>
        <w:rPr>
          <w:sz w:val="24"/>
        </w:rPr>
        <w:t>фоне</w:t>
      </w:r>
      <w:r>
        <w:rPr>
          <w:spacing w:val="-9"/>
          <w:sz w:val="24"/>
        </w:rPr>
        <w:t> </w:t>
      </w:r>
      <w:r>
        <w:rPr>
          <w:sz w:val="24"/>
        </w:rPr>
        <w:t>оксигенотерапии</w:t>
      </w:r>
      <w:r>
        <w:rPr>
          <w:spacing w:val="-6"/>
          <w:sz w:val="24"/>
        </w:rPr>
        <w:t> </w:t>
      </w:r>
      <w:r>
        <w:rPr>
          <w:sz w:val="24"/>
        </w:rPr>
        <w:t>(выше</w:t>
      </w:r>
      <w:r>
        <w:rPr>
          <w:spacing w:val="-10"/>
          <w:sz w:val="24"/>
        </w:rPr>
        <w:t> </w:t>
      </w:r>
      <w:r>
        <w:rPr>
          <w:sz w:val="24"/>
        </w:rPr>
        <w:t>4</w:t>
      </w:r>
      <w:r>
        <w:rPr>
          <w:spacing w:val="-6"/>
          <w:sz w:val="24"/>
        </w:rPr>
        <w:t> </w:t>
      </w:r>
      <w:r>
        <w:rPr>
          <w:sz w:val="24"/>
        </w:rPr>
        <w:t>баллов</w:t>
      </w:r>
      <w:r>
        <w:rPr>
          <w:spacing w:val="-7"/>
          <w:sz w:val="24"/>
        </w:rPr>
        <w:t> </w:t>
      </w:r>
      <w:r>
        <w:rPr>
          <w:sz w:val="24"/>
        </w:rPr>
        <w:t>по</w:t>
      </w:r>
      <w:r>
        <w:rPr>
          <w:spacing w:val="-8"/>
          <w:sz w:val="24"/>
        </w:rPr>
        <w:t> </w:t>
      </w:r>
      <w:r>
        <w:rPr>
          <w:sz w:val="24"/>
        </w:rPr>
        <w:t>ВАШ);</w:t>
      </w:r>
      <w:r>
        <w:rPr>
          <w:spacing w:val="-8"/>
          <w:sz w:val="24"/>
        </w:rPr>
        <w:t> </w:t>
      </w:r>
      <w:r>
        <w:rPr>
          <w:sz w:val="24"/>
        </w:rPr>
        <w:t>пациентам с сопутствующими заболеваниями (ХОБЛ, хронической сердечной недостаточностью, морбидным ожирением) и очаговым поражением легких, лёгкой или</w:t>
      </w:r>
      <w:r>
        <w:rPr>
          <w:spacing w:val="-2"/>
          <w:sz w:val="24"/>
        </w:rPr>
        <w:t> </w:t>
      </w:r>
      <w:r>
        <w:rPr>
          <w:sz w:val="24"/>
        </w:rPr>
        <w:t>средней</w:t>
      </w:r>
      <w:r>
        <w:rPr>
          <w:spacing w:val="-2"/>
          <w:sz w:val="24"/>
        </w:rPr>
        <w:t> </w:t>
      </w:r>
      <w:r>
        <w:rPr>
          <w:sz w:val="24"/>
        </w:rPr>
        <w:t>степенью</w:t>
      </w:r>
      <w:r>
        <w:rPr>
          <w:spacing w:val="-1"/>
          <w:sz w:val="24"/>
        </w:rPr>
        <w:t> </w:t>
      </w:r>
      <w:r>
        <w:rPr>
          <w:sz w:val="24"/>
        </w:rPr>
        <w:t>гипоксемии,</w:t>
      </w:r>
      <w:r>
        <w:rPr>
          <w:spacing w:val="-4"/>
          <w:sz w:val="24"/>
        </w:rPr>
        <w:t> </w:t>
      </w:r>
      <w:r>
        <w:rPr>
          <w:sz w:val="24"/>
        </w:rPr>
        <w:t>без</w:t>
      </w:r>
      <w:r>
        <w:rPr>
          <w:spacing w:val="-3"/>
          <w:sz w:val="24"/>
        </w:rPr>
        <w:t> </w:t>
      </w:r>
      <w:r>
        <w:rPr>
          <w:sz w:val="24"/>
        </w:rPr>
        <w:t>признаков</w:t>
      </w:r>
      <w:r>
        <w:rPr>
          <w:spacing w:val="-3"/>
          <w:sz w:val="24"/>
        </w:rPr>
        <w:t> </w:t>
      </w:r>
      <w:r>
        <w:rPr>
          <w:sz w:val="24"/>
        </w:rPr>
        <w:t>выраженного</w:t>
      </w:r>
      <w:r>
        <w:rPr>
          <w:spacing w:val="-2"/>
          <w:sz w:val="24"/>
        </w:rPr>
        <w:t> </w:t>
      </w:r>
      <w:r>
        <w:rPr>
          <w:sz w:val="24"/>
        </w:rPr>
        <w:t>диспноэ</w:t>
      </w:r>
      <w:r>
        <w:rPr>
          <w:spacing w:val="-2"/>
          <w:sz w:val="24"/>
        </w:rPr>
        <w:t> </w:t>
      </w:r>
      <w:r>
        <w:rPr>
          <w:sz w:val="24"/>
        </w:rPr>
        <w:t>(до</w:t>
      </w:r>
      <w:r>
        <w:rPr>
          <w:spacing w:val="-4"/>
          <w:sz w:val="24"/>
        </w:rPr>
        <w:t> </w:t>
      </w:r>
      <w:r>
        <w:rPr>
          <w:sz w:val="24"/>
        </w:rPr>
        <w:t>4</w:t>
      </w:r>
      <w:r>
        <w:rPr>
          <w:spacing w:val="-3"/>
          <w:sz w:val="24"/>
        </w:rPr>
        <w:t> </w:t>
      </w:r>
      <w:r>
        <w:rPr>
          <w:sz w:val="24"/>
        </w:rPr>
        <w:t>баллов по ВАШ)</w:t>
      </w:r>
    </w:p>
    <w:p>
      <w:pPr>
        <w:spacing w:line="278" w:lineRule="auto" w:before="12"/>
        <w:ind w:left="1841" w:right="1271" w:firstLine="707"/>
        <w:jc w:val="right"/>
        <w:rPr>
          <w:sz w:val="24"/>
        </w:rPr>
      </w:pPr>
      <w:r>
        <w:rPr>
          <w:b/>
          <w:sz w:val="24"/>
        </w:rPr>
        <w:t>Неинвазивная</w:t>
      </w:r>
      <w:r>
        <w:rPr>
          <w:b/>
          <w:spacing w:val="75"/>
          <w:sz w:val="24"/>
        </w:rPr>
        <w:t> </w:t>
      </w:r>
      <w:r>
        <w:rPr>
          <w:b/>
          <w:sz w:val="24"/>
        </w:rPr>
        <w:t>вентиляция</w:t>
      </w:r>
      <w:r>
        <w:rPr>
          <w:b/>
          <w:spacing w:val="75"/>
          <w:sz w:val="24"/>
        </w:rPr>
        <w:t> </w:t>
      </w:r>
      <w:r>
        <w:rPr>
          <w:b/>
          <w:sz w:val="24"/>
        </w:rPr>
        <w:t>лёгких</w:t>
      </w:r>
      <w:r>
        <w:rPr>
          <w:b/>
          <w:spacing w:val="74"/>
          <w:sz w:val="24"/>
        </w:rPr>
        <w:t> </w:t>
      </w:r>
      <w:r>
        <w:rPr>
          <w:b/>
          <w:sz w:val="24"/>
        </w:rPr>
        <w:t>(с</w:t>
      </w:r>
      <w:r>
        <w:rPr>
          <w:b/>
          <w:spacing w:val="73"/>
          <w:sz w:val="24"/>
        </w:rPr>
        <w:t> </w:t>
      </w:r>
      <w:r>
        <w:rPr>
          <w:b/>
          <w:sz w:val="24"/>
        </w:rPr>
        <w:t>помощью</w:t>
      </w:r>
      <w:r>
        <w:rPr>
          <w:b/>
          <w:spacing w:val="74"/>
          <w:sz w:val="24"/>
        </w:rPr>
        <w:t> </w:t>
      </w:r>
      <w:r>
        <w:rPr>
          <w:b/>
          <w:sz w:val="24"/>
        </w:rPr>
        <w:t>аппарата</w:t>
      </w:r>
      <w:r>
        <w:rPr>
          <w:b/>
          <w:spacing w:val="74"/>
          <w:sz w:val="24"/>
        </w:rPr>
        <w:t> </w:t>
      </w:r>
      <w:r>
        <w:rPr>
          <w:b/>
          <w:sz w:val="24"/>
        </w:rPr>
        <w:t>ИВЛ/НИВЛ, с</w:t>
      </w:r>
      <w:r>
        <w:rPr>
          <w:b/>
          <w:spacing w:val="40"/>
          <w:sz w:val="24"/>
        </w:rPr>
        <w:t> </w:t>
      </w:r>
      <w:r>
        <w:rPr>
          <w:b/>
          <w:sz w:val="24"/>
        </w:rPr>
        <w:t>ороназальной</w:t>
      </w:r>
      <w:r>
        <w:rPr>
          <w:b/>
          <w:spacing w:val="40"/>
          <w:sz w:val="24"/>
        </w:rPr>
        <w:t> </w:t>
      </w:r>
      <w:r>
        <w:rPr>
          <w:b/>
          <w:sz w:val="24"/>
        </w:rPr>
        <w:t>или</w:t>
      </w:r>
      <w:r>
        <w:rPr>
          <w:b/>
          <w:spacing w:val="40"/>
          <w:sz w:val="24"/>
        </w:rPr>
        <w:t> </w:t>
      </w:r>
      <w:r>
        <w:rPr>
          <w:b/>
          <w:sz w:val="24"/>
        </w:rPr>
        <w:t>полнолицевой</w:t>
      </w:r>
      <w:r>
        <w:rPr>
          <w:b/>
          <w:spacing w:val="40"/>
          <w:sz w:val="24"/>
        </w:rPr>
        <w:t> </w:t>
      </w:r>
      <w:r>
        <w:rPr>
          <w:b/>
          <w:sz w:val="24"/>
        </w:rPr>
        <w:t>маской</w:t>
      </w:r>
      <w:r>
        <w:rPr>
          <w:b/>
          <w:spacing w:val="40"/>
          <w:sz w:val="24"/>
        </w:rPr>
        <w:t> </w:t>
      </w:r>
      <w:r>
        <w:rPr>
          <w:b/>
          <w:sz w:val="24"/>
        </w:rPr>
        <w:t>или</w:t>
      </w:r>
      <w:r>
        <w:rPr>
          <w:b/>
          <w:spacing w:val="40"/>
          <w:sz w:val="24"/>
        </w:rPr>
        <w:t> </w:t>
      </w:r>
      <w:r>
        <w:rPr>
          <w:b/>
          <w:sz w:val="24"/>
        </w:rPr>
        <w:t>шлемом):</w:t>
      </w:r>
      <w:r>
        <w:rPr>
          <w:b/>
          <w:spacing w:val="40"/>
          <w:sz w:val="24"/>
        </w:rPr>
        <w:t> </w:t>
      </w:r>
      <w:r>
        <w:rPr>
          <w:sz w:val="24"/>
        </w:rPr>
        <w:t>показана</w:t>
      </w:r>
      <w:r>
        <w:rPr>
          <w:spacing w:val="40"/>
          <w:sz w:val="24"/>
        </w:rPr>
        <w:t> </w:t>
      </w:r>
      <w:r>
        <w:rPr>
          <w:sz w:val="24"/>
        </w:rPr>
        <w:t>пациентам</w:t>
      </w:r>
      <w:r>
        <w:rPr>
          <w:spacing w:val="40"/>
          <w:sz w:val="24"/>
        </w:rPr>
        <w:t> </w:t>
      </w:r>
      <w:r>
        <w:rPr>
          <w:sz w:val="24"/>
        </w:rPr>
        <w:t>с</w:t>
      </w:r>
      <w:r>
        <w:rPr>
          <w:spacing w:val="79"/>
          <w:w w:val="150"/>
          <w:sz w:val="24"/>
        </w:rPr>
        <w:t> </w:t>
      </w:r>
      <w:r>
        <w:rPr>
          <w:sz w:val="24"/>
        </w:rPr>
        <w:t>диффузным</w:t>
      </w:r>
      <w:r>
        <w:rPr>
          <w:spacing w:val="80"/>
          <w:w w:val="150"/>
          <w:sz w:val="24"/>
        </w:rPr>
        <w:t> </w:t>
      </w:r>
      <w:r>
        <w:rPr>
          <w:sz w:val="24"/>
        </w:rPr>
        <w:t>поражением</w:t>
      </w:r>
      <w:r>
        <w:rPr>
          <w:spacing w:val="80"/>
          <w:w w:val="150"/>
          <w:sz w:val="24"/>
        </w:rPr>
        <w:t> </w:t>
      </w:r>
      <w:r>
        <w:rPr>
          <w:sz w:val="24"/>
        </w:rPr>
        <w:t>легких,</w:t>
      </w:r>
      <w:r>
        <w:rPr>
          <w:spacing w:val="80"/>
          <w:w w:val="150"/>
          <w:sz w:val="24"/>
        </w:rPr>
        <w:t> </w:t>
      </w:r>
      <w:r>
        <w:rPr>
          <w:sz w:val="24"/>
        </w:rPr>
        <w:t>средней</w:t>
      </w:r>
      <w:r>
        <w:rPr>
          <w:spacing w:val="80"/>
          <w:w w:val="150"/>
          <w:sz w:val="24"/>
        </w:rPr>
        <w:t> </w:t>
      </w:r>
      <w:r>
        <w:rPr>
          <w:sz w:val="24"/>
        </w:rPr>
        <w:t>и</w:t>
      </w:r>
      <w:r>
        <w:rPr>
          <w:spacing w:val="80"/>
          <w:w w:val="150"/>
          <w:sz w:val="24"/>
        </w:rPr>
        <w:t> </w:t>
      </w:r>
      <w:r>
        <w:rPr>
          <w:sz w:val="24"/>
        </w:rPr>
        <w:t>тяжелой</w:t>
      </w:r>
      <w:r>
        <w:rPr>
          <w:spacing w:val="80"/>
          <w:w w:val="150"/>
          <w:sz w:val="24"/>
        </w:rPr>
        <w:t> </w:t>
      </w:r>
      <w:r>
        <w:rPr>
          <w:sz w:val="24"/>
        </w:rPr>
        <w:t>степенью</w:t>
      </w:r>
      <w:r>
        <w:rPr>
          <w:spacing w:val="80"/>
          <w:w w:val="150"/>
          <w:sz w:val="24"/>
        </w:rPr>
        <w:t> </w:t>
      </w:r>
      <w:r>
        <w:rPr>
          <w:sz w:val="24"/>
        </w:rPr>
        <w:t>гипоксемии, с</w:t>
      </w:r>
      <w:r>
        <w:rPr>
          <w:spacing w:val="-6"/>
          <w:sz w:val="24"/>
        </w:rPr>
        <w:t> </w:t>
      </w:r>
      <w:r>
        <w:rPr>
          <w:sz w:val="24"/>
        </w:rPr>
        <w:t>признаками</w:t>
      </w:r>
      <w:r>
        <w:rPr>
          <w:spacing w:val="-3"/>
          <w:sz w:val="24"/>
        </w:rPr>
        <w:t> </w:t>
      </w:r>
      <w:r>
        <w:rPr>
          <w:sz w:val="24"/>
        </w:rPr>
        <w:t>выраженного</w:t>
      </w:r>
      <w:r>
        <w:rPr>
          <w:spacing w:val="-8"/>
          <w:sz w:val="24"/>
        </w:rPr>
        <w:t> </w:t>
      </w:r>
      <w:r>
        <w:rPr>
          <w:sz w:val="24"/>
        </w:rPr>
        <w:t>диспноэ</w:t>
      </w:r>
      <w:r>
        <w:rPr>
          <w:spacing w:val="-3"/>
          <w:sz w:val="24"/>
        </w:rPr>
        <w:t> </w:t>
      </w:r>
      <w:r>
        <w:rPr>
          <w:sz w:val="24"/>
        </w:rPr>
        <w:t>(выше</w:t>
      </w:r>
      <w:r>
        <w:rPr>
          <w:spacing w:val="-6"/>
          <w:sz w:val="24"/>
        </w:rPr>
        <w:t> </w:t>
      </w:r>
      <w:r>
        <w:rPr>
          <w:sz w:val="24"/>
        </w:rPr>
        <w:t>4</w:t>
      </w:r>
      <w:r>
        <w:rPr>
          <w:spacing w:val="-5"/>
          <w:sz w:val="24"/>
        </w:rPr>
        <w:t> </w:t>
      </w:r>
      <w:r>
        <w:rPr>
          <w:sz w:val="24"/>
        </w:rPr>
        <w:t>баллов</w:t>
      </w:r>
      <w:r>
        <w:rPr>
          <w:spacing w:val="-5"/>
          <w:sz w:val="24"/>
        </w:rPr>
        <w:t> </w:t>
      </w:r>
      <w:r>
        <w:rPr>
          <w:sz w:val="24"/>
        </w:rPr>
        <w:t>по</w:t>
      </w:r>
      <w:r>
        <w:rPr>
          <w:spacing w:val="-5"/>
          <w:sz w:val="24"/>
        </w:rPr>
        <w:t> </w:t>
      </w:r>
      <w:r>
        <w:rPr>
          <w:sz w:val="24"/>
        </w:rPr>
        <w:t>ВАШ)</w:t>
      </w:r>
      <w:r>
        <w:rPr>
          <w:spacing w:val="-3"/>
          <w:sz w:val="24"/>
        </w:rPr>
        <w:t> </w:t>
      </w:r>
      <w:r>
        <w:rPr>
          <w:sz w:val="24"/>
        </w:rPr>
        <w:t>на</w:t>
      </w:r>
      <w:r>
        <w:rPr>
          <w:spacing w:val="-6"/>
          <w:sz w:val="24"/>
        </w:rPr>
        <w:t> </w:t>
      </w:r>
      <w:r>
        <w:rPr>
          <w:sz w:val="24"/>
        </w:rPr>
        <w:t>фоне</w:t>
      </w:r>
      <w:r>
        <w:rPr>
          <w:spacing w:val="-6"/>
          <w:sz w:val="24"/>
        </w:rPr>
        <w:t> </w:t>
      </w:r>
      <w:r>
        <w:rPr>
          <w:sz w:val="24"/>
        </w:rPr>
        <w:t>СРАР-терапии </w:t>
      </w:r>
      <w:r>
        <w:rPr>
          <w:b/>
          <w:sz w:val="24"/>
        </w:rPr>
        <w:t>Инвазивная</w:t>
      </w:r>
      <w:r>
        <w:rPr>
          <w:b/>
          <w:spacing w:val="80"/>
          <w:sz w:val="24"/>
        </w:rPr>
        <w:t> </w:t>
      </w:r>
      <w:r>
        <w:rPr>
          <w:b/>
          <w:sz w:val="24"/>
        </w:rPr>
        <w:t>вентиляция</w:t>
      </w:r>
      <w:r>
        <w:rPr>
          <w:b/>
          <w:spacing w:val="80"/>
          <w:sz w:val="24"/>
        </w:rPr>
        <w:t> </w:t>
      </w:r>
      <w:r>
        <w:rPr>
          <w:b/>
          <w:sz w:val="24"/>
        </w:rPr>
        <w:t>лёгких</w:t>
      </w:r>
      <w:r>
        <w:rPr>
          <w:b/>
          <w:spacing w:val="80"/>
          <w:sz w:val="24"/>
        </w:rPr>
        <w:t> </w:t>
      </w:r>
      <w:r>
        <w:rPr>
          <w:b/>
          <w:sz w:val="24"/>
        </w:rPr>
        <w:t>(аппарат</w:t>
      </w:r>
      <w:r>
        <w:rPr>
          <w:b/>
          <w:spacing w:val="80"/>
          <w:sz w:val="24"/>
        </w:rPr>
        <w:t> </w:t>
      </w:r>
      <w:r>
        <w:rPr>
          <w:b/>
          <w:sz w:val="24"/>
        </w:rPr>
        <w:t>ИВЛ):</w:t>
      </w:r>
      <w:r>
        <w:rPr>
          <w:b/>
          <w:spacing w:val="80"/>
          <w:sz w:val="24"/>
        </w:rPr>
        <w:t> </w:t>
      </w:r>
      <w:r>
        <w:rPr>
          <w:sz w:val="24"/>
        </w:rPr>
        <w:t>показана</w:t>
      </w:r>
      <w:r>
        <w:rPr>
          <w:spacing w:val="80"/>
          <w:sz w:val="24"/>
        </w:rPr>
        <w:t> </w:t>
      </w:r>
      <w:r>
        <w:rPr>
          <w:sz w:val="24"/>
        </w:rPr>
        <w:t>пациентам</w:t>
      </w:r>
    </w:p>
    <w:p>
      <w:pPr>
        <w:pStyle w:val="BodyText"/>
        <w:spacing w:line="276" w:lineRule="auto"/>
        <w:ind w:right="1272"/>
      </w:pPr>
      <w:r>
        <w:rPr/>
        <w:t>с</w:t>
      </w:r>
      <w:r>
        <w:rPr>
          <w:spacing w:val="79"/>
          <w:w w:val="150"/>
        </w:rPr>
        <w:t> </w:t>
      </w:r>
      <w:r>
        <w:rPr/>
        <w:t>диффузным</w:t>
      </w:r>
      <w:r>
        <w:rPr>
          <w:spacing w:val="80"/>
          <w:w w:val="150"/>
        </w:rPr>
        <w:t> </w:t>
      </w:r>
      <w:r>
        <w:rPr/>
        <w:t>поражением</w:t>
      </w:r>
      <w:r>
        <w:rPr>
          <w:spacing w:val="80"/>
          <w:w w:val="150"/>
        </w:rPr>
        <w:t> </w:t>
      </w:r>
      <w:r>
        <w:rPr/>
        <w:t>легких,</w:t>
      </w:r>
      <w:r>
        <w:rPr>
          <w:spacing w:val="80"/>
          <w:w w:val="150"/>
        </w:rPr>
        <w:t> </w:t>
      </w:r>
      <w:r>
        <w:rPr/>
        <w:t>средней</w:t>
      </w:r>
      <w:r>
        <w:rPr>
          <w:spacing w:val="80"/>
          <w:w w:val="150"/>
        </w:rPr>
        <w:t> </w:t>
      </w:r>
      <w:r>
        <w:rPr/>
        <w:t>и</w:t>
      </w:r>
      <w:r>
        <w:rPr>
          <w:spacing w:val="80"/>
          <w:w w:val="150"/>
        </w:rPr>
        <w:t> </w:t>
      </w:r>
      <w:r>
        <w:rPr/>
        <w:t>тяжелой</w:t>
      </w:r>
      <w:r>
        <w:rPr>
          <w:spacing w:val="80"/>
          <w:w w:val="150"/>
        </w:rPr>
        <w:t> </w:t>
      </w:r>
      <w:r>
        <w:rPr/>
        <w:t>степенью</w:t>
      </w:r>
      <w:r>
        <w:rPr>
          <w:spacing w:val="80"/>
          <w:w w:val="150"/>
        </w:rPr>
        <w:t> </w:t>
      </w:r>
      <w:r>
        <w:rPr/>
        <w:t>гипоксемии, с признаками выраженного диспноэ (выше 4 баллов по ВАШ)</w:t>
      </w:r>
    </w:p>
    <w:p>
      <w:pPr>
        <w:pStyle w:val="Heading3"/>
        <w:spacing w:line="276" w:lineRule="auto" w:before="11"/>
        <w:ind w:left="1841" w:right="1271" w:firstLine="707"/>
      </w:pPr>
      <w:r>
        <w:rPr/>
        <w:t>Самостоятельная</w:t>
      </w:r>
      <w:r>
        <w:rPr>
          <w:spacing w:val="76"/>
          <w:w w:val="150"/>
        </w:rPr>
        <w:t>  </w:t>
      </w:r>
      <w:r>
        <w:rPr/>
        <w:t>прон-позиция</w:t>
      </w:r>
      <w:r>
        <w:rPr>
          <w:spacing w:val="76"/>
          <w:w w:val="150"/>
        </w:rPr>
        <w:t>  </w:t>
      </w:r>
      <w:r>
        <w:rPr/>
        <w:t>и</w:t>
      </w:r>
      <w:r>
        <w:rPr>
          <w:spacing w:val="75"/>
          <w:w w:val="150"/>
        </w:rPr>
        <w:t>  </w:t>
      </w:r>
      <w:r>
        <w:rPr/>
        <w:t>положение</w:t>
      </w:r>
      <w:r>
        <w:rPr>
          <w:spacing w:val="76"/>
          <w:w w:val="150"/>
        </w:rPr>
        <w:t>  </w:t>
      </w:r>
      <w:r>
        <w:rPr/>
        <w:t>лежа</w:t>
      </w:r>
      <w:r>
        <w:rPr>
          <w:spacing w:val="76"/>
          <w:w w:val="150"/>
        </w:rPr>
        <w:t>  </w:t>
      </w:r>
      <w:r>
        <w:rPr/>
        <w:t>на</w:t>
      </w:r>
      <w:r>
        <w:rPr>
          <w:spacing w:val="77"/>
          <w:w w:val="150"/>
        </w:rPr>
        <w:t>  </w:t>
      </w:r>
      <w:r>
        <w:rPr/>
        <w:t>боку у</w:t>
      </w:r>
      <w:r>
        <w:rPr>
          <w:spacing w:val="74"/>
        </w:rPr>
        <w:t>  </w:t>
      </w:r>
      <w:r>
        <w:rPr/>
        <w:t>неинтубированных</w:t>
      </w:r>
      <w:r>
        <w:rPr>
          <w:spacing w:val="74"/>
        </w:rPr>
        <w:t>  </w:t>
      </w:r>
      <w:r>
        <w:rPr/>
        <w:t>пациентов</w:t>
      </w:r>
      <w:r>
        <w:rPr>
          <w:spacing w:val="74"/>
        </w:rPr>
        <w:t>  </w:t>
      </w:r>
      <w:r>
        <w:rPr/>
        <w:t>(при</w:t>
      </w:r>
      <w:r>
        <w:rPr>
          <w:spacing w:val="73"/>
        </w:rPr>
        <w:t>  </w:t>
      </w:r>
      <w:r>
        <w:rPr/>
        <w:t>оксигенотерапии,</w:t>
      </w:r>
      <w:r>
        <w:rPr>
          <w:spacing w:val="74"/>
        </w:rPr>
        <w:t>  </w:t>
      </w:r>
      <w:r>
        <w:rPr/>
        <w:t>СРАР-терапии и неинвазивной вентиляции лёгких)</w:t>
      </w:r>
    </w:p>
    <w:p>
      <w:pPr>
        <w:pStyle w:val="BodyText"/>
        <w:spacing w:line="276" w:lineRule="auto" w:before="14"/>
        <w:ind w:right="1271" w:firstLine="707"/>
      </w:pPr>
      <w:r>
        <w:rPr/>
        <w:t>У пациентов с COVID-19 формируются ателектазы в дорсальных отделах легких, в связи с чем самостоятельная прон-позиция (положение лежа на животе) высокоэффективна и у неинтубированных пациентов, которые получают кислородотерапию или НИВЛ. Прон-позиция проводится не реже двух раз в сутки (оптимально общее время на животе 12-16 ч в сутки).</w:t>
      </w:r>
    </w:p>
    <w:p>
      <w:pPr>
        <w:pStyle w:val="Heading3"/>
        <w:spacing w:before="13"/>
      </w:pPr>
      <w:r>
        <w:rPr>
          <w:color w:val="1F487C"/>
          <w:spacing w:val="-2"/>
        </w:rPr>
        <w:t>Основные</w:t>
      </w:r>
      <w:r>
        <w:rPr>
          <w:color w:val="1F487C"/>
          <w:spacing w:val="2"/>
        </w:rPr>
        <w:t> </w:t>
      </w:r>
      <w:r>
        <w:rPr>
          <w:color w:val="1F487C"/>
          <w:spacing w:val="-2"/>
        </w:rPr>
        <w:t>механизмы</w:t>
      </w:r>
      <w:r>
        <w:rPr>
          <w:color w:val="1F487C"/>
          <w:spacing w:val="2"/>
        </w:rPr>
        <w:t> </w:t>
      </w:r>
      <w:r>
        <w:rPr>
          <w:color w:val="1F487C"/>
          <w:spacing w:val="-2"/>
        </w:rPr>
        <w:t>действия</w:t>
      </w:r>
      <w:r>
        <w:rPr>
          <w:color w:val="1F487C"/>
          <w:spacing w:val="4"/>
        </w:rPr>
        <w:t> </w:t>
      </w:r>
      <w:r>
        <w:rPr>
          <w:color w:val="1F487C"/>
          <w:spacing w:val="-2"/>
        </w:rPr>
        <w:t>прон-позиции:</w:t>
      </w:r>
    </w:p>
    <w:p>
      <w:pPr>
        <w:pStyle w:val="ListParagraph"/>
        <w:numPr>
          <w:ilvl w:val="0"/>
          <w:numId w:val="31"/>
        </w:numPr>
        <w:tabs>
          <w:tab w:pos="2548" w:val="left" w:leader="none"/>
        </w:tabs>
        <w:spacing w:line="240" w:lineRule="auto" w:before="57" w:after="0"/>
        <w:ind w:left="2548" w:right="0" w:hanging="280"/>
        <w:jc w:val="left"/>
        <w:rPr>
          <w:sz w:val="24"/>
        </w:rPr>
      </w:pPr>
      <w:r>
        <w:rPr>
          <w:spacing w:val="-2"/>
          <w:sz w:val="24"/>
        </w:rPr>
        <w:t>Расправление</w:t>
      </w:r>
      <w:r>
        <w:rPr>
          <w:spacing w:val="6"/>
          <w:sz w:val="24"/>
        </w:rPr>
        <w:t> </w:t>
      </w:r>
      <w:r>
        <w:rPr>
          <w:spacing w:val="-2"/>
          <w:sz w:val="24"/>
        </w:rPr>
        <w:t>гравитационно-зависимых</w:t>
      </w:r>
      <w:r>
        <w:rPr>
          <w:spacing w:val="6"/>
          <w:sz w:val="24"/>
        </w:rPr>
        <w:t> </w:t>
      </w:r>
      <w:r>
        <w:rPr>
          <w:spacing w:val="-2"/>
          <w:sz w:val="24"/>
        </w:rPr>
        <w:t>ателектазов;</w:t>
      </w:r>
    </w:p>
    <w:p>
      <w:pPr>
        <w:pStyle w:val="ListParagraph"/>
        <w:numPr>
          <w:ilvl w:val="0"/>
          <w:numId w:val="31"/>
        </w:numPr>
        <w:tabs>
          <w:tab w:pos="2548" w:val="left" w:leader="none"/>
        </w:tabs>
        <w:spacing w:line="240" w:lineRule="auto" w:before="40" w:after="0"/>
        <w:ind w:left="2548" w:right="0" w:hanging="280"/>
        <w:jc w:val="left"/>
        <w:rPr>
          <w:sz w:val="24"/>
        </w:rPr>
      </w:pPr>
      <w:r>
        <w:rPr>
          <w:spacing w:val="-2"/>
          <w:sz w:val="24"/>
        </w:rPr>
        <w:t>Улучшение</w:t>
      </w:r>
      <w:r>
        <w:rPr>
          <w:spacing w:val="8"/>
          <w:sz w:val="24"/>
        </w:rPr>
        <w:t> </w:t>
      </w:r>
      <w:r>
        <w:rPr>
          <w:spacing w:val="-2"/>
          <w:sz w:val="24"/>
        </w:rPr>
        <w:t>вентиляционно-перфузионных</w:t>
      </w:r>
      <w:r>
        <w:rPr>
          <w:spacing w:val="3"/>
          <w:sz w:val="24"/>
        </w:rPr>
        <w:t> </w:t>
      </w:r>
      <w:r>
        <w:rPr>
          <w:spacing w:val="-2"/>
          <w:sz w:val="24"/>
        </w:rPr>
        <w:t>соотношений;</w:t>
      </w:r>
    </w:p>
    <w:p>
      <w:pPr>
        <w:pStyle w:val="ListParagraph"/>
        <w:numPr>
          <w:ilvl w:val="0"/>
          <w:numId w:val="31"/>
        </w:numPr>
        <w:tabs>
          <w:tab w:pos="2548" w:val="left" w:leader="none"/>
        </w:tabs>
        <w:spacing w:line="240" w:lineRule="auto" w:before="41" w:after="0"/>
        <w:ind w:left="2548" w:right="0" w:hanging="280"/>
        <w:jc w:val="left"/>
        <w:rPr>
          <w:sz w:val="24"/>
        </w:rPr>
      </w:pPr>
      <w:r>
        <w:rPr>
          <w:sz w:val="24"/>
        </w:rPr>
        <w:t>Улучшение</w:t>
      </w:r>
      <w:r>
        <w:rPr>
          <w:spacing w:val="-13"/>
          <w:sz w:val="24"/>
        </w:rPr>
        <w:t> </w:t>
      </w:r>
      <w:r>
        <w:rPr>
          <w:sz w:val="24"/>
        </w:rPr>
        <w:t>дренажа</w:t>
      </w:r>
      <w:r>
        <w:rPr>
          <w:spacing w:val="-13"/>
          <w:sz w:val="24"/>
        </w:rPr>
        <w:t> </w:t>
      </w:r>
      <w:r>
        <w:rPr>
          <w:sz w:val="24"/>
        </w:rPr>
        <w:t>секрета</w:t>
      </w:r>
      <w:r>
        <w:rPr>
          <w:spacing w:val="-12"/>
          <w:sz w:val="24"/>
        </w:rPr>
        <w:t> </w:t>
      </w:r>
      <w:r>
        <w:rPr>
          <w:sz w:val="24"/>
        </w:rPr>
        <w:t>дыхательных</w:t>
      </w:r>
      <w:r>
        <w:rPr>
          <w:spacing w:val="-15"/>
          <w:sz w:val="24"/>
        </w:rPr>
        <w:t> </w:t>
      </w:r>
      <w:r>
        <w:rPr>
          <w:spacing w:val="-2"/>
          <w:sz w:val="24"/>
        </w:rPr>
        <w:t>путей;</w:t>
      </w:r>
    </w:p>
    <w:p>
      <w:pPr>
        <w:pStyle w:val="ListParagraph"/>
        <w:numPr>
          <w:ilvl w:val="0"/>
          <w:numId w:val="31"/>
        </w:numPr>
        <w:tabs>
          <w:tab w:pos="2548" w:val="left" w:leader="none"/>
        </w:tabs>
        <w:spacing w:line="240" w:lineRule="auto" w:before="40" w:after="0"/>
        <w:ind w:left="2548" w:right="0" w:hanging="280"/>
        <w:jc w:val="left"/>
        <w:rPr>
          <w:sz w:val="24"/>
        </w:rPr>
      </w:pPr>
      <w:r>
        <w:rPr>
          <w:sz w:val="24"/>
        </w:rPr>
        <w:t>На</w:t>
      </w:r>
      <w:r>
        <w:rPr>
          <w:spacing w:val="-12"/>
          <w:sz w:val="24"/>
        </w:rPr>
        <w:t> </w:t>
      </w:r>
      <w:r>
        <w:rPr>
          <w:sz w:val="24"/>
        </w:rPr>
        <w:t>фоне</w:t>
      </w:r>
      <w:r>
        <w:rPr>
          <w:spacing w:val="-11"/>
          <w:sz w:val="24"/>
        </w:rPr>
        <w:t> </w:t>
      </w:r>
      <w:r>
        <w:rPr>
          <w:sz w:val="24"/>
        </w:rPr>
        <w:t>СРАР</w:t>
      </w:r>
      <w:r>
        <w:rPr>
          <w:spacing w:val="-11"/>
          <w:sz w:val="24"/>
        </w:rPr>
        <w:t> </w:t>
      </w:r>
      <w:r>
        <w:rPr>
          <w:sz w:val="24"/>
        </w:rPr>
        <w:t>вентиляция</w:t>
      </w:r>
      <w:r>
        <w:rPr>
          <w:spacing w:val="-10"/>
          <w:sz w:val="24"/>
        </w:rPr>
        <w:t> </w:t>
      </w:r>
      <w:r>
        <w:rPr>
          <w:sz w:val="24"/>
        </w:rPr>
        <w:t>распределяется</w:t>
      </w:r>
      <w:r>
        <w:rPr>
          <w:spacing w:val="-10"/>
          <w:sz w:val="24"/>
        </w:rPr>
        <w:t> </w:t>
      </w:r>
      <w:r>
        <w:rPr>
          <w:sz w:val="24"/>
        </w:rPr>
        <w:t>более</w:t>
      </w:r>
      <w:r>
        <w:rPr>
          <w:spacing w:val="-12"/>
          <w:sz w:val="24"/>
        </w:rPr>
        <w:t> </w:t>
      </w:r>
      <w:r>
        <w:rPr>
          <w:spacing w:val="-2"/>
          <w:sz w:val="24"/>
        </w:rPr>
        <w:t>равномерно.</w:t>
      </w:r>
    </w:p>
    <w:p>
      <w:pPr>
        <w:pStyle w:val="BodyText"/>
        <w:spacing w:before="80"/>
        <w:ind w:left="0"/>
        <w:jc w:val="left"/>
      </w:pPr>
    </w:p>
    <w:p>
      <w:pPr>
        <w:pStyle w:val="Heading3"/>
        <w:rPr>
          <w:b w:val="0"/>
        </w:rPr>
      </w:pPr>
      <w:r>
        <w:rPr>
          <w:color w:val="1F487C"/>
          <w:spacing w:val="-2"/>
        </w:rPr>
        <w:t>Противопоказания</w:t>
      </w:r>
      <w:r>
        <w:rPr>
          <w:color w:val="1F487C"/>
          <w:spacing w:val="-1"/>
        </w:rPr>
        <w:t> </w:t>
      </w:r>
      <w:r>
        <w:rPr>
          <w:color w:val="1F487C"/>
          <w:spacing w:val="-2"/>
        </w:rPr>
        <w:t>к</w:t>
      </w:r>
      <w:r>
        <w:rPr>
          <w:color w:val="1F487C"/>
          <w:spacing w:val="1"/>
        </w:rPr>
        <w:t> </w:t>
      </w:r>
      <w:r>
        <w:rPr>
          <w:color w:val="1F487C"/>
          <w:spacing w:val="-2"/>
        </w:rPr>
        <w:t>самостоятельной</w:t>
      </w:r>
      <w:r>
        <w:rPr>
          <w:color w:val="1F487C"/>
          <w:spacing w:val="2"/>
        </w:rPr>
        <w:t> </w:t>
      </w:r>
      <w:r>
        <w:rPr>
          <w:color w:val="1F487C"/>
          <w:spacing w:val="-2"/>
        </w:rPr>
        <w:t>прон-позиции</w:t>
      </w:r>
      <w:r>
        <w:rPr>
          <w:b w:val="0"/>
          <w:color w:val="1F487C"/>
          <w:spacing w:val="-2"/>
        </w:rPr>
        <w:t>:</w:t>
      </w:r>
    </w:p>
    <w:p>
      <w:pPr>
        <w:pStyle w:val="Heading3"/>
        <w:spacing w:after="0"/>
        <w:rPr>
          <w:b w:val="0"/>
        </w:rPr>
        <w:sectPr>
          <w:pgSz w:w="11900" w:h="16840"/>
          <w:pgMar w:header="0" w:footer="697" w:top="1080" w:bottom="880" w:left="0" w:right="0"/>
        </w:sectPr>
      </w:pPr>
    </w:p>
    <w:p>
      <w:pPr>
        <w:pStyle w:val="ListParagraph"/>
        <w:numPr>
          <w:ilvl w:val="0"/>
          <w:numId w:val="31"/>
        </w:numPr>
        <w:tabs>
          <w:tab w:pos="2548" w:val="left" w:leader="none"/>
        </w:tabs>
        <w:spacing w:line="240" w:lineRule="auto" w:before="75" w:after="0"/>
        <w:ind w:left="2548" w:right="0" w:hanging="282"/>
        <w:jc w:val="left"/>
        <w:rPr>
          <w:sz w:val="24"/>
        </w:rPr>
      </w:pPr>
      <w:bookmarkStart w:name="74" w:id="90"/>
      <w:bookmarkEnd w:id="90"/>
      <w:r>
        <w:rPr/>
      </w:r>
      <w:r>
        <w:rPr>
          <w:sz w:val="24"/>
        </w:rPr>
        <w:t>Нарушение</w:t>
      </w:r>
      <w:r>
        <w:rPr>
          <w:spacing w:val="-5"/>
          <w:sz w:val="24"/>
        </w:rPr>
        <w:t> </w:t>
      </w:r>
      <w:r>
        <w:rPr>
          <w:sz w:val="24"/>
        </w:rPr>
        <w:t>сознания</w:t>
      </w:r>
      <w:r>
        <w:rPr>
          <w:spacing w:val="-4"/>
          <w:sz w:val="24"/>
        </w:rPr>
        <w:t> </w:t>
      </w:r>
      <w:r>
        <w:rPr>
          <w:sz w:val="24"/>
        </w:rPr>
        <w:t>(угнетение</w:t>
      </w:r>
      <w:r>
        <w:rPr>
          <w:spacing w:val="-5"/>
          <w:sz w:val="24"/>
        </w:rPr>
        <w:t> </w:t>
      </w:r>
      <w:r>
        <w:rPr>
          <w:sz w:val="24"/>
        </w:rPr>
        <w:t>или</w:t>
      </w:r>
      <w:r>
        <w:rPr>
          <w:spacing w:val="-3"/>
          <w:sz w:val="24"/>
        </w:rPr>
        <w:t> </w:t>
      </w:r>
      <w:r>
        <w:rPr>
          <w:spacing w:val="-2"/>
          <w:sz w:val="24"/>
        </w:rPr>
        <w:t>ажитация);</w:t>
      </w:r>
    </w:p>
    <w:p>
      <w:pPr>
        <w:pStyle w:val="ListParagraph"/>
        <w:numPr>
          <w:ilvl w:val="0"/>
          <w:numId w:val="31"/>
        </w:numPr>
        <w:tabs>
          <w:tab w:pos="2548" w:val="left" w:leader="none"/>
        </w:tabs>
        <w:spacing w:line="240" w:lineRule="auto" w:before="39" w:after="0"/>
        <w:ind w:left="2548" w:right="0" w:hanging="282"/>
        <w:jc w:val="left"/>
        <w:rPr>
          <w:sz w:val="24"/>
        </w:rPr>
      </w:pPr>
      <w:r>
        <w:rPr>
          <w:spacing w:val="-2"/>
          <w:sz w:val="24"/>
        </w:rPr>
        <w:t>Гипотензия;</w:t>
      </w:r>
    </w:p>
    <w:p>
      <w:pPr>
        <w:pStyle w:val="ListParagraph"/>
        <w:numPr>
          <w:ilvl w:val="0"/>
          <w:numId w:val="31"/>
        </w:numPr>
        <w:tabs>
          <w:tab w:pos="2548" w:val="left" w:leader="none"/>
        </w:tabs>
        <w:spacing w:line="240" w:lineRule="auto" w:before="42" w:after="0"/>
        <w:ind w:left="2548" w:right="0" w:hanging="282"/>
        <w:jc w:val="left"/>
        <w:rPr>
          <w:sz w:val="24"/>
        </w:rPr>
      </w:pPr>
      <w:r>
        <w:rPr>
          <w:sz w:val="24"/>
        </w:rPr>
        <w:t>Недавняя</w:t>
      </w:r>
      <w:r>
        <w:rPr>
          <w:spacing w:val="-10"/>
          <w:sz w:val="24"/>
        </w:rPr>
        <w:t> </w:t>
      </w:r>
      <w:r>
        <w:rPr>
          <w:sz w:val="24"/>
        </w:rPr>
        <w:t>операция</w:t>
      </w:r>
      <w:r>
        <w:rPr>
          <w:spacing w:val="-10"/>
          <w:sz w:val="24"/>
        </w:rPr>
        <w:t> </w:t>
      </w:r>
      <w:r>
        <w:rPr>
          <w:sz w:val="24"/>
        </w:rPr>
        <w:t>на</w:t>
      </w:r>
      <w:r>
        <w:rPr>
          <w:spacing w:val="-12"/>
          <w:sz w:val="24"/>
        </w:rPr>
        <w:t> </w:t>
      </w:r>
      <w:r>
        <w:rPr>
          <w:sz w:val="24"/>
        </w:rPr>
        <w:t>брюшной</w:t>
      </w:r>
      <w:r>
        <w:rPr>
          <w:spacing w:val="-10"/>
          <w:sz w:val="24"/>
        </w:rPr>
        <w:t> </w:t>
      </w:r>
      <w:r>
        <w:rPr>
          <w:sz w:val="24"/>
        </w:rPr>
        <w:t>или</w:t>
      </w:r>
      <w:r>
        <w:rPr>
          <w:spacing w:val="-9"/>
          <w:sz w:val="24"/>
        </w:rPr>
        <w:t> </w:t>
      </w:r>
      <w:r>
        <w:rPr>
          <w:sz w:val="24"/>
        </w:rPr>
        <w:t>грудной</w:t>
      </w:r>
      <w:r>
        <w:rPr>
          <w:spacing w:val="-12"/>
          <w:sz w:val="24"/>
        </w:rPr>
        <w:t> </w:t>
      </w:r>
      <w:r>
        <w:rPr>
          <w:spacing w:val="-2"/>
          <w:sz w:val="24"/>
        </w:rPr>
        <w:t>полостях;</w:t>
      </w:r>
    </w:p>
    <w:p>
      <w:pPr>
        <w:pStyle w:val="ListParagraph"/>
        <w:numPr>
          <w:ilvl w:val="0"/>
          <w:numId w:val="31"/>
        </w:numPr>
        <w:tabs>
          <w:tab w:pos="2548" w:val="left" w:leader="none"/>
        </w:tabs>
        <w:spacing w:line="240" w:lineRule="auto" w:before="39" w:after="0"/>
        <w:ind w:left="2548" w:right="0" w:hanging="282"/>
        <w:jc w:val="left"/>
        <w:rPr>
          <w:sz w:val="24"/>
        </w:rPr>
      </w:pPr>
      <w:r>
        <w:rPr>
          <w:spacing w:val="-2"/>
          <w:sz w:val="24"/>
        </w:rPr>
        <w:t>Выраженное</w:t>
      </w:r>
      <w:r>
        <w:rPr>
          <w:spacing w:val="2"/>
          <w:sz w:val="24"/>
        </w:rPr>
        <w:t> </w:t>
      </w:r>
      <w:r>
        <w:rPr>
          <w:spacing w:val="-2"/>
          <w:sz w:val="24"/>
        </w:rPr>
        <w:t>ожирение;</w:t>
      </w:r>
    </w:p>
    <w:p>
      <w:pPr>
        <w:pStyle w:val="ListParagraph"/>
        <w:numPr>
          <w:ilvl w:val="0"/>
          <w:numId w:val="31"/>
        </w:numPr>
        <w:tabs>
          <w:tab w:pos="2548" w:val="left" w:leader="none"/>
        </w:tabs>
        <w:spacing w:line="240" w:lineRule="auto" w:before="42" w:after="0"/>
        <w:ind w:left="2548" w:right="0" w:hanging="282"/>
        <w:jc w:val="left"/>
        <w:rPr>
          <w:sz w:val="24"/>
        </w:rPr>
      </w:pPr>
      <w:r>
        <w:rPr>
          <w:spacing w:val="-2"/>
          <w:sz w:val="24"/>
        </w:rPr>
        <w:t>Массивное</w:t>
      </w:r>
      <w:r>
        <w:rPr>
          <w:spacing w:val="1"/>
          <w:sz w:val="24"/>
        </w:rPr>
        <w:t> </w:t>
      </w:r>
      <w:r>
        <w:rPr>
          <w:spacing w:val="-2"/>
          <w:sz w:val="24"/>
        </w:rPr>
        <w:t>кровотечение;</w:t>
      </w:r>
    </w:p>
    <w:p>
      <w:pPr>
        <w:pStyle w:val="ListParagraph"/>
        <w:numPr>
          <w:ilvl w:val="0"/>
          <w:numId w:val="31"/>
        </w:numPr>
        <w:tabs>
          <w:tab w:pos="2548" w:val="left" w:leader="none"/>
        </w:tabs>
        <w:spacing w:line="240" w:lineRule="auto" w:before="39" w:after="0"/>
        <w:ind w:left="2548" w:right="0" w:hanging="282"/>
        <w:jc w:val="left"/>
        <w:rPr>
          <w:sz w:val="24"/>
        </w:rPr>
      </w:pPr>
      <w:r>
        <w:rPr>
          <w:spacing w:val="-2"/>
          <w:sz w:val="24"/>
        </w:rPr>
        <w:t>Повреждения</w:t>
      </w:r>
      <w:r>
        <w:rPr>
          <w:spacing w:val="5"/>
          <w:sz w:val="24"/>
        </w:rPr>
        <w:t> </w:t>
      </w:r>
      <w:r>
        <w:rPr>
          <w:spacing w:val="-2"/>
          <w:sz w:val="24"/>
        </w:rPr>
        <w:t>спинного</w:t>
      </w:r>
      <w:r>
        <w:rPr>
          <w:spacing w:val="2"/>
          <w:sz w:val="24"/>
        </w:rPr>
        <w:t> </w:t>
      </w:r>
      <w:r>
        <w:rPr>
          <w:spacing w:val="-2"/>
          <w:sz w:val="24"/>
        </w:rPr>
        <w:t>мозга;</w:t>
      </w:r>
    </w:p>
    <w:p>
      <w:pPr>
        <w:pStyle w:val="ListParagraph"/>
        <w:numPr>
          <w:ilvl w:val="0"/>
          <w:numId w:val="31"/>
        </w:numPr>
        <w:tabs>
          <w:tab w:pos="2549" w:val="left" w:leader="none"/>
        </w:tabs>
        <w:spacing w:line="273" w:lineRule="auto" w:before="39" w:after="0"/>
        <w:ind w:left="2549" w:right="1937" w:hanging="283"/>
        <w:jc w:val="left"/>
        <w:rPr>
          <w:sz w:val="24"/>
        </w:rPr>
      </w:pPr>
      <w:r>
        <w:rPr>
          <w:sz w:val="24"/>
        </w:rPr>
        <w:t>Нарушения</w:t>
      </w:r>
      <w:r>
        <w:rPr>
          <w:spacing w:val="-7"/>
          <w:sz w:val="24"/>
        </w:rPr>
        <w:t> </w:t>
      </w:r>
      <w:r>
        <w:rPr>
          <w:sz w:val="24"/>
        </w:rPr>
        <w:t>ритма,</w:t>
      </w:r>
      <w:r>
        <w:rPr>
          <w:spacing w:val="-7"/>
          <w:sz w:val="24"/>
        </w:rPr>
        <w:t> </w:t>
      </w:r>
      <w:r>
        <w:rPr>
          <w:sz w:val="24"/>
        </w:rPr>
        <w:t>могущие</w:t>
      </w:r>
      <w:r>
        <w:rPr>
          <w:spacing w:val="-8"/>
          <w:sz w:val="24"/>
        </w:rPr>
        <w:t> </w:t>
      </w:r>
      <w:r>
        <w:rPr>
          <w:sz w:val="24"/>
        </w:rPr>
        <w:t>потребовать</w:t>
      </w:r>
      <w:r>
        <w:rPr>
          <w:spacing w:val="-10"/>
          <w:sz w:val="24"/>
        </w:rPr>
        <w:t> </w:t>
      </w:r>
      <w:r>
        <w:rPr>
          <w:sz w:val="24"/>
        </w:rPr>
        <w:t>дефибрилляции</w:t>
      </w:r>
      <w:r>
        <w:rPr>
          <w:spacing w:val="-7"/>
          <w:sz w:val="24"/>
        </w:rPr>
        <w:t> </w:t>
      </w:r>
      <w:r>
        <w:rPr>
          <w:sz w:val="24"/>
        </w:rPr>
        <w:t>и/или</w:t>
      </w:r>
      <w:r>
        <w:rPr>
          <w:spacing w:val="-6"/>
          <w:sz w:val="24"/>
        </w:rPr>
        <w:t> </w:t>
      </w:r>
      <w:r>
        <w:rPr>
          <w:sz w:val="24"/>
        </w:rPr>
        <w:t>массажа </w:t>
      </w:r>
      <w:r>
        <w:rPr>
          <w:spacing w:val="-2"/>
          <w:sz w:val="24"/>
        </w:rPr>
        <w:t>сердца.</w:t>
      </w:r>
    </w:p>
    <w:p>
      <w:pPr>
        <w:pStyle w:val="BodyText"/>
        <w:spacing w:line="276" w:lineRule="auto" w:before="1"/>
        <w:ind w:right="1271" w:firstLine="707"/>
      </w:pPr>
      <w:r>
        <w:rPr/>
        <w:t>Обсервационные, рандомизированные исследования и их мета-анализы продемонстрировали</w:t>
      </w:r>
      <w:r>
        <w:rPr>
          <w:spacing w:val="40"/>
        </w:rPr>
        <w:t>  </w:t>
      </w:r>
      <w:r>
        <w:rPr/>
        <w:t>высокую</w:t>
      </w:r>
      <w:r>
        <w:rPr>
          <w:spacing w:val="40"/>
        </w:rPr>
        <w:t>  </w:t>
      </w:r>
      <w:r>
        <w:rPr/>
        <w:t>эффективность</w:t>
      </w:r>
      <w:r>
        <w:rPr>
          <w:spacing w:val="40"/>
        </w:rPr>
        <w:t>  </w:t>
      </w:r>
      <w:r>
        <w:rPr/>
        <w:t>самостоятельной</w:t>
      </w:r>
      <w:r>
        <w:rPr>
          <w:spacing w:val="40"/>
        </w:rPr>
        <w:t>  </w:t>
      </w:r>
      <w:r>
        <w:rPr/>
        <w:t>прон-позиции</w:t>
      </w:r>
      <w:r>
        <w:rPr>
          <w:spacing w:val="80"/>
        </w:rPr>
        <w:t> </w:t>
      </w:r>
      <w:r>
        <w:rPr/>
        <w:t>в улучшении оксигенации и снижении частоты интубации трахеи при длительности ее не менее 8 часов в сутки у неинтубированных пациентов с COVID-19- ассоциированной ОДН.</w:t>
      </w:r>
    </w:p>
    <w:p>
      <w:pPr>
        <w:pStyle w:val="BodyText"/>
        <w:spacing w:line="276" w:lineRule="auto" w:before="13"/>
        <w:ind w:right="1273" w:firstLine="707"/>
      </w:pPr>
      <w:r>
        <w:rPr/>
        <w:t>Рекомендовано применение самостоятельной прон-позиции (латеропозиции при морбидном ожирении) не менее 8 часов сутки (цель - 16 часов в сутки) на фоне низкопоточной, высокопоточной оксигенотерапии,</w:t>
      </w:r>
      <w:r>
        <w:rPr>
          <w:spacing w:val="-2"/>
        </w:rPr>
        <w:t> </w:t>
      </w:r>
      <w:r>
        <w:rPr/>
        <w:t>СРАР-терапии или неинвазивной вентиляции лёгких. Альтернативным методом вместо классической прон-позиции можно использовать «позу мыслителя» - положения сидя на стуле, положив голову</w:t>
      </w:r>
      <w:r>
        <w:rPr>
          <w:spacing w:val="80"/>
        </w:rPr>
        <w:t> </w:t>
      </w:r>
      <w:r>
        <w:rPr/>
        <w:t>и руки на кровать перед собой. Особенно этот метод может быть полезен при морбидном</w:t>
      </w:r>
      <w:r>
        <w:rPr>
          <w:spacing w:val="40"/>
        </w:rPr>
        <w:t> </w:t>
      </w:r>
      <w:r>
        <w:rPr/>
        <w:t>ожирении.</w:t>
      </w:r>
      <w:r>
        <w:rPr>
          <w:spacing w:val="40"/>
        </w:rPr>
        <w:t> </w:t>
      </w:r>
      <w:r>
        <w:rPr/>
        <w:t>У</w:t>
      </w:r>
      <w:r>
        <w:rPr>
          <w:spacing w:val="40"/>
        </w:rPr>
        <w:t> </w:t>
      </w:r>
      <w:r>
        <w:rPr/>
        <w:t>пациентов</w:t>
      </w:r>
      <w:r>
        <w:rPr>
          <w:spacing w:val="40"/>
        </w:rPr>
        <w:t> </w:t>
      </w:r>
      <w:r>
        <w:rPr/>
        <w:t>с</w:t>
      </w:r>
      <w:r>
        <w:rPr>
          <w:spacing w:val="40"/>
        </w:rPr>
        <w:t> </w:t>
      </w:r>
      <w:r>
        <w:rPr/>
        <w:t>выраженным</w:t>
      </w:r>
      <w:r>
        <w:rPr>
          <w:spacing w:val="40"/>
        </w:rPr>
        <w:t> </w:t>
      </w:r>
      <w:r>
        <w:rPr/>
        <w:t>ожирением</w:t>
      </w:r>
      <w:r>
        <w:rPr>
          <w:spacing w:val="40"/>
        </w:rPr>
        <w:t> </w:t>
      </w:r>
      <w:r>
        <w:rPr/>
        <w:t>и</w:t>
      </w:r>
      <w:r>
        <w:rPr>
          <w:spacing w:val="40"/>
        </w:rPr>
        <w:t> </w:t>
      </w:r>
      <w:r>
        <w:rPr/>
        <w:t>у</w:t>
      </w:r>
      <w:r>
        <w:rPr>
          <w:spacing w:val="40"/>
        </w:rPr>
        <w:t> </w:t>
      </w:r>
      <w:r>
        <w:rPr/>
        <w:t>беременных</w:t>
      </w:r>
      <w:r>
        <w:rPr>
          <w:spacing w:val="40"/>
        </w:rPr>
        <w:t> </w:t>
      </w:r>
      <w:r>
        <w:rPr/>
        <w:t>на поздних сроках вместо прон-позиции предпочтительнее использовать положение лежа на боку со сменой стороны несколько раз в сутки.</w:t>
      </w:r>
    </w:p>
    <w:p>
      <w:pPr>
        <w:pStyle w:val="BodyText"/>
        <w:spacing w:line="276" w:lineRule="auto" w:before="12"/>
        <w:ind w:right="1272" w:firstLine="851"/>
      </w:pPr>
      <w:r>
        <w:rPr/>
        <w:t>Эффективность</w:t>
      </w:r>
      <w:r>
        <w:rPr>
          <w:spacing w:val="-7"/>
        </w:rPr>
        <w:t> </w:t>
      </w:r>
      <w:r>
        <w:rPr/>
        <w:t>прон-позиции</w:t>
      </w:r>
      <w:r>
        <w:rPr>
          <w:spacing w:val="-7"/>
        </w:rPr>
        <w:t> </w:t>
      </w:r>
      <w:r>
        <w:rPr/>
        <w:t>следует</w:t>
      </w:r>
      <w:r>
        <w:rPr>
          <w:spacing w:val="-5"/>
        </w:rPr>
        <w:t> </w:t>
      </w:r>
      <w:r>
        <w:rPr/>
        <w:t>оценивать</w:t>
      </w:r>
      <w:r>
        <w:rPr>
          <w:spacing w:val="-4"/>
        </w:rPr>
        <w:t> </w:t>
      </w:r>
      <w:r>
        <w:rPr/>
        <w:t>по</w:t>
      </w:r>
      <w:r>
        <w:rPr>
          <w:spacing w:val="-8"/>
        </w:rPr>
        <w:t> </w:t>
      </w:r>
      <w:r>
        <w:rPr/>
        <w:t>улучшению</w:t>
      </w:r>
      <w:r>
        <w:rPr>
          <w:spacing w:val="-7"/>
        </w:rPr>
        <w:t> </w:t>
      </w:r>
      <w:r>
        <w:rPr/>
        <w:t>показателей оксигенации, уменьшению частоты и глубины дыхания, увеличению ROX-индекса, снижению</w:t>
      </w:r>
      <w:r>
        <w:rPr>
          <w:spacing w:val="27"/>
        </w:rPr>
        <w:t> </w:t>
      </w:r>
      <w:r>
        <w:rPr/>
        <w:t>работы</w:t>
      </w:r>
      <w:r>
        <w:rPr>
          <w:spacing w:val="27"/>
        </w:rPr>
        <w:t> </w:t>
      </w:r>
      <w:r>
        <w:rPr/>
        <w:t>вспомогательных</w:t>
      </w:r>
      <w:r>
        <w:rPr>
          <w:spacing w:val="27"/>
        </w:rPr>
        <w:t> </w:t>
      </w:r>
      <w:r>
        <w:rPr/>
        <w:t>дыхательных</w:t>
      </w:r>
      <w:r>
        <w:rPr>
          <w:spacing w:val="26"/>
        </w:rPr>
        <w:t> </w:t>
      </w:r>
      <w:r>
        <w:rPr/>
        <w:t>мышц,</w:t>
      </w:r>
      <w:r>
        <w:rPr>
          <w:spacing w:val="32"/>
        </w:rPr>
        <w:t> </w:t>
      </w:r>
      <w:r>
        <w:rPr/>
        <w:t>исчезновению</w:t>
      </w:r>
      <w:r>
        <w:rPr>
          <w:spacing w:val="25"/>
        </w:rPr>
        <w:t> </w:t>
      </w:r>
      <w:r>
        <w:rPr>
          <w:spacing w:val="-2"/>
        </w:rPr>
        <w:t>признаков</w:t>
      </w:r>
    </w:p>
    <w:p>
      <w:pPr>
        <w:pStyle w:val="BodyText"/>
        <w:spacing w:line="276" w:lineRule="exact"/>
      </w:pPr>
      <w:r>
        <w:rPr>
          <w:spacing w:val="-2"/>
        </w:rPr>
        <w:t>«респираторного</w:t>
      </w:r>
      <w:r>
        <w:rPr>
          <w:spacing w:val="6"/>
        </w:rPr>
        <w:t> </w:t>
      </w:r>
      <w:r>
        <w:rPr>
          <w:spacing w:val="-2"/>
        </w:rPr>
        <w:t>дистресса».</w:t>
      </w:r>
    </w:p>
    <w:p>
      <w:pPr>
        <w:pStyle w:val="Heading3"/>
        <w:spacing w:before="160"/>
        <w:jc w:val="left"/>
      </w:pPr>
      <w:r>
        <w:rPr>
          <w:color w:val="1F487C"/>
          <w:spacing w:val="-2"/>
        </w:rPr>
        <w:t>Оксигенотерапия</w:t>
      </w:r>
    </w:p>
    <w:p>
      <w:pPr>
        <w:tabs>
          <w:tab w:pos="4496" w:val="left" w:leader="none"/>
          <w:tab w:pos="5124" w:val="left" w:leader="none"/>
          <w:tab w:pos="6894" w:val="left" w:leader="none"/>
          <w:tab w:pos="8696" w:val="left" w:leader="none"/>
        </w:tabs>
        <w:spacing w:line="278" w:lineRule="auto" w:before="160"/>
        <w:ind w:left="1841" w:right="1273" w:firstLine="707"/>
        <w:jc w:val="left"/>
        <w:rPr>
          <w:b/>
          <w:sz w:val="24"/>
        </w:rPr>
      </w:pPr>
      <w:r>
        <w:rPr>
          <w:b/>
          <w:color w:val="1F487C"/>
          <w:spacing w:val="-2"/>
          <w:sz w:val="24"/>
        </w:rPr>
        <w:t>Рекомендации</w:t>
      </w:r>
      <w:r>
        <w:rPr>
          <w:b/>
          <w:color w:val="1F487C"/>
          <w:sz w:val="24"/>
        </w:rPr>
        <w:tab/>
      </w:r>
      <w:r>
        <w:rPr>
          <w:b/>
          <w:color w:val="1F487C"/>
          <w:spacing w:val="-6"/>
          <w:sz w:val="24"/>
        </w:rPr>
        <w:t>по</w:t>
      </w:r>
      <w:r>
        <w:rPr>
          <w:b/>
          <w:color w:val="1F487C"/>
          <w:sz w:val="24"/>
        </w:rPr>
        <w:tab/>
      </w:r>
      <w:r>
        <w:rPr>
          <w:b/>
          <w:color w:val="1F487C"/>
          <w:spacing w:val="-2"/>
          <w:sz w:val="24"/>
        </w:rPr>
        <w:t>обеспечению</w:t>
      </w:r>
      <w:r>
        <w:rPr>
          <w:b/>
          <w:color w:val="1F487C"/>
          <w:sz w:val="24"/>
        </w:rPr>
        <w:tab/>
      </w:r>
      <w:r>
        <w:rPr>
          <w:b/>
          <w:color w:val="1F487C"/>
          <w:spacing w:val="-2"/>
          <w:sz w:val="24"/>
        </w:rPr>
        <w:t>безопасности</w:t>
      </w:r>
      <w:r>
        <w:rPr>
          <w:b/>
          <w:color w:val="1F487C"/>
          <w:sz w:val="24"/>
        </w:rPr>
        <w:tab/>
      </w:r>
      <w:r>
        <w:rPr>
          <w:b/>
          <w:color w:val="1F487C"/>
          <w:spacing w:val="-2"/>
          <w:sz w:val="24"/>
        </w:rPr>
        <w:t>оксигенотерапии, </w:t>
      </w:r>
      <w:r>
        <w:rPr>
          <w:b/>
          <w:color w:val="1F487C"/>
          <w:sz w:val="24"/>
        </w:rPr>
        <w:t>дополнительной оксигенации пациентов и снижению потребления кислорода:</w:t>
      </w:r>
    </w:p>
    <w:p>
      <w:pPr>
        <w:pStyle w:val="ListParagraph"/>
        <w:numPr>
          <w:ilvl w:val="0"/>
          <w:numId w:val="32"/>
        </w:numPr>
        <w:tabs>
          <w:tab w:pos="2268" w:val="left" w:leader="none"/>
        </w:tabs>
        <w:spacing w:line="276" w:lineRule="auto" w:before="115" w:after="0"/>
        <w:ind w:left="2268" w:right="1281" w:hanging="427"/>
        <w:jc w:val="left"/>
        <w:rPr>
          <w:sz w:val="24"/>
        </w:rPr>
      </w:pPr>
      <w:r>
        <w:rPr>
          <w:sz w:val="24"/>
        </w:rPr>
        <w:t>Не применять дополнительную оксигенацию пациентов с целью профилактики </w:t>
      </w:r>
      <w:r>
        <w:rPr>
          <w:spacing w:val="-2"/>
          <w:sz w:val="24"/>
        </w:rPr>
        <w:t>гипоксемии.</w:t>
      </w:r>
    </w:p>
    <w:p>
      <w:pPr>
        <w:pStyle w:val="ListParagraph"/>
        <w:numPr>
          <w:ilvl w:val="0"/>
          <w:numId w:val="32"/>
        </w:numPr>
        <w:tabs>
          <w:tab w:pos="2268" w:val="left" w:leader="none"/>
        </w:tabs>
        <w:spacing w:line="275" w:lineRule="exact" w:before="0" w:after="0"/>
        <w:ind w:left="2268" w:right="0" w:hanging="427"/>
        <w:jc w:val="left"/>
        <w:rPr>
          <w:sz w:val="24"/>
        </w:rPr>
      </w:pPr>
      <w:r>
        <w:rPr>
          <w:sz w:val="24"/>
        </w:rPr>
        <w:t>Дозировать</w:t>
      </w:r>
      <w:r>
        <w:rPr>
          <w:spacing w:val="-12"/>
          <w:sz w:val="24"/>
        </w:rPr>
        <w:t> </w:t>
      </w:r>
      <w:r>
        <w:rPr>
          <w:sz w:val="24"/>
        </w:rPr>
        <w:t>расход</w:t>
      </w:r>
      <w:r>
        <w:rPr>
          <w:spacing w:val="-12"/>
          <w:sz w:val="24"/>
        </w:rPr>
        <w:t> </w:t>
      </w:r>
      <w:r>
        <w:rPr>
          <w:sz w:val="24"/>
        </w:rPr>
        <w:t>кислорода</w:t>
      </w:r>
      <w:r>
        <w:rPr>
          <w:spacing w:val="-14"/>
          <w:sz w:val="24"/>
        </w:rPr>
        <w:t> </w:t>
      </w:r>
      <w:r>
        <w:rPr>
          <w:sz w:val="24"/>
        </w:rPr>
        <w:t>с</w:t>
      </w:r>
      <w:r>
        <w:rPr>
          <w:spacing w:val="-14"/>
          <w:sz w:val="24"/>
        </w:rPr>
        <w:t> </w:t>
      </w:r>
      <w:r>
        <w:rPr>
          <w:sz w:val="24"/>
        </w:rPr>
        <w:t>помощью</w:t>
      </w:r>
      <w:r>
        <w:rPr>
          <w:spacing w:val="-12"/>
          <w:sz w:val="24"/>
        </w:rPr>
        <w:t> </w:t>
      </w:r>
      <w:r>
        <w:rPr>
          <w:sz w:val="24"/>
        </w:rPr>
        <w:t>кислородного</w:t>
      </w:r>
      <w:r>
        <w:rPr>
          <w:spacing w:val="-13"/>
          <w:sz w:val="24"/>
        </w:rPr>
        <w:t> </w:t>
      </w:r>
      <w:r>
        <w:rPr>
          <w:spacing w:val="-2"/>
          <w:sz w:val="24"/>
        </w:rPr>
        <w:t>резервуара.</w:t>
      </w:r>
    </w:p>
    <w:p>
      <w:pPr>
        <w:pStyle w:val="ListParagraph"/>
        <w:numPr>
          <w:ilvl w:val="0"/>
          <w:numId w:val="32"/>
        </w:numPr>
        <w:tabs>
          <w:tab w:pos="2268" w:val="left" w:leader="none"/>
        </w:tabs>
        <w:spacing w:line="240" w:lineRule="auto" w:before="42" w:after="0"/>
        <w:ind w:left="2268" w:right="0" w:hanging="427"/>
        <w:jc w:val="left"/>
        <w:rPr>
          <w:position w:val="2"/>
          <w:sz w:val="24"/>
        </w:rPr>
      </w:pPr>
      <w:r>
        <w:rPr>
          <w:position w:val="2"/>
          <w:sz w:val="24"/>
        </w:rPr>
        <w:t>Целевое</w:t>
      </w:r>
      <w:r>
        <w:rPr>
          <w:spacing w:val="-8"/>
          <w:position w:val="2"/>
          <w:sz w:val="24"/>
        </w:rPr>
        <w:t> </w:t>
      </w:r>
      <w:r>
        <w:rPr>
          <w:position w:val="2"/>
          <w:sz w:val="24"/>
        </w:rPr>
        <w:t>значение</w:t>
      </w:r>
      <w:r>
        <w:rPr>
          <w:spacing w:val="-7"/>
          <w:position w:val="2"/>
          <w:sz w:val="24"/>
        </w:rPr>
        <w:t> </w:t>
      </w:r>
      <w:r>
        <w:rPr>
          <w:position w:val="2"/>
          <w:sz w:val="24"/>
        </w:rPr>
        <w:t>SpO</w:t>
      </w:r>
      <w:r>
        <w:rPr>
          <w:sz w:val="16"/>
        </w:rPr>
        <w:t>2</w:t>
      </w:r>
      <w:r>
        <w:rPr>
          <w:spacing w:val="11"/>
          <w:sz w:val="16"/>
        </w:rPr>
        <w:t> </w:t>
      </w:r>
      <w:r>
        <w:rPr>
          <w:position w:val="2"/>
          <w:sz w:val="24"/>
        </w:rPr>
        <w:t>92-94%,</w:t>
      </w:r>
      <w:r>
        <w:rPr>
          <w:spacing w:val="-8"/>
          <w:position w:val="2"/>
          <w:sz w:val="24"/>
        </w:rPr>
        <w:t> </w:t>
      </w:r>
      <w:r>
        <w:rPr>
          <w:position w:val="2"/>
          <w:sz w:val="24"/>
        </w:rPr>
        <w:t>а</w:t>
      </w:r>
      <w:r>
        <w:rPr>
          <w:spacing w:val="-8"/>
          <w:position w:val="2"/>
          <w:sz w:val="24"/>
        </w:rPr>
        <w:t> </w:t>
      </w:r>
      <w:r>
        <w:rPr>
          <w:position w:val="2"/>
          <w:sz w:val="24"/>
        </w:rPr>
        <w:t>у</w:t>
      </w:r>
      <w:r>
        <w:rPr>
          <w:spacing w:val="-8"/>
          <w:position w:val="2"/>
          <w:sz w:val="24"/>
        </w:rPr>
        <w:t> </w:t>
      </w:r>
      <w:r>
        <w:rPr>
          <w:position w:val="2"/>
          <w:sz w:val="24"/>
        </w:rPr>
        <w:t>пациентов</w:t>
      </w:r>
      <w:r>
        <w:rPr>
          <w:spacing w:val="-8"/>
          <w:position w:val="2"/>
          <w:sz w:val="24"/>
        </w:rPr>
        <w:t> </w:t>
      </w:r>
      <w:r>
        <w:rPr>
          <w:position w:val="2"/>
          <w:sz w:val="24"/>
        </w:rPr>
        <w:t>с</w:t>
      </w:r>
      <w:r>
        <w:rPr>
          <w:spacing w:val="-8"/>
          <w:position w:val="2"/>
          <w:sz w:val="24"/>
        </w:rPr>
        <w:t> </w:t>
      </w:r>
      <w:r>
        <w:rPr>
          <w:position w:val="2"/>
          <w:sz w:val="24"/>
        </w:rPr>
        <w:t>ХОБЛ</w:t>
      </w:r>
      <w:r>
        <w:rPr>
          <w:spacing w:val="-5"/>
          <w:position w:val="2"/>
          <w:sz w:val="24"/>
        </w:rPr>
        <w:t> </w:t>
      </w:r>
      <w:r>
        <w:rPr>
          <w:position w:val="2"/>
          <w:sz w:val="24"/>
        </w:rPr>
        <w:t>-</w:t>
      </w:r>
      <w:r>
        <w:rPr>
          <w:spacing w:val="-8"/>
          <w:position w:val="2"/>
          <w:sz w:val="24"/>
        </w:rPr>
        <w:t> </w:t>
      </w:r>
      <w:r>
        <w:rPr>
          <w:position w:val="2"/>
          <w:sz w:val="24"/>
        </w:rPr>
        <w:t>88-</w:t>
      </w:r>
      <w:r>
        <w:rPr>
          <w:spacing w:val="-4"/>
          <w:position w:val="2"/>
          <w:sz w:val="24"/>
        </w:rPr>
        <w:t>92%.</w:t>
      </w:r>
    </w:p>
    <w:p>
      <w:pPr>
        <w:pStyle w:val="ListParagraph"/>
        <w:numPr>
          <w:ilvl w:val="0"/>
          <w:numId w:val="32"/>
        </w:numPr>
        <w:tabs>
          <w:tab w:pos="2266" w:val="left" w:leader="none"/>
          <w:tab w:pos="2268" w:val="left" w:leader="none"/>
        </w:tabs>
        <w:spacing w:line="273" w:lineRule="auto" w:before="38" w:after="0"/>
        <w:ind w:left="2268" w:right="1274" w:hanging="427"/>
        <w:jc w:val="both"/>
        <w:rPr>
          <w:position w:val="2"/>
          <w:sz w:val="24"/>
        </w:rPr>
      </w:pPr>
      <w:r>
        <w:rPr>
          <w:position w:val="2"/>
          <w:sz w:val="24"/>
        </w:rPr>
        <w:t>Увеличение SpO</w:t>
      </w:r>
      <w:r>
        <w:rPr>
          <w:sz w:val="16"/>
        </w:rPr>
        <w:t>2</w:t>
      </w:r>
      <w:r>
        <w:rPr>
          <w:spacing w:val="40"/>
          <w:sz w:val="16"/>
        </w:rPr>
        <w:t> </w:t>
      </w:r>
      <w:r>
        <w:rPr>
          <w:position w:val="2"/>
          <w:sz w:val="24"/>
        </w:rPr>
        <w:t>выше целевых значений сопровождается риском гипероксии, </w:t>
      </w:r>
      <w:r>
        <w:rPr>
          <w:sz w:val="24"/>
        </w:rPr>
        <w:t>которая отрицательно влияет на исходы заболевания и приводит к перерасходу </w:t>
      </w:r>
      <w:r>
        <w:rPr>
          <w:spacing w:val="-2"/>
          <w:sz w:val="24"/>
        </w:rPr>
        <w:t>кислорода.</w:t>
      </w:r>
    </w:p>
    <w:p>
      <w:pPr>
        <w:pStyle w:val="ListParagraph"/>
        <w:numPr>
          <w:ilvl w:val="0"/>
          <w:numId w:val="32"/>
        </w:numPr>
        <w:tabs>
          <w:tab w:pos="2266" w:val="left" w:leader="none"/>
          <w:tab w:pos="2268" w:val="left" w:leader="none"/>
        </w:tabs>
        <w:spacing w:line="276" w:lineRule="auto" w:before="6" w:after="0"/>
        <w:ind w:left="2268" w:right="1274" w:hanging="427"/>
        <w:jc w:val="both"/>
        <w:rPr>
          <w:sz w:val="24"/>
        </w:rPr>
      </w:pPr>
      <w:r>
        <w:rPr>
          <w:sz w:val="24"/>
        </w:rPr>
        <w:t>Не</w:t>
      </w:r>
      <w:r>
        <w:rPr>
          <w:spacing w:val="-15"/>
          <w:sz w:val="24"/>
        </w:rPr>
        <w:t> </w:t>
      </w:r>
      <w:r>
        <w:rPr>
          <w:sz w:val="24"/>
        </w:rPr>
        <w:t>следует</w:t>
      </w:r>
      <w:r>
        <w:rPr>
          <w:spacing w:val="-15"/>
          <w:sz w:val="24"/>
        </w:rPr>
        <w:t> </w:t>
      </w:r>
      <w:r>
        <w:rPr>
          <w:sz w:val="24"/>
        </w:rPr>
        <w:t>применять</w:t>
      </w:r>
      <w:r>
        <w:rPr>
          <w:spacing w:val="-15"/>
          <w:sz w:val="24"/>
        </w:rPr>
        <w:t> </w:t>
      </w:r>
      <w:r>
        <w:rPr>
          <w:sz w:val="24"/>
        </w:rPr>
        <w:t>высокопоточную</w:t>
      </w:r>
      <w:r>
        <w:rPr>
          <w:spacing w:val="-15"/>
          <w:sz w:val="24"/>
        </w:rPr>
        <w:t> </w:t>
      </w:r>
      <w:r>
        <w:rPr>
          <w:sz w:val="24"/>
        </w:rPr>
        <w:t>дополнительную</w:t>
      </w:r>
      <w:r>
        <w:rPr>
          <w:spacing w:val="-15"/>
          <w:sz w:val="24"/>
        </w:rPr>
        <w:t> </w:t>
      </w:r>
      <w:r>
        <w:rPr>
          <w:sz w:val="24"/>
        </w:rPr>
        <w:t>оксигенацию</w:t>
      </w:r>
      <w:r>
        <w:rPr>
          <w:spacing w:val="-15"/>
          <w:sz w:val="24"/>
        </w:rPr>
        <w:t> </w:t>
      </w:r>
      <w:r>
        <w:rPr>
          <w:sz w:val="24"/>
        </w:rPr>
        <w:t>пациентов </w:t>
      </w:r>
      <w:r>
        <w:rPr>
          <w:position w:val="2"/>
          <w:sz w:val="24"/>
        </w:rPr>
        <w:t>при возможности обеспечения целевой SpO</w:t>
      </w:r>
      <w:r>
        <w:rPr>
          <w:sz w:val="16"/>
        </w:rPr>
        <w:t>2</w:t>
      </w:r>
      <w:r>
        <w:rPr>
          <w:spacing w:val="40"/>
          <w:sz w:val="16"/>
        </w:rPr>
        <w:t> </w:t>
      </w:r>
      <w:r>
        <w:rPr>
          <w:position w:val="2"/>
          <w:sz w:val="24"/>
        </w:rPr>
        <w:t>при помощи низкопоточной или </w:t>
      </w:r>
      <w:r>
        <w:rPr>
          <w:spacing w:val="-2"/>
          <w:sz w:val="24"/>
        </w:rPr>
        <w:t>других методов неинвазивной респираторной</w:t>
      </w:r>
      <w:r>
        <w:rPr>
          <w:spacing w:val="-3"/>
          <w:sz w:val="24"/>
        </w:rPr>
        <w:t> </w:t>
      </w:r>
      <w:r>
        <w:rPr>
          <w:spacing w:val="-2"/>
          <w:sz w:val="24"/>
        </w:rPr>
        <w:t>поддержки, так</w:t>
      </w:r>
      <w:r>
        <w:rPr>
          <w:spacing w:val="-5"/>
          <w:sz w:val="24"/>
        </w:rPr>
        <w:t> </w:t>
      </w:r>
      <w:r>
        <w:rPr>
          <w:spacing w:val="-2"/>
          <w:sz w:val="24"/>
        </w:rPr>
        <w:t>как высокопоточная </w:t>
      </w:r>
      <w:r>
        <w:rPr>
          <w:sz w:val="24"/>
        </w:rPr>
        <w:t>оксигенация пациентов не имеет в указанных случаях дополнительных преимуществ и приводит к значительному перерасходу кислорода. Высокопоточную</w:t>
      </w:r>
      <w:r>
        <w:rPr>
          <w:spacing w:val="80"/>
          <w:sz w:val="24"/>
        </w:rPr>
        <w:t> </w:t>
      </w:r>
      <w:r>
        <w:rPr>
          <w:sz w:val="24"/>
        </w:rPr>
        <w:t>оксигенотерапию</w:t>
      </w:r>
      <w:r>
        <w:rPr>
          <w:spacing w:val="80"/>
          <w:sz w:val="24"/>
        </w:rPr>
        <w:t> </w:t>
      </w:r>
      <w:r>
        <w:rPr>
          <w:sz w:val="24"/>
        </w:rPr>
        <w:t>проводить</w:t>
      </w:r>
      <w:r>
        <w:rPr>
          <w:spacing w:val="80"/>
          <w:sz w:val="24"/>
        </w:rPr>
        <w:t> </w:t>
      </w:r>
      <w:r>
        <w:rPr>
          <w:sz w:val="24"/>
        </w:rPr>
        <w:t>не</w:t>
      </w:r>
      <w:r>
        <w:rPr>
          <w:spacing w:val="80"/>
          <w:sz w:val="24"/>
        </w:rPr>
        <w:t> </w:t>
      </w:r>
      <w:r>
        <w:rPr>
          <w:sz w:val="24"/>
        </w:rPr>
        <w:t>дольше</w:t>
      </w:r>
      <w:r>
        <w:rPr>
          <w:spacing w:val="80"/>
          <w:sz w:val="24"/>
        </w:rPr>
        <w:t> </w:t>
      </w:r>
      <w:r>
        <w:rPr>
          <w:sz w:val="24"/>
        </w:rPr>
        <w:t>1,5</w:t>
      </w:r>
      <w:r>
        <w:rPr>
          <w:spacing w:val="80"/>
          <w:sz w:val="24"/>
        </w:rPr>
        <w:t> </w:t>
      </w:r>
      <w:r>
        <w:rPr>
          <w:sz w:val="24"/>
        </w:rPr>
        <w:t>–</w:t>
      </w:r>
      <w:r>
        <w:rPr>
          <w:spacing w:val="80"/>
          <w:sz w:val="24"/>
        </w:rPr>
        <w:t> </w:t>
      </w:r>
      <w:r>
        <w:rPr>
          <w:sz w:val="24"/>
        </w:rPr>
        <w:t>2-х</w:t>
      </w:r>
      <w:r>
        <w:rPr>
          <w:spacing w:val="80"/>
          <w:sz w:val="24"/>
        </w:rPr>
        <w:t> </w:t>
      </w:r>
      <w:r>
        <w:rPr>
          <w:sz w:val="24"/>
        </w:rPr>
        <w:t>часов до</w:t>
      </w:r>
      <w:r>
        <w:rPr>
          <w:spacing w:val="59"/>
          <w:sz w:val="24"/>
        </w:rPr>
        <w:t> </w:t>
      </w:r>
      <w:r>
        <w:rPr>
          <w:sz w:val="24"/>
        </w:rPr>
        <w:t>решения</w:t>
      </w:r>
      <w:r>
        <w:rPr>
          <w:spacing w:val="59"/>
          <w:sz w:val="24"/>
        </w:rPr>
        <w:t> </w:t>
      </w:r>
      <w:r>
        <w:rPr>
          <w:sz w:val="24"/>
        </w:rPr>
        <w:t>дальнейшей</w:t>
      </w:r>
      <w:r>
        <w:rPr>
          <w:spacing w:val="60"/>
          <w:sz w:val="24"/>
        </w:rPr>
        <w:t> </w:t>
      </w:r>
      <w:r>
        <w:rPr>
          <w:sz w:val="24"/>
        </w:rPr>
        <w:t>респираторной</w:t>
      </w:r>
      <w:r>
        <w:rPr>
          <w:spacing w:val="60"/>
          <w:sz w:val="24"/>
        </w:rPr>
        <w:t> </w:t>
      </w:r>
      <w:r>
        <w:rPr>
          <w:sz w:val="24"/>
        </w:rPr>
        <w:t>тактики.</w:t>
      </w:r>
      <w:r>
        <w:rPr>
          <w:spacing w:val="59"/>
          <w:sz w:val="24"/>
        </w:rPr>
        <w:t> </w:t>
      </w:r>
      <w:r>
        <w:rPr>
          <w:sz w:val="24"/>
        </w:rPr>
        <w:t>Через</w:t>
      </w:r>
      <w:r>
        <w:rPr>
          <w:spacing w:val="60"/>
          <w:sz w:val="24"/>
        </w:rPr>
        <w:t> </w:t>
      </w:r>
      <w:r>
        <w:rPr>
          <w:sz w:val="24"/>
        </w:rPr>
        <w:t>24</w:t>
      </w:r>
      <w:r>
        <w:rPr>
          <w:spacing w:val="65"/>
          <w:sz w:val="24"/>
        </w:rPr>
        <w:t> </w:t>
      </w:r>
      <w:r>
        <w:rPr>
          <w:sz w:val="24"/>
        </w:rPr>
        <w:t>–</w:t>
      </w:r>
      <w:r>
        <w:rPr>
          <w:spacing w:val="59"/>
          <w:sz w:val="24"/>
        </w:rPr>
        <w:t> </w:t>
      </w:r>
      <w:r>
        <w:rPr>
          <w:sz w:val="24"/>
        </w:rPr>
        <w:t>36</w:t>
      </w:r>
      <w:r>
        <w:rPr>
          <w:spacing w:val="64"/>
          <w:sz w:val="24"/>
        </w:rPr>
        <w:t> </w:t>
      </w:r>
      <w:r>
        <w:rPr>
          <w:sz w:val="24"/>
        </w:rPr>
        <w:t>часов</w:t>
      </w:r>
      <w:r>
        <w:rPr>
          <w:spacing w:val="61"/>
          <w:sz w:val="24"/>
        </w:rPr>
        <w:t> </w:t>
      </w:r>
      <w:r>
        <w:rPr>
          <w:sz w:val="24"/>
        </w:rPr>
        <w:t>после</w:t>
      </w:r>
    </w:p>
    <w:p>
      <w:pPr>
        <w:pStyle w:val="ListParagraph"/>
        <w:spacing w:after="0" w:line="276" w:lineRule="auto"/>
        <w:jc w:val="both"/>
        <w:rPr>
          <w:sz w:val="24"/>
        </w:rPr>
        <w:sectPr>
          <w:pgSz w:w="11900" w:h="16840"/>
          <w:pgMar w:header="0" w:footer="697" w:top="1080" w:bottom="880" w:left="0" w:right="0"/>
        </w:sectPr>
      </w:pPr>
    </w:p>
    <w:p>
      <w:pPr>
        <w:pStyle w:val="BodyText"/>
        <w:spacing w:line="276" w:lineRule="auto" w:before="73"/>
        <w:ind w:left="2268" w:right="1272"/>
      </w:pPr>
      <w:bookmarkStart w:name="75" w:id="91"/>
      <w:bookmarkEnd w:id="91"/>
      <w:r>
        <w:rPr/>
      </w:r>
      <w:r>
        <w:rPr/>
        <w:t>прекращения высокопоточной оксигенотерапии необходимо оценить состояние водухоносных пазух, среднего уха и слёзного мешка.</w:t>
      </w:r>
    </w:p>
    <w:p>
      <w:pPr>
        <w:pStyle w:val="ListParagraph"/>
        <w:numPr>
          <w:ilvl w:val="0"/>
          <w:numId w:val="32"/>
        </w:numPr>
        <w:tabs>
          <w:tab w:pos="2266" w:val="left" w:leader="none"/>
          <w:tab w:pos="2268" w:val="left" w:leader="none"/>
        </w:tabs>
        <w:spacing w:line="276" w:lineRule="auto" w:before="13" w:after="0"/>
        <w:ind w:left="2268" w:right="1278" w:hanging="427"/>
        <w:jc w:val="both"/>
        <w:rPr>
          <w:sz w:val="24"/>
        </w:rPr>
      </w:pPr>
      <w:r>
        <w:rPr>
          <w:sz w:val="24"/>
        </w:rPr>
        <w:t>При ограниченном ресурсе кислорода неинвазивная респираторная поддержка имеет</w:t>
      </w:r>
      <w:r>
        <w:rPr>
          <w:spacing w:val="80"/>
          <w:sz w:val="24"/>
        </w:rPr>
        <w:t> </w:t>
      </w:r>
      <w:r>
        <w:rPr>
          <w:sz w:val="24"/>
        </w:rPr>
        <w:t>преимущество</w:t>
      </w:r>
      <w:r>
        <w:rPr>
          <w:spacing w:val="80"/>
          <w:sz w:val="24"/>
        </w:rPr>
        <w:t> </w:t>
      </w:r>
      <w:r>
        <w:rPr>
          <w:sz w:val="24"/>
        </w:rPr>
        <w:t>перед</w:t>
      </w:r>
      <w:r>
        <w:rPr>
          <w:spacing w:val="80"/>
          <w:sz w:val="24"/>
        </w:rPr>
        <w:t> </w:t>
      </w:r>
      <w:r>
        <w:rPr>
          <w:sz w:val="24"/>
        </w:rPr>
        <w:t>высокопоточной</w:t>
      </w:r>
      <w:r>
        <w:rPr>
          <w:spacing w:val="80"/>
          <w:sz w:val="24"/>
        </w:rPr>
        <w:t> </w:t>
      </w:r>
      <w:r>
        <w:rPr>
          <w:sz w:val="24"/>
        </w:rPr>
        <w:t>респираторной</w:t>
      </w:r>
      <w:r>
        <w:rPr>
          <w:spacing w:val="80"/>
          <w:sz w:val="24"/>
        </w:rPr>
        <w:t> </w:t>
      </w:r>
      <w:r>
        <w:rPr>
          <w:sz w:val="24"/>
        </w:rPr>
        <w:t>поддержкой,</w:t>
      </w:r>
      <w:r>
        <w:rPr>
          <w:spacing w:val="80"/>
          <w:sz w:val="24"/>
        </w:rPr>
        <w:t> </w:t>
      </w:r>
      <w:r>
        <w:rPr>
          <w:sz w:val="24"/>
        </w:rPr>
        <w:t>так как потребление кислорода при ее применении в несколько раз ниже.</w:t>
      </w:r>
    </w:p>
    <w:p>
      <w:pPr>
        <w:pStyle w:val="ListParagraph"/>
        <w:numPr>
          <w:ilvl w:val="0"/>
          <w:numId w:val="32"/>
        </w:numPr>
        <w:tabs>
          <w:tab w:pos="2266" w:val="left" w:leader="none"/>
          <w:tab w:pos="2268" w:val="left" w:leader="none"/>
        </w:tabs>
        <w:spacing w:line="276" w:lineRule="auto" w:before="0" w:after="0"/>
        <w:ind w:left="2268" w:right="1273" w:hanging="427"/>
        <w:jc w:val="both"/>
        <w:rPr>
          <w:sz w:val="24"/>
        </w:rPr>
      </w:pPr>
      <w:r>
        <w:rPr>
          <w:sz w:val="24"/>
        </w:rPr>
        <w:t>При применении высокопоточной оксигенотерапии следует устанавливать стартовую величину потока 30 л/мин и увеличивать ее при неэффективности стартового</w:t>
      </w:r>
      <w:r>
        <w:rPr>
          <w:spacing w:val="-5"/>
          <w:sz w:val="24"/>
        </w:rPr>
        <w:t> </w:t>
      </w:r>
      <w:r>
        <w:rPr>
          <w:sz w:val="24"/>
        </w:rPr>
        <w:t>потока</w:t>
      </w:r>
      <w:r>
        <w:rPr>
          <w:spacing w:val="-5"/>
          <w:sz w:val="24"/>
        </w:rPr>
        <w:t> </w:t>
      </w:r>
      <w:r>
        <w:rPr>
          <w:sz w:val="24"/>
        </w:rPr>
        <w:t>до</w:t>
      </w:r>
      <w:r>
        <w:rPr>
          <w:spacing w:val="-5"/>
          <w:sz w:val="24"/>
        </w:rPr>
        <w:t> </w:t>
      </w:r>
      <w:r>
        <w:rPr>
          <w:sz w:val="24"/>
        </w:rPr>
        <w:t>достижения</w:t>
      </w:r>
      <w:r>
        <w:rPr>
          <w:spacing w:val="-5"/>
          <w:sz w:val="24"/>
        </w:rPr>
        <w:t> </w:t>
      </w:r>
      <w:r>
        <w:rPr>
          <w:sz w:val="24"/>
        </w:rPr>
        <w:t>минимального</w:t>
      </w:r>
      <w:r>
        <w:rPr>
          <w:spacing w:val="-5"/>
          <w:sz w:val="24"/>
        </w:rPr>
        <w:t> </w:t>
      </w:r>
      <w:r>
        <w:rPr>
          <w:sz w:val="24"/>
        </w:rPr>
        <w:t>потока</w:t>
      </w:r>
      <w:r>
        <w:rPr>
          <w:spacing w:val="-5"/>
          <w:sz w:val="24"/>
        </w:rPr>
        <w:t> </w:t>
      </w:r>
      <w:r>
        <w:rPr>
          <w:sz w:val="24"/>
        </w:rPr>
        <w:t>и</w:t>
      </w:r>
      <w:r>
        <w:rPr>
          <w:spacing w:val="-5"/>
          <w:sz w:val="24"/>
        </w:rPr>
        <w:t> </w:t>
      </w:r>
      <w:r>
        <w:rPr>
          <w:sz w:val="24"/>
        </w:rPr>
        <w:t>минимальной</w:t>
      </w:r>
      <w:r>
        <w:rPr>
          <w:spacing w:val="-5"/>
          <w:sz w:val="24"/>
        </w:rPr>
        <w:t> </w:t>
      </w:r>
      <w:r>
        <w:rPr>
          <w:sz w:val="24"/>
        </w:rPr>
        <w:t>фракции </w:t>
      </w:r>
      <w:r>
        <w:rPr>
          <w:position w:val="2"/>
          <w:sz w:val="24"/>
        </w:rPr>
        <w:t>вдыхаемого кислорода, при которых пациенту комфортно и SpO</w:t>
      </w:r>
      <w:r>
        <w:rPr>
          <w:sz w:val="16"/>
        </w:rPr>
        <w:t>2</w:t>
      </w:r>
      <w:r>
        <w:rPr>
          <w:spacing w:val="40"/>
          <w:sz w:val="16"/>
        </w:rPr>
        <w:t> </w:t>
      </w:r>
      <w:r>
        <w:rPr>
          <w:position w:val="2"/>
          <w:sz w:val="24"/>
        </w:rPr>
        <w:t>достигает </w:t>
      </w:r>
      <w:r>
        <w:rPr>
          <w:sz w:val="24"/>
        </w:rPr>
        <w:t>целевых</w:t>
      </w:r>
      <w:r>
        <w:rPr>
          <w:spacing w:val="80"/>
          <w:sz w:val="24"/>
        </w:rPr>
        <w:t> </w:t>
      </w:r>
      <w:r>
        <w:rPr>
          <w:sz w:val="24"/>
        </w:rPr>
        <w:t>значений,</w:t>
      </w:r>
      <w:r>
        <w:rPr>
          <w:spacing w:val="80"/>
          <w:sz w:val="24"/>
        </w:rPr>
        <w:t> </w:t>
      </w:r>
      <w:r>
        <w:rPr>
          <w:sz w:val="24"/>
        </w:rPr>
        <w:t>превышение</w:t>
      </w:r>
      <w:r>
        <w:rPr>
          <w:spacing w:val="80"/>
          <w:sz w:val="24"/>
        </w:rPr>
        <w:t> </w:t>
      </w:r>
      <w:r>
        <w:rPr>
          <w:sz w:val="24"/>
        </w:rPr>
        <w:t>потока</w:t>
      </w:r>
      <w:r>
        <w:rPr>
          <w:spacing w:val="80"/>
          <w:sz w:val="24"/>
        </w:rPr>
        <w:t> </w:t>
      </w:r>
      <w:r>
        <w:rPr>
          <w:sz w:val="24"/>
        </w:rPr>
        <w:t>приводит</w:t>
      </w:r>
      <w:r>
        <w:rPr>
          <w:spacing w:val="80"/>
          <w:sz w:val="24"/>
        </w:rPr>
        <w:t> </w:t>
      </w:r>
      <w:r>
        <w:rPr>
          <w:sz w:val="24"/>
        </w:rPr>
        <w:t>к</w:t>
      </w:r>
      <w:r>
        <w:rPr>
          <w:spacing w:val="80"/>
          <w:sz w:val="24"/>
        </w:rPr>
        <w:t> </w:t>
      </w:r>
      <w:r>
        <w:rPr>
          <w:sz w:val="24"/>
        </w:rPr>
        <w:t>перерасходу</w:t>
      </w:r>
      <w:r>
        <w:rPr>
          <w:spacing w:val="80"/>
          <w:sz w:val="24"/>
        </w:rPr>
        <w:t> </w:t>
      </w:r>
      <w:r>
        <w:rPr>
          <w:sz w:val="24"/>
        </w:rPr>
        <w:t>кислорода и увеличивает риск гипероксии.</w:t>
      </w:r>
    </w:p>
    <w:p>
      <w:pPr>
        <w:pStyle w:val="ListParagraph"/>
        <w:numPr>
          <w:ilvl w:val="0"/>
          <w:numId w:val="32"/>
        </w:numPr>
        <w:tabs>
          <w:tab w:pos="2266" w:val="left" w:leader="none"/>
          <w:tab w:pos="2268" w:val="left" w:leader="none"/>
        </w:tabs>
        <w:spacing w:line="276" w:lineRule="auto" w:before="0" w:after="0"/>
        <w:ind w:left="2268" w:right="1272" w:hanging="427"/>
        <w:jc w:val="both"/>
        <w:rPr>
          <w:sz w:val="24"/>
        </w:rPr>
      </w:pPr>
      <w:r>
        <w:rPr>
          <w:sz w:val="24"/>
        </w:rPr>
        <w:t>Системы высокопоточной респираторной поддержки следует использовать только в сочетании со специальными назальными канюлями, которые обеспечивают оптимальный поток и оптимальную инспираторую фракцию </w:t>
      </w:r>
      <w:r>
        <w:rPr>
          <w:spacing w:val="-2"/>
          <w:sz w:val="24"/>
        </w:rPr>
        <w:t>кислорода.</w:t>
      </w:r>
    </w:p>
    <w:p>
      <w:pPr>
        <w:pStyle w:val="ListParagraph"/>
        <w:numPr>
          <w:ilvl w:val="0"/>
          <w:numId w:val="32"/>
        </w:numPr>
        <w:tabs>
          <w:tab w:pos="2266" w:val="left" w:leader="none"/>
          <w:tab w:pos="2268" w:val="left" w:leader="none"/>
        </w:tabs>
        <w:spacing w:line="276" w:lineRule="auto" w:before="0" w:after="0"/>
        <w:ind w:left="2268" w:right="1278" w:hanging="427"/>
        <w:jc w:val="both"/>
        <w:rPr>
          <w:sz w:val="24"/>
        </w:rPr>
      </w:pPr>
      <w:r>
        <w:rPr>
          <w:sz w:val="24"/>
        </w:rPr>
        <w:t>Не</w:t>
      </w:r>
      <w:r>
        <w:rPr>
          <w:spacing w:val="-15"/>
          <w:sz w:val="24"/>
        </w:rPr>
        <w:t> </w:t>
      </w:r>
      <w:r>
        <w:rPr>
          <w:sz w:val="24"/>
        </w:rPr>
        <w:t>следует</w:t>
      </w:r>
      <w:r>
        <w:rPr>
          <w:spacing w:val="-15"/>
          <w:sz w:val="24"/>
        </w:rPr>
        <w:t> </w:t>
      </w:r>
      <w:r>
        <w:rPr>
          <w:sz w:val="24"/>
        </w:rPr>
        <w:t>использовать</w:t>
      </w:r>
      <w:r>
        <w:rPr>
          <w:spacing w:val="-15"/>
          <w:sz w:val="24"/>
        </w:rPr>
        <w:t> </w:t>
      </w:r>
      <w:r>
        <w:rPr>
          <w:sz w:val="24"/>
        </w:rPr>
        <w:t>системы</w:t>
      </w:r>
      <w:r>
        <w:rPr>
          <w:spacing w:val="-15"/>
          <w:sz w:val="24"/>
        </w:rPr>
        <w:t> </w:t>
      </w:r>
      <w:r>
        <w:rPr>
          <w:sz w:val="24"/>
        </w:rPr>
        <w:t>для</w:t>
      </w:r>
      <w:r>
        <w:rPr>
          <w:spacing w:val="-15"/>
          <w:sz w:val="24"/>
        </w:rPr>
        <w:t> </w:t>
      </w:r>
      <w:r>
        <w:rPr>
          <w:sz w:val="24"/>
        </w:rPr>
        <w:t>высокопоточной</w:t>
      </w:r>
      <w:r>
        <w:rPr>
          <w:spacing w:val="-15"/>
          <w:sz w:val="24"/>
        </w:rPr>
        <w:t> </w:t>
      </w:r>
      <w:r>
        <w:rPr>
          <w:sz w:val="24"/>
        </w:rPr>
        <w:t>респираторной</w:t>
      </w:r>
      <w:r>
        <w:rPr>
          <w:spacing w:val="-15"/>
          <w:sz w:val="24"/>
        </w:rPr>
        <w:t> </w:t>
      </w:r>
      <w:r>
        <w:rPr>
          <w:sz w:val="24"/>
        </w:rPr>
        <w:t>поддержки в комбинации с кислородными масками, так как это снижает инспираторную фракцию кислорода и значительно повышает расход кислорода</w:t>
      </w:r>
      <w:r>
        <w:rPr>
          <w:b/>
          <w:sz w:val="24"/>
        </w:rPr>
        <w:t>.</w:t>
      </w:r>
    </w:p>
    <w:p>
      <w:pPr>
        <w:pStyle w:val="ListParagraph"/>
        <w:numPr>
          <w:ilvl w:val="0"/>
          <w:numId w:val="32"/>
        </w:numPr>
        <w:tabs>
          <w:tab w:pos="2268" w:val="left" w:leader="none"/>
        </w:tabs>
        <w:spacing w:line="276" w:lineRule="auto" w:before="0" w:after="0"/>
        <w:ind w:left="2268" w:right="1271" w:hanging="427"/>
        <w:jc w:val="both"/>
        <w:rPr>
          <w:sz w:val="24"/>
        </w:rPr>
      </w:pPr>
      <w:r>
        <w:rPr>
          <w:sz w:val="24"/>
        </w:rPr>
        <w:t>Ингаляцию</w:t>
      </w:r>
      <w:r>
        <w:rPr>
          <w:spacing w:val="40"/>
          <w:sz w:val="24"/>
        </w:rPr>
        <w:t>  </w:t>
      </w:r>
      <w:r>
        <w:rPr>
          <w:sz w:val="24"/>
        </w:rPr>
        <w:t>100%</w:t>
      </w:r>
      <w:r>
        <w:rPr>
          <w:spacing w:val="40"/>
          <w:sz w:val="24"/>
        </w:rPr>
        <w:t>  </w:t>
      </w:r>
      <w:r>
        <w:rPr>
          <w:sz w:val="24"/>
        </w:rPr>
        <w:t>кислорода</w:t>
      </w:r>
      <w:r>
        <w:rPr>
          <w:spacing w:val="40"/>
          <w:sz w:val="24"/>
        </w:rPr>
        <w:t>  </w:t>
      </w:r>
      <w:r>
        <w:rPr>
          <w:sz w:val="24"/>
        </w:rPr>
        <w:t>применять</w:t>
      </w:r>
      <w:r>
        <w:rPr>
          <w:spacing w:val="40"/>
          <w:sz w:val="24"/>
        </w:rPr>
        <w:t>  </w:t>
      </w:r>
      <w:r>
        <w:rPr>
          <w:sz w:val="24"/>
        </w:rPr>
        <w:t>кратковременно</w:t>
      </w:r>
      <w:r>
        <w:rPr>
          <w:spacing w:val="40"/>
          <w:sz w:val="24"/>
        </w:rPr>
        <w:t>  </w:t>
      </w:r>
      <w:r>
        <w:rPr>
          <w:sz w:val="24"/>
        </w:rPr>
        <w:t>(3</w:t>
      </w:r>
      <w:r>
        <w:rPr>
          <w:spacing w:val="40"/>
          <w:sz w:val="24"/>
        </w:rPr>
        <w:t>  </w:t>
      </w:r>
      <w:r>
        <w:rPr>
          <w:sz w:val="24"/>
        </w:rPr>
        <w:t>–</w:t>
      </w:r>
      <w:r>
        <w:rPr>
          <w:spacing w:val="40"/>
          <w:sz w:val="24"/>
        </w:rPr>
        <w:t>  </w:t>
      </w:r>
      <w:r>
        <w:rPr>
          <w:sz w:val="24"/>
        </w:rPr>
        <w:t>5</w:t>
      </w:r>
      <w:r>
        <w:rPr>
          <w:spacing w:val="40"/>
          <w:sz w:val="24"/>
        </w:rPr>
        <w:t>  </w:t>
      </w:r>
      <w:r>
        <w:rPr>
          <w:sz w:val="24"/>
        </w:rPr>
        <w:t>минут) с</w:t>
      </w:r>
      <w:r>
        <w:rPr>
          <w:spacing w:val="80"/>
          <w:sz w:val="24"/>
        </w:rPr>
        <w:t> </w:t>
      </w:r>
      <w:r>
        <w:rPr>
          <w:sz w:val="24"/>
        </w:rPr>
        <w:t>целью</w:t>
      </w:r>
      <w:r>
        <w:rPr>
          <w:spacing w:val="80"/>
          <w:sz w:val="24"/>
        </w:rPr>
        <w:t> </w:t>
      </w:r>
      <w:r>
        <w:rPr>
          <w:sz w:val="24"/>
        </w:rPr>
        <w:t>преоксигенации</w:t>
      </w:r>
      <w:r>
        <w:rPr>
          <w:spacing w:val="80"/>
          <w:sz w:val="24"/>
        </w:rPr>
        <w:t> </w:t>
      </w:r>
      <w:r>
        <w:rPr>
          <w:sz w:val="24"/>
        </w:rPr>
        <w:t>перед</w:t>
      </w:r>
      <w:r>
        <w:rPr>
          <w:spacing w:val="80"/>
          <w:sz w:val="24"/>
        </w:rPr>
        <w:t> </w:t>
      </w:r>
      <w:r>
        <w:rPr>
          <w:sz w:val="24"/>
        </w:rPr>
        <w:t>апнойными</w:t>
      </w:r>
      <w:r>
        <w:rPr>
          <w:spacing w:val="80"/>
          <w:sz w:val="24"/>
        </w:rPr>
        <w:t> </w:t>
      </w:r>
      <w:r>
        <w:rPr>
          <w:sz w:val="24"/>
        </w:rPr>
        <w:t>процедурами</w:t>
      </w:r>
      <w:r>
        <w:rPr>
          <w:spacing w:val="80"/>
          <w:sz w:val="24"/>
        </w:rPr>
        <w:t> </w:t>
      </w:r>
      <w:r>
        <w:rPr>
          <w:sz w:val="24"/>
        </w:rPr>
        <w:t>и</w:t>
      </w:r>
      <w:r>
        <w:rPr>
          <w:spacing w:val="80"/>
          <w:sz w:val="24"/>
        </w:rPr>
        <w:t> </w:t>
      </w:r>
      <w:r>
        <w:rPr>
          <w:sz w:val="24"/>
        </w:rPr>
        <w:t>прекращать </w:t>
      </w:r>
      <w:r>
        <w:rPr>
          <w:position w:val="2"/>
          <w:sz w:val="24"/>
        </w:rPr>
        <w:t>сразу после прекращения процедуры и достижения целевого уровня SpO</w:t>
      </w:r>
      <w:r>
        <w:rPr>
          <w:sz w:val="16"/>
        </w:rPr>
        <w:t>2</w:t>
      </w:r>
      <w:r>
        <w:rPr>
          <w:position w:val="2"/>
          <w:sz w:val="24"/>
        </w:rPr>
        <w:t>.</w:t>
      </w:r>
    </w:p>
    <w:p>
      <w:pPr>
        <w:pStyle w:val="Heading3"/>
        <w:spacing w:before="110"/>
      </w:pPr>
      <w:r>
        <w:rPr>
          <w:color w:val="1F487C"/>
          <w:spacing w:val="-2"/>
        </w:rPr>
        <w:t>Основные</w:t>
      </w:r>
      <w:r>
        <w:rPr>
          <w:color w:val="1F487C"/>
          <w:spacing w:val="-1"/>
        </w:rPr>
        <w:t> </w:t>
      </w:r>
      <w:r>
        <w:rPr>
          <w:color w:val="1F487C"/>
          <w:spacing w:val="-2"/>
        </w:rPr>
        <w:t>технологии</w:t>
      </w:r>
      <w:r>
        <w:rPr>
          <w:color w:val="1F487C"/>
          <w:spacing w:val="1"/>
        </w:rPr>
        <w:t> </w:t>
      </w:r>
      <w:r>
        <w:rPr>
          <w:color w:val="1F487C"/>
          <w:spacing w:val="-2"/>
        </w:rPr>
        <w:t>дополнительной</w:t>
      </w:r>
      <w:r>
        <w:rPr>
          <w:color w:val="1F487C"/>
          <w:spacing w:val="3"/>
        </w:rPr>
        <w:t> </w:t>
      </w:r>
      <w:r>
        <w:rPr>
          <w:color w:val="1F487C"/>
          <w:spacing w:val="-2"/>
        </w:rPr>
        <w:t>оксигенации</w:t>
      </w:r>
      <w:r>
        <w:rPr>
          <w:color w:val="1F487C"/>
          <w:spacing w:val="2"/>
        </w:rPr>
        <w:t> </w:t>
      </w:r>
      <w:r>
        <w:rPr>
          <w:color w:val="1F487C"/>
          <w:spacing w:val="-2"/>
        </w:rPr>
        <w:t>пациентов:</w:t>
      </w:r>
    </w:p>
    <w:p>
      <w:pPr>
        <w:pStyle w:val="ListParagraph"/>
        <w:numPr>
          <w:ilvl w:val="0"/>
          <w:numId w:val="33"/>
        </w:numPr>
        <w:tabs>
          <w:tab w:pos="2268" w:val="left" w:leader="none"/>
        </w:tabs>
        <w:spacing w:line="276" w:lineRule="auto" w:before="41" w:after="0"/>
        <w:ind w:left="2268" w:right="1270" w:hanging="427"/>
        <w:jc w:val="left"/>
        <w:rPr>
          <w:sz w:val="24"/>
        </w:rPr>
      </w:pPr>
      <w:r>
        <w:rPr>
          <w:sz w:val="24"/>
        </w:rPr>
        <w:t>Инсуфляционные.</w:t>
      </w:r>
      <w:r>
        <w:rPr>
          <w:spacing w:val="80"/>
          <w:sz w:val="24"/>
        </w:rPr>
        <w:t> </w:t>
      </w:r>
      <w:r>
        <w:rPr>
          <w:sz w:val="24"/>
        </w:rPr>
        <w:t>Не</w:t>
      </w:r>
      <w:r>
        <w:rPr>
          <w:spacing w:val="80"/>
          <w:sz w:val="24"/>
        </w:rPr>
        <w:t> </w:t>
      </w:r>
      <w:r>
        <w:rPr>
          <w:sz w:val="24"/>
        </w:rPr>
        <w:t>превышают</w:t>
      </w:r>
      <w:r>
        <w:rPr>
          <w:spacing w:val="80"/>
          <w:sz w:val="24"/>
        </w:rPr>
        <w:t> </w:t>
      </w:r>
      <w:r>
        <w:rPr>
          <w:sz w:val="24"/>
        </w:rPr>
        <w:t>30</w:t>
      </w:r>
      <w:r>
        <w:rPr>
          <w:spacing w:val="80"/>
          <w:sz w:val="24"/>
        </w:rPr>
        <w:t> </w:t>
      </w:r>
      <w:r>
        <w:rPr>
          <w:sz w:val="24"/>
        </w:rPr>
        <w:t>–</w:t>
      </w:r>
      <w:r>
        <w:rPr>
          <w:spacing w:val="80"/>
          <w:sz w:val="24"/>
        </w:rPr>
        <w:t> </w:t>
      </w:r>
      <w:r>
        <w:rPr>
          <w:sz w:val="24"/>
        </w:rPr>
        <w:t>40%</w:t>
      </w:r>
      <w:r>
        <w:rPr>
          <w:spacing w:val="80"/>
          <w:sz w:val="24"/>
        </w:rPr>
        <w:t> </w:t>
      </w:r>
      <w:r>
        <w:rPr>
          <w:sz w:val="24"/>
        </w:rPr>
        <w:t>спонтанного</w:t>
      </w:r>
      <w:r>
        <w:rPr>
          <w:spacing w:val="80"/>
          <w:sz w:val="24"/>
        </w:rPr>
        <w:t> </w:t>
      </w:r>
      <w:r>
        <w:rPr>
          <w:sz w:val="24"/>
        </w:rPr>
        <w:t>МОД</w:t>
      </w:r>
      <w:r>
        <w:rPr>
          <w:spacing w:val="80"/>
          <w:sz w:val="24"/>
        </w:rPr>
        <w:t> </w:t>
      </w:r>
      <w:r>
        <w:rPr>
          <w:sz w:val="24"/>
        </w:rPr>
        <w:t>(50</w:t>
      </w:r>
      <w:r>
        <w:rPr>
          <w:spacing w:val="80"/>
          <w:sz w:val="24"/>
        </w:rPr>
        <w:t> </w:t>
      </w:r>
      <w:r>
        <w:rPr>
          <w:sz w:val="24"/>
        </w:rPr>
        <w:t>–</w:t>
      </w:r>
      <w:r>
        <w:rPr>
          <w:spacing w:val="80"/>
          <w:sz w:val="24"/>
        </w:rPr>
        <w:t> </w:t>
      </w:r>
      <w:r>
        <w:rPr>
          <w:sz w:val="24"/>
        </w:rPr>
        <w:t>60% на вдохе).</w:t>
      </w:r>
    </w:p>
    <w:p>
      <w:pPr>
        <w:pStyle w:val="ListParagraph"/>
        <w:numPr>
          <w:ilvl w:val="0"/>
          <w:numId w:val="33"/>
        </w:numPr>
        <w:tabs>
          <w:tab w:pos="2268" w:val="left" w:leader="none"/>
          <w:tab w:pos="4423" w:val="left" w:leader="none"/>
          <w:tab w:pos="5654" w:val="left" w:leader="none"/>
          <w:tab w:pos="6483" w:val="left" w:leader="none"/>
          <w:tab w:pos="6861" w:val="left" w:leader="none"/>
          <w:tab w:pos="8335" w:val="left" w:leader="none"/>
          <w:tab w:pos="8718" w:val="left" w:leader="none"/>
          <w:tab w:pos="9651" w:val="left" w:leader="none"/>
          <w:tab w:pos="10295" w:val="left" w:leader="none"/>
        </w:tabs>
        <w:spacing w:line="276" w:lineRule="auto" w:before="1" w:after="0"/>
        <w:ind w:left="2268" w:right="1278" w:hanging="427"/>
        <w:jc w:val="left"/>
        <w:rPr>
          <w:sz w:val="24"/>
        </w:rPr>
      </w:pPr>
      <w:r>
        <w:rPr>
          <w:spacing w:val="-2"/>
          <w:sz w:val="24"/>
        </w:rPr>
        <w:t>Вспомогательные.</w:t>
      </w:r>
      <w:r>
        <w:rPr>
          <w:sz w:val="24"/>
        </w:rPr>
        <w:tab/>
      </w:r>
      <w:r>
        <w:rPr>
          <w:spacing w:val="-2"/>
          <w:sz w:val="24"/>
        </w:rPr>
        <w:t>Создание</w:t>
      </w:r>
      <w:r>
        <w:rPr>
          <w:sz w:val="24"/>
        </w:rPr>
        <w:tab/>
      </w:r>
      <w:r>
        <w:rPr>
          <w:spacing w:val="-4"/>
          <w:sz w:val="24"/>
        </w:rPr>
        <w:t>РЕЕР</w:t>
      </w:r>
      <w:r>
        <w:rPr>
          <w:sz w:val="24"/>
        </w:rPr>
        <w:tab/>
      </w:r>
      <w:r>
        <w:rPr>
          <w:spacing w:val="-10"/>
          <w:sz w:val="24"/>
        </w:rPr>
        <w:t>в</w:t>
      </w:r>
      <w:r>
        <w:rPr>
          <w:sz w:val="24"/>
        </w:rPr>
        <w:tab/>
      </w:r>
      <w:r>
        <w:rPr>
          <w:spacing w:val="-2"/>
          <w:sz w:val="24"/>
        </w:rPr>
        <w:t>дополнение</w:t>
      </w:r>
      <w:r>
        <w:rPr>
          <w:sz w:val="24"/>
        </w:rPr>
        <w:tab/>
      </w:r>
      <w:r>
        <w:rPr>
          <w:spacing w:val="-10"/>
          <w:sz w:val="24"/>
        </w:rPr>
        <w:t>к</w:t>
      </w:r>
      <w:r>
        <w:rPr>
          <w:sz w:val="24"/>
        </w:rPr>
        <w:tab/>
      </w:r>
      <w:r>
        <w:rPr>
          <w:spacing w:val="-2"/>
          <w:sz w:val="24"/>
        </w:rPr>
        <w:t>пп.№1</w:t>
      </w:r>
      <w:r>
        <w:rPr>
          <w:sz w:val="24"/>
        </w:rPr>
        <w:tab/>
      </w:r>
      <w:r>
        <w:rPr>
          <w:spacing w:val="-4"/>
          <w:sz w:val="24"/>
        </w:rPr>
        <w:t>при</w:t>
      </w:r>
      <w:r>
        <w:rPr>
          <w:sz w:val="24"/>
        </w:rPr>
        <w:tab/>
      </w:r>
      <w:r>
        <w:rPr>
          <w:spacing w:val="-4"/>
          <w:sz w:val="24"/>
        </w:rPr>
        <w:t>его </w:t>
      </w:r>
      <w:r>
        <w:rPr>
          <w:spacing w:val="-2"/>
          <w:sz w:val="24"/>
        </w:rPr>
        <w:t>неэффективности.</w:t>
      </w:r>
    </w:p>
    <w:p>
      <w:pPr>
        <w:pStyle w:val="ListParagraph"/>
        <w:numPr>
          <w:ilvl w:val="0"/>
          <w:numId w:val="33"/>
        </w:numPr>
        <w:tabs>
          <w:tab w:pos="2268" w:val="left" w:leader="none"/>
        </w:tabs>
        <w:spacing w:line="276" w:lineRule="auto" w:before="0" w:after="0"/>
        <w:ind w:left="2268" w:right="1280" w:hanging="427"/>
        <w:jc w:val="left"/>
        <w:rPr>
          <w:sz w:val="24"/>
        </w:rPr>
      </w:pPr>
      <w:r>
        <w:rPr>
          <w:sz w:val="24"/>
        </w:rPr>
        <w:t>Поддерживающие.</w:t>
      </w:r>
      <w:r>
        <w:rPr>
          <w:spacing w:val="80"/>
          <w:sz w:val="24"/>
        </w:rPr>
        <w:t> </w:t>
      </w:r>
      <w:r>
        <w:rPr>
          <w:sz w:val="24"/>
        </w:rPr>
        <w:t>СРАР.</w:t>
      </w:r>
      <w:r>
        <w:rPr>
          <w:spacing w:val="80"/>
          <w:sz w:val="24"/>
        </w:rPr>
        <w:t> </w:t>
      </w:r>
      <w:r>
        <w:rPr>
          <w:sz w:val="24"/>
        </w:rPr>
        <w:t>Уменьшают</w:t>
      </w:r>
      <w:r>
        <w:rPr>
          <w:spacing w:val="80"/>
          <w:sz w:val="24"/>
        </w:rPr>
        <w:t> </w:t>
      </w:r>
      <w:r>
        <w:rPr>
          <w:sz w:val="24"/>
        </w:rPr>
        <w:t>цену</w:t>
      </w:r>
      <w:r>
        <w:rPr>
          <w:spacing w:val="80"/>
          <w:sz w:val="24"/>
        </w:rPr>
        <w:t> </w:t>
      </w:r>
      <w:r>
        <w:rPr>
          <w:sz w:val="24"/>
        </w:rPr>
        <w:t>дыхания</w:t>
      </w:r>
      <w:r>
        <w:rPr>
          <w:spacing w:val="80"/>
          <w:sz w:val="24"/>
        </w:rPr>
        <w:t> </w:t>
      </w:r>
      <w:r>
        <w:rPr>
          <w:sz w:val="24"/>
        </w:rPr>
        <w:t>при</w:t>
      </w:r>
      <w:r>
        <w:rPr>
          <w:spacing w:val="80"/>
          <w:sz w:val="24"/>
        </w:rPr>
        <w:t> </w:t>
      </w:r>
      <w:r>
        <w:rPr>
          <w:sz w:val="24"/>
        </w:rPr>
        <w:t>неэффективности </w:t>
      </w:r>
      <w:r>
        <w:rPr>
          <w:spacing w:val="-2"/>
          <w:sz w:val="24"/>
        </w:rPr>
        <w:t>пп.№2.</w:t>
      </w:r>
    </w:p>
    <w:p>
      <w:pPr>
        <w:pStyle w:val="Heading3"/>
        <w:spacing w:before="119"/>
        <w:jc w:val="left"/>
      </w:pPr>
      <w:r>
        <w:rPr>
          <w:color w:val="1F487C"/>
        </w:rPr>
        <w:t>Основные</w:t>
      </w:r>
      <w:r>
        <w:rPr>
          <w:color w:val="1F487C"/>
          <w:spacing w:val="-13"/>
        </w:rPr>
        <w:t> </w:t>
      </w:r>
      <w:r>
        <w:rPr>
          <w:color w:val="1F487C"/>
        </w:rPr>
        <w:t>требования</w:t>
      </w:r>
      <w:r>
        <w:rPr>
          <w:color w:val="1F487C"/>
          <w:spacing w:val="-14"/>
        </w:rPr>
        <w:t> </w:t>
      </w:r>
      <w:r>
        <w:rPr>
          <w:color w:val="1F487C"/>
        </w:rPr>
        <w:t>к</w:t>
      </w:r>
      <w:r>
        <w:rPr>
          <w:color w:val="1F487C"/>
          <w:spacing w:val="-12"/>
        </w:rPr>
        <w:t> </w:t>
      </w:r>
      <w:r>
        <w:rPr>
          <w:color w:val="1F487C"/>
        </w:rPr>
        <w:t>качеству</w:t>
      </w:r>
      <w:r>
        <w:rPr>
          <w:color w:val="1F487C"/>
          <w:spacing w:val="-12"/>
        </w:rPr>
        <w:t> </w:t>
      </w:r>
      <w:r>
        <w:rPr>
          <w:color w:val="1F487C"/>
          <w:spacing w:val="-2"/>
        </w:rPr>
        <w:t>кислорода:</w:t>
      </w:r>
    </w:p>
    <w:p>
      <w:pPr>
        <w:pStyle w:val="ListParagraph"/>
        <w:numPr>
          <w:ilvl w:val="0"/>
          <w:numId w:val="34"/>
        </w:numPr>
        <w:tabs>
          <w:tab w:pos="2266" w:val="left" w:leader="none"/>
          <w:tab w:pos="2268" w:val="left" w:leader="none"/>
        </w:tabs>
        <w:spacing w:line="276" w:lineRule="auto" w:before="40" w:after="0"/>
        <w:ind w:left="2268" w:right="1280" w:hanging="427"/>
        <w:jc w:val="both"/>
        <w:rPr>
          <w:sz w:val="24"/>
        </w:rPr>
      </w:pPr>
      <w:r>
        <w:rPr>
          <w:sz w:val="24"/>
        </w:rPr>
        <w:t>С целью обеспечения оксигенации при проведении ИВЛ в палатах интенсивной терапии и во время анестезии следует применять медицинский чистый кислород (лекарственное средство) не менее 99,5% концентрации.</w:t>
      </w:r>
    </w:p>
    <w:p>
      <w:pPr>
        <w:pStyle w:val="ListParagraph"/>
        <w:numPr>
          <w:ilvl w:val="0"/>
          <w:numId w:val="34"/>
        </w:numPr>
        <w:tabs>
          <w:tab w:pos="2266" w:val="left" w:leader="none"/>
          <w:tab w:pos="2268" w:val="left" w:leader="none"/>
        </w:tabs>
        <w:spacing w:line="276" w:lineRule="auto" w:before="0" w:after="0"/>
        <w:ind w:left="2268" w:right="1270" w:hanging="427"/>
        <w:jc w:val="both"/>
        <w:rPr>
          <w:sz w:val="24"/>
        </w:rPr>
      </w:pPr>
      <w:r>
        <w:rPr>
          <w:sz w:val="24"/>
        </w:rPr>
        <w:t>С</w:t>
      </w:r>
      <w:r>
        <w:rPr>
          <w:spacing w:val="-8"/>
          <w:sz w:val="24"/>
        </w:rPr>
        <w:t> </w:t>
      </w:r>
      <w:r>
        <w:rPr>
          <w:sz w:val="24"/>
        </w:rPr>
        <w:t>целью</w:t>
      </w:r>
      <w:r>
        <w:rPr>
          <w:spacing w:val="-8"/>
          <w:sz w:val="24"/>
        </w:rPr>
        <w:t> </w:t>
      </w:r>
      <w:r>
        <w:rPr>
          <w:sz w:val="24"/>
        </w:rPr>
        <w:t>дополнительной</w:t>
      </w:r>
      <w:r>
        <w:rPr>
          <w:spacing w:val="-8"/>
          <w:sz w:val="24"/>
        </w:rPr>
        <w:t> </w:t>
      </w:r>
      <w:r>
        <w:rPr>
          <w:sz w:val="24"/>
        </w:rPr>
        <w:t>оксигенации</w:t>
      </w:r>
      <w:r>
        <w:rPr>
          <w:spacing w:val="-10"/>
          <w:sz w:val="24"/>
        </w:rPr>
        <w:t> </w:t>
      </w:r>
      <w:r>
        <w:rPr>
          <w:sz w:val="24"/>
        </w:rPr>
        <w:t>пациента</w:t>
      </w:r>
      <w:r>
        <w:rPr>
          <w:spacing w:val="-9"/>
          <w:sz w:val="24"/>
        </w:rPr>
        <w:t> </w:t>
      </w:r>
      <w:r>
        <w:rPr>
          <w:sz w:val="24"/>
        </w:rPr>
        <w:t>может</w:t>
      </w:r>
      <w:r>
        <w:rPr>
          <w:spacing w:val="-8"/>
          <w:sz w:val="24"/>
        </w:rPr>
        <w:t> </w:t>
      </w:r>
      <w:r>
        <w:rPr>
          <w:sz w:val="24"/>
        </w:rPr>
        <w:t>применяться</w:t>
      </w:r>
      <w:r>
        <w:rPr>
          <w:spacing w:val="-9"/>
          <w:sz w:val="24"/>
        </w:rPr>
        <w:t> </w:t>
      </w:r>
      <w:r>
        <w:rPr>
          <w:sz w:val="24"/>
        </w:rPr>
        <w:t>кислородно- воздушная смесь с содержанием кислорода не менее 95%, полученная сорбционным или мембранным методом концентрации из воздуха.</w:t>
      </w:r>
    </w:p>
    <w:p>
      <w:pPr>
        <w:pStyle w:val="BodyText"/>
        <w:spacing w:before="158"/>
        <w:ind w:left="0"/>
        <w:jc w:val="left"/>
      </w:pPr>
    </w:p>
    <w:p>
      <w:pPr>
        <w:pStyle w:val="BodyText"/>
        <w:spacing w:line="276" w:lineRule="auto"/>
        <w:ind w:right="1272" w:firstLine="707"/>
      </w:pPr>
      <w:r>
        <w:rPr/>
        <w:t>Все</w:t>
      </w:r>
      <w:r>
        <w:rPr>
          <w:spacing w:val="80"/>
        </w:rPr>
        <w:t> </w:t>
      </w:r>
      <w:r>
        <w:rPr/>
        <w:t>системы</w:t>
      </w:r>
      <w:r>
        <w:rPr>
          <w:spacing w:val="80"/>
        </w:rPr>
        <w:t> </w:t>
      </w:r>
      <w:r>
        <w:rPr/>
        <w:t>доставки</w:t>
      </w:r>
      <w:r>
        <w:rPr>
          <w:spacing w:val="80"/>
        </w:rPr>
        <w:t> </w:t>
      </w:r>
      <w:r>
        <w:rPr/>
        <w:t>кислорода</w:t>
      </w:r>
      <w:r>
        <w:rPr>
          <w:spacing w:val="80"/>
        </w:rPr>
        <w:t> </w:t>
      </w:r>
      <w:r>
        <w:rPr/>
        <w:t>в</w:t>
      </w:r>
      <w:r>
        <w:rPr>
          <w:spacing w:val="80"/>
        </w:rPr>
        <w:t> </w:t>
      </w:r>
      <w:r>
        <w:rPr/>
        <w:t>дыхательные</w:t>
      </w:r>
      <w:r>
        <w:rPr>
          <w:spacing w:val="80"/>
        </w:rPr>
        <w:t> </w:t>
      </w:r>
      <w:r>
        <w:rPr/>
        <w:t>пути</w:t>
      </w:r>
      <w:r>
        <w:rPr>
          <w:spacing w:val="80"/>
        </w:rPr>
        <w:t> </w:t>
      </w:r>
      <w:r>
        <w:rPr/>
        <w:t>пациента</w:t>
      </w:r>
      <w:r>
        <w:rPr>
          <w:spacing w:val="80"/>
        </w:rPr>
        <w:t> </w:t>
      </w:r>
      <w:r>
        <w:rPr/>
        <w:t>делят</w:t>
      </w:r>
      <w:r>
        <w:rPr>
          <w:spacing w:val="80"/>
        </w:rPr>
        <w:t> </w:t>
      </w:r>
      <w:r>
        <w:rPr/>
        <w:t>на</w:t>
      </w:r>
      <w:r>
        <w:rPr>
          <w:spacing w:val="-4"/>
        </w:rPr>
        <w:t> </w:t>
      </w:r>
      <w:r>
        <w:rPr/>
        <w:t>низкопоточные (поток кислорода до 15 л/мин) (носовые канюли, простые ороназальные маски, маски Вентури, ороназальные маски с резервуарным мешком)</w:t>
      </w:r>
      <w:r>
        <w:rPr>
          <w:spacing w:val="40"/>
        </w:rPr>
        <w:t> </w:t>
      </w:r>
      <w:r>
        <w:rPr/>
        <w:t>и высокопоточные (поток кислорода 30-60 л/мин).</w:t>
      </w:r>
    </w:p>
    <w:p>
      <w:pPr>
        <w:pStyle w:val="BodyText"/>
        <w:spacing w:line="276" w:lineRule="auto"/>
        <w:ind w:right="1271" w:firstLine="707"/>
      </w:pPr>
      <w:r>
        <w:rPr>
          <w:position w:val="2"/>
        </w:rPr>
        <w:t>Результирующая</w:t>
      </w:r>
      <w:r>
        <w:rPr>
          <w:spacing w:val="80"/>
          <w:position w:val="2"/>
        </w:rPr>
        <w:t> </w:t>
      </w:r>
      <w:r>
        <w:rPr>
          <w:position w:val="2"/>
        </w:rPr>
        <w:t>величина</w:t>
      </w:r>
      <w:r>
        <w:rPr>
          <w:spacing w:val="80"/>
          <w:position w:val="2"/>
        </w:rPr>
        <w:t> </w:t>
      </w:r>
      <w:r>
        <w:rPr>
          <w:position w:val="2"/>
        </w:rPr>
        <w:t>FiO</w:t>
      </w:r>
      <w:r>
        <w:rPr>
          <w:sz w:val="16"/>
        </w:rPr>
        <w:t>2</w:t>
      </w:r>
      <w:r>
        <w:rPr>
          <w:spacing w:val="80"/>
          <w:sz w:val="16"/>
        </w:rPr>
        <w:t> </w:t>
      </w:r>
      <w:r>
        <w:rPr>
          <w:position w:val="2"/>
        </w:rPr>
        <w:t>зависит</w:t>
      </w:r>
      <w:r>
        <w:rPr>
          <w:spacing w:val="80"/>
          <w:position w:val="2"/>
        </w:rPr>
        <w:t> </w:t>
      </w:r>
      <w:r>
        <w:rPr>
          <w:position w:val="2"/>
        </w:rPr>
        <w:t>не</w:t>
      </w:r>
      <w:r>
        <w:rPr>
          <w:spacing w:val="80"/>
          <w:position w:val="2"/>
        </w:rPr>
        <w:t> </w:t>
      </w:r>
      <w:r>
        <w:rPr>
          <w:position w:val="2"/>
        </w:rPr>
        <w:t>только</w:t>
      </w:r>
      <w:r>
        <w:rPr>
          <w:spacing w:val="80"/>
          <w:position w:val="2"/>
        </w:rPr>
        <w:t> </w:t>
      </w:r>
      <w:r>
        <w:rPr>
          <w:position w:val="2"/>
        </w:rPr>
        <w:t>от</w:t>
      </w:r>
      <w:r>
        <w:rPr>
          <w:spacing w:val="80"/>
          <w:position w:val="2"/>
        </w:rPr>
        <w:t> </w:t>
      </w:r>
      <w:r>
        <w:rPr>
          <w:position w:val="2"/>
        </w:rPr>
        <w:t>потока</w:t>
      </w:r>
      <w:r>
        <w:rPr>
          <w:spacing w:val="80"/>
          <w:position w:val="2"/>
        </w:rPr>
        <w:t> </w:t>
      </w:r>
      <w:r>
        <w:rPr>
          <w:position w:val="2"/>
        </w:rPr>
        <w:t>кислорода, </w:t>
      </w:r>
      <w:r>
        <w:rPr/>
        <w:t>но</w:t>
      </w:r>
      <w:r>
        <w:rPr>
          <w:spacing w:val="3"/>
        </w:rPr>
        <w:t> </w:t>
      </w:r>
      <w:r>
        <w:rPr/>
        <w:t>и</w:t>
      </w:r>
      <w:r>
        <w:rPr>
          <w:spacing w:val="5"/>
        </w:rPr>
        <w:t> </w:t>
      </w:r>
      <w:r>
        <w:rPr/>
        <w:t>от</w:t>
      </w:r>
      <w:r>
        <w:rPr>
          <w:spacing w:val="5"/>
        </w:rPr>
        <w:t> </w:t>
      </w:r>
      <w:r>
        <w:rPr/>
        <w:t>состояния</w:t>
      </w:r>
      <w:r>
        <w:rPr>
          <w:spacing w:val="5"/>
        </w:rPr>
        <w:t> </w:t>
      </w:r>
      <w:r>
        <w:rPr/>
        <w:t>самого</w:t>
      </w:r>
      <w:r>
        <w:rPr>
          <w:spacing w:val="4"/>
        </w:rPr>
        <w:t> </w:t>
      </w:r>
      <w:r>
        <w:rPr/>
        <w:t>пациента</w:t>
      </w:r>
      <w:r>
        <w:rPr>
          <w:spacing w:val="5"/>
        </w:rPr>
        <w:t> </w:t>
      </w:r>
      <w:r>
        <w:rPr/>
        <w:t>(следует</w:t>
      </w:r>
      <w:r>
        <w:rPr>
          <w:spacing w:val="2"/>
        </w:rPr>
        <w:t> </w:t>
      </w:r>
      <w:r>
        <w:rPr/>
        <w:t>принимать</w:t>
      </w:r>
      <w:r>
        <w:rPr>
          <w:spacing w:val="6"/>
        </w:rPr>
        <w:t> </w:t>
      </w:r>
      <w:r>
        <w:rPr/>
        <w:t>во</w:t>
      </w:r>
      <w:r>
        <w:rPr>
          <w:spacing w:val="4"/>
        </w:rPr>
        <w:t> </w:t>
      </w:r>
      <w:r>
        <w:rPr/>
        <w:t>внимание</w:t>
      </w:r>
      <w:r>
        <w:rPr>
          <w:spacing w:val="4"/>
        </w:rPr>
        <w:t> </w:t>
      </w:r>
      <w:r>
        <w:rPr/>
        <w:t>такие</w:t>
      </w:r>
      <w:r>
        <w:rPr>
          <w:spacing w:val="3"/>
        </w:rPr>
        <w:t> </w:t>
      </w:r>
      <w:r>
        <w:rPr>
          <w:spacing w:val="-2"/>
        </w:rPr>
        <w:t>факторы,</w:t>
      </w:r>
    </w:p>
    <w:p>
      <w:pPr>
        <w:pStyle w:val="BodyText"/>
        <w:spacing w:after="0" w:line="276" w:lineRule="auto"/>
        <w:sectPr>
          <w:pgSz w:w="11900" w:h="16840"/>
          <w:pgMar w:header="0" w:footer="697" w:top="1080" w:bottom="880" w:left="0" w:right="0"/>
        </w:sectPr>
      </w:pPr>
    </w:p>
    <w:p>
      <w:pPr>
        <w:pStyle w:val="BodyText"/>
        <w:spacing w:line="276" w:lineRule="auto" w:before="73"/>
        <w:ind w:right="1272"/>
        <w:rPr>
          <w:position w:val="2"/>
        </w:rPr>
      </w:pPr>
      <w:bookmarkStart w:name="76" w:id="92"/>
      <w:bookmarkEnd w:id="92"/>
      <w:r>
        <w:rPr/>
      </w:r>
      <w:r>
        <w:rPr/>
        <w:t>как</w:t>
      </w:r>
      <w:r>
        <w:rPr>
          <w:spacing w:val="-2"/>
        </w:rPr>
        <w:t> </w:t>
      </w:r>
      <w:r>
        <w:rPr/>
        <w:t>минутная вентиляция и инспираторы поток пациента - чем они больше, тем </w:t>
      </w:r>
      <w:r>
        <w:rPr>
          <w:position w:val="2"/>
        </w:rPr>
        <w:t>меньшая FiO</w:t>
      </w:r>
      <w:r>
        <w:rPr>
          <w:sz w:val="16"/>
        </w:rPr>
        <w:t>2</w:t>
      </w:r>
      <w:r>
        <w:rPr>
          <w:spacing w:val="40"/>
          <w:sz w:val="16"/>
        </w:rPr>
        <w:t> </w:t>
      </w:r>
      <w:r>
        <w:rPr>
          <w:position w:val="2"/>
        </w:rPr>
        <w:t>получается в итоге).</w:t>
      </w:r>
    </w:p>
    <w:p>
      <w:pPr>
        <w:pStyle w:val="BodyText"/>
        <w:spacing w:line="276" w:lineRule="auto"/>
        <w:ind w:right="1273" w:firstLine="707"/>
      </w:pPr>
      <w:r>
        <w:rPr/>
        <w:t>Низкопоточная оксигенотерапия эффективна при легкой и средней степени </w:t>
      </w:r>
      <w:r>
        <w:rPr>
          <w:position w:val="2"/>
        </w:rPr>
        <w:t>тяжести гипоксемической ОДН – с индексом PaO</w:t>
      </w:r>
      <w:r>
        <w:rPr>
          <w:sz w:val="16"/>
        </w:rPr>
        <w:t>2</w:t>
      </w:r>
      <w:r>
        <w:rPr>
          <w:position w:val="2"/>
        </w:rPr>
        <w:t>/FiO</w:t>
      </w:r>
      <w:r>
        <w:rPr>
          <w:sz w:val="16"/>
        </w:rPr>
        <w:t>2</w:t>
      </w:r>
      <w:r>
        <w:rPr>
          <w:spacing w:val="24"/>
          <w:sz w:val="16"/>
        </w:rPr>
        <w:t> </w:t>
      </w:r>
      <w:r>
        <w:rPr>
          <w:position w:val="2"/>
        </w:rPr>
        <w:t>300-150 мм рт.ст. (сатурация </w:t>
      </w:r>
      <w:r>
        <w:rPr/>
        <w:t>на воздухе без кислорода 75-93%) (шаг 1).</w:t>
      </w:r>
    </w:p>
    <w:p>
      <w:pPr>
        <w:pStyle w:val="BodyText"/>
        <w:spacing w:line="276" w:lineRule="auto"/>
        <w:ind w:right="1271" w:firstLine="707"/>
      </w:pPr>
      <w:r>
        <w:rPr/>
        <w:t>Низкопоточные системы можно расположить следующим образом в порядке повышения степени результирующей инспираторной фракции кислорода: носовые канюли</w:t>
      </w:r>
      <w:r>
        <w:rPr>
          <w:spacing w:val="25"/>
        </w:rPr>
        <w:t> </w:t>
      </w:r>
      <w:r>
        <w:rPr/>
        <w:t>→</w:t>
      </w:r>
      <w:r>
        <w:rPr>
          <w:spacing w:val="23"/>
        </w:rPr>
        <w:t> </w:t>
      </w:r>
      <w:r>
        <w:rPr/>
        <w:t>простые</w:t>
      </w:r>
      <w:r>
        <w:rPr>
          <w:spacing w:val="26"/>
        </w:rPr>
        <w:t> </w:t>
      </w:r>
      <w:r>
        <w:rPr/>
        <w:t>ороназальные</w:t>
      </w:r>
      <w:r>
        <w:rPr>
          <w:spacing w:val="25"/>
        </w:rPr>
        <w:t> </w:t>
      </w:r>
      <w:r>
        <w:rPr/>
        <w:t>маски</w:t>
      </w:r>
      <w:r>
        <w:rPr>
          <w:spacing w:val="26"/>
        </w:rPr>
        <w:t> </w:t>
      </w:r>
      <w:r>
        <w:rPr/>
        <w:t>→</w:t>
      </w:r>
      <w:r>
        <w:rPr>
          <w:spacing w:val="23"/>
        </w:rPr>
        <w:t> </w:t>
      </w:r>
      <w:r>
        <w:rPr/>
        <w:t>маски</w:t>
      </w:r>
      <w:r>
        <w:rPr>
          <w:spacing w:val="27"/>
        </w:rPr>
        <w:t> </w:t>
      </w:r>
      <w:r>
        <w:rPr/>
        <w:t>Вентури</w:t>
      </w:r>
      <w:r>
        <w:rPr>
          <w:spacing w:val="28"/>
        </w:rPr>
        <w:t> </w:t>
      </w:r>
      <w:r>
        <w:rPr/>
        <w:t>→</w:t>
      </w:r>
      <w:r>
        <w:rPr>
          <w:spacing w:val="23"/>
        </w:rPr>
        <w:t> </w:t>
      </w:r>
      <w:r>
        <w:rPr/>
        <w:t>ороназальные</w:t>
      </w:r>
      <w:r>
        <w:rPr>
          <w:spacing w:val="25"/>
        </w:rPr>
        <w:t> </w:t>
      </w:r>
      <w:r>
        <w:rPr/>
        <w:t>маски с резервуарным мешком.</w:t>
      </w:r>
    </w:p>
    <w:p>
      <w:pPr>
        <w:pStyle w:val="BodyText"/>
        <w:spacing w:line="276" w:lineRule="auto"/>
        <w:ind w:right="1271" w:firstLine="767"/>
      </w:pPr>
      <w:r>
        <w:rPr/>
        <w:t>Высокопоточная</w:t>
      </w:r>
      <w:r>
        <w:rPr>
          <w:spacing w:val="80"/>
        </w:rPr>
        <w:t> </w:t>
      </w:r>
      <w:r>
        <w:rPr/>
        <w:t>оксигенотерапия</w:t>
      </w:r>
      <w:r>
        <w:rPr>
          <w:spacing w:val="80"/>
        </w:rPr>
        <w:t> </w:t>
      </w:r>
      <w:r>
        <w:rPr/>
        <w:t>–</w:t>
      </w:r>
      <w:r>
        <w:rPr>
          <w:spacing w:val="80"/>
        </w:rPr>
        <w:t> </w:t>
      </w:r>
      <w:r>
        <w:rPr/>
        <w:t>это</w:t>
      </w:r>
      <w:r>
        <w:rPr>
          <w:spacing w:val="80"/>
        </w:rPr>
        <w:t> </w:t>
      </w:r>
      <w:r>
        <w:rPr/>
        <w:t>метод</w:t>
      </w:r>
      <w:r>
        <w:rPr>
          <w:spacing w:val="80"/>
        </w:rPr>
        <w:t> </w:t>
      </w:r>
      <w:r>
        <w:rPr/>
        <w:t>кислородной</w:t>
      </w:r>
      <w:r>
        <w:rPr>
          <w:spacing w:val="80"/>
        </w:rPr>
        <w:t> </w:t>
      </w:r>
      <w:r>
        <w:rPr/>
        <w:t>терапии,</w:t>
      </w:r>
      <w:r>
        <w:rPr>
          <w:spacing w:val="80"/>
        </w:rPr>
        <w:t> </w:t>
      </w:r>
      <w:r>
        <w:rPr/>
        <w:t>при</w:t>
      </w:r>
      <w:r>
        <w:rPr>
          <w:spacing w:val="-2"/>
        </w:rPr>
        <w:t> </w:t>
      </w:r>
      <w:r>
        <w:rPr/>
        <w:t>использовании которого обеспечивается доставка подогретой и увлажненной кислородовоздушной смеси через специальные носовые канюли при высоких </w:t>
      </w:r>
      <w:r>
        <w:rPr>
          <w:position w:val="2"/>
        </w:rPr>
        <w:t>скоростях</w:t>
      </w:r>
      <w:r>
        <w:rPr>
          <w:spacing w:val="40"/>
          <w:position w:val="2"/>
        </w:rPr>
        <w:t> </w:t>
      </w:r>
      <w:r>
        <w:rPr>
          <w:position w:val="2"/>
        </w:rPr>
        <w:t>потока</w:t>
      </w:r>
      <w:r>
        <w:rPr>
          <w:spacing w:val="40"/>
          <w:position w:val="2"/>
        </w:rPr>
        <w:t> </w:t>
      </w:r>
      <w:r>
        <w:rPr>
          <w:position w:val="2"/>
        </w:rPr>
        <w:t>(до</w:t>
      </w:r>
      <w:r>
        <w:rPr>
          <w:spacing w:val="40"/>
          <w:position w:val="2"/>
        </w:rPr>
        <w:t> </w:t>
      </w:r>
      <w:r>
        <w:rPr>
          <w:position w:val="2"/>
        </w:rPr>
        <w:t>60</w:t>
      </w:r>
      <w:r>
        <w:rPr>
          <w:spacing w:val="40"/>
          <w:position w:val="2"/>
        </w:rPr>
        <w:t> </w:t>
      </w:r>
      <w:r>
        <w:rPr>
          <w:position w:val="2"/>
        </w:rPr>
        <w:t>л/мин),</w:t>
      </w:r>
      <w:r>
        <w:rPr>
          <w:spacing w:val="40"/>
          <w:position w:val="2"/>
        </w:rPr>
        <w:t> </w:t>
      </w:r>
      <w:r>
        <w:rPr>
          <w:position w:val="2"/>
        </w:rPr>
        <w:t>при</w:t>
      </w:r>
      <w:r>
        <w:rPr>
          <w:spacing w:val="40"/>
          <w:position w:val="2"/>
        </w:rPr>
        <w:t> </w:t>
      </w:r>
      <w:r>
        <w:rPr>
          <w:position w:val="2"/>
        </w:rPr>
        <w:t>этом</w:t>
      </w:r>
      <w:r>
        <w:rPr>
          <w:spacing w:val="40"/>
          <w:position w:val="2"/>
        </w:rPr>
        <w:t> </w:t>
      </w:r>
      <w:r>
        <w:rPr>
          <w:position w:val="2"/>
        </w:rPr>
        <w:t>имеется</w:t>
      </w:r>
      <w:r>
        <w:rPr>
          <w:spacing w:val="40"/>
          <w:position w:val="2"/>
        </w:rPr>
        <w:t> </w:t>
      </w:r>
      <w:r>
        <w:rPr>
          <w:position w:val="2"/>
        </w:rPr>
        <w:t>возможность</w:t>
      </w:r>
      <w:r>
        <w:rPr>
          <w:spacing w:val="40"/>
          <w:position w:val="2"/>
        </w:rPr>
        <w:t> </w:t>
      </w:r>
      <w:r>
        <w:rPr>
          <w:position w:val="2"/>
        </w:rPr>
        <w:t>обеспечить</w:t>
      </w:r>
      <w:r>
        <w:rPr>
          <w:spacing w:val="40"/>
          <w:position w:val="2"/>
        </w:rPr>
        <w:t> </w:t>
      </w:r>
      <w:r>
        <w:rPr>
          <w:position w:val="2"/>
        </w:rPr>
        <w:t>FiO</w:t>
      </w:r>
      <w:r>
        <w:rPr>
          <w:sz w:val="16"/>
        </w:rPr>
        <w:t>2</w:t>
      </w:r>
      <w:r>
        <w:rPr>
          <w:spacing w:val="40"/>
          <w:sz w:val="16"/>
        </w:rPr>
        <w:t> </w:t>
      </w:r>
      <w:r>
        <w:rPr/>
        <w:t>до</w:t>
      </w:r>
      <w:r>
        <w:rPr>
          <w:spacing w:val="-3"/>
        </w:rPr>
        <w:t> </w:t>
      </w:r>
      <w:r>
        <w:rPr/>
        <w:t>1,0. Высокопоточная оксигенотерапия эффективна при тяжелой степени </w:t>
      </w:r>
      <w:r>
        <w:rPr>
          <w:position w:val="2"/>
        </w:rPr>
        <w:t>гипоксемической</w:t>
      </w:r>
      <w:r>
        <w:rPr>
          <w:spacing w:val="72"/>
          <w:position w:val="2"/>
        </w:rPr>
        <w:t> </w:t>
      </w:r>
      <w:r>
        <w:rPr>
          <w:position w:val="2"/>
        </w:rPr>
        <w:t>ОДН</w:t>
      </w:r>
      <w:r>
        <w:rPr>
          <w:spacing w:val="40"/>
          <w:position w:val="2"/>
        </w:rPr>
        <w:t> </w:t>
      </w:r>
      <w:r>
        <w:rPr>
          <w:position w:val="2"/>
        </w:rPr>
        <w:t>–</w:t>
      </w:r>
      <w:r>
        <w:rPr>
          <w:spacing w:val="40"/>
          <w:position w:val="2"/>
        </w:rPr>
        <w:t> </w:t>
      </w:r>
      <w:r>
        <w:rPr>
          <w:position w:val="2"/>
        </w:rPr>
        <w:t>с</w:t>
      </w:r>
      <w:r>
        <w:rPr>
          <w:spacing w:val="40"/>
          <w:position w:val="2"/>
        </w:rPr>
        <w:t> </w:t>
      </w:r>
      <w:r>
        <w:rPr>
          <w:position w:val="2"/>
        </w:rPr>
        <w:t>индексом</w:t>
      </w:r>
      <w:r>
        <w:rPr>
          <w:spacing w:val="40"/>
          <w:position w:val="2"/>
        </w:rPr>
        <w:t> </w:t>
      </w:r>
      <w:r>
        <w:rPr>
          <w:position w:val="2"/>
        </w:rPr>
        <w:t>PaO</w:t>
      </w:r>
      <w:r>
        <w:rPr>
          <w:sz w:val="16"/>
        </w:rPr>
        <w:t>2</w:t>
      </w:r>
      <w:r>
        <w:rPr>
          <w:position w:val="2"/>
        </w:rPr>
        <w:t>/FiO</w:t>
      </w:r>
      <w:r>
        <w:rPr>
          <w:sz w:val="16"/>
        </w:rPr>
        <w:t>2</w:t>
      </w:r>
      <w:r>
        <w:rPr>
          <w:spacing w:val="80"/>
          <w:sz w:val="16"/>
        </w:rPr>
        <w:t> </w:t>
      </w:r>
      <w:r>
        <w:rPr>
          <w:position w:val="2"/>
        </w:rPr>
        <w:t>менее</w:t>
      </w:r>
      <w:r>
        <w:rPr>
          <w:spacing w:val="40"/>
          <w:position w:val="2"/>
        </w:rPr>
        <w:t> </w:t>
      </w:r>
      <w:r>
        <w:rPr>
          <w:position w:val="2"/>
        </w:rPr>
        <w:t>150</w:t>
      </w:r>
      <w:r>
        <w:rPr>
          <w:spacing w:val="40"/>
          <w:position w:val="2"/>
        </w:rPr>
        <w:t> </w:t>
      </w:r>
      <w:r>
        <w:rPr>
          <w:position w:val="2"/>
        </w:rPr>
        <w:t>мм</w:t>
      </w:r>
      <w:r>
        <w:rPr>
          <w:spacing w:val="40"/>
          <w:position w:val="2"/>
        </w:rPr>
        <w:t> </w:t>
      </w:r>
      <w:r>
        <w:rPr>
          <w:position w:val="2"/>
        </w:rPr>
        <w:t>рт.ст.</w:t>
      </w:r>
      <w:r>
        <w:rPr>
          <w:spacing w:val="40"/>
          <w:position w:val="2"/>
        </w:rPr>
        <w:t> </w:t>
      </w:r>
      <w:r>
        <w:rPr>
          <w:position w:val="2"/>
        </w:rPr>
        <w:t>(сатурация</w:t>
      </w:r>
      <w:r>
        <w:rPr>
          <w:spacing w:val="40"/>
          <w:position w:val="2"/>
        </w:rPr>
        <w:t> </w:t>
      </w:r>
      <w:r>
        <w:rPr/>
        <w:t>на</w:t>
      </w:r>
      <w:r>
        <w:rPr>
          <w:spacing w:val="-4"/>
        </w:rPr>
        <w:t> </w:t>
      </w:r>
      <w:r>
        <w:rPr/>
        <w:t>воздухе без кислорода ниже 75%) (шаг 2). Одним из важных физиологических свойств высокого потока для пациентов с COVID-19 является эффект промывания анатомического мертвого пространства, что приводит к улучшению элиминации углекислого газа и уменьшению работы дыхания пациента.</w:t>
      </w:r>
    </w:p>
    <w:p>
      <w:pPr>
        <w:pStyle w:val="BodyText"/>
        <w:spacing w:line="276" w:lineRule="auto"/>
        <w:ind w:right="1268" w:firstLine="707"/>
      </w:pPr>
      <w:r>
        <w:rPr/>
        <w:t>С целью точного дозирования и экономии кислородно-воздушной смеси пациентам на самостоятельном дыхании необходимо использовать назально- оральные</w:t>
      </w:r>
      <w:r>
        <w:rPr>
          <w:spacing w:val="-2"/>
        </w:rPr>
        <w:t> </w:t>
      </w:r>
      <w:r>
        <w:rPr/>
        <w:t>маски с</w:t>
      </w:r>
      <w:r>
        <w:rPr>
          <w:spacing w:val="-2"/>
        </w:rPr>
        <w:t> </w:t>
      </w:r>
      <w:r>
        <w:rPr/>
        <w:t>накопительным</w:t>
      </w:r>
      <w:r>
        <w:rPr>
          <w:spacing w:val="-1"/>
        </w:rPr>
        <w:t> </w:t>
      </w:r>
      <w:r>
        <w:rPr/>
        <w:t>мешком</w:t>
      </w:r>
      <w:r>
        <w:rPr>
          <w:spacing w:val="-1"/>
        </w:rPr>
        <w:t> </w:t>
      </w:r>
      <w:r>
        <w:rPr/>
        <w:t>и</w:t>
      </w:r>
      <w:r>
        <w:rPr>
          <w:spacing w:val="-2"/>
        </w:rPr>
        <w:t> </w:t>
      </w:r>
      <w:r>
        <w:rPr/>
        <w:t>клапаном</w:t>
      </w:r>
      <w:r>
        <w:rPr>
          <w:spacing w:val="-1"/>
        </w:rPr>
        <w:t> </w:t>
      </w:r>
      <w:r>
        <w:rPr/>
        <w:t>переключения</w:t>
      </w:r>
      <w:r>
        <w:rPr>
          <w:spacing w:val="-1"/>
        </w:rPr>
        <w:t> </w:t>
      </w:r>
      <w:r>
        <w:rPr/>
        <w:t>(клапан Рубена или его модификации представлены в большом разнообразии).</w:t>
      </w:r>
    </w:p>
    <w:p>
      <w:pPr>
        <w:pStyle w:val="Heading3"/>
        <w:spacing w:before="102"/>
      </w:pPr>
      <w:r>
        <w:rPr>
          <w:color w:val="1F487C"/>
          <w:spacing w:val="-2"/>
        </w:rPr>
        <w:t>СРАР-терапия</w:t>
      </w:r>
      <w:r>
        <w:rPr>
          <w:color w:val="1F487C"/>
          <w:spacing w:val="1"/>
        </w:rPr>
        <w:t> </w:t>
      </w:r>
      <w:r>
        <w:rPr>
          <w:color w:val="1F487C"/>
          <w:spacing w:val="-2"/>
        </w:rPr>
        <w:t>и</w:t>
      </w:r>
      <w:r>
        <w:rPr>
          <w:color w:val="1F487C"/>
          <w:spacing w:val="1"/>
        </w:rPr>
        <w:t> </w:t>
      </w:r>
      <w:r>
        <w:rPr>
          <w:color w:val="1F487C"/>
          <w:spacing w:val="-2"/>
        </w:rPr>
        <w:t>неинвазивная</w:t>
      </w:r>
      <w:r>
        <w:rPr>
          <w:color w:val="1F487C"/>
          <w:spacing w:val="2"/>
        </w:rPr>
        <w:t> </w:t>
      </w:r>
      <w:r>
        <w:rPr>
          <w:color w:val="1F487C"/>
          <w:spacing w:val="-5"/>
        </w:rPr>
        <w:t>ИВЛ</w:t>
      </w:r>
    </w:p>
    <w:p>
      <w:pPr>
        <w:pStyle w:val="BodyText"/>
        <w:spacing w:line="276" w:lineRule="auto" w:before="163"/>
        <w:ind w:right="1272" w:firstLine="707"/>
      </w:pPr>
      <w:r>
        <w:rPr/>
        <w:t>Ввиду невысокой рекрутабельности альвеол и отсутствия выраженной внелегочной</w:t>
      </w:r>
      <w:r>
        <w:rPr>
          <w:spacing w:val="80"/>
          <w:w w:val="150"/>
        </w:rPr>
        <w:t> </w:t>
      </w:r>
      <w:r>
        <w:rPr/>
        <w:t>патологии</w:t>
      </w:r>
      <w:r>
        <w:rPr>
          <w:spacing w:val="80"/>
          <w:w w:val="150"/>
        </w:rPr>
        <w:t> </w:t>
      </w:r>
      <w:r>
        <w:rPr/>
        <w:t>у</w:t>
      </w:r>
      <w:r>
        <w:rPr>
          <w:spacing w:val="80"/>
          <w:w w:val="150"/>
        </w:rPr>
        <w:t> </w:t>
      </w:r>
      <w:r>
        <w:rPr/>
        <w:t>большинства</w:t>
      </w:r>
      <w:r>
        <w:rPr>
          <w:spacing w:val="80"/>
          <w:w w:val="150"/>
        </w:rPr>
        <w:t> </w:t>
      </w:r>
      <w:r>
        <w:rPr/>
        <w:t>пациентов</w:t>
      </w:r>
      <w:r>
        <w:rPr>
          <w:spacing w:val="80"/>
          <w:w w:val="150"/>
        </w:rPr>
        <w:t> </w:t>
      </w:r>
      <w:r>
        <w:rPr/>
        <w:t>с</w:t>
      </w:r>
      <w:r>
        <w:rPr>
          <w:spacing w:val="80"/>
          <w:w w:val="150"/>
        </w:rPr>
        <w:t> </w:t>
      </w:r>
      <w:r>
        <w:rPr/>
        <w:t>COVID-19</w:t>
      </w:r>
      <w:r>
        <w:rPr>
          <w:spacing w:val="80"/>
          <w:w w:val="150"/>
        </w:rPr>
        <w:t> </w:t>
      </w:r>
      <w:r>
        <w:rPr/>
        <w:t>СРАР-терапия и неинвазивная ИВЛ становится одним из основных методов респираторной </w:t>
      </w:r>
      <w:r>
        <w:rPr>
          <w:spacing w:val="-2"/>
        </w:rPr>
        <w:t>поддержки, вытесняя инвазивную ИВЛ. Мета-анализы обсервационных исследований </w:t>
      </w:r>
      <w:r>
        <w:rPr/>
        <w:t>показали</w:t>
      </w:r>
      <w:r>
        <w:rPr>
          <w:spacing w:val="-8"/>
        </w:rPr>
        <w:t> </w:t>
      </w:r>
      <w:r>
        <w:rPr/>
        <w:t>высокую</w:t>
      </w:r>
      <w:r>
        <w:rPr>
          <w:spacing w:val="-9"/>
        </w:rPr>
        <w:t> </w:t>
      </w:r>
      <w:r>
        <w:rPr/>
        <w:t>эффективность</w:t>
      </w:r>
      <w:r>
        <w:rPr>
          <w:spacing w:val="-8"/>
        </w:rPr>
        <w:t> </w:t>
      </w:r>
      <w:r>
        <w:rPr/>
        <w:t>применения</w:t>
      </w:r>
      <w:r>
        <w:rPr>
          <w:spacing w:val="-11"/>
        </w:rPr>
        <w:t> </w:t>
      </w:r>
      <w:r>
        <w:rPr/>
        <w:t>СРАР-терапии</w:t>
      </w:r>
      <w:r>
        <w:rPr>
          <w:spacing w:val="-8"/>
        </w:rPr>
        <w:t> </w:t>
      </w:r>
      <w:r>
        <w:rPr/>
        <w:t>и</w:t>
      </w:r>
      <w:r>
        <w:rPr>
          <w:spacing w:val="-9"/>
        </w:rPr>
        <w:t> </w:t>
      </w:r>
      <w:r>
        <w:rPr/>
        <w:t>НИВЛ</w:t>
      </w:r>
      <w:r>
        <w:rPr>
          <w:spacing w:val="-10"/>
        </w:rPr>
        <w:t> </w:t>
      </w:r>
      <w:r>
        <w:rPr/>
        <w:t>вне</w:t>
      </w:r>
      <w:r>
        <w:rPr>
          <w:spacing w:val="-11"/>
        </w:rPr>
        <w:t> </w:t>
      </w:r>
      <w:r>
        <w:rPr/>
        <w:t>ОРИТ</w:t>
      </w:r>
      <w:r>
        <w:rPr>
          <w:spacing w:val="-8"/>
        </w:rPr>
        <w:t> </w:t>
      </w:r>
      <w:r>
        <w:rPr/>
        <w:t>при индексе PaO2/FiO2&gt;150 мм рт.ст. и моноорганной лёгочной дисфункции, достигающую ~60-80% в зависимости от тяжести состояния. В этих исследованиях</w:t>
      </w:r>
      <w:r>
        <w:rPr>
          <w:spacing w:val="80"/>
          <w:w w:val="150"/>
        </w:rPr>
        <w:t> </w:t>
      </w:r>
      <w:r>
        <w:rPr/>
        <w:t>в большинстве случаев применяли СРАР-терапию с помощью генераторов Вентури через шлем или (реже) маску, а также СРАР-машин для домашнего СРАР.</w:t>
      </w:r>
    </w:p>
    <w:p>
      <w:pPr>
        <w:pStyle w:val="BodyText"/>
        <w:spacing w:line="276" w:lineRule="auto" w:before="117"/>
        <w:ind w:right="1271" w:firstLine="707"/>
      </w:pPr>
      <w:r>
        <w:rPr/>
        <w:t>СРАР-терапия и неинвазивная ИВЛ может быть показана сразу (см выше стратификацию</w:t>
      </w:r>
      <w:r>
        <w:rPr>
          <w:spacing w:val="-15"/>
        </w:rPr>
        <w:t> </w:t>
      </w:r>
      <w:r>
        <w:rPr/>
        <w:t>респираторной</w:t>
      </w:r>
      <w:r>
        <w:rPr>
          <w:spacing w:val="-15"/>
        </w:rPr>
        <w:t> </w:t>
      </w:r>
      <w:r>
        <w:rPr/>
        <w:t>поддержки)</w:t>
      </w:r>
      <w:r>
        <w:rPr>
          <w:spacing w:val="-15"/>
        </w:rPr>
        <w:t> </w:t>
      </w:r>
      <w:r>
        <w:rPr/>
        <w:t>или</w:t>
      </w:r>
      <w:r>
        <w:rPr>
          <w:spacing w:val="-15"/>
        </w:rPr>
        <w:t> </w:t>
      </w:r>
      <w:r>
        <w:rPr/>
        <w:t>при</w:t>
      </w:r>
      <w:r>
        <w:rPr>
          <w:spacing w:val="-15"/>
        </w:rPr>
        <w:t> </w:t>
      </w:r>
      <w:r>
        <w:rPr/>
        <w:t>неэффективности</w:t>
      </w:r>
      <w:r>
        <w:rPr>
          <w:spacing w:val="-15"/>
        </w:rPr>
        <w:t> </w:t>
      </w:r>
      <w:r>
        <w:rPr/>
        <w:t>низкопоточной и высокопоточной оксигенотерапии (если ее применяли) (шаг 2).</w:t>
      </w:r>
    </w:p>
    <w:p>
      <w:pPr>
        <w:pStyle w:val="BodyText"/>
        <w:spacing w:line="276" w:lineRule="auto" w:before="120"/>
        <w:ind w:right="1272" w:firstLine="707"/>
      </w:pPr>
      <w:r>
        <w:rPr/>
        <w:t>Применение СРАР-терапии и НИВЛ рекомендовано только при следующих </w:t>
      </w:r>
      <w:r>
        <w:rPr>
          <w:spacing w:val="-2"/>
        </w:rPr>
        <w:t>условиях:</w:t>
      </w:r>
    </w:p>
    <w:p>
      <w:pPr>
        <w:pStyle w:val="ListParagraph"/>
        <w:numPr>
          <w:ilvl w:val="0"/>
          <w:numId w:val="35"/>
        </w:numPr>
        <w:tabs>
          <w:tab w:pos="2548" w:val="left" w:leader="none"/>
        </w:tabs>
        <w:spacing w:line="240" w:lineRule="auto" w:before="15" w:after="0"/>
        <w:ind w:left="2548" w:right="0" w:hanging="282"/>
        <w:jc w:val="left"/>
        <w:rPr>
          <w:sz w:val="24"/>
        </w:rPr>
      </w:pPr>
      <w:r>
        <w:rPr>
          <w:spacing w:val="-2"/>
          <w:sz w:val="24"/>
        </w:rPr>
        <w:t>Сохранность</w:t>
      </w:r>
      <w:r>
        <w:rPr>
          <w:spacing w:val="6"/>
          <w:sz w:val="24"/>
        </w:rPr>
        <w:t> </w:t>
      </w:r>
      <w:r>
        <w:rPr>
          <w:spacing w:val="-2"/>
          <w:sz w:val="24"/>
        </w:rPr>
        <w:t>сознания,</w:t>
      </w:r>
      <w:r>
        <w:rPr>
          <w:spacing w:val="2"/>
          <w:sz w:val="24"/>
        </w:rPr>
        <w:t> </w:t>
      </w:r>
      <w:r>
        <w:rPr>
          <w:spacing w:val="-2"/>
          <w:sz w:val="24"/>
        </w:rPr>
        <w:t>стабильная</w:t>
      </w:r>
      <w:r>
        <w:rPr>
          <w:spacing w:val="5"/>
          <w:sz w:val="24"/>
        </w:rPr>
        <w:t> </w:t>
      </w:r>
      <w:r>
        <w:rPr>
          <w:spacing w:val="-2"/>
          <w:sz w:val="24"/>
        </w:rPr>
        <w:t>гемодинамика;</w:t>
      </w:r>
    </w:p>
    <w:p>
      <w:pPr>
        <w:pStyle w:val="ListParagraph"/>
        <w:numPr>
          <w:ilvl w:val="0"/>
          <w:numId w:val="35"/>
        </w:numPr>
        <w:tabs>
          <w:tab w:pos="2548" w:val="left" w:leader="none"/>
        </w:tabs>
        <w:spacing w:line="240" w:lineRule="auto" w:before="53" w:after="0"/>
        <w:ind w:left="2548" w:right="0" w:hanging="282"/>
        <w:jc w:val="left"/>
        <w:rPr>
          <w:sz w:val="24"/>
        </w:rPr>
      </w:pPr>
      <w:r>
        <w:rPr>
          <w:sz w:val="24"/>
        </w:rPr>
        <w:t>Возможность</w:t>
      </w:r>
      <w:r>
        <w:rPr>
          <w:spacing w:val="-12"/>
          <w:sz w:val="24"/>
        </w:rPr>
        <w:t> </w:t>
      </w:r>
      <w:r>
        <w:rPr>
          <w:sz w:val="24"/>
        </w:rPr>
        <w:t>сотрудничать</w:t>
      </w:r>
      <w:r>
        <w:rPr>
          <w:spacing w:val="-13"/>
          <w:sz w:val="24"/>
        </w:rPr>
        <w:t> </w:t>
      </w:r>
      <w:r>
        <w:rPr>
          <w:sz w:val="24"/>
        </w:rPr>
        <w:t>с</w:t>
      </w:r>
      <w:r>
        <w:rPr>
          <w:spacing w:val="-14"/>
          <w:sz w:val="24"/>
        </w:rPr>
        <w:t> </w:t>
      </w:r>
      <w:r>
        <w:rPr>
          <w:spacing w:val="-2"/>
          <w:sz w:val="24"/>
        </w:rPr>
        <w:t>персоналом;</w:t>
      </w:r>
    </w:p>
    <w:p>
      <w:pPr>
        <w:pStyle w:val="ListParagraph"/>
        <w:numPr>
          <w:ilvl w:val="0"/>
          <w:numId w:val="35"/>
        </w:numPr>
        <w:tabs>
          <w:tab w:pos="2548" w:val="left" w:leader="none"/>
        </w:tabs>
        <w:spacing w:line="240" w:lineRule="auto" w:before="54" w:after="0"/>
        <w:ind w:left="2548" w:right="0" w:hanging="282"/>
        <w:jc w:val="left"/>
        <w:rPr>
          <w:sz w:val="24"/>
        </w:rPr>
      </w:pPr>
      <w:r>
        <w:rPr>
          <w:spacing w:val="-2"/>
          <w:sz w:val="24"/>
        </w:rPr>
        <w:t>Отсутствие</w:t>
      </w:r>
      <w:r>
        <w:rPr>
          <w:spacing w:val="1"/>
          <w:sz w:val="24"/>
        </w:rPr>
        <w:t> </w:t>
      </w:r>
      <w:r>
        <w:rPr>
          <w:spacing w:val="-2"/>
          <w:sz w:val="24"/>
        </w:rPr>
        <w:t>клаустрофобии</w:t>
      </w:r>
      <w:r>
        <w:rPr>
          <w:spacing w:val="4"/>
          <w:sz w:val="24"/>
        </w:rPr>
        <w:t> </w:t>
      </w:r>
      <w:r>
        <w:rPr>
          <w:spacing w:val="-2"/>
          <w:sz w:val="24"/>
        </w:rPr>
        <w:t>(при</w:t>
      </w:r>
      <w:r>
        <w:rPr>
          <w:spacing w:val="3"/>
          <w:sz w:val="24"/>
        </w:rPr>
        <w:t> </w:t>
      </w:r>
      <w:r>
        <w:rPr>
          <w:spacing w:val="-2"/>
          <w:sz w:val="24"/>
        </w:rPr>
        <w:t>применении</w:t>
      </w:r>
      <w:r>
        <w:rPr>
          <w:spacing w:val="5"/>
          <w:sz w:val="24"/>
        </w:rPr>
        <w:t> </w:t>
      </w:r>
      <w:r>
        <w:rPr>
          <w:spacing w:val="-2"/>
          <w:sz w:val="24"/>
        </w:rPr>
        <w:t>шлемов);</w:t>
      </w:r>
    </w:p>
    <w:p>
      <w:pPr>
        <w:pStyle w:val="ListParagraph"/>
        <w:numPr>
          <w:ilvl w:val="0"/>
          <w:numId w:val="35"/>
        </w:numPr>
        <w:tabs>
          <w:tab w:pos="2548" w:val="left" w:leader="none"/>
        </w:tabs>
        <w:spacing w:line="240" w:lineRule="auto" w:before="56" w:after="0"/>
        <w:ind w:left="2548" w:right="0" w:hanging="282"/>
        <w:jc w:val="left"/>
        <w:rPr>
          <w:sz w:val="24"/>
        </w:rPr>
      </w:pPr>
      <w:r>
        <w:rPr>
          <w:sz w:val="24"/>
        </w:rPr>
        <w:t>Сохранность</w:t>
      </w:r>
      <w:r>
        <w:rPr>
          <w:spacing w:val="-6"/>
          <w:sz w:val="24"/>
        </w:rPr>
        <w:t> </w:t>
      </w:r>
      <w:r>
        <w:rPr>
          <w:sz w:val="24"/>
        </w:rPr>
        <w:t>механизма</w:t>
      </w:r>
      <w:r>
        <w:rPr>
          <w:spacing w:val="-6"/>
          <w:sz w:val="24"/>
        </w:rPr>
        <w:t> </w:t>
      </w:r>
      <w:r>
        <w:rPr>
          <w:sz w:val="24"/>
        </w:rPr>
        <w:t>откашливания</w:t>
      </w:r>
      <w:r>
        <w:rPr>
          <w:spacing w:val="-5"/>
          <w:sz w:val="24"/>
        </w:rPr>
        <w:t> </w:t>
      </w:r>
      <w:r>
        <w:rPr>
          <w:spacing w:val="-2"/>
          <w:sz w:val="24"/>
        </w:rPr>
        <w:t>мокроты.</w:t>
      </w:r>
    </w:p>
    <w:p>
      <w:pPr>
        <w:pStyle w:val="ListParagraph"/>
        <w:spacing w:after="0" w:line="240" w:lineRule="auto"/>
        <w:jc w:val="left"/>
        <w:rPr>
          <w:sz w:val="24"/>
        </w:rPr>
        <w:sectPr>
          <w:pgSz w:w="11900" w:h="16840"/>
          <w:pgMar w:header="0" w:footer="697" w:top="1080" w:bottom="880" w:left="0" w:right="0"/>
        </w:sectPr>
      </w:pPr>
    </w:p>
    <w:p>
      <w:pPr>
        <w:pStyle w:val="BodyText"/>
        <w:spacing w:before="73"/>
        <w:ind w:left="2549"/>
        <w:jc w:val="left"/>
      </w:pPr>
      <w:bookmarkStart w:name="77" w:id="93"/>
      <w:bookmarkEnd w:id="93"/>
      <w:r>
        <w:rPr/>
      </w:r>
      <w:r>
        <w:rPr/>
        <w:t>СРАР-терапия</w:t>
      </w:r>
      <w:r>
        <w:rPr>
          <w:spacing w:val="-13"/>
        </w:rPr>
        <w:t> </w:t>
      </w:r>
      <w:r>
        <w:rPr/>
        <w:t>и</w:t>
      </w:r>
      <w:r>
        <w:rPr>
          <w:spacing w:val="-9"/>
        </w:rPr>
        <w:t> </w:t>
      </w:r>
      <w:r>
        <w:rPr/>
        <w:t>НИВЛ</w:t>
      </w:r>
      <w:r>
        <w:rPr>
          <w:spacing w:val="-13"/>
        </w:rPr>
        <w:t> </w:t>
      </w:r>
      <w:r>
        <w:rPr/>
        <w:t>не</w:t>
      </w:r>
      <w:r>
        <w:rPr>
          <w:spacing w:val="-12"/>
        </w:rPr>
        <w:t> </w:t>
      </w:r>
      <w:r>
        <w:rPr/>
        <w:t>рекомендуется</w:t>
      </w:r>
      <w:r>
        <w:rPr>
          <w:spacing w:val="-11"/>
        </w:rPr>
        <w:t> </w:t>
      </w:r>
      <w:r>
        <w:rPr>
          <w:spacing w:val="-4"/>
        </w:rPr>
        <w:t>при:</w:t>
      </w:r>
    </w:p>
    <w:p>
      <w:pPr>
        <w:pStyle w:val="ListParagraph"/>
        <w:numPr>
          <w:ilvl w:val="0"/>
          <w:numId w:val="35"/>
        </w:numPr>
        <w:tabs>
          <w:tab w:pos="2548" w:val="left" w:leader="none"/>
        </w:tabs>
        <w:spacing w:line="240" w:lineRule="auto" w:before="57" w:after="0"/>
        <w:ind w:left="2548" w:right="0" w:hanging="280"/>
        <w:jc w:val="left"/>
        <w:rPr>
          <w:sz w:val="24"/>
        </w:rPr>
      </w:pPr>
      <w:r>
        <w:rPr>
          <w:spacing w:val="-2"/>
          <w:sz w:val="24"/>
        </w:rPr>
        <w:t>Отсутствии</w:t>
      </w:r>
      <w:r>
        <w:rPr>
          <w:spacing w:val="7"/>
          <w:sz w:val="24"/>
        </w:rPr>
        <w:t> </w:t>
      </w:r>
      <w:r>
        <w:rPr>
          <w:spacing w:val="-2"/>
          <w:sz w:val="24"/>
        </w:rPr>
        <w:t>самостоятельного</w:t>
      </w:r>
      <w:r>
        <w:rPr>
          <w:spacing w:val="6"/>
          <w:sz w:val="24"/>
        </w:rPr>
        <w:t> </w:t>
      </w:r>
      <w:r>
        <w:rPr>
          <w:spacing w:val="-2"/>
          <w:sz w:val="24"/>
        </w:rPr>
        <w:t>дыхания</w:t>
      </w:r>
      <w:r>
        <w:rPr>
          <w:spacing w:val="5"/>
          <w:sz w:val="24"/>
        </w:rPr>
        <w:t> </w:t>
      </w:r>
      <w:r>
        <w:rPr>
          <w:spacing w:val="-2"/>
          <w:sz w:val="24"/>
        </w:rPr>
        <w:t>(апноэ);</w:t>
      </w:r>
    </w:p>
    <w:p>
      <w:pPr>
        <w:pStyle w:val="ListParagraph"/>
        <w:numPr>
          <w:ilvl w:val="0"/>
          <w:numId w:val="35"/>
        </w:numPr>
        <w:tabs>
          <w:tab w:pos="2549" w:val="left" w:leader="none"/>
        </w:tabs>
        <w:spacing w:line="273" w:lineRule="auto" w:before="39" w:after="0"/>
        <w:ind w:left="2549" w:right="1588" w:hanging="281"/>
        <w:jc w:val="left"/>
        <w:rPr>
          <w:sz w:val="24"/>
        </w:rPr>
      </w:pPr>
      <w:r>
        <w:rPr>
          <w:sz w:val="24"/>
        </w:rPr>
        <w:t>Нестабильной гемодинамике (гипотензия, ишемия или инфаркт миокарда, жизнеугрожающая</w:t>
      </w:r>
      <w:r>
        <w:rPr>
          <w:spacing w:val="-9"/>
          <w:sz w:val="24"/>
        </w:rPr>
        <w:t> </w:t>
      </w:r>
      <w:r>
        <w:rPr>
          <w:sz w:val="24"/>
        </w:rPr>
        <w:t>аритмия,</w:t>
      </w:r>
      <w:r>
        <w:rPr>
          <w:spacing w:val="-10"/>
          <w:sz w:val="24"/>
        </w:rPr>
        <w:t> </w:t>
      </w:r>
      <w:r>
        <w:rPr>
          <w:sz w:val="24"/>
        </w:rPr>
        <w:t>неконтролируемая</w:t>
      </w:r>
      <w:r>
        <w:rPr>
          <w:spacing w:val="-15"/>
          <w:sz w:val="24"/>
        </w:rPr>
        <w:t> </w:t>
      </w:r>
      <w:r>
        <w:rPr>
          <w:sz w:val="24"/>
        </w:rPr>
        <w:t>артериальная</w:t>
      </w:r>
      <w:r>
        <w:rPr>
          <w:spacing w:val="-9"/>
          <w:sz w:val="24"/>
        </w:rPr>
        <w:t> </w:t>
      </w:r>
      <w:r>
        <w:rPr>
          <w:sz w:val="24"/>
        </w:rPr>
        <w:t>гипертензия);</w:t>
      </w:r>
    </w:p>
    <w:p>
      <w:pPr>
        <w:pStyle w:val="ListParagraph"/>
        <w:numPr>
          <w:ilvl w:val="0"/>
          <w:numId w:val="35"/>
        </w:numPr>
        <w:tabs>
          <w:tab w:pos="2549" w:val="left" w:leader="none"/>
        </w:tabs>
        <w:spacing w:line="273" w:lineRule="auto" w:before="3" w:after="0"/>
        <w:ind w:left="2549" w:right="3335" w:hanging="281"/>
        <w:jc w:val="left"/>
        <w:rPr>
          <w:sz w:val="24"/>
        </w:rPr>
      </w:pPr>
      <w:r>
        <w:rPr>
          <w:sz w:val="24"/>
        </w:rPr>
        <w:t>Невозможности обеспечить защиту дыхательных путей (нарушение</w:t>
      </w:r>
      <w:r>
        <w:rPr>
          <w:spacing w:val="-7"/>
          <w:sz w:val="24"/>
        </w:rPr>
        <w:t> </w:t>
      </w:r>
      <w:r>
        <w:rPr>
          <w:sz w:val="24"/>
        </w:rPr>
        <w:t>кашля</w:t>
      </w:r>
      <w:r>
        <w:rPr>
          <w:spacing w:val="-6"/>
          <w:sz w:val="24"/>
        </w:rPr>
        <w:t> </w:t>
      </w:r>
      <w:r>
        <w:rPr>
          <w:sz w:val="24"/>
        </w:rPr>
        <w:t>и</w:t>
      </w:r>
      <w:r>
        <w:rPr>
          <w:spacing w:val="-5"/>
          <w:sz w:val="24"/>
        </w:rPr>
        <w:t> </w:t>
      </w:r>
      <w:r>
        <w:rPr>
          <w:sz w:val="24"/>
        </w:rPr>
        <w:t>глотания)</w:t>
      </w:r>
      <w:r>
        <w:rPr>
          <w:spacing w:val="-6"/>
          <w:sz w:val="24"/>
        </w:rPr>
        <w:t> </w:t>
      </w:r>
      <w:r>
        <w:rPr>
          <w:sz w:val="24"/>
        </w:rPr>
        <w:t>и</w:t>
      </w:r>
      <w:r>
        <w:rPr>
          <w:spacing w:val="-5"/>
          <w:sz w:val="24"/>
        </w:rPr>
        <w:t> </w:t>
      </w:r>
      <w:r>
        <w:rPr>
          <w:sz w:val="24"/>
        </w:rPr>
        <w:t>высокий</w:t>
      </w:r>
      <w:r>
        <w:rPr>
          <w:spacing w:val="-5"/>
          <w:sz w:val="24"/>
        </w:rPr>
        <w:t> </w:t>
      </w:r>
      <w:r>
        <w:rPr>
          <w:sz w:val="24"/>
        </w:rPr>
        <w:t>риск</w:t>
      </w:r>
      <w:r>
        <w:rPr>
          <w:spacing w:val="-8"/>
          <w:sz w:val="24"/>
        </w:rPr>
        <w:t> </w:t>
      </w:r>
      <w:r>
        <w:rPr>
          <w:sz w:val="24"/>
        </w:rPr>
        <w:t>аспирации;</w:t>
      </w:r>
    </w:p>
    <w:p>
      <w:pPr>
        <w:pStyle w:val="ListParagraph"/>
        <w:numPr>
          <w:ilvl w:val="0"/>
          <w:numId w:val="35"/>
        </w:numPr>
        <w:tabs>
          <w:tab w:pos="2548" w:val="left" w:leader="none"/>
        </w:tabs>
        <w:spacing w:line="240" w:lineRule="auto" w:before="2" w:after="0"/>
        <w:ind w:left="2548" w:right="0" w:hanging="280"/>
        <w:jc w:val="left"/>
        <w:rPr>
          <w:sz w:val="24"/>
        </w:rPr>
      </w:pPr>
      <w:r>
        <w:rPr>
          <w:spacing w:val="-2"/>
          <w:sz w:val="24"/>
        </w:rPr>
        <w:t>Избыточной</w:t>
      </w:r>
      <w:r>
        <w:rPr>
          <w:spacing w:val="2"/>
          <w:sz w:val="24"/>
        </w:rPr>
        <w:t> </w:t>
      </w:r>
      <w:r>
        <w:rPr>
          <w:spacing w:val="-2"/>
          <w:sz w:val="24"/>
        </w:rPr>
        <w:t>бронхиальной</w:t>
      </w:r>
      <w:r>
        <w:rPr>
          <w:spacing w:val="2"/>
          <w:sz w:val="24"/>
        </w:rPr>
        <w:t> </w:t>
      </w:r>
      <w:r>
        <w:rPr>
          <w:spacing w:val="-2"/>
          <w:sz w:val="24"/>
        </w:rPr>
        <w:t>секреции;</w:t>
      </w:r>
    </w:p>
    <w:p>
      <w:pPr>
        <w:pStyle w:val="ListParagraph"/>
        <w:numPr>
          <w:ilvl w:val="0"/>
          <w:numId w:val="35"/>
        </w:numPr>
        <w:tabs>
          <w:tab w:pos="2549" w:val="left" w:leader="none"/>
        </w:tabs>
        <w:spacing w:line="273" w:lineRule="auto" w:before="39" w:after="0"/>
        <w:ind w:left="2549" w:right="1966" w:hanging="281"/>
        <w:jc w:val="left"/>
        <w:rPr>
          <w:sz w:val="24"/>
        </w:rPr>
      </w:pPr>
      <w:r>
        <w:rPr>
          <w:sz w:val="24"/>
        </w:rPr>
        <w:t>Признаках</w:t>
      </w:r>
      <w:r>
        <w:rPr>
          <w:spacing w:val="-6"/>
          <w:sz w:val="24"/>
        </w:rPr>
        <w:t> </w:t>
      </w:r>
      <w:r>
        <w:rPr>
          <w:sz w:val="24"/>
        </w:rPr>
        <w:t>нарушения</w:t>
      </w:r>
      <w:r>
        <w:rPr>
          <w:spacing w:val="-7"/>
          <w:sz w:val="24"/>
        </w:rPr>
        <w:t> </w:t>
      </w:r>
      <w:r>
        <w:rPr>
          <w:sz w:val="24"/>
        </w:rPr>
        <w:t>сознания</w:t>
      </w:r>
      <w:r>
        <w:rPr>
          <w:spacing w:val="-6"/>
          <w:sz w:val="24"/>
        </w:rPr>
        <w:t> </w:t>
      </w:r>
      <w:r>
        <w:rPr>
          <w:sz w:val="24"/>
        </w:rPr>
        <w:t>(возбуждение</w:t>
      </w:r>
      <w:r>
        <w:rPr>
          <w:spacing w:val="-10"/>
          <w:sz w:val="24"/>
        </w:rPr>
        <w:t> </w:t>
      </w:r>
      <w:r>
        <w:rPr>
          <w:sz w:val="24"/>
        </w:rPr>
        <w:t>или</w:t>
      </w:r>
      <w:r>
        <w:rPr>
          <w:spacing w:val="-6"/>
          <w:sz w:val="24"/>
        </w:rPr>
        <w:t> </w:t>
      </w:r>
      <w:r>
        <w:rPr>
          <w:sz w:val="24"/>
        </w:rPr>
        <w:t>угнетение</w:t>
      </w:r>
      <w:r>
        <w:rPr>
          <w:spacing w:val="-11"/>
          <w:sz w:val="24"/>
        </w:rPr>
        <w:t> </w:t>
      </w:r>
      <w:r>
        <w:rPr>
          <w:sz w:val="24"/>
        </w:rPr>
        <w:t>сознания), неспособности пациента к сотрудничеству;</w:t>
      </w:r>
    </w:p>
    <w:p>
      <w:pPr>
        <w:pStyle w:val="ListParagraph"/>
        <w:numPr>
          <w:ilvl w:val="0"/>
          <w:numId w:val="35"/>
        </w:numPr>
        <w:tabs>
          <w:tab w:pos="2549" w:val="left" w:leader="none"/>
        </w:tabs>
        <w:spacing w:line="271" w:lineRule="auto" w:before="3" w:after="0"/>
        <w:ind w:left="2549" w:right="4233" w:hanging="281"/>
        <w:jc w:val="left"/>
        <w:rPr>
          <w:sz w:val="24"/>
        </w:rPr>
      </w:pPr>
      <w:r>
        <w:rPr>
          <w:sz w:val="24"/>
        </w:rPr>
        <w:t>Травме</w:t>
      </w:r>
      <w:r>
        <w:rPr>
          <w:spacing w:val="-10"/>
          <w:sz w:val="24"/>
        </w:rPr>
        <w:t> </w:t>
      </w:r>
      <w:r>
        <w:rPr>
          <w:sz w:val="24"/>
        </w:rPr>
        <w:t>или</w:t>
      </w:r>
      <w:r>
        <w:rPr>
          <w:spacing w:val="-8"/>
          <w:sz w:val="24"/>
        </w:rPr>
        <w:t> </w:t>
      </w:r>
      <w:r>
        <w:rPr>
          <w:sz w:val="24"/>
        </w:rPr>
        <w:t>ожоге</w:t>
      </w:r>
      <w:r>
        <w:rPr>
          <w:spacing w:val="-10"/>
          <w:sz w:val="24"/>
        </w:rPr>
        <w:t> </w:t>
      </w:r>
      <w:r>
        <w:rPr>
          <w:sz w:val="24"/>
        </w:rPr>
        <w:t>лица,</w:t>
      </w:r>
      <w:r>
        <w:rPr>
          <w:spacing w:val="-9"/>
          <w:sz w:val="24"/>
        </w:rPr>
        <w:t> </w:t>
      </w:r>
      <w:r>
        <w:rPr>
          <w:sz w:val="24"/>
        </w:rPr>
        <w:t>анатомических</w:t>
      </w:r>
      <w:r>
        <w:rPr>
          <w:spacing w:val="-8"/>
          <w:sz w:val="24"/>
        </w:rPr>
        <w:t> </w:t>
      </w:r>
      <w:r>
        <w:rPr>
          <w:sz w:val="24"/>
        </w:rPr>
        <w:t>дефектах, препятствующих установке маски;</w:t>
      </w:r>
    </w:p>
    <w:p>
      <w:pPr>
        <w:pStyle w:val="ListParagraph"/>
        <w:numPr>
          <w:ilvl w:val="0"/>
          <w:numId w:val="35"/>
        </w:numPr>
        <w:tabs>
          <w:tab w:pos="2548" w:val="left" w:leader="none"/>
        </w:tabs>
        <w:spacing w:line="240" w:lineRule="auto" w:before="8" w:after="0"/>
        <w:ind w:left="2548" w:right="0" w:hanging="280"/>
        <w:jc w:val="left"/>
        <w:rPr>
          <w:sz w:val="24"/>
        </w:rPr>
      </w:pPr>
      <w:r>
        <w:rPr>
          <w:sz w:val="24"/>
        </w:rPr>
        <w:t>Неспособности</w:t>
      </w:r>
      <w:r>
        <w:rPr>
          <w:spacing w:val="-7"/>
          <w:sz w:val="24"/>
        </w:rPr>
        <w:t> </w:t>
      </w:r>
      <w:r>
        <w:rPr>
          <w:sz w:val="24"/>
        </w:rPr>
        <w:t>пациента</w:t>
      </w:r>
      <w:r>
        <w:rPr>
          <w:spacing w:val="-9"/>
          <w:sz w:val="24"/>
        </w:rPr>
        <w:t> </w:t>
      </w:r>
      <w:r>
        <w:rPr>
          <w:sz w:val="24"/>
        </w:rPr>
        <w:t>убрать</w:t>
      </w:r>
      <w:r>
        <w:rPr>
          <w:spacing w:val="-8"/>
          <w:sz w:val="24"/>
        </w:rPr>
        <w:t> </w:t>
      </w:r>
      <w:r>
        <w:rPr>
          <w:sz w:val="24"/>
        </w:rPr>
        <w:t>маску</w:t>
      </w:r>
      <w:r>
        <w:rPr>
          <w:spacing w:val="-8"/>
          <w:sz w:val="24"/>
        </w:rPr>
        <w:t> </w:t>
      </w:r>
      <w:r>
        <w:rPr>
          <w:sz w:val="24"/>
        </w:rPr>
        <w:t>с</w:t>
      </w:r>
      <w:r>
        <w:rPr>
          <w:spacing w:val="-10"/>
          <w:sz w:val="24"/>
        </w:rPr>
        <w:t> </w:t>
      </w:r>
      <w:r>
        <w:rPr>
          <w:sz w:val="24"/>
        </w:rPr>
        <w:t>лица</w:t>
      </w:r>
      <w:r>
        <w:rPr>
          <w:spacing w:val="-9"/>
          <w:sz w:val="24"/>
        </w:rPr>
        <w:t> </w:t>
      </w:r>
      <w:r>
        <w:rPr>
          <w:sz w:val="24"/>
        </w:rPr>
        <w:t>в</w:t>
      </w:r>
      <w:r>
        <w:rPr>
          <w:spacing w:val="-10"/>
          <w:sz w:val="24"/>
        </w:rPr>
        <w:t> </w:t>
      </w:r>
      <w:r>
        <w:rPr>
          <w:sz w:val="24"/>
        </w:rPr>
        <w:t>случае</w:t>
      </w:r>
      <w:r>
        <w:rPr>
          <w:spacing w:val="-9"/>
          <w:sz w:val="24"/>
        </w:rPr>
        <w:t> </w:t>
      </w:r>
      <w:r>
        <w:rPr>
          <w:spacing w:val="-2"/>
          <w:sz w:val="24"/>
        </w:rPr>
        <w:t>рвоты;</w:t>
      </w:r>
    </w:p>
    <w:p>
      <w:pPr>
        <w:pStyle w:val="ListParagraph"/>
        <w:numPr>
          <w:ilvl w:val="0"/>
          <w:numId w:val="35"/>
        </w:numPr>
        <w:tabs>
          <w:tab w:pos="2548" w:val="left" w:leader="none"/>
        </w:tabs>
        <w:spacing w:line="240" w:lineRule="auto" w:before="39" w:after="0"/>
        <w:ind w:left="2548" w:right="0" w:hanging="280"/>
        <w:jc w:val="left"/>
        <w:rPr>
          <w:sz w:val="24"/>
        </w:rPr>
      </w:pPr>
      <w:r>
        <w:rPr>
          <w:spacing w:val="-2"/>
          <w:sz w:val="24"/>
        </w:rPr>
        <w:t>Активном</w:t>
      </w:r>
      <w:r>
        <w:rPr>
          <w:spacing w:val="3"/>
          <w:sz w:val="24"/>
        </w:rPr>
        <w:t> </w:t>
      </w:r>
      <w:r>
        <w:rPr>
          <w:spacing w:val="-2"/>
          <w:sz w:val="24"/>
        </w:rPr>
        <w:t>кровотечении</w:t>
      </w:r>
      <w:r>
        <w:rPr>
          <w:spacing w:val="5"/>
          <w:sz w:val="24"/>
        </w:rPr>
        <w:t> </w:t>
      </w:r>
      <w:r>
        <w:rPr>
          <w:spacing w:val="-2"/>
          <w:sz w:val="24"/>
        </w:rPr>
        <w:t>из</w:t>
      </w:r>
      <w:r>
        <w:rPr>
          <w:spacing w:val="5"/>
          <w:sz w:val="24"/>
        </w:rPr>
        <w:t> </w:t>
      </w:r>
      <w:r>
        <w:rPr>
          <w:spacing w:val="-2"/>
          <w:sz w:val="24"/>
        </w:rPr>
        <w:t>желудочно-кишечного</w:t>
      </w:r>
      <w:r>
        <w:rPr>
          <w:spacing w:val="3"/>
          <w:sz w:val="24"/>
        </w:rPr>
        <w:t> </w:t>
      </w:r>
      <w:r>
        <w:rPr>
          <w:spacing w:val="-2"/>
          <w:sz w:val="24"/>
        </w:rPr>
        <w:t>тракта;</w:t>
      </w:r>
    </w:p>
    <w:p>
      <w:pPr>
        <w:pStyle w:val="ListParagraph"/>
        <w:numPr>
          <w:ilvl w:val="0"/>
          <w:numId w:val="35"/>
        </w:numPr>
        <w:tabs>
          <w:tab w:pos="2548" w:val="left" w:leader="none"/>
        </w:tabs>
        <w:spacing w:line="240" w:lineRule="auto" w:before="40" w:after="0"/>
        <w:ind w:left="2548" w:right="0" w:hanging="280"/>
        <w:jc w:val="left"/>
        <w:rPr>
          <w:sz w:val="24"/>
        </w:rPr>
      </w:pPr>
      <w:r>
        <w:rPr>
          <w:spacing w:val="-2"/>
          <w:sz w:val="24"/>
        </w:rPr>
        <w:t>Обструкции</w:t>
      </w:r>
      <w:r>
        <w:rPr>
          <w:spacing w:val="4"/>
          <w:sz w:val="24"/>
        </w:rPr>
        <w:t> </w:t>
      </w:r>
      <w:r>
        <w:rPr>
          <w:spacing w:val="-2"/>
          <w:sz w:val="24"/>
        </w:rPr>
        <w:t>верхних</w:t>
      </w:r>
      <w:r>
        <w:rPr>
          <w:spacing w:val="2"/>
          <w:sz w:val="24"/>
        </w:rPr>
        <w:t> </w:t>
      </w:r>
      <w:r>
        <w:rPr>
          <w:spacing w:val="-2"/>
          <w:sz w:val="24"/>
        </w:rPr>
        <w:t>дыхательных</w:t>
      </w:r>
      <w:r>
        <w:rPr>
          <w:spacing w:val="2"/>
          <w:sz w:val="24"/>
        </w:rPr>
        <w:t> </w:t>
      </w:r>
      <w:r>
        <w:rPr>
          <w:spacing w:val="-2"/>
          <w:sz w:val="24"/>
        </w:rPr>
        <w:t>путей;</w:t>
      </w:r>
    </w:p>
    <w:p>
      <w:pPr>
        <w:pStyle w:val="ListParagraph"/>
        <w:numPr>
          <w:ilvl w:val="0"/>
          <w:numId w:val="35"/>
        </w:numPr>
        <w:tabs>
          <w:tab w:pos="2548" w:val="left" w:leader="none"/>
        </w:tabs>
        <w:spacing w:line="240" w:lineRule="auto" w:before="41" w:after="0"/>
        <w:ind w:left="2548" w:right="0" w:hanging="280"/>
        <w:jc w:val="left"/>
        <w:rPr>
          <w:sz w:val="24"/>
        </w:rPr>
      </w:pPr>
      <w:r>
        <w:rPr>
          <w:sz w:val="24"/>
        </w:rPr>
        <w:t>Дискомфорте</w:t>
      </w:r>
      <w:r>
        <w:rPr>
          <w:spacing w:val="-10"/>
          <w:sz w:val="24"/>
        </w:rPr>
        <w:t> </w:t>
      </w:r>
      <w:r>
        <w:rPr>
          <w:sz w:val="24"/>
        </w:rPr>
        <w:t>от</w:t>
      </w:r>
      <w:r>
        <w:rPr>
          <w:spacing w:val="-10"/>
          <w:sz w:val="24"/>
        </w:rPr>
        <w:t> </w:t>
      </w:r>
      <w:r>
        <w:rPr>
          <w:spacing w:val="-2"/>
          <w:sz w:val="24"/>
        </w:rPr>
        <w:t>маски.</w:t>
      </w:r>
    </w:p>
    <w:p>
      <w:pPr>
        <w:pStyle w:val="BodyText"/>
        <w:spacing w:before="78"/>
        <w:ind w:left="0"/>
        <w:jc w:val="left"/>
      </w:pPr>
    </w:p>
    <w:p>
      <w:pPr>
        <w:pStyle w:val="BodyText"/>
        <w:spacing w:line="276" w:lineRule="auto"/>
        <w:ind w:right="1273" w:firstLine="707"/>
      </w:pPr>
      <w:r>
        <w:rPr/>
        <w:t>Неинвазивную ИВЛ можно проводить как специальными аппаратами для неинвазивной</w:t>
      </w:r>
      <w:r>
        <w:rPr>
          <w:spacing w:val="-1"/>
        </w:rPr>
        <w:t> </w:t>
      </w:r>
      <w:r>
        <w:rPr/>
        <w:t>ИВЛ</w:t>
      </w:r>
      <w:r>
        <w:rPr>
          <w:spacing w:val="-3"/>
        </w:rPr>
        <w:t> </w:t>
      </w:r>
      <w:r>
        <w:rPr/>
        <w:t>(включая</w:t>
      </w:r>
      <w:r>
        <w:rPr>
          <w:spacing w:val="-4"/>
        </w:rPr>
        <w:t> </w:t>
      </w:r>
      <w:r>
        <w:rPr/>
        <w:t>аппараты</w:t>
      </w:r>
      <w:r>
        <w:rPr>
          <w:spacing w:val="-3"/>
        </w:rPr>
        <w:t> </w:t>
      </w:r>
      <w:r>
        <w:rPr/>
        <w:t>для</w:t>
      </w:r>
      <w:r>
        <w:rPr>
          <w:spacing w:val="-4"/>
        </w:rPr>
        <w:t> </w:t>
      </w:r>
      <w:r>
        <w:rPr/>
        <w:t>домашней</w:t>
      </w:r>
      <w:r>
        <w:rPr>
          <w:spacing w:val="-3"/>
        </w:rPr>
        <w:t> </w:t>
      </w:r>
      <w:r>
        <w:rPr/>
        <w:t>НИВЛ),</w:t>
      </w:r>
      <w:r>
        <w:rPr>
          <w:spacing w:val="-4"/>
        </w:rPr>
        <w:t> </w:t>
      </w:r>
      <w:r>
        <w:rPr/>
        <w:t>так</w:t>
      </w:r>
      <w:r>
        <w:rPr>
          <w:spacing w:val="-3"/>
        </w:rPr>
        <w:t> </w:t>
      </w:r>
      <w:r>
        <w:rPr/>
        <w:t>и</w:t>
      </w:r>
      <w:r>
        <w:rPr>
          <w:spacing w:val="-3"/>
        </w:rPr>
        <w:t> </w:t>
      </w:r>
      <w:r>
        <w:rPr/>
        <w:t>универсальными аппаратами ИВЛ с режимом НИВЛ. а также с использованием систем Вентури.</w:t>
      </w:r>
    </w:p>
    <w:p>
      <w:pPr>
        <w:pStyle w:val="BodyText"/>
        <w:spacing w:line="276" w:lineRule="auto" w:before="14"/>
        <w:ind w:right="1270" w:firstLine="707"/>
      </w:pPr>
      <w:r>
        <w:rPr/>
        <w:t>Для неинвазивной ИВЛ могут быть использованы специальные маски для НИВЛ</w:t>
      </w:r>
      <w:r>
        <w:rPr>
          <w:spacing w:val="40"/>
        </w:rPr>
        <w:t> </w:t>
      </w:r>
      <w:r>
        <w:rPr/>
        <w:t>(ороназальные</w:t>
      </w:r>
      <w:r>
        <w:rPr>
          <w:spacing w:val="40"/>
        </w:rPr>
        <w:t> </w:t>
      </w:r>
      <w:r>
        <w:rPr/>
        <w:t>и</w:t>
      </w:r>
      <w:r>
        <w:rPr>
          <w:spacing w:val="40"/>
        </w:rPr>
        <w:t> </w:t>
      </w:r>
      <w:r>
        <w:rPr/>
        <w:t>полнолицевые),</w:t>
      </w:r>
      <w:r>
        <w:rPr>
          <w:spacing w:val="40"/>
        </w:rPr>
        <w:t> </w:t>
      </w:r>
      <w:r>
        <w:rPr/>
        <w:t>а</w:t>
      </w:r>
      <w:r>
        <w:rPr>
          <w:spacing w:val="40"/>
        </w:rPr>
        <w:t> </w:t>
      </w:r>
      <w:r>
        <w:rPr/>
        <w:t>также</w:t>
      </w:r>
      <w:r>
        <w:rPr>
          <w:spacing w:val="40"/>
        </w:rPr>
        <w:t> </w:t>
      </w:r>
      <w:r>
        <w:rPr/>
        <w:t>шлемы</w:t>
      </w:r>
      <w:r>
        <w:rPr>
          <w:spacing w:val="40"/>
        </w:rPr>
        <w:t> </w:t>
      </w:r>
      <w:r>
        <w:rPr/>
        <w:t>(для</w:t>
      </w:r>
      <w:r>
        <w:rPr>
          <w:spacing w:val="40"/>
        </w:rPr>
        <w:t> </w:t>
      </w:r>
      <w:r>
        <w:rPr/>
        <w:t>СРАР</w:t>
      </w:r>
      <w:r>
        <w:rPr>
          <w:spacing w:val="40"/>
        </w:rPr>
        <w:t> </w:t>
      </w:r>
      <w:r>
        <w:rPr/>
        <w:t>и</w:t>
      </w:r>
      <w:r>
        <w:rPr>
          <w:spacing w:val="40"/>
        </w:rPr>
        <w:t> </w:t>
      </w:r>
      <w:r>
        <w:rPr/>
        <w:t>для</w:t>
      </w:r>
      <w:r>
        <w:rPr>
          <w:spacing w:val="40"/>
        </w:rPr>
        <w:t> </w:t>
      </w:r>
      <w:r>
        <w:rPr/>
        <w:t>НИВЛ, в зависимости от выбранного режима и типа контура аппарата).</w:t>
      </w:r>
    </w:p>
    <w:p>
      <w:pPr>
        <w:pStyle w:val="BodyText"/>
        <w:spacing w:line="276" w:lineRule="auto" w:before="15"/>
        <w:ind w:right="1274" w:firstLine="707"/>
      </w:pPr>
      <w:r>
        <w:rPr/>
        <w:t>При использовании ороназальных и полнолицевых масок НИВЛ следует обратить внимание на следующие моменты:</w:t>
      </w:r>
    </w:p>
    <w:p>
      <w:pPr>
        <w:pStyle w:val="ListParagraph"/>
        <w:numPr>
          <w:ilvl w:val="0"/>
          <w:numId w:val="36"/>
        </w:numPr>
        <w:tabs>
          <w:tab w:pos="2549" w:val="left" w:leader="none"/>
        </w:tabs>
        <w:spacing w:line="271" w:lineRule="auto" w:before="12" w:after="0"/>
        <w:ind w:left="2549" w:right="1271" w:hanging="281"/>
        <w:jc w:val="both"/>
        <w:rPr>
          <w:sz w:val="24"/>
        </w:rPr>
      </w:pPr>
      <w:r>
        <w:rPr>
          <w:sz w:val="24"/>
        </w:rPr>
        <w:t>если применен аппарат ИВЛ с двухшланговым контуром и наличием клапана выдоха (стандартный аппарат ИВЛ), то следует использовать невентилируемые маски (без утечки в «колене» маски);</w:t>
      </w:r>
    </w:p>
    <w:p>
      <w:pPr>
        <w:pStyle w:val="ListParagraph"/>
        <w:numPr>
          <w:ilvl w:val="0"/>
          <w:numId w:val="36"/>
        </w:numPr>
        <w:tabs>
          <w:tab w:pos="2549" w:val="left" w:leader="none"/>
        </w:tabs>
        <w:spacing w:line="273" w:lineRule="auto" w:before="9" w:after="0"/>
        <w:ind w:left="2549" w:right="1273" w:hanging="281"/>
        <w:jc w:val="both"/>
        <w:rPr>
          <w:sz w:val="24"/>
        </w:rPr>
      </w:pPr>
      <w:r>
        <w:rPr>
          <w:sz w:val="24"/>
        </w:rPr>
        <w:t>если применен специализированный аппарат для НИВЛ с одношланговым контуром,</w:t>
      </w:r>
      <w:r>
        <w:rPr>
          <w:spacing w:val="80"/>
          <w:w w:val="150"/>
          <w:sz w:val="24"/>
        </w:rPr>
        <w:t> </w:t>
      </w:r>
      <w:r>
        <w:rPr>
          <w:sz w:val="24"/>
        </w:rPr>
        <w:t>то</w:t>
      </w:r>
      <w:r>
        <w:rPr>
          <w:spacing w:val="-5"/>
          <w:sz w:val="24"/>
        </w:rPr>
        <w:t> </w:t>
      </w:r>
      <w:r>
        <w:rPr>
          <w:sz w:val="24"/>
        </w:rPr>
        <w:t>при</w:t>
      </w:r>
      <w:r>
        <w:rPr>
          <w:spacing w:val="80"/>
          <w:w w:val="150"/>
          <w:sz w:val="24"/>
        </w:rPr>
        <w:t> </w:t>
      </w:r>
      <w:r>
        <w:rPr>
          <w:sz w:val="24"/>
        </w:rPr>
        <w:t>наличии</w:t>
      </w:r>
      <w:r>
        <w:rPr>
          <w:spacing w:val="80"/>
          <w:w w:val="150"/>
          <w:sz w:val="24"/>
        </w:rPr>
        <w:t> </w:t>
      </w:r>
      <w:r>
        <w:rPr>
          <w:sz w:val="24"/>
        </w:rPr>
        <w:t>порта</w:t>
      </w:r>
      <w:r>
        <w:rPr>
          <w:spacing w:val="80"/>
          <w:w w:val="150"/>
          <w:sz w:val="24"/>
        </w:rPr>
        <w:t> </w:t>
      </w:r>
      <w:r>
        <w:rPr>
          <w:sz w:val="24"/>
        </w:rPr>
        <w:t>выдоха</w:t>
      </w:r>
      <w:r>
        <w:rPr>
          <w:spacing w:val="80"/>
          <w:w w:val="150"/>
          <w:sz w:val="24"/>
        </w:rPr>
        <w:t> </w:t>
      </w:r>
      <w:r>
        <w:rPr>
          <w:sz w:val="24"/>
        </w:rPr>
        <w:t>в</w:t>
      </w:r>
      <w:r>
        <w:rPr>
          <w:spacing w:val="80"/>
          <w:w w:val="150"/>
          <w:sz w:val="24"/>
        </w:rPr>
        <w:t> </w:t>
      </w:r>
      <w:r>
        <w:rPr>
          <w:sz w:val="24"/>
        </w:rPr>
        <w:t>контуре</w:t>
      </w:r>
      <w:r>
        <w:rPr>
          <w:spacing w:val="80"/>
          <w:w w:val="150"/>
          <w:sz w:val="24"/>
        </w:rPr>
        <w:t> </w:t>
      </w:r>
      <w:r>
        <w:rPr>
          <w:sz w:val="24"/>
        </w:rPr>
        <w:t>используют</w:t>
      </w:r>
      <w:r>
        <w:rPr>
          <w:spacing w:val="80"/>
          <w:w w:val="150"/>
          <w:sz w:val="24"/>
        </w:rPr>
        <w:t> </w:t>
      </w:r>
      <w:r>
        <w:rPr>
          <w:sz w:val="24"/>
        </w:rPr>
        <w:t>маски с</w:t>
      </w:r>
      <w:r>
        <w:rPr>
          <w:spacing w:val="-3"/>
          <w:sz w:val="24"/>
        </w:rPr>
        <w:t> </w:t>
      </w:r>
      <w:r>
        <w:rPr>
          <w:sz w:val="24"/>
        </w:rPr>
        <w:t>невентилируемым</w:t>
      </w:r>
      <w:r>
        <w:rPr>
          <w:spacing w:val="80"/>
          <w:sz w:val="24"/>
        </w:rPr>
        <w:t> </w:t>
      </w:r>
      <w:r>
        <w:rPr>
          <w:sz w:val="24"/>
        </w:rPr>
        <w:t>«коленом»,</w:t>
      </w:r>
      <w:r>
        <w:rPr>
          <w:spacing w:val="80"/>
          <w:sz w:val="24"/>
        </w:rPr>
        <w:t> </w:t>
      </w:r>
      <w:r>
        <w:rPr>
          <w:sz w:val="24"/>
        </w:rPr>
        <w:t>а</w:t>
      </w:r>
      <w:r>
        <w:rPr>
          <w:spacing w:val="80"/>
          <w:sz w:val="24"/>
        </w:rPr>
        <w:t> </w:t>
      </w:r>
      <w:r>
        <w:rPr>
          <w:sz w:val="24"/>
        </w:rPr>
        <w:t>при</w:t>
      </w:r>
      <w:r>
        <w:rPr>
          <w:spacing w:val="80"/>
          <w:sz w:val="24"/>
        </w:rPr>
        <w:t> </w:t>
      </w:r>
      <w:r>
        <w:rPr>
          <w:sz w:val="24"/>
        </w:rPr>
        <w:t>отсутствии</w:t>
      </w:r>
      <w:r>
        <w:rPr>
          <w:spacing w:val="80"/>
          <w:sz w:val="24"/>
        </w:rPr>
        <w:t> </w:t>
      </w:r>
      <w:r>
        <w:rPr>
          <w:sz w:val="24"/>
        </w:rPr>
        <w:t>такого</w:t>
      </w:r>
      <w:r>
        <w:rPr>
          <w:spacing w:val="80"/>
          <w:sz w:val="24"/>
        </w:rPr>
        <w:t> </w:t>
      </w:r>
      <w:r>
        <w:rPr>
          <w:sz w:val="24"/>
        </w:rPr>
        <w:t>порта</w:t>
      </w:r>
      <w:r>
        <w:rPr>
          <w:spacing w:val="80"/>
          <w:sz w:val="24"/>
        </w:rPr>
        <w:t> </w:t>
      </w:r>
      <w:r>
        <w:rPr>
          <w:sz w:val="24"/>
        </w:rPr>
        <w:t>-</w:t>
      </w:r>
      <w:r>
        <w:rPr>
          <w:spacing w:val="80"/>
          <w:sz w:val="24"/>
        </w:rPr>
        <w:t> </w:t>
      </w:r>
      <w:r>
        <w:rPr>
          <w:sz w:val="24"/>
        </w:rPr>
        <w:t>маски</w:t>
      </w:r>
      <w:r>
        <w:rPr>
          <w:spacing w:val="80"/>
          <w:sz w:val="24"/>
        </w:rPr>
        <w:t> </w:t>
      </w:r>
      <w:r>
        <w:rPr>
          <w:sz w:val="24"/>
        </w:rPr>
        <w:t>с вентилируемым «коленом»;</w:t>
      </w:r>
    </w:p>
    <w:p>
      <w:pPr>
        <w:pStyle w:val="ListParagraph"/>
        <w:numPr>
          <w:ilvl w:val="0"/>
          <w:numId w:val="36"/>
        </w:numPr>
        <w:tabs>
          <w:tab w:pos="2549" w:val="left" w:leader="none"/>
        </w:tabs>
        <w:spacing w:line="271" w:lineRule="auto" w:before="2" w:after="0"/>
        <w:ind w:left="2549" w:right="1273" w:hanging="281"/>
        <w:jc w:val="both"/>
        <w:rPr>
          <w:sz w:val="24"/>
        </w:rPr>
      </w:pPr>
      <w:r>
        <w:rPr>
          <w:sz w:val="24"/>
        </w:rPr>
        <w:t>оптимальная</w:t>
      </w:r>
      <w:r>
        <w:rPr>
          <w:spacing w:val="-8"/>
          <w:sz w:val="24"/>
        </w:rPr>
        <w:t> </w:t>
      </w:r>
      <w:r>
        <w:rPr>
          <w:sz w:val="24"/>
        </w:rPr>
        <w:t>утечка</w:t>
      </w:r>
      <w:r>
        <w:rPr>
          <w:spacing w:val="-10"/>
          <w:sz w:val="24"/>
        </w:rPr>
        <w:t> </w:t>
      </w:r>
      <w:r>
        <w:rPr>
          <w:sz w:val="24"/>
        </w:rPr>
        <w:t>составляет</w:t>
      </w:r>
      <w:r>
        <w:rPr>
          <w:spacing w:val="-8"/>
          <w:sz w:val="24"/>
        </w:rPr>
        <w:t> </w:t>
      </w:r>
      <w:r>
        <w:rPr>
          <w:sz w:val="24"/>
        </w:rPr>
        <w:t>около</w:t>
      </w:r>
      <w:r>
        <w:rPr>
          <w:spacing w:val="-9"/>
          <w:sz w:val="24"/>
        </w:rPr>
        <w:t> </w:t>
      </w:r>
      <w:r>
        <w:rPr>
          <w:sz w:val="24"/>
        </w:rPr>
        <w:t>30</w:t>
      </w:r>
      <w:r>
        <w:rPr>
          <w:spacing w:val="-9"/>
          <w:sz w:val="24"/>
        </w:rPr>
        <w:t> </w:t>
      </w:r>
      <w:r>
        <w:rPr>
          <w:sz w:val="24"/>
        </w:rPr>
        <w:t>л/мин,</w:t>
      </w:r>
      <w:r>
        <w:rPr>
          <w:spacing w:val="-9"/>
          <w:sz w:val="24"/>
        </w:rPr>
        <w:t> </w:t>
      </w:r>
      <w:r>
        <w:rPr>
          <w:sz w:val="24"/>
        </w:rPr>
        <w:t>при</w:t>
      </w:r>
      <w:r>
        <w:rPr>
          <w:spacing w:val="-7"/>
          <w:sz w:val="24"/>
        </w:rPr>
        <w:t> </w:t>
      </w:r>
      <w:r>
        <w:rPr>
          <w:sz w:val="24"/>
        </w:rPr>
        <w:t>снижении</w:t>
      </w:r>
      <w:r>
        <w:rPr>
          <w:spacing w:val="-7"/>
          <w:sz w:val="24"/>
        </w:rPr>
        <w:t> </w:t>
      </w:r>
      <w:r>
        <w:rPr>
          <w:sz w:val="24"/>
        </w:rPr>
        <w:t>утечки</w:t>
      </w:r>
      <w:r>
        <w:rPr>
          <w:spacing w:val="-8"/>
          <w:sz w:val="24"/>
        </w:rPr>
        <w:t> </w:t>
      </w:r>
      <w:r>
        <w:rPr>
          <w:sz w:val="24"/>
        </w:rPr>
        <w:t>до</w:t>
      </w:r>
      <w:r>
        <w:rPr>
          <w:spacing w:val="-9"/>
          <w:sz w:val="24"/>
        </w:rPr>
        <w:t> </w:t>
      </w:r>
      <w:r>
        <w:rPr>
          <w:sz w:val="24"/>
        </w:rPr>
        <w:t>менее 7</w:t>
      </w:r>
      <w:r>
        <w:rPr>
          <w:spacing w:val="-5"/>
          <w:sz w:val="24"/>
        </w:rPr>
        <w:t> </w:t>
      </w:r>
      <w:r>
        <w:rPr>
          <w:sz w:val="24"/>
        </w:rPr>
        <w:t>л/мин следует ослабить маску, при утечке 30-60 л/мин - плотно прикрепить маску, при утечке более 60 л/мин – сменить маску;</w:t>
      </w:r>
    </w:p>
    <w:p>
      <w:pPr>
        <w:pStyle w:val="ListParagraph"/>
        <w:numPr>
          <w:ilvl w:val="0"/>
          <w:numId w:val="36"/>
        </w:numPr>
        <w:tabs>
          <w:tab w:pos="2549" w:val="left" w:leader="none"/>
        </w:tabs>
        <w:spacing w:line="268" w:lineRule="auto" w:before="8" w:after="0"/>
        <w:ind w:left="2549" w:right="1273" w:hanging="281"/>
        <w:jc w:val="both"/>
        <w:rPr>
          <w:sz w:val="24"/>
        </w:rPr>
      </w:pPr>
      <w:r>
        <w:rPr>
          <w:sz w:val="24"/>
        </w:rPr>
        <w:t>следует</w:t>
      </w:r>
      <w:r>
        <w:rPr>
          <w:spacing w:val="-9"/>
          <w:sz w:val="24"/>
        </w:rPr>
        <w:t> </w:t>
      </w:r>
      <w:r>
        <w:rPr>
          <w:sz w:val="24"/>
        </w:rPr>
        <w:t>подбирать</w:t>
      </w:r>
      <w:r>
        <w:rPr>
          <w:spacing w:val="-8"/>
          <w:sz w:val="24"/>
        </w:rPr>
        <w:t> </w:t>
      </w:r>
      <w:r>
        <w:rPr>
          <w:sz w:val="24"/>
        </w:rPr>
        <w:t>оптимальный</w:t>
      </w:r>
      <w:r>
        <w:rPr>
          <w:spacing w:val="-8"/>
          <w:sz w:val="24"/>
        </w:rPr>
        <w:t> </w:t>
      </w:r>
      <w:r>
        <w:rPr>
          <w:sz w:val="24"/>
        </w:rPr>
        <w:t>размер</w:t>
      </w:r>
      <w:r>
        <w:rPr>
          <w:spacing w:val="-10"/>
          <w:sz w:val="24"/>
        </w:rPr>
        <w:t> </w:t>
      </w:r>
      <w:r>
        <w:rPr>
          <w:sz w:val="24"/>
        </w:rPr>
        <w:t>маски</w:t>
      </w:r>
      <w:r>
        <w:rPr>
          <w:spacing w:val="-9"/>
          <w:sz w:val="24"/>
        </w:rPr>
        <w:t> </w:t>
      </w:r>
      <w:r>
        <w:rPr>
          <w:sz w:val="24"/>
        </w:rPr>
        <w:t>в</w:t>
      </w:r>
      <w:r>
        <w:rPr>
          <w:spacing w:val="-11"/>
          <w:sz w:val="24"/>
        </w:rPr>
        <w:t> </w:t>
      </w:r>
      <w:r>
        <w:rPr>
          <w:sz w:val="24"/>
        </w:rPr>
        <w:t>соответствии</w:t>
      </w:r>
      <w:r>
        <w:rPr>
          <w:spacing w:val="-8"/>
          <w:sz w:val="24"/>
        </w:rPr>
        <w:t> </w:t>
      </w:r>
      <w:r>
        <w:rPr>
          <w:sz w:val="24"/>
        </w:rPr>
        <w:t>с</w:t>
      </w:r>
      <w:r>
        <w:rPr>
          <w:spacing w:val="-11"/>
          <w:sz w:val="24"/>
        </w:rPr>
        <w:t> </w:t>
      </w:r>
      <w:r>
        <w:rPr>
          <w:sz w:val="24"/>
        </w:rPr>
        <w:t>размером</w:t>
      </w:r>
      <w:r>
        <w:rPr>
          <w:spacing w:val="-10"/>
          <w:sz w:val="24"/>
        </w:rPr>
        <w:t> </w:t>
      </w:r>
      <w:r>
        <w:rPr>
          <w:sz w:val="24"/>
        </w:rPr>
        <w:t>лица пациента, большинству взрослых пациентов подойдут маски размера М;</w:t>
      </w:r>
    </w:p>
    <w:p>
      <w:pPr>
        <w:pStyle w:val="ListParagraph"/>
        <w:numPr>
          <w:ilvl w:val="0"/>
          <w:numId w:val="36"/>
        </w:numPr>
        <w:tabs>
          <w:tab w:pos="2549" w:val="left" w:leader="none"/>
        </w:tabs>
        <w:spacing w:line="273" w:lineRule="auto" w:before="8" w:after="0"/>
        <w:ind w:left="2549" w:right="1273" w:hanging="281"/>
        <w:jc w:val="both"/>
        <w:rPr>
          <w:sz w:val="24"/>
        </w:rPr>
      </w:pPr>
      <w:r>
        <w:rPr>
          <w:sz w:val="24"/>
        </w:rPr>
        <w:t>при развитии пролежней от маски следует сменить маску на другой тип (ротация</w:t>
      </w:r>
      <w:r>
        <w:rPr>
          <w:spacing w:val="-2"/>
          <w:sz w:val="24"/>
        </w:rPr>
        <w:t> </w:t>
      </w:r>
      <w:r>
        <w:rPr>
          <w:sz w:val="24"/>
        </w:rPr>
        <w:t>маски), например, ороназальную на полнолицевую, для профилактики</w:t>
      </w:r>
      <w:r>
        <w:rPr>
          <w:spacing w:val="80"/>
          <w:w w:val="150"/>
          <w:sz w:val="24"/>
        </w:rPr>
        <w:t> </w:t>
      </w:r>
      <w:r>
        <w:rPr>
          <w:sz w:val="24"/>
        </w:rPr>
        <w:t>пролежней</w:t>
      </w:r>
      <w:r>
        <w:rPr>
          <w:spacing w:val="80"/>
          <w:w w:val="150"/>
          <w:sz w:val="24"/>
        </w:rPr>
        <w:t> </w:t>
      </w:r>
      <w:r>
        <w:rPr>
          <w:sz w:val="24"/>
        </w:rPr>
        <w:t>рекомендовано</w:t>
      </w:r>
      <w:r>
        <w:rPr>
          <w:spacing w:val="80"/>
          <w:w w:val="150"/>
          <w:sz w:val="24"/>
        </w:rPr>
        <w:t> </w:t>
      </w:r>
      <w:r>
        <w:rPr>
          <w:sz w:val="24"/>
        </w:rPr>
        <w:t>использовать</w:t>
      </w:r>
      <w:r>
        <w:rPr>
          <w:spacing w:val="80"/>
          <w:w w:val="150"/>
          <w:sz w:val="24"/>
        </w:rPr>
        <w:t> </w:t>
      </w:r>
      <w:r>
        <w:rPr>
          <w:sz w:val="24"/>
        </w:rPr>
        <w:t>ротацию</w:t>
      </w:r>
      <w:r>
        <w:rPr>
          <w:spacing w:val="80"/>
          <w:w w:val="150"/>
          <w:sz w:val="24"/>
        </w:rPr>
        <w:t> </w:t>
      </w:r>
      <w:r>
        <w:rPr>
          <w:sz w:val="24"/>
        </w:rPr>
        <w:t>масок</w:t>
      </w:r>
      <w:r>
        <w:rPr>
          <w:spacing w:val="80"/>
          <w:sz w:val="24"/>
        </w:rPr>
        <w:t> </w:t>
      </w:r>
      <w:r>
        <w:rPr>
          <w:sz w:val="24"/>
        </w:rPr>
        <w:t>и специальные гелевые адгезивные пластыри (протекторы).</w:t>
      </w:r>
    </w:p>
    <w:p>
      <w:pPr>
        <w:pStyle w:val="BodyText"/>
        <w:tabs>
          <w:tab w:pos="1355" w:val="left" w:leader="none"/>
          <w:tab w:pos="2513" w:val="left" w:leader="none"/>
          <w:tab w:pos="3396" w:val="left" w:leader="none"/>
          <w:tab w:pos="4489" w:val="left" w:leader="none"/>
          <w:tab w:pos="5305" w:val="left" w:leader="none"/>
          <w:tab w:pos="6264" w:val="left" w:leader="none"/>
          <w:tab w:pos="6916" w:val="left" w:leader="none"/>
          <w:tab w:pos="7386" w:val="left" w:leader="none"/>
        </w:tabs>
        <w:spacing w:before="2"/>
        <w:ind w:left="0" w:right="1274"/>
        <w:jc w:val="right"/>
      </w:pPr>
      <w:r>
        <w:rPr>
          <w:spacing w:val="-2"/>
        </w:rPr>
        <w:t>Стартовым</w:t>
      </w:r>
      <w:r>
        <w:rPr/>
        <w:tab/>
      </w:r>
      <w:r>
        <w:rPr>
          <w:spacing w:val="-2"/>
        </w:rPr>
        <w:t>режимом</w:t>
      </w:r>
      <w:r>
        <w:rPr/>
        <w:tab/>
      </w:r>
      <w:r>
        <w:rPr>
          <w:spacing w:val="-4"/>
        </w:rPr>
        <w:t>НИВЛ</w:t>
      </w:r>
      <w:r>
        <w:rPr/>
        <w:tab/>
      </w:r>
      <w:r>
        <w:rPr>
          <w:spacing w:val="-2"/>
        </w:rPr>
        <w:t>является</w:t>
      </w:r>
      <w:r>
        <w:rPr/>
        <w:tab/>
      </w:r>
      <w:r>
        <w:rPr>
          <w:spacing w:val="-4"/>
        </w:rPr>
        <w:t>СРАР</w:t>
      </w:r>
      <w:r>
        <w:rPr/>
        <w:tab/>
      </w:r>
      <w:r>
        <w:rPr>
          <w:spacing w:val="-2"/>
        </w:rPr>
        <w:t>(ЕРАР)</w:t>
      </w:r>
      <w:r>
        <w:rPr/>
        <w:tab/>
      </w:r>
      <w:r>
        <w:rPr>
          <w:spacing w:val="-2"/>
        </w:rPr>
        <w:t>8-</w:t>
      </w:r>
      <w:r>
        <w:rPr>
          <w:spacing w:val="-5"/>
        </w:rPr>
        <w:t>10</w:t>
      </w:r>
      <w:r>
        <w:rPr/>
        <w:tab/>
      </w:r>
      <w:r>
        <w:rPr>
          <w:spacing w:val="-5"/>
        </w:rPr>
        <w:t>см</w:t>
      </w:r>
      <w:r>
        <w:rPr/>
        <w:tab/>
      </w:r>
      <w:r>
        <w:rPr>
          <w:spacing w:val="-2"/>
        </w:rPr>
        <w:t>вод.ст.</w:t>
      </w:r>
    </w:p>
    <w:p>
      <w:pPr>
        <w:pStyle w:val="BodyText"/>
        <w:spacing w:before="40"/>
        <w:ind w:right="1272"/>
        <w:jc w:val="right"/>
      </w:pPr>
      <w:r>
        <w:rPr/>
        <w:t>и</w:t>
      </w:r>
      <w:r>
        <w:rPr>
          <w:spacing w:val="-6"/>
        </w:rPr>
        <w:t> </w:t>
      </w:r>
      <w:r>
        <w:rPr/>
        <w:t>инспираторной</w:t>
      </w:r>
      <w:r>
        <w:rPr>
          <w:spacing w:val="-7"/>
        </w:rPr>
        <w:t> </w:t>
      </w:r>
      <w:r>
        <w:rPr/>
        <w:t>фракцией</w:t>
      </w:r>
      <w:r>
        <w:rPr>
          <w:spacing w:val="-7"/>
        </w:rPr>
        <w:t> </w:t>
      </w:r>
      <w:r>
        <w:rPr/>
        <w:t>кислорода</w:t>
      </w:r>
      <w:r>
        <w:rPr>
          <w:spacing w:val="-9"/>
        </w:rPr>
        <w:t> </w:t>
      </w:r>
      <w:r>
        <w:rPr/>
        <w:t>0,6.</w:t>
      </w:r>
      <w:r>
        <w:rPr>
          <w:spacing w:val="-9"/>
        </w:rPr>
        <w:t> </w:t>
      </w:r>
      <w:r>
        <w:rPr/>
        <w:t>При</w:t>
      </w:r>
      <w:r>
        <w:rPr>
          <w:spacing w:val="-7"/>
        </w:rPr>
        <w:t> </w:t>
      </w:r>
      <w:r>
        <w:rPr/>
        <w:t>сохранении</w:t>
      </w:r>
      <w:r>
        <w:rPr>
          <w:spacing w:val="-7"/>
        </w:rPr>
        <w:t> </w:t>
      </w:r>
      <w:r>
        <w:rPr/>
        <w:t>на</w:t>
      </w:r>
      <w:r>
        <w:rPr>
          <w:spacing w:val="-10"/>
        </w:rPr>
        <w:t> </w:t>
      </w:r>
      <w:r>
        <w:rPr/>
        <w:t>этом</w:t>
      </w:r>
      <w:r>
        <w:rPr>
          <w:spacing w:val="-9"/>
        </w:rPr>
        <w:t> </w:t>
      </w:r>
      <w:r>
        <w:rPr/>
        <w:t>фоне</w:t>
      </w:r>
      <w:r>
        <w:rPr>
          <w:spacing w:val="-9"/>
        </w:rPr>
        <w:t> </w:t>
      </w:r>
      <w:r>
        <w:rPr>
          <w:spacing w:val="-2"/>
        </w:rPr>
        <w:t>выраженной</w:t>
      </w:r>
    </w:p>
    <w:p>
      <w:pPr>
        <w:pStyle w:val="BodyText"/>
        <w:spacing w:after="0"/>
        <w:jc w:val="right"/>
        <w:sectPr>
          <w:pgSz w:w="11900" w:h="16840"/>
          <w:pgMar w:header="0" w:footer="697" w:top="1080" w:bottom="880" w:left="0" w:right="0"/>
        </w:sectPr>
      </w:pPr>
    </w:p>
    <w:p>
      <w:pPr>
        <w:pStyle w:val="BodyText"/>
        <w:spacing w:line="276" w:lineRule="auto" w:before="73"/>
        <w:ind w:right="1273"/>
      </w:pPr>
      <w:bookmarkStart w:name="78" w:id="94"/>
      <w:bookmarkEnd w:id="94"/>
      <w:r>
        <w:rPr/>
      </w:r>
      <w:r>
        <w:rPr>
          <w:spacing w:val="-2"/>
        </w:rPr>
        <w:t>работы</w:t>
      </w:r>
      <w:r>
        <w:rPr>
          <w:spacing w:val="-7"/>
        </w:rPr>
        <w:t> </w:t>
      </w:r>
      <w:r>
        <w:rPr>
          <w:spacing w:val="-2"/>
        </w:rPr>
        <w:t>дыхательных</w:t>
      </w:r>
      <w:r>
        <w:rPr>
          <w:spacing w:val="-6"/>
        </w:rPr>
        <w:t> </w:t>
      </w:r>
      <w:r>
        <w:rPr>
          <w:spacing w:val="-2"/>
        </w:rPr>
        <w:t>мышц</w:t>
      </w:r>
      <w:r>
        <w:rPr>
          <w:spacing w:val="-6"/>
        </w:rPr>
        <w:t> </w:t>
      </w:r>
      <w:r>
        <w:rPr>
          <w:spacing w:val="-2"/>
        </w:rPr>
        <w:t>шеи</w:t>
      </w:r>
      <w:r>
        <w:rPr>
          <w:spacing w:val="-6"/>
        </w:rPr>
        <w:t> </w:t>
      </w:r>
      <w:r>
        <w:rPr>
          <w:spacing w:val="-2"/>
        </w:rPr>
        <w:t>следует</w:t>
      </w:r>
      <w:r>
        <w:rPr>
          <w:spacing w:val="-6"/>
        </w:rPr>
        <w:t> </w:t>
      </w:r>
      <w:r>
        <w:rPr>
          <w:spacing w:val="-2"/>
        </w:rPr>
        <w:t>переключить</w:t>
      </w:r>
      <w:r>
        <w:rPr>
          <w:spacing w:val="-3"/>
        </w:rPr>
        <w:t> </w:t>
      </w:r>
      <w:r>
        <w:rPr>
          <w:spacing w:val="-2"/>
        </w:rPr>
        <w:t>аппарат</w:t>
      </w:r>
      <w:r>
        <w:rPr>
          <w:spacing w:val="-4"/>
        </w:rPr>
        <w:t> </w:t>
      </w:r>
      <w:r>
        <w:rPr>
          <w:spacing w:val="-2"/>
        </w:rPr>
        <w:t>на</w:t>
      </w:r>
      <w:r>
        <w:rPr>
          <w:spacing w:val="-8"/>
        </w:rPr>
        <w:t> </w:t>
      </w:r>
      <w:r>
        <w:rPr>
          <w:spacing w:val="-2"/>
        </w:rPr>
        <w:t>режим</w:t>
      </w:r>
      <w:r>
        <w:rPr>
          <w:spacing w:val="-7"/>
        </w:rPr>
        <w:t> </w:t>
      </w:r>
      <w:r>
        <w:rPr>
          <w:spacing w:val="-2"/>
        </w:rPr>
        <w:t>с</w:t>
      </w:r>
      <w:r>
        <w:rPr>
          <w:spacing w:val="-8"/>
        </w:rPr>
        <w:t> </w:t>
      </w:r>
      <w:r>
        <w:rPr>
          <w:spacing w:val="-2"/>
        </w:rPr>
        <w:t>поддержкой </w:t>
      </w:r>
      <w:r>
        <w:rPr/>
        <w:t>давлением</w:t>
      </w:r>
      <w:r>
        <w:rPr>
          <w:spacing w:val="-11"/>
        </w:rPr>
        <w:t> </w:t>
      </w:r>
      <w:r>
        <w:rPr/>
        <w:t>(S,</w:t>
      </w:r>
      <w:r>
        <w:rPr>
          <w:spacing w:val="-11"/>
        </w:rPr>
        <w:t> </w:t>
      </w:r>
      <w:r>
        <w:rPr/>
        <w:t>S/T,</w:t>
      </w:r>
      <w:r>
        <w:rPr>
          <w:spacing w:val="-10"/>
        </w:rPr>
        <w:t> </w:t>
      </w:r>
      <w:r>
        <w:rPr/>
        <w:t>Pressure</w:t>
      </w:r>
      <w:r>
        <w:rPr>
          <w:spacing w:val="-12"/>
        </w:rPr>
        <w:t> </w:t>
      </w:r>
      <w:r>
        <w:rPr/>
        <w:t>Support,</w:t>
      </w:r>
      <w:r>
        <w:rPr>
          <w:spacing w:val="-10"/>
        </w:rPr>
        <w:t> </w:t>
      </w:r>
      <w:r>
        <w:rPr/>
        <w:t>BIPAP)</w:t>
      </w:r>
      <w:r>
        <w:rPr>
          <w:spacing w:val="-10"/>
        </w:rPr>
        <w:t> </w:t>
      </w:r>
      <w:r>
        <w:rPr/>
        <w:t>с</w:t>
      </w:r>
      <w:r>
        <w:rPr>
          <w:spacing w:val="-12"/>
        </w:rPr>
        <w:t> </w:t>
      </w:r>
      <w:r>
        <w:rPr/>
        <w:t>уровнем</w:t>
      </w:r>
      <w:r>
        <w:rPr>
          <w:spacing w:val="-11"/>
        </w:rPr>
        <w:t> </w:t>
      </w:r>
      <w:r>
        <w:rPr/>
        <w:t>давления</w:t>
      </w:r>
      <w:r>
        <w:rPr>
          <w:spacing w:val="-9"/>
        </w:rPr>
        <w:t> </w:t>
      </w:r>
      <w:r>
        <w:rPr/>
        <w:t>IPAP</w:t>
      </w:r>
      <w:r>
        <w:rPr>
          <w:spacing w:val="-10"/>
        </w:rPr>
        <w:t> </w:t>
      </w:r>
      <w:r>
        <w:rPr/>
        <w:t>14-22</w:t>
      </w:r>
      <w:r>
        <w:rPr>
          <w:spacing w:val="-11"/>
        </w:rPr>
        <w:t> </w:t>
      </w:r>
      <w:r>
        <w:rPr/>
        <w:t>см</w:t>
      </w:r>
      <w:r>
        <w:rPr>
          <w:spacing w:val="-9"/>
        </w:rPr>
        <w:t> </w:t>
      </w:r>
      <w:r>
        <w:rPr/>
        <w:t>вод.ст., подбирая минимальное инспираторное давление, при котором сохраняется комфорт </w:t>
      </w:r>
      <w:r>
        <w:rPr>
          <w:position w:val="2"/>
        </w:rPr>
        <w:t>пациента и нет видимой работы дыхания пациента. Уровень FiO</w:t>
      </w:r>
      <w:r>
        <w:rPr>
          <w:sz w:val="16"/>
        </w:rPr>
        <w:t>2</w:t>
      </w:r>
      <w:r>
        <w:rPr>
          <w:spacing w:val="25"/>
          <w:sz w:val="16"/>
        </w:rPr>
        <w:t> </w:t>
      </w:r>
      <w:r>
        <w:rPr>
          <w:position w:val="2"/>
        </w:rPr>
        <w:t>следует подбирать </w:t>
      </w:r>
      <w:r>
        <w:rPr/>
        <w:t>на основе целевого значения оксигенации.</w:t>
      </w:r>
    </w:p>
    <w:p>
      <w:pPr>
        <w:pStyle w:val="BodyText"/>
        <w:spacing w:line="276" w:lineRule="auto" w:before="10"/>
        <w:ind w:right="1272" w:firstLine="707"/>
      </w:pPr>
      <w:r>
        <w:rPr/>
        <w:t>При проведении НИВЛ следует следить за величиной выдыхаемого дыхательного</w:t>
      </w:r>
      <w:r>
        <w:rPr>
          <w:spacing w:val="70"/>
        </w:rPr>
        <w:t>  </w:t>
      </w:r>
      <w:r>
        <w:rPr/>
        <w:t>объема,</w:t>
      </w:r>
      <w:r>
        <w:rPr>
          <w:spacing w:val="70"/>
        </w:rPr>
        <w:t>  </w:t>
      </w:r>
      <w:r>
        <w:rPr/>
        <w:t>которая</w:t>
      </w:r>
      <w:r>
        <w:rPr>
          <w:spacing w:val="70"/>
        </w:rPr>
        <w:t>  </w:t>
      </w:r>
      <w:r>
        <w:rPr/>
        <w:t>не</w:t>
      </w:r>
      <w:r>
        <w:rPr>
          <w:spacing w:val="69"/>
        </w:rPr>
        <w:t>  </w:t>
      </w:r>
      <w:r>
        <w:rPr/>
        <w:t>должна</w:t>
      </w:r>
      <w:r>
        <w:rPr>
          <w:spacing w:val="69"/>
        </w:rPr>
        <w:t>  </w:t>
      </w:r>
      <w:r>
        <w:rPr/>
        <w:t>превышать</w:t>
      </w:r>
      <w:r>
        <w:rPr>
          <w:spacing w:val="71"/>
        </w:rPr>
        <w:t>  </w:t>
      </w:r>
      <w:r>
        <w:rPr/>
        <w:t>при</w:t>
      </w:r>
      <w:r>
        <w:rPr>
          <w:spacing w:val="70"/>
        </w:rPr>
        <w:t>  </w:t>
      </w:r>
      <w:r>
        <w:rPr/>
        <w:t>ороназальной и полнолицевой маске 9</w:t>
      </w:r>
      <w:r>
        <w:rPr>
          <w:spacing w:val="-1"/>
        </w:rPr>
        <w:t> </w:t>
      </w:r>
      <w:r>
        <w:rPr/>
        <w:t>мл/кг</w:t>
      </w:r>
      <w:r>
        <w:rPr>
          <w:spacing w:val="-1"/>
        </w:rPr>
        <w:t> </w:t>
      </w:r>
      <w:r>
        <w:rPr/>
        <w:t>ИМТ,</w:t>
      </w:r>
      <w:r>
        <w:rPr>
          <w:spacing w:val="-1"/>
        </w:rPr>
        <w:t> </w:t>
      </w:r>
      <w:r>
        <w:rPr/>
        <w:t>а при шлеме может быть</w:t>
      </w:r>
      <w:r>
        <w:rPr>
          <w:spacing w:val="-1"/>
        </w:rPr>
        <w:t> </w:t>
      </w:r>
      <w:r>
        <w:rPr/>
        <w:t>на</w:t>
      </w:r>
      <w:r>
        <w:rPr>
          <w:spacing w:val="-2"/>
        </w:rPr>
        <w:t> </w:t>
      </w:r>
      <w:r>
        <w:rPr/>
        <w:t>50-75%</w:t>
      </w:r>
      <w:r>
        <w:rPr>
          <w:spacing w:val="-2"/>
        </w:rPr>
        <w:t> </w:t>
      </w:r>
      <w:r>
        <w:rPr/>
        <w:t>выше</w:t>
      </w:r>
      <w:r>
        <w:rPr>
          <w:spacing w:val="-2"/>
        </w:rPr>
        <w:t> </w:t>
      </w:r>
      <w:r>
        <w:rPr/>
        <w:t>ввиду высокой податливости и большого объёма мёртвого пространства шлема.</w:t>
      </w:r>
    </w:p>
    <w:p>
      <w:pPr>
        <w:pStyle w:val="BodyText"/>
        <w:spacing w:line="276" w:lineRule="auto" w:before="13"/>
        <w:ind w:right="1268" w:firstLine="707"/>
      </w:pPr>
      <w:r>
        <w:rPr/>
        <w:t>При прогрессировании заболевания задержка интубации трахеи может приводить к ухудшению прогноза. При уменьшении степени поражения лёгких, </w:t>
      </w:r>
      <w:r>
        <w:rPr>
          <w:position w:val="2"/>
        </w:rPr>
        <w:t>снижении потребности в кислороде следует поэтапно снижать: сначала FiO</w:t>
      </w:r>
      <w:r>
        <w:rPr>
          <w:sz w:val="16"/>
        </w:rPr>
        <w:t>2</w:t>
      </w:r>
      <w:r>
        <w:rPr>
          <w:position w:val="2"/>
        </w:rPr>
        <w:t>, затем </w:t>
      </w:r>
      <w:r>
        <w:rPr/>
        <w:t>уровень инспираторного давления (IPAP, Pressure Support), затем уровень СРАР </w:t>
      </w:r>
      <w:r>
        <w:rPr>
          <w:spacing w:val="-2"/>
        </w:rPr>
        <w:t>(ЕРАР).</w:t>
      </w:r>
    </w:p>
    <w:p>
      <w:pPr>
        <w:pStyle w:val="Heading3"/>
        <w:spacing w:before="10"/>
      </w:pPr>
      <w:r>
        <w:rPr/>
        <w:t>СРАР-терапия</w:t>
      </w:r>
      <w:r>
        <w:rPr>
          <w:spacing w:val="-15"/>
        </w:rPr>
        <w:t> </w:t>
      </w:r>
      <w:r>
        <w:rPr/>
        <w:t>через</w:t>
      </w:r>
      <w:r>
        <w:rPr>
          <w:spacing w:val="-12"/>
        </w:rPr>
        <w:t> </w:t>
      </w:r>
      <w:r>
        <w:rPr/>
        <w:t>шлем</w:t>
      </w:r>
      <w:r>
        <w:rPr>
          <w:spacing w:val="-13"/>
        </w:rPr>
        <w:t> </w:t>
      </w:r>
      <w:r>
        <w:rPr>
          <w:spacing w:val="-2"/>
        </w:rPr>
        <w:t>(особенности)</w:t>
      </w:r>
    </w:p>
    <w:p>
      <w:pPr>
        <w:pStyle w:val="BodyText"/>
        <w:spacing w:line="276" w:lineRule="auto" w:before="55"/>
        <w:ind w:right="1275" w:firstLine="707"/>
      </w:pPr>
      <w:r>
        <w:rPr/>
        <w:t>Обсервационные</w:t>
      </w:r>
      <w:r>
        <w:rPr>
          <w:spacing w:val="37"/>
        </w:rPr>
        <w:t> </w:t>
      </w:r>
      <w:r>
        <w:rPr/>
        <w:t>исследования</w:t>
      </w:r>
      <w:r>
        <w:rPr>
          <w:spacing w:val="38"/>
        </w:rPr>
        <w:t> </w:t>
      </w:r>
      <w:r>
        <w:rPr/>
        <w:t>и</w:t>
      </w:r>
      <w:r>
        <w:rPr>
          <w:spacing w:val="38"/>
        </w:rPr>
        <w:t> </w:t>
      </w:r>
      <w:r>
        <w:rPr/>
        <w:t>их</w:t>
      </w:r>
      <w:r>
        <w:rPr>
          <w:spacing w:val="37"/>
        </w:rPr>
        <w:t> </w:t>
      </w:r>
      <w:r>
        <w:rPr/>
        <w:t>мета-анализы</w:t>
      </w:r>
      <w:r>
        <w:rPr>
          <w:spacing w:val="38"/>
        </w:rPr>
        <w:t> </w:t>
      </w:r>
      <w:r>
        <w:rPr/>
        <w:t>по</w:t>
      </w:r>
      <w:r>
        <w:rPr>
          <w:spacing w:val="37"/>
        </w:rPr>
        <w:t> </w:t>
      </w:r>
      <w:r>
        <w:rPr/>
        <w:t>использованию</w:t>
      </w:r>
      <w:r>
        <w:rPr>
          <w:spacing w:val="38"/>
        </w:rPr>
        <w:t> </w:t>
      </w:r>
      <w:r>
        <w:rPr/>
        <w:t>СРАР и НИВЛ вне ОРИТ использовали в основном шлемы в сочетании с генераторами Вентури и показали высокую эффективность (~50-70%).</w:t>
      </w:r>
    </w:p>
    <w:p>
      <w:pPr>
        <w:pStyle w:val="BodyText"/>
        <w:spacing w:line="276" w:lineRule="auto" w:before="12"/>
        <w:ind w:right="1272" w:firstLine="707"/>
      </w:pPr>
      <w:r>
        <w:rPr/>
        <w:t>При использовании шлема следует отметить некоторые особенности, связанные с высоким мертвым пространством шлема, приводящим к накоплению углекислого</w:t>
      </w:r>
      <w:r>
        <w:rPr>
          <w:spacing w:val="39"/>
        </w:rPr>
        <w:t> </w:t>
      </w:r>
      <w:r>
        <w:rPr/>
        <w:t>газа</w:t>
      </w:r>
      <w:r>
        <w:rPr>
          <w:spacing w:val="37"/>
        </w:rPr>
        <w:t> </w:t>
      </w:r>
      <w:r>
        <w:rPr/>
        <w:t>в</w:t>
      </w:r>
      <w:r>
        <w:rPr>
          <w:spacing w:val="38"/>
        </w:rPr>
        <w:t> </w:t>
      </w:r>
      <w:r>
        <w:rPr/>
        <w:t>нем,</w:t>
      </w:r>
      <w:r>
        <w:rPr>
          <w:spacing w:val="39"/>
        </w:rPr>
        <w:t> </w:t>
      </w:r>
      <w:r>
        <w:rPr/>
        <w:t>что</w:t>
      </w:r>
      <w:r>
        <w:rPr>
          <w:spacing w:val="39"/>
        </w:rPr>
        <w:t> </w:t>
      </w:r>
      <w:r>
        <w:rPr/>
        <w:t>приводит</w:t>
      </w:r>
      <w:r>
        <w:rPr>
          <w:spacing w:val="40"/>
        </w:rPr>
        <w:t> </w:t>
      </w:r>
      <w:r>
        <w:rPr/>
        <w:t>к</w:t>
      </w:r>
      <w:r>
        <w:rPr>
          <w:spacing w:val="40"/>
        </w:rPr>
        <w:t> </w:t>
      </w:r>
      <w:r>
        <w:rPr/>
        <w:t>выраженному</w:t>
      </w:r>
      <w:r>
        <w:rPr>
          <w:spacing w:val="39"/>
        </w:rPr>
        <w:t> </w:t>
      </w:r>
      <w:r>
        <w:rPr/>
        <w:t>диспноэ/тахипноэ</w:t>
      </w:r>
      <w:r>
        <w:rPr>
          <w:spacing w:val="35"/>
        </w:rPr>
        <w:t> </w:t>
      </w:r>
      <w:r>
        <w:rPr/>
        <w:t>пациента и</w:t>
      </w:r>
      <w:r>
        <w:rPr>
          <w:spacing w:val="-4"/>
        </w:rPr>
        <w:t> </w:t>
      </w:r>
      <w:r>
        <w:rPr/>
        <w:t>отказу</w:t>
      </w:r>
      <w:r>
        <w:rPr>
          <w:spacing w:val="-5"/>
        </w:rPr>
        <w:t> </w:t>
      </w:r>
      <w:r>
        <w:rPr/>
        <w:t>от</w:t>
      </w:r>
      <w:r>
        <w:rPr>
          <w:spacing w:val="-5"/>
        </w:rPr>
        <w:t> </w:t>
      </w:r>
      <w:r>
        <w:rPr/>
        <w:t>его</w:t>
      </w:r>
      <w:r>
        <w:rPr>
          <w:spacing w:val="-5"/>
        </w:rPr>
        <w:t> </w:t>
      </w:r>
      <w:r>
        <w:rPr/>
        <w:t>использования,</w:t>
      </w:r>
      <w:r>
        <w:rPr>
          <w:spacing w:val="-4"/>
        </w:rPr>
        <w:t> </w:t>
      </w:r>
      <w:r>
        <w:rPr/>
        <w:t>а</w:t>
      </w:r>
      <w:r>
        <w:rPr>
          <w:spacing w:val="-6"/>
        </w:rPr>
        <w:t> </w:t>
      </w:r>
      <w:r>
        <w:rPr/>
        <w:t>также</w:t>
      </w:r>
      <w:r>
        <w:rPr>
          <w:spacing w:val="-6"/>
        </w:rPr>
        <w:t> </w:t>
      </w:r>
      <w:r>
        <w:rPr/>
        <w:t>большой</w:t>
      </w:r>
      <w:r>
        <w:rPr>
          <w:spacing w:val="-4"/>
        </w:rPr>
        <w:t> </w:t>
      </w:r>
      <w:r>
        <w:rPr/>
        <w:t>податливостью</w:t>
      </w:r>
      <w:r>
        <w:rPr>
          <w:spacing w:val="-4"/>
        </w:rPr>
        <w:t> </w:t>
      </w:r>
      <w:r>
        <w:rPr/>
        <w:t>шлема,</w:t>
      </w:r>
      <w:r>
        <w:rPr>
          <w:spacing w:val="-6"/>
        </w:rPr>
        <w:t> </w:t>
      </w:r>
      <w:r>
        <w:rPr/>
        <w:t>что</w:t>
      </w:r>
      <w:r>
        <w:rPr>
          <w:spacing w:val="-5"/>
        </w:rPr>
        <w:t> </w:t>
      </w:r>
      <w:r>
        <w:rPr/>
        <w:t>приводит к задержке времени триггирования и увеличению работы дыхания при проведении НИВЛ (а не СРАР).</w:t>
      </w:r>
    </w:p>
    <w:p>
      <w:pPr>
        <w:pStyle w:val="BodyText"/>
        <w:spacing w:line="276" w:lineRule="auto" w:before="14"/>
        <w:ind w:right="1272" w:firstLine="707"/>
      </w:pPr>
      <w:r>
        <w:rPr/>
        <w:t>В итоге оптимальным</w:t>
      </w:r>
      <w:r>
        <w:rPr>
          <w:spacing w:val="-1"/>
        </w:rPr>
        <w:t> </w:t>
      </w:r>
      <w:r>
        <w:rPr/>
        <w:t>методом</w:t>
      </w:r>
      <w:r>
        <w:rPr>
          <w:spacing w:val="-1"/>
        </w:rPr>
        <w:t> </w:t>
      </w:r>
      <w:r>
        <w:rPr/>
        <w:t>использования шлема является</w:t>
      </w:r>
      <w:r>
        <w:rPr>
          <w:spacing w:val="-1"/>
        </w:rPr>
        <w:t> </w:t>
      </w:r>
      <w:r>
        <w:rPr/>
        <w:t>СРАР-терапия, </w:t>
      </w:r>
      <w:r>
        <w:rPr>
          <w:position w:val="2"/>
        </w:rPr>
        <w:t>а не НИВЛ. При использовании СРАР-терапии для</w:t>
      </w:r>
      <w:r>
        <w:rPr>
          <w:spacing w:val="-1"/>
          <w:position w:val="2"/>
        </w:rPr>
        <w:t> </w:t>
      </w:r>
      <w:r>
        <w:rPr>
          <w:position w:val="2"/>
        </w:rPr>
        <w:t>предотвращения накопления CO</w:t>
      </w:r>
      <w:r>
        <w:rPr>
          <w:sz w:val="16"/>
        </w:rPr>
        <w:t>2</w:t>
      </w:r>
      <w:r>
        <w:rPr>
          <w:spacing w:val="40"/>
          <w:sz w:val="16"/>
        </w:rPr>
        <w:t> </w:t>
      </w:r>
      <w:r>
        <w:rPr/>
        <w:t>в шлеме следует выдерживать результирующий поток в шлеме не менее 60 л/мин. Большинство</w:t>
      </w:r>
      <w:r>
        <w:rPr>
          <w:spacing w:val="-4"/>
        </w:rPr>
        <w:t> </w:t>
      </w:r>
      <w:r>
        <w:rPr/>
        <w:t>аппаратов</w:t>
      </w:r>
      <w:r>
        <w:rPr>
          <w:spacing w:val="-6"/>
        </w:rPr>
        <w:t> </w:t>
      </w:r>
      <w:r>
        <w:rPr/>
        <w:t>ИВЛ</w:t>
      </w:r>
      <w:r>
        <w:rPr>
          <w:spacing w:val="-4"/>
        </w:rPr>
        <w:t> </w:t>
      </w:r>
      <w:r>
        <w:rPr/>
        <w:t>не</w:t>
      </w:r>
      <w:r>
        <w:rPr>
          <w:spacing w:val="-5"/>
        </w:rPr>
        <w:t> </w:t>
      </w:r>
      <w:r>
        <w:rPr/>
        <w:t>могут</w:t>
      </w:r>
      <w:r>
        <w:rPr>
          <w:spacing w:val="-3"/>
        </w:rPr>
        <w:t> </w:t>
      </w:r>
      <w:r>
        <w:rPr/>
        <w:t>обеспечить</w:t>
      </w:r>
      <w:r>
        <w:rPr>
          <w:spacing w:val="-2"/>
        </w:rPr>
        <w:t> </w:t>
      </w:r>
      <w:r>
        <w:rPr/>
        <w:t>такой</w:t>
      </w:r>
      <w:r>
        <w:rPr>
          <w:spacing w:val="-5"/>
        </w:rPr>
        <w:t> </w:t>
      </w:r>
      <w:r>
        <w:rPr/>
        <w:t>поток,</w:t>
      </w:r>
      <w:r>
        <w:rPr>
          <w:spacing w:val="-5"/>
        </w:rPr>
        <w:t> </w:t>
      </w:r>
      <w:r>
        <w:rPr/>
        <w:t>так</w:t>
      </w:r>
      <w:r>
        <w:rPr>
          <w:spacing w:val="-4"/>
        </w:rPr>
        <w:t> </w:t>
      </w:r>
      <w:r>
        <w:rPr/>
        <w:t>как</w:t>
      </w:r>
      <w:r>
        <w:rPr>
          <w:spacing w:val="-4"/>
        </w:rPr>
        <w:t> </w:t>
      </w:r>
      <w:r>
        <w:rPr/>
        <w:t>высчитывают максимальный поток, исходя из минутной вентиляции пациента.</w:t>
      </w:r>
    </w:p>
    <w:p>
      <w:pPr>
        <w:pStyle w:val="Heading3"/>
        <w:spacing w:before="10"/>
      </w:pPr>
      <w:r>
        <w:rPr>
          <w:spacing w:val="-2"/>
        </w:rPr>
        <w:t>Поэтому</w:t>
      </w:r>
      <w:r>
        <w:rPr>
          <w:spacing w:val="-1"/>
        </w:rPr>
        <w:t> </w:t>
      </w:r>
      <w:r>
        <w:rPr>
          <w:spacing w:val="-2"/>
        </w:rPr>
        <w:t>оптимальным</w:t>
      </w:r>
      <w:r>
        <w:rPr>
          <w:spacing w:val="1"/>
        </w:rPr>
        <w:t> </w:t>
      </w:r>
      <w:r>
        <w:rPr>
          <w:spacing w:val="-2"/>
        </w:rPr>
        <w:t>сочетанием</w:t>
      </w:r>
      <w:r>
        <w:rPr>
          <w:spacing w:val="1"/>
        </w:rPr>
        <w:t> </w:t>
      </w:r>
      <w:r>
        <w:rPr>
          <w:spacing w:val="-2"/>
        </w:rPr>
        <w:t>при</w:t>
      </w:r>
      <w:r>
        <w:rPr>
          <w:spacing w:val="1"/>
        </w:rPr>
        <w:t> </w:t>
      </w:r>
      <w:r>
        <w:rPr>
          <w:spacing w:val="-2"/>
        </w:rPr>
        <w:t>использовании</w:t>
      </w:r>
      <w:r>
        <w:rPr>
          <w:spacing w:val="3"/>
        </w:rPr>
        <w:t> </w:t>
      </w:r>
      <w:r>
        <w:rPr>
          <w:spacing w:val="-2"/>
        </w:rPr>
        <w:t>шлема</w:t>
      </w:r>
      <w:r>
        <w:rPr/>
        <w:t> </w:t>
      </w:r>
      <w:r>
        <w:rPr>
          <w:spacing w:val="-2"/>
        </w:rPr>
        <w:t>будет:</w:t>
      </w:r>
    </w:p>
    <w:p>
      <w:pPr>
        <w:pStyle w:val="ListParagraph"/>
        <w:numPr>
          <w:ilvl w:val="0"/>
          <w:numId w:val="37"/>
        </w:numPr>
        <w:tabs>
          <w:tab w:pos="2546" w:val="left" w:leader="none"/>
        </w:tabs>
        <w:spacing w:line="276" w:lineRule="auto" w:before="55" w:after="0"/>
        <w:ind w:left="1841" w:right="1270" w:firstLine="426"/>
        <w:jc w:val="both"/>
        <w:rPr>
          <w:sz w:val="24"/>
        </w:rPr>
      </w:pPr>
      <w:r>
        <w:rPr>
          <w:sz w:val="24"/>
        </w:rPr>
        <w:t>Система</w:t>
      </w:r>
      <w:r>
        <w:rPr>
          <w:spacing w:val="-1"/>
          <w:sz w:val="24"/>
        </w:rPr>
        <w:t> </w:t>
      </w:r>
      <w:r>
        <w:rPr>
          <w:sz w:val="24"/>
        </w:rPr>
        <w:t>Вентури (с</w:t>
      </w:r>
      <w:r>
        <w:rPr>
          <w:spacing w:val="-2"/>
          <w:sz w:val="24"/>
        </w:rPr>
        <w:t> </w:t>
      </w:r>
      <w:r>
        <w:rPr>
          <w:sz w:val="24"/>
        </w:rPr>
        <w:t>использованием 2-х</w:t>
      </w:r>
      <w:r>
        <w:rPr>
          <w:spacing w:val="-1"/>
          <w:sz w:val="24"/>
        </w:rPr>
        <w:t> </w:t>
      </w:r>
      <w:r>
        <w:rPr>
          <w:sz w:val="24"/>
        </w:rPr>
        <w:t>точек низкопоточного кислорода</w:t>
      </w:r>
      <w:r>
        <w:rPr>
          <w:spacing w:val="-1"/>
          <w:sz w:val="24"/>
        </w:rPr>
        <w:t> </w:t>
      </w:r>
      <w:r>
        <w:rPr>
          <w:sz w:val="24"/>
        </w:rPr>
        <w:t>или одной</w:t>
      </w:r>
      <w:r>
        <w:rPr>
          <w:spacing w:val="40"/>
          <w:sz w:val="24"/>
        </w:rPr>
        <w:t>  </w:t>
      </w:r>
      <w:r>
        <w:rPr>
          <w:sz w:val="24"/>
        </w:rPr>
        <w:t>точки</w:t>
      </w:r>
      <w:r>
        <w:rPr>
          <w:spacing w:val="40"/>
          <w:sz w:val="24"/>
        </w:rPr>
        <w:t>  </w:t>
      </w:r>
      <w:r>
        <w:rPr>
          <w:sz w:val="24"/>
        </w:rPr>
        <w:t>кислорода</w:t>
      </w:r>
      <w:r>
        <w:rPr>
          <w:spacing w:val="40"/>
          <w:sz w:val="24"/>
        </w:rPr>
        <w:t>  </w:t>
      </w:r>
      <w:r>
        <w:rPr>
          <w:sz w:val="24"/>
        </w:rPr>
        <w:t>высокого</w:t>
      </w:r>
      <w:r>
        <w:rPr>
          <w:spacing w:val="40"/>
          <w:sz w:val="24"/>
        </w:rPr>
        <w:t>  </w:t>
      </w:r>
      <w:r>
        <w:rPr>
          <w:sz w:val="24"/>
        </w:rPr>
        <w:t>давления)</w:t>
      </w:r>
      <w:r>
        <w:rPr>
          <w:spacing w:val="40"/>
          <w:sz w:val="24"/>
        </w:rPr>
        <w:t>  </w:t>
      </w:r>
      <w:r>
        <w:rPr>
          <w:sz w:val="24"/>
        </w:rPr>
        <w:t>с</w:t>
      </w:r>
      <w:r>
        <w:rPr>
          <w:spacing w:val="40"/>
          <w:sz w:val="24"/>
        </w:rPr>
        <w:t>  </w:t>
      </w:r>
      <w:r>
        <w:rPr>
          <w:sz w:val="24"/>
        </w:rPr>
        <w:t>выбором</w:t>
      </w:r>
      <w:r>
        <w:rPr>
          <w:spacing w:val="40"/>
          <w:sz w:val="24"/>
        </w:rPr>
        <w:t>  </w:t>
      </w:r>
      <w:r>
        <w:rPr>
          <w:sz w:val="24"/>
        </w:rPr>
        <w:t>потока</w:t>
      </w:r>
      <w:r>
        <w:rPr>
          <w:spacing w:val="40"/>
          <w:sz w:val="24"/>
        </w:rPr>
        <w:t>  </w:t>
      </w:r>
      <w:r>
        <w:rPr>
          <w:sz w:val="24"/>
        </w:rPr>
        <w:t>кислорода</w:t>
      </w:r>
      <w:r>
        <w:rPr>
          <w:spacing w:val="80"/>
          <w:sz w:val="24"/>
        </w:rPr>
        <w:t> </w:t>
      </w:r>
      <w:r>
        <w:rPr>
          <w:sz w:val="24"/>
        </w:rPr>
        <w:t>в соответствии с приложенной производителем таблице потоков для получения результирующего потока в шлеме не менее 60 л/мин</w:t>
      </w:r>
    </w:p>
    <w:p>
      <w:pPr>
        <w:pStyle w:val="ListParagraph"/>
        <w:numPr>
          <w:ilvl w:val="0"/>
          <w:numId w:val="37"/>
        </w:numPr>
        <w:tabs>
          <w:tab w:pos="2546" w:val="left" w:leader="none"/>
        </w:tabs>
        <w:spacing w:line="276" w:lineRule="auto" w:before="14" w:after="0"/>
        <w:ind w:left="1841" w:right="1272" w:firstLine="426"/>
        <w:jc w:val="both"/>
        <w:rPr>
          <w:sz w:val="24"/>
        </w:rPr>
      </w:pPr>
      <w:r>
        <w:rPr>
          <w:sz w:val="24"/>
        </w:rPr>
        <w:t>Сочетание</w:t>
      </w:r>
      <w:r>
        <w:rPr>
          <w:spacing w:val="-3"/>
          <w:sz w:val="24"/>
        </w:rPr>
        <w:t> </w:t>
      </w:r>
      <w:r>
        <w:rPr>
          <w:sz w:val="24"/>
        </w:rPr>
        <w:t>шлема</w:t>
      </w:r>
      <w:r>
        <w:rPr>
          <w:spacing w:val="-5"/>
          <w:sz w:val="24"/>
        </w:rPr>
        <w:t> </w:t>
      </w:r>
      <w:r>
        <w:rPr>
          <w:sz w:val="24"/>
        </w:rPr>
        <w:t>с</w:t>
      </w:r>
      <w:r>
        <w:rPr>
          <w:spacing w:val="-4"/>
          <w:sz w:val="24"/>
        </w:rPr>
        <w:t> </w:t>
      </w:r>
      <w:r>
        <w:rPr>
          <w:sz w:val="24"/>
        </w:rPr>
        <w:t>системой</w:t>
      </w:r>
      <w:r>
        <w:rPr>
          <w:spacing w:val="-2"/>
          <w:sz w:val="24"/>
        </w:rPr>
        <w:t> </w:t>
      </w:r>
      <w:r>
        <w:rPr>
          <w:sz w:val="24"/>
        </w:rPr>
        <w:t>ВПО</w:t>
      </w:r>
      <w:r>
        <w:rPr>
          <w:spacing w:val="-4"/>
          <w:sz w:val="24"/>
        </w:rPr>
        <w:t> </w:t>
      </w:r>
      <w:r>
        <w:rPr>
          <w:sz w:val="24"/>
        </w:rPr>
        <w:t>с</w:t>
      </w:r>
      <w:r>
        <w:rPr>
          <w:spacing w:val="-4"/>
          <w:sz w:val="24"/>
        </w:rPr>
        <w:t> </w:t>
      </w:r>
      <w:r>
        <w:rPr>
          <w:sz w:val="24"/>
        </w:rPr>
        <w:t>потоком</w:t>
      </w:r>
      <w:r>
        <w:rPr>
          <w:spacing w:val="-4"/>
          <w:sz w:val="24"/>
        </w:rPr>
        <w:t> </w:t>
      </w:r>
      <w:r>
        <w:rPr>
          <w:sz w:val="24"/>
        </w:rPr>
        <w:t>не</w:t>
      </w:r>
      <w:r>
        <w:rPr>
          <w:spacing w:val="-5"/>
          <w:sz w:val="24"/>
        </w:rPr>
        <w:t> </w:t>
      </w:r>
      <w:r>
        <w:rPr>
          <w:sz w:val="24"/>
        </w:rPr>
        <w:t>менее</w:t>
      </w:r>
      <w:r>
        <w:rPr>
          <w:spacing w:val="-4"/>
          <w:sz w:val="24"/>
        </w:rPr>
        <w:t> </w:t>
      </w:r>
      <w:r>
        <w:rPr>
          <w:sz w:val="24"/>
        </w:rPr>
        <w:t>60</w:t>
      </w:r>
      <w:r>
        <w:rPr>
          <w:spacing w:val="-4"/>
          <w:sz w:val="24"/>
        </w:rPr>
        <w:t> </w:t>
      </w:r>
      <w:r>
        <w:rPr>
          <w:sz w:val="24"/>
        </w:rPr>
        <w:t>л/мин</w:t>
      </w:r>
      <w:r>
        <w:rPr>
          <w:spacing w:val="-2"/>
          <w:sz w:val="24"/>
        </w:rPr>
        <w:t> </w:t>
      </w:r>
      <w:r>
        <w:rPr>
          <w:sz w:val="24"/>
        </w:rPr>
        <w:t>(в</w:t>
      </w:r>
      <w:r>
        <w:rPr>
          <w:spacing w:val="-4"/>
          <w:sz w:val="24"/>
        </w:rPr>
        <w:t> </w:t>
      </w:r>
      <w:r>
        <w:rPr>
          <w:sz w:val="24"/>
        </w:rPr>
        <w:t>этом</w:t>
      </w:r>
      <w:r>
        <w:rPr>
          <w:spacing w:val="-4"/>
          <w:sz w:val="24"/>
        </w:rPr>
        <w:t> </w:t>
      </w:r>
      <w:r>
        <w:rPr>
          <w:sz w:val="24"/>
        </w:rPr>
        <w:t>случае могут быть использованы аппараты ИВЛ в режиме ВПО)</w:t>
      </w:r>
    </w:p>
    <w:p>
      <w:pPr>
        <w:pStyle w:val="Heading3"/>
        <w:spacing w:before="118"/>
      </w:pPr>
      <w:r>
        <w:rPr>
          <w:b w:val="0"/>
          <w:color w:val="1F487C"/>
        </w:rPr>
        <w:t>«</w:t>
      </w:r>
      <w:r>
        <w:rPr>
          <w:color w:val="1F487C"/>
        </w:rPr>
        <w:t>Ранняя»</w:t>
      </w:r>
      <w:r>
        <w:rPr>
          <w:color w:val="1F487C"/>
          <w:spacing w:val="-13"/>
        </w:rPr>
        <w:t> </w:t>
      </w:r>
      <w:r>
        <w:rPr>
          <w:color w:val="1F487C"/>
        </w:rPr>
        <w:t>или</w:t>
      </w:r>
      <w:r>
        <w:rPr>
          <w:color w:val="1F487C"/>
          <w:spacing w:val="-13"/>
        </w:rPr>
        <w:t> </w:t>
      </w:r>
      <w:r>
        <w:rPr>
          <w:color w:val="1F487C"/>
        </w:rPr>
        <w:t>«поздняя»</w:t>
      </w:r>
      <w:r>
        <w:rPr>
          <w:color w:val="1F487C"/>
          <w:spacing w:val="-13"/>
        </w:rPr>
        <w:t> </w:t>
      </w:r>
      <w:r>
        <w:rPr>
          <w:color w:val="1F487C"/>
        </w:rPr>
        <w:t>интубация</w:t>
      </w:r>
      <w:r>
        <w:rPr>
          <w:color w:val="1F487C"/>
          <w:spacing w:val="-12"/>
        </w:rPr>
        <w:t> </w:t>
      </w:r>
      <w:r>
        <w:rPr>
          <w:color w:val="1F487C"/>
          <w:spacing w:val="-2"/>
        </w:rPr>
        <w:t>трахеи?</w:t>
      </w:r>
    </w:p>
    <w:p>
      <w:pPr>
        <w:pStyle w:val="BodyText"/>
        <w:spacing w:line="312" w:lineRule="auto" w:before="161"/>
        <w:ind w:right="1271" w:firstLine="707"/>
      </w:pPr>
      <w:r>
        <w:rPr/>
        <w:t>Обсервационные исследования и их мета-анализ, включивший более 8000 пациентов</w:t>
      </w:r>
      <w:r>
        <w:rPr>
          <w:spacing w:val="80"/>
        </w:rPr>
        <w:t>  </w:t>
      </w:r>
      <w:r>
        <w:rPr/>
        <w:t>по</w:t>
      </w:r>
      <w:r>
        <w:rPr>
          <w:spacing w:val="80"/>
        </w:rPr>
        <w:t>  </w:t>
      </w:r>
      <w:r>
        <w:rPr/>
        <w:t>всему</w:t>
      </w:r>
      <w:r>
        <w:rPr>
          <w:spacing w:val="80"/>
        </w:rPr>
        <w:t>  </w:t>
      </w:r>
      <w:r>
        <w:rPr/>
        <w:t>миру,</w:t>
      </w:r>
      <w:r>
        <w:rPr>
          <w:spacing w:val="80"/>
        </w:rPr>
        <w:t>  </w:t>
      </w:r>
      <w:r>
        <w:rPr/>
        <w:t>не</w:t>
      </w:r>
      <w:r>
        <w:rPr>
          <w:spacing w:val="80"/>
        </w:rPr>
        <w:t>  </w:t>
      </w:r>
      <w:r>
        <w:rPr/>
        <w:t>продемонстрировали</w:t>
      </w:r>
      <w:r>
        <w:rPr>
          <w:spacing w:val="80"/>
        </w:rPr>
        <w:t>  </w:t>
      </w:r>
      <w:r>
        <w:rPr/>
        <w:t>улучшения</w:t>
      </w:r>
      <w:r>
        <w:rPr>
          <w:spacing w:val="80"/>
        </w:rPr>
        <w:t>  </w:t>
      </w:r>
      <w:r>
        <w:rPr/>
        <w:t>исхода от применения ранней интубации трахеи. В самом крупном из включённых исследований (более 4000 пациентов), а также других исследованиях было продемонстрировано, что само по себе время интубации не играет решающей роли, так</w:t>
      </w:r>
      <w:r>
        <w:rPr>
          <w:spacing w:val="40"/>
        </w:rPr>
        <w:t> </w:t>
      </w:r>
      <w:r>
        <w:rPr/>
        <w:t>как</w:t>
      </w:r>
      <w:r>
        <w:rPr>
          <w:spacing w:val="41"/>
        </w:rPr>
        <w:t> </w:t>
      </w:r>
      <w:r>
        <w:rPr/>
        <w:t>у</w:t>
      </w:r>
      <w:r>
        <w:rPr>
          <w:spacing w:val="40"/>
        </w:rPr>
        <w:t> </w:t>
      </w:r>
      <w:r>
        <w:rPr/>
        <w:t>каждого</w:t>
      </w:r>
      <w:r>
        <w:rPr>
          <w:spacing w:val="40"/>
        </w:rPr>
        <w:t> </w:t>
      </w:r>
      <w:r>
        <w:rPr/>
        <w:t>пациента</w:t>
      </w:r>
      <w:r>
        <w:rPr>
          <w:spacing w:val="40"/>
        </w:rPr>
        <w:t> </w:t>
      </w:r>
      <w:r>
        <w:rPr/>
        <w:t>разная</w:t>
      </w:r>
      <w:r>
        <w:rPr>
          <w:spacing w:val="41"/>
        </w:rPr>
        <w:t> </w:t>
      </w:r>
      <w:r>
        <w:rPr/>
        <w:t>степень</w:t>
      </w:r>
      <w:r>
        <w:rPr>
          <w:spacing w:val="41"/>
        </w:rPr>
        <w:t> </w:t>
      </w:r>
      <w:r>
        <w:rPr/>
        <w:t>вовлечения</w:t>
      </w:r>
      <w:r>
        <w:rPr>
          <w:spacing w:val="41"/>
        </w:rPr>
        <w:t> </w:t>
      </w:r>
      <w:r>
        <w:rPr/>
        <w:t>легких</w:t>
      </w:r>
      <w:r>
        <w:rPr>
          <w:spacing w:val="40"/>
        </w:rPr>
        <w:t> </w:t>
      </w:r>
      <w:r>
        <w:rPr/>
        <w:t>и</w:t>
      </w:r>
      <w:r>
        <w:rPr>
          <w:spacing w:val="41"/>
        </w:rPr>
        <w:t> </w:t>
      </w:r>
      <w:r>
        <w:rPr/>
        <w:t>разная</w:t>
      </w:r>
      <w:r>
        <w:rPr>
          <w:spacing w:val="41"/>
        </w:rPr>
        <w:t> </w:t>
      </w:r>
      <w:r>
        <w:rPr>
          <w:spacing w:val="-2"/>
        </w:rPr>
        <w:t>скорость</w:t>
      </w:r>
    </w:p>
    <w:p>
      <w:pPr>
        <w:pStyle w:val="BodyText"/>
        <w:spacing w:after="0" w:line="312" w:lineRule="auto"/>
        <w:sectPr>
          <w:pgSz w:w="11900" w:h="16840"/>
          <w:pgMar w:header="0" w:footer="697" w:top="1080" w:bottom="880" w:left="0" w:right="0"/>
        </w:sectPr>
      </w:pPr>
    </w:p>
    <w:p>
      <w:pPr>
        <w:pStyle w:val="BodyText"/>
        <w:spacing w:line="312" w:lineRule="auto" w:before="73"/>
        <w:ind w:right="1271"/>
      </w:pPr>
      <w:bookmarkStart w:name="79" w:id="95"/>
      <w:bookmarkEnd w:id="95"/>
      <w:r>
        <w:rPr/>
      </w:r>
      <w:r>
        <w:rPr/>
        <w:t>прогрессирования</w:t>
      </w:r>
      <w:r>
        <w:rPr>
          <w:spacing w:val="40"/>
        </w:rPr>
        <w:t> </w:t>
      </w:r>
      <w:r>
        <w:rPr/>
        <w:t>поражения</w:t>
      </w:r>
      <w:r>
        <w:rPr>
          <w:spacing w:val="40"/>
        </w:rPr>
        <w:t> </w:t>
      </w:r>
      <w:r>
        <w:rPr/>
        <w:t>лёгких.</w:t>
      </w:r>
      <w:r>
        <w:rPr>
          <w:spacing w:val="40"/>
        </w:rPr>
        <w:t>  </w:t>
      </w:r>
      <w:r>
        <w:rPr/>
        <w:t>Более</w:t>
      </w:r>
      <w:r>
        <w:rPr>
          <w:spacing w:val="40"/>
        </w:rPr>
        <w:t> </w:t>
      </w:r>
      <w:r>
        <w:rPr/>
        <w:t>того,</w:t>
      </w:r>
      <w:r>
        <w:rPr>
          <w:spacing w:val="40"/>
        </w:rPr>
        <w:t> </w:t>
      </w:r>
      <w:r>
        <w:rPr/>
        <w:t>пациенты,</w:t>
      </w:r>
      <w:r>
        <w:rPr>
          <w:spacing w:val="40"/>
        </w:rPr>
        <w:t> </w:t>
      </w:r>
      <w:r>
        <w:rPr/>
        <w:t>которые</w:t>
      </w:r>
      <w:r>
        <w:rPr>
          <w:spacing w:val="40"/>
        </w:rPr>
        <w:t> </w:t>
      </w:r>
      <w:r>
        <w:rPr/>
        <w:t>нуждались</w:t>
      </w:r>
      <w:r>
        <w:rPr>
          <w:spacing w:val="40"/>
        </w:rPr>
        <w:t> </w:t>
      </w:r>
      <w:r>
        <w:rPr/>
        <w:t>в ранней интубации трахеи (в первые 48 часов от начала ВПО, СРАР или НИВЛ),</w:t>
      </w:r>
      <w:r>
        <w:rPr>
          <w:spacing w:val="40"/>
        </w:rPr>
        <w:t> </w:t>
      </w:r>
      <w:r>
        <w:rPr/>
        <w:t>как правило, уже имели полиорганную недостаточность.</w:t>
      </w:r>
    </w:p>
    <w:p>
      <w:pPr>
        <w:pStyle w:val="BodyText"/>
        <w:spacing w:line="312" w:lineRule="auto" w:before="12"/>
        <w:ind w:right="1271" w:firstLine="707"/>
      </w:pPr>
      <w:r>
        <w:rPr/>
        <w:t>Однако,</w:t>
      </w:r>
      <w:r>
        <w:rPr>
          <w:spacing w:val="-13"/>
        </w:rPr>
        <w:t> </w:t>
      </w:r>
      <w:r>
        <w:rPr/>
        <w:t>задержка</w:t>
      </w:r>
      <w:r>
        <w:rPr>
          <w:spacing w:val="-15"/>
        </w:rPr>
        <w:t> </w:t>
      </w:r>
      <w:r>
        <w:rPr/>
        <w:t>интубации</w:t>
      </w:r>
      <w:r>
        <w:rPr>
          <w:spacing w:val="-15"/>
        </w:rPr>
        <w:t> </w:t>
      </w:r>
      <w:r>
        <w:rPr/>
        <w:t>трахеи</w:t>
      </w:r>
      <w:r>
        <w:rPr>
          <w:spacing w:val="-15"/>
        </w:rPr>
        <w:t> </w:t>
      </w:r>
      <w:r>
        <w:rPr/>
        <w:t>при</w:t>
      </w:r>
      <w:r>
        <w:rPr>
          <w:spacing w:val="-15"/>
        </w:rPr>
        <w:t> </w:t>
      </w:r>
      <w:r>
        <w:rPr/>
        <w:t>наличии</w:t>
      </w:r>
      <w:r>
        <w:rPr>
          <w:spacing w:val="-15"/>
        </w:rPr>
        <w:t> </w:t>
      </w:r>
      <w:r>
        <w:rPr/>
        <w:t>показаний</w:t>
      </w:r>
      <w:r>
        <w:rPr>
          <w:spacing w:val="-14"/>
        </w:rPr>
        <w:t> </w:t>
      </w:r>
      <w:r>
        <w:rPr/>
        <w:t>к</w:t>
      </w:r>
      <w:r>
        <w:rPr>
          <w:spacing w:val="-15"/>
        </w:rPr>
        <w:t> </w:t>
      </w:r>
      <w:r>
        <w:rPr/>
        <w:t>ней</w:t>
      </w:r>
      <w:r>
        <w:rPr>
          <w:spacing w:val="-15"/>
        </w:rPr>
        <w:t> </w:t>
      </w:r>
      <w:r>
        <w:rPr/>
        <w:t>(в</w:t>
      </w:r>
      <w:r>
        <w:rPr>
          <w:spacing w:val="-15"/>
        </w:rPr>
        <w:t> </w:t>
      </w:r>
      <w:r>
        <w:rPr/>
        <w:t>том</w:t>
      </w:r>
      <w:r>
        <w:rPr>
          <w:spacing w:val="-15"/>
        </w:rPr>
        <w:t> </w:t>
      </w:r>
      <w:r>
        <w:rPr/>
        <w:t>числе, при наличии признаков «респираторного дистресса») приводит к ухудшению прогноза. У этих пациентов интубация трахеи должна быть выполнена не позднее</w:t>
      </w:r>
      <w:r>
        <w:rPr>
          <w:spacing w:val="80"/>
          <w:w w:val="150"/>
        </w:rPr>
        <w:t> </w:t>
      </w:r>
      <w:r>
        <w:rPr/>
        <w:t>24 часов при сохранении признаков «респираторного дистресса».</w:t>
      </w:r>
    </w:p>
    <w:p>
      <w:pPr>
        <w:pStyle w:val="Heading3"/>
        <w:spacing w:before="119"/>
      </w:pPr>
      <w:r>
        <w:rPr>
          <w:color w:val="1F487C"/>
        </w:rPr>
        <w:t>Показания</w:t>
      </w:r>
      <w:r>
        <w:rPr>
          <w:color w:val="1F487C"/>
          <w:spacing w:val="-11"/>
        </w:rPr>
        <w:t> </w:t>
      </w:r>
      <w:r>
        <w:rPr>
          <w:color w:val="1F487C"/>
        </w:rPr>
        <w:t>для</w:t>
      </w:r>
      <w:r>
        <w:rPr>
          <w:color w:val="1F487C"/>
          <w:spacing w:val="-15"/>
        </w:rPr>
        <w:t> </w:t>
      </w:r>
      <w:r>
        <w:rPr>
          <w:color w:val="1F487C"/>
        </w:rPr>
        <w:t>интубации</w:t>
      </w:r>
      <w:r>
        <w:rPr>
          <w:color w:val="1F487C"/>
          <w:spacing w:val="-11"/>
        </w:rPr>
        <w:t> </w:t>
      </w:r>
      <w:r>
        <w:rPr>
          <w:color w:val="1F487C"/>
        </w:rPr>
        <w:t>трахеи</w:t>
      </w:r>
      <w:r>
        <w:rPr>
          <w:color w:val="1F487C"/>
          <w:spacing w:val="-13"/>
        </w:rPr>
        <w:t> </w:t>
      </w:r>
      <w:r>
        <w:rPr>
          <w:color w:val="1F487C"/>
        </w:rPr>
        <w:t>(достаточно</w:t>
      </w:r>
      <w:r>
        <w:rPr>
          <w:color w:val="1F487C"/>
          <w:spacing w:val="-13"/>
        </w:rPr>
        <w:t> </w:t>
      </w:r>
      <w:r>
        <w:rPr>
          <w:color w:val="1F487C"/>
        </w:rPr>
        <w:t>одного</w:t>
      </w:r>
      <w:r>
        <w:rPr>
          <w:color w:val="1F487C"/>
          <w:spacing w:val="-11"/>
        </w:rPr>
        <w:t> </w:t>
      </w:r>
      <w:r>
        <w:rPr>
          <w:color w:val="1F487C"/>
          <w:spacing w:val="-2"/>
        </w:rPr>
        <w:t>критерия):</w:t>
      </w:r>
    </w:p>
    <w:p>
      <w:pPr>
        <w:pStyle w:val="ListParagraph"/>
        <w:numPr>
          <w:ilvl w:val="1"/>
          <w:numId w:val="37"/>
        </w:numPr>
        <w:tabs>
          <w:tab w:pos="2548" w:val="left" w:leader="none"/>
        </w:tabs>
        <w:spacing w:line="240" w:lineRule="auto" w:before="162" w:after="0"/>
        <w:ind w:left="2548" w:right="0" w:hanging="282"/>
        <w:jc w:val="left"/>
        <w:rPr>
          <w:rFonts w:ascii="Symbol" w:hAnsi="Symbol"/>
          <w:sz w:val="24"/>
        </w:rPr>
      </w:pPr>
      <w:r>
        <w:rPr>
          <w:sz w:val="24"/>
        </w:rPr>
        <w:t>Остановка</w:t>
      </w:r>
      <w:r>
        <w:rPr>
          <w:spacing w:val="-15"/>
          <w:sz w:val="24"/>
        </w:rPr>
        <w:t> </w:t>
      </w:r>
      <w:r>
        <w:rPr>
          <w:spacing w:val="-2"/>
          <w:sz w:val="24"/>
        </w:rPr>
        <w:t>дыхания;</w:t>
      </w:r>
    </w:p>
    <w:p>
      <w:pPr>
        <w:pStyle w:val="ListParagraph"/>
        <w:numPr>
          <w:ilvl w:val="1"/>
          <w:numId w:val="37"/>
        </w:numPr>
        <w:tabs>
          <w:tab w:pos="2548" w:val="left" w:leader="none"/>
        </w:tabs>
        <w:spacing w:line="240" w:lineRule="auto" w:before="42" w:after="0"/>
        <w:ind w:left="2548" w:right="0" w:hanging="282"/>
        <w:jc w:val="left"/>
        <w:rPr>
          <w:rFonts w:ascii="Symbol" w:hAnsi="Symbol"/>
          <w:sz w:val="24"/>
        </w:rPr>
      </w:pPr>
      <w:r>
        <w:rPr>
          <w:sz w:val="24"/>
        </w:rPr>
        <w:t>Угнетение</w:t>
      </w:r>
      <w:r>
        <w:rPr>
          <w:spacing w:val="-6"/>
          <w:sz w:val="24"/>
        </w:rPr>
        <w:t> </w:t>
      </w:r>
      <w:r>
        <w:rPr>
          <w:sz w:val="24"/>
        </w:rPr>
        <w:t>сознания</w:t>
      </w:r>
      <w:r>
        <w:rPr>
          <w:spacing w:val="-5"/>
          <w:sz w:val="24"/>
        </w:rPr>
        <w:t> </w:t>
      </w:r>
      <w:r>
        <w:rPr>
          <w:sz w:val="24"/>
        </w:rPr>
        <w:t>или</w:t>
      </w:r>
      <w:r>
        <w:rPr>
          <w:spacing w:val="-4"/>
          <w:sz w:val="24"/>
        </w:rPr>
        <w:t> </w:t>
      </w:r>
      <w:r>
        <w:rPr>
          <w:spacing w:val="-2"/>
          <w:sz w:val="24"/>
        </w:rPr>
        <w:t>возбуждение;</w:t>
      </w:r>
    </w:p>
    <w:p>
      <w:pPr>
        <w:pStyle w:val="ListParagraph"/>
        <w:numPr>
          <w:ilvl w:val="1"/>
          <w:numId w:val="37"/>
        </w:numPr>
        <w:tabs>
          <w:tab w:pos="2548" w:val="left" w:leader="none"/>
        </w:tabs>
        <w:spacing w:line="240" w:lineRule="auto" w:before="40" w:after="0"/>
        <w:ind w:left="2548" w:right="0" w:hanging="282"/>
        <w:jc w:val="left"/>
        <w:rPr>
          <w:rFonts w:ascii="Symbol" w:hAnsi="Symbol"/>
          <w:sz w:val="24"/>
        </w:rPr>
      </w:pPr>
      <w:r>
        <w:rPr>
          <w:spacing w:val="-2"/>
          <w:sz w:val="24"/>
        </w:rPr>
        <w:t>Артериальная</w:t>
      </w:r>
      <w:r>
        <w:rPr>
          <w:spacing w:val="2"/>
          <w:sz w:val="24"/>
        </w:rPr>
        <w:t> </w:t>
      </w:r>
      <w:r>
        <w:rPr>
          <w:spacing w:val="-2"/>
          <w:sz w:val="24"/>
        </w:rPr>
        <w:t>гипотензия,</w:t>
      </w:r>
      <w:r>
        <w:rPr>
          <w:spacing w:val="2"/>
          <w:sz w:val="24"/>
        </w:rPr>
        <w:t> </w:t>
      </w:r>
      <w:r>
        <w:rPr>
          <w:spacing w:val="-2"/>
          <w:sz w:val="24"/>
        </w:rPr>
        <w:t>требующая</w:t>
      </w:r>
      <w:r>
        <w:rPr>
          <w:spacing w:val="3"/>
          <w:sz w:val="24"/>
        </w:rPr>
        <w:t> </w:t>
      </w:r>
      <w:r>
        <w:rPr>
          <w:spacing w:val="-2"/>
          <w:sz w:val="24"/>
        </w:rPr>
        <w:t>применения</w:t>
      </w:r>
      <w:r>
        <w:rPr>
          <w:spacing w:val="2"/>
          <w:sz w:val="24"/>
        </w:rPr>
        <w:t> </w:t>
      </w:r>
      <w:r>
        <w:rPr>
          <w:spacing w:val="-2"/>
          <w:sz w:val="24"/>
        </w:rPr>
        <w:t>катехоламинов</w:t>
      </w:r>
    </w:p>
    <w:p>
      <w:pPr>
        <w:pStyle w:val="ListParagraph"/>
        <w:numPr>
          <w:ilvl w:val="1"/>
          <w:numId w:val="37"/>
        </w:numPr>
        <w:tabs>
          <w:tab w:pos="2548" w:val="left" w:leader="none"/>
        </w:tabs>
        <w:spacing w:line="240" w:lineRule="auto" w:before="41" w:after="0"/>
        <w:ind w:left="2548" w:right="0" w:hanging="282"/>
        <w:jc w:val="left"/>
        <w:rPr>
          <w:rFonts w:ascii="Symbol" w:hAnsi="Symbol"/>
          <w:sz w:val="24"/>
        </w:rPr>
      </w:pPr>
      <w:r>
        <w:rPr>
          <w:spacing w:val="-5"/>
          <w:sz w:val="24"/>
        </w:rPr>
        <w:t>Шок</w:t>
      </w:r>
    </w:p>
    <w:p>
      <w:pPr>
        <w:pStyle w:val="ListParagraph"/>
        <w:numPr>
          <w:ilvl w:val="1"/>
          <w:numId w:val="37"/>
        </w:numPr>
        <w:tabs>
          <w:tab w:pos="2548" w:val="left" w:leader="none"/>
        </w:tabs>
        <w:spacing w:line="240" w:lineRule="auto" w:before="40" w:after="0"/>
        <w:ind w:left="2548" w:right="0" w:hanging="282"/>
        <w:jc w:val="left"/>
        <w:rPr>
          <w:rFonts w:ascii="Symbol" w:hAnsi="Symbol"/>
          <w:sz w:val="24"/>
        </w:rPr>
      </w:pPr>
      <w:r>
        <w:rPr>
          <w:spacing w:val="-2"/>
          <w:sz w:val="24"/>
        </w:rPr>
        <w:t>Полиорганная</w:t>
      </w:r>
      <w:r>
        <w:rPr>
          <w:spacing w:val="3"/>
          <w:sz w:val="24"/>
        </w:rPr>
        <w:t> </w:t>
      </w:r>
      <w:r>
        <w:rPr>
          <w:spacing w:val="-2"/>
          <w:sz w:val="24"/>
        </w:rPr>
        <w:t>недостаточность</w:t>
      </w:r>
    </w:p>
    <w:p>
      <w:pPr>
        <w:pStyle w:val="ListParagraph"/>
        <w:numPr>
          <w:ilvl w:val="1"/>
          <w:numId w:val="37"/>
        </w:numPr>
        <w:tabs>
          <w:tab w:pos="2549" w:val="left" w:leader="none"/>
        </w:tabs>
        <w:spacing w:line="268" w:lineRule="auto" w:before="41" w:after="0"/>
        <w:ind w:left="2549" w:right="1377" w:hanging="283"/>
        <w:jc w:val="left"/>
        <w:rPr>
          <w:rFonts w:ascii="Symbol" w:hAnsi="Symbol"/>
          <w:position w:val="2"/>
          <w:sz w:val="24"/>
        </w:rPr>
      </w:pPr>
      <w:r>
        <w:rPr>
          <w:position w:val="2"/>
          <w:sz w:val="24"/>
        </w:rPr>
        <w:t>Сохранение</w:t>
      </w:r>
      <w:r>
        <w:rPr>
          <w:spacing w:val="-4"/>
          <w:position w:val="2"/>
          <w:sz w:val="24"/>
        </w:rPr>
        <w:t> </w:t>
      </w:r>
      <w:r>
        <w:rPr>
          <w:position w:val="2"/>
          <w:sz w:val="24"/>
        </w:rPr>
        <w:t>тахипноэ</w:t>
      </w:r>
      <w:r>
        <w:rPr>
          <w:spacing w:val="-4"/>
          <w:position w:val="2"/>
          <w:sz w:val="24"/>
        </w:rPr>
        <w:t> </w:t>
      </w:r>
      <w:r>
        <w:rPr>
          <w:position w:val="2"/>
          <w:sz w:val="24"/>
        </w:rPr>
        <w:t>более</w:t>
      </w:r>
      <w:r>
        <w:rPr>
          <w:spacing w:val="-4"/>
          <w:position w:val="2"/>
          <w:sz w:val="24"/>
        </w:rPr>
        <w:t> </w:t>
      </w:r>
      <w:r>
        <w:rPr>
          <w:position w:val="2"/>
          <w:sz w:val="24"/>
        </w:rPr>
        <w:t>30</w:t>
      </w:r>
      <w:r>
        <w:rPr>
          <w:spacing w:val="-4"/>
          <w:position w:val="2"/>
          <w:sz w:val="24"/>
        </w:rPr>
        <w:t> </w:t>
      </w:r>
      <w:r>
        <w:rPr>
          <w:position w:val="2"/>
          <w:sz w:val="24"/>
        </w:rPr>
        <w:t>в</w:t>
      </w:r>
      <w:r>
        <w:rPr>
          <w:spacing w:val="-4"/>
          <w:position w:val="2"/>
          <w:sz w:val="24"/>
        </w:rPr>
        <w:t> </w:t>
      </w:r>
      <w:r>
        <w:rPr>
          <w:position w:val="2"/>
          <w:sz w:val="24"/>
        </w:rPr>
        <w:t>мин</w:t>
      </w:r>
      <w:r>
        <w:rPr>
          <w:spacing w:val="-3"/>
          <w:position w:val="2"/>
          <w:sz w:val="24"/>
        </w:rPr>
        <w:t> </w:t>
      </w:r>
      <w:r>
        <w:rPr>
          <w:position w:val="2"/>
          <w:sz w:val="24"/>
        </w:rPr>
        <w:t>и/или</w:t>
      </w:r>
      <w:r>
        <w:rPr>
          <w:spacing w:val="-3"/>
          <w:position w:val="2"/>
          <w:sz w:val="24"/>
        </w:rPr>
        <w:t> </w:t>
      </w:r>
      <w:r>
        <w:rPr>
          <w:position w:val="2"/>
          <w:sz w:val="24"/>
        </w:rPr>
        <w:t>PaO</w:t>
      </w:r>
      <w:r>
        <w:rPr>
          <w:sz w:val="16"/>
        </w:rPr>
        <w:t>2</w:t>
      </w:r>
      <w:r>
        <w:rPr>
          <w:position w:val="2"/>
          <w:sz w:val="24"/>
        </w:rPr>
        <w:t>/FiO</w:t>
      </w:r>
      <w:r>
        <w:rPr>
          <w:sz w:val="16"/>
        </w:rPr>
        <w:t>2</w:t>
      </w:r>
      <w:r>
        <w:rPr>
          <w:spacing w:val="18"/>
          <w:sz w:val="16"/>
        </w:rPr>
        <w:t> </w:t>
      </w:r>
      <w:r>
        <w:rPr>
          <w:position w:val="2"/>
          <w:sz w:val="24"/>
        </w:rPr>
        <w:t>&lt;</w:t>
      </w:r>
      <w:r>
        <w:rPr>
          <w:spacing w:val="-4"/>
          <w:position w:val="2"/>
          <w:sz w:val="24"/>
        </w:rPr>
        <w:t> </w:t>
      </w:r>
      <w:r>
        <w:rPr>
          <w:position w:val="2"/>
          <w:sz w:val="24"/>
        </w:rPr>
        <w:t>100</w:t>
      </w:r>
      <w:r>
        <w:rPr>
          <w:spacing w:val="-4"/>
          <w:position w:val="2"/>
          <w:sz w:val="24"/>
        </w:rPr>
        <w:t> </w:t>
      </w:r>
      <w:r>
        <w:rPr>
          <w:position w:val="2"/>
          <w:sz w:val="24"/>
        </w:rPr>
        <w:t>мм</w:t>
      </w:r>
      <w:r>
        <w:rPr>
          <w:spacing w:val="-5"/>
          <w:position w:val="2"/>
          <w:sz w:val="24"/>
        </w:rPr>
        <w:t> </w:t>
      </w:r>
      <w:r>
        <w:rPr>
          <w:position w:val="2"/>
          <w:sz w:val="24"/>
        </w:rPr>
        <w:t>рт</w:t>
      </w:r>
      <w:r>
        <w:rPr>
          <w:spacing w:val="-4"/>
          <w:position w:val="2"/>
          <w:sz w:val="24"/>
        </w:rPr>
        <w:t> </w:t>
      </w:r>
      <w:r>
        <w:rPr>
          <w:position w:val="2"/>
          <w:sz w:val="24"/>
        </w:rPr>
        <w:t>ст</w:t>
      </w:r>
      <w:r>
        <w:rPr>
          <w:spacing w:val="-4"/>
          <w:position w:val="2"/>
          <w:sz w:val="24"/>
        </w:rPr>
        <w:t> </w:t>
      </w:r>
      <w:r>
        <w:rPr>
          <w:position w:val="2"/>
          <w:sz w:val="24"/>
        </w:rPr>
        <w:t>более</w:t>
      </w:r>
      <w:r>
        <w:rPr>
          <w:spacing w:val="-4"/>
          <w:position w:val="2"/>
          <w:sz w:val="24"/>
        </w:rPr>
        <w:t> </w:t>
      </w:r>
      <w:r>
        <w:rPr>
          <w:position w:val="2"/>
          <w:sz w:val="24"/>
        </w:rPr>
        <w:t>24 </w:t>
      </w:r>
      <w:r>
        <w:rPr>
          <w:sz w:val="24"/>
        </w:rPr>
        <w:t>часов на фоне СРАР, НИВЛ или ВПО</w:t>
      </w:r>
    </w:p>
    <w:p>
      <w:pPr>
        <w:pStyle w:val="ListParagraph"/>
        <w:numPr>
          <w:ilvl w:val="1"/>
          <w:numId w:val="37"/>
        </w:numPr>
        <w:tabs>
          <w:tab w:pos="2548" w:val="left" w:leader="none"/>
        </w:tabs>
        <w:spacing w:line="240" w:lineRule="auto" w:before="10" w:after="0"/>
        <w:ind w:left="2548" w:right="0" w:hanging="282"/>
        <w:jc w:val="left"/>
        <w:rPr>
          <w:rFonts w:ascii="Symbol" w:hAnsi="Symbol"/>
          <w:sz w:val="24"/>
        </w:rPr>
      </w:pPr>
      <w:r>
        <w:rPr>
          <w:sz w:val="24"/>
        </w:rPr>
        <w:t>ROX-индекс</w:t>
      </w:r>
      <w:r>
        <w:rPr>
          <w:spacing w:val="-8"/>
          <w:sz w:val="24"/>
        </w:rPr>
        <w:t> </w:t>
      </w:r>
      <w:r>
        <w:rPr>
          <w:sz w:val="24"/>
        </w:rPr>
        <w:t>менее</w:t>
      </w:r>
      <w:r>
        <w:rPr>
          <w:spacing w:val="-7"/>
          <w:sz w:val="24"/>
        </w:rPr>
        <w:t> </w:t>
      </w:r>
      <w:r>
        <w:rPr>
          <w:sz w:val="24"/>
        </w:rPr>
        <w:t>5</w:t>
      </w:r>
      <w:r>
        <w:rPr>
          <w:spacing w:val="-8"/>
          <w:sz w:val="24"/>
        </w:rPr>
        <w:t> </w:t>
      </w:r>
      <w:r>
        <w:rPr>
          <w:sz w:val="24"/>
        </w:rPr>
        <w:t>через</w:t>
      </w:r>
      <w:r>
        <w:rPr>
          <w:spacing w:val="-7"/>
          <w:sz w:val="24"/>
        </w:rPr>
        <w:t> </w:t>
      </w:r>
      <w:r>
        <w:rPr>
          <w:sz w:val="24"/>
        </w:rPr>
        <w:t>24</w:t>
      </w:r>
      <w:r>
        <w:rPr>
          <w:spacing w:val="-7"/>
          <w:sz w:val="24"/>
        </w:rPr>
        <w:t> </w:t>
      </w:r>
      <w:r>
        <w:rPr>
          <w:sz w:val="24"/>
        </w:rPr>
        <w:t>часа</w:t>
      </w:r>
      <w:r>
        <w:rPr>
          <w:spacing w:val="-8"/>
          <w:sz w:val="24"/>
        </w:rPr>
        <w:t> </w:t>
      </w:r>
      <w:r>
        <w:rPr>
          <w:sz w:val="24"/>
        </w:rPr>
        <w:t>от</w:t>
      </w:r>
      <w:r>
        <w:rPr>
          <w:spacing w:val="-7"/>
          <w:sz w:val="24"/>
        </w:rPr>
        <w:t> </w:t>
      </w:r>
      <w:r>
        <w:rPr>
          <w:sz w:val="24"/>
        </w:rPr>
        <w:t>начала</w:t>
      </w:r>
      <w:r>
        <w:rPr>
          <w:spacing w:val="-8"/>
          <w:sz w:val="24"/>
        </w:rPr>
        <w:t> </w:t>
      </w:r>
      <w:r>
        <w:rPr>
          <w:sz w:val="24"/>
        </w:rPr>
        <w:t>СРАР,</w:t>
      </w:r>
      <w:r>
        <w:rPr>
          <w:spacing w:val="-7"/>
          <w:sz w:val="24"/>
        </w:rPr>
        <w:t> </w:t>
      </w:r>
      <w:r>
        <w:rPr>
          <w:sz w:val="24"/>
        </w:rPr>
        <w:t>НИВЛ</w:t>
      </w:r>
      <w:r>
        <w:rPr>
          <w:spacing w:val="-8"/>
          <w:sz w:val="24"/>
        </w:rPr>
        <w:t> </w:t>
      </w:r>
      <w:r>
        <w:rPr>
          <w:sz w:val="24"/>
        </w:rPr>
        <w:t>или</w:t>
      </w:r>
      <w:r>
        <w:rPr>
          <w:spacing w:val="-6"/>
          <w:sz w:val="24"/>
        </w:rPr>
        <w:t> </w:t>
      </w:r>
      <w:r>
        <w:rPr>
          <w:spacing w:val="-5"/>
          <w:sz w:val="24"/>
        </w:rPr>
        <w:t>ВПО</w:t>
      </w:r>
    </w:p>
    <w:p>
      <w:pPr>
        <w:pStyle w:val="ListParagraph"/>
        <w:numPr>
          <w:ilvl w:val="1"/>
          <w:numId w:val="37"/>
        </w:numPr>
        <w:tabs>
          <w:tab w:pos="2549" w:val="left" w:leader="none"/>
        </w:tabs>
        <w:spacing w:line="271" w:lineRule="auto" w:before="42" w:after="0"/>
        <w:ind w:left="2549" w:right="1867" w:hanging="283"/>
        <w:jc w:val="left"/>
        <w:rPr>
          <w:rFonts w:ascii="Symbol" w:hAnsi="Symbol"/>
          <w:sz w:val="24"/>
        </w:rPr>
      </w:pPr>
      <w:r>
        <w:rPr>
          <w:sz w:val="24"/>
        </w:rPr>
        <w:t>Видимая</w:t>
      </w:r>
      <w:r>
        <w:rPr>
          <w:spacing w:val="-5"/>
          <w:sz w:val="24"/>
        </w:rPr>
        <w:t> </w:t>
      </w:r>
      <w:r>
        <w:rPr>
          <w:sz w:val="24"/>
        </w:rPr>
        <w:t>работа</w:t>
      </w:r>
      <w:r>
        <w:rPr>
          <w:spacing w:val="-5"/>
          <w:sz w:val="24"/>
        </w:rPr>
        <w:t> </w:t>
      </w:r>
      <w:r>
        <w:rPr>
          <w:sz w:val="24"/>
        </w:rPr>
        <w:t>шейных</w:t>
      </w:r>
      <w:r>
        <w:rPr>
          <w:spacing w:val="-5"/>
          <w:sz w:val="24"/>
        </w:rPr>
        <w:t> </w:t>
      </w:r>
      <w:r>
        <w:rPr>
          <w:sz w:val="24"/>
        </w:rPr>
        <w:t>дыхательных</w:t>
      </w:r>
      <w:r>
        <w:rPr>
          <w:spacing w:val="-5"/>
          <w:sz w:val="24"/>
        </w:rPr>
        <w:t> </w:t>
      </w:r>
      <w:r>
        <w:rPr>
          <w:sz w:val="24"/>
        </w:rPr>
        <w:t>мышц</w:t>
      </w:r>
      <w:r>
        <w:rPr>
          <w:spacing w:val="-4"/>
          <w:sz w:val="24"/>
        </w:rPr>
        <w:t> </w:t>
      </w:r>
      <w:r>
        <w:rPr>
          <w:sz w:val="24"/>
        </w:rPr>
        <w:t>(2</w:t>
      </w:r>
      <w:r>
        <w:rPr>
          <w:spacing w:val="-5"/>
          <w:sz w:val="24"/>
        </w:rPr>
        <w:t> </w:t>
      </w:r>
      <w:r>
        <w:rPr>
          <w:sz w:val="24"/>
        </w:rPr>
        <w:t>и</w:t>
      </w:r>
      <w:r>
        <w:rPr>
          <w:spacing w:val="-5"/>
          <w:sz w:val="24"/>
        </w:rPr>
        <w:t> </w:t>
      </w:r>
      <w:r>
        <w:rPr>
          <w:sz w:val="24"/>
        </w:rPr>
        <w:t>более</w:t>
      </w:r>
      <w:r>
        <w:rPr>
          <w:spacing w:val="-5"/>
          <w:sz w:val="24"/>
        </w:rPr>
        <w:t> </w:t>
      </w:r>
      <w:r>
        <w:rPr>
          <w:sz w:val="24"/>
        </w:rPr>
        <w:t>баллов</w:t>
      </w:r>
      <w:r>
        <w:rPr>
          <w:spacing w:val="-5"/>
          <w:sz w:val="24"/>
        </w:rPr>
        <w:t> </w:t>
      </w:r>
      <w:r>
        <w:rPr>
          <w:sz w:val="24"/>
        </w:rPr>
        <w:t>по</w:t>
      </w:r>
      <w:r>
        <w:rPr>
          <w:spacing w:val="-5"/>
          <w:sz w:val="24"/>
        </w:rPr>
        <w:t> </w:t>
      </w:r>
      <w:r>
        <w:rPr>
          <w:sz w:val="24"/>
        </w:rPr>
        <w:t>шкале Patrick) через 24 часа после начала НИВЛ, СРАР</w:t>
      </w:r>
    </w:p>
    <w:p>
      <w:pPr>
        <w:pStyle w:val="BodyText"/>
        <w:spacing w:before="166"/>
        <w:ind w:left="0"/>
        <w:jc w:val="left"/>
      </w:pPr>
    </w:p>
    <w:p>
      <w:pPr>
        <w:pStyle w:val="Heading3"/>
        <w:jc w:val="left"/>
      </w:pPr>
      <w:r>
        <w:rPr>
          <w:color w:val="1F487C"/>
        </w:rPr>
        <w:t>Рациональное</w:t>
      </w:r>
      <w:r>
        <w:rPr>
          <w:color w:val="1F487C"/>
          <w:spacing w:val="45"/>
        </w:rPr>
        <w:t> </w:t>
      </w:r>
      <w:r>
        <w:rPr>
          <w:color w:val="1F487C"/>
        </w:rPr>
        <w:t>использование</w:t>
      </w:r>
      <w:r>
        <w:rPr>
          <w:color w:val="1F487C"/>
          <w:spacing w:val="49"/>
        </w:rPr>
        <w:t> </w:t>
      </w:r>
      <w:r>
        <w:rPr>
          <w:color w:val="1F487C"/>
        </w:rPr>
        <w:t>кислорода</w:t>
      </w:r>
      <w:r>
        <w:rPr>
          <w:color w:val="1F487C"/>
          <w:spacing w:val="51"/>
        </w:rPr>
        <w:t> </w:t>
      </w:r>
      <w:r>
        <w:rPr>
          <w:color w:val="1F487C"/>
        </w:rPr>
        <w:t>при</w:t>
      </w:r>
      <w:r>
        <w:rPr>
          <w:color w:val="1F487C"/>
          <w:spacing w:val="49"/>
        </w:rPr>
        <w:t> </w:t>
      </w:r>
      <w:r>
        <w:rPr>
          <w:color w:val="1F487C"/>
        </w:rPr>
        <w:t>респираторной</w:t>
      </w:r>
      <w:r>
        <w:rPr>
          <w:color w:val="1F487C"/>
          <w:spacing w:val="45"/>
        </w:rPr>
        <w:t> </w:t>
      </w:r>
      <w:r>
        <w:rPr>
          <w:color w:val="1F487C"/>
          <w:spacing w:val="-2"/>
        </w:rPr>
        <w:t>поддержке</w:t>
      </w:r>
    </w:p>
    <w:p>
      <w:pPr>
        <w:spacing w:before="41"/>
        <w:ind w:left="1841" w:right="0" w:firstLine="0"/>
        <w:jc w:val="left"/>
        <w:rPr>
          <w:b/>
          <w:sz w:val="24"/>
        </w:rPr>
      </w:pPr>
      <w:r>
        <w:rPr>
          <w:b/>
          <w:color w:val="1F487C"/>
          <w:spacing w:val="-2"/>
          <w:sz w:val="24"/>
        </w:rPr>
        <w:t>пациентов</w:t>
      </w:r>
    </w:p>
    <w:p>
      <w:pPr>
        <w:pStyle w:val="BodyText"/>
        <w:spacing w:line="276" w:lineRule="auto" w:before="160"/>
        <w:ind w:right="1275" w:firstLine="707"/>
      </w:pPr>
      <w:r>
        <w:rPr/>
        <w:t>С целью снижения дефицита кислорода медицинского, который больше всего расходуется для ингаляции пациентов на самостоятельном дыхании, целесообразно:</w:t>
      </w:r>
    </w:p>
    <w:p>
      <w:pPr>
        <w:pStyle w:val="ListParagraph"/>
        <w:numPr>
          <w:ilvl w:val="0"/>
          <w:numId w:val="38"/>
        </w:numPr>
        <w:tabs>
          <w:tab w:pos="2842" w:val="left" w:leader="none"/>
        </w:tabs>
        <w:spacing w:line="276" w:lineRule="auto" w:before="0" w:after="0"/>
        <w:ind w:left="1841" w:right="1273" w:firstLine="707"/>
        <w:jc w:val="both"/>
        <w:rPr>
          <w:sz w:val="24"/>
        </w:rPr>
      </w:pPr>
      <w:r>
        <w:rPr>
          <w:sz w:val="24"/>
        </w:rPr>
        <w:t>Вместо высокопоточной кислородотерапии использовать низкопоточную кислородотерапию, в том числе лицевые маски с расходным мешком-ресивером,</w:t>
      </w:r>
      <w:r>
        <w:rPr>
          <w:spacing w:val="80"/>
          <w:sz w:val="24"/>
        </w:rPr>
        <w:t> </w:t>
      </w:r>
      <w:r>
        <w:rPr>
          <w:sz w:val="24"/>
        </w:rPr>
        <w:t>при достаточной их эффективности.</w:t>
      </w:r>
    </w:p>
    <w:p>
      <w:pPr>
        <w:pStyle w:val="ListParagraph"/>
        <w:numPr>
          <w:ilvl w:val="0"/>
          <w:numId w:val="38"/>
        </w:numPr>
        <w:tabs>
          <w:tab w:pos="3050" w:val="left" w:leader="none"/>
        </w:tabs>
        <w:spacing w:line="276" w:lineRule="auto" w:before="0" w:after="0"/>
        <w:ind w:left="1841" w:right="1272" w:firstLine="707"/>
        <w:jc w:val="both"/>
        <w:rPr>
          <w:sz w:val="24"/>
        </w:rPr>
      </w:pPr>
      <w:r>
        <w:rPr>
          <w:sz w:val="24"/>
        </w:rPr>
        <w:t>Высокопоточную</w:t>
      </w:r>
      <w:r>
        <w:rPr>
          <w:spacing w:val="80"/>
          <w:sz w:val="24"/>
        </w:rPr>
        <w:t>  </w:t>
      </w:r>
      <w:r>
        <w:rPr>
          <w:sz w:val="24"/>
        </w:rPr>
        <w:t>респираторную</w:t>
      </w:r>
      <w:r>
        <w:rPr>
          <w:spacing w:val="80"/>
          <w:sz w:val="24"/>
        </w:rPr>
        <w:t>  </w:t>
      </w:r>
      <w:r>
        <w:rPr>
          <w:sz w:val="24"/>
        </w:rPr>
        <w:t>поддержку</w:t>
      </w:r>
      <w:r>
        <w:rPr>
          <w:spacing w:val="80"/>
          <w:sz w:val="24"/>
        </w:rPr>
        <w:t>  </w:t>
      </w:r>
      <w:r>
        <w:rPr>
          <w:sz w:val="24"/>
        </w:rPr>
        <w:t>проводить</w:t>
      </w:r>
      <w:r>
        <w:rPr>
          <w:spacing w:val="80"/>
          <w:sz w:val="24"/>
        </w:rPr>
        <w:t>  </w:t>
      </w:r>
      <w:r>
        <w:rPr>
          <w:sz w:val="24"/>
        </w:rPr>
        <w:t>только по</w:t>
      </w:r>
      <w:r>
        <w:rPr>
          <w:spacing w:val="-5"/>
          <w:sz w:val="24"/>
        </w:rPr>
        <w:t> </w:t>
      </w:r>
      <w:r>
        <w:rPr>
          <w:sz w:val="24"/>
        </w:rPr>
        <w:t>назначению и под наблюдением врача-анестезиолога-реаниматолога с помощью специального</w:t>
      </w:r>
      <w:r>
        <w:rPr>
          <w:spacing w:val="-15"/>
          <w:sz w:val="24"/>
        </w:rPr>
        <w:t> </w:t>
      </w:r>
      <w:r>
        <w:rPr>
          <w:sz w:val="24"/>
        </w:rPr>
        <w:t>оборудования,</w:t>
      </w:r>
      <w:r>
        <w:rPr>
          <w:spacing w:val="-15"/>
          <w:sz w:val="24"/>
        </w:rPr>
        <w:t> </w:t>
      </w:r>
      <w:r>
        <w:rPr>
          <w:sz w:val="24"/>
        </w:rPr>
        <w:t>позволяющего</w:t>
      </w:r>
      <w:r>
        <w:rPr>
          <w:spacing w:val="-15"/>
          <w:sz w:val="24"/>
        </w:rPr>
        <w:t> </w:t>
      </w:r>
      <w:r>
        <w:rPr>
          <w:sz w:val="24"/>
        </w:rPr>
        <w:t>увлажнять,</w:t>
      </w:r>
      <w:r>
        <w:rPr>
          <w:spacing w:val="-15"/>
          <w:sz w:val="24"/>
        </w:rPr>
        <w:t> </w:t>
      </w:r>
      <w:r>
        <w:rPr>
          <w:sz w:val="24"/>
        </w:rPr>
        <w:t>согревать</w:t>
      </w:r>
      <w:r>
        <w:rPr>
          <w:spacing w:val="-15"/>
          <w:sz w:val="24"/>
        </w:rPr>
        <w:t> </w:t>
      </w:r>
      <w:r>
        <w:rPr>
          <w:sz w:val="24"/>
        </w:rPr>
        <w:t>и</w:t>
      </w:r>
      <w:r>
        <w:rPr>
          <w:spacing w:val="-15"/>
          <w:sz w:val="24"/>
        </w:rPr>
        <w:t> </w:t>
      </w:r>
      <w:r>
        <w:rPr>
          <w:sz w:val="24"/>
        </w:rPr>
        <w:t>строго</w:t>
      </w:r>
      <w:r>
        <w:rPr>
          <w:spacing w:val="-15"/>
          <w:sz w:val="24"/>
        </w:rPr>
        <w:t> </w:t>
      </w:r>
      <w:r>
        <w:rPr>
          <w:sz w:val="24"/>
        </w:rPr>
        <w:t>дозировать кислород во вдыхаемой смеси. При отсутствии эффекта от высокопоточной кислородотерапии</w:t>
      </w:r>
      <w:r>
        <w:rPr>
          <w:spacing w:val="39"/>
          <w:sz w:val="24"/>
        </w:rPr>
        <w:t> </w:t>
      </w:r>
      <w:r>
        <w:rPr>
          <w:sz w:val="24"/>
        </w:rPr>
        <w:t>(60</w:t>
      </w:r>
      <w:r>
        <w:rPr>
          <w:spacing w:val="33"/>
          <w:sz w:val="24"/>
        </w:rPr>
        <w:t> </w:t>
      </w:r>
      <w:r>
        <w:rPr>
          <w:sz w:val="24"/>
        </w:rPr>
        <w:t>–</w:t>
      </w:r>
      <w:r>
        <w:rPr>
          <w:spacing w:val="36"/>
          <w:sz w:val="24"/>
        </w:rPr>
        <w:t> </w:t>
      </w:r>
      <w:r>
        <w:rPr>
          <w:sz w:val="24"/>
        </w:rPr>
        <w:t>70</w:t>
      </w:r>
      <w:r>
        <w:rPr>
          <w:spacing w:val="36"/>
          <w:sz w:val="24"/>
        </w:rPr>
        <w:t> </w:t>
      </w:r>
      <w:r>
        <w:rPr>
          <w:sz w:val="24"/>
        </w:rPr>
        <w:t>л/мин,</w:t>
      </w:r>
      <w:r>
        <w:rPr>
          <w:spacing w:val="37"/>
          <w:sz w:val="24"/>
        </w:rPr>
        <w:t> </w:t>
      </w:r>
      <w:r>
        <w:rPr>
          <w:sz w:val="24"/>
        </w:rPr>
        <w:t>содержании</w:t>
      </w:r>
      <w:r>
        <w:rPr>
          <w:spacing w:val="38"/>
          <w:sz w:val="24"/>
        </w:rPr>
        <w:t> </w:t>
      </w:r>
      <w:r>
        <w:rPr>
          <w:sz w:val="24"/>
        </w:rPr>
        <w:t>кислорода</w:t>
      </w:r>
      <w:r>
        <w:rPr>
          <w:spacing w:val="36"/>
          <w:sz w:val="24"/>
        </w:rPr>
        <w:t> </w:t>
      </w:r>
      <w:r>
        <w:rPr>
          <w:sz w:val="24"/>
        </w:rPr>
        <w:t>не</w:t>
      </w:r>
      <w:r>
        <w:rPr>
          <w:spacing w:val="35"/>
          <w:sz w:val="24"/>
        </w:rPr>
        <w:t> </w:t>
      </w:r>
      <w:r>
        <w:rPr>
          <w:sz w:val="24"/>
        </w:rPr>
        <w:t>более</w:t>
      </w:r>
      <w:r>
        <w:rPr>
          <w:spacing w:val="32"/>
          <w:sz w:val="24"/>
        </w:rPr>
        <w:t> </w:t>
      </w:r>
      <w:r>
        <w:rPr>
          <w:sz w:val="24"/>
        </w:rPr>
        <w:t>50%</w:t>
      </w:r>
      <w:r>
        <w:rPr>
          <w:spacing w:val="35"/>
          <w:sz w:val="24"/>
        </w:rPr>
        <w:t> </w:t>
      </w:r>
      <w:r>
        <w:rPr>
          <w:sz w:val="24"/>
        </w:rPr>
        <w:t>в</w:t>
      </w:r>
      <w:r>
        <w:rPr>
          <w:spacing w:val="36"/>
          <w:sz w:val="24"/>
        </w:rPr>
        <w:t> </w:t>
      </w:r>
      <w:r>
        <w:rPr>
          <w:sz w:val="24"/>
        </w:rPr>
        <w:t>течение 3 – 6 часов) необходимо переходить на неинвазивные или инвазивные технологии </w:t>
      </w:r>
      <w:r>
        <w:rPr>
          <w:spacing w:val="-4"/>
          <w:sz w:val="24"/>
        </w:rPr>
        <w:t>ИВЛ.</w:t>
      </w:r>
    </w:p>
    <w:p>
      <w:pPr>
        <w:pStyle w:val="ListParagraph"/>
        <w:numPr>
          <w:ilvl w:val="0"/>
          <w:numId w:val="38"/>
        </w:numPr>
        <w:tabs>
          <w:tab w:pos="2818" w:val="left" w:leader="none"/>
        </w:tabs>
        <w:spacing w:line="276" w:lineRule="auto" w:before="0" w:after="0"/>
        <w:ind w:left="1841" w:right="1271" w:firstLine="707"/>
        <w:jc w:val="both"/>
        <w:rPr>
          <w:sz w:val="24"/>
        </w:rPr>
      </w:pPr>
      <w:r>
        <w:rPr>
          <w:sz w:val="24"/>
        </w:rPr>
        <w:t>Ограничить использование любых систем с высоким расходом кислорода (высокопоточная оксигенотерапия с концентрацией кислорода свыше 50%, высокопоточная СРАР-терапия с использованием клапана Вентури и так далее) при его нехватке и возможности использования устройств, потребляющих меньшее количество кислорода (низкопоточная оксигенотерапия, аппараты для неинвазивной вентиляции, включая аппараты для домашнего СРАР).</w:t>
      </w:r>
    </w:p>
    <w:p>
      <w:pPr>
        <w:pStyle w:val="ListParagraph"/>
        <w:numPr>
          <w:ilvl w:val="0"/>
          <w:numId w:val="38"/>
        </w:numPr>
        <w:tabs>
          <w:tab w:pos="3006" w:val="left" w:leader="none"/>
        </w:tabs>
        <w:spacing w:line="273" w:lineRule="exact" w:before="0" w:after="0"/>
        <w:ind w:left="3006" w:right="0" w:hanging="457"/>
        <w:jc w:val="both"/>
        <w:rPr>
          <w:sz w:val="24"/>
        </w:rPr>
      </w:pPr>
      <w:r>
        <w:rPr>
          <w:sz w:val="24"/>
        </w:rPr>
        <w:t>Не</w:t>
      </w:r>
      <w:r>
        <w:rPr>
          <w:spacing w:val="73"/>
          <w:sz w:val="24"/>
        </w:rPr>
        <w:t>  </w:t>
      </w:r>
      <w:r>
        <w:rPr>
          <w:sz w:val="24"/>
        </w:rPr>
        <w:t>допускать</w:t>
      </w:r>
      <w:r>
        <w:rPr>
          <w:spacing w:val="75"/>
          <w:sz w:val="24"/>
        </w:rPr>
        <w:t>  </w:t>
      </w:r>
      <w:r>
        <w:rPr>
          <w:sz w:val="24"/>
        </w:rPr>
        <w:t>расход</w:t>
      </w:r>
      <w:r>
        <w:rPr>
          <w:spacing w:val="74"/>
          <w:sz w:val="24"/>
        </w:rPr>
        <w:t>  </w:t>
      </w:r>
      <w:r>
        <w:rPr>
          <w:sz w:val="24"/>
        </w:rPr>
        <w:t>кислорода</w:t>
      </w:r>
      <w:r>
        <w:rPr>
          <w:spacing w:val="74"/>
          <w:sz w:val="24"/>
        </w:rPr>
        <w:t>  </w:t>
      </w:r>
      <w:r>
        <w:rPr>
          <w:sz w:val="24"/>
        </w:rPr>
        <w:t>помимо</w:t>
      </w:r>
      <w:r>
        <w:rPr>
          <w:spacing w:val="75"/>
          <w:sz w:val="24"/>
        </w:rPr>
        <w:t>  </w:t>
      </w:r>
      <w:r>
        <w:rPr>
          <w:sz w:val="24"/>
        </w:rPr>
        <w:t>пациента,</w:t>
      </w:r>
      <w:r>
        <w:rPr>
          <w:spacing w:val="74"/>
          <w:sz w:val="24"/>
        </w:rPr>
        <w:t>  </w:t>
      </w:r>
      <w:r>
        <w:rPr>
          <w:spacing w:val="-2"/>
          <w:sz w:val="24"/>
        </w:rPr>
        <w:t>связанный</w:t>
      </w:r>
    </w:p>
    <w:p>
      <w:pPr>
        <w:pStyle w:val="BodyText"/>
        <w:spacing w:before="41"/>
      </w:pPr>
      <w:r>
        <w:rPr/>
        <w:t>с</w:t>
      </w:r>
      <w:r>
        <w:rPr>
          <w:spacing w:val="-6"/>
        </w:rPr>
        <w:t> </w:t>
      </w:r>
      <w:r>
        <w:rPr/>
        <w:t>произвольным</w:t>
      </w:r>
      <w:r>
        <w:rPr>
          <w:spacing w:val="-4"/>
        </w:rPr>
        <w:t> </w:t>
      </w:r>
      <w:r>
        <w:rPr/>
        <w:t>снятием</w:t>
      </w:r>
      <w:r>
        <w:rPr>
          <w:spacing w:val="-5"/>
        </w:rPr>
        <w:t> </w:t>
      </w:r>
      <w:r>
        <w:rPr>
          <w:spacing w:val="-2"/>
        </w:rPr>
        <w:t>маски.</w:t>
      </w:r>
    </w:p>
    <w:p>
      <w:pPr>
        <w:pStyle w:val="BodyText"/>
        <w:spacing w:after="0"/>
        <w:sectPr>
          <w:pgSz w:w="11900" w:h="16840"/>
          <w:pgMar w:header="0" w:footer="697" w:top="1080" w:bottom="880" w:left="0" w:right="0"/>
        </w:sectPr>
      </w:pPr>
    </w:p>
    <w:p>
      <w:pPr>
        <w:pStyle w:val="Heading3"/>
        <w:spacing w:before="73"/>
        <w:jc w:val="left"/>
      </w:pPr>
      <w:bookmarkStart w:name="80" w:id="96"/>
      <w:bookmarkEnd w:id="96"/>
      <w:r>
        <w:rPr>
          <w:b w:val="0"/>
        </w:rPr>
      </w:r>
      <w:r>
        <w:rPr>
          <w:color w:val="1F487C"/>
          <w:spacing w:val="-2"/>
        </w:rPr>
        <w:t>Инвазивная</w:t>
      </w:r>
      <w:r>
        <w:rPr>
          <w:color w:val="1F487C"/>
          <w:spacing w:val="3"/>
        </w:rPr>
        <w:t> </w:t>
      </w:r>
      <w:r>
        <w:rPr>
          <w:color w:val="1F487C"/>
          <w:spacing w:val="-5"/>
        </w:rPr>
        <w:t>ИВЛ</w:t>
      </w:r>
    </w:p>
    <w:p>
      <w:pPr>
        <w:pStyle w:val="BodyText"/>
        <w:spacing w:line="276" w:lineRule="auto" w:before="160"/>
        <w:ind w:right="1272" w:firstLine="707"/>
      </w:pPr>
      <w:r>
        <w:rPr/>
        <w:t>Инвазивная ИВЛ при терапии COVID-19-ассоциированной ОДН применяется в</w:t>
      </w:r>
      <w:r>
        <w:rPr>
          <w:spacing w:val="-4"/>
        </w:rPr>
        <w:t> </w:t>
      </w:r>
      <w:r>
        <w:rPr/>
        <w:t>случае</w:t>
      </w:r>
      <w:r>
        <w:rPr>
          <w:spacing w:val="62"/>
          <w:w w:val="150"/>
        </w:rPr>
        <w:t>  </w:t>
      </w:r>
      <w:r>
        <w:rPr/>
        <w:t>неэффективности</w:t>
      </w:r>
      <w:r>
        <w:rPr>
          <w:spacing w:val="65"/>
          <w:w w:val="150"/>
        </w:rPr>
        <w:t>  </w:t>
      </w:r>
      <w:r>
        <w:rPr/>
        <w:t>неинвазивной</w:t>
      </w:r>
      <w:r>
        <w:rPr>
          <w:spacing w:val="62"/>
          <w:w w:val="150"/>
        </w:rPr>
        <w:t>  </w:t>
      </w:r>
      <w:r>
        <w:rPr/>
        <w:t>ИВЛ</w:t>
      </w:r>
      <w:r>
        <w:rPr>
          <w:spacing w:val="63"/>
          <w:w w:val="150"/>
        </w:rPr>
        <w:t>  </w:t>
      </w:r>
      <w:r>
        <w:rPr/>
        <w:t>при</w:t>
      </w:r>
      <w:r>
        <w:rPr>
          <w:spacing w:val="63"/>
          <w:w w:val="150"/>
        </w:rPr>
        <w:t>  </w:t>
      </w:r>
      <w:r>
        <w:rPr/>
        <w:t>наличии</w:t>
      </w:r>
      <w:r>
        <w:rPr>
          <w:spacing w:val="62"/>
          <w:w w:val="150"/>
        </w:rPr>
        <w:t>  </w:t>
      </w:r>
      <w:r>
        <w:rPr>
          <w:spacing w:val="-2"/>
        </w:rPr>
        <w:t>признаков</w:t>
      </w:r>
    </w:p>
    <w:p>
      <w:pPr>
        <w:pStyle w:val="BodyText"/>
        <w:spacing w:line="276" w:lineRule="auto" w:before="1"/>
        <w:ind w:right="1267"/>
      </w:pPr>
      <w:r>
        <w:rPr/>
        <w:t>«респираторного дистресса», полиорганной недостаточности или недоступности последней). ИВЛ направлена не только на обеспечение адекватного газообмена, стабилизацию коллабированных альвеол, но и минимизацию потенциального индуцированного пациентом или ятрогенного повреждения легких. В случае применения</w:t>
      </w:r>
      <w:r>
        <w:rPr>
          <w:spacing w:val="-15"/>
        </w:rPr>
        <w:t> </w:t>
      </w:r>
      <w:r>
        <w:rPr/>
        <w:t>инвазивной</w:t>
      </w:r>
      <w:r>
        <w:rPr>
          <w:spacing w:val="-15"/>
        </w:rPr>
        <w:t> </w:t>
      </w:r>
      <w:r>
        <w:rPr/>
        <w:t>ИВЛ</w:t>
      </w:r>
      <w:r>
        <w:rPr>
          <w:spacing w:val="-15"/>
        </w:rPr>
        <w:t> </w:t>
      </w:r>
      <w:r>
        <w:rPr/>
        <w:t>при</w:t>
      </w:r>
      <w:r>
        <w:rPr>
          <w:spacing w:val="-15"/>
        </w:rPr>
        <w:t> </w:t>
      </w:r>
      <w:r>
        <w:rPr/>
        <w:t>неэффективности</w:t>
      </w:r>
      <w:r>
        <w:rPr>
          <w:spacing w:val="-15"/>
        </w:rPr>
        <w:t> </w:t>
      </w:r>
      <w:r>
        <w:rPr/>
        <w:t>неинвазивной</w:t>
      </w:r>
      <w:r>
        <w:rPr>
          <w:spacing w:val="-15"/>
        </w:rPr>
        <w:t> </w:t>
      </w:r>
      <w:r>
        <w:rPr/>
        <w:t>ИВЛ</w:t>
      </w:r>
      <w:r>
        <w:rPr>
          <w:spacing w:val="-15"/>
        </w:rPr>
        <w:t> </w:t>
      </w:r>
      <w:r>
        <w:rPr/>
        <w:t>следует</w:t>
      </w:r>
      <w:r>
        <w:rPr>
          <w:spacing w:val="-15"/>
        </w:rPr>
        <w:t> </w:t>
      </w:r>
      <w:r>
        <w:rPr/>
        <w:t>иметь в</w:t>
      </w:r>
      <w:r>
        <w:rPr>
          <w:spacing w:val="40"/>
        </w:rPr>
        <w:t> </w:t>
      </w:r>
      <w:r>
        <w:rPr/>
        <w:t>ввиду,</w:t>
      </w:r>
      <w:r>
        <w:rPr>
          <w:spacing w:val="40"/>
        </w:rPr>
        <w:t> </w:t>
      </w:r>
      <w:r>
        <w:rPr/>
        <w:t>что</w:t>
      </w:r>
      <w:r>
        <w:rPr>
          <w:spacing w:val="-3"/>
        </w:rPr>
        <w:t> </w:t>
      </w:r>
      <w:r>
        <w:rPr/>
        <w:t>в</w:t>
      </w:r>
      <w:r>
        <w:rPr>
          <w:spacing w:val="-3"/>
        </w:rPr>
        <w:t> </w:t>
      </w:r>
      <w:r>
        <w:rPr/>
        <w:t>большинстве</w:t>
      </w:r>
      <w:r>
        <w:rPr>
          <w:spacing w:val="40"/>
        </w:rPr>
        <w:t> </w:t>
      </w:r>
      <w:r>
        <w:rPr/>
        <w:t>случаев</w:t>
      </w:r>
      <w:r>
        <w:rPr>
          <w:spacing w:val="40"/>
        </w:rPr>
        <w:t> </w:t>
      </w:r>
      <w:r>
        <w:rPr/>
        <w:t>применение</w:t>
      </w:r>
      <w:r>
        <w:rPr>
          <w:spacing w:val="40"/>
        </w:rPr>
        <w:t> </w:t>
      </w:r>
      <w:r>
        <w:rPr/>
        <w:t>вспомогательных</w:t>
      </w:r>
      <w:r>
        <w:rPr>
          <w:spacing w:val="40"/>
        </w:rPr>
        <w:t> </w:t>
      </w:r>
      <w:r>
        <w:rPr/>
        <w:t>режимов</w:t>
      </w:r>
      <w:r>
        <w:rPr>
          <w:spacing w:val="40"/>
        </w:rPr>
        <w:t> </w:t>
      </w:r>
      <w:r>
        <w:rPr/>
        <w:t>ИВЛ на фоне ясного сознания или умеренной седации после интубации трахеи может усиливать повреждение лёгких, поэтому в первые несколько часов после интубации трахеи</w:t>
      </w:r>
      <w:r>
        <w:rPr>
          <w:spacing w:val="-12"/>
        </w:rPr>
        <w:t> </w:t>
      </w:r>
      <w:r>
        <w:rPr/>
        <w:t>следует</w:t>
      </w:r>
      <w:r>
        <w:rPr>
          <w:spacing w:val="-11"/>
        </w:rPr>
        <w:t> </w:t>
      </w:r>
      <w:r>
        <w:rPr/>
        <w:t>использовать</w:t>
      </w:r>
      <w:r>
        <w:rPr>
          <w:spacing w:val="-10"/>
        </w:rPr>
        <w:t> </w:t>
      </w:r>
      <w:r>
        <w:rPr/>
        <w:t>полностью</w:t>
      </w:r>
      <w:r>
        <w:rPr>
          <w:spacing w:val="-11"/>
        </w:rPr>
        <w:t> </w:t>
      </w:r>
      <w:r>
        <w:rPr/>
        <w:t>управляемые</w:t>
      </w:r>
      <w:r>
        <w:rPr>
          <w:spacing w:val="-14"/>
        </w:rPr>
        <w:t> </w:t>
      </w:r>
      <w:r>
        <w:rPr/>
        <w:t>режимы</w:t>
      </w:r>
      <w:r>
        <w:rPr>
          <w:spacing w:val="-12"/>
        </w:rPr>
        <w:t> </w:t>
      </w:r>
      <w:r>
        <w:rPr/>
        <w:t>ИВЛ</w:t>
      </w:r>
      <w:r>
        <w:rPr>
          <w:spacing w:val="-12"/>
        </w:rPr>
        <w:t> </w:t>
      </w:r>
      <w:r>
        <w:rPr/>
        <w:t>на</w:t>
      </w:r>
      <w:r>
        <w:rPr>
          <w:spacing w:val="-14"/>
        </w:rPr>
        <w:t> </w:t>
      </w:r>
      <w:r>
        <w:rPr/>
        <w:t>фоне</w:t>
      </w:r>
      <w:r>
        <w:rPr>
          <w:spacing w:val="-13"/>
        </w:rPr>
        <w:t> </w:t>
      </w:r>
      <w:r>
        <w:rPr/>
        <w:t>глубокой седации</w:t>
      </w:r>
      <w:r>
        <w:rPr>
          <w:spacing w:val="40"/>
        </w:rPr>
        <w:t> </w:t>
      </w:r>
      <w:r>
        <w:rPr/>
        <w:t>и/или</w:t>
      </w:r>
      <w:r>
        <w:rPr>
          <w:spacing w:val="40"/>
        </w:rPr>
        <w:t> </w:t>
      </w:r>
      <w:r>
        <w:rPr/>
        <w:t>миоплегии.</w:t>
      </w:r>
      <w:r>
        <w:rPr>
          <w:spacing w:val="40"/>
        </w:rPr>
        <w:t> </w:t>
      </w:r>
      <w:r>
        <w:rPr/>
        <w:t>Стратегия</w:t>
      </w:r>
      <w:r>
        <w:rPr>
          <w:spacing w:val="40"/>
        </w:rPr>
        <w:t> </w:t>
      </w:r>
      <w:r>
        <w:rPr/>
        <w:t>применения</w:t>
      </w:r>
      <w:r>
        <w:rPr>
          <w:spacing w:val="40"/>
        </w:rPr>
        <w:t> </w:t>
      </w:r>
      <w:r>
        <w:rPr/>
        <w:t>ИВЛ</w:t>
      </w:r>
      <w:r>
        <w:rPr>
          <w:spacing w:val="40"/>
        </w:rPr>
        <w:t> </w:t>
      </w:r>
      <w:r>
        <w:rPr/>
        <w:t>при</w:t>
      </w:r>
      <w:r>
        <w:rPr>
          <w:spacing w:val="40"/>
        </w:rPr>
        <w:t> </w:t>
      </w:r>
      <w:r>
        <w:rPr/>
        <w:t>COVID-19</w:t>
      </w:r>
      <w:r>
        <w:rPr>
          <w:spacing w:val="40"/>
        </w:rPr>
        <w:t> </w:t>
      </w:r>
      <w:r>
        <w:rPr/>
        <w:t>основана</w:t>
      </w:r>
      <w:r>
        <w:rPr>
          <w:spacing w:val="40"/>
        </w:rPr>
        <w:t> </w:t>
      </w:r>
      <w:r>
        <w:rPr/>
        <w:t>на временных клинических рекомендациях Федерации анестезиологов- реаниматологов «Диагностика и интенсивная терапия острого респираторного дистресс-синдрома» (2020) и</w:t>
      </w:r>
      <w:r>
        <w:rPr>
          <w:spacing w:val="-2"/>
        </w:rPr>
        <w:t> </w:t>
      </w:r>
      <w:r>
        <w:rPr/>
        <w:t>временных методических рекомендациях Федерации анестезиологов и</w:t>
      </w:r>
      <w:r>
        <w:rPr>
          <w:spacing w:val="-2"/>
        </w:rPr>
        <w:t> </w:t>
      </w:r>
      <w:r>
        <w:rPr/>
        <w:t>реаниматологов "Анестезиолого-реанимационное обеспечение пациентов с новой коронавирусной инфекцией COVID-19".</w:t>
      </w:r>
    </w:p>
    <w:p>
      <w:pPr>
        <w:pStyle w:val="BodyText"/>
        <w:spacing w:line="276" w:lineRule="auto" w:before="36"/>
        <w:ind w:right="1272" w:firstLine="707"/>
      </w:pPr>
      <w:r>
        <w:rPr/>
        <w:t>При ИВЛ у пациентов с COVID-19 рекомендован дыхательный объем 6 мл/кг идеальной массы тела.</w:t>
      </w:r>
      <w:r>
        <w:rPr>
          <w:spacing w:val="20"/>
        </w:rPr>
        <w:t> </w:t>
      </w:r>
      <w:r>
        <w:rPr/>
        <w:t>Применение дыхательного объёма более 6 мл/кг ИМТ ведет</w:t>
      </w:r>
      <w:r>
        <w:rPr>
          <w:spacing w:val="80"/>
        </w:rPr>
        <w:t> </w:t>
      </w:r>
      <w:r>
        <w:rPr/>
        <w:t>к росту осложнений и летальности.</w:t>
      </w:r>
    </w:p>
    <w:p>
      <w:pPr>
        <w:pStyle w:val="BodyText"/>
        <w:spacing w:line="276" w:lineRule="auto" w:before="11"/>
        <w:ind w:right="1272" w:firstLine="707"/>
      </w:pPr>
      <w:r>
        <w:rPr/>
        <w:t>Проведение «безопасной» ИВЛ возможно в режимах как с управляемым давлением (PC), так и с управляемым объемом (VC). При этом в последних желательно использовать нисходящую форму инспираторного потока, обеспечивающую</w:t>
      </w:r>
      <w:r>
        <w:rPr>
          <w:spacing w:val="80"/>
          <w:w w:val="150"/>
        </w:rPr>
        <w:t> </w:t>
      </w:r>
      <w:r>
        <w:rPr/>
        <w:t>лучшее</w:t>
      </w:r>
      <w:r>
        <w:rPr>
          <w:spacing w:val="80"/>
          <w:w w:val="150"/>
        </w:rPr>
        <w:t> </w:t>
      </w:r>
      <w:r>
        <w:rPr/>
        <w:t>распределение</w:t>
      </w:r>
      <w:r>
        <w:rPr>
          <w:spacing w:val="80"/>
          <w:w w:val="150"/>
        </w:rPr>
        <w:t> </w:t>
      </w:r>
      <w:r>
        <w:rPr/>
        <w:t>газа</w:t>
      </w:r>
      <w:r>
        <w:rPr>
          <w:spacing w:val="80"/>
          <w:w w:val="150"/>
        </w:rPr>
        <w:t> </w:t>
      </w:r>
      <w:r>
        <w:rPr/>
        <w:t>в</w:t>
      </w:r>
      <w:r>
        <w:rPr>
          <w:spacing w:val="80"/>
          <w:w w:val="150"/>
        </w:rPr>
        <w:t> </w:t>
      </w:r>
      <w:r>
        <w:rPr/>
        <w:t>легких</w:t>
      </w:r>
      <w:r>
        <w:rPr>
          <w:spacing w:val="80"/>
          <w:w w:val="150"/>
        </w:rPr>
        <w:t> </w:t>
      </w:r>
      <w:r>
        <w:rPr/>
        <w:t>и</w:t>
      </w:r>
      <w:r>
        <w:rPr>
          <w:spacing w:val="80"/>
          <w:w w:val="150"/>
        </w:rPr>
        <w:t> </w:t>
      </w:r>
      <w:r>
        <w:rPr/>
        <w:t>меньшее</w:t>
      </w:r>
      <w:r>
        <w:rPr>
          <w:spacing w:val="80"/>
          <w:w w:val="150"/>
        </w:rPr>
        <w:t> </w:t>
      </w:r>
      <w:r>
        <w:rPr/>
        <w:t>давление</w:t>
      </w:r>
      <w:r>
        <w:rPr>
          <w:spacing w:val="80"/>
        </w:rPr>
        <w:t> </w:t>
      </w:r>
      <w:r>
        <w:rPr/>
        <w:t>в дыхательных путях.</w:t>
      </w:r>
    </w:p>
    <w:p>
      <w:pPr>
        <w:pStyle w:val="BodyText"/>
        <w:spacing w:line="276" w:lineRule="auto" w:before="12"/>
        <w:ind w:right="1271" w:firstLine="707"/>
      </w:pPr>
      <w:r>
        <w:rPr>
          <w:position w:val="2"/>
        </w:rPr>
        <w:t>У пациентов с PaO</w:t>
      </w:r>
      <w:r>
        <w:rPr>
          <w:sz w:val="16"/>
        </w:rPr>
        <w:t>2</w:t>
      </w:r>
      <w:r>
        <w:rPr>
          <w:position w:val="2"/>
        </w:rPr>
        <w:t>/FiO</w:t>
      </w:r>
      <w:r>
        <w:rPr>
          <w:sz w:val="16"/>
        </w:rPr>
        <w:t>2</w:t>
      </w:r>
      <w:r>
        <w:rPr>
          <w:spacing w:val="40"/>
          <w:sz w:val="16"/>
        </w:rPr>
        <w:t> </w:t>
      </w:r>
      <w:r>
        <w:rPr>
          <w:position w:val="2"/>
        </w:rPr>
        <w:t>выше 150 мм рт.ст. при реверсии миоплегии </w:t>
      </w:r>
      <w:r>
        <w:rPr/>
        <w:t>рекомендовано, при технической возможности и отсутствии патологических ритмов дыхания,</w:t>
      </w:r>
      <w:r>
        <w:rPr>
          <w:spacing w:val="-8"/>
        </w:rPr>
        <w:t> </w:t>
      </w:r>
      <w:r>
        <w:rPr/>
        <w:t>перейти</w:t>
      </w:r>
      <w:r>
        <w:rPr>
          <w:spacing w:val="-5"/>
        </w:rPr>
        <w:t> </w:t>
      </w:r>
      <w:r>
        <w:rPr/>
        <w:t>на</w:t>
      </w:r>
      <w:r>
        <w:rPr>
          <w:spacing w:val="-9"/>
        </w:rPr>
        <w:t> </w:t>
      </w:r>
      <w:r>
        <w:rPr/>
        <w:t>полностью</w:t>
      </w:r>
      <w:r>
        <w:rPr>
          <w:spacing w:val="-7"/>
        </w:rPr>
        <w:t> </w:t>
      </w:r>
      <w:r>
        <w:rPr/>
        <w:t>вспомогательный</w:t>
      </w:r>
      <w:r>
        <w:rPr>
          <w:spacing w:val="-6"/>
        </w:rPr>
        <w:t> </w:t>
      </w:r>
      <w:r>
        <w:rPr/>
        <w:t>режим</w:t>
      </w:r>
      <w:r>
        <w:rPr>
          <w:spacing w:val="-8"/>
        </w:rPr>
        <w:t> </w:t>
      </w:r>
      <w:r>
        <w:rPr/>
        <w:t>вентиляции</w:t>
      </w:r>
      <w:r>
        <w:rPr>
          <w:spacing w:val="-9"/>
        </w:rPr>
        <w:t> </w:t>
      </w:r>
      <w:r>
        <w:rPr/>
        <w:t>(в</w:t>
      </w:r>
      <w:r>
        <w:rPr>
          <w:spacing w:val="-8"/>
        </w:rPr>
        <w:t> </w:t>
      </w:r>
      <w:r>
        <w:rPr/>
        <w:t>большинстве аппаратов – PSV) для улучшения распределения газа, профилактики ателектазирования и атрофии диафрагмы.</w:t>
      </w:r>
    </w:p>
    <w:p>
      <w:pPr>
        <w:pStyle w:val="BodyText"/>
        <w:spacing w:line="276" w:lineRule="auto" w:before="11"/>
        <w:ind w:right="1273" w:firstLine="707"/>
      </w:pPr>
      <w:r>
        <w:rPr/>
        <w:t>У пациентов с COVID-19 при проведении ИВЛ рекомендовано использовать РЕЕР в зависимости от рекрутабельности альвеол и риска образования ателектазов. У</w:t>
      </w:r>
      <w:r>
        <w:rPr>
          <w:spacing w:val="-15"/>
        </w:rPr>
        <w:t> </w:t>
      </w:r>
      <w:r>
        <w:rPr/>
        <w:t>пациентов</w:t>
      </w:r>
      <w:r>
        <w:rPr>
          <w:spacing w:val="-15"/>
        </w:rPr>
        <w:t> </w:t>
      </w:r>
      <w:r>
        <w:rPr/>
        <w:t>с</w:t>
      </w:r>
      <w:r>
        <w:rPr>
          <w:spacing w:val="-15"/>
        </w:rPr>
        <w:t> </w:t>
      </w:r>
      <w:r>
        <w:rPr/>
        <w:t>COVID-19</w:t>
      </w:r>
      <w:r>
        <w:rPr>
          <w:spacing w:val="-15"/>
        </w:rPr>
        <w:t> </w:t>
      </w:r>
      <w:r>
        <w:rPr/>
        <w:t>после</w:t>
      </w:r>
      <w:r>
        <w:rPr>
          <w:spacing w:val="-15"/>
        </w:rPr>
        <w:t> </w:t>
      </w:r>
      <w:r>
        <w:rPr/>
        <w:t>неудачи</w:t>
      </w:r>
      <w:r>
        <w:rPr>
          <w:spacing w:val="-15"/>
        </w:rPr>
        <w:t> </w:t>
      </w:r>
      <w:r>
        <w:rPr/>
        <w:t>НИВЛ</w:t>
      </w:r>
      <w:r>
        <w:rPr>
          <w:spacing w:val="-15"/>
        </w:rPr>
        <w:t> </w:t>
      </w:r>
      <w:r>
        <w:rPr/>
        <w:t>отмечена</w:t>
      </w:r>
      <w:r>
        <w:rPr>
          <w:spacing w:val="-15"/>
        </w:rPr>
        <w:t> </w:t>
      </w:r>
      <w:r>
        <w:rPr/>
        <w:t>невысокая</w:t>
      </w:r>
      <w:r>
        <w:rPr>
          <w:spacing w:val="-15"/>
        </w:rPr>
        <w:t> </w:t>
      </w:r>
      <w:r>
        <w:rPr/>
        <w:t>рекрутабельность альвеол, стартовая величина эффективного и безопасного РЕЕР составляет 8-10 см вод.ст.</w:t>
      </w:r>
      <w:r>
        <w:rPr>
          <w:spacing w:val="80"/>
          <w:w w:val="150"/>
        </w:rPr>
        <w:t>  </w:t>
      </w:r>
      <w:r>
        <w:rPr/>
        <w:t>(при</w:t>
      </w:r>
      <w:r>
        <w:rPr>
          <w:spacing w:val="80"/>
          <w:w w:val="150"/>
        </w:rPr>
        <w:t>  </w:t>
      </w:r>
      <w:r>
        <w:rPr/>
        <w:t>ожирении</w:t>
      </w:r>
      <w:r>
        <w:rPr>
          <w:spacing w:val="80"/>
          <w:w w:val="150"/>
        </w:rPr>
        <w:t>  </w:t>
      </w:r>
      <w:r>
        <w:rPr/>
        <w:t>выше).</w:t>
      </w:r>
      <w:r>
        <w:rPr>
          <w:spacing w:val="80"/>
          <w:w w:val="150"/>
        </w:rPr>
        <w:t>  </w:t>
      </w:r>
      <w:r>
        <w:rPr/>
        <w:t>Рекрутабельность</w:t>
      </w:r>
      <w:r>
        <w:rPr>
          <w:spacing w:val="80"/>
          <w:w w:val="150"/>
        </w:rPr>
        <w:t>  </w:t>
      </w:r>
      <w:r>
        <w:rPr/>
        <w:t>альвеол</w:t>
      </w:r>
      <w:r>
        <w:rPr>
          <w:spacing w:val="80"/>
          <w:w w:val="150"/>
        </w:rPr>
        <w:t>  </w:t>
      </w:r>
      <w:r>
        <w:rPr/>
        <w:t>снижается при прогрессировании поражения лёгких.</w:t>
      </w:r>
    </w:p>
    <w:p>
      <w:pPr>
        <w:pStyle w:val="BodyText"/>
        <w:spacing w:line="276" w:lineRule="auto" w:before="12"/>
        <w:ind w:right="1271" w:firstLine="707"/>
      </w:pPr>
      <w:r>
        <w:rPr/>
        <w:t>Для оценки рекрутабельности рекомендовано оценивать разницу между давлением плато и РЕЕР («движущее давление») или статическую податливость респираторной</w:t>
      </w:r>
      <w:r>
        <w:rPr>
          <w:spacing w:val="40"/>
        </w:rPr>
        <w:t> </w:t>
      </w:r>
      <w:r>
        <w:rPr/>
        <w:t>системы:</w:t>
      </w:r>
      <w:r>
        <w:rPr>
          <w:spacing w:val="40"/>
        </w:rPr>
        <w:t> </w:t>
      </w:r>
      <w:r>
        <w:rPr/>
        <w:t>уменьшение</w:t>
      </w:r>
      <w:r>
        <w:rPr>
          <w:spacing w:val="40"/>
        </w:rPr>
        <w:t> </w:t>
      </w:r>
      <w:r>
        <w:rPr/>
        <w:t>величины</w:t>
      </w:r>
      <w:r>
        <w:rPr>
          <w:spacing w:val="40"/>
        </w:rPr>
        <w:t> </w:t>
      </w:r>
      <w:r>
        <w:rPr/>
        <w:t>«движущего</w:t>
      </w:r>
      <w:r>
        <w:rPr>
          <w:spacing w:val="40"/>
        </w:rPr>
        <w:t> </w:t>
      </w:r>
      <w:r>
        <w:rPr/>
        <w:t>давления»</w:t>
      </w:r>
      <w:r>
        <w:rPr>
          <w:spacing w:val="40"/>
        </w:rPr>
        <w:t> </w:t>
      </w:r>
      <w:r>
        <w:rPr/>
        <w:t>в</w:t>
      </w:r>
      <w:r>
        <w:rPr>
          <w:spacing w:val="40"/>
        </w:rPr>
        <w:t> </w:t>
      </w:r>
      <w:r>
        <w:rPr/>
        <w:t>ответ</w:t>
      </w:r>
      <w:r>
        <w:rPr>
          <w:spacing w:val="80"/>
          <w:w w:val="150"/>
        </w:rPr>
        <w:t> </w:t>
      </w:r>
      <w:r>
        <w:rPr/>
        <w:t>на</w:t>
      </w:r>
      <w:r>
        <w:rPr>
          <w:spacing w:val="28"/>
        </w:rPr>
        <w:t> </w:t>
      </w:r>
      <w:r>
        <w:rPr/>
        <w:t>увеличение</w:t>
      </w:r>
      <w:r>
        <w:rPr>
          <w:spacing w:val="30"/>
        </w:rPr>
        <w:t> </w:t>
      </w:r>
      <w:r>
        <w:rPr/>
        <w:t>РЕЕР</w:t>
      </w:r>
      <w:r>
        <w:rPr>
          <w:spacing w:val="30"/>
        </w:rPr>
        <w:t> </w:t>
      </w:r>
      <w:r>
        <w:rPr/>
        <w:t>свидетельствует</w:t>
      </w:r>
      <w:r>
        <w:rPr>
          <w:spacing w:val="31"/>
        </w:rPr>
        <w:t> </w:t>
      </w:r>
      <w:r>
        <w:rPr/>
        <w:t>о</w:t>
      </w:r>
      <w:r>
        <w:rPr>
          <w:spacing w:val="29"/>
        </w:rPr>
        <w:t> </w:t>
      </w:r>
      <w:r>
        <w:rPr/>
        <w:t>рекрутировании</w:t>
      </w:r>
      <w:r>
        <w:rPr>
          <w:spacing w:val="32"/>
        </w:rPr>
        <w:t> </w:t>
      </w:r>
      <w:r>
        <w:rPr/>
        <w:t>коллабированных</w:t>
      </w:r>
      <w:r>
        <w:rPr>
          <w:spacing w:val="30"/>
        </w:rPr>
        <w:t> </w:t>
      </w:r>
      <w:r>
        <w:rPr/>
        <w:t>альвеол, а увеличение его – о перераздувании уже открытых альвеол.</w:t>
      </w:r>
    </w:p>
    <w:p>
      <w:pPr>
        <w:pStyle w:val="BodyText"/>
        <w:spacing w:after="0" w:line="276" w:lineRule="auto"/>
        <w:sectPr>
          <w:pgSz w:w="11900" w:h="16840"/>
          <w:pgMar w:header="0" w:footer="697" w:top="1080" w:bottom="880" w:left="0" w:right="0"/>
        </w:sectPr>
      </w:pPr>
    </w:p>
    <w:p>
      <w:pPr>
        <w:pStyle w:val="BodyText"/>
        <w:spacing w:line="276" w:lineRule="auto" w:before="73"/>
        <w:ind w:right="1271" w:firstLine="707"/>
      </w:pPr>
      <w:bookmarkStart w:name="81" w:id="97"/>
      <w:bookmarkEnd w:id="97"/>
      <w:r>
        <w:rPr/>
      </w:r>
      <w:r>
        <w:rPr/>
        <w:t>Методология применения РЕЕР подробно описана в Клинических рекомендациях</w:t>
      </w:r>
      <w:r>
        <w:rPr>
          <w:spacing w:val="80"/>
        </w:rPr>
        <w:t>   </w:t>
      </w:r>
      <w:r>
        <w:rPr/>
        <w:t>Федерации</w:t>
      </w:r>
      <w:r>
        <w:rPr>
          <w:spacing w:val="80"/>
        </w:rPr>
        <w:t>   </w:t>
      </w:r>
      <w:r>
        <w:rPr/>
        <w:t>анестезиологов-реаниматологов</w:t>
      </w:r>
      <w:r>
        <w:rPr>
          <w:spacing w:val="80"/>
        </w:rPr>
        <w:t>   </w:t>
      </w:r>
      <w:r>
        <w:rPr/>
        <w:t>«Диагностика и интенсивная терапия острого респираторного дистресс-синдрома».</w:t>
      </w:r>
    </w:p>
    <w:p>
      <w:pPr>
        <w:pStyle w:val="BodyText"/>
        <w:spacing w:line="276" w:lineRule="auto" w:before="14"/>
        <w:ind w:right="1271" w:firstLine="707"/>
      </w:pPr>
      <w:r>
        <w:rPr/>
        <w:t>Рутинное применение рекрутирования альвеол не рекомендовано при</w:t>
      </w:r>
      <w:r>
        <w:rPr>
          <w:spacing w:val="80"/>
        </w:rPr>
        <w:t> </w:t>
      </w:r>
      <w:r>
        <w:rPr/>
        <w:t>COVID-19 из-за невысокой рекрутабельности и высокого риска острого легочного </w:t>
      </w:r>
      <w:r>
        <w:rPr>
          <w:spacing w:val="-2"/>
        </w:rPr>
        <w:t>сердца.</w:t>
      </w:r>
    </w:p>
    <w:p>
      <w:pPr>
        <w:pStyle w:val="BodyText"/>
        <w:spacing w:line="276" w:lineRule="auto" w:before="12"/>
        <w:ind w:right="1271" w:firstLine="707"/>
      </w:pPr>
      <w:r>
        <w:rPr/>
        <w:t>У пациентов с ОРДС вследствие COVID-19 при проведении ИВЛ рекомендовано использовать неинвертированное соотношение вдоха к выдоху для более</w:t>
      </w:r>
      <w:r>
        <w:rPr>
          <w:spacing w:val="-14"/>
        </w:rPr>
        <w:t> </w:t>
      </w:r>
      <w:r>
        <w:rPr/>
        <w:t>равномерного</w:t>
      </w:r>
      <w:r>
        <w:rPr>
          <w:spacing w:val="-12"/>
        </w:rPr>
        <w:t> </w:t>
      </w:r>
      <w:r>
        <w:rPr/>
        <w:t>распределения</w:t>
      </w:r>
      <w:r>
        <w:rPr>
          <w:spacing w:val="-12"/>
        </w:rPr>
        <w:t> </w:t>
      </w:r>
      <w:r>
        <w:rPr/>
        <w:t>газа</w:t>
      </w:r>
      <w:r>
        <w:rPr>
          <w:spacing w:val="-14"/>
        </w:rPr>
        <w:t> </w:t>
      </w:r>
      <w:r>
        <w:rPr/>
        <w:t>в</w:t>
      </w:r>
      <w:r>
        <w:rPr>
          <w:spacing w:val="-13"/>
        </w:rPr>
        <w:t> </w:t>
      </w:r>
      <w:r>
        <w:rPr/>
        <w:t>легких</w:t>
      </w:r>
      <w:r>
        <w:rPr>
          <w:spacing w:val="-13"/>
        </w:rPr>
        <w:t> </w:t>
      </w:r>
      <w:r>
        <w:rPr/>
        <w:t>и</w:t>
      </w:r>
      <w:r>
        <w:rPr>
          <w:spacing w:val="-12"/>
        </w:rPr>
        <w:t> </w:t>
      </w:r>
      <w:r>
        <w:rPr/>
        <w:t>снижения</w:t>
      </w:r>
      <w:r>
        <w:rPr>
          <w:spacing w:val="-11"/>
        </w:rPr>
        <w:t> </w:t>
      </w:r>
      <w:r>
        <w:rPr/>
        <w:t>отрицательного</w:t>
      </w:r>
      <w:r>
        <w:rPr>
          <w:spacing w:val="-12"/>
        </w:rPr>
        <w:t> </w:t>
      </w:r>
      <w:r>
        <w:rPr/>
        <w:t>влияния ИВЛ на постнагрузку правого желудочка; рутинное применение инверсного соотношения вдоха</w:t>
      </w:r>
      <w:r>
        <w:rPr>
          <w:spacing w:val="-3"/>
        </w:rPr>
        <w:t> </w:t>
      </w:r>
      <w:r>
        <w:rPr/>
        <w:t>к выдоху</w:t>
      </w:r>
      <w:r>
        <w:rPr>
          <w:spacing w:val="-1"/>
        </w:rPr>
        <w:t> </w:t>
      </w:r>
      <w:r>
        <w:rPr/>
        <w:t>(более</w:t>
      </w:r>
      <w:r>
        <w:rPr>
          <w:spacing w:val="-2"/>
        </w:rPr>
        <w:t> </w:t>
      </w:r>
      <w:r>
        <w:rPr/>
        <w:t>1</w:t>
      </w:r>
      <w:r>
        <w:rPr>
          <w:spacing w:val="-1"/>
        </w:rPr>
        <w:t> </w:t>
      </w:r>
      <w:r>
        <w:rPr/>
        <w:t>к 1,2) не</w:t>
      </w:r>
      <w:r>
        <w:rPr>
          <w:spacing w:val="-2"/>
        </w:rPr>
        <w:t> </w:t>
      </w:r>
      <w:r>
        <w:rPr/>
        <w:t>рекомендовано, при этом</w:t>
      </w:r>
      <w:r>
        <w:rPr>
          <w:spacing w:val="-2"/>
        </w:rPr>
        <w:t> </w:t>
      </w:r>
      <w:r>
        <w:rPr/>
        <w:t>необходимо избегать неполного выдоха (экспираторный поток перед началом вдоха аппарата должен</w:t>
      </w:r>
      <w:r>
        <w:rPr>
          <w:spacing w:val="40"/>
        </w:rPr>
        <w:t> </w:t>
      </w:r>
      <w:r>
        <w:rPr/>
        <w:t>достигать</w:t>
      </w:r>
      <w:r>
        <w:rPr>
          <w:spacing w:val="40"/>
        </w:rPr>
        <w:t> </w:t>
      </w:r>
      <w:r>
        <w:rPr/>
        <w:t>нуля).</w:t>
      </w:r>
      <w:r>
        <w:rPr>
          <w:spacing w:val="40"/>
        </w:rPr>
        <w:t> </w:t>
      </w:r>
      <w:r>
        <w:rPr/>
        <w:t>Следует</w:t>
      </w:r>
      <w:r>
        <w:rPr>
          <w:spacing w:val="40"/>
        </w:rPr>
        <w:t> </w:t>
      </w:r>
      <w:r>
        <w:rPr/>
        <w:t>регулировать</w:t>
      </w:r>
      <w:r>
        <w:rPr>
          <w:spacing w:val="40"/>
        </w:rPr>
        <w:t> </w:t>
      </w:r>
      <w:r>
        <w:rPr/>
        <w:t>ЧД</w:t>
      </w:r>
      <w:r>
        <w:rPr>
          <w:spacing w:val="40"/>
        </w:rPr>
        <w:t> </w:t>
      </w:r>
      <w:r>
        <w:rPr/>
        <w:t>для</w:t>
      </w:r>
      <w:r>
        <w:rPr>
          <w:spacing w:val="40"/>
        </w:rPr>
        <w:t> </w:t>
      </w:r>
      <w:r>
        <w:rPr/>
        <w:t>достижения</w:t>
      </w:r>
      <w:r>
        <w:rPr>
          <w:spacing w:val="40"/>
        </w:rPr>
        <w:t> </w:t>
      </w:r>
      <w:r>
        <w:rPr/>
        <w:t>нормокапнии, но не более 30 в мин. Для вдоха достаточно времени 0,8-1,2 с.</w:t>
      </w:r>
    </w:p>
    <w:p>
      <w:pPr>
        <w:pStyle w:val="BodyText"/>
        <w:spacing w:before="173"/>
        <w:ind w:left="0"/>
        <w:jc w:val="left"/>
      </w:pPr>
    </w:p>
    <w:p>
      <w:pPr>
        <w:pStyle w:val="Heading3"/>
        <w:spacing w:line="276" w:lineRule="auto"/>
        <w:ind w:left="1841" w:right="1275" w:firstLine="707"/>
      </w:pPr>
      <w:r>
        <w:rPr>
          <w:color w:val="1F487C"/>
        </w:rPr>
        <w:t>Вентиляция в положении лежа на животе (прон-позиция) и в положении на боку</w:t>
      </w:r>
    </w:p>
    <w:p>
      <w:pPr>
        <w:pStyle w:val="BodyText"/>
        <w:spacing w:line="276" w:lineRule="auto" w:before="121"/>
        <w:ind w:right="1272" w:firstLine="707"/>
      </w:pPr>
      <w:r>
        <w:rPr/>
        <w:t>При ИВЛ у</w:t>
      </w:r>
      <w:r>
        <w:rPr>
          <w:spacing w:val="-1"/>
        </w:rPr>
        <w:t> </w:t>
      </w:r>
      <w:r>
        <w:rPr/>
        <w:t>пациентов с</w:t>
      </w:r>
      <w:r>
        <w:rPr>
          <w:spacing w:val="-2"/>
        </w:rPr>
        <w:t> </w:t>
      </w:r>
      <w:r>
        <w:rPr/>
        <w:t>COVID-19</w:t>
      </w:r>
      <w:r>
        <w:rPr>
          <w:spacing w:val="-1"/>
        </w:rPr>
        <w:t> </w:t>
      </w:r>
      <w:r>
        <w:rPr/>
        <w:t>рекомендовано положение</w:t>
      </w:r>
      <w:r>
        <w:rPr>
          <w:spacing w:val="-1"/>
        </w:rPr>
        <w:t> </w:t>
      </w:r>
      <w:r>
        <w:rPr/>
        <w:t>лежа</w:t>
      </w:r>
      <w:r>
        <w:rPr>
          <w:spacing w:val="-2"/>
        </w:rPr>
        <w:t> </w:t>
      </w:r>
      <w:r>
        <w:rPr/>
        <w:t>на</w:t>
      </w:r>
      <w:r>
        <w:rPr>
          <w:spacing w:val="-2"/>
        </w:rPr>
        <w:t> </w:t>
      </w:r>
      <w:r>
        <w:rPr/>
        <w:t>животе в</w:t>
      </w:r>
      <w:r>
        <w:rPr>
          <w:spacing w:val="-4"/>
        </w:rPr>
        <w:t> </w:t>
      </w:r>
      <w:r>
        <w:rPr/>
        <w:t>течение не менее</w:t>
      </w:r>
      <w:r>
        <w:rPr>
          <w:spacing w:val="-1"/>
        </w:rPr>
        <w:t> </w:t>
      </w:r>
      <w:r>
        <w:rPr/>
        <w:t>16 ч в сутки для улучшения</w:t>
      </w:r>
      <w:r>
        <w:rPr>
          <w:spacing w:val="-1"/>
        </w:rPr>
        <w:t> </w:t>
      </w:r>
      <w:r>
        <w:rPr/>
        <w:t>оксигенации и возможного снижения летальности.</w:t>
      </w:r>
      <w:r>
        <w:rPr>
          <w:spacing w:val="-15"/>
        </w:rPr>
        <w:t> </w:t>
      </w:r>
      <w:r>
        <w:rPr/>
        <w:t>Пациента</w:t>
      </w:r>
      <w:r>
        <w:rPr>
          <w:spacing w:val="-15"/>
        </w:rPr>
        <w:t> </w:t>
      </w:r>
      <w:r>
        <w:rPr/>
        <w:t>следует</w:t>
      </w:r>
      <w:r>
        <w:rPr>
          <w:spacing w:val="-12"/>
        </w:rPr>
        <w:t> </w:t>
      </w:r>
      <w:r>
        <w:rPr/>
        <w:t>положить</w:t>
      </w:r>
      <w:r>
        <w:rPr>
          <w:spacing w:val="-13"/>
        </w:rPr>
        <w:t> </w:t>
      </w:r>
      <w:r>
        <w:rPr/>
        <w:t>на</w:t>
      </w:r>
      <w:r>
        <w:rPr>
          <w:spacing w:val="-14"/>
        </w:rPr>
        <w:t> </w:t>
      </w:r>
      <w:r>
        <w:rPr/>
        <w:t>живот,</w:t>
      </w:r>
      <w:r>
        <w:rPr>
          <w:spacing w:val="-13"/>
        </w:rPr>
        <w:t> </w:t>
      </w:r>
      <w:r>
        <w:rPr/>
        <w:t>предварительно</w:t>
      </w:r>
      <w:r>
        <w:rPr>
          <w:spacing w:val="-14"/>
        </w:rPr>
        <w:t> </w:t>
      </w:r>
      <w:r>
        <w:rPr/>
        <w:t>подложив</w:t>
      </w:r>
      <w:r>
        <w:rPr>
          <w:spacing w:val="-14"/>
        </w:rPr>
        <w:t> </w:t>
      </w:r>
      <w:r>
        <w:rPr/>
        <w:t>валики под грудную клетку и таз, а также подушку для лица (желательно использовать специальные</w:t>
      </w:r>
      <w:r>
        <w:rPr>
          <w:spacing w:val="-12"/>
        </w:rPr>
        <w:t> </w:t>
      </w:r>
      <w:r>
        <w:rPr/>
        <w:t>подушки</w:t>
      </w:r>
      <w:r>
        <w:rPr>
          <w:spacing w:val="-15"/>
        </w:rPr>
        <w:t> </w:t>
      </w:r>
      <w:r>
        <w:rPr/>
        <w:t>для</w:t>
      </w:r>
      <w:r>
        <w:rPr>
          <w:spacing w:val="-12"/>
        </w:rPr>
        <w:t> </w:t>
      </w:r>
      <w:r>
        <w:rPr/>
        <w:t>прон-позиции)</w:t>
      </w:r>
      <w:r>
        <w:rPr>
          <w:spacing w:val="-11"/>
        </w:rPr>
        <w:t> </w:t>
      </w:r>
      <w:r>
        <w:rPr/>
        <w:t>с</w:t>
      </w:r>
      <w:r>
        <w:rPr>
          <w:spacing w:val="-13"/>
        </w:rPr>
        <w:t> </w:t>
      </w:r>
      <w:r>
        <w:rPr/>
        <w:t>таким</w:t>
      </w:r>
      <w:r>
        <w:rPr>
          <w:spacing w:val="-12"/>
        </w:rPr>
        <w:t> </w:t>
      </w:r>
      <w:r>
        <w:rPr/>
        <w:t>расчетом,</w:t>
      </w:r>
      <w:r>
        <w:rPr>
          <w:spacing w:val="-11"/>
        </w:rPr>
        <w:t> </w:t>
      </w:r>
      <w:r>
        <w:rPr/>
        <w:t>чтобы</w:t>
      </w:r>
      <w:r>
        <w:rPr>
          <w:spacing w:val="-12"/>
        </w:rPr>
        <w:t> </w:t>
      </w:r>
      <w:r>
        <w:rPr/>
        <w:t>живот</w:t>
      </w:r>
      <w:r>
        <w:rPr>
          <w:spacing w:val="-11"/>
        </w:rPr>
        <w:t> </w:t>
      </w:r>
      <w:r>
        <w:rPr/>
        <w:t>не</w:t>
      </w:r>
      <w:r>
        <w:rPr>
          <w:spacing w:val="-13"/>
        </w:rPr>
        <w:t> </w:t>
      </w:r>
      <w:r>
        <w:rPr/>
        <w:t>оказывал избыточного давления на диафрагму, а также не создавалось условий для развития пролежней лица.</w:t>
      </w:r>
    </w:p>
    <w:p>
      <w:pPr>
        <w:pStyle w:val="BodyText"/>
        <w:spacing w:line="276" w:lineRule="auto" w:before="11"/>
        <w:ind w:right="1271" w:firstLine="707"/>
      </w:pPr>
      <w:r>
        <w:rPr/>
        <w:t>При выраженном ожирении вместо прон-позиции при проведении ИВЛ предпочтительно положение лежа на боку со сменой стороны несколько раз в сутки.</w:t>
      </w:r>
    </w:p>
    <w:p>
      <w:pPr>
        <w:pStyle w:val="Heading3"/>
        <w:spacing w:before="159"/>
      </w:pPr>
      <w:r>
        <w:rPr>
          <w:color w:val="1F487C"/>
        </w:rPr>
        <w:t>Осложнения</w:t>
      </w:r>
      <w:r>
        <w:rPr>
          <w:color w:val="1F487C"/>
          <w:spacing w:val="-10"/>
        </w:rPr>
        <w:t> </w:t>
      </w:r>
      <w:r>
        <w:rPr>
          <w:color w:val="1F487C"/>
        </w:rPr>
        <w:t>при</w:t>
      </w:r>
      <w:r>
        <w:rPr>
          <w:color w:val="1F487C"/>
          <w:spacing w:val="-11"/>
        </w:rPr>
        <w:t> </w:t>
      </w:r>
      <w:r>
        <w:rPr>
          <w:color w:val="1F487C"/>
        </w:rPr>
        <w:t>вентиляции</w:t>
      </w:r>
      <w:r>
        <w:rPr>
          <w:color w:val="1F487C"/>
          <w:spacing w:val="-9"/>
        </w:rPr>
        <w:t> </w:t>
      </w:r>
      <w:r>
        <w:rPr>
          <w:color w:val="1F487C"/>
        </w:rPr>
        <w:t>в</w:t>
      </w:r>
      <w:r>
        <w:rPr>
          <w:color w:val="1F487C"/>
          <w:spacing w:val="-13"/>
        </w:rPr>
        <w:t> </w:t>
      </w:r>
      <w:r>
        <w:rPr>
          <w:color w:val="1F487C"/>
        </w:rPr>
        <w:t>положении</w:t>
      </w:r>
      <w:r>
        <w:rPr>
          <w:color w:val="1F487C"/>
          <w:spacing w:val="-11"/>
        </w:rPr>
        <w:t> </w:t>
      </w:r>
      <w:r>
        <w:rPr>
          <w:color w:val="1F487C"/>
        </w:rPr>
        <w:t>лежа</w:t>
      </w:r>
      <w:r>
        <w:rPr>
          <w:color w:val="1F487C"/>
          <w:spacing w:val="-10"/>
        </w:rPr>
        <w:t> </w:t>
      </w:r>
      <w:r>
        <w:rPr>
          <w:color w:val="1F487C"/>
        </w:rPr>
        <w:t>на</w:t>
      </w:r>
      <w:r>
        <w:rPr>
          <w:color w:val="1F487C"/>
          <w:spacing w:val="-12"/>
        </w:rPr>
        <w:t> </w:t>
      </w:r>
      <w:r>
        <w:rPr>
          <w:color w:val="1F487C"/>
          <w:spacing w:val="-2"/>
        </w:rPr>
        <w:t>животе:</w:t>
      </w:r>
    </w:p>
    <w:p>
      <w:pPr>
        <w:pStyle w:val="ListParagraph"/>
        <w:numPr>
          <w:ilvl w:val="1"/>
          <w:numId w:val="37"/>
        </w:numPr>
        <w:tabs>
          <w:tab w:pos="2560" w:val="left" w:leader="none"/>
        </w:tabs>
        <w:spacing w:line="240" w:lineRule="auto" w:before="162" w:after="0"/>
        <w:ind w:left="2560" w:right="0" w:hanging="294"/>
        <w:jc w:val="left"/>
        <w:rPr>
          <w:rFonts w:ascii="Symbol" w:hAnsi="Symbol"/>
          <w:sz w:val="24"/>
        </w:rPr>
      </w:pPr>
      <w:r>
        <w:rPr>
          <w:sz w:val="24"/>
        </w:rPr>
        <w:t>Перегибы</w:t>
      </w:r>
      <w:r>
        <w:rPr>
          <w:spacing w:val="-12"/>
          <w:sz w:val="24"/>
        </w:rPr>
        <w:t> </w:t>
      </w:r>
      <w:r>
        <w:rPr>
          <w:sz w:val="24"/>
        </w:rPr>
        <w:t>и</w:t>
      </w:r>
      <w:r>
        <w:rPr>
          <w:spacing w:val="-10"/>
          <w:sz w:val="24"/>
        </w:rPr>
        <w:t> </w:t>
      </w:r>
      <w:r>
        <w:rPr>
          <w:sz w:val="24"/>
        </w:rPr>
        <w:t>дислокации</w:t>
      </w:r>
      <w:r>
        <w:rPr>
          <w:spacing w:val="-11"/>
          <w:sz w:val="24"/>
        </w:rPr>
        <w:t> </w:t>
      </w:r>
      <w:r>
        <w:rPr>
          <w:sz w:val="24"/>
        </w:rPr>
        <w:t>интубационных</w:t>
      </w:r>
      <w:r>
        <w:rPr>
          <w:spacing w:val="-10"/>
          <w:sz w:val="24"/>
        </w:rPr>
        <w:t> </w:t>
      </w:r>
      <w:r>
        <w:rPr>
          <w:sz w:val="24"/>
        </w:rPr>
        <w:t>трубок</w:t>
      </w:r>
      <w:r>
        <w:rPr>
          <w:spacing w:val="-11"/>
          <w:sz w:val="24"/>
        </w:rPr>
        <w:t> </w:t>
      </w:r>
      <w:r>
        <w:rPr>
          <w:sz w:val="24"/>
        </w:rPr>
        <w:t>и</w:t>
      </w:r>
      <w:r>
        <w:rPr>
          <w:spacing w:val="-11"/>
          <w:sz w:val="24"/>
        </w:rPr>
        <w:t> </w:t>
      </w:r>
      <w:r>
        <w:rPr>
          <w:sz w:val="24"/>
        </w:rPr>
        <w:t>венозных</w:t>
      </w:r>
      <w:r>
        <w:rPr>
          <w:spacing w:val="-13"/>
          <w:sz w:val="24"/>
        </w:rPr>
        <w:t> </w:t>
      </w:r>
      <w:r>
        <w:rPr>
          <w:spacing w:val="-2"/>
          <w:sz w:val="24"/>
        </w:rPr>
        <w:t>катетеров;</w:t>
      </w:r>
    </w:p>
    <w:p>
      <w:pPr>
        <w:pStyle w:val="ListParagraph"/>
        <w:numPr>
          <w:ilvl w:val="1"/>
          <w:numId w:val="37"/>
        </w:numPr>
        <w:tabs>
          <w:tab w:pos="2560" w:val="left" w:leader="none"/>
        </w:tabs>
        <w:spacing w:line="240" w:lineRule="auto" w:before="42" w:after="0"/>
        <w:ind w:left="2560" w:right="0" w:hanging="294"/>
        <w:jc w:val="left"/>
        <w:rPr>
          <w:rFonts w:ascii="Symbol" w:hAnsi="Symbol"/>
          <w:sz w:val="24"/>
        </w:rPr>
      </w:pPr>
      <w:r>
        <w:rPr>
          <w:spacing w:val="-2"/>
          <w:sz w:val="24"/>
        </w:rPr>
        <w:t>Трудность</w:t>
      </w:r>
      <w:r>
        <w:rPr>
          <w:spacing w:val="5"/>
          <w:sz w:val="24"/>
        </w:rPr>
        <w:t> </w:t>
      </w:r>
      <w:r>
        <w:rPr>
          <w:spacing w:val="-2"/>
          <w:sz w:val="24"/>
        </w:rPr>
        <w:t>выполнения</w:t>
      </w:r>
      <w:r>
        <w:rPr>
          <w:spacing w:val="2"/>
          <w:sz w:val="24"/>
        </w:rPr>
        <w:t> </w:t>
      </w:r>
      <w:r>
        <w:rPr>
          <w:spacing w:val="-2"/>
          <w:sz w:val="24"/>
        </w:rPr>
        <w:t>сердечно-легочной</w:t>
      </w:r>
      <w:r>
        <w:rPr>
          <w:spacing w:val="5"/>
          <w:sz w:val="24"/>
        </w:rPr>
        <w:t> </w:t>
      </w:r>
      <w:r>
        <w:rPr>
          <w:spacing w:val="-2"/>
          <w:sz w:val="24"/>
        </w:rPr>
        <w:t>реанимации;</w:t>
      </w:r>
    </w:p>
    <w:p>
      <w:pPr>
        <w:pStyle w:val="ListParagraph"/>
        <w:numPr>
          <w:ilvl w:val="1"/>
          <w:numId w:val="37"/>
        </w:numPr>
        <w:tabs>
          <w:tab w:pos="2560" w:val="left" w:leader="none"/>
        </w:tabs>
        <w:spacing w:line="240" w:lineRule="auto" w:before="39" w:after="0"/>
        <w:ind w:left="2560" w:right="0" w:hanging="294"/>
        <w:jc w:val="left"/>
        <w:rPr>
          <w:rFonts w:ascii="Symbol" w:hAnsi="Symbol"/>
          <w:sz w:val="24"/>
        </w:rPr>
      </w:pPr>
      <w:r>
        <w:rPr>
          <w:sz w:val="24"/>
        </w:rPr>
        <w:t>Развитие</w:t>
      </w:r>
      <w:r>
        <w:rPr>
          <w:spacing w:val="-15"/>
          <w:sz w:val="24"/>
        </w:rPr>
        <w:t> </w:t>
      </w:r>
      <w:r>
        <w:rPr>
          <w:sz w:val="24"/>
        </w:rPr>
        <w:t>невритов</w:t>
      </w:r>
      <w:r>
        <w:rPr>
          <w:spacing w:val="-15"/>
          <w:sz w:val="24"/>
        </w:rPr>
        <w:t> </w:t>
      </w:r>
      <w:r>
        <w:rPr>
          <w:sz w:val="24"/>
        </w:rPr>
        <w:t>периферических</w:t>
      </w:r>
      <w:r>
        <w:rPr>
          <w:spacing w:val="-15"/>
          <w:sz w:val="24"/>
        </w:rPr>
        <w:t> </w:t>
      </w:r>
      <w:r>
        <w:rPr>
          <w:sz w:val="24"/>
        </w:rPr>
        <w:t>нервов</w:t>
      </w:r>
      <w:r>
        <w:rPr>
          <w:spacing w:val="-15"/>
          <w:sz w:val="24"/>
        </w:rPr>
        <w:t> </w:t>
      </w:r>
      <w:r>
        <w:rPr>
          <w:sz w:val="24"/>
        </w:rPr>
        <w:t>верхних</w:t>
      </w:r>
      <w:r>
        <w:rPr>
          <w:spacing w:val="-14"/>
          <w:sz w:val="24"/>
        </w:rPr>
        <w:t> </w:t>
      </w:r>
      <w:r>
        <w:rPr>
          <w:spacing w:val="-2"/>
          <w:sz w:val="24"/>
        </w:rPr>
        <w:t>конечностей.</w:t>
      </w:r>
    </w:p>
    <w:p>
      <w:pPr>
        <w:pStyle w:val="BodyText"/>
        <w:spacing w:line="276" w:lineRule="auto" w:before="40"/>
        <w:ind w:right="1275" w:firstLine="707"/>
      </w:pPr>
      <w:r>
        <w:rPr/>
        <w:t>Повреждение носа и глаз – лицевой и периорбитальный отек – развивается почти в 100% случаев; кератоконьюктивит, требующий лечения, развивается у 20% </w:t>
      </w:r>
      <w:r>
        <w:rPr>
          <w:spacing w:val="-2"/>
        </w:rPr>
        <w:t>пациентов.</w:t>
      </w:r>
    </w:p>
    <w:p>
      <w:pPr>
        <w:pStyle w:val="BodyText"/>
        <w:spacing w:before="12"/>
        <w:ind w:left="2549"/>
      </w:pPr>
      <w:r>
        <w:rPr/>
        <w:t>В</w:t>
      </w:r>
      <w:r>
        <w:rPr>
          <w:spacing w:val="33"/>
        </w:rPr>
        <w:t> </w:t>
      </w:r>
      <w:r>
        <w:rPr/>
        <w:t>прон-позиции</w:t>
      </w:r>
      <w:r>
        <w:rPr>
          <w:spacing w:val="32"/>
        </w:rPr>
        <w:t> </w:t>
      </w:r>
      <w:r>
        <w:rPr/>
        <w:t>затруднены</w:t>
      </w:r>
      <w:r>
        <w:rPr>
          <w:spacing w:val="33"/>
        </w:rPr>
        <w:t> </w:t>
      </w:r>
      <w:r>
        <w:rPr/>
        <w:t>санация</w:t>
      </w:r>
      <w:r>
        <w:rPr>
          <w:spacing w:val="32"/>
        </w:rPr>
        <w:t> </w:t>
      </w:r>
      <w:r>
        <w:rPr/>
        <w:t>полости</w:t>
      </w:r>
      <w:r>
        <w:rPr>
          <w:spacing w:val="34"/>
        </w:rPr>
        <w:t> </w:t>
      </w:r>
      <w:r>
        <w:rPr/>
        <w:t>рта</w:t>
      </w:r>
      <w:r>
        <w:rPr>
          <w:spacing w:val="33"/>
        </w:rPr>
        <w:t> </w:t>
      </w:r>
      <w:r>
        <w:rPr/>
        <w:t>и</w:t>
      </w:r>
      <w:r>
        <w:rPr>
          <w:spacing w:val="31"/>
        </w:rPr>
        <w:t> </w:t>
      </w:r>
      <w:r>
        <w:rPr/>
        <w:t>трахеи,</w:t>
      </w:r>
      <w:r>
        <w:rPr>
          <w:spacing w:val="34"/>
        </w:rPr>
        <w:t> </w:t>
      </w:r>
      <w:r>
        <w:rPr/>
        <w:t>обработка</w:t>
      </w:r>
      <w:r>
        <w:rPr>
          <w:spacing w:val="33"/>
        </w:rPr>
        <w:t> </w:t>
      </w:r>
      <w:r>
        <w:rPr>
          <w:spacing w:val="-2"/>
        </w:rPr>
        <w:t>глаз,</w:t>
      </w:r>
    </w:p>
    <w:p>
      <w:pPr>
        <w:pStyle w:val="BodyText"/>
        <w:spacing w:before="41"/>
        <w:jc w:val="left"/>
      </w:pPr>
      <w:r>
        <w:rPr>
          <w:spacing w:val="-2"/>
        </w:rPr>
        <w:t>лица.</w:t>
      </w:r>
    </w:p>
    <w:p>
      <w:pPr>
        <w:pStyle w:val="BodyText"/>
        <w:spacing w:before="57"/>
        <w:ind w:left="2549"/>
        <w:jc w:val="left"/>
      </w:pPr>
      <w:r>
        <w:rPr/>
        <w:t>Следует</w:t>
      </w:r>
      <w:r>
        <w:rPr>
          <w:spacing w:val="5"/>
        </w:rPr>
        <w:t> </w:t>
      </w:r>
      <w:r>
        <w:rPr/>
        <w:t>отметить,</w:t>
      </w:r>
      <w:r>
        <w:rPr>
          <w:spacing w:val="5"/>
        </w:rPr>
        <w:t> </w:t>
      </w:r>
      <w:r>
        <w:rPr/>
        <w:t>что,</w:t>
      </w:r>
      <w:r>
        <w:rPr>
          <w:spacing w:val="3"/>
        </w:rPr>
        <w:t> </w:t>
      </w:r>
      <w:r>
        <w:rPr/>
        <w:t>несмотря</w:t>
      </w:r>
      <w:r>
        <w:rPr>
          <w:spacing w:val="5"/>
        </w:rPr>
        <w:t> </w:t>
      </w:r>
      <w:r>
        <w:rPr/>
        <w:t>на</w:t>
      </w:r>
      <w:r>
        <w:rPr>
          <w:spacing w:val="4"/>
        </w:rPr>
        <w:t> </w:t>
      </w:r>
      <w:r>
        <w:rPr/>
        <w:t>улучшение</w:t>
      </w:r>
      <w:r>
        <w:rPr>
          <w:spacing w:val="4"/>
        </w:rPr>
        <w:t> </w:t>
      </w:r>
      <w:r>
        <w:rPr/>
        <w:t>оксигенации</w:t>
      </w:r>
      <w:r>
        <w:rPr>
          <w:spacing w:val="4"/>
        </w:rPr>
        <w:t> </w:t>
      </w:r>
      <w:r>
        <w:rPr/>
        <w:t>при</w:t>
      </w:r>
      <w:r>
        <w:rPr>
          <w:spacing w:val="4"/>
        </w:rPr>
        <w:t> </w:t>
      </w:r>
      <w:r>
        <w:rPr>
          <w:spacing w:val="-2"/>
        </w:rPr>
        <w:t>применении</w:t>
      </w:r>
    </w:p>
    <w:p>
      <w:pPr>
        <w:pStyle w:val="BodyText"/>
        <w:spacing w:line="276" w:lineRule="auto" w:before="40"/>
        <w:ind w:right="1272"/>
      </w:pPr>
      <w:r>
        <w:rPr/>
        <w:t>прон-позиции у интубированных пациентов с COVID-19, статистически значимого улучшения исхода от ее применения в мультицентровых обсервационных исследованиях и их мета-анализах получено не было.</w:t>
      </w:r>
    </w:p>
    <w:p>
      <w:pPr>
        <w:pStyle w:val="BodyText"/>
        <w:spacing w:line="276" w:lineRule="auto" w:before="11"/>
        <w:ind w:right="1272" w:firstLine="719"/>
      </w:pPr>
      <w:r>
        <w:rPr>
          <w:color w:val="1F487C"/>
          <w:position w:val="2"/>
        </w:rPr>
        <w:t>Критерий прекращения прон-позиции: </w:t>
      </w:r>
      <w:r>
        <w:rPr>
          <w:position w:val="2"/>
        </w:rPr>
        <w:t>увеличение PaO</w:t>
      </w:r>
      <w:r>
        <w:rPr>
          <w:sz w:val="16"/>
        </w:rPr>
        <w:t>2</w:t>
      </w:r>
      <w:r>
        <w:rPr>
          <w:position w:val="2"/>
        </w:rPr>
        <w:t>/FiO</w:t>
      </w:r>
      <w:r>
        <w:rPr>
          <w:sz w:val="16"/>
        </w:rPr>
        <w:t>2</w:t>
      </w:r>
      <w:r>
        <w:rPr>
          <w:spacing w:val="40"/>
          <w:sz w:val="16"/>
        </w:rPr>
        <w:t> </w:t>
      </w:r>
      <w:r>
        <w:rPr>
          <w:position w:val="2"/>
        </w:rPr>
        <w:t>&gt;200 мм рт.ст. </w:t>
      </w:r>
      <w:r>
        <w:rPr/>
        <w:t>при PEEP &lt;10 см вод.ст., сохраняющееся в течение </w:t>
      </w:r>
      <w:r>
        <w:rPr>
          <w:rFonts w:ascii="Symbol" w:hAnsi="Symbol"/>
        </w:rPr>
        <w:t></w:t>
      </w:r>
      <w:r>
        <w:rPr/>
        <w:t>4 ч после последнего сеанса </w:t>
      </w:r>
      <w:r>
        <w:rPr>
          <w:spacing w:val="-2"/>
        </w:rPr>
        <w:t>прон-позиции.</w:t>
      </w:r>
    </w:p>
    <w:p>
      <w:pPr>
        <w:pStyle w:val="BodyText"/>
        <w:spacing w:after="0" w:line="276" w:lineRule="auto"/>
        <w:sectPr>
          <w:pgSz w:w="11900" w:h="16840"/>
          <w:pgMar w:header="0" w:footer="697" w:top="1080" w:bottom="880" w:left="0" w:right="0"/>
        </w:sectPr>
      </w:pPr>
    </w:p>
    <w:p>
      <w:pPr>
        <w:pStyle w:val="Heading3"/>
        <w:spacing w:before="73"/>
      </w:pPr>
      <w:bookmarkStart w:name="82" w:id="98"/>
      <w:bookmarkEnd w:id="98"/>
      <w:r>
        <w:rPr>
          <w:b w:val="0"/>
        </w:rPr>
      </w:r>
      <w:r>
        <w:rPr>
          <w:color w:val="1F487C"/>
        </w:rPr>
        <w:t>Медикаментозная</w:t>
      </w:r>
      <w:r>
        <w:rPr>
          <w:color w:val="1F487C"/>
          <w:spacing w:val="-12"/>
        </w:rPr>
        <w:t> </w:t>
      </w:r>
      <w:r>
        <w:rPr>
          <w:color w:val="1F487C"/>
        </w:rPr>
        <w:t>седация</w:t>
      </w:r>
      <w:r>
        <w:rPr>
          <w:color w:val="1F487C"/>
          <w:spacing w:val="-12"/>
        </w:rPr>
        <w:t> </w:t>
      </w:r>
      <w:r>
        <w:rPr>
          <w:color w:val="1F487C"/>
        </w:rPr>
        <w:t>и</w:t>
      </w:r>
      <w:r>
        <w:rPr>
          <w:color w:val="1F487C"/>
          <w:spacing w:val="-11"/>
        </w:rPr>
        <w:t> </w:t>
      </w:r>
      <w:r>
        <w:rPr>
          <w:color w:val="1F487C"/>
        </w:rPr>
        <w:t>миоплегия</w:t>
      </w:r>
      <w:r>
        <w:rPr>
          <w:color w:val="1F487C"/>
          <w:spacing w:val="-12"/>
        </w:rPr>
        <w:t> </w:t>
      </w:r>
      <w:r>
        <w:rPr>
          <w:color w:val="1F487C"/>
        </w:rPr>
        <w:t>при</w:t>
      </w:r>
      <w:r>
        <w:rPr>
          <w:color w:val="1F487C"/>
          <w:spacing w:val="-14"/>
        </w:rPr>
        <w:t> </w:t>
      </w:r>
      <w:r>
        <w:rPr>
          <w:color w:val="1F487C"/>
          <w:spacing w:val="-5"/>
        </w:rPr>
        <w:t>ИВЛ</w:t>
      </w:r>
    </w:p>
    <w:p>
      <w:pPr>
        <w:pStyle w:val="BodyText"/>
        <w:spacing w:line="276" w:lineRule="auto" w:before="160"/>
        <w:ind w:right="1273" w:firstLine="707"/>
      </w:pPr>
      <w:r>
        <w:rPr>
          <w:position w:val="2"/>
        </w:rPr>
        <w:t>При проведении ИВЛ пациентам с индексом PaO</w:t>
      </w:r>
      <w:r>
        <w:rPr>
          <w:sz w:val="16"/>
        </w:rPr>
        <w:t>2</w:t>
      </w:r>
      <w:r>
        <w:rPr>
          <w:position w:val="2"/>
        </w:rPr>
        <w:t>/FiO</w:t>
      </w:r>
      <w:r>
        <w:rPr>
          <w:sz w:val="16"/>
        </w:rPr>
        <w:t>2</w:t>
      </w:r>
      <w:r>
        <w:rPr>
          <w:spacing w:val="40"/>
          <w:sz w:val="16"/>
        </w:rPr>
        <w:t> </w:t>
      </w:r>
      <w:r>
        <w:rPr>
          <w:position w:val="2"/>
        </w:rPr>
        <w:t>&gt;200 мм рт.ст. </w:t>
      </w:r>
      <w:r>
        <w:rPr/>
        <w:t>используют</w:t>
      </w:r>
      <w:r>
        <w:rPr>
          <w:spacing w:val="-15"/>
        </w:rPr>
        <w:t> </w:t>
      </w:r>
      <w:r>
        <w:rPr/>
        <w:t>«легкий»</w:t>
      </w:r>
      <w:r>
        <w:rPr>
          <w:spacing w:val="-15"/>
        </w:rPr>
        <w:t> </w:t>
      </w:r>
      <w:r>
        <w:rPr/>
        <w:t>уровень</w:t>
      </w:r>
      <w:r>
        <w:rPr>
          <w:spacing w:val="-15"/>
        </w:rPr>
        <w:t> </w:t>
      </w:r>
      <w:r>
        <w:rPr/>
        <w:t>седации</w:t>
      </w:r>
      <w:r>
        <w:rPr>
          <w:spacing w:val="-15"/>
        </w:rPr>
        <w:t> </w:t>
      </w:r>
      <w:r>
        <w:rPr/>
        <w:t>(-1…-2</w:t>
      </w:r>
      <w:r>
        <w:rPr>
          <w:spacing w:val="-15"/>
        </w:rPr>
        <w:t> </w:t>
      </w:r>
      <w:r>
        <w:rPr/>
        <w:t>балла</w:t>
      </w:r>
      <w:r>
        <w:rPr>
          <w:spacing w:val="-15"/>
        </w:rPr>
        <w:t> </w:t>
      </w:r>
      <w:r>
        <w:rPr/>
        <w:t>по</w:t>
      </w:r>
      <w:r>
        <w:rPr>
          <w:spacing w:val="-15"/>
        </w:rPr>
        <w:t> </w:t>
      </w:r>
      <w:r>
        <w:rPr/>
        <w:t>Ричмондской</w:t>
      </w:r>
      <w:r>
        <w:rPr>
          <w:spacing w:val="-15"/>
        </w:rPr>
        <w:t> </w:t>
      </w:r>
      <w:r>
        <w:rPr/>
        <w:t>шкале</w:t>
      </w:r>
      <w:r>
        <w:rPr>
          <w:spacing w:val="-15"/>
        </w:rPr>
        <w:t> </w:t>
      </w:r>
      <w:r>
        <w:rPr/>
        <w:t>ажитации и седации RASS). Такая стратегия уменьшает длительность респираторной поддержки и улучшает исход. Желательно также избегать применения для седации </w:t>
      </w:r>
      <w:r>
        <w:rPr>
          <w:spacing w:val="-2"/>
        </w:rPr>
        <w:t>бензодиазепинов.</w:t>
      </w:r>
    </w:p>
    <w:p>
      <w:pPr>
        <w:pStyle w:val="BodyText"/>
        <w:spacing w:line="276" w:lineRule="auto" w:before="9"/>
        <w:ind w:right="1271" w:firstLine="707"/>
      </w:pPr>
      <w:r>
        <w:rPr>
          <w:position w:val="2"/>
        </w:rPr>
        <w:t>У пациентов с PaO</w:t>
      </w:r>
      <w:r>
        <w:rPr>
          <w:sz w:val="16"/>
        </w:rPr>
        <w:t>2</w:t>
      </w:r>
      <w:r>
        <w:rPr>
          <w:position w:val="2"/>
        </w:rPr>
        <w:t>/FiO</w:t>
      </w:r>
      <w:r>
        <w:rPr>
          <w:sz w:val="16"/>
        </w:rPr>
        <w:t>2</w:t>
      </w:r>
      <w:r>
        <w:rPr>
          <w:spacing w:val="40"/>
          <w:sz w:val="16"/>
        </w:rPr>
        <w:t> </w:t>
      </w:r>
      <w:r>
        <w:rPr>
          <w:position w:val="2"/>
        </w:rPr>
        <w:t>&lt;120 мм рт.ст. на фоне РЕЕР &gt;5 см вод.ст. </w:t>
      </w:r>
      <w:r>
        <w:rPr/>
        <w:t>рекомендовано</w:t>
      </w:r>
      <w:r>
        <w:rPr>
          <w:spacing w:val="-15"/>
        </w:rPr>
        <w:t> </w:t>
      </w:r>
      <w:r>
        <w:rPr/>
        <w:t>использовать</w:t>
      </w:r>
      <w:r>
        <w:rPr>
          <w:spacing w:val="-15"/>
        </w:rPr>
        <w:t> </w:t>
      </w:r>
      <w:r>
        <w:rPr/>
        <w:t>нейромышечную</w:t>
      </w:r>
      <w:r>
        <w:rPr>
          <w:spacing w:val="-15"/>
        </w:rPr>
        <w:t> </w:t>
      </w:r>
      <w:r>
        <w:rPr/>
        <w:t>блокаду,</w:t>
      </w:r>
      <w:r>
        <w:rPr>
          <w:spacing w:val="-15"/>
        </w:rPr>
        <w:t> </w:t>
      </w:r>
      <w:r>
        <w:rPr/>
        <w:t>но</w:t>
      </w:r>
      <w:r>
        <w:rPr>
          <w:spacing w:val="-15"/>
        </w:rPr>
        <w:t> </w:t>
      </w:r>
      <w:r>
        <w:rPr/>
        <w:t>только</w:t>
      </w:r>
      <w:r>
        <w:rPr>
          <w:spacing w:val="-14"/>
        </w:rPr>
        <w:t> </w:t>
      </w:r>
      <w:r>
        <w:rPr/>
        <w:t>в</w:t>
      </w:r>
      <w:r>
        <w:rPr>
          <w:spacing w:val="-15"/>
        </w:rPr>
        <w:t> </w:t>
      </w:r>
      <w:r>
        <w:rPr/>
        <w:t>первые</w:t>
      </w:r>
      <w:r>
        <w:rPr>
          <w:spacing w:val="-15"/>
        </w:rPr>
        <w:t> </w:t>
      </w:r>
      <w:r>
        <w:rPr/>
        <w:t>48</w:t>
      </w:r>
      <w:r>
        <w:rPr>
          <w:spacing w:val="-15"/>
        </w:rPr>
        <w:t> </w:t>
      </w:r>
      <w:r>
        <w:rPr/>
        <w:t>ч</w:t>
      </w:r>
      <w:r>
        <w:rPr>
          <w:spacing w:val="-15"/>
        </w:rPr>
        <w:t> </w:t>
      </w:r>
      <w:r>
        <w:rPr/>
        <w:t>после интубации, что может приводить к уменьшению вентилятор-ассоциированного повреждения легких и снижению летальности. Рутинно применять миорелаксанты для синхронизации с аппаратом не следует.</w:t>
      </w:r>
    </w:p>
    <w:p>
      <w:pPr>
        <w:pStyle w:val="Heading3"/>
        <w:spacing w:before="117"/>
      </w:pPr>
      <w:r>
        <w:rPr>
          <w:color w:val="1F487C"/>
        </w:rPr>
        <w:t>Сроки</w:t>
      </w:r>
      <w:r>
        <w:rPr>
          <w:color w:val="1F487C"/>
          <w:spacing w:val="-9"/>
        </w:rPr>
        <w:t> </w:t>
      </w:r>
      <w:r>
        <w:rPr>
          <w:color w:val="1F487C"/>
          <w:spacing w:val="-2"/>
        </w:rPr>
        <w:t>трахеостомии</w:t>
      </w:r>
    </w:p>
    <w:p>
      <w:pPr>
        <w:pStyle w:val="BodyText"/>
        <w:spacing w:line="276" w:lineRule="auto" w:before="163"/>
        <w:ind w:right="1272" w:firstLine="707"/>
      </w:pPr>
      <w:r>
        <w:rPr/>
        <w:t>Рекомендована ранняя трахеостомия (в первые трое суток после интубации) ввиду длительности проведения респираторной поддержки и высокой вероятности осложнений оротрахеальной интубации (дислокация трубки и непреднамеренная экстубация при повороте в прон-позицию, нарушение проходимости трубки, риск нозокомиальной пневмонии).</w:t>
      </w:r>
    </w:p>
    <w:p>
      <w:pPr>
        <w:pStyle w:val="Heading3"/>
        <w:spacing w:before="118"/>
      </w:pPr>
      <w:r>
        <w:rPr>
          <w:color w:val="1F487C"/>
          <w:spacing w:val="-2"/>
        </w:rPr>
        <w:t>Прекращение</w:t>
      </w:r>
      <w:r>
        <w:rPr>
          <w:color w:val="1F487C"/>
          <w:spacing w:val="1"/>
        </w:rPr>
        <w:t> </w:t>
      </w:r>
      <w:r>
        <w:rPr>
          <w:color w:val="1F487C"/>
          <w:spacing w:val="-2"/>
        </w:rPr>
        <w:t>респираторной</w:t>
      </w:r>
      <w:r>
        <w:rPr>
          <w:color w:val="1F487C"/>
          <w:spacing w:val="4"/>
        </w:rPr>
        <w:t> </w:t>
      </w:r>
      <w:r>
        <w:rPr>
          <w:color w:val="1F487C"/>
          <w:spacing w:val="-2"/>
        </w:rPr>
        <w:t>поддержки</w:t>
      </w:r>
    </w:p>
    <w:p>
      <w:pPr>
        <w:pStyle w:val="BodyText"/>
        <w:spacing w:line="276" w:lineRule="auto" w:before="160"/>
        <w:ind w:right="1272" w:firstLine="707"/>
      </w:pPr>
      <w:r>
        <w:rPr/>
        <w:t>Рекомендовано продлевать респираторную поддержку до 14 суток и более даже при положительной динамике оксигенирующей функции легких, т.к. при COVID-19 возможно повторное ухудшение течения ОРДС; средняя длительность ИВЛ у выживших 14-21 суток.</w:t>
      </w:r>
    </w:p>
    <w:p>
      <w:pPr>
        <w:pStyle w:val="BodyText"/>
        <w:spacing w:line="276" w:lineRule="auto" w:before="14"/>
        <w:ind w:right="1273" w:firstLine="707"/>
      </w:pPr>
      <w:r>
        <w:rPr/>
        <w:t>Для улучшения исходов и уменьшения продолжительности респираторной поддержки рекомендуют использовать общие</w:t>
      </w:r>
      <w:r>
        <w:rPr>
          <w:spacing w:val="-2"/>
        </w:rPr>
        <w:t> </w:t>
      </w:r>
      <w:r>
        <w:rPr/>
        <w:t>и респираторные критерии готовности к ее прекращению.</w:t>
      </w:r>
    </w:p>
    <w:p>
      <w:pPr>
        <w:pStyle w:val="BodyText"/>
        <w:spacing w:before="12"/>
      </w:pPr>
      <w:r>
        <w:rPr>
          <w:color w:val="1F487C"/>
          <w:spacing w:val="-2"/>
        </w:rPr>
        <w:t>Основные</w:t>
      </w:r>
      <w:r>
        <w:rPr>
          <w:color w:val="1F487C"/>
          <w:spacing w:val="1"/>
        </w:rPr>
        <w:t> </w:t>
      </w:r>
      <w:r>
        <w:rPr>
          <w:color w:val="1F487C"/>
          <w:spacing w:val="-2"/>
        </w:rPr>
        <w:t>респираторные</w:t>
      </w:r>
      <w:r>
        <w:rPr>
          <w:color w:val="1F487C"/>
          <w:spacing w:val="3"/>
        </w:rPr>
        <w:t> </w:t>
      </w:r>
      <w:r>
        <w:rPr>
          <w:color w:val="1F487C"/>
          <w:spacing w:val="-2"/>
        </w:rPr>
        <w:t>критерии:</w:t>
      </w:r>
    </w:p>
    <w:p>
      <w:pPr>
        <w:pStyle w:val="ListParagraph"/>
        <w:numPr>
          <w:ilvl w:val="0"/>
          <w:numId w:val="39"/>
        </w:numPr>
        <w:tabs>
          <w:tab w:pos="2834" w:val="left" w:leader="none"/>
        </w:tabs>
        <w:spacing w:line="240" w:lineRule="auto" w:before="58" w:after="0"/>
        <w:ind w:left="2834" w:right="0" w:hanging="427"/>
        <w:jc w:val="left"/>
        <w:rPr>
          <w:rFonts w:ascii="Symbol" w:hAnsi="Symbol"/>
          <w:position w:val="2"/>
          <w:sz w:val="24"/>
        </w:rPr>
      </w:pPr>
      <w:r>
        <w:rPr>
          <w:position w:val="2"/>
          <w:sz w:val="24"/>
        </w:rPr>
        <w:t>PaO</w:t>
      </w:r>
      <w:r>
        <w:rPr>
          <w:sz w:val="16"/>
        </w:rPr>
        <w:t>2</w:t>
      </w:r>
      <w:r>
        <w:rPr>
          <w:position w:val="2"/>
          <w:sz w:val="24"/>
        </w:rPr>
        <w:t>/FiO</w:t>
      </w:r>
      <w:r>
        <w:rPr>
          <w:sz w:val="16"/>
        </w:rPr>
        <w:t>2</w:t>
      </w:r>
      <w:r>
        <w:rPr>
          <w:spacing w:val="14"/>
          <w:sz w:val="16"/>
        </w:rPr>
        <w:t> </w:t>
      </w:r>
      <w:r>
        <w:rPr>
          <w:position w:val="2"/>
          <w:sz w:val="24"/>
        </w:rPr>
        <w:t>&gt;300</w:t>
      </w:r>
      <w:r>
        <w:rPr>
          <w:spacing w:val="-7"/>
          <w:position w:val="2"/>
          <w:sz w:val="24"/>
        </w:rPr>
        <w:t> </w:t>
      </w:r>
      <w:r>
        <w:rPr>
          <w:position w:val="2"/>
          <w:sz w:val="24"/>
        </w:rPr>
        <w:t>мм</w:t>
      </w:r>
      <w:r>
        <w:rPr>
          <w:spacing w:val="-7"/>
          <w:position w:val="2"/>
          <w:sz w:val="24"/>
        </w:rPr>
        <w:t> </w:t>
      </w:r>
      <w:r>
        <w:rPr>
          <w:position w:val="2"/>
          <w:sz w:val="24"/>
        </w:rPr>
        <w:t>рт.ст,</w:t>
      </w:r>
      <w:r>
        <w:rPr>
          <w:spacing w:val="-6"/>
          <w:position w:val="2"/>
          <w:sz w:val="24"/>
        </w:rPr>
        <w:t> </w:t>
      </w:r>
      <w:r>
        <w:rPr>
          <w:position w:val="2"/>
          <w:sz w:val="24"/>
        </w:rPr>
        <w:t>то</w:t>
      </w:r>
      <w:r>
        <w:rPr>
          <w:spacing w:val="-7"/>
          <w:position w:val="2"/>
          <w:sz w:val="24"/>
        </w:rPr>
        <w:t> </w:t>
      </w:r>
      <w:r>
        <w:rPr>
          <w:position w:val="2"/>
          <w:sz w:val="24"/>
        </w:rPr>
        <w:t>есть</w:t>
      </w:r>
      <w:r>
        <w:rPr>
          <w:spacing w:val="-5"/>
          <w:position w:val="2"/>
          <w:sz w:val="24"/>
        </w:rPr>
        <w:t> </w:t>
      </w:r>
      <w:r>
        <w:rPr>
          <w:position w:val="2"/>
          <w:sz w:val="24"/>
        </w:rPr>
        <w:t>SpO</w:t>
      </w:r>
      <w:r>
        <w:rPr>
          <w:sz w:val="16"/>
        </w:rPr>
        <w:t>2</w:t>
      </w:r>
      <w:r>
        <w:rPr>
          <w:spacing w:val="12"/>
          <w:sz w:val="16"/>
        </w:rPr>
        <w:t> </w:t>
      </w:r>
      <w:r>
        <w:rPr>
          <w:position w:val="2"/>
          <w:sz w:val="24"/>
        </w:rPr>
        <w:t>при</w:t>
      </w:r>
      <w:r>
        <w:rPr>
          <w:spacing w:val="-5"/>
          <w:position w:val="2"/>
          <w:sz w:val="24"/>
        </w:rPr>
        <w:t> </w:t>
      </w:r>
      <w:r>
        <w:rPr>
          <w:position w:val="2"/>
          <w:sz w:val="24"/>
        </w:rPr>
        <w:t>вдыхании</w:t>
      </w:r>
      <w:r>
        <w:rPr>
          <w:spacing w:val="-5"/>
          <w:position w:val="2"/>
          <w:sz w:val="24"/>
        </w:rPr>
        <w:t> </w:t>
      </w:r>
      <w:r>
        <w:rPr>
          <w:position w:val="2"/>
          <w:sz w:val="24"/>
        </w:rPr>
        <w:t>воздуха</w:t>
      </w:r>
      <w:r>
        <w:rPr>
          <w:spacing w:val="-7"/>
          <w:position w:val="2"/>
          <w:sz w:val="24"/>
        </w:rPr>
        <w:t> </w:t>
      </w:r>
      <w:r>
        <w:rPr>
          <w:position w:val="2"/>
          <w:sz w:val="24"/>
        </w:rPr>
        <w:t>90%</w:t>
      </w:r>
      <w:r>
        <w:rPr>
          <w:spacing w:val="-7"/>
          <w:position w:val="2"/>
          <w:sz w:val="24"/>
        </w:rPr>
        <w:t> </w:t>
      </w:r>
      <w:r>
        <w:rPr>
          <w:position w:val="2"/>
          <w:sz w:val="24"/>
        </w:rPr>
        <w:t>и</w:t>
      </w:r>
      <w:r>
        <w:rPr>
          <w:spacing w:val="-5"/>
          <w:position w:val="2"/>
          <w:sz w:val="24"/>
        </w:rPr>
        <w:t> </w:t>
      </w:r>
      <w:r>
        <w:rPr>
          <w:spacing w:val="-2"/>
          <w:position w:val="2"/>
          <w:sz w:val="24"/>
        </w:rPr>
        <w:t>более;</w:t>
      </w:r>
    </w:p>
    <w:p>
      <w:pPr>
        <w:pStyle w:val="ListParagraph"/>
        <w:numPr>
          <w:ilvl w:val="0"/>
          <w:numId w:val="39"/>
        </w:numPr>
        <w:tabs>
          <w:tab w:pos="2834" w:val="left" w:leader="none"/>
        </w:tabs>
        <w:spacing w:line="240" w:lineRule="auto" w:before="38" w:after="0"/>
        <w:ind w:left="2834" w:right="0" w:hanging="427"/>
        <w:jc w:val="left"/>
        <w:rPr>
          <w:rFonts w:ascii="Symbol" w:hAnsi="Symbol"/>
          <w:sz w:val="24"/>
        </w:rPr>
      </w:pPr>
      <w:r>
        <w:rPr>
          <w:sz w:val="24"/>
        </w:rPr>
        <w:t>Восстановление</w:t>
      </w:r>
      <w:r>
        <w:rPr>
          <w:spacing w:val="-13"/>
          <w:sz w:val="24"/>
        </w:rPr>
        <w:t> </w:t>
      </w:r>
      <w:r>
        <w:rPr>
          <w:sz w:val="24"/>
        </w:rPr>
        <w:t>кашлевого</w:t>
      </w:r>
      <w:r>
        <w:rPr>
          <w:spacing w:val="-13"/>
          <w:sz w:val="24"/>
        </w:rPr>
        <w:t> </w:t>
      </w:r>
      <w:r>
        <w:rPr>
          <w:sz w:val="24"/>
        </w:rPr>
        <w:t>рефлекса</w:t>
      </w:r>
      <w:r>
        <w:rPr>
          <w:spacing w:val="-13"/>
          <w:sz w:val="24"/>
        </w:rPr>
        <w:t> </w:t>
      </w:r>
      <w:r>
        <w:rPr>
          <w:sz w:val="24"/>
        </w:rPr>
        <w:t>и</w:t>
      </w:r>
      <w:r>
        <w:rPr>
          <w:spacing w:val="-11"/>
          <w:sz w:val="24"/>
        </w:rPr>
        <w:t> </w:t>
      </w:r>
      <w:r>
        <w:rPr>
          <w:sz w:val="24"/>
        </w:rPr>
        <w:t>кашлевого</w:t>
      </w:r>
      <w:r>
        <w:rPr>
          <w:spacing w:val="-12"/>
          <w:sz w:val="24"/>
        </w:rPr>
        <w:t> </w:t>
      </w:r>
      <w:r>
        <w:rPr>
          <w:spacing w:val="-2"/>
          <w:sz w:val="24"/>
        </w:rPr>
        <w:t>толчка;</w:t>
      </w:r>
    </w:p>
    <w:p>
      <w:pPr>
        <w:pStyle w:val="ListParagraph"/>
        <w:numPr>
          <w:ilvl w:val="0"/>
          <w:numId w:val="39"/>
        </w:numPr>
        <w:tabs>
          <w:tab w:pos="2834" w:val="left" w:leader="none"/>
        </w:tabs>
        <w:spacing w:line="240" w:lineRule="auto" w:before="40" w:after="0"/>
        <w:ind w:left="2834" w:right="0" w:hanging="427"/>
        <w:jc w:val="left"/>
        <w:rPr>
          <w:rFonts w:ascii="Symbol" w:hAnsi="Symbol"/>
          <w:sz w:val="24"/>
        </w:rPr>
      </w:pPr>
      <w:r>
        <w:rPr>
          <w:spacing w:val="-2"/>
          <w:sz w:val="24"/>
        </w:rPr>
        <w:t>Отсутствие</w:t>
      </w:r>
      <w:r>
        <w:rPr>
          <w:spacing w:val="1"/>
          <w:sz w:val="24"/>
        </w:rPr>
        <w:t> </w:t>
      </w:r>
      <w:r>
        <w:rPr>
          <w:spacing w:val="-2"/>
          <w:sz w:val="24"/>
        </w:rPr>
        <w:t>бронхореи;</w:t>
      </w:r>
    </w:p>
    <w:p>
      <w:pPr>
        <w:pStyle w:val="ListParagraph"/>
        <w:numPr>
          <w:ilvl w:val="0"/>
          <w:numId w:val="39"/>
        </w:numPr>
        <w:tabs>
          <w:tab w:pos="2834" w:val="left" w:leader="none"/>
        </w:tabs>
        <w:spacing w:line="352" w:lineRule="auto" w:before="41" w:after="0"/>
        <w:ind w:left="1841" w:right="5615" w:firstLine="565"/>
        <w:jc w:val="left"/>
        <w:rPr>
          <w:rFonts w:ascii="Symbol" w:hAnsi="Symbol"/>
          <w:sz w:val="24"/>
        </w:rPr>
      </w:pPr>
      <w:r>
        <w:rPr>
          <w:sz w:val="24"/>
        </w:rPr>
        <w:t>Индекс Тобина (f/Vt) &lt;105. </w:t>
      </w:r>
      <w:r>
        <w:rPr>
          <w:color w:val="1F487C"/>
          <w:sz w:val="24"/>
        </w:rPr>
        <w:t>Дополнительные</w:t>
      </w:r>
      <w:r>
        <w:rPr>
          <w:color w:val="1F487C"/>
          <w:spacing w:val="-15"/>
          <w:sz w:val="24"/>
        </w:rPr>
        <w:t> </w:t>
      </w:r>
      <w:r>
        <w:rPr>
          <w:color w:val="1F487C"/>
          <w:sz w:val="24"/>
        </w:rPr>
        <w:t>респираторные</w:t>
      </w:r>
      <w:r>
        <w:rPr>
          <w:color w:val="1F487C"/>
          <w:spacing w:val="-15"/>
          <w:sz w:val="24"/>
        </w:rPr>
        <w:t> </w:t>
      </w:r>
      <w:r>
        <w:rPr>
          <w:color w:val="1F487C"/>
          <w:sz w:val="24"/>
        </w:rPr>
        <w:t>критерии:</w:t>
      </w:r>
    </w:p>
    <w:p>
      <w:pPr>
        <w:pStyle w:val="ListParagraph"/>
        <w:numPr>
          <w:ilvl w:val="0"/>
          <w:numId w:val="39"/>
        </w:numPr>
        <w:tabs>
          <w:tab w:pos="2834" w:val="left" w:leader="none"/>
        </w:tabs>
        <w:spacing w:line="240" w:lineRule="auto" w:before="14" w:after="0"/>
        <w:ind w:left="2834" w:right="0" w:hanging="427"/>
        <w:jc w:val="left"/>
        <w:rPr>
          <w:rFonts w:ascii="Symbol" w:hAnsi="Symbol"/>
          <w:sz w:val="24"/>
        </w:rPr>
      </w:pPr>
      <w:r>
        <w:rPr>
          <w:sz w:val="24"/>
        </w:rPr>
        <w:t>Статическая</w:t>
      </w:r>
      <w:r>
        <w:rPr>
          <w:spacing w:val="-12"/>
          <w:sz w:val="24"/>
        </w:rPr>
        <w:t> </w:t>
      </w:r>
      <w:r>
        <w:rPr>
          <w:sz w:val="24"/>
        </w:rPr>
        <w:t>податливость</w:t>
      </w:r>
      <w:r>
        <w:rPr>
          <w:spacing w:val="-11"/>
          <w:sz w:val="24"/>
        </w:rPr>
        <w:t> </w:t>
      </w:r>
      <w:r>
        <w:rPr>
          <w:sz w:val="24"/>
        </w:rPr>
        <w:t>респираторной</w:t>
      </w:r>
      <w:r>
        <w:rPr>
          <w:spacing w:val="-11"/>
          <w:sz w:val="24"/>
        </w:rPr>
        <w:t> </w:t>
      </w:r>
      <w:r>
        <w:rPr>
          <w:sz w:val="24"/>
        </w:rPr>
        <w:t>системы</w:t>
      </w:r>
      <w:r>
        <w:rPr>
          <w:spacing w:val="-13"/>
          <w:sz w:val="24"/>
        </w:rPr>
        <w:t> </w:t>
      </w:r>
      <w:r>
        <w:rPr>
          <w:sz w:val="24"/>
        </w:rPr>
        <w:t>&gt;35</w:t>
      </w:r>
      <w:r>
        <w:rPr>
          <w:spacing w:val="-10"/>
          <w:sz w:val="24"/>
        </w:rPr>
        <w:t> </w:t>
      </w:r>
      <w:r>
        <w:rPr>
          <w:sz w:val="24"/>
        </w:rPr>
        <w:t>мл/</w:t>
      </w:r>
      <w:r>
        <w:rPr>
          <w:spacing w:val="-13"/>
          <w:sz w:val="24"/>
        </w:rPr>
        <w:t> </w:t>
      </w:r>
      <w:r>
        <w:rPr>
          <w:sz w:val="24"/>
        </w:rPr>
        <w:t>см</w:t>
      </w:r>
      <w:r>
        <w:rPr>
          <w:spacing w:val="-13"/>
          <w:sz w:val="24"/>
        </w:rPr>
        <w:t> </w:t>
      </w:r>
      <w:r>
        <w:rPr>
          <w:spacing w:val="-2"/>
          <w:sz w:val="24"/>
        </w:rPr>
        <w:t>вод.ст.;</w:t>
      </w:r>
    </w:p>
    <w:p>
      <w:pPr>
        <w:pStyle w:val="ListParagraph"/>
        <w:numPr>
          <w:ilvl w:val="0"/>
          <w:numId w:val="39"/>
        </w:numPr>
        <w:tabs>
          <w:tab w:pos="2834" w:val="left" w:leader="none"/>
        </w:tabs>
        <w:spacing w:line="240" w:lineRule="auto" w:before="39" w:after="0"/>
        <w:ind w:left="2834" w:right="0" w:hanging="427"/>
        <w:jc w:val="left"/>
        <w:rPr>
          <w:rFonts w:ascii="Symbol" w:hAnsi="Symbol"/>
          <w:sz w:val="24"/>
        </w:rPr>
      </w:pPr>
      <w:r>
        <w:rPr>
          <w:sz w:val="24"/>
        </w:rPr>
        <w:t>Сопротивление</w:t>
      </w:r>
      <w:r>
        <w:rPr>
          <w:spacing w:val="-12"/>
          <w:sz w:val="24"/>
        </w:rPr>
        <w:t> </w:t>
      </w:r>
      <w:r>
        <w:rPr>
          <w:sz w:val="24"/>
        </w:rPr>
        <w:t>дыхательных</w:t>
      </w:r>
      <w:r>
        <w:rPr>
          <w:spacing w:val="-12"/>
          <w:sz w:val="24"/>
        </w:rPr>
        <w:t> </w:t>
      </w:r>
      <w:r>
        <w:rPr>
          <w:sz w:val="24"/>
        </w:rPr>
        <w:t>путей</w:t>
      </w:r>
      <w:r>
        <w:rPr>
          <w:spacing w:val="-11"/>
          <w:sz w:val="24"/>
        </w:rPr>
        <w:t> </w:t>
      </w:r>
      <w:r>
        <w:rPr>
          <w:sz w:val="24"/>
        </w:rPr>
        <w:t>&lt;10</w:t>
      </w:r>
      <w:r>
        <w:rPr>
          <w:spacing w:val="-13"/>
          <w:sz w:val="24"/>
        </w:rPr>
        <w:t> </w:t>
      </w:r>
      <w:r>
        <w:rPr>
          <w:sz w:val="24"/>
        </w:rPr>
        <w:t>см</w:t>
      </w:r>
      <w:r>
        <w:rPr>
          <w:spacing w:val="-12"/>
          <w:sz w:val="24"/>
        </w:rPr>
        <w:t> </w:t>
      </w:r>
      <w:r>
        <w:rPr>
          <w:spacing w:val="-2"/>
          <w:sz w:val="24"/>
        </w:rPr>
        <w:t>вод.ст./л/с;</w:t>
      </w:r>
    </w:p>
    <w:p>
      <w:pPr>
        <w:pStyle w:val="ListParagraph"/>
        <w:numPr>
          <w:ilvl w:val="0"/>
          <w:numId w:val="39"/>
        </w:numPr>
        <w:tabs>
          <w:tab w:pos="2834" w:val="left" w:leader="none"/>
        </w:tabs>
        <w:spacing w:line="240" w:lineRule="auto" w:before="42" w:after="0"/>
        <w:ind w:left="2834" w:right="0" w:hanging="427"/>
        <w:jc w:val="left"/>
        <w:rPr>
          <w:rFonts w:ascii="Symbol" w:hAnsi="Symbol"/>
          <w:sz w:val="24"/>
        </w:rPr>
      </w:pPr>
      <w:r>
        <w:rPr>
          <w:sz w:val="24"/>
        </w:rPr>
        <w:t>Отрицательное</w:t>
      </w:r>
      <w:r>
        <w:rPr>
          <w:spacing w:val="-9"/>
          <w:sz w:val="24"/>
        </w:rPr>
        <w:t> </w:t>
      </w:r>
      <w:r>
        <w:rPr>
          <w:sz w:val="24"/>
        </w:rPr>
        <w:t>давление</w:t>
      </w:r>
      <w:r>
        <w:rPr>
          <w:spacing w:val="-10"/>
          <w:sz w:val="24"/>
        </w:rPr>
        <w:t> </w:t>
      </w:r>
      <w:r>
        <w:rPr>
          <w:sz w:val="24"/>
        </w:rPr>
        <w:t>при</w:t>
      </w:r>
      <w:r>
        <w:rPr>
          <w:spacing w:val="-7"/>
          <w:sz w:val="24"/>
        </w:rPr>
        <w:t> </w:t>
      </w:r>
      <w:r>
        <w:rPr>
          <w:sz w:val="24"/>
        </w:rPr>
        <w:t>вдохе</w:t>
      </w:r>
      <w:r>
        <w:rPr>
          <w:spacing w:val="-11"/>
          <w:sz w:val="24"/>
        </w:rPr>
        <w:t> </w:t>
      </w:r>
      <w:r>
        <w:rPr>
          <w:sz w:val="24"/>
        </w:rPr>
        <w:t>менее</w:t>
      </w:r>
      <w:r>
        <w:rPr>
          <w:spacing w:val="-9"/>
          <w:sz w:val="24"/>
        </w:rPr>
        <w:t> </w:t>
      </w:r>
      <w:r>
        <w:rPr>
          <w:sz w:val="24"/>
        </w:rPr>
        <w:t>–20</w:t>
      </w:r>
      <w:r>
        <w:rPr>
          <w:spacing w:val="-10"/>
          <w:sz w:val="24"/>
        </w:rPr>
        <w:t> </w:t>
      </w:r>
      <w:r>
        <w:rPr>
          <w:sz w:val="24"/>
        </w:rPr>
        <w:t>см</w:t>
      </w:r>
      <w:r>
        <w:rPr>
          <w:spacing w:val="-9"/>
          <w:sz w:val="24"/>
        </w:rPr>
        <w:t> </w:t>
      </w:r>
      <w:r>
        <w:rPr>
          <w:spacing w:val="-2"/>
          <w:sz w:val="24"/>
        </w:rPr>
        <w:t>вод.ст.;</w:t>
      </w:r>
    </w:p>
    <w:p>
      <w:pPr>
        <w:pStyle w:val="ListParagraph"/>
        <w:numPr>
          <w:ilvl w:val="0"/>
          <w:numId w:val="39"/>
        </w:numPr>
        <w:tabs>
          <w:tab w:pos="2834" w:val="left" w:leader="none"/>
        </w:tabs>
        <w:spacing w:line="271" w:lineRule="auto" w:before="39" w:after="0"/>
        <w:ind w:left="2834" w:right="2075" w:hanging="427"/>
        <w:jc w:val="left"/>
        <w:rPr>
          <w:rFonts w:ascii="Symbol" w:hAnsi="Symbol"/>
          <w:sz w:val="24"/>
        </w:rPr>
      </w:pPr>
      <w:r>
        <w:rPr>
          <w:sz w:val="24"/>
        </w:rPr>
        <w:t>Давление</w:t>
      </w:r>
      <w:r>
        <w:rPr>
          <w:spacing w:val="-5"/>
          <w:sz w:val="24"/>
        </w:rPr>
        <w:t> </w:t>
      </w:r>
      <w:r>
        <w:rPr>
          <w:sz w:val="24"/>
        </w:rPr>
        <w:t>окклюзии</w:t>
      </w:r>
      <w:r>
        <w:rPr>
          <w:spacing w:val="-5"/>
          <w:sz w:val="24"/>
        </w:rPr>
        <w:t> </w:t>
      </w:r>
      <w:r>
        <w:rPr>
          <w:sz w:val="24"/>
        </w:rPr>
        <w:t>контура</w:t>
      </w:r>
      <w:r>
        <w:rPr>
          <w:spacing w:val="-4"/>
          <w:sz w:val="24"/>
        </w:rPr>
        <w:t> </w:t>
      </w:r>
      <w:r>
        <w:rPr>
          <w:sz w:val="24"/>
        </w:rPr>
        <w:t>на</w:t>
      </w:r>
      <w:r>
        <w:rPr>
          <w:spacing w:val="-6"/>
          <w:sz w:val="24"/>
        </w:rPr>
        <w:t> </w:t>
      </w:r>
      <w:r>
        <w:rPr>
          <w:sz w:val="24"/>
        </w:rPr>
        <w:t>вдохе</w:t>
      </w:r>
      <w:r>
        <w:rPr>
          <w:spacing w:val="-6"/>
          <w:sz w:val="24"/>
        </w:rPr>
        <w:t> </w:t>
      </w:r>
      <w:r>
        <w:rPr>
          <w:sz w:val="24"/>
        </w:rPr>
        <w:t>за</w:t>
      </w:r>
      <w:r>
        <w:rPr>
          <w:spacing w:val="-6"/>
          <w:sz w:val="24"/>
        </w:rPr>
        <w:t> </w:t>
      </w:r>
      <w:r>
        <w:rPr>
          <w:sz w:val="24"/>
        </w:rPr>
        <w:t>первые</w:t>
      </w:r>
      <w:r>
        <w:rPr>
          <w:spacing w:val="-5"/>
          <w:sz w:val="24"/>
        </w:rPr>
        <w:t> </w:t>
      </w:r>
      <w:r>
        <w:rPr>
          <w:sz w:val="24"/>
        </w:rPr>
        <w:t>100</w:t>
      </w:r>
      <w:r>
        <w:rPr>
          <w:spacing w:val="-5"/>
          <w:sz w:val="24"/>
        </w:rPr>
        <w:t> </w:t>
      </w:r>
      <w:r>
        <w:rPr>
          <w:sz w:val="24"/>
        </w:rPr>
        <w:t>мс</w:t>
      </w:r>
      <w:r>
        <w:rPr>
          <w:spacing w:val="-3"/>
          <w:sz w:val="24"/>
        </w:rPr>
        <w:t> </w:t>
      </w:r>
      <w:r>
        <w:rPr>
          <w:sz w:val="24"/>
        </w:rPr>
        <w:t>(Р0,1)</w:t>
      </w:r>
      <w:r>
        <w:rPr>
          <w:spacing w:val="-5"/>
          <w:sz w:val="24"/>
        </w:rPr>
        <w:t> </w:t>
      </w:r>
      <w:r>
        <w:rPr>
          <w:sz w:val="24"/>
        </w:rPr>
        <w:t>1-3</w:t>
      </w:r>
      <w:r>
        <w:rPr>
          <w:spacing w:val="-5"/>
          <w:sz w:val="24"/>
        </w:rPr>
        <w:t> </w:t>
      </w:r>
      <w:r>
        <w:rPr>
          <w:sz w:val="24"/>
        </w:rPr>
        <w:t>см </w:t>
      </w:r>
      <w:r>
        <w:rPr>
          <w:spacing w:val="-2"/>
          <w:sz w:val="24"/>
        </w:rPr>
        <w:t>вод.ст.;</w:t>
      </w:r>
    </w:p>
    <w:p>
      <w:pPr>
        <w:pStyle w:val="ListParagraph"/>
        <w:numPr>
          <w:ilvl w:val="0"/>
          <w:numId w:val="39"/>
        </w:numPr>
        <w:tabs>
          <w:tab w:pos="2834" w:val="left" w:leader="none"/>
        </w:tabs>
        <w:spacing w:line="240" w:lineRule="auto" w:before="8" w:after="0"/>
        <w:ind w:left="2834" w:right="0" w:hanging="427"/>
        <w:jc w:val="left"/>
        <w:rPr>
          <w:rFonts w:ascii="Symbol" w:hAnsi="Symbol"/>
          <w:sz w:val="24"/>
        </w:rPr>
      </w:pPr>
      <w:r>
        <w:rPr>
          <w:sz w:val="24"/>
        </w:rPr>
        <w:t>Уменьшение</w:t>
      </w:r>
      <w:r>
        <w:rPr>
          <w:spacing w:val="-13"/>
          <w:sz w:val="24"/>
        </w:rPr>
        <w:t> </w:t>
      </w:r>
      <w:r>
        <w:rPr>
          <w:sz w:val="24"/>
        </w:rPr>
        <w:t>инфильтрации</w:t>
      </w:r>
      <w:r>
        <w:rPr>
          <w:spacing w:val="-12"/>
          <w:sz w:val="24"/>
        </w:rPr>
        <w:t> </w:t>
      </w:r>
      <w:r>
        <w:rPr>
          <w:sz w:val="24"/>
        </w:rPr>
        <w:t>на</w:t>
      </w:r>
      <w:r>
        <w:rPr>
          <w:spacing w:val="-14"/>
          <w:sz w:val="24"/>
        </w:rPr>
        <w:t> </w:t>
      </w:r>
      <w:r>
        <w:rPr>
          <w:sz w:val="24"/>
        </w:rPr>
        <w:t>рентгенограмме</w:t>
      </w:r>
      <w:r>
        <w:rPr>
          <w:spacing w:val="-14"/>
          <w:sz w:val="24"/>
        </w:rPr>
        <w:t> </w:t>
      </w:r>
      <w:r>
        <w:rPr>
          <w:sz w:val="24"/>
        </w:rPr>
        <w:t>(и/или</w:t>
      </w:r>
      <w:r>
        <w:rPr>
          <w:spacing w:val="-12"/>
          <w:sz w:val="24"/>
        </w:rPr>
        <w:t> </w:t>
      </w:r>
      <w:r>
        <w:rPr>
          <w:sz w:val="24"/>
        </w:rPr>
        <w:t>КТ)</w:t>
      </w:r>
      <w:r>
        <w:rPr>
          <w:spacing w:val="-13"/>
          <w:sz w:val="24"/>
        </w:rPr>
        <w:t> </w:t>
      </w:r>
      <w:r>
        <w:rPr>
          <w:sz w:val="24"/>
        </w:rPr>
        <w:t>грудной</w:t>
      </w:r>
      <w:r>
        <w:rPr>
          <w:spacing w:val="-12"/>
          <w:sz w:val="24"/>
        </w:rPr>
        <w:t> </w:t>
      </w:r>
      <w:r>
        <w:rPr>
          <w:spacing w:val="-2"/>
          <w:sz w:val="24"/>
        </w:rPr>
        <w:t>клетки.</w:t>
      </w:r>
    </w:p>
    <w:p>
      <w:pPr>
        <w:pStyle w:val="BodyText"/>
        <w:spacing w:before="179"/>
        <w:ind w:left="0"/>
        <w:jc w:val="left"/>
      </w:pPr>
    </w:p>
    <w:p>
      <w:pPr>
        <w:pStyle w:val="BodyText"/>
        <w:ind w:left="1700"/>
        <w:jc w:val="left"/>
      </w:pPr>
      <w:r>
        <w:rPr>
          <w:color w:val="1F487C"/>
        </w:rPr>
        <w:t>Общие</w:t>
      </w:r>
      <w:r>
        <w:rPr>
          <w:color w:val="1F487C"/>
          <w:spacing w:val="-15"/>
        </w:rPr>
        <w:t> </w:t>
      </w:r>
      <w:r>
        <w:rPr>
          <w:color w:val="1F487C"/>
        </w:rPr>
        <w:t>критерии</w:t>
      </w:r>
      <w:r>
        <w:rPr>
          <w:color w:val="1F487C"/>
          <w:spacing w:val="-15"/>
        </w:rPr>
        <w:t> </w:t>
      </w:r>
      <w:r>
        <w:rPr>
          <w:color w:val="1F487C"/>
        </w:rPr>
        <w:t>готовности</w:t>
      </w:r>
      <w:r>
        <w:rPr>
          <w:color w:val="1F487C"/>
          <w:spacing w:val="-14"/>
        </w:rPr>
        <w:t> </w:t>
      </w:r>
      <w:r>
        <w:rPr>
          <w:color w:val="1F487C"/>
        </w:rPr>
        <w:t>к</w:t>
      </w:r>
      <w:r>
        <w:rPr>
          <w:color w:val="1F487C"/>
          <w:spacing w:val="-15"/>
        </w:rPr>
        <w:t> </w:t>
      </w:r>
      <w:r>
        <w:rPr>
          <w:color w:val="1F487C"/>
        </w:rPr>
        <w:t>прекращению</w:t>
      </w:r>
      <w:r>
        <w:rPr>
          <w:color w:val="1F487C"/>
          <w:spacing w:val="-14"/>
        </w:rPr>
        <w:t> </w:t>
      </w:r>
      <w:r>
        <w:rPr>
          <w:color w:val="1F487C"/>
        </w:rPr>
        <w:t>респираторной</w:t>
      </w:r>
      <w:r>
        <w:rPr>
          <w:color w:val="1F487C"/>
          <w:spacing w:val="-14"/>
        </w:rPr>
        <w:t> </w:t>
      </w:r>
      <w:r>
        <w:rPr>
          <w:color w:val="1F487C"/>
          <w:spacing w:val="-2"/>
        </w:rPr>
        <w:t>поддержки:</w:t>
      </w:r>
    </w:p>
    <w:p>
      <w:pPr>
        <w:pStyle w:val="ListParagraph"/>
        <w:numPr>
          <w:ilvl w:val="0"/>
          <w:numId w:val="39"/>
        </w:numPr>
        <w:tabs>
          <w:tab w:pos="2834" w:val="left" w:leader="none"/>
        </w:tabs>
        <w:spacing w:line="240" w:lineRule="auto" w:before="143" w:after="0"/>
        <w:ind w:left="2834" w:right="0" w:hanging="427"/>
        <w:jc w:val="left"/>
        <w:rPr>
          <w:rFonts w:ascii="Symbol" w:hAnsi="Symbol"/>
          <w:sz w:val="24"/>
        </w:rPr>
      </w:pPr>
      <w:r>
        <w:rPr>
          <w:sz w:val="24"/>
        </w:rPr>
        <w:t>Отсутствие</w:t>
      </w:r>
      <w:r>
        <w:rPr>
          <w:spacing w:val="-8"/>
          <w:sz w:val="24"/>
        </w:rPr>
        <w:t> </w:t>
      </w:r>
      <w:r>
        <w:rPr>
          <w:sz w:val="24"/>
        </w:rPr>
        <w:t>угнетения</w:t>
      </w:r>
      <w:r>
        <w:rPr>
          <w:spacing w:val="-5"/>
          <w:sz w:val="24"/>
        </w:rPr>
        <w:t> </w:t>
      </w:r>
      <w:r>
        <w:rPr>
          <w:sz w:val="24"/>
        </w:rPr>
        <w:t>сознания</w:t>
      </w:r>
      <w:r>
        <w:rPr>
          <w:spacing w:val="-5"/>
          <w:sz w:val="24"/>
        </w:rPr>
        <w:t> </w:t>
      </w:r>
      <w:r>
        <w:rPr>
          <w:sz w:val="24"/>
        </w:rPr>
        <w:t>и</w:t>
      </w:r>
      <w:r>
        <w:rPr>
          <w:spacing w:val="-6"/>
          <w:sz w:val="24"/>
        </w:rPr>
        <w:t> </w:t>
      </w:r>
      <w:r>
        <w:rPr>
          <w:sz w:val="24"/>
        </w:rPr>
        <w:t>патологических</w:t>
      </w:r>
      <w:r>
        <w:rPr>
          <w:spacing w:val="-4"/>
          <w:sz w:val="24"/>
        </w:rPr>
        <w:t> </w:t>
      </w:r>
      <w:r>
        <w:rPr>
          <w:sz w:val="24"/>
        </w:rPr>
        <w:t>ритмов</w:t>
      </w:r>
      <w:r>
        <w:rPr>
          <w:spacing w:val="-5"/>
          <w:sz w:val="24"/>
        </w:rPr>
        <w:t> </w:t>
      </w:r>
      <w:r>
        <w:rPr>
          <w:spacing w:val="-2"/>
          <w:sz w:val="24"/>
        </w:rPr>
        <w:t>дыхания;</w:t>
      </w:r>
    </w:p>
    <w:p>
      <w:pPr>
        <w:pStyle w:val="ListParagraph"/>
        <w:spacing w:after="0" w:line="240" w:lineRule="auto"/>
        <w:jc w:val="left"/>
        <w:rPr>
          <w:rFonts w:ascii="Symbol" w:hAnsi="Symbol"/>
          <w:sz w:val="24"/>
        </w:rPr>
        <w:sectPr>
          <w:pgSz w:w="11900" w:h="16840"/>
          <w:pgMar w:header="0" w:footer="697" w:top="1080" w:bottom="880" w:left="0" w:right="0"/>
        </w:sectPr>
      </w:pPr>
    </w:p>
    <w:p>
      <w:pPr>
        <w:pStyle w:val="ListParagraph"/>
        <w:numPr>
          <w:ilvl w:val="0"/>
          <w:numId w:val="39"/>
        </w:numPr>
        <w:tabs>
          <w:tab w:pos="2834" w:val="left" w:leader="none"/>
        </w:tabs>
        <w:spacing w:line="240" w:lineRule="auto" w:before="75" w:after="0"/>
        <w:ind w:left="2834" w:right="0" w:hanging="427"/>
        <w:jc w:val="left"/>
        <w:rPr>
          <w:rFonts w:ascii="Symbol" w:hAnsi="Symbol"/>
          <w:sz w:val="24"/>
        </w:rPr>
      </w:pPr>
      <w:bookmarkStart w:name="83" w:id="99"/>
      <w:bookmarkEnd w:id="99"/>
      <w:r>
        <w:rPr/>
      </w:r>
      <w:r>
        <w:rPr>
          <w:sz w:val="24"/>
        </w:rPr>
        <w:t>Полное</w:t>
      </w:r>
      <w:r>
        <w:rPr>
          <w:spacing w:val="-8"/>
          <w:sz w:val="24"/>
        </w:rPr>
        <w:t> </w:t>
      </w:r>
      <w:r>
        <w:rPr>
          <w:sz w:val="24"/>
        </w:rPr>
        <w:t>окончание</w:t>
      </w:r>
      <w:r>
        <w:rPr>
          <w:spacing w:val="-6"/>
          <w:sz w:val="24"/>
        </w:rPr>
        <w:t> </w:t>
      </w:r>
      <w:r>
        <w:rPr>
          <w:sz w:val="24"/>
        </w:rPr>
        <w:t>действия</w:t>
      </w:r>
      <w:r>
        <w:rPr>
          <w:spacing w:val="-4"/>
          <w:sz w:val="24"/>
        </w:rPr>
        <w:t> </w:t>
      </w:r>
      <w:r>
        <w:rPr>
          <w:sz w:val="24"/>
        </w:rPr>
        <w:t>миорелаксантов</w:t>
      </w:r>
      <w:r>
        <w:rPr>
          <w:spacing w:val="-5"/>
          <w:sz w:val="24"/>
        </w:rPr>
        <w:t> </w:t>
      </w:r>
      <w:r>
        <w:rPr>
          <w:sz w:val="24"/>
        </w:rPr>
        <w:t>и</w:t>
      </w:r>
      <w:r>
        <w:rPr>
          <w:spacing w:val="-6"/>
          <w:sz w:val="24"/>
        </w:rPr>
        <w:t> </w:t>
      </w:r>
      <w:r>
        <w:rPr>
          <w:sz w:val="24"/>
        </w:rPr>
        <w:t>др.</w:t>
      </w:r>
      <w:r>
        <w:rPr>
          <w:spacing w:val="-5"/>
          <w:sz w:val="24"/>
        </w:rPr>
        <w:t> </w:t>
      </w:r>
      <w:r>
        <w:rPr>
          <w:sz w:val="24"/>
        </w:rPr>
        <w:t>препаратов,</w:t>
      </w:r>
      <w:r>
        <w:rPr>
          <w:spacing w:val="-5"/>
          <w:sz w:val="24"/>
        </w:rPr>
        <w:t> </w:t>
      </w:r>
      <w:r>
        <w:rPr>
          <w:spacing w:val="-2"/>
          <w:sz w:val="24"/>
        </w:rPr>
        <w:t>угнетающих</w:t>
      </w:r>
    </w:p>
    <w:p>
      <w:pPr>
        <w:pStyle w:val="BodyText"/>
        <w:spacing w:before="37"/>
        <w:ind w:left="2834"/>
        <w:jc w:val="left"/>
      </w:pPr>
      <w:r>
        <w:rPr>
          <w:spacing w:val="-2"/>
        </w:rPr>
        <w:t>дыхание;</w:t>
      </w:r>
    </w:p>
    <w:p>
      <w:pPr>
        <w:pStyle w:val="ListParagraph"/>
        <w:numPr>
          <w:ilvl w:val="0"/>
          <w:numId w:val="39"/>
        </w:numPr>
        <w:tabs>
          <w:tab w:pos="2834" w:val="left" w:leader="none"/>
        </w:tabs>
        <w:spacing w:line="273" w:lineRule="auto" w:before="45" w:after="0"/>
        <w:ind w:left="2834" w:right="1763" w:hanging="427"/>
        <w:jc w:val="left"/>
        <w:rPr>
          <w:rFonts w:ascii="Symbol" w:hAnsi="Symbol"/>
          <w:sz w:val="24"/>
        </w:rPr>
      </w:pPr>
      <w:r>
        <w:rPr>
          <w:sz w:val="24"/>
        </w:rPr>
        <w:t>Отсутствие признаков шока (мраморность кожи, белое пятно &gt;3 с, холодные</w:t>
      </w:r>
      <w:r>
        <w:rPr>
          <w:spacing w:val="-9"/>
          <w:sz w:val="24"/>
        </w:rPr>
        <w:t> </w:t>
      </w:r>
      <w:r>
        <w:rPr>
          <w:sz w:val="24"/>
        </w:rPr>
        <w:t>конечности),</w:t>
      </w:r>
      <w:r>
        <w:rPr>
          <w:spacing w:val="-11"/>
          <w:sz w:val="24"/>
        </w:rPr>
        <w:t> </w:t>
      </w:r>
      <w:r>
        <w:rPr>
          <w:sz w:val="24"/>
        </w:rPr>
        <w:t>жизнеопасных</w:t>
      </w:r>
      <w:r>
        <w:rPr>
          <w:spacing w:val="-8"/>
          <w:sz w:val="24"/>
        </w:rPr>
        <w:t> </w:t>
      </w:r>
      <w:r>
        <w:rPr>
          <w:sz w:val="24"/>
        </w:rPr>
        <w:t>нарушений</w:t>
      </w:r>
      <w:r>
        <w:rPr>
          <w:spacing w:val="-7"/>
          <w:sz w:val="24"/>
        </w:rPr>
        <w:t> </w:t>
      </w:r>
      <w:r>
        <w:rPr>
          <w:sz w:val="24"/>
        </w:rPr>
        <w:t>ритма,</w:t>
      </w:r>
      <w:r>
        <w:rPr>
          <w:spacing w:val="-9"/>
          <w:sz w:val="24"/>
        </w:rPr>
        <w:t> </w:t>
      </w:r>
      <w:r>
        <w:rPr>
          <w:sz w:val="24"/>
        </w:rPr>
        <w:t>стабильность </w:t>
      </w:r>
      <w:r>
        <w:rPr>
          <w:spacing w:val="-2"/>
          <w:sz w:val="24"/>
        </w:rPr>
        <w:t>гемодинамики.</w:t>
      </w:r>
    </w:p>
    <w:p>
      <w:pPr>
        <w:pStyle w:val="BodyText"/>
        <w:spacing w:line="276" w:lineRule="auto" w:before="2"/>
        <w:ind w:right="1273" w:firstLine="558"/>
      </w:pPr>
      <w:r>
        <w:rPr/>
        <w:t>Для начала прекращения респираторной поддержки обязательно наличие всех основных респираторных и общих критериев готовности к прекращению респираторной поддержки.</w:t>
      </w:r>
    </w:p>
    <w:p>
      <w:pPr>
        <w:pStyle w:val="BodyText"/>
        <w:spacing w:before="2"/>
        <w:ind w:left="0"/>
        <w:jc w:val="left"/>
        <w:rPr>
          <w:sz w:val="17"/>
        </w:rPr>
      </w:pPr>
      <w:r>
        <w:rPr>
          <w:sz w:val="17"/>
        </w:rPr>
        <w:drawing>
          <wp:anchor distT="0" distB="0" distL="0" distR="0" allowOverlap="1" layoutInCell="1" locked="0" behindDoc="1" simplePos="0" relativeHeight="487599616">
            <wp:simplePos x="0" y="0"/>
            <wp:positionH relativeFrom="page">
              <wp:posOffset>1699989</wp:posOffset>
            </wp:positionH>
            <wp:positionV relativeFrom="paragraph">
              <wp:posOffset>141052</wp:posOffset>
            </wp:positionV>
            <wp:extent cx="4815799" cy="3835908"/>
            <wp:effectExtent l="0" t="0" r="0" b="0"/>
            <wp:wrapTopAndBottom/>
            <wp:docPr id="65" name="Image 65"/>
            <wp:cNvGraphicFramePr>
              <a:graphicFrameLocks/>
            </wp:cNvGraphicFramePr>
            <a:graphic>
              <a:graphicData uri="http://schemas.openxmlformats.org/drawingml/2006/picture">
                <pic:pic>
                  <pic:nvPicPr>
                    <pic:cNvPr id="65" name="Image 65"/>
                    <pic:cNvPicPr/>
                  </pic:nvPicPr>
                  <pic:blipFill>
                    <a:blip r:embed="rId22" cstate="print"/>
                    <a:stretch>
                      <a:fillRect/>
                    </a:stretch>
                  </pic:blipFill>
                  <pic:spPr>
                    <a:xfrm>
                      <a:off x="0" y="0"/>
                      <a:ext cx="4815799" cy="3835908"/>
                    </a:xfrm>
                    <a:prstGeom prst="rect">
                      <a:avLst/>
                    </a:prstGeom>
                  </pic:spPr>
                </pic:pic>
              </a:graphicData>
            </a:graphic>
          </wp:anchor>
        </w:drawing>
      </w:r>
    </w:p>
    <w:p>
      <w:pPr>
        <w:pStyle w:val="BodyText"/>
        <w:spacing w:before="126"/>
        <w:ind w:left="477"/>
        <w:jc w:val="center"/>
      </w:pPr>
      <w:r>
        <w:rPr>
          <w:b/>
        </w:rPr>
        <w:t>Cхема</w:t>
      </w:r>
      <w:r>
        <w:rPr>
          <w:b/>
          <w:spacing w:val="-12"/>
        </w:rPr>
        <w:t> </w:t>
      </w:r>
      <w:r>
        <w:rPr>
          <w:b/>
        </w:rPr>
        <w:t>1.</w:t>
      </w:r>
      <w:r>
        <w:rPr>
          <w:b/>
          <w:spacing w:val="-10"/>
        </w:rPr>
        <w:t> </w:t>
      </w:r>
      <w:r>
        <w:rPr/>
        <w:t>Пошаговый</w:t>
      </w:r>
      <w:r>
        <w:rPr>
          <w:spacing w:val="-10"/>
        </w:rPr>
        <w:t> </w:t>
      </w:r>
      <w:r>
        <w:rPr/>
        <w:t>подход</w:t>
      </w:r>
      <w:r>
        <w:rPr>
          <w:spacing w:val="-11"/>
        </w:rPr>
        <w:t> </w:t>
      </w:r>
      <w:r>
        <w:rPr/>
        <w:t>в</w:t>
      </w:r>
      <w:r>
        <w:rPr>
          <w:spacing w:val="-11"/>
        </w:rPr>
        <w:t> </w:t>
      </w:r>
      <w:r>
        <w:rPr/>
        <w:t>выборе</w:t>
      </w:r>
      <w:r>
        <w:rPr>
          <w:spacing w:val="-11"/>
        </w:rPr>
        <w:t> </w:t>
      </w:r>
      <w:r>
        <w:rPr/>
        <w:t>респираторной</w:t>
      </w:r>
      <w:r>
        <w:rPr>
          <w:spacing w:val="-9"/>
        </w:rPr>
        <w:t> </w:t>
      </w:r>
      <w:r>
        <w:rPr/>
        <w:t>терапии</w:t>
      </w:r>
      <w:r>
        <w:rPr>
          <w:spacing w:val="-10"/>
        </w:rPr>
        <w:t> </w:t>
      </w:r>
      <w:r>
        <w:rPr/>
        <w:t>COVID-</w:t>
      </w:r>
      <w:r>
        <w:rPr>
          <w:spacing w:val="-5"/>
        </w:rPr>
        <w:t>19</w:t>
      </w:r>
    </w:p>
    <w:p>
      <w:pPr>
        <w:pStyle w:val="BodyText"/>
        <w:ind w:left="0"/>
        <w:jc w:val="left"/>
      </w:pPr>
    </w:p>
    <w:p>
      <w:pPr>
        <w:pStyle w:val="BodyText"/>
        <w:spacing w:before="21"/>
        <w:ind w:left="0"/>
        <w:jc w:val="left"/>
      </w:pPr>
    </w:p>
    <w:p>
      <w:pPr>
        <w:pStyle w:val="Heading3"/>
        <w:jc w:val="left"/>
      </w:pPr>
      <w:r>
        <w:rPr>
          <w:color w:val="1F487C"/>
          <w:spacing w:val="-2"/>
        </w:rPr>
        <w:t>Терапия</w:t>
      </w:r>
      <w:r>
        <w:rPr>
          <w:color w:val="1F487C"/>
          <w:spacing w:val="3"/>
        </w:rPr>
        <w:t> </w:t>
      </w:r>
      <w:r>
        <w:rPr>
          <w:color w:val="1F487C"/>
          <w:spacing w:val="-2"/>
        </w:rPr>
        <w:t>гелий-кислородными</w:t>
      </w:r>
      <w:r>
        <w:rPr>
          <w:color w:val="1F487C"/>
          <w:spacing w:val="5"/>
        </w:rPr>
        <w:t> </w:t>
      </w:r>
      <w:r>
        <w:rPr>
          <w:color w:val="1F487C"/>
          <w:spacing w:val="-2"/>
        </w:rPr>
        <w:t>газовыми</w:t>
      </w:r>
      <w:r>
        <w:rPr>
          <w:color w:val="1F487C"/>
          <w:spacing w:val="3"/>
        </w:rPr>
        <w:t> </w:t>
      </w:r>
      <w:r>
        <w:rPr>
          <w:color w:val="1F487C"/>
          <w:spacing w:val="-2"/>
        </w:rPr>
        <w:t>смесями</w:t>
      </w:r>
    </w:p>
    <w:p>
      <w:pPr>
        <w:pStyle w:val="BodyText"/>
        <w:spacing w:line="276" w:lineRule="auto" w:before="163"/>
        <w:ind w:right="1270" w:firstLine="707"/>
      </w:pPr>
      <w:r>
        <w:rPr/>
        <w:t>В настоящее время изучается эффективность подогреваемой кислородно- гелиевой смеси гелиокс (70% гелий/30% кислород) в комплексной интенсивной терапии больных на начальных стадиях гипоксемии при COVID-19 для улучшения аэрации участков легких с нарушенной бронхиальной проходимостью.</w:t>
      </w:r>
    </w:p>
    <w:p>
      <w:pPr>
        <w:pStyle w:val="BodyText"/>
        <w:spacing w:line="276" w:lineRule="auto"/>
        <w:ind w:right="1268" w:firstLine="707"/>
      </w:pPr>
      <w:r>
        <w:rPr/>
        <w:t>Терапия гелий-кислородными газовыми смесями проводится с помощью специальных аппаратов, обеспечивающих эффективную и безопасную ингаляцию термической гелий-кислородной смесью, позволяющих изменять процентное соотношение</w:t>
      </w:r>
      <w:r>
        <w:rPr>
          <w:spacing w:val="40"/>
        </w:rPr>
        <w:t> </w:t>
      </w:r>
      <w:r>
        <w:rPr/>
        <w:t>гелия</w:t>
      </w:r>
      <w:r>
        <w:rPr>
          <w:spacing w:val="40"/>
        </w:rPr>
        <w:t> </w:t>
      </w:r>
      <w:r>
        <w:rPr/>
        <w:t>и</w:t>
      </w:r>
      <w:r>
        <w:rPr>
          <w:spacing w:val="40"/>
        </w:rPr>
        <w:t> </w:t>
      </w:r>
      <w:r>
        <w:rPr/>
        <w:t>кислорода,</w:t>
      </w:r>
      <w:r>
        <w:rPr>
          <w:spacing w:val="40"/>
        </w:rPr>
        <w:t> </w:t>
      </w:r>
      <w:r>
        <w:rPr/>
        <w:t>а</w:t>
      </w:r>
      <w:r>
        <w:rPr>
          <w:spacing w:val="40"/>
        </w:rPr>
        <w:t> </w:t>
      </w:r>
      <w:r>
        <w:rPr/>
        <w:t>также</w:t>
      </w:r>
      <w:r>
        <w:rPr>
          <w:spacing w:val="40"/>
        </w:rPr>
        <w:t> </w:t>
      </w:r>
      <w:r>
        <w:rPr/>
        <w:t>температуру</w:t>
      </w:r>
      <w:r>
        <w:rPr>
          <w:spacing w:val="40"/>
        </w:rPr>
        <w:t> </w:t>
      </w:r>
      <w:r>
        <w:rPr/>
        <w:t>в</w:t>
      </w:r>
      <w:r>
        <w:rPr>
          <w:spacing w:val="40"/>
        </w:rPr>
        <w:t> </w:t>
      </w:r>
      <w:r>
        <w:rPr/>
        <w:t>любой</w:t>
      </w:r>
      <w:r>
        <w:rPr>
          <w:spacing w:val="60"/>
        </w:rPr>
        <w:t> </w:t>
      </w:r>
      <w:r>
        <w:rPr/>
        <w:t>момент</w:t>
      </w:r>
      <w:r>
        <w:rPr>
          <w:spacing w:val="59"/>
        </w:rPr>
        <w:t> </w:t>
      </w:r>
      <w:r>
        <w:rPr/>
        <w:t>времени</w:t>
      </w:r>
      <w:r>
        <w:rPr>
          <w:spacing w:val="80"/>
        </w:rPr>
        <w:t> </w:t>
      </w:r>
      <w:r>
        <w:rPr/>
        <w:t>в</w:t>
      </w:r>
      <w:r>
        <w:rPr>
          <w:spacing w:val="-3"/>
        </w:rPr>
        <w:t> </w:t>
      </w:r>
      <w:r>
        <w:rPr/>
        <w:t>течение одной процедуры. Аппарат позволяет создавать однородную гелий- кислородную смесь, многократно изменять и мониторировать процентное содержание гелия и кислорода, температуру ингалируемой газовой смеси во время одной</w:t>
      </w:r>
      <w:r>
        <w:rPr>
          <w:spacing w:val="-3"/>
        </w:rPr>
        <w:t> </w:t>
      </w:r>
      <w:r>
        <w:rPr/>
        <w:t>процедуры с</w:t>
      </w:r>
      <w:r>
        <w:rPr>
          <w:spacing w:val="-3"/>
        </w:rPr>
        <w:t> </w:t>
      </w:r>
      <w:r>
        <w:rPr/>
        <w:t>целью определения</w:t>
      </w:r>
      <w:r>
        <w:rPr>
          <w:spacing w:val="-3"/>
        </w:rPr>
        <w:t> </w:t>
      </w:r>
      <w:r>
        <w:rPr/>
        <w:t>наиболее</w:t>
      </w:r>
      <w:r>
        <w:rPr>
          <w:spacing w:val="-1"/>
        </w:rPr>
        <w:t> </w:t>
      </w:r>
      <w:r>
        <w:rPr/>
        <w:t>эффективного режима</w:t>
      </w:r>
      <w:r>
        <w:rPr>
          <w:spacing w:val="-2"/>
        </w:rPr>
        <w:t> </w:t>
      </w:r>
      <w:r>
        <w:rPr/>
        <w:t>для</w:t>
      </w:r>
      <w:r>
        <w:rPr>
          <w:spacing w:val="-2"/>
        </w:rPr>
        <w:t> каждого</w:t>
      </w:r>
    </w:p>
    <w:p>
      <w:pPr>
        <w:pStyle w:val="BodyText"/>
        <w:spacing w:after="0" w:line="276" w:lineRule="auto"/>
        <w:sectPr>
          <w:pgSz w:w="11900" w:h="16840"/>
          <w:pgMar w:header="0" w:footer="697" w:top="1080" w:bottom="880" w:left="0" w:right="0"/>
        </w:sectPr>
      </w:pPr>
    </w:p>
    <w:p>
      <w:pPr>
        <w:pStyle w:val="BodyText"/>
        <w:spacing w:line="276" w:lineRule="auto" w:before="73"/>
        <w:ind w:right="1272"/>
      </w:pPr>
      <w:bookmarkStart w:name="84" w:id="100"/>
      <w:bookmarkEnd w:id="100"/>
      <w:r>
        <w:rPr/>
      </w:r>
      <w:r>
        <w:rPr/>
        <w:t>пациента, обеспечивать во время процедуры соответствие фактического состава гелия, кислорода и температуры заданным параметрам, мониторировать во время процедуры необходимые параметры (дыхательный объем, частоту дыхания, сатурацию), формировать равномерный ламинарный поток газовой смеси, подавать необходимые фармпрепараты через небулайзер, встроенный в дыхательный контур.</w:t>
      </w:r>
    </w:p>
    <w:p>
      <w:pPr>
        <w:pStyle w:val="BodyText"/>
        <w:spacing w:line="276" w:lineRule="auto"/>
        <w:ind w:right="1272" w:firstLine="851"/>
      </w:pPr>
      <w:r>
        <w:rPr/>
        <w:t>Следует</w:t>
      </w:r>
      <w:r>
        <w:rPr>
          <w:spacing w:val="-11"/>
        </w:rPr>
        <w:t> </w:t>
      </w:r>
      <w:r>
        <w:rPr/>
        <w:t>отметить,</w:t>
      </w:r>
      <w:r>
        <w:rPr>
          <w:spacing w:val="-11"/>
        </w:rPr>
        <w:t> </w:t>
      </w:r>
      <w:r>
        <w:rPr/>
        <w:t>что</w:t>
      </w:r>
      <w:r>
        <w:rPr>
          <w:spacing w:val="-11"/>
        </w:rPr>
        <w:t> </w:t>
      </w:r>
      <w:r>
        <w:rPr/>
        <w:t>ограничивает</w:t>
      </w:r>
      <w:r>
        <w:rPr>
          <w:spacing w:val="-11"/>
        </w:rPr>
        <w:t> </w:t>
      </w:r>
      <w:r>
        <w:rPr/>
        <w:t>такую</w:t>
      </w:r>
      <w:r>
        <w:rPr>
          <w:spacing w:val="-11"/>
        </w:rPr>
        <w:t> </w:t>
      </w:r>
      <w:r>
        <w:rPr/>
        <w:t>терапию</w:t>
      </w:r>
      <w:r>
        <w:rPr>
          <w:spacing w:val="-11"/>
        </w:rPr>
        <w:t> </w:t>
      </w:r>
      <w:r>
        <w:rPr/>
        <w:t>невозможность</w:t>
      </w:r>
      <w:r>
        <w:rPr>
          <w:spacing w:val="-10"/>
        </w:rPr>
        <w:t> </w:t>
      </w:r>
      <w:r>
        <w:rPr/>
        <w:t>создания </w:t>
      </w:r>
      <w:r>
        <w:rPr>
          <w:position w:val="2"/>
        </w:rPr>
        <w:t>FiO</w:t>
      </w:r>
      <w:r>
        <w:rPr>
          <w:sz w:val="16"/>
        </w:rPr>
        <w:t>2</w:t>
      </w:r>
      <w:r>
        <w:rPr>
          <w:spacing w:val="40"/>
          <w:sz w:val="16"/>
        </w:rPr>
        <w:t> </w:t>
      </w:r>
      <w:r>
        <w:rPr>
          <w:position w:val="2"/>
        </w:rPr>
        <w:t>выше 0,3, так как терапия гелием эффективна только при концентрациях, </w:t>
      </w:r>
      <w:r>
        <w:rPr/>
        <w:t>превышающих 0,7.</w:t>
      </w:r>
    </w:p>
    <w:p>
      <w:pPr>
        <w:pStyle w:val="Heading3"/>
        <w:numPr>
          <w:ilvl w:val="2"/>
          <w:numId w:val="5"/>
        </w:numPr>
        <w:tabs>
          <w:tab w:pos="3147" w:val="left" w:leader="none"/>
        </w:tabs>
        <w:spacing w:line="240" w:lineRule="auto" w:before="235" w:after="0"/>
        <w:ind w:left="3147" w:right="0" w:hanging="598"/>
        <w:jc w:val="left"/>
      </w:pPr>
      <w:r>
        <w:rPr>
          <w:color w:val="1F487C"/>
          <w:spacing w:val="-2"/>
        </w:rPr>
        <w:t>Экстракорпоральная</w:t>
      </w:r>
      <w:r>
        <w:rPr>
          <w:color w:val="1F487C"/>
          <w:spacing w:val="2"/>
        </w:rPr>
        <w:t> </w:t>
      </w:r>
      <w:r>
        <w:rPr>
          <w:color w:val="1F487C"/>
          <w:spacing w:val="-2"/>
        </w:rPr>
        <w:t>мембранная</w:t>
      </w:r>
      <w:r>
        <w:rPr>
          <w:color w:val="1F487C"/>
          <w:spacing w:val="1"/>
        </w:rPr>
        <w:t> </w:t>
      </w:r>
      <w:r>
        <w:rPr>
          <w:color w:val="1F487C"/>
          <w:spacing w:val="-2"/>
        </w:rPr>
        <w:t>оксигенация</w:t>
      </w:r>
      <w:r>
        <w:rPr>
          <w:color w:val="1F487C"/>
          <w:spacing w:val="2"/>
        </w:rPr>
        <w:t> </w:t>
      </w:r>
      <w:r>
        <w:rPr>
          <w:color w:val="1F487C"/>
          <w:spacing w:val="-2"/>
        </w:rPr>
        <w:t>(ЭКМО)</w:t>
      </w:r>
    </w:p>
    <w:p>
      <w:pPr>
        <w:pStyle w:val="BodyText"/>
        <w:spacing w:line="276" w:lineRule="auto" w:before="160"/>
        <w:ind w:right="1272" w:firstLine="707"/>
      </w:pPr>
      <w:r>
        <w:rPr/>
        <w:t>ЭКМО проводится в отделениях с опытом использования данной технологии и</w:t>
      </w:r>
      <w:r>
        <w:rPr>
          <w:spacing w:val="-2"/>
        </w:rPr>
        <w:t> </w:t>
      </w:r>
      <w:r>
        <w:rPr/>
        <w:t>специалистами,</w:t>
      </w:r>
      <w:r>
        <w:rPr>
          <w:spacing w:val="40"/>
        </w:rPr>
        <w:t>  </w:t>
      </w:r>
      <w:r>
        <w:rPr/>
        <w:t>владеющими</w:t>
      </w:r>
      <w:r>
        <w:rPr>
          <w:spacing w:val="40"/>
        </w:rPr>
        <w:t>  </w:t>
      </w:r>
      <w:r>
        <w:rPr/>
        <w:t>техникой</w:t>
      </w:r>
      <w:r>
        <w:rPr>
          <w:spacing w:val="40"/>
        </w:rPr>
        <w:t>  </w:t>
      </w:r>
      <w:r>
        <w:rPr/>
        <w:t>канюляции</w:t>
      </w:r>
      <w:r>
        <w:rPr>
          <w:spacing w:val="40"/>
        </w:rPr>
        <w:t>  </w:t>
      </w:r>
      <w:r>
        <w:rPr/>
        <w:t>магистральных</w:t>
      </w:r>
      <w:r>
        <w:rPr>
          <w:spacing w:val="40"/>
        </w:rPr>
        <w:t>  </w:t>
      </w:r>
      <w:r>
        <w:rPr/>
        <w:t>сосудов</w:t>
      </w:r>
      <w:r>
        <w:rPr>
          <w:spacing w:val="40"/>
        </w:rPr>
        <w:t> </w:t>
      </w:r>
      <w:r>
        <w:rPr/>
        <w:t>и</w:t>
      </w:r>
      <w:r>
        <w:rPr>
          <w:spacing w:val="-2"/>
        </w:rPr>
        <w:t> </w:t>
      </w:r>
      <w:r>
        <w:rPr/>
        <w:t>настройкой ЭКМО. Решение о применении ЭКМО должно приниматься только после неэффективного использования всего арсенала стандартной терапии, в том числе ИВЛ и прон-позиционирования (положение на животе).</w:t>
      </w:r>
    </w:p>
    <w:p>
      <w:pPr>
        <w:pStyle w:val="BodyText"/>
        <w:spacing w:line="276" w:lineRule="auto" w:before="119"/>
        <w:ind w:right="1271" w:firstLine="707"/>
      </w:pPr>
      <w:r>
        <w:rPr/>
        <w:t>Успех применения методики во многом определяет эффективная патогенетическая терапия, профилактика и лечение бактериальных и/или грибковых осложнений, оценка перспектив восстановления функции легких, а также определение противопоказаний. Большинство противопоказаний не являются абсолютными, и,</w:t>
      </w:r>
      <w:r>
        <w:rPr>
          <w:spacing w:val="-5"/>
        </w:rPr>
        <w:t> </w:t>
      </w:r>
      <w:r>
        <w:rPr/>
        <w:t>несомненно, использование ЭКМО у пациента даже в критическом состоянии</w:t>
      </w:r>
      <w:r>
        <w:rPr>
          <w:spacing w:val="-5"/>
        </w:rPr>
        <w:t> </w:t>
      </w:r>
      <w:r>
        <w:rPr/>
        <w:t>с</w:t>
      </w:r>
      <w:r>
        <w:rPr>
          <w:spacing w:val="-7"/>
        </w:rPr>
        <w:t> </w:t>
      </w:r>
      <w:r>
        <w:rPr/>
        <w:t>наличием</w:t>
      </w:r>
      <w:r>
        <w:rPr>
          <w:spacing w:val="-6"/>
        </w:rPr>
        <w:t> </w:t>
      </w:r>
      <w:r>
        <w:rPr/>
        <w:t>некоторых</w:t>
      </w:r>
      <w:r>
        <w:rPr>
          <w:spacing w:val="-6"/>
        </w:rPr>
        <w:t> </w:t>
      </w:r>
      <w:r>
        <w:rPr/>
        <w:t>противопоказаний</w:t>
      </w:r>
      <w:r>
        <w:rPr>
          <w:spacing w:val="-4"/>
        </w:rPr>
        <w:t> </w:t>
      </w:r>
      <w:r>
        <w:rPr/>
        <w:t>устраняет</w:t>
      </w:r>
      <w:r>
        <w:rPr>
          <w:spacing w:val="-5"/>
        </w:rPr>
        <w:t> </w:t>
      </w:r>
      <w:r>
        <w:rPr/>
        <w:t>гипоксию</w:t>
      </w:r>
      <w:r>
        <w:rPr>
          <w:spacing w:val="-5"/>
        </w:rPr>
        <w:t> </w:t>
      </w:r>
      <w:r>
        <w:rPr/>
        <w:t>и</w:t>
      </w:r>
      <w:r>
        <w:rPr>
          <w:spacing w:val="-5"/>
        </w:rPr>
        <w:t> </w:t>
      </w:r>
      <w:r>
        <w:rPr/>
        <w:t>дает</w:t>
      </w:r>
      <w:r>
        <w:rPr>
          <w:spacing w:val="-5"/>
        </w:rPr>
        <w:t> </w:t>
      </w:r>
      <w:r>
        <w:rPr/>
        <w:t>шанс на выздоровление.</w:t>
      </w:r>
    </w:p>
    <w:p>
      <w:pPr>
        <w:pStyle w:val="BodyText"/>
        <w:spacing w:line="276" w:lineRule="auto" w:before="119"/>
        <w:ind w:right="1272" w:firstLine="707"/>
      </w:pPr>
      <w:r>
        <w:rPr/>
        <w:t>Показанием к вено-венозной ЭКМО является результат в 3 балла и более при суммировании нижеперечисленных показателей:</w:t>
      </w:r>
    </w:p>
    <w:p>
      <w:pPr>
        <w:pStyle w:val="BodyText"/>
        <w:spacing w:before="118"/>
        <w:ind w:left="2549"/>
      </w:pPr>
      <w:r>
        <w:rPr/>
        <w:t>Полисегментарная</w:t>
      </w:r>
      <w:r>
        <w:rPr>
          <w:spacing w:val="-11"/>
        </w:rPr>
        <w:t> </w:t>
      </w:r>
      <w:r>
        <w:rPr/>
        <w:t>пневмония</w:t>
      </w:r>
      <w:r>
        <w:rPr>
          <w:spacing w:val="-10"/>
        </w:rPr>
        <w:t> </w:t>
      </w:r>
      <w:r>
        <w:rPr/>
        <w:t>КТ</w:t>
      </w:r>
      <w:r>
        <w:rPr>
          <w:spacing w:val="-13"/>
        </w:rPr>
        <w:t> </w:t>
      </w:r>
      <w:r>
        <w:rPr/>
        <w:t>3-4,</w:t>
      </w:r>
      <w:r>
        <w:rPr>
          <w:spacing w:val="-12"/>
        </w:rPr>
        <w:t> </w:t>
      </w:r>
      <w:r>
        <w:rPr/>
        <w:t>(1</w:t>
      </w:r>
      <w:r>
        <w:rPr>
          <w:spacing w:val="-12"/>
        </w:rPr>
        <w:t> </w:t>
      </w:r>
      <w:r>
        <w:rPr>
          <w:spacing w:val="-2"/>
        </w:rPr>
        <w:t>балл);</w:t>
      </w:r>
    </w:p>
    <w:p>
      <w:pPr>
        <w:pStyle w:val="BodyText"/>
        <w:spacing w:before="162"/>
        <w:ind w:left="2549"/>
        <w:rPr>
          <w:position w:val="2"/>
        </w:rPr>
      </w:pPr>
      <w:r>
        <w:rPr>
          <w:position w:val="2"/>
        </w:rPr>
        <w:t>РO</w:t>
      </w:r>
      <w:r>
        <w:rPr>
          <w:sz w:val="16"/>
        </w:rPr>
        <w:t>2</w:t>
      </w:r>
      <w:r>
        <w:rPr>
          <w:position w:val="2"/>
        </w:rPr>
        <w:t>/FiO</w:t>
      </w:r>
      <w:r>
        <w:rPr>
          <w:sz w:val="16"/>
        </w:rPr>
        <w:t>2</w:t>
      </w:r>
      <w:r>
        <w:rPr>
          <w:spacing w:val="-3"/>
          <w:sz w:val="16"/>
        </w:rPr>
        <w:t> </w:t>
      </w:r>
      <w:r>
        <w:rPr>
          <w:position w:val="2"/>
        </w:rPr>
        <w:t>&lt;</w:t>
      </w:r>
      <w:r>
        <w:rPr>
          <w:spacing w:val="-6"/>
          <w:position w:val="2"/>
        </w:rPr>
        <w:t> </w:t>
      </w:r>
      <w:r>
        <w:rPr>
          <w:position w:val="2"/>
        </w:rPr>
        <w:t>100</w:t>
      </w:r>
      <w:r>
        <w:rPr>
          <w:spacing w:val="-6"/>
          <w:position w:val="2"/>
        </w:rPr>
        <w:t> </w:t>
      </w:r>
      <w:r>
        <w:rPr>
          <w:position w:val="2"/>
        </w:rPr>
        <w:t>более</w:t>
      </w:r>
      <w:r>
        <w:rPr>
          <w:spacing w:val="-7"/>
          <w:position w:val="2"/>
        </w:rPr>
        <w:t> </w:t>
      </w:r>
      <w:r>
        <w:rPr>
          <w:position w:val="2"/>
        </w:rPr>
        <w:t>12</w:t>
      </w:r>
      <w:r>
        <w:rPr>
          <w:spacing w:val="-6"/>
          <w:position w:val="2"/>
        </w:rPr>
        <w:t> </w:t>
      </w:r>
      <w:r>
        <w:rPr>
          <w:position w:val="2"/>
        </w:rPr>
        <w:t>часов</w:t>
      </w:r>
      <w:r>
        <w:rPr>
          <w:spacing w:val="-4"/>
          <w:position w:val="2"/>
        </w:rPr>
        <w:t> </w:t>
      </w:r>
      <w:r>
        <w:rPr>
          <w:position w:val="2"/>
        </w:rPr>
        <w:t>(1</w:t>
      </w:r>
      <w:r>
        <w:rPr>
          <w:spacing w:val="-6"/>
          <w:position w:val="2"/>
        </w:rPr>
        <w:t> </w:t>
      </w:r>
      <w:r>
        <w:rPr>
          <w:spacing w:val="-2"/>
          <w:position w:val="2"/>
        </w:rPr>
        <w:t>балл);</w:t>
      </w:r>
    </w:p>
    <w:p>
      <w:pPr>
        <w:pStyle w:val="BodyText"/>
        <w:spacing w:before="158"/>
        <w:ind w:left="2549"/>
        <w:rPr>
          <w:position w:val="2"/>
        </w:rPr>
      </w:pPr>
      <w:r>
        <w:rPr>
          <w:position w:val="2"/>
        </w:rPr>
        <w:t>РO</w:t>
      </w:r>
      <w:r>
        <w:rPr>
          <w:sz w:val="16"/>
        </w:rPr>
        <w:t>2</w:t>
      </w:r>
      <w:r>
        <w:rPr>
          <w:position w:val="2"/>
        </w:rPr>
        <w:t>/FiO</w:t>
      </w:r>
      <w:r>
        <w:rPr>
          <w:sz w:val="16"/>
        </w:rPr>
        <w:t>2</w:t>
      </w:r>
      <w:r>
        <w:rPr>
          <w:spacing w:val="-3"/>
          <w:sz w:val="16"/>
        </w:rPr>
        <w:t> </w:t>
      </w:r>
      <w:r>
        <w:rPr>
          <w:position w:val="2"/>
        </w:rPr>
        <w:t>&lt;</w:t>
      </w:r>
      <w:r>
        <w:rPr>
          <w:spacing w:val="-6"/>
          <w:position w:val="2"/>
        </w:rPr>
        <w:t> </w:t>
      </w:r>
      <w:r>
        <w:rPr>
          <w:position w:val="2"/>
        </w:rPr>
        <w:t>80</w:t>
      </w:r>
      <w:r>
        <w:rPr>
          <w:spacing w:val="-5"/>
          <w:position w:val="2"/>
        </w:rPr>
        <w:t> </w:t>
      </w:r>
      <w:r>
        <w:rPr>
          <w:position w:val="2"/>
        </w:rPr>
        <w:t>более</w:t>
      </w:r>
      <w:r>
        <w:rPr>
          <w:spacing w:val="-7"/>
          <w:position w:val="2"/>
        </w:rPr>
        <w:t> </w:t>
      </w:r>
      <w:r>
        <w:rPr>
          <w:position w:val="2"/>
        </w:rPr>
        <w:t>6</w:t>
      </w:r>
      <w:r>
        <w:rPr>
          <w:spacing w:val="-6"/>
          <w:position w:val="2"/>
        </w:rPr>
        <w:t> </w:t>
      </w:r>
      <w:r>
        <w:rPr>
          <w:position w:val="2"/>
        </w:rPr>
        <w:t>часов</w:t>
      </w:r>
      <w:r>
        <w:rPr>
          <w:spacing w:val="-6"/>
          <w:position w:val="2"/>
        </w:rPr>
        <w:t> </w:t>
      </w:r>
      <w:r>
        <w:rPr>
          <w:position w:val="2"/>
        </w:rPr>
        <w:t>(2</w:t>
      </w:r>
      <w:r>
        <w:rPr>
          <w:spacing w:val="-5"/>
          <w:position w:val="2"/>
        </w:rPr>
        <w:t> </w:t>
      </w:r>
      <w:r>
        <w:rPr>
          <w:spacing w:val="-2"/>
          <w:position w:val="2"/>
        </w:rPr>
        <w:t>балла);</w:t>
      </w:r>
    </w:p>
    <w:p>
      <w:pPr>
        <w:pStyle w:val="BodyText"/>
        <w:spacing w:before="157"/>
        <w:ind w:left="2549"/>
        <w:rPr>
          <w:position w:val="2"/>
        </w:rPr>
      </w:pPr>
      <w:r>
        <w:rPr>
          <w:position w:val="2"/>
        </w:rPr>
        <w:t>РCO</w:t>
      </w:r>
      <w:r>
        <w:rPr>
          <w:sz w:val="16"/>
        </w:rPr>
        <w:t>2</w:t>
      </w:r>
      <w:r>
        <w:rPr>
          <w:spacing w:val="-3"/>
          <w:sz w:val="16"/>
        </w:rPr>
        <w:t> </w:t>
      </w:r>
      <w:r>
        <w:rPr>
          <w:position w:val="2"/>
        </w:rPr>
        <w:t>&gt;</w:t>
      </w:r>
      <w:r>
        <w:rPr>
          <w:spacing w:val="-5"/>
          <w:position w:val="2"/>
        </w:rPr>
        <w:t> </w:t>
      </w:r>
      <w:r>
        <w:rPr>
          <w:position w:val="2"/>
        </w:rPr>
        <w:t>60</w:t>
      </w:r>
      <w:r>
        <w:rPr>
          <w:spacing w:val="-5"/>
          <w:position w:val="2"/>
        </w:rPr>
        <w:t> </w:t>
      </w:r>
      <w:r>
        <w:rPr>
          <w:position w:val="2"/>
        </w:rPr>
        <w:t>мм</w:t>
      </w:r>
      <w:r>
        <w:rPr>
          <w:spacing w:val="-6"/>
          <w:position w:val="2"/>
        </w:rPr>
        <w:t> </w:t>
      </w:r>
      <w:r>
        <w:rPr>
          <w:position w:val="2"/>
        </w:rPr>
        <w:t>рт.</w:t>
      </w:r>
      <w:r>
        <w:rPr>
          <w:spacing w:val="-4"/>
          <w:position w:val="2"/>
        </w:rPr>
        <w:t> </w:t>
      </w:r>
      <w:r>
        <w:rPr>
          <w:position w:val="2"/>
        </w:rPr>
        <w:t>ст.</w:t>
      </w:r>
      <w:r>
        <w:rPr>
          <w:spacing w:val="-5"/>
          <w:position w:val="2"/>
        </w:rPr>
        <w:t> </w:t>
      </w:r>
      <w:r>
        <w:rPr>
          <w:position w:val="2"/>
        </w:rPr>
        <w:t>более</w:t>
      </w:r>
      <w:r>
        <w:rPr>
          <w:spacing w:val="-5"/>
          <w:position w:val="2"/>
        </w:rPr>
        <w:t> </w:t>
      </w:r>
      <w:r>
        <w:rPr>
          <w:position w:val="2"/>
        </w:rPr>
        <w:t>12</w:t>
      </w:r>
      <w:r>
        <w:rPr>
          <w:spacing w:val="-5"/>
          <w:position w:val="2"/>
        </w:rPr>
        <w:t> </w:t>
      </w:r>
      <w:r>
        <w:rPr>
          <w:position w:val="2"/>
        </w:rPr>
        <w:t>часов</w:t>
      </w:r>
      <w:r>
        <w:rPr>
          <w:spacing w:val="-5"/>
          <w:position w:val="2"/>
        </w:rPr>
        <w:t> </w:t>
      </w:r>
      <w:r>
        <w:rPr>
          <w:position w:val="2"/>
        </w:rPr>
        <w:t>(2</w:t>
      </w:r>
      <w:r>
        <w:rPr>
          <w:spacing w:val="-5"/>
          <w:position w:val="2"/>
        </w:rPr>
        <w:t> </w:t>
      </w:r>
      <w:r>
        <w:rPr>
          <w:spacing w:val="-2"/>
          <w:position w:val="2"/>
        </w:rPr>
        <w:t>балла).</w:t>
      </w:r>
    </w:p>
    <w:p>
      <w:pPr>
        <w:pStyle w:val="BodyText"/>
        <w:spacing w:line="276" w:lineRule="auto" w:before="159"/>
        <w:ind w:right="1272" w:firstLine="707"/>
      </w:pPr>
      <w:r>
        <w:rPr/>
        <w:t>При</w:t>
      </w:r>
      <w:r>
        <w:rPr>
          <w:spacing w:val="80"/>
        </w:rPr>
        <w:t> </w:t>
      </w:r>
      <w:r>
        <w:rPr/>
        <w:t>условии</w:t>
      </w:r>
      <w:r>
        <w:rPr>
          <w:spacing w:val="80"/>
        </w:rPr>
        <w:t> </w:t>
      </w:r>
      <w:r>
        <w:rPr/>
        <w:t>протективной</w:t>
      </w:r>
      <w:r>
        <w:rPr>
          <w:spacing w:val="80"/>
        </w:rPr>
        <w:t> </w:t>
      </w:r>
      <w:r>
        <w:rPr/>
        <w:t>вентиляции</w:t>
      </w:r>
      <w:r>
        <w:rPr>
          <w:spacing w:val="80"/>
        </w:rPr>
        <w:t> </w:t>
      </w:r>
      <w:r>
        <w:rPr/>
        <w:t>легких</w:t>
      </w:r>
      <w:r>
        <w:rPr>
          <w:spacing w:val="80"/>
        </w:rPr>
        <w:t> </w:t>
      </w:r>
      <w:r>
        <w:rPr/>
        <w:t>-</w:t>
      </w:r>
      <w:r>
        <w:rPr>
          <w:spacing w:val="80"/>
        </w:rPr>
        <w:t> </w:t>
      </w:r>
      <w:r>
        <w:rPr/>
        <w:t>ПДКВ&gt;10</w:t>
      </w:r>
      <w:r>
        <w:rPr>
          <w:spacing w:val="80"/>
        </w:rPr>
        <w:t> </w:t>
      </w:r>
      <w:r>
        <w:rPr/>
        <w:t>см</w:t>
      </w:r>
      <w:r>
        <w:rPr>
          <w:spacing w:val="80"/>
        </w:rPr>
        <w:t> </w:t>
      </w:r>
      <w:r>
        <w:rPr/>
        <w:t>вод.</w:t>
      </w:r>
      <w:r>
        <w:rPr>
          <w:spacing w:val="80"/>
        </w:rPr>
        <w:t> </w:t>
      </w:r>
      <w:r>
        <w:rPr/>
        <w:t>ст., </w:t>
      </w:r>
      <w:r>
        <w:rPr>
          <w:position w:val="2"/>
        </w:rPr>
        <w:t>ДО</w:t>
      </w:r>
      <w:r>
        <w:rPr>
          <w:spacing w:val="-3"/>
          <w:position w:val="2"/>
        </w:rPr>
        <w:t> </w:t>
      </w:r>
      <w:r>
        <w:rPr>
          <w:position w:val="2"/>
        </w:rPr>
        <w:t>4-6</w:t>
      </w:r>
      <w:r>
        <w:rPr>
          <w:spacing w:val="-3"/>
          <w:position w:val="2"/>
        </w:rPr>
        <w:t> </w:t>
      </w:r>
      <w:r>
        <w:rPr>
          <w:position w:val="2"/>
        </w:rPr>
        <w:t>мл/кг, пиковое давление в дыхательных путях &lt;32 см Н</w:t>
      </w:r>
      <w:r>
        <w:rPr>
          <w:sz w:val="16"/>
        </w:rPr>
        <w:t>2</w:t>
      </w:r>
      <w:r>
        <w:rPr>
          <w:position w:val="2"/>
        </w:rPr>
        <w:t>О, использовано </w:t>
      </w:r>
      <w:r>
        <w:rPr/>
        <w:t>положение</w:t>
      </w:r>
      <w:r>
        <w:rPr>
          <w:spacing w:val="-6"/>
        </w:rPr>
        <w:t> </w:t>
      </w:r>
      <w:r>
        <w:rPr/>
        <w:t>пациента</w:t>
      </w:r>
      <w:r>
        <w:rPr>
          <w:spacing w:val="-5"/>
        </w:rPr>
        <w:t> </w:t>
      </w:r>
      <w:r>
        <w:rPr/>
        <w:t>лежа</w:t>
      </w:r>
      <w:r>
        <w:rPr>
          <w:spacing w:val="-7"/>
        </w:rPr>
        <w:t> </w:t>
      </w:r>
      <w:r>
        <w:rPr/>
        <w:t>на</w:t>
      </w:r>
      <w:r>
        <w:rPr>
          <w:spacing w:val="-7"/>
        </w:rPr>
        <w:t> </w:t>
      </w:r>
      <w:r>
        <w:rPr/>
        <w:t>животе,</w:t>
      </w:r>
      <w:r>
        <w:rPr>
          <w:spacing w:val="-5"/>
        </w:rPr>
        <w:t> </w:t>
      </w:r>
      <w:r>
        <w:rPr/>
        <w:t>а</w:t>
      </w:r>
      <w:r>
        <w:rPr>
          <w:spacing w:val="-7"/>
        </w:rPr>
        <w:t> </w:t>
      </w:r>
      <w:r>
        <w:rPr/>
        <w:t>также</w:t>
      </w:r>
      <w:r>
        <w:rPr>
          <w:spacing w:val="-7"/>
        </w:rPr>
        <w:t> </w:t>
      </w:r>
      <w:r>
        <w:rPr/>
        <w:t>устранены</w:t>
      </w:r>
      <w:r>
        <w:rPr>
          <w:spacing w:val="-6"/>
        </w:rPr>
        <w:t> </w:t>
      </w:r>
      <w:r>
        <w:rPr/>
        <w:t>другие</w:t>
      </w:r>
      <w:r>
        <w:rPr>
          <w:spacing w:val="-8"/>
        </w:rPr>
        <w:t> </w:t>
      </w:r>
      <w:r>
        <w:rPr/>
        <w:t>причины</w:t>
      </w:r>
      <w:r>
        <w:rPr>
          <w:spacing w:val="-6"/>
        </w:rPr>
        <w:t> </w:t>
      </w:r>
      <w:r>
        <w:rPr/>
        <w:t>гипоксемии и/или гиперкапнии.</w:t>
      </w:r>
    </w:p>
    <w:p>
      <w:pPr>
        <w:pStyle w:val="Heading3"/>
        <w:spacing w:before="117"/>
      </w:pPr>
      <w:r>
        <w:rPr>
          <w:color w:val="1F487C"/>
          <w:spacing w:val="-2"/>
        </w:rPr>
        <w:t>Противопоказания</w:t>
      </w:r>
      <w:r>
        <w:rPr>
          <w:color w:val="1F487C"/>
          <w:spacing w:val="1"/>
        </w:rPr>
        <w:t> </w:t>
      </w:r>
      <w:r>
        <w:rPr>
          <w:color w:val="1F487C"/>
          <w:spacing w:val="-2"/>
        </w:rPr>
        <w:t>к</w:t>
      </w:r>
      <w:r>
        <w:rPr>
          <w:color w:val="1F487C"/>
          <w:spacing w:val="-1"/>
        </w:rPr>
        <w:t> </w:t>
      </w:r>
      <w:r>
        <w:rPr>
          <w:color w:val="1F487C"/>
          <w:spacing w:val="-4"/>
        </w:rPr>
        <w:t>ЭКМО:</w:t>
      </w:r>
    </w:p>
    <w:p>
      <w:pPr>
        <w:pStyle w:val="ListParagraph"/>
        <w:numPr>
          <w:ilvl w:val="0"/>
          <w:numId w:val="40"/>
        </w:numPr>
        <w:tabs>
          <w:tab w:pos="2561" w:val="left" w:leader="none"/>
        </w:tabs>
        <w:spacing w:line="240" w:lineRule="auto" w:before="164" w:after="0"/>
        <w:ind w:left="2561" w:right="0" w:hanging="360"/>
        <w:jc w:val="left"/>
        <w:rPr>
          <w:sz w:val="24"/>
        </w:rPr>
      </w:pPr>
      <w:r>
        <w:rPr>
          <w:sz w:val="24"/>
        </w:rPr>
        <w:t>Возраст</w:t>
      </w:r>
      <w:r>
        <w:rPr>
          <w:spacing w:val="-8"/>
          <w:sz w:val="24"/>
        </w:rPr>
        <w:t> </w:t>
      </w:r>
      <w:r>
        <w:rPr>
          <w:sz w:val="24"/>
        </w:rPr>
        <w:t>≥65</w:t>
      </w:r>
      <w:r>
        <w:rPr>
          <w:spacing w:val="-8"/>
          <w:sz w:val="24"/>
        </w:rPr>
        <w:t> </w:t>
      </w:r>
      <w:r>
        <w:rPr>
          <w:spacing w:val="-4"/>
          <w:sz w:val="24"/>
        </w:rPr>
        <w:t>лет;</w:t>
      </w:r>
    </w:p>
    <w:p>
      <w:pPr>
        <w:pStyle w:val="ListParagraph"/>
        <w:numPr>
          <w:ilvl w:val="0"/>
          <w:numId w:val="40"/>
        </w:numPr>
        <w:tabs>
          <w:tab w:pos="2561" w:val="left" w:leader="none"/>
        </w:tabs>
        <w:spacing w:line="240" w:lineRule="auto" w:before="40" w:after="0"/>
        <w:ind w:left="2561" w:right="0" w:hanging="360"/>
        <w:jc w:val="left"/>
        <w:rPr>
          <w:sz w:val="24"/>
        </w:rPr>
      </w:pPr>
      <w:r>
        <w:rPr>
          <w:sz w:val="24"/>
        </w:rPr>
        <w:t>Индекс</w:t>
      </w:r>
      <w:r>
        <w:rPr>
          <w:spacing w:val="-12"/>
          <w:sz w:val="24"/>
        </w:rPr>
        <w:t> </w:t>
      </w:r>
      <w:r>
        <w:rPr>
          <w:sz w:val="24"/>
        </w:rPr>
        <w:t>массы</w:t>
      </w:r>
      <w:r>
        <w:rPr>
          <w:spacing w:val="-8"/>
          <w:sz w:val="24"/>
        </w:rPr>
        <w:t> </w:t>
      </w:r>
      <w:r>
        <w:rPr>
          <w:sz w:val="24"/>
        </w:rPr>
        <w:t>тела</w:t>
      </w:r>
      <w:r>
        <w:rPr>
          <w:spacing w:val="-7"/>
          <w:sz w:val="24"/>
        </w:rPr>
        <w:t> </w:t>
      </w:r>
      <w:r>
        <w:rPr>
          <w:sz w:val="24"/>
        </w:rPr>
        <w:t>≥40</w:t>
      </w:r>
      <w:r>
        <w:rPr>
          <w:spacing w:val="-5"/>
          <w:sz w:val="24"/>
        </w:rPr>
        <w:t> </w:t>
      </w:r>
      <w:r>
        <w:rPr>
          <w:sz w:val="24"/>
        </w:rPr>
        <w:t>кг/м</w:t>
      </w:r>
      <w:r>
        <w:rPr>
          <w:sz w:val="24"/>
          <w:vertAlign w:val="superscript"/>
        </w:rPr>
        <w:t>2</w:t>
      </w:r>
      <w:r>
        <w:rPr>
          <w:spacing w:val="-21"/>
          <w:sz w:val="24"/>
          <w:vertAlign w:val="baseline"/>
        </w:rPr>
        <w:t> </w:t>
      </w:r>
      <w:r>
        <w:rPr>
          <w:spacing w:val="-10"/>
          <w:sz w:val="24"/>
          <w:vertAlign w:val="baseline"/>
        </w:rPr>
        <w:t>;</w:t>
      </w:r>
    </w:p>
    <w:p>
      <w:pPr>
        <w:pStyle w:val="ListParagraph"/>
        <w:numPr>
          <w:ilvl w:val="0"/>
          <w:numId w:val="40"/>
        </w:numPr>
        <w:tabs>
          <w:tab w:pos="2561" w:val="left" w:leader="none"/>
        </w:tabs>
        <w:spacing w:line="240" w:lineRule="auto" w:before="39" w:after="0"/>
        <w:ind w:left="2561" w:right="0" w:hanging="360"/>
        <w:jc w:val="left"/>
        <w:rPr>
          <w:sz w:val="24"/>
        </w:rPr>
      </w:pPr>
      <w:r>
        <w:rPr>
          <w:sz w:val="24"/>
        </w:rPr>
        <w:t>Искусственная</w:t>
      </w:r>
      <w:r>
        <w:rPr>
          <w:spacing w:val="-12"/>
          <w:sz w:val="24"/>
        </w:rPr>
        <w:t> </w:t>
      </w:r>
      <w:r>
        <w:rPr>
          <w:sz w:val="24"/>
        </w:rPr>
        <w:t>вентиляция</w:t>
      </w:r>
      <w:r>
        <w:rPr>
          <w:spacing w:val="-12"/>
          <w:sz w:val="24"/>
        </w:rPr>
        <w:t> </w:t>
      </w:r>
      <w:r>
        <w:rPr>
          <w:sz w:val="24"/>
        </w:rPr>
        <w:t>легких</w:t>
      </w:r>
      <w:r>
        <w:rPr>
          <w:spacing w:val="-11"/>
          <w:sz w:val="24"/>
        </w:rPr>
        <w:t> </w:t>
      </w:r>
      <w:r>
        <w:rPr>
          <w:sz w:val="24"/>
        </w:rPr>
        <w:t>более</w:t>
      </w:r>
      <w:r>
        <w:rPr>
          <w:spacing w:val="-13"/>
          <w:sz w:val="24"/>
        </w:rPr>
        <w:t> </w:t>
      </w:r>
      <w:r>
        <w:rPr>
          <w:sz w:val="24"/>
        </w:rPr>
        <w:t>5</w:t>
      </w:r>
      <w:r>
        <w:rPr>
          <w:spacing w:val="-11"/>
          <w:sz w:val="24"/>
        </w:rPr>
        <w:t> </w:t>
      </w:r>
      <w:r>
        <w:rPr>
          <w:spacing w:val="-2"/>
          <w:sz w:val="24"/>
        </w:rPr>
        <w:t>суток;</w:t>
      </w:r>
    </w:p>
    <w:p>
      <w:pPr>
        <w:pStyle w:val="ListParagraph"/>
        <w:numPr>
          <w:ilvl w:val="0"/>
          <w:numId w:val="40"/>
        </w:numPr>
        <w:tabs>
          <w:tab w:pos="2561" w:val="left" w:leader="none"/>
        </w:tabs>
        <w:spacing w:line="240" w:lineRule="auto" w:before="42" w:after="0"/>
        <w:ind w:left="2561" w:right="0" w:hanging="360"/>
        <w:jc w:val="left"/>
        <w:rPr>
          <w:sz w:val="24"/>
        </w:rPr>
      </w:pPr>
      <w:r>
        <w:rPr>
          <w:sz w:val="24"/>
        </w:rPr>
        <w:t>Полиорганная</w:t>
      </w:r>
      <w:r>
        <w:rPr>
          <w:spacing w:val="-13"/>
          <w:sz w:val="24"/>
        </w:rPr>
        <w:t> </w:t>
      </w:r>
      <w:r>
        <w:rPr>
          <w:sz w:val="24"/>
        </w:rPr>
        <w:t>недостаточность</w:t>
      </w:r>
      <w:r>
        <w:rPr>
          <w:spacing w:val="-11"/>
          <w:sz w:val="24"/>
        </w:rPr>
        <w:t> </w:t>
      </w:r>
      <w:r>
        <w:rPr>
          <w:sz w:val="24"/>
        </w:rPr>
        <w:t>(оценка</w:t>
      </w:r>
      <w:r>
        <w:rPr>
          <w:spacing w:val="-12"/>
          <w:sz w:val="24"/>
        </w:rPr>
        <w:t> </w:t>
      </w:r>
      <w:r>
        <w:rPr>
          <w:sz w:val="24"/>
        </w:rPr>
        <w:t>по</w:t>
      </w:r>
      <w:r>
        <w:rPr>
          <w:spacing w:val="-13"/>
          <w:sz w:val="24"/>
        </w:rPr>
        <w:t> </w:t>
      </w:r>
      <w:r>
        <w:rPr>
          <w:sz w:val="24"/>
        </w:rPr>
        <w:t>шкале</w:t>
      </w:r>
      <w:r>
        <w:rPr>
          <w:spacing w:val="-10"/>
          <w:sz w:val="24"/>
        </w:rPr>
        <w:t> </w:t>
      </w:r>
      <w:r>
        <w:rPr>
          <w:sz w:val="24"/>
        </w:rPr>
        <w:t>SOFA</w:t>
      </w:r>
      <w:r>
        <w:rPr>
          <w:spacing w:val="-11"/>
          <w:sz w:val="24"/>
        </w:rPr>
        <w:t> </w:t>
      </w:r>
      <w:r>
        <w:rPr>
          <w:sz w:val="24"/>
        </w:rPr>
        <w:t>&gt;12</w:t>
      </w:r>
      <w:r>
        <w:rPr>
          <w:spacing w:val="-13"/>
          <w:sz w:val="24"/>
        </w:rPr>
        <w:t> </w:t>
      </w:r>
      <w:r>
        <w:rPr>
          <w:spacing w:val="-2"/>
          <w:sz w:val="24"/>
        </w:rPr>
        <w:t>баллов);</w:t>
      </w:r>
    </w:p>
    <w:p>
      <w:pPr>
        <w:pStyle w:val="ListParagraph"/>
        <w:numPr>
          <w:ilvl w:val="0"/>
          <w:numId w:val="40"/>
        </w:numPr>
        <w:tabs>
          <w:tab w:pos="2561" w:val="left" w:leader="none"/>
        </w:tabs>
        <w:spacing w:line="240" w:lineRule="auto" w:before="39" w:after="0"/>
        <w:ind w:left="2561" w:right="0" w:hanging="360"/>
        <w:jc w:val="left"/>
        <w:rPr>
          <w:sz w:val="24"/>
        </w:rPr>
      </w:pPr>
      <w:r>
        <w:rPr>
          <w:spacing w:val="-2"/>
          <w:sz w:val="24"/>
        </w:rPr>
        <w:t>Геморрагический</w:t>
      </w:r>
      <w:r>
        <w:rPr>
          <w:spacing w:val="7"/>
          <w:sz w:val="24"/>
        </w:rPr>
        <w:t> </w:t>
      </w:r>
      <w:r>
        <w:rPr>
          <w:spacing w:val="-2"/>
          <w:sz w:val="24"/>
        </w:rPr>
        <w:t>инсульт;</w:t>
      </w:r>
    </w:p>
    <w:p>
      <w:pPr>
        <w:pStyle w:val="ListParagraph"/>
        <w:numPr>
          <w:ilvl w:val="0"/>
          <w:numId w:val="40"/>
        </w:numPr>
        <w:tabs>
          <w:tab w:pos="2561" w:val="left" w:leader="none"/>
          <w:tab w:pos="3802" w:val="left" w:leader="none"/>
          <w:tab w:pos="5501" w:val="left" w:leader="none"/>
          <w:tab w:pos="7320" w:val="left" w:leader="none"/>
          <w:tab w:pos="8753" w:val="left" w:leader="none"/>
        </w:tabs>
        <w:spacing w:line="271" w:lineRule="auto" w:before="42" w:after="0"/>
        <w:ind w:left="2561" w:right="1279" w:hanging="360"/>
        <w:jc w:val="left"/>
        <w:rPr>
          <w:sz w:val="24"/>
        </w:rPr>
      </w:pPr>
      <w:r>
        <w:rPr>
          <w:spacing w:val="-2"/>
          <w:sz w:val="24"/>
        </w:rPr>
        <w:t>Активное</w:t>
      </w:r>
      <w:r>
        <w:rPr>
          <w:sz w:val="24"/>
        </w:rPr>
        <w:tab/>
      </w:r>
      <w:r>
        <w:rPr>
          <w:spacing w:val="-2"/>
          <w:sz w:val="24"/>
        </w:rPr>
        <w:t>кровотечение,</w:t>
      </w:r>
      <w:r>
        <w:rPr>
          <w:sz w:val="24"/>
        </w:rPr>
        <w:tab/>
      </w:r>
      <w:r>
        <w:rPr>
          <w:spacing w:val="-2"/>
          <w:sz w:val="24"/>
        </w:rPr>
        <w:t>невозможность</w:t>
      </w:r>
      <w:r>
        <w:rPr>
          <w:sz w:val="24"/>
        </w:rPr>
        <w:tab/>
      </w:r>
      <w:r>
        <w:rPr>
          <w:spacing w:val="-2"/>
          <w:sz w:val="24"/>
        </w:rPr>
        <w:t>проведения</w:t>
      </w:r>
      <w:r>
        <w:rPr>
          <w:sz w:val="24"/>
        </w:rPr>
        <w:tab/>
      </w:r>
      <w:r>
        <w:rPr>
          <w:spacing w:val="-2"/>
          <w:sz w:val="24"/>
        </w:rPr>
        <w:t>антикоагулянтной терапии;</w:t>
      </w:r>
    </w:p>
    <w:p>
      <w:pPr>
        <w:pStyle w:val="ListParagraph"/>
        <w:numPr>
          <w:ilvl w:val="0"/>
          <w:numId w:val="40"/>
        </w:numPr>
        <w:tabs>
          <w:tab w:pos="2561" w:val="left" w:leader="none"/>
        </w:tabs>
        <w:spacing w:line="240" w:lineRule="auto" w:before="6" w:after="0"/>
        <w:ind w:left="2561" w:right="0" w:hanging="360"/>
        <w:jc w:val="left"/>
        <w:rPr>
          <w:sz w:val="24"/>
        </w:rPr>
      </w:pPr>
      <w:r>
        <w:rPr>
          <w:spacing w:val="-2"/>
          <w:sz w:val="24"/>
        </w:rPr>
        <w:t>Невозможность</w:t>
      </w:r>
      <w:r>
        <w:rPr>
          <w:spacing w:val="4"/>
          <w:sz w:val="24"/>
        </w:rPr>
        <w:t> </w:t>
      </w:r>
      <w:r>
        <w:rPr>
          <w:spacing w:val="-2"/>
          <w:sz w:val="24"/>
        </w:rPr>
        <w:t>осуществить</w:t>
      </w:r>
      <w:r>
        <w:rPr>
          <w:spacing w:val="5"/>
          <w:sz w:val="24"/>
        </w:rPr>
        <w:t> </w:t>
      </w:r>
      <w:r>
        <w:rPr>
          <w:spacing w:val="-2"/>
          <w:sz w:val="24"/>
        </w:rPr>
        <w:t>сосудистый</w:t>
      </w:r>
      <w:r>
        <w:rPr>
          <w:spacing w:val="4"/>
          <w:sz w:val="24"/>
        </w:rPr>
        <w:t> </w:t>
      </w:r>
      <w:r>
        <w:rPr>
          <w:spacing w:val="-2"/>
          <w:sz w:val="24"/>
        </w:rPr>
        <w:t>доступ;</w:t>
      </w:r>
    </w:p>
    <w:p>
      <w:pPr>
        <w:pStyle w:val="ListParagraph"/>
        <w:spacing w:after="0" w:line="240" w:lineRule="auto"/>
        <w:jc w:val="left"/>
        <w:rPr>
          <w:sz w:val="24"/>
        </w:rPr>
        <w:sectPr>
          <w:pgSz w:w="11900" w:h="16840"/>
          <w:pgMar w:header="0" w:footer="697" w:top="1080" w:bottom="880" w:left="0" w:right="0"/>
        </w:sectPr>
      </w:pPr>
    </w:p>
    <w:p>
      <w:pPr>
        <w:pStyle w:val="ListParagraph"/>
        <w:numPr>
          <w:ilvl w:val="0"/>
          <w:numId w:val="40"/>
        </w:numPr>
        <w:tabs>
          <w:tab w:pos="2561" w:val="left" w:leader="none"/>
        </w:tabs>
        <w:spacing w:line="271" w:lineRule="auto" w:before="75" w:after="0"/>
        <w:ind w:left="2561" w:right="3870" w:hanging="360"/>
        <w:jc w:val="left"/>
        <w:rPr>
          <w:sz w:val="24"/>
        </w:rPr>
      </w:pPr>
      <w:bookmarkStart w:name="85" w:id="101"/>
      <w:bookmarkEnd w:id="101"/>
      <w:r>
        <w:rPr/>
      </w:r>
      <w:r>
        <w:rPr>
          <w:sz w:val="24"/>
        </w:rPr>
        <w:t>Тяжелое</w:t>
      </w:r>
      <w:r>
        <w:rPr>
          <w:spacing w:val="-13"/>
          <w:sz w:val="24"/>
        </w:rPr>
        <w:t> </w:t>
      </w:r>
      <w:r>
        <w:rPr>
          <w:sz w:val="24"/>
        </w:rPr>
        <w:t>повреждение</w:t>
      </w:r>
      <w:r>
        <w:rPr>
          <w:spacing w:val="-11"/>
          <w:sz w:val="24"/>
        </w:rPr>
        <w:t> </w:t>
      </w:r>
      <w:r>
        <w:rPr>
          <w:sz w:val="24"/>
        </w:rPr>
        <w:t>центральной</w:t>
      </w:r>
      <w:r>
        <w:rPr>
          <w:spacing w:val="-12"/>
          <w:sz w:val="24"/>
        </w:rPr>
        <w:t> </w:t>
      </w:r>
      <w:r>
        <w:rPr>
          <w:sz w:val="24"/>
        </w:rPr>
        <w:t>нервной</w:t>
      </w:r>
      <w:r>
        <w:rPr>
          <w:spacing w:val="-12"/>
          <w:sz w:val="24"/>
        </w:rPr>
        <w:t> </w:t>
      </w:r>
      <w:r>
        <w:rPr>
          <w:sz w:val="24"/>
        </w:rPr>
        <w:t>системы (оценка по шкале Глазго &lt;5 баллов).</w:t>
      </w:r>
    </w:p>
    <w:p>
      <w:pPr>
        <w:pStyle w:val="Heading3"/>
        <w:numPr>
          <w:ilvl w:val="2"/>
          <w:numId w:val="5"/>
        </w:numPr>
        <w:tabs>
          <w:tab w:pos="3147" w:val="left" w:leader="none"/>
        </w:tabs>
        <w:spacing w:line="240" w:lineRule="auto" w:before="246" w:after="0"/>
        <w:ind w:left="3147" w:right="0" w:hanging="598"/>
        <w:jc w:val="left"/>
      </w:pPr>
      <w:r>
        <w:rPr>
          <w:color w:val="1F487C"/>
          <w:spacing w:val="-2"/>
        </w:rPr>
        <w:t>Поддержка</w:t>
      </w:r>
      <w:r>
        <w:rPr>
          <w:color w:val="1F487C"/>
          <w:spacing w:val="2"/>
        </w:rPr>
        <w:t> </w:t>
      </w:r>
      <w:r>
        <w:rPr>
          <w:color w:val="1F487C"/>
          <w:spacing w:val="-2"/>
        </w:rPr>
        <w:t>кровообращения</w:t>
      </w:r>
      <w:r>
        <w:rPr>
          <w:color w:val="1F487C"/>
          <w:spacing w:val="2"/>
        </w:rPr>
        <w:t> </w:t>
      </w:r>
      <w:r>
        <w:rPr>
          <w:color w:val="1F487C"/>
          <w:spacing w:val="-2"/>
        </w:rPr>
        <w:t>и</w:t>
      </w:r>
      <w:r>
        <w:rPr>
          <w:color w:val="1F487C"/>
          <w:spacing w:val="2"/>
        </w:rPr>
        <w:t> </w:t>
      </w:r>
      <w:r>
        <w:rPr>
          <w:color w:val="1F487C"/>
          <w:spacing w:val="-2"/>
        </w:rPr>
        <w:t>инфузионная</w:t>
      </w:r>
      <w:r>
        <w:rPr>
          <w:color w:val="1F487C"/>
          <w:spacing w:val="2"/>
        </w:rPr>
        <w:t> </w:t>
      </w:r>
      <w:r>
        <w:rPr>
          <w:color w:val="1F487C"/>
          <w:spacing w:val="-2"/>
        </w:rPr>
        <w:t>терапия</w:t>
      </w:r>
    </w:p>
    <w:p>
      <w:pPr>
        <w:pStyle w:val="BodyText"/>
        <w:spacing w:line="276" w:lineRule="auto" w:before="160"/>
        <w:ind w:right="1272" w:firstLine="707"/>
      </w:pPr>
      <w:r>
        <w:rPr/>
        <w:t>У пациентов с COVID-19 рекомендуется придерживаться консервативной (ограничительной)</w:t>
      </w:r>
      <w:r>
        <w:rPr>
          <w:spacing w:val="40"/>
        </w:rPr>
        <w:t>  </w:t>
      </w:r>
      <w:r>
        <w:rPr/>
        <w:t>тактики</w:t>
      </w:r>
      <w:r>
        <w:rPr>
          <w:spacing w:val="40"/>
        </w:rPr>
        <w:t>  </w:t>
      </w:r>
      <w:r>
        <w:rPr/>
        <w:t>инфузионной</w:t>
      </w:r>
      <w:r>
        <w:rPr>
          <w:spacing w:val="40"/>
        </w:rPr>
        <w:t>  </w:t>
      </w:r>
      <w:r>
        <w:rPr/>
        <w:t>терапии</w:t>
      </w:r>
      <w:r>
        <w:rPr>
          <w:spacing w:val="40"/>
        </w:rPr>
        <w:t>  </w:t>
      </w:r>
      <w:r>
        <w:rPr/>
        <w:t>с</w:t>
      </w:r>
      <w:r>
        <w:rPr>
          <w:spacing w:val="40"/>
        </w:rPr>
        <w:t>  </w:t>
      </w:r>
      <w:r>
        <w:rPr/>
        <w:t>динамической</w:t>
      </w:r>
      <w:r>
        <w:rPr>
          <w:spacing w:val="40"/>
        </w:rPr>
        <w:t>  </w:t>
      </w:r>
      <w:r>
        <w:rPr/>
        <w:t>оценкой ее эффективности по ответу показателей гемодинамики, газовому составу крови, клиренсу</w:t>
      </w:r>
      <w:r>
        <w:rPr>
          <w:spacing w:val="-3"/>
        </w:rPr>
        <w:t> </w:t>
      </w:r>
      <w:r>
        <w:rPr/>
        <w:t>лактата</w:t>
      </w:r>
      <w:r>
        <w:rPr>
          <w:spacing w:val="-3"/>
        </w:rPr>
        <w:t> </w:t>
      </w:r>
      <w:r>
        <w:rPr/>
        <w:t>и</w:t>
      </w:r>
      <w:r>
        <w:rPr>
          <w:spacing w:val="-2"/>
        </w:rPr>
        <w:t> </w:t>
      </w:r>
      <w:r>
        <w:rPr/>
        <w:t>другим</w:t>
      </w:r>
      <w:r>
        <w:rPr>
          <w:spacing w:val="-3"/>
        </w:rPr>
        <w:t> </w:t>
      </w:r>
      <w:r>
        <w:rPr/>
        <w:t>показателям.</w:t>
      </w:r>
      <w:r>
        <w:rPr>
          <w:spacing w:val="-2"/>
        </w:rPr>
        <w:t> </w:t>
      </w:r>
      <w:r>
        <w:rPr/>
        <w:t>В</w:t>
      </w:r>
      <w:r>
        <w:rPr>
          <w:spacing w:val="-2"/>
        </w:rPr>
        <w:t> </w:t>
      </w:r>
      <w:r>
        <w:rPr/>
        <w:t>качестве</w:t>
      </w:r>
      <w:r>
        <w:rPr>
          <w:spacing w:val="-4"/>
        </w:rPr>
        <w:t> </w:t>
      </w:r>
      <w:r>
        <w:rPr/>
        <w:t>начальной инфузионной</w:t>
      </w:r>
      <w:r>
        <w:rPr>
          <w:spacing w:val="-1"/>
        </w:rPr>
        <w:t> </w:t>
      </w:r>
      <w:r>
        <w:rPr/>
        <w:t>терапии следует</w:t>
      </w:r>
      <w:r>
        <w:rPr>
          <w:spacing w:val="36"/>
        </w:rPr>
        <w:t> </w:t>
      </w:r>
      <w:r>
        <w:rPr/>
        <w:t>использовать</w:t>
      </w:r>
      <w:r>
        <w:rPr>
          <w:spacing w:val="36"/>
        </w:rPr>
        <w:t> </w:t>
      </w:r>
      <w:r>
        <w:rPr/>
        <w:t>болюсное</w:t>
      </w:r>
      <w:r>
        <w:rPr>
          <w:spacing w:val="35"/>
        </w:rPr>
        <w:t> </w:t>
      </w:r>
      <w:r>
        <w:rPr/>
        <w:t>введение</w:t>
      </w:r>
      <w:r>
        <w:rPr>
          <w:spacing w:val="35"/>
        </w:rPr>
        <w:t> </w:t>
      </w:r>
      <w:r>
        <w:rPr/>
        <w:t>кристаллоидов</w:t>
      </w:r>
      <w:r>
        <w:rPr>
          <w:spacing w:val="37"/>
        </w:rPr>
        <w:t> </w:t>
      </w:r>
      <w:r>
        <w:rPr/>
        <w:t>по</w:t>
      </w:r>
      <w:r>
        <w:rPr>
          <w:spacing w:val="35"/>
        </w:rPr>
        <w:t> </w:t>
      </w:r>
      <w:r>
        <w:rPr/>
        <w:t>500</w:t>
      </w:r>
      <w:r>
        <w:rPr>
          <w:spacing w:val="35"/>
        </w:rPr>
        <w:t> </w:t>
      </w:r>
      <w:r>
        <w:rPr/>
        <w:t>мл</w:t>
      </w:r>
      <w:r>
        <w:rPr>
          <w:spacing w:val="35"/>
        </w:rPr>
        <w:t> </w:t>
      </w:r>
      <w:r>
        <w:rPr/>
        <w:t>в</w:t>
      </w:r>
      <w:r>
        <w:rPr>
          <w:spacing w:val="35"/>
        </w:rPr>
        <w:t> </w:t>
      </w:r>
      <w:r>
        <w:rPr/>
        <w:t>зависимости от</w:t>
      </w:r>
      <w:r>
        <w:rPr>
          <w:spacing w:val="-1"/>
        </w:rPr>
        <w:t> </w:t>
      </w:r>
      <w:r>
        <w:rPr/>
        <w:t>реакции гемодинамики</w:t>
      </w:r>
      <w:r>
        <w:rPr>
          <w:spacing w:val="-2"/>
        </w:rPr>
        <w:t> </w:t>
      </w:r>
      <w:r>
        <w:rPr/>
        <w:t>и</w:t>
      </w:r>
      <w:r>
        <w:rPr>
          <w:spacing w:val="-1"/>
        </w:rPr>
        <w:t> </w:t>
      </w:r>
      <w:r>
        <w:rPr/>
        <w:t>газообмена.</w:t>
      </w:r>
      <w:r>
        <w:rPr>
          <w:spacing w:val="-1"/>
        </w:rPr>
        <w:t> </w:t>
      </w:r>
      <w:r>
        <w:rPr/>
        <w:t>Необходимо</w:t>
      </w:r>
      <w:r>
        <w:rPr>
          <w:spacing w:val="-1"/>
        </w:rPr>
        <w:t> </w:t>
      </w:r>
      <w:r>
        <w:rPr/>
        <w:t>вести пациентов</w:t>
      </w:r>
      <w:r>
        <w:rPr>
          <w:spacing w:val="-2"/>
        </w:rPr>
        <w:t> </w:t>
      </w:r>
      <w:r>
        <w:rPr/>
        <w:t>в</w:t>
      </w:r>
      <w:r>
        <w:rPr>
          <w:spacing w:val="-2"/>
        </w:rPr>
        <w:t> </w:t>
      </w:r>
      <w:r>
        <w:rPr/>
        <w:t>нулевом</w:t>
      </w:r>
      <w:r>
        <w:rPr>
          <w:spacing w:val="-2"/>
        </w:rPr>
        <w:t> </w:t>
      </w:r>
      <w:r>
        <w:rPr/>
        <w:t>или отрицательном балансе жидкости с обязательным контролем диуреза и суточного гидробаланса. Для поддержания отрицательного гидробаланса могут быть использованы диуретики и методы почечной заместительной терапии.</w:t>
      </w:r>
    </w:p>
    <w:p>
      <w:pPr>
        <w:pStyle w:val="BodyText"/>
        <w:spacing w:line="276" w:lineRule="auto" w:before="118"/>
        <w:ind w:right="1270" w:firstLine="707"/>
      </w:pPr>
      <w:r>
        <w:rPr/>
        <w:t>У пациента с гипотензией (систолическое АД менее 90 мм рт.ст. или среднее АД менее 65 мм рт.ст.) рекомендуется провести скрининговое обследование, направленное на выявление возможных дополнительных очагов инфекции, включая бактериальную суперинфекцию. При проведении инфузионной нагрузки с целью стабилизации гемодинамики у таких больных следует отдать предпочтение сбалансированным кристаллоидным препаратам. Рутинное использование коллоидных препаратов не рекомендовано.</w:t>
      </w:r>
    </w:p>
    <w:p>
      <w:pPr>
        <w:pStyle w:val="BodyText"/>
        <w:spacing w:line="276" w:lineRule="auto" w:before="118"/>
        <w:ind w:right="1269" w:firstLine="707"/>
      </w:pPr>
      <w:r>
        <w:rPr/>
        <w:t>У пациентов с гипотензией, которым инфузионная нагрузка не требуется</w:t>
      </w:r>
      <w:r>
        <w:rPr>
          <w:spacing w:val="80"/>
        </w:rPr>
        <w:t> </w:t>
      </w:r>
      <w:r>
        <w:rPr/>
        <w:t>(при отрицательных результатах динамических тестов на инфузионную нагрузку) или</w:t>
      </w:r>
      <w:r>
        <w:rPr>
          <w:spacing w:val="-5"/>
        </w:rPr>
        <w:t> </w:t>
      </w:r>
      <w:r>
        <w:rPr/>
        <w:t>проведение инфузионной нагрузки не сопровождается быстрой стабилизацией гемодинамики, - рекомендуется начать введение вазоактивных препаратов с целью начального</w:t>
      </w:r>
      <w:r>
        <w:rPr>
          <w:spacing w:val="40"/>
        </w:rPr>
        <w:t> </w:t>
      </w:r>
      <w:r>
        <w:rPr/>
        <w:t>поддержания</w:t>
      </w:r>
      <w:r>
        <w:rPr>
          <w:spacing w:val="40"/>
        </w:rPr>
        <w:t> </w:t>
      </w:r>
      <w:r>
        <w:rPr/>
        <w:t>среднего</w:t>
      </w:r>
      <w:r>
        <w:rPr>
          <w:spacing w:val="40"/>
        </w:rPr>
        <w:t> </w:t>
      </w:r>
      <w:r>
        <w:rPr/>
        <w:t>АД</w:t>
      </w:r>
      <w:r>
        <w:rPr>
          <w:spacing w:val="40"/>
        </w:rPr>
        <w:t> </w:t>
      </w:r>
      <w:r>
        <w:rPr/>
        <w:t>в</w:t>
      </w:r>
      <w:r>
        <w:rPr>
          <w:spacing w:val="40"/>
        </w:rPr>
        <w:t> </w:t>
      </w:r>
      <w:r>
        <w:rPr/>
        <w:t>пределах</w:t>
      </w:r>
      <w:r>
        <w:rPr>
          <w:spacing w:val="40"/>
        </w:rPr>
        <w:t> </w:t>
      </w:r>
      <w:r>
        <w:rPr/>
        <w:t>65-75</w:t>
      </w:r>
      <w:r>
        <w:rPr>
          <w:spacing w:val="40"/>
        </w:rPr>
        <w:t> </w:t>
      </w:r>
      <w:r>
        <w:rPr/>
        <w:t>мм</w:t>
      </w:r>
      <w:r>
        <w:rPr>
          <w:spacing w:val="40"/>
        </w:rPr>
        <w:t> </w:t>
      </w:r>
      <w:r>
        <w:rPr/>
        <w:t>рт.ст.</w:t>
      </w:r>
      <w:r>
        <w:rPr>
          <w:spacing w:val="40"/>
        </w:rPr>
        <w:t> </w:t>
      </w:r>
      <w:r>
        <w:rPr/>
        <w:t>У</w:t>
      </w:r>
      <w:r>
        <w:rPr>
          <w:spacing w:val="40"/>
        </w:rPr>
        <w:t> </w:t>
      </w:r>
      <w:r>
        <w:rPr/>
        <w:t>пациентов</w:t>
      </w:r>
      <w:r>
        <w:rPr>
          <w:spacing w:val="80"/>
        </w:rPr>
        <w:t> </w:t>
      </w:r>
      <w:r>
        <w:rPr/>
        <w:t>до</w:t>
      </w:r>
      <w:r>
        <w:rPr>
          <w:spacing w:val="-3"/>
        </w:rPr>
        <w:t> </w:t>
      </w:r>
      <w:r>
        <w:rPr/>
        <w:t>65</w:t>
      </w:r>
      <w:r>
        <w:rPr>
          <w:spacing w:val="-3"/>
        </w:rPr>
        <w:t> </w:t>
      </w:r>
      <w:r>
        <w:rPr/>
        <w:t>лет, при отсутствии кардиальной патологии и признаков тканевой гипоперфузии,</w:t>
      </w:r>
      <w:r>
        <w:rPr>
          <w:spacing w:val="40"/>
        </w:rPr>
        <w:t> </w:t>
      </w:r>
      <w:r>
        <w:rPr/>
        <w:t>допустимо</w:t>
      </w:r>
      <w:r>
        <w:rPr>
          <w:spacing w:val="40"/>
        </w:rPr>
        <w:t> </w:t>
      </w:r>
      <w:r>
        <w:rPr/>
        <w:t>поддержание</w:t>
      </w:r>
      <w:r>
        <w:rPr>
          <w:spacing w:val="40"/>
        </w:rPr>
        <w:t> </w:t>
      </w:r>
      <w:r>
        <w:rPr/>
        <w:t>среднего</w:t>
      </w:r>
      <w:r>
        <w:rPr>
          <w:spacing w:val="40"/>
        </w:rPr>
        <w:t> </w:t>
      </w:r>
      <w:r>
        <w:rPr/>
        <w:t>АД</w:t>
      </w:r>
      <w:r>
        <w:rPr>
          <w:spacing w:val="40"/>
        </w:rPr>
        <w:t> </w:t>
      </w:r>
      <w:r>
        <w:rPr/>
        <w:t>в</w:t>
      </w:r>
      <w:r>
        <w:rPr>
          <w:spacing w:val="40"/>
        </w:rPr>
        <w:t> </w:t>
      </w:r>
      <w:r>
        <w:rPr/>
        <w:t>пределах</w:t>
      </w:r>
      <w:r>
        <w:rPr>
          <w:spacing w:val="40"/>
        </w:rPr>
        <w:t> </w:t>
      </w:r>
      <w:r>
        <w:rPr/>
        <w:t>60-65</w:t>
      </w:r>
      <w:r>
        <w:rPr>
          <w:spacing w:val="40"/>
        </w:rPr>
        <w:t> </w:t>
      </w:r>
      <w:r>
        <w:rPr/>
        <w:t>мм</w:t>
      </w:r>
      <w:r>
        <w:rPr>
          <w:spacing w:val="40"/>
        </w:rPr>
        <w:t> </w:t>
      </w:r>
      <w:r>
        <w:rPr/>
        <w:t>рт.</w:t>
      </w:r>
      <w:r>
        <w:rPr>
          <w:spacing w:val="40"/>
        </w:rPr>
        <w:t> </w:t>
      </w:r>
      <w:r>
        <w:rPr/>
        <w:t>ст. У пожилых пациентов с сопутствующей артериальной гипертензией для профилактики острого повреждения почек целесообразно поддержание среднего АД 75-85 мм рт.ст.</w:t>
      </w:r>
    </w:p>
    <w:p>
      <w:pPr>
        <w:pStyle w:val="BodyText"/>
        <w:spacing w:line="276" w:lineRule="auto" w:before="117"/>
        <w:ind w:right="1271" w:firstLine="707"/>
      </w:pPr>
      <w:r>
        <w:rPr/>
        <w:t>В качестве вазоактивного препарата первой линии рекомендуется использовать норэпинефрин, при его недоступности – эпинефрин. Дофамин может быть</w:t>
      </w:r>
      <w:r>
        <w:rPr>
          <w:spacing w:val="28"/>
        </w:rPr>
        <w:t> </w:t>
      </w:r>
      <w:r>
        <w:rPr/>
        <w:t>использован</w:t>
      </w:r>
      <w:r>
        <w:rPr>
          <w:spacing w:val="27"/>
        </w:rPr>
        <w:t> </w:t>
      </w:r>
      <w:r>
        <w:rPr/>
        <w:t>только</w:t>
      </w:r>
      <w:r>
        <w:rPr>
          <w:spacing w:val="28"/>
        </w:rPr>
        <w:t> </w:t>
      </w:r>
      <w:r>
        <w:rPr/>
        <w:t>в</w:t>
      </w:r>
      <w:r>
        <w:rPr>
          <w:spacing w:val="27"/>
        </w:rPr>
        <w:t> </w:t>
      </w:r>
      <w:r>
        <w:rPr/>
        <w:t>отсутствие</w:t>
      </w:r>
      <w:r>
        <w:rPr>
          <w:spacing w:val="27"/>
        </w:rPr>
        <w:t> </w:t>
      </w:r>
      <w:r>
        <w:rPr/>
        <w:t>норэпинефрина</w:t>
      </w:r>
      <w:r>
        <w:rPr>
          <w:spacing w:val="27"/>
        </w:rPr>
        <w:t> </w:t>
      </w:r>
      <w:r>
        <w:rPr/>
        <w:t>и</w:t>
      </w:r>
      <w:r>
        <w:rPr>
          <w:spacing w:val="29"/>
        </w:rPr>
        <w:t> </w:t>
      </w:r>
      <w:r>
        <w:rPr/>
        <w:t>эпинефрина.</w:t>
      </w:r>
      <w:r>
        <w:rPr>
          <w:spacing w:val="28"/>
        </w:rPr>
        <w:t> </w:t>
      </w:r>
      <w:r>
        <w:rPr/>
        <w:t>У</w:t>
      </w:r>
      <w:r>
        <w:rPr>
          <w:spacing w:val="27"/>
        </w:rPr>
        <w:t> </w:t>
      </w:r>
      <w:r>
        <w:rPr/>
        <w:t>пациентов с COVID-19 и шоком с признаками миокардиальной дисфункции, проявляющейся повышением</w:t>
      </w:r>
      <w:r>
        <w:rPr>
          <w:spacing w:val="-7"/>
        </w:rPr>
        <w:t> </w:t>
      </w:r>
      <w:r>
        <w:rPr/>
        <w:t>давлений</w:t>
      </w:r>
      <w:r>
        <w:rPr>
          <w:spacing w:val="-10"/>
        </w:rPr>
        <w:t> </w:t>
      </w:r>
      <w:r>
        <w:rPr/>
        <w:t>наполнения</w:t>
      </w:r>
      <w:r>
        <w:rPr>
          <w:spacing w:val="-7"/>
        </w:rPr>
        <w:t> </w:t>
      </w:r>
      <w:r>
        <w:rPr/>
        <w:t>сердца</w:t>
      </w:r>
      <w:r>
        <w:rPr>
          <w:spacing w:val="-9"/>
        </w:rPr>
        <w:t> </w:t>
      </w:r>
      <w:r>
        <w:rPr/>
        <w:t>и</w:t>
      </w:r>
      <w:r>
        <w:rPr>
          <w:spacing w:val="-7"/>
        </w:rPr>
        <w:t> </w:t>
      </w:r>
      <w:r>
        <w:rPr/>
        <w:t>снижением</w:t>
      </w:r>
      <w:r>
        <w:rPr>
          <w:spacing w:val="-7"/>
        </w:rPr>
        <w:t> </w:t>
      </w:r>
      <w:r>
        <w:rPr/>
        <w:t>сердечного</w:t>
      </w:r>
      <w:r>
        <w:rPr>
          <w:spacing w:val="-7"/>
        </w:rPr>
        <w:t> </w:t>
      </w:r>
      <w:r>
        <w:rPr/>
        <w:t>выброса,</w:t>
      </w:r>
      <w:r>
        <w:rPr>
          <w:spacing w:val="-7"/>
        </w:rPr>
        <w:t> </w:t>
      </w:r>
      <w:r>
        <w:rPr/>
        <w:t>или</w:t>
      </w:r>
      <w:r>
        <w:rPr>
          <w:spacing w:val="-6"/>
        </w:rPr>
        <w:t> </w:t>
      </w:r>
      <w:r>
        <w:rPr/>
        <w:t>при сохраняющихся признаках гипоперфузии, несмотря на достижение адекватных показателей преднагрузки и среднего АД, - рекомендуется дополнительно назначить добутамин. У</w:t>
      </w:r>
      <w:r>
        <w:rPr>
          <w:spacing w:val="-1"/>
        </w:rPr>
        <w:t> </w:t>
      </w:r>
      <w:r>
        <w:rPr/>
        <w:t>пациентов с рефрактерным шоком (потребность в инфузии норэпинефрина или</w:t>
      </w:r>
      <w:r>
        <w:rPr>
          <w:spacing w:val="-2"/>
        </w:rPr>
        <w:t> </w:t>
      </w:r>
      <w:r>
        <w:rPr/>
        <w:t>эпинефрина в дозе &gt; 0,5 мкг/кг/мин для поддержания среднего АД в пределах 65-75</w:t>
      </w:r>
      <w:r>
        <w:rPr>
          <w:spacing w:val="-1"/>
        </w:rPr>
        <w:t> </w:t>
      </w:r>
      <w:r>
        <w:rPr/>
        <w:t>мм.рт.ст.) - рекомендуется дополнительно к вазопрессорной поддержке использовать низкие дозы глюкокортикоидов (инфузия гидрокортизона 200 мг/сут).</w:t>
      </w:r>
    </w:p>
    <w:p>
      <w:pPr>
        <w:pStyle w:val="BodyText"/>
        <w:spacing w:after="0" w:line="276" w:lineRule="auto"/>
        <w:sectPr>
          <w:pgSz w:w="11900" w:h="16840"/>
          <w:pgMar w:header="0" w:footer="697" w:top="1080" w:bottom="880" w:left="0" w:right="0"/>
        </w:sectPr>
      </w:pPr>
    </w:p>
    <w:p>
      <w:pPr>
        <w:pStyle w:val="Heading3"/>
        <w:numPr>
          <w:ilvl w:val="2"/>
          <w:numId w:val="5"/>
        </w:numPr>
        <w:tabs>
          <w:tab w:pos="3147" w:val="left" w:leader="none"/>
        </w:tabs>
        <w:spacing w:line="240" w:lineRule="auto" w:before="73" w:after="0"/>
        <w:ind w:left="3147" w:right="0" w:hanging="598"/>
        <w:jc w:val="both"/>
      </w:pPr>
      <w:bookmarkStart w:name="86" w:id="102"/>
      <w:bookmarkEnd w:id="102"/>
      <w:r>
        <w:rPr>
          <w:b w:val="0"/>
        </w:rPr>
      </w:r>
      <w:r>
        <w:rPr>
          <w:color w:val="1F487C"/>
        </w:rPr>
        <w:t>Лечение</w:t>
      </w:r>
      <w:r>
        <w:rPr>
          <w:color w:val="1F487C"/>
          <w:spacing w:val="-11"/>
        </w:rPr>
        <w:t> </w:t>
      </w:r>
      <w:r>
        <w:rPr>
          <w:color w:val="1F487C"/>
        </w:rPr>
        <w:t>пациентов</w:t>
      </w:r>
      <w:r>
        <w:rPr>
          <w:color w:val="1F487C"/>
          <w:spacing w:val="-10"/>
        </w:rPr>
        <w:t> </w:t>
      </w:r>
      <w:r>
        <w:rPr>
          <w:color w:val="1F487C"/>
        </w:rPr>
        <w:t>с</w:t>
      </w:r>
      <w:r>
        <w:rPr>
          <w:color w:val="1F487C"/>
          <w:spacing w:val="-12"/>
        </w:rPr>
        <w:t> </w:t>
      </w:r>
      <w:r>
        <w:rPr>
          <w:color w:val="1F487C"/>
        </w:rPr>
        <w:t>сепсисом</w:t>
      </w:r>
      <w:r>
        <w:rPr>
          <w:color w:val="1F487C"/>
          <w:spacing w:val="-10"/>
        </w:rPr>
        <w:t> </w:t>
      </w:r>
      <w:r>
        <w:rPr>
          <w:color w:val="1F487C"/>
        </w:rPr>
        <w:t>и</w:t>
      </w:r>
      <w:r>
        <w:rPr>
          <w:color w:val="1F487C"/>
          <w:spacing w:val="-11"/>
        </w:rPr>
        <w:t> </w:t>
      </w:r>
      <w:r>
        <w:rPr>
          <w:color w:val="1F487C"/>
        </w:rPr>
        <w:t>септическим</w:t>
      </w:r>
      <w:r>
        <w:rPr>
          <w:color w:val="1F487C"/>
          <w:spacing w:val="-9"/>
        </w:rPr>
        <w:t> </w:t>
      </w:r>
      <w:r>
        <w:rPr>
          <w:color w:val="1F487C"/>
          <w:spacing w:val="-2"/>
        </w:rPr>
        <w:t>шоком</w:t>
      </w:r>
    </w:p>
    <w:p>
      <w:pPr>
        <w:pStyle w:val="BodyText"/>
        <w:spacing w:line="276" w:lineRule="auto" w:before="160"/>
        <w:ind w:right="1271" w:firstLine="707"/>
      </w:pPr>
      <w:r>
        <w:rPr/>
        <w:t>Для скрининга пациентов с высокой вероятностью развития сепсиса, и в том числе рассмотрения возможности ранней госпитализации в ОРИТ, следует использовать критерии Quick SOFA (qSOFA, экспресс-SOFA), позволяющие предполагать наличие сепсиса по клиническим признакам без лабораторных </w:t>
      </w:r>
      <w:r>
        <w:rPr>
          <w:spacing w:val="-2"/>
        </w:rPr>
        <w:t>исследований:</w:t>
      </w:r>
    </w:p>
    <w:p>
      <w:pPr>
        <w:pStyle w:val="ListParagraph"/>
        <w:numPr>
          <w:ilvl w:val="0"/>
          <w:numId w:val="41"/>
        </w:numPr>
        <w:tabs>
          <w:tab w:pos="2561" w:val="left" w:leader="none"/>
        </w:tabs>
        <w:spacing w:line="240" w:lineRule="auto" w:before="14" w:after="0"/>
        <w:ind w:left="2561" w:right="0" w:hanging="360"/>
        <w:jc w:val="left"/>
        <w:rPr>
          <w:sz w:val="24"/>
        </w:rPr>
      </w:pPr>
      <w:r>
        <w:rPr>
          <w:sz w:val="24"/>
        </w:rPr>
        <w:t>снижение</w:t>
      </w:r>
      <w:r>
        <w:rPr>
          <w:spacing w:val="-8"/>
          <w:sz w:val="24"/>
        </w:rPr>
        <w:t> </w:t>
      </w:r>
      <w:r>
        <w:rPr>
          <w:sz w:val="24"/>
        </w:rPr>
        <w:t>уровня</w:t>
      </w:r>
      <w:r>
        <w:rPr>
          <w:spacing w:val="-8"/>
          <w:sz w:val="24"/>
        </w:rPr>
        <w:t> </w:t>
      </w:r>
      <w:r>
        <w:rPr>
          <w:sz w:val="24"/>
        </w:rPr>
        <w:t>сознания</w:t>
      </w:r>
      <w:r>
        <w:rPr>
          <w:spacing w:val="-8"/>
          <w:sz w:val="24"/>
        </w:rPr>
        <w:t> </w:t>
      </w:r>
      <w:r>
        <w:rPr>
          <w:sz w:val="24"/>
        </w:rPr>
        <w:t>до</w:t>
      </w:r>
      <w:r>
        <w:rPr>
          <w:spacing w:val="-8"/>
          <w:sz w:val="24"/>
        </w:rPr>
        <w:t> </w:t>
      </w:r>
      <w:r>
        <w:rPr>
          <w:sz w:val="24"/>
        </w:rPr>
        <w:t>13</w:t>
      </w:r>
      <w:r>
        <w:rPr>
          <w:spacing w:val="-9"/>
          <w:sz w:val="24"/>
        </w:rPr>
        <w:t> </w:t>
      </w:r>
      <w:r>
        <w:rPr>
          <w:sz w:val="24"/>
        </w:rPr>
        <w:t>и</w:t>
      </w:r>
      <w:r>
        <w:rPr>
          <w:spacing w:val="-7"/>
          <w:sz w:val="24"/>
        </w:rPr>
        <w:t> </w:t>
      </w:r>
      <w:r>
        <w:rPr>
          <w:sz w:val="24"/>
        </w:rPr>
        <w:t>менее</w:t>
      </w:r>
      <w:r>
        <w:rPr>
          <w:spacing w:val="-8"/>
          <w:sz w:val="24"/>
        </w:rPr>
        <w:t> </w:t>
      </w:r>
      <w:r>
        <w:rPr>
          <w:sz w:val="24"/>
        </w:rPr>
        <w:t>баллов</w:t>
      </w:r>
      <w:r>
        <w:rPr>
          <w:spacing w:val="-8"/>
          <w:sz w:val="24"/>
        </w:rPr>
        <w:t> </w:t>
      </w:r>
      <w:r>
        <w:rPr>
          <w:sz w:val="24"/>
        </w:rPr>
        <w:t>шкалы</w:t>
      </w:r>
      <w:r>
        <w:rPr>
          <w:spacing w:val="-8"/>
          <w:sz w:val="24"/>
        </w:rPr>
        <w:t> </w:t>
      </w:r>
      <w:r>
        <w:rPr>
          <w:sz w:val="24"/>
        </w:rPr>
        <w:t>комы</w:t>
      </w:r>
      <w:r>
        <w:rPr>
          <w:spacing w:val="-7"/>
          <w:sz w:val="24"/>
        </w:rPr>
        <w:t> </w:t>
      </w:r>
      <w:r>
        <w:rPr>
          <w:spacing w:val="-2"/>
          <w:sz w:val="24"/>
        </w:rPr>
        <w:t>Глазго;</w:t>
      </w:r>
    </w:p>
    <w:p>
      <w:pPr>
        <w:pStyle w:val="ListParagraph"/>
        <w:numPr>
          <w:ilvl w:val="0"/>
          <w:numId w:val="41"/>
        </w:numPr>
        <w:tabs>
          <w:tab w:pos="2561" w:val="left" w:leader="none"/>
        </w:tabs>
        <w:spacing w:line="240" w:lineRule="auto" w:before="33" w:after="0"/>
        <w:ind w:left="2561" w:right="0" w:hanging="360"/>
        <w:jc w:val="left"/>
        <w:rPr>
          <w:sz w:val="24"/>
        </w:rPr>
      </w:pPr>
      <w:r>
        <w:rPr>
          <w:sz w:val="24"/>
        </w:rPr>
        <w:t>снижение</w:t>
      </w:r>
      <w:r>
        <w:rPr>
          <w:spacing w:val="-10"/>
          <w:sz w:val="24"/>
        </w:rPr>
        <w:t> </w:t>
      </w:r>
      <w:r>
        <w:rPr>
          <w:sz w:val="24"/>
        </w:rPr>
        <w:t>систолического</w:t>
      </w:r>
      <w:r>
        <w:rPr>
          <w:spacing w:val="-10"/>
          <w:sz w:val="24"/>
        </w:rPr>
        <w:t> </w:t>
      </w:r>
      <w:r>
        <w:rPr>
          <w:sz w:val="24"/>
        </w:rPr>
        <w:t>АД</w:t>
      </w:r>
      <w:r>
        <w:rPr>
          <w:spacing w:val="-10"/>
          <w:sz w:val="24"/>
        </w:rPr>
        <w:t> </w:t>
      </w:r>
      <w:r>
        <w:rPr>
          <w:sz w:val="24"/>
        </w:rPr>
        <w:t>менее</w:t>
      </w:r>
      <w:r>
        <w:rPr>
          <w:spacing w:val="-10"/>
          <w:sz w:val="24"/>
        </w:rPr>
        <w:t> </w:t>
      </w:r>
      <w:r>
        <w:rPr>
          <w:sz w:val="24"/>
        </w:rPr>
        <w:t>100</w:t>
      </w:r>
      <w:r>
        <w:rPr>
          <w:spacing w:val="-7"/>
          <w:sz w:val="24"/>
        </w:rPr>
        <w:t> </w:t>
      </w:r>
      <w:r>
        <w:rPr>
          <w:sz w:val="24"/>
        </w:rPr>
        <w:t>мм</w:t>
      </w:r>
      <w:r>
        <w:rPr>
          <w:spacing w:val="-9"/>
          <w:sz w:val="24"/>
        </w:rPr>
        <w:t> </w:t>
      </w:r>
      <w:r>
        <w:rPr>
          <w:sz w:val="24"/>
        </w:rPr>
        <w:t>рт.</w:t>
      </w:r>
      <w:r>
        <w:rPr>
          <w:spacing w:val="-7"/>
          <w:sz w:val="24"/>
        </w:rPr>
        <w:t> </w:t>
      </w:r>
      <w:r>
        <w:rPr>
          <w:spacing w:val="-4"/>
          <w:sz w:val="24"/>
        </w:rPr>
        <w:t>ст.;</w:t>
      </w:r>
    </w:p>
    <w:p>
      <w:pPr>
        <w:pStyle w:val="ListParagraph"/>
        <w:numPr>
          <w:ilvl w:val="0"/>
          <w:numId w:val="41"/>
        </w:numPr>
        <w:tabs>
          <w:tab w:pos="2561" w:val="left" w:leader="none"/>
        </w:tabs>
        <w:spacing w:line="240" w:lineRule="auto" w:before="33" w:after="0"/>
        <w:ind w:left="2561" w:right="0" w:hanging="360"/>
        <w:jc w:val="left"/>
        <w:rPr>
          <w:sz w:val="24"/>
        </w:rPr>
      </w:pPr>
      <w:r>
        <w:rPr>
          <w:sz w:val="24"/>
        </w:rPr>
        <w:t>ЧДД</w:t>
      </w:r>
      <w:r>
        <w:rPr>
          <w:spacing w:val="-6"/>
          <w:sz w:val="24"/>
        </w:rPr>
        <w:t> </w:t>
      </w:r>
      <w:r>
        <w:rPr>
          <w:sz w:val="24"/>
        </w:rPr>
        <w:t>22</w:t>
      </w:r>
      <w:r>
        <w:rPr>
          <w:spacing w:val="-4"/>
          <w:sz w:val="24"/>
        </w:rPr>
        <w:t> </w:t>
      </w:r>
      <w:r>
        <w:rPr>
          <w:sz w:val="24"/>
        </w:rPr>
        <w:t>в</w:t>
      </w:r>
      <w:r>
        <w:rPr>
          <w:spacing w:val="-5"/>
          <w:sz w:val="24"/>
        </w:rPr>
        <w:t> </w:t>
      </w:r>
      <w:r>
        <w:rPr>
          <w:sz w:val="24"/>
        </w:rPr>
        <w:t>минуту</w:t>
      </w:r>
      <w:r>
        <w:rPr>
          <w:spacing w:val="-3"/>
          <w:sz w:val="24"/>
        </w:rPr>
        <w:t> </w:t>
      </w:r>
      <w:r>
        <w:rPr>
          <w:sz w:val="24"/>
        </w:rPr>
        <w:t>и</w:t>
      </w:r>
      <w:r>
        <w:rPr>
          <w:spacing w:val="-5"/>
          <w:sz w:val="24"/>
        </w:rPr>
        <w:t> </w:t>
      </w:r>
      <w:r>
        <w:rPr>
          <w:spacing w:val="-2"/>
          <w:sz w:val="24"/>
        </w:rPr>
        <w:t>более.</w:t>
      </w:r>
    </w:p>
    <w:p>
      <w:pPr>
        <w:pStyle w:val="BodyText"/>
        <w:tabs>
          <w:tab w:pos="2983" w:val="left" w:leader="none"/>
          <w:tab w:pos="5307" w:val="left" w:leader="none"/>
          <w:tab w:pos="6657" w:val="left" w:leader="none"/>
          <w:tab w:pos="7979" w:val="left" w:leader="none"/>
          <w:tab w:pos="9034" w:val="left" w:leader="none"/>
        </w:tabs>
        <w:spacing w:line="278" w:lineRule="auto" w:before="43"/>
        <w:ind w:right="1270" w:firstLine="707"/>
        <w:jc w:val="right"/>
      </w:pPr>
      <w:r>
        <w:rPr/>
        <w:t>Каждому</w:t>
      </w:r>
      <w:r>
        <w:rPr>
          <w:spacing w:val="-6"/>
        </w:rPr>
        <w:t> </w:t>
      </w:r>
      <w:r>
        <w:rPr/>
        <w:t>из</w:t>
      </w:r>
      <w:r>
        <w:rPr>
          <w:spacing w:val="-8"/>
        </w:rPr>
        <w:t> </w:t>
      </w:r>
      <w:r>
        <w:rPr/>
        <w:t>признаков</w:t>
      </w:r>
      <w:r>
        <w:rPr>
          <w:spacing w:val="-9"/>
        </w:rPr>
        <w:t> </w:t>
      </w:r>
      <w:r>
        <w:rPr/>
        <w:t>придается</w:t>
      </w:r>
      <w:r>
        <w:rPr>
          <w:spacing w:val="-6"/>
        </w:rPr>
        <w:t> </w:t>
      </w:r>
      <w:r>
        <w:rPr/>
        <w:t>по</w:t>
      </w:r>
      <w:r>
        <w:rPr>
          <w:spacing w:val="-7"/>
        </w:rPr>
        <w:t> </w:t>
      </w:r>
      <w:r>
        <w:rPr/>
        <w:t>одному</w:t>
      </w:r>
      <w:r>
        <w:rPr>
          <w:spacing w:val="-7"/>
        </w:rPr>
        <w:t> </w:t>
      </w:r>
      <w:r>
        <w:rPr/>
        <w:t>баллу.</w:t>
      </w:r>
      <w:r>
        <w:rPr>
          <w:spacing w:val="-6"/>
        </w:rPr>
        <w:t> </w:t>
      </w:r>
      <w:r>
        <w:rPr/>
        <w:t>В</w:t>
      </w:r>
      <w:r>
        <w:rPr>
          <w:spacing w:val="-6"/>
        </w:rPr>
        <w:t> </w:t>
      </w:r>
      <w:r>
        <w:rPr/>
        <w:t>случае</w:t>
      </w:r>
      <w:r>
        <w:rPr>
          <w:spacing w:val="-8"/>
        </w:rPr>
        <w:t> </w:t>
      </w:r>
      <w:r>
        <w:rPr/>
        <w:t>наличия</w:t>
      </w:r>
      <w:r>
        <w:rPr>
          <w:spacing w:val="-6"/>
        </w:rPr>
        <w:t> </w:t>
      </w:r>
      <w:r>
        <w:rPr/>
        <w:t>двух</w:t>
      </w:r>
      <w:r>
        <w:rPr>
          <w:spacing w:val="-7"/>
        </w:rPr>
        <w:t> </w:t>
      </w:r>
      <w:r>
        <w:rPr/>
        <w:t>или трех баллов</w:t>
      </w:r>
      <w:r>
        <w:rPr>
          <w:spacing w:val="-1"/>
        </w:rPr>
        <w:t> </w:t>
      </w:r>
      <w:r>
        <w:rPr/>
        <w:t>вероятность присутствия</w:t>
      </w:r>
      <w:r>
        <w:rPr>
          <w:spacing w:val="-2"/>
        </w:rPr>
        <w:t> </w:t>
      </w:r>
      <w:r>
        <w:rPr/>
        <w:t>инфекции в варианте сепсиса составляет около 80%,</w:t>
      </w:r>
      <w:r>
        <w:rPr>
          <w:spacing w:val="40"/>
        </w:rPr>
        <w:t> </w:t>
      </w:r>
      <w:r>
        <w:rPr/>
        <w:t>превышая</w:t>
      </w:r>
      <w:r>
        <w:rPr>
          <w:spacing w:val="40"/>
        </w:rPr>
        <w:t> </w:t>
      </w:r>
      <w:r>
        <w:rPr/>
        <w:t>диагностическую</w:t>
      </w:r>
      <w:r>
        <w:rPr>
          <w:spacing w:val="40"/>
        </w:rPr>
        <w:t> </w:t>
      </w:r>
      <w:r>
        <w:rPr/>
        <w:t>ценность</w:t>
      </w:r>
      <w:r>
        <w:rPr>
          <w:spacing w:val="40"/>
        </w:rPr>
        <w:t> </w:t>
      </w:r>
      <w:r>
        <w:rPr/>
        <w:t>классической</w:t>
      </w:r>
      <w:r>
        <w:rPr>
          <w:spacing w:val="40"/>
        </w:rPr>
        <w:t> </w:t>
      </w:r>
      <w:r>
        <w:rPr/>
        <w:t>шкалы</w:t>
      </w:r>
      <w:r>
        <w:rPr>
          <w:spacing w:val="40"/>
        </w:rPr>
        <w:t> </w:t>
      </w:r>
      <w:r>
        <w:rPr/>
        <w:t>SOFA,</w:t>
      </w:r>
      <w:r>
        <w:rPr>
          <w:spacing w:val="40"/>
        </w:rPr>
        <w:t> </w:t>
      </w:r>
      <w:r>
        <w:rPr/>
        <w:t>с</w:t>
      </w:r>
      <w:r>
        <w:rPr>
          <w:spacing w:val="40"/>
        </w:rPr>
        <w:t> </w:t>
      </w:r>
      <w:r>
        <w:rPr/>
        <w:t>более</w:t>
      </w:r>
      <w:r>
        <w:rPr>
          <w:spacing w:val="80"/>
        </w:rPr>
        <w:t> </w:t>
      </w:r>
      <w:r>
        <w:rPr/>
        <w:t>высоким</w:t>
      </w:r>
      <w:r>
        <w:rPr>
          <w:spacing w:val="-9"/>
        </w:rPr>
        <w:t> </w:t>
      </w:r>
      <w:r>
        <w:rPr/>
        <w:t>риском</w:t>
      </w:r>
      <w:r>
        <w:rPr>
          <w:spacing w:val="-8"/>
        </w:rPr>
        <w:t> </w:t>
      </w:r>
      <w:r>
        <w:rPr/>
        <w:t>смерти</w:t>
      </w:r>
      <w:r>
        <w:rPr>
          <w:spacing w:val="-7"/>
        </w:rPr>
        <w:t> </w:t>
      </w:r>
      <w:r>
        <w:rPr/>
        <w:t>в</w:t>
      </w:r>
      <w:r>
        <w:rPr>
          <w:spacing w:val="-9"/>
        </w:rPr>
        <w:t> </w:t>
      </w:r>
      <w:r>
        <w:rPr/>
        <w:t>3-14</w:t>
      </w:r>
      <w:r>
        <w:rPr>
          <w:spacing w:val="-8"/>
        </w:rPr>
        <w:t> </w:t>
      </w:r>
      <w:r>
        <w:rPr/>
        <w:t>раз</w:t>
      </w:r>
      <w:r>
        <w:rPr>
          <w:spacing w:val="-7"/>
        </w:rPr>
        <w:t> </w:t>
      </w:r>
      <w:r>
        <w:rPr/>
        <w:t>в</w:t>
      </w:r>
      <w:r>
        <w:rPr>
          <w:spacing w:val="-8"/>
        </w:rPr>
        <w:t> </w:t>
      </w:r>
      <w:r>
        <w:rPr/>
        <w:t>сравнении</w:t>
      </w:r>
      <w:r>
        <w:rPr>
          <w:spacing w:val="-7"/>
        </w:rPr>
        <w:t> </w:t>
      </w:r>
      <w:r>
        <w:rPr/>
        <w:t>с</w:t>
      </w:r>
      <w:r>
        <w:rPr>
          <w:spacing w:val="-9"/>
        </w:rPr>
        <w:t> </w:t>
      </w:r>
      <w:r>
        <w:rPr/>
        <w:t>индексом</w:t>
      </w:r>
      <w:r>
        <w:rPr>
          <w:spacing w:val="-8"/>
        </w:rPr>
        <w:t> </w:t>
      </w:r>
      <w:r>
        <w:rPr/>
        <w:t>qSOFA</w:t>
      </w:r>
      <w:r>
        <w:rPr>
          <w:spacing w:val="-9"/>
        </w:rPr>
        <w:t> </w:t>
      </w:r>
      <w:r>
        <w:rPr/>
        <w:t>менее</w:t>
      </w:r>
      <w:r>
        <w:rPr>
          <w:spacing w:val="-9"/>
        </w:rPr>
        <w:t> </w:t>
      </w:r>
      <w:r>
        <w:rPr/>
        <w:t>двух</w:t>
      </w:r>
      <w:r>
        <w:rPr>
          <w:spacing w:val="-9"/>
        </w:rPr>
        <w:t> </w:t>
      </w:r>
      <w:r>
        <w:rPr/>
        <w:t>баллов. </w:t>
      </w:r>
      <w:r>
        <w:rPr>
          <w:spacing w:val="-2"/>
        </w:rPr>
        <w:t>Важным</w:t>
      </w:r>
      <w:r>
        <w:rPr/>
        <w:tab/>
      </w:r>
      <w:r>
        <w:rPr>
          <w:spacing w:val="-2"/>
        </w:rPr>
        <w:t>дифференциальным</w:t>
      </w:r>
      <w:r>
        <w:rPr/>
        <w:tab/>
      </w:r>
      <w:r>
        <w:rPr>
          <w:spacing w:val="-2"/>
        </w:rPr>
        <w:t>критерием</w:t>
      </w:r>
      <w:r>
        <w:rPr/>
        <w:tab/>
      </w:r>
      <w:r>
        <w:rPr>
          <w:spacing w:val="-2"/>
        </w:rPr>
        <w:t>этиологии</w:t>
      </w:r>
      <w:r>
        <w:rPr/>
        <w:tab/>
      </w:r>
      <w:r>
        <w:rPr>
          <w:spacing w:val="-2"/>
        </w:rPr>
        <w:t>сепсиса</w:t>
      </w:r>
      <w:r>
        <w:rPr/>
        <w:tab/>
      </w:r>
      <w:r>
        <w:rPr>
          <w:spacing w:val="-2"/>
        </w:rPr>
        <w:t>является </w:t>
      </w:r>
      <w:r>
        <w:rPr/>
        <w:t>клинический</w:t>
      </w:r>
      <w:r>
        <w:rPr>
          <w:spacing w:val="-5"/>
        </w:rPr>
        <w:t> </w:t>
      </w:r>
      <w:r>
        <w:rPr/>
        <w:t>анализ</w:t>
      </w:r>
      <w:r>
        <w:rPr>
          <w:spacing w:val="-7"/>
        </w:rPr>
        <w:t> </w:t>
      </w:r>
      <w:r>
        <w:rPr/>
        <w:t>крови</w:t>
      </w:r>
      <w:r>
        <w:rPr>
          <w:spacing w:val="-6"/>
        </w:rPr>
        <w:t> </w:t>
      </w:r>
      <w:r>
        <w:rPr/>
        <w:t>–</w:t>
      </w:r>
      <w:r>
        <w:rPr>
          <w:spacing w:val="-7"/>
        </w:rPr>
        <w:t> </w:t>
      </w:r>
      <w:r>
        <w:rPr/>
        <w:t>при</w:t>
      </w:r>
      <w:r>
        <w:rPr>
          <w:spacing w:val="-5"/>
        </w:rPr>
        <w:t> </w:t>
      </w:r>
      <w:r>
        <w:rPr/>
        <w:t>бактериальном</w:t>
      </w:r>
      <w:r>
        <w:rPr>
          <w:spacing w:val="-6"/>
        </w:rPr>
        <w:t> </w:t>
      </w:r>
      <w:r>
        <w:rPr/>
        <w:t>генезе</w:t>
      </w:r>
      <w:r>
        <w:rPr>
          <w:spacing w:val="-7"/>
        </w:rPr>
        <w:t> </w:t>
      </w:r>
      <w:r>
        <w:rPr/>
        <w:t>отмечается</w:t>
      </w:r>
      <w:r>
        <w:rPr>
          <w:spacing w:val="-6"/>
        </w:rPr>
        <w:t> </w:t>
      </w:r>
      <w:r>
        <w:rPr/>
        <w:t>лейкоцитоз,</w:t>
      </w:r>
      <w:r>
        <w:rPr>
          <w:spacing w:val="-5"/>
        </w:rPr>
        <w:t> </w:t>
      </w:r>
      <w:r>
        <w:rPr/>
        <w:t>а</w:t>
      </w:r>
      <w:r>
        <w:rPr>
          <w:spacing w:val="-8"/>
        </w:rPr>
        <w:t> </w:t>
      </w:r>
      <w:r>
        <w:rPr>
          <w:spacing w:val="-5"/>
        </w:rPr>
        <w:t>при</w:t>
      </w:r>
    </w:p>
    <w:p>
      <w:pPr>
        <w:pStyle w:val="BodyText"/>
        <w:spacing w:line="274" w:lineRule="exact"/>
      </w:pPr>
      <w:r>
        <w:rPr/>
        <w:t>вирусном</w:t>
      </w:r>
      <w:r>
        <w:rPr>
          <w:spacing w:val="-9"/>
        </w:rPr>
        <w:t> </w:t>
      </w:r>
      <w:r>
        <w:rPr/>
        <w:t>–</w:t>
      </w:r>
      <w:r>
        <w:rPr>
          <w:spacing w:val="-8"/>
        </w:rPr>
        <w:t> </w:t>
      </w:r>
      <w:r>
        <w:rPr/>
        <w:t>нормо-</w:t>
      </w:r>
      <w:r>
        <w:rPr>
          <w:spacing w:val="-8"/>
        </w:rPr>
        <w:t> </w:t>
      </w:r>
      <w:r>
        <w:rPr/>
        <w:t>или</w:t>
      </w:r>
      <w:r>
        <w:rPr>
          <w:spacing w:val="-9"/>
        </w:rPr>
        <w:t> </w:t>
      </w:r>
      <w:r>
        <w:rPr/>
        <w:t>лейкопения</w:t>
      </w:r>
      <w:r>
        <w:rPr>
          <w:spacing w:val="-7"/>
        </w:rPr>
        <w:t> </w:t>
      </w:r>
      <w:r>
        <w:rPr/>
        <w:t>и</w:t>
      </w:r>
      <w:r>
        <w:rPr>
          <w:spacing w:val="-7"/>
        </w:rPr>
        <w:t> </w:t>
      </w:r>
      <w:r>
        <w:rPr>
          <w:spacing w:val="-2"/>
        </w:rPr>
        <w:t>лимфопения.</w:t>
      </w:r>
    </w:p>
    <w:p>
      <w:pPr>
        <w:pStyle w:val="BodyText"/>
        <w:spacing w:line="276" w:lineRule="auto" w:before="55"/>
        <w:ind w:right="1272" w:firstLine="707"/>
      </w:pPr>
      <w:r>
        <w:rPr/>
        <w:t>Задачи интенсивной терапии септического шока (кроме этиотропного </w:t>
      </w:r>
      <w:r>
        <w:rPr>
          <w:spacing w:val="-2"/>
        </w:rPr>
        <w:t>лечения):</w:t>
      </w:r>
    </w:p>
    <w:p>
      <w:pPr>
        <w:pStyle w:val="ListParagraph"/>
        <w:numPr>
          <w:ilvl w:val="0"/>
          <w:numId w:val="42"/>
        </w:numPr>
        <w:tabs>
          <w:tab w:pos="2833" w:val="left" w:leader="none"/>
        </w:tabs>
        <w:spacing w:line="240" w:lineRule="auto" w:before="12" w:after="0"/>
        <w:ind w:left="2833" w:right="0" w:hanging="284"/>
        <w:jc w:val="both"/>
        <w:rPr>
          <w:position w:val="2"/>
          <w:sz w:val="24"/>
        </w:rPr>
      </w:pPr>
      <w:r>
        <w:rPr>
          <w:spacing w:val="-2"/>
          <w:position w:val="2"/>
          <w:sz w:val="24"/>
        </w:rPr>
        <w:t>Поддержка</w:t>
      </w:r>
      <w:r>
        <w:rPr>
          <w:spacing w:val="2"/>
          <w:position w:val="2"/>
          <w:sz w:val="24"/>
        </w:rPr>
        <w:t> </w:t>
      </w:r>
      <w:r>
        <w:rPr>
          <w:spacing w:val="-2"/>
          <w:position w:val="2"/>
          <w:sz w:val="24"/>
        </w:rPr>
        <w:t>гемодинамики</w:t>
      </w:r>
      <w:r>
        <w:rPr>
          <w:spacing w:val="5"/>
          <w:position w:val="2"/>
          <w:sz w:val="24"/>
        </w:rPr>
        <w:t> </w:t>
      </w:r>
      <w:r>
        <w:rPr>
          <w:spacing w:val="-2"/>
          <w:position w:val="2"/>
          <w:sz w:val="24"/>
        </w:rPr>
        <w:t>(оптимизация</w:t>
      </w:r>
      <w:r>
        <w:rPr>
          <w:spacing w:val="3"/>
          <w:position w:val="2"/>
          <w:sz w:val="24"/>
        </w:rPr>
        <w:t> </w:t>
      </w:r>
      <w:r>
        <w:rPr>
          <w:spacing w:val="-2"/>
          <w:position w:val="2"/>
          <w:sz w:val="24"/>
        </w:rPr>
        <w:t>доставки</w:t>
      </w:r>
      <w:r>
        <w:rPr>
          <w:spacing w:val="6"/>
          <w:position w:val="2"/>
          <w:sz w:val="24"/>
        </w:rPr>
        <w:t> </w:t>
      </w:r>
      <w:r>
        <w:rPr>
          <w:spacing w:val="-4"/>
          <w:position w:val="2"/>
          <w:sz w:val="24"/>
        </w:rPr>
        <w:t>O</w:t>
      </w:r>
      <w:r>
        <w:rPr>
          <w:spacing w:val="-4"/>
          <w:sz w:val="16"/>
        </w:rPr>
        <w:t>2</w:t>
      </w:r>
      <w:r>
        <w:rPr>
          <w:spacing w:val="-4"/>
          <w:position w:val="2"/>
          <w:sz w:val="24"/>
        </w:rPr>
        <w:t>);</w:t>
      </w:r>
    </w:p>
    <w:p>
      <w:pPr>
        <w:pStyle w:val="ListParagraph"/>
        <w:numPr>
          <w:ilvl w:val="0"/>
          <w:numId w:val="42"/>
        </w:numPr>
        <w:tabs>
          <w:tab w:pos="2832" w:val="left" w:leader="none"/>
          <w:tab w:pos="2908" w:val="left" w:leader="none"/>
        </w:tabs>
        <w:spacing w:line="276" w:lineRule="auto" w:before="39" w:after="0"/>
        <w:ind w:left="2908" w:right="2424" w:hanging="360"/>
        <w:jc w:val="both"/>
        <w:rPr>
          <w:sz w:val="24"/>
        </w:rPr>
      </w:pPr>
      <w:r>
        <w:rPr>
          <w:sz w:val="24"/>
        </w:rPr>
        <w:t>Метаболическая</w:t>
      </w:r>
      <w:r>
        <w:rPr>
          <w:spacing w:val="-10"/>
          <w:sz w:val="24"/>
        </w:rPr>
        <w:t> </w:t>
      </w:r>
      <w:r>
        <w:rPr>
          <w:sz w:val="24"/>
        </w:rPr>
        <w:t>поддержка</w:t>
      </w:r>
      <w:r>
        <w:rPr>
          <w:spacing w:val="-11"/>
          <w:sz w:val="24"/>
        </w:rPr>
        <w:t> </w:t>
      </w:r>
      <w:r>
        <w:rPr>
          <w:sz w:val="24"/>
        </w:rPr>
        <w:t>(минимизация</w:t>
      </w:r>
      <w:r>
        <w:rPr>
          <w:spacing w:val="-10"/>
          <w:sz w:val="24"/>
        </w:rPr>
        <w:t> </w:t>
      </w:r>
      <w:r>
        <w:rPr>
          <w:sz w:val="24"/>
        </w:rPr>
        <w:t>дефицита</w:t>
      </w:r>
      <w:r>
        <w:rPr>
          <w:spacing w:val="-11"/>
          <w:sz w:val="24"/>
        </w:rPr>
        <w:t> </w:t>
      </w:r>
      <w:r>
        <w:rPr>
          <w:sz w:val="24"/>
        </w:rPr>
        <w:t>экстракции </w:t>
      </w:r>
      <w:r>
        <w:rPr>
          <w:position w:val="2"/>
          <w:sz w:val="24"/>
        </w:rPr>
        <w:t>или повышения потребления O</w:t>
      </w:r>
      <w:r>
        <w:rPr>
          <w:sz w:val="16"/>
        </w:rPr>
        <w:t>2</w:t>
      </w:r>
      <w:r>
        <w:rPr>
          <w:position w:val="2"/>
          <w:sz w:val="24"/>
        </w:rPr>
        <w:t>).</w:t>
      </w:r>
    </w:p>
    <w:p>
      <w:pPr>
        <w:pStyle w:val="BodyText"/>
        <w:spacing w:line="276" w:lineRule="auto"/>
        <w:ind w:right="1271" w:firstLine="565"/>
      </w:pPr>
      <w:r>
        <w:rPr/>
        <w:t>Ключевым принципом интенсивной терапии ранней фазы септического шока является</w:t>
      </w:r>
      <w:r>
        <w:rPr>
          <w:spacing w:val="80"/>
          <w:w w:val="150"/>
        </w:rPr>
        <w:t> </w:t>
      </w:r>
      <w:r>
        <w:rPr/>
        <w:t>незамедлительное</w:t>
      </w:r>
      <w:r>
        <w:rPr>
          <w:spacing w:val="80"/>
          <w:w w:val="150"/>
        </w:rPr>
        <w:t> </w:t>
      </w:r>
      <w:r>
        <w:rPr/>
        <w:t>начало</w:t>
      </w:r>
      <w:r>
        <w:rPr>
          <w:spacing w:val="80"/>
          <w:w w:val="150"/>
        </w:rPr>
        <w:t> </w:t>
      </w:r>
      <w:r>
        <w:rPr/>
        <w:t>гемодинамической</w:t>
      </w:r>
      <w:r>
        <w:rPr>
          <w:spacing w:val="80"/>
          <w:w w:val="150"/>
        </w:rPr>
        <w:t> </w:t>
      </w:r>
      <w:r>
        <w:rPr/>
        <w:t>поддержки</w:t>
      </w:r>
      <w:r>
        <w:rPr>
          <w:spacing w:val="80"/>
          <w:w w:val="150"/>
        </w:rPr>
        <w:t> </w:t>
      </w:r>
      <w:r>
        <w:rPr/>
        <w:t>у</w:t>
      </w:r>
      <w:r>
        <w:rPr>
          <w:spacing w:val="80"/>
          <w:w w:val="150"/>
        </w:rPr>
        <w:t> </w:t>
      </w:r>
      <w:r>
        <w:rPr/>
        <w:t>пациентов с</w:t>
      </w:r>
      <w:r>
        <w:rPr>
          <w:spacing w:val="-4"/>
        </w:rPr>
        <w:t> </w:t>
      </w:r>
      <w:r>
        <w:rPr/>
        <w:t>гипотензией</w:t>
      </w:r>
      <w:r>
        <w:rPr>
          <w:spacing w:val="40"/>
        </w:rPr>
        <w:t>  </w:t>
      </w:r>
      <w:r>
        <w:rPr/>
        <w:t>или</w:t>
      </w:r>
      <w:r>
        <w:rPr>
          <w:spacing w:val="40"/>
        </w:rPr>
        <w:t>  </w:t>
      </w:r>
      <w:r>
        <w:rPr/>
        <w:t>повышенной</w:t>
      </w:r>
      <w:r>
        <w:rPr>
          <w:spacing w:val="40"/>
        </w:rPr>
        <w:t>  </w:t>
      </w:r>
      <w:r>
        <w:rPr/>
        <w:t>концентрацией</w:t>
      </w:r>
      <w:r>
        <w:rPr>
          <w:spacing w:val="40"/>
        </w:rPr>
        <w:t>  </w:t>
      </w:r>
      <w:r>
        <w:rPr/>
        <w:t>лактата</w:t>
      </w:r>
      <w:r>
        <w:rPr>
          <w:spacing w:val="40"/>
        </w:rPr>
        <w:t>  </w:t>
      </w:r>
      <w:r>
        <w:rPr/>
        <w:t>в</w:t>
      </w:r>
      <w:r>
        <w:rPr>
          <w:spacing w:val="40"/>
        </w:rPr>
        <w:t>  </w:t>
      </w:r>
      <w:r>
        <w:rPr/>
        <w:t>сыворотке</w:t>
      </w:r>
      <w:r>
        <w:rPr>
          <w:spacing w:val="40"/>
        </w:rPr>
        <w:t>  </w:t>
      </w:r>
      <w:r>
        <w:rPr/>
        <w:t>крови (&gt;</w:t>
      </w:r>
      <w:r>
        <w:rPr>
          <w:spacing w:val="-5"/>
        </w:rPr>
        <w:t> </w:t>
      </w:r>
      <w:r>
        <w:rPr/>
        <w:t>2</w:t>
      </w:r>
      <w:r>
        <w:rPr>
          <w:spacing w:val="-4"/>
        </w:rPr>
        <w:t> </w:t>
      </w:r>
      <w:r>
        <w:rPr/>
        <w:t>ммоль/л). Первоначальной мерой стабилизации гемодинамики рекомендуют инфузионную заместительную терапию. При отсутствии эффекта от стартовой инфузионной</w:t>
      </w:r>
      <w:r>
        <w:rPr>
          <w:spacing w:val="40"/>
        </w:rPr>
        <w:t>  </w:t>
      </w:r>
      <w:r>
        <w:rPr/>
        <w:t>терапии</w:t>
      </w:r>
      <w:r>
        <w:rPr>
          <w:spacing w:val="40"/>
        </w:rPr>
        <w:t>  </w:t>
      </w:r>
      <w:r>
        <w:rPr/>
        <w:t>назначают</w:t>
      </w:r>
      <w:r>
        <w:rPr>
          <w:spacing w:val="40"/>
        </w:rPr>
        <w:t>  </w:t>
      </w:r>
      <w:r>
        <w:rPr/>
        <w:t>вазопрессоры</w:t>
      </w:r>
      <w:r>
        <w:rPr>
          <w:spacing w:val="40"/>
        </w:rPr>
        <w:t>  </w:t>
      </w:r>
      <w:r>
        <w:rPr/>
        <w:t>по</w:t>
      </w:r>
      <w:r>
        <w:rPr>
          <w:spacing w:val="40"/>
        </w:rPr>
        <w:t>  </w:t>
      </w:r>
      <w:r>
        <w:rPr/>
        <w:t>принципам,</w:t>
      </w:r>
      <w:r>
        <w:rPr>
          <w:spacing w:val="40"/>
        </w:rPr>
        <w:t>  </w:t>
      </w:r>
      <w:r>
        <w:rPr/>
        <w:t>изложенным</w:t>
      </w:r>
      <w:r>
        <w:rPr>
          <w:spacing w:val="40"/>
        </w:rPr>
        <w:t> </w:t>
      </w:r>
      <w:r>
        <w:rPr/>
        <w:t>в разделе 5.6.5.</w:t>
      </w:r>
    </w:p>
    <w:p>
      <w:pPr>
        <w:pStyle w:val="BodyText"/>
        <w:spacing w:line="276" w:lineRule="auto" w:before="9"/>
        <w:ind w:right="1271" w:firstLine="565"/>
      </w:pPr>
      <w:r>
        <w:rPr/>
        <w:t>Микроциркуляторно-митохондриальный</w:t>
      </w:r>
      <w:r>
        <w:rPr>
          <w:spacing w:val="80"/>
        </w:rPr>
        <w:t> </w:t>
      </w:r>
      <w:r>
        <w:rPr/>
        <w:t>дистресс</w:t>
      </w:r>
      <w:r>
        <w:rPr>
          <w:spacing w:val="80"/>
        </w:rPr>
        <w:t> </w:t>
      </w:r>
      <w:r>
        <w:rPr/>
        <w:t>при</w:t>
      </w:r>
      <w:r>
        <w:rPr>
          <w:spacing w:val="80"/>
        </w:rPr>
        <w:t> </w:t>
      </w:r>
      <w:r>
        <w:rPr/>
        <w:t>септическом</w:t>
      </w:r>
      <w:r>
        <w:rPr>
          <w:spacing w:val="80"/>
        </w:rPr>
        <w:t> </w:t>
      </w:r>
      <w:r>
        <w:rPr/>
        <w:t>шоке</w:t>
      </w:r>
      <w:r>
        <w:rPr>
          <w:spacing w:val="80"/>
          <w:w w:val="150"/>
        </w:rPr>
        <w:t> </w:t>
      </w:r>
      <w:r>
        <w:rPr/>
        <w:t>во</w:t>
      </w:r>
      <w:r>
        <w:rPr>
          <w:spacing w:val="-5"/>
        </w:rPr>
        <w:t> </w:t>
      </w:r>
      <w:r>
        <w:rPr/>
        <w:t>многом является причиной нарушений потребления кислорода тканями. Целевым показателем интенсивной терапии является центральное венозное насыщение </w:t>
      </w:r>
      <w:r>
        <w:rPr>
          <w:position w:val="2"/>
        </w:rPr>
        <w:t>кислородом (ScvO</w:t>
      </w:r>
      <w:r>
        <w:rPr>
          <w:sz w:val="16"/>
        </w:rPr>
        <w:t>2</w:t>
      </w:r>
      <w:r>
        <w:rPr>
          <w:position w:val="2"/>
        </w:rPr>
        <w:t>) 65-75%. В отсутствие признаков тканевой гипоперфузии, </w:t>
      </w:r>
      <w:r>
        <w:rPr/>
        <w:t>ишемической болезни сердца и кровотечения рекомендовано поддержание гемоглобина (Hb) на уровне 70-90 г/л. Трансфузия эритроцитсодержащих компонентов</w:t>
      </w:r>
      <w:r>
        <w:rPr>
          <w:spacing w:val="39"/>
        </w:rPr>
        <w:t> </w:t>
      </w:r>
      <w:r>
        <w:rPr/>
        <w:t>крови</w:t>
      </w:r>
      <w:r>
        <w:rPr>
          <w:spacing w:val="38"/>
        </w:rPr>
        <w:t> </w:t>
      </w:r>
      <w:r>
        <w:rPr/>
        <w:t>может</w:t>
      </w:r>
      <w:r>
        <w:rPr>
          <w:spacing w:val="40"/>
        </w:rPr>
        <w:t> </w:t>
      </w:r>
      <w:r>
        <w:rPr/>
        <w:t>быть</w:t>
      </w:r>
      <w:r>
        <w:rPr>
          <w:spacing w:val="39"/>
        </w:rPr>
        <w:t> </w:t>
      </w:r>
      <w:r>
        <w:rPr/>
        <w:t>назначена</w:t>
      </w:r>
      <w:r>
        <w:rPr>
          <w:spacing w:val="40"/>
        </w:rPr>
        <w:t> </w:t>
      </w:r>
      <w:r>
        <w:rPr/>
        <w:t>при</w:t>
      </w:r>
      <w:r>
        <w:rPr>
          <w:spacing w:val="40"/>
        </w:rPr>
        <w:t> </w:t>
      </w:r>
      <w:r>
        <w:rPr/>
        <w:t>снижении</w:t>
      </w:r>
      <w:r>
        <w:rPr>
          <w:spacing w:val="40"/>
        </w:rPr>
        <w:t> </w:t>
      </w:r>
      <w:r>
        <w:rPr/>
        <w:t>концентрации</w:t>
      </w:r>
      <w:r>
        <w:rPr>
          <w:spacing w:val="40"/>
        </w:rPr>
        <w:t> </w:t>
      </w:r>
      <w:r>
        <w:rPr/>
        <w:t>Hb</w:t>
      </w:r>
      <w:r>
        <w:rPr>
          <w:spacing w:val="38"/>
        </w:rPr>
        <w:t> </w:t>
      </w:r>
      <w:r>
        <w:rPr/>
        <w:t>менее 70 г/л.</w:t>
      </w:r>
    </w:p>
    <w:p>
      <w:pPr>
        <w:pStyle w:val="Heading3"/>
        <w:numPr>
          <w:ilvl w:val="2"/>
          <w:numId w:val="5"/>
        </w:numPr>
        <w:tabs>
          <w:tab w:pos="3147" w:val="left" w:leader="none"/>
        </w:tabs>
        <w:spacing w:line="240" w:lineRule="auto" w:before="235" w:after="0"/>
        <w:ind w:left="3147" w:right="0" w:hanging="598"/>
        <w:jc w:val="both"/>
      </w:pPr>
      <w:r>
        <w:rPr>
          <w:color w:val="1F487C"/>
          <w:spacing w:val="-2"/>
        </w:rPr>
        <w:t>Экстракорпоральная</w:t>
      </w:r>
      <w:r>
        <w:rPr>
          <w:color w:val="1F487C"/>
          <w:spacing w:val="2"/>
        </w:rPr>
        <w:t> </w:t>
      </w:r>
      <w:r>
        <w:rPr>
          <w:color w:val="1F487C"/>
          <w:spacing w:val="-2"/>
        </w:rPr>
        <w:t>детоксикация</w:t>
      </w:r>
      <w:r>
        <w:rPr>
          <w:color w:val="1F487C"/>
          <w:spacing w:val="2"/>
        </w:rPr>
        <w:t> </w:t>
      </w:r>
      <w:r>
        <w:rPr>
          <w:color w:val="1F487C"/>
          <w:spacing w:val="-2"/>
        </w:rPr>
        <w:t>и</w:t>
      </w:r>
      <w:r>
        <w:rPr>
          <w:color w:val="1F487C"/>
          <w:spacing w:val="2"/>
        </w:rPr>
        <w:t> </w:t>
      </w:r>
      <w:r>
        <w:rPr>
          <w:color w:val="1F487C"/>
          <w:spacing w:val="-2"/>
        </w:rPr>
        <w:t>гемокоррекция</w:t>
      </w:r>
    </w:p>
    <w:p>
      <w:pPr>
        <w:pStyle w:val="BodyText"/>
        <w:spacing w:line="276" w:lineRule="auto" w:before="163"/>
        <w:ind w:right="1272" w:firstLine="707"/>
      </w:pPr>
      <w:r>
        <w:rPr/>
        <w:t>У</w:t>
      </w:r>
      <w:r>
        <w:rPr>
          <w:spacing w:val="80"/>
        </w:rPr>
        <w:t>   </w:t>
      </w:r>
      <w:r>
        <w:rPr/>
        <w:t>пациентов</w:t>
      </w:r>
      <w:r>
        <w:rPr>
          <w:spacing w:val="80"/>
        </w:rPr>
        <w:t>   </w:t>
      </w:r>
      <w:r>
        <w:rPr/>
        <w:t>с</w:t>
      </w:r>
      <w:r>
        <w:rPr>
          <w:spacing w:val="80"/>
        </w:rPr>
        <w:t>   </w:t>
      </w:r>
      <w:r>
        <w:rPr/>
        <w:t>тяжелым</w:t>
      </w:r>
      <w:r>
        <w:rPr>
          <w:spacing w:val="80"/>
        </w:rPr>
        <w:t>   </w:t>
      </w:r>
      <w:r>
        <w:rPr/>
        <w:t>течением</w:t>
      </w:r>
      <w:r>
        <w:rPr>
          <w:spacing w:val="80"/>
        </w:rPr>
        <w:t>   </w:t>
      </w:r>
      <w:r>
        <w:rPr/>
        <w:t>COVID-19</w:t>
      </w:r>
      <w:r>
        <w:rPr>
          <w:spacing w:val="80"/>
        </w:rPr>
        <w:t>   </w:t>
      </w:r>
      <w:r>
        <w:rPr/>
        <w:t>показанием к экстракорпоральному лечению является прогрессирующая дыхательная недостаточность и/или полиорганная недостаточность.</w:t>
      </w:r>
    </w:p>
    <w:p>
      <w:pPr>
        <w:pStyle w:val="BodyText"/>
        <w:spacing w:line="273" w:lineRule="exact"/>
        <w:ind w:left="2549"/>
      </w:pPr>
      <w:r>
        <w:rPr>
          <w:spacing w:val="-2"/>
        </w:rPr>
        <w:t>Рекомендуется</w:t>
      </w:r>
      <w:r>
        <w:rPr>
          <w:spacing w:val="2"/>
        </w:rPr>
        <w:t> </w:t>
      </w:r>
      <w:r>
        <w:rPr>
          <w:spacing w:val="-2"/>
        </w:rPr>
        <w:t>рассмотреть</w:t>
      </w:r>
      <w:r>
        <w:rPr>
          <w:spacing w:val="5"/>
        </w:rPr>
        <w:t> </w:t>
      </w:r>
      <w:r>
        <w:rPr>
          <w:spacing w:val="-2"/>
        </w:rPr>
        <w:t>возможность</w:t>
      </w:r>
      <w:r>
        <w:rPr>
          <w:spacing w:val="5"/>
        </w:rPr>
        <w:t> </w:t>
      </w:r>
      <w:r>
        <w:rPr>
          <w:spacing w:val="-2"/>
        </w:rPr>
        <w:t>применения:</w:t>
      </w:r>
    </w:p>
    <w:p>
      <w:pPr>
        <w:pStyle w:val="BodyText"/>
        <w:spacing w:after="0" w:line="273" w:lineRule="exact"/>
        <w:sectPr>
          <w:pgSz w:w="11900" w:h="16840"/>
          <w:pgMar w:header="0" w:footer="697" w:top="1080" w:bottom="880" w:left="0" w:right="0"/>
        </w:sectPr>
      </w:pPr>
    </w:p>
    <w:p>
      <w:pPr>
        <w:pStyle w:val="ListParagraph"/>
        <w:numPr>
          <w:ilvl w:val="0"/>
          <w:numId w:val="40"/>
        </w:numPr>
        <w:tabs>
          <w:tab w:pos="2561" w:val="left" w:leader="none"/>
        </w:tabs>
        <w:spacing w:line="273" w:lineRule="auto" w:before="75" w:after="0"/>
        <w:ind w:left="2561" w:right="1272" w:hanging="360"/>
        <w:jc w:val="both"/>
        <w:rPr>
          <w:sz w:val="24"/>
        </w:rPr>
      </w:pPr>
      <w:bookmarkStart w:name="87" w:id="103"/>
      <w:bookmarkEnd w:id="103"/>
      <w:r>
        <w:rPr/>
      </w:r>
      <w:r>
        <w:rPr>
          <w:sz w:val="24"/>
        </w:rPr>
        <w:t>Селективной</w:t>
      </w:r>
      <w:r>
        <w:rPr>
          <w:spacing w:val="40"/>
          <w:sz w:val="24"/>
        </w:rPr>
        <w:t> </w:t>
      </w:r>
      <w:r>
        <w:rPr>
          <w:sz w:val="24"/>
        </w:rPr>
        <w:t>гемосорбции</w:t>
      </w:r>
      <w:r>
        <w:rPr>
          <w:spacing w:val="40"/>
          <w:sz w:val="24"/>
        </w:rPr>
        <w:t> </w:t>
      </w:r>
      <w:r>
        <w:rPr>
          <w:sz w:val="24"/>
        </w:rPr>
        <w:t>цитокинов</w:t>
      </w:r>
      <w:r>
        <w:rPr>
          <w:spacing w:val="40"/>
          <w:sz w:val="24"/>
        </w:rPr>
        <w:t> </w:t>
      </w:r>
      <w:r>
        <w:rPr>
          <w:sz w:val="24"/>
        </w:rPr>
        <w:t>–</w:t>
      </w:r>
      <w:r>
        <w:rPr>
          <w:spacing w:val="40"/>
          <w:sz w:val="24"/>
        </w:rPr>
        <w:t> </w:t>
      </w:r>
      <w:r>
        <w:rPr>
          <w:sz w:val="24"/>
        </w:rPr>
        <w:t>при</w:t>
      </w:r>
      <w:r>
        <w:rPr>
          <w:spacing w:val="40"/>
          <w:sz w:val="24"/>
        </w:rPr>
        <w:t> </w:t>
      </w:r>
      <w:r>
        <w:rPr>
          <w:sz w:val="24"/>
        </w:rPr>
        <w:t>тяжелом</w:t>
      </w:r>
      <w:r>
        <w:rPr>
          <w:spacing w:val="40"/>
          <w:sz w:val="24"/>
        </w:rPr>
        <w:t> </w:t>
      </w:r>
      <w:r>
        <w:rPr>
          <w:sz w:val="24"/>
        </w:rPr>
        <w:t>течении</w:t>
      </w:r>
      <w:r>
        <w:rPr>
          <w:spacing w:val="40"/>
          <w:sz w:val="24"/>
        </w:rPr>
        <w:t> </w:t>
      </w:r>
      <w:r>
        <w:rPr>
          <w:sz w:val="24"/>
        </w:rPr>
        <w:t>заболевания</w:t>
      </w:r>
      <w:r>
        <w:rPr>
          <w:spacing w:val="40"/>
          <w:sz w:val="24"/>
        </w:rPr>
        <w:t> </w:t>
      </w:r>
      <w:r>
        <w:rPr>
          <w:sz w:val="24"/>
        </w:rPr>
        <w:t>и</w:t>
      </w:r>
      <w:r>
        <w:rPr>
          <w:spacing w:val="-11"/>
          <w:sz w:val="24"/>
        </w:rPr>
        <w:t> </w:t>
      </w:r>
      <w:r>
        <w:rPr>
          <w:sz w:val="24"/>
        </w:rPr>
        <w:t>прогрессирующей</w:t>
      </w:r>
      <w:r>
        <w:rPr>
          <w:spacing w:val="-15"/>
          <w:sz w:val="24"/>
        </w:rPr>
        <w:t> </w:t>
      </w:r>
      <w:r>
        <w:rPr>
          <w:sz w:val="24"/>
        </w:rPr>
        <w:t>дыхательной</w:t>
      </w:r>
      <w:r>
        <w:rPr>
          <w:spacing w:val="-15"/>
          <w:sz w:val="24"/>
        </w:rPr>
        <w:t> </w:t>
      </w:r>
      <w:r>
        <w:rPr>
          <w:sz w:val="24"/>
        </w:rPr>
        <w:t>недостаточности</w:t>
      </w:r>
      <w:r>
        <w:rPr>
          <w:spacing w:val="-15"/>
          <w:sz w:val="24"/>
        </w:rPr>
        <w:t> </w:t>
      </w:r>
      <w:r>
        <w:rPr>
          <w:sz w:val="24"/>
        </w:rPr>
        <w:t>вследствие</w:t>
      </w:r>
      <w:r>
        <w:rPr>
          <w:spacing w:val="-15"/>
          <w:sz w:val="24"/>
        </w:rPr>
        <w:t> </w:t>
      </w:r>
      <w:r>
        <w:rPr>
          <w:sz w:val="24"/>
        </w:rPr>
        <w:t>не</w:t>
      </w:r>
      <w:r>
        <w:rPr>
          <w:spacing w:val="-15"/>
          <w:sz w:val="24"/>
        </w:rPr>
        <w:t> </w:t>
      </w:r>
      <w:r>
        <w:rPr>
          <w:sz w:val="24"/>
        </w:rPr>
        <w:t>купируемого медикаментозными средствами цитокинового шторма;</w:t>
      </w:r>
    </w:p>
    <w:p>
      <w:pPr>
        <w:pStyle w:val="ListParagraph"/>
        <w:numPr>
          <w:ilvl w:val="0"/>
          <w:numId w:val="40"/>
        </w:numPr>
        <w:tabs>
          <w:tab w:pos="2561" w:val="left" w:leader="none"/>
        </w:tabs>
        <w:spacing w:line="273" w:lineRule="auto" w:before="4" w:after="0"/>
        <w:ind w:left="2561" w:right="1272" w:hanging="360"/>
        <w:jc w:val="both"/>
        <w:rPr>
          <w:sz w:val="24"/>
        </w:rPr>
      </w:pPr>
      <w:r>
        <w:rPr>
          <w:sz w:val="24"/>
        </w:rPr>
        <w:t>Заместительной почечной терапии с использованием мембран с повышенной адсорбционной способностью и высокой точкой отсечки – для купирования цитокинового шторма и лечения острого почечного повреждения;</w:t>
      </w:r>
    </w:p>
    <w:p>
      <w:pPr>
        <w:pStyle w:val="ListParagraph"/>
        <w:numPr>
          <w:ilvl w:val="0"/>
          <w:numId w:val="40"/>
        </w:numPr>
        <w:tabs>
          <w:tab w:pos="2561" w:val="left" w:leader="none"/>
        </w:tabs>
        <w:spacing w:line="273" w:lineRule="auto" w:before="4" w:after="0"/>
        <w:ind w:left="2561" w:right="1280" w:hanging="360"/>
        <w:jc w:val="both"/>
        <w:rPr>
          <w:sz w:val="24"/>
        </w:rPr>
      </w:pPr>
      <w:r>
        <w:rPr>
          <w:sz w:val="24"/>
        </w:rPr>
        <w:t>Плазмообмена с замещением свежезамороженной донорской плазмой (СЗП) или</w:t>
      </w:r>
      <w:r>
        <w:rPr>
          <w:spacing w:val="-12"/>
          <w:sz w:val="24"/>
        </w:rPr>
        <w:t> </w:t>
      </w:r>
      <w:r>
        <w:rPr>
          <w:sz w:val="24"/>
        </w:rPr>
        <w:t>селективной</w:t>
      </w:r>
      <w:r>
        <w:rPr>
          <w:spacing w:val="-12"/>
          <w:sz w:val="24"/>
        </w:rPr>
        <w:t> </w:t>
      </w:r>
      <w:r>
        <w:rPr>
          <w:sz w:val="24"/>
        </w:rPr>
        <w:t>плазмофильтрации</w:t>
      </w:r>
      <w:r>
        <w:rPr>
          <w:spacing w:val="-12"/>
          <w:sz w:val="24"/>
        </w:rPr>
        <w:t> </w:t>
      </w:r>
      <w:r>
        <w:rPr>
          <w:sz w:val="24"/>
        </w:rPr>
        <w:t>при</w:t>
      </w:r>
      <w:r>
        <w:rPr>
          <w:spacing w:val="-12"/>
          <w:sz w:val="24"/>
        </w:rPr>
        <w:t> </w:t>
      </w:r>
      <w:r>
        <w:rPr>
          <w:sz w:val="24"/>
        </w:rPr>
        <w:t>отсутствии</w:t>
      </w:r>
      <w:r>
        <w:rPr>
          <w:spacing w:val="-12"/>
          <w:sz w:val="24"/>
        </w:rPr>
        <w:t> </w:t>
      </w:r>
      <w:r>
        <w:rPr>
          <w:sz w:val="24"/>
        </w:rPr>
        <w:t>достаточного</w:t>
      </w:r>
      <w:r>
        <w:rPr>
          <w:spacing w:val="-13"/>
          <w:sz w:val="24"/>
        </w:rPr>
        <w:t> </w:t>
      </w:r>
      <w:r>
        <w:rPr>
          <w:sz w:val="24"/>
        </w:rPr>
        <w:t>объема</w:t>
      </w:r>
      <w:r>
        <w:rPr>
          <w:spacing w:val="-13"/>
          <w:sz w:val="24"/>
        </w:rPr>
        <w:t> </w:t>
      </w:r>
      <w:r>
        <w:rPr>
          <w:sz w:val="24"/>
        </w:rPr>
        <w:t>СЗП –– при наличии признаков синдрома активации макрофагов, ДВС синдрома, тромботической микроангиопатии.</w:t>
      </w:r>
    </w:p>
    <w:p>
      <w:pPr>
        <w:pStyle w:val="BodyText"/>
        <w:spacing w:line="276" w:lineRule="auto" w:before="19"/>
        <w:ind w:right="1272" w:firstLine="707"/>
      </w:pPr>
      <w:r>
        <w:rPr/>
        <w:t>При плазмообмене наряду с СЗП от обычных доноров рекомендуется рассмотреть</w:t>
      </w:r>
      <w:r>
        <w:rPr>
          <w:spacing w:val="80"/>
        </w:rPr>
        <w:t> </w:t>
      </w:r>
      <w:r>
        <w:rPr/>
        <w:t>применение</w:t>
      </w:r>
      <w:r>
        <w:rPr>
          <w:spacing w:val="80"/>
        </w:rPr>
        <w:t> </w:t>
      </w:r>
      <w:r>
        <w:rPr/>
        <w:t>СЗП</w:t>
      </w:r>
      <w:r>
        <w:rPr>
          <w:spacing w:val="80"/>
        </w:rPr>
        <w:t> </w:t>
      </w:r>
      <w:r>
        <w:rPr/>
        <w:t>от</w:t>
      </w:r>
      <w:r>
        <w:rPr>
          <w:spacing w:val="80"/>
        </w:rPr>
        <w:t> </w:t>
      </w:r>
      <w:r>
        <w:rPr/>
        <w:t>доноров-реконвалесцентов</w:t>
      </w:r>
      <w:r>
        <w:rPr>
          <w:spacing w:val="80"/>
        </w:rPr>
        <w:t> </w:t>
      </w:r>
      <w:r>
        <w:rPr/>
        <w:t>COVID-19</w:t>
      </w:r>
      <w:r>
        <w:rPr>
          <w:spacing w:val="80"/>
        </w:rPr>
        <w:t> </w:t>
      </w:r>
      <w:r>
        <w:rPr/>
        <w:t>в</w:t>
      </w:r>
      <w:r>
        <w:rPr>
          <w:spacing w:val="80"/>
        </w:rPr>
        <w:t> </w:t>
      </w:r>
      <w:r>
        <w:rPr/>
        <w:t>дозе, не превышающей 20 мл/кг в сутки.</w:t>
      </w:r>
    </w:p>
    <w:p>
      <w:pPr>
        <w:pStyle w:val="BodyText"/>
        <w:spacing w:line="276" w:lineRule="auto"/>
        <w:ind w:right="1274" w:firstLine="707"/>
      </w:pPr>
      <w:r>
        <w:rPr/>
        <w:t>При</w:t>
      </w:r>
      <w:r>
        <w:rPr>
          <w:spacing w:val="80"/>
          <w:w w:val="150"/>
        </w:rPr>
        <w:t> </w:t>
      </w:r>
      <w:r>
        <w:rPr/>
        <w:t>осложнении</w:t>
      </w:r>
      <w:r>
        <w:rPr>
          <w:spacing w:val="80"/>
          <w:w w:val="150"/>
        </w:rPr>
        <w:t> </w:t>
      </w:r>
      <w:r>
        <w:rPr/>
        <w:t>течения</w:t>
      </w:r>
      <w:r>
        <w:rPr>
          <w:spacing w:val="80"/>
          <w:w w:val="150"/>
        </w:rPr>
        <w:t> </w:t>
      </w:r>
      <w:r>
        <w:rPr/>
        <w:t>COVID-19</w:t>
      </w:r>
      <w:r>
        <w:rPr>
          <w:spacing w:val="80"/>
          <w:w w:val="150"/>
        </w:rPr>
        <w:t> </w:t>
      </w:r>
      <w:r>
        <w:rPr/>
        <w:t>клиникой</w:t>
      </w:r>
      <w:r>
        <w:rPr>
          <w:spacing w:val="80"/>
          <w:w w:val="150"/>
        </w:rPr>
        <w:t> </w:t>
      </w:r>
      <w:r>
        <w:rPr/>
        <w:t>бактериального</w:t>
      </w:r>
      <w:r>
        <w:rPr>
          <w:spacing w:val="80"/>
          <w:w w:val="150"/>
        </w:rPr>
        <w:t> </w:t>
      </w:r>
      <w:r>
        <w:rPr/>
        <w:t>сепсиса и септического шока рекомендуется рассмотреть применение селективной гемосорбции липополисахаридов; заместительная почечная терапия при этом проводится по общепринятым показаниям и методикам.</w:t>
      </w:r>
    </w:p>
    <w:p>
      <w:pPr>
        <w:pStyle w:val="Heading3"/>
        <w:numPr>
          <w:ilvl w:val="2"/>
          <w:numId w:val="5"/>
        </w:numPr>
        <w:tabs>
          <w:tab w:pos="3147" w:val="left" w:leader="none"/>
        </w:tabs>
        <w:spacing w:line="240" w:lineRule="auto" w:before="237" w:after="0"/>
        <w:ind w:left="3147" w:right="0" w:hanging="598"/>
        <w:jc w:val="left"/>
      </w:pPr>
      <w:r>
        <w:rPr>
          <w:color w:val="1F487C"/>
          <w:spacing w:val="-2"/>
        </w:rPr>
        <w:t>Нутриционная</w:t>
      </w:r>
      <w:r>
        <w:rPr>
          <w:color w:val="1F487C"/>
        </w:rPr>
        <w:t> </w:t>
      </w:r>
      <w:r>
        <w:rPr>
          <w:color w:val="1F487C"/>
          <w:spacing w:val="-2"/>
        </w:rPr>
        <w:t>поддержка</w:t>
      </w:r>
    </w:p>
    <w:p>
      <w:pPr>
        <w:pStyle w:val="BodyText"/>
        <w:spacing w:line="276" w:lineRule="auto" w:before="163"/>
        <w:ind w:right="1271" w:firstLine="707"/>
      </w:pPr>
      <w:r>
        <w:rPr/>
        <w:t>Раннее</w:t>
      </w:r>
      <w:r>
        <w:rPr>
          <w:spacing w:val="-8"/>
        </w:rPr>
        <w:t> </w:t>
      </w:r>
      <w:r>
        <w:rPr/>
        <w:t>энтеральное</w:t>
      </w:r>
      <w:r>
        <w:rPr>
          <w:spacing w:val="-8"/>
        </w:rPr>
        <w:t> </w:t>
      </w:r>
      <w:r>
        <w:rPr/>
        <w:t>питание</w:t>
      </w:r>
      <w:r>
        <w:rPr>
          <w:spacing w:val="-8"/>
        </w:rPr>
        <w:t> </w:t>
      </w:r>
      <w:r>
        <w:rPr/>
        <w:t>(ЭП)</w:t>
      </w:r>
      <w:r>
        <w:rPr>
          <w:spacing w:val="-8"/>
        </w:rPr>
        <w:t> </w:t>
      </w:r>
      <w:r>
        <w:rPr/>
        <w:t>рекомендуется</w:t>
      </w:r>
      <w:r>
        <w:rPr>
          <w:spacing w:val="-7"/>
        </w:rPr>
        <w:t> </w:t>
      </w:r>
      <w:r>
        <w:rPr/>
        <w:t>всем</w:t>
      </w:r>
      <w:r>
        <w:rPr>
          <w:spacing w:val="-8"/>
        </w:rPr>
        <w:t> </w:t>
      </w:r>
      <w:r>
        <w:rPr/>
        <w:t>пациентам</w:t>
      </w:r>
      <w:r>
        <w:rPr>
          <w:spacing w:val="-8"/>
        </w:rPr>
        <w:t> </w:t>
      </w:r>
      <w:r>
        <w:rPr/>
        <w:t>с</w:t>
      </w:r>
      <w:r>
        <w:rPr>
          <w:spacing w:val="-8"/>
        </w:rPr>
        <w:t> </w:t>
      </w:r>
      <w:r>
        <w:rPr/>
        <w:t>COVID-19, неспособным самостоятельно принимать пищу. Необходимо стремиться удовлетворить суточные потребности в энергии (25-30 ккал/кг)</w:t>
      </w:r>
      <w:r>
        <w:rPr>
          <w:spacing w:val="-1"/>
        </w:rPr>
        <w:t> </w:t>
      </w:r>
      <w:r>
        <w:rPr/>
        <w:t>и белке (1,2-1,5 г/кг). При высоком риске аспирации или непереносимости ЭП следует проводить парентеральное питание.</w:t>
      </w:r>
    </w:p>
    <w:p>
      <w:pPr>
        <w:pStyle w:val="BodyText"/>
        <w:spacing w:line="276" w:lineRule="auto"/>
        <w:ind w:right="1278" w:firstLine="707"/>
      </w:pPr>
      <w:r>
        <w:rPr/>
        <w:t>Постпилорический доступ для ЭП рекомендуется использовать в случаях непереносимости желудочного кормления или при наличии высокого риска </w:t>
      </w:r>
      <w:r>
        <w:rPr>
          <w:spacing w:val="-2"/>
        </w:rPr>
        <w:t>аспирации.</w:t>
      </w:r>
    </w:p>
    <w:p>
      <w:pPr>
        <w:pStyle w:val="BodyText"/>
        <w:spacing w:line="276" w:lineRule="auto"/>
        <w:ind w:right="1271" w:firstLine="707"/>
      </w:pPr>
      <w:r>
        <w:rPr/>
        <w:t>При проведении ЭП в прон-позиции необходимо приподнимать на 10–25° головной конец кровати, с тем чтобы уменьшить риск аспирации желудочного содержимого, отека лица и внутрибрюшной гипертензии.</w:t>
      </w:r>
    </w:p>
    <w:p>
      <w:pPr>
        <w:pStyle w:val="BodyText"/>
        <w:spacing w:line="276" w:lineRule="auto"/>
        <w:ind w:right="1272" w:firstLine="707"/>
      </w:pPr>
      <w:r>
        <w:rPr/>
        <w:t>Нутриционную</w:t>
      </w:r>
      <w:r>
        <w:rPr>
          <w:spacing w:val="-15"/>
        </w:rPr>
        <w:t> </w:t>
      </w:r>
      <w:r>
        <w:rPr/>
        <w:t>поддержку</w:t>
      </w:r>
      <w:r>
        <w:rPr>
          <w:spacing w:val="-15"/>
        </w:rPr>
        <w:t> </w:t>
      </w:r>
      <w:r>
        <w:rPr/>
        <w:t>следует</w:t>
      </w:r>
      <w:r>
        <w:rPr>
          <w:spacing w:val="-14"/>
        </w:rPr>
        <w:t> </w:t>
      </w:r>
      <w:r>
        <w:rPr/>
        <w:t>отложить</w:t>
      </w:r>
      <w:r>
        <w:rPr>
          <w:spacing w:val="-14"/>
        </w:rPr>
        <w:t> </w:t>
      </w:r>
      <w:r>
        <w:rPr/>
        <w:t>при</w:t>
      </w:r>
      <w:r>
        <w:rPr>
          <w:spacing w:val="-14"/>
        </w:rPr>
        <w:t> </w:t>
      </w:r>
      <w:r>
        <w:rPr/>
        <w:t>рефрактерном</w:t>
      </w:r>
      <w:r>
        <w:rPr>
          <w:spacing w:val="-15"/>
        </w:rPr>
        <w:t> </w:t>
      </w:r>
      <w:r>
        <w:rPr/>
        <w:t>шоке,</w:t>
      </w:r>
      <w:r>
        <w:rPr>
          <w:spacing w:val="-15"/>
        </w:rPr>
        <w:t> </w:t>
      </w:r>
      <w:r>
        <w:rPr/>
        <w:t>в</w:t>
      </w:r>
      <w:r>
        <w:rPr>
          <w:spacing w:val="-15"/>
        </w:rPr>
        <w:t> </w:t>
      </w:r>
      <w:r>
        <w:rPr/>
        <w:t>случае неконтролируемой</w:t>
      </w:r>
      <w:r>
        <w:rPr>
          <w:spacing w:val="40"/>
        </w:rPr>
        <w:t> </w:t>
      </w:r>
      <w:r>
        <w:rPr/>
        <w:t>угрожающей</w:t>
      </w:r>
      <w:r>
        <w:rPr>
          <w:spacing w:val="40"/>
        </w:rPr>
        <w:t> </w:t>
      </w:r>
      <w:r>
        <w:rPr/>
        <w:t>жизни</w:t>
      </w:r>
      <w:r>
        <w:rPr>
          <w:spacing w:val="40"/>
        </w:rPr>
        <w:t> </w:t>
      </w:r>
      <w:r>
        <w:rPr/>
        <w:t>гипоксемии,</w:t>
      </w:r>
      <w:r>
        <w:rPr>
          <w:spacing w:val="40"/>
        </w:rPr>
        <w:t> </w:t>
      </w:r>
      <w:r>
        <w:rPr/>
        <w:t>гиперкапнии</w:t>
      </w:r>
      <w:r>
        <w:rPr>
          <w:spacing w:val="40"/>
        </w:rPr>
        <w:t> </w:t>
      </w:r>
      <w:r>
        <w:rPr/>
        <w:t>или</w:t>
      </w:r>
      <w:r>
        <w:rPr>
          <w:spacing w:val="40"/>
        </w:rPr>
        <w:t> </w:t>
      </w:r>
      <w:r>
        <w:rPr/>
        <w:t>ацидоза. При</w:t>
      </w:r>
      <w:r>
        <w:rPr>
          <w:spacing w:val="-2"/>
        </w:rPr>
        <w:t> </w:t>
      </w:r>
      <w:r>
        <w:rPr/>
        <w:t>купировании</w:t>
      </w:r>
      <w:r>
        <w:rPr>
          <w:spacing w:val="66"/>
        </w:rPr>
        <w:t> </w:t>
      </w:r>
      <w:r>
        <w:rPr/>
        <w:t>шока</w:t>
      </w:r>
      <w:r>
        <w:rPr>
          <w:spacing w:val="40"/>
        </w:rPr>
        <w:t> </w:t>
      </w:r>
      <w:r>
        <w:rPr/>
        <w:t>переход</w:t>
      </w:r>
      <w:r>
        <w:rPr>
          <w:spacing w:val="65"/>
        </w:rPr>
        <w:t> </w:t>
      </w:r>
      <w:r>
        <w:rPr/>
        <w:t>к</w:t>
      </w:r>
      <w:r>
        <w:rPr>
          <w:spacing w:val="66"/>
        </w:rPr>
        <w:t> </w:t>
      </w:r>
      <w:r>
        <w:rPr/>
        <w:t>полному</w:t>
      </w:r>
      <w:r>
        <w:rPr>
          <w:spacing w:val="65"/>
        </w:rPr>
        <w:t> </w:t>
      </w:r>
      <w:r>
        <w:rPr/>
        <w:t>обеспечению</w:t>
      </w:r>
      <w:r>
        <w:rPr>
          <w:spacing w:val="65"/>
        </w:rPr>
        <w:t> </w:t>
      </w:r>
      <w:r>
        <w:rPr/>
        <w:t>потребности</w:t>
      </w:r>
      <w:r>
        <w:rPr>
          <w:spacing w:val="66"/>
        </w:rPr>
        <w:t> </w:t>
      </w:r>
      <w:r>
        <w:rPr/>
        <w:t>в</w:t>
      </w:r>
      <w:r>
        <w:rPr>
          <w:spacing w:val="40"/>
        </w:rPr>
        <w:t> </w:t>
      </w:r>
      <w:r>
        <w:rPr/>
        <w:t>энергии и</w:t>
      </w:r>
      <w:r>
        <w:rPr>
          <w:spacing w:val="79"/>
        </w:rPr>
        <w:t> </w:t>
      </w:r>
      <w:r>
        <w:rPr/>
        <w:t>белке</w:t>
      </w:r>
      <w:r>
        <w:rPr>
          <w:spacing w:val="78"/>
        </w:rPr>
        <w:t> </w:t>
      </w:r>
      <w:r>
        <w:rPr/>
        <w:t>необходимо</w:t>
      </w:r>
      <w:r>
        <w:rPr>
          <w:spacing w:val="77"/>
        </w:rPr>
        <w:t> </w:t>
      </w:r>
      <w:r>
        <w:rPr/>
        <w:t>осуществлять</w:t>
      </w:r>
      <w:r>
        <w:rPr>
          <w:spacing w:val="79"/>
        </w:rPr>
        <w:t> </w:t>
      </w:r>
      <w:r>
        <w:rPr/>
        <w:t>постепенно</w:t>
      </w:r>
      <w:r>
        <w:rPr>
          <w:spacing w:val="78"/>
        </w:rPr>
        <w:t> </w:t>
      </w:r>
      <w:r>
        <w:rPr/>
        <w:t>(в</w:t>
      </w:r>
      <w:r>
        <w:rPr>
          <w:spacing w:val="78"/>
        </w:rPr>
        <w:t> </w:t>
      </w:r>
      <w:r>
        <w:rPr/>
        <w:t>течение</w:t>
      </w:r>
      <w:r>
        <w:rPr>
          <w:spacing w:val="78"/>
        </w:rPr>
        <w:t> </w:t>
      </w:r>
      <w:r>
        <w:rPr/>
        <w:t>3-5</w:t>
      </w:r>
      <w:r>
        <w:rPr>
          <w:spacing w:val="78"/>
        </w:rPr>
        <w:t> </w:t>
      </w:r>
      <w:r>
        <w:rPr/>
        <w:t>суток),</w:t>
      </w:r>
      <w:r>
        <w:rPr>
          <w:spacing w:val="78"/>
        </w:rPr>
        <w:t> </w:t>
      </w:r>
      <w:r>
        <w:rPr/>
        <w:t>особенно у пожилых пациентов, нуждающихся в ИВЛ и/или получающих адреномиметики.</w:t>
      </w:r>
    </w:p>
    <w:p>
      <w:pPr>
        <w:pStyle w:val="BodyText"/>
        <w:spacing w:line="276" w:lineRule="auto"/>
        <w:ind w:right="1275" w:firstLine="707"/>
      </w:pPr>
      <w:r>
        <w:rPr/>
        <w:t>При проведении нутриционной поддержки рекомендуется проводить коррекцию</w:t>
      </w:r>
      <w:r>
        <w:rPr>
          <w:spacing w:val="80"/>
          <w:w w:val="150"/>
        </w:rPr>
        <w:t> </w:t>
      </w:r>
      <w:r>
        <w:rPr/>
        <w:t>гипергликемии</w:t>
      </w:r>
      <w:r>
        <w:rPr>
          <w:spacing w:val="80"/>
          <w:w w:val="150"/>
        </w:rPr>
        <w:t> </w:t>
      </w:r>
      <w:r>
        <w:rPr/>
        <w:t>инсулином</w:t>
      </w:r>
      <w:r>
        <w:rPr>
          <w:spacing w:val="80"/>
          <w:w w:val="150"/>
        </w:rPr>
        <w:t> </w:t>
      </w:r>
      <w:r>
        <w:rPr/>
        <w:t>при</w:t>
      </w:r>
      <w:r>
        <w:rPr>
          <w:spacing w:val="80"/>
          <w:w w:val="150"/>
        </w:rPr>
        <w:t> </w:t>
      </w:r>
      <w:r>
        <w:rPr/>
        <w:t>величинах</w:t>
      </w:r>
      <w:r>
        <w:rPr>
          <w:spacing w:val="80"/>
          <w:w w:val="150"/>
        </w:rPr>
        <w:t> </w:t>
      </w:r>
      <w:r>
        <w:rPr/>
        <w:t>глюкозы</w:t>
      </w:r>
      <w:r>
        <w:rPr>
          <w:spacing w:val="80"/>
          <w:w w:val="150"/>
        </w:rPr>
        <w:t> </w:t>
      </w:r>
      <w:r>
        <w:rPr/>
        <w:t>крови</w:t>
      </w:r>
      <w:r>
        <w:rPr>
          <w:spacing w:val="80"/>
          <w:w w:val="150"/>
        </w:rPr>
        <w:t> </w:t>
      </w:r>
      <w:r>
        <w:rPr/>
        <w:t>более 10 ммоль/л.</w:t>
      </w:r>
    </w:p>
    <w:p>
      <w:pPr>
        <w:pStyle w:val="BodyText"/>
        <w:spacing w:line="276" w:lineRule="auto"/>
        <w:ind w:right="1275" w:firstLine="707"/>
      </w:pPr>
      <w:r>
        <w:rPr/>
        <w:t>В целом анестезиолого-реанимационное обеспечение пациентов с новой коронавирусной</w:t>
      </w:r>
      <w:r>
        <w:rPr>
          <w:spacing w:val="80"/>
        </w:rPr>
        <w:t> </w:t>
      </w:r>
      <w:r>
        <w:rPr/>
        <w:t>инфекцией</w:t>
      </w:r>
      <w:r>
        <w:rPr>
          <w:spacing w:val="-2"/>
        </w:rPr>
        <w:t> </w:t>
      </w:r>
      <w:r>
        <w:rPr/>
        <w:t>COVID-19</w:t>
      </w:r>
      <w:r>
        <w:rPr>
          <w:spacing w:val="80"/>
        </w:rPr>
        <w:t> </w:t>
      </w:r>
      <w:r>
        <w:rPr/>
        <w:t>рекомендуется</w:t>
      </w:r>
      <w:r>
        <w:rPr>
          <w:spacing w:val="80"/>
        </w:rPr>
        <w:t> </w:t>
      </w:r>
      <w:r>
        <w:rPr/>
        <w:t>проводить</w:t>
      </w:r>
      <w:r>
        <w:rPr>
          <w:spacing w:val="80"/>
        </w:rPr>
        <w:t> </w:t>
      </w:r>
      <w:r>
        <w:rPr/>
        <w:t>в</w:t>
      </w:r>
      <w:r>
        <w:rPr>
          <w:spacing w:val="80"/>
        </w:rPr>
        <w:t> </w:t>
      </w:r>
      <w:r>
        <w:rPr/>
        <w:t>соответствии с</w:t>
      </w:r>
      <w:r>
        <w:rPr>
          <w:spacing w:val="-9"/>
        </w:rPr>
        <w:t> </w:t>
      </w:r>
      <w:r>
        <w:rPr>
          <w:color w:val="1F487C"/>
        </w:rPr>
        <w:t>Методическими</w:t>
      </w:r>
      <w:r>
        <w:rPr>
          <w:color w:val="1F487C"/>
          <w:spacing w:val="68"/>
          <w:w w:val="150"/>
        </w:rPr>
        <w:t> </w:t>
      </w:r>
      <w:r>
        <w:rPr>
          <w:color w:val="1F487C"/>
        </w:rPr>
        <w:t>рекомендациями</w:t>
      </w:r>
      <w:r>
        <w:rPr>
          <w:color w:val="1F487C"/>
          <w:spacing w:val="68"/>
          <w:w w:val="150"/>
        </w:rPr>
        <w:t> </w:t>
      </w:r>
      <w:r>
        <w:rPr>
          <w:color w:val="1F487C"/>
        </w:rPr>
        <w:t>Общероссийской</w:t>
      </w:r>
      <w:r>
        <w:rPr>
          <w:color w:val="1F487C"/>
          <w:spacing w:val="67"/>
          <w:w w:val="150"/>
        </w:rPr>
        <w:t> </w:t>
      </w:r>
      <w:r>
        <w:rPr>
          <w:color w:val="1F487C"/>
        </w:rPr>
        <w:t>общественной</w:t>
      </w:r>
      <w:r>
        <w:rPr>
          <w:color w:val="1F487C"/>
          <w:spacing w:val="68"/>
          <w:w w:val="150"/>
        </w:rPr>
        <w:t> </w:t>
      </w:r>
      <w:r>
        <w:rPr>
          <w:color w:val="1F487C"/>
          <w:spacing w:val="-2"/>
        </w:rPr>
        <w:t>организации</w:t>
      </w:r>
    </w:p>
    <w:p>
      <w:pPr>
        <w:pStyle w:val="BodyText"/>
        <w:spacing w:line="276" w:lineRule="auto"/>
        <w:ind w:right="1272"/>
        <w:jc w:val="left"/>
      </w:pPr>
      <w:r>
        <w:rPr>
          <w:color w:val="1F487C"/>
        </w:rPr>
        <w:t>«Федерация</w:t>
      </w:r>
      <w:r>
        <w:rPr>
          <w:color w:val="1F487C"/>
          <w:spacing w:val="80"/>
        </w:rPr>
        <w:t> </w:t>
      </w:r>
      <w:r>
        <w:rPr>
          <w:color w:val="1F487C"/>
        </w:rPr>
        <w:t>анестезиологов</w:t>
      </w:r>
      <w:r>
        <w:rPr>
          <w:color w:val="1F487C"/>
          <w:spacing w:val="80"/>
        </w:rPr>
        <w:t> </w:t>
      </w:r>
      <w:r>
        <w:rPr>
          <w:color w:val="1F487C"/>
        </w:rPr>
        <w:t>и</w:t>
      </w:r>
      <w:r>
        <w:rPr>
          <w:color w:val="1F487C"/>
          <w:spacing w:val="80"/>
        </w:rPr>
        <w:t> </w:t>
      </w:r>
      <w:r>
        <w:rPr>
          <w:color w:val="1F487C"/>
        </w:rPr>
        <w:t>реаниматологов»</w:t>
      </w:r>
      <w:r>
        <w:rPr>
          <w:color w:val="1F487C"/>
          <w:spacing w:val="80"/>
        </w:rPr>
        <w:t> </w:t>
      </w:r>
      <w:r>
        <w:rPr>
          <w:color w:val="1F487C"/>
        </w:rPr>
        <w:t>(https://faronline.ru/api/static/cms- </w:t>
      </w:r>
      <w:r>
        <w:rPr>
          <w:color w:val="1F487C"/>
          <w:spacing w:val="-2"/>
        </w:rPr>
        <w:t>files/7e17aba2-57d5-40da-8553-f164ebe2f2dd/МР_ФАР_covid- 19_ver6_v07_for_website.pdf)</w:t>
      </w:r>
    </w:p>
    <w:p>
      <w:pPr>
        <w:pStyle w:val="BodyText"/>
        <w:spacing w:after="0" w:line="276" w:lineRule="auto"/>
        <w:jc w:val="left"/>
        <w:sectPr>
          <w:pgSz w:w="11900" w:h="16840"/>
          <w:pgMar w:header="0" w:footer="697" w:top="1080" w:bottom="880" w:left="0" w:right="0"/>
        </w:sectPr>
      </w:pPr>
    </w:p>
    <w:p>
      <w:pPr>
        <w:pStyle w:val="Heading1"/>
        <w:numPr>
          <w:ilvl w:val="1"/>
          <w:numId w:val="5"/>
        </w:numPr>
        <w:tabs>
          <w:tab w:pos="3039" w:val="left" w:leader="none"/>
        </w:tabs>
        <w:spacing w:line="240" w:lineRule="auto" w:before="74" w:after="0"/>
        <w:ind w:left="3039" w:right="0" w:hanging="490"/>
        <w:jc w:val="left"/>
        <w:rPr>
          <w:color w:val="1F487C"/>
        </w:rPr>
      </w:pPr>
      <w:bookmarkStart w:name="_TOC_250030" w:id="104"/>
      <w:bookmarkStart w:name="88" w:id="105"/>
      <w:r>
        <w:rPr>
          <w:b w:val="0"/>
        </w:rPr>
      </w:r>
      <w:r>
        <w:rPr>
          <w:color w:val="1F487C"/>
        </w:rPr>
        <w:t>ОСОБЫЕ</w:t>
      </w:r>
      <w:r>
        <w:rPr>
          <w:color w:val="1F487C"/>
          <w:spacing w:val="-7"/>
        </w:rPr>
        <w:t> </w:t>
      </w:r>
      <w:r>
        <w:rPr>
          <w:color w:val="1F487C"/>
        </w:rPr>
        <w:t>ГРУППЫ</w:t>
      </w:r>
      <w:r>
        <w:rPr>
          <w:color w:val="1F487C"/>
          <w:spacing w:val="-7"/>
        </w:rPr>
        <w:t> </w:t>
      </w:r>
      <w:bookmarkEnd w:id="104"/>
      <w:r>
        <w:rPr>
          <w:color w:val="1F487C"/>
          <w:spacing w:val="-2"/>
        </w:rPr>
        <w:t>ПАЦИЕНТОВ</w:t>
      </w:r>
    </w:p>
    <w:p>
      <w:pPr>
        <w:pStyle w:val="Heading3"/>
        <w:spacing w:before="166"/>
      </w:pPr>
      <w:r>
        <w:rPr>
          <w:color w:val="1F487C"/>
        </w:rPr>
        <w:t>Пациенты</w:t>
      </w:r>
      <w:r>
        <w:rPr>
          <w:color w:val="1F487C"/>
          <w:spacing w:val="-13"/>
        </w:rPr>
        <w:t> </w:t>
      </w:r>
      <w:r>
        <w:rPr>
          <w:color w:val="1F487C"/>
        </w:rPr>
        <w:t>с</w:t>
      </w:r>
      <w:r>
        <w:rPr>
          <w:color w:val="1F487C"/>
          <w:spacing w:val="-14"/>
        </w:rPr>
        <w:t> </w:t>
      </w:r>
      <w:r>
        <w:rPr>
          <w:color w:val="1F487C"/>
        </w:rPr>
        <w:t>артериальной</w:t>
      </w:r>
      <w:r>
        <w:rPr>
          <w:color w:val="1F487C"/>
          <w:spacing w:val="-12"/>
        </w:rPr>
        <w:t> </w:t>
      </w:r>
      <w:r>
        <w:rPr>
          <w:color w:val="1F487C"/>
          <w:spacing w:val="-2"/>
        </w:rPr>
        <w:t>гипертензией</w:t>
      </w:r>
    </w:p>
    <w:p>
      <w:pPr>
        <w:pStyle w:val="BodyText"/>
        <w:spacing w:line="276" w:lineRule="auto" w:before="163"/>
        <w:ind w:right="1274" w:firstLine="707"/>
      </w:pPr>
      <w:r>
        <w:rPr/>
        <w:t>В</w:t>
      </w:r>
      <w:r>
        <w:rPr>
          <w:spacing w:val="40"/>
        </w:rPr>
        <w:t> </w:t>
      </w:r>
      <w:r>
        <w:rPr/>
        <w:t>связи</w:t>
      </w:r>
      <w:r>
        <w:rPr>
          <w:spacing w:val="40"/>
        </w:rPr>
        <w:t> </w:t>
      </w:r>
      <w:r>
        <w:rPr/>
        <w:t>с</w:t>
      </w:r>
      <w:r>
        <w:rPr>
          <w:spacing w:val="40"/>
        </w:rPr>
        <w:t> </w:t>
      </w:r>
      <w:r>
        <w:rPr/>
        <w:t>тем,</w:t>
      </w:r>
      <w:r>
        <w:rPr>
          <w:spacing w:val="40"/>
        </w:rPr>
        <w:t> </w:t>
      </w:r>
      <w:r>
        <w:rPr/>
        <w:t>что</w:t>
      </w:r>
      <w:r>
        <w:rPr>
          <w:spacing w:val="40"/>
        </w:rPr>
        <w:t> </w:t>
      </w:r>
      <w:r>
        <w:rPr/>
        <w:t>АПФ2</w:t>
      </w:r>
      <w:r>
        <w:rPr>
          <w:spacing w:val="40"/>
        </w:rPr>
        <w:t> </w:t>
      </w:r>
      <w:r>
        <w:rPr/>
        <w:t>является</w:t>
      </w:r>
      <w:r>
        <w:rPr>
          <w:spacing w:val="40"/>
        </w:rPr>
        <w:t> </w:t>
      </w:r>
      <w:r>
        <w:rPr/>
        <w:t>функциональным</w:t>
      </w:r>
      <w:r>
        <w:rPr>
          <w:spacing w:val="40"/>
        </w:rPr>
        <w:t> </w:t>
      </w:r>
      <w:r>
        <w:rPr/>
        <w:t>рецептором</w:t>
      </w:r>
      <w:r>
        <w:rPr>
          <w:spacing w:val="40"/>
        </w:rPr>
        <w:t> </w:t>
      </w:r>
      <w:r>
        <w:rPr/>
        <w:t>для SARS-CoV-2,</w:t>
      </w:r>
      <w:r>
        <w:rPr>
          <w:spacing w:val="-15"/>
        </w:rPr>
        <w:t> </w:t>
      </w:r>
      <w:r>
        <w:rPr/>
        <w:t>было</w:t>
      </w:r>
      <w:r>
        <w:rPr>
          <w:spacing w:val="-15"/>
        </w:rPr>
        <w:t> </w:t>
      </w:r>
      <w:r>
        <w:rPr/>
        <w:t>высказано</w:t>
      </w:r>
      <w:r>
        <w:rPr>
          <w:spacing w:val="-15"/>
        </w:rPr>
        <w:t> </w:t>
      </w:r>
      <w:r>
        <w:rPr/>
        <w:t>предположение,</w:t>
      </w:r>
      <w:r>
        <w:rPr>
          <w:spacing w:val="-15"/>
        </w:rPr>
        <w:t> </w:t>
      </w:r>
      <w:r>
        <w:rPr/>
        <w:t>что</w:t>
      </w:r>
      <w:r>
        <w:rPr>
          <w:spacing w:val="-15"/>
        </w:rPr>
        <w:t> </w:t>
      </w:r>
      <w:r>
        <w:rPr/>
        <w:t>это</w:t>
      </w:r>
      <w:r>
        <w:rPr>
          <w:spacing w:val="-15"/>
        </w:rPr>
        <w:t> </w:t>
      </w:r>
      <w:r>
        <w:rPr/>
        <w:t>может</w:t>
      </w:r>
      <w:r>
        <w:rPr>
          <w:spacing w:val="-15"/>
        </w:rPr>
        <w:t> </w:t>
      </w:r>
      <w:r>
        <w:rPr/>
        <w:t>объяснять</w:t>
      </w:r>
      <w:r>
        <w:rPr>
          <w:spacing w:val="-14"/>
        </w:rPr>
        <w:t> </w:t>
      </w:r>
      <w:r>
        <w:rPr/>
        <w:t>высокий</w:t>
      </w:r>
      <w:r>
        <w:rPr>
          <w:spacing w:val="-14"/>
        </w:rPr>
        <w:t> </w:t>
      </w:r>
      <w:r>
        <w:rPr/>
        <w:t>риск летального исхода при COVID-19 у пациентов с артериальной гипертензией, получающих</w:t>
      </w:r>
      <w:r>
        <w:rPr>
          <w:spacing w:val="39"/>
        </w:rPr>
        <w:t> </w:t>
      </w:r>
      <w:r>
        <w:rPr/>
        <w:t>препараты</w:t>
      </w:r>
      <w:r>
        <w:rPr>
          <w:spacing w:val="39"/>
        </w:rPr>
        <w:t> </w:t>
      </w:r>
      <w:r>
        <w:rPr/>
        <w:t>из</w:t>
      </w:r>
      <w:r>
        <w:rPr>
          <w:spacing w:val="40"/>
        </w:rPr>
        <w:t> </w:t>
      </w:r>
      <w:r>
        <w:rPr/>
        <w:t>группы</w:t>
      </w:r>
      <w:r>
        <w:rPr>
          <w:spacing w:val="39"/>
        </w:rPr>
        <w:t> </w:t>
      </w:r>
      <w:r>
        <w:rPr/>
        <w:t>ингибиторов</w:t>
      </w:r>
      <w:r>
        <w:rPr>
          <w:spacing w:val="39"/>
        </w:rPr>
        <w:t> </w:t>
      </w:r>
      <w:r>
        <w:rPr/>
        <w:t>АПФ</w:t>
      </w:r>
      <w:r>
        <w:rPr>
          <w:spacing w:val="39"/>
        </w:rPr>
        <w:t> </w:t>
      </w:r>
      <w:r>
        <w:rPr/>
        <w:t>или</w:t>
      </w:r>
      <w:r>
        <w:rPr>
          <w:spacing w:val="40"/>
        </w:rPr>
        <w:t> </w:t>
      </w:r>
      <w:r>
        <w:rPr/>
        <w:t>блокаторов</w:t>
      </w:r>
      <w:r>
        <w:rPr>
          <w:spacing w:val="39"/>
        </w:rPr>
        <w:t> </w:t>
      </w:r>
      <w:r>
        <w:rPr/>
        <w:t>рецепторов к</w:t>
      </w:r>
      <w:r>
        <w:rPr>
          <w:spacing w:val="-3"/>
        </w:rPr>
        <w:t> </w:t>
      </w:r>
      <w:r>
        <w:rPr/>
        <w:t>ангиотензину. Эти опасения носили гипотетический характер и не получили практического подтверждения. Более того, имеются косвенные данные о возможном протективном действии этих препаратов при COVID-19. Экспертами Европейского общества</w:t>
      </w:r>
      <w:r>
        <w:rPr>
          <w:spacing w:val="-11"/>
        </w:rPr>
        <w:t> </w:t>
      </w:r>
      <w:r>
        <w:rPr/>
        <w:t>кардиологов</w:t>
      </w:r>
      <w:r>
        <w:rPr>
          <w:spacing w:val="-11"/>
        </w:rPr>
        <w:t> </w:t>
      </w:r>
      <w:r>
        <w:rPr/>
        <w:t>опубликовано</w:t>
      </w:r>
      <w:r>
        <w:rPr>
          <w:spacing w:val="-10"/>
        </w:rPr>
        <w:t> </w:t>
      </w:r>
      <w:r>
        <w:rPr/>
        <w:t>заявление</w:t>
      </w:r>
      <w:r>
        <w:rPr>
          <w:spacing w:val="-11"/>
        </w:rPr>
        <w:t> </w:t>
      </w:r>
      <w:r>
        <w:rPr/>
        <w:t>о</w:t>
      </w:r>
      <w:r>
        <w:rPr>
          <w:spacing w:val="-10"/>
        </w:rPr>
        <w:t> </w:t>
      </w:r>
      <w:r>
        <w:rPr/>
        <w:t>том,</w:t>
      </w:r>
      <w:r>
        <w:rPr>
          <w:spacing w:val="-10"/>
        </w:rPr>
        <w:t> </w:t>
      </w:r>
      <w:r>
        <w:rPr/>
        <w:t>что</w:t>
      </w:r>
      <w:r>
        <w:rPr>
          <w:spacing w:val="-10"/>
        </w:rPr>
        <w:t> </w:t>
      </w:r>
      <w:r>
        <w:rPr/>
        <w:t>данных</w:t>
      </w:r>
      <w:r>
        <w:rPr>
          <w:spacing w:val="-11"/>
        </w:rPr>
        <w:t> </w:t>
      </w:r>
      <w:r>
        <w:rPr/>
        <w:t>о</w:t>
      </w:r>
      <w:r>
        <w:rPr>
          <w:spacing w:val="-13"/>
        </w:rPr>
        <w:t> </w:t>
      </w:r>
      <w:r>
        <w:rPr/>
        <w:t>неблагоприятных эффектах этих препаратов на течение COVID-19 нет, их прием настоятельно рекомендуется продолжать.</w:t>
      </w:r>
    </w:p>
    <w:p>
      <w:pPr>
        <w:pStyle w:val="Heading3"/>
        <w:spacing w:before="117"/>
      </w:pPr>
      <w:r>
        <w:rPr>
          <w:color w:val="1F487C"/>
        </w:rPr>
        <w:t>Пациенты</w:t>
      </w:r>
      <w:r>
        <w:rPr>
          <w:color w:val="1F487C"/>
          <w:spacing w:val="-8"/>
        </w:rPr>
        <w:t> </w:t>
      </w:r>
      <w:r>
        <w:rPr>
          <w:color w:val="1F487C"/>
        </w:rPr>
        <w:t>с</w:t>
      </w:r>
      <w:r>
        <w:rPr>
          <w:color w:val="1F487C"/>
          <w:spacing w:val="-8"/>
        </w:rPr>
        <w:t> </w:t>
      </w:r>
      <w:r>
        <w:rPr>
          <w:color w:val="1F487C"/>
          <w:spacing w:val="-2"/>
        </w:rPr>
        <w:t>гиперлипидемией</w:t>
      </w:r>
    </w:p>
    <w:p>
      <w:pPr>
        <w:pStyle w:val="BodyText"/>
        <w:spacing w:line="276" w:lineRule="auto" w:before="160"/>
        <w:ind w:right="1274" w:firstLine="707"/>
      </w:pPr>
      <w:r>
        <w:rPr/>
        <w:t>Статины обладают иммуномодулирующим эффектом. При подтверждении COVID-19 прием статинов не прекращается. Если пациенты не принимали статины, то</w:t>
      </w:r>
      <w:r>
        <w:rPr>
          <w:spacing w:val="-15"/>
        </w:rPr>
        <w:t> </w:t>
      </w:r>
      <w:r>
        <w:rPr/>
        <w:t>рекомендовано</w:t>
      </w:r>
      <w:r>
        <w:rPr>
          <w:spacing w:val="-15"/>
        </w:rPr>
        <w:t> </w:t>
      </w:r>
      <w:r>
        <w:rPr/>
        <w:t>назначение</w:t>
      </w:r>
      <w:r>
        <w:rPr>
          <w:spacing w:val="-15"/>
        </w:rPr>
        <w:t> </w:t>
      </w:r>
      <w:r>
        <w:rPr/>
        <w:t>терапии</w:t>
      </w:r>
      <w:r>
        <w:rPr>
          <w:spacing w:val="-15"/>
        </w:rPr>
        <w:t> </w:t>
      </w:r>
      <w:r>
        <w:rPr/>
        <w:t>при</w:t>
      </w:r>
      <w:r>
        <w:rPr>
          <w:spacing w:val="-15"/>
        </w:rPr>
        <w:t> </w:t>
      </w:r>
      <w:r>
        <w:rPr/>
        <w:t>легком</w:t>
      </w:r>
      <w:r>
        <w:rPr>
          <w:spacing w:val="-15"/>
        </w:rPr>
        <w:t> </w:t>
      </w:r>
      <w:r>
        <w:rPr/>
        <w:t>и</w:t>
      </w:r>
      <w:r>
        <w:rPr>
          <w:spacing w:val="-15"/>
        </w:rPr>
        <w:t> </w:t>
      </w:r>
      <w:r>
        <w:rPr/>
        <w:t>среднетяжелом</w:t>
      </w:r>
      <w:r>
        <w:rPr>
          <w:spacing w:val="-15"/>
        </w:rPr>
        <w:t> </w:t>
      </w:r>
      <w:r>
        <w:rPr/>
        <w:t>течении.</w:t>
      </w:r>
      <w:r>
        <w:rPr>
          <w:spacing w:val="-15"/>
        </w:rPr>
        <w:t> </w:t>
      </w:r>
      <w:r>
        <w:rPr/>
        <w:t>Во</w:t>
      </w:r>
      <w:r>
        <w:rPr>
          <w:spacing w:val="-15"/>
        </w:rPr>
        <w:t> </w:t>
      </w:r>
      <w:r>
        <w:rPr/>
        <w:t>время лечения инфекции необходим контроль за печеночными ферментами и риском </w:t>
      </w:r>
      <w:r>
        <w:rPr>
          <w:spacing w:val="-2"/>
        </w:rPr>
        <w:t>рабдомиолиза.</w:t>
      </w:r>
    </w:p>
    <w:p>
      <w:pPr>
        <w:pStyle w:val="Heading3"/>
        <w:spacing w:before="118"/>
      </w:pPr>
      <w:r>
        <w:rPr>
          <w:color w:val="1F487C"/>
        </w:rPr>
        <w:t>Пациенты</w:t>
      </w:r>
      <w:r>
        <w:rPr>
          <w:color w:val="1F487C"/>
          <w:spacing w:val="-12"/>
        </w:rPr>
        <w:t> </w:t>
      </w:r>
      <w:r>
        <w:rPr>
          <w:color w:val="1F487C"/>
        </w:rPr>
        <w:t>с</w:t>
      </w:r>
      <w:r>
        <w:rPr>
          <w:color w:val="1F487C"/>
          <w:spacing w:val="-12"/>
        </w:rPr>
        <w:t> </w:t>
      </w:r>
      <w:r>
        <w:rPr>
          <w:color w:val="1F487C"/>
        </w:rPr>
        <w:t>острым</w:t>
      </w:r>
      <w:r>
        <w:rPr>
          <w:color w:val="1F487C"/>
          <w:spacing w:val="-13"/>
        </w:rPr>
        <w:t> </w:t>
      </w:r>
      <w:r>
        <w:rPr>
          <w:color w:val="1F487C"/>
        </w:rPr>
        <w:t>коронарным</w:t>
      </w:r>
      <w:r>
        <w:rPr>
          <w:color w:val="1F487C"/>
          <w:spacing w:val="-12"/>
        </w:rPr>
        <w:t> </w:t>
      </w:r>
      <w:r>
        <w:rPr>
          <w:color w:val="1F487C"/>
          <w:spacing w:val="-2"/>
        </w:rPr>
        <w:t>синдромом</w:t>
      </w:r>
    </w:p>
    <w:p>
      <w:pPr>
        <w:pStyle w:val="BodyText"/>
        <w:spacing w:line="276" w:lineRule="auto" w:before="120"/>
        <w:ind w:right="1274" w:firstLine="707"/>
      </w:pPr>
      <w:r>
        <w:rPr/>
        <w:t>В связи с тем, что при COVID-19 обнаруживается неспецифическое повышение уровня тропонина, а также описаны случаи миокардитов, для подтверждения</w:t>
      </w:r>
      <w:r>
        <w:rPr>
          <w:spacing w:val="-15"/>
        </w:rPr>
        <w:t> </w:t>
      </w:r>
      <w:r>
        <w:rPr/>
        <w:t>диагноза</w:t>
      </w:r>
      <w:r>
        <w:rPr>
          <w:spacing w:val="-15"/>
        </w:rPr>
        <w:t> </w:t>
      </w:r>
      <w:r>
        <w:rPr/>
        <w:t>острого</w:t>
      </w:r>
      <w:r>
        <w:rPr>
          <w:spacing w:val="-15"/>
        </w:rPr>
        <w:t> </w:t>
      </w:r>
      <w:r>
        <w:rPr/>
        <w:t>коронарного</w:t>
      </w:r>
      <w:r>
        <w:rPr>
          <w:spacing w:val="-15"/>
        </w:rPr>
        <w:t> </w:t>
      </w:r>
      <w:r>
        <w:rPr/>
        <w:t>синдрома</w:t>
      </w:r>
      <w:r>
        <w:rPr>
          <w:spacing w:val="-15"/>
        </w:rPr>
        <w:t> </w:t>
      </w:r>
      <w:r>
        <w:rPr/>
        <w:t>на</w:t>
      </w:r>
      <w:r>
        <w:rPr>
          <w:spacing w:val="-15"/>
        </w:rPr>
        <w:t> </w:t>
      </w:r>
      <w:r>
        <w:rPr/>
        <w:t>фоне</w:t>
      </w:r>
      <w:r>
        <w:rPr>
          <w:spacing w:val="-13"/>
        </w:rPr>
        <w:t> </w:t>
      </w:r>
      <w:r>
        <w:rPr/>
        <w:t>COVID-19</w:t>
      </w:r>
      <w:r>
        <w:rPr>
          <w:spacing w:val="-14"/>
        </w:rPr>
        <w:t> </w:t>
      </w:r>
      <w:r>
        <w:rPr/>
        <w:t>требуется более тщательное обследование. В целом тактика ведения пациентов с острым коронарным</w:t>
      </w:r>
      <w:r>
        <w:rPr>
          <w:spacing w:val="33"/>
        </w:rPr>
        <w:t> </w:t>
      </w:r>
      <w:r>
        <w:rPr/>
        <w:t>синдромом</w:t>
      </w:r>
      <w:r>
        <w:rPr>
          <w:spacing w:val="35"/>
        </w:rPr>
        <w:t> </w:t>
      </w:r>
      <w:r>
        <w:rPr/>
        <w:t>не</w:t>
      </w:r>
      <w:r>
        <w:rPr>
          <w:spacing w:val="33"/>
        </w:rPr>
        <w:t> </w:t>
      </w:r>
      <w:r>
        <w:rPr/>
        <w:t>должна</w:t>
      </w:r>
      <w:r>
        <w:rPr>
          <w:spacing w:val="33"/>
        </w:rPr>
        <w:t> </w:t>
      </w:r>
      <w:r>
        <w:rPr/>
        <w:t>отличаться</w:t>
      </w:r>
      <w:r>
        <w:rPr>
          <w:spacing w:val="34"/>
        </w:rPr>
        <w:t> </w:t>
      </w:r>
      <w:r>
        <w:rPr/>
        <w:t>от</w:t>
      </w:r>
      <w:r>
        <w:rPr>
          <w:spacing w:val="35"/>
        </w:rPr>
        <w:t> </w:t>
      </w:r>
      <w:r>
        <w:rPr/>
        <w:t>стандартно</w:t>
      </w:r>
      <w:r>
        <w:rPr>
          <w:spacing w:val="32"/>
        </w:rPr>
        <w:t> </w:t>
      </w:r>
      <w:r>
        <w:rPr/>
        <w:t>принятой.</w:t>
      </w:r>
      <w:r>
        <w:rPr>
          <w:spacing w:val="34"/>
        </w:rPr>
        <w:t> </w:t>
      </w:r>
      <w:r>
        <w:rPr/>
        <w:t>Пациенты с острым коронарным синдромом и с подозрением на COVID-19 должны направляться в стационары, имеющие возможность проведения чрескожного коронарного вмешательства.</w:t>
      </w:r>
    </w:p>
    <w:p>
      <w:pPr>
        <w:pStyle w:val="Heading3"/>
        <w:spacing w:before="118"/>
      </w:pPr>
      <w:r>
        <w:rPr>
          <w:color w:val="1F487C"/>
        </w:rPr>
        <w:t>Пациенты</w:t>
      </w:r>
      <w:r>
        <w:rPr>
          <w:color w:val="1F487C"/>
          <w:spacing w:val="-11"/>
        </w:rPr>
        <w:t> </w:t>
      </w:r>
      <w:r>
        <w:rPr>
          <w:color w:val="1F487C"/>
        </w:rPr>
        <w:t>с</w:t>
      </w:r>
      <w:r>
        <w:rPr>
          <w:color w:val="1F487C"/>
          <w:spacing w:val="-11"/>
        </w:rPr>
        <w:t> </w:t>
      </w:r>
      <w:r>
        <w:rPr>
          <w:color w:val="1F487C"/>
        </w:rPr>
        <w:t>сахарным</w:t>
      </w:r>
      <w:r>
        <w:rPr>
          <w:color w:val="1F487C"/>
          <w:spacing w:val="-13"/>
        </w:rPr>
        <w:t> </w:t>
      </w:r>
      <w:r>
        <w:rPr>
          <w:color w:val="1F487C"/>
          <w:spacing w:val="-2"/>
        </w:rPr>
        <w:t>диабетом</w:t>
      </w:r>
    </w:p>
    <w:p>
      <w:pPr>
        <w:pStyle w:val="BodyText"/>
        <w:spacing w:line="276" w:lineRule="auto" w:before="160"/>
        <w:ind w:right="1276" w:firstLine="707"/>
      </w:pPr>
      <w:r>
        <w:rPr/>
        <w:t>Сахарный</w:t>
      </w:r>
      <w:r>
        <w:rPr>
          <w:spacing w:val="-1"/>
        </w:rPr>
        <w:t> </w:t>
      </w:r>
      <w:r>
        <w:rPr/>
        <w:t>диабет (СД) является</w:t>
      </w:r>
      <w:r>
        <w:rPr>
          <w:spacing w:val="-1"/>
        </w:rPr>
        <w:t> </w:t>
      </w:r>
      <w:r>
        <w:rPr/>
        <w:t>фактором</w:t>
      </w:r>
      <w:r>
        <w:rPr>
          <w:spacing w:val="-1"/>
        </w:rPr>
        <w:t> </w:t>
      </w:r>
      <w:r>
        <w:rPr/>
        <w:t>риска</w:t>
      </w:r>
      <w:r>
        <w:rPr>
          <w:spacing w:val="-2"/>
        </w:rPr>
        <w:t> </w:t>
      </w:r>
      <w:r>
        <w:rPr/>
        <w:t>развития</w:t>
      </w:r>
      <w:r>
        <w:rPr>
          <w:spacing w:val="-1"/>
        </w:rPr>
        <w:t> </w:t>
      </w:r>
      <w:r>
        <w:rPr/>
        <w:t>тяжелой пневмонии и</w:t>
      </w:r>
      <w:r>
        <w:rPr>
          <w:spacing w:val="-1"/>
        </w:rPr>
        <w:t> </w:t>
      </w:r>
      <w:r>
        <w:rPr/>
        <w:t>септического течения вирусной инфекции, ассоциированного с развитием полиорганной</w:t>
      </w:r>
      <w:r>
        <w:rPr>
          <w:spacing w:val="-15"/>
        </w:rPr>
        <w:t> </w:t>
      </w:r>
      <w:r>
        <w:rPr/>
        <w:t>недостаточности</w:t>
      </w:r>
      <w:r>
        <w:rPr>
          <w:spacing w:val="-15"/>
        </w:rPr>
        <w:t> </w:t>
      </w:r>
      <w:r>
        <w:rPr/>
        <w:t>и</w:t>
      </w:r>
      <w:r>
        <w:rPr>
          <w:spacing w:val="-15"/>
        </w:rPr>
        <w:t> </w:t>
      </w:r>
      <w:r>
        <w:rPr/>
        <w:t>повышением</w:t>
      </w:r>
      <w:r>
        <w:rPr>
          <w:spacing w:val="-15"/>
        </w:rPr>
        <w:t> </w:t>
      </w:r>
      <w:r>
        <w:rPr/>
        <w:t>риска</w:t>
      </w:r>
      <w:r>
        <w:rPr>
          <w:spacing w:val="-15"/>
        </w:rPr>
        <w:t> </w:t>
      </w:r>
      <w:r>
        <w:rPr/>
        <w:t>осложнений</w:t>
      </w:r>
      <w:r>
        <w:rPr>
          <w:spacing w:val="-15"/>
        </w:rPr>
        <w:t> </w:t>
      </w:r>
      <w:r>
        <w:rPr/>
        <w:t>и</w:t>
      </w:r>
      <w:r>
        <w:rPr>
          <w:spacing w:val="-15"/>
        </w:rPr>
        <w:t> </w:t>
      </w:r>
      <w:r>
        <w:rPr/>
        <w:t>смерти.</w:t>
      </w:r>
      <w:r>
        <w:rPr>
          <w:spacing w:val="-15"/>
        </w:rPr>
        <w:t> </w:t>
      </w:r>
      <w:r>
        <w:rPr/>
        <w:t>Пациенты с</w:t>
      </w:r>
      <w:r>
        <w:rPr>
          <w:spacing w:val="-3"/>
        </w:rPr>
        <w:t> </w:t>
      </w:r>
      <w:r>
        <w:rPr/>
        <w:t>сахарным</w:t>
      </w:r>
      <w:r>
        <w:rPr>
          <w:spacing w:val="-3"/>
        </w:rPr>
        <w:t> </w:t>
      </w:r>
      <w:r>
        <w:rPr/>
        <w:t>диабетом</w:t>
      </w:r>
      <w:r>
        <w:rPr>
          <w:spacing w:val="-2"/>
        </w:rPr>
        <w:t> </w:t>
      </w:r>
      <w:r>
        <w:rPr/>
        <w:t>должны</w:t>
      </w:r>
      <w:r>
        <w:rPr>
          <w:spacing w:val="-2"/>
        </w:rPr>
        <w:t> </w:t>
      </w:r>
      <w:r>
        <w:rPr/>
        <w:t>тщательно</w:t>
      </w:r>
      <w:r>
        <w:rPr>
          <w:spacing w:val="-2"/>
        </w:rPr>
        <w:t> </w:t>
      </w:r>
      <w:r>
        <w:rPr/>
        <w:t>следовать</w:t>
      </w:r>
      <w:r>
        <w:rPr>
          <w:spacing w:val="-1"/>
        </w:rPr>
        <w:t> </w:t>
      </w:r>
      <w:r>
        <w:rPr/>
        <w:t>рекомендациям</w:t>
      </w:r>
      <w:r>
        <w:rPr>
          <w:spacing w:val="-5"/>
        </w:rPr>
        <w:t> </w:t>
      </w:r>
      <w:r>
        <w:rPr/>
        <w:t>по</w:t>
      </w:r>
      <w:r>
        <w:rPr>
          <w:spacing w:val="-2"/>
        </w:rPr>
        <w:t> </w:t>
      </w:r>
      <w:r>
        <w:rPr/>
        <w:t>профилактике заболевания COVID-19. В качестве специфической профилактики рекомендовано применение препаратов альфа-интерферона.</w:t>
      </w:r>
    </w:p>
    <w:p>
      <w:pPr>
        <w:pStyle w:val="BodyText"/>
        <w:ind w:left="2549"/>
      </w:pPr>
      <w:r>
        <w:rPr/>
        <w:t>При</w:t>
      </w:r>
      <w:r>
        <w:rPr>
          <w:spacing w:val="-8"/>
        </w:rPr>
        <w:t> </w:t>
      </w:r>
      <w:r>
        <w:rPr/>
        <w:t>легком</w:t>
      </w:r>
      <w:r>
        <w:rPr>
          <w:spacing w:val="-8"/>
        </w:rPr>
        <w:t> </w:t>
      </w:r>
      <w:r>
        <w:rPr/>
        <w:t>течении</w:t>
      </w:r>
      <w:r>
        <w:rPr>
          <w:spacing w:val="-7"/>
        </w:rPr>
        <w:t> </w:t>
      </w:r>
      <w:r>
        <w:rPr/>
        <w:t>COVID-19</w:t>
      </w:r>
      <w:r>
        <w:rPr>
          <w:spacing w:val="-7"/>
        </w:rPr>
        <w:t> </w:t>
      </w:r>
      <w:r>
        <w:rPr/>
        <w:t>у</w:t>
      </w:r>
      <w:r>
        <w:rPr>
          <w:spacing w:val="-8"/>
        </w:rPr>
        <w:t> </w:t>
      </w:r>
      <w:r>
        <w:rPr/>
        <w:t>пациента</w:t>
      </w:r>
      <w:r>
        <w:rPr>
          <w:spacing w:val="-8"/>
        </w:rPr>
        <w:t> </w:t>
      </w:r>
      <w:r>
        <w:rPr/>
        <w:t>с</w:t>
      </w:r>
      <w:r>
        <w:rPr>
          <w:spacing w:val="-7"/>
        </w:rPr>
        <w:t> </w:t>
      </w:r>
      <w:r>
        <w:rPr/>
        <w:t>СД</w:t>
      </w:r>
      <w:r>
        <w:rPr>
          <w:spacing w:val="-8"/>
        </w:rPr>
        <w:t> </w:t>
      </w:r>
      <w:r>
        <w:rPr>
          <w:spacing w:val="-2"/>
        </w:rPr>
        <w:t>рекомендуется:</w:t>
      </w:r>
    </w:p>
    <w:p>
      <w:pPr>
        <w:pStyle w:val="ListParagraph"/>
        <w:numPr>
          <w:ilvl w:val="0"/>
          <w:numId w:val="43"/>
        </w:numPr>
        <w:tabs>
          <w:tab w:pos="2124" w:val="left" w:leader="none"/>
        </w:tabs>
        <w:spacing w:line="273" w:lineRule="auto" w:before="43" w:after="0"/>
        <w:ind w:left="2124" w:right="1272" w:hanging="283"/>
        <w:jc w:val="both"/>
        <w:rPr>
          <w:sz w:val="24"/>
        </w:rPr>
      </w:pPr>
      <w:r>
        <w:rPr>
          <w:sz w:val="24"/>
        </w:rPr>
        <w:t>контролья</w:t>
      </w:r>
      <w:r>
        <w:rPr>
          <w:spacing w:val="-1"/>
          <w:sz w:val="24"/>
        </w:rPr>
        <w:t> </w:t>
      </w:r>
      <w:r>
        <w:rPr>
          <w:sz w:val="24"/>
        </w:rPr>
        <w:t>гликемии каждые</w:t>
      </w:r>
      <w:r>
        <w:rPr>
          <w:spacing w:val="-3"/>
          <w:sz w:val="24"/>
        </w:rPr>
        <w:t> </w:t>
      </w:r>
      <w:r>
        <w:rPr>
          <w:sz w:val="24"/>
        </w:rPr>
        <w:t>4-6</w:t>
      </w:r>
      <w:r>
        <w:rPr>
          <w:spacing w:val="-1"/>
          <w:sz w:val="24"/>
        </w:rPr>
        <w:t> </w:t>
      </w:r>
      <w:r>
        <w:rPr>
          <w:sz w:val="24"/>
        </w:rPr>
        <w:t>ч</w:t>
      </w:r>
      <w:r>
        <w:rPr>
          <w:spacing w:val="-2"/>
          <w:sz w:val="24"/>
        </w:rPr>
        <w:t> </w:t>
      </w:r>
      <w:r>
        <w:rPr>
          <w:sz w:val="24"/>
        </w:rPr>
        <w:t>с</w:t>
      </w:r>
      <w:r>
        <w:rPr>
          <w:spacing w:val="-2"/>
          <w:sz w:val="24"/>
        </w:rPr>
        <w:t> </w:t>
      </w:r>
      <w:r>
        <w:rPr>
          <w:sz w:val="24"/>
        </w:rPr>
        <w:t>расширением</w:t>
      </w:r>
      <w:r>
        <w:rPr>
          <w:spacing w:val="-2"/>
          <w:sz w:val="24"/>
        </w:rPr>
        <w:t> </w:t>
      </w:r>
      <w:r>
        <w:rPr>
          <w:sz w:val="24"/>
        </w:rPr>
        <w:t>питьевого</w:t>
      </w:r>
      <w:r>
        <w:rPr>
          <w:spacing w:val="-2"/>
          <w:sz w:val="24"/>
        </w:rPr>
        <w:t> </w:t>
      </w:r>
      <w:r>
        <w:rPr>
          <w:sz w:val="24"/>
        </w:rPr>
        <w:t>режима</w:t>
      </w:r>
      <w:r>
        <w:rPr>
          <w:spacing w:val="-2"/>
          <w:sz w:val="24"/>
        </w:rPr>
        <w:t> </w:t>
      </w:r>
      <w:r>
        <w:rPr>
          <w:sz w:val="24"/>
        </w:rPr>
        <w:t>до</w:t>
      </w:r>
      <w:r>
        <w:rPr>
          <w:spacing w:val="-1"/>
          <w:sz w:val="24"/>
        </w:rPr>
        <w:t> </w:t>
      </w:r>
      <w:r>
        <w:rPr>
          <w:sz w:val="24"/>
        </w:rPr>
        <w:t>2-3</w:t>
      </w:r>
      <w:r>
        <w:rPr>
          <w:spacing w:val="-1"/>
          <w:sz w:val="24"/>
        </w:rPr>
        <w:t> </w:t>
      </w:r>
      <w:r>
        <w:rPr>
          <w:sz w:val="24"/>
        </w:rPr>
        <w:t>литров в сутки с учетом сопутствующих заболеваний.</w:t>
      </w:r>
    </w:p>
    <w:p>
      <w:pPr>
        <w:pStyle w:val="ListParagraph"/>
        <w:numPr>
          <w:ilvl w:val="0"/>
          <w:numId w:val="43"/>
        </w:numPr>
        <w:tabs>
          <w:tab w:pos="2123" w:val="left" w:leader="none"/>
        </w:tabs>
        <w:spacing w:line="240" w:lineRule="auto" w:before="2" w:after="0"/>
        <w:ind w:left="2123" w:right="0" w:hanging="282"/>
        <w:jc w:val="both"/>
        <w:rPr>
          <w:sz w:val="24"/>
        </w:rPr>
      </w:pPr>
      <w:r>
        <w:rPr>
          <w:spacing w:val="-2"/>
          <w:sz w:val="24"/>
        </w:rPr>
        <w:t>продолжить</w:t>
      </w:r>
      <w:r>
        <w:rPr>
          <w:spacing w:val="-1"/>
          <w:sz w:val="24"/>
        </w:rPr>
        <w:t> </w:t>
      </w:r>
      <w:r>
        <w:rPr>
          <w:spacing w:val="-2"/>
          <w:sz w:val="24"/>
        </w:rPr>
        <w:t>текущую</w:t>
      </w:r>
      <w:r>
        <w:rPr>
          <w:spacing w:val="1"/>
          <w:sz w:val="24"/>
        </w:rPr>
        <w:t> </w:t>
      </w:r>
      <w:r>
        <w:rPr>
          <w:spacing w:val="-2"/>
          <w:sz w:val="24"/>
        </w:rPr>
        <w:t>сахароснижающую</w:t>
      </w:r>
      <w:r>
        <w:rPr>
          <w:spacing w:val="-1"/>
          <w:sz w:val="24"/>
        </w:rPr>
        <w:t> </w:t>
      </w:r>
      <w:r>
        <w:rPr>
          <w:spacing w:val="-2"/>
          <w:sz w:val="24"/>
        </w:rPr>
        <w:t>терапию.</w:t>
      </w:r>
    </w:p>
    <w:p>
      <w:pPr>
        <w:pStyle w:val="ListParagraph"/>
        <w:numPr>
          <w:ilvl w:val="0"/>
          <w:numId w:val="43"/>
        </w:numPr>
        <w:tabs>
          <w:tab w:pos="2124" w:val="left" w:leader="none"/>
        </w:tabs>
        <w:spacing w:line="271" w:lineRule="auto" w:before="54" w:after="0"/>
        <w:ind w:left="2124" w:right="1278" w:hanging="283"/>
        <w:jc w:val="both"/>
        <w:rPr>
          <w:sz w:val="24"/>
        </w:rPr>
      </w:pPr>
      <w:r>
        <w:rPr>
          <w:sz w:val="24"/>
        </w:rPr>
        <w:t>целевые показатели гликемии натощак – не</w:t>
      </w:r>
      <w:r>
        <w:rPr>
          <w:spacing w:val="-5"/>
          <w:sz w:val="24"/>
        </w:rPr>
        <w:t> </w:t>
      </w:r>
      <w:r>
        <w:rPr>
          <w:sz w:val="24"/>
        </w:rPr>
        <w:t>более 7 ммоль/л, через 2 часа после еды – не более 10 ммоль/л.</w:t>
      </w:r>
    </w:p>
    <w:p>
      <w:pPr>
        <w:pStyle w:val="ListParagraph"/>
        <w:spacing w:after="0" w:line="271" w:lineRule="auto"/>
        <w:jc w:val="both"/>
        <w:rPr>
          <w:sz w:val="24"/>
        </w:rPr>
        <w:sectPr>
          <w:pgSz w:w="11900" w:h="16840"/>
          <w:pgMar w:header="0" w:footer="697" w:top="1080" w:bottom="880" w:left="0" w:right="0"/>
        </w:sectPr>
      </w:pPr>
    </w:p>
    <w:p>
      <w:pPr>
        <w:pStyle w:val="BodyText"/>
        <w:spacing w:line="276" w:lineRule="auto" w:before="73"/>
        <w:ind w:right="1273" w:firstLine="707"/>
      </w:pPr>
      <w:bookmarkStart w:name="89" w:id="106"/>
      <w:bookmarkEnd w:id="106"/>
      <w:r>
        <w:rPr/>
      </w:r>
      <w:r>
        <w:rPr/>
        <w:t>При повышении гликемии необходимо усилить терапию СД. При гликемии натощак выше 10 ммоль/л нужно оценить уровень кетонов в моче, начать терапию базальным инсулином (например, инсулин-изофан человеческий генно-инженерный инсулин</w:t>
      </w:r>
      <w:r>
        <w:rPr>
          <w:spacing w:val="40"/>
        </w:rPr>
        <w:t> </w:t>
      </w:r>
      <w:r>
        <w:rPr/>
        <w:t>или</w:t>
      </w:r>
      <w:r>
        <w:rPr>
          <w:spacing w:val="40"/>
        </w:rPr>
        <w:t> </w:t>
      </w:r>
      <w:r>
        <w:rPr/>
        <w:t>аналог</w:t>
      </w:r>
      <w:r>
        <w:rPr>
          <w:spacing w:val="40"/>
        </w:rPr>
        <w:t> </w:t>
      </w:r>
      <w:r>
        <w:rPr/>
        <w:t>инсулина</w:t>
      </w:r>
      <w:r>
        <w:rPr>
          <w:spacing w:val="40"/>
        </w:rPr>
        <w:t> </w:t>
      </w:r>
      <w:r>
        <w:rPr/>
        <w:t>длительного</w:t>
      </w:r>
      <w:r>
        <w:rPr>
          <w:spacing w:val="40"/>
        </w:rPr>
        <w:t> </w:t>
      </w:r>
      <w:r>
        <w:rPr/>
        <w:t>действия)</w:t>
      </w:r>
      <w:r>
        <w:rPr>
          <w:spacing w:val="40"/>
        </w:rPr>
        <w:t> </w:t>
      </w:r>
      <w:r>
        <w:rPr/>
        <w:t>или</w:t>
      </w:r>
      <w:r>
        <w:rPr>
          <w:spacing w:val="40"/>
        </w:rPr>
        <w:t> </w:t>
      </w:r>
      <w:r>
        <w:rPr/>
        <w:t>увеличить</w:t>
      </w:r>
      <w:r>
        <w:rPr>
          <w:spacing w:val="40"/>
        </w:rPr>
        <w:t> </w:t>
      </w:r>
      <w:r>
        <w:rPr/>
        <w:t>его</w:t>
      </w:r>
      <w:r>
        <w:rPr>
          <w:spacing w:val="40"/>
        </w:rPr>
        <w:t> </w:t>
      </w:r>
      <w:r>
        <w:rPr/>
        <w:t>дозу (если пациент ранее уже получал базальную инсулинотерапию).</w:t>
      </w:r>
    </w:p>
    <w:p>
      <w:pPr>
        <w:pStyle w:val="BodyText"/>
        <w:spacing w:line="276" w:lineRule="auto"/>
        <w:ind w:right="1276" w:firstLine="707"/>
      </w:pPr>
      <w:r>
        <w:rPr/>
        <w:t>При среднетяжелом течении COVID-19 и появлении респираторных </w:t>
      </w:r>
      <w:r>
        <w:rPr>
          <w:spacing w:val="-2"/>
        </w:rPr>
        <w:t>симптомов:</w:t>
      </w:r>
    </w:p>
    <w:p>
      <w:pPr>
        <w:pStyle w:val="ListParagraph"/>
        <w:numPr>
          <w:ilvl w:val="0"/>
          <w:numId w:val="43"/>
        </w:numPr>
        <w:tabs>
          <w:tab w:pos="2124" w:val="left" w:leader="none"/>
        </w:tabs>
        <w:spacing w:line="271" w:lineRule="auto" w:before="1" w:after="0"/>
        <w:ind w:left="2124" w:right="1274" w:hanging="283"/>
        <w:jc w:val="both"/>
        <w:rPr>
          <w:sz w:val="24"/>
        </w:rPr>
      </w:pPr>
      <w:r>
        <w:rPr>
          <w:sz w:val="24"/>
        </w:rPr>
        <w:t>Контроль</w:t>
      </w:r>
      <w:r>
        <w:rPr>
          <w:spacing w:val="-11"/>
          <w:sz w:val="24"/>
        </w:rPr>
        <w:t> </w:t>
      </w:r>
      <w:r>
        <w:rPr>
          <w:sz w:val="24"/>
        </w:rPr>
        <w:t>гликемии</w:t>
      </w:r>
      <w:r>
        <w:rPr>
          <w:spacing w:val="-11"/>
          <w:sz w:val="24"/>
        </w:rPr>
        <w:t> </w:t>
      </w:r>
      <w:r>
        <w:rPr>
          <w:sz w:val="24"/>
        </w:rPr>
        <w:t>каждые</w:t>
      </w:r>
      <w:r>
        <w:rPr>
          <w:spacing w:val="-13"/>
          <w:sz w:val="24"/>
        </w:rPr>
        <w:t> </w:t>
      </w:r>
      <w:r>
        <w:rPr>
          <w:sz w:val="24"/>
        </w:rPr>
        <w:t>3-4</w:t>
      </w:r>
      <w:r>
        <w:rPr>
          <w:spacing w:val="-12"/>
          <w:sz w:val="24"/>
        </w:rPr>
        <w:t> </w:t>
      </w:r>
      <w:r>
        <w:rPr>
          <w:sz w:val="24"/>
        </w:rPr>
        <w:t>ч,</w:t>
      </w:r>
      <w:r>
        <w:rPr>
          <w:spacing w:val="-12"/>
          <w:sz w:val="24"/>
        </w:rPr>
        <w:t> </w:t>
      </w:r>
      <w:r>
        <w:rPr>
          <w:sz w:val="24"/>
        </w:rPr>
        <w:t>контроль</w:t>
      </w:r>
      <w:r>
        <w:rPr>
          <w:spacing w:val="-11"/>
          <w:sz w:val="24"/>
        </w:rPr>
        <w:t> </w:t>
      </w:r>
      <w:r>
        <w:rPr>
          <w:sz w:val="24"/>
        </w:rPr>
        <w:t>кетонов</w:t>
      </w:r>
      <w:r>
        <w:rPr>
          <w:spacing w:val="-12"/>
          <w:sz w:val="24"/>
        </w:rPr>
        <w:t> </w:t>
      </w:r>
      <w:r>
        <w:rPr>
          <w:sz w:val="24"/>
        </w:rPr>
        <w:t>в</w:t>
      </w:r>
      <w:r>
        <w:rPr>
          <w:spacing w:val="-12"/>
          <w:sz w:val="24"/>
        </w:rPr>
        <w:t> </w:t>
      </w:r>
      <w:r>
        <w:rPr>
          <w:sz w:val="24"/>
        </w:rPr>
        <w:t>моче</w:t>
      </w:r>
      <w:r>
        <w:rPr>
          <w:spacing w:val="-13"/>
          <w:sz w:val="24"/>
        </w:rPr>
        <w:t> </w:t>
      </w:r>
      <w:r>
        <w:rPr>
          <w:sz w:val="24"/>
        </w:rPr>
        <w:t>ь,</w:t>
      </w:r>
      <w:r>
        <w:rPr>
          <w:spacing w:val="-9"/>
          <w:sz w:val="24"/>
        </w:rPr>
        <w:t> </w:t>
      </w:r>
      <w:r>
        <w:rPr>
          <w:sz w:val="24"/>
        </w:rPr>
        <w:t>контроль</w:t>
      </w:r>
      <w:r>
        <w:rPr>
          <w:spacing w:val="-12"/>
          <w:sz w:val="24"/>
        </w:rPr>
        <w:t> </w:t>
      </w:r>
      <w:r>
        <w:rPr>
          <w:sz w:val="24"/>
        </w:rPr>
        <w:t>содержания лактата крови;</w:t>
      </w:r>
    </w:p>
    <w:p>
      <w:pPr>
        <w:pStyle w:val="ListParagraph"/>
        <w:numPr>
          <w:ilvl w:val="0"/>
          <w:numId w:val="43"/>
        </w:numPr>
        <w:tabs>
          <w:tab w:pos="2124" w:val="left" w:leader="none"/>
        </w:tabs>
        <w:spacing w:line="273" w:lineRule="auto" w:before="20" w:after="0"/>
        <w:ind w:left="2124" w:right="1276" w:hanging="283"/>
        <w:jc w:val="both"/>
        <w:rPr>
          <w:sz w:val="24"/>
        </w:rPr>
      </w:pPr>
      <w:r>
        <w:rPr>
          <w:sz w:val="24"/>
        </w:rPr>
        <w:t>При уровне глюкозы плазмы натощак менее 10 ммоль/л и глкюкозы плазмы через 2 часа после еды менее 13 ммоль/л и отсутствии кетонурии можно продолжить терапию неинсулиновыми сахароснижающими препаратами под контролем показателей лактата крови, кетонов крови и мочи, уровня сатурации, функции почек и печени;</w:t>
      </w:r>
    </w:p>
    <w:p>
      <w:pPr>
        <w:pStyle w:val="ListParagraph"/>
        <w:numPr>
          <w:ilvl w:val="0"/>
          <w:numId w:val="43"/>
        </w:numPr>
        <w:tabs>
          <w:tab w:pos="2124" w:val="left" w:leader="none"/>
        </w:tabs>
        <w:spacing w:line="273" w:lineRule="auto" w:before="23" w:after="0"/>
        <w:ind w:left="2124" w:right="1272" w:hanging="283"/>
        <w:jc w:val="both"/>
        <w:rPr>
          <w:sz w:val="24"/>
        </w:rPr>
      </w:pPr>
      <w:r>
        <w:rPr>
          <w:sz w:val="24"/>
        </w:rPr>
        <w:t>При уровне глюкозы плазмы натощак выше 10,0 ммоль/л или глюкозы плазмы через 2 часа после еды более 13 ммоль/л , или при появлении кетонов в моче, или повышении</w:t>
      </w:r>
      <w:r>
        <w:rPr>
          <w:spacing w:val="80"/>
          <w:sz w:val="24"/>
        </w:rPr>
        <w:t>  </w:t>
      </w:r>
      <w:r>
        <w:rPr>
          <w:sz w:val="24"/>
        </w:rPr>
        <w:t>содержания</w:t>
      </w:r>
      <w:r>
        <w:rPr>
          <w:spacing w:val="80"/>
          <w:sz w:val="24"/>
        </w:rPr>
        <w:t>  </w:t>
      </w:r>
      <w:r>
        <w:rPr>
          <w:sz w:val="24"/>
        </w:rPr>
        <w:t>лактата</w:t>
      </w:r>
      <w:r>
        <w:rPr>
          <w:spacing w:val="80"/>
          <w:sz w:val="24"/>
        </w:rPr>
        <w:t>  </w:t>
      </w:r>
      <w:r>
        <w:rPr>
          <w:sz w:val="24"/>
        </w:rPr>
        <w:t>крови</w:t>
      </w:r>
      <w:r>
        <w:rPr>
          <w:spacing w:val="80"/>
          <w:sz w:val="24"/>
        </w:rPr>
        <w:t>  </w:t>
      </w:r>
      <w:r>
        <w:rPr>
          <w:sz w:val="24"/>
        </w:rPr>
        <w:t>необходимо</w:t>
      </w:r>
      <w:r>
        <w:rPr>
          <w:spacing w:val="80"/>
          <w:sz w:val="24"/>
        </w:rPr>
        <w:t>  </w:t>
      </w:r>
      <w:r>
        <w:rPr>
          <w:sz w:val="24"/>
        </w:rPr>
        <w:t>отменить</w:t>
      </w:r>
      <w:r>
        <w:rPr>
          <w:spacing w:val="80"/>
          <w:sz w:val="24"/>
        </w:rPr>
        <w:t>  </w:t>
      </w:r>
      <w:r>
        <w:rPr>
          <w:sz w:val="24"/>
        </w:rPr>
        <w:t>прием не инсулиновых препаратов (метформина, ингибиторов ДПП-4, агонистов рецепторов</w:t>
      </w:r>
      <w:r>
        <w:rPr>
          <w:spacing w:val="40"/>
          <w:sz w:val="24"/>
        </w:rPr>
        <w:t> </w:t>
      </w:r>
      <w:r>
        <w:rPr>
          <w:sz w:val="24"/>
        </w:rPr>
        <w:t>ГПП-1</w:t>
      </w:r>
      <w:r>
        <w:rPr>
          <w:spacing w:val="40"/>
          <w:sz w:val="24"/>
        </w:rPr>
        <w:t> </w:t>
      </w:r>
      <w:r>
        <w:rPr>
          <w:sz w:val="24"/>
        </w:rPr>
        <w:t>(арГПП-1),</w:t>
      </w:r>
      <w:r>
        <w:rPr>
          <w:spacing w:val="40"/>
          <w:sz w:val="24"/>
        </w:rPr>
        <w:t> </w:t>
      </w:r>
      <w:r>
        <w:rPr>
          <w:sz w:val="24"/>
        </w:rPr>
        <w:t>ингибиторов</w:t>
      </w:r>
      <w:r>
        <w:rPr>
          <w:spacing w:val="40"/>
          <w:sz w:val="24"/>
        </w:rPr>
        <w:t> </w:t>
      </w:r>
      <w:r>
        <w:rPr>
          <w:sz w:val="24"/>
        </w:rPr>
        <w:t>натрий-глюкозного</w:t>
      </w:r>
      <w:r>
        <w:rPr>
          <w:spacing w:val="40"/>
          <w:sz w:val="24"/>
        </w:rPr>
        <w:t> </w:t>
      </w:r>
      <w:r>
        <w:rPr>
          <w:sz w:val="24"/>
        </w:rPr>
        <w:t>котранспортера</w:t>
      </w:r>
    </w:p>
    <w:p>
      <w:pPr>
        <w:pStyle w:val="BodyText"/>
        <w:spacing w:line="276" w:lineRule="auto" w:before="8"/>
        <w:ind w:left="2124" w:right="1275"/>
      </w:pPr>
      <w:r>
        <w:rPr/>
        <w:t>2 типа (иНГЛТ-2), препаратов сульфонилмочевины) и начать базис-болюсную инсулинотерапию (препаратами инсулина короткого и продленного действия);</w:t>
      </w:r>
    </w:p>
    <w:p>
      <w:pPr>
        <w:pStyle w:val="ListParagraph"/>
        <w:numPr>
          <w:ilvl w:val="0"/>
          <w:numId w:val="43"/>
        </w:numPr>
        <w:tabs>
          <w:tab w:pos="2123" w:val="left" w:leader="none"/>
        </w:tabs>
        <w:spacing w:line="240" w:lineRule="auto" w:before="0" w:after="0"/>
        <w:ind w:left="2123" w:right="0" w:hanging="282"/>
        <w:jc w:val="both"/>
        <w:rPr>
          <w:sz w:val="24"/>
        </w:rPr>
      </w:pPr>
      <w:r>
        <w:rPr>
          <w:sz w:val="24"/>
        </w:rPr>
        <w:t>Целевые</w:t>
      </w:r>
      <w:r>
        <w:rPr>
          <w:spacing w:val="-10"/>
          <w:sz w:val="24"/>
        </w:rPr>
        <w:t> </w:t>
      </w:r>
      <w:r>
        <w:rPr>
          <w:sz w:val="24"/>
        </w:rPr>
        <w:t>показатели</w:t>
      </w:r>
      <w:r>
        <w:rPr>
          <w:spacing w:val="-8"/>
          <w:sz w:val="24"/>
        </w:rPr>
        <w:t> </w:t>
      </w:r>
      <w:r>
        <w:rPr>
          <w:sz w:val="24"/>
        </w:rPr>
        <w:t>гликемии</w:t>
      </w:r>
      <w:r>
        <w:rPr>
          <w:spacing w:val="-10"/>
          <w:sz w:val="24"/>
        </w:rPr>
        <w:t> </w:t>
      </w:r>
      <w:r>
        <w:rPr>
          <w:sz w:val="24"/>
        </w:rPr>
        <w:t>натощак</w:t>
      </w:r>
      <w:r>
        <w:rPr>
          <w:spacing w:val="-6"/>
          <w:sz w:val="24"/>
        </w:rPr>
        <w:t> </w:t>
      </w:r>
      <w:r>
        <w:rPr>
          <w:sz w:val="24"/>
        </w:rPr>
        <w:t>–</w:t>
      </w:r>
      <w:r>
        <w:rPr>
          <w:spacing w:val="-9"/>
          <w:sz w:val="24"/>
        </w:rPr>
        <w:t> </w:t>
      </w:r>
      <w:r>
        <w:rPr>
          <w:sz w:val="24"/>
        </w:rPr>
        <w:t>не</w:t>
      </w:r>
      <w:r>
        <w:rPr>
          <w:spacing w:val="-9"/>
          <w:sz w:val="24"/>
        </w:rPr>
        <w:t> </w:t>
      </w:r>
      <w:r>
        <w:rPr>
          <w:sz w:val="24"/>
        </w:rPr>
        <w:t>более</w:t>
      </w:r>
      <w:r>
        <w:rPr>
          <w:spacing w:val="-9"/>
          <w:sz w:val="24"/>
        </w:rPr>
        <w:t> </w:t>
      </w:r>
      <w:r>
        <w:rPr>
          <w:sz w:val="24"/>
        </w:rPr>
        <w:t>7,5</w:t>
      </w:r>
      <w:r>
        <w:rPr>
          <w:spacing w:val="-9"/>
          <w:sz w:val="24"/>
        </w:rPr>
        <w:t> </w:t>
      </w:r>
      <w:r>
        <w:rPr>
          <w:spacing w:val="-2"/>
          <w:sz w:val="24"/>
        </w:rPr>
        <w:t>ммоль/л.</w:t>
      </w:r>
    </w:p>
    <w:p>
      <w:pPr>
        <w:pStyle w:val="BodyText"/>
        <w:spacing w:line="278" w:lineRule="auto" w:before="53"/>
        <w:ind w:right="1276" w:firstLine="707"/>
      </w:pPr>
      <w:r>
        <w:rPr/>
        <w:t>Тяжелое</w:t>
      </w:r>
      <w:r>
        <w:rPr>
          <w:spacing w:val="-7"/>
        </w:rPr>
        <w:t> </w:t>
      </w:r>
      <w:r>
        <w:rPr/>
        <w:t>течение</w:t>
      </w:r>
      <w:r>
        <w:rPr>
          <w:spacing w:val="-6"/>
        </w:rPr>
        <w:t> </w:t>
      </w:r>
      <w:r>
        <w:rPr/>
        <w:t>COVID-19</w:t>
      </w:r>
      <w:r>
        <w:rPr>
          <w:spacing w:val="-6"/>
        </w:rPr>
        <w:t> </w:t>
      </w:r>
      <w:r>
        <w:rPr/>
        <w:t>характеризуется</w:t>
      </w:r>
      <w:r>
        <w:rPr>
          <w:spacing w:val="-7"/>
        </w:rPr>
        <w:t> </w:t>
      </w:r>
      <w:r>
        <w:rPr/>
        <w:t>прогрессированием</w:t>
      </w:r>
      <w:r>
        <w:rPr>
          <w:spacing w:val="-7"/>
        </w:rPr>
        <w:t> </w:t>
      </w:r>
      <w:r>
        <w:rPr/>
        <w:t>дыхательной и полиорганной недостаточности. Рекомендовано:</w:t>
      </w:r>
    </w:p>
    <w:p>
      <w:pPr>
        <w:pStyle w:val="ListParagraph"/>
        <w:numPr>
          <w:ilvl w:val="0"/>
          <w:numId w:val="43"/>
        </w:numPr>
        <w:tabs>
          <w:tab w:pos="2124" w:val="left" w:leader="none"/>
        </w:tabs>
        <w:spacing w:line="273" w:lineRule="auto" w:before="0" w:after="0"/>
        <w:ind w:left="2124" w:right="1277" w:hanging="283"/>
        <w:jc w:val="both"/>
        <w:rPr>
          <w:sz w:val="24"/>
        </w:rPr>
      </w:pPr>
      <w:r>
        <w:rPr>
          <w:sz w:val="24"/>
        </w:rPr>
        <w:t>Контроль</w:t>
      </w:r>
      <w:r>
        <w:rPr>
          <w:spacing w:val="-11"/>
          <w:sz w:val="24"/>
        </w:rPr>
        <w:t> </w:t>
      </w:r>
      <w:r>
        <w:rPr>
          <w:sz w:val="24"/>
        </w:rPr>
        <w:t>гликемии</w:t>
      </w:r>
      <w:r>
        <w:rPr>
          <w:spacing w:val="-11"/>
          <w:sz w:val="24"/>
        </w:rPr>
        <w:t> </w:t>
      </w:r>
      <w:r>
        <w:rPr>
          <w:sz w:val="24"/>
        </w:rPr>
        <w:t>ежечасно</w:t>
      </w:r>
      <w:r>
        <w:rPr>
          <w:spacing w:val="-12"/>
          <w:sz w:val="24"/>
        </w:rPr>
        <w:t> </w:t>
      </w:r>
      <w:r>
        <w:rPr>
          <w:sz w:val="24"/>
        </w:rPr>
        <w:t>при</w:t>
      </w:r>
      <w:r>
        <w:rPr>
          <w:spacing w:val="-9"/>
          <w:sz w:val="24"/>
        </w:rPr>
        <w:t> </w:t>
      </w:r>
      <w:r>
        <w:rPr>
          <w:sz w:val="24"/>
        </w:rPr>
        <w:t>гликемии</w:t>
      </w:r>
      <w:r>
        <w:rPr>
          <w:spacing w:val="-11"/>
          <w:sz w:val="24"/>
        </w:rPr>
        <w:t> </w:t>
      </w:r>
      <w:r>
        <w:rPr>
          <w:sz w:val="24"/>
        </w:rPr>
        <w:t>выше</w:t>
      </w:r>
      <w:r>
        <w:rPr>
          <w:spacing w:val="-13"/>
          <w:sz w:val="24"/>
        </w:rPr>
        <w:t> </w:t>
      </w:r>
      <w:r>
        <w:rPr>
          <w:sz w:val="24"/>
        </w:rPr>
        <w:t>13,0</w:t>
      </w:r>
      <w:r>
        <w:rPr>
          <w:spacing w:val="-12"/>
          <w:sz w:val="24"/>
        </w:rPr>
        <w:t> </w:t>
      </w:r>
      <w:r>
        <w:rPr>
          <w:sz w:val="24"/>
        </w:rPr>
        <w:t>ммоль/л</w:t>
      </w:r>
      <w:r>
        <w:rPr>
          <w:spacing w:val="-11"/>
          <w:sz w:val="24"/>
        </w:rPr>
        <w:t> </w:t>
      </w:r>
      <w:r>
        <w:rPr>
          <w:sz w:val="24"/>
        </w:rPr>
        <w:t>или</w:t>
      </w:r>
      <w:r>
        <w:rPr>
          <w:spacing w:val="-13"/>
          <w:sz w:val="24"/>
        </w:rPr>
        <w:t> </w:t>
      </w:r>
      <w:r>
        <w:rPr>
          <w:sz w:val="24"/>
        </w:rPr>
        <w:t>каждые</w:t>
      </w:r>
      <w:r>
        <w:rPr>
          <w:spacing w:val="-13"/>
          <w:sz w:val="24"/>
        </w:rPr>
        <w:t> </w:t>
      </w:r>
      <w:r>
        <w:rPr>
          <w:sz w:val="24"/>
        </w:rPr>
        <w:t>3</w:t>
      </w:r>
      <w:r>
        <w:rPr>
          <w:spacing w:val="-12"/>
          <w:sz w:val="24"/>
        </w:rPr>
        <w:t> </w:t>
      </w:r>
      <w:r>
        <w:rPr>
          <w:sz w:val="24"/>
        </w:rPr>
        <w:t>ч</w:t>
      </w:r>
      <w:r>
        <w:rPr>
          <w:spacing w:val="-12"/>
          <w:sz w:val="24"/>
        </w:rPr>
        <w:t> </w:t>
      </w:r>
      <w:r>
        <w:rPr>
          <w:sz w:val="24"/>
        </w:rPr>
        <w:t>при гликемии</w:t>
      </w:r>
      <w:r>
        <w:rPr>
          <w:spacing w:val="-12"/>
          <w:sz w:val="24"/>
        </w:rPr>
        <w:t> </w:t>
      </w:r>
      <w:r>
        <w:rPr>
          <w:sz w:val="24"/>
        </w:rPr>
        <w:t>ниже</w:t>
      </w:r>
      <w:r>
        <w:rPr>
          <w:spacing w:val="-13"/>
          <w:sz w:val="24"/>
        </w:rPr>
        <w:t> </w:t>
      </w:r>
      <w:r>
        <w:rPr>
          <w:sz w:val="24"/>
        </w:rPr>
        <w:t>13,0</w:t>
      </w:r>
      <w:r>
        <w:rPr>
          <w:spacing w:val="-12"/>
          <w:sz w:val="24"/>
        </w:rPr>
        <w:t> </w:t>
      </w:r>
      <w:r>
        <w:rPr>
          <w:sz w:val="24"/>
        </w:rPr>
        <w:t>ммоль/л</w:t>
      </w:r>
      <w:r>
        <w:rPr>
          <w:spacing w:val="-12"/>
          <w:sz w:val="24"/>
        </w:rPr>
        <w:t> </w:t>
      </w:r>
      <w:r>
        <w:rPr>
          <w:sz w:val="24"/>
        </w:rPr>
        <w:t>для</w:t>
      </w:r>
      <w:r>
        <w:rPr>
          <w:spacing w:val="-12"/>
          <w:sz w:val="24"/>
        </w:rPr>
        <w:t> </w:t>
      </w:r>
      <w:r>
        <w:rPr>
          <w:sz w:val="24"/>
        </w:rPr>
        <w:t>коррекции</w:t>
      </w:r>
      <w:r>
        <w:rPr>
          <w:spacing w:val="-12"/>
          <w:sz w:val="24"/>
        </w:rPr>
        <w:t> </w:t>
      </w:r>
      <w:r>
        <w:rPr>
          <w:sz w:val="24"/>
        </w:rPr>
        <w:t>скорости</w:t>
      </w:r>
      <w:r>
        <w:rPr>
          <w:spacing w:val="-11"/>
          <w:sz w:val="24"/>
        </w:rPr>
        <w:t> </w:t>
      </w:r>
      <w:r>
        <w:rPr>
          <w:sz w:val="24"/>
        </w:rPr>
        <w:t>введения</w:t>
      </w:r>
      <w:r>
        <w:rPr>
          <w:spacing w:val="-12"/>
          <w:sz w:val="24"/>
        </w:rPr>
        <w:t> </w:t>
      </w:r>
      <w:r>
        <w:rPr>
          <w:sz w:val="24"/>
        </w:rPr>
        <w:t>инсулина,</w:t>
      </w:r>
      <w:r>
        <w:rPr>
          <w:spacing w:val="-12"/>
          <w:sz w:val="24"/>
        </w:rPr>
        <w:t> </w:t>
      </w:r>
      <w:r>
        <w:rPr>
          <w:sz w:val="24"/>
        </w:rPr>
        <w:t>контроль содержания кетонов в моче и лактата в крови проводится 2 раза в день.</w:t>
      </w:r>
    </w:p>
    <w:p>
      <w:pPr>
        <w:pStyle w:val="ListParagraph"/>
        <w:numPr>
          <w:ilvl w:val="0"/>
          <w:numId w:val="43"/>
        </w:numPr>
        <w:tabs>
          <w:tab w:pos="2124" w:val="left" w:leader="none"/>
        </w:tabs>
        <w:spacing w:line="273" w:lineRule="auto" w:before="1" w:after="0"/>
        <w:ind w:left="2124" w:right="1279" w:hanging="283"/>
        <w:jc w:val="both"/>
        <w:rPr>
          <w:sz w:val="24"/>
        </w:rPr>
      </w:pPr>
      <w:r>
        <w:rPr>
          <w:sz w:val="24"/>
        </w:rPr>
        <w:t>Отменить</w:t>
      </w:r>
      <w:r>
        <w:rPr>
          <w:spacing w:val="40"/>
          <w:sz w:val="24"/>
        </w:rPr>
        <w:t> </w:t>
      </w:r>
      <w:r>
        <w:rPr>
          <w:sz w:val="24"/>
        </w:rPr>
        <w:t>все</w:t>
      </w:r>
      <w:r>
        <w:rPr>
          <w:spacing w:val="40"/>
          <w:sz w:val="24"/>
        </w:rPr>
        <w:t> </w:t>
      </w:r>
      <w:r>
        <w:rPr>
          <w:sz w:val="24"/>
        </w:rPr>
        <w:t>неинсулиновые</w:t>
      </w:r>
      <w:r>
        <w:rPr>
          <w:spacing w:val="40"/>
          <w:sz w:val="24"/>
        </w:rPr>
        <w:t> </w:t>
      </w:r>
      <w:r>
        <w:rPr>
          <w:sz w:val="24"/>
        </w:rPr>
        <w:t>сахароснижающие</w:t>
      </w:r>
      <w:r>
        <w:rPr>
          <w:spacing w:val="40"/>
          <w:sz w:val="24"/>
        </w:rPr>
        <w:t> </w:t>
      </w:r>
      <w:r>
        <w:rPr>
          <w:sz w:val="24"/>
        </w:rPr>
        <w:t>препараты.</w:t>
      </w:r>
      <w:r>
        <w:rPr>
          <w:spacing w:val="40"/>
          <w:sz w:val="24"/>
        </w:rPr>
        <w:t> </w:t>
      </w:r>
      <w:r>
        <w:rPr>
          <w:sz w:val="24"/>
        </w:rPr>
        <w:t>Вводить</w:t>
      </w:r>
      <w:r>
        <w:rPr>
          <w:spacing w:val="40"/>
          <w:sz w:val="24"/>
        </w:rPr>
        <w:t> </w:t>
      </w:r>
      <w:r>
        <w:rPr>
          <w:sz w:val="24"/>
        </w:rPr>
        <w:t>инсулин</w:t>
      </w:r>
      <w:r>
        <w:rPr>
          <w:spacing w:val="80"/>
          <w:sz w:val="24"/>
        </w:rPr>
        <w:t> </w:t>
      </w:r>
      <w:r>
        <w:rPr>
          <w:sz w:val="24"/>
        </w:rPr>
        <w:t>в</w:t>
      </w:r>
      <w:r>
        <w:rPr>
          <w:spacing w:val="-10"/>
          <w:sz w:val="24"/>
        </w:rPr>
        <w:t> </w:t>
      </w:r>
      <w:r>
        <w:rPr>
          <w:sz w:val="24"/>
        </w:rPr>
        <w:t>базис-болюсном</w:t>
      </w:r>
      <w:r>
        <w:rPr>
          <w:spacing w:val="-10"/>
          <w:sz w:val="24"/>
        </w:rPr>
        <w:t> </w:t>
      </w:r>
      <w:r>
        <w:rPr>
          <w:sz w:val="24"/>
        </w:rPr>
        <w:t>режиме</w:t>
      </w:r>
      <w:r>
        <w:rPr>
          <w:spacing w:val="-10"/>
          <w:sz w:val="24"/>
        </w:rPr>
        <w:t> </w:t>
      </w:r>
      <w:r>
        <w:rPr>
          <w:sz w:val="24"/>
        </w:rPr>
        <w:t>подкожно</w:t>
      </w:r>
      <w:r>
        <w:rPr>
          <w:spacing w:val="-12"/>
          <w:sz w:val="24"/>
        </w:rPr>
        <w:t> </w:t>
      </w:r>
      <w:r>
        <w:rPr>
          <w:sz w:val="24"/>
        </w:rPr>
        <w:t>или</w:t>
      </w:r>
      <w:r>
        <w:rPr>
          <w:spacing w:val="-11"/>
          <w:sz w:val="24"/>
        </w:rPr>
        <w:t> </w:t>
      </w:r>
      <w:r>
        <w:rPr>
          <w:sz w:val="24"/>
        </w:rPr>
        <w:t>путем</w:t>
      </w:r>
      <w:r>
        <w:rPr>
          <w:spacing w:val="-13"/>
          <w:sz w:val="24"/>
        </w:rPr>
        <w:t> </w:t>
      </w:r>
      <w:r>
        <w:rPr>
          <w:sz w:val="24"/>
        </w:rPr>
        <w:t>внутривенной</w:t>
      </w:r>
      <w:r>
        <w:rPr>
          <w:spacing w:val="-11"/>
          <w:sz w:val="24"/>
        </w:rPr>
        <w:t> </w:t>
      </w:r>
      <w:r>
        <w:rPr>
          <w:sz w:val="24"/>
        </w:rPr>
        <w:t>инфузии</w:t>
      </w:r>
      <w:r>
        <w:rPr>
          <w:spacing w:val="-11"/>
          <w:sz w:val="24"/>
        </w:rPr>
        <w:t> </w:t>
      </w:r>
      <w:r>
        <w:rPr>
          <w:sz w:val="24"/>
        </w:rPr>
        <w:t>с</w:t>
      </w:r>
      <w:r>
        <w:rPr>
          <w:spacing w:val="-10"/>
          <w:sz w:val="24"/>
        </w:rPr>
        <w:t> </w:t>
      </w:r>
      <w:r>
        <w:rPr>
          <w:sz w:val="24"/>
        </w:rPr>
        <w:t>поомщью </w:t>
      </w:r>
      <w:r>
        <w:rPr>
          <w:spacing w:val="-2"/>
          <w:sz w:val="24"/>
        </w:rPr>
        <w:t>инфузомата</w:t>
      </w:r>
    </w:p>
    <w:p>
      <w:pPr>
        <w:pStyle w:val="BodyText"/>
        <w:spacing w:before="17"/>
      </w:pPr>
      <w:r>
        <w:rPr/>
        <w:t>Целевые</w:t>
      </w:r>
      <w:r>
        <w:rPr>
          <w:spacing w:val="-9"/>
        </w:rPr>
        <w:t> </w:t>
      </w:r>
      <w:r>
        <w:rPr/>
        <w:t>показатели</w:t>
      </w:r>
      <w:r>
        <w:rPr>
          <w:spacing w:val="-8"/>
        </w:rPr>
        <w:t> </w:t>
      </w:r>
      <w:r>
        <w:rPr/>
        <w:t>гликемии</w:t>
      </w:r>
      <w:r>
        <w:rPr>
          <w:spacing w:val="-8"/>
        </w:rPr>
        <w:t> </w:t>
      </w:r>
      <w:r>
        <w:rPr/>
        <w:t>10</w:t>
      </w:r>
      <w:r>
        <w:rPr>
          <w:spacing w:val="-6"/>
        </w:rPr>
        <w:t> </w:t>
      </w:r>
      <w:r>
        <w:rPr/>
        <w:t>–</w:t>
      </w:r>
      <w:r>
        <w:rPr>
          <w:spacing w:val="-9"/>
        </w:rPr>
        <w:t> </w:t>
      </w:r>
      <w:r>
        <w:rPr/>
        <w:t>13</w:t>
      </w:r>
      <w:r>
        <w:rPr>
          <w:spacing w:val="-8"/>
        </w:rPr>
        <w:t> </w:t>
      </w:r>
      <w:r>
        <w:rPr>
          <w:spacing w:val="-2"/>
        </w:rPr>
        <w:t>ммоль/л</w:t>
      </w:r>
    </w:p>
    <w:p>
      <w:pPr>
        <w:pStyle w:val="BodyText"/>
        <w:spacing w:before="4"/>
        <w:ind w:left="0"/>
        <w:jc w:val="left"/>
      </w:pPr>
    </w:p>
    <w:p>
      <w:pPr>
        <w:pStyle w:val="Heading3"/>
        <w:jc w:val="left"/>
      </w:pPr>
      <w:r>
        <w:rPr>
          <w:color w:val="1F487C"/>
        </w:rPr>
        <w:t>Особенности</w:t>
      </w:r>
      <w:r>
        <w:rPr>
          <w:color w:val="1F487C"/>
          <w:spacing w:val="-11"/>
        </w:rPr>
        <w:t> </w:t>
      </w:r>
      <w:r>
        <w:rPr>
          <w:color w:val="1F487C"/>
        </w:rPr>
        <w:t>лечения</w:t>
      </w:r>
      <w:r>
        <w:rPr>
          <w:color w:val="1F487C"/>
          <w:spacing w:val="-7"/>
        </w:rPr>
        <w:t> </w:t>
      </w:r>
      <w:r>
        <w:rPr>
          <w:color w:val="1F487C"/>
        </w:rPr>
        <w:t>COVID-19</w:t>
      </w:r>
      <w:r>
        <w:rPr>
          <w:color w:val="1F487C"/>
          <w:spacing w:val="-11"/>
        </w:rPr>
        <w:t> </w:t>
      </w:r>
      <w:r>
        <w:rPr>
          <w:color w:val="1F487C"/>
        </w:rPr>
        <w:t>у</w:t>
      </w:r>
      <w:r>
        <w:rPr>
          <w:color w:val="1F487C"/>
          <w:spacing w:val="-11"/>
        </w:rPr>
        <w:t> </w:t>
      </w:r>
      <w:r>
        <w:rPr>
          <w:color w:val="1F487C"/>
        </w:rPr>
        <w:t>пациентов</w:t>
      </w:r>
      <w:r>
        <w:rPr>
          <w:color w:val="1F487C"/>
          <w:spacing w:val="-11"/>
        </w:rPr>
        <w:t> </w:t>
      </w:r>
      <w:r>
        <w:rPr>
          <w:color w:val="1F487C"/>
        </w:rPr>
        <w:t>с</w:t>
      </w:r>
      <w:r>
        <w:rPr>
          <w:color w:val="1F487C"/>
          <w:spacing w:val="-11"/>
        </w:rPr>
        <w:t> </w:t>
      </w:r>
      <w:r>
        <w:rPr>
          <w:color w:val="1F487C"/>
          <w:spacing w:val="-5"/>
        </w:rPr>
        <w:t>СД:</w:t>
      </w:r>
    </w:p>
    <w:p>
      <w:pPr>
        <w:pStyle w:val="ListParagraph"/>
        <w:numPr>
          <w:ilvl w:val="1"/>
          <w:numId w:val="43"/>
        </w:numPr>
        <w:tabs>
          <w:tab w:pos="2559" w:val="left" w:leader="none"/>
          <w:tab w:pos="2561" w:val="left" w:leader="none"/>
        </w:tabs>
        <w:spacing w:line="276" w:lineRule="auto" w:before="161" w:after="0"/>
        <w:ind w:left="2561" w:right="1329" w:hanging="360"/>
        <w:jc w:val="both"/>
        <w:rPr>
          <w:sz w:val="24"/>
        </w:rPr>
      </w:pPr>
      <w:r>
        <w:rPr>
          <w:sz w:val="24"/>
        </w:rPr>
        <w:t>Пациенты с СД находятся в группе высокого риска присоединения бактериальной инфекции.</w:t>
      </w:r>
    </w:p>
    <w:p>
      <w:pPr>
        <w:pStyle w:val="ListParagraph"/>
        <w:numPr>
          <w:ilvl w:val="1"/>
          <w:numId w:val="43"/>
        </w:numPr>
        <w:tabs>
          <w:tab w:pos="2559" w:val="left" w:leader="none"/>
          <w:tab w:pos="2561" w:val="left" w:leader="none"/>
        </w:tabs>
        <w:spacing w:line="276" w:lineRule="auto" w:before="1" w:after="0"/>
        <w:ind w:left="2561" w:right="1332" w:hanging="360"/>
        <w:jc w:val="both"/>
        <w:rPr>
          <w:sz w:val="24"/>
        </w:rPr>
      </w:pPr>
      <w:r>
        <w:rPr>
          <w:sz w:val="24"/>
        </w:rPr>
        <w:t>При назначении терапии ГКС следует ожидать повышения гликемии. Необходимо проводить контроль каждые 3 ч, увеличить скорость подачи инсулина по данным контроля гликемии (доза инсулина может быть увеличена в 2-3 раза в сравнении с исходной).</w:t>
      </w:r>
    </w:p>
    <w:p>
      <w:pPr>
        <w:pStyle w:val="ListParagraph"/>
        <w:numPr>
          <w:ilvl w:val="1"/>
          <w:numId w:val="43"/>
        </w:numPr>
        <w:tabs>
          <w:tab w:pos="2559" w:val="left" w:leader="none"/>
          <w:tab w:pos="2561" w:val="left" w:leader="none"/>
        </w:tabs>
        <w:spacing w:line="276" w:lineRule="auto" w:before="0" w:after="0"/>
        <w:ind w:left="2561" w:right="1331" w:hanging="360"/>
        <w:jc w:val="both"/>
        <w:rPr>
          <w:sz w:val="24"/>
        </w:rPr>
      </w:pPr>
      <w:r>
        <w:rPr>
          <w:sz w:val="24"/>
        </w:rPr>
        <w:t>Для пациентов с СД характерно более быстрое развитие ОРДС. Обосновано ранее упреждающее назначение моноклональных антител для терапии цитокинового шторма. Необходимо проводить мониторинг клинических маркеров интерлейкинового воспаления для своевременного назначения </w:t>
      </w:r>
      <w:r>
        <w:rPr>
          <w:spacing w:val="-2"/>
          <w:sz w:val="24"/>
        </w:rPr>
        <w:t>терапии.</w:t>
      </w:r>
    </w:p>
    <w:p>
      <w:pPr>
        <w:pStyle w:val="ListParagraph"/>
        <w:spacing w:after="0" w:line="276" w:lineRule="auto"/>
        <w:jc w:val="both"/>
        <w:rPr>
          <w:sz w:val="24"/>
        </w:rPr>
        <w:sectPr>
          <w:pgSz w:w="11900" w:h="16840"/>
          <w:pgMar w:header="0" w:footer="697" w:top="1080" w:bottom="880" w:left="0" w:right="0"/>
        </w:sectPr>
      </w:pPr>
    </w:p>
    <w:p>
      <w:pPr>
        <w:pStyle w:val="ListParagraph"/>
        <w:numPr>
          <w:ilvl w:val="1"/>
          <w:numId w:val="43"/>
        </w:numPr>
        <w:tabs>
          <w:tab w:pos="2559" w:val="left" w:leader="none"/>
          <w:tab w:pos="2561" w:val="left" w:leader="none"/>
        </w:tabs>
        <w:spacing w:line="276" w:lineRule="auto" w:before="73" w:after="0"/>
        <w:ind w:left="2561" w:right="1329" w:hanging="360"/>
        <w:jc w:val="both"/>
        <w:rPr>
          <w:sz w:val="24"/>
        </w:rPr>
      </w:pPr>
      <w:bookmarkStart w:name="90" w:id="107"/>
      <w:bookmarkEnd w:id="107"/>
      <w:r>
        <w:rPr/>
      </w:r>
      <w:r>
        <w:rPr>
          <w:sz w:val="24"/>
        </w:rPr>
        <w:t>Имеются высокие риски развития гиперкоагуляционного синдрома. Назначение антикоагулянтов является обязательным при использовании соответствующих схем лечения.</w:t>
      </w:r>
    </w:p>
    <w:p>
      <w:pPr>
        <w:pStyle w:val="BodyText"/>
        <w:spacing w:before="40"/>
        <w:ind w:left="0"/>
        <w:jc w:val="left"/>
      </w:pPr>
    </w:p>
    <w:p>
      <w:pPr>
        <w:pStyle w:val="BodyText"/>
        <w:ind w:left="2549"/>
        <w:jc w:val="left"/>
      </w:pPr>
      <w:r>
        <w:rPr/>
        <w:t>При</w:t>
      </w:r>
      <w:r>
        <w:rPr>
          <w:spacing w:val="-10"/>
        </w:rPr>
        <w:t> </w:t>
      </w:r>
      <w:r>
        <w:rPr/>
        <w:t>выписке</w:t>
      </w:r>
      <w:r>
        <w:rPr>
          <w:spacing w:val="-10"/>
        </w:rPr>
        <w:t> </w:t>
      </w:r>
      <w:r>
        <w:rPr/>
        <w:t>пациентов</w:t>
      </w:r>
      <w:r>
        <w:rPr>
          <w:spacing w:val="-10"/>
        </w:rPr>
        <w:t> </w:t>
      </w:r>
      <w:r>
        <w:rPr/>
        <w:t>из</w:t>
      </w:r>
      <w:r>
        <w:rPr>
          <w:spacing w:val="-9"/>
        </w:rPr>
        <w:t> </w:t>
      </w:r>
      <w:r>
        <w:rPr>
          <w:spacing w:val="-2"/>
        </w:rPr>
        <w:t>стационара:</w:t>
      </w:r>
    </w:p>
    <w:p>
      <w:pPr>
        <w:pStyle w:val="ListParagraph"/>
        <w:numPr>
          <w:ilvl w:val="0"/>
          <w:numId w:val="44"/>
        </w:numPr>
        <w:tabs>
          <w:tab w:pos="2124" w:val="left" w:leader="none"/>
          <w:tab w:pos="3934" w:val="left" w:leader="none"/>
          <w:tab w:pos="5460" w:val="left" w:leader="none"/>
          <w:tab w:pos="6773" w:val="left" w:leader="none"/>
          <w:tab w:pos="8324" w:val="left" w:leader="none"/>
          <w:tab w:pos="9536" w:val="left" w:leader="none"/>
          <w:tab w:pos="10017" w:val="left" w:leader="none"/>
        </w:tabs>
        <w:spacing w:line="264" w:lineRule="auto" w:before="42" w:after="0"/>
        <w:ind w:left="2124" w:right="1280" w:hanging="360"/>
        <w:jc w:val="left"/>
        <w:rPr>
          <w:sz w:val="24"/>
        </w:rPr>
      </w:pPr>
      <w:r>
        <w:rPr>
          <w:spacing w:val="-2"/>
          <w:sz w:val="24"/>
        </w:rPr>
        <w:t>Предусмотреть</w:t>
      </w:r>
      <w:r>
        <w:rPr>
          <w:sz w:val="24"/>
        </w:rPr>
        <w:tab/>
      </w:r>
      <w:r>
        <w:rPr>
          <w:spacing w:val="-2"/>
          <w:sz w:val="24"/>
        </w:rPr>
        <w:t>обеспечение</w:t>
      </w:r>
      <w:r>
        <w:rPr>
          <w:sz w:val="24"/>
        </w:rPr>
        <w:tab/>
      </w:r>
      <w:r>
        <w:rPr>
          <w:spacing w:val="-2"/>
          <w:sz w:val="24"/>
        </w:rPr>
        <w:t>пациентов</w:t>
      </w:r>
      <w:r>
        <w:rPr>
          <w:sz w:val="24"/>
        </w:rPr>
        <w:tab/>
      </w:r>
      <w:r>
        <w:rPr>
          <w:spacing w:val="-2"/>
          <w:sz w:val="24"/>
        </w:rPr>
        <w:t>препаратами</w:t>
      </w:r>
      <w:r>
        <w:rPr>
          <w:sz w:val="24"/>
        </w:rPr>
        <w:tab/>
      </w:r>
      <w:r>
        <w:rPr>
          <w:spacing w:val="-2"/>
          <w:sz w:val="24"/>
        </w:rPr>
        <w:t>инсулина</w:t>
      </w:r>
      <w:r>
        <w:rPr>
          <w:sz w:val="24"/>
        </w:rPr>
        <w:tab/>
      </w:r>
      <w:r>
        <w:rPr>
          <w:spacing w:val="-6"/>
          <w:sz w:val="24"/>
        </w:rPr>
        <w:t>на</w:t>
      </w:r>
      <w:r>
        <w:rPr>
          <w:sz w:val="24"/>
        </w:rPr>
        <w:tab/>
      </w:r>
      <w:r>
        <w:rPr>
          <w:spacing w:val="-2"/>
          <w:sz w:val="24"/>
        </w:rPr>
        <w:t>время самоизоляции;</w:t>
      </w:r>
    </w:p>
    <w:p>
      <w:pPr>
        <w:pStyle w:val="ListParagraph"/>
        <w:numPr>
          <w:ilvl w:val="0"/>
          <w:numId w:val="44"/>
        </w:numPr>
        <w:tabs>
          <w:tab w:pos="2124" w:val="left" w:leader="none"/>
        </w:tabs>
        <w:spacing w:line="264" w:lineRule="auto" w:before="13" w:after="0"/>
        <w:ind w:left="2124" w:right="1276" w:hanging="360"/>
        <w:jc w:val="left"/>
        <w:rPr>
          <w:sz w:val="24"/>
        </w:rPr>
      </w:pPr>
      <w:r>
        <w:rPr>
          <w:sz w:val="24"/>
        </w:rPr>
        <w:t>Возможно</w:t>
      </w:r>
      <w:r>
        <w:rPr>
          <w:spacing w:val="40"/>
          <w:sz w:val="24"/>
        </w:rPr>
        <w:t> </w:t>
      </w:r>
      <w:r>
        <w:rPr>
          <w:sz w:val="24"/>
        </w:rPr>
        <w:t>возобновить</w:t>
      </w:r>
      <w:r>
        <w:rPr>
          <w:spacing w:val="40"/>
          <w:sz w:val="24"/>
        </w:rPr>
        <w:t> </w:t>
      </w:r>
      <w:r>
        <w:rPr>
          <w:sz w:val="24"/>
        </w:rPr>
        <w:t>прием</w:t>
      </w:r>
      <w:r>
        <w:rPr>
          <w:spacing w:val="40"/>
          <w:sz w:val="24"/>
        </w:rPr>
        <w:t> </w:t>
      </w:r>
      <w:r>
        <w:rPr>
          <w:sz w:val="24"/>
        </w:rPr>
        <w:t>метформина,</w:t>
      </w:r>
      <w:r>
        <w:rPr>
          <w:spacing w:val="40"/>
          <w:sz w:val="24"/>
        </w:rPr>
        <w:t> </w:t>
      </w:r>
      <w:r>
        <w:rPr>
          <w:sz w:val="24"/>
        </w:rPr>
        <w:t>арГПП-1</w:t>
      </w:r>
      <w:r>
        <w:rPr>
          <w:spacing w:val="40"/>
          <w:sz w:val="24"/>
        </w:rPr>
        <w:t> </w:t>
      </w:r>
      <w:r>
        <w:rPr>
          <w:sz w:val="24"/>
        </w:rPr>
        <w:t>и</w:t>
      </w:r>
      <w:r>
        <w:rPr>
          <w:spacing w:val="40"/>
          <w:sz w:val="24"/>
        </w:rPr>
        <w:t> </w:t>
      </w:r>
      <w:r>
        <w:rPr>
          <w:sz w:val="24"/>
        </w:rPr>
        <w:t>НГЛТ2</w:t>
      </w:r>
      <w:r>
        <w:rPr>
          <w:spacing w:val="40"/>
          <w:sz w:val="24"/>
        </w:rPr>
        <w:t> </w:t>
      </w:r>
      <w:r>
        <w:rPr>
          <w:sz w:val="24"/>
        </w:rPr>
        <w:t>через</w:t>
      </w:r>
      <w:r>
        <w:rPr>
          <w:spacing w:val="40"/>
          <w:sz w:val="24"/>
        </w:rPr>
        <w:t> </w:t>
      </w:r>
      <w:r>
        <w:rPr>
          <w:sz w:val="24"/>
        </w:rPr>
        <w:t>2</w:t>
      </w:r>
      <w:r>
        <w:rPr>
          <w:spacing w:val="40"/>
          <w:sz w:val="24"/>
        </w:rPr>
        <w:t> </w:t>
      </w:r>
      <w:r>
        <w:rPr>
          <w:sz w:val="24"/>
        </w:rPr>
        <w:t>недели в случае полной реконвалесценции пациента;</w:t>
      </w:r>
    </w:p>
    <w:p>
      <w:pPr>
        <w:pStyle w:val="ListParagraph"/>
        <w:numPr>
          <w:ilvl w:val="0"/>
          <w:numId w:val="44"/>
        </w:numPr>
        <w:tabs>
          <w:tab w:pos="2124" w:val="left" w:leader="none"/>
        </w:tabs>
        <w:spacing w:line="240" w:lineRule="auto" w:before="14" w:after="0"/>
        <w:ind w:left="2124" w:right="0" w:hanging="359"/>
        <w:jc w:val="left"/>
        <w:rPr>
          <w:sz w:val="24"/>
        </w:rPr>
      </w:pPr>
      <w:r>
        <w:rPr>
          <w:sz w:val="24"/>
        </w:rPr>
        <w:t>Продолжение</w:t>
      </w:r>
      <w:r>
        <w:rPr>
          <w:spacing w:val="-15"/>
          <w:sz w:val="24"/>
        </w:rPr>
        <w:t> </w:t>
      </w:r>
      <w:r>
        <w:rPr>
          <w:sz w:val="24"/>
        </w:rPr>
        <w:t>антикоагулянтов</w:t>
      </w:r>
      <w:r>
        <w:rPr>
          <w:spacing w:val="-15"/>
          <w:sz w:val="24"/>
        </w:rPr>
        <w:t> </w:t>
      </w:r>
      <w:r>
        <w:rPr>
          <w:sz w:val="24"/>
        </w:rPr>
        <w:t>до</w:t>
      </w:r>
      <w:r>
        <w:rPr>
          <w:spacing w:val="-15"/>
          <w:sz w:val="24"/>
        </w:rPr>
        <w:t> </w:t>
      </w:r>
      <w:r>
        <w:rPr>
          <w:sz w:val="24"/>
        </w:rPr>
        <w:t>полного</w:t>
      </w:r>
      <w:r>
        <w:rPr>
          <w:spacing w:val="-15"/>
          <w:sz w:val="24"/>
        </w:rPr>
        <w:t> </w:t>
      </w:r>
      <w:r>
        <w:rPr>
          <w:spacing w:val="-2"/>
          <w:sz w:val="24"/>
        </w:rPr>
        <w:t>выздоровления.</w:t>
      </w:r>
    </w:p>
    <w:p>
      <w:pPr>
        <w:pStyle w:val="Heading3"/>
        <w:spacing w:before="272"/>
        <w:jc w:val="left"/>
      </w:pPr>
      <w:r>
        <w:rPr>
          <w:color w:val="1F487C"/>
          <w:spacing w:val="-2"/>
        </w:rPr>
        <w:t>Пациенты</w:t>
      </w:r>
      <w:r>
        <w:rPr>
          <w:color w:val="1F487C"/>
          <w:spacing w:val="1"/>
        </w:rPr>
        <w:t> </w:t>
      </w:r>
      <w:r>
        <w:rPr>
          <w:color w:val="1F487C"/>
          <w:spacing w:val="-2"/>
        </w:rPr>
        <w:t>с</w:t>
      </w:r>
      <w:r>
        <w:rPr>
          <w:color w:val="1F487C"/>
          <w:spacing w:val="1"/>
        </w:rPr>
        <w:t> </w:t>
      </w:r>
      <w:r>
        <w:rPr>
          <w:color w:val="1F487C"/>
          <w:spacing w:val="-2"/>
        </w:rPr>
        <w:t>хронической</w:t>
      </w:r>
      <w:r>
        <w:rPr>
          <w:color w:val="1F487C"/>
          <w:spacing w:val="1"/>
        </w:rPr>
        <w:t> </w:t>
      </w:r>
      <w:r>
        <w:rPr>
          <w:color w:val="1F487C"/>
          <w:spacing w:val="-2"/>
        </w:rPr>
        <w:t>обструктивной</w:t>
      </w:r>
      <w:r>
        <w:rPr>
          <w:color w:val="1F487C"/>
          <w:spacing w:val="2"/>
        </w:rPr>
        <w:t> </w:t>
      </w:r>
      <w:r>
        <w:rPr>
          <w:color w:val="1F487C"/>
          <w:spacing w:val="-2"/>
        </w:rPr>
        <w:t>болезнью</w:t>
      </w:r>
      <w:r>
        <w:rPr>
          <w:color w:val="1F487C"/>
        </w:rPr>
        <w:t> </w:t>
      </w:r>
      <w:r>
        <w:rPr>
          <w:color w:val="1F487C"/>
          <w:spacing w:val="-2"/>
        </w:rPr>
        <w:t>легких</w:t>
      </w:r>
    </w:p>
    <w:p>
      <w:pPr>
        <w:pStyle w:val="BodyText"/>
        <w:spacing w:line="276" w:lineRule="auto" w:before="161"/>
        <w:ind w:right="1273" w:firstLine="707"/>
      </w:pPr>
      <w:r>
        <w:rPr/>
        <w:t>Хроническая обструктивная болезнь легких (ХОБЛ) – заболевание, характеризующееся поражением бронхиального дерева, преимущественно малых бронхов, и развитием различных форм эмфиземы легких, что ведет к снижению скорости</w:t>
      </w:r>
      <w:r>
        <w:rPr>
          <w:spacing w:val="-2"/>
        </w:rPr>
        <w:t> </w:t>
      </w:r>
      <w:r>
        <w:rPr/>
        <w:t>воздушного</w:t>
      </w:r>
      <w:r>
        <w:rPr>
          <w:spacing w:val="-5"/>
        </w:rPr>
        <w:t> </w:t>
      </w:r>
      <w:r>
        <w:rPr/>
        <w:t>потока</w:t>
      </w:r>
      <w:r>
        <w:rPr>
          <w:spacing w:val="-3"/>
        </w:rPr>
        <w:t> </w:t>
      </w:r>
      <w:r>
        <w:rPr/>
        <w:t>в</w:t>
      </w:r>
      <w:r>
        <w:rPr>
          <w:spacing w:val="-3"/>
        </w:rPr>
        <w:t> </w:t>
      </w:r>
      <w:r>
        <w:rPr/>
        <w:t>респираторном</w:t>
      </w:r>
      <w:r>
        <w:rPr>
          <w:spacing w:val="-5"/>
        </w:rPr>
        <w:t> </w:t>
      </w:r>
      <w:r>
        <w:rPr/>
        <w:t>тракте</w:t>
      </w:r>
      <w:r>
        <w:rPr>
          <w:spacing w:val="-3"/>
        </w:rPr>
        <w:t> </w:t>
      </w:r>
      <w:r>
        <w:rPr/>
        <w:t>и</w:t>
      </w:r>
      <w:r>
        <w:rPr>
          <w:spacing w:val="-2"/>
        </w:rPr>
        <w:t> </w:t>
      </w:r>
      <w:r>
        <w:rPr/>
        <w:t>клинически –</w:t>
      </w:r>
      <w:r>
        <w:rPr>
          <w:spacing w:val="-5"/>
        </w:rPr>
        <w:t> </w:t>
      </w:r>
      <w:r>
        <w:rPr/>
        <w:t>возникновению одышки. Основной причиной болезни является курение, в редких случаях – другие экзогенные воздействия.</w:t>
      </w:r>
    </w:p>
    <w:p>
      <w:pPr>
        <w:pStyle w:val="BodyText"/>
        <w:spacing w:line="276" w:lineRule="auto"/>
        <w:ind w:right="1271" w:firstLine="707"/>
      </w:pPr>
      <w:r>
        <w:rPr/>
        <w:t>При выявлении у пациента с ХОБЛ COVID-19 развитие дыхательной недостаточности может прогрессировать быстрее, что требует особого наблюдения за</w:t>
      </w:r>
      <w:r>
        <w:rPr>
          <w:spacing w:val="-4"/>
        </w:rPr>
        <w:t> </w:t>
      </w:r>
      <w:r>
        <w:rPr/>
        <w:t>этими пациентами и оценки уровня газообмена. В период лечения требуется продолжение</w:t>
      </w:r>
      <w:r>
        <w:rPr>
          <w:spacing w:val="40"/>
        </w:rPr>
        <w:t> </w:t>
      </w:r>
      <w:r>
        <w:rPr/>
        <w:t>базисной</w:t>
      </w:r>
      <w:r>
        <w:rPr>
          <w:spacing w:val="40"/>
        </w:rPr>
        <w:t> </w:t>
      </w:r>
      <w:r>
        <w:rPr/>
        <w:t>терапии</w:t>
      </w:r>
      <w:r>
        <w:rPr>
          <w:spacing w:val="40"/>
        </w:rPr>
        <w:t> </w:t>
      </w:r>
      <w:r>
        <w:rPr/>
        <w:t>бронхолитиками</w:t>
      </w:r>
      <w:r>
        <w:rPr>
          <w:spacing w:val="40"/>
        </w:rPr>
        <w:t> </w:t>
      </w:r>
      <w:r>
        <w:rPr/>
        <w:t>длительного</w:t>
      </w:r>
      <w:r>
        <w:rPr>
          <w:spacing w:val="40"/>
        </w:rPr>
        <w:t> </w:t>
      </w:r>
      <w:r>
        <w:rPr/>
        <w:t>действия,</w:t>
      </w:r>
      <w:r>
        <w:rPr>
          <w:spacing w:val="40"/>
        </w:rPr>
        <w:t> </w:t>
      </w:r>
      <w:r>
        <w:rPr/>
        <w:t>если</w:t>
      </w:r>
      <w:r>
        <w:rPr>
          <w:spacing w:val="40"/>
        </w:rPr>
        <w:t> </w:t>
      </w:r>
      <w:r>
        <w:rPr/>
        <w:t>они не</w:t>
      </w:r>
      <w:r>
        <w:rPr>
          <w:spacing w:val="-5"/>
        </w:rPr>
        <w:t> </w:t>
      </w:r>
      <w:r>
        <w:rPr/>
        <w:t>были назначены, их необходимо ввести в общую схему. Ингаляционные ГКС должны использоваться в виде дозированных аэрозолей или порошков. Небулайзерная терапия должна избегаться и применяться лишь по жизненным показаниям с</w:t>
      </w:r>
      <w:r>
        <w:rPr>
          <w:spacing w:val="-6"/>
        </w:rPr>
        <w:t> </w:t>
      </w:r>
      <w:r>
        <w:rPr/>
        <w:t>соблюдением мер предосторожности распространения инфекции через аэрозоль. Системные ГКС должны применяться по правилам лечения обострения </w:t>
      </w:r>
      <w:r>
        <w:rPr>
          <w:spacing w:val="-2"/>
        </w:rPr>
        <w:t>ХОБЛ.</w:t>
      </w:r>
    </w:p>
    <w:p>
      <w:pPr>
        <w:pStyle w:val="Heading3"/>
        <w:spacing w:before="236"/>
        <w:jc w:val="left"/>
      </w:pPr>
      <w:r>
        <w:rPr>
          <w:color w:val="1F487C"/>
        </w:rPr>
        <w:t>Пациенты</w:t>
      </w:r>
      <w:r>
        <w:rPr>
          <w:color w:val="1F487C"/>
          <w:spacing w:val="-13"/>
        </w:rPr>
        <w:t> </w:t>
      </w:r>
      <w:r>
        <w:rPr>
          <w:color w:val="1F487C"/>
        </w:rPr>
        <w:t>с</w:t>
      </w:r>
      <w:r>
        <w:rPr>
          <w:color w:val="1F487C"/>
          <w:spacing w:val="-14"/>
        </w:rPr>
        <w:t> </w:t>
      </w:r>
      <w:r>
        <w:rPr>
          <w:color w:val="1F487C"/>
        </w:rPr>
        <w:t>бронхиальной</w:t>
      </w:r>
      <w:r>
        <w:rPr>
          <w:color w:val="1F487C"/>
          <w:spacing w:val="-12"/>
        </w:rPr>
        <w:t> </w:t>
      </w:r>
      <w:r>
        <w:rPr>
          <w:color w:val="1F487C"/>
          <w:spacing w:val="-2"/>
        </w:rPr>
        <w:t>астмой</w:t>
      </w:r>
    </w:p>
    <w:p>
      <w:pPr>
        <w:pStyle w:val="BodyText"/>
        <w:spacing w:line="276" w:lineRule="auto" w:before="160"/>
        <w:ind w:right="1271" w:firstLine="707"/>
      </w:pPr>
      <w:r>
        <w:rPr/>
        <w:t>При выявлении COVID-19 у пациентов с бронхиальной астмой базисная терапия,</w:t>
      </w:r>
      <w:r>
        <w:rPr>
          <w:spacing w:val="27"/>
        </w:rPr>
        <w:t> </w:t>
      </w:r>
      <w:r>
        <w:rPr/>
        <w:t>в</w:t>
      </w:r>
      <w:r>
        <w:rPr>
          <w:spacing w:val="27"/>
        </w:rPr>
        <w:t> </w:t>
      </w:r>
      <w:r>
        <w:rPr/>
        <w:t>том</w:t>
      </w:r>
      <w:r>
        <w:rPr>
          <w:spacing w:val="27"/>
        </w:rPr>
        <w:t> </w:t>
      </w:r>
      <w:r>
        <w:rPr/>
        <w:t>числе</w:t>
      </w:r>
      <w:r>
        <w:rPr>
          <w:spacing w:val="27"/>
        </w:rPr>
        <w:t> </w:t>
      </w:r>
      <w:r>
        <w:rPr/>
        <w:t>топическими</w:t>
      </w:r>
      <w:r>
        <w:rPr>
          <w:spacing w:val="28"/>
        </w:rPr>
        <w:t> </w:t>
      </w:r>
      <w:r>
        <w:rPr/>
        <w:t>ГКС,</w:t>
      </w:r>
      <w:r>
        <w:rPr>
          <w:spacing w:val="28"/>
        </w:rPr>
        <w:t> </w:t>
      </w:r>
      <w:r>
        <w:rPr/>
        <w:t>должна</w:t>
      </w:r>
      <w:r>
        <w:rPr>
          <w:spacing w:val="26"/>
        </w:rPr>
        <w:t> </w:t>
      </w:r>
      <w:r>
        <w:rPr/>
        <w:t>сохраняться</w:t>
      </w:r>
      <w:r>
        <w:rPr>
          <w:spacing w:val="27"/>
        </w:rPr>
        <w:t> </w:t>
      </w:r>
      <w:r>
        <w:rPr/>
        <w:t>в</w:t>
      </w:r>
      <w:r>
        <w:rPr>
          <w:spacing w:val="27"/>
        </w:rPr>
        <w:t> </w:t>
      </w:r>
      <w:r>
        <w:rPr/>
        <w:t>том</w:t>
      </w:r>
      <w:r>
        <w:rPr>
          <w:spacing w:val="25"/>
        </w:rPr>
        <w:t> </w:t>
      </w:r>
      <w:r>
        <w:rPr/>
        <w:t>же</w:t>
      </w:r>
      <w:r>
        <w:rPr>
          <w:spacing w:val="26"/>
        </w:rPr>
        <w:t> </w:t>
      </w:r>
      <w:r>
        <w:rPr/>
        <w:t>объеме,</w:t>
      </w:r>
      <w:r>
        <w:rPr>
          <w:spacing w:val="27"/>
        </w:rPr>
        <w:t> </w:t>
      </w:r>
      <w:r>
        <w:rPr/>
        <w:t>что и</w:t>
      </w:r>
      <w:r>
        <w:rPr>
          <w:spacing w:val="-2"/>
        </w:rPr>
        <w:t> </w:t>
      </w:r>
      <w:r>
        <w:rPr/>
        <w:t>до</w:t>
      </w:r>
      <w:r>
        <w:rPr>
          <w:spacing w:val="-3"/>
        </w:rPr>
        <w:t> </w:t>
      </w:r>
      <w:r>
        <w:rPr/>
        <w:t>заболевания. Лечение обострений бронхиальной астмы проводится по общим правилам. Ограничения к небулайзерной терапии такие же, как и для ХОБЛ. Если пациент применял биологическую терапию, ему необходимо продолжение этого лечения, так как противопоказаний для введения препаратов иммунобиологической терапии нет.</w:t>
      </w:r>
    </w:p>
    <w:p>
      <w:pPr>
        <w:pStyle w:val="Heading3"/>
        <w:spacing w:before="239"/>
        <w:jc w:val="left"/>
      </w:pPr>
      <w:r>
        <w:rPr>
          <w:color w:val="1F487C"/>
        </w:rPr>
        <w:t>Пациенты</w:t>
      </w:r>
      <w:r>
        <w:rPr>
          <w:color w:val="1F487C"/>
          <w:spacing w:val="-8"/>
        </w:rPr>
        <w:t> </w:t>
      </w:r>
      <w:r>
        <w:rPr>
          <w:color w:val="1F487C"/>
        </w:rPr>
        <w:t>с</w:t>
      </w:r>
      <w:r>
        <w:rPr>
          <w:color w:val="1F487C"/>
          <w:spacing w:val="-8"/>
        </w:rPr>
        <w:t> </w:t>
      </w:r>
      <w:r>
        <w:rPr>
          <w:color w:val="1F487C"/>
          <w:spacing w:val="-2"/>
        </w:rPr>
        <w:t>туберкулезом</w:t>
      </w:r>
    </w:p>
    <w:p>
      <w:pPr>
        <w:pStyle w:val="BodyText"/>
        <w:spacing w:line="276" w:lineRule="auto" w:before="160"/>
        <w:ind w:right="1273" w:firstLine="707"/>
      </w:pPr>
      <w:r>
        <w:rPr>
          <w:color w:val="1B1C1F"/>
        </w:rPr>
        <w:t>Последствия заражения COVID-19 у больных туберкулезом до конца неясны. Имеются научные публикации о том, что наличие туберкулезной инфекции, в том числе латентной, утяжеляет течение COVID-19. С</w:t>
      </w:r>
      <w:r>
        <w:rPr>
          <w:color w:val="1B1C1F"/>
          <w:spacing w:val="-4"/>
        </w:rPr>
        <w:t> </w:t>
      </w:r>
      <w:r>
        <w:rPr>
          <w:color w:val="1B1C1F"/>
        </w:rPr>
        <w:t>целью предупреждения развития сочетанной патологии и исключения туберкулезной инфекции на начальном этапе ведения</w:t>
      </w:r>
      <w:r>
        <w:rPr>
          <w:color w:val="1B1C1F"/>
          <w:spacing w:val="-8"/>
        </w:rPr>
        <w:t> </w:t>
      </w:r>
      <w:r>
        <w:rPr>
          <w:color w:val="1B1C1F"/>
        </w:rPr>
        <w:t>пациента</w:t>
      </w:r>
      <w:r>
        <w:rPr>
          <w:color w:val="1B1C1F"/>
          <w:spacing w:val="-8"/>
        </w:rPr>
        <w:t> </w:t>
      </w:r>
      <w:r>
        <w:rPr>
          <w:color w:val="1B1C1F"/>
        </w:rPr>
        <w:t>с</w:t>
      </w:r>
      <w:r>
        <w:rPr>
          <w:color w:val="1B1C1F"/>
          <w:spacing w:val="-9"/>
        </w:rPr>
        <w:t> </w:t>
      </w:r>
      <w:r>
        <w:rPr>
          <w:color w:val="1B1C1F"/>
        </w:rPr>
        <w:t>подозрением</w:t>
      </w:r>
      <w:r>
        <w:rPr>
          <w:color w:val="1B1C1F"/>
          <w:spacing w:val="-9"/>
        </w:rPr>
        <w:t> </w:t>
      </w:r>
      <w:r>
        <w:rPr>
          <w:color w:val="1B1C1F"/>
        </w:rPr>
        <w:t>на</w:t>
      </w:r>
      <w:r>
        <w:rPr>
          <w:color w:val="1B1C1F"/>
          <w:spacing w:val="-9"/>
        </w:rPr>
        <w:t> </w:t>
      </w:r>
      <w:r>
        <w:rPr>
          <w:color w:val="1B1C1F"/>
        </w:rPr>
        <w:t>COVID-19</w:t>
      </w:r>
      <w:r>
        <w:rPr>
          <w:color w:val="1B1C1F"/>
          <w:spacing w:val="-6"/>
        </w:rPr>
        <w:t> </w:t>
      </w:r>
      <w:r>
        <w:rPr>
          <w:color w:val="1B1C1F"/>
        </w:rPr>
        <w:t>необходимо</w:t>
      </w:r>
      <w:r>
        <w:rPr>
          <w:color w:val="1B1C1F"/>
          <w:spacing w:val="-8"/>
        </w:rPr>
        <w:t> </w:t>
      </w:r>
      <w:r>
        <w:rPr>
          <w:color w:val="1B1C1F"/>
        </w:rPr>
        <w:t>проведение</w:t>
      </w:r>
      <w:r>
        <w:rPr>
          <w:color w:val="1B1C1F"/>
          <w:spacing w:val="-9"/>
        </w:rPr>
        <w:t> </w:t>
      </w:r>
      <w:r>
        <w:rPr>
          <w:color w:val="1B1C1F"/>
        </w:rPr>
        <w:t>обследования</w:t>
      </w:r>
    </w:p>
    <w:p>
      <w:pPr>
        <w:pStyle w:val="BodyText"/>
        <w:spacing w:after="0" w:line="276" w:lineRule="auto"/>
        <w:sectPr>
          <w:pgSz w:w="11900" w:h="16840"/>
          <w:pgMar w:header="0" w:footer="697" w:top="1080" w:bottom="880" w:left="0" w:right="0"/>
        </w:sectPr>
      </w:pPr>
    </w:p>
    <w:p>
      <w:pPr>
        <w:pStyle w:val="BodyText"/>
        <w:spacing w:line="276" w:lineRule="auto" w:before="73"/>
        <w:ind w:right="1271"/>
      </w:pPr>
      <w:bookmarkStart w:name="91" w:id="108"/>
      <w:bookmarkEnd w:id="108"/>
      <w:r>
        <w:rPr/>
      </w:r>
      <w:r>
        <w:rPr>
          <w:color w:val="1B1C1F"/>
        </w:rPr>
        <w:t>на</w:t>
      </w:r>
      <w:r>
        <w:rPr>
          <w:color w:val="1B1C1F"/>
          <w:spacing w:val="31"/>
        </w:rPr>
        <w:t> </w:t>
      </w:r>
      <w:r>
        <w:rPr>
          <w:color w:val="1B1C1F"/>
        </w:rPr>
        <w:t>туберкулез</w:t>
      </w:r>
      <w:r>
        <w:rPr>
          <w:color w:val="1B1C1F"/>
          <w:spacing w:val="33"/>
        </w:rPr>
        <w:t> </w:t>
      </w:r>
      <w:r>
        <w:rPr>
          <w:color w:val="1B1C1F"/>
        </w:rPr>
        <w:t>одновременно</w:t>
      </w:r>
      <w:r>
        <w:rPr>
          <w:color w:val="1B1C1F"/>
          <w:spacing w:val="32"/>
        </w:rPr>
        <w:t> </w:t>
      </w:r>
      <w:r>
        <w:rPr>
          <w:color w:val="1B1C1F"/>
        </w:rPr>
        <w:t>c</w:t>
      </w:r>
      <w:r>
        <w:rPr>
          <w:color w:val="1B1C1F"/>
          <w:spacing w:val="31"/>
        </w:rPr>
        <w:t> </w:t>
      </w:r>
      <w:r>
        <w:rPr>
          <w:color w:val="1B1C1F"/>
        </w:rPr>
        <w:t>тестированием</w:t>
      </w:r>
      <w:r>
        <w:rPr>
          <w:color w:val="1B1C1F"/>
          <w:spacing w:val="32"/>
        </w:rPr>
        <w:t> </w:t>
      </w:r>
      <w:r>
        <w:rPr>
          <w:color w:val="1B1C1F"/>
        </w:rPr>
        <w:t>на</w:t>
      </w:r>
      <w:r>
        <w:rPr>
          <w:color w:val="1B1C1F"/>
          <w:spacing w:val="31"/>
        </w:rPr>
        <w:t> </w:t>
      </w:r>
      <w:r>
        <w:rPr>
          <w:color w:val="1B1C1F"/>
        </w:rPr>
        <w:t>вирус</w:t>
      </w:r>
      <w:r>
        <w:rPr>
          <w:color w:val="1B1C1F"/>
          <w:spacing w:val="33"/>
        </w:rPr>
        <w:t> </w:t>
      </w:r>
      <w:r>
        <w:rPr>
          <w:color w:val="1B1C1F"/>
        </w:rPr>
        <w:t>SARS-CoV-2.</w:t>
      </w:r>
      <w:r>
        <w:rPr>
          <w:color w:val="1B1C1F"/>
          <w:spacing w:val="32"/>
        </w:rPr>
        <w:t> </w:t>
      </w:r>
      <w:r>
        <w:rPr>
          <w:color w:val="1B1C1F"/>
        </w:rPr>
        <w:t>У</w:t>
      </w:r>
      <w:r>
        <w:rPr>
          <w:color w:val="1B1C1F"/>
          <w:spacing w:val="33"/>
        </w:rPr>
        <w:t> </w:t>
      </w:r>
      <w:r>
        <w:rPr>
          <w:color w:val="1B1C1F"/>
        </w:rPr>
        <w:t>пациентов с</w:t>
      </w:r>
      <w:r>
        <w:rPr>
          <w:color w:val="1B1C1F"/>
          <w:spacing w:val="-4"/>
        </w:rPr>
        <w:t> </w:t>
      </w:r>
      <w:r>
        <w:rPr>
          <w:color w:val="1B1C1F"/>
        </w:rPr>
        <w:t>пневмонией,</w:t>
      </w:r>
      <w:r>
        <w:rPr>
          <w:color w:val="1B1C1F"/>
          <w:spacing w:val="80"/>
        </w:rPr>
        <w:t> </w:t>
      </w:r>
      <w:r>
        <w:rPr>
          <w:color w:val="1B1C1F"/>
        </w:rPr>
        <w:t>вызванной</w:t>
      </w:r>
      <w:r>
        <w:rPr>
          <w:color w:val="1B1C1F"/>
          <w:spacing w:val="80"/>
        </w:rPr>
        <w:t> </w:t>
      </w:r>
      <w:r>
        <w:rPr>
          <w:color w:val="1B1C1F"/>
        </w:rPr>
        <w:t>COVID-19,</w:t>
      </w:r>
      <w:r>
        <w:rPr>
          <w:color w:val="1B1C1F"/>
          <w:spacing w:val="80"/>
        </w:rPr>
        <w:t> </w:t>
      </w:r>
      <w:r>
        <w:rPr>
          <w:color w:val="1B1C1F"/>
        </w:rPr>
        <w:t>в</w:t>
      </w:r>
      <w:r>
        <w:rPr>
          <w:color w:val="1B1C1F"/>
          <w:spacing w:val="80"/>
        </w:rPr>
        <w:t> </w:t>
      </w:r>
      <w:r>
        <w:rPr>
          <w:color w:val="1B1C1F"/>
        </w:rPr>
        <w:t>анализах</w:t>
      </w:r>
      <w:r>
        <w:rPr>
          <w:color w:val="1B1C1F"/>
          <w:spacing w:val="80"/>
        </w:rPr>
        <w:t> </w:t>
      </w:r>
      <w:r>
        <w:rPr>
          <w:color w:val="1B1C1F"/>
        </w:rPr>
        <w:t>крови</w:t>
      </w:r>
      <w:r>
        <w:rPr>
          <w:color w:val="1B1C1F"/>
          <w:spacing w:val="80"/>
        </w:rPr>
        <w:t> </w:t>
      </w:r>
      <w:r>
        <w:rPr>
          <w:color w:val="1B1C1F"/>
        </w:rPr>
        <w:t>отмечается</w:t>
      </w:r>
      <w:r>
        <w:rPr>
          <w:color w:val="1B1C1F"/>
          <w:spacing w:val="80"/>
        </w:rPr>
        <w:t> </w:t>
      </w:r>
      <w:r>
        <w:rPr>
          <w:color w:val="1B1C1F"/>
        </w:rPr>
        <w:t>лейкопения</w:t>
      </w:r>
      <w:r>
        <w:rPr>
          <w:color w:val="1B1C1F"/>
          <w:spacing w:val="40"/>
        </w:rPr>
        <w:t> </w:t>
      </w:r>
      <w:r>
        <w:rPr>
          <w:color w:val="1B1C1F"/>
        </w:rPr>
        <w:t>и</w:t>
      </w:r>
      <w:r>
        <w:rPr>
          <w:color w:val="1B1C1F"/>
          <w:spacing w:val="-1"/>
        </w:rPr>
        <w:t> </w:t>
      </w:r>
      <w:r>
        <w:rPr>
          <w:color w:val="1B1C1F"/>
        </w:rPr>
        <w:t>лимфопения, что можно рассматривать как фактор риска перехода латентной туберкулезной</w:t>
      </w:r>
      <w:r>
        <w:rPr>
          <w:color w:val="1B1C1F"/>
          <w:spacing w:val="75"/>
        </w:rPr>
        <w:t> </w:t>
      </w:r>
      <w:r>
        <w:rPr>
          <w:color w:val="1B1C1F"/>
        </w:rPr>
        <w:t>инфекции</w:t>
      </w:r>
      <w:r>
        <w:rPr>
          <w:color w:val="1B1C1F"/>
          <w:spacing w:val="75"/>
        </w:rPr>
        <w:t> </w:t>
      </w:r>
      <w:r>
        <w:rPr>
          <w:color w:val="1B1C1F"/>
        </w:rPr>
        <w:t>в</w:t>
      </w:r>
      <w:r>
        <w:rPr>
          <w:color w:val="1B1C1F"/>
          <w:spacing w:val="74"/>
        </w:rPr>
        <w:t> </w:t>
      </w:r>
      <w:r>
        <w:rPr>
          <w:color w:val="1B1C1F"/>
        </w:rPr>
        <w:t>активную</w:t>
      </w:r>
      <w:r>
        <w:rPr>
          <w:color w:val="1B1C1F"/>
          <w:spacing w:val="75"/>
        </w:rPr>
        <w:t> </w:t>
      </w:r>
      <w:r>
        <w:rPr>
          <w:color w:val="1B1C1F"/>
        </w:rPr>
        <w:t>и</w:t>
      </w:r>
      <w:r>
        <w:rPr>
          <w:color w:val="1B1C1F"/>
          <w:spacing w:val="75"/>
        </w:rPr>
        <w:t> </w:t>
      </w:r>
      <w:r>
        <w:rPr>
          <w:color w:val="1B1C1F"/>
        </w:rPr>
        <w:t>отнести</w:t>
      </w:r>
      <w:r>
        <w:rPr>
          <w:color w:val="1B1C1F"/>
          <w:spacing w:val="76"/>
        </w:rPr>
        <w:t> </w:t>
      </w:r>
      <w:r>
        <w:rPr>
          <w:color w:val="1B1C1F"/>
        </w:rPr>
        <w:t>группу</w:t>
      </w:r>
      <w:r>
        <w:rPr>
          <w:color w:val="1B1C1F"/>
          <w:spacing w:val="74"/>
        </w:rPr>
        <w:t> </w:t>
      </w:r>
      <w:r>
        <w:rPr>
          <w:color w:val="1B1C1F"/>
        </w:rPr>
        <w:t>пациентов</w:t>
      </w:r>
      <w:r>
        <w:rPr>
          <w:color w:val="1B1C1F"/>
          <w:spacing w:val="74"/>
        </w:rPr>
        <w:t> </w:t>
      </w:r>
      <w:r>
        <w:rPr>
          <w:color w:val="1B1C1F"/>
        </w:rPr>
        <w:t>с</w:t>
      </w:r>
      <w:r>
        <w:rPr>
          <w:color w:val="1B1C1F"/>
          <w:spacing w:val="73"/>
        </w:rPr>
        <w:t> </w:t>
      </w:r>
      <w:r>
        <w:rPr>
          <w:color w:val="1B1C1F"/>
        </w:rPr>
        <w:t>COVID-19 к</w:t>
      </w:r>
      <w:r>
        <w:rPr>
          <w:color w:val="1B1C1F"/>
          <w:spacing w:val="-3"/>
        </w:rPr>
        <w:t> </w:t>
      </w:r>
      <w:r>
        <w:rPr>
          <w:color w:val="1B1C1F"/>
        </w:rPr>
        <w:t>группам риска, которым требуется не только исключение активного туберкулеза, но и обязательное тестирование на латентную туберкулезную инфекцию во время нахождения</w:t>
      </w:r>
      <w:r>
        <w:rPr>
          <w:color w:val="1B1C1F"/>
          <w:spacing w:val="69"/>
        </w:rPr>
        <w:t> </w:t>
      </w:r>
      <w:r>
        <w:rPr>
          <w:color w:val="1B1C1F"/>
        </w:rPr>
        <w:t>в</w:t>
      </w:r>
      <w:r>
        <w:rPr>
          <w:color w:val="1B1C1F"/>
          <w:spacing w:val="68"/>
        </w:rPr>
        <w:t> </w:t>
      </w:r>
      <w:r>
        <w:rPr>
          <w:color w:val="1B1C1F"/>
        </w:rPr>
        <w:t>стационаре.</w:t>
      </w:r>
      <w:r>
        <w:rPr>
          <w:color w:val="1B1C1F"/>
          <w:spacing w:val="69"/>
        </w:rPr>
        <w:t> </w:t>
      </w:r>
      <w:r>
        <w:rPr>
          <w:color w:val="1B1C1F"/>
        </w:rPr>
        <w:t>После</w:t>
      </w:r>
      <w:r>
        <w:rPr>
          <w:color w:val="1B1C1F"/>
          <w:spacing w:val="68"/>
        </w:rPr>
        <w:t> </w:t>
      </w:r>
      <w:r>
        <w:rPr>
          <w:color w:val="1B1C1F"/>
        </w:rPr>
        <w:t>перенесенного</w:t>
      </w:r>
      <w:r>
        <w:rPr>
          <w:color w:val="1B1C1F"/>
          <w:spacing w:val="69"/>
        </w:rPr>
        <w:t> </w:t>
      </w:r>
      <w:r>
        <w:rPr>
          <w:color w:val="1B1C1F"/>
        </w:rPr>
        <w:t>COVID-19</w:t>
      </w:r>
      <w:r>
        <w:rPr>
          <w:color w:val="1B1C1F"/>
          <w:spacing w:val="69"/>
        </w:rPr>
        <w:t> </w:t>
      </w:r>
      <w:r>
        <w:rPr>
          <w:color w:val="1B1C1F"/>
        </w:rPr>
        <w:t>у</w:t>
      </w:r>
      <w:r>
        <w:rPr>
          <w:color w:val="1B1C1F"/>
          <w:spacing w:val="71"/>
        </w:rPr>
        <w:t> </w:t>
      </w:r>
      <w:r>
        <w:rPr>
          <w:color w:val="1B1C1F"/>
        </w:rPr>
        <w:t>многих</w:t>
      </w:r>
      <w:r>
        <w:rPr>
          <w:color w:val="1B1C1F"/>
          <w:spacing w:val="69"/>
        </w:rPr>
        <w:t> </w:t>
      </w:r>
      <w:r>
        <w:rPr>
          <w:color w:val="1B1C1F"/>
        </w:rPr>
        <w:t>пациентов в</w:t>
      </w:r>
      <w:r>
        <w:rPr>
          <w:color w:val="1B1C1F"/>
          <w:spacing w:val="-4"/>
        </w:rPr>
        <w:t> </w:t>
      </w:r>
      <w:r>
        <w:rPr>
          <w:color w:val="1B1C1F"/>
        </w:rPr>
        <w:t>легких формируются выраженные остаточные изменения в виде фиброза. Можно предположить, что эта категория пациентов имеет повышенный риск развития туберкулеза в последующем. Таким образом, туберкулез может возникнуть до, одновременно или уже после перенесенного COVID-19. Для выявления туберкулезной</w:t>
      </w:r>
      <w:r>
        <w:rPr>
          <w:color w:val="1B1C1F"/>
          <w:spacing w:val="-3"/>
        </w:rPr>
        <w:t> </w:t>
      </w:r>
      <w:r>
        <w:rPr>
          <w:color w:val="1B1C1F"/>
        </w:rPr>
        <w:t>инфекции</w:t>
      </w:r>
      <w:r>
        <w:rPr>
          <w:color w:val="1B1C1F"/>
          <w:spacing w:val="-1"/>
        </w:rPr>
        <w:t> </w:t>
      </w:r>
      <w:r>
        <w:rPr>
          <w:color w:val="1B1C1F"/>
        </w:rPr>
        <w:t>оптимальным</w:t>
      </w:r>
      <w:r>
        <w:rPr>
          <w:color w:val="1B1C1F"/>
          <w:spacing w:val="-3"/>
        </w:rPr>
        <w:t> </w:t>
      </w:r>
      <w:r>
        <w:rPr>
          <w:color w:val="1B1C1F"/>
        </w:rPr>
        <w:t>является</w:t>
      </w:r>
      <w:r>
        <w:rPr>
          <w:color w:val="1B1C1F"/>
          <w:spacing w:val="-2"/>
        </w:rPr>
        <w:t> </w:t>
      </w:r>
      <w:r>
        <w:rPr>
          <w:color w:val="1B1C1F"/>
        </w:rPr>
        <w:t>проведение</w:t>
      </w:r>
      <w:r>
        <w:rPr>
          <w:color w:val="1B1C1F"/>
          <w:spacing w:val="-3"/>
        </w:rPr>
        <w:t> </w:t>
      </w:r>
      <w:r>
        <w:rPr>
          <w:color w:val="1B1C1F"/>
        </w:rPr>
        <w:t>лабораторных</w:t>
      </w:r>
      <w:r>
        <w:rPr>
          <w:color w:val="1B1C1F"/>
          <w:spacing w:val="-2"/>
        </w:rPr>
        <w:t> </w:t>
      </w:r>
      <w:r>
        <w:rPr>
          <w:color w:val="1B1C1F"/>
        </w:rPr>
        <w:t>тестов</w:t>
      </w:r>
      <w:r>
        <w:rPr>
          <w:color w:val="1B1C1F"/>
          <w:spacing w:val="-2"/>
        </w:rPr>
        <w:t> </w:t>
      </w:r>
      <w:r>
        <w:rPr>
          <w:color w:val="1B1C1F"/>
        </w:rPr>
        <w:t>на высвобождение гамма-интерферона, требующих однократного посещения лаборатории. Взятие крови возможно проводить одновременно для исследования на иммуноглобулины к COVID-19 и для проведения обследования на туберкулез. Учитывая высокую вероятность развития лимфопении у пациентов с COVID-19, целесообразно проводить тестирование с помощью теста in vitro для выявления эффекторных Т-клеток, реагирующих на стимуляцию антигеном Mycobacterium tuberculosis, методом ELISPOT. В исследованиях доказано, что в условиях низкого количества лимфоцитов метод ELISPOT превосходит другие для выявления туберкулеза, независимо от возраста, пола и питания.</w:t>
      </w:r>
    </w:p>
    <w:p>
      <w:pPr>
        <w:pStyle w:val="Heading3"/>
        <w:spacing w:line="259" w:lineRule="auto" w:before="234"/>
        <w:ind w:right="3058"/>
      </w:pPr>
      <w:r>
        <w:rPr>
          <w:color w:val="1F487C"/>
        </w:rPr>
        <w:t>Пациенты</w:t>
      </w:r>
      <w:r>
        <w:rPr>
          <w:color w:val="1F487C"/>
          <w:spacing w:val="-9"/>
        </w:rPr>
        <w:t> </w:t>
      </w:r>
      <w:r>
        <w:rPr>
          <w:color w:val="1F487C"/>
        </w:rPr>
        <w:t>с</w:t>
      </w:r>
      <w:r>
        <w:rPr>
          <w:color w:val="1F487C"/>
          <w:spacing w:val="-10"/>
        </w:rPr>
        <w:t> </w:t>
      </w:r>
      <w:r>
        <w:rPr>
          <w:color w:val="1F487C"/>
        </w:rPr>
        <w:t>интерстициальными,</w:t>
      </w:r>
      <w:r>
        <w:rPr>
          <w:color w:val="1F487C"/>
          <w:spacing w:val="-11"/>
        </w:rPr>
        <w:t> </w:t>
      </w:r>
      <w:r>
        <w:rPr>
          <w:color w:val="1F487C"/>
        </w:rPr>
        <w:t>редкими</w:t>
      </w:r>
      <w:r>
        <w:rPr>
          <w:color w:val="1F487C"/>
          <w:spacing w:val="-11"/>
        </w:rPr>
        <w:t> </w:t>
      </w:r>
      <w:r>
        <w:rPr>
          <w:color w:val="1F487C"/>
        </w:rPr>
        <w:t>и</w:t>
      </w:r>
      <w:r>
        <w:rPr>
          <w:color w:val="1F487C"/>
          <w:spacing w:val="-9"/>
        </w:rPr>
        <w:t> </w:t>
      </w:r>
      <w:r>
        <w:rPr>
          <w:color w:val="1F487C"/>
        </w:rPr>
        <w:t>генетически детерминированными заболеваниями легких</w:t>
      </w:r>
    </w:p>
    <w:p>
      <w:pPr>
        <w:pStyle w:val="BodyText"/>
        <w:spacing w:line="276" w:lineRule="auto" w:before="119"/>
        <w:ind w:right="1272" w:firstLine="707"/>
      </w:pPr>
      <w:r>
        <w:rPr/>
        <w:t>Пациенты из данных групп, заболевшие COVID-19, должны наблюдаться совместно со специалистами по конкретной патологии, учитывая возможные осложнения,</w:t>
      </w:r>
      <w:r>
        <w:rPr>
          <w:spacing w:val="-15"/>
        </w:rPr>
        <w:t> </w:t>
      </w:r>
      <w:r>
        <w:rPr/>
        <w:t>неблагоприятные</w:t>
      </w:r>
      <w:r>
        <w:rPr>
          <w:spacing w:val="-15"/>
        </w:rPr>
        <w:t> </w:t>
      </w:r>
      <w:r>
        <w:rPr/>
        <w:t>лекарственные</w:t>
      </w:r>
      <w:r>
        <w:rPr>
          <w:spacing w:val="-15"/>
        </w:rPr>
        <w:t> </w:t>
      </w:r>
      <w:r>
        <w:rPr/>
        <w:t>взаимодействия</w:t>
      </w:r>
      <w:r>
        <w:rPr>
          <w:spacing w:val="-15"/>
        </w:rPr>
        <w:t> </w:t>
      </w:r>
      <w:r>
        <w:rPr/>
        <w:t>и</w:t>
      </w:r>
      <w:r>
        <w:rPr>
          <w:spacing w:val="-15"/>
        </w:rPr>
        <w:t> </w:t>
      </w:r>
      <w:r>
        <w:rPr/>
        <w:t>особенности</w:t>
      </w:r>
      <w:r>
        <w:rPr>
          <w:spacing w:val="-15"/>
        </w:rPr>
        <w:t> </w:t>
      </w:r>
      <w:r>
        <w:rPr/>
        <w:t>терапии дыхательной недостаточности.</w:t>
      </w:r>
    </w:p>
    <w:p>
      <w:pPr>
        <w:pStyle w:val="Heading3"/>
        <w:spacing w:before="239"/>
      </w:pPr>
      <w:r>
        <w:rPr>
          <w:color w:val="1F487C"/>
          <w:spacing w:val="-2"/>
        </w:rPr>
        <w:t>Пациенты</w:t>
      </w:r>
      <w:r>
        <w:rPr>
          <w:color w:val="1F487C"/>
          <w:spacing w:val="3"/>
        </w:rPr>
        <w:t> </w:t>
      </w:r>
      <w:r>
        <w:rPr>
          <w:color w:val="1F487C"/>
          <w:spacing w:val="-2"/>
        </w:rPr>
        <w:t>с</w:t>
      </w:r>
      <w:r>
        <w:rPr>
          <w:color w:val="1F487C"/>
          <w:spacing w:val="3"/>
        </w:rPr>
        <w:t> </w:t>
      </w:r>
      <w:r>
        <w:rPr>
          <w:color w:val="1F487C"/>
          <w:spacing w:val="-2"/>
        </w:rPr>
        <w:t>иммуновоспалительными</w:t>
      </w:r>
      <w:r>
        <w:rPr>
          <w:color w:val="1F487C"/>
          <w:spacing w:val="3"/>
        </w:rPr>
        <w:t> </w:t>
      </w:r>
      <w:r>
        <w:rPr>
          <w:color w:val="1F487C"/>
          <w:spacing w:val="-2"/>
        </w:rPr>
        <w:t>ревматическими</w:t>
      </w:r>
      <w:r>
        <w:rPr>
          <w:color w:val="1F487C"/>
          <w:spacing w:val="4"/>
        </w:rPr>
        <w:t> </w:t>
      </w:r>
      <w:r>
        <w:rPr>
          <w:color w:val="1F487C"/>
          <w:spacing w:val="-2"/>
        </w:rPr>
        <w:t>заболеваниями</w:t>
      </w:r>
    </w:p>
    <w:p>
      <w:pPr>
        <w:pStyle w:val="BodyText"/>
        <w:spacing w:line="276" w:lineRule="auto" w:before="141"/>
        <w:ind w:right="1273" w:firstLine="707"/>
      </w:pPr>
      <w:r>
        <w:rPr/>
        <w:t>Пациенты</w:t>
      </w:r>
      <w:r>
        <w:rPr>
          <w:spacing w:val="-4"/>
        </w:rPr>
        <w:t> </w:t>
      </w:r>
      <w:r>
        <w:rPr/>
        <w:t>с</w:t>
      </w:r>
      <w:r>
        <w:rPr>
          <w:spacing w:val="-5"/>
        </w:rPr>
        <w:t> </w:t>
      </w:r>
      <w:r>
        <w:rPr/>
        <w:t>иммуновоспалительными</w:t>
      </w:r>
      <w:r>
        <w:rPr>
          <w:spacing w:val="-3"/>
        </w:rPr>
        <w:t> </w:t>
      </w:r>
      <w:r>
        <w:rPr/>
        <w:t>ревматическими</w:t>
      </w:r>
      <w:r>
        <w:rPr>
          <w:spacing w:val="-3"/>
        </w:rPr>
        <w:t> </w:t>
      </w:r>
      <w:r>
        <w:rPr/>
        <w:t>заболеваниями</w:t>
      </w:r>
      <w:r>
        <w:rPr>
          <w:spacing w:val="-3"/>
        </w:rPr>
        <w:t> </w:t>
      </w:r>
      <w:r>
        <w:rPr/>
        <w:t>(ИВРЗ) составляют группу риска в отношении заболевания COVID-19 и неблагоприятного течения</w:t>
      </w:r>
      <w:r>
        <w:rPr>
          <w:spacing w:val="7"/>
        </w:rPr>
        <w:t> </w:t>
      </w:r>
      <w:r>
        <w:rPr/>
        <w:t>болезни.</w:t>
      </w:r>
      <w:r>
        <w:rPr>
          <w:spacing w:val="8"/>
        </w:rPr>
        <w:t> </w:t>
      </w:r>
      <w:r>
        <w:rPr/>
        <w:t>К</w:t>
      </w:r>
      <w:r>
        <w:rPr>
          <w:spacing w:val="9"/>
        </w:rPr>
        <w:t> </w:t>
      </w:r>
      <w:r>
        <w:rPr/>
        <w:t>факторам</w:t>
      </w:r>
      <w:r>
        <w:rPr>
          <w:spacing w:val="7"/>
        </w:rPr>
        <w:t> </w:t>
      </w:r>
      <w:r>
        <w:rPr/>
        <w:t>риска</w:t>
      </w:r>
      <w:r>
        <w:rPr>
          <w:spacing w:val="7"/>
        </w:rPr>
        <w:t> </w:t>
      </w:r>
      <w:r>
        <w:rPr/>
        <w:t>относятся</w:t>
      </w:r>
      <w:r>
        <w:rPr>
          <w:spacing w:val="8"/>
        </w:rPr>
        <w:t> </w:t>
      </w:r>
      <w:r>
        <w:rPr/>
        <w:t>пожилой</w:t>
      </w:r>
      <w:r>
        <w:rPr>
          <w:spacing w:val="9"/>
        </w:rPr>
        <w:t> </w:t>
      </w:r>
      <w:r>
        <w:rPr/>
        <w:t>возраст,</w:t>
      </w:r>
      <w:r>
        <w:rPr>
          <w:spacing w:val="9"/>
        </w:rPr>
        <w:t> </w:t>
      </w:r>
      <w:r>
        <w:rPr/>
        <w:t>прием</w:t>
      </w:r>
      <w:r>
        <w:rPr>
          <w:spacing w:val="8"/>
        </w:rPr>
        <w:t> </w:t>
      </w:r>
      <w:r>
        <w:rPr/>
        <w:t>высоких</w:t>
      </w:r>
      <w:r>
        <w:rPr>
          <w:spacing w:val="8"/>
        </w:rPr>
        <w:t> </w:t>
      </w:r>
      <w:r>
        <w:rPr>
          <w:spacing w:val="-5"/>
        </w:rPr>
        <w:t>доз</w:t>
      </w:r>
    </w:p>
    <w:p>
      <w:pPr>
        <w:pStyle w:val="BodyText"/>
      </w:pPr>
      <w:r>
        <w:rPr/>
        <w:t>«противоревматических»</w:t>
      </w:r>
      <w:r>
        <w:rPr>
          <w:spacing w:val="56"/>
        </w:rPr>
        <w:t>   </w:t>
      </w:r>
      <w:r>
        <w:rPr/>
        <w:t>препаратов,</w:t>
      </w:r>
      <w:r>
        <w:rPr>
          <w:spacing w:val="57"/>
        </w:rPr>
        <w:t>   </w:t>
      </w:r>
      <w:r>
        <w:rPr/>
        <w:t>одномоментный</w:t>
      </w:r>
      <w:r>
        <w:rPr>
          <w:spacing w:val="57"/>
        </w:rPr>
        <w:t>   </w:t>
      </w:r>
      <w:r>
        <w:rPr/>
        <w:t>прием</w:t>
      </w:r>
      <w:r>
        <w:rPr>
          <w:spacing w:val="56"/>
        </w:rPr>
        <w:t>   </w:t>
      </w:r>
      <w:r>
        <w:rPr>
          <w:spacing w:val="-2"/>
        </w:rPr>
        <w:t>нескольких</w:t>
      </w:r>
    </w:p>
    <w:p>
      <w:pPr>
        <w:pStyle w:val="BodyText"/>
        <w:spacing w:line="276" w:lineRule="auto" w:before="41"/>
        <w:ind w:right="1274"/>
      </w:pPr>
      <w:r>
        <w:rPr/>
        <w:t>«противоревматических» препаратов, особенно в комбинации с ГКС, высокая активность заболевания, наличие коморбидной и мультиморбидной патологии. Высокая частота «кардиометаболической» и легочной коморбидности, характерная для ИВРЗ, в</w:t>
      </w:r>
      <w:r>
        <w:rPr>
          <w:spacing w:val="-2"/>
        </w:rPr>
        <w:t> </w:t>
      </w:r>
      <w:r>
        <w:rPr/>
        <w:t>случае развития COVID-19 может способствовать снижению эффективности терапии основного заболевания и затруднять диагностику инфекции (поражение легких).</w:t>
      </w:r>
    </w:p>
    <w:p>
      <w:pPr>
        <w:pStyle w:val="BodyText"/>
        <w:spacing w:line="276" w:lineRule="auto"/>
        <w:ind w:right="1274" w:firstLine="707"/>
      </w:pPr>
      <w:r>
        <w:rPr/>
        <w:t>Следует</w:t>
      </w:r>
      <w:r>
        <w:rPr>
          <w:spacing w:val="-13"/>
        </w:rPr>
        <w:t> </w:t>
      </w:r>
      <w:r>
        <w:rPr/>
        <w:t>также</w:t>
      </w:r>
      <w:r>
        <w:rPr>
          <w:spacing w:val="-13"/>
        </w:rPr>
        <w:t> </w:t>
      </w:r>
      <w:r>
        <w:rPr/>
        <w:t>иметь</w:t>
      </w:r>
      <w:r>
        <w:rPr>
          <w:spacing w:val="-11"/>
        </w:rPr>
        <w:t> </w:t>
      </w:r>
      <w:r>
        <w:rPr/>
        <w:t>в</w:t>
      </w:r>
      <w:r>
        <w:rPr>
          <w:spacing w:val="-15"/>
        </w:rPr>
        <w:t> </w:t>
      </w:r>
      <w:r>
        <w:rPr/>
        <w:t>виду,</w:t>
      </w:r>
      <w:r>
        <w:rPr>
          <w:spacing w:val="-12"/>
        </w:rPr>
        <w:t> </w:t>
      </w:r>
      <w:r>
        <w:rPr/>
        <w:t>что</w:t>
      </w:r>
      <w:r>
        <w:rPr>
          <w:spacing w:val="-14"/>
        </w:rPr>
        <w:t> </w:t>
      </w:r>
      <w:r>
        <w:rPr/>
        <w:t>инфицирование</w:t>
      </w:r>
      <w:r>
        <w:rPr>
          <w:spacing w:val="-14"/>
        </w:rPr>
        <w:t> </w:t>
      </w:r>
      <w:r>
        <w:rPr/>
        <w:t>SARS-CoV-2</w:t>
      </w:r>
      <w:r>
        <w:rPr>
          <w:spacing w:val="-13"/>
        </w:rPr>
        <w:t> </w:t>
      </w:r>
      <w:r>
        <w:rPr/>
        <w:t>может</w:t>
      </w:r>
      <w:r>
        <w:rPr>
          <w:spacing w:val="-14"/>
        </w:rPr>
        <w:t> </w:t>
      </w:r>
      <w:r>
        <w:rPr/>
        <w:t>вызывать активацию</w:t>
      </w:r>
      <w:r>
        <w:rPr>
          <w:spacing w:val="68"/>
        </w:rPr>
        <w:t>  </w:t>
      </w:r>
      <w:r>
        <w:rPr/>
        <w:t>воспаления</w:t>
      </w:r>
      <w:r>
        <w:rPr>
          <w:spacing w:val="68"/>
        </w:rPr>
        <w:t>  </w:t>
      </w:r>
      <w:r>
        <w:rPr/>
        <w:t>при</w:t>
      </w:r>
      <w:r>
        <w:rPr>
          <w:spacing w:val="68"/>
        </w:rPr>
        <w:t>  </w:t>
      </w:r>
      <w:r>
        <w:rPr/>
        <w:t>ИВРЗ</w:t>
      </w:r>
      <w:r>
        <w:rPr>
          <w:spacing w:val="67"/>
        </w:rPr>
        <w:t>  </w:t>
      </w:r>
      <w:r>
        <w:rPr/>
        <w:t>и</w:t>
      </w:r>
      <w:r>
        <w:rPr>
          <w:spacing w:val="68"/>
        </w:rPr>
        <w:t>  </w:t>
      </w:r>
      <w:r>
        <w:rPr/>
        <w:t>некоторые</w:t>
      </w:r>
      <w:r>
        <w:rPr>
          <w:spacing w:val="67"/>
        </w:rPr>
        <w:t>  </w:t>
      </w:r>
      <w:r>
        <w:rPr/>
        <w:t>клинические</w:t>
      </w:r>
      <w:r>
        <w:rPr>
          <w:spacing w:val="67"/>
        </w:rPr>
        <w:t>  </w:t>
      </w:r>
      <w:r>
        <w:rPr/>
        <w:t>проявления и</w:t>
      </w:r>
      <w:r>
        <w:rPr>
          <w:spacing w:val="-15"/>
        </w:rPr>
        <w:t> </w:t>
      </w:r>
      <w:r>
        <w:rPr/>
        <w:t>лабораторные</w:t>
      </w:r>
      <w:r>
        <w:rPr>
          <w:spacing w:val="-15"/>
        </w:rPr>
        <w:t> </w:t>
      </w:r>
      <w:r>
        <w:rPr/>
        <w:t>нарушения,</w:t>
      </w:r>
      <w:r>
        <w:rPr>
          <w:spacing w:val="-15"/>
        </w:rPr>
        <w:t> </w:t>
      </w:r>
      <w:r>
        <w:rPr/>
        <w:t>наблюдаемые</w:t>
      </w:r>
      <w:r>
        <w:rPr>
          <w:spacing w:val="-15"/>
        </w:rPr>
        <w:t> </w:t>
      </w:r>
      <w:r>
        <w:rPr/>
        <w:t>при</w:t>
      </w:r>
      <w:r>
        <w:rPr>
          <w:spacing w:val="-15"/>
        </w:rPr>
        <w:t> </w:t>
      </w:r>
      <w:r>
        <w:rPr/>
        <w:t>COVID-19,</w:t>
      </w:r>
      <w:r>
        <w:rPr>
          <w:spacing w:val="-15"/>
        </w:rPr>
        <w:t> </w:t>
      </w:r>
      <w:r>
        <w:rPr/>
        <w:t>могут</w:t>
      </w:r>
      <w:r>
        <w:rPr>
          <w:spacing w:val="-15"/>
        </w:rPr>
        <w:t> </w:t>
      </w:r>
      <w:r>
        <w:rPr/>
        <w:t>развиваться</w:t>
      </w:r>
      <w:r>
        <w:rPr>
          <w:spacing w:val="-15"/>
        </w:rPr>
        <w:t> </w:t>
      </w:r>
      <w:r>
        <w:rPr/>
        <w:t>в</w:t>
      </w:r>
      <w:r>
        <w:rPr>
          <w:spacing w:val="-15"/>
        </w:rPr>
        <w:t> </w:t>
      </w:r>
      <w:r>
        <w:rPr/>
        <w:t>дебюте или</w:t>
      </w:r>
      <w:r>
        <w:rPr>
          <w:spacing w:val="40"/>
        </w:rPr>
        <w:t> </w:t>
      </w:r>
      <w:r>
        <w:rPr/>
        <w:t>при</w:t>
      </w:r>
      <w:r>
        <w:rPr>
          <w:spacing w:val="40"/>
        </w:rPr>
        <w:t> </w:t>
      </w:r>
      <w:r>
        <w:rPr/>
        <w:t>обострении</w:t>
      </w:r>
      <w:r>
        <w:rPr>
          <w:spacing w:val="40"/>
        </w:rPr>
        <w:t> </w:t>
      </w:r>
      <w:r>
        <w:rPr/>
        <w:t>ИВРЗ:</w:t>
      </w:r>
      <w:r>
        <w:rPr>
          <w:spacing w:val="40"/>
        </w:rPr>
        <w:t> </w:t>
      </w:r>
      <w:r>
        <w:rPr/>
        <w:t>лихорадка,</w:t>
      </w:r>
      <w:r>
        <w:rPr>
          <w:spacing w:val="40"/>
        </w:rPr>
        <w:t> </w:t>
      </w:r>
      <w:r>
        <w:rPr/>
        <w:t>артралгии,</w:t>
      </w:r>
      <w:r>
        <w:rPr>
          <w:spacing w:val="40"/>
        </w:rPr>
        <w:t> </w:t>
      </w:r>
      <w:r>
        <w:rPr/>
        <w:t>усталость,</w:t>
      </w:r>
      <w:r>
        <w:rPr>
          <w:spacing w:val="40"/>
        </w:rPr>
        <w:t> </w:t>
      </w:r>
      <w:r>
        <w:rPr/>
        <w:t>миалгии,</w:t>
      </w:r>
      <w:r>
        <w:rPr>
          <w:spacing w:val="40"/>
        </w:rPr>
        <w:t> </w:t>
      </w:r>
      <w:r>
        <w:rPr/>
        <w:t>цитопении</w:t>
      </w:r>
    </w:p>
    <w:p>
      <w:pPr>
        <w:pStyle w:val="BodyText"/>
        <w:spacing w:after="0" w:line="276" w:lineRule="auto"/>
        <w:sectPr>
          <w:pgSz w:w="11900" w:h="16840"/>
          <w:pgMar w:header="0" w:footer="697" w:top="1080" w:bottom="880" w:left="0" w:right="0"/>
        </w:sectPr>
      </w:pPr>
    </w:p>
    <w:p>
      <w:pPr>
        <w:pStyle w:val="BodyText"/>
        <w:spacing w:line="276" w:lineRule="auto" w:before="73"/>
        <w:ind w:right="1272"/>
      </w:pPr>
      <w:bookmarkStart w:name="92" w:id="109"/>
      <w:bookmarkEnd w:id="109"/>
      <w:r>
        <w:rPr/>
      </w:r>
      <w:r>
        <w:rPr/>
        <w:t>(в</w:t>
      </w:r>
      <w:r>
        <w:rPr>
          <w:spacing w:val="-3"/>
        </w:rPr>
        <w:t> </w:t>
      </w:r>
      <w:r>
        <w:rPr/>
        <w:t>первую очередь лимфопения, реже анемия и тромбоцитопения), острая интерстициальная пневмония («матовое стекло»), миокардит, венозный тромбоз, сетчатое ливедо, увеличение концентрации СРБ, D-димера, ферритина. Патология иммунной системы при ИВРЗ и сопутствующие коморбидные заболевания могут утяжелять течение COVID-19 и увеличивать риск развития синдрома цитокинового </w:t>
      </w:r>
      <w:r>
        <w:rPr>
          <w:spacing w:val="-2"/>
        </w:rPr>
        <w:t>шторма.</w:t>
      </w:r>
    </w:p>
    <w:p>
      <w:pPr>
        <w:pStyle w:val="BodyText"/>
        <w:spacing w:line="276" w:lineRule="auto"/>
        <w:ind w:right="1278" w:firstLine="707"/>
      </w:pPr>
      <w:r>
        <w:rPr/>
        <w:t>В период пандемии COVID-19 госпитализация пациентов в стационар возможна только по ургентным показаниям с обязательным предоставлением лабораторных данных об отсутствия инфицирования SARS-CoV-2.</w:t>
      </w:r>
    </w:p>
    <w:p>
      <w:pPr>
        <w:pStyle w:val="BodyText"/>
        <w:spacing w:line="276" w:lineRule="auto"/>
        <w:ind w:right="1277" w:firstLine="707"/>
      </w:pPr>
      <w:r>
        <w:rPr/>
        <w:t>Особенностями лечения пациентов с ИВРЗ в условиях пандемии COVID-19 </w:t>
      </w:r>
      <w:r>
        <w:rPr>
          <w:spacing w:val="-2"/>
        </w:rPr>
        <w:t>являются:</w:t>
      </w:r>
    </w:p>
    <w:p>
      <w:pPr>
        <w:pStyle w:val="ListParagraph"/>
        <w:numPr>
          <w:ilvl w:val="1"/>
          <w:numId w:val="44"/>
        </w:numPr>
        <w:tabs>
          <w:tab w:pos="2561" w:val="left" w:leader="none"/>
        </w:tabs>
        <w:spacing w:line="276" w:lineRule="auto" w:before="0" w:after="0"/>
        <w:ind w:left="2561" w:right="1271" w:hanging="360"/>
        <w:jc w:val="both"/>
        <w:rPr>
          <w:sz w:val="24"/>
        </w:rPr>
      </w:pPr>
      <w:r>
        <w:rPr>
          <w:sz w:val="24"/>
        </w:rPr>
        <w:t>В случае инфицирования SARS-CoV-2 пациентов с ИВРЗ следует временно (до</w:t>
      </w:r>
      <w:r>
        <w:rPr>
          <w:spacing w:val="-4"/>
          <w:sz w:val="24"/>
        </w:rPr>
        <w:t> </w:t>
      </w:r>
      <w:r>
        <w:rPr>
          <w:sz w:val="24"/>
        </w:rPr>
        <w:t>полного выздоровления) прервать лечение стандартными базисными противовоспалительными препаратами (БПВП) (метотрексат, лефлуномид, азатиоприн),</w:t>
      </w:r>
      <w:r>
        <w:rPr>
          <w:spacing w:val="40"/>
          <w:sz w:val="24"/>
        </w:rPr>
        <w:t> </w:t>
      </w:r>
      <w:r>
        <w:rPr>
          <w:sz w:val="24"/>
        </w:rPr>
        <w:t>генно-инженерными</w:t>
      </w:r>
      <w:r>
        <w:rPr>
          <w:spacing w:val="40"/>
          <w:sz w:val="24"/>
        </w:rPr>
        <w:t> </w:t>
      </w:r>
      <w:r>
        <w:rPr>
          <w:sz w:val="24"/>
        </w:rPr>
        <w:t>биологическими</w:t>
      </w:r>
      <w:r>
        <w:rPr>
          <w:spacing w:val="40"/>
          <w:sz w:val="24"/>
        </w:rPr>
        <w:t> </w:t>
      </w:r>
      <w:r>
        <w:rPr>
          <w:sz w:val="24"/>
        </w:rPr>
        <w:t>препаратами</w:t>
      </w:r>
      <w:r>
        <w:rPr>
          <w:spacing w:val="40"/>
          <w:sz w:val="24"/>
        </w:rPr>
        <w:t> </w:t>
      </w:r>
      <w:r>
        <w:rPr>
          <w:sz w:val="24"/>
        </w:rPr>
        <w:t>(ингибиторы фактора некроза опухоли-α, ИЛ-6, ИЛ-17, ИЛ-12/23, ИЛ-23, блокаторами ко-стимуляции Т-клеток, анти-В клеточными препаратами (ритуксимаб,</w:t>
      </w:r>
      <w:r>
        <w:rPr>
          <w:spacing w:val="40"/>
          <w:sz w:val="24"/>
        </w:rPr>
        <w:t> </w:t>
      </w:r>
      <w:r>
        <w:rPr>
          <w:sz w:val="24"/>
        </w:rPr>
        <w:t>белимумаб)</w:t>
      </w:r>
      <w:r>
        <w:rPr>
          <w:spacing w:val="40"/>
          <w:sz w:val="24"/>
        </w:rPr>
        <w:t> </w:t>
      </w:r>
      <w:r>
        <w:rPr>
          <w:sz w:val="24"/>
        </w:rPr>
        <w:t>и</w:t>
      </w:r>
      <w:r>
        <w:rPr>
          <w:spacing w:val="40"/>
          <w:sz w:val="24"/>
        </w:rPr>
        <w:t> </w:t>
      </w:r>
      <w:r>
        <w:rPr>
          <w:sz w:val="24"/>
        </w:rPr>
        <w:t>«таргетными»</w:t>
      </w:r>
      <w:r>
        <w:rPr>
          <w:spacing w:val="40"/>
          <w:sz w:val="24"/>
        </w:rPr>
        <w:t> </w:t>
      </w:r>
      <w:r>
        <w:rPr>
          <w:sz w:val="24"/>
        </w:rPr>
        <w:t>БПВП</w:t>
      </w:r>
      <w:r>
        <w:rPr>
          <w:spacing w:val="40"/>
          <w:sz w:val="24"/>
        </w:rPr>
        <w:t> </w:t>
      </w:r>
      <w:r>
        <w:rPr>
          <w:sz w:val="24"/>
        </w:rPr>
        <w:t>(ингибиторы</w:t>
      </w:r>
      <w:r>
        <w:rPr>
          <w:spacing w:val="40"/>
          <w:sz w:val="24"/>
        </w:rPr>
        <w:t> </w:t>
      </w:r>
      <w:r>
        <w:rPr>
          <w:sz w:val="24"/>
        </w:rPr>
        <w:t>янус-киназы и фосфодиэстеразы 4 типа) и обратиться за консультацией к ревматологу;</w:t>
      </w:r>
    </w:p>
    <w:p>
      <w:pPr>
        <w:pStyle w:val="ListParagraph"/>
        <w:numPr>
          <w:ilvl w:val="1"/>
          <w:numId w:val="44"/>
        </w:numPr>
        <w:tabs>
          <w:tab w:pos="2561" w:val="left" w:leader="none"/>
        </w:tabs>
        <w:spacing w:line="271" w:lineRule="auto" w:before="0" w:after="0"/>
        <w:ind w:left="2561" w:right="1276" w:hanging="360"/>
        <w:jc w:val="both"/>
        <w:rPr>
          <w:sz w:val="24"/>
        </w:rPr>
      </w:pPr>
      <w:r>
        <w:rPr>
          <w:sz w:val="24"/>
        </w:rPr>
        <w:t>Рекомендуется</w:t>
      </w:r>
      <w:r>
        <w:rPr>
          <w:spacing w:val="40"/>
          <w:sz w:val="24"/>
        </w:rPr>
        <w:t>  </w:t>
      </w:r>
      <w:r>
        <w:rPr>
          <w:sz w:val="24"/>
        </w:rPr>
        <w:t>продолжить</w:t>
      </w:r>
      <w:r>
        <w:rPr>
          <w:spacing w:val="40"/>
          <w:sz w:val="24"/>
        </w:rPr>
        <w:t>  </w:t>
      </w:r>
      <w:r>
        <w:rPr>
          <w:sz w:val="24"/>
        </w:rPr>
        <w:t>прием</w:t>
      </w:r>
      <w:r>
        <w:rPr>
          <w:spacing w:val="40"/>
          <w:sz w:val="24"/>
        </w:rPr>
        <w:t>  </w:t>
      </w:r>
      <w:r>
        <w:rPr>
          <w:sz w:val="24"/>
        </w:rPr>
        <w:t>4-аминохинолиновых</w:t>
      </w:r>
      <w:r>
        <w:rPr>
          <w:spacing w:val="40"/>
          <w:sz w:val="24"/>
        </w:rPr>
        <w:t>  </w:t>
      </w:r>
      <w:r>
        <w:rPr>
          <w:sz w:val="24"/>
        </w:rPr>
        <w:t>препаратов</w:t>
      </w:r>
      <w:r>
        <w:rPr>
          <w:spacing w:val="40"/>
          <w:sz w:val="24"/>
        </w:rPr>
        <w:t> </w:t>
      </w:r>
      <w:r>
        <w:rPr>
          <w:sz w:val="24"/>
        </w:rPr>
        <w:t>(или назначить их при отсутствии противопоказаний) и сульфасалазина;</w:t>
      </w:r>
    </w:p>
    <w:p>
      <w:pPr>
        <w:pStyle w:val="ListParagraph"/>
        <w:numPr>
          <w:ilvl w:val="1"/>
          <w:numId w:val="44"/>
        </w:numPr>
        <w:tabs>
          <w:tab w:pos="2561" w:val="left" w:leader="none"/>
        </w:tabs>
        <w:spacing w:line="273" w:lineRule="auto" w:before="0" w:after="0"/>
        <w:ind w:left="2561" w:right="1279" w:hanging="360"/>
        <w:jc w:val="both"/>
        <w:rPr>
          <w:sz w:val="24"/>
        </w:rPr>
      </w:pPr>
      <w:r>
        <w:rPr>
          <w:sz w:val="24"/>
        </w:rPr>
        <w:t>Возможно</w:t>
      </w:r>
      <w:r>
        <w:rPr>
          <w:spacing w:val="80"/>
          <w:sz w:val="24"/>
        </w:rPr>
        <w:t> </w:t>
      </w:r>
      <w:r>
        <w:rPr>
          <w:sz w:val="24"/>
        </w:rPr>
        <w:t>применение</w:t>
      </w:r>
      <w:r>
        <w:rPr>
          <w:spacing w:val="80"/>
          <w:sz w:val="24"/>
        </w:rPr>
        <w:t> </w:t>
      </w:r>
      <w:r>
        <w:rPr>
          <w:sz w:val="24"/>
        </w:rPr>
        <w:t>НПВП</w:t>
      </w:r>
      <w:r>
        <w:rPr>
          <w:spacing w:val="80"/>
          <w:sz w:val="24"/>
        </w:rPr>
        <w:t> </w:t>
      </w:r>
      <w:r>
        <w:rPr>
          <w:sz w:val="24"/>
        </w:rPr>
        <w:t>в</w:t>
      </w:r>
      <w:r>
        <w:rPr>
          <w:spacing w:val="80"/>
          <w:sz w:val="24"/>
        </w:rPr>
        <w:t> </w:t>
      </w:r>
      <w:r>
        <w:rPr>
          <w:sz w:val="24"/>
        </w:rPr>
        <w:t>низких</w:t>
      </w:r>
      <w:r>
        <w:rPr>
          <w:spacing w:val="80"/>
          <w:sz w:val="24"/>
        </w:rPr>
        <w:t> </w:t>
      </w:r>
      <w:r>
        <w:rPr>
          <w:sz w:val="24"/>
        </w:rPr>
        <w:t>дозах</w:t>
      </w:r>
      <w:r>
        <w:rPr>
          <w:spacing w:val="80"/>
          <w:sz w:val="24"/>
        </w:rPr>
        <w:t> </w:t>
      </w:r>
      <w:r>
        <w:rPr>
          <w:sz w:val="24"/>
        </w:rPr>
        <w:t>(ибупрофен,</w:t>
      </w:r>
      <w:r>
        <w:rPr>
          <w:spacing w:val="80"/>
          <w:sz w:val="24"/>
        </w:rPr>
        <w:t> </w:t>
      </w:r>
      <w:r>
        <w:rPr>
          <w:sz w:val="24"/>
        </w:rPr>
        <w:t>кетопрофен)</w:t>
      </w:r>
      <w:r>
        <w:rPr>
          <w:spacing w:val="40"/>
          <w:sz w:val="24"/>
        </w:rPr>
        <w:t> </w:t>
      </w:r>
      <w:r>
        <w:rPr>
          <w:sz w:val="24"/>
        </w:rPr>
        <w:t>и парацетамола в качестве жаропонижающих препаратов;</w:t>
      </w:r>
    </w:p>
    <w:p>
      <w:pPr>
        <w:pStyle w:val="ListParagraph"/>
        <w:numPr>
          <w:ilvl w:val="1"/>
          <w:numId w:val="44"/>
        </w:numPr>
        <w:tabs>
          <w:tab w:pos="2561" w:val="left" w:leader="none"/>
        </w:tabs>
        <w:spacing w:line="271" w:lineRule="auto" w:before="2" w:after="0"/>
        <w:ind w:left="2561" w:right="1276" w:hanging="360"/>
        <w:jc w:val="both"/>
        <w:rPr>
          <w:sz w:val="24"/>
        </w:rPr>
      </w:pPr>
      <w:r>
        <w:rPr>
          <w:sz w:val="24"/>
        </w:rPr>
        <w:t>Не рекомендуется прерывание лечения ГКС, но следует по возможности максимально снизить дозу препарата;</w:t>
      </w:r>
    </w:p>
    <w:p>
      <w:pPr>
        <w:pStyle w:val="ListParagraph"/>
        <w:numPr>
          <w:ilvl w:val="1"/>
          <w:numId w:val="44"/>
        </w:numPr>
        <w:tabs>
          <w:tab w:pos="2561" w:val="left" w:leader="none"/>
        </w:tabs>
        <w:spacing w:line="273" w:lineRule="auto" w:before="9" w:after="0"/>
        <w:ind w:left="2561" w:right="1274" w:hanging="360"/>
        <w:jc w:val="both"/>
        <w:rPr>
          <w:sz w:val="24"/>
        </w:rPr>
      </w:pPr>
      <w:r>
        <w:rPr>
          <w:sz w:val="24"/>
        </w:rPr>
        <w:t>Во время пандемии COVID-19 следует прервать «плановую» терапию циклофосфамидом</w:t>
      </w:r>
      <w:r>
        <w:rPr>
          <w:spacing w:val="80"/>
          <w:sz w:val="24"/>
        </w:rPr>
        <w:t>  </w:t>
      </w:r>
      <w:r>
        <w:rPr>
          <w:sz w:val="24"/>
        </w:rPr>
        <w:t>и</w:t>
      </w:r>
      <w:r>
        <w:rPr>
          <w:spacing w:val="80"/>
          <w:sz w:val="24"/>
        </w:rPr>
        <w:t>  </w:t>
      </w:r>
      <w:r>
        <w:rPr>
          <w:sz w:val="24"/>
        </w:rPr>
        <w:t>анти-В-клеточными</w:t>
      </w:r>
      <w:r>
        <w:rPr>
          <w:spacing w:val="80"/>
          <w:sz w:val="24"/>
        </w:rPr>
        <w:t>  </w:t>
      </w:r>
      <w:r>
        <w:rPr>
          <w:sz w:val="24"/>
        </w:rPr>
        <w:t>препаратами</w:t>
      </w:r>
      <w:r>
        <w:rPr>
          <w:spacing w:val="80"/>
          <w:sz w:val="24"/>
        </w:rPr>
        <w:t>  </w:t>
      </w:r>
      <w:r>
        <w:rPr>
          <w:sz w:val="24"/>
        </w:rPr>
        <w:t>(ритуксимаб)</w:t>
      </w:r>
      <w:r>
        <w:rPr>
          <w:spacing w:val="40"/>
          <w:sz w:val="24"/>
        </w:rPr>
        <w:t> </w:t>
      </w:r>
      <w:r>
        <w:rPr>
          <w:sz w:val="24"/>
        </w:rPr>
        <w:t>и не следует инициировать терапию стандартными БПВП (метотрексакт, лефлуномид), ГИБП и таргетными БПВП при отсутствии абсолютных показаний, связанных с риском развития ургентных осложнений или необратимого поражения внутренних органов;</w:t>
      </w:r>
    </w:p>
    <w:p>
      <w:pPr>
        <w:pStyle w:val="ListParagraph"/>
        <w:numPr>
          <w:ilvl w:val="1"/>
          <w:numId w:val="44"/>
        </w:numPr>
        <w:tabs>
          <w:tab w:pos="2561" w:val="left" w:leader="none"/>
        </w:tabs>
        <w:spacing w:line="273" w:lineRule="auto" w:before="10" w:after="0"/>
        <w:ind w:left="2561" w:right="1272" w:hanging="360"/>
        <w:jc w:val="both"/>
        <w:rPr>
          <w:sz w:val="24"/>
        </w:rPr>
      </w:pPr>
      <w:r>
        <w:rPr>
          <w:sz w:val="24"/>
        </w:rPr>
        <w:t>При отсутствии подозрений на наличие инфекции SARS-CoV-2 и других противопоказаний рекомендуется иммунизация вакциной против пневмококковой инфекции.</w:t>
      </w:r>
    </w:p>
    <w:p>
      <w:pPr>
        <w:pStyle w:val="Heading3"/>
        <w:spacing w:before="242"/>
      </w:pPr>
      <w:r>
        <w:rPr>
          <w:color w:val="1F487C"/>
          <w:spacing w:val="-2"/>
        </w:rPr>
        <w:t>Пациенты</w:t>
      </w:r>
      <w:r>
        <w:rPr>
          <w:color w:val="1F487C"/>
        </w:rPr>
        <w:t> </w:t>
      </w:r>
      <w:r>
        <w:rPr>
          <w:color w:val="1F487C"/>
          <w:spacing w:val="-2"/>
        </w:rPr>
        <w:t>с</w:t>
      </w:r>
      <w:r>
        <w:rPr>
          <w:color w:val="1F487C"/>
          <w:spacing w:val="-1"/>
        </w:rPr>
        <w:t> </w:t>
      </w:r>
      <w:r>
        <w:rPr>
          <w:color w:val="1F487C"/>
          <w:spacing w:val="-2"/>
        </w:rPr>
        <w:t>онкологическими</w:t>
      </w:r>
      <w:r>
        <w:rPr>
          <w:color w:val="1F487C"/>
          <w:spacing w:val="1"/>
        </w:rPr>
        <w:t> </w:t>
      </w:r>
      <w:r>
        <w:rPr>
          <w:color w:val="1F487C"/>
          <w:spacing w:val="-2"/>
        </w:rPr>
        <w:t>заболеваниями</w:t>
      </w:r>
    </w:p>
    <w:p>
      <w:pPr>
        <w:pStyle w:val="BodyText"/>
        <w:spacing w:line="276" w:lineRule="auto" w:before="141"/>
        <w:ind w:right="1270" w:firstLine="707"/>
      </w:pPr>
      <w:r>
        <w:rPr/>
        <w:t>Онкологические заболевания определяют более тяжелое течение и худший прогноз COVID-19. Максимальному риску подвержены: пациенты, получающие противоопухолевое лекарственное лечение в настоящее время или в течение последних</w:t>
      </w:r>
      <w:r>
        <w:rPr>
          <w:spacing w:val="40"/>
        </w:rPr>
        <w:t> </w:t>
      </w:r>
      <w:r>
        <w:rPr/>
        <w:t>3</w:t>
      </w:r>
      <w:r>
        <w:rPr>
          <w:spacing w:val="40"/>
        </w:rPr>
        <w:t> </w:t>
      </w:r>
      <w:r>
        <w:rPr/>
        <w:t>месяцев;</w:t>
      </w:r>
      <w:r>
        <w:rPr>
          <w:spacing w:val="40"/>
        </w:rPr>
        <w:t> </w:t>
      </w:r>
      <w:r>
        <w:rPr/>
        <w:t>пациенты,</w:t>
      </w:r>
      <w:r>
        <w:rPr>
          <w:spacing w:val="40"/>
        </w:rPr>
        <w:t> </w:t>
      </w:r>
      <w:r>
        <w:rPr/>
        <w:t>которым</w:t>
      </w:r>
      <w:r>
        <w:rPr>
          <w:spacing w:val="40"/>
        </w:rPr>
        <w:t> </w:t>
      </w:r>
      <w:r>
        <w:rPr/>
        <w:t>проводится</w:t>
      </w:r>
      <w:r>
        <w:rPr>
          <w:spacing w:val="40"/>
        </w:rPr>
        <w:t> </w:t>
      </w:r>
      <w:r>
        <w:rPr/>
        <w:t>лучевая</w:t>
      </w:r>
      <w:r>
        <w:rPr>
          <w:spacing w:val="40"/>
        </w:rPr>
        <w:t> </w:t>
      </w:r>
      <w:r>
        <w:rPr/>
        <w:t>терапия;</w:t>
      </w:r>
      <w:r>
        <w:rPr>
          <w:spacing w:val="40"/>
        </w:rPr>
        <w:t> </w:t>
      </w:r>
      <w:r>
        <w:rPr/>
        <w:t>пациенты с лейкопенией и/или низким уровнем иммуноглобулинов; пациенты после трансплантации</w:t>
      </w:r>
      <w:r>
        <w:rPr>
          <w:spacing w:val="40"/>
        </w:rPr>
        <w:t> </w:t>
      </w:r>
      <w:r>
        <w:rPr/>
        <w:t>аутологичных</w:t>
      </w:r>
      <w:r>
        <w:rPr>
          <w:spacing w:val="40"/>
        </w:rPr>
        <w:t> </w:t>
      </w:r>
      <w:r>
        <w:rPr/>
        <w:t>и</w:t>
      </w:r>
      <w:r>
        <w:rPr>
          <w:spacing w:val="40"/>
        </w:rPr>
        <w:t> </w:t>
      </w:r>
      <w:r>
        <w:rPr/>
        <w:t>аллогенных</w:t>
      </w:r>
      <w:r>
        <w:rPr>
          <w:spacing w:val="40"/>
        </w:rPr>
        <w:t>  </w:t>
      </w:r>
      <w:r>
        <w:rPr/>
        <w:t>гемопоэтических</w:t>
      </w:r>
      <w:r>
        <w:rPr>
          <w:spacing w:val="40"/>
        </w:rPr>
        <w:t> </w:t>
      </w:r>
      <w:r>
        <w:rPr/>
        <w:t>стволовых</w:t>
      </w:r>
      <w:r>
        <w:rPr>
          <w:spacing w:val="40"/>
        </w:rPr>
        <w:t> </w:t>
      </w:r>
      <w:r>
        <w:rPr/>
        <w:t>клеток в течение последних 6 месяцев; пациенты, получающие иммуносупрессивную терапию;</w:t>
      </w:r>
      <w:r>
        <w:rPr>
          <w:spacing w:val="40"/>
        </w:rPr>
        <w:t> </w:t>
      </w:r>
      <w:r>
        <w:rPr/>
        <w:t>пациенты</w:t>
      </w:r>
      <w:r>
        <w:rPr>
          <w:spacing w:val="40"/>
        </w:rPr>
        <w:t> </w:t>
      </w:r>
      <w:r>
        <w:rPr/>
        <w:t>с</w:t>
      </w:r>
      <w:r>
        <w:rPr>
          <w:spacing w:val="40"/>
        </w:rPr>
        <w:t> </w:t>
      </w:r>
      <w:r>
        <w:rPr/>
        <w:t>некоторыми</w:t>
      </w:r>
      <w:r>
        <w:rPr>
          <w:spacing w:val="40"/>
        </w:rPr>
        <w:t> </w:t>
      </w:r>
      <w:r>
        <w:rPr/>
        <w:t>типами</w:t>
      </w:r>
      <w:r>
        <w:rPr>
          <w:spacing w:val="40"/>
        </w:rPr>
        <w:t> </w:t>
      </w:r>
      <w:r>
        <w:rPr/>
        <w:t>опухолей</w:t>
      </w:r>
      <w:r>
        <w:rPr>
          <w:spacing w:val="40"/>
        </w:rPr>
        <w:t> </w:t>
      </w:r>
      <w:r>
        <w:rPr/>
        <w:t>кроветворной</w:t>
      </w:r>
      <w:r>
        <w:rPr>
          <w:spacing w:val="40"/>
        </w:rPr>
        <w:t> </w:t>
      </w:r>
      <w:r>
        <w:rPr/>
        <w:t>и</w:t>
      </w:r>
      <w:r>
        <w:rPr>
          <w:spacing w:val="40"/>
        </w:rPr>
        <w:t> </w:t>
      </w:r>
      <w:r>
        <w:rPr/>
        <w:t>лимфоидной</w:t>
      </w:r>
    </w:p>
    <w:p>
      <w:pPr>
        <w:pStyle w:val="BodyText"/>
        <w:spacing w:after="0" w:line="276" w:lineRule="auto"/>
        <w:sectPr>
          <w:pgSz w:w="11900" w:h="16840"/>
          <w:pgMar w:header="0" w:footer="697" w:top="1080" w:bottom="880" w:left="0" w:right="0"/>
        </w:sectPr>
      </w:pPr>
    </w:p>
    <w:p>
      <w:pPr>
        <w:pStyle w:val="BodyText"/>
        <w:spacing w:line="276" w:lineRule="auto" w:before="73"/>
        <w:ind w:right="1280"/>
      </w:pPr>
      <w:bookmarkStart w:name="93" w:id="110"/>
      <w:bookmarkEnd w:id="110"/>
      <w:r>
        <w:rPr/>
      </w:r>
      <w:r>
        <w:rPr/>
        <w:t>тканей, даже если они не проходят лечение в данный момент (хронический лимфолейкоз, лимфома, миелома, острый лейкоз).</w:t>
      </w:r>
    </w:p>
    <w:p>
      <w:pPr>
        <w:pStyle w:val="BodyText"/>
        <w:spacing w:line="276" w:lineRule="auto"/>
        <w:ind w:right="1273" w:firstLine="707"/>
      </w:pPr>
      <w:r>
        <w:rPr/>
        <w:t>Пациенты с онкологическими заболеваниями должны следовать всем рекомендациям по профилактике COVID-19. Целесообразно минимизировать сроки пребывания пациента в стационаре, рассмотреть возможность проведения противоопухолевого</w:t>
      </w:r>
      <w:r>
        <w:rPr>
          <w:spacing w:val="71"/>
          <w:w w:val="150"/>
        </w:rPr>
        <w:t>  </w:t>
      </w:r>
      <w:r>
        <w:rPr/>
        <w:t>лекарственного</w:t>
      </w:r>
      <w:r>
        <w:rPr>
          <w:spacing w:val="71"/>
          <w:w w:val="150"/>
        </w:rPr>
        <w:t>  </w:t>
      </w:r>
      <w:r>
        <w:rPr/>
        <w:t>лечения</w:t>
      </w:r>
      <w:r>
        <w:rPr>
          <w:spacing w:val="71"/>
          <w:w w:val="150"/>
        </w:rPr>
        <w:t>  </w:t>
      </w:r>
      <w:r>
        <w:rPr/>
        <w:t>в</w:t>
      </w:r>
      <w:r>
        <w:rPr>
          <w:spacing w:val="71"/>
          <w:w w:val="150"/>
        </w:rPr>
        <w:t>  </w:t>
      </w:r>
      <w:r>
        <w:rPr/>
        <w:t>амбулаторных</w:t>
      </w:r>
      <w:r>
        <w:rPr>
          <w:spacing w:val="71"/>
          <w:w w:val="150"/>
        </w:rPr>
        <w:t>  </w:t>
      </w:r>
      <w:r>
        <w:rPr/>
        <w:t>условиях, с</w:t>
      </w:r>
      <w:r>
        <w:rPr>
          <w:spacing w:val="-4"/>
        </w:rPr>
        <w:t> </w:t>
      </w:r>
      <w:r>
        <w:rPr/>
        <w:t>использованием таблетированных препаратов, если это не ухудшит течение онкологического процесса. При выборе режима химиотерапии, предполагающего парентеральный путь введения препаратов, рекомендуется отдавать предпочтение режимам с большими интервалами между введениями. Необходимо избегать назначения противоопухолевых препаратов, обладающих пульмональной токсичностью, и рассмотреть возможность временного прерывания противоопухолевого</w:t>
      </w:r>
      <w:r>
        <w:rPr>
          <w:spacing w:val="40"/>
        </w:rPr>
        <w:t>  </w:t>
      </w:r>
      <w:r>
        <w:rPr/>
        <w:t>лекарственного</w:t>
      </w:r>
      <w:r>
        <w:rPr>
          <w:spacing w:val="40"/>
        </w:rPr>
        <w:t>  </w:t>
      </w:r>
      <w:r>
        <w:rPr/>
        <w:t>лечения,</w:t>
      </w:r>
      <w:r>
        <w:rPr>
          <w:spacing w:val="40"/>
        </w:rPr>
        <w:t>  </w:t>
      </w:r>
      <w:r>
        <w:rPr/>
        <w:t>перевод</w:t>
      </w:r>
      <w:r>
        <w:rPr>
          <w:spacing w:val="40"/>
        </w:rPr>
        <w:t>  </w:t>
      </w:r>
      <w:r>
        <w:rPr/>
        <w:t>под</w:t>
      </w:r>
      <w:r>
        <w:rPr>
          <w:spacing w:val="80"/>
          <w:w w:val="150"/>
        </w:rPr>
        <w:t> </w:t>
      </w:r>
      <w:r>
        <w:rPr/>
        <w:t>наблюдение</w:t>
      </w:r>
      <w:r>
        <w:rPr>
          <w:spacing w:val="80"/>
          <w:w w:val="150"/>
        </w:rPr>
        <w:t> </w:t>
      </w:r>
      <w:r>
        <w:rPr/>
        <w:t>или на поддерживающую терапию при условии, что сокращение числа курсов химиотерапии не приведет к ухудшению онкологического прогноза.</w:t>
      </w:r>
    </w:p>
    <w:p>
      <w:pPr>
        <w:pStyle w:val="BodyText"/>
        <w:spacing w:line="276" w:lineRule="auto"/>
        <w:ind w:right="1274" w:firstLine="707"/>
      </w:pPr>
      <w:r>
        <w:rPr/>
        <w:t>Пациенты</w:t>
      </w:r>
      <w:r>
        <w:rPr>
          <w:spacing w:val="-2"/>
        </w:rPr>
        <w:t> </w:t>
      </w:r>
      <w:r>
        <w:rPr/>
        <w:t>с</w:t>
      </w:r>
      <w:r>
        <w:rPr>
          <w:spacing w:val="-3"/>
        </w:rPr>
        <w:t> </w:t>
      </w:r>
      <w:r>
        <w:rPr/>
        <w:t>онкологическими</w:t>
      </w:r>
      <w:r>
        <w:rPr>
          <w:spacing w:val="-1"/>
        </w:rPr>
        <w:t> </w:t>
      </w:r>
      <w:r>
        <w:rPr/>
        <w:t>заболеваниями</w:t>
      </w:r>
      <w:r>
        <w:rPr>
          <w:spacing w:val="-1"/>
        </w:rPr>
        <w:t> </w:t>
      </w:r>
      <w:r>
        <w:rPr/>
        <w:t>и</w:t>
      </w:r>
      <w:r>
        <w:rPr>
          <w:spacing w:val="-3"/>
        </w:rPr>
        <w:t> </w:t>
      </w:r>
      <w:r>
        <w:rPr/>
        <w:t>лабораторно</w:t>
      </w:r>
      <w:r>
        <w:rPr>
          <w:spacing w:val="-2"/>
        </w:rPr>
        <w:t> </w:t>
      </w:r>
      <w:r>
        <w:rPr/>
        <w:t>подтвержденным диагнозом COVID-19 госпитализируются по тем же показаниям, что и пациенты без онкологических заболеваний. При лечении COVID-19 в амбулаторных условиях необходимо</w:t>
      </w:r>
      <w:r>
        <w:rPr>
          <w:spacing w:val="68"/>
        </w:rPr>
        <w:t>  </w:t>
      </w:r>
      <w:r>
        <w:rPr/>
        <w:t>обеспечить</w:t>
      </w:r>
      <w:r>
        <w:rPr>
          <w:spacing w:val="69"/>
        </w:rPr>
        <w:t>  </w:t>
      </w:r>
      <w:r>
        <w:rPr/>
        <w:t>тщательный</w:t>
      </w:r>
      <w:r>
        <w:rPr>
          <w:spacing w:val="68"/>
        </w:rPr>
        <w:t>  </w:t>
      </w:r>
      <w:r>
        <w:rPr/>
        <w:t>мониторинг</w:t>
      </w:r>
      <w:r>
        <w:rPr>
          <w:spacing w:val="69"/>
        </w:rPr>
        <w:t>  </w:t>
      </w:r>
      <w:r>
        <w:rPr/>
        <w:t>за</w:t>
      </w:r>
      <w:r>
        <w:rPr>
          <w:spacing w:val="68"/>
        </w:rPr>
        <w:t>  </w:t>
      </w:r>
      <w:r>
        <w:rPr/>
        <w:t>состоянием</w:t>
      </w:r>
      <w:r>
        <w:rPr>
          <w:spacing w:val="68"/>
        </w:rPr>
        <w:t>  </w:t>
      </w:r>
      <w:r>
        <w:rPr/>
        <w:t>пациента с</w:t>
      </w:r>
      <w:r>
        <w:rPr>
          <w:spacing w:val="-5"/>
        </w:rPr>
        <w:t> </w:t>
      </w:r>
      <w:r>
        <w:rPr/>
        <w:t>возможностью срочной госпитализации при ухудшении состояния или появлении показаний. Пациентам с онкологическими заболеваниями и лабораторно подтвержденным диагнозом/подозрением на COVID-19 и наличием признаков поражения легочной ткани необходимо проведение компьютерной томографии органов грудной клетки (оценка состояния легочной ткани).</w:t>
      </w:r>
    </w:p>
    <w:p>
      <w:pPr>
        <w:pStyle w:val="BodyText"/>
        <w:spacing w:line="276" w:lineRule="auto"/>
        <w:ind w:right="1273" w:firstLine="707"/>
      </w:pPr>
      <w:r>
        <w:rPr/>
        <w:t>Пациентам с лабораторно подтвержденным диагнозом COVID-19 и/или наличием характерной клинической и рентгенологической картины COVID-19 необходимо прервать противоопухолевое лекарственное лечение до значимого клинического улучшения, регресса пневмонии и получения отрицательного результата ПЦР. Допустимо возобновить противоопухолевую лекарственную терапию при перечисленных выше условиях и сохраняющихся остаточных изменениях</w:t>
      </w:r>
      <w:r>
        <w:rPr>
          <w:spacing w:val="40"/>
        </w:rPr>
        <w:t> </w:t>
      </w:r>
      <w:r>
        <w:rPr/>
        <w:t>в</w:t>
      </w:r>
      <w:r>
        <w:rPr>
          <w:spacing w:val="40"/>
        </w:rPr>
        <w:t> </w:t>
      </w:r>
      <w:r>
        <w:rPr/>
        <w:t>легочной</w:t>
      </w:r>
      <w:r>
        <w:rPr>
          <w:spacing w:val="40"/>
        </w:rPr>
        <w:t> </w:t>
      </w:r>
      <w:r>
        <w:rPr/>
        <w:t>ткани,</w:t>
      </w:r>
      <w:r>
        <w:rPr>
          <w:spacing w:val="40"/>
        </w:rPr>
        <w:t> </w:t>
      </w:r>
      <w:r>
        <w:rPr/>
        <w:t>относящихся</w:t>
      </w:r>
      <w:r>
        <w:rPr>
          <w:spacing w:val="40"/>
        </w:rPr>
        <w:t> </w:t>
      </w:r>
      <w:r>
        <w:rPr/>
        <w:t>к</w:t>
      </w:r>
      <w:r>
        <w:rPr>
          <w:spacing w:val="40"/>
        </w:rPr>
        <w:t> </w:t>
      </w:r>
      <w:r>
        <w:rPr/>
        <w:t>постпневмоническим</w:t>
      </w:r>
      <w:r>
        <w:rPr>
          <w:spacing w:val="40"/>
        </w:rPr>
        <w:t> </w:t>
      </w:r>
      <w:r>
        <w:rPr/>
        <w:t>изменениям. Во всех случаях необходимо рассмотреть возможность перевода пациента на менее токсичный режим противоопухолевого лекарственного лечения или временно прервать</w:t>
      </w:r>
      <w:r>
        <w:rPr>
          <w:spacing w:val="-10"/>
        </w:rPr>
        <w:t> </w:t>
      </w:r>
      <w:r>
        <w:rPr/>
        <w:t>лечение</w:t>
      </w:r>
      <w:r>
        <w:rPr>
          <w:spacing w:val="-13"/>
        </w:rPr>
        <w:t> </w:t>
      </w:r>
      <w:r>
        <w:rPr/>
        <w:t>в</w:t>
      </w:r>
      <w:r>
        <w:rPr>
          <w:spacing w:val="-12"/>
        </w:rPr>
        <w:t> </w:t>
      </w:r>
      <w:r>
        <w:rPr/>
        <w:t>тех</w:t>
      </w:r>
      <w:r>
        <w:rPr>
          <w:spacing w:val="-7"/>
        </w:rPr>
        <w:t> </w:t>
      </w:r>
      <w:r>
        <w:rPr/>
        <w:t>случаях,</w:t>
      </w:r>
      <w:r>
        <w:rPr>
          <w:spacing w:val="-12"/>
        </w:rPr>
        <w:t> </w:t>
      </w:r>
      <w:r>
        <w:rPr/>
        <w:t>когда</w:t>
      </w:r>
      <w:r>
        <w:rPr>
          <w:spacing w:val="-12"/>
        </w:rPr>
        <w:t> </w:t>
      </w:r>
      <w:r>
        <w:rPr/>
        <w:t>это</w:t>
      </w:r>
      <w:r>
        <w:rPr>
          <w:spacing w:val="-9"/>
        </w:rPr>
        <w:t> </w:t>
      </w:r>
      <w:r>
        <w:rPr/>
        <w:t>возможно</w:t>
      </w:r>
      <w:r>
        <w:rPr>
          <w:spacing w:val="-12"/>
        </w:rPr>
        <w:t> </w:t>
      </w:r>
      <w:r>
        <w:rPr/>
        <w:t>в</w:t>
      </w:r>
      <w:r>
        <w:rPr>
          <w:spacing w:val="-12"/>
        </w:rPr>
        <w:t> </w:t>
      </w:r>
      <w:r>
        <w:rPr/>
        <w:t>соответствии</w:t>
      </w:r>
      <w:r>
        <w:rPr>
          <w:spacing w:val="-11"/>
        </w:rPr>
        <w:t> </w:t>
      </w:r>
      <w:r>
        <w:rPr/>
        <w:t>с</w:t>
      </w:r>
      <w:r>
        <w:rPr>
          <w:spacing w:val="-13"/>
        </w:rPr>
        <w:t> </w:t>
      </w:r>
      <w:r>
        <w:rPr/>
        <w:t>онкологическим </w:t>
      </w:r>
      <w:r>
        <w:rPr>
          <w:spacing w:val="-2"/>
        </w:rPr>
        <w:t>прогнозом.</w:t>
      </w:r>
    </w:p>
    <w:p>
      <w:pPr>
        <w:pStyle w:val="BodyText"/>
        <w:spacing w:line="276" w:lineRule="auto"/>
        <w:ind w:right="1272" w:firstLine="707"/>
      </w:pPr>
      <w:r>
        <w:rPr/>
        <w:t>Лечение</w:t>
      </w:r>
      <w:r>
        <w:rPr>
          <w:spacing w:val="80"/>
        </w:rPr>
        <w:t>  </w:t>
      </w:r>
      <w:r>
        <w:rPr/>
        <w:t>онкологических</w:t>
      </w:r>
      <w:r>
        <w:rPr>
          <w:spacing w:val="80"/>
        </w:rPr>
        <w:t>  </w:t>
      </w:r>
      <w:r>
        <w:rPr/>
        <w:t>пациентов</w:t>
      </w:r>
      <w:r>
        <w:rPr>
          <w:spacing w:val="80"/>
        </w:rPr>
        <w:t>  </w:t>
      </w:r>
      <w:r>
        <w:rPr/>
        <w:t>с</w:t>
      </w:r>
      <w:r>
        <w:rPr>
          <w:spacing w:val="80"/>
        </w:rPr>
        <w:t>  </w:t>
      </w:r>
      <w:r>
        <w:rPr/>
        <w:t>фебрильной</w:t>
      </w:r>
      <w:r>
        <w:rPr>
          <w:spacing w:val="80"/>
        </w:rPr>
        <w:t>  </w:t>
      </w:r>
      <w:r>
        <w:rPr/>
        <w:t>нейтропенией (как следствие перенесенной химиотерапии) и COVID-19 проводится в</w:t>
      </w:r>
      <w:r>
        <w:rPr>
          <w:spacing w:val="-4"/>
        </w:rPr>
        <w:t> </w:t>
      </w:r>
      <w:r>
        <w:rPr/>
        <w:t>соответствии </w:t>
      </w:r>
      <w:r>
        <w:rPr>
          <w:spacing w:val="-2"/>
        </w:rPr>
        <w:t>с</w:t>
      </w:r>
      <w:r>
        <w:rPr>
          <w:spacing w:val="-4"/>
        </w:rPr>
        <w:t> </w:t>
      </w:r>
      <w:r>
        <w:rPr>
          <w:spacing w:val="-2"/>
        </w:rPr>
        <w:t>принятыми</w:t>
      </w:r>
      <w:r>
        <w:rPr>
          <w:spacing w:val="-5"/>
        </w:rPr>
        <w:t> </w:t>
      </w:r>
      <w:r>
        <w:rPr>
          <w:spacing w:val="-2"/>
        </w:rPr>
        <w:t>протоколами ведения</w:t>
      </w:r>
      <w:r>
        <w:rPr>
          <w:spacing w:val="-3"/>
        </w:rPr>
        <w:t> </w:t>
      </w:r>
      <w:r>
        <w:rPr>
          <w:spacing w:val="-2"/>
        </w:rPr>
        <w:t>больных</w:t>
      </w:r>
      <w:r>
        <w:rPr>
          <w:spacing w:val="-3"/>
        </w:rPr>
        <w:t> </w:t>
      </w:r>
      <w:r>
        <w:rPr>
          <w:spacing w:val="-2"/>
        </w:rPr>
        <w:t>с</w:t>
      </w:r>
      <w:r>
        <w:rPr>
          <w:spacing w:val="-4"/>
        </w:rPr>
        <w:t> </w:t>
      </w:r>
      <w:r>
        <w:rPr>
          <w:spacing w:val="-2"/>
        </w:rPr>
        <w:t>фебрильной нейтропенией.</w:t>
      </w:r>
      <w:r>
        <w:rPr>
          <w:spacing w:val="-3"/>
        </w:rPr>
        <w:t> </w:t>
      </w:r>
      <w:r>
        <w:rPr>
          <w:spacing w:val="-2"/>
        </w:rPr>
        <w:t>Необходимо </w:t>
      </w:r>
      <w:r>
        <w:rPr/>
        <w:t>с крайней осторожностью подходить к назначению колониестимулирующих факторов,</w:t>
      </w:r>
      <w:r>
        <w:rPr>
          <w:spacing w:val="71"/>
        </w:rPr>
        <w:t>  </w:t>
      </w:r>
      <w:r>
        <w:rPr/>
        <w:t>которые</w:t>
      </w:r>
      <w:r>
        <w:rPr>
          <w:spacing w:val="69"/>
        </w:rPr>
        <w:t>  </w:t>
      </w:r>
      <w:r>
        <w:rPr/>
        <w:t>обладают</w:t>
      </w:r>
      <w:r>
        <w:rPr>
          <w:spacing w:val="71"/>
        </w:rPr>
        <w:t>  </w:t>
      </w:r>
      <w:r>
        <w:rPr/>
        <w:t>потенциальной</w:t>
      </w:r>
      <w:r>
        <w:rPr>
          <w:spacing w:val="71"/>
        </w:rPr>
        <w:t>  </w:t>
      </w:r>
      <w:r>
        <w:rPr/>
        <w:t>возможностью</w:t>
      </w:r>
      <w:r>
        <w:rPr>
          <w:spacing w:val="69"/>
        </w:rPr>
        <w:t>  </w:t>
      </w:r>
      <w:r>
        <w:rPr/>
        <w:t>потенцировать</w:t>
      </w:r>
    </w:p>
    <w:p>
      <w:pPr>
        <w:pStyle w:val="BodyText"/>
      </w:pPr>
      <w:r>
        <w:rPr>
          <w:spacing w:val="-2"/>
        </w:rPr>
        <w:t>«цитокиновый</w:t>
      </w:r>
      <w:r>
        <w:rPr>
          <w:spacing w:val="3"/>
        </w:rPr>
        <w:t> </w:t>
      </w:r>
      <w:r>
        <w:rPr>
          <w:spacing w:val="-2"/>
        </w:rPr>
        <w:t>шторм».</w:t>
      </w:r>
    </w:p>
    <w:p>
      <w:pPr>
        <w:pStyle w:val="BodyText"/>
        <w:spacing w:line="276" w:lineRule="auto" w:before="31"/>
        <w:ind w:right="1273" w:firstLine="707"/>
      </w:pPr>
      <w:r>
        <w:rPr/>
        <w:t>Несмотря на более высокий риск развития вторичных инфекционных осложнений у пациентов с онкологическими заболеваниями и высоким риском тяжелого течения COVID-19, лечение новой коронавирусной инфекции проводится</w:t>
      </w:r>
      <w:r>
        <w:rPr>
          <w:spacing w:val="80"/>
        </w:rPr>
        <w:t> </w:t>
      </w:r>
      <w:r>
        <w:rPr/>
        <w:t>в</w:t>
      </w:r>
      <w:r>
        <w:rPr>
          <w:spacing w:val="-6"/>
        </w:rPr>
        <w:t> </w:t>
      </w:r>
      <w:r>
        <w:rPr/>
        <w:t>соответствии</w:t>
      </w:r>
      <w:r>
        <w:rPr>
          <w:spacing w:val="52"/>
        </w:rPr>
        <w:t> </w:t>
      </w:r>
      <w:r>
        <w:rPr/>
        <w:t>с</w:t>
      </w:r>
      <w:r>
        <w:rPr>
          <w:spacing w:val="51"/>
        </w:rPr>
        <w:t> </w:t>
      </w:r>
      <w:r>
        <w:rPr/>
        <w:t>общими</w:t>
      </w:r>
      <w:r>
        <w:rPr>
          <w:spacing w:val="52"/>
        </w:rPr>
        <w:t> </w:t>
      </w:r>
      <w:r>
        <w:rPr/>
        <w:t>рекомендациями</w:t>
      </w:r>
      <w:r>
        <w:rPr>
          <w:spacing w:val="52"/>
        </w:rPr>
        <w:t> </w:t>
      </w:r>
      <w:r>
        <w:rPr/>
        <w:t>для</w:t>
      </w:r>
      <w:r>
        <w:rPr>
          <w:spacing w:val="52"/>
        </w:rPr>
        <w:t> </w:t>
      </w:r>
      <w:r>
        <w:rPr/>
        <w:t>пациентов</w:t>
      </w:r>
      <w:r>
        <w:rPr>
          <w:spacing w:val="52"/>
        </w:rPr>
        <w:t> </w:t>
      </w:r>
      <w:r>
        <w:rPr/>
        <w:t>с</w:t>
      </w:r>
      <w:r>
        <w:rPr>
          <w:spacing w:val="56"/>
        </w:rPr>
        <w:t> </w:t>
      </w:r>
      <w:r>
        <w:rPr/>
        <w:t>COVID-19,</w:t>
      </w:r>
      <w:r>
        <w:rPr>
          <w:spacing w:val="52"/>
        </w:rPr>
        <w:t> </w:t>
      </w:r>
      <w:r>
        <w:rPr/>
        <w:t>но</w:t>
      </w:r>
      <w:r>
        <w:rPr>
          <w:spacing w:val="52"/>
        </w:rPr>
        <w:t> </w:t>
      </w:r>
      <w:r>
        <w:rPr>
          <w:spacing w:val="-2"/>
        </w:rPr>
        <w:t>более</w:t>
      </w:r>
    </w:p>
    <w:p>
      <w:pPr>
        <w:pStyle w:val="BodyText"/>
        <w:spacing w:after="0" w:line="276" w:lineRule="auto"/>
        <w:sectPr>
          <w:pgSz w:w="11900" w:h="16840"/>
          <w:pgMar w:header="0" w:footer="697" w:top="1080" w:bottom="880" w:left="0" w:right="0"/>
        </w:sectPr>
      </w:pPr>
    </w:p>
    <w:p>
      <w:pPr>
        <w:pStyle w:val="BodyText"/>
        <w:spacing w:line="276" w:lineRule="auto" w:before="73"/>
        <w:ind w:right="1272"/>
      </w:pPr>
      <w:bookmarkStart w:name="94" w:id="111"/>
      <w:bookmarkEnd w:id="111"/>
      <w:r>
        <w:rPr/>
      </w:r>
      <w:r>
        <w:rPr/>
        <w:t>тщательным мониторингом состояния пациентов, контролем уровня СРБ и других маркеров системного воспаления.</w:t>
      </w:r>
    </w:p>
    <w:p>
      <w:pPr>
        <w:pStyle w:val="Heading3"/>
        <w:spacing w:line="261" w:lineRule="auto" w:before="238"/>
        <w:ind w:right="1272"/>
      </w:pPr>
      <w:r>
        <w:rPr>
          <w:color w:val="1F487C"/>
        </w:rPr>
        <w:t>Пациенты с заболеваниями системы крови, включая пациентов- реципиентов гемопоэтических стволовых клеток крови</w:t>
      </w:r>
    </w:p>
    <w:p>
      <w:pPr>
        <w:pStyle w:val="BodyText"/>
        <w:spacing w:line="276" w:lineRule="auto" w:before="115"/>
        <w:ind w:right="1271" w:firstLine="707"/>
      </w:pPr>
      <w:r>
        <w:rPr/>
        <w:t>Заболевания</w:t>
      </w:r>
      <w:r>
        <w:rPr>
          <w:spacing w:val="-4"/>
        </w:rPr>
        <w:t> </w:t>
      </w:r>
      <w:r>
        <w:rPr/>
        <w:t>системы</w:t>
      </w:r>
      <w:r>
        <w:rPr>
          <w:spacing w:val="-4"/>
        </w:rPr>
        <w:t> </w:t>
      </w:r>
      <w:r>
        <w:rPr/>
        <w:t>крови</w:t>
      </w:r>
      <w:r>
        <w:rPr>
          <w:spacing w:val="-5"/>
        </w:rPr>
        <w:t> </w:t>
      </w:r>
      <w:r>
        <w:rPr/>
        <w:t>включают</w:t>
      </w:r>
      <w:r>
        <w:rPr>
          <w:spacing w:val="-6"/>
        </w:rPr>
        <w:t> </w:t>
      </w:r>
      <w:r>
        <w:rPr/>
        <w:t>в</w:t>
      </w:r>
      <w:r>
        <w:rPr>
          <w:spacing w:val="-6"/>
        </w:rPr>
        <w:t> </w:t>
      </w:r>
      <w:r>
        <w:rPr/>
        <w:t>себя</w:t>
      </w:r>
      <w:r>
        <w:rPr>
          <w:spacing w:val="-6"/>
        </w:rPr>
        <w:t> </w:t>
      </w:r>
      <w:r>
        <w:rPr/>
        <w:t>не</w:t>
      </w:r>
      <w:r>
        <w:rPr>
          <w:spacing w:val="-6"/>
        </w:rPr>
        <w:t> </w:t>
      </w:r>
      <w:r>
        <w:rPr/>
        <w:t>только</w:t>
      </w:r>
      <w:r>
        <w:rPr>
          <w:spacing w:val="-6"/>
        </w:rPr>
        <w:t> </w:t>
      </w:r>
      <w:r>
        <w:rPr/>
        <w:t>онкогематологические заболевания, но и другие заболевания, которые сопровождаются иммунодефицитными состояниями, как первичными, так и вторичными. Таким образом,</w:t>
      </w:r>
      <w:r>
        <w:rPr>
          <w:spacing w:val="52"/>
        </w:rPr>
        <w:t>  </w:t>
      </w:r>
      <w:r>
        <w:rPr/>
        <w:t>у</w:t>
      </w:r>
      <w:r>
        <w:rPr>
          <w:spacing w:val="52"/>
        </w:rPr>
        <w:t>  </w:t>
      </w:r>
      <w:r>
        <w:rPr/>
        <w:t>пациентов</w:t>
      </w:r>
      <w:r>
        <w:rPr>
          <w:spacing w:val="52"/>
        </w:rPr>
        <w:t>  </w:t>
      </w:r>
      <w:r>
        <w:rPr/>
        <w:t>с</w:t>
      </w:r>
      <w:r>
        <w:rPr>
          <w:spacing w:val="52"/>
        </w:rPr>
        <w:t>  </w:t>
      </w:r>
      <w:r>
        <w:rPr/>
        <w:t>большим</w:t>
      </w:r>
      <w:r>
        <w:rPr>
          <w:spacing w:val="52"/>
        </w:rPr>
        <w:t>  </w:t>
      </w:r>
      <w:r>
        <w:rPr/>
        <w:t>количеством</w:t>
      </w:r>
      <w:r>
        <w:rPr>
          <w:spacing w:val="52"/>
        </w:rPr>
        <w:t>  </w:t>
      </w:r>
      <w:r>
        <w:rPr/>
        <w:t>заболеваний</w:t>
      </w:r>
      <w:r>
        <w:rPr>
          <w:spacing w:val="53"/>
        </w:rPr>
        <w:t>  </w:t>
      </w:r>
      <w:r>
        <w:rPr/>
        <w:t>по</w:t>
      </w:r>
      <w:r>
        <w:rPr>
          <w:spacing w:val="52"/>
        </w:rPr>
        <w:t>  </w:t>
      </w:r>
      <w:r>
        <w:rPr>
          <w:spacing w:val="-2"/>
        </w:rPr>
        <w:t>профилю</w:t>
      </w:r>
    </w:p>
    <w:p>
      <w:pPr>
        <w:pStyle w:val="BodyText"/>
        <w:spacing w:line="276" w:lineRule="auto"/>
        <w:ind w:right="1270"/>
      </w:pPr>
      <w:r>
        <w:rPr/>
        <w:t>«гематология» определяют более тяжелое течение и худший прогноз COVID-19. Максимальному риску подвержены: пациенты, заболевания у которых исходно характеризуются</w:t>
      </w:r>
      <w:r>
        <w:rPr>
          <w:spacing w:val="-6"/>
        </w:rPr>
        <w:t> </w:t>
      </w:r>
      <w:r>
        <w:rPr/>
        <w:t>иммунодефицитными</w:t>
      </w:r>
      <w:r>
        <w:rPr>
          <w:spacing w:val="-5"/>
        </w:rPr>
        <w:t> </w:t>
      </w:r>
      <w:r>
        <w:rPr/>
        <w:t>состояниями,</w:t>
      </w:r>
      <w:r>
        <w:rPr>
          <w:spacing w:val="-6"/>
        </w:rPr>
        <w:t> </w:t>
      </w:r>
      <w:r>
        <w:rPr/>
        <w:t>обусловленные</w:t>
      </w:r>
      <w:r>
        <w:rPr>
          <w:spacing w:val="-7"/>
        </w:rPr>
        <w:t> </w:t>
      </w:r>
      <w:r>
        <w:rPr/>
        <w:t>как клеточным, так и гуморальным дефицитом. К группе риска относят пациентов, получающих противоопухолевое лекарственное лечение в настоящее время или в течение последних</w:t>
      </w:r>
      <w:r>
        <w:rPr>
          <w:spacing w:val="40"/>
        </w:rPr>
        <w:t> </w:t>
      </w:r>
      <w:r>
        <w:rPr/>
        <w:t>3</w:t>
      </w:r>
      <w:r>
        <w:rPr>
          <w:spacing w:val="40"/>
        </w:rPr>
        <w:t> </w:t>
      </w:r>
      <w:r>
        <w:rPr/>
        <w:t>месяцев;</w:t>
      </w:r>
      <w:r>
        <w:rPr>
          <w:spacing w:val="40"/>
        </w:rPr>
        <w:t> </w:t>
      </w:r>
      <w:r>
        <w:rPr/>
        <w:t>пациенты,</w:t>
      </w:r>
      <w:r>
        <w:rPr>
          <w:spacing w:val="40"/>
        </w:rPr>
        <w:t> </w:t>
      </w:r>
      <w:r>
        <w:rPr/>
        <w:t>которым</w:t>
      </w:r>
      <w:r>
        <w:rPr>
          <w:spacing w:val="40"/>
        </w:rPr>
        <w:t> </w:t>
      </w:r>
      <w:r>
        <w:rPr/>
        <w:t>проводится</w:t>
      </w:r>
      <w:r>
        <w:rPr>
          <w:spacing w:val="40"/>
        </w:rPr>
        <w:t> </w:t>
      </w:r>
      <w:r>
        <w:rPr/>
        <w:t>лучевая</w:t>
      </w:r>
      <w:r>
        <w:rPr>
          <w:spacing w:val="40"/>
        </w:rPr>
        <w:t> </w:t>
      </w:r>
      <w:r>
        <w:rPr/>
        <w:t>терапия;</w:t>
      </w:r>
      <w:r>
        <w:rPr>
          <w:spacing w:val="40"/>
        </w:rPr>
        <w:t> </w:t>
      </w:r>
      <w:r>
        <w:rPr/>
        <w:t>пациенты с</w:t>
      </w:r>
      <w:r>
        <w:rPr>
          <w:spacing w:val="-2"/>
        </w:rPr>
        <w:t> </w:t>
      </w:r>
      <w:r>
        <w:rPr/>
        <w:t>лейкопенией и/или низким содержанием</w:t>
      </w:r>
      <w:r>
        <w:rPr>
          <w:spacing w:val="-2"/>
        </w:rPr>
        <w:t> </w:t>
      </w:r>
      <w:r>
        <w:rPr/>
        <w:t>иммуноглобинов</w:t>
      </w:r>
      <w:r>
        <w:rPr>
          <w:spacing w:val="-2"/>
        </w:rPr>
        <w:t> </w:t>
      </w:r>
      <w:r>
        <w:rPr/>
        <w:t>в</w:t>
      </w:r>
      <w:r>
        <w:rPr>
          <w:spacing w:val="-2"/>
        </w:rPr>
        <w:t> </w:t>
      </w:r>
      <w:r>
        <w:rPr/>
        <w:t>крови; пациенты</w:t>
      </w:r>
      <w:r>
        <w:rPr>
          <w:spacing w:val="-3"/>
        </w:rPr>
        <w:t> </w:t>
      </w:r>
      <w:r>
        <w:rPr/>
        <w:t>после трансплантации аутологичных и аллогенных гемопоэтических клеток крови, пациенты</w:t>
      </w:r>
      <w:r>
        <w:rPr>
          <w:spacing w:val="-11"/>
        </w:rPr>
        <w:t> </w:t>
      </w:r>
      <w:r>
        <w:rPr/>
        <w:t>после</w:t>
      </w:r>
      <w:r>
        <w:rPr>
          <w:spacing w:val="-8"/>
        </w:rPr>
        <w:t> </w:t>
      </w:r>
      <w:r>
        <w:rPr/>
        <w:t>CAR-T</w:t>
      </w:r>
      <w:r>
        <w:rPr>
          <w:spacing w:val="-10"/>
        </w:rPr>
        <w:t> </w:t>
      </w:r>
      <w:r>
        <w:rPr/>
        <w:t>клеточной</w:t>
      </w:r>
      <w:r>
        <w:rPr>
          <w:spacing w:val="-11"/>
        </w:rPr>
        <w:t> </w:t>
      </w:r>
      <w:r>
        <w:rPr/>
        <w:t>терапии</w:t>
      </w:r>
      <w:r>
        <w:rPr>
          <w:spacing w:val="-9"/>
        </w:rPr>
        <w:t> </w:t>
      </w:r>
      <w:r>
        <w:rPr/>
        <w:t>в</w:t>
      </w:r>
      <w:r>
        <w:rPr>
          <w:spacing w:val="-10"/>
        </w:rPr>
        <w:t> </w:t>
      </w:r>
      <w:r>
        <w:rPr/>
        <w:t>течение</w:t>
      </w:r>
      <w:r>
        <w:rPr>
          <w:spacing w:val="-10"/>
        </w:rPr>
        <w:t> </w:t>
      </w:r>
      <w:r>
        <w:rPr/>
        <w:t>последних</w:t>
      </w:r>
      <w:r>
        <w:rPr>
          <w:spacing w:val="-9"/>
        </w:rPr>
        <w:t> </w:t>
      </w:r>
      <w:r>
        <w:rPr/>
        <w:t>6</w:t>
      </w:r>
      <w:r>
        <w:rPr>
          <w:spacing w:val="-9"/>
        </w:rPr>
        <w:t> </w:t>
      </w:r>
      <w:r>
        <w:rPr/>
        <w:t>месяцев;</w:t>
      </w:r>
      <w:r>
        <w:rPr>
          <w:spacing w:val="-9"/>
        </w:rPr>
        <w:t> </w:t>
      </w:r>
      <w:r>
        <w:rPr/>
        <w:t>пациенты, получающие иммуносупрессивную терапию; пациенты с некоторыми типами опухолей</w:t>
      </w:r>
      <w:r>
        <w:rPr>
          <w:spacing w:val="25"/>
        </w:rPr>
        <w:t> </w:t>
      </w:r>
      <w:r>
        <w:rPr/>
        <w:t>кроветворной</w:t>
      </w:r>
      <w:r>
        <w:rPr>
          <w:spacing w:val="25"/>
        </w:rPr>
        <w:t> </w:t>
      </w:r>
      <w:r>
        <w:rPr/>
        <w:t>и</w:t>
      </w:r>
      <w:r>
        <w:rPr>
          <w:spacing w:val="25"/>
        </w:rPr>
        <w:t> </w:t>
      </w:r>
      <w:r>
        <w:rPr/>
        <w:t>лимфоидной</w:t>
      </w:r>
      <w:r>
        <w:rPr>
          <w:spacing w:val="25"/>
        </w:rPr>
        <w:t> </w:t>
      </w:r>
      <w:r>
        <w:rPr/>
        <w:t>тканей,</w:t>
      </w:r>
      <w:r>
        <w:rPr>
          <w:spacing w:val="24"/>
        </w:rPr>
        <w:t> </w:t>
      </w:r>
      <w:r>
        <w:rPr/>
        <w:t>даже</w:t>
      </w:r>
      <w:r>
        <w:rPr>
          <w:spacing w:val="24"/>
        </w:rPr>
        <w:t> </w:t>
      </w:r>
      <w:r>
        <w:rPr/>
        <w:t>если</w:t>
      </w:r>
      <w:r>
        <w:rPr>
          <w:spacing w:val="25"/>
        </w:rPr>
        <w:t> </w:t>
      </w:r>
      <w:r>
        <w:rPr/>
        <w:t>они</w:t>
      </w:r>
      <w:r>
        <w:rPr>
          <w:spacing w:val="25"/>
        </w:rPr>
        <w:t> </w:t>
      </w:r>
      <w:r>
        <w:rPr/>
        <w:t>не</w:t>
      </w:r>
      <w:r>
        <w:rPr>
          <w:spacing w:val="24"/>
        </w:rPr>
        <w:t> </w:t>
      </w:r>
      <w:r>
        <w:rPr/>
        <w:t>проходят</w:t>
      </w:r>
      <w:r>
        <w:rPr>
          <w:spacing w:val="25"/>
        </w:rPr>
        <w:t> </w:t>
      </w:r>
      <w:r>
        <w:rPr/>
        <w:t>лечение в</w:t>
      </w:r>
      <w:r>
        <w:rPr>
          <w:spacing w:val="34"/>
        </w:rPr>
        <w:t> </w:t>
      </w:r>
      <w:r>
        <w:rPr/>
        <w:t>данный</w:t>
      </w:r>
      <w:r>
        <w:rPr>
          <w:spacing w:val="35"/>
        </w:rPr>
        <w:t> </w:t>
      </w:r>
      <w:r>
        <w:rPr/>
        <w:t>момент</w:t>
      </w:r>
      <w:r>
        <w:rPr>
          <w:spacing w:val="36"/>
        </w:rPr>
        <w:t> </w:t>
      </w:r>
      <w:r>
        <w:rPr/>
        <w:t>(хронический</w:t>
      </w:r>
      <w:r>
        <w:rPr>
          <w:spacing w:val="36"/>
        </w:rPr>
        <w:t> </w:t>
      </w:r>
      <w:r>
        <w:rPr/>
        <w:t>лимфолейкоз,</w:t>
      </w:r>
      <w:r>
        <w:rPr>
          <w:spacing w:val="35"/>
        </w:rPr>
        <w:t> </w:t>
      </w:r>
      <w:r>
        <w:rPr/>
        <w:t>лимфома,</w:t>
      </w:r>
      <w:r>
        <w:rPr>
          <w:spacing w:val="35"/>
        </w:rPr>
        <w:t> </w:t>
      </w:r>
      <w:r>
        <w:rPr/>
        <w:t>миелома,</w:t>
      </w:r>
      <w:r>
        <w:rPr>
          <w:spacing w:val="35"/>
        </w:rPr>
        <w:t> </w:t>
      </w:r>
      <w:r>
        <w:rPr/>
        <w:t>острый</w:t>
      </w:r>
      <w:r>
        <w:rPr>
          <w:spacing w:val="36"/>
        </w:rPr>
        <w:t> </w:t>
      </w:r>
      <w:r>
        <w:rPr/>
        <w:t>лейкоз), а</w:t>
      </w:r>
      <w:r>
        <w:rPr>
          <w:spacing w:val="-15"/>
        </w:rPr>
        <w:t> </w:t>
      </w:r>
      <w:r>
        <w:rPr/>
        <w:t>также</w:t>
      </w:r>
      <w:r>
        <w:rPr>
          <w:spacing w:val="-15"/>
        </w:rPr>
        <w:t> </w:t>
      </w:r>
      <w:r>
        <w:rPr/>
        <w:t>пациенты</w:t>
      </w:r>
      <w:r>
        <w:rPr>
          <w:spacing w:val="-15"/>
        </w:rPr>
        <w:t> </w:t>
      </w:r>
      <w:r>
        <w:rPr/>
        <w:t>с</w:t>
      </w:r>
      <w:r>
        <w:rPr>
          <w:spacing w:val="-15"/>
        </w:rPr>
        <w:t> </w:t>
      </w:r>
      <w:r>
        <w:rPr/>
        <w:t>неопухолевыми</w:t>
      </w:r>
      <w:r>
        <w:rPr>
          <w:spacing w:val="-15"/>
        </w:rPr>
        <w:t> </w:t>
      </w:r>
      <w:r>
        <w:rPr/>
        <w:t>заболеваниями,</w:t>
      </w:r>
      <w:r>
        <w:rPr>
          <w:spacing w:val="-15"/>
        </w:rPr>
        <w:t> </w:t>
      </w:r>
      <w:r>
        <w:rPr/>
        <w:t>такими</w:t>
      </w:r>
      <w:r>
        <w:rPr>
          <w:spacing w:val="-15"/>
        </w:rPr>
        <w:t> </w:t>
      </w:r>
      <w:r>
        <w:rPr/>
        <w:t>как</w:t>
      </w:r>
      <w:r>
        <w:rPr>
          <w:spacing w:val="-15"/>
        </w:rPr>
        <w:t> </w:t>
      </w:r>
      <w:r>
        <w:rPr/>
        <w:t>апластическая</w:t>
      </w:r>
      <w:r>
        <w:rPr>
          <w:spacing w:val="-15"/>
        </w:rPr>
        <w:t> </w:t>
      </w:r>
      <w:r>
        <w:rPr/>
        <w:t>анемия, аутоиммунные тромбоцитопении и анемии и прочие. Кроме того, к факторам неблагоприятного</w:t>
      </w:r>
      <w:r>
        <w:rPr>
          <w:spacing w:val="-2"/>
        </w:rPr>
        <w:t> </w:t>
      </w:r>
      <w:r>
        <w:rPr/>
        <w:t>прогноза COVID-19</w:t>
      </w:r>
      <w:r>
        <w:rPr>
          <w:spacing w:val="-2"/>
        </w:rPr>
        <w:t> </w:t>
      </w:r>
      <w:r>
        <w:rPr/>
        <w:t>у онкогематологических</w:t>
      </w:r>
      <w:r>
        <w:rPr>
          <w:spacing w:val="-2"/>
        </w:rPr>
        <w:t> </w:t>
      </w:r>
      <w:r>
        <w:rPr/>
        <w:t>пациентов</w:t>
      </w:r>
      <w:r>
        <w:rPr>
          <w:spacing w:val="-2"/>
        </w:rPr>
        <w:t> </w:t>
      </w:r>
      <w:r>
        <w:rPr/>
        <w:t>относятся возраст старше 60 лет, плохой соматический статус (3-4 по шкале ECOG), рецидив или прогрессия опухоли, гранулоцитопения и трансфузионная зависимость во время развития новой коронавирусной инфекции.</w:t>
      </w:r>
    </w:p>
    <w:p>
      <w:pPr>
        <w:pStyle w:val="BodyText"/>
        <w:spacing w:line="276" w:lineRule="auto"/>
        <w:ind w:right="1271" w:firstLine="707"/>
      </w:pPr>
      <w:r>
        <w:rPr/>
        <w:t>Пациенты с заболеваниями системы крови должны следовать всем рекомендациям по профилактике COVID-19. Целесообразно минимизировать сроки пребывания пациента в стационаре, рассмотреть возможность проведения противоопухолевого</w:t>
      </w:r>
      <w:r>
        <w:rPr>
          <w:spacing w:val="71"/>
          <w:w w:val="150"/>
        </w:rPr>
        <w:t>  </w:t>
      </w:r>
      <w:r>
        <w:rPr/>
        <w:t>лекарственного</w:t>
      </w:r>
      <w:r>
        <w:rPr>
          <w:spacing w:val="71"/>
          <w:w w:val="150"/>
        </w:rPr>
        <w:t>  </w:t>
      </w:r>
      <w:r>
        <w:rPr/>
        <w:t>лечения</w:t>
      </w:r>
      <w:r>
        <w:rPr>
          <w:spacing w:val="71"/>
          <w:w w:val="150"/>
        </w:rPr>
        <w:t>  </w:t>
      </w:r>
      <w:r>
        <w:rPr/>
        <w:t>в</w:t>
      </w:r>
      <w:r>
        <w:rPr>
          <w:spacing w:val="71"/>
          <w:w w:val="150"/>
        </w:rPr>
        <w:t>  </w:t>
      </w:r>
      <w:r>
        <w:rPr/>
        <w:t>амбулаторных</w:t>
      </w:r>
      <w:r>
        <w:rPr>
          <w:spacing w:val="71"/>
          <w:w w:val="150"/>
        </w:rPr>
        <w:t>  </w:t>
      </w:r>
      <w:r>
        <w:rPr/>
        <w:t>условиях, с</w:t>
      </w:r>
      <w:r>
        <w:rPr>
          <w:spacing w:val="-4"/>
        </w:rPr>
        <w:t> </w:t>
      </w:r>
      <w:r>
        <w:rPr/>
        <w:t>использованием таблетированных препаратов, если это не ухудшит течение основного заболевания. При выборе режима химиотерапии или иммуносупрессии, предполагающего парентеральный путь введения препаратов, рекомендуется отдавать предпочтение режимам с большими интервалами между введениями. Необходимо избегать назначения противоопухолевых препаратов, обладающих пульмональной токсичностью, и рассмотреть возможность временного прерывания противоопухолевого</w:t>
      </w:r>
      <w:r>
        <w:rPr>
          <w:spacing w:val="40"/>
        </w:rPr>
        <w:t>  </w:t>
      </w:r>
      <w:r>
        <w:rPr/>
        <w:t>лекарственного</w:t>
      </w:r>
      <w:r>
        <w:rPr>
          <w:spacing w:val="40"/>
        </w:rPr>
        <w:t>  </w:t>
      </w:r>
      <w:r>
        <w:rPr/>
        <w:t>лечения,</w:t>
      </w:r>
      <w:r>
        <w:rPr>
          <w:spacing w:val="40"/>
        </w:rPr>
        <w:t>  </w:t>
      </w:r>
      <w:r>
        <w:rPr/>
        <w:t>перевод</w:t>
      </w:r>
      <w:r>
        <w:rPr>
          <w:spacing w:val="40"/>
        </w:rPr>
        <w:t>  </w:t>
      </w:r>
      <w:r>
        <w:rPr/>
        <w:t>под</w:t>
      </w:r>
      <w:r>
        <w:rPr>
          <w:spacing w:val="80"/>
          <w:w w:val="150"/>
        </w:rPr>
        <w:t> </w:t>
      </w:r>
      <w:r>
        <w:rPr/>
        <w:t>наблюдение</w:t>
      </w:r>
      <w:r>
        <w:rPr>
          <w:spacing w:val="80"/>
          <w:w w:val="150"/>
        </w:rPr>
        <w:t> </w:t>
      </w:r>
      <w:r>
        <w:rPr/>
        <w:t>или на поддерживающую терапию при условии, что сокращение числа курсов химиотерапии не приведет к ухудшению онкологического прогноза.</w:t>
      </w:r>
    </w:p>
    <w:p>
      <w:pPr>
        <w:pStyle w:val="BodyText"/>
        <w:spacing w:line="276" w:lineRule="auto"/>
        <w:ind w:right="1273" w:firstLine="707"/>
      </w:pPr>
      <w:r>
        <w:rPr/>
        <w:t>Пациенты с заболеваниями системы крови и лабораторно подтвержденным диагнозом COVID-19 госпитализируются по тем же показаниям, что и пациенты без таких заболеваний. При лечении COVID-19 в амбулаторных условиях необходимо обеспечить тщательный мониторинг за состоянием пациента с возможностью срочной</w:t>
      </w:r>
      <w:r>
        <w:rPr>
          <w:spacing w:val="80"/>
        </w:rPr>
        <w:t> </w:t>
      </w:r>
      <w:r>
        <w:rPr/>
        <w:t>госпитализации</w:t>
      </w:r>
      <w:r>
        <w:rPr>
          <w:spacing w:val="80"/>
        </w:rPr>
        <w:t> </w:t>
      </w:r>
      <w:r>
        <w:rPr/>
        <w:t>при</w:t>
      </w:r>
      <w:r>
        <w:rPr>
          <w:spacing w:val="80"/>
        </w:rPr>
        <w:t> </w:t>
      </w:r>
      <w:r>
        <w:rPr/>
        <w:t>ухудшении</w:t>
      </w:r>
      <w:r>
        <w:rPr>
          <w:spacing w:val="80"/>
        </w:rPr>
        <w:t> </w:t>
      </w:r>
      <w:r>
        <w:rPr/>
        <w:t>состояния</w:t>
      </w:r>
      <w:r>
        <w:rPr>
          <w:spacing w:val="80"/>
        </w:rPr>
        <w:t> </w:t>
      </w:r>
      <w:r>
        <w:rPr/>
        <w:t>или</w:t>
      </w:r>
      <w:r>
        <w:rPr>
          <w:spacing w:val="80"/>
        </w:rPr>
        <w:t> </w:t>
      </w:r>
      <w:r>
        <w:rPr/>
        <w:t>появлении</w:t>
      </w:r>
      <w:r>
        <w:rPr>
          <w:spacing w:val="80"/>
        </w:rPr>
        <w:t> </w:t>
      </w:r>
      <w:r>
        <w:rPr/>
        <w:t>показаний.</w:t>
      </w:r>
    </w:p>
    <w:p>
      <w:pPr>
        <w:pStyle w:val="BodyText"/>
        <w:spacing w:after="0" w:line="276" w:lineRule="auto"/>
        <w:sectPr>
          <w:pgSz w:w="11900" w:h="16840"/>
          <w:pgMar w:header="0" w:footer="697" w:top="1080" w:bottom="880" w:left="0" w:right="0"/>
        </w:sectPr>
      </w:pPr>
    </w:p>
    <w:p>
      <w:pPr>
        <w:pStyle w:val="BodyText"/>
        <w:spacing w:line="276" w:lineRule="auto" w:before="73"/>
        <w:ind w:right="1275"/>
      </w:pPr>
      <w:bookmarkStart w:name="95" w:id="112"/>
      <w:bookmarkEnd w:id="112"/>
      <w:r>
        <w:rPr/>
      </w:r>
      <w:r>
        <w:rPr/>
        <w:t>Пациентам с заболеваниями системы крови и лабораторно подтвержденным диагнозом/подозрением на COVID-19 и наличием признаков поражения легочной ткани необходимо проведение компьютерной томографии органов грудной клетки (оценка состояния легочной ткани).</w:t>
      </w:r>
    </w:p>
    <w:p>
      <w:pPr>
        <w:pStyle w:val="BodyText"/>
        <w:spacing w:line="276" w:lineRule="auto"/>
        <w:ind w:right="1273" w:firstLine="707"/>
      </w:pPr>
      <w:r>
        <w:rPr/>
        <w:t>Пациентам с лабораторно подтвержденным диагнозом COVID-19 и/или наличием характерной клинической и рентгенологической картины COVID-19 необходимо прервать противоопухолевое лекарственное лечение до значимого клинического улучшения, регресса пневмонии и получения отрицательного результата ПЦР. Допустимо возобновить противоопухолевую лекарственную терапию при перечисленных выше условиях и сохраняющихся остаточных изменениях</w:t>
      </w:r>
      <w:r>
        <w:rPr>
          <w:spacing w:val="40"/>
        </w:rPr>
        <w:t> </w:t>
      </w:r>
      <w:r>
        <w:rPr/>
        <w:t>в</w:t>
      </w:r>
      <w:r>
        <w:rPr>
          <w:spacing w:val="40"/>
        </w:rPr>
        <w:t> </w:t>
      </w:r>
      <w:r>
        <w:rPr/>
        <w:t>легочной</w:t>
      </w:r>
      <w:r>
        <w:rPr>
          <w:spacing w:val="40"/>
        </w:rPr>
        <w:t> </w:t>
      </w:r>
      <w:r>
        <w:rPr/>
        <w:t>ткани,</w:t>
      </w:r>
      <w:r>
        <w:rPr>
          <w:spacing w:val="40"/>
        </w:rPr>
        <w:t> </w:t>
      </w:r>
      <w:r>
        <w:rPr/>
        <w:t>относящихся</w:t>
      </w:r>
      <w:r>
        <w:rPr>
          <w:spacing w:val="40"/>
        </w:rPr>
        <w:t> </w:t>
      </w:r>
      <w:r>
        <w:rPr/>
        <w:t>к</w:t>
      </w:r>
      <w:r>
        <w:rPr>
          <w:spacing w:val="40"/>
        </w:rPr>
        <w:t> </w:t>
      </w:r>
      <w:r>
        <w:rPr/>
        <w:t>постпневмоническим</w:t>
      </w:r>
      <w:r>
        <w:rPr>
          <w:spacing w:val="40"/>
        </w:rPr>
        <w:t> </w:t>
      </w:r>
      <w:r>
        <w:rPr/>
        <w:t>изменениям. Во всех случаях необходимо рассмотреть возможность перевода пациента на менее токсичный режим противоопухолевого лекарственного лечения или временно прервать</w:t>
      </w:r>
      <w:r>
        <w:rPr>
          <w:spacing w:val="-10"/>
        </w:rPr>
        <w:t> </w:t>
      </w:r>
      <w:r>
        <w:rPr/>
        <w:t>лечение</w:t>
      </w:r>
      <w:r>
        <w:rPr>
          <w:spacing w:val="-13"/>
        </w:rPr>
        <w:t> </w:t>
      </w:r>
      <w:r>
        <w:rPr/>
        <w:t>в</w:t>
      </w:r>
      <w:r>
        <w:rPr>
          <w:spacing w:val="-12"/>
        </w:rPr>
        <w:t> </w:t>
      </w:r>
      <w:r>
        <w:rPr/>
        <w:t>тех</w:t>
      </w:r>
      <w:r>
        <w:rPr>
          <w:spacing w:val="-7"/>
        </w:rPr>
        <w:t> </w:t>
      </w:r>
      <w:r>
        <w:rPr/>
        <w:t>случаях,</w:t>
      </w:r>
      <w:r>
        <w:rPr>
          <w:spacing w:val="-12"/>
        </w:rPr>
        <w:t> </w:t>
      </w:r>
      <w:r>
        <w:rPr/>
        <w:t>когда</w:t>
      </w:r>
      <w:r>
        <w:rPr>
          <w:spacing w:val="-12"/>
        </w:rPr>
        <w:t> </w:t>
      </w:r>
      <w:r>
        <w:rPr/>
        <w:t>это</w:t>
      </w:r>
      <w:r>
        <w:rPr>
          <w:spacing w:val="-9"/>
        </w:rPr>
        <w:t> </w:t>
      </w:r>
      <w:r>
        <w:rPr/>
        <w:t>возможно</w:t>
      </w:r>
      <w:r>
        <w:rPr>
          <w:spacing w:val="-12"/>
        </w:rPr>
        <w:t> </w:t>
      </w:r>
      <w:r>
        <w:rPr/>
        <w:t>в</w:t>
      </w:r>
      <w:r>
        <w:rPr>
          <w:spacing w:val="-12"/>
        </w:rPr>
        <w:t> </w:t>
      </w:r>
      <w:r>
        <w:rPr/>
        <w:t>соответствии</w:t>
      </w:r>
      <w:r>
        <w:rPr>
          <w:spacing w:val="-11"/>
        </w:rPr>
        <w:t> </w:t>
      </w:r>
      <w:r>
        <w:rPr/>
        <w:t>с</w:t>
      </w:r>
      <w:r>
        <w:rPr>
          <w:spacing w:val="-13"/>
        </w:rPr>
        <w:t> </w:t>
      </w:r>
      <w:r>
        <w:rPr/>
        <w:t>онкологическим </w:t>
      </w:r>
      <w:r>
        <w:rPr>
          <w:spacing w:val="-2"/>
        </w:rPr>
        <w:t>прогнозом.</w:t>
      </w:r>
    </w:p>
    <w:p>
      <w:pPr>
        <w:pStyle w:val="BodyText"/>
        <w:spacing w:line="276" w:lineRule="auto"/>
        <w:ind w:right="1274" w:firstLine="707"/>
      </w:pPr>
      <w:r>
        <w:rPr/>
        <w:t>Онкогематологиеские иммунокомпрометированные пациенты могут длительное</w:t>
      </w:r>
      <w:r>
        <w:rPr>
          <w:spacing w:val="40"/>
        </w:rPr>
        <w:t> </w:t>
      </w:r>
      <w:r>
        <w:rPr/>
        <w:t>время</w:t>
      </w:r>
      <w:r>
        <w:rPr>
          <w:spacing w:val="40"/>
        </w:rPr>
        <w:t> </w:t>
      </w:r>
      <w:r>
        <w:rPr/>
        <w:t>выделять</w:t>
      </w:r>
      <w:r>
        <w:rPr>
          <w:spacing w:val="40"/>
        </w:rPr>
        <w:t> </w:t>
      </w:r>
      <w:r>
        <w:rPr/>
        <w:t>РНК</w:t>
      </w:r>
      <w:r>
        <w:rPr>
          <w:spacing w:val="40"/>
        </w:rPr>
        <w:t> </w:t>
      </w:r>
      <w:r>
        <w:rPr/>
        <w:t>вируса</w:t>
      </w:r>
      <w:r>
        <w:rPr>
          <w:spacing w:val="40"/>
        </w:rPr>
        <w:t> </w:t>
      </w:r>
      <w:r>
        <w:rPr/>
        <w:t>SARS</w:t>
      </w:r>
      <w:r>
        <w:rPr>
          <w:spacing w:val="40"/>
        </w:rPr>
        <w:t> </w:t>
      </w:r>
      <w:r>
        <w:rPr/>
        <w:t>CoV-2,</w:t>
      </w:r>
      <w:r>
        <w:rPr>
          <w:spacing w:val="40"/>
        </w:rPr>
        <w:t> </w:t>
      </w:r>
      <w:r>
        <w:rPr/>
        <w:t>его</w:t>
      </w:r>
      <w:r>
        <w:rPr>
          <w:spacing w:val="40"/>
        </w:rPr>
        <w:t> </w:t>
      </w:r>
      <w:r>
        <w:rPr/>
        <w:t>повторное</w:t>
      </w:r>
      <w:r>
        <w:rPr>
          <w:spacing w:val="40"/>
        </w:rPr>
        <w:t> </w:t>
      </w:r>
      <w:r>
        <w:rPr/>
        <w:t>выявление</w:t>
      </w:r>
      <w:r>
        <w:rPr>
          <w:spacing w:val="80"/>
        </w:rPr>
        <w:t> </w:t>
      </w:r>
      <w:r>
        <w:rPr/>
        <w:t>у одного и того же пациента может быть обусловлено не столько повторным инфицированием,</w:t>
      </w:r>
      <w:r>
        <w:rPr>
          <w:spacing w:val="74"/>
        </w:rPr>
        <w:t>  </w:t>
      </w:r>
      <w:r>
        <w:rPr/>
        <w:t>сколько</w:t>
      </w:r>
      <w:r>
        <w:rPr>
          <w:spacing w:val="74"/>
        </w:rPr>
        <w:t>  </w:t>
      </w:r>
      <w:r>
        <w:rPr/>
        <w:t>реактивацией</w:t>
      </w:r>
      <w:r>
        <w:rPr>
          <w:spacing w:val="73"/>
        </w:rPr>
        <w:t>  </w:t>
      </w:r>
      <w:r>
        <w:rPr/>
        <w:t>вируса.</w:t>
      </w:r>
      <w:r>
        <w:rPr>
          <w:spacing w:val="74"/>
        </w:rPr>
        <w:t>  </w:t>
      </w:r>
      <w:r>
        <w:rPr/>
        <w:t>При</w:t>
      </w:r>
      <w:r>
        <w:rPr>
          <w:spacing w:val="74"/>
        </w:rPr>
        <w:t>  </w:t>
      </w:r>
      <w:r>
        <w:rPr/>
        <w:t>поражениях</w:t>
      </w:r>
      <w:r>
        <w:rPr>
          <w:spacing w:val="74"/>
        </w:rPr>
        <w:t>  </w:t>
      </w:r>
      <w:r>
        <w:rPr/>
        <w:t>легких и</w:t>
      </w:r>
      <w:r>
        <w:rPr>
          <w:spacing w:val="-3"/>
        </w:rPr>
        <w:t> </w:t>
      </w:r>
      <w:r>
        <w:rPr/>
        <w:t>проведении</w:t>
      </w:r>
      <w:r>
        <w:rPr>
          <w:spacing w:val="-3"/>
        </w:rPr>
        <w:t> </w:t>
      </w:r>
      <w:r>
        <w:rPr/>
        <w:t>бронхоальвеолярного</w:t>
      </w:r>
      <w:r>
        <w:rPr>
          <w:spacing w:val="-4"/>
        </w:rPr>
        <w:t> </w:t>
      </w:r>
      <w:r>
        <w:rPr/>
        <w:t>лаважа</w:t>
      </w:r>
      <w:r>
        <w:rPr>
          <w:spacing w:val="-6"/>
        </w:rPr>
        <w:t> </w:t>
      </w:r>
      <w:r>
        <w:rPr/>
        <w:t>обязательным</w:t>
      </w:r>
      <w:r>
        <w:rPr>
          <w:spacing w:val="-6"/>
        </w:rPr>
        <w:t> </w:t>
      </w:r>
      <w:r>
        <w:rPr/>
        <w:t>является</w:t>
      </w:r>
      <w:r>
        <w:rPr>
          <w:spacing w:val="-2"/>
        </w:rPr>
        <w:t> </w:t>
      </w:r>
      <w:r>
        <w:rPr/>
        <w:t>определение</w:t>
      </w:r>
      <w:r>
        <w:rPr>
          <w:spacing w:val="-4"/>
        </w:rPr>
        <w:t> </w:t>
      </w:r>
      <w:r>
        <w:rPr/>
        <w:t>РНК вируса в лаважной жидкости.</w:t>
      </w:r>
    </w:p>
    <w:p>
      <w:pPr>
        <w:pStyle w:val="BodyText"/>
        <w:spacing w:line="276" w:lineRule="auto" w:before="9"/>
        <w:ind w:right="1274" w:firstLine="707"/>
      </w:pPr>
      <w:r>
        <w:rPr/>
        <w:t>В отдельных</w:t>
      </w:r>
      <w:r>
        <w:rPr>
          <w:spacing w:val="-1"/>
        </w:rPr>
        <w:t> </w:t>
      </w:r>
      <w:r>
        <w:rPr/>
        <w:t>случаях</w:t>
      </w:r>
      <w:r>
        <w:rPr>
          <w:spacing w:val="-1"/>
        </w:rPr>
        <w:t> </w:t>
      </w:r>
      <w:r>
        <w:rPr/>
        <w:t>(прогрессирование</w:t>
      </w:r>
      <w:r>
        <w:rPr>
          <w:spacing w:val="-2"/>
        </w:rPr>
        <w:t> </w:t>
      </w:r>
      <w:r>
        <w:rPr/>
        <w:t>онкогематологического</w:t>
      </w:r>
      <w:r>
        <w:rPr>
          <w:spacing w:val="-1"/>
        </w:rPr>
        <w:t> </w:t>
      </w:r>
      <w:r>
        <w:rPr/>
        <w:t>заболевания, требующее незамедлительного начала/продолжения противоопухолевой лекарственной терапии по жизненным показаниям) возможно проведение химиотерапии с предпочтительным использованием наименее токсичных программ лечения. Кроме того, в отдельных случаях, по решению врачебной комиссии возможно проведение стандартной химиотерапии и/или таргетной терапии, если инфекционный процесс протекает контролируемо и риск неблагоприятного течения заболевания</w:t>
      </w:r>
      <w:r>
        <w:rPr>
          <w:spacing w:val="-7"/>
        </w:rPr>
        <w:t> </w:t>
      </w:r>
      <w:r>
        <w:rPr/>
        <w:t>определяется</w:t>
      </w:r>
      <w:r>
        <w:rPr>
          <w:spacing w:val="-7"/>
        </w:rPr>
        <w:t> </w:t>
      </w:r>
      <w:r>
        <w:rPr/>
        <w:t>проведением</w:t>
      </w:r>
      <w:r>
        <w:rPr>
          <w:spacing w:val="-8"/>
        </w:rPr>
        <w:t> </w:t>
      </w:r>
      <w:r>
        <w:rPr/>
        <w:t>именно</w:t>
      </w:r>
      <w:r>
        <w:rPr>
          <w:spacing w:val="-7"/>
        </w:rPr>
        <w:t> </w:t>
      </w:r>
      <w:r>
        <w:rPr/>
        <w:t>этой</w:t>
      </w:r>
      <w:r>
        <w:rPr>
          <w:spacing w:val="-7"/>
        </w:rPr>
        <w:t> </w:t>
      </w:r>
      <w:r>
        <w:rPr/>
        <w:t>терапией.</w:t>
      </w:r>
      <w:r>
        <w:rPr>
          <w:spacing w:val="-7"/>
        </w:rPr>
        <w:t> </w:t>
      </w:r>
      <w:r>
        <w:rPr/>
        <w:t>Известно,</w:t>
      </w:r>
      <w:r>
        <w:rPr>
          <w:spacing w:val="-7"/>
        </w:rPr>
        <w:t> </w:t>
      </w:r>
      <w:r>
        <w:rPr/>
        <w:t>что</w:t>
      </w:r>
      <w:r>
        <w:rPr>
          <w:spacing w:val="-7"/>
        </w:rPr>
        <w:t> </w:t>
      </w:r>
      <w:r>
        <w:rPr/>
        <w:t>терапия некоторыми ингибиторами тирозинкиназ и других препаратов (интерфероны, ингибиторы JAK2 и прочие) не ухудшают течение новой коронавирусной инфекции, таким образом данная терапия может не прерываться во время COVID-19.</w:t>
      </w:r>
    </w:p>
    <w:p>
      <w:pPr>
        <w:pStyle w:val="BodyText"/>
        <w:spacing w:line="276" w:lineRule="auto"/>
        <w:ind w:right="1272" w:firstLine="707"/>
      </w:pPr>
      <w:r>
        <w:rPr/>
        <w:t>Лечение</w:t>
      </w:r>
      <w:r>
        <w:rPr>
          <w:spacing w:val="40"/>
        </w:rPr>
        <w:t> </w:t>
      </w:r>
      <w:r>
        <w:rPr/>
        <w:t>онкогематологических</w:t>
      </w:r>
      <w:r>
        <w:rPr>
          <w:spacing w:val="40"/>
        </w:rPr>
        <w:t> </w:t>
      </w:r>
      <w:r>
        <w:rPr/>
        <w:t>пациентов</w:t>
      </w:r>
      <w:r>
        <w:rPr>
          <w:spacing w:val="40"/>
        </w:rPr>
        <w:t> </w:t>
      </w:r>
      <w:r>
        <w:rPr/>
        <w:t>с</w:t>
      </w:r>
      <w:r>
        <w:rPr>
          <w:spacing w:val="40"/>
        </w:rPr>
        <w:t> </w:t>
      </w:r>
      <w:r>
        <w:rPr/>
        <w:t>фебрильной</w:t>
      </w:r>
      <w:r>
        <w:rPr>
          <w:spacing w:val="40"/>
        </w:rPr>
        <w:t> </w:t>
      </w:r>
      <w:r>
        <w:rPr/>
        <w:t>нейтропенией</w:t>
      </w:r>
      <w:r>
        <w:rPr>
          <w:spacing w:val="80"/>
          <w:w w:val="150"/>
        </w:rPr>
        <w:t> </w:t>
      </w:r>
      <w:r>
        <w:rPr/>
        <w:t>(как следствие перенесенной химиотерапии) и COVID-19 проводится в</w:t>
      </w:r>
      <w:r>
        <w:rPr>
          <w:spacing w:val="-4"/>
        </w:rPr>
        <w:t> </w:t>
      </w:r>
      <w:r>
        <w:rPr/>
        <w:t>соответствии </w:t>
      </w:r>
      <w:r>
        <w:rPr>
          <w:spacing w:val="-2"/>
        </w:rPr>
        <w:t>с</w:t>
      </w:r>
      <w:r>
        <w:rPr>
          <w:spacing w:val="-4"/>
        </w:rPr>
        <w:t> </w:t>
      </w:r>
      <w:r>
        <w:rPr>
          <w:spacing w:val="-2"/>
        </w:rPr>
        <w:t>принятыми</w:t>
      </w:r>
      <w:r>
        <w:rPr>
          <w:spacing w:val="-5"/>
        </w:rPr>
        <w:t> </w:t>
      </w:r>
      <w:r>
        <w:rPr>
          <w:spacing w:val="-2"/>
        </w:rPr>
        <w:t>протоколами ведения</w:t>
      </w:r>
      <w:r>
        <w:rPr>
          <w:spacing w:val="-3"/>
        </w:rPr>
        <w:t> </w:t>
      </w:r>
      <w:r>
        <w:rPr>
          <w:spacing w:val="-2"/>
        </w:rPr>
        <w:t>больных</w:t>
      </w:r>
      <w:r>
        <w:rPr>
          <w:spacing w:val="-3"/>
        </w:rPr>
        <w:t> </w:t>
      </w:r>
      <w:r>
        <w:rPr>
          <w:spacing w:val="-2"/>
        </w:rPr>
        <w:t>с</w:t>
      </w:r>
      <w:r>
        <w:rPr>
          <w:spacing w:val="-4"/>
        </w:rPr>
        <w:t> </w:t>
      </w:r>
      <w:r>
        <w:rPr>
          <w:spacing w:val="-2"/>
        </w:rPr>
        <w:t>фебрильной нейтропенией.</w:t>
      </w:r>
      <w:r>
        <w:rPr>
          <w:spacing w:val="-3"/>
        </w:rPr>
        <w:t> </w:t>
      </w:r>
      <w:r>
        <w:rPr>
          <w:spacing w:val="-2"/>
        </w:rPr>
        <w:t>Необходимо </w:t>
      </w:r>
      <w:r>
        <w:rPr/>
        <w:t>с крайней осторожностью подходить к назначению колониестимулирующих факторов,</w:t>
      </w:r>
      <w:r>
        <w:rPr>
          <w:spacing w:val="71"/>
        </w:rPr>
        <w:t>  </w:t>
      </w:r>
      <w:r>
        <w:rPr/>
        <w:t>которые</w:t>
      </w:r>
      <w:r>
        <w:rPr>
          <w:spacing w:val="69"/>
        </w:rPr>
        <w:t>  </w:t>
      </w:r>
      <w:r>
        <w:rPr/>
        <w:t>обладают</w:t>
      </w:r>
      <w:r>
        <w:rPr>
          <w:spacing w:val="71"/>
        </w:rPr>
        <w:t>  </w:t>
      </w:r>
      <w:r>
        <w:rPr/>
        <w:t>потенциальной</w:t>
      </w:r>
      <w:r>
        <w:rPr>
          <w:spacing w:val="71"/>
        </w:rPr>
        <w:t>  </w:t>
      </w:r>
      <w:r>
        <w:rPr/>
        <w:t>возможностью</w:t>
      </w:r>
      <w:r>
        <w:rPr>
          <w:spacing w:val="69"/>
        </w:rPr>
        <w:t>  </w:t>
      </w:r>
      <w:r>
        <w:rPr/>
        <w:t>потенцировать</w:t>
      </w:r>
    </w:p>
    <w:p>
      <w:pPr>
        <w:pStyle w:val="BodyText"/>
      </w:pPr>
      <w:r>
        <w:rPr>
          <w:spacing w:val="-2"/>
        </w:rPr>
        <w:t>«цитокиновый</w:t>
      </w:r>
      <w:r>
        <w:rPr>
          <w:spacing w:val="3"/>
        </w:rPr>
        <w:t> </w:t>
      </w:r>
      <w:r>
        <w:rPr>
          <w:spacing w:val="-2"/>
        </w:rPr>
        <w:t>шторм».</w:t>
      </w:r>
    </w:p>
    <w:p>
      <w:pPr>
        <w:pStyle w:val="BodyText"/>
        <w:spacing w:line="276" w:lineRule="auto" w:before="37"/>
        <w:ind w:right="1273" w:firstLine="707"/>
      </w:pPr>
      <w:r>
        <w:rPr/>
        <w:t>Несмотря на более высокий риск развития вторичных инфекционных осложнений</w:t>
      </w:r>
      <w:r>
        <w:rPr>
          <w:spacing w:val="-11"/>
        </w:rPr>
        <w:t> </w:t>
      </w:r>
      <w:r>
        <w:rPr/>
        <w:t>у</w:t>
      </w:r>
      <w:r>
        <w:rPr>
          <w:spacing w:val="-14"/>
        </w:rPr>
        <w:t> </w:t>
      </w:r>
      <w:r>
        <w:rPr/>
        <w:t>пациентов</w:t>
      </w:r>
      <w:r>
        <w:rPr>
          <w:spacing w:val="-12"/>
        </w:rPr>
        <w:t> </w:t>
      </w:r>
      <w:r>
        <w:rPr/>
        <w:t>с</w:t>
      </w:r>
      <w:r>
        <w:rPr>
          <w:spacing w:val="-13"/>
        </w:rPr>
        <w:t> </w:t>
      </w:r>
      <w:r>
        <w:rPr/>
        <w:t>заболеваниями</w:t>
      </w:r>
      <w:r>
        <w:rPr>
          <w:spacing w:val="-11"/>
        </w:rPr>
        <w:t> </w:t>
      </w:r>
      <w:r>
        <w:rPr/>
        <w:t>системы</w:t>
      </w:r>
      <w:r>
        <w:rPr>
          <w:spacing w:val="-12"/>
        </w:rPr>
        <w:t> </w:t>
      </w:r>
      <w:r>
        <w:rPr/>
        <w:t>крови</w:t>
      </w:r>
      <w:r>
        <w:rPr>
          <w:spacing w:val="-11"/>
        </w:rPr>
        <w:t> </w:t>
      </w:r>
      <w:r>
        <w:rPr/>
        <w:t>и</w:t>
      </w:r>
      <w:r>
        <w:rPr>
          <w:spacing w:val="-11"/>
        </w:rPr>
        <w:t> </w:t>
      </w:r>
      <w:r>
        <w:rPr/>
        <w:t>высоким</w:t>
      </w:r>
      <w:r>
        <w:rPr>
          <w:spacing w:val="-12"/>
        </w:rPr>
        <w:t> </w:t>
      </w:r>
      <w:r>
        <w:rPr/>
        <w:t>риском</w:t>
      </w:r>
      <w:r>
        <w:rPr>
          <w:spacing w:val="-12"/>
        </w:rPr>
        <w:t> </w:t>
      </w:r>
      <w:r>
        <w:rPr/>
        <w:t>тяжелого течения</w:t>
      </w:r>
      <w:r>
        <w:rPr>
          <w:spacing w:val="65"/>
        </w:rPr>
        <w:t>  </w:t>
      </w:r>
      <w:r>
        <w:rPr/>
        <w:t>COVID-19,</w:t>
      </w:r>
      <w:r>
        <w:rPr>
          <w:spacing w:val="66"/>
        </w:rPr>
        <w:t>  </w:t>
      </w:r>
      <w:r>
        <w:rPr/>
        <w:t>лечение</w:t>
      </w:r>
      <w:r>
        <w:rPr>
          <w:spacing w:val="64"/>
        </w:rPr>
        <w:t>  </w:t>
      </w:r>
      <w:r>
        <w:rPr/>
        <w:t>новой</w:t>
      </w:r>
      <w:r>
        <w:rPr>
          <w:spacing w:val="65"/>
        </w:rPr>
        <w:t>  </w:t>
      </w:r>
      <w:r>
        <w:rPr/>
        <w:t>коронавирусной</w:t>
      </w:r>
      <w:r>
        <w:rPr>
          <w:spacing w:val="65"/>
        </w:rPr>
        <w:t>  </w:t>
      </w:r>
      <w:r>
        <w:rPr/>
        <w:t>инфекции</w:t>
      </w:r>
      <w:r>
        <w:rPr>
          <w:spacing w:val="64"/>
        </w:rPr>
        <w:t>  </w:t>
      </w:r>
      <w:r>
        <w:rPr/>
        <w:t>проводится в</w:t>
      </w:r>
      <w:r>
        <w:rPr>
          <w:spacing w:val="-4"/>
        </w:rPr>
        <w:t> </w:t>
      </w:r>
      <w:r>
        <w:rPr/>
        <w:t>соответствии с общими рекомендациями для пациентов с COVID-19, но более тщательным мониторингом состояния пациентов, контролем уровня СРБ и других маркеров системного воспаления.</w:t>
      </w:r>
    </w:p>
    <w:p>
      <w:pPr>
        <w:pStyle w:val="BodyText"/>
        <w:spacing w:after="0" w:line="276" w:lineRule="auto"/>
        <w:sectPr>
          <w:pgSz w:w="11900" w:h="16840"/>
          <w:pgMar w:header="0" w:footer="697" w:top="1080" w:bottom="880" w:left="0" w:right="0"/>
        </w:sectPr>
      </w:pPr>
    </w:p>
    <w:p>
      <w:pPr>
        <w:pStyle w:val="BodyText"/>
        <w:spacing w:line="276" w:lineRule="auto" w:before="73"/>
        <w:ind w:right="1279" w:firstLine="707"/>
      </w:pPr>
      <w:bookmarkStart w:name="96" w:id="113"/>
      <w:bookmarkEnd w:id="113"/>
      <w:r>
        <w:rPr/>
      </w:r>
      <w:r>
        <w:rPr/>
        <w:t>Заболевание</w:t>
      </w:r>
      <w:r>
        <w:rPr>
          <w:spacing w:val="-3"/>
        </w:rPr>
        <w:t> </w:t>
      </w:r>
      <w:r>
        <w:rPr/>
        <w:t>системы</w:t>
      </w:r>
      <w:r>
        <w:rPr>
          <w:spacing w:val="-2"/>
        </w:rPr>
        <w:t> </w:t>
      </w:r>
      <w:r>
        <w:rPr/>
        <w:t>крови</w:t>
      </w:r>
      <w:r>
        <w:rPr>
          <w:spacing w:val="-2"/>
        </w:rPr>
        <w:t> </w:t>
      </w:r>
      <w:r>
        <w:rPr/>
        <w:t>часто</w:t>
      </w:r>
      <w:r>
        <w:rPr>
          <w:spacing w:val="-1"/>
        </w:rPr>
        <w:t> </w:t>
      </w:r>
      <w:r>
        <w:rPr/>
        <w:t>протекает</w:t>
      </w:r>
      <w:r>
        <w:rPr>
          <w:spacing w:val="-1"/>
        </w:rPr>
        <w:t> </w:t>
      </w:r>
      <w:r>
        <w:rPr/>
        <w:t>с</w:t>
      </w:r>
      <w:r>
        <w:rPr>
          <w:spacing w:val="-1"/>
        </w:rPr>
        <w:t> </w:t>
      </w:r>
      <w:r>
        <w:rPr/>
        <w:t>тромбоцитопенией,</w:t>
      </w:r>
      <w:r>
        <w:rPr>
          <w:spacing w:val="-2"/>
        </w:rPr>
        <w:t> </w:t>
      </w:r>
      <w:r>
        <w:rPr/>
        <w:t>что</w:t>
      </w:r>
      <w:r>
        <w:rPr>
          <w:spacing w:val="-3"/>
        </w:rPr>
        <w:t> </w:t>
      </w:r>
      <w:r>
        <w:rPr/>
        <w:t>следует учитывать при выборе тактики антикоагулянтной терапии. Антикоагулянты назначают при количестве тромбоцитов крови более 50 х 10</w:t>
      </w:r>
      <w:r>
        <w:rPr>
          <w:vertAlign w:val="superscript"/>
        </w:rPr>
        <w:t>9</w:t>
      </w:r>
      <w:r>
        <w:rPr>
          <w:vertAlign w:val="baseline"/>
        </w:rPr>
        <w:t>/л.</w:t>
      </w:r>
    </w:p>
    <w:p>
      <w:pPr>
        <w:pStyle w:val="BodyText"/>
        <w:spacing w:before="40"/>
        <w:ind w:left="0"/>
        <w:jc w:val="left"/>
      </w:pPr>
    </w:p>
    <w:p>
      <w:pPr>
        <w:pStyle w:val="Heading3"/>
      </w:pPr>
      <w:r>
        <w:rPr>
          <w:spacing w:val="-2"/>
        </w:rPr>
        <w:t>Реципиенты</w:t>
      </w:r>
      <w:r>
        <w:rPr>
          <w:spacing w:val="3"/>
        </w:rPr>
        <w:t> </w:t>
      </w:r>
      <w:r>
        <w:rPr>
          <w:spacing w:val="-2"/>
        </w:rPr>
        <w:t>аллогенных</w:t>
      </w:r>
      <w:r>
        <w:rPr>
          <w:spacing w:val="2"/>
        </w:rPr>
        <w:t> </w:t>
      </w:r>
      <w:r>
        <w:rPr>
          <w:spacing w:val="-2"/>
        </w:rPr>
        <w:t>гемопоэтических</w:t>
      </w:r>
      <w:r>
        <w:rPr>
          <w:spacing w:val="1"/>
        </w:rPr>
        <w:t> </w:t>
      </w:r>
      <w:r>
        <w:rPr>
          <w:spacing w:val="-2"/>
        </w:rPr>
        <w:t>стволовых</w:t>
      </w:r>
      <w:r>
        <w:rPr>
          <w:spacing w:val="2"/>
        </w:rPr>
        <w:t> </w:t>
      </w:r>
      <w:r>
        <w:rPr>
          <w:spacing w:val="-2"/>
        </w:rPr>
        <w:t>клеток</w:t>
      </w:r>
    </w:p>
    <w:p>
      <w:pPr>
        <w:pStyle w:val="BodyText"/>
        <w:spacing w:line="276" w:lineRule="auto" w:before="41"/>
        <w:ind w:right="1270" w:firstLine="707"/>
      </w:pPr>
      <w:r>
        <w:rPr/>
        <w:t>Трансплантация аллогенных гемопоэтических стволовых клеток (алло-TГСК) является важным этапом терапии для пациентов с онкогематологическими заболеваниями. В некоторых случаях при увеличении срока ожидания процедуры возможно</w:t>
      </w:r>
      <w:r>
        <w:rPr>
          <w:spacing w:val="-6"/>
        </w:rPr>
        <w:t> </w:t>
      </w:r>
      <w:r>
        <w:rPr/>
        <w:t>развитие</w:t>
      </w:r>
      <w:r>
        <w:rPr>
          <w:spacing w:val="-7"/>
        </w:rPr>
        <w:t> </w:t>
      </w:r>
      <w:r>
        <w:rPr/>
        <w:t>рецидива/прогрессии</w:t>
      </w:r>
      <w:r>
        <w:rPr>
          <w:spacing w:val="-5"/>
        </w:rPr>
        <w:t> </w:t>
      </w:r>
      <w:r>
        <w:rPr/>
        <w:t>онкогематологического</w:t>
      </w:r>
      <w:r>
        <w:rPr>
          <w:spacing w:val="-6"/>
        </w:rPr>
        <w:t> </w:t>
      </w:r>
      <w:r>
        <w:rPr/>
        <w:t>заболевания.</w:t>
      </w:r>
      <w:r>
        <w:rPr>
          <w:spacing w:val="-6"/>
        </w:rPr>
        <w:t> </w:t>
      </w:r>
      <w:r>
        <w:rPr/>
        <w:t>Перед проведением трансплантации пациенты должны быть информированы о риске жизнеугрожающих осложнений при заражении COVID-19 во время проведения кондиционирования</w:t>
      </w:r>
      <w:r>
        <w:rPr>
          <w:spacing w:val="40"/>
        </w:rPr>
        <w:t> </w:t>
      </w:r>
      <w:r>
        <w:rPr/>
        <w:t>перед</w:t>
      </w:r>
      <w:r>
        <w:rPr>
          <w:spacing w:val="40"/>
        </w:rPr>
        <w:t> </w:t>
      </w:r>
      <w:r>
        <w:rPr/>
        <w:t>алло-TГСK</w:t>
      </w:r>
      <w:r>
        <w:rPr>
          <w:spacing w:val="40"/>
        </w:rPr>
        <w:t> </w:t>
      </w:r>
      <w:r>
        <w:rPr/>
        <w:t>или</w:t>
      </w:r>
      <w:r>
        <w:rPr>
          <w:spacing w:val="40"/>
        </w:rPr>
        <w:t> </w:t>
      </w:r>
      <w:r>
        <w:rPr/>
        <w:t>в</w:t>
      </w:r>
      <w:r>
        <w:rPr>
          <w:spacing w:val="40"/>
        </w:rPr>
        <w:t> </w:t>
      </w:r>
      <w:r>
        <w:rPr/>
        <w:t>посттрансплантационном</w:t>
      </w:r>
      <w:r>
        <w:rPr>
          <w:spacing w:val="40"/>
        </w:rPr>
        <w:t> </w:t>
      </w:r>
      <w:r>
        <w:rPr/>
        <w:t>периоде.</w:t>
      </w:r>
      <w:r>
        <w:rPr>
          <w:spacing w:val="80"/>
        </w:rPr>
        <w:t> </w:t>
      </w:r>
      <w:r>
        <w:rPr/>
        <w:t>До</w:t>
      </w:r>
      <w:r>
        <w:rPr>
          <w:spacing w:val="40"/>
        </w:rPr>
        <w:t> </w:t>
      </w:r>
      <w:r>
        <w:rPr/>
        <w:t>начала</w:t>
      </w:r>
      <w:r>
        <w:rPr>
          <w:spacing w:val="40"/>
        </w:rPr>
        <w:t> </w:t>
      </w:r>
      <w:r>
        <w:rPr/>
        <w:t>подготовки</w:t>
      </w:r>
      <w:r>
        <w:rPr>
          <w:spacing w:val="40"/>
        </w:rPr>
        <w:t> </w:t>
      </w:r>
      <w:r>
        <w:rPr/>
        <w:t>к</w:t>
      </w:r>
      <w:r>
        <w:rPr>
          <w:spacing w:val="40"/>
        </w:rPr>
        <w:t> </w:t>
      </w:r>
      <w:r>
        <w:rPr/>
        <w:t>алло-ТГСК</w:t>
      </w:r>
      <w:r>
        <w:rPr>
          <w:spacing w:val="40"/>
        </w:rPr>
        <w:t> </w:t>
      </w:r>
      <w:r>
        <w:rPr/>
        <w:t>все</w:t>
      </w:r>
      <w:r>
        <w:rPr>
          <w:spacing w:val="40"/>
        </w:rPr>
        <w:t> </w:t>
      </w:r>
      <w:r>
        <w:rPr/>
        <w:t>пациенты</w:t>
      </w:r>
      <w:r>
        <w:rPr>
          <w:spacing w:val="40"/>
        </w:rPr>
        <w:t> </w:t>
      </w:r>
      <w:r>
        <w:rPr/>
        <w:t>должны</w:t>
      </w:r>
      <w:r>
        <w:rPr>
          <w:spacing w:val="40"/>
        </w:rPr>
        <w:t> </w:t>
      </w:r>
      <w:r>
        <w:rPr/>
        <w:t>пройти</w:t>
      </w:r>
      <w:r>
        <w:rPr>
          <w:spacing w:val="40"/>
        </w:rPr>
        <w:t> </w:t>
      </w:r>
      <w:r>
        <w:rPr/>
        <w:t>тестирование на</w:t>
      </w:r>
      <w:r>
        <w:rPr>
          <w:spacing w:val="-13"/>
        </w:rPr>
        <w:t> </w:t>
      </w:r>
      <w:r>
        <w:rPr/>
        <w:t>SARS-CoV-2</w:t>
      </w:r>
      <w:r>
        <w:rPr>
          <w:spacing w:val="-12"/>
        </w:rPr>
        <w:t> </w:t>
      </w:r>
      <w:r>
        <w:rPr/>
        <w:t>методом</w:t>
      </w:r>
      <w:r>
        <w:rPr>
          <w:spacing w:val="-12"/>
        </w:rPr>
        <w:t> </w:t>
      </w:r>
      <w:r>
        <w:rPr/>
        <w:t>ПЦР,</w:t>
      </w:r>
      <w:r>
        <w:rPr>
          <w:spacing w:val="-12"/>
        </w:rPr>
        <w:t> </w:t>
      </w:r>
      <w:r>
        <w:rPr/>
        <w:t>результаты</w:t>
      </w:r>
      <w:r>
        <w:rPr>
          <w:spacing w:val="-12"/>
        </w:rPr>
        <w:t> </w:t>
      </w:r>
      <w:r>
        <w:rPr/>
        <w:t>которого</w:t>
      </w:r>
      <w:r>
        <w:rPr>
          <w:spacing w:val="-12"/>
        </w:rPr>
        <w:t> </w:t>
      </w:r>
      <w:r>
        <w:rPr/>
        <w:t>должны</w:t>
      </w:r>
      <w:r>
        <w:rPr>
          <w:spacing w:val="-12"/>
        </w:rPr>
        <w:t> </w:t>
      </w:r>
      <w:r>
        <w:rPr/>
        <w:t>быть</w:t>
      </w:r>
      <w:r>
        <w:rPr>
          <w:spacing w:val="-11"/>
        </w:rPr>
        <w:t> </w:t>
      </w:r>
      <w:r>
        <w:rPr/>
        <w:t>негативными</w:t>
      </w:r>
      <w:r>
        <w:rPr>
          <w:spacing w:val="-8"/>
        </w:rPr>
        <w:t> </w:t>
      </w:r>
      <w:r>
        <w:rPr/>
        <w:t>перед началом кондиционирования.</w:t>
      </w:r>
    </w:p>
    <w:p>
      <w:pPr>
        <w:pStyle w:val="BodyText"/>
        <w:spacing w:line="276" w:lineRule="auto" w:before="11"/>
        <w:ind w:right="1277" w:firstLine="707"/>
      </w:pPr>
      <w:r>
        <w:rPr/>
        <w:t>В случае если перед началом кондиционирования у пациента выявлен положительный тест на SARS-CoV-2 методом ПЦР рекомендуется отложить процедуру трансплантации до регрессии всех клинических симптомов и получения двух негативных тестов.</w:t>
      </w:r>
    </w:p>
    <w:p>
      <w:pPr>
        <w:pStyle w:val="BodyText"/>
        <w:spacing w:line="276" w:lineRule="auto" w:before="13"/>
        <w:ind w:right="1271" w:firstLine="707"/>
      </w:pPr>
      <w:r>
        <w:rPr/>
        <w:t>В случае если пациент перенес заболевание в легкой форме кондиционирование перед алло-ТГСК может быть начато через две недели после выздоровления при условии получения повторного отрицательного теста перед началом введения химиопрепаратов. При тяжелом/среднетяжелом течении заболевания COVID-19 по возможности рекомендовано отложить проведения алло- ТГСК</w:t>
      </w:r>
      <w:r>
        <w:rPr>
          <w:spacing w:val="38"/>
        </w:rPr>
        <w:t> </w:t>
      </w:r>
      <w:r>
        <w:rPr/>
        <w:t>на</w:t>
      </w:r>
      <w:r>
        <w:rPr>
          <w:spacing w:val="36"/>
        </w:rPr>
        <w:t> </w:t>
      </w:r>
      <w:r>
        <w:rPr/>
        <w:t>3</w:t>
      </w:r>
      <w:r>
        <w:rPr>
          <w:spacing w:val="37"/>
        </w:rPr>
        <w:t> </w:t>
      </w:r>
      <w:r>
        <w:rPr/>
        <w:t>месяца.</w:t>
      </w:r>
      <w:r>
        <w:rPr>
          <w:spacing w:val="37"/>
        </w:rPr>
        <w:t> </w:t>
      </w:r>
      <w:r>
        <w:rPr/>
        <w:t>В</w:t>
      </w:r>
      <w:r>
        <w:rPr>
          <w:spacing w:val="35"/>
        </w:rPr>
        <w:t> </w:t>
      </w:r>
      <w:r>
        <w:rPr/>
        <w:t>случае</w:t>
      </w:r>
      <w:r>
        <w:rPr>
          <w:spacing w:val="36"/>
        </w:rPr>
        <w:t> </w:t>
      </w:r>
      <w:r>
        <w:rPr/>
        <w:t>длительной</w:t>
      </w:r>
      <w:r>
        <w:rPr>
          <w:spacing w:val="38"/>
        </w:rPr>
        <w:t> </w:t>
      </w:r>
      <w:r>
        <w:rPr/>
        <w:t>бессимптомной</w:t>
      </w:r>
      <w:r>
        <w:rPr>
          <w:spacing w:val="36"/>
        </w:rPr>
        <w:t> </w:t>
      </w:r>
      <w:r>
        <w:rPr/>
        <w:t>персистенции</w:t>
      </w:r>
      <w:r>
        <w:rPr>
          <w:spacing w:val="40"/>
        </w:rPr>
        <w:t> </w:t>
      </w:r>
      <w:r>
        <w:rPr/>
        <w:t>COVID-19 и высокого риска прогрессирования основного заболевания в случае отсрочки выполнения ТГСК решение принимается с учетом всех возможных рисков для </w:t>
      </w:r>
      <w:r>
        <w:rPr>
          <w:spacing w:val="-2"/>
        </w:rPr>
        <w:t>пациента</w:t>
      </w:r>
      <w:r>
        <w:rPr>
          <w:spacing w:val="-3"/>
        </w:rPr>
        <w:t> </w:t>
      </w:r>
      <w:r>
        <w:rPr>
          <w:spacing w:val="-2"/>
        </w:rPr>
        <w:t>с</w:t>
      </w:r>
      <w:r>
        <w:rPr>
          <w:spacing w:val="-4"/>
        </w:rPr>
        <w:t> </w:t>
      </w:r>
      <w:r>
        <w:rPr>
          <w:spacing w:val="-2"/>
        </w:rPr>
        <w:t>предоставлением</w:t>
      </w:r>
      <w:r>
        <w:rPr>
          <w:spacing w:val="-4"/>
        </w:rPr>
        <w:t> </w:t>
      </w:r>
      <w:r>
        <w:rPr>
          <w:spacing w:val="-2"/>
        </w:rPr>
        <w:t>всей необходимой</w:t>
      </w:r>
      <w:r>
        <w:rPr>
          <w:spacing w:val="-4"/>
        </w:rPr>
        <w:t> </w:t>
      </w:r>
      <w:r>
        <w:rPr>
          <w:spacing w:val="-2"/>
        </w:rPr>
        <w:t>информации</w:t>
      </w:r>
      <w:r>
        <w:rPr>
          <w:spacing w:val="-4"/>
        </w:rPr>
        <w:t> </w:t>
      </w:r>
      <w:r>
        <w:rPr>
          <w:spacing w:val="-2"/>
        </w:rPr>
        <w:t>пациенту. Перед</w:t>
      </w:r>
      <w:r>
        <w:rPr>
          <w:spacing w:val="-3"/>
        </w:rPr>
        <w:t> </w:t>
      </w:r>
      <w:r>
        <w:rPr>
          <w:spacing w:val="-2"/>
        </w:rPr>
        <w:t>началом </w:t>
      </w:r>
      <w:r>
        <w:rPr/>
        <w:t>процедуры трансплантации необходимо обеспечить наличие квалифицированного персонала, койки в отделениях интенсивной терапии, аппараты искусственной вентиляции легких, а также доступность продукта гемопоэтических стволовых </w:t>
      </w:r>
      <w:r>
        <w:rPr>
          <w:spacing w:val="-2"/>
        </w:rPr>
        <w:t>клеток.</w:t>
      </w:r>
    </w:p>
    <w:p>
      <w:pPr>
        <w:pStyle w:val="BodyText"/>
        <w:spacing w:line="276" w:lineRule="auto" w:before="11"/>
        <w:ind w:right="1271" w:firstLine="707"/>
      </w:pPr>
      <w:r>
        <w:rPr/>
        <w:t>В случае, если реципиент алло-ГСК, инфицирован SARS-CoV-2: таких больных не следует лечить в палатах с ламинарным потоком воздуха или других помещениях (HEPA)</w:t>
      </w:r>
      <w:r>
        <w:rPr>
          <w:spacing w:val="-1"/>
        </w:rPr>
        <w:t> </w:t>
      </w:r>
      <w:r>
        <w:rPr/>
        <w:t>с положительным</w:t>
      </w:r>
      <w:r>
        <w:rPr>
          <w:spacing w:val="-1"/>
        </w:rPr>
        <w:t> </w:t>
      </w:r>
      <w:r>
        <w:rPr/>
        <w:t>давлением, если только вентиляция не</w:t>
      </w:r>
      <w:r>
        <w:rPr>
          <w:spacing w:val="-1"/>
        </w:rPr>
        <w:t> </w:t>
      </w:r>
      <w:r>
        <w:rPr/>
        <w:t>может быть</w:t>
      </w:r>
      <w:r>
        <w:rPr>
          <w:spacing w:val="-4"/>
        </w:rPr>
        <w:t> </w:t>
      </w:r>
      <w:r>
        <w:rPr/>
        <w:t>отключена,</w:t>
      </w:r>
      <w:r>
        <w:rPr>
          <w:spacing w:val="-5"/>
        </w:rPr>
        <w:t> </w:t>
      </w:r>
      <w:r>
        <w:rPr/>
        <w:t>поскольку</w:t>
      </w:r>
      <w:r>
        <w:rPr>
          <w:spacing w:val="-5"/>
        </w:rPr>
        <w:t> </w:t>
      </w:r>
      <w:r>
        <w:rPr/>
        <w:t>крайне</w:t>
      </w:r>
      <w:r>
        <w:rPr>
          <w:spacing w:val="-6"/>
        </w:rPr>
        <w:t> </w:t>
      </w:r>
      <w:r>
        <w:rPr/>
        <w:t>высока</w:t>
      </w:r>
      <w:r>
        <w:rPr>
          <w:spacing w:val="-5"/>
        </w:rPr>
        <w:t> </w:t>
      </w:r>
      <w:r>
        <w:rPr/>
        <w:t>передача</w:t>
      </w:r>
      <w:r>
        <w:rPr>
          <w:spacing w:val="-6"/>
        </w:rPr>
        <w:t> </w:t>
      </w:r>
      <w:r>
        <w:rPr/>
        <w:t>COVID-19</w:t>
      </w:r>
      <w:r>
        <w:rPr>
          <w:spacing w:val="-5"/>
        </w:rPr>
        <w:t> </w:t>
      </w:r>
      <w:r>
        <w:rPr/>
        <w:t>воздушно-капельным путем.</w:t>
      </w:r>
      <w:r>
        <w:rPr>
          <w:spacing w:val="40"/>
        </w:rPr>
        <w:t> </w:t>
      </w:r>
      <w:r>
        <w:rPr/>
        <w:t>Все</w:t>
      </w:r>
      <w:r>
        <w:rPr>
          <w:spacing w:val="40"/>
        </w:rPr>
        <w:t> </w:t>
      </w:r>
      <w:r>
        <w:rPr/>
        <w:t>реципиенты</w:t>
      </w:r>
      <w:r>
        <w:rPr>
          <w:spacing w:val="40"/>
        </w:rPr>
        <w:t> </w:t>
      </w:r>
      <w:r>
        <w:rPr/>
        <w:t>алло-ГСК</w:t>
      </w:r>
      <w:r>
        <w:rPr>
          <w:spacing w:val="40"/>
        </w:rPr>
        <w:t> </w:t>
      </w:r>
      <w:r>
        <w:rPr/>
        <w:t>с</w:t>
      </w:r>
      <w:r>
        <w:rPr>
          <w:spacing w:val="40"/>
        </w:rPr>
        <w:t> </w:t>
      </w:r>
      <w:r>
        <w:rPr/>
        <w:t>положительным</w:t>
      </w:r>
      <w:r>
        <w:rPr>
          <w:spacing w:val="40"/>
        </w:rPr>
        <w:t> </w:t>
      </w:r>
      <w:r>
        <w:rPr/>
        <w:t>результатом</w:t>
      </w:r>
      <w:r>
        <w:rPr>
          <w:spacing w:val="40"/>
        </w:rPr>
        <w:t> </w:t>
      </w:r>
      <w:r>
        <w:rPr/>
        <w:t>на</w:t>
      </w:r>
      <w:r>
        <w:rPr>
          <w:spacing w:val="40"/>
        </w:rPr>
        <w:t> </w:t>
      </w:r>
      <w:r>
        <w:rPr/>
        <w:t>SARS-CoV-2 из верхних дыхательных путей должны пройти оценку оксигенации и визуализацию органов грудной клетки, предпочтительно с помощью КТ, если присутствуют признаки поражения нижних дыхательных путей. Проведение бронхоальвеолярного лаважа рутинно не рекомендуется.</w:t>
      </w:r>
    </w:p>
    <w:p>
      <w:pPr>
        <w:pStyle w:val="BodyText"/>
        <w:spacing w:line="276" w:lineRule="auto" w:before="12"/>
        <w:ind w:right="1273" w:firstLine="565"/>
      </w:pPr>
      <w:r>
        <w:rPr/>
        <w:t>Госпитализации</w:t>
      </w:r>
      <w:r>
        <w:rPr>
          <w:spacing w:val="40"/>
        </w:rPr>
        <w:t> </w:t>
      </w:r>
      <w:r>
        <w:rPr/>
        <w:t>подлежат</w:t>
      </w:r>
      <w:r>
        <w:rPr>
          <w:spacing w:val="40"/>
        </w:rPr>
        <w:t> </w:t>
      </w:r>
      <w:r>
        <w:rPr/>
        <w:t>реципиенты</w:t>
      </w:r>
      <w:r>
        <w:rPr>
          <w:spacing w:val="40"/>
        </w:rPr>
        <w:t> </w:t>
      </w:r>
      <w:r>
        <w:rPr/>
        <w:t>алло-ГСК</w:t>
      </w:r>
      <w:r>
        <w:rPr>
          <w:spacing w:val="40"/>
        </w:rPr>
        <w:t> </w:t>
      </w:r>
      <w:r>
        <w:rPr/>
        <w:t>среднетяжелым,</w:t>
      </w:r>
      <w:r>
        <w:rPr>
          <w:spacing w:val="40"/>
        </w:rPr>
        <w:t> </w:t>
      </w:r>
      <w:r>
        <w:rPr/>
        <w:t>тяжелым</w:t>
      </w:r>
      <w:r>
        <w:rPr>
          <w:spacing w:val="80"/>
          <w:w w:val="150"/>
        </w:rPr>
        <w:t> </w:t>
      </w:r>
      <w:r>
        <w:rPr/>
        <w:t>и</w:t>
      </w:r>
      <w:r>
        <w:rPr>
          <w:spacing w:val="28"/>
        </w:rPr>
        <w:t>  </w:t>
      </w:r>
      <w:r>
        <w:rPr/>
        <w:t>крайне</w:t>
      </w:r>
      <w:r>
        <w:rPr>
          <w:spacing w:val="28"/>
        </w:rPr>
        <w:t>  </w:t>
      </w:r>
      <w:r>
        <w:rPr/>
        <w:t>тяжелым</w:t>
      </w:r>
      <w:r>
        <w:rPr>
          <w:spacing w:val="28"/>
        </w:rPr>
        <w:t>  </w:t>
      </w:r>
      <w:r>
        <w:rPr/>
        <w:t>течением</w:t>
      </w:r>
      <w:r>
        <w:rPr>
          <w:spacing w:val="29"/>
        </w:rPr>
        <w:t>  </w:t>
      </w:r>
      <w:r>
        <w:rPr/>
        <w:t>COVID-19,</w:t>
      </w:r>
      <w:r>
        <w:rPr>
          <w:spacing w:val="29"/>
        </w:rPr>
        <w:t>  </w:t>
      </w:r>
      <w:r>
        <w:rPr/>
        <w:t>терапия</w:t>
      </w:r>
      <w:r>
        <w:rPr>
          <w:spacing w:val="29"/>
        </w:rPr>
        <w:t>  </w:t>
      </w:r>
      <w:r>
        <w:rPr/>
        <w:t>проводится</w:t>
      </w:r>
      <w:r>
        <w:rPr>
          <w:spacing w:val="27"/>
        </w:rPr>
        <w:t>  </w:t>
      </w:r>
      <w:r>
        <w:rPr/>
        <w:t>в</w:t>
      </w:r>
      <w:r>
        <w:rPr>
          <w:spacing w:val="28"/>
        </w:rPr>
        <w:t>  </w:t>
      </w:r>
      <w:r>
        <w:rPr>
          <w:spacing w:val="-2"/>
        </w:rPr>
        <w:t>соответствии</w:t>
      </w:r>
    </w:p>
    <w:p>
      <w:pPr>
        <w:pStyle w:val="BodyText"/>
        <w:spacing w:after="0" w:line="276" w:lineRule="auto"/>
        <w:sectPr>
          <w:pgSz w:w="11900" w:h="16840"/>
          <w:pgMar w:header="0" w:footer="697" w:top="1080" w:bottom="880" w:left="0" w:right="0"/>
        </w:sectPr>
      </w:pPr>
    </w:p>
    <w:p>
      <w:pPr>
        <w:pStyle w:val="BodyText"/>
        <w:spacing w:line="276" w:lineRule="auto" w:before="73"/>
        <w:ind w:right="1275"/>
      </w:pPr>
      <w:bookmarkStart w:name="97" w:id="114"/>
      <w:bookmarkEnd w:id="114"/>
      <w:r>
        <w:rPr/>
      </w:r>
      <w:r>
        <w:rPr/>
        <w:t>с временными методическими рекомендациями в зависимости степени тяжести </w:t>
      </w:r>
      <w:r>
        <w:rPr>
          <w:spacing w:val="-2"/>
        </w:rPr>
        <w:t>заболевания.</w:t>
      </w:r>
    </w:p>
    <w:p>
      <w:pPr>
        <w:pStyle w:val="BodyText"/>
        <w:spacing w:line="278" w:lineRule="auto"/>
        <w:ind w:right="1276" w:firstLine="565"/>
      </w:pPr>
      <w:r>
        <w:rPr/>
        <w:t>Развитие COVID-19 не является показанием к отмене иммуносупрессивных </w:t>
      </w:r>
      <w:r>
        <w:rPr>
          <w:spacing w:val="-2"/>
        </w:rPr>
        <w:t>препаратов.</w:t>
      </w:r>
    </w:p>
    <w:p>
      <w:pPr>
        <w:pStyle w:val="BodyText"/>
        <w:spacing w:line="276" w:lineRule="auto"/>
        <w:ind w:right="1273" w:firstLine="707"/>
      </w:pPr>
      <w:r>
        <w:rPr/>
        <w:t>У всех реципиентов алло-ГСК после перенесенной инфекции COVID-19 необходимо выполнять мониторинг поздних осложнений с поражением органов дыхания (функциональная КТ ОГК, спирометрия).</w:t>
      </w:r>
    </w:p>
    <w:p>
      <w:pPr>
        <w:pStyle w:val="BodyText"/>
        <w:spacing w:line="276" w:lineRule="auto" w:before="8"/>
        <w:ind w:right="1270" w:firstLine="707"/>
      </w:pPr>
      <w:r>
        <w:rPr/>
        <w:t>Донация</w:t>
      </w:r>
      <w:r>
        <w:rPr>
          <w:spacing w:val="80"/>
        </w:rPr>
        <w:t>  </w:t>
      </w:r>
      <w:r>
        <w:rPr/>
        <w:t>ГСК</w:t>
      </w:r>
      <w:r>
        <w:rPr>
          <w:spacing w:val="80"/>
        </w:rPr>
        <w:t>  </w:t>
      </w:r>
      <w:r>
        <w:rPr/>
        <w:t>у</w:t>
      </w:r>
      <w:r>
        <w:rPr>
          <w:spacing w:val="80"/>
        </w:rPr>
        <w:t>  </w:t>
      </w:r>
      <w:r>
        <w:rPr/>
        <w:t>доноров,</w:t>
      </w:r>
      <w:r>
        <w:rPr>
          <w:spacing w:val="80"/>
        </w:rPr>
        <w:t>  </w:t>
      </w:r>
      <w:r>
        <w:rPr/>
        <w:t>вакцинированных</w:t>
      </w:r>
      <w:r>
        <w:rPr>
          <w:spacing w:val="80"/>
        </w:rPr>
        <w:t>  </w:t>
      </w:r>
      <w:r>
        <w:rPr/>
        <w:t>против</w:t>
      </w:r>
      <w:r>
        <w:rPr>
          <w:spacing w:val="76"/>
          <w:w w:val="150"/>
        </w:rPr>
        <w:t>  </w:t>
      </w:r>
      <w:r>
        <w:rPr/>
        <w:t>COVID-19,</w:t>
      </w:r>
      <w:r>
        <w:rPr>
          <w:spacing w:val="40"/>
        </w:rPr>
        <w:t> </w:t>
      </w:r>
      <w:r>
        <w:rPr/>
        <w:t>не противопоказана. В случае если вакцинация донора нереплицирующимися вакцинами (на основе мРНК или нереплицирующегося компетентного вирусного вектора) произошла накануне донации необходимо подождать несколько дней (3-7) после вакцинации, прежде чем начинать гранулоцитарный колониестимулирующий фактор для мобилизации ГСК.</w:t>
      </w:r>
    </w:p>
    <w:p>
      <w:pPr>
        <w:pStyle w:val="BodyText"/>
        <w:spacing w:line="276" w:lineRule="auto"/>
        <w:ind w:right="1271" w:firstLine="707"/>
      </w:pPr>
      <w:r>
        <w:rPr/>
        <w:t>Донорам не рекомендуется делать вакцинацию в интересах реципиента. Если проведение алло-ТГСК не является срочным, имеет смысл вакцинировать донора перед сдачей ГСК, чтобы снизить риск заражения донора инфекцией SARS-CoV-2. Но при этом проведение срочной донации ГСК для трансплантации не должно быть отложено по причине вакцинации донора.</w:t>
      </w:r>
    </w:p>
    <w:p>
      <w:pPr>
        <w:pStyle w:val="BodyText"/>
        <w:spacing w:line="276" w:lineRule="auto"/>
        <w:ind w:right="1276" w:firstLine="707"/>
      </w:pPr>
      <w:r>
        <w:rPr/>
        <w:t>Перед</w:t>
      </w:r>
      <w:r>
        <w:rPr>
          <w:spacing w:val="40"/>
        </w:rPr>
        <w:t> </w:t>
      </w:r>
      <w:r>
        <w:rPr/>
        <w:t>проведением</w:t>
      </w:r>
      <w:r>
        <w:rPr>
          <w:spacing w:val="40"/>
        </w:rPr>
        <w:t> </w:t>
      </w:r>
      <w:r>
        <w:rPr/>
        <w:t>донации</w:t>
      </w:r>
      <w:r>
        <w:rPr>
          <w:spacing w:val="40"/>
        </w:rPr>
        <w:t> </w:t>
      </w:r>
      <w:r>
        <w:rPr/>
        <w:t>необходимо</w:t>
      </w:r>
      <w:r>
        <w:rPr>
          <w:spacing w:val="40"/>
        </w:rPr>
        <w:t> </w:t>
      </w:r>
      <w:r>
        <w:rPr/>
        <w:t>проведение</w:t>
      </w:r>
      <w:r>
        <w:rPr>
          <w:spacing w:val="40"/>
        </w:rPr>
        <w:t> </w:t>
      </w:r>
      <w:r>
        <w:rPr/>
        <w:t>тестирования</w:t>
      </w:r>
      <w:r>
        <w:rPr>
          <w:spacing w:val="40"/>
        </w:rPr>
        <w:t> </w:t>
      </w:r>
      <w:r>
        <w:rPr/>
        <w:t>донора на наличие SARS-CoV-2 методом ПЦР. В случае положительного результата необходимо отложить донацию.</w:t>
      </w:r>
    </w:p>
    <w:p>
      <w:pPr>
        <w:pStyle w:val="Heading3"/>
        <w:spacing w:before="115"/>
      </w:pPr>
      <w:r>
        <w:rPr>
          <w:color w:val="1F487C"/>
        </w:rPr>
        <w:t>Пациенты</w:t>
      </w:r>
      <w:r>
        <w:rPr>
          <w:color w:val="1F487C"/>
          <w:spacing w:val="-12"/>
        </w:rPr>
        <w:t> </w:t>
      </w:r>
      <w:r>
        <w:rPr>
          <w:color w:val="1F487C"/>
        </w:rPr>
        <w:t>с</w:t>
      </w:r>
      <w:r>
        <w:rPr>
          <w:color w:val="1F487C"/>
          <w:spacing w:val="-14"/>
        </w:rPr>
        <w:t> </w:t>
      </w:r>
      <w:r>
        <w:rPr>
          <w:color w:val="1F487C"/>
        </w:rPr>
        <w:t>хронической</w:t>
      </w:r>
      <w:r>
        <w:rPr>
          <w:color w:val="1F487C"/>
          <w:spacing w:val="-12"/>
        </w:rPr>
        <w:t> </w:t>
      </w:r>
      <w:r>
        <w:rPr>
          <w:color w:val="1F487C"/>
        </w:rPr>
        <w:t>болезнью</w:t>
      </w:r>
      <w:r>
        <w:rPr>
          <w:color w:val="1F487C"/>
          <w:spacing w:val="-13"/>
        </w:rPr>
        <w:t> </w:t>
      </w:r>
      <w:r>
        <w:rPr>
          <w:color w:val="1F487C"/>
          <w:spacing w:val="-4"/>
        </w:rPr>
        <w:t>почек</w:t>
      </w:r>
    </w:p>
    <w:p>
      <w:pPr>
        <w:pStyle w:val="BodyText"/>
        <w:spacing w:line="312" w:lineRule="auto" w:before="142"/>
        <w:ind w:right="1271" w:firstLine="707"/>
      </w:pPr>
      <w:r>
        <w:rPr/>
        <w:t>По данным ВОЗ, каждый 9 человек в мире имеет хроническую болезнь почек (ХБП), и данная проблема приобретает уровень неинфекционной эпидемии. Поражение почек является частым вариантом нелегочного поражения SARS-CoV-2</w:t>
      </w:r>
      <w:r>
        <w:rPr>
          <w:spacing w:val="80"/>
        </w:rPr>
        <w:t> </w:t>
      </w:r>
      <w:r>
        <w:rPr/>
        <w:t>в</w:t>
      </w:r>
      <w:r>
        <w:rPr>
          <w:spacing w:val="-3"/>
        </w:rPr>
        <w:t> </w:t>
      </w:r>
      <w:r>
        <w:rPr/>
        <w:t>связи с наличием АПФ2 в почках. Частое вовлечение в патологический процесс почек</w:t>
      </w:r>
      <w:r>
        <w:rPr>
          <w:spacing w:val="33"/>
        </w:rPr>
        <w:t> </w:t>
      </w:r>
      <w:r>
        <w:rPr/>
        <w:t>характеризуется</w:t>
      </w:r>
      <w:r>
        <w:rPr>
          <w:spacing w:val="32"/>
        </w:rPr>
        <w:t> </w:t>
      </w:r>
      <w:r>
        <w:rPr/>
        <w:t>широким</w:t>
      </w:r>
      <w:r>
        <w:rPr>
          <w:spacing w:val="32"/>
        </w:rPr>
        <w:t> </w:t>
      </w:r>
      <w:r>
        <w:rPr/>
        <w:t>диапазоном</w:t>
      </w:r>
      <w:r>
        <w:rPr>
          <w:spacing w:val="32"/>
        </w:rPr>
        <w:t> </w:t>
      </w:r>
      <w:r>
        <w:rPr/>
        <w:t>проявлений</w:t>
      </w:r>
      <w:r>
        <w:rPr>
          <w:spacing w:val="40"/>
        </w:rPr>
        <w:t> </w:t>
      </w:r>
      <w:r>
        <w:rPr/>
        <w:t>–</w:t>
      </w:r>
      <w:r>
        <w:rPr>
          <w:spacing w:val="33"/>
        </w:rPr>
        <w:t> </w:t>
      </w:r>
      <w:r>
        <w:rPr/>
        <w:t>от</w:t>
      </w:r>
      <w:r>
        <w:rPr>
          <w:spacing w:val="33"/>
        </w:rPr>
        <w:t> </w:t>
      </w:r>
      <w:r>
        <w:rPr/>
        <w:t>легкой</w:t>
      </w:r>
      <w:r>
        <w:rPr>
          <w:spacing w:val="33"/>
        </w:rPr>
        <w:t> </w:t>
      </w:r>
      <w:r>
        <w:rPr/>
        <w:t>протеинурии и</w:t>
      </w:r>
      <w:r>
        <w:rPr>
          <w:spacing w:val="-3"/>
        </w:rPr>
        <w:t> </w:t>
      </w:r>
      <w:r>
        <w:rPr/>
        <w:t>гематурии до прогрессирующего острого повреждения почек (ОПП), требующего применения заместительной почечной терапии (ЗПТ).</w:t>
      </w:r>
    </w:p>
    <w:p>
      <w:pPr>
        <w:pStyle w:val="BodyText"/>
        <w:spacing w:line="312" w:lineRule="auto"/>
        <w:ind w:right="1270" w:firstLine="707"/>
      </w:pPr>
      <w:r>
        <w:rPr/>
        <w:t>Частота ОПП варьирует в пределах от 5,1 до 27% случаев и является самостоятельным</w:t>
      </w:r>
      <w:r>
        <w:rPr>
          <w:spacing w:val="40"/>
        </w:rPr>
        <w:t> </w:t>
      </w:r>
      <w:r>
        <w:rPr/>
        <w:t>независимым</w:t>
      </w:r>
      <w:r>
        <w:rPr>
          <w:spacing w:val="40"/>
        </w:rPr>
        <w:t> </w:t>
      </w:r>
      <w:r>
        <w:rPr/>
        <w:t>фактором</w:t>
      </w:r>
      <w:r>
        <w:rPr>
          <w:spacing w:val="40"/>
        </w:rPr>
        <w:t> </w:t>
      </w:r>
      <w:r>
        <w:rPr/>
        <w:t>риска</w:t>
      </w:r>
      <w:r>
        <w:rPr>
          <w:spacing w:val="40"/>
        </w:rPr>
        <w:t> </w:t>
      </w:r>
      <w:r>
        <w:rPr/>
        <w:t>летального</w:t>
      </w:r>
      <w:r>
        <w:rPr>
          <w:spacing w:val="40"/>
        </w:rPr>
        <w:t> </w:t>
      </w:r>
      <w:r>
        <w:rPr/>
        <w:t>исхода,</w:t>
      </w:r>
      <w:r>
        <w:rPr>
          <w:spacing w:val="40"/>
        </w:rPr>
        <w:t> </w:t>
      </w:r>
      <w:r>
        <w:rPr/>
        <w:t>увеличивая</w:t>
      </w:r>
      <w:r>
        <w:rPr>
          <w:spacing w:val="40"/>
        </w:rPr>
        <w:t> </w:t>
      </w:r>
      <w:r>
        <w:rPr/>
        <w:t>его</w:t>
      </w:r>
      <w:r>
        <w:rPr>
          <w:spacing w:val="-3"/>
        </w:rPr>
        <w:t> </w:t>
      </w:r>
      <w:r>
        <w:rPr/>
        <w:t>вероятность в 1,9-4,4 раза в зависимости от стадии. Данное осложнение наблюдается у 68% пациентов с ОРДС. При потребности в ИВЛ вероятность ОПП возрастает в 10,7 раз, а имеющееся исходное заболевание почек на фоне интоксикационного синдрома, вызванного COVID-19, может ускорить прогрессирование почечной недостаточности.</w:t>
      </w:r>
    </w:p>
    <w:p>
      <w:pPr>
        <w:pStyle w:val="BodyText"/>
        <w:spacing w:line="312" w:lineRule="auto"/>
        <w:ind w:right="1273" w:firstLine="707"/>
      </w:pPr>
      <w:r>
        <w:rPr/>
        <w:t>Применение лекарственных препаратов для лечения COVID-19 с вероятным нефротоксическим эффектом у пациентов с ХБП требует постоянного мониторинга функции почек (креатинин, мочевина, концентрация калия, натрия в крови). Применение</w:t>
      </w:r>
      <w:r>
        <w:rPr>
          <w:spacing w:val="-1"/>
        </w:rPr>
        <w:t> </w:t>
      </w:r>
      <w:r>
        <w:rPr/>
        <w:t>препаратов с</w:t>
      </w:r>
      <w:r>
        <w:rPr>
          <w:spacing w:val="-2"/>
        </w:rPr>
        <w:t> </w:t>
      </w:r>
      <w:r>
        <w:rPr/>
        <w:t>известным нефротоксическим</w:t>
      </w:r>
      <w:r>
        <w:rPr>
          <w:spacing w:val="-2"/>
        </w:rPr>
        <w:t> </w:t>
      </w:r>
      <w:r>
        <w:rPr/>
        <w:t>эффектом,</w:t>
      </w:r>
      <w:r>
        <w:rPr>
          <w:spacing w:val="-1"/>
        </w:rPr>
        <w:t> </w:t>
      </w:r>
      <w:r>
        <w:rPr/>
        <w:t>но</w:t>
      </w:r>
      <w:r>
        <w:rPr>
          <w:spacing w:val="-1"/>
        </w:rPr>
        <w:t> </w:t>
      </w:r>
      <w:r>
        <w:rPr/>
        <w:t>необходимым по</w:t>
      </w:r>
      <w:r>
        <w:rPr>
          <w:spacing w:val="-14"/>
        </w:rPr>
        <w:t> </w:t>
      </w:r>
      <w:r>
        <w:rPr/>
        <w:t>жизненным</w:t>
      </w:r>
      <w:r>
        <w:rPr>
          <w:spacing w:val="-15"/>
        </w:rPr>
        <w:t> </w:t>
      </w:r>
      <w:r>
        <w:rPr/>
        <w:t>показаниям</w:t>
      </w:r>
      <w:r>
        <w:rPr>
          <w:spacing w:val="-15"/>
        </w:rPr>
        <w:t> </w:t>
      </w:r>
      <w:r>
        <w:rPr/>
        <w:t>может</w:t>
      </w:r>
      <w:r>
        <w:rPr>
          <w:spacing w:val="-13"/>
        </w:rPr>
        <w:t> </w:t>
      </w:r>
      <w:r>
        <w:rPr/>
        <w:t>применяться</w:t>
      </w:r>
      <w:r>
        <w:rPr>
          <w:spacing w:val="78"/>
        </w:rPr>
        <w:t> </w:t>
      </w:r>
      <w:r>
        <w:rPr/>
        <w:t>комиссионным</w:t>
      </w:r>
      <w:r>
        <w:rPr>
          <w:spacing w:val="-15"/>
        </w:rPr>
        <w:t> </w:t>
      </w:r>
      <w:r>
        <w:rPr/>
        <w:t>решением,</w:t>
      </w:r>
      <w:r>
        <w:rPr>
          <w:spacing w:val="-14"/>
        </w:rPr>
        <w:t> </w:t>
      </w:r>
      <w:r>
        <w:rPr/>
        <w:t>с</w:t>
      </w:r>
      <w:r>
        <w:rPr>
          <w:spacing w:val="-15"/>
        </w:rPr>
        <w:t> </w:t>
      </w:r>
      <w:r>
        <w:rPr/>
        <w:t>участием</w:t>
      </w:r>
    </w:p>
    <w:p>
      <w:pPr>
        <w:pStyle w:val="BodyText"/>
        <w:spacing w:after="0" w:line="312" w:lineRule="auto"/>
        <w:sectPr>
          <w:pgSz w:w="11900" w:h="16840"/>
          <w:pgMar w:header="0" w:footer="697" w:top="1080" w:bottom="880" w:left="0" w:right="0"/>
        </w:sectPr>
      </w:pPr>
    </w:p>
    <w:p>
      <w:pPr>
        <w:pStyle w:val="BodyText"/>
        <w:tabs>
          <w:tab w:pos="3182" w:val="left" w:leader="none"/>
          <w:tab w:pos="3540" w:val="left" w:leader="none"/>
          <w:tab w:pos="4403" w:val="left" w:leader="none"/>
          <w:tab w:pos="4479" w:val="left" w:leader="none"/>
          <w:tab w:pos="5697" w:val="left" w:leader="none"/>
          <w:tab w:pos="5958" w:val="left" w:leader="none"/>
          <w:tab w:pos="7736" w:val="left" w:leader="none"/>
          <w:tab w:pos="8617" w:val="left" w:leader="none"/>
          <w:tab w:pos="8651" w:val="left" w:leader="none"/>
          <w:tab w:pos="9873" w:val="left" w:leader="none"/>
          <w:tab w:pos="9971" w:val="left" w:leader="none"/>
        </w:tabs>
        <w:spacing w:line="312" w:lineRule="auto" w:before="73"/>
        <w:ind w:right="1272"/>
        <w:jc w:val="right"/>
      </w:pPr>
      <w:bookmarkStart w:name="98" w:id="115"/>
      <w:bookmarkEnd w:id="115"/>
      <w:r>
        <w:rPr/>
      </w:r>
      <w:r>
        <w:rPr>
          <w:spacing w:val="-2"/>
        </w:rPr>
        <w:t>нефролога.</w:t>
      </w:r>
      <w:r>
        <w:rPr/>
        <w:tab/>
        <w:t>К</w:t>
      </w:r>
      <w:r>
        <w:rPr>
          <w:spacing w:val="39"/>
        </w:rPr>
        <w:t> </w:t>
      </w:r>
      <w:r>
        <w:rPr/>
        <w:t>группе</w:t>
      </w:r>
      <w:r>
        <w:rPr>
          <w:spacing w:val="34"/>
        </w:rPr>
        <w:t> </w:t>
      </w:r>
      <w:r>
        <w:rPr/>
        <w:t>особо</w:t>
      </w:r>
      <w:r>
        <w:rPr>
          <w:spacing w:val="39"/>
        </w:rPr>
        <w:t> </w:t>
      </w:r>
      <w:r>
        <w:rPr/>
        <w:t>высокого</w:t>
      </w:r>
      <w:r>
        <w:rPr>
          <w:spacing w:val="37"/>
        </w:rPr>
        <w:t> </w:t>
      </w:r>
      <w:r>
        <w:rPr/>
        <w:t>риска</w:t>
      </w:r>
      <w:r>
        <w:rPr>
          <w:spacing w:val="36"/>
        </w:rPr>
        <w:t> </w:t>
      </w:r>
      <w:r>
        <w:rPr/>
        <w:t>инфицирования</w:t>
      </w:r>
      <w:r>
        <w:rPr>
          <w:spacing w:val="39"/>
        </w:rPr>
        <w:t> </w:t>
      </w:r>
      <w:r>
        <w:rPr/>
        <w:t>и</w:t>
      </w:r>
      <w:r>
        <w:rPr>
          <w:spacing w:val="38"/>
        </w:rPr>
        <w:t> </w:t>
      </w:r>
      <w:r>
        <w:rPr/>
        <w:t>течения</w:t>
      </w:r>
      <w:r>
        <w:rPr>
          <w:spacing w:val="39"/>
        </w:rPr>
        <w:t> </w:t>
      </w:r>
      <w:r>
        <w:rPr/>
        <w:t>COVID-19 относятся пациенты, получающие ЗПТ в виде программного гемодиализа по поводу терминальной стадии ХБП, в связи с невозможностью изоляции и необходимостью присутствия</w:t>
      </w:r>
      <w:r>
        <w:rPr>
          <w:spacing w:val="80"/>
        </w:rPr>
        <w:t> </w:t>
      </w:r>
      <w:r>
        <w:rPr/>
        <w:t>в</w:t>
      </w:r>
      <w:r>
        <w:rPr>
          <w:spacing w:val="80"/>
        </w:rPr>
        <w:t> </w:t>
      </w:r>
      <w:r>
        <w:rPr/>
        <w:t>диализных</w:t>
      </w:r>
      <w:r>
        <w:rPr>
          <w:spacing w:val="80"/>
        </w:rPr>
        <w:t> </w:t>
      </w:r>
      <w:r>
        <w:rPr/>
        <w:t>центрах</w:t>
      </w:r>
      <w:r>
        <w:rPr>
          <w:spacing w:val="80"/>
        </w:rPr>
        <w:t> </w:t>
      </w:r>
      <w:r>
        <w:rPr/>
        <w:t>для</w:t>
      </w:r>
      <w:r>
        <w:rPr>
          <w:spacing w:val="80"/>
        </w:rPr>
        <w:t> </w:t>
      </w:r>
      <w:r>
        <w:rPr/>
        <w:t>получения</w:t>
      </w:r>
      <w:r>
        <w:rPr>
          <w:spacing w:val="80"/>
        </w:rPr>
        <w:t> </w:t>
      </w:r>
      <w:r>
        <w:rPr/>
        <w:t>жизнеспасающей</w:t>
      </w:r>
      <w:r>
        <w:rPr>
          <w:spacing w:val="80"/>
        </w:rPr>
        <w:t> </w:t>
      </w:r>
      <w:r>
        <w:rPr/>
        <w:t>процедуры не</w:t>
      </w:r>
      <w:r>
        <w:rPr>
          <w:spacing w:val="35"/>
        </w:rPr>
        <w:t> </w:t>
      </w:r>
      <w:r>
        <w:rPr/>
        <w:t>менее</w:t>
      </w:r>
      <w:r>
        <w:rPr>
          <w:spacing w:val="35"/>
        </w:rPr>
        <w:t> </w:t>
      </w:r>
      <w:r>
        <w:rPr/>
        <w:t>чем</w:t>
      </w:r>
      <w:r>
        <w:rPr>
          <w:spacing w:val="35"/>
        </w:rPr>
        <w:t> </w:t>
      </w:r>
      <w:r>
        <w:rPr/>
        <w:t>12</w:t>
      </w:r>
      <w:r>
        <w:rPr>
          <w:spacing w:val="36"/>
        </w:rPr>
        <w:t> </w:t>
      </w:r>
      <w:r>
        <w:rPr/>
        <w:t>раз</w:t>
      </w:r>
      <w:r>
        <w:rPr>
          <w:spacing w:val="37"/>
        </w:rPr>
        <w:t> </w:t>
      </w:r>
      <w:r>
        <w:rPr/>
        <w:t>в</w:t>
      </w:r>
      <w:r>
        <w:rPr>
          <w:spacing w:val="38"/>
        </w:rPr>
        <w:t> </w:t>
      </w:r>
      <w:r>
        <w:rPr/>
        <w:t>месяц.</w:t>
      </w:r>
      <w:r>
        <w:rPr>
          <w:spacing w:val="39"/>
        </w:rPr>
        <w:t> </w:t>
      </w:r>
      <w:r>
        <w:rPr/>
        <w:t>Более</w:t>
      </w:r>
      <w:r>
        <w:rPr>
          <w:spacing w:val="35"/>
        </w:rPr>
        <w:t> </w:t>
      </w:r>
      <w:r>
        <w:rPr/>
        <w:t>того,</w:t>
      </w:r>
      <w:r>
        <w:rPr>
          <w:spacing w:val="37"/>
        </w:rPr>
        <w:t> </w:t>
      </w:r>
      <w:r>
        <w:rPr/>
        <w:t>пациенты,</w:t>
      </w:r>
      <w:r>
        <w:rPr>
          <w:spacing w:val="36"/>
        </w:rPr>
        <w:t> </w:t>
      </w:r>
      <w:r>
        <w:rPr/>
        <w:t>получающие</w:t>
      </w:r>
      <w:r>
        <w:rPr>
          <w:spacing w:val="37"/>
        </w:rPr>
        <w:t> </w:t>
      </w:r>
      <w:r>
        <w:rPr/>
        <w:t>ЗПТ</w:t>
      </w:r>
      <w:r>
        <w:rPr>
          <w:spacing w:val="36"/>
        </w:rPr>
        <w:t> </w:t>
      </w:r>
      <w:r>
        <w:rPr/>
        <w:t>вследствие </w:t>
      </w:r>
      <w:r>
        <w:rPr>
          <w:spacing w:val="-2"/>
        </w:rPr>
        <w:t>терминальной</w:t>
      </w:r>
      <w:r>
        <w:rPr/>
        <w:tab/>
      </w:r>
      <w:r>
        <w:rPr>
          <w:spacing w:val="-2"/>
        </w:rPr>
        <w:t>стадии</w:t>
      </w:r>
      <w:r>
        <w:rPr/>
        <w:tab/>
        <w:tab/>
      </w:r>
      <w:r>
        <w:rPr>
          <w:spacing w:val="-2"/>
        </w:rPr>
        <w:t>почечной</w:t>
      </w:r>
      <w:r>
        <w:rPr/>
        <w:tab/>
      </w:r>
      <w:r>
        <w:rPr>
          <w:spacing w:val="-2"/>
        </w:rPr>
        <w:t>недостаточности,</w:t>
      </w:r>
      <w:r>
        <w:rPr/>
        <w:tab/>
      </w:r>
      <w:r>
        <w:rPr>
          <w:spacing w:val="-2"/>
        </w:rPr>
        <w:t>имеют</w:t>
      </w:r>
      <w:r>
        <w:rPr/>
        <w:tab/>
        <w:tab/>
      </w:r>
      <w:r>
        <w:rPr>
          <w:spacing w:val="-2"/>
        </w:rPr>
        <w:t>сахарный</w:t>
      </w:r>
      <w:r>
        <w:rPr/>
        <w:tab/>
      </w:r>
      <w:r>
        <w:rPr>
          <w:spacing w:val="-2"/>
        </w:rPr>
        <w:t>диабет, </w:t>
      </w:r>
      <w:r>
        <w:rPr/>
        <w:t>артериальную</w:t>
      </w:r>
      <w:r>
        <w:rPr>
          <w:spacing w:val="29"/>
        </w:rPr>
        <w:t> </w:t>
      </w:r>
      <w:r>
        <w:rPr/>
        <w:t>гипертензию,</w:t>
      </w:r>
      <w:r>
        <w:rPr>
          <w:spacing w:val="29"/>
        </w:rPr>
        <w:t> </w:t>
      </w:r>
      <w:r>
        <w:rPr/>
        <w:t>системные заболевания</w:t>
      </w:r>
      <w:r>
        <w:rPr>
          <w:spacing w:val="29"/>
        </w:rPr>
        <w:t> </w:t>
      </w:r>
      <w:r>
        <w:rPr/>
        <w:t>с поражением</w:t>
      </w:r>
      <w:r>
        <w:rPr>
          <w:spacing w:val="31"/>
        </w:rPr>
        <w:t> </w:t>
      </w:r>
      <w:r>
        <w:rPr/>
        <w:t>легких</w:t>
      </w:r>
      <w:r>
        <w:rPr>
          <w:spacing w:val="29"/>
        </w:rPr>
        <w:t> </w:t>
      </w:r>
      <w:r>
        <w:rPr/>
        <w:t>и</w:t>
      </w:r>
      <w:r>
        <w:rPr>
          <w:spacing w:val="30"/>
        </w:rPr>
        <w:t> </w:t>
      </w:r>
      <w:r>
        <w:rPr/>
        <w:t>почек, </w:t>
      </w:r>
      <w:r>
        <w:rPr>
          <w:spacing w:val="-2"/>
        </w:rPr>
        <w:t>онкогематологические</w:t>
      </w:r>
      <w:r>
        <w:rPr/>
        <w:tab/>
      </w:r>
      <w:r>
        <w:rPr>
          <w:spacing w:val="-2"/>
        </w:rPr>
        <w:t>заболевания,</w:t>
      </w:r>
      <w:r>
        <w:rPr/>
        <w:tab/>
        <w:tab/>
      </w:r>
      <w:r>
        <w:rPr>
          <w:spacing w:val="-2"/>
        </w:rPr>
        <w:t>иммуно-бактериальные</w:t>
      </w:r>
      <w:r>
        <w:rPr/>
        <w:tab/>
      </w:r>
      <w:r>
        <w:rPr>
          <w:spacing w:val="-2"/>
        </w:rPr>
        <w:t>поражения</w:t>
      </w:r>
      <w:r>
        <w:rPr/>
        <w:tab/>
        <w:tab/>
      </w:r>
      <w:r>
        <w:rPr>
          <w:spacing w:val="-2"/>
        </w:rPr>
        <w:t>почек, </w:t>
      </w:r>
      <w:r>
        <w:rPr/>
        <w:t>иммунодефицит</w:t>
      </w:r>
      <w:r>
        <w:rPr>
          <w:spacing w:val="80"/>
        </w:rPr>
        <w:t> </w:t>
      </w:r>
      <w:r>
        <w:rPr/>
        <w:t>различного</w:t>
      </w:r>
      <w:r>
        <w:rPr>
          <w:spacing w:val="80"/>
        </w:rPr>
        <w:t> </w:t>
      </w:r>
      <w:r>
        <w:rPr/>
        <w:t>генеза,</w:t>
      </w:r>
      <w:r>
        <w:rPr>
          <w:spacing w:val="80"/>
        </w:rPr>
        <w:t> </w:t>
      </w:r>
      <w:r>
        <w:rPr/>
        <w:t>в</w:t>
      </w:r>
      <w:r>
        <w:rPr>
          <w:spacing w:val="80"/>
        </w:rPr>
        <w:t> </w:t>
      </w:r>
      <w:r>
        <w:rPr/>
        <w:t>т.ч.</w:t>
      </w:r>
      <w:r>
        <w:rPr>
          <w:spacing w:val="80"/>
        </w:rPr>
        <w:t> </w:t>
      </w:r>
      <w:r>
        <w:rPr/>
        <w:t>обусловленный</w:t>
      </w:r>
      <w:r>
        <w:rPr>
          <w:spacing w:val="80"/>
        </w:rPr>
        <w:t> </w:t>
      </w:r>
      <w:r>
        <w:rPr/>
        <w:t>уремией,</w:t>
      </w:r>
      <w:r>
        <w:rPr>
          <w:spacing w:val="80"/>
        </w:rPr>
        <w:t> </w:t>
      </w:r>
      <w:r>
        <w:rPr/>
        <w:t>нарушения нутриционного</w:t>
      </w:r>
      <w:r>
        <w:rPr>
          <w:spacing w:val="40"/>
        </w:rPr>
        <w:t> </w:t>
      </w:r>
      <w:r>
        <w:rPr/>
        <w:t>статуса.</w:t>
      </w:r>
      <w:r>
        <w:rPr>
          <w:spacing w:val="40"/>
        </w:rPr>
        <w:t> </w:t>
      </w:r>
      <w:r>
        <w:rPr/>
        <w:t>Данный</w:t>
      </w:r>
      <w:r>
        <w:rPr>
          <w:spacing w:val="40"/>
        </w:rPr>
        <w:t> </w:t>
      </w:r>
      <w:r>
        <w:rPr/>
        <w:t>спектр</w:t>
      </w:r>
      <w:r>
        <w:rPr>
          <w:spacing w:val="40"/>
        </w:rPr>
        <w:t> </w:t>
      </w:r>
      <w:r>
        <w:rPr/>
        <w:t>заболеваний</w:t>
      </w:r>
      <w:r>
        <w:rPr>
          <w:spacing w:val="40"/>
        </w:rPr>
        <w:t> </w:t>
      </w:r>
      <w:r>
        <w:rPr/>
        <w:t>значимо</w:t>
      </w:r>
      <w:r>
        <w:rPr>
          <w:spacing w:val="40"/>
        </w:rPr>
        <w:t> </w:t>
      </w:r>
      <w:r>
        <w:rPr/>
        <w:t>осложняет</w:t>
      </w:r>
      <w:r>
        <w:rPr>
          <w:spacing w:val="40"/>
        </w:rPr>
        <w:t> </w:t>
      </w:r>
      <w:r>
        <w:rPr/>
        <w:t>течение</w:t>
      </w:r>
      <w:r>
        <w:rPr>
          <w:spacing w:val="40"/>
        </w:rPr>
        <w:t> </w:t>
      </w:r>
      <w:r>
        <w:rPr/>
        <w:t>и</w:t>
      </w:r>
      <w:r>
        <w:rPr>
          <w:spacing w:val="40"/>
        </w:rPr>
        <w:t> </w:t>
      </w:r>
      <w:r>
        <w:rPr/>
        <w:t>отягощает</w:t>
      </w:r>
      <w:r>
        <w:rPr>
          <w:spacing w:val="40"/>
        </w:rPr>
        <w:t> </w:t>
      </w:r>
      <w:r>
        <w:rPr/>
        <w:t>прогноз</w:t>
      </w:r>
      <w:r>
        <w:rPr>
          <w:spacing w:val="40"/>
        </w:rPr>
        <w:t> </w:t>
      </w:r>
      <w:r>
        <w:rPr/>
        <w:t>новой</w:t>
      </w:r>
      <w:r>
        <w:rPr>
          <w:spacing w:val="40"/>
        </w:rPr>
        <w:t> </w:t>
      </w:r>
      <w:r>
        <w:rPr/>
        <w:t>коронавирусной</w:t>
      </w:r>
      <w:r>
        <w:rPr>
          <w:spacing w:val="40"/>
        </w:rPr>
        <w:t> </w:t>
      </w:r>
      <w:r>
        <w:rPr/>
        <w:t>инфекции.</w:t>
      </w:r>
      <w:r>
        <w:rPr>
          <w:spacing w:val="79"/>
        </w:rPr>
        <w:t> </w:t>
      </w:r>
      <w:r>
        <w:rPr/>
        <w:t>Также</w:t>
      </w:r>
      <w:r>
        <w:rPr>
          <w:spacing w:val="40"/>
        </w:rPr>
        <w:t> </w:t>
      </w:r>
      <w:r>
        <w:rPr/>
        <w:t>к</w:t>
      </w:r>
      <w:r>
        <w:rPr>
          <w:spacing w:val="40"/>
        </w:rPr>
        <w:t> </w:t>
      </w:r>
      <w:r>
        <w:rPr/>
        <w:t>особой</w:t>
      </w:r>
      <w:r>
        <w:rPr>
          <w:spacing w:val="40"/>
        </w:rPr>
        <w:t> </w:t>
      </w:r>
      <w:r>
        <w:rPr/>
        <w:t>группе</w:t>
      </w:r>
      <w:r>
        <w:rPr>
          <w:spacing w:val="80"/>
        </w:rPr>
        <w:t> </w:t>
      </w:r>
      <w:r>
        <w:rPr/>
        <w:t>относятся реципиенты трансплантированных органов, на анти-В-клеточной терапии. Мерой</w:t>
      </w:r>
      <w:r>
        <w:rPr>
          <w:spacing w:val="40"/>
        </w:rPr>
        <w:t> </w:t>
      </w:r>
      <w:r>
        <w:rPr/>
        <w:t>профилактики</w:t>
      </w:r>
      <w:r>
        <w:rPr>
          <w:spacing w:val="40"/>
        </w:rPr>
        <w:t> </w:t>
      </w:r>
      <w:r>
        <w:rPr/>
        <w:t>COVID-19</w:t>
      </w:r>
      <w:r>
        <w:rPr>
          <w:spacing w:val="40"/>
        </w:rPr>
        <w:t> </w:t>
      </w:r>
      <w:r>
        <w:rPr/>
        <w:t>у</w:t>
      </w:r>
      <w:r>
        <w:rPr>
          <w:spacing w:val="40"/>
        </w:rPr>
        <w:t> </w:t>
      </w:r>
      <w:r>
        <w:rPr/>
        <w:t>пациентов</w:t>
      </w:r>
      <w:r>
        <w:rPr>
          <w:spacing w:val="40"/>
        </w:rPr>
        <w:t> </w:t>
      </w:r>
      <w:r>
        <w:rPr/>
        <w:t>с</w:t>
      </w:r>
      <w:r>
        <w:rPr>
          <w:spacing w:val="40"/>
        </w:rPr>
        <w:t> </w:t>
      </w:r>
      <w:r>
        <w:rPr/>
        <w:t>ХБП</w:t>
      </w:r>
      <w:r>
        <w:rPr>
          <w:spacing w:val="40"/>
        </w:rPr>
        <w:t> </w:t>
      </w:r>
      <w:r>
        <w:rPr/>
        <w:t>является</w:t>
      </w:r>
      <w:r>
        <w:rPr>
          <w:spacing w:val="40"/>
        </w:rPr>
        <w:t> </w:t>
      </w:r>
      <w:r>
        <w:rPr/>
        <w:t>вакцинация.</w:t>
      </w:r>
    </w:p>
    <w:p>
      <w:pPr>
        <w:pStyle w:val="BodyText"/>
        <w:spacing w:line="312" w:lineRule="auto"/>
        <w:ind w:right="1271"/>
      </w:pPr>
      <w:r>
        <w:rPr/>
        <w:t>Пациенты с ХБП выступают приоритетной группой для вакцинации и проведения доконтактной</w:t>
      </w:r>
      <w:r>
        <w:rPr>
          <w:spacing w:val="80"/>
          <w:w w:val="150"/>
        </w:rPr>
        <w:t> </w:t>
      </w:r>
      <w:r>
        <w:rPr/>
        <w:t>профилактики,</w:t>
      </w:r>
      <w:r>
        <w:rPr>
          <w:spacing w:val="80"/>
          <w:w w:val="150"/>
        </w:rPr>
        <w:t> </w:t>
      </w:r>
      <w:r>
        <w:rPr/>
        <w:t>однако</w:t>
      </w:r>
      <w:r>
        <w:rPr>
          <w:spacing w:val="80"/>
          <w:w w:val="150"/>
        </w:rPr>
        <w:t> </w:t>
      </w:r>
      <w:r>
        <w:rPr/>
        <w:t>адекватность</w:t>
      </w:r>
      <w:r>
        <w:rPr>
          <w:spacing w:val="80"/>
          <w:w w:val="150"/>
        </w:rPr>
        <w:t> </w:t>
      </w:r>
      <w:r>
        <w:rPr/>
        <w:t>иммунологического</w:t>
      </w:r>
      <w:r>
        <w:rPr>
          <w:spacing w:val="80"/>
          <w:w w:val="150"/>
        </w:rPr>
        <w:t> </w:t>
      </w:r>
      <w:r>
        <w:rPr/>
        <w:t>ответа</w:t>
      </w:r>
      <w:r>
        <w:rPr>
          <w:spacing w:val="80"/>
        </w:rPr>
        <w:t> </w:t>
      </w:r>
      <w:r>
        <w:rPr/>
        <w:t>у данной категории больных может быть недостаточно высокой, в связи с чем необходимо проведение бустерной вакцинации, а также применение вируснейтрализующих</w:t>
      </w:r>
      <w:r>
        <w:rPr>
          <w:spacing w:val="80"/>
          <w:w w:val="150"/>
        </w:rPr>
        <w:t> </w:t>
      </w:r>
      <w:r>
        <w:rPr/>
        <w:t>антител</w:t>
      </w:r>
      <w:r>
        <w:rPr>
          <w:spacing w:val="80"/>
          <w:w w:val="150"/>
        </w:rPr>
        <w:t> </w:t>
      </w:r>
      <w:r>
        <w:rPr/>
        <w:t>пролонгированного</w:t>
      </w:r>
      <w:r>
        <w:rPr>
          <w:spacing w:val="80"/>
          <w:w w:val="150"/>
        </w:rPr>
        <w:t> </w:t>
      </w:r>
      <w:r>
        <w:rPr/>
        <w:t>действия</w:t>
      </w:r>
      <w:r>
        <w:rPr>
          <w:spacing w:val="40"/>
        </w:rPr>
        <w:t>  </w:t>
      </w:r>
      <w:r>
        <w:rPr/>
        <w:t>как</w:t>
      </w:r>
      <w:r>
        <w:rPr>
          <w:spacing w:val="80"/>
          <w:w w:val="150"/>
        </w:rPr>
        <w:t> </w:t>
      </w:r>
      <w:r>
        <w:rPr/>
        <w:t>в</w:t>
      </w:r>
      <w:r>
        <w:rPr>
          <w:spacing w:val="80"/>
          <w:w w:val="150"/>
        </w:rPr>
        <w:t> </w:t>
      </w:r>
      <w:r>
        <w:rPr/>
        <w:t>качестве</w:t>
      </w:r>
      <w:r>
        <w:rPr>
          <w:spacing w:val="80"/>
        </w:rPr>
        <w:t> </w:t>
      </w:r>
      <w:r>
        <w:rPr/>
        <w:t>до</w:t>
      </w:r>
      <w:r>
        <w:rPr>
          <w:spacing w:val="-15"/>
        </w:rPr>
        <w:t> </w:t>
      </w:r>
      <w:r>
        <w:rPr/>
        <w:t>контактной</w:t>
      </w:r>
      <w:r>
        <w:rPr>
          <w:spacing w:val="-14"/>
        </w:rPr>
        <w:t> </w:t>
      </w:r>
      <w:r>
        <w:rPr/>
        <w:t>профилактики,</w:t>
      </w:r>
      <w:r>
        <w:rPr>
          <w:spacing w:val="-15"/>
        </w:rPr>
        <w:t> </w:t>
      </w:r>
      <w:r>
        <w:rPr/>
        <w:t>так</w:t>
      </w:r>
      <w:r>
        <w:rPr>
          <w:spacing w:val="-15"/>
        </w:rPr>
        <w:t> </w:t>
      </w:r>
      <w:r>
        <w:rPr/>
        <w:t>и</w:t>
      </w:r>
      <w:r>
        <w:rPr>
          <w:spacing w:val="-12"/>
        </w:rPr>
        <w:t> </w:t>
      </w:r>
      <w:r>
        <w:rPr/>
        <w:t>в</w:t>
      </w:r>
      <w:r>
        <w:rPr>
          <w:spacing w:val="-15"/>
        </w:rPr>
        <w:t> </w:t>
      </w:r>
      <w:r>
        <w:rPr/>
        <w:t>качестве</w:t>
      </w:r>
      <w:r>
        <w:rPr>
          <w:spacing w:val="-14"/>
        </w:rPr>
        <w:t> </w:t>
      </w:r>
      <w:r>
        <w:rPr/>
        <w:t>лечения</w:t>
      </w:r>
      <w:r>
        <w:rPr>
          <w:spacing w:val="-13"/>
        </w:rPr>
        <w:t> </w:t>
      </w:r>
      <w:r>
        <w:rPr/>
        <w:t>в</w:t>
      </w:r>
      <w:r>
        <w:rPr>
          <w:spacing w:val="-14"/>
        </w:rPr>
        <w:t> </w:t>
      </w:r>
      <w:r>
        <w:rPr/>
        <w:t>дозе</w:t>
      </w:r>
      <w:r>
        <w:rPr>
          <w:spacing w:val="-14"/>
        </w:rPr>
        <w:t> </w:t>
      </w:r>
      <w:r>
        <w:rPr/>
        <w:t>600</w:t>
      </w:r>
      <w:r>
        <w:rPr>
          <w:spacing w:val="-15"/>
        </w:rPr>
        <w:t> </w:t>
      </w:r>
      <w:r>
        <w:rPr/>
        <w:t>мг</w:t>
      </w:r>
      <w:r>
        <w:rPr>
          <w:spacing w:val="-13"/>
        </w:rPr>
        <w:t> </w:t>
      </w:r>
      <w:r>
        <w:rPr/>
        <w:t>по</w:t>
      </w:r>
      <w:r>
        <w:rPr>
          <w:spacing w:val="-13"/>
        </w:rPr>
        <w:t> </w:t>
      </w:r>
      <w:r>
        <w:rPr/>
        <w:t>тиксагевимабу и цилгавимабу (600+600 мг).</w:t>
      </w:r>
    </w:p>
    <w:p>
      <w:pPr>
        <w:pStyle w:val="BodyText"/>
        <w:spacing w:line="312" w:lineRule="auto"/>
        <w:ind w:right="1275" w:firstLine="707"/>
      </w:pPr>
      <w:r>
        <w:rPr/>
        <w:t>Пациентам с хронической болезнью почек или с прогрессирующим острым повреждением почек (ОПП) средней степени тяжести (рСКФ от 30 до 59 мл/мин) возможно</w:t>
      </w:r>
      <w:r>
        <w:rPr>
          <w:spacing w:val="40"/>
        </w:rPr>
        <w:t>  </w:t>
      </w:r>
      <w:r>
        <w:rPr/>
        <w:t>применение</w:t>
      </w:r>
      <w:r>
        <w:rPr>
          <w:spacing w:val="40"/>
        </w:rPr>
        <w:t>  </w:t>
      </w:r>
      <w:r>
        <w:rPr/>
        <w:t>противовирусной</w:t>
      </w:r>
      <w:r>
        <w:rPr>
          <w:spacing w:val="40"/>
        </w:rPr>
        <w:t>  </w:t>
      </w:r>
      <w:r>
        <w:rPr/>
        <w:t>терапии</w:t>
      </w:r>
      <w:r>
        <w:rPr>
          <w:spacing w:val="40"/>
        </w:rPr>
        <w:t>  </w:t>
      </w:r>
      <w:r>
        <w:rPr/>
        <w:t>нирматрелвир+ритонавиром</w:t>
      </w:r>
      <w:r>
        <w:rPr>
          <w:spacing w:val="80"/>
        </w:rPr>
        <w:t> </w:t>
      </w:r>
      <w:r>
        <w:rPr/>
        <w:t>с</w:t>
      </w:r>
      <w:r>
        <w:rPr>
          <w:spacing w:val="-13"/>
        </w:rPr>
        <w:t> </w:t>
      </w:r>
      <w:r>
        <w:rPr/>
        <w:t>коррекцией</w:t>
      </w:r>
      <w:r>
        <w:rPr>
          <w:spacing w:val="-13"/>
        </w:rPr>
        <w:t> </w:t>
      </w:r>
      <w:r>
        <w:rPr/>
        <w:t>разовой</w:t>
      </w:r>
      <w:r>
        <w:rPr>
          <w:spacing w:val="-12"/>
        </w:rPr>
        <w:t> </w:t>
      </w:r>
      <w:r>
        <w:rPr/>
        <w:t>дозы</w:t>
      </w:r>
      <w:r>
        <w:rPr>
          <w:spacing w:val="-12"/>
        </w:rPr>
        <w:t> </w:t>
      </w:r>
      <w:r>
        <w:rPr/>
        <w:t>нирматрелвира</w:t>
      </w:r>
      <w:r>
        <w:rPr>
          <w:spacing w:val="-12"/>
        </w:rPr>
        <w:t> </w:t>
      </w:r>
      <w:r>
        <w:rPr/>
        <w:t>до</w:t>
      </w:r>
      <w:r>
        <w:rPr>
          <w:spacing w:val="-12"/>
        </w:rPr>
        <w:t> </w:t>
      </w:r>
      <w:r>
        <w:rPr/>
        <w:t>150</w:t>
      </w:r>
      <w:r>
        <w:rPr>
          <w:spacing w:val="-12"/>
        </w:rPr>
        <w:t> </w:t>
      </w:r>
      <w:r>
        <w:rPr/>
        <w:t>мг</w:t>
      </w:r>
      <w:r>
        <w:rPr>
          <w:spacing w:val="-12"/>
        </w:rPr>
        <w:t> </w:t>
      </w:r>
      <w:r>
        <w:rPr/>
        <w:t>с</w:t>
      </w:r>
      <w:r>
        <w:rPr>
          <w:spacing w:val="-13"/>
        </w:rPr>
        <w:t> </w:t>
      </w:r>
      <w:r>
        <w:rPr/>
        <w:t>сохранением</w:t>
      </w:r>
      <w:r>
        <w:rPr>
          <w:spacing w:val="-12"/>
        </w:rPr>
        <w:t> </w:t>
      </w:r>
      <w:r>
        <w:rPr/>
        <w:t>кратности</w:t>
      </w:r>
      <w:r>
        <w:rPr>
          <w:spacing w:val="-11"/>
        </w:rPr>
        <w:t> </w:t>
      </w:r>
      <w:r>
        <w:rPr/>
        <w:t>приема и</w:t>
      </w:r>
      <w:r>
        <w:rPr>
          <w:spacing w:val="-4"/>
        </w:rPr>
        <w:t> </w:t>
      </w:r>
      <w:r>
        <w:rPr/>
        <w:t>длительности</w:t>
      </w:r>
      <w:r>
        <w:rPr>
          <w:spacing w:val="-4"/>
        </w:rPr>
        <w:t> </w:t>
      </w:r>
      <w:r>
        <w:rPr/>
        <w:t>курса</w:t>
      </w:r>
      <w:r>
        <w:rPr>
          <w:spacing w:val="-5"/>
        </w:rPr>
        <w:t> </w:t>
      </w:r>
      <w:r>
        <w:rPr/>
        <w:t>лечения.</w:t>
      </w:r>
      <w:r>
        <w:rPr>
          <w:spacing w:val="-5"/>
        </w:rPr>
        <w:t> </w:t>
      </w:r>
      <w:r>
        <w:rPr/>
        <w:t>Применение</w:t>
      </w:r>
      <w:r>
        <w:rPr>
          <w:spacing w:val="-5"/>
        </w:rPr>
        <w:t> </w:t>
      </w:r>
      <w:r>
        <w:rPr/>
        <w:t>противовирусной</w:t>
      </w:r>
      <w:r>
        <w:rPr>
          <w:spacing w:val="-6"/>
        </w:rPr>
        <w:t> </w:t>
      </w:r>
      <w:r>
        <w:rPr/>
        <w:t>терапии</w:t>
      </w:r>
      <w:r>
        <w:rPr>
          <w:spacing w:val="-6"/>
        </w:rPr>
        <w:t> </w:t>
      </w:r>
      <w:r>
        <w:rPr/>
        <w:t>ремдесивиром и молнупиравиром в указанных случаях, возможно без коррекции доз препаратов.</w:t>
      </w:r>
    </w:p>
    <w:p>
      <w:pPr>
        <w:pStyle w:val="BodyText"/>
        <w:spacing w:line="312" w:lineRule="auto"/>
        <w:ind w:right="1272" w:firstLine="707"/>
      </w:pPr>
      <w:r>
        <w:rPr/>
        <w:t>С</w:t>
      </w:r>
      <w:r>
        <w:rPr>
          <w:spacing w:val="-8"/>
        </w:rPr>
        <w:t> </w:t>
      </w:r>
      <w:r>
        <w:rPr/>
        <w:t>целью</w:t>
      </w:r>
      <w:r>
        <w:rPr>
          <w:spacing w:val="-7"/>
        </w:rPr>
        <w:t> </w:t>
      </w:r>
      <w:r>
        <w:rPr/>
        <w:t>профилактики</w:t>
      </w:r>
      <w:r>
        <w:rPr>
          <w:spacing w:val="-9"/>
        </w:rPr>
        <w:t> </w:t>
      </w:r>
      <w:r>
        <w:rPr/>
        <w:t>распространения</w:t>
      </w:r>
      <w:r>
        <w:rPr>
          <w:spacing w:val="-8"/>
        </w:rPr>
        <w:t> </w:t>
      </w:r>
      <w:r>
        <w:rPr/>
        <w:t>COVID-19</w:t>
      </w:r>
      <w:r>
        <w:rPr>
          <w:spacing w:val="-8"/>
        </w:rPr>
        <w:t> </w:t>
      </w:r>
      <w:r>
        <w:rPr/>
        <w:t>у</w:t>
      </w:r>
      <w:r>
        <w:rPr>
          <w:spacing w:val="-9"/>
        </w:rPr>
        <w:t> </w:t>
      </w:r>
      <w:r>
        <w:rPr/>
        <w:t>пациентов,</w:t>
      </w:r>
      <w:r>
        <w:rPr>
          <w:spacing w:val="-8"/>
        </w:rPr>
        <w:t> </w:t>
      </w:r>
      <w:r>
        <w:rPr/>
        <w:t>получающих лечение</w:t>
      </w:r>
      <w:r>
        <w:rPr>
          <w:spacing w:val="80"/>
          <w:w w:val="150"/>
        </w:rPr>
        <w:t> </w:t>
      </w:r>
      <w:r>
        <w:rPr/>
        <w:t>программным</w:t>
      </w:r>
      <w:r>
        <w:rPr>
          <w:spacing w:val="40"/>
        </w:rPr>
        <w:t>  </w:t>
      </w:r>
      <w:r>
        <w:rPr/>
        <w:t>гемодиализом,</w:t>
      </w:r>
      <w:r>
        <w:rPr>
          <w:spacing w:val="40"/>
        </w:rPr>
        <w:t>  </w:t>
      </w:r>
      <w:r>
        <w:rPr/>
        <w:t>необходимо</w:t>
      </w:r>
      <w:r>
        <w:rPr>
          <w:spacing w:val="40"/>
        </w:rPr>
        <w:t>  </w:t>
      </w:r>
      <w:r>
        <w:rPr/>
        <w:t>изменение</w:t>
      </w:r>
      <w:r>
        <w:rPr>
          <w:spacing w:val="40"/>
        </w:rPr>
        <w:t>  </w:t>
      </w:r>
      <w:r>
        <w:rPr/>
        <w:t>маршрутизации с выделением центров/отделений гемодиализов.</w:t>
      </w:r>
    </w:p>
    <w:p>
      <w:pPr>
        <w:pStyle w:val="BodyText"/>
        <w:spacing w:line="312" w:lineRule="auto"/>
        <w:ind w:right="1279" w:firstLine="707"/>
      </w:pPr>
      <w:r>
        <w:rPr/>
        <w:t>Пациенты с ХБП 4-5 стадии, имеющие высокий риск прогрессирования почечной недостаточности, нуждаются в госпитализации в специализированный стационар с наличием возможности проведения заместительной почечной терапии.</w:t>
      </w:r>
    </w:p>
    <w:p>
      <w:pPr>
        <w:pStyle w:val="BodyText"/>
        <w:spacing w:line="312" w:lineRule="auto"/>
        <w:ind w:right="1270" w:firstLine="565"/>
      </w:pPr>
      <w:r>
        <w:rPr/>
        <w:t>Госпитализации подлежат пациенты с ХБП 3 Б стадии, пациенты, получающие лечение диализом (перитонеальным, гемодиализом), пациенты с иммунопатологией почек на патогенетической иммуносупрессивной терапии (в особенности на анти-В- клеточной, цитостатической терапии и получающие высокие дозы кортикостероидов), после трансплантации солидных органов.</w:t>
      </w:r>
    </w:p>
    <w:p>
      <w:pPr>
        <w:pStyle w:val="Heading3"/>
        <w:spacing w:before="109"/>
        <w:ind w:left="1841" w:right="1279" w:firstLine="707"/>
      </w:pPr>
      <w:r>
        <w:rPr>
          <w:color w:val="1F487C"/>
        </w:rPr>
        <w:t>Особенности лечения COVID-19 у пациентов с терминальной стадией хронической почечной недостаточности:</w:t>
      </w:r>
    </w:p>
    <w:p>
      <w:pPr>
        <w:pStyle w:val="Heading3"/>
        <w:spacing w:after="0"/>
        <w:sectPr>
          <w:pgSz w:w="11900" w:h="16840"/>
          <w:pgMar w:header="0" w:footer="697" w:top="1080" w:bottom="880" w:left="0" w:right="0"/>
        </w:sectPr>
      </w:pPr>
    </w:p>
    <w:p>
      <w:pPr>
        <w:pStyle w:val="ListParagraph"/>
        <w:numPr>
          <w:ilvl w:val="0"/>
          <w:numId w:val="45"/>
        </w:numPr>
        <w:tabs>
          <w:tab w:pos="2547" w:val="left" w:leader="none"/>
          <w:tab w:pos="2549" w:val="left" w:leader="none"/>
        </w:tabs>
        <w:spacing w:line="276" w:lineRule="auto" w:before="73" w:after="0"/>
        <w:ind w:left="2549" w:right="1274" w:hanging="425"/>
        <w:jc w:val="both"/>
        <w:rPr>
          <w:sz w:val="24"/>
        </w:rPr>
      </w:pPr>
      <w:bookmarkStart w:name="99" w:id="116"/>
      <w:bookmarkEnd w:id="116"/>
      <w:r>
        <w:rPr/>
      </w:r>
      <w:r>
        <w:rPr>
          <w:sz w:val="24"/>
        </w:rPr>
        <w:t>Пациенты,</w:t>
      </w:r>
      <w:r>
        <w:rPr>
          <w:spacing w:val="78"/>
          <w:sz w:val="24"/>
        </w:rPr>
        <w:t> </w:t>
      </w:r>
      <w:r>
        <w:rPr>
          <w:sz w:val="24"/>
        </w:rPr>
        <w:t>получающие</w:t>
      </w:r>
      <w:r>
        <w:rPr>
          <w:spacing w:val="75"/>
          <w:sz w:val="24"/>
        </w:rPr>
        <w:t> </w:t>
      </w:r>
      <w:r>
        <w:rPr>
          <w:sz w:val="24"/>
        </w:rPr>
        <w:t>лечение</w:t>
      </w:r>
      <w:r>
        <w:rPr>
          <w:spacing w:val="77"/>
          <w:sz w:val="24"/>
        </w:rPr>
        <w:t> </w:t>
      </w:r>
      <w:r>
        <w:rPr>
          <w:sz w:val="24"/>
        </w:rPr>
        <w:t>гемодиализом,</w:t>
      </w:r>
      <w:r>
        <w:rPr>
          <w:spacing w:val="78"/>
          <w:sz w:val="24"/>
        </w:rPr>
        <w:t> </w:t>
      </w:r>
      <w:r>
        <w:rPr>
          <w:sz w:val="24"/>
        </w:rPr>
        <w:t>нуждаются</w:t>
      </w:r>
      <w:r>
        <w:rPr>
          <w:spacing w:val="76"/>
          <w:sz w:val="24"/>
        </w:rPr>
        <w:t> </w:t>
      </w:r>
      <w:r>
        <w:rPr>
          <w:sz w:val="24"/>
        </w:rPr>
        <w:t>в</w:t>
      </w:r>
      <w:r>
        <w:rPr>
          <w:spacing w:val="76"/>
          <w:sz w:val="24"/>
        </w:rPr>
        <w:t> </w:t>
      </w:r>
      <w:r>
        <w:rPr>
          <w:sz w:val="24"/>
        </w:rPr>
        <w:t>постоянном и</w:t>
      </w:r>
      <w:r>
        <w:rPr>
          <w:spacing w:val="-2"/>
          <w:sz w:val="24"/>
        </w:rPr>
        <w:t> </w:t>
      </w:r>
      <w:r>
        <w:rPr>
          <w:sz w:val="24"/>
        </w:rPr>
        <w:t>обязательном контроле за волемическим статусом с целью минимизации синдрома «влажных» легких или развития гиповолемии.</w:t>
      </w:r>
    </w:p>
    <w:p>
      <w:pPr>
        <w:pStyle w:val="ListParagraph"/>
        <w:numPr>
          <w:ilvl w:val="0"/>
          <w:numId w:val="45"/>
        </w:numPr>
        <w:tabs>
          <w:tab w:pos="2537" w:val="left" w:leader="none"/>
          <w:tab w:pos="2549" w:val="left" w:leader="none"/>
        </w:tabs>
        <w:spacing w:line="276" w:lineRule="auto" w:before="0" w:after="0"/>
        <w:ind w:left="2549" w:right="1278" w:hanging="425"/>
        <w:jc w:val="both"/>
        <w:rPr>
          <w:sz w:val="24"/>
        </w:rPr>
      </w:pPr>
      <w:r>
        <w:rPr>
          <w:sz w:val="24"/>
        </w:rPr>
        <w:t>Необходимо</w:t>
      </w:r>
      <w:r>
        <w:rPr>
          <w:spacing w:val="80"/>
          <w:sz w:val="24"/>
        </w:rPr>
        <w:t> </w:t>
      </w:r>
      <w:r>
        <w:rPr>
          <w:sz w:val="24"/>
        </w:rPr>
        <w:t>более</w:t>
      </w:r>
      <w:r>
        <w:rPr>
          <w:spacing w:val="80"/>
          <w:sz w:val="24"/>
        </w:rPr>
        <w:t> </w:t>
      </w:r>
      <w:r>
        <w:rPr>
          <w:sz w:val="24"/>
        </w:rPr>
        <w:t>раннее</w:t>
      </w:r>
      <w:r>
        <w:rPr>
          <w:spacing w:val="80"/>
          <w:sz w:val="24"/>
        </w:rPr>
        <w:t> </w:t>
      </w:r>
      <w:r>
        <w:rPr>
          <w:sz w:val="24"/>
        </w:rPr>
        <w:t>начало</w:t>
      </w:r>
      <w:r>
        <w:rPr>
          <w:spacing w:val="80"/>
          <w:sz w:val="24"/>
        </w:rPr>
        <w:t> </w:t>
      </w:r>
      <w:r>
        <w:rPr>
          <w:sz w:val="24"/>
        </w:rPr>
        <w:t>заместительной</w:t>
      </w:r>
      <w:r>
        <w:rPr>
          <w:spacing w:val="80"/>
          <w:w w:val="150"/>
          <w:sz w:val="24"/>
        </w:rPr>
        <w:t> </w:t>
      </w:r>
      <w:r>
        <w:rPr>
          <w:sz w:val="24"/>
        </w:rPr>
        <w:t>почечной</w:t>
      </w:r>
      <w:r>
        <w:rPr>
          <w:spacing w:val="80"/>
          <w:w w:val="150"/>
          <w:sz w:val="24"/>
        </w:rPr>
        <w:t> </w:t>
      </w:r>
      <w:r>
        <w:rPr>
          <w:sz w:val="24"/>
        </w:rPr>
        <w:t>терапии</w:t>
      </w:r>
      <w:r>
        <w:rPr>
          <w:spacing w:val="40"/>
          <w:sz w:val="24"/>
        </w:rPr>
        <w:t> </w:t>
      </w:r>
      <w:r>
        <w:rPr>
          <w:sz w:val="24"/>
        </w:rPr>
        <w:t>(при снижении СКФ менее 20-25 мл/мин) с учетом возможной гиперволемии и прогрессирования уремической интоксикации на фоне активного воспалительного процесса.</w:t>
      </w:r>
    </w:p>
    <w:p>
      <w:pPr>
        <w:pStyle w:val="ListParagraph"/>
        <w:numPr>
          <w:ilvl w:val="0"/>
          <w:numId w:val="45"/>
        </w:numPr>
        <w:tabs>
          <w:tab w:pos="2547" w:val="left" w:leader="none"/>
          <w:tab w:pos="2549" w:val="left" w:leader="none"/>
        </w:tabs>
        <w:spacing w:line="276" w:lineRule="auto" w:before="0" w:after="0"/>
        <w:ind w:left="2549" w:right="1274" w:hanging="425"/>
        <w:jc w:val="both"/>
        <w:rPr>
          <w:sz w:val="24"/>
        </w:rPr>
      </w:pPr>
      <w:r>
        <w:rPr>
          <w:sz w:val="24"/>
        </w:rPr>
        <w:t>Пациенты,</w:t>
      </w:r>
      <w:r>
        <w:rPr>
          <w:spacing w:val="80"/>
          <w:w w:val="150"/>
          <w:sz w:val="24"/>
        </w:rPr>
        <w:t>   </w:t>
      </w:r>
      <w:r>
        <w:rPr>
          <w:sz w:val="24"/>
        </w:rPr>
        <w:t>получающие</w:t>
      </w:r>
      <w:r>
        <w:rPr>
          <w:spacing w:val="80"/>
          <w:w w:val="150"/>
          <w:sz w:val="24"/>
        </w:rPr>
        <w:t>   </w:t>
      </w:r>
      <w:r>
        <w:rPr>
          <w:sz w:val="24"/>
        </w:rPr>
        <w:t>лечение</w:t>
      </w:r>
      <w:r>
        <w:rPr>
          <w:spacing w:val="80"/>
          <w:w w:val="150"/>
          <w:sz w:val="24"/>
        </w:rPr>
        <w:t>   </w:t>
      </w:r>
      <w:r>
        <w:rPr>
          <w:sz w:val="24"/>
        </w:rPr>
        <w:t>перитонеальным</w:t>
      </w:r>
      <w:r>
        <w:rPr>
          <w:spacing w:val="80"/>
          <w:w w:val="150"/>
          <w:sz w:val="24"/>
        </w:rPr>
        <w:t>   </w:t>
      </w:r>
      <w:r>
        <w:rPr>
          <w:sz w:val="24"/>
        </w:rPr>
        <w:t>диализом, со среднетяжелым и тяжелым течением COVID-19, которым необходимо применение прон-позиции и исключение компартмент-синдрома, нуждаются во временном переводе на гемодиализ на период лечения с последующим возвратом на перитонеальный диализ.</w:t>
      </w:r>
    </w:p>
    <w:p>
      <w:pPr>
        <w:pStyle w:val="ListParagraph"/>
        <w:numPr>
          <w:ilvl w:val="0"/>
          <w:numId w:val="45"/>
        </w:numPr>
        <w:tabs>
          <w:tab w:pos="2547" w:val="left" w:leader="none"/>
          <w:tab w:pos="2549" w:val="left" w:leader="none"/>
        </w:tabs>
        <w:spacing w:line="276" w:lineRule="auto" w:before="0" w:after="0"/>
        <w:ind w:left="2549" w:right="1273" w:hanging="425"/>
        <w:jc w:val="both"/>
        <w:rPr>
          <w:sz w:val="24"/>
        </w:rPr>
      </w:pPr>
      <w:r>
        <w:rPr>
          <w:sz w:val="24"/>
        </w:rPr>
        <w:t>Пациенты с терминальной стадией ХПН находятся в группе высокого риска присоединения бактериальной инфекции, рецидива и декомпенсации основного заболевания, в связи с чем необходим динамический контроль активности основного заболевания.</w:t>
      </w:r>
    </w:p>
    <w:p>
      <w:pPr>
        <w:pStyle w:val="ListParagraph"/>
        <w:numPr>
          <w:ilvl w:val="0"/>
          <w:numId w:val="45"/>
        </w:numPr>
        <w:tabs>
          <w:tab w:pos="2547" w:val="left" w:leader="none"/>
          <w:tab w:pos="2549" w:val="left" w:leader="none"/>
        </w:tabs>
        <w:spacing w:line="276" w:lineRule="auto" w:before="0" w:after="0"/>
        <w:ind w:left="2549" w:right="1276" w:hanging="425"/>
        <w:jc w:val="both"/>
        <w:rPr>
          <w:sz w:val="24"/>
        </w:rPr>
      </w:pPr>
      <w:r>
        <w:rPr>
          <w:sz w:val="24"/>
        </w:rPr>
        <w:t>При назначении терапии ГКС следует ожидать декомпенсацию показателей углеводного обмена, усиление артериальной гипертензии, гиперволемии. Необходимо проводить контроль гликемии не</w:t>
      </w:r>
      <w:r>
        <w:rPr>
          <w:spacing w:val="-1"/>
          <w:sz w:val="24"/>
        </w:rPr>
        <w:t> </w:t>
      </w:r>
      <w:r>
        <w:rPr>
          <w:sz w:val="24"/>
        </w:rPr>
        <w:t>менее 4 раз в сутки. Коррекция гипергликемии осуществляется проведением инсулинотерапии.</w:t>
      </w:r>
    </w:p>
    <w:p>
      <w:pPr>
        <w:pStyle w:val="ListParagraph"/>
        <w:numPr>
          <w:ilvl w:val="0"/>
          <w:numId w:val="45"/>
        </w:numPr>
        <w:tabs>
          <w:tab w:pos="2547" w:val="left" w:leader="none"/>
          <w:tab w:pos="2549" w:val="left" w:leader="none"/>
        </w:tabs>
        <w:spacing w:line="276" w:lineRule="auto" w:before="0" w:after="0"/>
        <w:ind w:left="2549" w:right="1274" w:hanging="425"/>
        <w:jc w:val="both"/>
        <w:rPr>
          <w:sz w:val="24"/>
        </w:rPr>
      </w:pPr>
      <w:r>
        <w:rPr>
          <w:sz w:val="24"/>
        </w:rPr>
        <w:t>Для</w:t>
      </w:r>
      <w:r>
        <w:rPr>
          <w:spacing w:val="-5"/>
          <w:sz w:val="24"/>
        </w:rPr>
        <w:t> </w:t>
      </w:r>
      <w:r>
        <w:rPr>
          <w:sz w:val="24"/>
        </w:rPr>
        <w:t>пациентов</w:t>
      </w:r>
      <w:r>
        <w:rPr>
          <w:spacing w:val="-5"/>
          <w:sz w:val="24"/>
        </w:rPr>
        <w:t> </w:t>
      </w:r>
      <w:r>
        <w:rPr>
          <w:sz w:val="24"/>
        </w:rPr>
        <w:t>с</w:t>
      </w:r>
      <w:r>
        <w:rPr>
          <w:spacing w:val="-5"/>
          <w:sz w:val="24"/>
        </w:rPr>
        <w:t> </w:t>
      </w:r>
      <w:r>
        <w:rPr>
          <w:sz w:val="24"/>
        </w:rPr>
        <w:t>ХБП</w:t>
      </w:r>
      <w:r>
        <w:rPr>
          <w:spacing w:val="-3"/>
          <w:sz w:val="24"/>
        </w:rPr>
        <w:t> </w:t>
      </w:r>
      <w:r>
        <w:rPr>
          <w:sz w:val="24"/>
        </w:rPr>
        <w:t>характерно</w:t>
      </w:r>
      <w:r>
        <w:rPr>
          <w:spacing w:val="-5"/>
          <w:sz w:val="24"/>
        </w:rPr>
        <w:t> </w:t>
      </w:r>
      <w:r>
        <w:rPr>
          <w:sz w:val="24"/>
        </w:rPr>
        <w:t>более</w:t>
      </w:r>
      <w:r>
        <w:rPr>
          <w:spacing w:val="-6"/>
          <w:sz w:val="24"/>
        </w:rPr>
        <w:t> </w:t>
      </w:r>
      <w:r>
        <w:rPr>
          <w:sz w:val="24"/>
        </w:rPr>
        <w:t>быстрое</w:t>
      </w:r>
      <w:r>
        <w:rPr>
          <w:spacing w:val="-5"/>
          <w:sz w:val="24"/>
        </w:rPr>
        <w:t> </w:t>
      </w:r>
      <w:r>
        <w:rPr>
          <w:sz w:val="24"/>
        </w:rPr>
        <w:t>развитием</w:t>
      </w:r>
      <w:r>
        <w:rPr>
          <w:spacing w:val="-5"/>
          <w:sz w:val="24"/>
        </w:rPr>
        <w:t> </w:t>
      </w:r>
      <w:r>
        <w:rPr>
          <w:sz w:val="24"/>
        </w:rPr>
        <w:t>ОРДС.</w:t>
      </w:r>
      <w:r>
        <w:rPr>
          <w:spacing w:val="-5"/>
          <w:sz w:val="24"/>
        </w:rPr>
        <w:t> </w:t>
      </w:r>
      <w:r>
        <w:rPr>
          <w:sz w:val="24"/>
        </w:rPr>
        <w:t>Абсолютно обосновано раннее упреждающее назначение моноклональных антител, блокаторов ИЛ-6, ИЛ-1, блокаторов рецептора ИЛ-6 при минимальных поражениях</w:t>
      </w:r>
      <w:r>
        <w:rPr>
          <w:spacing w:val="-10"/>
          <w:sz w:val="24"/>
        </w:rPr>
        <w:t> </w:t>
      </w:r>
      <w:r>
        <w:rPr>
          <w:sz w:val="24"/>
        </w:rPr>
        <w:t>легких,</w:t>
      </w:r>
      <w:r>
        <w:rPr>
          <w:spacing w:val="-10"/>
          <w:sz w:val="24"/>
        </w:rPr>
        <w:t> </w:t>
      </w:r>
      <w:r>
        <w:rPr>
          <w:sz w:val="24"/>
        </w:rPr>
        <w:t>а</w:t>
      </w:r>
      <w:r>
        <w:rPr>
          <w:spacing w:val="-10"/>
          <w:sz w:val="24"/>
        </w:rPr>
        <w:t> </w:t>
      </w:r>
      <w:r>
        <w:rPr>
          <w:sz w:val="24"/>
        </w:rPr>
        <w:t>также</w:t>
      </w:r>
      <w:r>
        <w:rPr>
          <w:spacing w:val="-11"/>
          <w:sz w:val="24"/>
        </w:rPr>
        <w:t> </w:t>
      </w:r>
      <w:r>
        <w:rPr>
          <w:sz w:val="24"/>
        </w:rPr>
        <w:t>без</w:t>
      </w:r>
      <w:r>
        <w:rPr>
          <w:spacing w:val="-9"/>
          <w:sz w:val="24"/>
        </w:rPr>
        <w:t> </w:t>
      </w:r>
      <w:r>
        <w:rPr>
          <w:sz w:val="24"/>
        </w:rPr>
        <w:t>легочного</w:t>
      </w:r>
      <w:r>
        <w:rPr>
          <w:spacing w:val="-10"/>
          <w:sz w:val="24"/>
        </w:rPr>
        <w:t> </w:t>
      </w:r>
      <w:r>
        <w:rPr>
          <w:sz w:val="24"/>
        </w:rPr>
        <w:t>поражения</w:t>
      </w:r>
      <w:r>
        <w:rPr>
          <w:spacing w:val="-10"/>
          <w:sz w:val="24"/>
        </w:rPr>
        <w:t> </w:t>
      </w:r>
      <w:r>
        <w:rPr>
          <w:sz w:val="24"/>
        </w:rPr>
        <w:t>при</w:t>
      </w:r>
      <w:r>
        <w:rPr>
          <w:spacing w:val="-9"/>
          <w:sz w:val="24"/>
        </w:rPr>
        <w:t> </w:t>
      </w:r>
      <w:r>
        <w:rPr>
          <w:sz w:val="24"/>
        </w:rPr>
        <w:t>наличии</w:t>
      </w:r>
      <w:r>
        <w:rPr>
          <w:spacing w:val="-11"/>
          <w:sz w:val="24"/>
        </w:rPr>
        <w:t> </w:t>
      </w:r>
      <w:r>
        <w:rPr>
          <w:sz w:val="24"/>
        </w:rPr>
        <w:t>повышения СРБ более 3-х норм, лихорадки более 37,8, повышении ферритина более 2-х норм.</w:t>
      </w:r>
      <w:r>
        <w:rPr>
          <w:spacing w:val="-1"/>
          <w:sz w:val="24"/>
        </w:rPr>
        <w:t> </w:t>
      </w:r>
      <w:r>
        <w:rPr>
          <w:sz w:val="24"/>
        </w:rPr>
        <w:t>Применение</w:t>
      </w:r>
      <w:r>
        <w:rPr>
          <w:spacing w:val="-2"/>
          <w:sz w:val="24"/>
        </w:rPr>
        <w:t> </w:t>
      </w:r>
      <w:r>
        <w:rPr>
          <w:sz w:val="24"/>
        </w:rPr>
        <w:t>блокаторов</w:t>
      </w:r>
      <w:r>
        <w:rPr>
          <w:spacing w:val="-1"/>
          <w:sz w:val="24"/>
        </w:rPr>
        <w:t> </w:t>
      </w:r>
      <w:r>
        <w:rPr>
          <w:sz w:val="24"/>
        </w:rPr>
        <w:t>ИЛ-1,</w:t>
      </w:r>
      <w:r>
        <w:rPr>
          <w:spacing w:val="-1"/>
          <w:sz w:val="24"/>
        </w:rPr>
        <w:t> </w:t>
      </w:r>
      <w:r>
        <w:rPr>
          <w:sz w:val="24"/>
        </w:rPr>
        <w:t>ИЛ-6,</w:t>
      </w:r>
      <w:r>
        <w:rPr>
          <w:spacing w:val="-1"/>
          <w:sz w:val="24"/>
        </w:rPr>
        <w:t> </w:t>
      </w:r>
      <w:r>
        <w:rPr>
          <w:sz w:val="24"/>
        </w:rPr>
        <w:t>блокаторов</w:t>
      </w:r>
      <w:r>
        <w:rPr>
          <w:spacing w:val="-1"/>
          <w:sz w:val="24"/>
        </w:rPr>
        <w:t> </w:t>
      </w:r>
      <w:r>
        <w:rPr>
          <w:sz w:val="24"/>
        </w:rPr>
        <w:t>рецептора</w:t>
      </w:r>
      <w:r>
        <w:rPr>
          <w:spacing w:val="-1"/>
          <w:sz w:val="24"/>
        </w:rPr>
        <w:t> </w:t>
      </w:r>
      <w:r>
        <w:rPr>
          <w:sz w:val="24"/>
        </w:rPr>
        <w:t>ИЛ-6,</w:t>
      </w:r>
      <w:r>
        <w:rPr>
          <w:spacing w:val="-1"/>
          <w:sz w:val="24"/>
        </w:rPr>
        <w:t> </w:t>
      </w:r>
      <w:r>
        <w:rPr>
          <w:sz w:val="24"/>
        </w:rPr>
        <w:t>в</w:t>
      </w:r>
      <w:r>
        <w:rPr>
          <w:spacing w:val="-2"/>
          <w:sz w:val="24"/>
        </w:rPr>
        <w:t> </w:t>
      </w:r>
      <w:r>
        <w:rPr>
          <w:sz w:val="24"/>
        </w:rPr>
        <w:t>том числе</w:t>
      </w:r>
      <w:r>
        <w:rPr>
          <w:spacing w:val="-4"/>
          <w:sz w:val="24"/>
        </w:rPr>
        <w:t> </w:t>
      </w:r>
      <w:r>
        <w:rPr>
          <w:sz w:val="24"/>
        </w:rPr>
        <w:t>левилимаба,</w:t>
      </w:r>
      <w:r>
        <w:rPr>
          <w:spacing w:val="-4"/>
          <w:sz w:val="24"/>
        </w:rPr>
        <w:t> </w:t>
      </w:r>
      <w:r>
        <w:rPr>
          <w:sz w:val="24"/>
        </w:rPr>
        <w:t>у</w:t>
      </w:r>
      <w:r>
        <w:rPr>
          <w:spacing w:val="-4"/>
          <w:sz w:val="24"/>
        </w:rPr>
        <w:t> </w:t>
      </w:r>
      <w:r>
        <w:rPr>
          <w:sz w:val="24"/>
        </w:rPr>
        <w:t>больных</w:t>
      </w:r>
      <w:r>
        <w:rPr>
          <w:spacing w:val="-4"/>
          <w:sz w:val="24"/>
        </w:rPr>
        <w:t> </w:t>
      </w:r>
      <w:r>
        <w:rPr>
          <w:sz w:val="24"/>
        </w:rPr>
        <w:t>с</w:t>
      </w:r>
      <w:r>
        <w:rPr>
          <w:spacing w:val="-5"/>
          <w:sz w:val="24"/>
        </w:rPr>
        <w:t> </w:t>
      </w:r>
      <w:r>
        <w:rPr>
          <w:sz w:val="24"/>
        </w:rPr>
        <w:t>ХБП</w:t>
      </w:r>
      <w:r>
        <w:rPr>
          <w:spacing w:val="-2"/>
          <w:sz w:val="24"/>
        </w:rPr>
        <w:t> </w:t>
      </w:r>
      <w:r>
        <w:rPr>
          <w:sz w:val="24"/>
        </w:rPr>
        <w:t>выше</w:t>
      </w:r>
      <w:r>
        <w:rPr>
          <w:spacing w:val="-4"/>
          <w:sz w:val="24"/>
        </w:rPr>
        <w:t> </w:t>
      </w:r>
      <w:r>
        <w:rPr>
          <w:sz w:val="24"/>
        </w:rPr>
        <w:t>3</w:t>
      </w:r>
      <w:r>
        <w:rPr>
          <w:spacing w:val="-1"/>
          <w:sz w:val="24"/>
        </w:rPr>
        <w:t> </w:t>
      </w:r>
      <w:r>
        <w:rPr>
          <w:sz w:val="24"/>
        </w:rPr>
        <w:t>ст</w:t>
      </w:r>
      <w:r>
        <w:rPr>
          <w:spacing w:val="-1"/>
          <w:sz w:val="24"/>
        </w:rPr>
        <w:t> </w:t>
      </w:r>
      <w:r>
        <w:rPr>
          <w:sz w:val="24"/>
        </w:rPr>
        <w:t>не</w:t>
      </w:r>
      <w:r>
        <w:rPr>
          <w:spacing w:val="-4"/>
          <w:sz w:val="24"/>
        </w:rPr>
        <w:t> </w:t>
      </w:r>
      <w:r>
        <w:rPr>
          <w:sz w:val="24"/>
        </w:rPr>
        <w:t>влияет</w:t>
      </w:r>
      <w:r>
        <w:rPr>
          <w:spacing w:val="-4"/>
          <w:sz w:val="24"/>
        </w:rPr>
        <w:t> </w:t>
      </w:r>
      <w:r>
        <w:rPr>
          <w:sz w:val="24"/>
        </w:rPr>
        <w:t>на</w:t>
      </w:r>
      <w:r>
        <w:rPr>
          <w:spacing w:val="-2"/>
          <w:sz w:val="24"/>
        </w:rPr>
        <w:t> </w:t>
      </w:r>
      <w:r>
        <w:rPr>
          <w:sz w:val="24"/>
        </w:rPr>
        <w:t>прогрессирование почечной недостаточности, а также, не увеличивает риски развития бактериальной инфекции у пациентов, получающих базовую патогенетическую иммуносупрессивную терапию, в том числе у реципиентов солидных</w:t>
      </w:r>
      <w:r>
        <w:rPr>
          <w:spacing w:val="-15"/>
          <w:sz w:val="24"/>
        </w:rPr>
        <w:t> </w:t>
      </w:r>
      <w:r>
        <w:rPr>
          <w:sz w:val="24"/>
        </w:rPr>
        <w:t>органов.</w:t>
      </w:r>
      <w:r>
        <w:rPr>
          <w:spacing w:val="23"/>
          <w:sz w:val="24"/>
        </w:rPr>
        <w:t> </w:t>
      </w:r>
      <w:r>
        <w:rPr>
          <w:sz w:val="24"/>
        </w:rPr>
        <w:t>Необходимо</w:t>
      </w:r>
      <w:r>
        <w:rPr>
          <w:spacing w:val="-15"/>
          <w:sz w:val="24"/>
        </w:rPr>
        <w:t> </w:t>
      </w:r>
      <w:r>
        <w:rPr>
          <w:sz w:val="24"/>
        </w:rPr>
        <w:t>проводить</w:t>
      </w:r>
      <w:r>
        <w:rPr>
          <w:spacing w:val="-15"/>
          <w:sz w:val="24"/>
        </w:rPr>
        <w:t> </w:t>
      </w:r>
      <w:r>
        <w:rPr>
          <w:sz w:val="24"/>
        </w:rPr>
        <w:t>мониторинг</w:t>
      </w:r>
      <w:r>
        <w:rPr>
          <w:spacing w:val="-15"/>
          <w:sz w:val="24"/>
        </w:rPr>
        <w:t> </w:t>
      </w:r>
      <w:r>
        <w:rPr>
          <w:sz w:val="24"/>
        </w:rPr>
        <w:t>клинических</w:t>
      </w:r>
      <w:r>
        <w:rPr>
          <w:spacing w:val="-15"/>
          <w:sz w:val="24"/>
        </w:rPr>
        <w:t> </w:t>
      </w:r>
      <w:r>
        <w:rPr>
          <w:sz w:val="24"/>
        </w:rPr>
        <w:t>маркеров воспаления, уровня СРБ, ПКТ, уровня азотемии, электролитов.</w:t>
      </w:r>
    </w:p>
    <w:p>
      <w:pPr>
        <w:pStyle w:val="ListParagraph"/>
        <w:numPr>
          <w:ilvl w:val="0"/>
          <w:numId w:val="45"/>
        </w:numPr>
        <w:tabs>
          <w:tab w:pos="2547" w:val="left" w:leader="none"/>
          <w:tab w:pos="2549" w:val="left" w:leader="none"/>
        </w:tabs>
        <w:spacing w:line="276" w:lineRule="auto" w:before="0" w:after="0"/>
        <w:ind w:left="2549" w:right="1271" w:hanging="425"/>
        <w:jc w:val="both"/>
        <w:rPr>
          <w:sz w:val="24"/>
        </w:rPr>
      </w:pPr>
      <w:r>
        <w:rPr>
          <w:sz w:val="24"/>
        </w:rPr>
        <w:t>Имеются высокие риски развития COVID-19 ассоциированной коагулопатии, сопровождающейся</w:t>
      </w:r>
      <w:r>
        <w:rPr>
          <w:spacing w:val="40"/>
          <w:sz w:val="24"/>
        </w:rPr>
        <w:t> </w:t>
      </w:r>
      <w:r>
        <w:rPr>
          <w:sz w:val="24"/>
        </w:rPr>
        <w:t>как</w:t>
      </w:r>
      <w:r>
        <w:rPr>
          <w:spacing w:val="40"/>
          <w:sz w:val="24"/>
        </w:rPr>
        <w:t> </w:t>
      </w:r>
      <w:r>
        <w:rPr>
          <w:sz w:val="24"/>
        </w:rPr>
        <w:t>тромбозами</w:t>
      </w:r>
      <w:r>
        <w:rPr>
          <w:spacing w:val="40"/>
          <w:sz w:val="24"/>
        </w:rPr>
        <w:t> </w:t>
      </w:r>
      <w:r>
        <w:rPr>
          <w:sz w:val="24"/>
        </w:rPr>
        <w:t>(в</w:t>
      </w:r>
      <w:r>
        <w:rPr>
          <w:spacing w:val="40"/>
          <w:sz w:val="24"/>
        </w:rPr>
        <w:t> </w:t>
      </w:r>
      <w:r>
        <w:rPr>
          <w:sz w:val="24"/>
        </w:rPr>
        <w:t>том</w:t>
      </w:r>
      <w:r>
        <w:rPr>
          <w:spacing w:val="40"/>
          <w:sz w:val="24"/>
        </w:rPr>
        <w:t> </w:t>
      </w:r>
      <w:r>
        <w:rPr>
          <w:sz w:val="24"/>
        </w:rPr>
        <w:t>числе</w:t>
      </w:r>
      <w:r>
        <w:rPr>
          <w:spacing w:val="40"/>
          <w:sz w:val="24"/>
        </w:rPr>
        <w:t> </w:t>
      </w:r>
      <w:r>
        <w:rPr>
          <w:sz w:val="24"/>
        </w:rPr>
        <w:t>сосудистого</w:t>
      </w:r>
      <w:r>
        <w:rPr>
          <w:spacing w:val="40"/>
          <w:sz w:val="24"/>
        </w:rPr>
        <w:t> </w:t>
      </w:r>
      <w:r>
        <w:rPr>
          <w:sz w:val="24"/>
        </w:rPr>
        <w:t>доступа),</w:t>
      </w:r>
      <w:r>
        <w:rPr>
          <w:spacing w:val="80"/>
          <w:sz w:val="24"/>
        </w:rPr>
        <w:t> </w:t>
      </w:r>
      <w:r>
        <w:rPr>
          <w:sz w:val="24"/>
        </w:rPr>
        <w:t>так и развитием спонтанных гематом. Обязательным является назначение нефракционированного гепарина под контролем уровня АЧТВ (целевой уровень 70) либо низкомолекулярных гепаринов или фондапаринукса натрия, имеющих альтернативный путь выведения (печеночно-почечный – дальтепарин натрия, надропарин кальция), под контролем анти-Ха фактора </w:t>
      </w:r>
      <w:r>
        <w:rPr>
          <w:spacing w:val="-2"/>
          <w:sz w:val="24"/>
        </w:rPr>
        <w:t>(0,2-1,0).</w:t>
      </w:r>
    </w:p>
    <w:p>
      <w:pPr>
        <w:pStyle w:val="ListParagraph"/>
        <w:numPr>
          <w:ilvl w:val="0"/>
          <w:numId w:val="45"/>
        </w:numPr>
        <w:tabs>
          <w:tab w:pos="2547" w:val="left" w:leader="none"/>
          <w:tab w:pos="2549" w:val="left" w:leader="none"/>
        </w:tabs>
        <w:spacing w:line="276" w:lineRule="auto" w:before="0" w:after="0"/>
        <w:ind w:left="2549" w:right="1275" w:hanging="425"/>
        <w:jc w:val="both"/>
        <w:rPr>
          <w:sz w:val="24"/>
        </w:rPr>
      </w:pPr>
      <w:r>
        <w:rPr>
          <w:sz w:val="24"/>
        </w:rPr>
        <w:t>Пациенты-реципиенты трансплантированных органов нуждаются в отмене цитостатической</w:t>
      </w:r>
      <w:r>
        <w:rPr>
          <w:spacing w:val="-3"/>
          <w:sz w:val="24"/>
        </w:rPr>
        <w:t> </w:t>
      </w:r>
      <w:r>
        <w:rPr>
          <w:sz w:val="24"/>
        </w:rPr>
        <w:t>терапии</w:t>
      </w:r>
      <w:r>
        <w:rPr>
          <w:spacing w:val="-3"/>
          <w:sz w:val="24"/>
        </w:rPr>
        <w:t> </w:t>
      </w:r>
      <w:r>
        <w:rPr>
          <w:sz w:val="24"/>
        </w:rPr>
        <w:t>(микофенолаты</w:t>
      </w:r>
      <w:r>
        <w:rPr>
          <w:spacing w:val="-4"/>
          <w:sz w:val="24"/>
        </w:rPr>
        <w:t> </w:t>
      </w:r>
      <w:r>
        <w:rPr>
          <w:sz w:val="24"/>
        </w:rPr>
        <w:t>и</w:t>
      </w:r>
      <w:r>
        <w:rPr>
          <w:spacing w:val="-3"/>
          <w:sz w:val="24"/>
        </w:rPr>
        <w:t> </w:t>
      </w:r>
      <w:r>
        <w:rPr>
          <w:sz w:val="24"/>
        </w:rPr>
        <w:t>азатиоприн)</w:t>
      </w:r>
      <w:r>
        <w:rPr>
          <w:spacing w:val="-5"/>
          <w:sz w:val="24"/>
        </w:rPr>
        <w:t> </w:t>
      </w:r>
      <w:r>
        <w:rPr>
          <w:sz w:val="24"/>
        </w:rPr>
        <w:t>в</w:t>
      </w:r>
      <w:r>
        <w:rPr>
          <w:spacing w:val="-5"/>
          <w:sz w:val="24"/>
        </w:rPr>
        <w:t> </w:t>
      </w:r>
      <w:r>
        <w:rPr>
          <w:sz w:val="24"/>
        </w:rPr>
        <w:t>дебюте</w:t>
      </w:r>
      <w:r>
        <w:rPr>
          <w:spacing w:val="-5"/>
          <w:sz w:val="24"/>
        </w:rPr>
        <w:t> </w:t>
      </w:r>
      <w:r>
        <w:rPr>
          <w:sz w:val="24"/>
        </w:rPr>
        <w:t>заболевания с</w:t>
      </w:r>
      <w:r>
        <w:rPr>
          <w:spacing w:val="80"/>
          <w:w w:val="150"/>
          <w:sz w:val="24"/>
        </w:rPr>
        <w:t>  </w:t>
      </w:r>
      <w:r>
        <w:rPr>
          <w:sz w:val="24"/>
        </w:rPr>
        <w:t>увеличением</w:t>
      </w:r>
      <w:r>
        <w:rPr>
          <w:spacing w:val="80"/>
          <w:w w:val="150"/>
          <w:sz w:val="24"/>
        </w:rPr>
        <w:t>  </w:t>
      </w:r>
      <w:r>
        <w:rPr>
          <w:sz w:val="24"/>
        </w:rPr>
        <w:t>дозы</w:t>
      </w:r>
      <w:r>
        <w:rPr>
          <w:spacing w:val="80"/>
          <w:w w:val="150"/>
          <w:sz w:val="24"/>
        </w:rPr>
        <w:t>  </w:t>
      </w:r>
      <w:r>
        <w:rPr>
          <w:sz w:val="24"/>
        </w:rPr>
        <w:t>ГКС</w:t>
      </w:r>
      <w:r>
        <w:rPr>
          <w:spacing w:val="80"/>
          <w:w w:val="150"/>
          <w:sz w:val="24"/>
        </w:rPr>
        <w:t>  </w:t>
      </w:r>
      <w:r>
        <w:rPr>
          <w:sz w:val="24"/>
        </w:rPr>
        <w:t>в</w:t>
      </w:r>
      <w:r>
        <w:rPr>
          <w:spacing w:val="79"/>
          <w:w w:val="150"/>
          <w:sz w:val="24"/>
        </w:rPr>
        <w:t>  </w:t>
      </w:r>
      <w:r>
        <w:rPr>
          <w:sz w:val="24"/>
        </w:rPr>
        <w:t>два</w:t>
      </w:r>
      <w:r>
        <w:rPr>
          <w:spacing w:val="79"/>
          <w:w w:val="150"/>
          <w:sz w:val="24"/>
        </w:rPr>
        <w:t>  </w:t>
      </w:r>
      <w:r>
        <w:rPr>
          <w:sz w:val="24"/>
        </w:rPr>
        <w:t>раза</w:t>
      </w:r>
      <w:r>
        <w:rPr>
          <w:spacing w:val="80"/>
          <w:w w:val="150"/>
          <w:sz w:val="24"/>
        </w:rPr>
        <w:t>  </w:t>
      </w:r>
      <w:r>
        <w:rPr>
          <w:sz w:val="24"/>
        </w:rPr>
        <w:t>от</w:t>
      </w:r>
      <w:r>
        <w:rPr>
          <w:spacing w:val="80"/>
          <w:w w:val="150"/>
          <w:sz w:val="24"/>
        </w:rPr>
        <w:t>  </w:t>
      </w:r>
      <w:r>
        <w:rPr>
          <w:sz w:val="24"/>
        </w:rPr>
        <w:t>исходной</w:t>
      </w:r>
      <w:r>
        <w:rPr>
          <w:spacing w:val="80"/>
          <w:w w:val="150"/>
          <w:sz w:val="24"/>
        </w:rPr>
        <w:t>  </w:t>
      </w:r>
      <w:r>
        <w:rPr>
          <w:sz w:val="24"/>
        </w:rPr>
        <w:t>дозы и</w:t>
      </w:r>
      <w:r>
        <w:rPr>
          <w:spacing w:val="-15"/>
          <w:sz w:val="24"/>
        </w:rPr>
        <w:t> </w:t>
      </w:r>
      <w:r>
        <w:rPr>
          <w:sz w:val="24"/>
        </w:rPr>
        <w:t>коррекции</w:t>
      </w:r>
      <w:r>
        <w:rPr>
          <w:spacing w:val="-15"/>
          <w:sz w:val="24"/>
        </w:rPr>
        <w:t> </w:t>
      </w:r>
      <w:r>
        <w:rPr>
          <w:sz w:val="24"/>
        </w:rPr>
        <w:t>–дозы</w:t>
      </w:r>
      <w:r>
        <w:rPr>
          <w:spacing w:val="-15"/>
          <w:sz w:val="24"/>
        </w:rPr>
        <w:t> </w:t>
      </w:r>
      <w:r>
        <w:rPr>
          <w:sz w:val="24"/>
        </w:rPr>
        <w:t>ингибиторов</w:t>
      </w:r>
      <w:r>
        <w:rPr>
          <w:spacing w:val="-15"/>
          <w:sz w:val="24"/>
        </w:rPr>
        <w:t> </w:t>
      </w:r>
      <w:r>
        <w:rPr>
          <w:sz w:val="24"/>
        </w:rPr>
        <w:t>кальциневрина</w:t>
      </w:r>
      <w:r>
        <w:rPr>
          <w:spacing w:val="-15"/>
          <w:sz w:val="24"/>
        </w:rPr>
        <w:t> </w:t>
      </w:r>
      <w:r>
        <w:rPr>
          <w:sz w:val="24"/>
        </w:rPr>
        <w:t>в</w:t>
      </w:r>
      <w:r>
        <w:rPr>
          <w:spacing w:val="-15"/>
          <w:sz w:val="24"/>
        </w:rPr>
        <w:t> </w:t>
      </w:r>
      <w:r>
        <w:rPr>
          <w:sz w:val="24"/>
        </w:rPr>
        <w:t>виде</w:t>
      </w:r>
      <w:r>
        <w:rPr>
          <w:spacing w:val="-15"/>
          <w:sz w:val="24"/>
        </w:rPr>
        <w:t> </w:t>
      </w:r>
      <w:r>
        <w:rPr>
          <w:sz w:val="24"/>
        </w:rPr>
        <w:t>уменьшения</w:t>
      </w:r>
      <w:r>
        <w:rPr>
          <w:spacing w:val="-15"/>
          <w:sz w:val="24"/>
        </w:rPr>
        <w:t> </w:t>
      </w:r>
      <w:r>
        <w:rPr>
          <w:sz w:val="24"/>
        </w:rPr>
        <w:t>в</w:t>
      </w:r>
      <w:r>
        <w:rPr>
          <w:spacing w:val="-15"/>
          <w:sz w:val="24"/>
        </w:rPr>
        <w:t> </w:t>
      </w:r>
      <w:r>
        <w:rPr>
          <w:sz w:val="24"/>
        </w:rPr>
        <w:t>2-2,5</w:t>
      </w:r>
      <w:r>
        <w:rPr>
          <w:spacing w:val="-14"/>
          <w:sz w:val="24"/>
        </w:rPr>
        <w:t> </w:t>
      </w:r>
      <w:r>
        <w:rPr>
          <w:sz w:val="24"/>
        </w:rPr>
        <w:t>раза от исходной дозы (такролимус, циклоспорин) с динамическим мониторингом</w:t>
      </w:r>
    </w:p>
    <w:p>
      <w:pPr>
        <w:pStyle w:val="ListParagraph"/>
        <w:spacing w:after="0" w:line="276" w:lineRule="auto"/>
        <w:jc w:val="both"/>
        <w:rPr>
          <w:sz w:val="24"/>
        </w:rPr>
        <w:sectPr>
          <w:pgSz w:w="11900" w:h="16840"/>
          <w:pgMar w:header="0" w:footer="697" w:top="1080" w:bottom="880" w:left="0" w:right="0"/>
        </w:sectPr>
      </w:pPr>
    </w:p>
    <w:p>
      <w:pPr>
        <w:pStyle w:val="BodyText"/>
        <w:spacing w:line="276" w:lineRule="auto" w:before="73"/>
        <w:ind w:left="2549" w:right="1273"/>
      </w:pPr>
      <w:bookmarkStart w:name="100" w:id="117"/>
      <w:bookmarkEnd w:id="117"/>
      <w:r>
        <w:rPr/>
      </w:r>
      <w:r>
        <w:rPr/>
        <w:t>концентрации. Целевой уровень циклоспорина 40-70 нг/мл, такролимуса – 2- 4нг/мл</w:t>
      </w:r>
      <w:r>
        <w:rPr>
          <w:spacing w:val="40"/>
        </w:rPr>
        <w:t> </w:t>
      </w:r>
      <w:r>
        <w:rPr/>
        <w:t>в</w:t>
      </w:r>
      <w:r>
        <w:rPr>
          <w:spacing w:val="40"/>
        </w:rPr>
        <w:t> </w:t>
      </w:r>
      <w:r>
        <w:rPr/>
        <w:t>момент</w:t>
      </w:r>
      <w:r>
        <w:rPr>
          <w:spacing w:val="40"/>
        </w:rPr>
        <w:t> </w:t>
      </w:r>
      <w:r>
        <w:rPr/>
        <w:t>активной</w:t>
      </w:r>
      <w:r>
        <w:rPr>
          <w:spacing w:val="40"/>
        </w:rPr>
        <w:t> </w:t>
      </w:r>
      <w:r>
        <w:rPr/>
        <w:t>инфекции,</w:t>
      </w:r>
      <w:r>
        <w:rPr>
          <w:spacing w:val="40"/>
        </w:rPr>
        <w:t> </w:t>
      </w:r>
      <w:r>
        <w:rPr/>
        <w:t>под</w:t>
      </w:r>
      <w:r>
        <w:rPr>
          <w:spacing w:val="40"/>
        </w:rPr>
        <w:t> </w:t>
      </w:r>
      <w:r>
        <w:rPr/>
        <w:t>строгим</w:t>
      </w:r>
      <w:r>
        <w:rPr>
          <w:spacing w:val="40"/>
        </w:rPr>
        <w:t> </w:t>
      </w:r>
      <w:r>
        <w:rPr/>
        <w:t>контролем</w:t>
      </w:r>
      <w:r>
        <w:rPr>
          <w:spacing w:val="40"/>
        </w:rPr>
        <w:t> </w:t>
      </w:r>
      <w:r>
        <w:rPr/>
        <w:t>нефролога).</w:t>
      </w:r>
      <w:r>
        <w:rPr>
          <w:spacing w:val="40"/>
        </w:rPr>
        <w:t> </w:t>
      </w:r>
      <w:r>
        <w:rPr/>
        <w:t>В качестве противовирусной терапии рекомендовано применение молнупиравира, иммуноглобулина человека против COVID-19, вируснейтрализующих антител, особенно в первые сутки от начала клинических симптомов. Не противопоказано сочетанное применение ремдесевира</w:t>
      </w:r>
      <w:r>
        <w:rPr>
          <w:spacing w:val="40"/>
        </w:rPr>
        <w:t>  </w:t>
      </w:r>
      <w:r>
        <w:rPr/>
        <w:t>и</w:t>
      </w:r>
      <w:r>
        <w:rPr>
          <w:spacing w:val="40"/>
        </w:rPr>
        <w:t>  </w:t>
      </w:r>
      <w:r>
        <w:rPr/>
        <w:t>молнупиравира.</w:t>
      </w:r>
      <w:r>
        <w:rPr>
          <w:spacing w:val="40"/>
        </w:rPr>
        <w:t>  </w:t>
      </w:r>
      <w:r>
        <w:rPr/>
        <w:t>Обосновано</w:t>
      </w:r>
      <w:r>
        <w:rPr>
          <w:spacing w:val="40"/>
        </w:rPr>
        <w:t>  </w:t>
      </w:r>
      <w:r>
        <w:rPr/>
        <w:t>применение</w:t>
      </w:r>
      <w:r>
        <w:rPr>
          <w:spacing w:val="40"/>
        </w:rPr>
        <w:t>  </w:t>
      </w:r>
      <w:r>
        <w:rPr/>
        <w:t>в</w:t>
      </w:r>
      <w:r>
        <w:rPr>
          <w:spacing w:val="68"/>
        </w:rPr>
        <w:t>  </w:t>
      </w:r>
      <w:r>
        <w:rPr/>
        <w:t>качестве</w:t>
      </w:r>
      <w:r>
        <w:rPr>
          <w:spacing w:val="40"/>
        </w:rPr>
        <w:t> </w:t>
      </w:r>
      <w:r>
        <w:rPr/>
        <w:t>до контактной профилактики вируснейтрализующих антител пролонгированного действия (тиксагевимаб+цилгавимаб в дозе 600+600 мг),</w:t>
      </w:r>
      <w:r>
        <w:rPr>
          <w:spacing w:val="40"/>
        </w:rPr>
        <w:t> </w:t>
      </w:r>
      <w:r>
        <w:rPr/>
        <w:t>в</w:t>
      </w:r>
      <w:r>
        <w:rPr>
          <w:spacing w:val="80"/>
        </w:rPr>
        <w:t>  </w:t>
      </w:r>
      <w:r>
        <w:rPr/>
        <w:t>связи</w:t>
      </w:r>
      <w:r>
        <w:rPr>
          <w:spacing w:val="80"/>
        </w:rPr>
        <w:t>  </w:t>
      </w:r>
      <w:r>
        <w:rPr/>
        <w:t>с</w:t>
      </w:r>
      <w:r>
        <w:rPr>
          <w:spacing w:val="80"/>
        </w:rPr>
        <w:t>  </w:t>
      </w:r>
      <w:r>
        <w:rPr/>
        <w:t>недостаточным</w:t>
      </w:r>
      <w:r>
        <w:rPr>
          <w:spacing w:val="80"/>
        </w:rPr>
        <w:t>  </w:t>
      </w:r>
      <w:r>
        <w:rPr/>
        <w:t>иммунным</w:t>
      </w:r>
      <w:r>
        <w:rPr>
          <w:spacing w:val="80"/>
        </w:rPr>
        <w:t>  </w:t>
      </w:r>
      <w:r>
        <w:rPr/>
        <w:t>ответом</w:t>
      </w:r>
      <w:r>
        <w:rPr>
          <w:spacing w:val="80"/>
        </w:rPr>
        <w:t>  </w:t>
      </w:r>
      <w:r>
        <w:rPr/>
        <w:t>на</w:t>
      </w:r>
      <w:r>
        <w:rPr>
          <w:spacing w:val="80"/>
        </w:rPr>
        <w:t>  </w:t>
      </w:r>
      <w:r>
        <w:rPr/>
        <w:t>вакцинацию. Не рекомендовано в качестве противовирусной терапии применение нирматрелвир+ритонавиром,</w:t>
      </w:r>
      <w:r>
        <w:rPr>
          <w:spacing w:val="59"/>
        </w:rPr>
        <w:t>  </w:t>
      </w:r>
      <w:r>
        <w:rPr/>
        <w:t>у</w:t>
      </w:r>
      <w:r>
        <w:rPr>
          <w:spacing w:val="59"/>
        </w:rPr>
        <w:t>  </w:t>
      </w:r>
      <w:r>
        <w:rPr/>
        <w:t>пациентов</w:t>
      </w:r>
      <w:r>
        <w:rPr>
          <w:spacing w:val="58"/>
        </w:rPr>
        <w:t>  </w:t>
      </w:r>
      <w:r>
        <w:rPr/>
        <w:t>на</w:t>
      </w:r>
      <w:r>
        <w:rPr>
          <w:spacing w:val="58"/>
        </w:rPr>
        <w:t>  </w:t>
      </w:r>
      <w:r>
        <w:rPr/>
        <w:t>терапии</w:t>
      </w:r>
      <w:r>
        <w:rPr>
          <w:spacing w:val="58"/>
        </w:rPr>
        <w:t>  </w:t>
      </w:r>
      <w:r>
        <w:rPr/>
        <w:t>СNI,</w:t>
      </w:r>
      <w:r>
        <w:rPr>
          <w:spacing w:val="60"/>
        </w:rPr>
        <w:t>  </w:t>
      </w:r>
      <w:r>
        <w:rPr/>
        <w:t>в</w:t>
      </w:r>
      <w:r>
        <w:rPr>
          <w:spacing w:val="58"/>
        </w:rPr>
        <w:t>  </w:t>
      </w:r>
      <w:r>
        <w:rPr/>
        <w:t>связи с выраженным увеличением концентрации в крови последнего.</w:t>
      </w:r>
    </w:p>
    <w:p>
      <w:pPr>
        <w:pStyle w:val="ListParagraph"/>
        <w:numPr>
          <w:ilvl w:val="0"/>
          <w:numId w:val="45"/>
        </w:numPr>
        <w:tabs>
          <w:tab w:pos="2547" w:val="left" w:leader="none"/>
          <w:tab w:pos="2549" w:val="left" w:leader="none"/>
        </w:tabs>
        <w:spacing w:line="276" w:lineRule="auto" w:before="0" w:after="0"/>
        <w:ind w:left="2549" w:right="1279" w:hanging="425"/>
        <w:jc w:val="both"/>
        <w:rPr>
          <w:sz w:val="24"/>
        </w:rPr>
      </w:pPr>
      <w:r>
        <w:rPr>
          <w:sz w:val="24"/>
        </w:rPr>
        <w:t>У пациентов с терминальной стадией ХПН, получающих лечение гемодиализом, необходим контроль и коррекция возникающей </w:t>
      </w:r>
      <w:r>
        <w:rPr>
          <w:spacing w:val="-2"/>
          <w:sz w:val="24"/>
        </w:rPr>
        <w:t>гипокальциемии.</w:t>
      </w:r>
    </w:p>
    <w:p>
      <w:pPr>
        <w:pStyle w:val="ListParagraph"/>
        <w:numPr>
          <w:ilvl w:val="0"/>
          <w:numId w:val="45"/>
        </w:numPr>
        <w:tabs>
          <w:tab w:pos="2547" w:val="left" w:leader="none"/>
          <w:tab w:pos="2549" w:val="left" w:leader="none"/>
        </w:tabs>
        <w:spacing w:line="276" w:lineRule="auto" w:before="0" w:after="0"/>
        <w:ind w:left="2549" w:right="1278" w:hanging="425"/>
        <w:jc w:val="both"/>
        <w:rPr>
          <w:sz w:val="24"/>
        </w:rPr>
      </w:pPr>
      <w:r>
        <w:rPr>
          <w:sz w:val="24"/>
        </w:rPr>
        <w:t>Пациентам, получающим лечение гемодиализом, возможно применение противовирусной терапии ремдесивиром. В случаях предполагаемой длительной виремии, обосновано применение сочетанной противовирусной терапии ремдесевиром и молнупиравиром, с учетом воздействия на разные звенья репликации вируса.</w:t>
      </w:r>
    </w:p>
    <w:p>
      <w:pPr>
        <w:pStyle w:val="ListParagraph"/>
        <w:numPr>
          <w:ilvl w:val="0"/>
          <w:numId w:val="45"/>
        </w:numPr>
        <w:tabs>
          <w:tab w:pos="2547" w:val="left" w:leader="none"/>
          <w:tab w:pos="2549" w:val="left" w:leader="none"/>
        </w:tabs>
        <w:spacing w:line="276" w:lineRule="auto" w:before="0" w:after="0"/>
        <w:ind w:left="2549" w:right="1271" w:hanging="425"/>
        <w:jc w:val="both"/>
        <w:rPr>
          <w:sz w:val="24"/>
        </w:rPr>
      </w:pPr>
      <w:r>
        <w:rPr>
          <w:sz w:val="24"/>
        </w:rPr>
        <w:t>Пациентам,</w:t>
      </w:r>
      <w:r>
        <w:rPr>
          <w:spacing w:val="-2"/>
          <w:sz w:val="24"/>
        </w:rPr>
        <w:t> </w:t>
      </w:r>
      <w:r>
        <w:rPr>
          <w:sz w:val="24"/>
        </w:rPr>
        <w:t>получающим</w:t>
      </w:r>
      <w:r>
        <w:rPr>
          <w:spacing w:val="-2"/>
          <w:sz w:val="24"/>
        </w:rPr>
        <w:t> </w:t>
      </w:r>
      <w:r>
        <w:rPr>
          <w:sz w:val="24"/>
        </w:rPr>
        <w:t>заместительную</w:t>
      </w:r>
      <w:r>
        <w:rPr>
          <w:spacing w:val="40"/>
          <w:sz w:val="24"/>
        </w:rPr>
        <w:t> </w:t>
      </w:r>
      <w:r>
        <w:rPr>
          <w:sz w:val="24"/>
        </w:rPr>
        <w:t>почечную</w:t>
      </w:r>
      <w:r>
        <w:rPr>
          <w:spacing w:val="40"/>
          <w:sz w:val="24"/>
        </w:rPr>
        <w:t> </w:t>
      </w:r>
      <w:r>
        <w:rPr>
          <w:sz w:val="24"/>
        </w:rPr>
        <w:t>терапию</w:t>
      </w:r>
      <w:r>
        <w:rPr>
          <w:spacing w:val="-2"/>
          <w:sz w:val="24"/>
        </w:rPr>
        <w:t> </w:t>
      </w:r>
      <w:r>
        <w:rPr>
          <w:sz w:val="24"/>
        </w:rPr>
        <w:t>гемодиализом, перитонеальным диализом; реципиентам</w:t>
      </w:r>
      <w:r>
        <w:rPr>
          <w:spacing w:val="40"/>
          <w:sz w:val="24"/>
        </w:rPr>
        <w:t> </w:t>
      </w:r>
      <w:r>
        <w:rPr>
          <w:sz w:val="24"/>
        </w:rPr>
        <w:t>почечного трансплантата и других солидных органов; пациентам</w:t>
      </w:r>
      <w:r>
        <w:rPr>
          <w:spacing w:val="40"/>
          <w:sz w:val="24"/>
        </w:rPr>
        <w:t> </w:t>
      </w:r>
      <w:r>
        <w:rPr>
          <w:sz w:val="24"/>
        </w:rPr>
        <w:t>с иммунопатологией почек, получающих патогенетическую иммуносупрессивную терапию, в том числе анти-В- клеточными</w:t>
      </w:r>
      <w:r>
        <w:rPr>
          <w:spacing w:val="-8"/>
          <w:sz w:val="24"/>
        </w:rPr>
        <w:t> </w:t>
      </w:r>
      <w:r>
        <w:rPr>
          <w:sz w:val="24"/>
        </w:rPr>
        <w:t>препаратами,</w:t>
      </w:r>
      <w:r>
        <w:rPr>
          <w:spacing w:val="-9"/>
          <w:sz w:val="24"/>
        </w:rPr>
        <w:t> </w:t>
      </w:r>
      <w:r>
        <w:rPr>
          <w:sz w:val="24"/>
        </w:rPr>
        <w:t>цитостатиками</w:t>
      </w:r>
      <w:r>
        <w:rPr>
          <w:spacing w:val="-8"/>
          <w:sz w:val="24"/>
        </w:rPr>
        <w:t> </w:t>
      </w:r>
      <w:r>
        <w:rPr>
          <w:sz w:val="24"/>
        </w:rPr>
        <w:t>и</w:t>
      </w:r>
      <w:r>
        <w:rPr>
          <w:spacing w:val="-8"/>
          <w:sz w:val="24"/>
        </w:rPr>
        <w:t> </w:t>
      </w:r>
      <w:r>
        <w:rPr>
          <w:sz w:val="24"/>
        </w:rPr>
        <w:t>высокими</w:t>
      </w:r>
      <w:r>
        <w:rPr>
          <w:spacing w:val="-8"/>
          <w:sz w:val="24"/>
        </w:rPr>
        <w:t> </w:t>
      </w:r>
      <w:r>
        <w:rPr>
          <w:sz w:val="24"/>
        </w:rPr>
        <w:t>дозами</w:t>
      </w:r>
      <w:r>
        <w:rPr>
          <w:spacing w:val="-8"/>
          <w:sz w:val="24"/>
        </w:rPr>
        <w:t> </w:t>
      </w:r>
      <w:r>
        <w:rPr>
          <w:sz w:val="24"/>
        </w:rPr>
        <w:t>системных</w:t>
      </w:r>
      <w:r>
        <w:rPr>
          <w:spacing w:val="-9"/>
          <w:sz w:val="24"/>
        </w:rPr>
        <w:t> </w:t>
      </w:r>
      <w:r>
        <w:rPr>
          <w:sz w:val="24"/>
        </w:rPr>
        <w:t>ГКС, характеризующиеся</w:t>
      </w:r>
      <w:r>
        <w:rPr>
          <w:spacing w:val="80"/>
          <w:w w:val="150"/>
          <w:sz w:val="24"/>
        </w:rPr>
        <w:t> </w:t>
      </w:r>
      <w:r>
        <w:rPr>
          <w:sz w:val="24"/>
        </w:rPr>
        <w:t>крайне</w:t>
      </w:r>
      <w:r>
        <w:rPr>
          <w:spacing w:val="40"/>
          <w:sz w:val="24"/>
        </w:rPr>
        <w:t> </w:t>
      </w:r>
      <w:r>
        <w:rPr>
          <w:sz w:val="24"/>
        </w:rPr>
        <w:t>высоким</w:t>
      </w:r>
      <w:r>
        <w:rPr>
          <w:spacing w:val="40"/>
          <w:sz w:val="24"/>
        </w:rPr>
        <w:t> </w:t>
      </w:r>
      <w:r>
        <w:rPr>
          <w:sz w:val="24"/>
        </w:rPr>
        <w:t>риском</w:t>
      </w:r>
      <w:r>
        <w:rPr>
          <w:spacing w:val="40"/>
          <w:sz w:val="24"/>
        </w:rPr>
        <w:t> </w:t>
      </w:r>
      <w:r>
        <w:rPr>
          <w:sz w:val="24"/>
        </w:rPr>
        <w:t>прогрессирования</w:t>
      </w:r>
      <w:r>
        <w:rPr>
          <w:spacing w:val="40"/>
          <w:sz w:val="24"/>
        </w:rPr>
        <w:t> </w:t>
      </w:r>
      <w:r>
        <w:rPr>
          <w:sz w:val="24"/>
        </w:rPr>
        <w:t>COVID-19</w:t>
      </w:r>
      <w:r>
        <w:rPr>
          <w:spacing w:val="40"/>
          <w:sz w:val="24"/>
        </w:rPr>
        <w:t> </w:t>
      </w:r>
      <w:r>
        <w:rPr>
          <w:sz w:val="24"/>
        </w:rPr>
        <w:t>и неадекватным</w:t>
      </w:r>
      <w:r>
        <w:rPr>
          <w:spacing w:val="40"/>
          <w:sz w:val="24"/>
        </w:rPr>
        <w:t> </w:t>
      </w:r>
      <w:r>
        <w:rPr>
          <w:sz w:val="24"/>
        </w:rPr>
        <w:t>иммунологическим ответом на вакцинацию, абсолютно обосновано проведение доконтактной профилактики пролонгированными вируснейтрализующими антителами (тиксагевимаб+цилгавимаб в дозе 600+600 мг). При развитии первых проявлений заболеваний, обосновано раннее применение вируснейтрализующих антител и иммуноглобулина человека против COVID-19.</w:t>
      </w:r>
    </w:p>
    <w:p>
      <w:pPr>
        <w:pStyle w:val="ListParagraph"/>
        <w:numPr>
          <w:ilvl w:val="0"/>
          <w:numId w:val="45"/>
        </w:numPr>
        <w:tabs>
          <w:tab w:pos="2547" w:val="left" w:leader="none"/>
          <w:tab w:pos="2549" w:val="left" w:leader="none"/>
        </w:tabs>
        <w:spacing w:line="276" w:lineRule="auto" w:before="0" w:after="0"/>
        <w:ind w:left="2549" w:right="1278" w:hanging="425"/>
        <w:jc w:val="both"/>
        <w:rPr>
          <w:sz w:val="24"/>
        </w:rPr>
      </w:pPr>
      <w:r>
        <w:rPr>
          <w:sz w:val="24"/>
        </w:rPr>
        <w:t>Обосновано</w:t>
      </w:r>
      <w:r>
        <w:rPr>
          <w:spacing w:val="80"/>
          <w:sz w:val="24"/>
        </w:rPr>
        <w:t> </w:t>
      </w:r>
      <w:r>
        <w:rPr>
          <w:sz w:val="24"/>
        </w:rPr>
        <w:t>применение</w:t>
      </w:r>
      <w:r>
        <w:rPr>
          <w:spacing w:val="80"/>
          <w:sz w:val="24"/>
        </w:rPr>
        <w:t> </w:t>
      </w:r>
      <w:r>
        <w:rPr>
          <w:sz w:val="24"/>
        </w:rPr>
        <w:t>процедур</w:t>
      </w:r>
      <w:r>
        <w:rPr>
          <w:spacing w:val="80"/>
          <w:sz w:val="24"/>
        </w:rPr>
        <w:t> </w:t>
      </w:r>
      <w:r>
        <w:rPr>
          <w:sz w:val="24"/>
        </w:rPr>
        <w:t>эфферентных</w:t>
      </w:r>
      <w:r>
        <w:rPr>
          <w:spacing w:val="80"/>
          <w:sz w:val="24"/>
        </w:rPr>
        <w:t> </w:t>
      </w:r>
      <w:r>
        <w:rPr>
          <w:sz w:val="24"/>
        </w:rPr>
        <w:t>методов</w:t>
      </w:r>
      <w:r>
        <w:rPr>
          <w:spacing w:val="80"/>
          <w:sz w:val="24"/>
        </w:rPr>
        <w:t> </w:t>
      </w:r>
      <w:r>
        <w:rPr>
          <w:sz w:val="24"/>
        </w:rPr>
        <w:t>гемокоррекции (в</w:t>
      </w:r>
      <w:r>
        <w:rPr>
          <w:spacing w:val="-6"/>
          <w:sz w:val="24"/>
        </w:rPr>
        <w:t> </w:t>
      </w:r>
      <w:r>
        <w:rPr>
          <w:sz w:val="24"/>
        </w:rPr>
        <w:t>т.ч.</w:t>
      </w:r>
      <w:r>
        <w:rPr>
          <w:spacing w:val="-5"/>
          <w:sz w:val="24"/>
        </w:rPr>
        <w:t> </w:t>
      </w:r>
      <w:r>
        <w:rPr>
          <w:sz w:val="24"/>
        </w:rPr>
        <w:t>плазмаферез,</w:t>
      </w:r>
      <w:r>
        <w:rPr>
          <w:spacing w:val="-5"/>
          <w:sz w:val="24"/>
        </w:rPr>
        <w:t> </w:t>
      </w:r>
      <w:r>
        <w:rPr>
          <w:sz w:val="24"/>
        </w:rPr>
        <w:t>плазмаобмен,</w:t>
      </w:r>
      <w:r>
        <w:rPr>
          <w:spacing w:val="-5"/>
          <w:sz w:val="24"/>
        </w:rPr>
        <w:t> </w:t>
      </w:r>
      <w:r>
        <w:rPr>
          <w:sz w:val="24"/>
        </w:rPr>
        <w:t>гемосорбция)</w:t>
      </w:r>
      <w:r>
        <w:rPr>
          <w:spacing w:val="-5"/>
          <w:sz w:val="24"/>
        </w:rPr>
        <w:t> </w:t>
      </w:r>
      <w:r>
        <w:rPr>
          <w:sz w:val="24"/>
        </w:rPr>
        <w:t>у</w:t>
      </w:r>
      <w:r>
        <w:rPr>
          <w:spacing w:val="-5"/>
          <w:sz w:val="24"/>
        </w:rPr>
        <w:t> </w:t>
      </w:r>
      <w:r>
        <w:rPr>
          <w:sz w:val="24"/>
        </w:rPr>
        <w:t>пациентов</w:t>
      </w:r>
      <w:r>
        <w:rPr>
          <w:spacing w:val="-5"/>
          <w:sz w:val="24"/>
        </w:rPr>
        <w:t> </w:t>
      </w:r>
      <w:r>
        <w:rPr>
          <w:sz w:val="24"/>
        </w:rPr>
        <w:t>с</w:t>
      </w:r>
      <w:r>
        <w:rPr>
          <w:spacing w:val="-5"/>
          <w:sz w:val="24"/>
        </w:rPr>
        <w:t> </w:t>
      </w:r>
      <w:r>
        <w:rPr>
          <w:sz w:val="24"/>
        </w:rPr>
        <w:t>ХБП</w:t>
      </w:r>
      <w:r>
        <w:rPr>
          <w:spacing w:val="-5"/>
          <w:sz w:val="24"/>
        </w:rPr>
        <w:t> </w:t>
      </w:r>
      <w:r>
        <w:rPr>
          <w:sz w:val="24"/>
        </w:rPr>
        <w:t>с</w:t>
      </w:r>
      <w:r>
        <w:rPr>
          <w:spacing w:val="-6"/>
          <w:sz w:val="24"/>
        </w:rPr>
        <w:t> </w:t>
      </w:r>
      <w:r>
        <w:rPr>
          <w:sz w:val="24"/>
        </w:rPr>
        <w:t>тяжелым течением COVID-19. Применение плазмафереза, плазмаобмена обосновано при наличии сочетанной вирусно-бактериальной инфекции, с целью минимизации цитокиновой реакции и применения ГИБТ.</w:t>
      </w:r>
    </w:p>
    <w:p>
      <w:pPr>
        <w:pStyle w:val="BodyText"/>
        <w:spacing w:before="30"/>
        <w:ind w:left="0"/>
        <w:jc w:val="left"/>
      </w:pPr>
    </w:p>
    <w:p>
      <w:pPr>
        <w:pStyle w:val="BodyText"/>
        <w:spacing w:line="276" w:lineRule="auto" w:before="1"/>
        <w:ind w:right="1273" w:firstLine="707"/>
      </w:pPr>
      <w:r>
        <w:rPr/>
        <w:t>Выписка</w:t>
      </w:r>
      <w:r>
        <w:rPr>
          <w:spacing w:val="80"/>
          <w:w w:val="150"/>
        </w:rPr>
        <w:t> </w:t>
      </w:r>
      <w:r>
        <w:rPr/>
        <w:t>пациентов,</w:t>
      </w:r>
      <w:r>
        <w:rPr>
          <w:spacing w:val="80"/>
          <w:w w:val="150"/>
        </w:rPr>
        <w:t> </w:t>
      </w:r>
      <w:r>
        <w:rPr/>
        <w:t>получающих</w:t>
      </w:r>
      <w:r>
        <w:rPr>
          <w:spacing w:val="80"/>
          <w:w w:val="150"/>
        </w:rPr>
        <w:t> </w:t>
      </w:r>
      <w:r>
        <w:rPr/>
        <w:t>лечение</w:t>
      </w:r>
      <w:r>
        <w:rPr>
          <w:spacing w:val="80"/>
          <w:w w:val="150"/>
        </w:rPr>
        <w:t> </w:t>
      </w:r>
      <w:r>
        <w:rPr/>
        <w:t>программным</w:t>
      </w:r>
      <w:r>
        <w:rPr>
          <w:spacing w:val="80"/>
          <w:w w:val="150"/>
        </w:rPr>
        <w:t> </w:t>
      </w:r>
      <w:r>
        <w:rPr/>
        <w:t>гемодиализом, и перевод в амбулаторный диализный центр по месту прикрепления может осуществляться с зафиксированной положительной динамикой по данным МСКТ ОГК, при наличии легочного поражения и регрессом маркеров воспаления.</w:t>
      </w:r>
    </w:p>
    <w:p>
      <w:pPr>
        <w:pStyle w:val="BodyText"/>
        <w:spacing w:after="0" w:line="276" w:lineRule="auto"/>
        <w:sectPr>
          <w:pgSz w:w="11900" w:h="16840"/>
          <w:pgMar w:header="0" w:footer="697" w:top="1080" w:bottom="880" w:left="0" w:right="0"/>
        </w:sectPr>
      </w:pPr>
    </w:p>
    <w:p>
      <w:pPr>
        <w:pStyle w:val="Heading3"/>
        <w:spacing w:before="73"/>
      </w:pPr>
      <w:bookmarkStart w:name="101" w:id="118"/>
      <w:bookmarkEnd w:id="118"/>
      <w:r>
        <w:rPr>
          <w:b w:val="0"/>
        </w:rPr>
      </w:r>
      <w:r>
        <w:rPr>
          <w:color w:val="1F487C"/>
          <w:spacing w:val="-2"/>
        </w:rPr>
        <w:t>Пациенты</w:t>
      </w:r>
      <w:r>
        <w:rPr>
          <w:color w:val="1F487C"/>
          <w:spacing w:val="2"/>
        </w:rPr>
        <w:t> </w:t>
      </w:r>
      <w:r>
        <w:rPr>
          <w:color w:val="1F487C"/>
          <w:spacing w:val="-2"/>
        </w:rPr>
        <w:t>с</w:t>
      </w:r>
      <w:r>
        <w:rPr>
          <w:color w:val="1F487C"/>
        </w:rPr>
        <w:t> </w:t>
      </w:r>
      <w:r>
        <w:rPr>
          <w:color w:val="1F487C"/>
          <w:spacing w:val="-2"/>
        </w:rPr>
        <w:t>хроническими</w:t>
      </w:r>
      <w:r>
        <w:rPr>
          <w:color w:val="1F487C"/>
          <w:spacing w:val="3"/>
        </w:rPr>
        <w:t> </w:t>
      </w:r>
      <w:r>
        <w:rPr>
          <w:color w:val="1F487C"/>
          <w:spacing w:val="-2"/>
        </w:rPr>
        <w:t>заболеваниями</w:t>
      </w:r>
      <w:r>
        <w:rPr>
          <w:color w:val="1F487C"/>
          <w:spacing w:val="-1"/>
        </w:rPr>
        <w:t> </w:t>
      </w:r>
      <w:r>
        <w:rPr>
          <w:color w:val="1F487C"/>
          <w:spacing w:val="-2"/>
        </w:rPr>
        <w:t>печени</w:t>
      </w:r>
    </w:p>
    <w:p>
      <w:pPr>
        <w:pStyle w:val="BodyText"/>
        <w:spacing w:line="276" w:lineRule="auto" w:before="120"/>
        <w:ind w:right="1274" w:firstLine="707"/>
      </w:pPr>
      <w:r>
        <w:rPr/>
        <w:t>Пандемия COVID-19 оказала существенное влияние на ряд глобальных событий, связанных с</w:t>
      </w:r>
      <w:r>
        <w:rPr>
          <w:spacing w:val="-1"/>
        </w:rPr>
        <w:t> </w:t>
      </w:r>
      <w:r>
        <w:rPr/>
        <w:t>заболеваниями печени. В частности, заметно снизились темпы реализации стратегии элиминации вирусного гепатита С, произошел беспрецедентный рост заболеваемости и тяжести алкогольного поражения печени, повысилась</w:t>
      </w:r>
      <w:r>
        <w:rPr>
          <w:spacing w:val="40"/>
        </w:rPr>
        <w:t> </w:t>
      </w:r>
      <w:r>
        <w:rPr/>
        <w:t>распространенность</w:t>
      </w:r>
      <w:r>
        <w:rPr>
          <w:spacing w:val="40"/>
        </w:rPr>
        <w:t> </w:t>
      </w:r>
      <w:r>
        <w:rPr/>
        <w:t>нездорового</w:t>
      </w:r>
      <w:r>
        <w:rPr>
          <w:spacing w:val="40"/>
        </w:rPr>
        <w:t> </w:t>
      </w:r>
      <w:r>
        <w:rPr/>
        <w:t>образа</w:t>
      </w:r>
      <w:r>
        <w:rPr>
          <w:spacing w:val="40"/>
        </w:rPr>
        <w:t> </w:t>
      </w:r>
      <w:r>
        <w:rPr/>
        <w:t>жизни</w:t>
      </w:r>
      <w:r>
        <w:rPr>
          <w:spacing w:val="40"/>
        </w:rPr>
        <w:t> </w:t>
      </w:r>
      <w:r>
        <w:rPr/>
        <w:t>и</w:t>
      </w:r>
      <w:r>
        <w:rPr>
          <w:spacing w:val="40"/>
        </w:rPr>
        <w:t> </w:t>
      </w:r>
      <w:r>
        <w:rPr/>
        <w:t>ожирения,</w:t>
      </w:r>
      <w:r>
        <w:rPr>
          <w:spacing w:val="40"/>
        </w:rPr>
        <w:t> </w:t>
      </w:r>
      <w:r>
        <w:rPr/>
        <w:t>которое,</w:t>
      </w:r>
      <w:r>
        <w:rPr>
          <w:spacing w:val="40"/>
        </w:rPr>
        <w:t> </w:t>
      </w:r>
      <w:r>
        <w:rPr/>
        <w:t>в</w:t>
      </w:r>
      <w:r>
        <w:rPr>
          <w:spacing w:val="-4"/>
        </w:rPr>
        <w:t> </w:t>
      </w:r>
      <w:r>
        <w:rPr/>
        <w:t>свою</w:t>
      </w:r>
      <w:r>
        <w:rPr>
          <w:spacing w:val="-3"/>
        </w:rPr>
        <w:t> </w:t>
      </w:r>
      <w:r>
        <w:rPr/>
        <w:t>очередь,</w:t>
      </w:r>
      <w:r>
        <w:rPr>
          <w:spacing w:val="-3"/>
        </w:rPr>
        <w:t> </w:t>
      </w:r>
      <w:r>
        <w:rPr/>
        <w:t>может</w:t>
      </w:r>
      <w:r>
        <w:rPr>
          <w:spacing w:val="-1"/>
        </w:rPr>
        <w:t> </w:t>
      </w:r>
      <w:r>
        <w:rPr/>
        <w:t>способствовать</w:t>
      </w:r>
      <w:r>
        <w:rPr>
          <w:spacing w:val="-3"/>
        </w:rPr>
        <w:t> </w:t>
      </w:r>
      <w:r>
        <w:rPr/>
        <w:t>развитию</w:t>
      </w:r>
      <w:r>
        <w:rPr>
          <w:spacing w:val="-3"/>
        </w:rPr>
        <w:t> </w:t>
      </w:r>
      <w:r>
        <w:rPr/>
        <w:t>и</w:t>
      </w:r>
      <w:r>
        <w:rPr>
          <w:spacing w:val="-3"/>
        </w:rPr>
        <w:t> </w:t>
      </w:r>
      <w:r>
        <w:rPr/>
        <w:t>прогрессированию</w:t>
      </w:r>
      <w:r>
        <w:rPr>
          <w:spacing w:val="-5"/>
        </w:rPr>
        <w:t> </w:t>
      </w:r>
      <w:r>
        <w:rPr/>
        <w:t>неалкогольной жировой болезни печени.</w:t>
      </w:r>
    </w:p>
    <w:p>
      <w:pPr>
        <w:pStyle w:val="BodyText"/>
        <w:spacing w:line="276" w:lineRule="auto"/>
        <w:ind w:right="1276" w:firstLine="707"/>
      </w:pPr>
      <w:r>
        <w:rPr/>
        <w:t>Для практикующего врача в вопросе влияния вируса SARS-CoV-2 на печень наибольшего внимания заслуживают несколько аспектов:</w:t>
      </w:r>
    </w:p>
    <w:p>
      <w:pPr>
        <w:pStyle w:val="ListParagraph"/>
        <w:numPr>
          <w:ilvl w:val="1"/>
          <w:numId w:val="45"/>
        </w:numPr>
        <w:tabs>
          <w:tab w:pos="2547" w:val="left" w:leader="none"/>
        </w:tabs>
        <w:spacing w:line="274" w:lineRule="exact" w:before="0" w:after="0"/>
        <w:ind w:left="2547" w:right="0" w:hanging="279"/>
        <w:jc w:val="left"/>
        <w:rPr>
          <w:sz w:val="24"/>
        </w:rPr>
      </w:pPr>
      <w:r>
        <w:rPr>
          <w:sz w:val="24"/>
        </w:rPr>
        <w:t>Поражение</w:t>
      </w:r>
      <w:r>
        <w:rPr>
          <w:spacing w:val="-13"/>
          <w:sz w:val="24"/>
        </w:rPr>
        <w:t> </w:t>
      </w:r>
      <w:r>
        <w:rPr>
          <w:sz w:val="24"/>
        </w:rPr>
        <w:t>печени</w:t>
      </w:r>
      <w:r>
        <w:rPr>
          <w:spacing w:val="-11"/>
          <w:sz w:val="24"/>
        </w:rPr>
        <w:t> </w:t>
      </w:r>
      <w:r>
        <w:rPr>
          <w:sz w:val="24"/>
        </w:rPr>
        <w:t>на</w:t>
      </w:r>
      <w:r>
        <w:rPr>
          <w:spacing w:val="-13"/>
          <w:sz w:val="24"/>
        </w:rPr>
        <w:t> </w:t>
      </w:r>
      <w:r>
        <w:rPr>
          <w:sz w:val="24"/>
        </w:rPr>
        <w:t>фоне</w:t>
      </w:r>
      <w:r>
        <w:rPr>
          <w:spacing w:val="-12"/>
          <w:sz w:val="24"/>
        </w:rPr>
        <w:t> </w:t>
      </w:r>
      <w:r>
        <w:rPr>
          <w:sz w:val="24"/>
        </w:rPr>
        <w:t>COVID-</w:t>
      </w:r>
      <w:r>
        <w:rPr>
          <w:spacing w:val="-5"/>
          <w:sz w:val="24"/>
        </w:rPr>
        <w:t>19;</w:t>
      </w:r>
    </w:p>
    <w:p>
      <w:pPr>
        <w:pStyle w:val="ListParagraph"/>
        <w:numPr>
          <w:ilvl w:val="1"/>
          <w:numId w:val="45"/>
        </w:numPr>
        <w:tabs>
          <w:tab w:pos="2547" w:val="left" w:leader="none"/>
        </w:tabs>
        <w:spacing w:line="240" w:lineRule="auto" w:before="39" w:after="0"/>
        <w:ind w:left="2547" w:right="0" w:hanging="279"/>
        <w:jc w:val="left"/>
        <w:rPr>
          <w:sz w:val="24"/>
        </w:rPr>
      </w:pPr>
      <w:r>
        <w:rPr>
          <w:spacing w:val="-2"/>
          <w:sz w:val="24"/>
        </w:rPr>
        <w:t>Течение</w:t>
      </w:r>
      <w:r>
        <w:rPr>
          <w:spacing w:val="-5"/>
          <w:sz w:val="24"/>
        </w:rPr>
        <w:t> </w:t>
      </w:r>
      <w:r>
        <w:rPr>
          <w:spacing w:val="-2"/>
          <w:sz w:val="24"/>
        </w:rPr>
        <w:t>COVID-19</w:t>
      </w:r>
      <w:r>
        <w:rPr>
          <w:spacing w:val="-3"/>
          <w:sz w:val="24"/>
        </w:rPr>
        <w:t> </w:t>
      </w:r>
      <w:r>
        <w:rPr>
          <w:spacing w:val="-2"/>
          <w:sz w:val="24"/>
        </w:rPr>
        <w:t>у</w:t>
      </w:r>
      <w:r>
        <w:rPr>
          <w:spacing w:val="-3"/>
          <w:sz w:val="24"/>
        </w:rPr>
        <w:t> </w:t>
      </w:r>
      <w:r>
        <w:rPr>
          <w:spacing w:val="-2"/>
          <w:sz w:val="24"/>
        </w:rPr>
        <w:t>пациентов</w:t>
      </w:r>
      <w:r>
        <w:rPr>
          <w:spacing w:val="-3"/>
          <w:sz w:val="24"/>
        </w:rPr>
        <w:t> </w:t>
      </w:r>
      <w:r>
        <w:rPr>
          <w:spacing w:val="-2"/>
          <w:sz w:val="24"/>
        </w:rPr>
        <w:t>с</w:t>
      </w:r>
      <w:r>
        <w:rPr>
          <w:spacing w:val="-4"/>
          <w:sz w:val="24"/>
        </w:rPr>
        <w:t> </w:t>
      </w:r>
      <w:r>
        <w:rPr>
          <w:spacing w:val="-2"/>
          <w:sz w:val="24"/>
        </w:rPr>
        <w:t>хроническими</w:t>
      </w:r>
      <w:r>
        <w:rPr>
          <w:spacing w:val="-3"/>
          <w:sz w:val="24"/>
        </w:rPr>
        <w:t> </w:t>
      </w:r>
      <w:r>
        <w:rPr>
          <w:spacing w:val="-2"/>
          <w:sz w:val="24"/>
        </w:rPr>
        <w:t>заболеваниями</w:t>
      </w:r>
      <w:r>
        <w:rPr>
          <w:spacing w:val="-5"/>
          <w:sz w:val="24"/>
        </w:rPr>
        <w:t> </w:t>
      </w:r>
      <w:r>
        <w:rPr>
          <w:spacing w:val="-2"/>
          <w:sz w:val="24"/>
        </w:rPr>
        <w:t>печени (ХЗП);</w:t>
      </w:r>
    </w:p>
    <w:p>
      <w:pPr>
        <w:pStyle w:val="ListParagraph"/>
        <w:numPr>
          <w:ilvl w:val="1"/>
          <w:numId w:val="45"/>
        </w:numPr>
        <w:tabs>
          <w:tab w:pos="2547" w:val="left" w:leader="none"/>
        </w:tabs>
        <w:spacing w:line="240" w:lineRule="auto" w:before="43" w:after="0"/>
        <w:ind w:left="2547" w:right="0" w:hanging="279"/>
        <w:jc w:val="left"/>
        <w:rPr>
          <w:sz w:val="24"/>
        </w:rPr>
      </w:pPr>
      <w:r>
        <w:rPr>
          <w:sz w:val="24"/>
        </w:rPr>
        <w:t>Особенности</w:t>
      </w:r>
      <w:r>
        <w:rPr>
          <w:spacing w:val="-10"/>
          <w:sz w:val="24"/>
        </w:rPr>
        <w:t> </w:t>
      </w:r>
      <w:r>
        <w:rPr>
          <w:sz w:val="24"/>
        </w:rPr>
        <w:t>лечения</w:t>
      </w:r>
      <w:r>
        <w:rPr>
          <w:spacing w:val="-12"/>
          <w:sz w:val="24"/>
        </w:rPr>
        <w:t> </w:t>
      </w:r>
      <w:r>
        <w:rPr>
          <w:sz w:val="24"/>
        </w:rPr>
        <w:t>COVID-19</w:t>
      </w:r>
      <w:r>
        <w:rPr>
          <w:spacing w:val="-11"/>
          <w:sz w:val="24"/>
        </w:rPr>
        <w:t> </w:t>
      </w:r>
      <w:r>
        <w:rPr>
          <w:sz w:val="24"/>
        </w:rPr>
        <w:t>у</w:t>
      </w:r>
      <w:r>
        <w:rPr>
          <w:spacing w:val="-12"/>
          <w:sz w:val="24"/>
        </w:rPr>
        <w:t> </w:t>
      </w:r>
      <w:r>
        <w:rPr>
          <w:sz w:val="24"/>
        </w:rPr>
        <w:t>пациентов</w:t>
      </w:r>
      <w:r>
        <w:rPr>
          <w:spacing w:val="-11"/>
          <w:sz w:val="24"/>
        </w:rPr>
        <w:t> </w:t>
      </w:r>
      <w:r>
        <w:rPr>
          <w:sz w:val="24"/>
        </w:rPr>
        <w:t>с</w:t>
      </w:r>
      <w:r>
        <w:rPr>
          <w:spacing w:val="-12"/>
          <w:sz w:val="24"/>
        </w:rPr>
        <w:t> </w:t>
      </w:r>
      <w:r>
        <w:rPr>
          <w:spacing w:val="-4"/>
          <w:sz w:val="24"/>
        </w:rPr>
        <w:t>ХЗП.</w:t>
      </w:r>
    </w:p>
    <w:p>
      <w:pPr>
        <w:pStyle w:val="BodyText"/>
        <w:spacing w:before="5"/>
        <w:ind w:left="0"/>
        <w:jc w:val="left"/>
      </w:pPr>
    </w:p>
    <w:p>
      <w:pPr>
        <w:pStyle w:val="Heading3"/>
      </w:pPr>
      <w:r>
        <w:rPr>
          <w:color w:val="1F487C"/>
        </w:rPr>
        <w:t>Поражение</w:t>
      </w:r>
      <w:r>
        <w:rPr>
          <w:color w:val="1F487C"/>
          <w:spacing w:val="-13"/>
        </w:rPr>
        <w:t> </w:t>
      </w:r>
      <w:r>
        <w:rPr>
          <w:color w:val="1F487C"/>
        </w:rPr>
        <w:t>печени</w:t>
      </w:r>
      <w:r>
        <w:rPr>
          <w:color w:val="1F487C"/>
          <w:spacing w:val="-12"/>
        </w:rPr>
        <w:t> </w:t>
      </w:r>
      <w:r>
        <w:rPr>
          <w:color w:val="1F487C"/>
        </w:rPr>
        <w:t>на</w:t>
      </w:r>
      <w:r>
        <w:rPr>
          <w:color w:val="1F487C"/>
          <w:spacing w:val="-12"/>
        </w:rPr>
        <w:t> </w:t>
      </w:r>
      <w:r>
        <w:rPr>
          <w:color w:val="1F487C"/>
        </w:rPr>
        <w:t>фоне</w:t>
      </w:r>
      <w:r>
        <w:rPr>
          <w:color w:val="1F487C"/>
          <w:spacing w:val="-11"/>
        </w:rPr>
        <w:t> </w:t>
      </w:r>
      <w:r>
        <w:rPr>
          <w:color w:val="1F487C"/>
        </w:rPr>
        <w:t>COVID-</w:t>
      </w:r>
      <w:r>
        <w:rPr>
          <w:color w:val="1F487C"/>
          <w:spacing w:val="-5"/>
        </w:rPr>
        <w:t>19</w:t>
      </w:r>
    </w:p>
    <w:p>
      <w:pPr>
        <w:pStyle w:val="BodyText"/>
        <w:spacing w:line="276" w:lineRule="auto" w:before="141"/>
        <w:ind w:right="1272" w:firstLine="707"/>
      </w:pPr>
      <w:r>
        <w:rPr/>
        <w:t>Острое повреждение печеночной ткани встречается по разным данным довольно</w:t>
      </w:r>
      <w:r>
        <w:rPr>
          <w:spacing w:val="-9"/>
        </w:rPr>
        <w:t> </w:t>
      </w:r>
      <w:r>
        <w:rPr/>
        <w:t>часто,</w:t>
      </w:r>
      <w:r>
        <w:rPr>
          <w:spacing w:val="-9"/>
        </w:rPr>
        <w:t> </w:t>
      </w:r>
      <w:r>
        <w:rPr/>
        <w:t>в</w:t>
      </w:r>
      <w:r>
        <w:rPr>
          <w:spacing w:val="-10"/>
        </w:rPr>
        <w:t> </w:t>
      </w:r>
      <w:r>
        <w:rPr/>
        <w:t>10-65%</w:t>
      </w:r>
      <w:r>
        <w:rPr>
          <w:spacing w:val="-10"/>
        </w:rPr>
        <w:t> </w:t>
      </w:r>
      <w:r>
        <w:rPr/>
        <w:t>случаев</w:t>
      </w:r>
      <w:r>
        <w:rPr>
          <w:spacing w:val="-7"/>
        </w:rPr>
        <w:t> </w:t>
      </w:r>
      <w:r>
        <w:rPr/>
        <w:t>и</w:t>
      </w:r>
      <w:r>
        <w:rPr>
          <w:spacing w:val="-8"/>
        </w:rPr>
        <w:t> </w:t>
      </w:r>
      <w:r>
        <w:rPr/>
        <w:t>выражается</w:t>
      </w:r>
      <w:r>
        <w:rPr>
          <w:spacing w:val="-9"/>
        </w:rPr>
        <w:t> </w:t>
      </w:r>
      <w:r>
        <w:rPr/>
        <w:t>в</w:t>
      </w:r>
      <w:r>
        <w:rPr>
          <w:spacing w:val="-10"/>
        </w:rPr>
        <w:t> </w:t>
      </w:r>
      <w:r>
        <w:rPr/>
        <w:t>повышении</w:t>
      </w:r>
      <w:r>
        <w:rPr>
          <w:spacing w:val="-8"/>
        </w:rPr>
        <w:t> </w:t>
      </w:r>
      <w:r>
        <w:rPr/>
        <w:t>печеночных</w:t>
      </w:r>
      <w:r>
        <w:rPr>
          <w:spacing w:val="-10"/>
        </w:rPr>
        <w:t> </w:t>
      </w:r>
      <w:r>
        <w:rPr/>
        <w:t>ферментов (АЛТ,</w:t>
      </w:r>
      <w:r>
        <w:rPr>
          <w:spacing w:val="-10"/>
        </w:rPr>
        <w:t> </w:t>
      </w:r>
      <w:r>
        <w:rPr/>
        <w:t>АСТ,</w:t>
      </w:r>
      <w:r>
        <w:rPr>
          <w:spacing w:val="-11"/>
        </w:rPr>
        <w:t> </w:t>
      </w:r>
      <w:r>
        <w:rPr/>
        <w:t>реже</w:t>
      </w:r>
      <w:r>
        <w:rPr>
          <w:spacing w:val="-11"/>
        </w:rPr>
        <w:t> </w:t>
      </w:r>
      <w:r>
        <w:rPr/>
        <w:t>–</w:t>
      </w:r>
      <w:r>
        <w:rPr>
          <w:spacing w:val="-11"/>
        </w:rPr>
        <w:t> </w:t>
      </w:r>
      <w:r>
        <w:rPr/>
        <w:t>билирубина</w:t>
      </w:r>
      <w:r>
        <w:rPr>
          <w:spacing w:val="-12"/>
        </w:rPr>
        <w:t> </w:t>
      </w:r>
      <w:r>
        <w:rPr/>
        <w:t>и</w:t>
      </w:r>
      <w:r>
        <w:rPr>
          <w:spacing w:val="-10"/>
        </w:rPr>
        <w:t> </w:t>
      </w:r>
      <w:r>
        <w:rPr/>
        <w:t>нарушение</w:t>
      </w:r>
      <w:r>
        <w:rPr>
          <w:spacing w:val="-12"/>
        </w:rPr>
        <w:t> </w:t>
      </w:r>
      <w:r>
        <w:rPr/>
        <w:t>синтетической</w:t>
      </w:r>
      <w:r>
        <w:rPr>
          <w:spacing w:val="-10"/>
        </w:rPr>
        <w:t> </w:t>
      </w:r>
      <w:r>
        <w:rPr/>
        <w:t>функции</w:t>
      </w:r>
      <w:r>
        <w:rPr>
          <w:spacing w:val="-12"/>
        </w:rPr>
        <w:t> </w:t>
      </w:r>
      <w:r>
        <w:rPr/>
        <w:t>печени),</w:t>
      </w:r>
      <w:r>
        <w:rPr>
          <w:spacing w:val="-11"/>
        </w:rPr>
        <w:t> </w:t>
      </w:r>
      <w:r>
        <w:rPr/>
        <w:t>в</w:t>
      </w:r>
      <w:r>
        <w:rPr>
          <w:spacing w:val="-11"/>
        </w:rPr>
        <w:t> </w:t>
      </w:r>
      <w:r>
        <w:rPr/>
        <w:t>связи с</w:t>
      </w:r>
      <w:r>
        <w:rPr>
          <w:spacing w:val="-11"/>
        </w:rPr>
        <w:t> </w:t>
      </w:r>
      <w:r>
        <w:rPr/>
        <w:t>чем</w:t>
      </w:r>
      <w:r>
        <w:rPr>
          <w:spacing w:val="-10"/>
        </w:rPr>
        <w:t> </w:t>
      </w:r>
      <w:r>
        <w:rPr/>
        <w:t>как</w:t>
      </w:r>
      <w:r>
        <w:rPr>
          <w:spacing w:val="-9"/>
        </w:rPr>
        <w:t> </w:t>
      </w:r>
      <w:r>
        <w:rPr/>
        <w:t>во</w:t>
      </w:r>
      <w:r>
        <w:rPr>
          <w:spacing w:val="-8"/>
        </w:rPr>
        <w:t> </w:t>
      </w:r>
      <w:r>
        <w:rPr/>
        <w:t>время</w:t>
      </w:r>
      <w:r>
        <w:rPr>
          <w:spacing w:val="-10"/>
        </w:rPr>
        <w:t> </w:t>
      </w:r>
      <w:r>
        <w:rPr/>
        <w:t>госпитализации,</w:t>
      </w:r>
      <w:r>
        <w:rPr>
          <w:spacing w:val="-10"/>
        </w:rPr>
        <w:t> </w:t>
      </w:r>
      <w:r>
        <w:rPr/>
        <w:t>так</w:t>
      </w:r>
      <w:r>
        <w:rPr>
          <w:spacing w:val="-9"/>
        </w:rPr>
        <w:t> </w:t>
      </w:r>
      <w:r>
        <w:rPr/>
        <w:t>и</w:t>
      </w:r>
      <w:r>
        <w:rPr>
          <w:spacing w:val="-9"/>
        </w:rPr>
        <w:t> </w:t>
      </w:r>
      <w:r>
        <w:rPr/>
        <w:t>в</w:t>
      </w:r>
      <w:r>
        <w:rPr>
          <w:spacing w:val="-10"/>
        </w:rPr>
        <w:t> </w:t>
      </w:r>
      <w:r>
        <w:rPr/>
        <w:t>ряде</w:t>
      </w:r>
      <w:r>
        <w:rPr>
          <w:spacing w:val="-11"/>
        </w:rPr>
        <w:t> </w:t>
      </w:r>
      <w:r>
        <w:rPr/>
        <w:t>случаев</w:t>
      </w:r>
      <w:r>
        <w:rPr>
          <w:spacing w:val="-8"/>
        </w:rPr>
        <w:t> </w:t>
      </w:r>
      <w:r>
        <w:rPr/>
        <w:t>после</w:t>
      </w:r>
      <w:r>
        <w:rPr>
          <w:spacing w:val="-8"/>
        </w:rPr>
        <w:t> </w:t>
      </w:r>
      <w:r>
        <w:rPr/>
        <w:t>нее</w:t>
      </w:r>
      <w:r>
        <w:rPr>
          <w:spacing w:val="-11"/>
        </w:rPr>
        <w:t> </w:t>
      </w:r>
      <w:r>
        <w:rPr/>
        <w:t>требуется</w:t>
      </w:r>
      <w:r>
        <w:rPr>
          <w:spacing w:val="-10"/>
        </w:rPr>
        <w:t> </w:t>
      </w:r>
      <w:r>
        <w:rPr/>
        <w:t>контроль соответствующих показателей крови. Существенно более тяжелым вариантом поражения печени может стать прогрессирующий холестаз, который чаще всего встречается у пациентов с уже имеющимся ХЗП, перенесших тяжелую форму COVID-19. В ряде случаев (до трети от общего числа наблюдалось развитие вторичного склерозирующего холангита – жизнеугрожающего состояния, которое могло</w:t>
      </w:r>
      <w:r>
        <w:rPr>
          <w:spacing w:val="80"/>
          <w:w w:val="150"/>
        </w:rPr>
        <w:t> </w:t>
      </w:r>
      <w:r>
        <w:rPr/>
        <w:t>потребовать</w:t>
      </w:r>
      <w:r>
        <w:rPr>
          <w:spacing w:val="80"/>
          <w:w w:val="150"/>
        </w:rPr>
        <w:t> </w:t>
      </w:r>
      <w:r>
        <w:rPr/>
        <w:t>трансплантации</w:t>
      </w:r>
      <w:r>
        <w:rPr>
          <w:spacing w:val="80"/>
          <w:w w:val="150"/>
        </w:rPr>
        <w:t> </w:t>
      </w:r>
      <w:r>
        <w:rPr/>
        <w:t>печени</w:t>
      </w:r>
      <w:r>
        <w:rPr>
          <w:spacing w:val="80"/>
          <w:w w:val="150"/>
        </w:rPr>
        <w:t> </w:t>
      </w:r>
      <w:r>
        <w:rPr/>
        <w:t>и</w:t>
      </w:r>
      <w:r>
        <w:rPr>
          <w:spacing w:val="80"/>
          <w:w w:val="150"/>
        </w:rPr>
        <w:t> </w:t>
      </w:r>
      <w:r>
        <w:rPr/>
        <w:t>в</w:t>
      </w:r>
      <w:r>
        <w:rPr>
          <w:spacing w:val="80"/>
          <w:w w:val="150"/>
        </w:rPr>
        <w:t> </w:t>
      </w:r>
      <w:r>
        <w:rPr/>
        <w:t>половине</w:t>
      </w:r>
      <w:r>
        <w:rPr>
          <w:spacing w:val="80"/>
          <w:w w:val="150"/>
        </w:rPr>
        <w:t> </w:t>
      </w:r>
      <w:r>
        <w:rPr/>
        <w:t>случаев</w:t>
      </w:r>
      <w:r>
        <w:rPr>
          <w:spacing w:val="80"/>
          <w:w w:val="150"/>
        </w:rPr>
        <w:t> </w:t>
      </w:r>
      <w:r>
        <w:rPr/>
        <w:t>приводило к летальному исходу. В связи с этим пациентам с признаками холестаза иногда требуется</w:t>
      </w:r>
      <w:r>
        <w:rPr>
          <w:spacing w:val="31"/>
        </w:rPr>
        <w:t> </w:t>
      </w:r>
      <w:r>
        <w:rPr/>
        <w:t>выполнение</w:t>
      </w:r>
      <w:r>
        <w:rPr>
          <w:spacing w:val="28"/>
        </w:rPr>
        <w:t> </w:t>
      </w:r>
      <w:r>
        <w:rPr/>
        <w:t>МРТ,</w:t>
      </w:r>
      <w:r>
        <w:rPr>
          <w:spacing w:val="31"/>
        </w:rPr>
        <w:t> </w:t>
      </w:r>
      <w:r>
        <w:rPr/>
        <w:t>а</w:t>
      </w:r>
      <w:r>
        <w:rPr>
          <w:spacing w:val="30"/>
        </w:rPr>
        <w:t> </w:t>
      </w:r>
      <w:r>
        <w:rPr/>
        <w:t>также</w:t>
      </w:r>
      <w:r>
        <w:rPr>
          <w:spacing w:val="28"/>
        </w:rPr>
        <w:t> </w:t>
      </w:r>
      <w:r>
        <w:rPr/>
        <w:t>контроль</w:t>
      </w:r>
      <w:r>
        <w:rPr>
          <w:spacing w:val="32"/>
        </w:rPr>
        <w:t> </w:t>
      </w:r>
      <w:r>
        <w:rPr/>
        <w:t>щелочной</w:t>
      </w:r>
      <w:r>
        <w:rPr>
          <w:spacing w:val="31"/>
        </w:rPr>
        <w:t> </w:t>
      </w:r>
      <w:r>
        <w:rPr/>
        <w:t>фосфатазы</w:t>
      </w:r>
      <w:r>
        <w:rPr>
          <w:spacing w:val="28"/>
        </w:rPr>
        <w:t> </w:t>
      </w:r>
      <w:r>
        <w:rPr/>
        <w:t>и</w:t>
      </w:r>
      <w:r>
        <w:rPr>
          <w:spacing w:val="30"/>
        </w:rPr>
        <w:t> </w:t>
      </w:r>
      <w:r>
        <w:rPr/>
        <w:t>билирубина в течение нескольких месяцев после выписки из стационара.</w:t>
      </w:r>
    </w:p>
    <w:p>
      <w:pPr>
        <w:pStyle w:val="Heading3"/>
        <w:spacing w:before="236"/>
      </w:pPr>
      <w:r>
        <w:rPr>
          <w:color w:val="1F487C"/>
        </w:rPr>
        <w:t>Течение</w:t>
      </w:r>
      <w:r>
        <w:rPr>
          <w:color w:val="1F487C"/>
          <w:spacing w:val="-8"/>
        </w:rPr>
        <w:t> </w:t>
      </w:r>
      <w:r>
        <w:rPr>
          <w:color w:val="1F487C"/>
        </w:rPr>
        <w:t>COVID-19</w:t>
      </w:r>
      <w:r>
        <w:rPr>
          <w:color w:val="1F487C"/>
          <w:spacing w:val="-9"/>
        </w:rPr>
        <w:t> </w:t>
      </w:r>
      <w:r>
        <w:rPr>
          <w:color w:val="1F487C"/>
        </w:rPr>
        <w:t>у</w:t>
      </w:r>
      <w:r>
        <w:rPr>
          <w:color w:val="1F487C"/>
          <w:spacing w:val="-8"/>
        </w:rPr>
        <w:t> </w:t>
      </w:r>
      <w:r>
        <w:rPr>
          <w:color w:val="1F487C"/>
        </w:rPr>
        <w:t>пациентов</w:t>
      </w:r>
      <w:r>
        <w:rPr>
          <w:color w:val="1F487C"/>
          <w:spacing w:val="-9"/>
        </w:rPr>
        <w:t> </w:t>
      </w:r>
      <w:r>
        <w:rPr>
          <w:color w:val="1F487C"/>
        </w:rPr>
        <w:t>с</w:t>
      </w:r>
      <w:r>
        <w:rPr>
          <w:color w:val="1F487C"/>
          <w:spacing w:val="-9"/>
        </w:rPr>
        <w:t> </w:t>
      </w:r>
      <w:r>
        <w:rPr>
          <w:color w:val="1F487C"/>
          <w:spacing w:val="-5"/>
        </w:rPr>
        <w:t>ХЗП</w:t>
      </w:r>
    </w:p>
    <w:p>
      <w:pPr>
        <w:pStyle w:val="BodyText"/>
        <w:spacing w:line="276" w:lineRule="auto" w:before="141"/>
        <w:ind w:right="1271" w:firstLine="707"/>
        <w:jc w:val="left"/>
      </w:pPr>
      <w:r>
        <w:rPr/>
        <w:t>Многочисленные</w:t>
      </w:r>
      <w:r>
        <w:rPr>
          <w:spacing w:val="34"/>
        </w:rPr>
        <w:t> </w:t>
      </w:r>
      <w:r>
        <w:rPr/>
        <w:t>наблюдения</w:t>
      </w:r>
      <w:r>
        <w:rPr>
          <w:spacing w:val="35"/>
        </w:rPr>
        <w:t> </w:t>
      </w:r>
      <w:r>
        <w:rPr/>
        <w:t>и</w:t>
      </w:r>
      <w:r>
        <w:rPr>
          <w:spacing w:val="36"/>
        </w:rPr>
        <w:t> </w:t>
      </w:r>
      <w:r>
        <w:rPr/>
        <w:t>исследования</w:t>
      </w:r>
      <w:r>
        <w:rPr>
          <w:spacing w:val="35"/>
        </w:rPr>
        <w:t> </w:t>
      </w:r>
      <w:r>
        <w:rPr/>
        <w:t>позволили</w:t>
      </w:r>
      <w:r>
        <w:rPr>
          <w:spacing w:val="36"/>
        </w:rPr>
        <w:t> </w:t>
      </w:r>
      <w:r>
        <w:rPr/>
        <w:t>сделать</w:t>
      </w:r>
      <w:r>
        <w:rPr>
          <w:spacing w:val="37"/>
        </w:rPr>
        <w:t> </w:t>
      </w:r>
      <w:r>
        <w:rPr/>
        <w:t>несколько важных выводов в отношение пациентов с ХЗП с COVID-19:</w:t>
      </w:r>
    </w:p>
    <w:p>
      <w:pPr>
        <w:pStyle w:val="ListParagraph"/>
        <w:numPr>
          <w:ilvl w:val="0"/>
          <w:numId w:val="46"/>
        </w:numPr>
        <w:tabs>
          <w:tab w:pos="2787" w:val="left" w:leader="none"/>
        </w:tabs>
        <w:spacing w:line="240" w:lineRule="auto" w:before="1" w:after="0"/>
        <w:ind w:left="2787" w:right="0" w:hanging="238"/>
        <w:jc w:val="left"/>
        <w:rPr>
          <w:sz w:val="24"/>
        </w:rPr>
      </w:pPr>
      <w:r>
        <w:rPr>
          <w:sz w:val="24"/>
        </w:rPr>
        <w:t>Повышенного</w:t>
      </w:r>
      <w:r>
        <w:rPr>
          <w:spacing w:val="-12"/>
          <w:sz w:val="24"/>
        </w:rPr>
        <w:t> </w:t>
      </w:r>
      <w:r>
        <w:rPr>
          <w:sz w:val="24"/>
        </w:rPr>
        <w:t>риска</w:t>
      </w:r>
      <w:r>
        <w:rPr>
          <w:spacing w:val="-11"/>
          <w:sz w:val="24"/>
        </w:rPr>
        <w:t> </w:t>
      </w:r>
      <w:r>
        <w:rPr>
          <w:sz w:val="24"/>
        </w:rPr>
        <w:t>заражения</w:t>
      </w:r>
      <w:r>
        <w:rPr>
          <w:spacing w:val="-11"/>
          <w:sz w:val="24"/>
        </w:rPr>
        <w:t> </w:t>
      </w:r>
      <w:r>
        <w:rPr>
          <w:sz w:val="24"/>
        </w:rPr>
        <w:t>COVID-19</w:t>
      </w:r>
      <w:r>
        <w:rPr>
          <w:spacing w:val="-11"/>
          <w:sz w:val="24"/>
        </w:rPr>
        <w:t> </w:t>
      </w:r>
      <w:r>
        <w:rPr>
          <w:sz w:val="24"/>
        </w:rPr>
        <w:t>у</w:t>
      </w:r>
      <w:r>
        <w:rPr>
          <w:spacing w:val="-8"/>
          <w:sz w:val="24"/>
        </w:rPr>
        <w:t> </w:t>
      </w:r>
      <w:r>
        <w:rPr>
          <w:sz w:val="24"/>
        </w:rPr>
        <w:t>них</w:t>
      </w:r>
      <w:r>
        <w:rPr>
          <w:spacing w:val="-11"/>
          <w:sz w:val="24"/>
        </w:rPr>
        <w:t> </w:t>
      </w:r>
      <w:r>
        <w:rPr>
          <w:spacing w:val="-4"/>
          <w:sz w:val="24"/>
        </w:rPr>
        <w:t>нет;</w:t>
      </w:r>
    </w:p>
    <w:p>
      <w:pPr>
        <w:pStyle w:val="ListParagraph"/>
        <w:numPr>
          <w:ilvl w:val="0"/>
          <w:numId w:val="46"/>
        </w:numPr>
        <w:tabs>
          <w:tab w:pos="2844" w:val="left" w:leader="none"/>
        </w:tabs>
        <w:spacing w:line="276" w:lineRule="auto" w:before="41" w:after="0"/>
        <w:ind w:left="1841" w:right="1278" w:firstLine="707"/>
        <w:jc w:val="left"/>
        <w:rPr>
          <w:sz w:val="24"/>
        </w:rPr>
      </w:pPr>
      <w:r>
        <w:rPr>
          <w:sz w:val="24"/>
        </w:rPr>
        <w:t>Пациенты</w:t>
      </w:r>
      <w:r>
        <w:rPr>
          <w:spacing w:val="40"/>
          <w:sz w:val="24"/>
        </w:rPr>
        <w:t> </w:t>
      </w:r>
      <w:r>
        <w:rPr>
          <w:sz w:val="24"/>
        </w:rPr>
        <w:t>с</w:t>
      </w:r>
      <w:r>
        <w:rPr>
          <w:spacing w:val="40"/>
          <w:sz w:val="24"/>
        </w:rPr>
        <w:t> </w:t>
      </w:r>
      <w:r>
        <w:rPr>
          <w:sz w:val="24"/>
        </w:rPr>
        <w:t>циррозом</w:t>
      </w:r>
      <w:r>
        <w:rPr>
          <w:spacing w:val="40"/>
          <w:sz w:val="24"/>
        </w:rPr>
        <w:t> </w:t>
      </w:r>
      <w:r>
        <w:rPr>
          <w:sz w:val="24"/>
        </w:rPr>
        <w:t>печени</w:t>
      </w:r>
      <w:r>
        <w:rPr>
          <w:spacing w:val="40"/>
          <w:sz w:val="24"/>
        </w:rPr>
        <w:t> </w:t>
      </w:r>
      <w:r>
        <w:rPr>
          <w:sz w:val="24"/>
        </w:rPr>
        <w:t>подвержены</w:t>
      </w:r>
      <w:r>
        <w:rPr>
          <w:spacing w:val="40"/>
          <w:sz w:val="24"/>
        </w:rPr>
        <w:t> </w:t>
      </w:r>
      <w:r>
        <w:rPr>
          <w:sz w:val="24"/>
        </w:rPr>
        <w:t>высокому</w:t>
      </w:r>
      <w:r>
        <w:rPr>
          <w:spacing w:val="40"/>
          <w:sz w:val="24"/>
        </w:rPr>
        <w:t> </w:t>
      </w:r>
      <w:r>
        <w:rPr>
          <w:sz w:val="24"/>
        </w:rPr>
        <w:t>риску</w:t>
      </w:r>
      <w:r>
        <w:rPr>
          <w:spacing w:val="40"/>
          <w:sz w:val="24"/>
        </w:rPr>
        <w:t> </w:t>
      </w:r>
      <w:r>
        <w:rPr>
          <w:sz w:val="24"/>
        </w:rPr>
        <w:t>смертности, связанной с COVID-19;</w:t>
      </w:r>
    </w:p>
    <w:p>
      <w:pPr>
        <w:pStyle w:val="ListParagraph"/>
        <w:numPr>
          <w:ilvl w:val="0"/>
          <w:numId w:val="46"/>
        </w:numPr>
        <w:tabs>
          <w:tab w:pos="2849" w:val="left" w:leader="none"/>
        </w:tabs>
        <w:spacing w:line="278" w:lineRule="auto" w:before="0" w:after="0"/>
        <w:ind w:left="1841" w:right="1277" w:firstLine="707"/>
        <w:jc w:val="left"/>
        <w:rPr>
          <w:sz w:val="24"/>
        </w:rPr>
      </w:pPr>
      <w:r>
        <w:rPr>
          <w:sz w:val="24"/>
        </w:rPr>
        <w:t>Тяжесть</w:t>
      </w:r>
      <w:r>
        <w:rPr>
          <w:spacing w:val="40"/>
          <w:sz w:val="24"/>
        </w:rPr>
        <w:t> </w:t>
      </w:r>
      <w:r>
        <w:rPr>
          <w:sz w:val="24"/>
        </w:rPr>
        <w:t>заболевания</w:t>
      </w:r>
      <w:r>
        <w:rPr>
          <w:spacing w:val="40"/>
          <w:sz w:val="24"/>
        </w:rPr>
        <w:t> </w:t>
      </w:r>
      <w:r>
        <w:rPr>
          <w:sz w:val="24"/>
        </w:rPr>
        <w:t>печени</w:t>
      </w:r>
      <w:r>
        <w:rPr>
          <w:spacing w:val="40"/>
          <w:sz w:val="24"/>
        </w:rPr>
        <w:t> </w:t>
      </w:r>
      <w:r>
        <w:rPr>
          <w:sz w:val="24"/>
        </w:rPr>
        <w:t>является</w:t>
      </w:r>
      <w:r>
        <w:rPr>
          <w:spacing w:val="40"/>
          <w:sz w:val="24"/>
        </w:rPr>
        <w:t> </w:t>
      </w:r>
      <w:r>
        <w:rPr>
          <w:sz w:val="24"/>
        </w:rPr>
        <w:t>серьезным</w:t>
      </w:r>
      <w:r>
        <w:rPr>
          <w:spacing w:val="40"/>
          <w:sz w:val="24"/>
        </w:rPr>
        <w:t> </w:t>
      </w:r>
      <w:r>
        <w:rPr>
          <w:sz w:val="24"/>
        </w:rPr>
        <w:t>предиктором</w:t>
      </w:r>
      <w:r>
        <w:rPr>
          <w:spacing w:val="40"/>
          <w:sz w:val="24"/>
        </w:rPr>
        <w:t> </w:t>
      </w:r>
      <w:r>
        <w:rPr>
          <w:sz w:val="24"/>
        </w:rPr>
        <w:t>развития тяжелой формы COVID-19;</w:t>
      </w:r>
    </w:p>
    <w:p>
      <w:pPr>
        <w:pStyle w:val="ListParagraph"/>
        <w:numPr>
          <w:ilvl w:val="0"/>
          <w:numId w:val="46"/>
        </w:numPr>
        <w:tabs>
          <w:tab w:pos="2939" w:val="left" w:leader="none"/>
          <w:tab w:pos="4230" w:val="left" w:leader="none"/>
          <w:tab w:pos="5090" w:val="left" w:leader="none"/>
          <w:tab w:pos="6238" w:val="left" w:leader="none"/>
          <w:tab w:pos="6566" w:val="left" w:leader="none"/>
          <w:tab w:pos="7474" w:val="left" w:leader="none"/>
          <w:tab w:pos="8892" w:val="left" w:leader="none"/>
        </w:tabs>
        <w:spacing w:line="276" w:lineRule="auto" w:before="0" w:after="0"/>
        <w:ind w:left="1841" w:right="1278" w:firstLine="707"/>
        <w:jc w:val="left"/>
        <w:rPr>
          <w:sz w:val="24"/>
        </w:rPr>
      </w:pPr>
      <w:r>
        <w:rPr>
          <w:spacing w:val="-2"/>
          <w:sz w:val="24"/>
        </w:rPr>
        <w:t>COVID-19</w:t>
      </w:r>
      <w:r>
        <w:rPr>
          <w:sz w:val="24"/>
        </w:rPr>
        <w:tab/>
      </w:r>
      <w:r>
        <w:rPr>
          <w:spacing w:val="-4"/>
          <w:sz w:val="24"/>
        </w:rPr>
        <w:t>может</w:t>
      </w:r>
      <w:r>
        <w:rPr>
          <w:sz w:val="24"/>
        </w:rPr>
        <w:tab/>
      </w:r>
      <w:r>
        <w:rPr>
          <w:spacing w:val="-2"/>
          <w:sz w:val="24"/>
        </w:rPr>
        <w:t>привести</w:t>
      </w:r>
      <w:r>
        <w:rPr>
          <w:sz w:val="24"/>
        </w:rPr>
        <w:tab/>
      </w:r>
      <w:r>
        <w:rPr>
          <w:spacing w:val="-10"/>
          <w:sz w:val="24"/>
        </w:rPr>
        <w:t>к</w:t>
      </w:r>
      <w:r>
        <w:rPr>
          <w:sz w:val="24"/>
        </w:rPr>
        <w:tab/>
      </w:r>
      <w:r>
        <w:rPr>
          <w:spacing w:val="-2"/>
          <w:sz w:val="24"/>
        </w:rPr>
        <w:t>острой</w:t>
      </w:r>
      <w:r>
        <w:rPr>
          <w:sz w:val="24"/>
        </w:rPr>
        <w:tab/>
      </w:r>
      <w:r>
        <w:rPr>
          <w:spacing w:val="-2"/>
          <w:sz w:val="24"/>
        </w:rPr>
        <w:t>печеночной</w:t>
      </w:r>
      <w:r>
        <w:rPr>
          <w:sz w:val="24"/>
        </w:rPr>
        <w:tab/>
      </w:r>
      <w:r>
        <w:rPr>
          <w:spacing w:val="-2"/>
          <w:sz w:val="24"/>
        </w:rPr>
        <w:t>недостаточности </w:t>
      </w:r>
      <w:r>
        <w:rPr>
          <w:sz w:val="24"/>
        </w:rPr>
        <w:t>или ее обострению у пациентов с циррозом печени.</w:t>
      </w:r>
    </w:p>
    <w:p>
      <w:pPr>
        <w:pStyle w:val="Heading3"/>
        <w:spacing w:before="231"/>
      </w:pPr>
      <w:r>
        <w:rPr>
          <w:color w:val="1F487C"/>
        </w:rPr>
        <w:t>Особенности</w:t>
      </w:r>
      <w:r>
        <w:rPr>
          <w:color w:val="1F487C"/>
          <w:spacing w:val="-11"/>
        </w:rPr>
        <w:t> </w:t>
      </w:r>
      <w:r>
        <w:rPr>
          <w:color w:val="1F487C"/>
        </w:rPr>
        <w:t>лечения</w:t>
      </w:r>
      <w:r>
        <w:rPr>
          <w:color w:val="1F487C"/>
          <w:spacing w:val="-7"/>
        </w:rPr>
        <w:t> </w:t>
      </w:r>
      <w:r>
        <w:rPr>
          <w:color w:val="1F487C"/>
        </w:rPr>
        <w:t>COVID-19</w:t>
      </w:r>
      <w:r>
        <w:rPr>
          <w:color w:val="1F487C"/>
          <w:spacing w:val="-11"/>
        </w:rPr>
        <w:t> </w:t>
      </w:r>
      <w:r>
        <w:rPr>
          <w:color w:val="1F487C"/>
        </w:rPr>
        <w:t>у</w:t>
      </w:r>
      <w:r>
        <w:rPr>
          <w:color w:val="1F487C"/>
          <w:spacing w:val="-11"/>
        </w:rPr>
        <w:t> </w:t>
      </w:r>
      <w:r>
        <w:rPr>
          <w:color w:val="1F487C"/>
        </w:rPr>
        <w:t>пациентов</w:t>
      </w:r>
      <w:r>
        <w:rPr>
          <w:color w:val="1F487C"/>
          <w:spacing w:val="-11"/>
        </w:rPr>
        <w:t> </w:t>
      </w:r>
      <w:r>
        <w:rPr>
          <w:color w:val="1F487C"/>
        </w:rPr>
        <w:t>с</w:t>
      </w:r>
      <w:r>
        <w:rPr>
          <w:color w:val="1F487C"/>
          <w:spacing w:val="-11"/>
        </w:rPr>
        <w:t> </w:t>
      </w:r>
      <w:r>
        <w:rPr>
          <w:color w:val="1F487C"/>
          <w:spacing w:val="-5"/>
        </w:rPr>
        <w:t>ХЗП</w:t>
      </w:r>
    </w:p>
    <w:p>
      <w:pPr>
        <w:pStyle w:val="BodyText"/>
        <w:spacing w:line="276" w:lineRule="auto" w:before="142"/>
        <w:ind w:right="1278" w:firstLine="707"/>
      </w:pPr>
      <w:r>
        <w:rPr/>
        <w:t>Условия назначения препаратов прямого противовирусного действия (таких как ремдесивир, нирматрелвир/ритонавир, молнупиравир), а также моноклональных </w:t>
      </w:r>
      <w:r>
        <w:rPr>
          <w:spacing w:val="-2"/>
        </w:rPr>
        <w:t>антител,</w:t>
      </w:r>
      <w:r>
        <w:rPr>
          <w:spacing w:val="-13"/>
        </w:rPr>
        <w:t> </w:t>
      </w:r>
      <w:r>
        <w:rPr>
          <w:spacing w:val="-2"/>
        </w:rPr>
        <w:t>пациентам</w:t>
      </w:r>
      <w:r>
        <w:rPr>
          <w:spacing w:val="-13"/>
        </w:rPr>
        <w:t> </w:t>
      </w:r>
      <w:r>
        <w:rPr>
          <w:spacing w:val="-2"/>
        </w:rPr>
        <w:t>с</w:t>
      </w:r>
      <w:r>
        <w:rPr>
          <w:spacing w:val="-14"/>
        </w:rPr>
        <w:t> </w:t>
      </w:r>
      <w:r>
        <w:rPr>
          <w:spacing w:val="-2"/>
        </w:rPr>
        <w:t>ХЗП</w:t>
      </w:r>
      <w:r>
        <w:rPr>
          <w:spacing w:val="-13"/>
        </w:rPr>
        <w:t> </w:t>
      </w:r>
      <w:r>
        <w:rPr>
          <w:spacing w:val="-2"/>
        </w:rPr>
        <w:t>совпадают</w:t>
      </w:r>
      <w:r>
        <w:rPr>
          <w:spacing w:val="-11"/>
        </w:rPr>
        <w:t> </w:t>
      </w:r>
      <w:r>
        <w:rPr>
          <w:spacing w:val="-2"/>
        </w:rPr>
        <w:t>с</w:t>
      </w:r>
      <w:r>
        <w:rPr>
          <w:spacing w:val="-12"/>
        </w:rPr>
        <w:t> </w:t>
      </w:r>
      <w:r>
        <w:rPr>
          <w:spacing w:val="-2"/>
        </w:rPr>
        <w:t>таковыми</w:t>
      </w:r>
      <w:r>
        <w:rPr>
          <w:spacing w:val="-11"/>
        </w:rPr>
        <w:t> </w:t>
      </w:r>
      <w:r>
        <w:rPr>
          <w:spacing w:val="-2"/>
        </w:rPr>
        <w:t>у</w:t>
      </w:r>
      <w:r>
        <w:rPr>
          <w:spacing w:val="-13"/>
        </w:rPr>
        <w:t> </w:t>
      </w:r>
      <w:r>
        <w:rPr>
          <w:spacing w:val="-2"/>
        </w:rPr>
        <w:t>пациентов</w:t>
      </w:r>
      <w:r>
        <w:rPr>
          <w:spacing w:val="-12"/>
        </w:rPr>
        <w:t> </w:t>
      </w:r>
      <w:r>
        <w:rPr>
          <w:spacing w:val="-2"/>
        </w:rPr>
        <w:t>без</w:t>
      </w:r>
      <w:r>
        <w:rPr>
          <w:spacing w:val="-11"/>
        </w:rPr>
        <w:t> </w:t>
      </w:r>
      <w:r>
        <w:rPr>
          <w:spacing w:val="-2"/>
        </w:rPr>
        <w:t>заболеваний</w:t>
      </w:r>
      <w:r>
        <w:rPr>
          <w:spacing w:val="-12"/>
        </w:rPr>
        <w:t> </w:t>
      </w:r>
      <w:r>
        <w:rPr>
          <w:spacing w:val="-2"/>
        </w:rPr>
        <w:t>печени.</w:t>
      </w:r>
    </w:p>
    <w:p>
      <w:pPr>
        <w:pStyle w:val="BodyText"/>
        <w:spacing w:after="0" w:line="276" w:lineRule="auto"/>
        <w:sectPr>
          <w:pgSz w:w="11900" w:h="16840"/>
          <w:pgMar w:header="0" w:footer="697" w:top="1080" w:bottom="880" w:left="0" w:right="0"/>
        </w:sectPr>
      </w:pPr>
    </w:p>
    <w:p>
      <w:pPr>
        <w:pStyle w:val="BodyText"/>
        <w:spacing w:line="276" w:lineRule="auto" w:before="73"/>
        <w:ind w:right="1274"/>
      </w:pPr>
      <w:bookmarkStart w:name="102" w:id="119"/>
      <w:bookmarkEnd w:id="119"/>
      <w:r>
        <w:rPr/>
      </w:r>
      <w:r>
        <w:rPr/>
        <w:t>При</w:t>
      </w:r>
      <w:r>
        <w:rPr>
          <w:spacing w:val="-11"/>
        </w:rPr>
        <w:t> </w:t>
      </w:r>
      <w:r>
        <w:rPr/>
        <w:t>использовании</w:t>
      </w:r>
      <w:r>
        <w:rPr>
          <w:spacing w:val="-13"/>
        </w:rPr>
        <w:t> </w:t>
      </w:r>
      <w:r>
        <w:rPr/>
        <w:t>ремдесивира</w:t>
      </w:r>
      <w:r>
        <w:rPr>
          <w:spacing w:val="-12"/>
        </w:rPr>
        <w:t> </w:t>
      </w:r>
      <w:r>
        <w:rPr/>
        <w:t>не</w:t>
      </w:r>
      <w:r>
        <w:rPr>
          <w:spacing w:val="-12"/>
        </w:rPr>
        <w:t> </w:t>
      </w:r>
      <w:r>
        <w:rPr/>
        <w:t>отмечалось</w:t>
      </w:r>
      <w:r>
        <w:rPr>
          <w:spacing w:val="-11"/>
        </w:rPr>
        <w:t> </w:t>
      </w:r>
      <w:r>
        <w:rPr/>
        <w:t>большей</w:t>
      </w:r>
      <w:r>
        <w:rPr>
          <w:spacing w:val="-13"/>
        </w:rPr>
        <w:t> </w:t>
      </w:r>
      <w:r>
        <w:rPr/>
        <w:t>частоты</w:t>
      </w:r>
      <w:r>
        <w:rPr>
          <w:spacing w:val="-12"/>
        </w:rPr>
        <w:t> </w:t>
      </w:r>
      <w:r>
        <w:rPr/>
        <w:t>случаев</w:t>
      </w:r>
      <w:r>
        <w:rPr>
          <w:spacing w:val="-12"/>
        </w:rPr>
        <w:t> </w:t>
      </w:r>
      <w:r>
        <w:rPr/>
        <w:t>повышения АЛТ в сравнении с контрольной группой. Следует помнить о групповой принадлежности</w:t>
      </w:r>
      <w:r>
        <w:rPr>
          <w:spacing w:val="40"/>
        </w:rPr>
        <w:t>  </w:t>
      </w:r>
      <w:r>
        <w:rPr/>
        <w:t>нирматрелвира</w:t>
      </w:r>
      <w:r>
        <w:rPr>
          <w:spacing w:val="40"/>
        </w:rPr>
        <w:t>  </w:t>
      </w:r>
      <w:r>
        <w:rPr/>
        <w:t>(ингибитор</w:t>
      </w:r>
      <w:r>
        <w:rPr>
          <w:spacing w:val="40"/>
        </w:rPr>
        <w:t>  </w:t>
      </w:r>
      <w:r>
        <w:rPr/>
        <w:t>протеазы),</w:t>
      </w:r>
      <w:r>
        <w:rPr>
          <w:spacing w:val="40"/>
        </w:rPr>
        <w:t>  </w:t>
      </w:r>
      <w:r>
        <w:rPr/>
        <w:t>а</w:t>
      </w:r>
      <w:r>
        <w:rPr>
          <w:spacing w:val="40"/>
        </w:rPr>
        <w:t>  </w:t>
      </w:r>
      <w:r>
        <w:rPr/>
        <w:t>значит,</w:t>
      </w:r>
      <w:r>
        <w:rPr>
          <w:spacing w:val="40"/>
        </w:rPr>
        <w:t>  </w:t>
      </w:r>
      <w:r>
        <w:rPr/>
        <w:t>избегать</w:t>
      </w:r>
      <w:r>
        <w:rPr>
          <w:spacing w:val="40"/>
        </w:rPr>
        <w:t> </w:t>
      </w:r>
      <w:r>
        <w:rPr/>
        <w:t>его</w:t>
      </w:r>
      <w:r>
        <w:rPr>
          <w:spacing w:val="40"/>
        </w:rPr>
        <w:t> </w:t>
      </w:r>
      <w:r>
        <w:rPr/>
        <w:t>назначения</w:t>
      </w:r>
      <w:r>
        <w:rPr>
          <w:spacing w:val="40"/>
        </w:rPr>
        <w:t> </w:t>
      </w:r>
      <w:r>
        <w:rPr/>
        <w:t>пациентам</w:t>
      </w:r>
      <w:r>
        <w:rPr>
          <w:spacing w:val="40"/>
        </w:rPr>
        <w:t> </w:t>
      </w:r>
      <w:r>
        <w:rPr/>
        <w:t>с</w:t>
      </w:r>
      <w:r>
        <w:rPr>
          <w:spacing w:val="40"/>
        </w:rPr>
        <w:t> </w:t>
      </w:r>
      <w:r>
        <w:rPr/>
        <w:t>циррозом</w:t>
      </w:r>
      <w:r>
        <w:rPr>
          <w:spacing w:val="40"/>
        </w:rPr>
        <w:t> </w:t>
      </w:r>
      <w:r>
        <w:rPr/>
        <w:t>печени</w:t>
      </w:r>
      <w:r>
        <w:rPr>
          <w:spacing w:val="40"/>
        </w:rPr>
        <w:t> </w:t>
      </w:r>
      <w:r>
        <w:rPr/>
        <w:t>с</w:t>
      </w:r>
      <w:r>
        <w:rPr>
          <w:spacing w:val="40"/>
        </w:rPr>
        <w:t> </w:t>
      </w:r>
      <w:r>
        <w:rPr/>
        <w:t>признаками</w:t>
      </w:r>
      <w:r>
        <w:rPr>
          <w:spacing w:val="40"/>
        </w:rPr>
        <w:t> </w:t>
      </w:r>
      <w:r>
        <w:rPr/>
        <w:t>декомпенсации (классы В и С по Child-Pugh). Молнупиравир может назначаться при всех ХЗП, включая</w:t>
      </w:r>
      <w:r>
        <w:rPr>
          <w:spacing w:val="80"/>
        </w:rPr>
        <w:t> </w:t>
      </w:r>
      <w:r>
        <w:rPr/>
        <w:t>цирроз</w:t>
      </w:r>
      <w:r>
        <w:rPr>
          <w:spacing w:val="80"/>
        </w:rPr>
        <w:t> </w:t>
      </w:r>
      <w:r>
        <w:rPr/>
        <w:t>печени</w:t>
      </w:r>
      <w:r>
        <w:rPr>
          <w:spacing w:val="80"/>
        </w:rPr>
        <w:t> </w:t>
      </w:r>
      <w:r>
        <w:rPr/>
        <w:t>любой</w:t>
      </w:r>
      <w:r>
        <w:rPr>
          <w:spacing w:val="80"/>
        </w:rPr>
        <w:t> </w:t>
      </w:r>
      <w:r>
        <w:rPr/>
        <w:t>степени</w:t>
      </w:r>
      <w:r>
        <w:rPr>
          <w:spacing w:val="80"/>
        </w:rPr>
        <w:t> </w:t>
      </w:r>
      <w:r>
        <w:rPr/>
        <w:t>декомпенсации,</w:t>
      </w:r>
      <w:r>
        <w:rPr>
          <w:spacing w:val="80"/>
        </w:rPr>
        <w:t> </w:t>
      </w:r>
      <w:r>
        <w:rPr/>
        <w:t>гепатобилиарный</w:t>
      </w:r>
      <w:r>
        <w:rPr>
          <w:spacing w:val="80"/>
        </w:rPr>
        <w:t> </w:t>
      </w:r>
      <w:r>
        <w:rPr/>
        <w:t>рак,</w:t>
      </w:r>
      <w:r>
        <w:rPr>
          <w:spacing w:val="80"/>
        </w:rPr>
        <w:t> </w:t>
      </w:r>
      <w:r>
        <w:rPr/>
        <w:t>а также пациентам, перенесшим трансплантацию.</w:t>
      </w:r>
    </w:p>
    <w:p>
      <w:pPr>
        <w:pStyle w:val="BodyText"/>
        <w:tabs>
          <w:tab w:pos="3663" w:val="left" w:leader="none"/>
          <w:tab w:pos="5530" w:val="left" w:leader="none"/>
          <w:tab w:pos="7375" w:val="left" w:leader="none"/>
          <w:tab w:pos="8173" w:val="left" w:leader="none"/>
        </w:tabs>
        <w:spacing w:line="276" w:lineRule="auto"/>
        <w:ind w:right="1268" w:firstLine="707"/>
      </w:pPr>
      <w:r>
        <w:rPr>
          <w:spacing w:val="-4"/>
        </w:rPr>
        <w:t>При</w:t>
      </w:r>
      <w:r>
        <w:rPr/>
        <w:tab/>
      </w:r>
      <w:r>
        <w:rPr>
          <w:spacing w:val="-2"/>
        </w:rPr>
        <w:t>назначении</w:t>
      </w:r>
      <w:r>
        <w:rPr/>
        <w:tab/>
      </w:r>
      <w:r>
        <w:rPr>
          <w:spacing w:val="-2"/>
        </w:rPr>
        <w:t>препаратов</w:t>
      </w:r>
      <w:r>
        <w:rPr/>
        <w:tab/>
      </w:r>
      <w:r>
        <w:rPr>
          <w:spacing w:val="-10"/>
        </w:rPr>
        <w:t>с</w:t>
      </w:r>
      <w:r>
        <w:rPr/>
        <w:tab/>
      </w:r>
      <w:r>
        <w:rPr>
          <w:spacing w:val="-2"/>
        </w:rPr>
        <w:t>иммуномодулирующим </w:t>
      </w:r>
      <w:r>
        <w:rPr/>
        <w:t>и противовоспалительными свойствами (ГКС; ингибиторы янус-киназ 1,2; антагонисты рецепторов ИЛ-6) необходимо провести анализ крови на HBsAg и anti- HBc</w:t>
      </w:r>
      <w:r>
        <w:rPr>
          <w:spacing w:val="-7"/>
        </w:rPr>
        <w:t> </w:t>
      </w:r>
      <w:r>
        <w:rPr/>
        <w:t>с</w:t>
      </w:r>
      <w:r>
        <w:rPr>
          <w:spacing w:val="-7"/>
        </w:rPr>
        <w:t> </w:t>
      </w:r>
      <w:r>
        <w:rPr/>
        <w:t>целью</w:t>
      </w:r>
      <w:r>
        <w:rPr>
          <w:spacing w:val="-5"/>
        </w:rPr>
        <w:t> </w:t>
      </w:r>
      <w:r>
        <w:rPr/>
        <w:t>исключения</w:t>
      </w:r>
      <w:r>
        <w:rPr>
          <w:spacing w:val="-6"/>
        </w:rPr>
        <w:t> </w:t>
      </w:r>
      <w:r>
        <w:rPr/>
        <w:t>инфекции</w:t>
      </w:r>
      <w:r>
        <w:rPr>
          <w:spacing w:val="-5"/>
        </w:rPr>
        <w:t> </w:t>
      </w:r>
      <w:r>
        <w:rPr/>
        <w:t>вирусом</w:t>
      </w:r>
      <w:r>
        <w:rPr>
          <w:spacing w:val="-7"/>
        </w:rPr>
        <w:t> </w:t>
      </w:r>
      <w:r>
        <w:rPr/>
        <w:t>гепатита</w:t>
      </w:r>
      <w:r>
        <w:rPr>
          <w:spacing w:val="-6"/>
        </w:rPr>
        <w:t> </w:t>
      </w:r>
      <w:r>
        <w:rPr/>
        <w:t>В.</w:t>
      </w:r>
      <w:r>
        <w:rPr>
          <w:spacing w:val="-6"/>
        </w:rPr>
        <w:t> </w:t>
      </w:r>
      <w:r>
        <w:rPr/>
        <w:t>В</w:t>
      </w:r>
      <w:r>
        <w:rPr>
          <w:spacing w:val="-5"/>
        </w:rPr>
        <w:t> </w:t>
      </w:r>
      <w:r>
        <w:rPr/>
        <w:t>случае</w:t>
      </w:r>
      <w:r>
        <w:rPr>
          <w:spacing w:val="-4"/>
        </w:rPr>
        <w:t> </w:t>
      </w:r>
      <w:r>
        <w:rPr/>
        <w:t>выявления</w:t>
      </w:r>
      <w:r>
        <w:rPr>
          <w:spacing w:val="-6"/>
        </w:rPr>
        <w:t> </w:t>
      </w:r>
      <w:r>
        <w:rPr/>
        <w:t>хотя</w:t>
      </w:r>
      <w:r>
        <w:rPr>
          <w:spacing w:val="-5"/>
        </w:rPr>
        <w:t> </w:t>
      </w:r>
      <w:r>
        <w:rPr/>
        <w:t>бы одного</w:t>
      </w:r>
      <w:r>
        <w:rPr>
          <w:spacing w:val="80"/>
        </w:rPr>
        <w:t> </w:t>
      </w:r>
      <w:r>
        <w:rPr/>
        <w:t>из</w:t>
      </w:r>
      <w:r>
        <w:rPr>
          <w:spacing w:val="80"/>
        </w:rPr>
        <w:t> </w:t>
      </w:r>
      <w:r>
        <w:rPr/>
        <w:t>показателей</w:t>
      </w:r>
      <w:r>
        <w:rPr>
          <w:spacing w:val="80"/>
        </w:rPr>
        <w:t> </w:t>
      </w:r>
      <w:r>
        <w:rPr/>
        <w:t>следует</w:t>
      </w:r>
      <w:r>
        <w:rPr>
          <w:spacing w:val="80"/>
        </w:rPr>
        <w:t> </w:t>
      </w:r>
      <w:r>
        <w:rPr/>
        <w:t>назначить</w:t>
      </w:r>
      <w:r>
        <w:rPr>
          <w:spacing w:val="80"/>
        </w:rPr>
        <w:t> </w:t>
      </w:r>
      <w:r>
        <w:rPr/>
        <w:t>аналоги</w:t>
      </w:r>
      <w:r>
        <w:rPr>
          <w:spacing w:val="80"/>
        </w:rPr>
        <w:t> </w:t>
      </w:r>
      <w:r>
        <w:rPr/>
        <w:t>нуклеозидов</w:t>
      </w:r>
      <w:r>
        <w:rPr>
          <w:spacing w:val="80"/>
        </w:rPr>
        <w:t> </w:t>
      </w:r>
      <w:r>
        <w:rPr/>
        <w:t>/</w:t>
      </w:r>
      <w:r>
        <w:rPr>
          <w:spacing w:val="80"/>
        </w:rPr>
        <w:t> </w:t>
      </w:r>
      <w:r>
        <w:rPr/>
        <w:t>нуклеотидов для контроля репликации вируса гепатита В.</w:t>
      </w:r>
    </w:p>
    <w:p>
      <w:pPr>
        <w:pStyle w:val="BodyText"/>
        <w:spacing w:line="276" w:lineRule="auto"/>
        <w:ind w:right="1275" w:firstLine="707"/>
      </w:pPr>
      <w:r>
        <w:rPr/>
        <w:t>Лечение ингибиторами янус-киназ 1,2 допустимо у пациентов с циррозом печени, при условии постоянного лабораторного контроля печеночных показателей. Применение антагонистов рецепторов ИЛ-6 у пациентов с ХЗП должно проводиться с осторожностью, также под контролем лабораторных тестов.</w:t>
      </w:r>
    </w:p>
    <w:p>
      <w:pPr>
        <w:pStyle w:val="BodyText"/>
        <w:spacing w:line="276" w:lineRule="auto"/>
        <w:ind w:right="1273" w:firstLine="707"/>
      </w:pPr>
      <w:r>
        <w:rPr/>
        <w:t>Несмотря на то, что у пациентов с циррозом печени почти всегда отмечаются тромбоцитопения и удлинение протромбинового времени, результаты наблюдений показывают,</w:t>
      </w:r>
      <w:r>
        <w:rPr>
          <w:spacing w:val="35"/>
        </w:rPr>
        <w:t> </w:t>
      </w:r>
      <w:r>
        <w:rPr/>
        <w:t>что</w:t>
      </w:r>
      <w:r>
        <w:rPr>
          <w:spacing w:val="35"/>
        </w:rPr>
        <w:t> </w:t>
      </w:r>
      <w:r>
        <w:rPr/>
        <w:t>назначение таким больным антикоагулянтов</w:t>
      </w:r>
      <w:r>
        <w:rPr>
          <w:spacing w:val="35"/>
        </w:rPr>
        <w:t> </w:t>
      </w:r>
      <w:r>
        <w:rPr/>
        <w:t>в связи</w:t>
      </w:r>
      <w:r>
        <w:rPr>
          <w:spacing w:val="35"/>
        </w:rPr>
        <w:t> </w:t>
      </w:r>
      <w:r>
        <w:rPr/>
        <w:t>с COVID-19 не сопровождается повышенным риском кровотечения.</w:t>
      </w:r>
    </w:p>
    <w:p>
      <w:pPr>
        <w:pStyle w:val="BodyText"/>
        <w:tabs>
          <w:tab w:pos="7907" w:val="left" w:leader="none"/>
          <w:tab w:pos="8956" w:val="left" w:leader="none"/>
        </w:tabs>
        <w:spacing w:line="276" w:lineRule="auto"/>
        <w:ind w:right="1273" w:firstLine="719"/>
      </w:pPr>
      <w:r>
        <w:rPr/>
        <w:t>При лечении COVID-19 у пациентов с ХЗП, в случае если в отношение последних уже проводится терапия, следует учитывать вероятность межлекарственного взаимодействия. Поэтому перед назначением любого нового препарата необходимо определить его совместимость с препаратами текущего лечения на доступных ресурсах в сети интернет (например, ресурсы Medscape </w:t>
      </w:r>
      <w:r>
        <w:rPr>
          <w:color w:val="0462C1"/>
          <w:spacing w:val="-2"/>
          <w:u w:val="single" w:color="0462C1"/>
        </w:rPr>
        <w:t>https://reference.medscape.com/drug-interactionchecker</w:t>
      </w:r>
      <w:r>
        <w:rPr>
          <w:color w:val="0462C1"/>
        </w:rPr>
        <w:tab/>
      </w:r>
      <w:r>
        <w:rPr>
          <w:spacing w:val="-4"/>
        </w:rPr>
        <w:t>или</w:t>
      </w:r>
      <w:r>
        <w:rPr/>
        <w:tab/>
      </w:r>
      <w:r>
        <w:rPr>
          <w:spacing w:val="-2"/>
        </w:rPr>
        <w:t>Ливерпульского </w:t>
      </w:r>
      <w:r>
        <w:rPr/>
        <w:t>университета </w:t>
      </w:r>
      <w:r>
        <w:rPr>
          <w:color w:val="0462C1"/>
          <w:u w:val="single" w:color="0462C1"/>
        </w:rPr>
        <w:t>https:/</w:t>
      </w:r>
      <w:hyperlink r:id="rId23">
        <w:r>
          <w:rPr>
            <w:color w:val="0462C1"/>
            <w:u w:val="single" w:color="0462C1"/>
          </w:rPr>
          <w:t>/www.hep-druginteractions.org/checker</w:t>
        </w:r>
        <w:r>
          <w:rPr/>
          <w:t>).</w:t>
        </w:r>
      </w:hyperlink>
    </w:p>
    <w:p>
      <w:pPr>
        <w:pStyle w:val="BodyText"/>
        <w:spacing w:before="74"/>
        <w:ind w:left="0"/>
        <w:jc w:val="left"/>
      </w:pPr>
    </w:p>
    <w:p>
      <w:pPr>
        <w:pStyle w:val="Heading3"/>
        <w:spacing w:before="1"/>
      </w:pPr>
      <w:r>
        <w:rPr/>
        <w:t>Пациенты</w:t>
      </w:r>
      <w:r>
        <w:rPr>
          <w:spacing w:val="-13"/>
        </w:rPr>
        <w:t> </w:t>
      </w:r>
      <w:r>
        <w:rPr/>
        <w:t>с</w:t>
      </w:r>
      <w:r>
        <w:rPr>
          <w:spacing w:val="-13"/>
        </w:rPr>
        <w:t> </w:t>
      </w:r>
      <w:r>
        <w:rPr/>
        <w:t>психическими</w:t>
      </w:r>
      <w:r>
        <w:rPr>
          <w:spacing w:val="-13"/>
        </w:rPr>
        <w:t> </w:t>
      </w:r>
      <w:r>
        <w:rPr>
          <w:spacing w:val="-2"/>
        </w:rPr>
        <w:t>расстройствами</w:t>
      </w:r>
    </w:p>
    <w:p>
      <w:pPr>
        <w:pStyle w:val="BodyText"/>
        <w:spacing w:line="276" w:lineRule="auto" w:before="83"/>
        <w:ind w:right="1271" w:firstLine="707"/>
      </w:pPr>
      <w:r>
        <w:rPr/>
        <w:t>В</w:t>
      </w:r>
      <w:r>
        <w:rPr>
          <w:spacing w:val="80"/>
        </w:rPr>
        <w:t> </w:t>
      </w:r>
      <w:r>
        <w:rPr/>
        <w:t>целом,</w:t>
      </w:r>
      <w:r>
        <w:rPr>
          <w:spacing w:val="80"/>
        </w:rPr>
        <w:t> </w:t>
      </w:r>
      <w:r>
        <w:rPr/>
        <w:t>действие</w:t>
      </w:r>
      <w:r>
        <w:rPr>
          <w:spacing w:val="80"/>
        </w:rPr>
        <w:t> </w:t>
      </w:r>
      <w:r>
        <w:rPr/>
        <w:t>СОVID-19</w:t>
      </w:r>
      <w:r>
        <w:rPr>
          <w:spacing w:val="80"/>
        </w:rPr>
        <w:t> </w:t>
      </w:r>
      <w:r>
        <w:rPr/>
        <w:t>на</w:t>
      </w:r>
      <w:r>
        <w:rPr>
          <w:spacing w:val="80"/>
        </w:rPr>
        <w:t> </w:t>
      </w:r>
      <w:r>
        <w:rPr/>
        <w:t>ЦНС</w:t>
      </w:r>
      <w:r>
        <w:rPr>
          <w:spacing w:val="80"/>
        </w:rPr>
        <w:t> </w:t>
      </w:r>
      <w:r>
        <w:rPr/>
        <w:t>отражает</w:t>
      </w:r>
      <w:r>
        <w:rPr>
          <w:spacing w:val="80"/>
        </w:rPr>
        <w:t> </w:t>
      </w:r>
      <w:r>
        <w:rPr/>
        <w:t>реакцию</w:t>
      </w:r>
      <w:r>
        <w:rPr>
          <w:spacing w:val="80"/>
        </w:rPr>
        <w:t> </w:t>
      </w:r>
      <w:r>
        <w:rPr/>
        <w:t>ответа</w:t>
      </w:r>
      <w:r>
        <w:rPr>
          <w:spacing w:val="80"/>
        </w:rPr>
        <w:t> </w:t>
      </w:r>
      <w:r>
        <w:rPr/>
        <w:t>мозга на мощный стрессогенный фактор,</w:t>
      </w:r>
      <w:r>
        <w:rPr>
          <w:spacing w:val="-1"/>
        </w:rPr>
        <w:t> </w:t>
      </w:r>
      <w:r>
        <w:rPr/>
        <w:t>причем характер психогенной реакции на ранних этапах болезни неспецифичны, а в стадии реконвалесценции во многом будут определяться преморбидным состоянием высших психических функций и наличием текущей психической патологии.</w:t>
      </w:r>
    </w:p>
    <w:p>
      <w:pPr>
        <w:pStyle w:val="BodyText"/>
        <w:spacing w:line="276" w:lineRule="auto"/>
        <w:ind w:right="1270" w:firstLine="707"/>
      </w:pPr>
      <w:r>
        <w:rPr/>
        <w:t>Характер всей симптоматики поражения ЦНС очевидно не носит специфического психотропного действия, вызывающего диссоциацию центральных нейрохимических (медиаторных) систем. Аносмия и дисгевзия могут рассматриваться</w:t>
      </w:r>
      <w:r>
        <w:rPr>
          <w:spacing w:val="59"/>
        </w:rPr>
        <w:t>  </w:t>
      </w:r>
      <w:r>
        <w:rPr/>
        <w:t>как</w:t>
      </w:r>
      <w:r>
        <w:rPr>
          <w:spacing w:val="59"/>
        </w:rPr>
        <w:t>  </w:t>
      </w:r>
      <w:r>
        <w:rPr/>
        <w:t>симптомы</w:t>
      </w:r>
      <w:r>
        <w:rPr>
          <w:spacing w:val="59"/>
        </w:rPr>
        <w:t>  </w:t>
      </w:r>
      <w:r>
        <w:rPr/>
        <w:t>«первичных</w:t>
      </w:r>
      <w:r>
        <w:rPr>
          <w:spacing w:val="59"/>
        </w:rPr>
        <w:t>  </w:t>
      </w:r>
      <w:r>
        <w:rPr/>
        <w:t>ворот»</w:t>
      </w:r>
      <w:r>
        <w:rPr>
          <w:spacing w:val="59"/>
        </w:rPr>
        <w:t>  </w:t>
      </w:r>
      <w:r>
        <w:rPr/>
        <w:t>и</w:t>
      </w:r>
      <w:r>
        <w:rPr>
          <w:spacing w:val="59"/>
        </w:rPr>
        <w:t>  </w:t>
      </w:r>
      <w:r>
        <w:rPr/>
        <w:t>репликации</w:t>
      </w:r>
      <w:r>
        <w:rPr>
          <w:spacing w:val="60"/>
        </w:rPr>
        <w:t>  </w:t>
      </w:r>
      <w:r>
        <w:rPr/>
        <w:t>вируса с последующей диссеминацией. В большей или меньшей степени эти симптомы редуцируются и потому не требуют какой-либо специфической терапии.</w:t>
      </w:r>
    </w:p>
    <w:p>
      <w:pPr>
        <w:pStyle w:val="BodyText"/>
        <w:spacing w:line="276" w:lineRule="auto"/>
        <w:ind w:right="1273" w:firstLine="707"/>
      </w:pPr>
      <w:r>
        <w:rPr/>
        <w:t>Как известно, психическим эквивалентом стресса является тревога, которая присутствует</w:t>
      </w:r>
      <w:r>
        <w:rPr>
          <w:spacing w:val="80"/>
          <w:w w:val="150"/>
        </w:rPr>
        <w:t> </w:t>
      </w:r>
      <w:r>
        <w:rPr/>
        <w:t>всегда</w:t>
      </w:r>
      <w:r>
        <w:rPr>
          <w:spacing w:val="80"/>
          <w:w w:val="150"/>
        </w:rPr>
        <w:t> </w:t>
      </w:r>
      <w:r>
        <w:rPr/>
        <w:t>на</w:t>
      </w:r>
      <w:r>
        <w:rPr>
          <w:spacing w:val="80"/>
          <w:w w:val="150"/>
        </w:rPr>
        <w:t> </w:t>
      </w:r>
      <w:r>
        <w:rPr/>
        <w:t>фоне</w:t>
      </w:r>
      <w:r>
        <w:rPr>
          <w:spacing w:val="80"/>
          <w:w w:val="150"/>
        </w:rPr>
        <w:t> </w:t>
      </w:r>
      <w:r>
        <w:rPr/>
        <w:t>действия</w:t>
      </w:r>
      <w:r>
        <w:rPr>
          <w:spacing w:val="80"/>
          <w:w w:val="150"/>
        </w:rPr>
        <w:t> </w:t>
      </w:r>
      <w:r>
        <w:rPr/>
        <w:t>любого</w:t>
      </w:r>
      <w:r>
        <w:rPr>
          <w:spacing w:val="80"/>
          <w:w w:val="150"/>
        </w:rPr>
        <w:t> </w:t>
      </w:r>
      <w:r>
        <w:rPr/>
        <w:t>анксиогена</w:t>
      </w:r>
      <w:r>
        <w:rPr>
          <w:spacing w:val="80"/>
          <w:w w:val="150"/>
        </w:rPr>
        <w:t> </w:t>
      </w:r>
      <w:r>
        <w:rPr/>
        <w:t>и</w:t>
      </w:r>
      <w:r>
        <w:rPr>
          <w:spacing w:val="80"/>
          <w:w w:val="150"/>
        </w:rPr>
        <w:t> </w:t>
      </w:r>
      <w:r>
        <w:rPr/>
        <w:t>в</w:t>
      </w:r>
      <w:r>
        <w:rPr>
          <w:spacing w:val="80"/>
          <w:w w:val="150"/>
        </w:rPr>
        <w:t> </w:t>
      </w:r>
      <w:r>
        <w:rPr/>
        <w:t>зависимости от</w:t>
      </w:r>
      <w:r>
        <w:rPr>
          <w:spacing w:val="-15"/>
        </w:rPr>
        <w:t> </w:t>
      </w:r>
      <w:r>
        <w:rPr/>
        <w:t>исходного</w:t>
      </w:r>
      <w:r>
        <w:rPr>
          <w:spacing w:val="-14"/>
        </w:rPr>
        <w:t> </w:t>
      </w:r>
      <w:r>
        <w:rPr/>
        <w:t>психического</w:t>
      </w:r>
      <w:r>
        <w:rPr>
          <w:spacing w:val="-13"/>
        </w:rPr>
        <w:t> </w:t>
      </w:r>
      <w:r>
        <w:rPr/>
        <w:t>состояния</w:t>
      </w:r>
      <w:r>
        <w:rPr>
          <w:spacing w:val="-15"/>
        </w:rPr>
        <w:t> </w:t>
      </w:r>
      <w:r>
        <w:rPr/>
        <w:t>может</w:t>
      </w:r>
      <w:r>
        <w:rPr>
          <w:spacing w:val="-14"/>
        </w:rPr>
        <w:t> </w:t>
      </w:r>
      <w:r>
        <w:rPr/>
        <w:t>стать</w:t>
      </w:r>
      <w:r>
        <w:rPr>
          <w:spacing w:val="-13"/>
        </w:rPr>
        <w:t> </w:t>
      </w:r>
      <w:r>
        <w:rPr/>
        <w:t>триггером</w:t>
      </w:r>
      <w:r>
        <w:rPr>
          <w:spacing w:val="-15"/>
        </w:rPr>
        <w:t> </w:t>
      </w:r>
      <w:r>
        <w:rPr/>
        <w:t>обострения</w:t>
      </w:r>
      <w:r>
        <w:rPr>
          <w:spacing w:val="-15"/>
        </w:rPr>
        <w:t> </w:t>
      </w:r>
      <w:r>
        <w:rPr>
          <w:spacing w:val="-2"/>
        </w:rPr>
        <w:t>имеющейся</w:t>
      </w:r>
    </w:p>
    <w:p>
      <w:pPr>
        <w:pStyle w:val="BodyText"/>
        <w:spacing w:after="0" w:line="276" w:lineRule="auto"/>
        <w:sectPr>
          <w:pgSz w:w="11900" w:h="16840"/>
          <w:pgMar w:header="0" w:footer="697" w:top="1080" w:bottom="880" w:left="0" w:right="0"/>
        </w:sectPr>
      </w:pPr>
    </w:p>
    <w:p>
      <w:pPr>
        <w:pStyle w:val="BodyText"/>
        <w:spacing w:line="276" w:lineRule="auto" w:before="73"/>
        <w:ind w:right="1272"/>
      </w:pPr>
      <w:bookmarkStart w:name="103" w:id="120"/>
      <w:bookmarkEnd w:id="120"/>
      <w:r>
        <w:rPr/>
      </w:r>
      <w:r>
        <w:rPr/>
        <w:t>психической патологии или развитием дисстресс-синдрома в рамках психических нарушений, описываемых как посттравматическоое стрессовое расстройство. Конкретная симптоматика столь же вероятно во многом определяется преморбидными психическими процессами и личностными особенностями.</w:t>
      </w:r>
    </w:p>
    <w:p>
      <w:pPr>
        <w:pStyle w:val="BodyText"/>
        <w:spacing w:line="276" w:lineRule="auto"/>
        <w:ind w:right="1271" w:firstLine="707"/>
      </w:pPr>
      <w:r>
        <w:rPr>
          <w:spacing w:val="-2"/>
        </w:rPr>
        <w:t>В</w:t>
      </w:r>
      <w:r>
        <w:rPr>
          <w:spacing w:val="-4"/>
        </w:rPr>
        <w:t> </w:t>
      </w:r>
      <w:r>
        <w:rPr>
          <w:spacing w:val="-2"/>
        </w:rPr>
        <w:t>остром</w:t>
      </w:r>
      <w:r>
        <w:rPr>
          <w:spacing w:val="-4"/>
        </w:rPr>
        <w:t> </w:t>
      </w:r>
      <w:r>
        <w:rPr>
          <w:spacing w:val="-2"/>
        </w:rPr>
        <w:t>периоде</w:t>
      </w:r>
      <w:r>
        <w:rPr>
          <w:spacing w:val="-5"/>
        </w:rPr>
        <w:t> </w:t>
      </w:r>
      <w:r>
        <w:rPr>
          <w:spacing w:val="-2"/>
        </w:rPr>
        <w:t>заболевания</w:t>
      </w:r>
      <w:r>
        <w:rPr>
          <w:spacing w:val="-4"/>
        </w:rPr>
        <w:t> </w:t>
      </w:r>
      <w:r>
        <w:rPr>
          <w:spacing w:val="-2"/>
        </w:rPr>
        <w:t>при</w:t>
      </w:r>
      <w:r>
        <w:rPr>
          <w:spacing w:val="-3"/>
        </w:rPr>
        <w:t> </w:t>
      </w:r>
      <w:r>
        <w:rPr>
          <w:spacing w:val="-2"/>
        </w:rPr>
        <w:t>отсутствии</w:t>
      </w:r>
      <w:r>
        <w:rPr>
          <w:spacing w:val="-6"/>
        </w:rPr>
        <w:t> </w:t>
      </w:r>
      <w:r>
        <w:rPr>
          <w:spacing w:val="-2"/>
        </w:rPr>
        <w:t>текущей</w:t>
      </w:r>
      <w:r>
        <w:rPr>
          <w:spacing w:val="-3"/>
        </w:rPr>
        <w:t> </w:t>
      </w:r>
      <w:r>
        <w:rPr>
          <w:spacing w:val="-2"/>
        </w:rPr>
        <w:t>психической</w:t>
      </w:r>
      <w:r>
        <w:rPr>
          <w:spacing w:val="-5"/>
        </w:rPr>
        <w:t> </w:t>
      </w:r>
      <w:r>
        <w:rPr>
          <w:spacing w:val="-2"/>
        </w:rPr>
        <w:t>патологии </w:t>
      </w:r>
      <w:r>
        <w:rPr/>
        <w:t>в анамнезе, назначение специфической психотропной терапии не требуется. На этом этапе</w:t>
      </w:r>
      <w:r>
        <w:rPr>
          <w:spacing w:val="-2"/>
        </w:rPr>
        <w:t> </w:t>
      </w:r>
      <w:r>
        <w:rPr/>
        <w:t>при развитии неспецифического возбуждения</w:t>
      </w:r>
      <w:r>
        <w:rPr>
          <w:spacing w:val="-1"/>
        </w:rPr>
        <w:t> </w:t>
      </w:r>
      <w:r>
        <w:rPr/>
        <w:t>ЦНС</w:t>
      </w:r>
      <w:r>
        <w:rPr>
          <w:spacing w:val="-1"/>
        </w:rPr>
        <w:t> </w:t>
      </w:r>
      <w:r>
        <w:rPr/>
        <w:t>целесообразно</w:t>
      </w:r>
      <w:r>
        <w:rPr>
          <w:spacing w:val="-1"/>
        </w:rPr>
        <w:t> </w:t>
      </w:r>
      <w:r>
        <w:rPr/>
        <w:t>применение анксиолитиков</w:t>
      </w:r>
      <w:r>
        <w:rPr>
          <w:spacing w:val="80"/>
          <w:w w:val="150"/>
        </w:rPr>
        <w:t>  </w:t>
      </w:r>
      <w:r>
        <w:rPr/>
        <w:t>и</w:t>
      </w:r>
      <w:r>
        <w:rPr>
          <w:spacing w:val="80"/>
          <w:w w:val="150"/>
        </w:rPr>
        <w:t>  </w:t>
      </w:r>
      <w:r>
        <w:rPr/>
        <w:t>седативных</w:t>
      </w:r>
      <w:r>
        <w:rPr>
          <w:spacing w:val="80"/>
          <w:w w:val="150"/>
        </w:rPr>
        <w:t>  </w:t>
      </w:r>
      <w:r>
        <w:rPr/>
        <w:t>средств</w:t>
      </w:r>
      <w:r>
        <w:rPr>
          <w:spacing w:val="80"/>
          <w:w w:val="150"/>
        </w:rPr>
        <w:t>  </w:t>
      </w:r>
      <w:r>
        <w:rPr/>
        <w:t>небензодиазепиновой</w:t>
      </w:r>
      <w:r>
        <w:rPr>
          <w:spacing w:val="80"/>
          <w:w w:val="150"/>
        </w:rPr>
        <w:t>  </w:t>
      </w:r>
      <w:r>
        <w:rPr/>
        <w:t>структуры</w:t>
      </w:r>
      <w:r>
        <w:rPr>
          <w:spacing w:val="40"/>
        </w:rPr>
        <w:t> </w:t>
      </w:r>
      <w:r>
        <w:rPr/>
        <w:t>с моноаминергическим действием. К таким препаратам можно отнести декстомедиперамид в нижнем диапазоне доз. В острых ситуациях для купирования возбуждения применим пропофол. Если же особенности психического состояния требуют</w:t>
      </w:r>
      <w:r>
        <w:rPr>
          <w:spacing w:val="-15"/>
        </w:rPr>
        <w:t> </w:t>
      </w:r>
      <w:r>
        <w:rPr/>
        <w:t>назначения</w:t>
      </w:r>
      <w:r>
        <w:rPr>
          <w:spacing w:val="-15"/>
        </w:rPr>
        <w:t> </w:t>
      </w:r>
      <w:r>
        <w:rPr/>
        <w:t>производных</w:t>
      </w:r>
      <w:r>
        <w:rPr>
          <w:spacing w:val="-15"/>
        </w:rPr>
        <w:t> </w:t>
      </w:r>
      <w:r>
        <w:rPr/>
        <w:t>бензодиазепина,</w:t>
      </w:r>
      <w:r>
        <w:rPr>
          <w:spacing w:val="-15"/>
        </w:rPr>
        <w:t> </w:t>
      </w:r>
      <w:r>
        <w:rPr/>
        <w:t>то</w:t>
      </w:r>
      <w:r>
        <w:rPr>
          <w:spacing w:val="-15"/>
        </w:rPr>
        <w:t> </w:t>
      </w:r>
      <w:r>
        <w:rPr/>
        <w:t>предпочтительнее</w:t>
      </w:r>
      <w:r>
        <w:rPr>
          <w:spacing w:val="-15"/>
        </w:rPr>
        <w:t> </w:t>
      </w:r>
      <w:r>
        <w:rPr/>
        <w:t>использовать препараты</w:t>
      </w:r>
      <w:r>
        <w:rPr>
          <w:spacing w:val="-1"/>
        </w:rPr>
        <w:t> </w:t>
      </w:r>
      <w:r>
        <w:rPr/>
        <w:t>с</w:t>
      </w:r>
      <w:r>
        <w:rPr>
          <w:spacing w:val="-2"/>
        </w:rPr>
        <w:t> </w:t>
      </w:r>
      <w:r>
        <w:rPr/>
        <w:t>управляемыми показателями фармакокинетики (лоразепам,</w:t>
      </w:r>
      <w:r>
        <w:rPr>
          <w:spacing w:val="-1"/>
        </w:rPr>
        <w:t> </w:t>
      </w:r>
      <w:r>
        <w:rPr/>
        <w:t>алпразолам) до купирования симптомов возбуждения и тревоги.</w:t>
      </w:r>
    </w:p>
    <w:p>
      <w:pPr>
        <w:pStyle w:val="BodyText"/>
        <w:spacing w:line="276" w:lineRule="auto"/>
        <w:ind w:right="1271" w:firstLine="707"/>
      </w:pPr>
      <w:r>
        <w:rPr/>
        <w:t>Одним из манифестных симптомов заболевания в остром периоде заражения вирусной инфекцией являются стойкие нарушения сна, при этом традиционные препараты</w:t>
      </w:r>
      <w:r>
        <w:rPr>
          <w:spacing w:val="-6"/>
        </w:rPr>
        <w:t> </w:t>
      </w:r>
      <w:r>
        <w:rPr/>
        <w:t>ранней</w:t>
      </w:r>
      <w:r>
        <w:rPr>
          <w:spacing w:val="-4"/>
        </w:rPr>
        <w:t> </w:t>
      </w:r>
      <w:r>
        <w:rPr/>
        <w:t>генерации</w:t>
      </w:r>
      <w:r>
        <w:rPr>
          <w:spacing w:val="-5"/>
        </w:rPr>
        <w:t> </w:t>
      </w:r>
      <w:r>
        <w:rPr/>
        <w:t>(производные</w:t>
      </w:r>
      <w:r>
        <w:rPr>
          <w:spacing w:val="-7"/>
        </w:rPr>
        <w:t> </w:t>
      </w:r>
      <w:r>
        <w:rPr/>
        <w:t>барбитуровой</w:t>
      </w:r>
      <w:r>
        <w:rPr>
          <w:spacing w:val="-4"/>
        </w:rPr>
        <w:t> </w:t>
      </w:r>
      <w:r>
        <w:rPr/>
        <w:t>кислоты</w:t>
      </w:r>
      <w:r>
        <w:rPr>
          <w:spacing w:val="-7"/>
        </w:rPr>
        <w:t> </w:t>
      </w:r>
      <w:r>
        <w:rPr/>
        <w:t>и</w:t>
      </w:r>
      <w:r>
        <w:rPr>
          <w:spacing w:val="-5"/>
        </w:rPr>
        <w:t> </w:t>
      </w:r>
      <w:r>
        <w:rPr/>
        <w:t>бензодиазепины среднего</w:t>
      </w:r>
      <w:r>
        <w:rPr>
          <w:spacing w:val="40"/>
        </w:rPr>
        <w:t> </w:t>
      </w:r>
      <w:r>
        <w:rPr/>
        <w:t>и</w:t>
      </w:r>
      <w:r>
        <w:rPr>
          <w:spacing w:val="40"/>
        </w:rPr>
        <w:t> </w:t>
      </w:r>
      <w:r>
        <w:rPr/>
        <w:t>длительного</w:t>
      </w:r>
      <w:r>
        <w:rPr>
          <w:spacing w:val="40"/>
        </w:rPr>
        <w:t> </w:t>
      </w:r>
      <w:r>
        <w:rPr/>
        <w:t>периода</w:t>
      </w:r>
      <w:r>
        <w:rPr>
          <w:spacing w:val="40"/>
        </w:rPr>
        <w:t> </w:t>
      </w:r>
      <w:r>
        <w:rPr/>
        <w:t>действия)</w:t>
      </w:r>
      <w:r>
        <w:rPr>
          <w:spacing w:val="40"/>
        </w:rPr>
        <w:t> </w:t>
      </w:r>
      <w:r>
        <w:rPr/>
        <w:t>не</w:t>
      </w:r>
      <w:r>
        <w:rPr>
          <w:spacing w:val="40"/>
        </w:rPr>
        <w:t> </w:t>
      </w:r>
      <w:r>
        <w:rPr/>
        <w:t>желательны</w:t>
      </w:r>
      <w:r>
        <w:rPr>
          <w:spacing w:val="40"/>
        </w:rPr>
        <w:t> </w:t>
      </w:r>
      <w:r>
        <w:rPr/>
        <w:t>к</w:t>
      </w:r>
      <w:r>
        <w:rPr>
          <w:spacing w:val="40"/>
        </w:rPr>
        <w:t> </w:t>
      </w:r>
      <w:r>
        <w:rPr/>
        <w:t>применению</w:t>
      </w:r>
      <w:r>
        <w:rPr>
          <w:spacing w:val="40"/>
        </w:rPr>
        <w:t> </w:t>
      </w:r>
      <w:r>
        <w:rPr/>
        <w:t>в</w:t>
      </w:r>
      <w:r>
        <w:rPr>
          <w:spacing w:val="40"/>
        </w:rPr>
        <w:t> </w:t>
      </w:r>
      <w:r>
        <w:rPr/>
        <w:t>связи с миорелакирующим действием и потенциальной угрозой подавления дыхательного центра.</w:t>
      </w:r>
      <w:r>
        <w:rPr>
          <w:spacing w:val="40"/>
        </w:rPr>
        <w:t> </w:t>
      </w:r>
      <w:r>
        <w:rPr/>
        <w:t>В</w:t>
      </w:r>
      <w:r>
        <w:rPr>
          <w:spacing w:val="40"/>
        </w:rPr>
        <w:t> </w:t>
      </w:r>
      <w:r>
        <w:rPr/>
        <w:t>этой</w:t>
      </w:r>
      <w:r>
        <w:rPr>
          <w:spacing w:val="40"/>
        </w:rPr>
        <w:t> </w:t>
      </w:r>
      <w:r>
        <w:rPr/>
        <w:t>связи</w:t>
      </w:r>
      <w:r>
        <w:rPr>
          <w:spacing w:val="40"/>
        </w:rPr>
        <w:t> </w:t>
      </w:r>
      <w:r>
        <w:rPr/>
        <w:t>предпочтительнее</w:t>
      </w:r>
      <w:r>
        <w:rPr>
          <w:spacing w:val="40"/>
        </w:rPr>
        <w:t> </w:t>
      </w:r>
      <w:r>
        <w:rPr/>
        <w:t>использование</w:t>
      </w:r>
      <w:r>
        <w:rPr>
          <w:spacing w:val="40"/>
        </w:rPr>
        <w:t> </w:t>
      </w:r>
      <w:r>
        <w:rPr/>
        <w:t>антидепрессивных</w:t>
      </w:r>
      <w:r>
        <w:rPr>
          <w:spacing w:val="40"/>
        </w:rPr>
        <w:t> </w:t>
      </w:r>
      <w:r>
        <w:rPr/>
        <w:t>средств с гипнотическим эффектом (тразодон, миансерин). Наряду с «интоксикационным стрессом», нарушения сна могут быть также следствием проводимой кортикостероидной терапии.</w:t>
      </w:r>
    </w:p>
    <w:p>
      <w:pPr>
        <w:pStyle w:val="BodyText"/>
        <w:spacing w:line="276" w:lineRule="auto"/>
        <w:ind w:right="1271" w:firstLine="707"/>
      </w:pPr>
      <w:r>
        <w:rPr/>
        <w:t>Развитие</w:t>
      </w:r>
      <w:r>
        <w:rPr>
          <w:spacing w:val="27"/>
        </w:rPr>
        <w:t> </w:t>
      </w:r>
      <w:r>
        <w:rPr/>
        <w:t>в</w:t>
      </w:r>
      <w:r>
        <w:rPr>
          <w:spacing w:val="28"/>
        </w:rPr>
        <w:t> </w:t>
      </w:r>
      <w:r>
        <w:rPr/>
        <w:t>острой</w:t>
      </w:r>
      <w:r>
        <w:rPr>
          <w:spacing w:val="29"/>
        </w:rPr>
        <w:t> </w:t>
      </w:r>
      <w:r>
        <w:rPr/>
        <w:t>фазе</w:t>
      </w:r>
      <w:r>
        <w:rPr>
          <w:spacing w:val="27"/>
        </w:rPr>
        <w:t> </w:t>
      </w:r>
      <w:r>
        <w:rPr/>
        <w:t>СОVID-19</w:t>
      </w:r>
      <w:r>
        <w:rPr>
          <w:spacing w:val="28"/>
        </w:rPr>
        <w:t> </w:t>
      </w:r>
      <w:r>
        <w:rPr/>
        <w:t>гемических</w:t>
      </w:r>
      <w:r>
        <w:rPr>
          <w:spacing w:val="29"/>
        </w:rPr>
        <w:t> </w:t>
      </w:r>
      <w:r>
        <w:rPr/>
        <w:t>нарушений</w:t>
      </w:r>
      <w:r>
        <w:rPr>
          <w:spacing w:val="29"/>
        </w:rPr>
        <w:t> </w:t>
      </w:r>
      <w:r>
        <w:rPr/>
        <w:t>может</w:t>
      </w:r>
      <w:r>
        <w:rPr>
          <w:spacing w:val="29"/>
        </w:rPr>
        <w:t> </w:t>
      </w:r>
      <w:r>
        <w:rPr/>
        <w:t>приводить к помрачнению сознания в виде формирования делириозного состояния, что требует медикаметозной коррекции. Эпизод может быть купирован назначением короткого курса галоперидола в нижнем диапазоне доз (до 5-10 мг/сут, однократный прием днем), до редукции симптомов острого психического расстройства.</w:t>
      </w:r>
    </w:p>
    <w:p>
      <w:pPr>
        <w:pStyle w:val="BodyText"/>
        <w:spacing w:line="276" w:lineRule="auto"/>
        <w:ind w:right="1270" w:firstLine="707"/>
      </w:pPr>
      <w:r>
        <w:rPr/>
        <w:t>Инфекция, коморбидная с хронической психической патологией, не является причиной</w:t>
      </w:r>
      <w:r>
        <w:rPr>
          <w:spacing w:val="40"/>
        </w:rPr>
        <w:t> </w:t>
      </w:r>
      <w:r>
        <w:rPr/>
        <w:t>отмены</w:t>
      </w:r>
      <w:r>
        <w:rPr>
          <w:spacing w:val="40"/>
        </w:rPr>
        <w:t> </w:t>
      </w:r>
      <w:r>
        <w:rPr/>
        <w:t>поддерживающей</w:t>
      </w:r>
      <w:r>
        <w:rPr>
          <w:spacing w:val="40"/>
        </w:rPr>
        <w:t> </w:t>
      </w:r>
      <w:r>
        <w:rPr/>
        <w:t>терапии,</w:t>
      </w:r>
      <w:r>
        <w:rPr>
          <w:spacing w:val="40"/>
        </w:rPr>
        <w:t> </w:t>
      </w:r>
      <w:r>
        <w:rPr/>
        <w:t>если</w:t>
      </w:r>
      <w:r>
        <w:rPr>
          <w:spacing w:val="40"/>
        </w:rPr>
        <w:t> </w:t>
      </w:r>
      <w:r>
        <w:rPr/>
        <w:t>только</w:t>
      </w:r>
      <w:r>
        <w:rPr>
          <w:spacing w:val="40"/>
        </w:rPr>
        <w:t> </w:t>
      </w:r>
      <w:r>
        <w:rPr/>
        <w:t>пациент</w:t>
      </w:r>
      <w:r>
        <w:rPr>
          <w:spacing w:val="40"/>
        </w:rPr>
        <w:t> </w:t>
      </w:r>
      <w:r>
        <w:rPr/>
        <w:t>не</w:t>
      </w:r>
      <w:r>
        <w:rPr>
          <w:spacing w:val="40"/>
        </w:rPr>
        <w:t> </w:t>
      </w:r>
      <w:r>
        <w:rPr/>
        <w:t>находится на ИВЛ. При этом дополнительных мероприятий фармакотерапевтической помощи на время госпитализации не требуется. В плане клинической настороженности требуют наблюдения пациенты, получающие антидепрессанты трициклического ряда, а также избирательные ингибиторы захвата моноаминов, барбитуровые противоэпилептические средства (фенобарбитал, бензобарбитал, гексамидин и т.п.). Применение антидепрессантов может быть сопряжено с потенциальным риском накопления</w:t>
      </w:r>
      <w:r>
        <w:rPr>
          <w:spacing w:val="79"/>
        </w:rPr>
        <w:t> </w:t>
      </w:r>
      <w:r>
        <w:rPr/>
        <w:t>серотонина</w:t>
      </w:r>
      <w:r>
        <w:rPr>
          <w:spacing w:val="79"/>
        </w:rPr>
        <w:t> </w:t>
      </w:r>
      <w:r>
        <w:rPr/>
        <w:t>и</w:t>
      </w:r>
      <w:r>
        <w:rPr>
          <w:spacing w:val="80"/>
        </w:rPr>
        <w:t> </w:t>
      </w:r>
      <w:r>
        <w:rPr/>
        <w:t>усилением</w:t>
      </w:r>
      <w:r>
        <w:rPr>
          <w:spacing w:val="80"/>
        </w:rPr>
        <w:t> </w:t>
      </w:r>
      <w:r>
        <w:rPr/>
        <w:t>аллергических</w:t>
      </w:r>
      <w:r>
        <w:rPr>
          <w:spacing w:val="80"/>
        </w:rPr>
        <w:t> </w:t>
      </w:r>
      <w:r>
        <w:rPr/>
        <w:t>реакций,</w:t>
      </w:r>
      <w:r>
        <w:rPr>
          <w:spacing w:val="79"/>
        </w:rPr>
        <w:t> </w:t>
      </w:r>
      <w:r>
        <w:rPr/>
        <w:t>с</w:t>
      </w:r>
      <w:r>
        <w:rPr>
          <w:spacing w:val="78"/>
        </w:rPr>
        <w:t> </w:t>
      </w:r>
      <w:r>
        <w:rPr/>
        <w:t>одной</w:t>
      </w:r>
      <w:r>
        <w:rPr>
          <w:spacing w:val="79"/>
        </w:rPr>
        <w:t> </w:t>
      </w:r>
      <w:r>
        <w:rPr/>
        <w:t>стороны, а</w:t>
      </w:r>
      <w:r>
        <w:rPr>
          <w:spacing w:val="-4"/>
        </w:rPr>
        <w:t> </w:t>
      </w:r>
      <w:r>
        <w:rPr/>
        <w:t>с</w:t>
      </w:r>
      <w:r>
        <w:rPr>
          <w:spacing w:val="-4"/>
        </w:rPr>
        <w:t> </w:t>
      </w:r>
      <w:r>
        <w:rPr/>
        <w:t>другой,</w:t>
      </w:r>
      <w:r>
        <w:rPr>
          <w:spacing w:val="-3"/>
        </w:rPr>
        <w:t> </w:t>
      </w:r>
      <w:r>
        <w:rPr/>
        <w:t>–</w:t>
      </w:r>
      <w:r>
        <w:rPr>
          <w:spacing w:val="-4"/>
        </w:rPr>
        <w:t> </w:t>
      </w:r>
      <w:r>
        <w:rPr/>
        <w:t>не</w:t>
      </w:r>
      <w:r>
        <w:rPr>
          <w:spacing w:val="-4"/>
        </w:rPr>
        <w:t> </w:t>
      </w:r>
      <w:r>
        <w:rPr/>
        <w:t>исключено,</w:t>
      </w:r>
      <w:r>
        <w:rPr>
          <w:spacing w:val="-4"/>
        </w:rPr>
        <w:t> </w:t>
      </w:r>
      <w:r>
        <w:rPr/>
        <w:t>что</w:t>
      </w:r>
      <w:r>
        <w:rPr>
          <w:spacing w:val="-4"/>
        </w:rPr>
        <w:t> </w:t>
      </w:r>
      <w:r>
        <w:rPr/>
        <w:t>ряд</w:t>
      </w:r>
      <w:r>
        <w:rPr>
          <w:spacing w:val="-3"/>
        </w:rPr>
        <w:t> </w:t>
      </w:r>
      <w:r>
        <w:rPr/>
        <w:t>препаратов</w:t>
      </w:r>
      <w:r>
        <w:rPr>
          <w:spacing w:val="-4"/>
        </w:rPr>
        <w:t> </w:t>
      </w:r>
      <w:r>
        <w:rPr/>
        <w:t>из</w:t>
      </w:r>
      <w:r>
        <w:rPr>
          <w:spacing w:val="-3"/>
        </w:rPr>
        <w:t> </w:t>
      </w:r>
      <w:r>
        <w:rPr/>
        <w:t>группы</w:t>
      </w:r>
      <w:r>
        <w:rPr>
          <w:spacing w:val="-4"/>
        </w:rPr>
        <w:t> </w:t>
      </w:r>
      <w:r>
        <w:rPr/>
        <w:t>избирательных</w:t>
      </w:r>
      <w:r>
        <w:rPr>
          <w:spacing w:val="-4"/>
        </w:rPr>
        <w:t> </w:t>
      </w:r>
      <w:r>
        <w:rPr/>
        <w:t>блокаторов нейронального захвата серотонина (флувоксамин, пароксетин, сертралин) за счет стороннего действия (снижение активности фермента сфингомиелиназы) потенциально способны оказывать цитопротективное действие. Подобный эффект предположительно отмечен также у части антипсихотиков и анксиолитика гидроксизина.</w:t>
      </w:r>
      <w:r>
        <w:rPr>
          <w:spacing w:val="-13"/>
        </w:rPr>
        <w:t> </w:t>
      </w:r>
      <w:r>
        <w:rPr/>
        <w:t>Однако</w:t>
      </w:r>
      <w:r>
        <w:rPr>
          <w:spacing w:val="-13"/>
        </w:rPr>
        <w:t> </w:t>
      </w:r>
      <w:r>
        <w:rPr/>
        <w:t>их</w:t>
      </w:r>
      <w:r>
        <w:rPr>
          <w:spacing w:val="-13"/>
        </w:rPr>
        <w:t> </w:t>
      </w:r>
      <w:r>
        <w:rPr/>
        <w:t>способность</w:t>
      </w:r>
      <w:r>
        <w:rPr>
          <w:spacing w:val="-11"/>
        </w:rPr>
        <w:t> </w:t>
      </w:r>
      <w:r>
        <w:rPr/>
        <w:t>значимо</w:t>
      </w:r>
      <w:r>
        <w:rPr>
          <w:spacing w:val="-13"/>
        </w:rPr>
        <w:t> </w:t>
      </w:r>
      <w:r>
        <w:rPr/>
        <w:t>улучшать</w:t>
      </w:r>
      <w:r>
        <w:rPr>
          <w:spacing w:val="-11"/>
        </w:rPr>
        <w:t> </w:t>
      </w:r>
      <w:r>
        <w:rPr/>
        <w:t>состояние</w:t>
      </w:r>
      <w:r>
        <w:rPr>
          <w:spacing w:val="-14"/>
        </w:rPr>
        <w:t> </w:t>
      </w:r>
      <w:r>
        <w:rPr/>
        <w:t>инфицированных пациентов требует подтверждения в специальных исследованиях.</w:t>
      </w:r>
    </w:p>
    <w:p>
      <w:pPr>
        <w:pStyle w:val="BodyText"/>
        <w:spacing w:after="0" w:line="276" w:lineRule="auto"/>
        <w:sectPr>
          <w:pgSz w:w="11900" w:h="16840"/>
          <w:pgMar w:header="0" w:footer="697" w:top="1080" w:bottom="880" w:left="0" w:right="0"/>
        </w:sectPr>
      </w:pPr>
    </w:p>
    <w:p>
      <w:pPr>
        <w:pStyle w:val="BodyText"/>
        <w:spacing w:line="276" w:lineRule="auto" w:before="73"/>
        <w:ind w:right="1271" w:firstLine="707"/>
      </w:pPr>
      <w:bookmarkStart w:name="104" w:id="121"/>
      <w:bookmarkEnd w:id="121"/>
      <w:r>
        <w:rPr/>
      </w:r>
      <w:r>
        <w:rPr/>
        <w:t>В фазе реконвалесценции от COVID-19 актуальная психопатологическая симптоматика</w:t>
      </w:r>
      <w:r>
        <w:rPr>
          <w:spacing w:val="40"/>
        </w:rPr>
        <w:t> </w:t>
      </w:r>
      <w:r>
        <w:rPr/>
        <w:t>корригируется</w:t>
      </w:r>
      <w:r>
        <w:rPr>
          <w:spacing w:val="40"/>
        </w:rPr>
        <w:t> </w:t>
      </w:r>
      <w:r>
        <w:rPr/>
        <w:t>в</w:t>
      </w:r>
      <w:r>
        <w:rPr>
          <w:spacing w:val="40"/>
        </w:rPr>
        <w:t> </w:t>
      </w:r>
      <w:r>
        <w:rPr/>
        <w:t>соответствии</w:t>
      </w:r>
      <w:r>
        <w:rPr>
          <w:spacing w:val="40"/>
        </w:rPr>
        <w:t> </w:t>
      </w:r>
      <w:r>
        <w:rPr/>
        <w:t>с</w:t>
      </w:r>
      <w:r>
        <w:rPr>
          <w:spacing w:val="40"/>
        </w:rPr>
        <w:t> </w:t>
      </w:r>
      <w:r>
        <w:rPr/>
        <w:t>клиническими</w:t>
      </w:r>
      <w:r>
        <w:rPr>
          <w:spacing w:val="40"/>
        </w:rPr>
        <w:t> </w:t>
      </w:r>
      <w:r>
        <w:rPr/>
        <w:t>рекомендациями,</w:t>
      </w:r>
      <w:r>
        <w:rPr>
          <w:spacing w:val="80"/>
        </w:rPr>
        <w:t> </w:t>
      </w:r>
      <w:r>
        <w:rPr/>
        <w:t>так же, как и возобновление/продолжение поддерживающего лечения при хронической патологии.</w:t>
      </w:r>
    </w:p>
    <w:p>
      <w:pPr>
        <w:pStyle w:val="Heading3"/>
        <w:spacing w:line="309" w:lineRule="auto"/>
        <w:ind w:right="1590"/>
      </w:pPr>
      <w:r>
        <w:rPr/>
        <w:t>Терапия</w:t>
      </w:r>
      <w:r>
        <w:rPr>
          <w:spacing w:val="-6"/>
        </w:rPr>
        <w:t> </w:t>
      </w:r>
      <w:r>
        <w:rPr/>
        <w:t>расстройств</w:t>
      </w:r>
      <w:r>
        <w:rPr>
          <w:spacing w:val="-9"/>
        </w:rPr>
        <w:t> </w:t>
      </w:r>
      <w:r>
        <w:rPr/>
        <w:t>настроения</w:t>
      </w:r>
      <w:r>
        <w:rPr>
          <w:spacing w:val="-7"/>
        </w:rPr>
        <w:t> </w:t>
      </w:r>
      <w:r>
        <w:rPr/>
        <w:t>у</w:t>
      </w:r>
      <w:r>
        <w:rPr>
          <w:spacing w:val="-8"/>
        </w:rPr>
        <w:t> </w:t>
      </w:r>
      <w:r>
        <w:rPr/>
        <w:t>пациентов,</w:t>
      </w:r>
      <w:r>
        <w:rPr>
          <w:spacing w:val="-8"/>
        </w:rPr>
        <w:t> </w:t>
      </w:r>
      <w:r>
        <w:rPr/>
        <w:t>перенесших</w:t>
      </w:r>
      <w:r>
        <w:rPr>
          <w:spacing w:val="-6"/>
        </w:rPr>
        <w:t> </w:t>
      </w:r>
      <w:r>
        <w:rPr/>
        <w:t>пневмонии, ассоциированные с новой коронавирусной инфекцией</w:t>
      </w:r>
    </w:p>
    <w:p>
      <w:pPr>
        <w:pStyle w:val="BodyText"/>
        <w:spacing w:line="276" w:lineRule="auto" w:before="4"/>
        <w:ind w:right="1271" w:firstLine="707"/>
      </w:pPr>
      <w:r>
        <w:rPr/>
        <w:t>Воздействие пандемии глубоко затрагивает психическое здоровье населения. Опыт прежних эпидемий показывает, что реконвалесценты перенесенных вирусных инфекций склонны к депрессии и тревожным расстройствам. По разным оценкам до 45-50% реконвалесцентов СОVID-19 будут нуждаться в различных мерах медицинской и социальной поддержки. По другим данным, среди перенесших СОУШ-19 пациентов вероятность впервые развившегося психоза составляет 8%, когнитивных нарушений - 5%, расстройств настроения - 3%. Причём в половине случаев психические нарушения манифестируют у лиц моложе 60 лет.</w:t>
      </w:r>
    </w:p>
    <w:p>
      <w:pPr>
        <w:pStyle w:val="BodyText"/>
        <w:spacing w:line="276" w:lineRule="auto"/>
        <w:ind w:right="1272" w:firstLine="707"/>
      </w:pPr>
      <w:r>
        <w:rPr/>
        <w:t>Группы риска для развития аффективных расстройств на фоне новой коронавирусной инфекции составляют:</w:t>
      </w:r>
    </w:p>
    <w:p>
      <w:pPr>
        <w:pStyle w:val="ListParagraph"/>
        <w:numPr>
          <w:ilvl w:val="0"/>
          <w:numId w:val="47"/>
        </w:numPr>
        <w:tabs>
          <w:tab w:pos="2549" w:val="left" w:leader="none"/>
        </w:tabs>
        <w:spacing w:line="274" w:lineRule="exact" w:before="0" w:after="0"/>
        <w:ind w:left="2549" w:right="0" w:hanging="281"/>
        <w:jc w:val="left"/>
        <w:rPr>
          <w:sz w:val="24"/>
        </w:rPr>
      </w:pPr>
      <w:r>
        <w:rPr>
          <w:sz w:val="24"/>
        </w:rPr>
        <w:t>пациенты,</w:t>
      </w:r>
      <w:r>
        <w:rPr>
          <w:spacing w:val="-14"/>
          <w:sz w:val="24"/>
        </w:rPr>
        <w:t> </w:t>
      </w:r>
      <w:r>
        <w:rPr>
          <w:sz w:val="24"/>
        </w:rPr>
        <w:t>перенесшие</w:t>
      </w:r>
      <w:r>
        <w:rPr>
          <w:spacing w:val="-12"/>
          <w:sz w:val="24"/>
        </w:rPr>
        <w:t> </w:t>
      </w:r>
      <w:r>
        <w:rPr>
          <w:sz w:val="24"/>
        </w:rPr>
        <w:t>в</w:t>
      </w:r>
      <w:r>
        <w:rPr>
          <w:spacing w:val="-12"/>
          <w:sz w:val="24"/>
        </w:rPr>
        <w:t> </w:t>
      </w:r>
      <w:r>
        <w:rPr>
          <w:sz w:val="24"/>
        </w:rPr>
        <w:t>прошлом</w:t>
      </w:r>
      <w:r>
        <w:rPr>
          <w:spacing w:val="-13"/>
          <w:sz w:val="24"/>
        </w:rPr>
        <w:t> </w:t>
      </w:r>
      <w:r>
        <w:rPr>
          <w:sz w:val="24"/>
        </w:rPr>
        <w:t>эпизоды</w:t>
      </w:r>
      <w:r>
        <w:rPr>
          <w:spacing w:val="-11"/>
          <w:sz w:val="24"/>
        </w:rPr>
        <w:t> </w:t>
      </w:r>
      <w:r>
        <w:rPr>
          <w:sz w:val="24"/>
        </w:rPr>
        <w:t>аффективных</w:t>
      </w:r>
      <w:r>
        <w:rPr>
          <w:spacing w:val="-10"/>
          <w:sz w:val="24"/>
        </w:rPr>
        <w:t> </w:t>
      </w:r>
      <w:r>
        <w:rPr>
          <w:spacing w:val="-2"/>
          <w:sz w:val="24"/>
        </w:rPr>
        <w:t>расстройств</w:t>
      </w:r>
    </w:p>
    <w:p>
      <w:pPr>
        <w:pStyle w:val="ListParagraph"/>
        <w:numPr>
          <w:ilvl w:val="0"/>
          <w:numId w:val="47"/>
        </w:numPr>
        <w:tabs>
          <w:tab w:pos="2549" w:val="left" w:leader="none"/>
        </w:tabs>
        <w:spacing w:line="240" w:lineRule="auto" w:before="41" w:after="0"/>
        <w:ind w:left="2549" w:right="0" w:hanging="281"/>
        <w:jc w:val="left"/>
        <w:rPr>
          <w:sz w:val="24"/>
        </w:rPr>
      </w:pPr>
      <w:r>
        <w:rPr>
          <w:sz w:val="24"/>
        </w:rPr>
        <w:t>пациенты,</w:t>
      </w:r>
      <w:r>
        <w:rPr>
          <w:spacing w:val="-15"/>
          <w:sz w:val="24"/>
        </w:rPr>
        <w:t> </w:t>
      </w:r>
      <w:r>
        <w:rPr>
          <w:sz w:val="24"/>
        </w:rPr>
        <w:t>кровные</w:t>
      </w:r>
      <w:r>
        <w:rPr>
          <w:spacing w:val="-15"/>
          <w:sz w:val="24"/>
        </w:rPr>
        <w:t> </w:t>
      </w:r>
      <w:r>
        <w:rPr>
          <w:sz w:val="24"/>
        </w:rPr>
        <w:t>родственники</w:t>
      </w:r>
      <w:r>
        <w:rPr>
          <w:spacing w:val="-11"/>
          <w:sz w:val="24"/>
        </w:rPr>
        <w:t> </w:t>
      </w:r>
      <w:r>
        <w:rPr>
          <w:sz w:val="24"/>
        </w:rPr>
        <w:t>которых</w:t>
      </w:r>
      <w:r>
        <w:rPr>
          <w:spacing w:val="-15"/>
          <w:sz w:val="24"/>
        </w:rPr>
        <w:t> </w:t>
      </w:r>
      <w:r>
        <w:rPr>
          <w:sz w:val="24"/>
        </w:rPr>
        <w:t>имеют</w:t>
      </w:r>
      <w:r>
        <w:rPr>
          <w:spacing w:val="-12"/>
          <w:sz w:val="24"/>
        </w:rPr>
        <w:t> </w:t>
      </w:r>
      <w:r>
        <w:rPr>
          <w:sz w:val="24"/>
        </w:rPr>
        <w:t>аффективные</w:t>
      </w:r>
      <w:r>
        <w:rPr>
          <w:spacing w:val="-13"/>
          <w:sz w:val="24"/>
        </w:rPr>
        <w:t> </w:t>
      </w:r>
      <w:r>
        <w:rPr>
          <w:spacing w:val="-2"/>
          <w:sz w:val="24"/>
        </w:rPr>
        <w:t>расстройства</w:t>
      </w:r>
    </w:p>
    <w:p>
      <w:pPr>
        <w:pStyle w:val="ListParagraph"/>
        <w:numPr>
          <w:ilvl w:val="0"/>
          <w:numId w:val="47"/>
        </w:numPr>
        <w:tabs>
          <w:tab w:pos="2549" w:val="left" w:leader="none"/>
        </w:tabs>
        <w:spacing w:line="240" w:lineRule="auto" w:before="41" w:after="0"/>
        <w:ind w:left="2549" w:right="0" w:hanging="281"/>
        <w:jc w:val="left"/>
        <w:rPr>
          <w:sz w:val="24"/>
        </w:rPr>
      </w:pPr>
      <w:r>
        <w:rPr>
          <w:sz w:val="24"/>
        </w:rPr>
        <w:t>ветераны</w:t>
      </w:r>
      <w:r>
        <w:rPr>
          <w:spacing w:val="-9"/>
          <w:sz w:val="24"/>
        </w:rPr>
        <w:t> </w:t>
      </w:r>
      <w:r>
        <w:rPr>
          <w:sz w:val="24"/>
        </w:rPr>
        <w:t>и</w:t>
      </w:r>
      <w:r>
        <w:rPr>
          <w:spacing w:val="-9"/>
          <w:sz w:val="24"/>
        </w:rPr>
        <w:t> </w:t>
      </w:r>
      <w:r>
        <w:rPr>
          <w:sz w:val="24"/>
        </w:rPr>
        <w:t>лица,</w:t>
      </w:r>
      <w:r>
        <w:rPr>
          <w:spacing w:val="-9"/>
          <w:sz w:val="24"/>
        </w:rPr>
        <w:t> </w:t>
      </w:r>
      <w:r>
        <w:rPr>
          <w:sz w:val="24"/>
        </w:rPr>
        <w:t>перенесшие</w:t>
      </w:r>
      <w:r>
        <w:rPr>
          <w:spacing w:val="-10"/>
          <w:sz w:val="24"/>
        </w:rPr>
        <w:t> </w:t>
      </w:r>
      <w:r>
        <w:rPr>
          <w:sz w:val="24"/>
        </w:rPr>
        <w:t>травму</w:t>
      </w:r>
      <w:r>
        <w:rPr>
          <w:spacing w:val="-7"/>
          <w:sz w:val="24"/>
        </w:rPr>
        <w:t> </w:t>
      </w:r>
      <w:r>
        <w:rPr>
          <w:sz w:val="24"/>
        </w:rPr>
        <w:t>в</w:t>
      </w:r>
      <w:r>
        <w:rPr>
          <w:spacing w:val="-10"/>
          <w:sz w:val="24"/>
        </w:rPr>
        <w:t> </w:t>
      </w:r>
      <w:r>
        <w:rPr>
          <w:spacing w:val="-2"/>
          <w:sz w:val="24"/>
        </w:rPr>
        <w:t>прошлом</w:t>
      </w:r>
    </w:p>
    <w:p>
      <w:pPr>
        <w:pStyle w:val="ListParagraph"/>
        <w:numPr>
          <w:ilvl w:val="0"/>
          <w:numId w:val="47"/>
        </w:numPr>
        <w:tabs>
          <w:tab w:pos="2549" w:val="left" w:leader="none"/>
        </w:tabs>
        <w:spacing w:line="276" w:lineRule="auto" w:before="40" w:after="0"/>
        <w:ind w:left="2549" w:right="1274" w:hanging="281"/>
        <w:jc w:val="left"/>
        <w:rPr>
          <w:sz w:val="24"/>
        </w:rPr>
      </w:pPr>
      <w:r>
        <w:rPr>
          <w:sz w:val="24"/>
        </w:rPr>
        <w:t>пациенты, с тяжелым течением инфекции, получавшие лечение в отделениях интенсивной терапии</w:t>
      </w:r>
    </w:p>
    <w:p>
      <w:pPr>
        <w:pStyle w:val="BodyText"/>
        <w:spacing w:line="276" w:lineRule="auto" w:before="1"/>
        <w:ind w:right="1271" w:firstLine="707"/>
      </w:pPr>
      <w:r>
        <w:rPr/>
        <w:t>Депрессия негативно влияет на прогноз широкого круга соматических заболеваний,</w:t>
      </w:r>
      <w:r>
        <w:rPr>
          <w:spacing w:val="80"/>
        </w:rPr>
        <w:t> </w:t>
      </w:r>
      <w:r>
        <w:rPr/>
        <w:t>в</w:t>
      </w:r>
      <w:r>
        <w:rPr>
          <w:spacing w:val="80"/>
        </w:rPr>
        <w:t> </w:t>
      </w:r>
      <w:r>
        <w:rPr/>
        <w:t>том</w:t>
      </w:r>
      <w:r>
        <w:rPr>
          <w:spacing w:val="80"/>
        </w:rPr>
        <w:t> </w:t>
      </w:r>
      <w:r>
        <w:rPr/>
        <w:t>числе</w:t>
      </w:r>
      <w:r>
        <w:rPr>
          <w:spacing w:val="80"/>
        </w:rPr>
        <w:t> </w:t>
      </w:r>
      <w:r>
        <w:rPr/>
        <w:t>и</w:t>
      </w:r>
      <w:r>
        <w:rPr>
          <w:spacing w:val="80"/>
        </w:rPr>
        <w:t> </w:t>
      </w:r>
      <w:r>
        <w:rPr/>
        <w:t>инфекционных</w:t>
      </w:r>
      <w:r>
        <w:rPr>
          <w:spacing w:val="80"/>
        </w:rPr>
        <w:t> </w:t>
      </w:r>
      <w:r>
        <w:rPr/>
        <w:t>болезней,</w:t>
      </w:r>
      <w:r>
        <w:rPr>
          <w:spacing w:val="80"/>
        </w:rPr>
        <w:t> </w:t>
      </w:r>
      <w:r>
        <w:rPr/>
        <w:t>как</w:t>
      </w:r>
      <w:r>
        <w:rPr>
          <w:spacing w:val="80"/>
        </w:rPr>
        <w:t> </w:t>
      </w:r>
      <w:r>
        <w:rPr/>
        <w:t>в</w:t>
      </w:r>
      <w:r>
        <w:rPr>
          <w:spacing w:val="80"/>
        </w:rPr>
        <w:t> </w:t>
      </w:r>
      <w:r>
        <w:rPr/>
        <w:t>остром</w:t>
      </w:r>
      <w:r>
        <w:rPr>
          <w:spacing w:val="80"/>
        </w:rPr>
        <w:t> </w:t>
      </w:r>
      <w:r>
        <w:rPr/>
        <w:t>периоде, так и на этапах реабилитации. При депрессии существует повышенный риск инфекций</w:t>
      </w:r>
      <w:r>
        <w:rPr>
          <w:spacing w:val="80"/>
        </w:rPr>
        <w:t> </w:t>
      </w:r>
      <w:r>
        <w:rPr/>
        <w:t>верхних</w:t>
      </w:r>
      <w:r>
        <w:rPr>
          <w:spacing w:val="80"/>
        </w:rPr>
        <w:t> </w:t>
      </w:r>
      <w:r>
        <w:rPr/>
        <w:t>дыхательный</w:t>
      </w:r>
      <w:r>
        <w:rPr>
          <w:spacing w:val="80"/>
        </w:rPr>
        <w:t> </w:t>
      </w:r>
      <w:r>
        <w:rPr/>
        <w:t>путей</w:t>
      </w:r>
      <w:r>
        <w:rPr>
          <w:spacing w:val="80"/>
        </w:rPr>
        <w:t> </w:t>
      </w:r>
      <w:r>
        <w:rPr/>
        <w:t>с</w:t>
      </w:r>
      <w:r>
        <w:rPr>
          <w:spacing w:val="80"/>
        </w:rPr>
        <w:t> </w:t>
      </w:r>
      <w:r>
        <w:rPr/>
        <w:t>более</w:t>
      </w:r>
      <w:r>
        <w:rPr>
          <w:spacing w:val="80"/>
        </w:rPr>
        <w:t> </w:t>
      </w:r>
      <w:r>
        <w:rPr/>
        <w:t>высокой</w:t>
      </w:r>
      <w:r>
        <w:rPr>
          <w:spacing w:val="80"/>
        </w:rPr>
        <w:t> </w:t>
      </w:r>
      <w:r>
        <w:rPr/>
        <w:t>частотой</w:t>
      </w:r>
      <w:r>
        <w:rPr>
          <w:spacing w:val="80"/>
        </w:rPr>
        <w:t> </w:t>
      </w:r>
      <w:r>
        <w:rPr/>
        <w:t>осложнений и неблагоприятным исходом, чем в среднем по популяции.</w:t>
      </w:r>
    </w:p>
    <w:p>
      <w:pPr>
        <w:pStyle w:val="BodyText"/>
        <w:spacing w:line="276" w:lineRule="auto"/>
        <w:ind w:right="1271" w:firstLine="707"/>
      </w:pPr>
      <w:r>
        <w:rPr/>
        <w:t>Для пациентов, удовлетворяющих современным диагностическим критериям депрессивного эпизода (ДЭ) и рекуррентного депрессивного расстройства (РДР), рекомендуется применение тимоаналептической фармакотерапии: назначение антидепрессантов в минимальных эффективных дозах; при отсутствии побочных эффектов</w:t>
      </w:r>
      <w:r>
        <w:rPr>
          <w:spacing w:val="-7"/>
        </w:rPr>
        <w:t> </w:t>
      </w:r>
      <w:r>
        <w:rPr/>
        <w:t>или</w:t>
      </w:r>
      <w:r>
        <w:rPr>
          <w:spacing w:val="-8"/>
        </w:rPr>
        <w:t> </w:t>
      </w:r>
      <w:r>
        <w:rPr/>
        <w:t>при</w:t>
      </w:r>
      <w:r>
        <w:rPr>
          <w:spacing w:val="-7"/>
        </w:rPr>
        <w:t> </w:t>
      </w:r>
      <w:r>
        <w:rPr/>
        <w:t>их</w:t>
      </w:r>
      <w:r>
        <w:rPr>
          <w:spacing w:val="-7"/>
        </w:rPr>
        <w:t> </w:t>
      </w:r>
      <w:r>
        <w:rPr/>
        <w:t>редукции</w:t>
      </w:r>
      <w:r>
        <w:rPr>
          <w:spacing w:val="-6"/>
        </w:rPr>
        <w:t> </w:t>
      </w:r>
      <w:r>
        <w:rPr/>
        <w:t>в</w:t>
      </w:r>
      <w:r>
        <w:rPr>
          <w:spacing w:val="-10"/>
        </w:rPr>
        <w:t> </w:t>
      </w:r>
      <w:r>
        <w:rPr/>
        <w:t>течение</w:t>
      </w:r>
      <w:r>
        <w:rPr>
          <w:spacing w:val="-7"/>
        </w:rPr>
        <w:t> </w:t>
      </w:r>
      <w:r>
        <w:rPr/>
        <w:t>нескольких</w:t>
      </w:r>
      <w:r>
        <w:rPr>
          <w:spacing w:val="-8"/>
        </w:rPr>
        <w:t> </w:t>
      </w:r>
      <w:r>
        <w:rPr/>
        <w:t>дней</w:t>
      </w:r>
      <w:r>
        <w:rPr>
          <w:spacing w:val="-7"/>
        </w:rPr>
        <w:t> </w:t>
      </w:r>
      <w:r>
        <w:rPr/>
        <w:t>рекомендуется</w:t>
      </w:r>
      <w:r>
        <w:rPr>
          <w:spacing w:val="-7"/>
        </w:rPr>
        <w:t> </w:t>
      </w:r>
      <w:r>
        <w:rPr/>
        <w:t>увеличение суточной дозы в пределах стандартных дозировок до ослабления выраженности психопатологической симптоматики, при недостаточном эффекте (степень редукции симптоматики от 25% до 50%) через 3-4 недели рекомендуется наращивание дозы</w:t>
      </w:r>
      <w:r>
        <w:rPr>
          <w:spacing w:val="80"/>
        </w:rPr>
        <w:t> </w:t>
      </w:r>
      <w:r>
        <w:rPr/>
        <w:t>до максимальной.</w:t>
      </w:r>
    </w:p>
    <w:p>
      <w:pPr>
        <w:pStyle w:val="BodyText"/>
        <w:spacing w:line="276" w:lineRule="auto"/>
        <w:ind w:right="1279" w:firstLine="707"/>
      </w:pPr>
      <w:r>
        <w:rPr/>
        <w:t>При выборе лекарственного средства важен учет профиля безопасности конкретного</w:t>
      </w:r>
      <w:r>
        <w:rPr>
          <w:spacing w:val="-5"/>
        </w:rPr>
        <w:t> </w:t>
      </w:r>
      <w:r>
        <w:rPr/>
        <w:t>препарата</w:t>
      </w:r>
      <w:r>
        <w:rPr>
          <w:spacing w:val="-6"/>
        </w:rPr>
        <w:t> </w:t>
      </w:r>
      <w:r>
        <w:rPr/>
        <w:t>для</w:t>
      </w:r>
      <w:r>
        <w:rPr>
          <w:spacing w:val="-5"/>
        </w:rPr>
        <w:t> </w:t>
      </w:r>
      <w:r>
        <w:rPr/>
        <w:t>больных,</w:t>
      </w:r>
      <w:r>
        <w:rPr>
          <w:spacing w:val="-6"/>
        </w:rPr>
        <w:t> </w:t>
      </w:r>
      <w:r>
        <w:rPr/>
        <w:t>перенесших</w:t>
      </w:r>
      <w:r>
        <w:rPr>
          <w:spacing w:val="-5"/>
        </w:rPr>
        <w:t> </w:t>
      </w:r>
      <w:r>
        <w:rPr/>
        <w:t>новую</w:t>
      </w:r>
      <w:r>
        <w:rPr>
          <w:spacing w:val="-8"/>
        </w:rPr>
        <w:t> </w:t>
      </w:r>
      <w:r>
        <w:rPr/>
        <w:t>коронавирусную</w:t>
      </w:r>
      <w:r>
        <w:rPr>
          <w:spacing w:val="-7"/>
        </w:rPr>
        <w:t> </w:t>
      </w:r>
      <w:r>
        <w:rPr/>
        <w:t>инфекцию. На</w:t>
      </w:r>
      <w:r>
        <w:rPr>
          <w:spacing w:val="-6"/>
        </w:rPr>
        <w:t> </w:t>
      </w:r>
      <w:r>
        <w:rPr/>
        <w:t>территории</w:t>
      </w:r>
      <w:r>
        <w:rPr>
          <w:spacing w:val="-4"/>
        </w:rPr>
        <w:t> </w:t>
      </w:r>
      <w:r>
        <w:rPr/>
        <w:t>Российской</w:t>
      </w:r>
      <w:r>
        <w:rPr>
          <w:spacing w:val="-4"/>
        </w:rPr>
        <w:t> </w:t>
      </w:r>
      <w:r>
        <w:rPr/>
        <w:t>Федерации</w:t>
      </w:r>
      <w:r>
        <w:rPr>
          <w:spacing w:val="-6"/>
        </w:rPr>
        <w:t> </w:t>
      </w:r>
      <w:r>
        <w:rPr/>
        <w:t>при</w:t>
      </w:r>
      <w:r>
        <w:rPr>
          <w:spacing w:val="-6"/>
        </w:rPr>
        <w:t> </w:t>
      </w:r>
      <w:r>
        <w:rPr/>
        <w:t>назначении</w:t>
      </w:r>
      <w:r>
        <w:rPr>
          <w:spacing w:val="-4"/>
        </w:rPr>
        <w:t> </w:t>
      </w:r>
      <w:r>
        <w:rPr/>
        <w:t>медикаментозных</w:t>
      </w:r>
      <w:r>
        <w:rPr>
          <w:spacing w:val="-5"/>
        </w:rPr>
        <w:t> </w:t>
      </w:r>
      <w:r>
        <w:rPr/>
        <w:t>препаратов необходимо</w:t>
      </w:r>
      <w:r>
        <w:rPr>
          <w:spacing w:val="-3"/>
        </w:rPr>
        <w:t> </w:t>
      </w:r>
      <w:r>
        <w:rPr/>
        <w:t>руководствоваться</w:t>
      </w:r>
      <w:r>
        <w:rPr>
          <w:spacing w:val="-3"/>
        </w:rPr>
        <w:t> </w:t>
      </w:r>
      <w:r>
        <w:rPr/>
        <w:t>инструкцией</w:t>
      </w:r>
      <w:r>
        <w:rPr>
          <w:spacing w:val="-2"/>
        </w:rPr>
        <w:t> </w:t>
      </w:r>
      <w:r>
        <w:rPr/>
        <w:t>по</w:t>
      </w:r>
      <w:r>
        <w:rPr>
          <w:spacing w:val="-3"/>
        </w:rPr>
        <w:t> </w:t>
      </w:r>
      <w:r>
        <w:rPr/>
        <w:t>медицинскому</w:t>
      </w:r>
      <w:r>
        <w:rPr>
          <w:spacing w:val="-5"/>
        </w:rPr>
        <w:t> </w:t>
      </w:r>
      <w:r>
        <w:rPr/>
        <w:t>применению</w:t>
      </w:r>
      <w:r>
        <w:rPr>
          <w:spacing w:val="-4"/>
        </w:rPr>
        <w:t> </w:t>
      </w:r>
      <w:r>
        <w:rPr/>
        <w:t>каждого конкретного лекарственного средства.</w:t>
      </w:r>
    </w:p>
    <w:p>
      <w:pPr>
        <w:pStyle w:val="BodyText"/>
        <w:spacing w:line="276" w:lineRule="auto"/>
        <w:ind w:right="1275" w:firstLine="707"/>
      </w:pPr>
      <w:r>
        <w:rPr/>
        <w:t>Лечение</w:t>
      </w:r>
      <w:r>
        <w:rPr>
          <w:spacing w:val="-6"/>
        </w:rPr>
        <w:t> </w:t>
      </w:r>
      <w:r>
        <w:rPr/>
        <w:t>легких</w:t>
      </w:r>
      <w:r>
        <w:rPr>
          <w:spacing w:val="-6"/>
        </w:rPr>
        <w:t> </w:t>
      </w:r>
      <w:r>
        <w:rPr/>
        <w:t>ДЭ</w:t>
      </w:r>
      <w:r>
        <w:rPr>
          <w:spacing w:val="-6"/>
        </w:rPr>
        <w:t> </w:t>
      </w:r>
      <w:r>
        <w:rPr/>
        <w:t>обычно</w:t>
      </w:r>
      <w:r>
        <w:rPr>
          <w:spacing w:val="-6"/>
        </w:rPr>
        <w:t> </w:t>
      </w:r>
      <w:r>
        <w:rPr/>
        <w:t>осуществляется</w:t>
      </w:r>
      <w:r>
        <w:rPr>
          <w:spacing w:val="-6"/>
        </w:rPr>
        <w:t> </w:t>
      </w:r>
      <w:r>
        <w:rPr/>
        <w:t>амбулаторно</w:t>
      </w:r>
      <w:r>
        <w:rPr>
          <w:spacing w:val="-6"/>
        </w:rPr>
        <w:t> </w:t>
      </w:r>
      <w:r>
        <w:rPr/>
        <w:t>в</w:t>
      </w:r>
      <w:r>
        <w:rPr>
          <w:spacing w:val="-6"/>
        </w:rPr>
        <w:t> </w:t>
      </w:r>
      <w:r>
        <w:rPr/>
        <w:t>рамках</w:t>
      </w:r>
      <w:r>
        <w:rPr>
          <w:spacing w:val="-6"/>
        </w:rPr>
        <w:t> </w:t>
      </w:r>
      <w:r>
        <w:rPr/>
        <w:t>первичного звена психиатрической помощи. Пациентам с легким ДЭ рекомендовано назначение антидепрессантов в пероральной форме. Преимущественно используются селективные</w:t>
      </w:r>
      <w:r>
        <w:rPr>
          <w:spacing w:val="68"/>
          <w:w w:val="150"/>
        </w:rPr>
        <w:t> </w:t>
      </w:r>
      <w:r>
        <w:rPr/>
        <w:t>ингибиторы</w:t>
      </w:r>
      <w:r>
        <w:rPr>
          <w:spacing w:val="69"/>
          <w:w w:val="150"/>
        </w:rPr>
        <w:t> </w:t>
      </w:r>
      <w:r>
        <w:rPr/>
        <w:t>обратного</w:t>
      </w:r>
      <w:r>
        <w:rPr>
          <w:spacing w:val="68"/>
          <w:w w:val="150"/>
        </w:rPr>
        <w:t> </w:t>
      </w:r>
      <w:r>
        <w:rPr/>
        <w:t>захвата</w:t>
      </w:r>
      <w:r>
        <w:rPr>
          <w:spacing w:val="69"/>
          <w:w w:val="150"/>
        </w:rPr>
        <w:t> </w:t>
      </w:r>
      <w:r>
        <w:rPr/>
        <w:t>серотонина</w:t>
      </w:r>
      <w:r>
        <w:rPr>
          <w:spacing w:val="68"/>
          <w:w w:val="150"/>
        </w:rPr>
        <w:t> </w:t>
      </w:r>
      <w:r>
        <w:rPr/>
        <w:t>(СИОЗС),</w:t>
      </w:r>
      <w:r>
        <w:rPr>
          <w:spacing w:val="69"/>
          <w:w w:val="150"/>
        </w:rPr>
        <w:t> </w:t>
      </w:r>
      <w:r>
        <w:rPr>
          <w:spacing w:val="-2"/>
        </w:rPr>
        <w:t>агомелатин,</w:t>
      </w:r>
    </w:p>
    <w:p>
      <w:pPr>
        <w:pStyle w:val="BodyText"/>
        <w:spacing w:after="0" w:line="276" w:lineRule="auto"/>
        <w:sectPr>
          <w:pgSz w:w="11900" w:h="16840"/>
          <w:pgMar w:header="0" w:footer="697" w:top="1080" w:bottom="880" w:left="0" w:right="0"/>
        </w:sectPr>
      </w:pPr>
    </w:p>
    <w:p>
      <w:pPr>
        <w:pStyle w:val="BodyText"/>
        <w:tabs>
          <w:tab w:pos="4093" w:val="left" w:leader="none"/>
          <w:tab w:pos="4904" w:val="left" w:leader="none"/>
          <w:tab w:pos="5992" w:val="left" w:leader="none"/>
          <w:tab w:pos="6166" w:val="left" w:leader="none"/>
          <w:tab w:pos="8242" w:val="left" w:leader="none"/>
          <w:tab w:pos="9721" w:val="left" w:leader="none"/>
        </w:tabs>
        <w:spacing w:line="276" w:lineRule="auto" w:before="73"/>
        <w:ind w:right="1275"/>
      </w:pPr>
      <w:bookmarkStart w:name="105" w:id="122"/>
      <w:bookmarkEnd w:id="122"/>
      <w:r>
        <w:rPr/>
      </w:r>
      <w:r>
        <w:rPr/>
        <w:t>а</w:t>
      </w:r>
      <w:r>
        <w:rPr>
          <w:spacing w:val="40"/>
        </w:rPr>
        <w:t> </w:t>
      </w:r>
      <w:r>
        <w:rPr/>
        <w:t>также</w:t>
      </w:r>
      <w:r>
        <w:rPr>
          <w:spacing w:val="40"/>
        </w:rPr>
        <w:t> </w:t>
      </w:r>
      <w:r>
        <w:rPr/>
        <w:t>другие</w:t>
      </w:r>
      <w:r>
        <w:rPr>
          <w:spacing w:val="40"/>
        </w:rPr>
        <w:t> </w:t>
      </w:r>
      <w:r>
        <w:rPr/>
        <w:t>препараты</w:t>
      </w:r>
      <w:r>
        <w:rPr>
          <w:spacing w:val="40"/>
        </w:rPr>
        <w:t> </w:t>
      </w:r>
      <w:r>
        <w:rPr/>
        <w:t>новых</w:t>
      </w:r>
      <w:r>
        <w:rPr>
          <w:spacing w:val="40"/>
        </w:rPr>
        <w:t> </w:t>
      </w:r>
      <w:r>
        <w:rPr/>
        <w:t>поколений.</w:t>
      </w:r>
      <w:r>
        <w:rPr>
          <w:spacing w:val="40"/>
        </w:rPr>
        <w:t> </w:t>
      </w:r>
      <w:r>
        <w:rPr/>
        <w:t>В</w:t>
      </w:r>
      <w:r>
        <w:rPr>
          <w:spacing w:val="40"/>
        </w:rPr>
        <w:t> </w:t>
      </w:r>
      <w:r>
        <w:rPr/>
        <w:t>некоторых</w:t>
      </w:r>
      <w:r>
        <w:rPr>
          <w:spacing w:val="40"/>
        </w:rPr>
        <w:t> </w:t>
      </w:r>
      <w:r>
        <w:rPr/>
        <w:t>случаях</w:t>
      </w:r>
      <w:r>
        <w:rPr>
          <w:spacing w:val="40"/>
        </w:rPr>
        <w:t> </w:t>
      </w:r>
      <w:r>
        <w:rPr/>
        <w:t>при</w:t>
      </w:r>
      <w:r>
        <w:rPr>
          <w:spacing w:val="40"/>
        </w:rPr>
        <w:t> </w:t>
      </w:r>
      <w:r>
        <w:rPr/>
        <w:t>легком</w:t>
      </w:r>
      <w:r>
        <w:rPr>
          <w:spacing w:val="40"/>
        </w:rPr>
        <w:t> </w:t>
      </w:r>
      <w:r>
        <w:rPr/>
        <w:t>ДЭ в зависимости от индивидуальных особенностей и/или запросов пациента </w:t>
      </w:r>
      <w:r>
        <w:rPr>
          <w:spacing w:val="-2"/>
        </w:rPr>
        <w:t>рекомендовано</w:t>
      </w:r>
      <w:r>
        <w:rPr/>
        <w:tab/>
      </w:r>
      <w:r>
        <w:rPr>
          <w:spacing w:val="-2"/>
        </w:rPr>
        <w:t>ограничиться</w:t>
      </w:r>
      <w:r>
        <w:rPr/>
        <w:tab/>
        <w:tab/>
      </w:r>
      <w:r>
        <w:rPr>
          <w:spacing w:val="-2"/>
        </w:rPr>
        <w:t>применением</w:t>
      </w:r>
      <w:r>
        <w:rPr/>
        <w:tab/>
      </w:r>
      <w:r>
        <w:rPr>
          <w:spacing w:val="-2"/>
        </w:rPr>
        <w:t>психотерапевтических, психообразовательных</w:t>
      </w:r>
      <w:r>
        <w:rPr/>
        <w:tab/>
      </w:r>
      <w:r>
        <w:rPr>
          <w:spacing w:val="-4"/>
        </w:rPr>
        <w:t>или</w:t>
      </w:r>
      <w:r>
        <w:rPr/>
        <w:tab/>
      </w:r>
      <w:r>
        <w:rPr>
          <w:spacing w:val="-2"/>
        </w:rPr>
        <w:t>социальнореабилитационных</w:t>
      </w:r>
      <w:r>
        <w:rPr/>
        <w:tab/>
      </w:r>
      <w:r>
        <w:rPr>
          <w:spacing w:val="-2"/>
        </w:rPr>
        <w:t>методов. </w:t>
      </w:r>
      <w:r>
        <w:rPr/>
        <w:t>Преимущественный</w:t>
      </w:r>
      <w:r>
        <w:rPr>
          <w:spacing w:val="-12"/>
        </w:rPr>
        <w:t> </w:t>
      </w:r>
      <w:r>
        <w:rPr/>
        <w:t>выбор</w:t>
      </w:r>
      <w:r>
        <w:rPr>
          <w:spacing w:val="-12"/>
        </w:rPr>
        <w:t> </w:t>
      </w:r>
      <w:r>
        <w:rPr/>
        <w:t>в</w:t>
      </w:r>
      <w:r>
        <w:rPr>
          <w:spacing w:val="-12"/>
        </w:rPr>
        <w:t> </w:t>
      </w:r>
      <w:r>
        <w:rPr/>
        <w:t>пользу</w:t>
      </w:r>
      <w:r>
        <w:rPr>
          <w:spacing w:val="-12"/>
        </w:rPr>
        <w:t> </w:t>
      </w:r>
      <w:r>
        <w:rPr/>
        <w:t>антидепрессантов</w:t>
      </w:r>
      <w:r>
        <w:rPr>
          <w:spacing w:val="-11"/>
        </w:rPr>
        <w:t> </w:t>
      </w:r>
      <w:r>
        <w:rPr/>
        <w:t>по</w:t>
      </w:r>
      <w:r>
        <w:rPr>
          <w:spacing w:val="-12"/>
        </w:rPr>
        <w:t> </w:t>
      </w:r>
      <w:r>
        <w:rPr/>
        <w:t>сравнению</w:t>
      </w:r>
      <w:r>
        <w:rPr>
          <w:spacing w:val="-12"/>
        </w:rPr>
        <w:t> </w:t>
      </w:r>
      <w:r>
        <w:rPr/>
        <w:t>с</w:t>
      </w:r>
      <w:r>
        <w:rPr>
          <w:spacing w:val="-15"/>
        </w:rPr>
        <w:t> </w:t>
      </w:r>
      <w:r>
        <w:rPr/>
        <w:t>психотерапией следует</w:t>
      </w:r>
      <w:r>
        <w:rPr>
          <w:spacing w:val="40"/>
        </w:rPr>
        <w:t> </w:t>
      </w:r>
      <w:r>
        <w:rPr/>
        <w:t>осуществлять</w:t>
      </w:r>
      <w:r>
        <w:rPr>
          <w:spacing w:val="40"/>
        </w:rPr>
        <w:t> </w:t>
      </w:r>
      <w:r>
        <w:rPr/>
        <w:t>у</w:t>
      </w:r>
      <w:r>
        <w:rPr>
          <w:spacing w:val="40"/>
        </w:rPr>
        <w:t> </w:t>
      </w:r>
      <w:r>
        <w:rPr/>
        <w:t>больных</w:t>
      </w:r>
      <w:r>
        <w:rPr>
          <w:spacing w:val="40"/>
        </w:rPr>
        <w:t> </w:t>
      </w:r>
      <w:r>
        <w:rPr/>
        <w:t>с</w:t>
      </w:r>
      <w:r>
        <w:rPr>
          <w:spacing w:val="40"/>
        </w:rPr>
        <w:t> </w:t>
      </w:r>
      <w:r>
        <w:rPr/>
        <w:t>наличием</w:t>
      </w:r>
      <w:r>
        <w:rPr>
          <w:spacing w:val="40"/>
        </w:rPr>
        <w:t> </w:t>
      </w:r>
      <w:r>
        <w:rPr/>
        <w:t>развернутых</w:t>
      </w:r>
      <w:r>
        <w:rPr>
          <w:spacing w:val="40"/>
        </w:rPr>
        <w:t> </w:t>
      </w:r>
      <w:r>
        <w:rPr/>
        <w:t>депрессий</w:t>
      </w:r>
      <w:r>
        <w:rPr>
          <w:spacing w:val="40"/>
        </w:rPr>
        <w:t> </w:t>
      </w:r>
      <w:r>
        <w:rPr/>
        <w:t>в</w:t>
      </w:r>
      <w:r>
        <w:rPr>
          <w:spacing w:val="40"/>
        </w:rPr>
        <w:t> </w:t>
      </w:r>
      <w:r>
        <w:rPr/>
        <w:t>анамнезе,</w:t>
      </w:r>
      <w:r>
        <w:rPr>
          <w:spacing w:val="40"/>
        </w:rPr>
        <w:t> </w:t>
      </w:r>
      <w:r>
        <w:rPr/>
        <w:t>с</w:t>
      </w:r>
      <w:r>
        <w:rPr>
          <w:spacing w:val="-15"/>
        </w:rPr>
        <w:t> </w:t>
      </w:r>
      <w:r>
        <w:rPr/>
        <w:t>хорошим</w:t>
      </w:r>
      <w:r>
        <w:rPr>
          <w:spacing w:val="-15"/>
        </w:rPr>
        <w:t> </w:t>
      </w:r>
      <w:r>
        <w:rPr/>
        <w:t>эффектом</w:t>
      </w:r>
      <w:r>
        <w:rPr>
          <w:spacing w:val="-15"/>
        </w:rPr>
        <w:t> </w:t>
      </w:r>
      <w:r>
        <w:rPr/>
        <w:t>антидепрессантов</w:t>
      </w:r>
      <w:r>
        <w:rPr>
          <w:spacing w:val="-15"/>
        </w:rPr>
        <w:t> </w:t>
      </w:r>
      <w:r>
        <w:rPr/>
        <w:t>в</w:t>
      </w:r>
      <w:r>
        <w:rPr>
          <w:spacing w:val="-15"/>
        </w:rPr>
        <w:t> </w:t>
      </w:r>
      <w:r>
        <w:rPr/>
        <w:t>прошлых</w:t>
      </w:r>
      <w:r>
        <w:rPr>
          <w:spacing w:val="-15"/>
        </w:rPr>
        <w:t> </w:t>
      </w:r>
      <w:r>
        <w:rPr/>
        <w:t>эпизодах,</w:t>
      </w:r>
      <w:r>
        <w:rPr>
          <w:spacing w:val="-15"/>
        </w:rPr>
        <w:t> </w:t>
      </w:r>
      <w:r>
        <w:rPr/>
        <w:t>наличием</w:t>
      </w:r>
      <w:r>
        <w:rPr>
          <w:spacing w:val="-15"/>
        </w:rPr>
        <w:t> </w:t>
      </w:r>
      <w:r>
        <w:rPr/>
        <w:t>субпороговых </w:t>
      </w:r>
      <w:r>
        <w:rPr>
          <w:spacing w:val="-2"/>
        </w:rPr>
        <w:t>депрессий</w:t>
      </w:r>
      <w:r>
        <w:rPr>
          <w:spacing w:val="-5"/>
        </w:rPr>
        <w:t> </w:t>
      </w:r>
      <w:r>
        <w:rPr>
          <w:spacing w:val="-2"/>
        </w:rPr>
        <w:t>в</w:t>
      </w:r>
      <w:r>
        <w:rPr>
          <w:spacing w:val="-6"/>
        </w:rPr>
        <w:t> </w:t>
      </w:r>
      <w:r>
        <w:rPr>
          <w:spacing w:val="-2"/>
        </w:rPr>
        <w:t>течение</w:t>
      </w:r>
      <w:r>
        <w:rPr>
          <w:spacing w:val="-7"/>
        </w:rPr>
        <w:t> </w:t>
      </w:r>
      <w:r>
        <w:rPr>
          <w:spacing w:val="-2"/>
        </w:rPr>
        <w:t>последних</w:t>
      </w:r>
      <w:r>
        <w:rPr>
          <w:spacing w:val="-6"/>
        </w:rPr>
        <w:t> </w:t>
      </w:r>
      <w:r>
        <w:rPr>
          <w:spacing w:val="-2"/>
        </w:rPr>
        <w:t>двух</w:t>
      </w:r>
      <w:r>
        <w:rPr>
          <w:spacing w:val="-6"/>
        </w:rPr>
        <w:t> </w:t>
      </w:r>
      <w:r>
        <w:rPr>
          <w:spacing w:val="-2"/>
        </w:rPr>
        <w:t>лет,</w:t>
      </w:r>
      <w:r>
        <w:rPr>
          <w:spacing w:val="-5"/>
        </w:rPr>
        <w:t> </w:t>
      </w:r>
      <w:r>
        <w:rPr>
          <w:spacing w:val="-2"/>
        </w:rPr>
        <w:t>при</w:t>
      </w:r>
      <w:r>
        <w:rPr>
          <w:spacing w:val="-5"/>
        </w:rPr>
        <w:t> </w:t>
      </w:r>
      <w:r>
        <w:rPr>
          <w:spacing w:val="-2"/>
        </w:rPr>
        <w:t>отсутствии</w:t>
      </w:r>
      <w:r>
        <w:rPr>
          <w:spacing w:val="-5"/>
        </w:rPr>
        <w:t> </w:t>
      </w:r>
      <w:r>
        <w:rPr>
          <w:spacing w:val="-2"/>
        </w:rPr>
        <w:t>эффекта</w:t>
      </w:r>
      <w:r>
        <w:rPr>
          <w:spacing w:val="-6"/>
        </w:rPr>
        <w:t> </w:t>
      </w:r>
      <w:r>
        <w:rPr>
          <w:spacing w:val="-2"/>
        </w:rPr>
        <w:t>от</w:t>
      </w:r>
      <w:r>
        <w:rPr>
          <w:spacing w:val="-5"/>
        </w:rPr>
        <w:t> </w:t>
      </w:r>
      <w:r>
        <w:rPr>
          <w:spacing w:val="-2"/>
        </w:rPr>
        <w:t>психосоциальных </w:t>
      </w:r>
      <w:r>
        <w:rPr/>
        <w:t>интервенций или при наличии РДР у ближайших родственников.</w:t>
      </w:r>
    </w:p>
    <w:p>
      <w:pPr>
        <w:pStyle w:val="BodyText"/>
        <w:spacing w:line="276" w:lineRule="auto"/>
        <w:ind w:right="1276" w:firstLine="707"/>
      </w:pPr>
      <w:r>
        <w:rPr/>
        <w:t>Высокий риск сердечно-сосудистых нарушений у пациентов, перенесших коронавирусную пневмонию, требует назначения препаратов с минимальным негативным</w:t>
      </w:r>
      <w:r>
        <w:rPr>
          <w:spacing w:val="-15"/>
        </w:rPr>
        <w:t> </w:t>
      </w:r>
      <w:r>
        <w:rPr/>
        <w:t>действием</w:t>
      </w:r>
      <w:r>
        <w:rPr>
          <w:spacing w:val="-15"/>
        </w:rPr>
        <w:t> </w:t>
      </w:r>
      <w:r>
        <w:rPr/>
        <w:t>на</w:t>
      </w:r>
      <w:r>
        <w:rPr>
          <w:spacing w:val="-15"/>
        </w:rPr>
        <w:t> </w:t>
      </w:r>
      <w:r>
        <w:rPr/>
        <w:t>сердечно-сосудистую</w:t>
      </w:r>
      <w:r>
        <w:rPr>
          <w:spacing w:val="-15"/>
        </w:rPr>
        <w:t> </w:t>
      </w:r>
      <w:r>
        <w:rPr/>
        <w:t>систему.</w:t>
      </w:r>
      <w:r>
        <w:rPr>
          <w:spacing w:val="-15"/>
        </w:rPr>
        <w:t> </w:t>
      </w:r>
      <w:r>
        <w:rPr/>
        <w:t>СИОЗС,</w:t>
      </w:r>
      <w:r>
        <w:rPr>
          <w:spacing w:val="-15"/>
        </w:rPr>
        <w:t> </w:t>
      </w:r>
      <w:r>
        <w:rPr/>
        <w:t>а</w:t>
      </w:r>
      <w:r>
        <w:rPr>
          <w:spacing w:val="-15"/>
        </w:rPr>
        <w:t> </w:t>
      </w:r>
      <w:r>
        <w:rPr/>
        <w:t>именно</w:t>
      </w:r>
      <w:r>
        <w:rPr>
          <w:spacing w:val="-15"/>
        </w:rPr>
        <w:t> </w:t>
      </w:r>
      <w:r>
        <w:rPr/>
        <w:t>сертралин как препарат первой линии выбора, по профилю безопасности являются предпочтительными для пациентов с ишемической болезнью сердца (ИБС).</w:t>
      </w:r>
    </w:p>
    <w:p>
      <w:pPr>
        <w:pStyle w:val="BodyText"/>
        <w:spacing w:line="276" w:lineRule="auto"/>
        <w:ind w:right="1278" w:firstLine="707"/>
      </w:pPr>
      <w:r>
        <w:rPr/>
        <w:t>При лечении пациентов,</w:t>
      </w:r>
      <w:r>
        <w:rPr>
          <w:spacing w:val="-1"/>
        </w:rPr>
        <w:t> </w:t>
      </w:r>
      <w:r>
        <w:rPr/>
        <w:t>получающих антиагрегационную, антикоагулянтную терапию, вовремя или после перенесенной коронавирусной инфекции, следует учитывать повышенный риск кровотечения при назначении СИОЗС и СИОЗСН (селективных ингибиторов обратного захвата серотонина и норадреналина).</w:t>
      </w:r>
    </w:p>
    <w:p>
      <w:pPr>
        <w:pStyle w:val="BodyText"/>
        <w:spacing w:line="276" w:lineRule="auto"/>
        <w:ind w:right="1273" w:firstLine="707"/>
      </w:pPr>
      <w:r>
        <w:rPr/>
        <w:t>При лечении пациентов, получающих терапию ГКС, являющихся активными индукторами СУРЗА4 и СУР2С19, следует учитывать способность ГКС снижать концентрации</w:t>
      </w:r>
      <w:r>
        <w:rPr>
          <w:spacing w:val="-14"/>
        </w:rPr>
        <w:t> </w:t>
      </w:r>
      <w:r>
        <w:rPr/>
        <w:t>многих</w:t>
      </w:r>
      <w:r>
        <w:rPr>
          <w:spacing w:val="-15"/>
        </w:rPr>
        <w:t> </w:t>
      </w:r>
      <w:r>
        <w:rPr/>
        <w:t>психотропных</w:t>
      </w:r>
      <w:r>
        <w:rPr>
          <w:spacing w:val="-15"/>
        </w:rPr>
        <w:t> </w:t>
      </w:r>
      <w:r>
        <w:rPr/>
        <w:t>препаратов,</w:t>
      </w:r>
      <w:r>
        <w:rPr>
          <w:spacing w:val="-11"/>
        </w:rPr>
        <w:t> </w:t>
      </w:r>
      <w:r>
        <w:rPr/>
        <w:t>метаболизируемых</w:t>
      </w:r>
      <w:r>
        <w:rPr>
          <w:spacing w:val="-15"/>
        </w:rPr>
        <w:t> </w:t>
      </w:r>
      <w:r>
        <w:rPr/>
        <w:t>этими</w:t>
      </w:r>
      <w:r>
        <w:rPr>
          <w:spacing w:val="-14"/>
        </w:rPr>
        <w:t> </w:t>
      </w:r>
      <w:r>
        <w:rPr/>
        <w:t>энзимами (например, луразидона, кветиапина, миртазапина, тразодона).</w:t>
      </w:r>
    </w:p>
    <w:p>
      <w:pPr>
        <w:pStyle w:val="BodyText"/>
        <w:spacing w:line="276" w:lineRule="auto"/>
        <w:ind w:right="1276" w:firstLine="707"/>
      </w:pPr>
      <w:r>
        <w:rPr/>
        <w:t>Лечение больных с ДЭ средней степени тяжести проводят амбулаторно, полустационарно или в стационаре. С учетом высокого риска резкого изменения состояния и вероятного появления суицидальных мыслей у больных, особенно одиноких, предпочтительнее осуществлять лечение в условиях стационара или полустационара при условии добровольного согласия пациента.</w:t>
      </w:r>
    </w:p>
    <w:p>
      <w:pPr>
        <w:pStyle w:val="BodyText"/>
        <w:spacing w:line="276" w:lineRule="auto"/>
        <w:ind w:right="1275" w:firstLine="707"/>
      </w:pPr>
      <w:r>
        <w:rPr/>
        <w:t>При</w:t>
      </w:r>
      <w:r>
        <w:rPr>
          <w:spacing w:val="70"/>
          <w:w w:val="150"/>
        </w:rPr>
        <w:t>  </w:t>
      </w:r>
      <w:r>
        <w:rPr/>
        <w:t>умеренном</w:t>
      </w:r>
      <w:r>
        <w:rPr>
          <w:spacing w:val="69"/>
          <w:w w:val="150"/>
        </w:rPr>
        <w:t>  </w:t>
      </w:r>
      <w:r>
        <w:rPr/>
        <w:t>ДЭ</w:t>
      </w:r>
      <w:r>
        <w:rPr>
          <w:spacing w:val="70"/>
          <w:w w:val="150"/>
        </w:rPr>
        <w:t>  </w:t>
      </w:r>
      <w:r>
        <w:rPr/>
        <w:t>рекомендовано</w:t>
      </w:r>
      <w:r>
        <w:rPr>
          <w:spacing w:val="71"/>
          <w:w w:val="150"/>
        </w:rPr>
        <w:t>  </w:t>
      </w:r>
      <w:r>
        <w:rPr/>
        <w:t>назначение</w:t>
      </w:r>
      <w:r>
        <w:rPr>
          <w:spacing w:val="72"/>
          <w:w w:val="150"/>
        </w:rPr>
        <w:t>  </w:t>
      </w:r>
      <w:r>
        <w:rPr/>
        <w:t>антидепрессантов в пероральной форме: препаратами первого ряда являются СИОЗС, СИОЗСН, миртазапин, вортиоксетин и агомелатин. Трициклические антидепрессанты (ТЦА) обычно</w:t>
      </w:r>
      <w:r>
        <w:rPr>
          <w:spacing w:val="80"/>
          <w:w w:val="150"/>
        </w:rPr>
        <w:t> </w:t>
      </w:r>
      <w:r>
        <w:rPr/>
        <w:t>рассматривают</w:t>
      </w:r>
      <w:r>
        <w:rPr>
          <w:spacing w:val="80"/>
          <w:w w:val="150"/>
        </w:rPr>
        <w:t> </w:t>
      </w:r>
      <w:r>
        <w:rPr/>
        <w:t>как</w:t>
      </w:r>
      <w:r>
        <w:rPr>
          <w:spacing w:val="80"/>
          <w:w w:val="150"/>
        </w:rPr>
        <w:t> </w:t>
      </w:r>
      <w:r>
        <w:rPr/>
        <w:t>препараты</w:t>
      </w:r>
      <w:r>
        <w:rPr>
          <w:spacing w:val="80"/>
          <w:w w:val="150"/>
        </w:rPr>
        <w:t> </w:t>
      </w:r>
      <w:r>
        <w:rPr/>
        <w:t>второго</w:t>
      </w:r>
      <w:r>
        <w:rPr>
          <w:spacing w:val="80"/>
          <w:w w:val="150"/>
        </w:rPr>
        <w:t> </w:t>
      </w:r>
      <w:r>
        <w:rPr/>
        <w:t>выбора.</w:t>
      </w:r>
      <w:r>
        <w:rPr>
          <w:spacing w:val="80"/>
          <w:w w:val="150"/>
        </w:rPr>
        <w:t> </w:t>
      </w:r>
      <w:r>
        <w:rPr/>
        <w:t>Препаратами</w:t>
      </w:r>
      <w:r>
        <w:rPr>
          <w:spacing w:val="80"/>
          <w:w w:val="150"/>
        </w:rPr>
        <w:t> </w:t>
      </w:r>
      <w:r>
        <w:rPr/>
        <w:t>выбора из группы ингибиторов моноаминоксидазы (ИМАО) могут считаться обратимые ИМАО</w:t>
      </w:r>
      <w:r>
        <w:rPr>
          <w:spacing w:val="-6"/>
        </w:rPr>
        <w:t> </w:t>
      </w:r>
      <w:r>
        <w:rPr/>
        <w:t>-</w:t>
      </w:r>
      <w:r>
        <w:rPr>
          <w:spacing w:val="-6"/>
        </w:rPr>
        <w:t> </w:t>
      </w:r>
      <w:r>
        <w:rPr/>
        <w:t>моклобемид</w:t>
      </w:r>
      <w:r>
        <w:rPr>
          <w:spacing w:val="-5"/>
        </w:rPr>
        <w:t> </w:t>
      </w:r>
      <w:r>
        <w:rPr/>
        <w:t>и</w:t>
      </w:r>
      <w:r>
        <w:rPr>
          <w:spacing w:val="-7"/>
        </w:rPr>
        <w:t> </w:t>
      </w:r>
      <w:r>
        <w:rPr/>
        <w:t>пирлиндол,</w:t>
      </w:r>
      <w:r>
        <w:rPr>
          <w:spacing w:val="-7"/>
        </w:rPr>
        <w:t> </w:t>
      </w:r>
      <w:r>
        <w:rPr/>
        <w:t>хотя</w:t>
      </w:r>
      <w:r>
        <w:rPr>
          <w:spacing w:val="-6"/>
        </w:rPr>
        <w:t> </w:t>
      </w:r>
      <w:r>
        <w:rPr/>
        <w:t>ИМАО</w:t>
      </w:r>
      <w:r>
        <w:rPr>
          <w:spacing w:val="-6"/>
        </w:rPr>
        <w:t> </w:t>
      </w:r>
      <w:r>
        <w:rPr/>
        <w:t>чаще</w:t>
      </w:r>
      <w:r>
        <w:rPr>
          <w:spacing w:val="-6"/>
        </w:rPr>
        <w:t> </w:t>
      </w:r>
      <w:r>
        <w:rPr/>
        <w:t>рекомендуют</w:t>
      </w:r>
      <w:r>
        <w:rPr>
          <w:spacing w:val="-6"/>
        </w:rPr>
        <w:t> </w:t>
      </w:r>
      <w:r>
        <w:rPr/>
        <w:t>использовать</w:t>
      </w:r>
      <w:r>
        <w:rPr>
          <w:spacing w:val="-6"/>
        </w:rPr>
        <w:t> </w:t>
      </w:r>
      <w:r>
        <w:rPr/>
        <w:t>при лечении</w:t>
      </w:r>
      <w:r>
        <w:rPr>
          <w:spacing w:val="63"/>
        </w:rPr>
        <w:t>  </w:t>
      </w:r>
      <w:r>
        <w:rPr/>
        <w:t>атипичных</w:t>
      </w:r>
      <w:r>
        <w:rPr>
          <w:spacing w:val="62"/>
        </w:rPr>
        <w:t>  </w:t>
      </w:r>
      <w:r>
        <w:rPr/>
        <w:t>депрессий</w:t>
      </w:r>
      <w:r>
        <w:rPr>
          <w:spacing w:val="63"/>
        </w:rPr>
        <w:t>  </w:t>
      </w:r>
      <w:r>
        <w:rPr/>
        <w:t>и</w:t>
      </w:r>
      <w:r>
        <w:rPr>
          <w:spacing w:val="62"/>
        </w:rPr>
        <w:t>  </w:t>
      </w:r>
      <w:r>
        <w:rPr/>
        <w:t>терапевтической</w:t>
      </w:r>
      <w:r>
        <w:rPr>
          <w:spacing w:val="63"/>
        </w:rPr>
        <w:t>  </w:t>
      </w:r>
      <w:r>
        <w:rPr/>
        <w:t>резистентности.</w:t>
      </w:r>
      <w:r>
        <w:rPr>
          <w:spacing w:val="62"/>
        </w:rPr>
        <w:t>  </w:t>
      </w:r>
      <w:r>
        <w:rPr/>
        <w:t>Наряду с фармакотерапией рекомендуется проведение психотерапии.</w:t>
      </w:r>
    </w:p>
    <w:p>
      <w:pPr>
        <w:pStyle w:val="BodyText"/>
        <w:spacing w:line="276" w:lineRule="auto"/>
        <w:ind w:right="1273" w:firstLine="707"/>
      </w:pPr>
      <w:r>
        <w:rPr/>
        <w:t>Лечение больных с тяжелым ДЭ предпочтительнее проводить в условиях стационара. Пациентам с тяжелым ДЭ без психотических симптомов рекомендовано назначение антидепрессантов с широким спектром нейрохимического механизма действия (СИОЗСН, миртазапин, ТЦА), обладающих несколько большей </w:t>
      </w:r>
      <w:r>
        <w:rPr>
          <w:spacing w:val="-2"/>
        </w:rPr>
        <w:t>эффективностью</w:t>
      </w:r>
      <w:r>
        <w:rPr>
          <w:spacing w:val="-10"/>
        </w:rPr>
        <w:t> </w:t>
      </w:r>
      <w:r>
        <w:rPr>
          <w:spacing w:val="-2"/>
        </w:rPr>
        <w:t>при</w:t>
      </w:r>
      <w:r>
        <w:rPr>
          <w:spacing w:val="-6"/>
        </w:rPr>
        <w:t> </w:t>
      </w:r>
      <w:r>
        <w:rPr>
          <w:spacing w:val="-2"/>
        </w:rPr>
        <w:t>лечении</w:t>
      </w:r>
      <w:r>
        <w:rPr>
          <w:spacing w:val="-6"/>
        </w:rPr>
        <w:t> </w:t>
      </w:r>
      <w:r>
        <w:rPr>
          <w:spacing w:val="-2"/>
        </w:rPr>
        <w:t>тяжелого</w:t>
      </w:r>
      <w:r>
        <w:rPr>
          <w:spacing w:val="-7"/>
        </w:rPr>
        <w:t> </w:t>
      </w:r>
      <w:r>
        <w:rPr>
          <w:spacing w:val="-2"/>
        </w:rPr>
        <w:t>ДЭ</w:t>
      </w:r>
      <w:r>
        <w:rPr>
          <w:spacing w:val="-7"/>
        </w:rPr>
        <w:t> </w:t>
      </w:r>
      <w:r>
        <w:rPr>
          <w:spacing w:val="-2"/>
        </w:rPr>
        <w:t>по</w:t>
      </w:r>
      <w:r>
        <w:rPr>
          <w:spacing w:val="-7"/>
        </w:rPr>
        <w:t> </w:t>
      </w:r>
      <w:r>
        <w:rPr>
          <w:spacing w:val="-2"/>
        </w:rPr>
        <w:t>сравнению</w:t>
      </w:r>
      <w:r>
        <w:rPr>
          <w:spacing w:val="-6"/>
        </w:rPr>
        <w:t> </w:t>
      </w:r>
      <w:r>
        <w:rPr>
          <w:spacing w:val="-2"/>
        </w:rPr>
        <w:t>с</w:t>
      </w:r>
      <w:r>
        <w:rPr>
          <w:spacing w:val="-9"/>
        </w:rPr>
        <w:t> </w:t>
      </w:r>
      <w:r>
        <w:rPr>
          <w:spacing w:val="-2"/>
        </w:rPr>
        <w:t>СИОЗС.</w:t>
      </w:r>
      <w:r>
        <w:rPr>
          <w:spacing w:val="-6"/>
        </w:rPr>
        <w:t> </w:t>
      </w:r>
      <w:r>
        <w:rPr>
          <w:spacing w:val="-2"/>
        </w:rPr>
        <w:t>Исходя</w:t>
      </w:r>
      <w:r>
        <w:rPr>
          <w:spacing w:val="-7"/>
        </w:rPr>
        <w:t> </w:t>
      </w:r>
      <w:r>
        <w:rPr>
          <w:spacing w:val="-2"/>
        </w:rPr>
        <w:t>из</w:t>
      </w:r>
      <w:r>
        <w:rPr>
          <w:spacing w:val="-6"/>
        </w:rPr>
        <w:t> </w:t>
      </w:r>
      <w:r>
        <w:rPr>
          <w:spacing w:val="-2"/>
        </w:rPr>
        <w:t>лучшей </w:t>
      </w:r>
      <w:r>
        <w:rPr/>
        <w:t>переносимости и высокой эффективности, препаратами первого выбора при лечении тяжелого ДЭ у пациентов, перенесших пневмонию, ассоциированную с СOVID-19, считаются СИОЗСН (венлафаксин, дулоксетин, милнаципран), второй линии выбора</w:t>
      </w:r>
    </w:p>
    <w:p>
      <w:pPr>
        <w:pStyle w:val="ListParagraph"/>
        <w:numPr>
          <w:ilvl w:val="0"/>
          <w:numId w:val="48"/>
        </w:numPr>
        <w:tabs>
          <w:tab w:pos="2046" w:val="left" w:leader="none"/>
        </w:tabs>
        <w:spacing w:line="278" w:lineRule="auto" w:before="0" w:after="0"/>
        <w:ind w:left="1841" w:right="1272" w:firstLine="0"/>
        <w:jc w:val="both"/>
        <w:rPr>
          <w:sz w:val="24"/>
        </w:rPr>
      </w:pPr>
      <w:r>
        <w:rPr>
          <w:sz w:val="24"/>
        </w:rPr>
        <w:t>ТЦА (имипрамин, амитриптилин, кломипрамин). Препараты третьей очереди - гетероциклицеские</w:t>
      </w:r>
      <w:r>
        <w:rPr>
          <w:spacing w:val="80"/>
          <w:sz w:val="24"/>
        </w:rPr>
        <w:t> </w:t>
      </w:r>
      <w:r>
        <w:rPr>
          <w:sz w:val="24"/>
        </w:rPr>
        <w:t>антидепрессантыпервого</w:t>
      </w:r>
      <w:r>
        <w:rPr>
          <w:spacing w:val="80"/>
          <w:sz w:val="24"/>
        </w:rPr>
        <w:t> </w:t>
      </w:r>
      <w:r>
        <w:rPr>
          <w:sz w:val="24"/>
        </w:rPr>
        <w:t>поколения</w:t>
      </w:r>
      <w:r>
        <w:rPr>
          <w:spacing w:val="80"/>
          <w:sz w:val="24"/>
        </w:rPr>
        <w:t> </w:t>
      </w:r>
      <w:r>
        <w:rPr>
          <w:sz w:val="24"/>
        </w:rPr>
        <w:t>(мапротилин,</w:t>
      </w:r>
      <w:r>
        <w:rPr>
          <w:spacing w:val="80"/>
          <w:sz w:val="24"/>
        </w:rPr>
        <w:t> </w:t>
      </w:r>
      <w:r>
        <w:rPr>
          <w:sz w:val="24"/>
        </w:rPr>
        <w:t>пиразидол,</w:t>
      </w:r>
    </w:p>
    <w:p>
      <w:pPr>
        <w:pStyle w:val="ListParagraph"/>
        <w:spacing w:after="0" w:line="278" w:lineRule="auto"/>
        <w:jc w:val="both"/>
        <w:rPr>
          <w:sz w:val="24"/>
        </w:rPr>
        <w:sectPr>
          <w:pgSz w:w="11900" w:h="16840"/>
          <w:pgMar w:header="0" w:footer="697" w:top="1080" w:bottom="880" w:left="0" w:right="0"/>
        </w:sectPr>
      </w:pPr>
    </w:p>
    <w:p>
      <w:pPr>
        <w:pStyle w:val="BodyText"/>
        <w:spacing w:line="276" w:lineRule="auto" w:before="73"/>
        <w:ind w:right="1268"/>
      </w:pPr>
      <w:bookmarkStart w:name="106" w:id="123"/>
      <w:bookmarkEnd w:id="123"/>
      <w:r>
        <w:rPr/>
      </w:r>
      <w:r>
        <w:rPr/>
        <w:t>пипофезин, тразодон и др.), характеризующиеся лучшей, в сравнении с ТЦА, переносимостью, но меньшей эффективностью. Для некоторых антидепрессантов (кломипрамин) разрешено использование внутримышечного и/или внутривенно- капельного путей введения. Следует избегать назначения ТЦА пациентам с ИБС, особенно</w:t>
      </w:r>
      <w:r>
        <w:rPr>
          <w:spacing w:val="40"/>
        </w:rPr>
        <w:t> </w:t>
      </w:r>
      <w:r>
        <w:rPr/>
        <w:t>в</w:t>
      </w:r>
      <w:r>
        <w:rPr>
          <w:spacing w:val="40"/>
        </w:rPr>
        <w:t> </w:t>
      </w:r>
      <w:r>
        <w:rPr/>
        <w:t>периоды</w:t>
      </w:r>
      <w:r>
        <w:rPr>
          <w:spacing w:val="40"/>
        </w:rPr>
        <w:t> </w:t>
      </w:r>
      <w:r>
        <w:rPr/>
        <w:t>обострения</w:t>
      </w:r>
      <w:r>
        <w:rPr>
          <w:spacing w:val="40"/>
        </w:rPr>
        <w:t> </w:t>
      </w:r>
      <w:r>
        <w:rPr/>
        <w:t>коронарной</w:t>
      </w:r>
      <w:r>
        <w:rPr>
          <w:spacing w:val="40"/>
        </w:rPr>
        <w:t> </w:t>
      </w:r>
      <w:r>
        <w:rPr/>
        <w:t>патологии,</w:t>
      </w:r>
      <w:r>
        <w:rPr>
          <w:spacing w:val="40"/>
        </w:rPr>
        <w:t> </w:t>
      </w:r>
      <w:r>
        <w:rPr/>
        <w:t>которые</w:t>
      </w:r>
      <w:r>
        <w:rPr>
          <w:spacing w:val="40"/>
        </w:rPr>
        <w:t> </w:t>
      </w:r>
      <w:r>
        <w:rPr/>
        <w:t>могут</w:t>
      </w:r>
      <w:r>
        <w:rPr>
          <w:spacing w:val="40"/>
        </w:rPr>
        <w:t> </w:t>
      </w:r>
      <w:r>
        <w:rPr/>
        <w:t>возникать у пациентов на фоне СOVID-19.</w:t>
      </w:r>
    </w:p>
    <w:p>
      <w:pPr>
        <w:pStyle w:val="BodyText"/>
        <w:spacing w:line="276" w:lineRule="auto"/>
        <w:ind w:right="1274" w:firstLine="707"/>
      </w:pPr>
      <w:r>
        <w:rPr/>
        <w:t>Лечение пациентов с ДЭ с высоким суицидальным риском рекомендовано проводить в условиях стационара с рассмотрением возможности быстрого проведения электро-судорожной терапии (ЭСТ). В сравнении с СИОЗС более тяжелые последствия передозировки антидепрессантов с суицидальной целью наблюдаются</w:t>
      </w:r>
      <w:r>
        <w:rPr>
          <w:spacing w:val="80"/>
          <w:w w:val="150"/>
        </w:rPr>
        <w:t> </w:t>
      </w:r>
      <w:r>
        <w:rPr/>
        <w:t>при</w:t>
      </w:r>
      <w:r>
        <w:rPr>
          <w:spacing w:val="80"/>
          <w:w w:val="150"/>
        </w:rPr>
        <w:t> </w:t>
      </w:r>
      <w:r>
        <w:rPr/>
        <w:t>приеме</w:t>
      </w:r>
      <w:r>
        <w:rPr>
          <w:spacing w:val="80"/>
          <w:w w:val="150"/>
        </w:rPr>
        <w:t> </w:t>
      </w:r>
      <w:r>
        <w:rPr/>
        <w:t>ТЦА,</w:t>
      </w:r>
      <w:r>
        <w:rPr>
          <w:spacing w:val="80"/>
          <w:w w:val="150"/>
        </w:rPr>
        <w:t> </w:t>
      </w:r>
      <w:r>
        <w:rPr/>
        <w:t>венлафаксина</w:t>
      </w:r>
      <w:r>
        <w:rPr>
          <w:spacing w:val="80"/>
          <w:w w:val="150"/>
        </w:rPr>
        <w:t> </w:t>
      </w:r>
      <w:r>
        <w:rPr/>
        <w:t>и</w:t>
      </w:r>
      <w:r>
        <w:rPr>
          <w:spacing w:val="80"/>
          <w:w w:val="150"/>
        </w:rPr>
        <w:t> </w:t>
      </w:r>
      <w:r>
        <w:rPr/>
        <w:t>миртазапина.</w:t>
      </w:r>
      <w:r>
        <w:rPr>
          <w:spacing w:val="80"/>
          <w:w w:val="150"/>
        </w:rPr>
        <w:t> </w:t>
      </w:r>
      <w:r>
        <w:rPr/>
        <w:t>Психотерапия на первых этапах лечения тяжёлой депрессии, как правило, неэффективна.</w:t>
      </w:r>
    </w:p>
    <w:p>
      <w:pPr>
        <w:pStyle w:val="BodyText"/>
        <w:spacing w:line="276" w:lineRule="auto"/>
        <w:ind w:right="1273" w:firstLine="707"/>
      </w:pPr>
      <w:r>
        <w:rPr/>
        <w:t>Лечение тяжелого ДЭ с психотическими симптомами рекомендовано проводить</w:t>
      </w:r>
      <w:r>
        <w:rPr>
          <w:spacing w:val="80"/>
        </w:rPr>
        <w:t>  </w:t>
      </w:r>
      <w:r>
        <w:rPr/>
        <w:t>в</w:t>
      </w:r>
      <w:r>
        <w:rPr>
          <w:spacing w:val="80"/>
        </w:rPr>
        <w:t>  </w:t>
      </w:r>
      <w:r>
        <w:rPr/>
        <w:t>условиях</w:t>
      </w:r>
      <w:r>
        <w:rPr>
          <w:spacing w:val="80"/>
        </w:rPr>
        <w:t>  </w:t>
      </w:r>
      <w:r>
        <w:rPr/>
        <w:t>стационара.</w:t>
      </w:r>
      <w:r>
        <w:rPr>
          <w:spacing w:val="80"/>
        </w:rPr>
        <w:t>  </w:t>
      </w:r>
      <w:r>
        <w:rPr/>
        <w:t>Терапевтическая</w:t>
      </w:r>
      <w:r>
        <w:rPr>
          <w:spacing w:val="80"/>
        </w:rPr>
        <w:t>  </w:t>
      </w:r>
      <w:r>
        <w:rPr/>
        <w:t>тактика</w:t>
      </w:r>
      <w:r>
        <w:rPr>
          <w:spacing w:val="80"/>
        </w:rPr>
        <w:t>  </w:t>
      </w:r>
      <w:r>
        <w:rPr/>
        <w:t>направлена на</w:t>
      </w:r>
      <w:r>
        <w:rPr>
          <w:spacing w:val="80"/>
        </w:rPr>
        <w:t>   </w:t>
      </w:r>
      <w:r>
        <w:rPr/>
        <w:t>быстрейшее</w:t>
      </w:r>
      <w:r>
        <w:rPr>
          <w:spacing w:val="80"/>
        </w:rPr>
        <w:t>   </w:t>
      </w:r>
      <w:r>
        <w:rPr/>
        <w:t>достижение</w:t>
      </w:r>
      <w:r>
        <w:rPr>
          <w:spacing w:val="80"/>
        </w:rPr>
        <w:t>   </w:t>
      </w:r>
      <w:r>
        <w:rPr/>
        <w:t>«обрыва»</w:t>
      </w:r>
      <w:r>
        <w:rPr>
          <w:spacing w:val="80"/>
        </w:rPr>
        <w:t>   </w:t>
      </w:r>
      <w:r>
        <w:rPr/>
        <w:t>психотических</w:t>
      </w:r>
      <w:r>
        <w:rPr>
          <w:spacing w:val="80"/>
        </w:rPr>
        <w:t>   </w:t>
      </w:r>
      <w:r>
        <w:rPr/>
        <w:t>симптомов. При удовлетворительной переносимости рекомендуется быстрое увеличение дозировок</w:t>
      </w:r>
      <w:r>
        <w:rPr>
          <w:spacing w:val="-11"/>
        </w:rPr>
        <w:t> </w:t>
      </w:r>
      <w:r>
        <w:rPr/>
        <w:t>препаратов</w:t>
      </w:r>
      <w:r>
        <w:rPr>
          <w:spacing w:val="-12"/>
        </w:rPr>
        <w:t> </w:t>
      </w:r>
      <w:r>
        <w:rPr/>
        <w:t>до</w:t>
      </w:r>
      <w:r>
        <w:rPr>
          <w:spacing w:val="-11"/>
        </w:rPr>
        <w:t> </w:t>
      </w:r>
      <w:r>
        <w:rPr/>
        <w:t>максимальных.</w:t>
      </w:r>
      <w:r>
        <w:rPr>
          <w:spacing w:val="-12"/>
        </w:rPr>
        <w:t> </w:t>
      </w:r>
      <w:r>
        <w:rPr/>
        <w:t>Пациентам</w:t>
      </w:r>
      <w:r>
        <w:rPr>
          <w:spacing w:val="-13"/>
        </w:rPr>
        <w:t> </w:t>
      </w:r>
      <w:r>
        <w:rPr/>
        <w:t>с</w:t>
      </w:r>
      <w:r>
        <w:rPr>
          <w:spacing w:val="-13"/>
        </w:rPr>
        <w:t> </w:t>
      </w:r>
      <w:r>
        <w:rPr/>
        <w:t>тяжелым</w:t>
      </w:r>
      <w:r>
        <w:rPr>
          <w:spacing w:val="-12"/>
        </w:rPr>
        <w:t> </w:t>
      </w:r>
      <w:r>
        <w:rPr/>
        <w:t>ДЭ</w:t>
      </w:r>
      <w:r>
        <w:rPr>
          <w:spacing w:val="-10"/>
        </w:rPr>
        <w:t> </w:t>
      </w:r>
      <w:r>
        <w:rPr/>
        <w:t>с</w:t>
      </w:r>
      <w:r>
        <w:rPr>
          <w:spacing w:val="-13"/>
        </w:rPr>
        <w:t> </w:t>
      </w:r>
      <w:r>
        <w:rPr/>
        <w:t>психотическими симптомами рекомендовано с первых дней назначение АД с широким спектром нейрохимического механизма действия (СИОЗСН, ТЦА, тетрациклические антидепрессанты) в сочетании с антипсихотиками второго поколения (АВП).</w:t>
      </w:r>
    </w:p>
    <w:p>
      <w:pPr>
        <w:pStyle w:val="BodyText"/>
        <w:spacing w:line="276" w:lineRule="auto"/>
        <w:ind w:right="1274" w:firstLine="707"/>
      </w:pPr>
      <w:r>
        <w:rPr/>
        <w:t>В</w:t>
      </w:r>
      <w:r>
        <w:rPr>
          <w:spacing w:val="-1"/>
        </w:rPr>
        <w:t> </w:t>
      </w:r>
      <w:r>
        <w:rPr/>
        <w:t>30-50%</w:t>
      </w:r>
      <w:r>
        <w:rPr>
          <w:spacing w:val="-2"/>
        </w:rPr>
        <w:t> </w:t>
      </w:r>
      <w:r>
        <w:rPr/>
        <w:t>случаев</w:t>
      </w:r>
      <w:r>
        <w:rPr>
          <w:spacing w:val="-2"/>
        </w:rPr>
        <w:t> </w:t>
      </w:r>
      <w:r>
        <w:rPr/>
        <w:t>при лечении ДЭ</w:t>
      </w:r>
      <w:r>
        <w:rPr>
          <w:spacing w:val="-2"/>
        </w:rPr>
        <w:t> </w:t>
      </w:r>
      <w:r>
        <w:rPr/>
        <w:t>достижение</w:t>
      </w:r>
      <w:r>
        <w:rPr>
          <w:spacing w:val="-2"/>
        </w:rPr>
        <w:t> </w:t>
      </w:r>
      <w:r>
        <w:rPr/>
        <w:t>терапевтического</w:t>
      </w:r>
      <w:r>
        <w:rPr>
          <w:spacing w:val="-1"/>
        </w:rPr>
        <w:t> </w:t>
      </w:r>
      <w:r>
        <w:rPr/>
        <w:t>эффекта</w:t>
      </w:r>
      <w:r>
        <w:rPr>
          <w:spacing w:val="-2"/>
        </w:rPr>
        <w:t> </w:t>
      </w:r>
      <w:r>
        <w:rPr/>
        <w:t>при адекватно проведенной терапии первой линии не происходит. Рекомендуется уточнение</w:t>
      </w:r>
      <w:r>
        <w:rPr>
          <w:spacing w:val="-15"/>
        </w:rPr>
        <w:t> </w:t>
      </w:r>
      <w:r>
        <w:rPr/>
        <w:t>правильности</w:t>
      </w:r>
      <w:r>
        <w:rPr>
          <w:spacing w:val="-15"/>
        </w:rPr>
        <w:t> </w:t>
      </w:r>
      <w:r>
        <w:rPr/>
        <w:t>поставленного</w:t>
      </w:r>
      <w:r>
        <w:rPr>
          <w:spacing w:val="-15"/>
        </w:rPr>
        <w:t> </w:t>
      </w:r>
      <w:r>
        <w:rPr/>
        <w:t>диагноза,</w:t>
      </w:r>
      <w:r>
        <w:rPr>
          <w:spacing w:val="-15"/>
        </w:rPr>
        <w:t> </w:t>
      </w:r>
      <w:r>
        <w:rPr/>
        <w:t>достаточности</w:t>
      </w:r>
      <w:r>
        <w:rPr>
          <w:spacing w:val="-15"/>
        </w:rPr>
        <w:t> </w:t>
      </w:r>
      <w:r>
        <w:rPr/>
        <w:t>суточных</w:t>
      </w:r>
      <w:r>
        <w:rPr>
          <w:spacing w:val="-15"/>
        </w:rPr>
        <w:t> </w:t>
      </w:r>
      <w:r>
        <w:rPr/>
        <w:t>дозировок назначенных препаратов и степени комплаентности пациента. При отсутствии или недостаточном терапевтическом эффекте (степень редукции симптоматики от 25% до 50%) в течение 3-4 недель лечения, при плохой переносимости антидепрессивной фармакотерапии следует переходить ко второму курсу или этапу терапии. С целью преодоления возможных явлений псевдорезистентности рекомендовано нарастить дозу АД до максимальной или частично перейти на парентеральный путь введения (при применении ТЦА).</w:t>
      </w:r>
    </w:p>
    <w:p>
      <w:pPr>
        <w:pStyle w:val="BodyText"/>
        <w:spacing w:line="276" w:lineRule="auto"/>
        <w:ind w:right="1274" w:firstLine="707"/>
      </w:pPr>
      <w:r>
        <w:rPr/>
        <w:t>Даже</w:t>
      </w:r>
      <w:r>
        <w:rPr>
          <w:spacing w:val="59"/>
        </w:rPr>
        <w:t>  </w:t>
      </w:r>
      <w:r>
        <w:rPr/>
        <w:t>при</w:t>
      </w:r>
      <w:r>
        <w:rPr>
          <w:spacing w:val="60"/>
        </w:rPr>
        <w:t>  </w:t>
      </w:r>
      <w:r>
        <w:rPr/>
        <w:t>единичном</w:t>
      </w:r>
      <w:r>
        <w:rPr>
          <w:spacing w:val="59"/>
        </w:rPr>
        <w:t>  </w:t>
      </w:r>
      <w:r>
        <w:rPr/>
        <w:t>ДЭ</w:t>
      </w:r>
      <w:r>
        <w:rPr>
          <w:spacing w:val="59"/>
        </w:rPr>
        <w:t>  </w:t>
      </w:r>
      <w:r>
        <w:rPr/>
        <w:t>рекомендована</w:t>
      </w:r>
      <w:r>
        <w:rPr>
          <w:spacing w:val="59"/>
        </w:rPr>
        <w:t>  </w:t>
      </w:r>
      <w:r>
        <w:rPr/>
        <w:t>стабилизирующая</w:t>
      </w:r>
      <w:r>
        <w:rPr>
          <w:spacing w:val="58"/>
        </w:rPr>
        <w:t>  </w:t>
      </w:r>
      <w:r>
        <w:rPr/>
        <w:t>терапии с</w:t>
      </w:r>
      <w:r>
        <w:rPr>
          <w:spacing w:val="74"/>
        </w:rPr>
        <w:t>  </w:t>
      </w:r>
      <w:r>
        <w:rPr/>
        <w:t>использованием</w:t>
      </w:r>
      <w:r>
        <w:rPr>
          <w:spacing w:val="74"/>
        </w:rPr>
        <w:t>  </w:t>
      </w:r>
      <w:r>
        <w:rPr/>
        <w:t>эффективного</w:t>
      </w:r>
      <w:r>
        <w:rPr>
          <w:spacing w:val="73"/>
        </w:rPr>
        <w:t>  </w:t>
      </w:r>
      <w:r>
        <w:rPr/>
        <w:t>в</w:t>
      </w:r>
      <w:r>
        <w:rPr>
          <w:spacing w:val="74"/>
        </w:rPr>
        <w:t>  </w:t>
      </w:r>
      <w:r>
        <w:rPr/>
        <w:t>купирующий</w:t>
      </w:r>
      <w:r>
        <w:rPr>
          <w:spacing w:val="74"/>
        </w:rPr>
        <w:t>  </w:t>
      </w:r>
      <w:r>
        <w:rPr/>
        <w:t>период</w:t>
      </w:r>
      <w:r>
        <w:rPr>
          <w:spacing w:val="78"/>
        </w:rPr>
        <w:t>  </w:t>
      </w:r>
      <w:r>
        <w:rPr/>
        <w:t>антидепрессанта и сохранением прежней дозы в течение 4-6 месяцев. Её целью является предотвращение обострения и достижение полного восстановления пациента после перенесенного ДЭ.</w:t>
      </w:r>
    </w:p>
    <w:p>
      <w:pPr>
        <w:pStyle w:val="Heading3"/>
        <w:spacing w:line="278" w:lineRule="auto"/>
        <w:ind w:right="1949"/>
      </w:pPr>
      <w:r>
        <w:rPr/>
        <w:t>Особенности</w:t>
      </w:r>
      <w:r>
        <w:rPr>
          <w:spacing w:val="-8"/>
        </w:rPr>
        <w:t> </w:t>
      </w:r>
      <w:r>
        <w:rPr/>
        <w:t>лечения</w:t>
      </w:r>
      <w:r>
        <w:rPr>
          <w:spacing w:val="-7"/>
        </w:rPr>
        <w:t> </w:t>
      </w:r>
      <w:r>
        <w:rPr/>
        <w:t>астении</w:t>
      </w:r>
      <w:r>
        <w:rPr>
          <w:spacing w:val="-8"/>
        </w:rPr>
        <w:t> </w:t>
      </w:r>
      <w:r>
        <w:rPr/>
        <w:t>у</w:t>
      </w:r>
      <w:r>
        <w:rPr>
          <w:spacing w:val="-9"/>
        </w:rPr>
        <w:t> </w:t>
      </w:r>
      <w:r>
        <w:rPr/>
        <w:t>пациентов,</w:t>
      </w:r>
      <w:r>
        <w:rPr>
          <w:spacing w:val="-10"/>
        </w:rPr>
        <w:t> </w:t>
      </w:r>
      <w:r>
        <w:rPr/>
        <w:t>перенесших</w:t>
      </w:r>
      <w:r>
        <w:rPr>
          <w:spacing w:val="-9"/>
        </w:rPr>
        <w:t> </w:t>
      </w:r>
      <w:r>
        <w:rPr/>
        <w:t>пневмонии, ассоциированные с новой коронавирусной инфекцией</w:t>
      </w:r>
    </w:p>
    <w:p>
      <w:pPr>
        <w:pStyle w:val="BodyText"/>
        <w:spacing w:line="276" w:lineRule="auto"/>
        <w:ind w:right="1271" w:firstLine="707"/>
      </w:pPr>
      <w:r>
        <w:rPr/>
        <w:t>Астения — это симптомокомплекс, характеризующийся чувством слабости, вялости,</w:t>
      </w:r>
      <w:r>
        <w:rPr>
          <w:spacing w:val="80"/>
          <w:w w:val="150"/>
        </w:rPr>
        <w:t> </w:t>
      </w:r>
      <w:r>
        <w:rPr/>
        <w:t>бессилия,</w:t>
      </w:r>
      <w:r>
        <w:rPr>
          <w:spacing w:val="80"/>
          <w:w w:val="150"/>
        </w:rPr>
        <w:t> </w:t>
      </w:r>
      <w:r>
        <w:rPr/>
        <w:t>ощущением</w:t>
      </w:r>
      <w:r>
        <w:rPr>
          <w:spacing w:val="80"/>
          <w:w w:val="150"/>
        </w:rPr>
        <w:t> </w:t>
      </w:r>
      <w:r>
        <w:rPr/>
        <w:t>физического</w:t>
      </w:r>
      <w:r>
        <w:rPr>
          <w:spacing w:val="80"/>
          <w:w w:val="150"/>
        </w:rPr>
        <w:t> </w:t>
      </w:r>
      <w:r>
        <w:rPr/>
        <w:t>и</w:t>
      </w:r>
      <w:r>
        <w:rPr>
          <w:spacing w:val="80"/>
          <w:w w:val="150"/>
        </w:rPr>
        <w:t> </w:t>
      </w:r>
      <w:r>
        <w:rPr/>
        <w:t>психического</w:t>
      </w:r>
      <w:r>
        <w:rPr>
          <w:spacing w:val="80"/>
          <w:w w:val="150"/>
        </w:rPr>
        <w:t> </w:t>
      </w:r>
      <w:r>
        <w:rPr/>
        <w:t>дискомфорта,</w:t>
      </w:r>
      <w:r>
        <w:rPr>
          <w:spacing w:val="80"/>
          <w:w w:val="150"/>
        </w:rPr>
        <w:t> </w:t>
      </w:r>
      <w:r>
        <w:rPr/>
        <w:t>что</w:t>
      </w:r>
      <w:r>
        <w:rPr>
          <w:spacing w:val="80"/>
          <w:w w:val="150"/>
        </w:rPr>
        <w:t> </w:t>
      </w:r>
      <w:r>
        <w:rPr/>
        <w:t>сочетается</w:t>
      </w:r>
      <w:r>
        <w:rPr>
          <w:spacing w:val="80"/>
          <w:w w:val="150"/>
        </w:rPr>
        <w:t> </w:t>
      </w:r>
      <w:r>
        <w:rPr/>
        <w:t>со</w:t>
      </w:r>
      <w:r>
        <w:rPr>
          <w:spacing w:val="80"/>
          <w:w w:val="150"/>
        </w:rPr>
        <w:t> </w:t>
      </w:r>
      <w:r>
        <w:rPr/>
        <w:t>снижением</w:t>
      </w:r>
      <w:r>
        <w:rPr>
          <w:spacing w:val="80"/>
          <w:w w:val="150"/>
        </w:rPr>
        <w:t> </w:t>
      </w:r>
      <w:r>
        <w:rPr/>
        <w:t>работоспособности,</w:t>
      </w:r>
      <w:r>
        <w:rPr>
          <w:spacing w:val="80"/>
          <w:w w:val="150"/>
        </w:rPr>
        <w:t> </w:t>
      </w:r>
      <w:r>
        <w:rPr/>
        <w:t>потерей</w:t>
      </w:r>
      <w:r>
        <w:rPr>
          <w:spacing w:val="80"/>
          <w:w w:val="150"/>
        </w:rPr>
        <w:t> </w:t>
      </w:r>
      <w:r>
        <w:rPr/>
        <w:t>интереса</w:t>
      </w:r>
      <w:r>
        <w:rPr>
          <w:spacing w:val="79"/>
          <w:w w:val="150"/>
        </w:rPr>
        <w:t> </w:t>
      </w:r>
      <w:r>
        <w:rPr/>
        <w:t>к</w:t>
      </w:r>
      <w:r>
        <w:rPr>
          <w:spacing w:val="80"/>
          <w:w w:val="150"/>
        </w:rPr>
        <w:t> </w:t>
      </w:r>
      <w:r>
        <w:rPr/>
        <w:t>работе и ухудшением качества жизни в целом.</w:t>
      </w:r>
    </w:p>
    <w:p>
      <w:pPr>
        <w:pStyle w:val="BodyText"/>
        <w:spacing w:line="276" w:lineRule="auto"/>
        <w:ind w:right="1273" w:firstLine="707"/>
      </w:pPr>
      <w:r>
        <w:rPr/>
        <w:t>Состояние астении для реконвалесцентов СOVID-19 инфекции является широкораспространенным</w:t>
      </w:r>
      <w:r>
        <w:rPr>
          <w:spacing w:val="-1"/>
        </w:rPr>
        <w:t> </w:t>
      </w:r>
      <w:r>
        <w:rPr/>
        <w:t>явлением. Астения -</w:t>
      </w:r>
      <w:r>
        <w:rPr>
          <w:spacing w:val="-1"/>
        </w:rPr>
        <w:t> </w:t>
      </w:r>
      <w:r>
        <w:rPr/>
        <w:t>один из</w:t>
      </w:r>
      <w:r>
        <w:rPr>
          <w:spacing w:val="-1"/>
        </w:rPr>
        <w:t> </w:t>
      </w:r>
      <w:r>
        <w:rPr/>
        <w:t>наиболее</w:t>
      </w:r>
      <w:r>
        <w:rPr>
          <w:spacing w:val="-1"/>
        </w:rPr>
        <w:t> </w:t>
      </w:r>
      <w:r>
        <w:rPr/>
        <w:t>частых</w:t>
      </w:r>
      <w:r>
        <w:rPr>
          <w:spacing w:val="-1"/>
        </w:rPr>
        <w:t> </w:t>
      </w:r>
      <w:r>
        <w:rPr/>
        <w:t>симптомов, который сохраняется в течение 2-х месяцев у 60% пациентов, перенесших короновирусную</w:t>
      </w:r>
      <w:r>
        <w:rPr>
          <w:spacing w:val="-13"/>
        </w:rPr>
        <w:t> </w:t>
      </w:r>
      <w:r>
        <w:rPr/>
        <w:t>инфекцию.</w:t>
      </w:r>
      <w:r>
        <w:rPr>
          <w:spacing w:val="-13"/>
        </w:rPr>
        <w:t> </w:t>
      </w:r>
      <w:r>
        <w:rPr/>
        <w:t>Астения</w:t>
      </w:r>
      <w:r>
        <w:rPr>
          <w:spacing w:val="-13"/>
        </w:rPr>
        <w:t> </w:t>
      </w:r>
      <w:r>
        <w:rPr/>
        <w:t>не</w:t>
      </w:r>
      <w:r>
        <w:rPr>
          <w:spacing w:val="-14"/>
        </w:rPr>
        <w:t> </w:t>
      </w:r>
      <w:r>
        <w:rPr/>
        <w:t>является</w:t>
      </w:r>
      <w:r>
        <w:rPr>
          <w:spacing w:val="-14"/>
        </w:rPr>
        <w:t> </w:t>
      </w:r>
      <w:r>
        <w:rPr/>
        <w:t>специфическим</w:t>
      </w:r>
      <w:r>
        <w:rPr>
          <w:spacing w:val="-13"/>
        </w:rPr>
        <w:t> </w:t>
      </w:r>
      <w:r>
        <w:rPr/>
        <w:t>состоянием,</w:t>
      </w:r>
      <w:r>
        <w:rPr>
          <w:spacing w:val="-14"/>
        </w:rPr>
        <w:t> </w:t>
      </w:r>
      <w:r>
        <w:rPr>
          <w:spacing w:val="-2"/>
        </w:rPr>
        <w:t>может</w:t>
      </w:r>
    </w:p>
    <w:p>
      <w:pPr>
        <w:pStyle w:val="BodyText"/>
        <w:spacing w:after="0" w:line="276" w:lineRule="auto"/>
        <w:sectPr>
          <w:pgSz w:w="11900" w:h="16840"/>
          <w:pgMar w:header="0" w:footer="697" w:top="1080" w:bottom="880" w:left="0" w:right="0"/>
        </w:sectPr>
      </w:pPr>
    </w:p>
    <w:p>
      <w:pPr>
        <w:pStyle w:val="BodyText"/>
        <w:spacing w:line="276" w:lineRule="auto" w:before="73"/>
        <w:ind w:right="1272"/>
      </w:pPr>
      <w:bookmarkStart w:name="107" w:id="124"/>
      <w:bookmarkEnd w:id="124"/>
      <w:r>
        <w:rPr/>
      </w:r>
      <w:r>
        <w:rPr/>
        <w:t>входить в симптомокомлекс широкого круга как психических, так и соматических расстройств. Персонализированный подход преодоления астении должен основываться на верной квалификации данного состояния, в частности, важно выявить этиопатогенетические причины астенического синдрома, квалифицировав его либо как реактивное, либо вторичное явление.</w:t>
      </w:r>
    </w:p>
    <w:p>
      <w:pPr>
        <w:pStyle w:val="BodyText"/>
        <w:spacing w:line="276" w:lineRule="auto"/>
        <w:ind w:right="1270" w:firstLine="707"/>
      </w:pPr>
      <w:r>
        <w:rPr/>
        <w:t>Реактивная астения – это результат перенапряжения адаптационных механизмов,</w:t>
      </w:r>
      <w:r>
        <w:rPr>
          <w:spacing w:val="-6"/>
        </w:rPr>
        <w:t> </w:t>
      </w:r>
      <w:r>
        <w:rPr/>
        <w:t>связанных</w:t>
      </w:r>
      <w:r>
        <w:rPr>
          <w:spacing w:val="-5"/>
        </w:rPr>
        <w:t> </w:t>
      </w:r>
      <w:r>
        <w:rPr/>
        <w:t>как</w:t>
      </w:r>
      <w:r>
        <w:rPr>
          <w:spacing w:val="-4"/>
        </w:rPr>
        <w:t> </w:t>
      </w:r>
      <w:r>
        <w:rPr/>
        <w:t>с</w:t>
      </w:r>
      <w:r>
        <w:rPr>
          <w:spacing w:val="-6"/>
        </w:rPr>
        <w:t> </w:t>
      </w:r>
      <w:r>
        <w:rPr/>
        <w:t>психоэмоциональными,</w:t>
      </w:r>
      <w:r>
        <w:rPr>
          <w:spacing w:val="-6"/>
        </w:rPr>
        <w:t> </w:t>
      </w:r>
      <w:r>
        <w:rPr/>
        <w:t>так</w:t>
      </w:r>
      <w:r>
        <w:rPr>
          <w:spacing w:val="-5"/>
        </w:rPr>
        <w:t> </w:t>
      </w:r>
      <w:r>
        <w:rPr/>
        <w:t>и</w:t>
      </w:r>
      <w:r>
        <w:rPr>
          <w:spacing w:val="-4"/>
        </w:rPr>
        <w:t> </w:t>
      </w:r>
      <w:r>
        <w:rPr/>
        <w:t>физическими</w:t>
      </w:r>
      <w:r>
        <w:rPr>
          <w:spacing w:val="-4"/>
        </w:rPr>
        <w:t> </w:t>
      </w:r>
      <w:r>
        <w:rPr/>
        <w:t>нагрузками, также возникающая в период восстановления после хирургических и соматических заболеваний.</w:t>
      </w:r>
      <w:r>
        <w:rPr>
          <w:spacing w:val="-14"/>
        </w:rPr>
        <w:t> </w:t>
      </w:r>
      <w:r>
        <w:rPr/>
        <w:t>Вторичная</w:t>
      </w:r>
      <w:r>
        <w:rPr>
          <w:spacing w:val="-14"/>
        </w:rPr>
        <w:t> </w:t>
      </w:r>
      <w:r>
        <w:rPr/>
        <w:t>астения</w:t>
      </w:r>
      <w:r>
        <w:rPr>
          <w:spacing w:val="-14"/>
        </w:rPr>
        <w:t> </w:t>
      </w:r>
      <w:r>
        <w:rPr/>
        <w:t>—</w:t>
      </w:r>
      <w:r>
        <w:rPr>
          <w:spacing w:val="-14"/>
        </w:rPr>
        <w:t> </w:t>
      </w:r>
      <w:r>
        <w:rPr/>
        <w:t>это</w:t>
      </w:r>
      <w:r>
        <w:rPr>
          <w:spacing w:val="-14"/>
        </w:rPr>
        <w:t> </w:t>
      </w:r>
      <w:r>
        <w:rPr/>
        <w:t>клинический</w:t>
      </w:r>
      <w:r>
        <w:rPr>
          <w:spacing w:val="-13"/>
        </w:rPr>
        <w:t> </w:t>
      </w:r>
      <w:r>
        <w:rPr/>
        <w:t>симптом,</w:t>
      </w:r>
      <w:r>
        <w:rPr>
          <w:spacing w:val="-14"/>
        </w:rPr>
        <w:t> </w:t>
      </w:r>
      <w:r>
        <w:rPr/>
        <w:t>основными</w:t>
      </w:r>
      <w:r>
        <w:rPr>
          <w:spacing w:val="-13"/>
        </w:rPr>
        <w:t> </w:t>
      </w:r>
      <w:r>
        <w:rPr/>
        <w:t>причинами которого являются широкий круг психических и соматических заболеваний. Она сопровождает многие инфекционные, сердечно-сосудистые и легочные заболевания, эндокринно-метаболические, неврологические, гематологические и легочные заболевания. Ее появление может быть и результатом приема ряда препаратов.</w:t>
      </w:r>
    </w:p>
    <w:p>
      <w:pPr>
        <w:pStyle w:val="BodyText"/>
        <w:spacing w:line="276" w:lineRule="auto"/>
        <w:ind w:right="1270" w:firstLine="707"/>
      </w:pPr>
      <w:r>
        <w:rPr/>
        <w:t>Подходы</w:t>
      </w:r>
      <w:r>
        <w:rPr>
          <w:spacing w:val="80"/>
          <w:w w:val="150"/>
        </w:rPr>
        <w:t> </w:t>
      </w:r>
      <w:r>
        <w:rPr/>
        <w:t>к</w:t>
      </w:r>
      <w:r>
        <w:rPr>
          <w:spacing w:val="80"/>
          <w:w w:val="150"/>
        </w:rPr>
        <w:t> </w:t>
      </w:r>
      <w:r>
        <w:rPr/>
        <w:t>терапии</w:t>
      </w:r>
      <w:r>
        <w:rPr>
          <w:spacing w:val="80"/>
          <w:w w:val="150"/>
        </w:rPr>
        <w:t> </w:t>
      </w:r>
      <w:r>
        <w:rPr/>
        <w:t>астении</w:t>
      </w:r>
      <w:r>
        <w:rPr>
          <w:spacing w:val="80"/>
          <w:w w:val="150"/>
        </w:rPr>
        <w:t> </w:t>
      </w:r>
      <w:r>
        <w:rPr/>
        <w:t>требуют</w:t>
      </w:r>
      <w:r>
        <w:rPr>
          <w:spacing w:val="80"/>
          <w:w w:val="150"/>
        </w:rPr>
        <w:t> </w:t>
      </w:r>
      <w:r>
        <w:rPr/>
        <w:t>исключения</w:t>
      </w:r>
      <w:r>
        <w:rPr>
          <w:spacing w:val="80"/>
          <w:w w:val="150"/>
        </w:rPr>
        <w:t> </w:t>
      </w:r>
      <w:r>
        <w:rPr/>
        <w:t>основной</w:t>
      </w:r>
      <w:r>
        <w:rPr>
          <w:spacing w:val="80"/>
          <w:w w:val="150"/>
        </w:rPr>
        <w:t> </w:t>
      </w:r>
      <w:r>
        <w:rPr/>
        <w:t>причины ее возникновения, что обусловливает проведение этиопатогенетического лечения основного заболевания. При этом, для облегчения состояния пациента вне зависимости от причины, вызывающей астению, можно проводить противоастеническую терапию, включающую неспецифическое общеукрепляющее лечение, используя ведение щадящего образа жизни, дозированных физических нагрузок, сбалансированного питания и применение витаминно-минеральных комплексов лекарственных средств и биологически-активных добавок - адаптогенов на основе растительного сырья.</w:t>
      </w:r>
    </w:p>
    <w:p>
      <w:pPr>
        <w:pStyle w:val="Heading1"/>
        <w:numPr>
          <w:ilvl w:val="1"/>
          <w:numId w:val="5"/>
        </w:numPr>
        <w:tabs>
          <w:tab w:pos="3039" w:val="left" w:leader="none"/>
        </w:tabs>
        <w:spacing w:line="276" w:lineRule="auto" w:before="235" w:after="0"/>
        <w:ind w:left="2549" w:right="1590" w:firstLine="0"/>
        <w:jc w:val="left"/>
        <w:rPr>
          <w:color w:val="1F487C"/>
        </w:rPr>
      </w:pPr>
      <w:bookmarkStart w:name="_TOC_250029" w:id="125"/>
      <w:r>
        <w:rPr>
          <w:color w:val="1F487C"/>
        </w:rPr>
        <w:t>МОНИТОРИНГ</w:t>
      </w:r>
      <w:r>
        <w:rPr>
          <w:color w:val="1F487C"/>
          <w:spacing w:val="-16"/>
        </w:rPr>
        <w:t> </w:t>
      </w:r>
      <w:r>
        <w:rPr>
          <w:color w:val="1F487C"/>
        </w:rPr>
        <w:t>КЛИНИЧЕСКИХ</w:t>
      </w:r>
      <w:r>
        <w:rPr>
          <w:color w:val="1F487C"/>
          <w:spacing w:val="-14"/>
        </w:rPr>
        <w:t> </w:t>
      </w:r>
      <w:r>
        <w:rPr>
          <w:color w:val="1F487C"/>
        </w:rPr>
        <w:t>И</w:t>
      </w:r>
      <w:r>
        <w:rPr>
          <w:color w:val="1F487C"/>
          <w:spacing w:val="-15"/>
        </w:rPr>
        <w:t> </w:t>
      </w:r>
      <w:r>
        <w:rPr>
          <w:color w:val="1F487C"/>
        </w:rPr>
        <w:t>ЛАБОРАТОРНЫХ </w:t>
      </w:r>
      <w:bookmarkEnd w:id="125"/>
      <w:r>
        <w:rPr>
          <w:color w:val="1F487C"/>
          <w:spacing w:val="-2"/>
        </w:rPr>
        <w:t>ПОКАЗАТЕЛЕЙ</w:t>
      </w:r>
    </w:p>
    <w:p>
      <w:pPr>
        <w:pStyle w:val="BodyText"/>
        <w:spacing w:line="276" w:lineRule="auto" w:before="119"/>
        <w:ind w:left="1837" w:right="1275" w:firstLine="697"/>
      </w:pPr>
      <w:r>
        <w:rPr/>
        <w:t>Важным</w:t>
      </w:r>
      <w:r>
        <w:rPr>
          <w:spacing w:val="80"/>
          <w:w w:val="150"/>
        </w:rPr>
        <w:t> </w:t>
      </w:r>
      <w:r>
        <w:rPr/>
        <w:t>обстоятельством</w:t>
      </w:r>
      <w:r>
        <w:rPr>
          <w:spacing w:val="80"/>
          <w:w w:val="150"/>
        </w:rPr>
        <w:t> </w:t>
      </w:r>
      <w:r>
        <w:rPr/>
        <w:t>при</w:t>
      </w:r>
      <w:r>
        <w:rPr>
          <w:spacing w:val="80"/>
          <w:w w:val="150"/>
        </w:rPr>
        <w:t> </w:t>
      </w:r>
      <w:r>
        <w:rPr/>
        <w:t>оказании</w:t>
      </w:r>
      <w:r>
        <w:rPr>
          <w:spacing w:val="80"/>
          <w:w w:val="150"/>
        </w:rPr>
        <w:t> </w:t>
      </w:r>
      <w:r>
        <w:rPr/>
        <w:t>медицинской</w:t>
      </w:r>
      <w:r>
        <w:rPr>
          <w:spacing w:val="80"/>
          <w:w w:val="150"/>
        </w:rPr>
        <w:t> </w:t>
      </w:r>
      <w:r>
        <w:rPr/>
        <w:t>помощи</w:t>
      </w:r>
      <w:r>
        <w:rPr>
          <w:spacing w:val="80"/>
          <w:w w:val="150"/>
        </w:rPr>
        <w:t> </w:t>
      </w:r>
      <w:r>
        <w:rPr/>
        <w:t>больным с</w:t>
      </w:r>
      <w:r>
        <w:rPr>
          <w:spacing w:val="-6"/>
        </w:rPr>
        <w:t> </w:t>
      </w:r>
      <w:r>
        <w:rPr/>
        <w:t>COVID-19</w:t>
      </w:r>
      <w:r>
        <w:rPr>
          <w:spacing w:val="-7"/>
        </w:rPr>
        <w:t> </w:t>
      </w:r>
      <w:r>
        <w:rPr/>
        <w:t>или</w:t>
      </w:r>
      <w:r>
        <w:rPr>
          <w:spacing w:val="-7"/>
        </w:rPr>
        <w:t> </w:t>
      </w:r>
      <w:r>
        <w:rPr/>
        <w:t>с</w:t>
      </w:r>
      <w:r>
        <w:rPr>
          <w:spacing w:val="-10"/>
        </w:rPr>
        <w:t> </w:t>
      </w:r>
      <w:r>
        <w:rPr/>
        <w:t>подозрением</w:t>
      </w:r>
      <w:r>
        <w:rPr>
          <w:spacing w:val="-10"/>
        </w:rPr>
        <w:t> </w:t>
      </w:r>
      <w:r>
        <w:rPr/>
        <w:t>на</w:t>
      </w:r>
      <w:r>
        <w:rPr>
          <w:spacing w:val="-10"/>
        </w:rPr>
        <w:t> </w:t>
      </w:r>
      <w:r>
        <w:rPr/>
        <w:t>COVID-19</w:t>
      </w:r>
      <w:r>
        <w:rPr>
          <w:spacing w:val="-9"/>
        </w:rPr>
        <w:t> </w:t>
      </w:r>
      <w:r>
        <w:rPr/>
        <w:t>является</w:t>
      </w:r>
      <w:r>
        <w:rPr>
          <w:spacing w:val="-10"/>
        </w:rPr>
        <w:t> </w:t>
      </w:r>
      <w:r>
        <w:rPr/>
        <w:t>оценка</w:t>
      </w:r>
      <w:r>
        <w:rPr>
          <w:spacing w:val="-10"/>
        </w:rPr>
        <w:t> </w:t>
      </w:r>
      <w:r>
        <w:rPr/>
        <w:t>динамики</w:t>
      </w:r>
      <w:r>
        <w:rPr>
          <w:spacing w:val="-8"/>
        </w:rPr>
        <w:t> </w:t>
      </w:r>
      <w:r>
        <w:rPr/>
        <w:t>клинических и</w:t>
      </w:r>
      <w:r>
        <w:rPr>
          <w:spacing w:val="-1"/>
        </w:rPr>
        <w:t> </w:t>
      </w:r>
      <w:r>
        <w:rPr/>
        <w:t>лабораторных</w:t>
      </w:r>
      <w:r>
        <w:rPr>
          <w:spacing w:val="80"/>
        </w:rPr>
        <w:t>  </w:t>
      </w:r>
      <w:r>
        <w:rPr/>
        <w:t>показателей</w:t>
      </w:r>
      <w:r>
        <w:rPr>
          <w:spacing w:val="80"/>
        </w:rPr>
        <w:t>  </w:t>
      </w:r>
      <w:r>
        <w:rPr/>
        <w:t>для</w:t>
      </w:r>
      <w:r>
        <w:rPr>
          <w:spacing w:val="80"/>
        </w:rPr>
        <w:t>  </w:t>
      </w:r>
      <w:r>
        <w:rPr/>
        <w:t>своевременного</w:t>
      </w:r>
      <w:r>
        <w:rPr>
          <w:spacing w:val="80"/>
        </w:rPr>
        <w:t>  </w:t>
      </w:r>
      <w:r>
        <w:rPr/>
        <w:t>назначения</w:t>
      </w:r>
      <w:r>
        <w:rPr>
          <w:spacing w:val="80"/>
        </w:rPr>
        <w:t>  </w:t>
      </w:r>
      <w:r>
        <w:rPr/>
        <w:t>препаратов</w:t>
      </w:r>
      <w:r>
        <w:rPr>
          <w:spacing w:val="80"/>
        </w:rPr>
        <w:t> </w:t>
      </w:r>
      <w:r>
        <w:rPr/>
        <w:t>и своевременной коррекции терапии.</w:t>
      </w:r>
    </w:p>
    <w:p>
      <w:pPr>
        <w:pStyle w:val="BodyText"/>
        <w:spacing w:before="4"/>
        <w:ind w:left="2534"/>
      </w:pPr>
      <w:r>
        <w:rPr>
          <w:spacing w:val="-2"/>
        </w:rPr>
        <w:t>Клинические</w:t>
      </w:r>
      <w:r>
        <w:rPr>
          <w:spacing w:val="1"/>
        </w:rPr>
        <w:t> </w:t>
      </w:r>
      <w:r>
        <w:rPr>
          <w:spacing w:val="-2"/>
        </w:rPr>
        <w:t>признаки,</w:t>
      </w:r>
      <w:r>
        <w:rPr>
          <w:spacing w:val="-1"/>
        </w:rPr>
        <w:t> </w:t>
      </w:r>
      <w:r>
        <w:rPr>
          <w:spacing w:val="-2"/>
        </w:rPr>
        <w:t>требующие</w:t>
      </w:r>
      <w:r>
        <w:rPr>
          <w:spacing w:val="1"/>
        </w:rPr>
        <w:t> </w:t>
      </w:r>
      <w:r>
        <w:rPr>
          <w:spacing w:val="-2"/>
        </w:rPr>
        <w:t>мониторинга:</w:t>
      </w:r>
    </w:p>
    <w:p>
      <w:pPr>
        <w:pStyle w:val="ListParagraph"/>
        <w:numPr>
          <w:ilvl w:val="0"/>
          <w:numId w:val="48"/>
        </w:numPr>
        <w:tabs>
          <w:tab w:pos="2124" w:val="left" w:leader="none"/>
        </w:tabs>
        <w:spacing w:line="271" w:lineRule="auto" w:before="46" w:after="0"/>
        <w:ind w:left="2124" w:right="1274" w:hanging="360"/>
        <w:jc w:val="both"/>
        <w:rPr>
          <w:sz w:val="28"/>
        </w:rPr>
      </w:pPr>
      <w:r>
        <w:rPr>
          <w:sz w:val="24"/>
        </w:rPr>
        <w:t>Т</w:t>
      </w:r>
      <w:r>
        <w:rPr>
          <w:spacing w:val="-6"/>
          <w:sz w:val="24"/>
        </w:rPr>
        <w:t> </w:t>
      </w:r>
      <w:r>
        <w:rPr>
          <w:sz w:val="24"/>
        </w:rPr>
        <w:t>тела</w:t>
      </w:r>
      <w:r>
        <w:rPr>
          <w:spacing w:val="-7"/>
          <w:sz w:val="24"/>
        </w:rPr>
        <w:t> </w:t>
      </w:r>
      <w:r>
        <w:rPr>
          <w:sz w:val="24"/>
        </w:rPr>
        <w:t>(контроль</w:t>
      </w:r>
      <w:r>
        <w:rPr>
          <w:spacing w:val="-5"/>
          <w:sz w:val="24"/>
        </w:rPr>
        <w:t> </w:t>
      </w:r>
      <w:r>
        <w:rPr>
          <w:sz w:val="24"/>
        </w:rPr>
        <w:t>ежедневно</w:t>
      </w:r>
      <w:r>
        <w:rPr>
          <w:spacing w:val="-6"/>
          <w:sz w:val="24"/>
        </w:rPr>
        <w:t> </w:t>
      </w:r>
      <w:r>
        <w:rPr>
          <w:sz w:val="24"/>
        </w:rPr>
        <w:t>минимум</w:t>
      </w:r>
      <w:r>
        <w:rPr>
          <w:spacing w:val="-7"/>
          <w:sz w:val="24"/>
        </w:rPr>
        <w:t> </w:t>
      </w:r>
      <w:r>
        <w:rPr>
          <w:sz w:val="24"/>
        </w:rPr>
        <w:t>два</w:t>
      </w:r>
      <w:r>
        <w:rPr>
          <w:spacing w:val="-7"/>
          <w:sz w:val="24"/>
        </w:rPr>
        <w:t> </w:t>
      </w:r>
      <w:r>
        <w:rPr>
          <w:sz w:val="24"/>
        </w:rPr>
        <w:t>раза</w:t>
      </w:r>
      <w:r>
        <w:rPr>
          <w:spacing w:val="-7"/>
          <w:sz w:val="24"/>
        </w:rPr>
        <w:t> </w:t>
      </w:r>
      <w:r>
        <w:rPr>
          <w:sz w:val="24"/>
        </w:rPr>
        <w:t>в</w:t>
      </w:r>
      <w:r>
        <w:rPr>
          <w:spacing w:val="-6"/>
          <w:sz w:val="24"/>
        </w:rPr>
        <w:t> </w:t>
      </w:r>
      <w:r>
        <w:rPr>
          <w:sz w:val="24"/>
        </w:rPr>
        <w:t>день</w:t>
      </w:r>
      <w:r>
        <w:rPr>
          <w:spacing w:val="-5"/>
          <w:sz w:val="24"/>
        </w:rPr>
        <w:t> </w:t>
      </w:r>
      <w:r>
        <w:rPr>
          <w:sz w:val="24"/>
        </w:rPr>
        <w:t>в</w:t>
      </w:r>
      <w:r>
        <w:rPr>
          <w:spacing w:val="-6"/>
          <w:sz w:val="24"/>
        </w:rPr>
        <w:t> </w:t>
      </w:r>
      <w:r>
        <w:rPr>
          <w:sz w:val="24"/>
        </w:rPr>
        <w:t>утренние</w:t>
      </w:r>
      <w:r>
        <w:rPr>
          <w:spacing w:val="-7"/>
          <w:sz w:val="24"/>
        </w:rPr>
        <w:t> </w:t>
      </w:r>
      <w:r>
        <w:rPr>
          <w:sz w:val="24"/>
        </w:rPr>
        <w:t>и</w:t>
      </w:r>
      <w:r>
        <w:rPr>
          <w:spacing w:val="-7"/>
          <w:sz w:val="24"/>
        </w:rPr>
        <w:t> </w:t>
      </w:r>
      <w:r>
        <w:rPr>
          <w:sz w:val="24"/>
        </w:rPr>
        <w:t>вечерние</w:t>
      </w:r>
      <w:r>
        <w:rPr>
          <w:spacing w:val="-7"/>
          <w:sz w:val="24"/>
        </w:rPr>
        <w:t> </w:t>
      </w:r>
      <w:r>
        <w:rPr>
          <w:sz w:val="24"/>
        </w:rPr>
        <w:t>часы), оценивается высота повышения t тела, кратность ее подъемов в течение суток, длительность повышения. Особого внимания требуют эпизоды повторного повышения t тела после нормализации в течение 1 и более суток.</w:t>
      </w:r>
    </w:p>
    <w:p>
      <w:pPr>
        <w:pStyle w:val="ListParagraph"/>
        <w:numPr>
          <w:ilvl w:val="0"/>
          <w:numId w:val="48"/>
        </w:numPr>
        <w:tabs>
          <w:tab w:pos="2124" w:val="left" w:leader="none"/>
        </w:tabs>
        <w:spacing w:line="273" w:lineRule="auto" w:before="8" w:after="0"/>
        <w:ind w:left="2124" w:right="1274" w:hanging="360"/>
        <w:jc w:val="both"/>
        <w:rPr>
          <w:sz w:val="28"/>
        </w:rPr>
      </w:pPr>
      <w:r>
        <w:rPr>
          <w:sz w:val="24"/>
        </w:rPr>
        <w:t>ЧДД оценивается ежедневно, в случае увеличения ЧДД необходимо ориентироваться</w:t>
      </w:r>
      <w:r>
        <w:rPr>
          <w:spacing w:val="40"/>
          <w:sz w:val="24"/>
        </w:rPr>
        <w:t> </w:t>
      </w:r>
      <w:r>
        <w:rPr>
          <w:sz w:val="24"/>
        </w:rPr>
        <w:t>не</w:t>
      </w:r>
      <w:r>
        <w:rPr>
          <w:spacing w:val="40"/>
          <w:sz w:val="24"/>
        </w:rPr>
        <w:t> </w:t>
      </w:r>
      <w:r>
        <w:rPr>
          <w:sz w:val="24"/>
        </w:rPr>
        <w:t>только</w:t>
      </w:r>
      <w:r>
        <w:rPr>
          <w:spacing w:val="40"/>
          <w:sz w:val="24"/>
        </w:rPr>
        <w:t> </w:t>
      </w:r>
      <w:r>
        <w:rPr>
          <w:sz w:val="24"/>
        </w:rPr>
        <w:t>на</w:t>
      </w:r>
      <w:r>
        <w:rPr>
          <w:spacing w:val="40"/>
          <w:sz w:val="24"/>
        </w:rPr>
        <w:t> </w:t>
      </w:r>
      <w:r>
        <w:rPr>
          <w:sz w:val="24"/>
        </w:rPr>
        <w:t>стандартные</w:t>
      </w:r>
      <w:r>
        <w:rPr>
          <w:spacing w:val="40"/>
          <w:sz w:val="24"/>
        </w:rPr>
        <w:t> </w:t>
      </w:r>
      <w:r>
        <w:rPr>
          <w:sz w:val="24"/>
        </w:rPr>
        <w:t>нормальные</w:t>
      </w:r>
      <w:r>
        <w:rPr>
          <w:spacing w:val="40"/>
          <w:sz w:val="24"/>
        </w:rPr>
        <w:t> </w:t>
      </w:r>
      <w:r>
        <w:rPr>
          <w:sz w:val="24"/>
        </w:rPr>
        <w:t>значения</w:t>
      </w:r>
      <w:r>
        <w:rPr>
          <w:spacing w:val="40"/>
          <w:sz w:val="24"/>
        </w:rPr>
        <w:t> </w:t>
      </w:r>
      <w:r>
        <w:rPr>
          <w:sz w:val="24"/>
        </w:rPr>
        <w:t>показателя, но и на прирост показателя в сравнении с исходным ЧДД. При развитии или нарастании признаков дыхательной недостаточности необходимо тщательно контролировать</w:t>
      </w:r>
      <w:r>
        <w:rPr>
          <w:spacing w:val="40"/>
          <w:sz w:val="24"/>
        </w:rPr>
        <w:t> </w:t>
      </w:r>
      <w:r>
        <w:rPr>
          <w:sz w:val="24"/>
        </w:rPr>
        <w:t>SpO2.</w:t>
      </w:r>
      <w:r>
        <w:rPr>
          <w:spacing w:val="40"/>
          <w:sz w:val="24"/>
        </w:rPr>
        <w:t> </w:t>
      </w:r>
      <w:r>
        <w:rPr>
          <w:sz w:val="24"/>
        </w:rPr>
        <w:t>При</w:t>
      </w:r>
      <w:r>
        <w:rPr>
          <w:spacing w:val="40"/>
          <w:sz w:val="24"/>
        </w:rPr>
        <w:t> </w:t>
      </w:r>
      <w:r>
        <w:rPr>
          <w:sz w:val="24"/>
        </w:rPr>
        <w:t>увеличении</w:t>
      </w:r>
      <w:r>
        <w:rPr>
          <w:spacing w:val="40"/>
          <w:sz w:val="24"/>
        </w:rPr>
        <w:t> </w:t>
      </w:r>
      <w:r>
        <w:rPr>
          <w:sz w:val="24"/>
        </w:rPr>
        <w:t>ЧДД</w:t>
      </w:r>
      <w:r>
        <w:rPr>
          <w:spacing w:val="40"/>
          <w:sz w:val="24"/>
        </w:rPr>
        <w:t> </w:t>
      </w:r>
      <w:r>
        <w:rPr>
          <w:sz w:val="24"/>
        </w:rPr>
        <w:t>более</w:t>
      </w:r>
      <w:r>
        <w:rPr>
          <w:spacing w:val="40"/>
          <w:sz w:val="24"/>
        </w:rPr>
        <w:t> </w:t>
      </w:r>
      <w:r>
        <w:rPr>
          <w:sz w:val="24"/>
        </w:rPr>
        <w:t>22</w:t>
      </w:r>
      <w:r>
        <w:rPr>
          <w:spacing w:val="40"/>
          <w:sz w:val="24"/>
        </w:rPr>
        <w:t> </w:t>
      </w:r>
      <w:r>
        <w:rPr>
          <w:sz w:val="24"/>
        </w:rPr>
        <w:t>в</w:t>
      </w:r>
      <w:r>
        <w:rPr>
          <w:spacing w:val="40"/>
          <w:sz w:val="24"/>
        </w:rPr>
        <w:t> </w:t>
      </w:r>
      <w:r>
        <w:rPr>
          <w:sz w:val="24"/>
        </w:rPr>
        <w:t>минуту</w:t>
      </w:r>
      <w:r>
        <w:rPr>
          <w:spacing w:val="40"/>
          <w:sz w:val="24"/>
        </w:rPr>
        <w:t> </w:t>
      </w:r>
      <w:r>
        <w:rPr>
          <w:sz w:val="24"/>
        </w:rPr>
        <w:t>при</w:t>
      </w:r>
      <w:r>
        <w:rPr>
          <w:spacing w:val="40"/>
          <w:sz w:val="24"/>
        </w:rPr>
        <w:t> </w:t>
      </w:r>
      <w:r>
        <w:rPr>
          <w:sz w:val="24"/>
        </w:rPr>
        <w:t>лечении</w:t>
      </w:r>
      <w:r>
        <w:rPr>
          <w:spacing w:val="40"/>
          <w:sz w:val="24"/>
        </w:rPr>
        <w:t> </w:t>
      </w:r>
      <w:r>
        <w:rPr>
          <w:sz w:val="24"/>
        </w:rPr>
        <w:t>на дому необходимо решать вопрос о госпитализации пациента в стационар.</w:t>
      </w:r>
    </w:p>
    <w:p>
      <w:pPr>
        <w:pStyle w:val="ListParagraph"/>
        <w:numPr>
          <w:ilvl w:val="0"/>
          <w:numId w:val="48"/>
        </w:numPr>
        <w:tabs>
          <w:tab w:pos="2124" w:val="left" w:leader="none"/>
        </w:tabs>
        <w:spacing w:line="261" w:lineRule="auto" w:before="0" w:after="0"/>
        <w:ind w:left="2124" w:right="1275" w:hanging="360"/>
        <w:jc w:val="both"/>
        <w:rPr>
          <w:sz w:val="28"/>
        </w:rPr>
      </w:pPr>
      <w:r>
        <w:rPr>
          <w:sz w:val="24"/>
        </w:rPr>
        <w:t>SpO2</w:t>
      </w:r>
      <w:r>
        <w:rPr>
          <w:spacing w:val="27"/>
          <w:sz w:val="24"/>
        </w:rPr>
        <w:t> </w:t>
      </w:r>
      <w:r>
        <w:rPr>
          <w:sz w:val="24"/>
        </w:rPr>
        <w:t>оценивается</w:t>
      </w:r>
      <w:r>
        <w:rPr>
          <w:spacing w:val="26"/>
          <w:sz w:val="24"/>
        </w:rPr>
        <w:t> </w:t>
      </w:r>
      <w:r>
        <w:rPr>
          <w:sz w:val="24"/>
        </w:rPr>
        <w:t>ежедневно</w:t>
      </w:r>
      <w:r>
        <w:rPr>
          <w:spacing w:val="26"/>
          <w:sz w:val="24"/>
        </w:rPr>
        <w:t> </w:t>
      </w:r>
      <w:r>
        <w:rPr>
          <w:sz w:val="24"/>
        </w:rPr>
        <w:t>(у</w:t>
      </w:r>
      <w:r>
        <w:rPr>
          <w:spacing w:val="26"/>
          <w:sz w:val="24"/>
        </w:rPr>
        <w:t> </w:t>
      </w:r>
      <w:r>
        <w:rPr>
          <w:sz w:val="24"/>
        </w:rPr>
        <w:t>пациентов,</w:t>
      </w:r>
      <w:r>
        <w:rPr>
          <w:spacing w:val="27"/>
          <w:sz w:val="24"/>
        </w:rPr>
        <w:t> </w:t>
      </w:r>
      <w:r>
        <w:rPr>
          <w:sz w:val="24"/>
        </w:rPr>
        <w:t>находящихся</w:t>
      </w:r>
      <w:r>
        <w:rPr>
          <w:spacing w:val="26"/>
          <w:sz w:val="24"/>
        </w:rPr>
        <w:t> </w:t>
      </w:r>
      <w:r>
        <w:rPr>
          <w:sz w:val="24"/>
        </w:rPr>
        <w:t>в</w:t>
      </w:r>
      <w:r>
        <w:rPr>
          <w:spacing w:val="28"/>
          <w:sz w:val="24"/>
        </w:rPr>
        <w:t> </w:t>
      </w:r>
      <w:r>
        <w:rPr>
          <w:sz w:val="24"/>
        </w:rPr>
        <w:t>стационаре,</w:t>
      </w:r>
      <w:r>
        <w:rPr>
          <w:spacing w:val="33"/>
          <w:sz w:val="24"/>
        </w:rPr>
        <w:t> </w:t>
      </w:r>
      <w:r>
        <w:rPr>
          <w:sz w:val="24"/>
        </w:rPr>
        <w:t>–</w:t>
      </w:r>
      <w:r>
        <w:rPr>
          <w:spacing w:val="29"/>
          <w:sz w:val="24"/>
        </w:rPr>
        <w:t> </w:t>
      </w:r>
      <w:r>
        <w:rPr>
          <w:sz w:val="24"/>
        </w:rPr>
        <w:t>3</w:t>
      </w:r>
      <w:r>
        <w:rPr>
          <w:spacing w:val="26"/>
          <w:sz w:val="24"/>
        </w:rPr>
        <w:t> </w:t>
      </w:r>
      <w:r>
        <w:rPr>
          <w:sz w:val="24"/>
        </w:rPr>
        <w:t>раза в</w:t>
      </w:r>
      <w:r>
        <w:rPr>
          <w:spacing w:val="-12"/>
          <w:sz w:val="24"/>
        </w:rPr>
        <w:t> </w:t>
      </w:r>
      <w:r>
        <w:rPr>
          <w:sz w:val="24"/>
        </w:rPr>
        <w:t>день.</w:t>
      </w:r>
      <w:r>
        <w:rPr>
          <w:spacing w:val="-12"/>
          <w:sz w:val="24"/>
        </w:rPr>
        <w:t> </w:t>
      </w:r>
      <w:r>
        <w:rPr>
          <w:sz w:val="24"/>
        </w:rPr>
        <w:t>При</w:t>
      </w:r>
      <w:r>
        <w:rPr>
          <w:spacing w:val="-11"/>
          <w:sz w:val="24"/>
        </w:rPr>
        <w:t> </w:t>
      </w:r>
      <w:r>
        <w:rPr>
          <w:sz w:val="24"/>
        </w:rPr>
        <w:t>снижении</w:t>
      </w:r>
      <w:r>
        <w:rPr>
          <w:spacing w:val="-11"/>
          <w:sz w:val="24"/>
        </w:rPr>
        <w:t> </w:t>
      </w:r>
      <w:r>
        <w:rPr>
          <w:sz w:val="24"/>
        </w:rPr>
        <w:t>показателя</w:t>
      </w:r>
      <w:r>
        <w:rPr>
          <w:spacing w:val="-12"/>
          <w:sz w:val="24"/>
        </w:rPr>
        <w:t> </w:t>
      </w:r>
      <w:r>
        <w:rPr>
          <w:sz w:val="24"/>
        </w:rPr>
        <w:t>до</w:t>
      </w:r>
      <w:r>
        <w:rPr>
          <w:spacing w:val="-11"/>
          <w:sz w:val="24"/>
        </w:rPr>
        <w:t> </w:t>
      </w:r>
      <w:r>
        <w:rPr>
          <w:sz w:val="24"/>
        </w:rPr>
        <w:t>уровня</w:t>
      </w:r>
      <w:r>
        <w:rPr>
          <w:spacing w:val="-12"/>
          <w:sz w:val="24"/>
        </w:rPr>
        <w:t> </w:t>
      </w:r>
      <w:r>
        <w:rPr>
          <w:sz w:val="24"/>
        </w:rPr>
        <w:t>≤93%</w:t>
      </w:r>
      <w:r>
        <w:rPr>
          <w:spacing w:val="-12"/>
          <w:sz w:val="24"/>
        </w:rPr>
        <w:t> </w:t>
      </w:r>
      <w:r>
        <w:rPr>
          <w:sz w:val="24"/>
        </w:rPr>
        <w:t>необходима</w:t>
      </w:r>
      <w:r>
        <w:rPr>
          <w:spacing w:val="-13"/>
          <w:sz w:val="24"/>
        </w:rPr>
        <w:t> </w:t>
      </w:r>
      <w:r>
        <w:rPr>
          <w:sz w:val="24"/>
        </w:rPr>
        <w:t>дотация</w:t>
      </w:r>
      <w:r>
        <w:rPr>
          <w:spacing w:val="-12"/>
          <w:sz w:val="24"/>
        </w:rPr>
        <w:t> </w:t>
      </w:r>
      <w:r>
        <w:rPr>
          <w:sz w:val="24"/>
        </w:rPr>
        <w:t>кислорода).</w:t>
      </w:r>
    </w:p>
    <w:p>
      <w:pPr>
        <w:pStyle w:val="ListParagraph"/>
        <w:numPr>
          <w:ilvl w:val="0"/>
          <w:numId w:val="48"/>
        </w:numPr>
        <w:tabs>
          <w:tab w:pos="2124" w:val="left" w:leader="none"/>
        </w:tabs>
        <w:spacing w:line="264" w:lineRule="auto" w:before="19" w:after="0"/>
        <w:ind w:left="2124" w:right="1273" w:hanging="360"/>
        <w:jc w:val="both"/>
        <w:rPr>
          <w:sz w:val="28"/>
        </w:rPr>
      </w:pPr>
      <w:r>
        <w:rPr>
          <w:sz w:val="24"/>
        </w:rPr>
        <w:t>Для</w:t>
      </w:r>
      <w:r>
        <w:rPr>
          <w:spacing w:val="-6"/>
          <w:sz w:val="24"/>
        </w:rPr>
        <w:t> </w:t>
      </w:r>
      <w:r>
        <w:rPr>
          <w:sz w:val="24"/>
        </w:rPr>
        <w:t>линейных</w:t>
      </w:r>
      <w:r>
        <w:rPr>
          <w:spacing w:val="-6"/>
          <w:sz w:val="24"/>
        </w:rPr>
        <w:t> </w:t>
      </w:r>
      <w:r>
        <w:rPr>
          <w:sz w:val="24"/>
        </w:rPr>
        <w:t>отделений</w:t>
      </w:r>
      <w:r>
        <w:rPr>
          <w:spacing w:val="-5"/>
          <w:sz w:val="24"/>
        </w:rPr>
        <w:t> </w:t>
      </w:r>
      <w:r>
        <w:rPr>
          <w:sz w:val="24"/>
        </w:rPr>
        <w:t>SpO2</w:t>
      </w:r>
      <w:r>
        <w:rPr>
          <w:spacing w:val="-8"/>
          <w:sz w:val="24"/>
        </w:rPr>
        <w:t> </w:t>
      </w:r>
      <w:r>
        <w:rPr>
          <w:sz w:val="24"/>
        </w:rPr>
        <w:t>на</w:t>
      </w:r>
      <w:r>
        <w:rPr>
          <w:spacing w:val="-7"/>
          <w:sz w:val="24"/>
        </w:rPr>
        <w:t> </w:t>
      </w:r>
      <w:r>
        <w:rPr>
          <w:sz w:val="24"/>
        </w:rPr>
        <w:t>фоне</w:t>
      </w:r>
      <w:r>
        <w:rPr>
          <w:spacing w:val="-7"/>
          <w:sz w:val="24"/>
        </w:rPr>
        <w:t> </w:t>
      </w:r>
      <w:r>
        <w:rPr>
          <w:sz w:val="24"/>
        </w:rPr>
        <w:t>оксигенотерапии</w:t>
      </w:r>
      <w:r>
        <w:rPr>
          <w:spacing w:val="-7"/>
          <w:sz w:val="24"/>
        </w:rPr>
        <w:t> </w:t>
      </w:r>
      <w:r>
        <w:rPr>
          <w:sz w:val="24"/>
        </w:rPr>
        <w:t>должна</w:t>
      </w:r>
      <w:r>
        <w:rPr>
          <w:spacing w:val="-7"/>
          <w:sz w:val="24"/>
        </w:rPr>
        <w:t> </w:t>
      </w:r>
      <w:r>
        <w:rPr>
          <w:sz w:val="24"/>
        </w:rPr>
        <w:t>быть</w:t>
      </w:r>
      <w:r>
        <w:rPr>
          <w:spacing w:val="-7"/>
          <w:sz w:val="24"/>
        </w:rPr>
        <w:t> </w:t>
      </w:r>
      <w:r>
        <w:rPr>
          <w:sz w:val="24"/>
        </w:rPr>
        <w:t>≥</w:t>
      </w:r>
      <w:r>
        <w:rPr>
          <w:spacing w:val="-6"/>
          <w:sz w:val="24"/>
        </w:rPr>
        <w:t> </w:t>
      </w:r>
      <w:r>
        <w:rPr>
          <w:sz w:val="24"/>
        </w:rPr>
        <w:t>92%,</w:t>
      </w:r>
      <w:r>
        <w:rPr>
          <w:spacing w:val="-6"/>
          <w:sz w:val="24"/>
        </w:rPr>
        <w:t> </w:t>
      </w:r>
      <w:r>
        <w:rPr>
          <w:sz w:val="24"/>
        </w:rPr>
        <w:t>если показатель меньше</w:t>
      </w:r>
      <w:r>
        <w:rPr>
          <w:spacing w:val="21"/>
          <w:sz w:val="24"/>
        </w:rPr>
        <w:t> </w:t>
      </w:r>
      <w:r>
        <w:rPr>
          <w:sz w:val="24"/>
        </w:rPr>
        <w:t>– показана прон-позиция. Если SpO2 в положении на</w:t>
      </w:r>
      <w:r>
        <w:rPr>
          <w:spacing w:val="-3"/>
          <w:sz w:val="24"/>
        </w:rPr>
        <w:t> </w:t>
      </w:r>
      <w:r>
        <w:rPr>
          <w:sz w:val="24"/>
        </w:rPr>
        <w:t>животе</w:t>
      </w:r>
    </w:p>
    <w:p>
      <w:pPr>
        <w:pStyle w:val="ListParagraph"/>
        <w:spacing w:after="0" w:line="264" w:lineRule="auto"/>
        <w:jc w:val="both"/>
        <w:rPr>
          <w:sz w:val="28"/>
        </w:rPr>
        <w:sectPr>
          <w:pgSz w:w="11900" w:h="16840"/>
          <w:pgMar w:header="0" w:footer="697" w:top="1080" w:bottom="880" w:left="0" w:right="0"/>
        </w:sectPr>
      </w:pPr>
    </w:p>
    <w:p>
      <w:pPr>
        <w:pStyle w:val="BodyText"/>
        <w:spacing w:line="276" w:lineRule="auto" w:before="73"/>
        <w:ind w:left="2124" w:right="1273"/>
      </w:pPr>
      <w:bookmarkStart w:name="108" w:id="126"/>
      <w:bookmarkEnd w:id="126"/>
      <w:r>
        <w:rPr/>
      </w:r>
      <w:r>
        <w:rPr/>
        <w:t>&lt; 92%, показана консультация реаниматолога в течение часа. При проведении оксигенотерапии</w:t>
      </w:r>
      <w:r>
        <w:rPr>
          <w:spacing w:val="-3"/>
        </w:rPr>
        <w:t> </w:t>
      </w:r>
      <w:r>
        <w:rPr/>
        <w:t>показано</w:t>
      </w:r>
      <w:r>
        <w:rPr>
          <w:spacing w:val="-4"/>
        </w:rPr>
        <w:t> </w:t>
      </w:r>
      <w:r>
        <w:rPr/>
        <w:t>кратковременно</w:t>
      </w:r>
      <w:r>
        <w:rPr>
          <w:spacing w:val="-4"/>
        </w:rPr>
        <w:t> </w:t>
      </w:r>
      <w:r>
        <w:rPr/>
        <w:t>прекращать</w:t>
      </w:r>
      <w:r>
        <w:rPr>
          <w:spacing w:val="-2"/>
        </w:rPr>
        <w:t> </w:t>
      </w:r>
      <w:r>
        <w:rPr/>
        <w:t>ее</w:t>
      </w:r>
      <w:r>
        <w:rPr>
          <w:spacing w:val="-2"/>
        </w:rPr>
        <w:t> </w:t>
      </w:r>
      <w:r>
        <w:rPr/>
        <w:t>не</w:t>
      </w:r>
      <w:r>
        <w:rPr>
          <w:spacing w:val="-4"/>
        </w:rPr>
        <w:t> </w:t>
      </w:r>
      <w:r>
        <w:rPr/>
        <w:t>реже,</w:t>
      </w:r>
      <w:r>
        <w:rPr>
          <w:spacing w:val="-4"/>
        </w:rPr>
        <w:t> </w:t>
      </w:r>
      <w:r>
        <w:rPr/>
        <w:t>чем</w:t>
      </w:r>
      <w:r>
        <w:rPr>
          <w:spacing w:val="-4"/>
        </w:rPr>
        <w:t> </w:t>
      </w:r>
      <w:r>
        <w:rPr/>
        <w:t>1</w:t>
      </w:r>
      <w:r>
        <w:rPr>
          <w:spacing w:val="-4"/>
        </w:rPr>
        <w:t> </w:t>
      </w:r>
      <w:r>
        <w:rPr/>
        <w:t>раз в</w:t>
      </w:r>
      <w:r>
        <w:rPr>
          <w:spacing w:val="-4"/>
        </w:rPr>
        <w:t> </w:t>
      </w:r>
      <w:r>
        <w:rPr/>
        <w:t>2</w:t>
      </w:r>
      <w:r>
        <w:rPr>
          <w:spacing w:val="-2"/>
        </w:rPr>
        <w:t> </w:t>
      </w:r>
      <w:r>
        <w:rPr/>
        <w:t>ч, если</w:t>
      </w:r>
      <w:r>
        <w:rPr>
          <w:spacing w:val="31"/>
        </w:rPr>
        <w:t> </w:t>
      </w:r>
      <w:r>
        <w:rPr/>
        <w:t>при</w:t>
      </w:r>
      <w:r>
        <w:rPr>
          <w:spacing w:val="31"/>
        </w:rPr>
        <w:t> </w:t>
      </w:r>
      <w:r>
        <w:rPr/>
        <w:t>этом</w:t>
      </w:r>
      <w:r>
        <w:rPr>
          <w:spacing w:val="29"/>
        </w:rPr>
        <w:t> </w:t>
      </w:r>
      <w:r>
        <w:rPr/>
        <w:t>отмечается</w:t>
      </w:r>
      <w:r>
        <w:rPr>
          <w:spacing w:val="30"/>
        </w:rPr>
        <w:t> </w:t>
      </w:r>
      <w:r>
        <w:rPr/>
        <w:t>снижение</w:t>
      </w:r>
      <w:r>
        <w:rPr>
          <w:spacing w:val="29"/>
        </w:rPr>
        <w:t> </w:t>
      </w:r>
      <w:r>
        <w:rPr/>
        <w:t>SpO2</w:t>
      </w:r>
      <w:r>
        <w:rPr>
          <w:spacing w:val="30"/>
        </w:rPr>
        <w:t> </w:t>
      </w:r>
      <w:r>
        <w:rPr/>
        <w:t>&lt;</w:t>
      </w:r>
      <w:r>
        <w:rPr>
          <w:spacing w:val="31"/>
        </w:rPr>
        <w:t> </w:t>
      </w:r>
      <w:r>
        <w:rPr/>
        <w:t>85%,</w:t>
      </w:r>
      <w:r>
        <w:rPr>
          <w:spacing w:val="30"/>
        </w:rPr>
        <w:t> </w:t>
      </w:r>
      <w:r>
        <w:rPr/>
        <w:t>показан</w:t>
      </w:r>
      <w:r>
        <w:rPr>
          <w:spacing w:val="31"/>
        </w:rPr>
        <w:t> </w:t>
      </w:r>
      <w:r>
        <w:rPr/>
        <w:t>вызов</w:t>
      </w:r>
      <w:r>
        <w:rPr>
          <w:spacing w:val="29"/>
        </w:rPr>
        <w:t> </w:t>
      </w:r>
      <w:r>
        <w:rPr/>
        <w:t>реаниматолога в течение часа, если SpO2 снижается до 80% и менее – экстренный вызов </w:t>
      </w:r>
      <w:r>
        <w:rPr>
          <w:spacing w:val="-2"/>
        </w:rPr>
        <w:t>реаниматолога.</w:t>
      </w:r>
    </w:p>
    <w:p>
      <w:pPr>
        <w:pStyle w:val="BodyText"/>
        <w:spacing w:before="12"/>
        <w:ind w:left="2534"/>
      </w:pPr>
      <w:r>
        <w:rPr>
          <w:spacing w:val="-2"/>
        </w:rPr>
        <w:t>Лабораторные</w:t>
      </w:r>
      <w:r>
        <w:rPr>
          <w:spacing w:val="2"/>
        </w:rPr>
        <w:t> </w:t>
      </w:r>
      <w:r>
        <w:rPr>
          <w:spacing w:val="-2"/>
        </w:rPr>
        <w:t>показатели,</w:t>
      </w:r>
      <w:r>
        <w:rPr>
          <w:spacing w:val="3"/>
        </w:rPr>
        <w:t> </w:t>
      </w:r>
      <w:r>
        <w:rPr>
          <w:spacing w:val="-2"/>
        </w:rPr>
        <w:t>требующие</w:t>
      </w:r>
      <w:r>
        <w:rPr>
          <w:spacing w:val="3"/>
        </w:rPr>
        <w:t> </w:t>
      </w:r>
      <w:r>
        <w:rPr>
          <w:spacing w:val="-2"/>
        </w:rPr>
        <w:t>мониторинга:</w:t>
      </w:r>
    </w:p>
    <w:p>
      <w:pPr>
        <w:pStyle w:val="ListParagraph"/>
        <w:numPr>
          <w:ilvl w:val="0"/>
          <w:numId w:val="48"/>
        </w:numPr>
        <w:tabs>
          <w:tab w:pos="2124" w:val="left" w:leader="none"/>
        </w:tabs>
        <w:spacing w:line="240" w:lineRule="auto" w:before="47" w:after="0"/>
        <w:ind w:left="2124" w:right="0" w:hanging="359"/>
        <w:jc w:val="left"/>
        <w:rPr>
          <w:sz w:val="28"/>
        </w:rPr>
      </w:pPr>
      <w:r>
        <w:rPr>
          <w:spacing w:val="-2"/>
          <w:sz w:val="24"/>
        </w:rPr>
        <w:t>Уровни</w:t>
      </w:r>
      <w:r>
        <w:rPr>
          <w:spacing w:val="3"/>
          <w:sz w:val="24"/>
        </w:rPr>
        <w:t> </w:t>
      </w:r>
      <w:r>
        <w:rPr>
          <w:spacing w:val="-2"/>
          <w:sz w:val="24"/>
        </w:rPr>
        <w:t>лейкоцитов,</w:t>
      </w:r>
      <w:r>
        <w:rPr>
          <w:spacing w:val="2"/>
          <w:sz w:val="24"/>
        </w:rPr>
        <w:t> </w:t>
      </w:r>
      <w:r>
        <w:rPr>
          <w:spacing w:val="-2"/>
          <w:sz w:val="24"/>
        </w:rPr>
        <w:t>нейтрофилов,</w:t>
      </w:r>
      <w:r>
        <w:rPr>
          <w:spacing w:val="2"/>
          <w:sz w:val="24"/>
        </w:rPr>
        <w:t> </w:t>
      </w:r>
      <w:r>
        <w:rPr>
          <w:spacing w:val="-2"/>
          <w:sz w:val="24"/>
        </w:rPr>
        <w:t>лимфоцитов,</w:t>
      </w:r>
      <w:r>
        <w:rPr>
          <w:spacing w:val="2"/>
          <w:sz w:val="24"/>
        </w:rPr>
        <w:t> </w:t>
      </w:r>
      <w:r>
        <w:rPr>
          <w:spacing w:val="-2"/>
          <w:sz w:val="24"/>
        </w:rPr>
        <w:t>тромбоцитов;</w:t>
      </w:r>
    </w:p>
    <w:p>
      <w:pPr>
        <w:pStyle w:val="ListParagraph"/>
        <w:numPr>
          <w:ilvl w:val="0"/>
          <w:numId w:val="48"/>
        </w:numPr>
        <w:tabs>
          <w:tab w:pos="2124" w:val="left" w:leader="none"/>
        </w:tabs>
        <w:spacing w:line="240" w:lineRule="auto" w:before="33" w:after="0"/>
        <w:ind w:left="2124" w:right="0" w:hanging="359"/>
        <w:jc w:val="left"/>
        <w:rPr>
          <w:sz w:val="28"/>
        </w:rPr>
      </w:pPr>
      <w:r>
        <w:rPr>
          <w:sz w:val="24"/>
        </w:rPr>
        <w:t>Активность</w:t>
      </w:r>
      <w:r>
        <w:rPr>
          <w:spacing w:val="-12"/>
          <w:sz w:val="24"/>
        </w:rPr>
        <w:t> </w:t>
      </w:r>
      <w:r>
        <w:rPr>
          <w:sz w:val="24"/>
        </w:rPr>
        <w:t>АЛТ,</w:t>
      </w:r>
      <w:r>
        <w:rPr>
          <w:spacing w:val="-13"/>
          <w:sz w:val="24"/>
        </w:rPr>
        <w:t> </w:t>
      </w:r>
      <w:r>
        <w:rPr>
          <w:sz w:val="24"/>
        </w:rPr>
        <w:t>АСТ,</w:t>
      </w:r>
      <w:r>
        <w:rPr>
          <w:spacing w:val="-14"/>
          <w:sz w:val="24"/>
        </w:rPr>
        <w:t> </w:t>
      </w:r>
      <w:r>
        <w:rPr>
          <w:sz w:val="24"/>
        </w:rPr>
        <w:t>лактатдегидрогеназы,</w:t>
      </w:r>
      <w:r>
        <w:rPr>
          <w:spacing w:val="-15"/>
          <w:sz w:val="24"/>
        </w:rPr>
        <w:t> </w:t>
      </w:r>
      <w:r>
        <w:rPr>
          <w:sz w:val="24"/>
        </w:rPr>
        <w:t>уровни</w:t>
      </w:r>
      <w:r>
        <w:rPr>
          <w:spacing w:val="-11"/>
          <w:sz w:val="24"/>
        </w:rPr>
        <w:t> </w:t>
      </w:r>
      <w:r>
        <w:rPr>
          <w:sz w:val="24"/>
        </w:rPr>
        <w:t>СРБ,</w:t>
      </w:r>
      <w:r>
        <w:rPr>
          <w:spacing w:val="-12"/>
          <w:sz w:val="24"/>
        </w:rPr>
        <w:t> </w:t>
      </w:r>
      <w:r>
        <w:rPr>
          <w:spacing w:val="-2"/>
          <w:sz w:val="24"/>
        </w:rPr>
        <w:t>глюкозы;</w:t>
      </w:r>
    </w:p>
    <w:p>
      <w:pPr>
        <w:pStyle w:val="ListParagraph"/>
        <w:numPr>
          <w:ilvl w:val="0"/>
          <w:numId w:val="48"/>
        </w:numPr>
        <w:tabs>
          <w:tab w:pos="2124" w:val="left" w:leader="none"/>
        </w:tabs>
        <w:spacing w:line="240" w:lineRule="auto" w:before="33" w:after="0"/>
        <w:ind w:left="2124" w:right="0" w:hanging="359"/>
        <w:jc w:val="left"/>
        <w:rPr>
          <w:sz w:val="28"/>
        </w:rPr>
      </w:pPr>
      <w:r>
        <w:rPr>
          <w:spacing w:val="-2"/>
          <w:sz w:val="24"/>
        </w:rPr>
        <w:t>Протромбиновое</w:t>
      </w:r>
      <w:r>
        <w:rPr>
          <w:spacing w:val="6"/>
          <w:sz w:val="24"/>
        </w:rPr>
        <w:t> </w:t>
      </w:r>
      <w:r>
        <w:rPr>
          <w:spacing w:val="-2"/>
          <w:sz w:val="24"/>
        </w:rPr>
        <w:t>время;</w:t>
      </w:r>
    </w:p>
    <w:p>
      <w:pPr>
        <w:pStyle w:val="ListParagraph"/>
        <w:numPr>
          <w:ilvl w:val="0"/>
          <w:numId w:val="48"/>
        </w:numPr>
        <w:tabs>
          <w:tab w:pos="2124" w:val="left" w:leader="none"/>
        </w:tabs>
        <w:spacing w:line="240" w:lineRule="auto" w:before="32" w:after="0"/>
        <w:ind w:left="2124" w:right="0" w:hanging="359"/>
        <w:jc w:val="left"/>
        <w:rPr>
          <w:sz w:val="28"/>
        </w:rPr>
      </w:pPr>
      <w:r>
        <w:rPr>
          <w:sz w:val="24"/>
        </w:rPr>
        <w:t>Уровень</w:t>
      </w:r>
      <w:r>
        <w:rPr>
          <w:spacing w:val="-11"/>
          <w:sz w:val="24"/>
        </w:rPr>
        <w:t> </w:t>
      </w:r>
      <w:r>
        <w:rPr>
          <w:spacing w:val="-2"/>
          <w:sz w:val="24"/>
        </w:rPr>
        <w:t>фибриногена;</w:t>
      </w:r>
    </w:p>
    <w:p>
      <w:pPr>
        <w:pStyle w:val="ListParagraph"/>
        <w:numPr>
          <w:ilvl w:val="0"/>
          <w:numId w:val="48"/>
        </w:numPr>
        <w:tabs>
          <w:tab w:pos="2124" w:val="left" w:leader="none"/>
          <w:tab w:pos="2793" w:val="left" w:leader="none"/>
          <w:tab w:pos="4429" w:val="left" w:leader="none"/>
          <w:tab w:pos="5539" w:val="left" w:leader="none"/>
          <w:tab w:pos="7073" w:val="left" w:leader="none"/>
          <w:tab w:pos="8499" w:val="left" w:leader="none"/>
          <w:tab w:pos="9472" w:val="left" w:leader="none"/>
        </w:tabs>
        <w:spacing w:line="261" w:lineRule="auto" w:before="33" w:after="0"/>
        <w:ind w:left="2124" w:right="1272" w:hanging="360"/>
        <w:jc w:val="left"/>
        <w:rPr>
          <w:sz w:val="28"/>
        </w:rPr>
      </w:pPr>
      <w:r>
        <w:rPr>
          <w:spacing w:val="-6"/>
          <w:sz w:val="24"/>
        </w:rPr>
        <w:t>По</w:t>
      </w:r>
      <w:r>
        <w:rPr>
          <w:sz w:val="24"/>
        </w:rPr>
        <w:tab/>
      </w:r>
      <w:r>
        <w:rPr>
          <w:spacing w:val="-2"/>
          <w:sz w:val="24"/>
        </w:rPr>
        <w:t>показаниям:</w:t>
      </w:r>
      <w:r>
        <w:rPr>
          <w:sz w:val="24"/>
        </w:rPr>
        <w:tab/>
      </w:r>
      <w:r>
        <w:rPr>
          <w:spacing w:val="-2"/>
          <w:sz w:val="24"/>
        </w:rPr>
        <w:t>уровни</w:t>
      </w:r>
      <w:r>
        <w:rPr>
          <w:sz w:val="24"/>
        </w:rPr>
        <w:tab/>
      </w:r>
      <w:r>
        <w:rPr>
          <w:spacing w:val="-2"/>
          <w:sz w:val="24"/>
        </w:rPr>
        <w:t>ферритина,</w:t>
      </w:r>
      <w:r>
        <w:rPr>
          <w:sz w:val="24"/>
        </w:rPr>
        <w:tab/>
      </w:r>
      <w:r>
        <w:rPr>
          <w:spacing w:val="-2"/>
          <w:sz w:val="24"/>
        </w:rPr>
        <w:t>D-димера,</w:t>
      </w:r>
      <w:r>
        <w:rPr>
          <w:sz w:val="24"/>
        </w:rPr>
        <w:tab/>
      </w:r>
      <w:r>
        <w:rPr>
          <w:spacing w:val="-2"/>
          <w:sz w:val="24"/>
        </w:rPr>
        <w:t>ИЛ-6,</w:t>
      </w:r>
      <w:r>
        <w:rPr>
          <w:sz w:val="24"/>
        </w:rPr>
        <w:tab/>
      </w:r>
      <w:r>
        <w:rPr>
          <w:spacing w:val="-2"/>
          <w:sz w:val="24"/>
        </w:rPr>
        <w:t>тропонина; </w:t>
      </w:r>
      <w:r>
        <w:rPr>
          <w:sz w:val="24"/>
        </w:rPr>
        <w:t>количество Т- и В-лимфоцитов; NT- proBNP, прокальцитонин.</w:t>
      </w:r>
    </w:p>
    <w:p>
      <w:pPr>
        <w:pStyle w:val="BodyText"/>
        <w:spacing w:line="278" w:lineRule="auto" w:before="32"/>
        <w:ind w:right="1283" w:firstLine="707"/>
        <w:jc w:val="left"/>
      </w:pPr>
      <w:r>
        <w:rPr/>
        <w:t>Инструментальные</w:t>
      </w:r>
      <w:r>
        <w:rPr>
          <w:spacing w:val="-15"/>
        </w:rPr>
        <w:t> </w:t>
      </w:r>
      <w:r>
        <w:rPr/>
        <w:t>признаки,</w:t>
      </w:r>
      <w:r>
        <w:rPr>
          <w:spacing w:val="-15"/>
        </w:rPr>
        <w:t> </w:t>
      </w:r>
      <w:r>
        <w:rPr/>
        <w:t>требующие</w:t>
      </w:r>
      <w:r>
        <w:rPr>
          <w:spacing w:val="-15"/>
        </w:rPr>
        <w:t> </w:t>
      </w:r>
      <w:r>
        <w:rPr/>
        <w:t>мониторинга,</w:t>
      </w:r>
      <w:r>
        <w:rPr>
          <w:spacing w:val="-15"/>
        </w:rPr>
        <w:t> </w:t>
      </w:r>
      <w:r>
        <w:rPr/>
        <w:t>–</w:t>
      </w:r>
      <w:r>
        <w:rPr>
          <w:spacing w:val="-15"/>
        </w:rPr>
        <w:t> </w:t>
      </w:r>
      <w:r>
        <w:rPr/>
        <w:t>характер</w:t>
      </w:r>
      <w:r>
        <w:rPr>
          <w:spacing w:val="-15"/>
        </w:rPr>
        <w:t> </w:t>
      </w:r>
      <w:r>
        <w:rPr/>
        <w:t>и</w:t>
      </w:r>
      <w:r>
        <w:rPr>
          <w:spacing w:val="-15"/>
        </w:rPr>
        <w:t> </w:t>
      </w:r>
      <w:r>
        <w:rPr/>
        <w:t>площадь поражения легких на КТ ОГК (по показаниям).</w:t>
      </w:r>
    </w:p>
    <w:p>
      <w:pPr>
        <w:pStyle w:val="BodyText"/>
        <w:spacing w:line="276" w:lineRule="auto"/>
        <w:ind w:left="1837" w:right="1283" w:firstLine="697"/>
        <w:jc w:val="left"/>
      </w:pPr>
      <w:r>
        <w:rPr/>
        <w:t>Необходимый объем лабораторных исследований в</w:t>
      </w:r>
      <w:r>
        <w:rPr>
          <w:spacing w:val="-6"/>
        </w:rPr>
        <w:t> </w:t>
      </w:r>
      <w:r>
        <w:rPr/>
        <w:t>зависимости от тяжести состояния представлен в Приложении 2.</w:t>
      </w:r>
    </w:p>
    <w:p>
      <w:pPr>
        <w:pStyle w:val="Heading1"/>
        <w:spacing w:line="259" w:lineRule="auto" w:before="241"/>
        <w:ind w:right="1729"/>
        <w:jc w:val="both"/>
      </w:pPr>
      <w:bookmarkStart w:name="_TOC_250028" w:id="127"/>
      <w:r>
        <w:rPr>
          <w:color w:val="1F487C"/>
        </w:rPr>
        <w:t>5.9</w:t>
      </w:r>
      <w:r>
        <w:rPr>
          <w:color w:val="1F487C"/>
          <w:spacing w:val="-5"/>
        </w:rPr>
        <w:t> </w:t>
      </w:r>
      <w:r>
        <w:rPr>
          <w:color w:val="1F487C"/>
        </w:rPr>
        <w:t>МЕДИЦИНСКАЯ</w:t>
      </w:r>
      <w:r>
        <w:rPr>
          <w:color w:val="1F487C"/>
          <w:spacing w:val="-8"/>
        </w:rPr>
        <w:t> </w:t>
      </w:r>
      <w:r>
        <w:rPr>
          <w:color w:val="1F487C"/>
        </w:rPr>
        <w:t>РЕАБИЛИТАЦИЯ</w:t>
      </w:r>
      <w:r>
        <w:rPr>
          <w:color w:val="1F487C"/>
          <w:spacing w:val="-5"/>
        </w:rPr>
        <w:t> </w:t>
      </w:r>
      <w:r>
        <w:rPr>
          <w:color w:val="1F487C"/>
        </w:rPr>
        <w:t>ПРИ</w:t>
      </w:r>
      <w:r>
        <w:rPr>
          <w:color w:val="1F487C"/>
          <w:spacing w:val="-5"/>
        </w:rPr>
        <w:t> </w:t>
      </w:r>
      <w:r>
        <w:rPr>
          <w:color w:val="1F487C"/>
        </w:rPr>
        <w:t>ОКАЗАНИИ СПЕЦИАЛИЗИРОВАННОЙ</w:t>
      </w:r>
      <w:r>
        <w:rPr>
          <w:color w:val="1F487C"/>
          <w:spacing w:val="-18"/>
        </w:rPr>
        <w:t> </w:t>
      </w:r>
      <w:r>
        <w:rPr>
          <w:color w:val="1F487C"/>
        </w:rPr>
        <w:t>МЕДИЦИНСКОЙ</w:t>
      </w:r>
      <w:r>
        <w:rPr>
          <w:color w:val="1F487C"/>
          <w:spacing w:val="-17"/>
        </w:rPr>
        <w:t> </w:t>
      </w:r>
      <w:bookmarkEnd w:id="127"/>
      <w:r>
        <w:rPr>
          <w:color w:val="1F487C"/>
        </w:rPr>
        <w:t>ПОМОЩИ ПАЦИЕНТАМ С COVID-19</w:t>
      </w:r>
    </w:p>
    <w:p>
      <w:pPr>
        <w:pStyle w:val="BodyText"/>
        <w:spacing w:line="276" w:lineRule="auto" w:before="116"/>
        <w:ind w:right="1275" w:firstLine="707"/>
      </w:pPr>
      <w:r>
        <w:rPr/>
        <w:t>Подробная</w:t>
      </w:r>
      <w:r>
        <w:rPr>
          <w:spacing w:val="-12"/>
        </w:rPr>
        <w:t> </w:t>
      </w:r>
      <w:r>
        <w:rPr/>
        <w:t>информация</w:t>
      </w:r>
      <w:r>
        <w:rPr>
          <w:spacing w:val="-15"/>
        </w:rPr>
        <w:t> </w:t>
      </w:r>
      <w:r>
        <w:rPr/>
        <w:t>о</w:t>
      </w:r>
      <w:r>
        <w:rPr>
          <w:spacing w:val="-12"/>
        </w:rPr>
        <w:t> </w:t>
      </w:r>
      <w:r>
        <w:rPr/>
        <w:t>медицинской</w:t>
      </w:r>
      <w:r>
        <w:rPr>
          <w:spacing w:val="-11"/>
        </w:rPr>
        <w:t> </w:t>
      </w:r>
      <w:r>
        <w:rPr/>
        <w:t>реабилитации</w:t>
      </w:r>
      <w:r>
        <w:rPr>
          <w:spacing w:val="-11"/>
        </w:rPr>
        <w:t> </w:t>
      </w:r>
      <w:r>
        <w:rPr/>
        <w:t>пациентов</w:t>
      </w:r>
      <w:r>
        <w:rPr>
          <w:spacing w:val="-15"/>
        </w:rPr>
        <w:t> </w:t>
      </w:r>
      <w:r>
        <w:rPr/>
        <w:t>представлена в</w:t>
      </w:r>
      <w:r>
        <w:rPr>
          <w:spacing w:val="-7"/>
        </w:rPr>
        <w:t> </w:t>
      </w:r>
      <w:r>
        <w:rPr/>
        <w:t>методических рекомендациях Минздрава России </w:t>
      </w:r>
      <w:r>
        <w:rPr>
          <w:color w:val="1F487C"/>
        </w:rPr>
        <w:t>«</w:t>
      </w:r>
      <w:r>
        <w:rPr>
          <w:color w:val="0462C1"/>
          <w:u w:val="single" w:color="0462C1"/>
        </w:rPr>
        <w:t>Медицинская реабилитация при</w:t>
      </w:r>
      <w:r>
        <w:rPr>
          <w:color w:val="0462C1"/>
        </w:rPr>
        <w:t> </w:t>
      </w:r>
      <w:r>
        <w:rPr>
          <w:color w:val="0462C1"/>
          <w:u w:val="single" w:color="0462C1"/>
        </w:rPr>
        <w:t>новой коронавирусной инфекции (COVID-19)</w:t>
      </w:r>
      <w:r>
        <w:rPr>
          <w:color w:val="1F487C"/>
        </w:rPr>
        <w:t>»</w:t>
      </w:r>
      <w:r>
        <w:rPr/>
        <w:t>.</w:t>
      </w:r>
    </w:p>
    <w:p>
      <w:pPr>
        <w:pStyle w:val="BodyText"/>
        <w:spacing w:line="276" w:lineRule="auto"/>
        <w:ind w:right="1272" w:firstLine="707"/>
      </w:pPr>
      <w:r>
        <w:rPr/>
        <w:t>Медицинскую реабилитацию пациентов с коронавирусной пневмонией рекомендуется</w:t>
      </w:r>
      <w:r>
        <w:rPr>
          <w:spacing w:val="-9"/>
        </w:rPr>
        <w:t> </w:t>
      </w:r>
      <w:r>
        <w:rPr/>
        <w:t>начинать</w:t>
      </w:r>
      <w:r>
        <w:rPr>
          <w:spacing w:val="-8"/>
        </w:rPr>
        <w:t> </w:t>
      </w:r>
      <w:r>
        <w:rPr/>
        <w:t>в</w:t>
      </w:r>
      <w:r>
        <w:rPr>
          <w:spacing w:val="-9"/>
        </w:rPr>
        <w:t> </w:t>
      </w:r>
      <w:r>
        <w:rPr/>
        <w:t>условиях</w:t>
      </w:r>
      <w:r>
        <w:rPr>
          <w:spacing w:val="-9"/>
        </w:rPr>
        <w:t> </w:t>
      </w:r>
      <w:r>
        <w:rPr/>
        <w:t>отделений</w:t>
      </w:r>
      <w:r>
        <w:rPr>
          <w:spacing w:val="-9"/>
        </w:rPr>
        <w:t> </w:t>
      </w:r>
      <w:r>
        <w:rPr/>
        <w:t>интенсивной</w:t>
      </w:r>
      <w:r>
        <w:rPr>
          <w:spacing w:val="-9"/>
        </w:rPr>
        <w:t> </w:t>
      </w:r>
      <w:r>
        <w:rPr/>
        <w:t>терапии</w:t>
      </w:r>
      <w:r>
        <w:rPr>
          <w:spacing w:val="-9"/>
        </w:rPr>
        <w:t> </w:t>
      </w:r>
      <w:r>
        <w:rPr/>
        <w:t>при</w:t>
      </w:r>
      <w:r>
        <w:rPr>
          <w:spacing w:val="-8"/>
        </w:rPr>
        <w:t> </w:t>
      </w:r>
      <w:r>
        <w:rPr/>
        <w:t>достижении стабилизации</w:t>
      </w:r>
      <w:r>
        <w:rPr>
          <w:spacing w:val="80"/>
        </w:rPr>
        <w:t> </w:t>
      </w:r>
      <w:r>
        <w:rPr/>
        <w:t>состояния</w:t>
      </w:r>
      <w:r>
        <w:rPr>
          <w:spacing w:val="80"/>
        </w:rPr>
        <w:t> </w:t>
      </w:r>
      <w:r>
        <w:rPr/>
        <w:t>пациента</w:t>
      </w:r>
      <w:r>
        <w:rPr>
          <w:spacing w:val="80"/>
        </w:rPr>
        <w:t> </w:t>
      </w:r>
      <w:r>
        <w:rPr/>
        <w:t>и</w:t>
      </w:r>
      <w:r>
        <w:rPr>
          <w:spacing w:val="80"/>
        </w:rPr>
        <w:t> </w:t>
      </w:r>
      <w:r>
        <w:rPr/>
        <w:t>продолжать</w:t>
      </w:r>
      <w:r>
        <w:rPr>
          <w:spacing w:val="80"/>
        </w:rPr>
        <w:t> </w:t>
      </w:r>
      <w:r>
        <w:rPr/>
        <w:t>её</w:t>
      </w:r>
      <w:r>
        <w:rPr>
          <w:spacing w:val="80"/>
        </w:rPr>
        <w:t> </w:t>
      </w:r>
      <w:r>
        <w:rPr/>
        <w:t>после</w:t>
      </w:r>
      <w:r>
        <w:rPr>
          <w:spacing w:val="80"/>
        </w:rPr>
        <w:t> </w:t>
      </w:r>
      <w:r>
        <w:rPr/>
        <w:t>завершения</w:t>
      </w:r>
      <w:r>
        <w:rPr>
          <w:spacing w:val="80"/>
        </w:rPr>
        <w:t> </w:t>
      </w:r>
      <w:r>
        <w:rPr/>
        <w:t>лечения в</w:t>
      </w:r>
      <w:r>
        <w:rPr>
          <w:spacing w:val="-4"/>
        </w:rPr>
        <w:t> </w:t>
      </w:r>
      <w:r>
        <w:rPr/>
        <w:t>стационаре в домашних условиях. Мероприятия по медицинской реабилитации рекомендуется организовывать в медицинских организациях 4-х уровней с учетом особенностей</w:t>
      </w:r>
      <w:r>
        <w:rPr>
          <w:spacing w:val="40"/>
        </w:rPr>
        <w:t>  </w:t>
      </w:r>
      <w:r>
        <w:rPr/>
        <w:t>оказания</w:t>
      </w:r>
      <w:r>
        <w:rPr>
          <w:spacing w:val="40"/>
        </w:rPr>
        <w:t>  </w:t>
      </w:r>
      <w:r>
        <w:rPr/>
        <w:t>помощи</w:t>
      </w:r>
      <w:r>
        <w:rPr>
          <w:spacing w:val="40"/>
        </w:rPr>
        <w:t>  </w:t>
      </w:r>
      <w:r>
        <w:rPr/>
        <w:t>пациентам</w:t>
      </w:r>
      <w:r>
        <w:rPr>
          <w:spacing w:val="40"/>
        </w:rPr>
        <w:t>  </w:t>
      </w:r>
      <w:r>
        <w:rPr/>
        <w:t>с</w:t>
      </w:r>
      <w:r>
        <w:rPr>
          <w:spacing w:val="40"/>
        </w:rPr>
        <w:t>  </w:t>
      </w:r>
      <w:r>
        <w:rPr/>
        <w:t>коронавирусной</w:t>
      </w:r>
      <w:r>
        <w:rPr>
          <w:spacing w:val="40"/>
        </w:rPr>
        <w:t>  </w:t>
      </w:r>
      <w:r>
        <w:rPr/>
        <w:t>пневмонией</w:t>
      </w:r>
      <w:r>
        <w:rPr>
          <w:spacing w:val="80"/>
        </w:rPr>
        <w:t> </w:t>
      </w:r>
      <w:r>
        <w:rPr/>
        <w:t>на 3-х этапах.</w:t>
      </w:r>
    </w:p>
    <w:p>
      <w:pPr>
        <w:pStyle w:val="BodyText"/>
        <w:spacing w:line="276" w:lineRule="auto"/>
        <w:ind w:right="1271" w:firstLine="707"/>
      </w:pPr>
      <w:r>
        <w:rPr/>
        <w:t>Мероприятия</w:t>
      </w:r>
      <w:r>
        <w:rPr>
          <w:spacing w:val="24"/>
        </w:rPr>
        <w:t> </w:t>
      </w:r>
      <w:r>
        <w:rPr/>
        <w:t>по</w:t>
      </w:r>
      <w:r>
        <w:rPr>
          <w:spacing w:val="25"/>
        </w:rPr>
        <w:t> </w:t>
      </w:r>
      <w:r>
        <w:rPr/>
        <w:t>медицинской</w:t>
      </w:r>
      <w:r>
        <w:rPr>
          <w:spacing w:val="27"/>
        </w:rPr>
        <w:t> </w:t>
      </w:r>
      <w:r>
        <w:rPr/>
        <w:t>реабилитации</w:t>
      </w:r>
      <w:r>
        <w:rPr>
          <w:spacing w:val="25"/>
        </w:rPr>
        <w:t> </w:t>
      </w:r>
      <w:r>
        <w:rPr/>
        <w:t>на</w:t>
      </w:r>
      <w:r>
        <w:rPr>
          <w:spacing w:val="25"/>
        </w:rPr>
        <w:t> </w:t>
      </w:r>
      <w:r>
        <w:rPr/>
        <w:t>1-м</w:t>
      </w:r>
      <w:r>
        <w:rPr>
          <w:spacing w:val="25"/>
        </w:rPr>
        <w:t> </w:t>
      </w:r>
      <w:r>
        <w:rPr/>
        <w:t>этапе</w:t>
      </w:r>
      <w:r>
        <w:rPr>
          <w:spacing w:val="25"/>
        </w:rPr>
        <w:t> </w:t>
      </w:r>
      <w:r>
        <w:rPr/>
        <w:t>должны включать в</w:t>
      </w:r>
      <w:r>
        <w:rPr>
          <w:spacing w:val="-4"/>
        </w:rPr>
        <w:t> </w:t>
      </w:r>
      <w:r>
        <w:rPr/>
        <w:t>себя оказание медицинской помощи по медицинской реабилитации в отделениях интенсивной</w:t>
      </w:r>
      <w:r>
        <w:rPr>
          <w:spacing w:val="-13"/>
        </w:rPr>
        <w:t> </w:t>
      </w:r>
      <w:r>
        <w:rPr/>
        <w:t>терапии</w:t>
      </w:r>
      <w:r>
        <w:rPr>
          <w:spacing w:val="-13"/>
        </w:rPr>
        <w:t> </w:t>
      </w:r>
      <w:r>
        <w:rPr/>
        <w:t>и</w:t>
      </w:r>
      <w:r>
        <w:rPr>
          <w:spacing w:val="-15"/>
        </w:rPr>
        <w:t> </w:t>
      </w:r>
      <w:r>
        <w:rPr/>
        <w:t>инфекционных/терапевтических</w:t>
      </w:r>
      <w:r>
        <w:rPr>
          <w:spacing w:val="-14"/>
        </w:rPr>
        <w:t> </w:t>
      </w:r>
      <w:r>
        <w:rPr/>
        <w:t>отделениях,</w:t>
      </w:r>
      <w:r>
        <w:rPr>
          <w:spacing w:val="-10"/>
        </w:rPr>
        <w:t> </w:t>
      </w:r>
      <w:r>
        <w:rPr/>
        <w:t>организованных для пациентов с новой коронавирусной инфекций COVID-19, в медицинских организациях силами специалистов мультидисциплинарной реабилитационной команды, прошедших специальное обучение по отлучению от ИВЛ, респираторной </w:t>
      </w:r>
      <w:r>
        <w:rPr>
          <w:spacing w:val="-2"/>
        </w:rPr>
        <w:t>реабилитации, нутритивной поддержке, восстановлению толерантности к физическим </w:t>
      </w:r>
      <w:r>
        <w:rPr/>
        <w:t>нагрузкам, поддержанию и ведению пациентов с последствиями ПИТ-синдрома, формированию мотивации на продолжение реабилитационных мероприятий, соблюдению противоэпидемического режима и здорового образа жизни.</w:t>
      </w:r>
    </w:p>
    <w:p>
      <w:pPr>
        <w:pStyle w:val="ListParagraph"/>
        <w:numPr>
          <w:ilvl w:val="0"/>
          <w:numId w:val="49"/>
        </w:numPr>
        <w:tabs>
          <w:tab w:pos="2746" w:val="left" w:leader="none"/>
        </w:tabs>
        <w:spacing w:line="276" w:lineRule="auto" w:before="0" w:after="0"/>
        <w:ind w:left="1841" w:right="1272" w:firstLine="707"/>
        <w:jc w:val="both"/>
        <w:rPr>
          <w:sz w:val="24"/>
        </w:rPr>
      </w:pPr>
      <w:r>
        <w:rPr>
          <w:sz w:val="24"/>
        </w:rPr>
        <w:t>й</w:t>
      </w:r>
      <w:r>
        <w:rPr>
          <w:spacing w:val="69"/>
          <w:sz w:val="24"/>
        </w:rPr>
        <w:t>  </w:t>
      </w:r>
      <w:r>
        <w:rPr>
          <w:sz w:val="24"/>
        </w:rPr>
        <w:t>этап</w:t>
      </w:r>
      <w:r>
        <w:rPr>
          <w:spacing w:val="69"/>
          <w:sz w:val="24"/>
        </w:rPr>
        <w:t>  </w:t>
      </w:r>
      <w:r>
        <w:rPr>
          <w:sz w:val="24"/>
        </w:rPr>
        <w:t>медицинской</w:t>
      </w:r>
      <w:r>
        <w:rPr>
          <w:spacing w:val="69"/>
          <w:sz w:val="24"/>
        </w:rPr>
        <w:t>  </w:t>
      </w:r>
      <w:r>
        <w:rPr>
          <w:sz w:val="24"/>
        </w:rPr>
        <w:t>реабилитации</w:t>
      </w:r>
      <w:r>
        <w:rPr>
          <w:spacing w:val="68"/>
          <w:sz w:val="24"/>
        </w:rPr>
        <w:t>  </w:t>
      </w:r>
      <w:r>
        <w:rPr>
          <w:sz w:val="24"/>
        </w:rPr>
        <w:t>рекомендовано</w:t>
      </w:r>
      <w:r>
        <w:rPr>
          <w:spacing w:val="68"/>
          <w:sz w:val="24"/>
        </w:rPr>
        <w:t>  </w:t>
      </w:r>
      <w:r>
        <w:rPr>
          <w:sz w:val="24"/>
        </w:rPr>
        <w:t>организовывать в</w:t>
      </w:r>
      <w:r>
        <w:rPr>
          <w:spacing w:val="-3"/>
          <w:sz w:val="24"/>
        </w:rPr>
        <w:t> </w:t>
      </w:r>
      <w:r>
        <w:rPr>
          <w:sz w:val="24"/>
        </w:rPr>
        <w:t>отделениях медицинской реабилитации для пациентов с соматическими заболеваниями и состояниями.</w:t>
      </w:r>
    </w:p>
    <w:p>
      <w:pPr>
        <w:pStyle w:val="ListParagraph"/>
        <w:spacing w:after="0" w:line="276" w:lineRule="auto"/>
        <w:jc w:val="both"/>
        <w:rPr>
          <w:sz w:val="24"/>
        </w:rPr>
        <w:sectPr>
          <w:pgSz w:w="11900" w:h="16840"/>
          <w:pgMar w:header="0" w:footer="697" w:top="1080" w:bottom="880" w:left="0" w:right="0"/>
        </w:sectPr>
      </w:pPr>
    </w:p>
    <w:p>
      <w:pPr>
        <w:pStyle w:val="ListParagraph"/>
        <w:numPr>
          <w:ilvl w:val="0"/>
          <w:numId w:val="49"/>
        </w:numPr>
        <w:tabs>
          <w:tab w:pos="2746" w:val="left" w:leader="none"/>
          <w:tab w:pos="3150" w:val="left" w:leader="none"/>
          <w:tab w:pos="3296" w:val="left" w:leader="none"/>
          <w:tab w:pos="3385" w:val="left" w:leader="none"/>
          <w:tab w:pos="3868" w:val="left" w:leader="none"/>
          <w:tab w:pos="4949" w:val="left" w:leader="none"/>
          <w:tab w:pos="5506" w:val="left" w:leader="none"/>
          <w:tab w:pos="6586" w:val="left" w:leader="none"/>
          <w:tab w:pos="6660" w:val="left" w:leader="none"/>
          <w:tab w:pos="7207" w:val="left" w:leader="none"/>
          <w:tab w:pos="7300" w:val="left" w:leader="none"/>
          <w:tab w:pos="7724" w:val="left" w:leader="none"/>
          <w:tab w:pos="8651" w:val="left" w:leader="none"/>
          <w:tab w:pos="8995" w:val="left" w:leader="none"/>
          <w:tab w:pos="9048" w:val="left" w:leader="none"/>
          <w:tab w:pos="9140" w:val="left" w:leader="none"/>
        </w:tabs>
        <w:spacing w:line="276" w:lineRule="auto" w:before="73" w:after="0"/>
        <w:ind w:left="1841" w:right="1272" w:firstLine="707"/>
        <w:jc w:val="right"/>
        <w:rPr>
          <w:sz w:val="24"/>
        </w:rPr>
      </w:pPr>
      <w:bookmarkStart w:name="109" w:id="128"/>
      <w:bookmarkEnd w:id="128"/>
      <w:r>
        <w:rPr/>
      </w:r>
      <w:r>
        <w:rPr>
          <w:spacing w:val="-10"/>
          <w:sz w:val="24"/>
        </w:rPr>
        <w:t>й</w:t>
      </w:r>
      <w:r>
        <w:rPr>
          <w:sz w:val="24"/>
        </w:rPr>
        <w:tab/>
      </w:r>
      <w:r>
        <w:rPr>
          <w:spacing w:val="-4"/>
          <w:sz w:val="24"/>
        </w:rPr>
        <w:t>этап</w:t>
      </w:r>
      <w:r>
        <w:rPr>
          <w:sz w:val="24"/>
        </w:rPr>
        <w:tab/>
      </w:r>
      <w:r>
        <w:rPr>
          <w:spacing w:val="-2"/>
          <w:sz w:val="24"/>
        </w:rPr>
        <w:t>медицинской</w:t>
      </w:r>
      <w:r>
        <w:rPr>
          <w:sz w:val="24"/>
        </w:rPr>
        <w:tab/>
      </w:r>
      <w:r>
        <w:rPr>
          <w:spacing w:val="-2"/>
          <w:sz w:val="24"/>
        </w:rPr>
        <w:t>реабилитации</w:t>
      </w:r>
      <w:r>
        <w:rPr>
          <w:sz w:val="24"/>
        </w:rPr>
        <w:tab/>
      </w:r>
      <w:r>
        <w:rPr>
          <w:spacing w:val="-2"/>
          <w:sz w:val="24"/>
        </w:rPr>
        <w:t>рекомендуется</w:t>
      </w:r>
      <w:r>
        <w:rPr>
          <w:sz w:val="24"/>
        </w:rPr>
        <w:tab/>
      </w:r>
      <w:r>
        <w:rPr>
          <w:spacing w:val="-2"/>
          <w:sz w:val="24"/>
        </w:rPr>
        <w:t>организовывать </w:t>
      </w:r>
      <w:r>
        <w:rPr>
          <w:sz w:val="24"/>
        </w:rPr>
        <w:t>в отделениях</w:t>
        <w:tab/>
        <w:tab/>
      </w:r>
      <w:r>
        <w:rPr>
          <w:spacing w:val="-2"/>
          <w:sz w:val="24"/>
        </w:rPr>
        <w:t>медицинской</w:t>
      </w:r>
      <w:r>
        <w:rPr>
          <w:sz w:val="24"/>
        </w:rPr>
        <w:tab/>
      </w:r>
      <w:r>
        <w:rPr>
          <w:spacing w:val="-56"/>
          <w:sz w:val="24"/>
        </w:rPr>
        <w:t> </w:t>
      </w:r>
      <w:r>
        <w:rPr>
          <w:spacing w:val="-2"/>
          <w:sz w:val="24"/>
        </w:rPr>
        <w:t>реабилитации</w:t>
      </w:r>
      <w:r>
        <w:rPr>
          <w:sz w:val="24"/>
        </w:rPr>
        <w:tab/>
      </w:r>
      <w:r>
        <w:rPr>
          <w:spacing w:val="-2"/>
          <w:sz w:val="24"/>
        </w:rPr>
        <w:t>дневного</w:t>
      </w:r>
      <w:r>
        <w:rPr>
          <w:sz w:val="24"/>
        </w:rPr>
        <w:tab/>
      </w:r>
      <w:r>
        <w:rPr>
          <w:spacing w:val="-2"/>
          <w:sz w:val="24"/>
        </w:rPr>
        <w:t>стационара,</w:t>
      </w:r>
      <w:r>
        <w:rPr>
          <w:sz w:val="24"/>
        </w:rPr>
        <w:tab/>
        <w:tab/>
        <w:tab/>
      </w:r>
      <w:r>
        <w:rPr>
          <w:spacing w:val="-2"/>
          <w:sz w:val="24"/>
        </w:rPr>
        <w:t>амбулаторных отделениях</w:t>
      </w:r>
      <w:r>
        <w:rPr>
          <w:sz w:val="24"/>
        </w:rPr>
        <w:tab/>
        <w:tab/>
      </w:r>
      <w:r>
        <w:rPr>
          <w:spacing w:val="-2"/>
          <w:sz w:val="24"/>
        </w:rPr>
        <w:t>медицинской</w:t>
      </w:r>
      <w:r>
        <w:rPr>
          <w:sz w:val="24"/>
        </w:rPr>
        <w:tab/>
      </w:r>
      <w:r>
        <w:rPr>
          <w:spacing w:val="-2"/>
          <w:sz w:val="24"/>
        </w:rPr>
        <w:t>реабилитации</w:t>
      </w:r>
      <w:r>
        <w:rPr>
          <w:sz w:val="24"/>
        </w:rPr>
        <w:tab/>
        <w:tab/>
      </w:r>
      <w:r>
        <w:rPr>
          <w:spacing w:val="-4"/>
          <w:sz w:val="24"/>
        </w:rPr>
        <w:t>для</w:t>
      </w:r>
      <w:r>
        <w:rPr>
          <w:sz w:val="24"/>
        </w:rPr>
        <w:tab/>
        <w:tab/>
      </w:r>
      <w:r>
        <w:rPr>
          <w:spacing w:val="-2"/>
          <w:sz w:val="24"/>
        </w:rPr>
        <w:t>пациентов</w:t>
      </w:r>
      <w:r>
        <w:rPr>
          <w:sz w:val="24"/>
        </w:rPr>
        <w:tab/>
      </w:r>
      <w:r>
        <w:rPr>
          <w:spacing w:val="-10"/>
          <w:sz w:val="24"/>
        </w:rPr>
        <w:t>с</w:t>
      </w:r>
      <w:r>
        <w:rPr>
          <w:sz w:val="24"/>
        </w:rPr>
        <w:tab/>
        <w:tab/>
      </w:r>
      <w:r>
        <w:rPr>
          <w:spacing w:val="-2"/>
          <w:sz w:val="24"/>
        </w:rPr>
        <w:t>соматическими </w:t>
      </w:r>
      <w:r>
        <w:rPr>
          <w:sz w:val="24"/>
        </w:rPr>
        <w:t>заболеваниями и состояниями медицинских организаций в соответствии с Порядком организации</w:t>
      </w:r>
      <w:r>
        <w:rPr>
          <w:spacing w:val="80"/>
          <w:sz w:val="24"/>
        </w:rPr>
        <w:t> </w:t>
      </w:r>
      <w:r>
        <w:rPr>
          <w:sz w:val="24"/>
        </w:rPr>
        <w:t>медицинской</w:t>
      </w:r>
      <w:r>
        <w:rPr>
          <w:spacing w:val="80"/>
          <w:sz w:val="24"/>
        </w:rPr>
        <w:t> </w:t>
      </w:r>
      <w:r>
        <w:rPr>
          <w:sz w:val="24"/>
        </w:rPr>
        <w:t>реабилитации,</w:t>
      </w:r>
      <w:r>
        <w:rPr>
          <w:spacing w:val="80"/>
          <w:sz w:val="24"/>
        </w:rPr>
        <w:t> </w:t>
      </w:r>
      <w:r>
        <w:rPr>
          <w:sz w:val="24"/>
        </w:rPr>
        <w:t>а</w:t>
      </w:r>
      <w:r>
        <w:rPr>
          <w:spacing w:val="80"/>
          <w:sz w:val="24"/>
        </w:rPr>
        <w:t> </w:t>
      </w:r>
      <w:r>
        <w:rPr>
          <w:sz w:val="24"/>
        </w:rPr>
        <w:t>также</w:t>
      </w:r>
      <w:r>
        <w:rPr>
          <w:spacing w:val="80"/>
          <w:sz w:val="24"/>
        </w:rPr>
        <w:t> </w:t>
      </w:r>
      <w:r>
        <w:rPr>
          <w:sz w:val="24"/>
        </w:rPr>
        <w:t>на</w:t>
      </w:r>
      <w:r>
        <w:rPr>
          <w:spacing w:val="80"/>
          <w:sz w:val="24"/>
        </w:rPr>
        <w:t> </w:t>
      </w:r>
      <w:r>
        <w:rPr>
          <w:sz w:val="24"/>
        </w:rPr>
        <w:t>дому</w:t>
      </w:r>
      <w:r>
        <w:rPr>
          <w:spacing w:val="80"/>
          <w:sz w:val="24"/>
        </w:rPr>
        <w:t> </w:t>
      </w:r>
      <w:r>
        <w:rPr>
          <w:sz w:val="24"/>
        </w:rPr>
        <w:t>с</w:t>
      </w:r>
      <w:r>
        <w:rPr>
          <w:spacing w:val="80"/>
          <w:sz w:val="24"/>
        </w:rPr>
        <w:t> </w:t>
      </w:r>
      <w:r>
        <w:rPr>
          <w:sz w:val="24"/>
        </w:rPr>
        <w:t>использованием</w:t>
      </w:r>
      <w:r>
        <w:rPr>
          <w:spacing w:val="80"/>
          <w:sz w:val="24"/>
        </w:rPr>
        <w:t> </w:t>
      </w:r>
      <w:r>
        <w:rPr>
          <w:sz w:val="24"/>
        </w:rPr>
        <w:t>телемедицинских</w:t>
      </w:r>
      <w:r>
        <w:rPr>
          <w:spacing w:val="40"/>
          <w:sz w:val="24"/>
        </w:rPr>
        <w:t> </w:t>
      </w:r>
      <w:r>
        <w:rPr>
          <w:sz w:val="24"/>
        </w:rPr>
        <w:t>технологий</w:t>
      </w:r>
      <w:r>
        <w:rPr>
          <w:spacing w:val="40"/>
          <w:sz w:val="24"/>
        </w:rPr>
        <w:t> </w:t>
      </w:r>
      <w:r>
        <w:rPr>
          <w:sz w:val="24"/>
        </w:rPr>
        <w:t>по</w:t>
      </w:r>
      <w:r>
        <w:rPr>
          <w:spacing w:val="40"/>
          <w:sz w:val="24"/>
        </w:rPr>
        <w:t> </w:t>
      </w:r>
      <w:r>
        <w:rPr>
          <w:sz w:val="24"/>
        </w:rPr>
        <w:t>направлению</w:t>
      </w:r>
      <w:r>
        <w:rPr>
          <w:spacing w:val="40"/>
          <w:sz w:val="24"/>
        </w:rPr>
        <w:t> </w:t>
      </w:r>
      <w:r>
        <w:rPr>
          <w:sz w:val="24"/>
        </w:rPr>
        <w:t>врачебной</w:t>
      </w:r>
      <w:r>
        <w:rPr>
          <w:spacing w:val="40"/>
          <w:sz w:val="24"/>
        </w:rPr>
        <w:t> </w:t>
      </w:r>
      <w:r>
        <w:rPr>
          <w:sz w:val="24"/>
        </w:rPr>
        <w:t>комиссии</w:t>
      </w:r>
      <w:r>
        <w:rPr>
          <w:spacing w:val="40"/>
          <w:sz w:val="24"/>
        </w:rPr>
        <w:t> </w:t>
      </w:r>
      <w:r>
        <w:rPr>
          <w:sz w:val="24"/>
        </w:rPr>
        <w:t>медицинской организации,</w:t>
      </w:r>
      <w:r>
        <w:rPr>
          <w:spacing w:val="31"/>
          <w:sz w:val="24"/>
        </w:rPr>
        <w:t> </w:t>
      </w:r>
      <w:r>
        <w:rPr>
          <w:sz w:val="24"/>
        </w:rPr>
        <w:t>оказывавшей</w:t>
      </w:r>
      <w:r>
        <w:rPr>
          <w:spacing w:val="32"/>
          <w:sz w:val="24"/>
        </w:rPr>
        <w:t> </w:t>
      </w:r>
      <w:r>
        <w:rPr>
          <w:sz w:val="24"/>
        </w:rPr>
        <w:t>помощь</w:t>
      </w:r>
      <w:r>
        <w:rPr>
          <w:spacing w:val="30"/>
          <w:sz w:val="24"/>
        </w:rPr>
        <w:t> </w:t>
      </w:r>
      <w:r>
        <w:rPr>
          <w:sz w:val="24"/>
        </w:rPr>
        <w:t>пациенту</w:t>
      </w:r>
      <w:r>
        <w:rPr>
          <w:spacing w:val="30"/>
          <w:sz w:val="24"/>
        </w:rPr>
        <w:t> </w:t>
      </w:r>
      <w:r>
        <w:rPr>
          <w:sz w:val="24"/>
        </w:rPr>
        <w:t>на</w:t>
      </w:r>
      <w:r>
        <w:rPr>
          <w:spacing w:val="30"/>
          <w:sz w:val="24"/>
        </w:rPr>
        <w:t> </w:t>
      </w:r>
      <w:r>
        <w:rPr>
          <w:sz w:val="24"/>
        </w:rPr>
        <w:t>1-м</w:t>
      </w:r>
      <w:r>
        <w:rPr>
          <w:spacing w:val="30"/>
          <w:sz w:val="24"/>
        </w:rPr>
        <w:t> </w:t>
      </w:r>
      <w:r>
        <w:rPr>
          <w:sz w:val="24"/>
        </w:rPr>
        <w:t>или</w:t>
      </w:r>
      <w:r>
        <w:rPr>
          <w:spacing w:val="33"/>
          <w:sz w:val="24"/>
        </w:rPr>
        <w:t> </w:t>
      </w:r>
      <w:r>
        <w:rPr>
          <w:sz w:val="24"/>
        </w:rPr>
        <w:t>2-м</w:t>
      </w:r>
      <w:r>
        <w:rPr>
          <w:spacing w:val="30"/>
          <w:sz w:val="24"/>
        </w:rPr>
        <w:t> </w:t>
      </w:r>
      <w:r>
        <w:rPr>
          <w:sz w:val="24"/>
        </w:rPr>
        <w:t>этапе,</w:t>
      </w:r>
      <w:r>
        <w:rPr>
          <w:spacing w:val="29"/>
          <w:sz w:val="24"/>
        </w:rPr>
        <w:t> </w:t>
      </w:r>
      <w:r>
        <w:rPr>
          <w:sz w:val="24"/>
        </w:rPr>
        <w:t>или</w:t>
      </w:r>
      <w:r>
        <w:rPr>
          <w:spacing w:val="31"/>
          <w:sz w:val="24"/>
        </w:rPr>
        <w:t> </w:t>
      </w:r>
      <w:r>
        <w:rPr>
          <w:sz w:val="24"/>
        </w:rPr>
        <w:t>врачебной комиссии поликлиники, осуществляющей мероприятия по вторичной</w:t>
      </w:r>
      <w:r>
        <w:rPr>
          <w:spacing w:val="-1"/>
          <w:sz w:val="24"/>
        </w:rPr>
        <w:t> </w:t>
      </w:r>
      <w:r>
        <w:rPr>
          <w:sz w:val="24"/>
        </w:rPr>
        <w:t>профилактике.</w:t>
      </w:r>
    </w:p>
    <w:p>
      <w:pPr>
        <w:pStyle w:val="BodyText"/>
        <w:spacing w:line="276" w:lineRule="auto"/>
        <w:ind w:right="1275" w:firstLine="707"/>
      </w:pPr>
      <w:r>
        <w:rPr/>
        <w:t>Повторный курс реабилитации следует проводить для пациентов, которые прошли курс реабилитации более 1 года назад.</w:t>
      </w:r>
    </w:p>
    <w:p>
      <w:pPr>
        <w:pStyle w:val="Heading1"/>
        <w:numPr>
          <w:ilvl w:val="1"/>
          <w:numId w:val="50"/>
        </w:numPr>
        <w:tabs>
          <w:tab w:pos="3177" w:val="left" w:leader="none"/>
        </w:tabs>
        <w:spacing w:line="259" w:lineRule="auto" w:before="237" w:after="0"/>
        <w:ind w:left="2549" w:right="1973" w:firstLine="0"/>
        <w:jc w:val="left"/>
      </w:pPr>
      <w:r>
        <w:rPr>
          <w:color w:val="1F487C"/>
        </w:rPr>
        <w:t>ПОРЯДОК</w:t>
      </w:r>
      <w:r>
        <w:rPr>
          <w:color w:val="1F487C"/>
          <w:spacing w:val="-15"/>
        </w:rPr>
        <w:t> </w:t>
      </w:r>
      <w:r>
        <w:rPr>
          <w:color w:val="1F487C"/>
        </w:rPr>
        <w:t>ВЫПИСКИ</w:t>
      </w:r>
      <w:r>
        <w:rPr>
          <w:color w:val="1F487C"/>
          <w:spacing w:val="-14"/>
        </w:rPr>
        <w:t> </w:t>
      </w:r>
      <w:r>
        <w:rPr>
          <w:color w:val="1F487C"/>
        </w:rPr>
        <w:t>(ПЕРЕВОДА)</w:t>
      </w:r>
      <w:r>
        <w:rPr>
          <w:color w:val="1F487C"/>
          <w:spacing w:val="-15"/>
        </w:rPr>
        <w:t> </w:t>
      </w:r>
      <w:r>
        <w:rPr>
          <w:color w:val="1F487C"/>
        </w:rPr>
        <w:t>ПАЦИЕНТОВ ИЗ МЕДИЦИНСКОЙ ОРГАНИЗАЦИИ</w:t>
      </w:r>
    </w:p>
    <w:p>
      <w:pPr>
        <w:pStyle w:val="BodyText"/>
        <w:spacing w:line="276" w:lineRule="auto" w:before="119"/>
        <w:ind w:right="1272" w:firstLine="707"/>
      </w:pPr>
      <w:r>
        <w:rPr/>
        <w:t>Пациенты с установленным диагнозом новой коронавирусной инфекции COVID-19</w:t>
      </w:r>
      <w:r>
        <w:rPr>
          <w:spacing w:val="-7"/>
        </w:rPr>
        <w:t> </w:t>
      </w:r>
      <w:r>
        <w:rPr/>
        <w:t>в</w:t>
      </w:r>
      <w:r>
        <w:rPr>
          <w:spacing w:val="-7"/>
        </w:rPr>
        <w:t> </w:t>
      </w:r>
      <w:r>
        <w:rPr/>
        <w:t>возрасте</w:t>
      </w:r>
      <w:r>
        <w:rPr>
          <w:spacing w:val="-7"/>
        </w:rPr>
        <w:t> </w:t>
      </w:r>
      <w:r>
        <w:rPr/>
        <w:t>18</w:t>
      </w:r>
      <w:r>
        <w:rPr>
          <w:spacing w:val="-7"/>
        </w:rPr>
        <w:t> </w:t>
      </w:r>
      <w:r>
        <w:rPr/>
        <w:t>лет</w:t>
      </w:r>
      <w:r>
        <w:rPr>
          <w:spacing w:val="-6"/>
        </w:rPr>
        <w:t> </w:t>
      </w:r>
      <w:r>
        <w:rPr/>
        <w:t>и</w:t>
      </w:r>
      <w:r>
        <w:rPr>
          <w:spacing w:val="-6"/>
        </w:rPr>
        <w:t> </w:t>
      </w:r>
      <w:r>
        <w:rPr/>
        <w:t>старше</w:t>
      </w:r>
      <w:r>
        <w:rPr>
          <w:spacing w:val="-8"/>
        </w:rPr>
        <w:t> </w:t>
      </w:r>
      <w:r>
        <w:rPr/>
        <w:t>(далее</w:t>
      </w:r>
      <w:r>
        <w:rPr>
          <w:spacing w:val="-4"/>
        </w:rPr>
        <w:t> </w:t>
      </w:r>
      <w:r>
        <w:rPr/>
        <w:t>-</w:t>
      </w:r>
      <w:r>
        <w:rPr>
          <w:spacing w:val="-5"/>
        </w:rPr>
        <w:t> </w:t>
      </w:r>
      <w:r>
        <w:rPr/>
        <w:t>пациенты),</w:t>
      </w:r>
      <w:r>
        <w:rPr>
          <w:spacing w:val="-7"/>
        </w:rPr>
        <w:t> </w:t>
      </w:r>
      <w:r>
        <w:rPr/>
        <w:t>поступившие</w:t>
      </w:r>
      <w:r>
        <w:rPr>
          <w:spacing w:val="-8"/>
        </w:rPr>
        <w:t> </w:t>
      </w:r>
      <w:r>
        <w:rPr/>
        <w:t>в</w:t>
      </w:r>
      <w:r>
        <w:rPr>
          <w:spacing w:val="-7"/>
        </w:rPr>
        <w:t> </w:t>
      </w:r>
      <w:r>
        <w:rPr/>
        <w:t>структурное подразделение медицинской организации для лечения COVID-19 I типа, созданного для</w:t>
      </w:r>
      <w:r>
        <w:rPr>
          <w:spacing w:val="-9"/>
        </w:rPr>
        <w:t> </w:t>
      </w:r>
      <w:r>
        <w:rPr/>
        <w:t>госпитализации</w:t>
      </w:r>
      <w:r>
        <w:rPr>
          <w:spacing w:val="-8"/>
        </w:rPr>
        <w:t> </w:t>
      </w:r>
      <w:r>
        <w:rPr/>
        <w:t>пациентов,</w:t>
      </w:r>
      <w:r>
        <w:rPr>
          <w:spacing w:val="-9"/>
        </w:rPr>
        <w:t> </w:t>
      </w:r>
      <w:r>
        <w:rPr/>
        <w:t>находящихся</w:t>
      </w:r>
      <w:r>
        <w:rPr>
          <w:spacing w:val="-9"/>
        </w:rPr>
        <w:t> </w:t>
      </w:r>
      <w:r>
        <w:rPr/>
        <w:t>в</w:t>
      </w:r>
      <w:r>
        <w:rPr>
          <w:spacing w:val="-7"/>
        </w:rPr>
        <w:t> </w:t>
      </w:r>
      <w:r>
        <w:rPr/>
        <w:t>тяжелом</w:t>
      </w:r>
      <w:r>
        <w:rPr>
          <w:spacing w:val="-10"/>
        </w:rPr>
        <w:t> </w:t>
      </w:r>
      <w:r>
        <w:rPr/>
        <w:t>и</w:t>
      </w:r>
      <w:r>
        <w:rPr>
          <w:spacing w:val="-8"/>
        </w:rPr>
        <w:t> </w:t>
      </w:r>
      <w:r>
        <w:rPr/>
        <w:t>крайне</w:t>
      </w:r>
      <w:r>
        <w:rPr>
          <w:spacing w:val="-10"/>
        </w:rPr>
        <w:t> </w:t>
      </w:r>
      <w:r>
        <w:rPr/>
        <w:t>тяжелом</w:t>
      </w:r>
      <w:r>
        <w:rPr>
          <w:spacing w:val="-10"/>
        </w:rPr>
        <w:t> </w:t>
      </w:r>
      <w:r>
        <w:rPr/>
        <w:t>состоянии, а</w:t>
      </w:r>
      <w:r>
        <w:rPr>
          <w:spacing w:val="-4"/>
        </w:rPr>
        <w:t> </w:t>
      </w:r>
      <w:r>
        <w:rPr/>
        <w:t>также пациентов, относящихся к группе риска (возраст старше 65 лет, наличие сопутствующих заболеваний и состояний: артериальной гипертензии, хронической сердечной</w:t>
      </w:r>
      <w:r>
        <w:rPr>
          <w:spacing w:val="80"/>
        </w:rPr>
        <w:t> </w:t>
      </w:r>
      <w:r>
        <w:rPr/>
        <w:t>недостаточности,</w:t>
      </w:r>
      <w:r>
        <w:rPr>
          <w:spacing w:val="80"/>
        </w:rPr>
        <w:t> </w:t>
      </w:r>
      <w:r>
        <w:rPr/>
        <w:t>онкологических</w:t>
      </w:r>
      <w:r>
        <w:rPr>
          <w:spacing w:val="80"/>
        </w:rPr>
        <w:t> </w:t>
      </w:r>
      <w:r>
        <w:rPr/>
        <w:t>заболеваний,</w:t>
      </w:r>
      <w:r>
        <w:rPr>
          <w:spacing w:val="80"/>
        </w:rPr>
        <w:t> </w:t>
      </w:r>
      <w:r>
        <w:rPr/>
        <w:t>гиперкоагуляции, ДВС-синдрома, острого коронарного синдрома, сахарного диабета, цирроза печени, длительный прием стероидов и биологической терапии по поводу воспалительных заболеваний кишечника, ревматоидного артрита, пациенты, получающие сеансы гемодиализа</w:t>
      </w:r>
      <w:r>
        <w:rPr>
          <w:spacing w:val="38"/>
        </w:rPr>
        <w:t> </w:t>
      </w:r>
      <w:r>
        <w:rPr/>
        <w:t>или</w:t>
      </w:r>
      <w:r>
        <w:rPr>
          <w:spacing w:val="38"/>
        </w:rPr>
        <w:t> </w:t>
      </w:r>
      <w:r>
        <w:rPr/>
        <w:t>перитонеальный</w:t>
      </w:r>
      <w:r>
        <w:rPr>
          <w:spacing w:val="40"/>
        </w:rPr>
        <w:t> </w:t>
      </w:r>
      <w:r>
        <w:rPr/>
        <w:t>диализ,</w:t>
      </w:r>
      <w:r>
        <w:rPr>
          <w:spacing w:val="36"/>
        </w:rPr>
        <w:t> </w:t>
      </w:r>
      <w:r>
        <w:rPr/>
        <w:t>наличие</w:t>
      </w:r>
      <w:r>
        <w:rPr>
          <w:spacing w:val="38"/>
        </w:rPr>
        <w:t> </w:t>
      </w:r>
      <w:r>
        <w:rPr/>
        <w:t>иммунодефицитных</w:t>
      </w:r>
      <w:r>
        <w:rPr>
          <w:spacing w:val="38"/>
        </w:rPr>
        <w:t> </w:t>
      </w:r>
      <w:r>
        <w:rPr/>
        <w:t>состояний, в</w:t>
      </w:r>
      <w:r>
        <w:rPr>
          <w:spacing w:val="-3"/>
        </w:rPr>
        <w:t> </w:t>
      </w:r>
      <w:r>
        <w:rPr/>
        <w:t>том</w:t>
      </w:r>
      <w:r>
        <w:rPr>
          <w:spacing w:val="80"/>
          <w:w w:val="150"/>
        </w:rPr>
        <w:t> </w:t>
      </w:r>
      <w:r>
        <w:rPr/>
        <w:t>числе</w:t>
      </w:r>
      <w:r>
        <w:rPr>
          <w:spacing w:val="80"/>
          <w:w w:val="150"/>
        </w:rPr>
        <w:t> </w:t>
      </w:r>
      <w:r>
        <w:rPr/>
        <w:t>у</w:t>
      </w:r>
      <w:r>
        <w:rPr>
          <w:spacing w:val="80"/>
          <w:w w:val="150"/>
        </w:rPr>
        <w:t> </w:t>
      </w:r>
      <w:r>
        <w:rPr/>
        <w:t>пациентов</w:t>
      </w:r>
      <w:r>
        <w:rPr>
          <w:spacing w:val="80"/>
          <w:w w:val="150"/>
        </w:rPr>
        <w:t> </w:t>
      </w:r>
      <w:r>
        <w:rPr/>
        <w:t>с</w:t>
      </w:r>
      <w:r>
        <w:rPr>
          <w:spacing w:val="80"/>
          <w:w w:val="150"/>
        </w:rPr>
        <w:t> </w:t>
      </w:r>
      <w:r>
        <w:rPr/>
        <w:t>ВИЧ-инфекцией</w:t>
      </w:r>
      <w:r>
        <w:rPr>
          <w:spacing w:val="80"/>
          <w:w w:val="150"/>
        </w:rPr>
        <w:t> </w:t>
      </w:r>
      <w:r>
        <w:rPr/>
        <w:t>без</w:t>
      </w:r>
      <w:r>
        <w:rPr>
          <w:spacing w:val="80"/>
          <w:w w:val="150"/>
        </w:rPr>
        <w:t> </w:t>
      </w:r>
      <w:r>
        <w:rPr/>
        <w:t>антиретровирусной</w:t>
      </w:r>
      <w:r>
        <w:rPr>
          <w:spacing w:val="80"/>
          <w:w w:val="150"/>
        </w:rPr>
        <w:t> </w:t>
      </w:r>
      <w:r>
        <w:rPr/>
        <w:t>терапии</w:t>
      </w:r>
      <w:r>
        <w:rPr>
          <w:spacing w:val="40"/>
        </w:rPr>
        <w:t> </w:t>
      </w:r>
      <w:r>
        <w:rPr/>
        <w:t>и</w:t>
      </w:r>
      <w:r>
        <w:rPr>
          <w:spacing w:val="-3"/>
        </w:rPr>
        <w:t> </w:t>
      </w:r>
      <w:r>
        <w:rPr/>
        <w:t>пациентов, получающих химиотерапию), - переводятся для продолжения лечения</w:t>
      </w:r>
      <w:r>
        <w:rPr>
          <w:spacing w:val="80"/>
        </w:rPr>
        <w:t> </w:t>
      </w:r>
      <w:r>
        <w:rPr/>
        <w:t>в</w:t>
      </w:r>
      <w:r>
        <w:rPr>
          <w:spacing w:val="-3"/>
        </w:rPr>
        <w:t> </w:t>
      </w:r>
      <w:r>
        <w:rPr/>
        <w:t>стационарных</w:t>
      </w:r>
      <w:r>
        <w:rPr>
          <w:spacing w:val="40"/>
        </w:rPr>
        <w:t> </w:t>
      </w:r>
      <w:r>
        <w:rPr/>
        <w:t>условиях</w:t>
      </w:r>
      <w:r>
        <w:rPr>
          <w:spacing w:val="40"/>
        </w:rPr>
        <w:t> </w:t>
      </w:r>
      <w:r>
        <w:rPr/>
        <w:t>на</w:t>
      </w:r>
      <w:r>
        <w:rPr>
          <w:spacing w:val="40"/>
        </w:rPr>
        <w:t> </w:t>
      </w:r>
      <w:r>
        <w:rPr/>
        <w:t>койки</w:t>
      </w:r>
      <w:r>
        <w:rPr>
          <w:spacing w:val="40"/>
        </w:rPr>
        <w:t> </w:t>
      </w:r>
      <w:r>
        <w:rPr/>
        <w:t>для</w:t>
      </w:r>
      <w:r>
        <w:rPr>
          <w:spacing w:val="40"/>
        </w:rPr>
        <w:t> </w:t>
      </w:r>
      <w:r>
        <w:rPr/>
        <w:t>пациентов,</w:t>
      </w:r>
      <w:r>
        <w:rPr>
          <w:spacing w:val="40"/>
        </w:rPr>
        <w:t> </w:t>
      </w:r>
      <w:r>
        <w:rPr/>
        <w:t>находящихся</w:t>
      </w:r>
      <w:r>
        <w:rPr>
          <w:spacing w:val="40"/>
        </w:rPr>
        <w:t> </w:t>
      </w:r>
      <w:r>
        <w:rPr/>
        <w:t>на</w:t>
      </w:r>
      <w:r>
        <w:rPr>
          <w:spacing w:val="40"/>
        </w:rPr>
        <w:t> </w:t>
      </w:r>
      <w:r>
        <w:rPr/>
        <w:t>долечивании (в</w:t>
      </w:r>
      <w:r>
        <w:rPr>
          <w:spacing w:val="-4"/>
        </w:rPr>
        <w:t> </w:t>
      </w:r>
      <w:r>
        <w:rPr/>
        <w:t>структурное подразделение медицинской организации для лечения COVID-19 II типа для госпитализации пациентов, переведенных из структурного подразделения медицинской организации для лечения COVID-19 I типа для продолжения лечения,</w:t>
      </w:r>
      <w:r>
        <w:rPr>
          <w:spacing w:val="80"/>
        </w:rPr>
        <w:t> </w:t>
      </w:r>
      <w:r>
        <w:rPr/>
        <w:t>и</w:t>
      </w:r>
      <w:r>
        <w:rPr>
          <w:spacing w:val="-2"/>
        </w:rPr>
        <w:t> </w:t>
      </w:r>
      <w:r>
        <w:rPr/>
        <w:t>пациентов,</w:t>
      </w:r>
      <w:r>
        <w:rPr>
          <w:spacing w:val="40"/>
        </w:rPr>
        <w:t> </w:t>
      </w:r>
      <w:r>
        <w:rPr/>
        <w:t>находящихся</w:t>
      </w:r>
      <w:r>
        <w:rPr>
          <w:spacing w:val="40"/>
        </w:rPr>
        <w:t> </w:t>
      </w:r>
      <w:r>
        <w:rPr/>
        <w:t>в</w:t>
      </w:r>
      <w:r>
        <w:rPr>
          <w:spacing w:val="40"/>
        </w:rPr>
        <w:t> </w:t>
      </w:r>
      <w:r>
        <w:rPr/>
        <w:t>состоянии</w:t>
      </w:r>
      <w:r>
        <w:rPr>
          <w:spacing w:val="40"/>
        </w:rPr>
        <w:t> </w:t>
      </w:r>
      <w:r>
        <w:rPr/>
        <w:t>легкой</w:t>
      </w:r>
      <w:r>
        <w:rPr>
          <w:spacing w:val="40"/>
        </w:rPr>
        <w:t> </w:t>
      </w:r>
      <w:r>
        <w:rPr/>
        <w:t>и</w:t>
      </w:r>
      <w:r>
        <w:rPr>
          <w:spacing w:val="40"/>
        </w:rPr>
        <w:t> </w:t>
      </w:r>
      <w:r>
        <w:rPr/>
        <w:t>средней</w:t>
      </w:r>
      <w:r>
        <w:rPr>
          <w:spacing w:val="40"/>
        </w:rPr>
        <w:t> </w:t>
      </w:r>
      <w:r>
        <w:rPr/>
        <w:t>тяжести,</w:t>
      </w:r>
      <w:r>
        <w:rPr>
          <w:spacing w:val="40"/>
        </w:rPr>
        <w:t> </w:t>
      </w:r>
      <w:r>
        <w:rPr/>
        <w:t>проживающих в</w:t>
      </w:r>
      <w:r>
        <w:rPr>
          <w:spacing w:val="-4"/>
        </w:rPr>
        <w:t> </w:t>
      </w:r>
      <w:r>
        <w:rPr/>
        <w:t>общежитии,</w:t>
      </w:r>
      <w:r>
        <w:rPr>
          <w:spacing w:val="80"/>
        </w:rPr>
        <w:t> </w:t>
      </w:r>
      <w:r>
        <w:rPr/>
        <w:t>коммунальной</w:t>
      </w:r>
      <w:r>
        <w:rPr>
          <w:spacing w:val="80"/>
        </w:rPr>
        <w:t> </w:t>
      </w:r>
      <w:r>
        <w:rPr/>
        <w:t>квартире,</w:t>
      </w:r>
      <w:r>
        <w:rPr>
          <w:spacing w:val="80"/>
        </w:rPr>
        <w:t> </w:t>
      </w:r>
      <w:r>
        <w:rPr/>
        <w:t>учреждениях</w:t>
      </w:r>
      <w:r>
        <w:rPr>
          <w:spacing w:val="80"/>
        </w:rPr>
        <w:t> </w:t>
      </w:r>
      <w:r>
        <w:rPr/>
        <w:t>социального</w:t>
      </w:r>
      <w:r>
        <w:rPr>
          <w:spacing w:val="80"/>
        </w:rPr>
        <w:t> </w:t>
      </w:r>
      <w:r>
        <w:rPr/>
        <w:t>обслуживания с</w:t>
      </w:r>
      <w:r>
        <w:rPr>
          <w:spacing w:val="-4"/>
        </w:rPr>
        <w:t> </w:t>
      </w:r>
      <w:r>
        <w:rPr/>
        <w:t>круглосуточным пребыванием и средствах размещения, предоставляющих гостиничные</w:t>
      </w:r>
      <w:r>
        <w:rPr>
          <w:spacing w:val="-4"/>
        </w:rPr>
        <w:t> </w:t>
      </w:r>
      <w:r>
        <w:rPr/>
        <w:t>услуги,</w:t>
      </w:r>
      <w:r>
        <w:rPr>
          <w:spacing w:val="-2"/>
        </w:rPr>
        <w:t> </w:t>
      </w:r>
      <w:r>
        <w:rPr/>
        <w:t>с</w:t>
      </w:r>
      <w:r>
        <w:rPr>
          <w:spacing w:val="-1"/>
        </w:rPr>
        <w:t> </w:t>
      </w:r>
      <w:r>
        <w:rPr/>
        <w:t>лицами</w:t>
      </w:r>
      <w:r>
        <w:rPr>
          <w:spacing w:val="-1"/>
        </w:rPr>
        <w:t> </w:t>
      </w:r>
      <w:r>
        <w:rPr/>
        <w:t>старше</w:t>
      </w:r>
      <w:r>
        <w:rPr>
          <w:spacing w:val="-4"/>
        </w:rPr>
        <w:t> </w:t>
      </w:r>
      <w:r>
        <w:rPr/>
        <w:t>65</w:t>
      </w:r>
      <w:r>
        <w:rPr>
          <w:spacing w:val="-2"/>
        </w:rPr>
        <w:t> </w:t>
      </w:r>
      <w:r>
        <w:rPr/>
        <w:t>лет, с</w:t>
      </w:r>
      <w:r>
        <w:rPr>
          <w:spacing w:val="-3"/>
        </w:rPr>
        <w:t> </w:t>
      </w:r>
      <w:r>
        <w:rPr/>
        <w:t>лицами,</w:t>
      </w:r>
      <w:r>
        <w:rPr>
          <w:spacing w:val="-2"/>
        </w:rPr>
        <w:t> </w:t>
      </w:r>
      <w:r>
        <w:rPr/>
        <w:t>страдающими</w:t>
      </w:r>
      <w:r>
        <w:rPr>
          <w:spacing w:val="-1"/>
        </w:rPr>
        <w:t> </w:t>
      </w:r>
      <w:r>
        <w:rPr/>
        <w:t>хроническими заболеваниями</w:t>
      </w:r>
      <w:r>
        <w:rPr>
          <w:spacing w:val="80"/>
          <w:w w:val="150"/>
        </w:rPr>
        <w:t> </w:t>
      </w:r>
      <w:r>
        <w:rPr/>
        <w:t>бронхолегочной,</w:t>
      </w:r>
      <w:r>
        <w:rPr>
          <w:spacing w:val="80"/>
          <w:w w:val="150"/>
        </w:rPr>
        <w:t> </w:t>
      </w:r>
      <w:r>
        <w:rPr/>
        <w:t>сердечно-сосудистой</w:t>
      </w:r>
      <w:r>
        <w:rPr>
          <w:spacing w:val="80"/>
          <w:w w:val="150"/>
        </w:rPr>
        <w:t> </w:t>
      </w:r>
      <w:r>
        <w:rPr/>
        <w:t>и</w:t>
      </w:r>
      <w:r>
        <w:rPr>
          <w:spacing w:val="80"/>
          <w:w w:val="150"/>
        </w:rPr>
        <w:t> </w:t>
      </w:r>
      <w:r>
        <w:rPr/>
        <w:t>эндокринной</w:t>
      </w:r>
      <w:r>
        <w:rPr>
          <w:spacing w:val="80"/>
          <w:w w:val="150"/>
        </w:rPr>
        <w:t> </w:t>
      </w:r>
      <w:r>
        <w:rPr/>
        <w:t>систем,</w:t>
      </w:r>
      <w:r>
        <w:rPr>
          <w:spacing w:val="40"/>
        </w:rPr>
        <w:t> </w:t>
      </w:r>
      <w:r>
        <w:rPr/>
        <w:t>не</w:t>
      </w:r>
      <w:r>
        <w:rPr>
          <w:spacing w:val="-4"/>
        </w:rPr>
        <w:t> </w:t>
      </w:r>
      <w:r>
        <w:rPr/>
        <w:t>имеющих возможности находиться в отдельной комнате по месту пребывания, иногородних пациентов, проходящих стационарное лечение в иных медицинских организациях</w:t>
      </w:r>
      <w:r>
        <w:rPr>
          <w:spacing w:val="-5"/>
        </w:rPr>
        <w:t> </w:t>
      </w:r>
      <w:r>
        <w:rPr/>
        <w:t>при</w:t>
      </w:r>
      <w:r>
        <w:rPr>
          <w:spacing w:val="-4"/>
        </w:rPr>
        <w:t> </w:t>
      </w:r>
      <w:r>
        <w:rPr/>
        <w:t>положительном</w:t>
      </w:r>
      <w:r>
        <w:rPr>
          <w:spacing w:val="-5"/>
        </w:rPr>
        <w:t> </w:t>
      </w:r>
      <w:r>
        <w:rPr/>
        <w:t>результате</w:t>
      </w:r>
      <w:r>
        <w:rPr>
          <w:spacing w:val="-5"/>
        </w:rPr>
        <w:t> </w:t>
      </w:r>
      <w:r>
        <w:rPr/>
        <w:t>теста</w:t>
      </w:r>
      <w:r>
        <w:rPr>
          <w:spacing w:val="-5"/>
        </w:rPr>
        <w:t> </w:t>
      </w:r>
      <w:r>
        <w:rPr/>
        <w:t>на</w:t>
      </w:r>
      <w:r>
        <w:rPr>
          <w:spacing w:val="-5"/>
        </w:rPr>
        <w:t> </w:t>
      </w:r>
      <w:r>
        <w:rPr/>
        <w:t>COVID-19),</w:t>
      </w:r>
      <w:r>
        <w:rPr>
          <w:spacing w:val="-5"/>
        </w:rPr>
        <w:t> </w:t>
      </w:r>
      <w:r>
        <w:rPr/>
        <w:t>исходя</w:t>
      </w:r>
      <w:r>
        <w:rPr>
          <w:spacing w:val="-5"/>
        </w:rPr>
        <w:t> </w:t>
      </w:r>
      <w:r>
        <w:rPr/>
        <w:t>из</w:t>
      </w:r>
      <w:r>
        <w:rPr>
          <w:spacing w:val="-4"/>
        </w:rPr>
        <w:t> </w:t>
      </w:r>
      <w:r>
        <w:rPr/>
        <w:t>наличия следующих критериев:</w:t>
      </w:r>
    </w:p>
    <w:p>
      <w:pPr>
        <w:pStyle w:val="BodyText"/>
        <w:spacing w:line="269" w:lineRule="exact"/>
        <w:ind w:left="2549"/>
      </w:pPr>
      <w:r>
        <w:rPr/>
        <w:t>а)</w:t>
      </w:r>
      <w:r>
        <w:rPr>
          <w:spacing w:val="-13"/>
        </w:rPr>
        <w:t> </w:t>
      </w:r>
      <w:r>
        <w:rPr/>
        <w:t>стойкое</w:t>
      </w:r>
      <w:r>
        <w:rPr>
          <w:spacing w:val="-13"/>
        </w:rPr>
        <w:t> </w:t>
      </w:r>
      <w:r>
        <w:rPr/>
        <w:t>улучшение</w:t>
      </w:r>
      <w:r>
        <w:rPr>
          <w:spacing w:val="-12"/>
        </w:rPr>
        <w:t> </w:t>
      </w:r>
      <w:r>
        <w:rPr/>
        <w:t>клинической</w:t>
      </w:r>
      <w:r>
        <w:rPr>
          <w:spacing w:val="-12"/>
        </w:rPr>
        <w:t> </w:t>
      </w:r>
      <w:r>
        <w:rPr>
          <w:spacing w:val="-2"/>
        </w:rPr>
        <w:t>картины;</w:t>
      </w:r>
    </w:p>
    <w:p>
      <w:pPr>
        <w:pStyle w:val="BodyText"/>
        <w:spacing w:line="326" w:lineRule="auto" w:before="96"/>
        <w:ind w:left="2549" w:right="3067"/>
        <w:jc w:val="left"/>
      </w:pPr>
      <w:r>
        <w:rPr/>
        <w:t>б)</w:t>
      </w:r>
      <w:r>
        <w:rPr>
          <w:spacing w:val="-6"/>
        </w:rPr>
        <w:t> </w:t>
      </w:r>
      <w:r>
        <w:rPr/>
        <w:t>уровень</w:t>
      </w:r>
      <w:r>
        <w:rPr>
          <w:spacing w:val="-5"/>
        </w:rPr>
        <w:t> </w:t>
      </w:r>
      <w:r>
        <w:rPr/>
        <w:t>насыщения</w:t>
      </w:r>
      <w:r>
        <w:rPr>
          <w:spacing w:val="-6"/>
        </w:rPr>
        <w:t> </w:t>
      </w:r>
      <w:r>
        <w:rPr/>
        <w:t>крови</w:t>
      </w:r>
      <w:r>
        <w:rPr>
          <w:spacing w:val="-5"/>
        </w:rPr>
        <w:t> </w:t>
      </w:r>
      <w:r>
        <w:rPr/>
        <w:t>кислородом</w:t>
      </w:r>
      <w:r>
        <w:rPr>
          <w:spacing w:val="-6"/>
        </w:rPr>
        <w:t> </w:t>
      </w:r>
      <w:r>
        <w:rPr/>
        <w:t>на</w:t>
      </w:r>
      <w:r>
        <w:rPr>
          <w:spacing w:val="-6"/>
        </w:rPr>
        <w:t> </w:t>
      </w:r>
      <w:r>
        <w:rPr/>
        <w:t>воздухе</w:t>
      </w:r>
      <w:r>
        <w:rPr>
          <w:spacing w:val="-4"/>
        </w:rPr>
        <w:t> </w:t>
      </w:r>
      <w:r>
        <w:rPr/>
        <w:t>≥</w:t>
      </w:r>
      <w:r>
        <w:rPr>
          <w:spacing w:val="-5"/>
        </w:rPr>
        <w:t> </w:t>
      </w:r>
      <w:r>
        <w:rPr/>
        <w:t>93%; в) температура тела &lt; 37,5 °C;</w:t>
      </w:r>
    </w:p>
    <w:p>
      <w:pPr>
        <w:pStyle w:val="BodyText"/>
        <w:spacing w:line="324" w:lineRule="auto"/>
        <w:ind w:left="2549" w:right="4906"/>
        <w:jc w:val="left"/>
      </w:pPr>
      <w:r>
        <w:rPr/>
        <w:t>г)</w:t>
      </w:r>
      <w:r>
        <w:rPr>
          <w:spacing w:val="-8"/>
        </w:rPr>
        <w:t> </w:t>
      </w:r>
      <w:r>
        <w:rPr/>
        <w:t>уровень</w:t>
      </w:r>
      <w:r>
        <w:rPr>
          <w:spacing w:val="-7"/>
        </w:rPr>
        <w:t> </w:t>
      </w:r>
      <w:r>
        <w:rPr/>
        <w:t>C-реактивного</w:t>
      </w:r>
      <w:r>
        <w:rPr>
          <w:spacing w:val="-8"/>
        </w:rPr>
        <w:t> </w:t>
      </w:r>
      <w:r>
        <w:rPr/>
        <w:t>белка</w:t>
      </w:r>
      <w:r>
        <w:rPr>
          <w:spacing w:val="-8"/>
        </w:rPr>
        <w:t> </w:t>
      </w:r>
      <w:r>
        <w:rPr/>
        <w:t>&lt;</w:t>
      </w:r>
      <w:r>
        <w:rPr>
          <w:spacing w:val="-8"/>
        </w:rPr>
        <w:t> </w:t>
      </w:r>
      <w:r>
        <w:rPr/>
        <w:t>30</w:t>
      </w:r>
      <w:r>
        <w:rPr>
          <w:spacing w:val="-8"/>
        </w:rPr>
        <w:t> </w:t>
      </w:r>
      <w:r>
        <w:rPr/>
        <w:t>мг/л; д) уровень лимфоцитов</w:t>
      </w:r>
      <w:r>
        <w:rPr>
          <w:spacing w:val="-1"/>
        </w:rPr>
        <w:t> </w:t>
      </w:r>
      <w:r>
        <w:rPr/>
        <w:t>крови &gt; 1 x 10</w:t>
      </w:r>
      <w:r>
        <w:rPr>
          <w:vertAlign w:val="superscript"/>
        </w:rPr>
        <w:t>9</w:t>
      </w:r>
      <w:r>
        <w:rPr>
          <w:vertAlign w:val="baseline"/>
        </w:rPr>
        <w:t>/л.</w:t>
      </w:r>
    </w:p>
    <w:p>
      <w:pPr>
        <w:pStyle w:val="BodyText"/>
        <w:spacing w:after="0" w:line="324" w:lineRule="auto"/>
        <w:jc w:val="left"/>
        <w:sectPr>
          <w:pgSz w:w="11900" w:h="16840"/>
          <w:pgMar w:header="0" w:footer="697" w:top="1080" w:bottom="880" w:left="0" w:right="0"/>
        </w:sectPr>
      </w:pPr>
    </w:p>
    <w:p>
      <w:pPr>
        <w:pStyle w:val="BodyText"/>
        <w:spacing w:line="312" w:lineRule="auto" w:before="73"/>
        <w:ind w:right="1276" w:firstLine="707"/>
      </w:pPr>
      <w:bookmarkStart w:name="110" w:id="129"/>
      <w:bookmarkEnd w:id="129"/>
      <w:r>
        <w:rPr/>
      </w:r>
      <w:r>
        <w:rPr/>
        <w:t>Пациенты, поступившие в структурное подразделение медицинской организации</w:t>
      </w:r>
      <w:r>
        <w:rPr>
          <w:spacing w:val="-2"/>
        </w:rPr>
        <w:t> </w:t>
      </w:r>
      <w:r>
        <w:rPr/>
        <w:t>для</w:t>
      </w:r>
      <w:r>
        <w:rPr>
          <w:spacing w:val="-1"/>
        </w:rPr>
        <w:t> </w:t>
      </w:r>
      <w:r>
        <w:rPr/>
        <w:t>лечения</w:t>
      </w:r>
      <w:r>
        <w:rPr>
          <w:spacing w:val="-1"/>
        </w:rPr>
        <w:t> </w:t>
      </w:r>
      <w:r>
        <w:rPr/>
        <w:t>COVID-19 I</w:t>
      </w:r>
      <w:r>
        <w:rPr>
          <w:spacing w:val="-4"/>
        </w:rPr>
        <w:t> </w:t>
      </w:r>
      <w:r>
        <w:rPr/>
        <w:t>типа,</w:t>
      </w:r>
      <w:r>
        <w:rPr>
          <w:spacing w:val="-1"/>
        </w:rPr>
        <w:t> </w:t>
      </w:r>
      <w:r>
        <w:rPr/>
        <w:t>выписываются</w:t>
      </w:r>
      <w:r>
        <w:rPr>
          <w:spacing w:val="-1"/>
        </w:rPr>
        <w:t> </w:t>
      </w:r>
      <w:r>
        <w:rPr/>
        <w:t>для</w:t>
      </w:r>
      <w:r>
        <w:rPr>
          <w:spacing w:val="-1"/>
        </w:rPr>
        <w:t> </w:t>
      </w:r>
      <w:r>
        <w:rPr/>
        <w:t>продолжения</w:t>
      </w:r>
      <w:r>
        <w:rPr>
          <w:spacing w:val="-1"/>
        </w:rPr>
        <w:t> </w:t>
      </w:r>
      <w:r>
        <w:rPr/>
        <w:t>лечения в амбулаторных условиях исходя из наличия следующих критериев:</w:t>
      </w:r>
    </w:p>
    <w:p>
      <w:pPr>
        <w:pStyle w:val="BodyText"/>
        <w:spacing w:line="274" w:lineRule="exact"/>
        <w:ind w:left="2549"/>
      </w:pPr>
      <w:r>
        <w:rPr/>
        <w:t>а)</w:t>
      </w:r>
      <w:r>
        <w:rPr>
          <w:spacing w:val="-13"/>
        </w:rPr>
        <w:t> </w:t>
      </w:r>
      <w:r>
        <w:rPr/>
        <w:t>стойкое</w:t>
      </w:r>
      <w:r>
        <w:rPr>
          <w:spacing w:val="-13"/>
        </w:rPr>
        <w:t> </w:t>
      </w:r>
      <w:r>
        <w:rPr/>
        <w:t>улучшение</w:t>
      </w:r>
      <w:r>
        <w:rPr>
          <w:spacing w:val="-12"/>
        </w:rPr>
        <w:t> </w:t>
      </w:r>
      <w:r>
        <w:rPr/>
        <w:t>клинической</w:t>
      </w:r>
      <w:r>
        <w:rPr>
          <w:spacing w:val="-12"/>
        </w:rPr>
        <w:t> </w:t>
      </w:r>
      <w:r>
        <w:rPr>
          <w:spacing w:val="-2"/>
        </w:rPr>
        <w:t>картины;</w:t>
      </w:r>
    </w:p>
    <w:p>
      <w:pPr>
        <w:pStyle w:val="BodyText"/>
        <w:spacing w:line="309" w:lineRule="auto" w:before="83"/>
        <w:ind w:left="2549" w:right="3067"/>
        <w:jc w:val="left"/>
      </w:pPr>
      <w:r>
        <w:rPr/>
        <w:t>б)</w:t>
      </w:r>
      <w:r>
        <w:rPr>
          <w:spacing w:val="-6"/>
        </w:rPr>
        <w:t> </w:t>
      </w:r>
      <w:r>
        <w:rPr/>
        <w:t>уровень</w:t>
      </w:r>
      <w:r>
        <w:rPr>
          <w:spacing w:val="-6"/>
        </w:rPr>
        <w:t> </w:t>
      </w:r>
      <w:r>
        <w:rPr/>
        <w:t>насыщения</w:t>
      </w:r>
      <w:r>
        <w:rPr>
          <w:spacing w:val="-6"/>
        </w:rPr>
        <w:t> </w:t>
      </w:r>
      <w:r>
        <w:rPr/>
        <w:t>крови</w:t>
      </w:r>
      <w:r>
        <w:rPr>
          <w:spacing w:val="-6"/>
        </w:rPr>
        <w:t> </w:t>
      </w:r>
      <w:r>
        <w:rPr/>
        <w:t>кислородом</w:t>
      </w:r>
      <w:r>
        <w:rPr>
          <w:spacing w:val="-6"/>
        </w:rPr>
        <w:t> </w:t>
      </w:r>
      <w:r>
        <w:rPr/>
        <w:t>на</w:t>
      </w:r>
      <w:r>
        <w:rPr>
          <w:spacing w:val="-6"/>
        </w:rPr>
        <w:t> </w:t>
      </w:r>
      <w:r>
        <w:rPr/>
        <w:t>воздухе</w:t>
      </w:r>
      <w:r>
        <w:rPr>
          <w:spacing w:val="-3"/>
        </w:rPr>
        <w:t> </w:t>
      </w:r>
      <w:r>
        <w:rPr/>
        <w:t>≥</w:t>
      </w:r>
      <w:r>
        <w:rPr>
          <w:spacing w:val="-6"/>
        </w:rPr>
        <w:t> </w:t>
      </w:r>
      <w:r>
        <w:rPr/>
        <w:t>95%; в) температура тела &lt; 37,5 °C;</w:t>
      </w:r>
    </w:p>
    <w:p>
      <w:pPr>
        <w:pStyle w:val="BodyText"/>
        <w:spacing w:line="309" w:lineRule="auto" w:before="5"/>
        <w:ind w:left="2549" w:right="4906"/>
        <w:jc w:val="left"/>
      </w:pPr>
      <w:r>
        <w:rPr/>
        <w:t>г) уровень C-реактивного белка &lt; 10 мг/л; д)</w:t>
      </w:r>
      <w:r>
        <w:rPr>
          <w:spacing w:val="-6"/>
        </w:rPr>
        <w:t> </w:t>
      </w:r>
      <w:r>
        <w:rPr/>
        <w:t>уровень</w:t>
      </w:r>
      <w:r>
        <w:rPr>
          <w:spacing w:val="-5"/>
        </w:rPr>
        <w:t> </w:t>
      </w:r>
      <w:r>
        <w:rPr/>
        <w:t>лимфоцитов</w:t>
      </w:r>
      <w:r>
        <w:rPr>
          <w:spacing w:val="-8"/>
        </w:rPr>
        <w:t> </w:t>
      </w:r>
      <w:r>
        <w:rPr/>
        <w:t>крови</w:t>
      </w:r>
      <w:r>
        <w:rPr>
          <w:spacing w:val="-5"/>
        </w:rPr>
        <w:t> </w:t>
      </w:r>
      <w:r>
        <w:rPr/>
        <w:t>&gt;</w:t>
      </w:r>
      <w:r>
        <w:rPr>
          <w:spacing w:val="-6"/>
        </w:rPr>
        <w:t> </w:t>
      </w:r>
      <w:r>
        <w:rPr/>
        <w:t>1,2</w:t>
      </w:r>
      <w:r>
        <w:rPr>
          <w:spacing w:val="-6"/>
        </w:rPr>
        <w:t> </w:t>
      </w:r>
      <w:r>
        <w:rPr/>
        <w:t>x</w:t>
      </w:r>
      <w:r>
        <w:rPr>
          <w:spacing w:val="-6"/>
        </w:rPr>
        <w:t> </w:t>
      </w:r>
      <w:r>
        <w:rPr/>
        <w:t>10</w:t>
      </w:r>
      <w:r>
        <w:rPr>
          <w:vertAlign w:val="superscript"/>
        </w:rPr>
        <w:t>9</w:t>
      </w:r>
      <w:r>
        <w:rPr>
          <w:vertAlign w:val="baseline"/>
        </w:rPr>
        <w:t>/л.</w:t>
      </w:r>
    </w:p>
    <w:p>
      <w:pPr>
        <w:pStyle w:val="BodyText"/>
        <w:tabs>
          <w:tab w:pos="4371" w:val="left" w:leader="none"/>
          <w:tab w:pos="6866" w:val="left" w:leader="none"/>
          <w:tab w:pos="9573" w:val="left" w:leader="none"/>
        </w:tabs>
        <w:spacing w:line="276" w:lineRule="auto" w:before="5"/>
        <w:ind w:right="1276" w:firstLine="707"/>
      </w:pPr>
      <w:r>
        <w:rPr/>
        <w:t>При соблюдении вышеуказанных критериев перевод пациента для </w:t>
      </w:r>
      <w:r>
        <w:rPr>
          <w:spacing w:val="-2"/>
        </w:rPr>
        <w:t>продолжения</w:t>
      </w:r>
      <w:r>
        <w:rPr>
          <w:spacing w:val="-4"/>
        </w:rPr>
        <w:t> </w:t>
      </w:r>
      <w:r>
        <w:rPr>
          <w:spacing w:val="-2"/>
        </w:rPr>
        <w:t>лечения</w:t>
      </w:r>
      <w:r>
        <w:rPr>
          <w:spacing w:val="-4"/>
        </w:rPr>
        <w:t> </w:t>
      </w:r>
      <w:r>
        <w:rPr>
          <w:spacing w:val="-2"/>
        </w:rPr>
        <w:t>в</w:t>
      </w:r>
      <w:r>
        <w:rPr>
          <w:spacing w:val="-8"/>
        </w:rPr>
        <w:t> </w:t>
      </w:r>
      <w:r>
        <w:rPr>
          <w:spacing w:val="-2"/>
        </w:rPr>
        <w:t>стационарных</w:t>
      </w:r>
      <w:r>
        <w:rPr>
          <w:spacing w:val="-4"/>
        </w:rPr>
        <w:t> </w:t>
      </w:r>
      <w:r>
        <w:rPr>
          <w:spacing w:val="-2"/>
        </w:rPr>
        <w:t>условиях</w:t>
      </w:r>
      <w:r>
        <w:rPr>
          <w:spacing w:val="-7"/>
        </w:rPr>
        <w:t> </w:t>
      </w:r>
      <w:r>
        <w:rPr>
          <w:spacing w:val="-2"/>
        </w:rPr>
        <w:t>на</w:t>
      </w:r>
      <w:r>
        <w:rPr>
          <w:spacing w:val="-5"/>
        </w:rPr>
        <w:t> </w:t>
      </w:r>
      <w:r>
        <w:rPr>
          <w:spacing w:val="-2"/>
        </w:rPr>
        <w:t>койки</w:t>
      </w:r>
      <w:r>
        <w:rPr>
          <w:spacing w:val="-3"/>
        </w:rPr>
        <w:t> </w:t>
      </w:r>
      <w:r>
        <w:rPr>
          <w:spacing w:val="-2"/>
        </w:rPr>
        <w:t>для</w:t>
      </w:r>
      <w:r>
        <w:rPr>
          <w:spacing w:val="-4"/>
        </w:rPr>
        <w:t> </w:t>
      </w:r>
      <w:r>
        <w:rPr>
          <w:spacing w:val="-2"/>
        </w:rPr>
        <w:t>пациентов,</w:t>
      </w:r>
      <w:r>
        <w:rPr>
          <w:spacing w:val="-4"/>
        </w:rPr>
        <w:t> </w:t>
      </w:r>
      <w:r>
        <w:rPr>
          <w:spacing w:val="-2"/>
        </w:rPr>
        <w:t>находящихся </w:t>
      </w:r>
      <w:r>
        <w:rPr/>
        <w:t>на долечивании, или выписка пациента для продолжения лечения в амбулаторных условиях - могут осуществляться до получения отрицательного результата </w:t>
      </w:r>
      <w:r>
        <w:rPr>
          <w:spacing w:val="-2"/>
        </w:rPr>
        <w:t>лабораторных</w:t>
      </w:r>
      <w:r>
        <w:rPr/>
        <w:tab/>
      </w:r>
      <w:r>
        <w:rPr>
          <w:spacing w:val="-2"/>
        </w:rPr>
        <w:t>исследований</w:t>
      </w:r>
      <w:r>
        <w:rPr/>
        <w:tab/>
      </w:r>
      <w:r>
        <w:rPr>
          <w:spacing w:val="-2"/>
        </w:rPr>
        <w:t>биологического</w:t>
      </w:r>
      <w:r>
        <w:rPr/>
        <w:tab/>
      </w:r>
      <w:r>
        <w:rPr>
          <w:spacing w:val="-2"/>
        </w:rPr>
        <w:t>материала </w:t>
      </w:r>
      <w:r>
        <w:rPr/>
        <w:t>на наличие новой коронавирусной инфекции COVID-19.</w:t>
      </w:r>
    </w:p>
    <w:p>
      <w:pPr>
        <w:pStyle w:val="BodyText"/>
        <w:spacing w:line="276" w:lineRule="auto"/>
        <w:ind w:right="1274" w:firstLine="707"/>
      </w:pPr>
      <w:r>
        <w:rPr/>
        <w:t>При выписке или переводе пациента, в случае отсутствия отрицательного результата лабораторных исследований биологического материала на наличие</w:t>
      </w:r>
      <w:r>
        <w:rPr>
          <w:spacing w:val="-1"/>
        </w:rPr>
        <w:t> </w:t>
      </w:r>
      <w:r>
        <w:rPr/>
        <w:t>новой коронавирусной инфекции COVID-19, его транспортировка осуществляется специально выделенным или санитарным транспортом при условии использования пациентом, водителем и сопровождающим лицом средств индивидуальной защиты.</w:t>
      </w:r>
    </w:p>
    <w:p>
      <w:pPr>
        <w:pStyle w:val="BodyText"/>
        <w:spacing w:line="276" w:lineRule="auto"/>
        <w:ind w:right="1279" w:firstLine="707"/>
      </w:pPr>
      <w:r>
        <w:rPr/>
        <w:t>После завершения транспортировки пациента проводится дезинфекционная обработка</w:t>
      </w:r>
      <w:r>
        <w:rPr>
          <w:spacing w:val="-2"/>
        </w:rPr>
        <w:t> </w:t>
      </w:r>
      <w:r>
        <w:rPr/>
        <w:t>внутренних</w:t>
      </w:r>
      <w:r>
        <w:rPr>
          <w:spacing w:val="-3"/>
        </w:rPr>
        <w:t> </w:t>
      </w:r>
      <w:r>
        <w:rPr/>
        <w:t>поверхностей</w:t>
      </w:r>
      <w:r>
        <w:rPr>
          <w:spacing w:val="-1"/>
        </w:rPr>
        <w:t> </w:t>
      </w:r>
      <w:r>
        <w:rPr/>
        <w:t>и</w:t>
      </w:r>
      <w:r>
        <w:rPr>
          <w:spacing w:val="-1"/>
        </w:rPr>
        <w:t> </w:t>
      </w:r>
      <w:r>
        <w:rPr/>
        <w:t>кузова</w:t>
      </w:r>
      <w:r>
        <w:rPr>
          <w:spacing w:val="-2"/>
        </w:rPr>
        <w:t> </w:t>
      </w:r>
      <w:r>
        <w:rPr/>
        <w:t>санитарного</w:t>
      </w:r>
      <w:r>
        <w:rPr>
          <w:spacing w:val="-2"/>
        </w:rPr>
        <w:t> </w:t>
      </w:r>
      <w:r>
        <w:rPr/>
        <w:t>транспорта</w:t>
      </w:r>
      <w:r>
        <w:rPr>
          <w:spacing w:val="-2"/>
        </w:rPr>
        <w:t> </w:t>
      </w:r>
      <w:r>
        <w:rPr/>
        <w:t>на</w:t>
      </w:r>
      <w:r>
        <w:rPr>
          <w:spacing w:val="-2"/>
        </w:rPr>
        <w:t> </w:t>
      </w:r>
      <w:r>
        <w:rPr/>
        <w:t>специально выделенной для этого площадке.</w:t>
      </w:r>
    </w:p>
    <w:p>
      <w:pPr>
        <w:pStyle w:val="BodyText"/>
        <w:spacing w:line="276" w:lineRule="auto"/>
        <w:ind w:right="1279" w:firstLine="707"/>
      </w:pPr>
      <w:r>
        <w:rPr/>
        <w:t>Информация о выписке</w:t>
      </w:r>
      <w:r>
        <w:rPr>
          <w:spacing w:val="-1"/>
        </w:rPr>
        <w:t> </w:t>
      </w:r>
      <w:r>
        <w:rPr/>
        <w:t>пациента из медицинской организации, оказывающей медицинскую помощь в стационарных условиях, передается в медицинскую организацию,</w:t>
      </w:r>
      <w:r>
        <w:rPr>
          <w:spacing w:val="40"/>
        </w:rPr>
        <w:t>  </w:t>
      </w:r>
      <w:r>
        <w:rPr/>
        <w:t>в</w:t>
      </w:r>
      <w:r>
        <w:rPr>
          <w:spacing w:val="40"/>
        </w:rPr>
        <w:t>  </w:t>
      </w:r>
      <w:r>
        <w:rPr/>
        <w:t>которой</w:t>
      </w:r>
      <w:r>
        <w:rPr>
          <w:spacing w:val="40"/>
        </w:rPr>
        <w:t>  </w:t>
      </w:r>
      <w:r>
        <w:rPr/>
        <w:t>пациенту</w:t>
      </w:r>
      <w:r>
        <w:rPr>
          <w:spacing w:val="40"/>
        </w:rPr>
        <w:t>  </w:t>
      </w:r>
      <w:r>
        <w:rPr/>
        <w:t>будет</w:t>
      </w:r>
      <w:r>
        <w:rPr>
          <w:spacing w:val="40"/>
        </w:rPr>
        <w:t>  </w:t>
      </w:r>
      <w:r>
        <w:rPr/>
        <w:t>оказываться</w:t>
      </w:r>
      <w:r>
        <w:rPr>
          <w:spacing w:val="40"/>
        </w:rPr>
        <w:t>  </w:t>
      </w:r>
      <w:r>
        <w:rPr/>
        <w:t>медицинская</w:t>
      </w:r>
      <w:r>
        <w:rPr>
          <w:spacing w:val="40"/>
        </w:rPr>
        <w:t>  </w:t>
      </w:r>
      <w:r>
        <w:rPr/>
        <w:t>помощь и реабилитация в амбулаторных условиях.</w:t>
      </w:r>
    </w:p>
    <w:p>
      <w:pPr>
        <w:pStyle w:val="BodyText"/>
        <w:spacing w:line="276" w:lineRule="auto"/>
        <w:ind w:right="1281" w:firstLine="707"/>
      </w:pPr>
      <w:r>
        <w:rPr/>
        <w:t>При</w:t>
      </w:r>
      <w:r>
        <w:rPr>
          <w:spacing w:val="40"/>
        </w:rPr>
        <w:t> </w:t>
      </w:r>
      <w:r>
        <w:rPr/>
        <w:t>оказании</w:t>
      </w:r>
      <w:r>
        <w:rPr>
          <w:spacing w:val="40"/>
        </w:rPr>
        <w:t> </w:t>
      </w:r>
      <w:r>
        <w:rPr/>
        <w:t>пациенту</w:t>
      </w:r>
      <w:r>
        <w:rPr>
          <w:spacing w:val="40"/>
        </w:rPr>
        <w:t> </w:t>
      </w:r>
      <w:r>
        <w:rPr/>
        <w:t>медицинской</w:t>
      </w:r>
      <w:r>
        <w:rPr>
          <w:spacing w:val="40"/>
        </w:rPr>
        <w:t> </w:t>
      </w:r>
      <w:r>
        <w:rPr/>
        <w:t>помощи</w:t>
      </w:r>
      <w:r>
        <w:rPr>
          <w:spacing w:val="40"/>
        </w:rPr>
        <w:t> </w:t>
      </w:r>
      <w:r>
        <w:rPr/>
        <w:t>в</w:t>
      </w:r>
      <w:r>
        <w:rPr>
          <w:spacing w:val="40"/>
        </w:rPr>
        <w:t> </w:t>
      </w:r>
      <w:r>
        <w:rPr/>
        <w:t>амбулаторных</w:t>
      </w:r>
      <w:r>
        <w:rPr>
          <w:spacing w:val="40"/>
        </w:rPr>
        <w:t> </w:t>
      </w:r>
      <w:r>
        <w:rPr/>
        <w:t>условиях, ему должно быть обеспечено:</w:t>
      </w:r>
    </w:p>
    <w:p>
      <w:pPr>
        <w:pStyle w:val="ListParagraph"/>
        <w:numPr>
          <w:ilvl w:val="0"/>
          <w:numId w:val="51"/>
        </w:numPr>
        <w:tabs>
          <w:tab w:pos="2548" w:val="left" w:leader="none"/>
        </w:tabs>
        <w:spacing w:line="240" w:lineRule="auto" w:before="0" w:after="0"/>
        <w:ind w:left="2548" w:right="0" w:hanging="280"/>
        <w:jc w:val="both"/>
        <w:rPr>
          <w:sz w:val="24"/>
        </w:rPr>
      </w:pPr>
      <w:r>
        <w:rPr>
          <w:sz w:val="24"/>
        </w:rPr>
        <w:t>ежедневное</w:t>
      </w:r>
      <w:r>
        <w:rPr>
          <w:spacing w:val="-13"/>
          <w:sz w:val="24"/>
        </w:rPr>
        <w:t> </w:t>
      </w:r>
      <w:r>
        <w:rPr>
          <w:sz w:val="24"/>
        </w:rPr>
        <w:t>медицинское</w:t>
      </w:r>
      <w:r>
        <w:rPr>
          <w:spacing w:val="-12"/>
          <w:sz w:val="24"/>
        </w:rPr>
        <w:t> </w:t>
      </w:r>
      <w:r>
        <w:rPr>
          <w:sz w:val="24"/>
        </w:rPr>
        <w:t>наблюдение,</w:t>
      </w:r>
      <w:r>
        <w:rPr>
          <w:spacing w:val="-12"/>
          <w:sz w:val="24"/>
        </w:rPr>
        <w:t> </w:t>
      </w:r>
      <w:r>
        <w:rPr>
          <w:sz w:val="24"/>
        </w:rPr>
        <w:t>в</w:t>
      </w:r>
      <w:r>
        <w:rPr>
          <w:spacing w:val="-12"/>
          <w:sz w:val="24"/>
        </w:rPr>
        <w:t> </w:t>
      </w:r>
      <w:r>
        <w:rPr>
          <w:sz w:val="24"/>
        </w:rPr>
        <w:t>том</w:t>
      </w:r>
      <w:r>
        <w:rPr>
          <w:spacing w:val="-13"/>
          <w:sz w:val="24"/>
        </w:rPr>
        <w:t> </w:t>
      </w:r>
      <w:r>
        <w:rPr>
          <w:sz w:val="24"/>
        </w:rPr>
        <w:t>числе</w:t>
      </w:r>
      <w:r>
        <w:rPr>
          <w:spacing w:val="-12"/>
          <w:sz w:val="24"/>
        </w:rPr>
        <w:t> </w:t>
      </w:r>
      <w:r>
        <w:rPr>
          <w:spacing w:val="-2"/>
          <w:sz w:val="24"/>
        </w:rPr>
        <w:t>дистанционное;</w:t>
      </w:r>
    </w:p>
    <w:p>
      <w:pPr>
        <w:pStyle w:val="ListParagraph"/>
        <w:numPr>
          <w:ilvl w:val="0"/>
          <w:numId w:val="51"/>
        </w:numPr>
        <w:tabs>
          <w:tab w:pos="2549" w:val="left" w:leader="none"/>
        </w:tabs>
        <w:spacing w:line="273" w:lineRule="auto" w:before="37" w:after="0"/>
        <w:ind w:left="2549" w:right="1278" w:hanging="281"/>
        <w:jc w:val="both"/>
        <w:rPr>
          <w:sz w:val="24"/>
        </w:rPr>
      </w:pPr>
      <w:r>
        <w:rPr>
          <w:sz w:val="24"/>
        </w:rPr>
        <w:t>проведение лабораторного исследования методом полимеразной цепной реакции на наличие возбудителя COVID-19.</w:t>
      </w:r>
    </w:p>
    <w:p>
      <w:pPr>
        <w:pStyle w:val="BodyText"/>
        <w:spacing w:line="276" w:lineRule="auto"/>
        <w:ind w:right="1281" w:firstLine="707"/>
      </w:pPr>
      <w:r>
        <w:rPr/>
        <w:t>Рентгенография и/или КТ перед выпиской для оценки динамики пневмонии не</w:t>
      </w:r>
      <w:r>
        <w:rPr>
          <w:spacing w:val="-5"/>
        </w:rPr>
        <w:t> </w:t>
      </w:r>
      <w:r>
        <w:rPr/>
        <w:t>являются</w:t>
      </w:r>
      <w:r>
        <w:rPr>
          <w:spacing w:val="-5"/>
        </w:rPr>
        <w:t> </w:t>
      </w:r>
      <w:r>
        <w:rPr/>
        <w:t>обязательными</w:t>
      </w:r>
      <w:r>
        <w:rPr>
          <w:spacing w:val="-5"/>
        </w:rPr>
        <w:t> </w:t>
      </w:r>
      <w:r>
        <w:rPr/>
        <w:t>процедурами,</w:t>
      </w:r>
      <w:r>
        <w:rPr>
          <w:spacing w:val="-5"/>
        </w:rPr>
        <w:t> </w:t>
      </w:r>
      <w:r>
        <w:rPr/>
        <w:t>но</w:t>
      </w:r>
      <w:r>
        <w:rPr>
          <w:spacing w:val="-5"/>
        </w:rPr>
        <w:t> </w:t>
      </w:r>
      <w:r>
        <w:rPr/>
        <w:t>могут</w:t>
      </w:r>
      <w:r>
        <w:rPr>
          <w:spacing w:val="-5"/>
        </w:rPr>
        <w:t> </w:t>
      </w:r>
      <w:r>
        <w:rPr/>
        <w:t>быть</w:t>
      </w:r>
      <w:r>
        <w:rPr>
          <w:spacing w:val="-5"/>
        </w:rPr>
        <w:t> </w:t>
      </w:r>
      <w:r>
        <w:rPr/>
        <w:t>назначены</w:t>
      </w:r>
      <w:r>
        <w:rPr>
          <w:spacing w:val="-5"/>
        </w:rPr>
        <w:t> </w:t>
      </w:r>
      <w:r>
        <w:rPr/>
        <w:t>лечащим</w:t>
      </w:r>
      <w:r>
        <w:rPr>
          <w:spacing w:val="-5"/>
        </w:rPr>
        <w:t> </w:t>
      </w:r>
      <w:r>
        <w:rPr/>
        <w:t>врачом по клиническим показаниям.</w:t>
      </w:r>
    </w:p>
    <w:p>
      <w:pPr>
        <w:pStyle w:val="BodyText"/>
        <w:spacing w:line="274" w:lineRule="exact"/>
        <w:ind w:left="2549"/>
      </w:pPr>
      <w:r>
        <w:rPr>
          <w:spacing w:val="-2"/>
        </w:rPr>
        <w:t>Рентгенологические</w:t>
      </w:r>
      <w:r>
        <w:rPr>
          <w:spacing w:val="2"/>
        </w:rPr>
        <w:t> </w:t>
      </w:r>
      <w:r>
        <w:rPr>
          <w:spacing w:val="-2"/>
        </w:rPr>
        <w:t>критерии</w:t>
      </w:r>
      <w:r>
        <w:rPr>
          <w:spacing w:val="4"/>
        </w:rPr>
        <w:t> </w:t>
      </w:r>
      <w:r>
        <w:rPr>
          <w:spacing w:val="-2"/>
        </w:rPr>
        <w:t>регресса</w:t>
      </w:r>
      <w:r>
        <w:rPr>
          <w:spacing w:val="3"/>
        </w:rPr>
        <w:t> </w:t>
      </w:r>
      <w:r>
        <w:rPr>
          <w:spacing w:val="-2"/>
        </w:rPr>
        <w:t>патологических</w:t>
      </w:r>
      <w:r>
        <w:rPr>
          <w:spacing w:val="2"/>
        </w:rPr>
        <w:t> </w:t>
      </w:r>
      <w:r>
        <w:rPr>
          <w:spacing w:val="-2"/>
        </w:rPr>
        <w:t>изменений:</w:t>
      </w:r>
    </w:p>
    <w:p>
      <w:pPr>
        <w:pStyle w:val="ListParagraph"/>
        <w:numPr>
          <w:ilvl w:val="0"/>
          <w:numId w:val="51"/>
        </w:numPr>
        <w:tabs>
          <w:tab w:pos="2549" w:val="left" w:leader="none"/>
        </w:tabs>
        <w:spacing w:line="271" w:lineRule="auto" w:before="45" w:after="0"/>
        <w:ind w:left="2549" w:right="1281" w:hanging="281"/>
        <w:jc w:val="both"/>
        <w:rPr>
          <w:sz w:val="24"/>
        </w:rPr>
      </w:pPr>
      <w:r>
        <w:rPr>
          <w:sz w:val="24"/>
        </w:rPr>
        <w:t>уменьшение</w:t>
      </w:r>
      <w:r>
        <w:rPr>
          <w:spacing w:val="-10"/>
          <w:sz w:val="24"/>
        </w:rPr>
        <w:t> </w:t>
      </w:r>
      <w:r>
        <w:rPr>
          <w:sz w:val="24"/>
        </w:rPr>
        <w:t>зон</w:t>
      </w:r>
      <w:r>
        <w:rPr>
          <w:spacing w:val="-8"/>
          <w:sz w:val="24"/>
        </w:rPr>
        <w:t> </w:t>
      </w:r>
      <w:r>
        <w:rPr>
          <w:sz w:val="24"/>
        </w:rPr>
        <w:t>«матового</w:t>
      </w:r>
      <w:r>
        <w:rPr>
          <w:spacing w:val="-9"/>
          <w:sz w:val="24"/>
        </w:rPr>
        <w:t> </w:t>
      </w:r>
      <w:r>
        <w:rPr>
          <w:sz w:val="24"/>
        </w:rPr>
        <w:t>стекла»,</w:t>
      </w:r>
      <w:r>
        <w:rPr>
          <w:spacing w:val="-9"/>
          <w:sz w:val="24"/>
        </w:rPr>
        <w:t> </w:t>
      </w:r>
      <w:r>
        <w:rPr>
          <w:sz w:val="24"/>
        </w:rPr>
        <w:t>допустимы</w:t>
      </w:r>
      <w:r>
        <w:rPr>
          <w:spacing w:val="-12"/>
          <w:sz w:val="24"/>
        </w:rPr>
        <w:t> </w:t>
      </w:r>
      <w:r>
        <w:rPr>
          <w:sz w:val="24"/>
        </w:rPr>
        <w:t>новые</w:t>
      </w:r>
      <w:r>
        <w:rPr>
          <w:spacing w:val="-10"/>
          <w:sz w:val="24"/>
        </w:rPr>
        <w:t> </w:t>
      </w:r>
      <w:r>
        <w:rPr>
          <w:sz w:val="24"/>
        </w:rPr>
        <w:t>зоны</w:t>
      </w:r>
      <w:r>
        <w:rPr>
          <w:spacing w:val="-9"/>
          <w:sz w:val="24"/>
        </w:rPr>
        <w:t> </w:t>
      </w:r>
      <w:r>
        <w:rPr>
          <w:sz w:val="24"/>
        </w:rPr>
        <w:t>«матового</w:t>
      </w:r>
      <w:r>
        <w:rPr>
          <w:spacing w:val="-11"/>
          <w:sz w:val="24"/>
        </w:rPr>
        <w:t> </w:t>
      </w:r>
      <w:r>
        <w:rPr>
          <w:sz w:val="24"/>
        </w:rPr>
        <w:t>стекла» не более 25% поперечного размера гемоторакса;</w:t>
      </w:r>
    </w:p>
    <w:p>
      <w:pPr>
        <w:pStyle w:val="ListParagraph"/>
        <w:numPr>
          <w:ilvl w:val="0"/>
          <w:numId w:val="51"/>
        </w:numPr>
        <w:tabs>
          <w:tab w:pos="2548" w:val="left" w:leader="none"/>
        </w:tabs>
        <w:spacing w:line="240" w:lineRule="auto" w:before="6" w:after="0"/>
        <w:ind w:left="2548" w:right="0" w:hanging="280"/>
        <w:jc w:val="both"/>
        <w:rPr>
          <w:sz w:val="24"/>
        </w:rPr>
      </w:pPr>
      <w:r>
        <w:rPr>
          <w:sz w:val="24"/>
        </w:rPr>
        <w:t>уменьшение</w:t>
      </w:r>
      <w:r>
        <w:rPr>
          <w:spacing w:val="-10"/>
          <w:sz w:val="24"/>
        </w:rPr>
        <w:t> </w:t>
      </w:r>
      <w:r>
        <w:rPr>
          <w:sz w:val="24"/>
        </w:rPr>
        <w:t>в</w:t>
      </w:r>
      <w:r>
        <w:rPr>
          <w:spacing w:val="-9"/>
          <w:sz w:val="24"/>
        </w:rPr>
        <w:t> </w:t>
      </w:r>
      <w:r>
        <w:rPr>
          <w:sz w:val="24"/>
        </w:rPr>
        <w:t>объеме</w:t>
      </w:r>
      <w:r>
        <w:rPr>
          <w:spacing w:val="-9"/>
          <w:sz w:val="24"/>
        </w:rPr>
        <w:t> </w:t>
      </w:r>
      <w:r>
        <w:rPr>
          <w:sz w:val="24"/>
        </w:rPr>
        <w:t>видимых</w:t>
      </w:r>
      <w:r>
        <w:rPr>
          <w:spacing w:val="-9"/>
          <w:sz w:val="24"/>
        </w:rPr>
        <w:t> </w:t>
      </w:r>
      <w:r>
        <w:rPr>
          <w:sz w:val="24"/>
        </w:rPr>
        <w:t>ранее</w:t>
      </w:r>
      <w:r>
        <w:rPr>
          <w:spacing w:val="-9"/>
          <w:sz w:val="24"/>
        </w:rPr>
        <w:t> </w:t>
      </w:r>
      <w:r>
        <w:rPr>
          <w:sz w:val="24"/>
        </w:rPr>
        <w:t>зон</w:t>
      </w:r>
      <w:r>
        <w:rPr>
          <w:spacing w:val="-8"/>
          <w:sz w:val="24"/>
        </w:rPr>
        <w:t> </w:t>
      </w:r>
      <w:r>
        <w:rPr>
          <w:spacing w:val="-2"/>
          <w:sz w:val="24"/>
        </w:rPr>
        <w:t>консолидации;</w:t>
      </w:r>
    </w:p>
    <w:p>
      <w:pPr>
        <w:pStyle w:val="ListParagraph"/>
        <w:numPr>
          <w:ilvl w:val="0"/>
          <w:numId w:val="51"/>
        </w:numPr>
        <w:tabs>
          <w:tab w:pos="2549" w:val="left" w:leader="none"/>
        </w:tabs>
        <w:spacing w:line="271" w:lineRule="auto" w:before="42" w:after="0"/>
        <w:ind w:left="2549" w:right="1282" w:hanging="281"/>
        <w:jc w:val="both"/>
        <w:rPr>
          <w:sz w:val="24"/>
        </w:rPr>
      </w:pPr>
      <w:r>
        <w:rPr>
          <w:sz w:val="24"/>
        </w:rPr>
        <w:t>резидуальные</w:t>
      </w:r>
      <w:r>
        <w:rPr>
          <w:spacing w:val="80"/>
          <w:w w:val="150"/>
          <w:sz w:val="24"/>
        </w:rPr>
        <w:t> </w:t>
      </w:r>
      <w:r>
        <w:rPr>
          <w:sz w:val="24"/>
        </w:rPr>
        <w:t>уплотнения</w:t>
      </w:r>
      <w:r>
        <w:rPr>
          <w:spacing w:val="80"/>
          <w:w w:val="150"/>
          <w:sz w:val="24"/>
        </w:rPr>
        <w:t> </w:t>
      </w:r>
      <w:r>
        <w:rPr>
          <w:sz w:val="24"/>
        </w:rPr>
        <w:t>паренхимы</w:t>
      </w:r>
      <w:r>
        <w:rPr>
          <w:spacing w:val="80"/>
          <w:w w:val="150"/>
          <w:sz w:val="24"/>
        </w:rPr>
        <w:t> </w:t>
      </w:r>
      <w:r>
        <w:rPr>
          <w:sz w:val="24"/>
        </w:rPr>
        <w:t>вариабельные</w:t>
      </w:r>
      <w:r>
        <w:rPr>
          <w:spacing w:val="80"/>
          <w:w w:val="150"/>
          <w:sz w:val="24"/>
        </w:rPr>
        <w:t> </w:t>
      </w:r>
      <w:r>
        <w:rPr>
          <w:sz w:val="24"/>
        </w:rPr>
        <w:t>по</w:t>
      </w:r>
      <w:r>
        <w:rPr>
          <w:spacing w:val="80"/>
          <w:w w:val="150"/>
          <w:sz w:val="24"/>
        </w:rPr>
        <w:t> </w:t>
      </w:r>
      <w:r>
        <w:rPr>
          <w:sz w:val="24"/>
        </w:rPr>
        <w:t>протяженности</w:t>
      </w:r>
      <w:r>
        <w:rPr>
          <w:spacing w:val="80"/>
          <w:sz w:val="24"/>
        </w:rPr>
        <w:t> </w:t>
      </w:r>
      <w:r>
        <w:rPr>
          <w:sz w:val="24"/>
        </w:rPr>
        <w:t>и локализации;</w:t>
      </w:r>
    </w:p>
    <w:p>
      <w:pPr>
        <w:pStyle w:val="ListParagraph"/>
        <w:numPr>
          <w:ilvl w:val="0"/>
          <w:numId w:val="51"/>
        </w:numPr>
        <w:tabs>
          <w:tab w:pos="2548" w:val="left" w:leader="none"/>
        </w:tabs>
        <w:spacing w:line="240" w:lineRule="auto" w:before="5" w:after="0"/>
        <w:ind w:left="2548" w:right="0" w:hanging="280"/>
        <w:jc w:val="both"/>
        <w:rPr>
          <w:sz w:val="24"/>
        </w:rPr>
      </w:pPr>
      <w:r>
        <w:rPr>
          <w:spacing w:val="-2"/>
          <w:sz w:val="24"/>
        </w:rPr>
        <w:t>отсутствие</w:t>
      </w:r>
      <w:r>
        <w:rPr>
          <w:spacing w:val="3"/>
          <w:sz w:val="24"/>
        </w:rPr>
        <w:t> </w:t>
      </w:r>
      <w:r>
        <w:rPr>
          <w:spacing w:val="-2"/>
          <w:sz w:val="24"/>
        </w:rPr>
        <w:t>плеврального</w:t>
      </w:r>
      <w:r>
        <w:rPr>
          <w:spacing w:val="3"/>
          <w:sz w:val="24"/>
        </w:rPr>
        <w:t> </w:t>
      </w:r>
      <w:r>
        <w:rPr>
          <w:spacing w:val="-2"/>
          <w:sz w:val="24"/>
        </w:rPr>
        <w:t>выпота,</w:t>
      </w:r>
      <w:r>
        <w:rPr>
          <w:spacing w:val="4"/>
          <w:sz w:val="24"/>
        </w:rPr>
        <w:t> </w:t>
      </w:r>
      <w:r>
        <w:rPr>
          <w:spacing w:val="-2"/>
          <w:sz w:val="24"/>
        </w:rPr>
        <w:t>ассоциированного</w:t>
      </w:r>
      <w:r>
        <w:rPr>
          <w:spacing w:val="3"/>
          <w:sz w:val="24"/>
        </w:rPr>
        <w:t> </w:t>
      </w:r>
      <w:r>
        <w:rPr>
          <w:spacing w:val="-2"/>
          <w:sz w:val="24"/>
        </w:rPr>
        <w:t>с</w:t>
      </w:r>
      <w:r>
        <w:rPr>
          <w:spacing w:val="3"/>
          <w:sz w:val="24"/>
        </w:rPr>
        <w:t> </w:t>
      </w:r>
      <w:r>
        <w:rPr>
          <w:spacing w:val="-2"/>
          <w:sz w:val="24"/>
        </w:rPr>
        <w:t>COVID-</w:t>
      </w:r>
      <w:r>
        <w:rPr>
          <w:spacing w:val="-5"/>
          <w:sz w:val="24"/>
        </w:rPr>
        <w:t>19.</w:t>
      </w:r>
    </w:p>
    <w:p>
      <w:pPr>
        <w:pStyle w:val="BodyText"/>
        <w:spacing w:line="276" w:lineRule="auto" w:before="40"/>
        <w:ind w:left="2549" w:right="1344"/>
        <w:rPr>
          <w:position w:val="2"/>
        </w:rPr>
      </w:pPr>
      <w:r>
        <w:rPr/>
        <w:t>Пациент</w:t>
      </w:r>
      <w:r>
        <w:rPr>
          <w:spacing w:val="-7"/>
        </w:rPr>
        <w:t> </w:t>
      </w:r>
      <w:r>
        <w:rPr/>
        <w:t>считается</w:t>
      </w:r>
      <w:r>
        <w:rPr>
          <w:spacing w:val="-7"/>
        </w:rPr>
        <w:t> </w:t>
      </w:r>
      <w:r>
        <w:rPr/>
        <w:t>выздоровевшим</w:t>
      </w:r>
      <w:r>
        <w:rPr>
          <w:spacing w:val="-7"/>
        </w:rPr>
        <w:t> </w:t>
      </w:r>
      <w:r>
        <w:rPr/>
        <w:t>исходя</w:t>
      </w:r>
      <w:r>
        <w:rPr>
          <w:spacing w:val="-7"/>
        </w:rPr>
        <w:t> </w:t>
      </w:r>
      <w:r>
        <w:rPr/>
        <w:t>из</w:t>
      </w:r>
      <w:r>
        <w:rPr>
          <w:spacing w:val="-8"/>
        </w:rPr>
        <w:t> </w:t>
      </w:r>
      <w:r>
        <w:rPr/>
        <w:t>наличия</w:t>
      </w:r>
      <w:r>
        <w:rPr>
          <w:spacing w:val="-7"/>
        </w:rPr>
        <w:t> </w:t>
      </w:r>
      <w:r>
        <w:rPr/>
        <w:t>следующих</w:t>
      </w:r>
      <w:r>
        <w:rPr>
          <w:spacing w:val="-7"/>
        </w:rPr>
        <w:t> </w:t>
      </w:r>
      <w:r>
        <w:rPr/>
        <w:t>критериев: </w:t>
      </w:r>
      <w:r>
        <w:rPr>
          <w:position w:val="2"/>
        </w:rPr>
        <w:t>а) SpO</w:t>
      </w:r>
      <w:r>
        <w:rPr>
          <w:sz w:val="16"/>
        </w:rPr>
        <w:t>2 </w:t>
      </w:r>
      <w:r>
        <w:rPr>
          <w:position w:val="2"/>
        </w:rPr>
        <w:t>&gt; 96%;</w:t>
      </w:r>
    </w:p>
    <w:p>
      <w:pPr>
        <w:pStyle w:val="BodyText"/>
        <w:spacing w:after="0" w:line="276" w:lineRule="auto"/>
        <w:rPr>
          <w:position w:val="2"/>
        </w:rPr>
        <w:sectPr>
          <w:pgSz w:w="11900" w:h="16840"/>
          <w:pgMar w:header="0" w:footer="697" w:top="1080" w:bottom="880" w:left="0" w:right="0"/>
        </w:sectPr>
      </w:pPr>
    </w:p>
    <w:p>
      <w:pPr>
        <w:pStyle w:val="BodyText"/>
        <w:spacing w:before="73"/>
        <w:ind w:left="2549"/>
      </w:pPr>
      <w:bookmarkStart w:name="111" w:id="130"/>
      <w:bookmarkEnd w:id="130"/>
      <w:r>
        <w:rPr/>
      </w:r>
      <w:r>
        <w:rPr/>
        <w:t>б)</w:t>
      </w:r>
      <w:r>
        <w:rPr>
          <w:spacing w:val="-4"/>
        </w:rPr>
        <w:t> </w:t>
      </w:r>
      <w:r>
        <w:rPr/>
        <w:t>T</w:t>
      </w:r>
      <w:r>
        <w:rPr>
          <w:spacing w:val="-3"/>
        </w:rPr>
        <w:t> </w:t>
      </w:r>
      <w:r>
        <w:rPr/>
        <w:t>&lt;</w:t>
      </w:r>
      <w:r>
        <w:rPr>
          <w:spacing w:val="-3"/>
        </w:rPr>
        <w:t> </w:t>
      </w:r>
      <w:r>
        <w:rPr/>
        <w:t>37,2</w:t>
      </w:r>
      <w:r>
        <w:rPr>
          <w:spacing w:val="-1"/>
        </w:rPr>
        <w:t> </w:t>
      </w:r>
      <w:r>
        <w:rPr>
          <w:spacing w:val="-5"/>
        </w:rPr>
        <w:t>°C;</w:t>
      </w:r>
    </w:p>
    <w:p>
      <w:pPr>
        <w:pStyle w:val="BodyText"/>
        <w:spacing w:line="276" w:lineRule="auto" w:before="41"/>
        <w:ind w:right="1273" w:firstLine="707"/>
      </w:pPr>
      <w:r>
        <w:rPr/>
        <w:t>Выписка</w:t>
      </w:r>
      <w:r>
        <w:rPr>
          <w:spacing w:val="34"/>
        </w:rPr>
        <w:t> </w:t>
      </w:r>
      <w:r>
        <w:rPr/>
        <w:t>пациентов</w:t>
      </w:r>
      <w:r>
        <w:rPr>
          <w:spacing w:val="33"/>
        </w:rPr>
        <w:t> </w:t>
      </w:r>
      <w:r>
        <w:rPr/>
        <w:t>к</w:t>
      </w:r>
      <w:r>
        <w:rPr>
          <w:spacing w:val="33"/>
        </w:rPr>
        <w:t> </w:t>
      </w:r>
      <w:r>
        <w:rPr/>
        <w:t>занятию</w:t>
      </w:r>
      <w:r>
        <w:rPr>
          <w:spacing w:val="35"/>
        </w:rPr>
        <w:t> </w:t>
      </w:r>
      <w:r>
        <w:rPr/>
        <w:t>трудовой</w:t>
      </w:r>
      <w:r>
        <w:rPr>
          <w:spacing w:val="36"/>
        </w:rPr>
        <w:t> </w:t>
      </w:r>
      <w:r>
        <w:rPr/>
        <w:t>деятельностью</w:t>
      </w:r>
      <w:r>
        <w:rPr>
          <w:spacing w:val="35"/>
        </w:rPr>
        <w:t> </w:t>
      </w:r>
      <w:r>
        <w:rPr/>
        <w:t>(обучению),</w:t>
      </w:r>
      <w:r>
        <w:rPr>
          <w:spacing w:val="34"/>
        </w:rPr>
        <w:t> </w:t>
      </w:r>
      <w:r>
        <w:rPr/>
        <w:t>допуск в</w:t>
      </w:r>
      <w:r>
        <w:rPr>
          <w:spacing w:val="28"/>
        </w:rPr>
        <w:t> </w:t>
      </w:r>
      <w:r>
        <w:rPr/>
        <w:t>организованные</w:t>
      </w:r>
      <w:r>
        <w:rPr>
          <w:spacing w:val="27"/>
        </w:rPr>
        <w:t> </w:t>
      </w:r>
      <w:r>
        <w:rPr/>
        <w:t>коллективы</w:t>
      </w:r>
      <w:r>
        <w:rPr>
          <w:spacing w:val="28"/>
        </w:rPr>
        <w:t> </w:t>
      </w:r>
      <w:r>
        <w:rPr/>
        <w:t>после</w:t>
      </w:r>
      <w:r>
        <w:rPr>
          <w:spacing w:val="28"/>
        </w:rPr>
        <w:t> </w:t>
      </w:r>
      <w:r>
        <w:rPr/>
        <w:t>проведения</w:t>
      </w:r>
      <w:r>
        <w:rPr>
          <w:spacing w:val="29"/>
        </w:rPr>
        <w:t> </w:t>
      </w:r>
      <w:r>
        <w:rPr/>
        <w:t>лечения</w:t>
      </w:r>
      <w:r>
        <w:rPr>
          <w:spacing w:val="29"/>
        </w:rPr>
        <w:t> </w:t>
      </w:r>
      <w:r>
        <w:rPr/>
        <w:t>(как</w:t>
      </w:r>
      <w:r>
        <w:rPr>
          <w:spacing w:val="30"/>
        </w:rPr>
        <w:t> </w:t>
      </w:r>
      <w:r>
        <w:rPr/>
        <w:t>в</w:t>
      </w:r>
      <w:r>
        <w:rPr>
          <w:spacing w:val="28"/>
        </w:rPr>
        <w:t> </w:t>
      </w:r>
      <w:r>
        <w:rPr/>
        <w:t>стационарных,</w:t>
      </w:r>
      <w:r>
        <w:rPr>
          <w:spacing w:val="28"/>
        </w:rPr>
        <w:t> </w:t>
      </w:r>
      <w:r>
        <w:rPr/>
        <w:t>так и в амбулаторных условиях) и выздоровления осуществляется без лабораторного обследования на COVID-19, если время лечения составляет 7 и более календарных дней. В случае, если время лечения (наблюдения) пациента с лабораторно подтвержденным</w:t>
      </w:r>
      <w:r>
        <w:rPr>
          <w:spacing w:val="80"/>
        </w:rPr>
        <w:t>  </w:t>
      </w:r>
      <w:r>
        <w:rPr/>
        <w:t>инфицированием</w:t>
      </w:r>
      <w:r>
        <w:rPr>
          <w:spacing w:val="80"/>
        </w:rPr>
        <w:t>  </w:t>
      </w:r>
      <w:r>
        <w:rPr/>
        <w:t>возбудителем</w:t>
      </w:r>
      <w:r>
        <w:rPr>
          <w:spacing w:val="80"/>
        </w:rPr>
        <w:t>  </w:t>
      </w:r>
      <w:r>
        <w:rPr/>
        <w:t>COVID-19</w:t>
      </w:r>
      <w:r>
        <w:rPr>
          <w:spacing w:val="80"/>
        </w:rPr>
        <w:t>  </w:t>
      </w:r>
      <w:r>
        <w:rPr/>
        <w:t>составляет менее 7 календарных дней, то выписка к занятию трудовой деятельностью (обучению), допуск в организованные коллективы осуществляются после получения одного отрицательного результата лабораторного обследования на COVID-19, проведенного</w:t>
      </w:r>
      <w:r>
        <w:rPr>
          <w:spacing w:val="-15"/>
        </w:rPr>
        <w:t> </w:t>
      </w:r>
      <w:r>
        <w:rPr/>
        <w:t>не</w:t>
      </w:r>
      <w:r>
        <w:rPr>
          <w:spacing w:val="-15"/>
        </w:rPr>
        <w:t> </w:t>
      </w:r>
      <w:r>
        <w:rPr/>
        <w:t>ранее</w:t>
      </w:r>
      <w:r>
        <w:rPr>
          <w:spacing w:val="-15"/>
        </w:rPr>
        <w:t> </w:t>
      </w:r>
      <w:r>
        <w:rPr/>
        <w:t>чем</w:t>
      </w:r>
      <w:r>
        <w:rPr>
          <w:spacing w:val="-15"/>
        </w:rPr>
        <w:t> </w:t>
      </w:r>
      <w:r>
        <w:rPr/>
        <w:t>через</w:t>
      </w:r>
      <w:r>
        <w:rPr>
          <w:spacing w:val="-15"/>
        </w:rPr>
        <w:t> </w:t>
      </w:r>
      <w:r>
        <w:rPr/>
        <w:t>3</w:t>
      </w:r>
      <w:r>
        <w:rPr>
          <w:spacing w:val="-15"/>
        </w:rPr>
        <w:t> </w:t>
      </w:r>
      <w:r>
        <w:rPr/>
        <w:t>календарных</w:t>
      </w:r>
      <w:r>
        <w:rPr>
          <w:spacing w:val="-15"/>
        </w:rPr>
        <w:t> </w:t>
      </w:r>
      <w:r>
        <w:rPr/>
        <w:t>дня</w:t>
      </w:r>
      <w:r>
        <w:rPr>
          <w:spacing w:val="-15"/>
        </w:rPr>
        <w:t> </w:t>
      </w:r>
      <w:r>
        <w:rPr/>
        <w:t>после</w:t>
      </w:r>
      <w:r>
        <w:rPr>
          <w:spacing w:val="-15"/>
        </w:rPr>
        <w:t> </w:t>
      </w:r>
      <w:r>
        <w:rPr/>
        <w:t>получения</w:t>
      </w:r>
      <w:r>
        <w:rPr>
          <w:spacing w:val="-15"/>
        </w:rPr>
        <w:t> </w:t>
      </w:r>
      <w:r>
        <w:rPr/>
        <w:t>положительного результата лабораторного обследования на COVID-19 </w:t>
      </w:r>
      <w:r>
        <w:rPr>
          <w:vertAlign w:val="superscript"/>
        </w:rPr>
        <w:t>1</w:t>
      </w:r>
      <w:r>
        <w:rPr>
          <w:vertAlign w:val="baseline"/>
        </w:rPr>
        <w:t>.</w:t>
      </w:r>
    </w:p>
    <w:p>
      <w:pPr>
        <w:pStyle w:val="BodyText"/>
        <w:spacing w:line="276" w:lineRule="auto"/>
        <w:ind w:right="1274" w:firstLine="707"/>
      </w:pPr>
      <w:r>
        <w:rPr/>
        <w:t>Выписка пациента из стационара для продолжения длечения в амбулаторных условиях может осуществляться до получения отрицательного результата лабораторного исследовани на COVID-19, за исключением выписки пациентов, проживающих</w:t>
      </w:r>
      <w:r>
        <w:rPr>
          <w:spacing w:val="32"/>
        </w:rPr>
        <w:t> </w:t>
      </w:r>
      <w:r>
        <w:rPr/>
        <w:t>в коммунальной</w:t>
      </w:r>
      <w:r>
        <w:rPr>
          <w:spacing w:val="33"/>
        </w:rPr>
        <w:t> </w:t>
      </w:r>
      <w:r>
        <w:rPr/>
        <w:t>квартире,</w:t>
      </w:r>
      <w:r>
        <w:rPr>
          <w:spacing w:val="32"/>
        </w:rPr>
        <w:t> </w:t>
      </w:r>
      <w:r>
        <w:rPr/>
        <w:t>учреждениях</w:t>
      </w:r>
      <w:r>
        <w:rPr>
          <w:spacing w:val="32"/>
        </w:rPr>
        <w:t> </w:t>
      </w:r>
      <w:r>
        <w:rPr/>
        <w:t>социального</w:t>
      </w:r>
      <w:r>
        <w:rPr>
          <w:spacing w:val="32"/>
        </w:rPr>
        <w:t> </w:t>
      </w:r>
      <w:r>
        <w:rPr/>
        <w:t>обслуживания с круглосуточным пребыванием, общежитиях и средствах размещения, предоставляющих гостиничные услуги.</w:t>
      </w:r>
    </w:p>
    <w:p>
      <w:pPr>
        <w:pStyle w:val="Heading1"/>
        <w:numPr>
          <w:ilvl w:val="1"/>
          <w:numId w:val="50"/>
        </w:numPr>
        <w:tabs>
          <w:tab w:pos="3177" w:val="left" w:leader="none"/>
        </w:tabs>
        <w:spacing w:line="259" w:lineRule="auto" w:before="236" w:after="0"/>
        <w:ind w:left="2549" w:right="1526" w:firstLine="0"/>
        <w:jc w:val="left"/>
      </w:pPr>
      <w:r>
        <w:rPr>
          <w:color w:val="1F487C"/>
        </w:rPr>
        <w:t>ОСОБЕННОСТИ</w:t>
      </w:r>
      <w:r>
        <w:rPr>
          <w:color w:val="1F487C"/>
          <w:spacing w:val="-18"/>
        </w:rPr>
        <w:t> </w:t>
      </w:r>
      <w:r>
        <w:rPr>
          <w:color w:val="1F487C"/>
        </w:rPr>
        <w:t>ДИСПАНСЕРНОГО</w:t>
      </w:r>
      <w:r>
        <w:rPr>
          <w:color w:val="1F487C"/>
          <w:spacing w:val="-17"/>
        </w:rPr>
        <w:t> </w:t>
      </w:r>
      <w:r>
        <w:rPr>
          <w:color w:val="1F487C"/>
        </w:rPr>
        <w:t>НАБЛЮДЕНИЯ И УГЛУБЛЕННОЙ ДИСПАНСЕРИЗАЦИИ ГРАЖДАН,</w:t>
      </w:r>
    </w:p>
    <w:p>
      <w:pPr>
        <w:spacing w:line="259" w:lineRule="auto" w:before="0"/>
        <w:ind w:left="2549" w:right="1283" w:firstLine="0"/>
        <w:jc w:val="left"/>
        <w:rPr>
          <w:b/>
          <w:sz w:val="28"/>
        </w:rPr>
      </w:pPr>
      <w:r>
        <w:rPr>
          <w:b/>
          <w:color w:val="1F487C"/>
          <w:sz w:val="28"/>
        </w:rPr>
        <w:t>ПЕРЕНЕСШИХ</w:t>
      </w:r>
      <w:r>
        <w:rPr>
          <w:b/>
          <w:color w:val="1F487C"/>
          <w:spacing w:val="-18"/>
          <w:sz w:val="28"/>
        </w:rPr>
        <w:t> </w:t>
      </w:r>
      <w:r>
        <w:rPr>
          <w:b/>
          <w:color w:val="1F487C"/>
          <w:sz w:val="28"/>
        </w:rPr>
        <w:t>НОВУЮ</w:t>
      </w:r>
      <w:r>
        <w:rPr>
          <w:b/>
          <w:color w:val="1F487C"/>
          <w:spacing w:val="-17"/>
          <w:sz w:val="28"/>
        </w:rPr>
        <w:t> </w:t>
      </w:r>
      <w:r>
        <w:rPr>
          <w:b/>
          <w:color w:val="1F487C"/>
          <w:sz w:val="28"/>
        </w:rPr>
        <w:t>КОРОНАВИРУСНУЮ ИНФЕКЦИЮ COVID-19</w:t>
      </w:r>
    </w:p>
    <w:p>
      <w:pPr>
        <w:spacing w:line="276" w:lineRule="auto" w:before="116"/>
        <w:ind w:left="1841" w:right="1277" w:firstLine="707"/>
        <w:jc w:val="both"/>
        <w:rPr>
          <w:sz w:val="24"/>
        </w:rPr>
      </w:pPr>
      <w:r>
        <w:rPr>
          <w:b/>
          <w:sz w:val="24"/>
        </w:rPr>
        <w:t>Пациентам, которым длительно проводилась неинвазивная и/или искусственная вентиляция легких </w:t>
      </w:r>
      <w:r>
        <w:rPr>
          <w:sz w:val="24"/>
        </w:rPr>
        <w:t>и у которых при выписке имелись признаки значительных функциональных/органических нарушений, рекомендовано дистанционное консультирование через 4 недели после выписки из медицинской организации для оценки общего состояния, выявления депрессии, симптомов </w:t>
      </w:r>
      <w:r>
        <w:rPr>
          <w:spacing w:val="-2"/>
          <w:sz w:val="24"/>
        </w:rPr>
        <w:t>подозрительных</w:t>
      </w:r>
      <w:r>
        <w:rPr>
          <w:spacing w:val="-7"/>
          <w:sz w:val="24"/>
        </w:rPr>
        <w:t> </w:t>
      </w:r>
      <w:r>
        <w:rPr>
          <w:spacing w:val="-2"/>
          <w:sz w:val="24"/>
        </w:rPr>
        <w:t>на</w:t>
      </w:r>
      <w:r>
        <w:rPr>
          <w:spacing w:val="-4"/>
          <w:sz w:val="24"/>
        </w:rPr>
        <w:t> </w:t>
      </w:r>
      <w:r>
        <w:rPr>
          <w:spacing w:val="-2"/>
          <w:sz w:val="24"/>
        </w:rPr>
        <w:t>тромбоэмболию или других</w:t>
      </w:r>
      <w:r>
        <w:rPr>
          <w:spacing w:val="-3"/>
          <w:sz w:val="24"/>
        </w:rPr>
        <w:t> </w:t>
      </w:r>
      <w:r>
        <w:rPr>
          <w:spacing w:val="-2"/>
          <w:sz w:val="24"/>
        </w:rPr>
        <w:t>синдромов</w:t>
      </w:r>
      <w:r>
        <w:rPr>
          <w:spacing w:val="-4"/>
          <w:sz w:val="24"/>
        </w:rPr>
        <w:t> </w:t>
      </w:r>
      <w:r>
        <w:rPr>
          <w:spacing w:val="-2"/>
          <w:sz w:val="24"/>
        </w:rPr>
        <w:t>и</w:t>
      </w:r>
      <w:r>
        <w:rPr>
          <w:spacing w:val="-4"/>
          <w:sz w:val="24"/>
        </w:rPr>
        <w:t> </w:t>
      </w:r>
      <w:r>
        <w:rPr>
          <w:spacing w:val="-2"/>
          <w:sz w:val="24"/>
        </w:rPr>
        <w:t>заболеваний,</w:t>
      </w:r>
      <w:r>
        <w:rPr>
          <w:spacing w:val="-6"/>
          <w:sz w:val="24"/>
        </w:rPr>
        <w:t> </w:t>
      </w:r>
      <w:r>
        <w:rPr>
          <w:spacing w:val="-2"/>
          <w:sz w:val="24"/>
        </w:rPr>
        <w:t>требующих внимания.</w:t>
      </w:r>
    </w:p>
    <w:p>
      <w:pPr>
        <w:pStyle w:val="BodyText"/>
        <w:spacing w:line="276" w:lineRule="auto"/>
        <w:ind w:right="1273" w:firstLine="707"/>
      </w:pPr>
      <w:r>
        <w:rPr/>
        <w:t>Через 8 недель после выписки рекомендуется посещение врача и проведение инструментальных исследований (по показаниям):</w:t>
      </w:r>
    </w:p>
    <w:p>
      <w:pPr>
        <w:pStyle w:val="ListParagraph"/>
        <w:numPr>
          <w:ilvl w:val="0"/>
          <w:numId w:val="52"/>
        </w:numPr>
        <w:tabs>
          <w:tab w:pos="2547" w:val="left" w:leader="none"/>
        </w:tabs>
        <w:spacing w:line="240" w:lineRule="auto" w:before="0" w:after="0"/>
        <w:ind w:left="2547" w:right="0" w:hanging="279"/>
        <w:jc w:val="both"/>
        <w:rPr>
          <w:sz w:val="24"/>
        </w:rPr>
      </w:pPr>
      <w:r>
        <w:rPr>
          <w:spacing w:val="-2"/>
          <w:sz w:val="24"/>
        </w:rPr>
        <w:t>рентгенографии</w:t>
      </w:r>
      <w:r>
        <w:rPr>
          <w:spacing w:val="3"/>
          <w:sz w:val="24"/>
        </w:rPr>
        <w:t> </w:t>
      </w:r>
      <w:r>
        <w:rPr>
          <w:spacing w:val="-2"/>
          <w:sz w:val="24"/>
        </w:rPr>
        <w:t>органов</w:t>
      </w:r>
      <w:r>
        <w:rPr>
          <w:spacing w:val="2"/>
          <w:sz w:val="24"/>
        </w:rPr>
        <w:t> </w:t>
      </w:r>
      <w:r>
        <w:rPr>
          <w:spacing w:val="-2"/>
          <w:sz w:val="24"/>
        </w:rPr>
        <w:t>грудной</w:t>
      </w:r>
      <w:r>
        <w:rPr>
          <w:spacing w:val="3"/>
          <w:sz w:val="24"/>
        </w:rPr>
        <w:t> </w:t>
      </w:r>
      <w:r>
        <w:rPr>
          <w:spacing w:val="-2"/>
          <w:sz w:val="24"/>
        </w:rPr>
        <w:t>клетки</w:t>
      </w:r>
      <w:r>
        <w:rPr>
          <w:spacing w:val="-2"/>
          <w:sz w:val="24"/>
          <w:vertAlign w:val="superscript"/>
        </w:rPr>
        <w:t>*</w:t>
      </w:r>
      <w:r>
        <w:rPr>
          <w:spacing w:val="-2"/>
          <w:sz w:val="24"/>
          <w:vertAlign w:val="baseline"/>
        </w:rPr>
        <w:t>;</w:t>
      </w:r>
    </w:p>
    <w:p>
      <w:pPr>
        <w:pStyle w:val="ListParagraph"/>
        <w:numPr>
          <w:ilvl w:val="0"/>
          <w:numId w:val="52"/>
        </w:numPr>
        <w:tabs>
          <w:tab w:pos="2547" w:val="left" w:leader="none"/>
        </w:tabs>
        <w:spacing w:line="240" w:lineRule="auto" w:before="41" w:after="0"/>
        <w:ind w:left="2547" w:right="0" w:hanging="279"/>
        <w:jc w:val="both"/>
        <w:rPr>
          <w:sz w:val="24"/>
        </w:rPr>
      </w:pPr>
      <w:r>
        <w:rPr>
          <w:spacing w:val="-2"/>
          <w:sz w:val="24"/>
        </w:rPr>
        <w:t>спирографии</w:t>
      </w:r>
      <w:r>
        <w:rPr>
          <w:spacing w:val="-2"/>
          <w:sz w:val="24"/>
          <w:vertAlign w:val="superscript"/>
        </w:rPr>
        <w:t>*</w:t>
      </w:r>
      <w:r>
        <w:rPr>
          <w:spacing w:val="-2"/>
          <w:sz w:val="24"/>
          <w:vertAlign w:val="baseline"/>
        </w:rPr>
        <w:t>;</w:t>
      </w:r>
    </w:p>
    <w:p>
      <w:pPr>
        <w:pStyle w:val="ListParagraph"/>
        <w:numPr>
          <w:ilvl w:val="0"/>
          <w:numId w:val="52"/>
        </w:numPr>
        <w:tabs>
          <w:tab w:pos="2547" w:val="left" w:leader="none"/>
          <w:tab w:pos="2549" w:val="left" w:leader="none"/>
        </w:tabs>
        <w:spacing w:line="276" w:lineRule="auto" w:before="40" w:after="0"/>
        <w:ind w:left="2549" w:right="1273" w:hanging="281"/>
        <w:jc w:val="both"/>
        <w:rPr>
          <w:sz w:val="24"/>
        </w:rPr>
      </w:pPr>
      <w:r>
        <w:rPr>
          <w:sz w:val="24"/>
        </w:rPr>
        <w:t>измерения насыщения крови кислородом (сатурация) в покое и при нагрузке (возможно</w:t>
      </w:r>
      <w:r>
        <w:rPr>
          <w:spacing w:val="-1"/>
          <w:sz w:val="24"/>
        </w:rPr>
        <w:t> </w:t>
      </w:r>
      <w:r>
        <w:rPr>
          <w:sz w:val="24"/>
        </w:rPr>
        <w:t>проведение</w:t>
      </w:r>
      <w:r>
        <w:rPr>
          <w:spacing w:val="-4"/>
          <w:sz w:val="24"/>
        </w:rPr>
        <w:t> </w:t>
      </w:r>
      <w:r>
        <w:rPr>
          <w:sz w:val="24"/>
        </w:rPr>
        <w:t>теста</w:t>
      </w:r>
      <w:r>
        <w:rPr>
          <w:spacing w:val="-1"/>
          <w:sz w:val="24"/>
        </w:rPr>
        <w:t> </w:t>
      </w:r>
      <w:r>
        <w:rPr>
          <w:sz w:val="24"/>
        </w:rPr>
        <w:t>с</w:t>
      </w:r>
      <w:r>
        <w:rPr>
          <w:spacing w:val="-2"/>
          <w:sz w:val="24"/>
        </w:rPr>
        <w:t> </w:t>
      </w:r>
      <w:r>
        <w:rPr>
          <w:sz w:val="24"/>
        </w:rPr>
        <w:t>6-минутной ходьбой с</w:t>
      </w:r>
      <w:r>
        <w:rPr>
          <w:spacing w:val="-2"/>
          <w:sz w:val="24"/>
        </w:rPr>
        <w:t> </w:t>
      </w:r>
      <w:r>
        <w:rPr>
          <w:sz w:val="24"/>
        </w:rPr>
        <w:t>определением</w:t>
      </w:r>
      <w:r>
        <w:rPr>
          <w:spacing w:val="-1"/>
          <w:sz w:val="24"/>
        </w:rPr>
        <w:t> </w:t>
      </w:r>
      <w:r>
        <w:rPr>
          <w:sz w:val="24"/>
        </w:rPr>
        <w:t>сатурации до и после теста) </w:t>
      </w:r>
      <w:r>
        <w:rPr>
          <w:sz w:val="24"/>
          <w:vertAlign w:val="superscript"/>
        </w:rPr>
        <w:t>*</w:t>
      </w:r>
      <w:r>
        <w:rPr>
          <w:sz w:val="24"/>
          <w:vertAlign w:val="baseline"/>
        </w:rPr>
        <w:t>;</w:t>
      </w:r>
    </w:p>
    <w:p>
      <w:pPr>
        <w:pStyle w:val="ListParagraph"/>
        <w:numPr>
          <w:ilvl w:val="0"/>
          <w:numId w:val="52"/>
        </w:numPr>
        <w:tabs>
          <w:tab w:pos="2547" w:val="left" w:leader="none"/>
        </w:tabs>
        <w:spacing w:line="276" w:lineRule="exact" w:before="0" w:after="0"/>
        <w:ind w:left="2547" w:right="0" w:hanging="279"/>
        <w:jc w:val="both"/>
        <w:rPr>
          <w:sz w:val="24"/>
        </w:rPr>
      </w:pPr>
      <w:r>
        <w:rPr>
          <w:spacing w:val="-2"/>
          <w:sz w:val="24"/>
        </w:rPr>
        <w:t>эхокардиографии</w:t>
      </w:r>
      <w:r>
        <w:rPr>
          <w:spacing w:val="10"/>
          <w:sz w:val="24"/>
        </w:rPr>
        <w:t> </w:t>
      </w:r>
      <w:r>
        <w:rPr>
          <w:spacing w:val="-2"/>
          <w:sz w:val="24"/>
        </w:rPr>
        <w:t>(ЭхоКГ);</w:t>
      </w:r>
    </w:p>
    <w:p>
      <w:pPr>
        <w:pStyle w:val="BodyText"/>
        <w:ind w:left="0"/>
        <w:jc w:val="left"/>
        <w:rPr>
          <w:sz w:val="20"/>
        </w:rPr>
      </w:pPr>
    </w:p>
    <w:p>
      <w:pPr>
        <w:pStyle w:val="BodyText"/>
        <w:spacing w:before="11"/>
        <w:ind w:left="0"/>
        <w:jc w:val="left"/>
        <w:rPr>
          <w:sz w:val="20"/>
        </w:rPr>
      </w:pPr>
      <w:r>
        <w:rPr>
          <w:sz w:val="20"/>
        </w:rPr>
        <mc:AlternateContent>
          <mc:Choice Requires="wps">
            <w:drawing>
              <wp:anchor distT="0" distB="0" distL="0" distR="0" allowOverlap="1" layoutInCell="1" locked="0" behindDoc="1" simplePos="0" relativeHeight="487600128">
                <wp:simplePos x="0" y="0"/>
                <wp:positionH relativeFrom="page">
                  <wp:posOffset>1170736</wp:posOffset>
                </wp:positionH>
                <wp:positionV relativeFrom="paragraph">
                  <wp:posOffset>168267</wp:posOffset>
                </wp:positionV>
                <wp:extent cx="1829435" cy="9525"/>
                <wp:effectExtent l="0" t="0" r="0" b="0"/>
                <wp:wrapTopAndBottom/>
                <wp:docPr id="66" name="Graphic 66"/>
                <wp:cNvGraphicFramePr>
                  <a:graphicFrameLocks/>
                </wp:cNvGraphicFramePr>
                <a:graphic>
                  <a:graphicData uri="http://schemas.microsoft.com/office/word/2010/wordprocessingShape">
                    <wps:wsp>
                      <wps:cNvPr id="66" name="Graphic 66"/>
                      <wps:cNvSpPr/>
                      <wps:spPr>
                        <a:xfrm>
                          <a:off x="0" y="0"/>
                          <a:ext cx="1829435" cy="9525"/>
                        </a:xfrm>
                        <a:custGeom>
                          <a:avLst/>
                          <a:gdLst/>
                          <a:ahLst/>
                          <a:cxnLst/>
                          <a:rect l="l" t="t" r="r" b="b"/>
                          <a:pathLst>
                            <a:path w="1829435" h="9525">
                              <a:moveTo>
                                <a:pt x="1826234" y="1802"/>
                              </a:moveTo>
                              <a:lnTo>
                                <a:pt x="-1100" y="1802"/>
                              </a:lnTo>
                              <a:lnTo>
                                <a:pt x="-1100" y="10937"/>
                              </a:lnTo>
                              <a:lnTo>
                                <a:pt x="1826234" y="10937"/>
                              </a:lnTo>
                              <a:lnTo>
                                <a:pt x="1826234" y="1802"/>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13.39135pt;width:143.884618pt;height:.719293pt;mso-position-horizontal-relative:page;mso-position-vertical-relative:paragraph;z-index:-15716352;mso-wrap-distance-left:0;mso-wrap-distance-right:0" id="docshape54" filled="true" fillcolor="#000000" stroked="false">
                <v:fill type="solid"/>
                <w10:wrap type="topAndBottom"/>
              </v:rect>
            </w:pict>
          </mc:Fallback>
        </mc:AlternateContent>
      </w:r>
    </w:p>
    <w:p>
      <w:pPr>
        <w:pStyle w:val="BodyText"/>
        <w:ind w:left="0"/>
        <w:jc w:val="left"/>
        <w:rPr>
          <w:sz w:val="20"/>
        </w:rPr>
      </w:pPr>
    </w:p>
    <w:p>
      <w:pPr>
        <w:pStyle w:val="BodyText"/>
        <w:spacing w:before="190"/>
        <w:ind w:left="0"/>
        <w:jc w:val="left"/>
        <w:rPr>
          <w:sz w:val="20"/>
        </w:rPr>
      </w:pPr>
    </w:p>
    <w:p>
      <w:pPr>
        <w:spacing w:before="0"/>
        <w:ind w:left="1841" w:right="0" w:firstLine="0"/>
        <w:jc w:val="left"/>
        <w:rPr>
          <w:sz w:val="20"/>
        </w:rPr>
      </w:pPr>
      <w:r>
        <w:rPr>
          <w:sz w:val="20"/>
          <w:vertAlign w:val="superscript"/>
        </w:rPr>
        <w:t>1</w:t>
      </w:r>
      <w:r>
        <w:rPr>
          <w:spacing w:val="-11"/>
          <w:sz w:val="20"/>
          <w:vertAlign w:val="baseline"/>
        </w:rPr>
        <w:t> </w:t>
      </w:r>
      <w:r>
        <w:rPr>
          <w:sz w:val="20"/>
          <w:vertAlign w:val="baseline"/>
        </w:rPr>
        <w:t>Постановление</w:t>
      </w:r>
      <w:r>
        <w:rPr>
          <w:spacing w:val="-11"/>
          <w:sz w:val="20"/>
          <w:vertAlign w:val="baseline"/>
        </w:rPr>
        <w:t> </w:t>
      </w:r>
      <w:r>
        <w:rPr>
          <w:sz w:val="20"/>
          <w:vertAlign w:val="baseline"/>
        </w:rPr>
        <w:t>Главного</w:t>
      </w:r>
      <w:r>
        <w:rPr>
          <w:spacing w:val="-9"/>
          <w:sz w:val="20"/>
          <w:vertAlign w:val="baseline"/>
        </w:rPr>
        <w:t> </w:t>
      </w:r>
      <w:r>
        <w:rPr>
          <w:sz w:val="20"/>
          <w:vertAlign w:val="baseline"/>
        </w:rPr>
        <w:t>государственного</w:t>
      </w:r>
      <w:r>
        <w:rPr>
          <w:spacing w:val="-10"/>
          <w:sz w:val="20"/>
          <w:vertAlign w:val="baseline"/>
        </w:rPr>
        <w:t> </w:t>
      </w:r>
      <w:r>
        <w:rPr>
          <w:sz w:val="20"/>
          <w:vertAlign w:val="baseline"/>
        </w:rPr>
        <w:t>санитарного</w:t>
      </w:r>
      <w:r>
        <w:rPr>
          <w:spacing w:val="-10"/>
          <w:sz w:val="20"/>
          <w:vertAlign w:val="baseline"/>
        </w:rPr>
        <w:t> </w:t>
      </w:r>
      <w:r>
        <w:rPr>
          <w:sz w:val="20"/>
          <w:vertAlign w:val="baseline"/>
        </w:rPr>
        <w:t>врача</w:t>
      </w:r>
      <w:r>
        <w:rPr>
          <w:spacing w:val="-10"/>
          <w:sz w:val="20"/>
          <w:vertAlign w:val="baseline"/>
        </w:rPr>
        <w:t> </w:t>
      </w:r>
      <w:r>
        <w:rPr>
          <w:sz w:val="20"/>
          <w:vertAlign w:val="baseline"/>
        </w:rPr>
        <w:t>Российской</w:t>
      </w:r>
      <w:r>
        <w:rPr>
          <w:spacing w:val="-11"/>
          <w:sz w:val="20"/>
          <w:vertAlign w:val="baseline"/>
        </w:rPr>
        <w:t> </w:t>
      </w:r>
      <w:r>
        <w:rPr>
          <w:spacing w:val="-2"/>
          <w:sz w:val="20"/>
          <w:vertAlign w:val="baseline"/>
        </w:rPr>
        <w:t>Федерации</w:t>
      </w:r>
    </w:p>
    <w:p>
      <w:pPr>
        <w:spacing w:before="0"/>
        <w:ind w:left="1841" w:right="1283" w:firstLine="0"/>
        <w:jc w:val="left"/>
        <w:rPr>
          <w:sz w:val="20"/>
        </w:rPr>
      </w:pPr>
      <w:r>
        <w:rPr>
          <w:sz w:val="20"/>
        </w:rPr>
        <w:t>от</w:t>
      </w:r>
      <w:r>
        <w:rPr>
          <w:spacing w:val="80"/>
          <w:sz w:val="20"/>
        </w:rPr>
        <w:t> </w:t>
      </w:r>
      <w:r>
        <w:rPr>
          <w:sz w:val="20"/>
        </w:rPr>
        <w:t>22.05.2020</w:t>
      </w:r>
      <w:r>
        <w:rPr>
          <w:spacing w:val="80"/>
          <w:sz w:val="20"/>
        </w:rPr>
        <w:t> </w:t>
      </w:r>
      <w:r>
        <w:rPr>
          <w:sz w:val="20"/>
        </w:rPr>
        <w:t>N</w:t>
      </w:r>
      <w:r>
        <w:rPr>
          <w:spacing w:val="80"/>
          <w:sz w:val="20"/>
        </w:rPr>
        <w:t> </w:t>
      </w:r>
      <w:r>
        <w:rPr>
          <w:sz w:val="20"/>
        </w:rPr>
        <w:t>15</w:t>
      </w:r>
      <w:r>
        <w:rPr>
          <w:spacing w:val="80"/>
          <w:sz w:val="20"/>
        </w:rPr>
        <w:t> </w:t>
      </w:r>
      <w:r>
        <w:rPr>
          <w:sz w:val="20"/>
        </w:rPr>
        <w:t>Об</w:t>
      </w:r>
      <w:r>
        <w:rPr>
          <w:spacing w:val="80"/>
          <w:sz w:val="20"/>
        </w:rPr>
        <w:t> </w:t>
      </w:r>
      <w:r>
        <w:rPr>
          <w:sz w:val="20"/>
        </w:rPr>
        <w:t>утверждении</w:t>
      </w:r>
      <w:r>
        <w:rPr>
          <w:spacing w:val="80"/>
          <w:sz w:val="20"/>
        </w:rPr>
        <w:t> </w:t>
      </w:r>
      <w:r>
        <w:rPr>
          <w:sz w:val="20"/>
        </w:rPr>
        <w:t>санитарно-эпидемиологических</w:t>
      </w:r>
      <w:r>
        <w:rPr>
          <w:spacing w:val="80"/>
          <w:sz w:val="20"/>
        </w:rPr>
        <w:t> </w:t>
      </w:r>
      <w:r>
        <w:rPr>
          <w:sz w:val="20"/>
        </w:rPr>
        <w:t>правил</w:t>
      </w:r>
      <w:r>
        <w:rPr>
          <w:spacing w:val="80"/>
          <w:sz w:val="20"/>
        </w:rPr>
        <w:t> </w:t>
      </w:r>
      <w:r>
        <w:rPr>
          <w:sz w:val="20"/>
        </w:rPr>
        <w:t>СП</w:t>
      </w:r>
      <w:r>
        <w:rPr>
          <w:spacing w:val="80"/>
          <w:sz w:val="20"/>
        </w:rPr>
        <w:t> </w:t>
      </w:r>
      <w:r>
        <w:rPr>
          <w:sz w:val="20"/>
        </w:rPr>
        <w:t>3.1.3597-20 "Профилактика новой коронавирусной инфекции (COVID-19)" (с</w:t>
      </w:r>
      <w:r>
        <w:rPr>
          <w:spacing w:val="-2"/>
          <w:sz w:val="20"/>
        </w:rPr>
        <w:t> </w:t>
      </w:r>
      <w:r>
        <w:rPr>
          <w:sz w:val="20"/>
        </w:rPr>
        <w:t>изменениями на 20 июня 2022 года)</w:t>
      </w:r>
    </w:p>
    <w:p>
      <w:pPr>
        <w:spacing w:before="1"/>
        <w:ind w:left="1841" w:right="0" w:firstLine="0"/>
        <w:jc w:val="left"/>
        <w:rPr>
          <w:sz w:val="20"/>
        </w:rPr>
      </w:pPr>
      <w:r>
        <w:rPr>
          <w:sz w:val="20"/>
          <w:vertAlign w:val="superscript"/>
        </w:rPr>
        <w:t>*</w:t>
      </w:r>
      <w:r>
        <w:rPr>
          <w:spacing w:val="-6"/>
          <w:sz w:val="20"/>
          <w:vertAlign w:val="baseline"/>
        </w:rPr>
        <w:t> </w:t>
      </w:r>
      <w:r>
        <w:rPr>
          <w:sz w:val="20"/>
          <w:vertAlign w:val="baseline"/>
        </w:rPr>
        <w:t>при</w:t>
      </w:r>
      <w:r>
        <w:rPr>
          <w:spacing w:val="-7"/>
          <w:sz w:val="20"/>
          <w:vertAlign w:val="baseline"/>
        </w:rPr>
        <w:t> </w:t>
      </w:r>
      <w:r>
        <w:rPr>
          <w:sz w:val="20"/>
          <w:vertAlign w:val="baseline"/>
        </w:rPr>
        <w:t>выявлении</w:t>
      </w:r>
      <w:r>
        <w:rPr>
          <w:spacing w:val="-7"/>
          <w:sz w:val="20"/>
          <w:vertAlign w:val="baseline"/>
        </w:rPr>
        <w:t> </w:t>
      </w:r>
      <w:r>
        <w:rPr>
          <w:sz w:val="20"/>
          <w:vertAlign w:val="baseline"/>
        </w:rPr>
        <w:t>патологии</w:t>
      </w:r>
      <w:r>
        <w:rPr>
          <w:spacing w:val="-3"/>
          <w:sz w:val="20"/>
          <w:vertAlign w:val="baseline"/>
        </w:rPr>
        <w:t> </w:t>
      </w:r>
      <w:r>
        <w:rPr>
          <w:sz w:val="20"/>
          <w:vertAlign w:val="baseline"/>
        </w:rPr>
        <w:t>–</w:t>
      </w:r>
      <w:r>
        <w:rPr>
          <w:spacing w:val="-5"/>
          <w:sz w:val="20"/>
          <w:vertAlign w:val="baseline"/>
        </w:rPr>
        <w:t> </w:t>
      </w:r>
      <w:r>
        <w:rPr>
          <w:sz w:val="20"/>
          <w:vertAlign w:val="baseline"/>
        </w:rPr>
        <w:t>проведение</w:t>
      </w:r>
      <w:r>
        <w:rPr>
          <w:spacing w:val="-4"/>
          <w:sz w:val="20"/>
          <w:vertAlign w:val="baseline"/>
        </w:rPr>
        <w:t> </w:t>
      </w:r>
      <w:r>
        <w:rPr>
          <w:sz w:val="20"/>
          <w:vertAlign w:val="baseline"/>
        </w:rPr>
        <w:t>КТ</w:t>
      </w:r>
      <w:r>
        <w:rPr>
          <w:spacing w:val="-6"/>
          <w:sz w:val="20"/>
          <w:vertAlign w:val="baseline"/>
        </w:rPr>
        <w:t> </w:t>
      </w:r>
      <w:r>
        <w:rPr>
          <w:spacing w:val="-2"/>
          <w:sz w:val="20"/>
          <w:vertAlign w:val="baseline"/>
        </w:rPr>
        <w:t>легких.</w:t>
      </w:r>
    </w:p>
    <w:p>
      <w:pPr>
        <w:spacing w:after="0"/>
        <w:jc w:val="left"/>
        <w:rPr>
          <w:sz w:val="20"/>
        </w:rPr>
        <w:sectPr>
          <w:pgSz w:w="11900" w:h="16840"/>
          <w:pgMar w:header="0" w:footer="697" w:top="1080" w:bottom="880" w:left="0" w:right="0"/>
        </w:sectPr>
      </w:pPr>
    </w:p>
    <w:p>
      <w:pPr>
        <w:pStyle w:val="ListParagraph"/>
        <w:numPr>
          <w:ilvl w:val="0"/>
          <w:numId w:val="52"/>
        </w:numPr>
        <w:tabs>
          <w:tab w:pos="2547" w:val="left" w:leader="none"/>
          <w:tab w:pos="2549" w:val="left" w:leader="none"/>
        </w:tabs>
        <w:spacing w:line="276" w:lineRule="auto" w:before="73" w:after="0"/>
        <w:ind w:left="2549" w:right="1279" w:hanging="281"/>
        <w:jc w:val="both"/>
        <w:rPr>
          <w:sz w:val="24"/>
        </w:rPr>
      </w:pPr>
      <w:bookmarkStart w:name="112" w:id="131"/>
      <w:bookmarkEnd w:id="131"/>
      <w:r>
        <w:rPr/>
      </w:r>
      <w:r>
        <w:rPr>
          <w:sz w:val="24"/>
        </w:rPr>
        <w:t>других методов исследования (диффузионный тест, газы артериальной крови и др.).</w:t>
      </w:r>
    </w:p>
    <w:p>
      <w:pPr>
        <w:pStyle w:val="BodyText"/>
        <w:spacing w:line="278" w:lineRule="auto"/>
        <w:ind w:right="1281" w:firstLine="707"/>
      </w:pPr>
      <w:r>
        <w:rPr/>
        <w:t>Дальнейшая</w:t>
      </w:r>
      <w:r>
        <w:rPr>
          <w:spacing w:val="40"/>
        </w:rPr>
        <w:t>  </w:t>
      </w:r>
      <w:r>
        <w:rPr/>
        <w:t>тактика</w:t>
      </w:r>
      <w:r>
        <w:rPr>
          <w:spacing w:val="40"/>
        </w:rPr>
        <w:t>  </w:t>
      </w:r>
      <w:r>
        <w:rPr/>
        <w:t>диспансерного</w:t>
      </w:r>
      <w:r>
        <w:rPr>
          <w:spacing w:val="40"/>
        </w:rPr>
        <w:t>  </w:t>
      </w:r>
      <w:r>
        <w:rPr/>
        <w:t>наблюдения</w:t>
      </w:r>
      <w:r>
        <w:rPr>
          <w:spacing w:val="40"/>
        </w:rPr>
        <w:t>  </w:t>
      </w:r>
      <w:r>
        <w:rPr/>
        <w:t>определяется</w:t>
      </w:r>
      <w:r>
        <w:rPr>
          <w:spacing w:val="40"/>
        </w:rPr>
        <w:t>  </w:t>
      </w:r>
      <w:r>
        <w:rPr/>
        <w:t>врачом</w:t>
      </w:r>
      <w:r>
        <w:rPr>
          <w:spacing w:val="40"/>
        </w:rPr>
        <w:t> </w:t>
      </w:r>
      <w:r>
        <w:rPr/>
        <w:t>в зависимости от результатов осмотра и обследования.</w:t>
      </w:r>
    </w:p>
    <w:p>
      <w:pPr>
        <w:pStyle w:val="BodyText"/>
        <w:spacing w:line="276" w:lineRule="auto"/>
        <w:ind w:right="1279" w:firstLine="707"/>
      </w:pPr>
      <w:r>
        <w:rPr/>
        <w:t>При отсутствии жалоб и патологических изменений по результатам исследований дальнейшее</w:t>
      </w:r>
      <w:r>
        <w:rPr>
          <w:spacing w:val="-2"/>
        </w:rPr>
        <w:t> </w:t>
      </w:r>
      <w:r>
        <w:rPr/>
        <w:t>диспансерное</w:t>
      </w:r>
      <w:r>
        <w:rPr>
          <w:spacing w:val="-2"/>
        </w:rPr>
        <w:t> </w:t>
      </w:r>
      <w:r>
        <w:rPr/>
        <w:t>наблюдение</w:t>
      </w:r>
      <w:r>
        <w:rPr>
          <w:spacing w:val="-2"/>
        </w:rPr>
        <w:t> </w:t>
      </w:r>
      <w:r>
        <w:rPr/>
        <w:t>осуществляется</w:t>
      </w:r>
      <w:r>
        <w:rPr>
          <w:spacing w:val="-1"/>
        </w:rPr>
        <w:t> </w:t>
      </w:r>
      <w:r>
        <w:rPr/>
        <w:t>в</w:t>
      </w:r>
      <w:r>
        <w:rPr>
          <w:spacing w:val="-1"/>
        </w:rPr>
        <w:t> </w:t>
      </w:r>
      <w:r>
        <w:rPr/>
        <w:t>соответствии с</w:t>
      </w:r>
      <w:r>
        <w:rPr>
          <w:spacing w:val="-5"/>
        </w:rPr>
        <w:t> </w:t>
      </w:r>
      <w:r>
        <w:rPr/>
        <w:t>Приказом</w:t>
      </w:r>
      <w:r>
        <w:rPr>
          <w:spacing w:val="75"/>
        </w:rPr>
        <w:t> </w:t>
      </w:r>
      <w:r>
        <w:rPr/>
        <w:t>Минздрава</w:t>
      </w:r>
      <w:r>
        <w:rPr>
          <w:spacing w:val="74"/>
        </w:rPr>
        <w:t> </w:t>
      </w:r>
      <w:r>
        <w:rPr/>
        <w:t>России</w:t>
      </w:r>
      <w:r>
        <w:rPr>
          <w:spacing w:val="76"/>
        </w:rPr>
        <w:t> </w:t>
      </w:r>
      <w:r>
        <w:rPr/>
        <w:t>№173н</w:t>
      </w:r>
      <w:r>
        <w:rPr>
          <w:spacing w:val="76"/>
        </w:rPr>
        <w:t> </w:t>
      </w:r>
      <w:r>
        <w:rPr/>
        <w:t>от</w:t>
      </w:r>
      <w:r>
        <w:rPr>
          <w:spacing w:val="76"/>
        </w:rPr>
        <w:t> </w:t>
      </w:r>
      <w:r>
        <w:rPr/>
        <w:t>29.03.2019</w:t>
      </w:r>
      <w:r>
        <w:rPr>
          <w:spacing w:val="76"/>
        </w:rPr>
        <w:t> </w:t>
      </w:r>
      <w:r>
        <w:rPr/>
        <w:t>с</w:t>
      </w:r>
      <w:r>
        <w:rPr>
          <w:spacing w:val="75"/>
        </w:rPr>
        <w:t> </w:t>
      </w:r>
      <w:r>
        <w:rPr/>
        <w:t>определением</w:t>
      </w:r>
      <w:r>
        <w:rPr>
          <w:spacing w:val="75"/>
        </w:rPr>
        <w:t> </w:t>
      </w:r>
      <w:r>
        <w:rPr/>
        <w:t>сатурации и проведением рентгенографии легких.</w:t>
      </w:r>
    </w:p>
    <w:p>
      <w:pPr>
        <w:pStyle w:val="BodyText"/>
        <w:spacing w:line="276" w:lineRule="auto"/>
        <w:ind w:right="1273" w:firstLine="707"/>
      </w:pPr>
      <w:r>
        <w:rPr/>
        <w:t>При</w:t>
      </w:r>
      <w:r>
        <w:rPr>
          <w:spacing w:val="-12"/>
        </w:rPr>
        <w:t> </w:t>
      </w:r>
      <w:r>
        <w:rPr/>
        <w:t>выявлении</w:t>
      </w:r>
      <w:r>
        <w:rPr>
          <w:spacing w:val="-12"/>
        </w:rPr>
        <w:t> </w:t>
      </w:r>
      <w:r>
        <w:rPr/>
        <w:t>на</w:t>
      </w:r>
      <w:r>
        <w:rPr>
          <w:spacing w:val="-14"/>
        </w:rPr>
        <w:t> </w:t>
      </w:r>
      <w:r>
        <w:rPr/>
        <w:t>КТ</w:t>
      </w:r>
      <w:r>
        <w:rPr>
          <w:spacing w:val="-13"/>
        </w:rPr>
        <w:t> </w:t>
      </w:r>
      <w:r>
        <w:rPr/>
        <w:t>легких</w:t>
      </w:r>
      <w:r>
        <w:rPr>
          <w:spacing w:val="-13"/>
        </w:rPr>
        <w:t> </w:t>
      </w:r>
      <w:r>
        <w:rPr/>
        <w:t>патологических</w:t>
      </w:r>
      <w:r>
        <w:rPr>
          <w:spacing w:val="-15"/>
        </w:rPr>
        <w:t> </w:t>
      </w:r>
      <w:r>
        <w:rPr/>
        <w:t>изменений</w:t>
      </w:r>
      <w:r>
        <w:rPr>
          <w:spacing w:val="-12"/>
        </w:rPr>
        <w:t> </w:t>
      </w:r>
      <w:r>
        <w:rPr/>
        <w:t>(признаков</w:t>
      </w:r>
      <w:r>
        <w:rPr>
          <w:spacing w:val="-13"/>
        </w:rPr>
        <w:t> </w:t>
      </w:r>
      <w:r>
        <w:rPr/>
        <w:t>легочного фиброза,</w:t>
      </w:r>
      <w:r>
        <w:rPr>
          <w:spacing w:val="-8"/>
        </w:rPr>
        <w:t> </w:t>
      </w:r>
      <w:r>
        <w:rPr/>
        <w:t>интерстициальных</w:t>
      </w:r>
      <w:r>
        <w:rPr>
          <w:spacing w:val="-8"/>
        </w:rPr>
        <w:t> </w:t>
      </w:r>
      <w:r>
        <w:rPr/>
        <w:t>болезней</w:t>
      </w:r>
      <w:r>
        <w:rPr>
          <w:spacing w:val="-6"/>
        </w:rPr>
        <w:t> </w:t>
      </w:r>
      <w:r>
        <w:rPr/>
        <w:t>легких,</w:t>
      </w:r>
      <w:r>
        <w:rPr>
          <w:spacing w:val="-9"/>
        </w:rPr>
        <w:t> </w:t>
      </w:r>
      <w:r>
        <w:rPr/>
        <w:t>васкулита)</w:t>
      </w:r>
      <w:r>
        <w:rPr>
          <w:spacing w:val="-9"/>
        </w:rPr>
        <w:t> </w:t>
      </w:r>
      <w:r>
        <w:rPr/>
        <w:t>рекомендуется</w:t>
      </w:r>
      <w:r>
        <w:rPr>
          <w:spacing w:val="-8"/>
        </w:rPr>
        <w:t> </w:t>
      </w:r>
      <w:r>
        <w:rPr/>
        <w:t>направление к</w:t>
      </w:r>
      <w:r>
        <w:rPr>
          <w:spacing w:val="-3"/>
        </w:rPr>
        <w:t> </w:t>
      </w:r>
      <w:r>
        <w:rPr/>
        <w:t>специалисту (пульмонологу). При отсутствии патологических изменений на КТ легких, но наличии у пациента жалоб или изменений в результатах других исследований рекомендуется провести дифференциальный диагноз с другими </w:t>
      </w:r>
      <w:r>
        <w:rPr>
          <w:spacing w:val="-2"/>
        </w:rPr>
        <w:t>заболеваниями/состояниями.</w:t>
      </w:r>
    </w:p>
    <w:p>
      <w:pPr>
        <w:spacing w:line="276" w:lineRule="auto" w:before="0"/>
        <w:ind w:left="1841" w:right="1272" w:firstLine="707"/>
        <w:jc w:val="both"/>
        <w:rPr>
          <w:sz w:val="24"/>
        </w:rPr>
      </w:pPr>
      <w:r>
        <w:rPr>
          <w:b/>
          <w:sz w:val="24"/>
        </w:rPr>
        <w:t>Пациенты с перенесенной пневмонией легкой или средней тяжести, которые не нуждались в лечении в ОРИТ (в том числе пациенты, которые проходили лечение амбулаторно), </w:t>
      </w:r>
      <w:r>
        <w:rPr>
          <w:sz w:val="24"/>
        </w:rPr>
        <w:t>наблюдаются в соответствии с приказом Минздрава России от 29.03.2019</w:t>
      </w:r>
      <w:r>
        <w:rPr>
          <w:spacing w:val="-4"/>
          <w:sz w:val="24"/>
        </w:rPr>
        <w:t> </w:t>
      </w:r>
      <w:r>
        <w:rPr>
          <w:sz w:val="24"/>
        </w:rPr>
        <w:t>г. №173н «Об утверждении порядка проведения диспансерного</w:t>
      </w:r>
      <w:r>
        <w:rPr>
          <w:spacing w:val="-1"/>
          <w:sz w:val="24"/>
        </w:rPr>
        <w:t> </w:t>
      </w:r>
      <w:r>
        <w:rPr>
          <w:sz w:val="24"/>
        </w:rPr>
        <w:t>наблюдения</w:t>
      </w:r>
      <w:r>
        <w:rPr>
          <w:spacing w:val="-1"/>
          <w:sz w:val="24"/>
        </w:rPr>
        <w:t> </w:t>
      </w:r>
      <w:r>
        <w:rPr>
          <w:sz w:val="24"/>
        </w:rPr>
        <w:t>за</w:t>
      </w:r>
      <w:r>
        <w:rPr>
          <w:spacing w:val="-2"/>
          <w:sz w:val="24"/>
        </w:rPr>
        <w:t> </w:t>
      </w:r>
      <w:r>
        <w:rPr>
          <w:sz w:val="24"/>
        </w:rPr>
        <w:t>взрослыми»</w:t>
      </w:r>
      <w:r>
        <w:rPr>
          <w:spacing w:val="-1"/>
          <w:sz w:val="24"/>
        </w:rPr>
        <w:t> </w:t>
      </w:r>
      <w:r>
        <w:rPr>
          <w:sz w:val="24"/>
        </w:rPr>
        <w:t>с</w:t>
      </w:r>
      <w:r>
        <w:rPr>
          <w:spacing w:val="-2"/>
          <w:sz w:val="24"/>
        </w:rPr>
        <w:t> </w:t>
      </w:r>
      <w:r>
        <w:rPr>
          <w:sz w:val="24"/>
        </w:rPr>
        <w:t>определением</w:t>
      </w:r>
      <w:r>
        <w:rPr>
          <w:spacing w:val="-2"/>
          <w:sz w:val="24"/>
        </w:rPr>
        <w:t> </w:t>
      </w:r>
      <w:r>
        <w:rPr>
          <w:sz w:val="24"/>
        </w:rPr>
        <w:t>сатурации и проведением рентгенографии легких. В случае если в процессе стационарного лечения выявлено подозрение на злокачественное новообразование в легких, рекомендуется провести повторную рентгенографию органов грудной клетки через 6 недель после выписки, при</w:t>
      </w:r>
      <w:r>
        <w:rPr>
          <w:spacing w:val="80"/>
          <w:sz w:val="24"/>
        </w:rPr>
        <w:t> </w:t>
      </w:r>
      <w:r>
        <w:rPr>
          <w:sz w:val="24"/>
        </w:rPr>
        <w:t>необходимости</w:t>
      </w:r>
      <w:r>
        <w:rPr>
          <w:spacing w:val="80"/>
          <w:sz w:val="24"/>
        </w:rPr>
        <w:t> </w:t>
      </w:r>
      <w:r>
        <w:rPr>
          <w:sz w:val="24"/>
        </w:rPr>
        <w:t>направить</w:t>
      </w:r>
      <w:r>
        <w:rPr>
          <w:spacing w:val="80"/>
          <w:sz w:val="24"/>
        </w:rPr>
        <w:t> </w:t>
      </w:r>
      <w:r>
        <w:rPr>
          <w:sz w:val="24"/>
        </w:rPr>
        <w:t>пациента</w:t>
      </w:r>
      <w:r>
        <w:rPr>
          <w:spacing w:val="80"/>
          <w:sz w:val="24"/>
        </w:rPr>
        <w:t> </w:t>
      </w:r>
      <w:r>
        <w:rPr>
          <w:sz w:val="24"/>
        </w:rPr>
        <w:t>на</w:t>
      </w:r>
      <w:r>
        <w:rPr>
          <w:spacing w:val="80"/>
          <w:sz w:val="24"/>
        </w:rPr>
        <w:t> </w:t>
      </w:r>
      <w:r>
        <w:rPr>
          <w:sz w:val="24"/>
        </w:rPr>
        <w:t>КТ</w:t>
      </w:r>
      <w:r>
        <w:rPr>
          <w:spacing w:val="80"/>
          <w:sz w:val="24"/>
        </w:rPr>
        <w:t> </w:t>
      </w:r>
      <w:r>
        <w:rPr>
          <w:sz w:val="24"/>
        </w:rPr>
        <w:t>легких</w:t>
      </w:r>
      <w:r>
        <w:rPr>
          <w:spacing w:val="80"/>
          <w:sz w:val="24"/>
        </w:rPr>
        <w:t> </w:t>
      </w:r>
      <w:r>
        <w:rPr>
          <w:sz w:val="24"/>
        </w:rPr>
        <w:t>и</w:t>
      </w:r>
      <w:r>
        <w:rPr>
          <w:spacing w:val="80"/>
          <w:sz w:val="24"/>
        </w:rPr>
        <w:t> </w:t>
      </w:r>
      <w:r>
        <w:rPr>
          <w:sz w:val="24"/>
        </w:rPr>
        <w:t>проконсультироваться с онкологом.</w:t>
      </w:r>
    </w:p>
    <w:p>
      <w:pPr>
        <w:pStyle w:val="BodyText"/>
        <w:spacing w:line="276" w:lineRule="auto"/>
        <w:ind w:right="1280" w:firstLine="707"/>
      </w:pPr>
      <w:r>
        <w:rPr/>
        <w:t>Если</w:t>
      </w:r>
      <w:r>
        <w:rPr>
          <w:spacing w:val="80"/>
          <w:w w:val="150"/>
        </w:rPr>
        <w:t> </w:t>
      </w:r>
      <w:r>
        <w:rPr/>
        <w:t>при</w:t>
      </w:r>
      <w:r>
        <w:rPr>
          <w:spacing w:val="80"/>
          <w:w w:val="150"/>
        </w:rPr>
        <w:t> </w:t>
      </w:r>
      <w:r>
        <w:rPr/>
        <w:t>выписке</w:t>
      </w:r>
      <w:r>
        <w:rPr>
          <w:spacing w:val="80"/>
          <w:w w:val="150"/>
        </w:rPr>
        <w:t> </w:t>
      </w:r>
      <w:r>
        <w:rPr/>
        <w:t>из</w:t>
      </w:r>
      <w:r>
        <w:rPr>
          <w:spacing w:val="80"/>
          <w:w w:val="150"/>
        </w:rPr>
        <w:t> </w:t>
      </w:r>
      <w:r>
        <w:rPr/>
        <w:t>стационара</w:t>
      </w:r>
      <w:r>
        <w:rPr>
          <w:spacing w:val="80"/>
          <w:w w:val="150"/>
        </w:rPr>
        <w:t> </w:t>
      </w:r>
      <w:r>
        <w:rPr/>
        <w:t>у</w:t>
      </w:r>
      <w:r>
        <w:rPr>
          <w:spacing w:val="80"/>
          <w:w w:val="150"/>
        </w:rPr>
        <w:t> </w:t>
      </w:r>
      <w:r>
        <w:rPr/>
        <w:t>пациента</w:t>
      </w:r>
      <w:r>
        <w:rPr>
          <w:spacing w:val="80"/>
          <w:w w:val="150"/>
        </w:rPr>
        <w:t> </w:t>
      </w:r>
      <w:r>
        <w:rPr/>
        <w:t>сохранялись</w:t>
      </w:r>
      <w:r>
        <w:rPr>
          <w:spacing w:val="80"/>
          <w:w w:val="150"/>
        </w:rPr>
        <w:t> </w:t>
      </w:r>
      <w:r>
        <w:rPr/>
        <w:t>изменения на</w:t>
      </w:r>
      <w:r>
        <w:rPr>
          <w:spacing w:val="-6"/>
        </w:rPr>
        <w:t> </w:t>
      </w:r>
      <w:r>
        <w:rPr/>
        <w:t>рентгенограмме или КТ легких, рекомендуется визуализирующее исследование (рентгенография легких, КТ) через 8 недель после последнего КТ легких и/или рентгенографии органов грудной клетки.</w:t>
      </w:r>
    </w:p>
    <w:p>
      <w:pPr>
        <w:pStyle w:val="BodyText"/>
        <w:spacing w:line="275" w:lineRule="exact"/>
        <w:ind w:left="2549"/>
      </w:pPr>
      <w:r>
        <w:rPr/>
        <w:t>В</w:t>
      </w:r>
      <w:r>
        <w:rPr>
          <w:spacing w:val="-12"/>
        </w:rPr>
        <w:t> </w:t>
      </w:r>
      <w:r>
        <w:rPr/>
        <w:t>случае</w:t>
      </w:r>
      <w:r>
        <w:rPr>
          <w:spacing w:val="-12"/>
        </w:rPr>
        <w:t> </w:t>
      </w:r>
      <w:r>
        <w:rPr/>
        <w:t>выявления</w:t>
      </w:r>
      <w:r>
        <w:rPr>
          <w:spacing w:val="-13"/>
        </w:rPr>
        <w:t> </w:t>
      </w:r>
      <w:r>
        <w:rPr/>
        <w:t>на</w:t>
      </w:r>
      <w:r>
        <w:rPr>
          <w:spacing w:val="-12"/>
        </w:rPr>
        <w:t> </w:t>
      </w:r>
      <w:r>
        <w:rPr/>
        <w:t>рентгенограмме</w:t>
      </w:r>
      <w:r>
        <w:rPr>
          <w:spacing w:val="-12"/>
        </w:rPr>
        <w:t> </w:t>
      </w:r>
      <w:r>
        <w:rPr/>
        <w:t>легких</w:t>
      </w:r>
      <w:r>
        <w:rPr>
          <w:spacing w:val="-12"/>
        </w:rPr>
        <w:t> </w:t>
      </w:r>
      <w:r>
        <w:rPr/>
        <w:t>патологических</w:t>
      </w:r>
      <w:r>
        <w:rPr>
          <w:spacing w:val="-13"/>
        </w:rPr>
        <w:t> </w:t>
      </w:r>
      <w:r>
        <w:rPr>
          <w:spacing w:val="-2"/>
        </w:rPr>
        <w:t>изменений:</w:t>
      </w:r>
    </w:p>
    <w:p>
      <w:pPr>
        <w:pStyle w:val="ListParagraph"/>
        <w:numPr>
          <w:ilvl w:val="0"/>
          <w:numId w:val="53"/>
        </w:numPr>
        <w:tabs>
          <w:tab w:pos="2549" w:val="left" w:leader="none"/>
        </w:tabs>
        <w:spacing w:line="271" w:lineRule="auto" w:before="31" w:after="0"/>
        <w:ind w:left="2549" w:right="1277" w:hanging="281"/>
        <w:jc w:val="both"/>
        <w:rPr>
          <w:sz w:val="24"/>
        </w:rPr>
      </w:pPr>
      <w:r>
        <w:rPr>
          <w:sz w:val="24"/>
        </w:rPr>
        <w:t>проведение спирографии (запись и последующее клиническое консультирование специалистом может быть выполнено дистанционно)</w:t>
      </w:r>
      <w:r>
        <w:rPr>
          <w:sz w:val="24"/>
          <w:vertAlign w:val="superscript"/>
        </w:rPr>
        <w:t>*</w:t>
      </w:r>
      <w:r>
        <w:rPr>
          <w:sz w:val="24"/>
          <w:vertAlign w:val="baseline"/>
        </w:rPr>
        <w:t>;</w:t>
      </w:r>
    </w:p>
    <w:p>
      <w:pPr>
        <w:pStyle w:val="ListParagraph"/>
        <w:numPr>
          <w:ilvl w:val="0"/>
          <w:numId w:val="53"/>
        </w:numPr>
        <w:tabs>
          <w:tab w:pos="2549" w:val="left" w:leader="none"/>
        </w:tabs>
        <w:spacing w:line="273" w:lineRule="auto" w:before="9" w:after="0"/>
        <w:ind w:left="2549" w:right="1273" w:hanging="281"/>
        <w:jc w:val="both"/>
        <w:rPr>
          <w:sz w:val="24"/>
        </w:rPr>
      </w:pPr>
      <w:r>
        <w:rPr>
          <w:sz w:val="24"/>
        </w:rPr>
        <w:t>измерение насыщения крови кислородом (сатурация) в покое и при нагрузке (возможно</w:t>
      </w:r>
      <w:r>
        <w:rPr>
          <w:spacing w:val="-1"/>
          <w:sz w:val="24"/>
        </w:rPr>
        <w:t> </w:t>
      </w:r>
      <w:r>
        <w:rPr>
          <w:sz w:val="24"/>
        </w:rPr>
        <w:t>проведение</w:t>
      </w:r>
      <w:r>
        <w:rPr>
          <w:spacing w:val="-4"/>
          <w:sz w:val="24"/>
        </w:rPr>
        <w:t> </w:t>
      </w:r>
      <w:r>
        <w:rPr>
          <w:sz w:val="24"/>
        </w:rPr>
        <w:t>теста</w:t>
      </w:r>
      <w:r>
        <w:rPr>
          <w:spacing w:val="-1"/>
          <w:sz w:val="24"/>
        </w:rPr>
        <w:t> </w:t>
      </w:r>
      <w:r>
        <w:rPr>
          <w:sz w:val="24"/>
        </w:rPr>
        <w:t>с</w:t>
      </w:r>
      <w:r>
        <w:rPr>
          <w:spacing w:val="-2"/>
          <w:sz w:val="24"/>
        </w:rPr>
        <w:t> </w:t>
      </w:r>
      <w:r>
        <w:rPr>
          <w:sz w:val="24"/>
        </w:rPr>
        <w:t>6-минутной ходьбой с</w:t>
      </w:r>
      <w:r>
        <w:rPr>
          <w:spacing w:val="-2"/>
          <w:sz w:val="24"/>
        </w:rPr>
        <w:t> </w:t>
      </w:r>
      <w:r>
        <w:rPr>
          <w:sz w:val="24"/>
        </w:rPr>
        <w:t>определением</w:t>
      </w:r>
      <w:r>
        <w:rPr>
          <w:spacing w:val="-1"/>
          <w:sz w:val="24"/>
        </w:rPr>
        <w:t> </w:t>
      </w:r>
      <w:r>
        <w:rPr>
          <w:sz w:val="24"/>
        </w:rPr>
        <w:t>сатурации до и после теста)</w:t>
      </w:r>
      <w:r>
        <w:rPr>
          <w:sz w:val="24"/>
          <w:vertAlign w:val="superscript"/>
        </w:rPr>
        <w:t>*</w:t>
      </w:r>
      <w:r>
        <w:rPr>
          <w:sz w:val="24"/>
          <w:vertAlign w:val="baseline"/>
        </w:rPr>
        <w:t>;</w:t>
      </w:r>
    </w:p>
    <w:p>
      <w:pPr>
        <w:pStyle w:val="ListParagraph"/>
        <w:numPr>
          <w:ilvl w:val="0"/>
          <w:numId w:val="53"/>
        </w:numPr>
        <w:tabs>
          <w:tab w:pos="2548" w:val="left" w:leader="none"/>
        </w:tabs>
        <w:spacing w:line="240" w:lineRule="auto" w:before="2" w:after="0"/>
        <w:ind w:left="2548" w:right="0" w:hanging="280"/>
        <w:jc w:val="left"/>
        <w:rPr>
          <w:sz w:val="24"/>
        </w:rPr>
      </w:pPr>
      <w:r>
        <w:rPr>
          <w:spacing w:val="-2"/>
          <w:sz w:val="24"/>
        </w:rPr>
        <w:t>ЭхоКГ</w:t>
      </w:r>
      <w:r>
        <w:rPr>
          <w:spacing w:val="-2"/>
          <w:sz w:val="24"/>
          <w:vertAlign w:val="superscript"/>
        </w:rPr>
        <w:t>*</w:t>
      </w:r>
      <w:r>
        <w:rPr>
          <w:spacing w:val="-2"/>
          <w:sz w:val="24"/>
          <w:vertAlign w:val="baseline"/>
        </w:rPr>
        <w:t>;</w:t>
      </w:r>
    </w:p>
    <w:p>
      <w:pPr>
        <w:pStyle w:val="ListParagraph"/>
        <w:numPr>
          <w:ilvl w:val="0"/>
          <w:numId w:val="53"/>
        </w:numPr>
        <w:tabs>
          <w:tab w:pos="2549" w:val="left" w:leader="none"/>
        </w:tabs>
        <w:spacing w:line="271" w:lineRule="auto" w:before="42" w:after="0"/>
        <w:ind w:left="2549" w:right="1272" w:hanging="281"/>
        <w:jc w:val="both"/>
        <w:rPr>
          <w:sz w:val="24"/>
        </w:rPr>
      </w:pPr>
      <w:r>
        <w:rPr>
          <w:sz w:val="24"/>
        </w:rPr>
        <w:t>при подозрении на ТЭЛА рекомендуется сразу выполнить КТ-ангиографию легочных артерий;</w:t>
      </w:r>
    </w:p>
    <w:p>
      <w:pPr>
        <w:pStyle w:val="ListParagraph"/>
        <w:numPr>
          <w:ilvl w:val="0"/>
          <w:numId w:val="53"/>
        </w:numPr>
        <w:tabs>
          <w:tab w:pos="2549" w:val="left" w:leader="none"/>
        </w:tabs>
        <w:spacing w:line="271" w:lineRule="auto" w:before="8" w:after="0"/>
        <w:ind w:left="2549" w:right="1273" w:hanging="281"/>
        <w:jc w:val="both"/>
        <w:rPr>
          <w:sz w:val="24"/>
        </w:rPr>
      </w:pPr>
      <w:r>
        <w:rPr>
          <w:sz w:val="24"/>
        </w:rPr>
        <w:t>при</w:t>
      </w:r>
      <w:r>
        <w:rPr>
          <w:spacing w:val="40"/>
          <w:sz w:val="24"/>
        </w:rPr>
        <w:t> </w:t>
      </w:r>
      <w:r>
        <w:rPr>
          <w:sz w:val="24"/>
        </w:rPr>
        <w:t>подозрении</w:t>
      </w:r>
      <w:r>
        <w:rPr>
          <w:spacing w:val="40"/>
          <w:sz w:val="24"/>
        </w:rPr>
        <w:t> </w:t>
      </w:r>
      <w:r>
        <w:rPr>
          <w:sz w:val="24"/>
        </w:rPr>
        <w:t>на</w:t>
      </w:r>
      <w:r>
        <w:rPr>
          <w:spacing w:val="40"/>
          <w:sz w:val="24"/>
        </w:rPr>
        <w:t> </w:t>
      </w:r>
      <w:r>
        <w:rPr>
          <w:sz w:val="24"/>
        </w:rPr>
        <w:t>легочный</w:t>
      </w:r>
      <w:r>
        <w:rPr>
          <w:spacing w:val="40"/>
          <w:sz w:val="24"/>
        </w:rPr>
        <w:t> </w:t>
      </w:r>
      <w:r>
        <w:rPr>
          <w:sz w:val="24"/>
        </w:rPr>
        <w:t>фиброз,</w:t>
      </w:r>
      <w:r>
        <w:rPr>
          <w:spacing w:val="40"/>
          <w:sz w:val="24"/>
        </w:rPr>
        <w:t> </w:t>
      </w:r>
      <w:r>
        <w:rPr>
          <w:sz w:val="24"/>
        </w:rPr>
        <w:t>интерстициальные</w:t>
      </w:r>
      <w:r>
        <w:rPr>
          <w:spacing w:val="40"/>
          <w:sz w:val="24"/>
        </w:rPr>
        <w:t> </w:t>
      </w:r>
      <w:r>
        <w:rPr>
          <w:sz w:val="24"/>
        </w:rPr>
        <w:t>болезни</w:t>
      </w:r>
      <w:r>
        <w:rPr>
          <w:spacing w:val="40"/>
          <w:sz w:val="24"/>
        </w:rPr>
        <w:t> </w:t>
      </w:r>
      <w:r>
        <w:rPr>
          <w:sz w:val="24"/>
        </w:rPr>
        <w:t>легких</w:t>
      </w:r>
      <w:r>
        <w:rPr>
          <w:spacing w:val="40"/>
          <w:sz w:val="24"/>
        </w:rPr>
        <w:t> </w:t>
      </w:r>
      <w:r>
        <w:rPr>
          <w:sz w:val="24"/>
        </w:rPr>
        <w:t>– КТ высокого разрешения (и диффузионный тест).</w:t>
      </w:r>
    </w:p>
    <w:p>
      <w:pPr>
        <w:pStyle w:val="BodyText"/>
        <w:ind w:left="0"/>
        <w:jc w:val="left"/>
        <w:rPr>
          <w:sz w:val="20"/>
        </w:rPr>
      </w:pPr>
    </w:p>
    <w:p>
      <w:pPr>
        <w:pStyle w:val="BodyText"/>
        <w:ind w:left="0"/>
        <w:jc w:val="left"/>
        <w:rPr>
          <w:sz w:val="20"/>
        </w:rPr>
      </w:pPr>
    </w:p>
    <w:p>
      <w:pPr>
        <w:pStyle w:val="BodyText"/>
        <w:spacing w:before="192"/>
        <w:ind w:left="0"/>
        <w:jc w:val="left"/>
        <w:rPr>
          <w:sz w:val="20"/>
        </w:rPr>
      </w:pPr>
      <w:r>
        <w:rPr>
          <w:sz w:val="20"/>
        </w:rPr>
        <mc:AlternateContent>
          <mc:Choice Requires="wps">
            <w:drawing>
              <wp:anchor distT="0" distB="0" distL="0" distR="0" allowOverlap="1" layoutInCell="1" locked="0" behindDoc="1" simplePos="0" relativeHeight="487600640">
                <wp:simplePos x="0" y="0"/>
                <wp:positionH relativeFrom="page">
                  <wp:posOffset>1170736</wp:posOffset>
                </wp:positionH>
                <wp:positionV relativeFrom="paragraph">
                  <wp:posOffset>283621</wp:posOffset>
                </wp:positionV>
                <wp:extent cx="1829435" cy="9525"/>
                <wp:effectExtent l="0" t="0" r="0" b="0"/>
                <wp:wrapTopAndBottom/>
                <wp:docPr id="67" name="Graphic 67"/>
                <wp:cNvGraphicFramePr>
                  <a:graphicFrameLocks/>
                </wp:cNvGraphicFramePr>
                <a:graphic>
                  <a:graphicData uri="http://schemas.microsoft.com/office/word/2010/wordprocessingShape">
                    <wps:wsp>
                      <wps:cNvPr id="67" name="Graphic 67"/>
                      <wps:cNvSpPr/>
                      <wps:spPr>
                        <a:xfrm>
                          <a:off x="0" y="0"/>
                          <a:ext cx="1829435" cy="9525"/>
                        </a:xfrm>
                        <a:custGeom>
                          <a:avLst/>
                          <a:gdLst/>
                          <a:ahLst/>
                          <a:cxnLst/>
                          <a:rect l="l" t="t" r="r" b="b"/>
                          <a:pathLst>
                            <a:path w="1829435" h="9525">
                              <a:moveTo>
                                <a:pt x="1826234" y="1391"/>
                              </a:moveTo>
                              <a:lnTo>
                                <a:pt x="-1100" y="1391"/>
                              </a:lnTo>
                              <a:lnTo>
                                <a:pt x="-1100" y="10526"/>
                              </a:lnTo>
                              <a:lnTo>
                                <a:pt x="1826234" y="10526"/>
                              </a:lnTo>
                              <a:lnTo>
                                <a:pt x="1826234" y="1391"/>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22.441917pt;width:143.884618pt;height:.719293pt;mso-position-horizontal-relative:page;mso-position-vertical-relative:paragraph;z-index:-15715840;mso-wrap-distance-left:0;mso-wrap-distance-right:0" id="docshape55" filled="true" fillcolor="#000000" stroked="false">
                <v:fill type="solid"/>
                <w10:wrap type="topAndBottom"/>
              </v:rect>
            </w:pict>
          </mc:Fallback>
        </mc:AlternateContent>
      </w:r>
    </w:p>
    <w:p>
      <w:pPr>
        <w:pStyle w:val="BodyText"/>
        <w:ind w:left="0"/>
        <w:jc w:val="left"/>
        <w:rPr>
          <w:sz w:val="20"/>
        </w:rPr>
      </w:pPr>
    </w:p>
    <w:p>
      <w:pPr>
        <w:pStyle w:val="BodyText"/>
        <w:spacing w:before="192"/>
        <w:ind w:left="0"/>
        <w:jc w:val="left"/>
        <w:rPr>
          <w:sz w:val="20"/>
        </w:rPr>
      </w:pPr>
    </w:p>
    <w:p>
      <w:pPr>
        <w:spacing w:before="0"/>
        <w:ind w:left="1841" w:right="0" w:firstLine="0"/>
        <w:jc w:val="left"/>
        <w:rPr>
          <w:sz w:val="20"/>
        </w:rPr>
      </w:pPr>
      <w:r>
        <w:rPr>
          <w:sz w:val="20"/>
          <w:vertAlign w:val="superscript"/>
        </w:rPr>
        <w:t>*</w:t>
      </w:r>
      <w:r>
        <w:rPr>
          <w:spacing w:val="-10"/>
          <w:sz w:val="20"/>
          <w:vertAlign w:val="baseline"/>
        </w:rPr>
        <w:t> </w:t>
      </w:r>
      <w:r>
        <w:rPr>
          <w:sz w:val="20"/>
          <w:vertAlign w:val="baseline"/>
        </w:rPr>
        <w:t>при</w:t>
      </w:r>
      <w:r>
        <w:rPr>
          <w:spacing w:val="-10"/>
          <w:sz w:val="20"/>
          <w:vertAlign w:val="baseline"/>
        </w:rPr>
        <w:t> </w:t>
      </w:r>
      <w:r>
        <w:rPr>
          <w:sz w:val="20"/>
          <w:vertAlign w:val="baseline"/>
        </w:rPr>
        <w:t>выявлении</w:t>
      </w:r>
      <w:r>
        <w:rPr>
          <w:spacing w:val="-7"/>
          <w:sz w:val="20"/>
          <w:vertAlign w:val="baseline"/>
        </w:rPr>
        <w:t> </w:t>
      </w:r>
      <w:r>
        <w:rPr>
          <w:sz w:val="20"/>
          <w:vertAlign w:val="baseline"/>
        </w:rPr>
        <w:t>патологии</w:t>
      </w:r>
      <w:r>
        <w:rPr>
          <w:spacing w:val="-8"/>
          <w:sz w:val="20"/>
          <w:vertAlign w:val="baseline"/>
        </w:rPr>
        <w:t> </w:t>
      </w:r>
      <w:r>
        <w:rPr>
          <w:sz w:val="20"/>
          <w:vertAlign w:val="baseline"/>
        </w:rPr>
        <w:t>провести</w:t>
      </w:r>
      <w:r>
        <w:rPr>
          <w:spacing w:val="-8"/>
          <w:sz w:val="20"/>
          <w:vertAlign w:val="baseline"/>
        </w:rPr>
        <w:t> </w:t>
      </w:r>
      <w:r>
        <w:rPr>
          <w:sz w:val="20"/>
          <w:vertAlign w:val="baseline"/>
        </w:rPr>
        <w:t>КТ</w:t>
      </w:r>
      <w:r>
        <w:rPr>
          <w:spacing w:val="-9"/>
          <w:sz w:val="20"/>
          <w:vertAlign w:val="baseline"/>
        </w:rPr>
        <w:t> </w:t>
      </w:r>
      <w:r>
        <w:rPr>
          <w:sz w:val="20"/>
          <w:vertAlign w:val="baseline"/>
        </w:rPr>
        <w:t>легких,</w:t>
      </w:r>
      <w:r>
        <w:rPr>
          <w:spacing w:val="-8"/>
          <w:sz w:val="20"/>
          <w:vertAlign w:val="baseline"/>
        </w:rPr>
        <w:t> </w:t>
      </w:r>
      <w:r>
        <w:rPr>
          <w:sz w:val="20"/>
          <w:vertAlign w:val="baseline"/>
        </w:rPr>
        <w:t>если</w:t>
      </w:r>
      <w:r>
        <w:rPr>
          <w:spacing w:val="-8"/>
          <w:sz w:val="20"/>
          <w:vertAlign w:val="baseline"/>
        </w:rPr>
        <w:t> </w:t>
      </w:r>
      <w:r>
        <w:rPr>
          <w:sz w:val="20"/>
          <w:vertAlign w:val="baseline"/>
        </w:rPr>
        <w:t>до</w:t>
      </w:r>
      <w:r>
        <w:rPr>
          <w:spacing w:val="-8"/>
          <w:sz w:val="20"/>
          <w:vertAlign w:val="baseline"/>
        </w:rPr>
        <w:t> </w:t>
      </w:r>
      <w:r>
        <w:rPr>
          <w:sz w:val="20"/>
          <w:vertAlign w:val="baseline"/>
        </w:rPr>
        <w:t>этого</w:t>
      </w:r>
      <w:r>
        <w:rPr>
          <w:spacing w:val="-9"/>
          <w:sz w:val="20"/>
          <w:vertAlign w:val="baseline"/>
        </w:rPr>
        <w:t> </w:t>
      </w:r>
      <w:r>
        <w:rPr>
          <w:sz w:val="20"/>
          <w:vertAlign w:val="baseline"/>
        </w:rPr>
        <w:t>была</w:t>
      </w:r>
      <w:r>
        <w:rPr>
          <w:spacing w:val="-8"/>
          <w:sz w:val="20"/>
          <w:vertAlign w:val="baseline"/>
        </w:rPr>
        <w:t> </w:t>
      </w:r>
      <w:r>
        <w:rPr>
          <w:sz w:val="20"/>
          <w:vertAlign w:val="baseline"/>
        </w:rPr>
        <w:t>проведена</w:t>
      </w:r>
      <w:r>
        <w:rPr>
          <w:spacing w:val="-8"/>
          <w:sz w:val="20"/>
          <w:vertAlign w:val="baseline"/>
        </w:rPr>
        <w:t> </w:t>
      </w:r>
      <w:r>
        <w:rPr>
          <w:sz w:val="20"/>
          <w:vertAlign w:val="baseline"/>
        </w:rPr>
        <w:t>рентгенография</w:t>
      </w:r>
      <w:r>
        <w:rPr>
          <w:spacing w:val="-8"/>
          <w:sz w:val="20"/>
          <w:vertAlign w:val="baseline"/>
        </w:rPr>
        <w:t> </w:t>
      </w:r>
      <w:r>
        <w:rPr>
          <w:spacing w:val="-2"/>
          <w:sz w:val="20"/>
          <w:vertAlign w:val="baseline"/>
        </w:rPr>
        <w:t>легких.</w:t>
      </w:r>
    </w:p>
    <w:p>
      <w:pPr>
        <w:spacing w:after="0"/>
        <w:jc w:val="left"/>
        <w:rPr>
          <w:sz w:val="20"/>
        </w:rPr>
        <w:sectPr>
          <w:pgSz w:w="11900" w:h="16840"/>
          <w:pgMar w:header="0" w:footer="697" w:top="1080" w:bottom="880" w:left="0" w:right="0"/>
        </w:sectPr>
      </w:pPr>
    </w:p>
    <w:p>
      <w:pPr>
        <w:pStyle w:val="BodyText"/>
        <w:spacing w:line="276" w:lineRule="auto" w:before="73"/>
        <w:ind w:right="1274" w:firstLine="707"/>
      </w:pPr>
      <w:bookmarkStart w:name="113" w:id="132"/>
      <w:bookmarkEnd w:id="132"/>
      <w:r>
        <w:rPr/>
      </w:r>
      <w:r>
        <w:rPr/>
        <w:t>При выявлении патологических изменений на КТ легких (признаки интерстициальных</w:t>
      </w:r>
      <w:r>
        <w:rPr>
          <w:spacing w:val="-11"/>
        </w:rPr>
        <w:t> </w:t>
      </w:r>
      <w:r>
        <w:rPr/>
        <w:t>заболеваний</w:t>
      </w:r>
      <w:r>
        <w:rPr>
          <w:spacing w:val="-8"/>
        </w:rPr>
        <w:t> </w:t>
      </w:r>
      <w:r>
        <w:rPr/>
        <w:t>легких,</w:t>
      </w:r>
      <w:r>
        <w:rPr>
          <w:spacing w:val="-9"/>
        </w:rPr>
        <w:t> </w:t>
      </w:r>
      <w:r>
        <w:rPr/>
        <w:t>легочных</w:t>
      </w:r>
      <w:r>
        <w:rPr>
          <w:spacing w:val="-9"/>
        </w:rPr>
        <w:t> </w:t>
      </w:r>
      <w:r>
        <w:rPr/>
        <w:t>васкулитов,</w:t>
      </w:r>
      <w:r>
        <w:rPr>
          <w:spacing w:val="-9"/>
        </w:rPr>
        <w:t> </w:t>
      </w:r>
      <w:r>
        <w:rPr/>
        <w:t>легочной</w:t>
      </w:r>
      <w:r>
        <w:rPr>
          <w:spacing w:val="-8"/>
        </w:rPr>
        <w:t> </w:t>
      </w:r>
      <w:r>
        <w:rPr/>
        <w:t>гипертензии) рекомендуется</w:t>
      </w:r>
      <w:r>
        <w:rPr>
          <w:spacing w:val="80"/>
        </w:rPr>
        <w:t>  </w:t>
      </w:r>
      <w:r>
        <w:rPr/>
        <w:t>направление</w:t>
      </w:r>
      <w:r>
        <w:rPr>
          <w:spacing w:val="80"/>
        </w:rPr>
        <w:t>  </w:t>
      </w:r>
      <w:r>
        <w:rPr/>
        <w:t>к</w:t>
      </w:r>
      <w:r>
        <w:rPr>
          <w:spacing w:val="80"/>
        </w:rPr>
        <w:t>  </w:t>
      </w:r>
      <w:r>
        <w:rPr/>
        <w:t>специалисту</w:t>
      </w:r>
      <w:r>
        <w:rPr>
          <w:spacing w:val="80"/>
        </w:rPr>
        <w:t>  </w:t>
      </w:r>
      <w:r>
        <w:rPr/>
        <w:t>(пульмонологу,</w:t>
      </w:r>
      <w:r>
        <w:rPr>
          <w:spacing w:val="80"/>
        </w:rPr>
        <w:t>  </w:t>
      </w:r>
      <w:r>
        <w:rPr/>
        <w:t>кардиологу). Если</w:t>
      </w:r>
      <w:r>
        <w:rPr>
          <w:spacing w:val="-2"/>
        </w:rPr>
        <w:t> </w:t>
      </w:r>
      <w:r>
        <w:rPr/>
        <w:t>патологические изменения не выявлены, но у пациента имеются жалобы или изменения в результатах других исследований, рекомендуется провести дифференциальный диагноз с другими заболеваниями/состояниями.</w:t>
      </w:r>
    </w:p>
    <w:p>
      <w:pPr>
        <w:pStyle w:val="BodyText"/>
        <w:spacing w:line="276" w:lineRule="auto"/>
        <w:ind w:right="1278" w:firstLine="707"/>
      </w:pPr>
      <w:r>
        <w:rPr/>
        <w:t>При диспансерном наблюдении необходимо проводить оценку психосоциальных факторов риска, включающую выявление</w:t>
      </w:r>
      <w:r>
        <w:rPr>
          <w:spacing w:val="-1"/>
        </w:rPr>
        <w:t> </w:t>
      </w:r>
      <w:r>
        <w:rPr/>
        <w:t>симптомов тревожности и депрессии с помощью валидизированных опросников (например, Госпитальной шкалы тревоги и депрессии), с последующей коррекцией выявленных отклонений, при необходимости с привлечением психолога, психиатра, социальных работников.</w:t>
      </w:r>
    </w:p>
    <w:p>
      <w:pPr>
        <w:pStyle w:val="BodyText"/>
        <w:spacing w:line="276" w:lineRule="auto"/>
        <w:ind w:right="1281" w:firstLine="707"/>
      </w:pPr>
      <w:r>
        <w:rPr/>
        <w:t>Необходимо</w:t>
      </w:r>
      <w:r>
        <w:rPr>
          <w:spacing w:val="-3"/>
        </w:rPr>
        <w:t> </w:t>
      </w:r>
      <w:r>
        <w:rPr/>
        <w:t>информировать</w:t>
      </w:r>
      <w:r>
        <w:rPr>
          <w:spacing w:val="-3"/>
        </w:rPr>
        <w:t> </w:t>
      </w:r>
      <w:r>
        <w:rPr/>
        <w:t>пациентов</w:t>
      </w:r>
      <w:r>
        <w:rPr>
          <w:spacing w:val="-3"/>
        </w:rPr>
        <w:t> </w:t>
      </w:r>
      <w:r>
        <w:rPr/>
        <w:t>о</w:t>
      </w:r>
      <w:r>
        <w:rPr>
          <w:spacing w:val="-4"/>
        </w:rPr>
        <w:t> </w:t>
      </w:r>
      <w:r>
        <w:rPr/>
        <w:t>том,</w:t>
      </w:r>
      <w:r>
        <w:rPr>
          <w:spacing w:val="-3"/>
        </w:rPr>
        <w:t> </w:t>
      </w:r>
      <w:r>
        <w:rPr/>
        <w:t>что,</w:t>
      </w:r>
      <w:r>
        <w:rPr>
          <w:spacing w:val="-4"/>
        </w:rPr>
        <w:t> </w:t>
      </w:r>
      <w:r>
        <w:rPr/>
        <w:t>в</w:t>
      </w:r>
      <w:r>
        <w:rPr>
          <w:spacing w:val="-4"/>
        </w:rPr>
        <w:t> </w:t>
      </w:r>
      <w:r>
        <w:rPr/>
        <w:t>случае</w:t>
      </w:r>
      <w:r>
        <w:rPr>
          <w:spacing w:val="-3"/>
        </w:rPr>
        <w:t> </w:t>
      </w:r>
      <w:r>
        <w:rPr/>
        <w:t>прогрессирования или</w:t>
      </w:r>
      <w:r>
        <w:rPr>
          <w:spacing w:val="80"/>
        </w:rPr>
        <w:t> </w:t>
      </w:r>
      <w:r>
        <w:rPr/>
        <w:t>развития</w:t>
      </w:r>
      <w:r>
        <w:rPr>
          <w:spacing w:val="80"/>
        </w:rPr>
        <w:t> </w:t>
      </w:r>
      <w:r>
        <w:rPr/>
        <w:t>новых</w:t>
      </w:r>
      <w:r>
        <w:rPr>
          <w:spacing w:val="80"/>
        </w:rPr>
        <w:t> </w:t>
      </w:r>
      <w:r>
        <w:rPr/>
        <w:t>респираторных</w:t>
      </w:r>
      <w:r>
        <w:rPr>
          <w:spacing w:val="80"/>
        </w:rPr>
        <w:t> </w:t>
      </w:r>
      <w:r>
        <w:rPr/>
        <w:t>симптомов</w:t>
      </w:r>
      <w:r>
        <w:rPr>
          <w:spacing w:val="80"/>
        </w:rPr>
        <w:t> </w:t>
      </w:r>
      <w:r>
        <w:rPr/>
        <w:t>до</w:t>
      </w:r>
      <w:r>
        <w:rPr>
          <w:spacing w:val="80"/>
        </w:rPr>
        <w:t> </w:t>
      </w:r>
      <w:r>
        <w:rPr/>
        <w:t>даты</w:t>
      </w:r>
      <w:r>
        <w:rPr>
          <w:spacing w:val="80"/>
        </w:rPr>
        <w:t> </w:t>
      </w:r>
      <w:r>
        <w:rPr/>
        <w:t>планового</w:t>
      </w:r>
      <w:r>
        <w:rPr>
          <w:spacing w:val="80"/>
        </w:rPr>
        <w:t> </w:t>
      </w:r>
      <w:r>
        <w:rPr/>
        <w:t>осмотра,</w:t>
      </w:r>
      <w:r>
        <w:rPr>
          <w:spacing w:val="80"/>
        </w:rPr>
        <w:t> </w:t>
      </w:r>
      <w:r>
        <w:rPr/>
        <w:t>им следует обратиться за медицинской помощью.</w:t>
      </w:r>
    </w:p>
    <w:p>
      <w:pPr>
        <w:pStyle w:val="BodyText"/>
        <w:spacing w:line="276" w:lineRule="auto"/>
        <w:ind w:right="1272" w:firstLine="707"/>
      </w:pPr>
      <w:r>
        <w:rPr/>
        <w:t>В целях организации проведения углубленной диспансеризации граждан, переболевших новой коронавирусной инфекцией COVID-19, медицинской организацией на основании сведений региональных информационных систем обязательного медицинского страхования, интегрированных с государственной информационной системой обязательного медицинского страхования, составляется поименный перечень граждан, подлежащих углубленной диспансеризации (далее - перечень граждан), в котором указываются следующие сведения:</w:t>
      </w:r>
    </w:p>
    <w:p>
      <w:pPr>
        <w:pStyle w:val="BodyText"/>
        <w:spacing w:line="276" w:lineRule="auto"/>
        <w:ind w:left="2549" w:right="1283"/>
        <w:jc w:val="left"/>
      </w:pPr>
      <w:r>
        <w:rPr/>
        <w:t>а)</w:t>
      </w:r>
      <w:r>
        <w:rPr>
          <w:spacing w:val="-5"/>
        </w:rPr>
        <w:t> </w:t>
      </w:r>
      <w:r>
        <w:rPr/>
        <w:t>фамилия,</w:t>
      </w:r>
      <w:r>
        <w:rPr>
          <w:spacing w:val="-5"/>
        </w:rPr>
        <w:t> </w:t>
      </w:r>
      <w:r>
        <w:rPr/>
        <w:t>имя,</w:t>
      </w:r>
      <w:r>
        <w:rPr>
          <w:spacing w:val="-5"/>
        </w:rPr>
        <w:t> </w:t>
      </w:r>
      <w:r>
        <w:rPr/>
        <w:t>отчество</w:t>
      </w:r>
      <w:r>
        <w:rPr>
          <w:spacing w:val="-5"/>
        </w:rPr>
        <w:t> </w:t>
      </w:r>
      <w:r>
        <w:rPr/>
        <w:t>(при</w:t>
      </w:r>
      <w:r>
        <w:rPr>
          <w:spacing w:val="-4"/>
        </w:rPr>
        <w:t> </w:t>
      </w:r>
      <w:r>
        <w:rPr/>
        <w:t>наличии),</w:t>
      </w:r>
      <w:r>
        <w:rPr>
          <w:spacing w:val="-5"/>
        </w:rPr>
        <w:t> </w:t>
      </w:r>
      <w:r>
        <w:rPr/>
        <w:t>возраст</w:t>
      </w:r>
      <w:r>
        <w:rPr>
          <w:spacing w:val="-5"/>
        </w:rPr>
        <w:t> </w:t>
      </w:r>
      <w:r>
        <w:rPr/>
        <w:t>(дата,</w:t>
      </w:r>
      <w:r>
        <w:rPr>
          <w:spacing w:val="-5"/>
        </w:rPr>
        <w:t> </w:t>
      </w:r>
      <w:r>
        <w:rPr/>
        <w:t>месяц,</w:t>
      </w:r>
      <w:r>
        <w:rPr>
          <w:spacing w:val="-5"/>
        </w:rPr>
        <w:t> </w:t>
      </w:r>
      <w:r>
        <w:rPr/>
        <w:t>год</w:t>
      </w:r>
      <w:r>
        <w:rPr>
          <w:spacing w:val="-4"/>
        </w:rPr>
        <w:t> </w:t>
      </w:r>
      <w:r>
        <w:rPr/>
        <w:t>рождения); б) номер полиса обязательного медицинского страхования гражданина;</w:t>
      </w:r>
    </w:p>
    <w:p>
      <w:pPr>
        <w:pStyle w:val="BodyText"/>
        <w:spacing w:line="275" w:lineRule="exact"/>
        <w:ind w:left="2549"/>
        <w:jc w:val="left"/>
      </w:pPr>
      <w:r>
        <w:rPr/>
        <w:t>в)</w:t>
      </w:r>
      <w:r>
        <w:rPr>
          <w:spacing w:val="-10"/>
        </w:rPr>
        <w:t> </w:t>
      </w:r>
      <w:r>
        <w:rPr/>
        <w:t>категория,</w:t>
      </w:r>
      <w:r>
        <w:rPr>
          <w:spacing w:val="-10"/>
        </w:rPr>
        <w:t> </w:t>
      </w:r>
      <w:r>
        <w:rPr/>
        <w:t>к</w:t>
      </w:r>
      <w:r>
        <w:rPr>
          <w:spacing w:val="-8"/>
        </w:rPr>
        <w:t> </w:t>
      </w:r>
      <w:r>
        <w:rPr/>
        <w:t>которой</w:t>
      </w:r>
      <w:r>
        <w:rPr>
          <w:spacing w:val="-10"/>
        </w:rPr>
        <w:t> </w:t>
      </w:r>
      <w:r>
        <w:rPr/>
        <w:t>относится</w:t>
      </w:r>
      <w:r>
        <w:rPr>
          <w:spacing w:val="-9"/>
        </w:rPr>
        <w:t> </w:t>
      </w:r>
      <w:r>
        <w:rPr>
          <w:spacing w:val="-2"/>
        </w:rPr>
        <w:t>гражданин;</w:t>
      </w:r>
    </w:p>
    <w:p>
      <w:pPr>
        <w:pStyle w:val="BodyText"/>
        <w:spacing w:before="37"/>
        <w:ind w:left="2549"/>
        <w:jc w:val="left"/>
      </w:pPr>
      <w:r>
        <w:rPr/>
        <w:t>г)</w:t>
      </w:r>
      <w:r>
        <w:rPr>
          <w:spacing w:val="-11"/>
        </w:rPr>
        <w:t> </w:t>
      </w:r>
      <w:r>
        <w:rPr/>
        <w:t>планируемые</w:t>
      </w:r>
      <w:r>
        <w:rPr>
          <w:spacing w:val="-12"/>
        </w:rPr>
        <w:t> </w:t>
      </w:r>
      <w:r>
        <w:rPr/>
        <w:t>дата</w:t>
      </w:r>
      <w:r>
        <w:rPr>
          <w:spacing w:val="-11"/>
        </w:rPr>
        <w:t> </w:t>
      </w:r>
      <w:r>
        <w:rPr/>
        <w:t>и</w:t>
      </w:r>
      <w:r>
        <w:rPr>
          <w:spacing w:val="-10"/>
        </w:rPr>
        <w:t> </w:t>
      </w:r>
      <w:r>
        <w:rPr/>
        <w:t>место</w:t>
      </w:r>
      <w:r>
        <w:rPr>
          <w:spacing w:val="-11"/>
        </w:rPr>
        <w:t> </w:t>
      </w:r>
      <w:r>
        <w:rPr/>
        <w:t>проведения</w:t>
      </w:r>
      <w:r>
        <w:rPr>
          <w:spacing w:val="-11"/>
        </w:rPr>
        <w:t> </w:t>
      </w:r>
      <w:r>
        <w:rPr/>
        <w:t>углубленной</w:t>
      </w:r>
      <w:r>
        <w:rPr>
          <w:spacing w:val="-10"/>
        </w:rPr>
        <w:t> </w:t>
      </w:r>
      <w:r>
        <w:rPr>
          <w:spacing w:val="-2"/>
        </w:rPr>
        <w:t>диспансеризации.</w:t>
      </w:r>
    </w:p>
    <w:p>
      <w:pPr>
        <w:pStyle w:val="BodyText"/>
        <w:spacing w:line="276" w:lineRule="auto" w:before="41"/>
        <w:ind w:right="1280" w:firstLine="707"/>
      </w:pPr>
      <w:r>
        <w:rPr/>
        <w:t>Перечень граждан подлежит ежемесячной актуализации медицинской </w:t>
      </w:r>
      <w:r>
        <w:rPr>
          <w:spacing w:val="-2"/>
        </w:rPr>
        <w:t>организацией.</w:t>
      </w:r>
    </w:p>
    <w:p>
      <w:pPr>
        <w:pStyle w:val="BodyText"/>
        <w:spacing w:line="276" w:lineRule="auto"/>
        <w:ind w:right="1279" w:firstLine="707"/>
      </w:pPr>
      <w:r>
        <w:rPr/>
        <w:t>Планируемая</w:t>
      </w:r>
      <w:r>
        <w:rPr>
          <w:spacing w:val="-6"/>
        </w:rPr>
        <w:t> </w:t>
      </w:r>
      <w:r>
        <w:rPr/>
        <w:t>дата</w:t>
      </w:r>
      <w:r>
        <w:rPr>
          <w:spacing w:val="-6"/>
        </w:rPr>
        <w:t> </w:t>
      </w:r>
      <w:r>
        <w:rPr/>
        <w:t>проведения</w:t>
      </w:r>
      <w:r>
        <w:rPr>
          <w:spacing w:val="-6"/>
        </w:rPr>
        <w:t> </w:t>
      </w:r>
      <w:r>
        <w:rPr/>
        <w:t>углубленной</w:t>
      </w:r>
      <w:r>
        <w:rPr>
          <w:spacing w:val="-5"/>
        </w:rPr>
        <w:t> </w:t>
      </w:r>
      <w:r>
        <w:rPr/>
        <w:t>диспансеризации</w:t>
      </w:r>
      <w:r>
        <w:rPr>
          <w:spacing w:val="-7"/>
        </w:rPr>
        <w:t> </w:t>
      </w:r>
      <w:r>
        <w:rPr/>
        <w:t>устанавливается не</w:t>
      </w:r>
      <w:r>
        <w:rPr>
          <w:spacing w:val="-6"/>
        </w:rPr>
        <w:t> </w:t>
      </w:r>
      <w:r>
        <w:rPr/>
        <w:t>ранее</w:t>
      </w:r>
      <w:r>
        <w:rPr>
          <w:spacing w:val="-6"/>
        </w:rPr>
        <w:t> </w:t>
      </w:r>
      <w:r>
        <w:rPr/>
        <w:t>60</w:t>
      </w:r>
      <w:r>
        <w:rPr>
          <w:spacing w:val="-6"/>
        </w:rPr>
        <w:t> </w:t>
      </w:r>
      <w:r>
        <w:rPr/>
        <w:t>календарных</w:t>
      </w:r>
      <w:r>
        <w:rPr>
          <w:spacing w:val="-6"/>
        </w:rPr>
        <w:t> </w:t>
      </w:r>
      <w:r>
        <w:rPr/>
        <w:t>дней</w:t>
      </w:r>
      <w:r>
        <w:rPr>
          <w:spacing w:val="-5"/>
        </w:rPr>
        <w:t> </w:t>
      </w:r>
      <w:r>
        <w:rPr/>
        <w:t>после</w:t>
      </w:r>
      <w:r>
        <w:rPr>
          <w:spacing w:val="-4"/>
        </w:rPr>
        <w:t> </w:t>
      </w:r>
      <w:r>
        <w:rPr/>
        <w:t>выздоровления</w:t>
      </w:r>
      <w:r>
        <w:rPr>
          <w:spacing w:val="-6"/>
        </w:rPr>
        <w:t> </w:t>
      </w:r>
      <w:r>
        <w:rPr/>
        <w:t>гражданина,</w:t>
      </w:r>
      <w:r>
        <w:rPr>
          <w:spacing w:val="-6"/>
        </w:rPr>
        <w:t> </w:t>
      </w:r>
      <w:r>
        <w:rPr/>
        <w:t>перенесшего</w:t>
      </w:r>
      <w:r>
        <w:rPr>
          <w:spacing w:val="-6"/>
        </w:rPr>
        <w:t> </w:t>
      </w:r>
      <w:r>
        <w:rPr/>
        <w:t>новую коронавирусную</w:t>
      </w:r>
      <w:r>
        <w:rPr>
          <w:spacing w:val="70"/>
        </w:rPr>
        <w:t> </w:t>
      </w:r>
      <w:r>
        <w:rPr/>
        <w:t>инфекцию</w:t>
      </w:r>
      <w:r>
        <w:rPr>
          <w:spacing w:val="70"/>
        </w:rPr>
        <w:t> </w:t>
      </w:r>
      <w:r>
        <w:rPr/>
        <w:t>COVID-19,</w:t>
      </w:r>
      <w:r>
        <w:rPr>
          <w:spacing w:val="70"/>
        </w:rPr>
        <w:t> </w:t>
      </w:r>
      <w:r>
        <w:rPr/>
        <w:t>при</w:t>
      </w:r>
      <w:r>
        <w:rPr>
          <w:spacing w:val="71"/>
        </w:rPr>
        <w:t> </w:t>
      </w:r>
      <w:r>
        <w:rPr/>
        <w:t>оказании</w:t>
      </w:r>
      <w:r>
        <w:rPr>
          <w:spacing w:val="71"/>
        </w:rPr>
        <w:t> </w:t>
      </w:r>
      <w:r>
        <w:rPr/>
        <w:t>ему</w:t>
      </w:r>
      <w:r>
        <w:rPr>
          <w:spacing w:val="70"/>
        </w:rPr>
        <w:t> </w:t>
      </w:r>
      <w:r>
        <w:rPr/>
        <w:t>медицинской</w:t>
      </w:r>
      <w:r>
        <w:rPr>
          <w:spacing w:val="71"/>
        </w:rPr>
        <w:t> </w:t>
      </w:r>
      <w:r>
        <w:rPr/>
        <w:t>помощи в амбулаторных условиях или в условиях стационара.</w:t>
      </w:r>
    </w:p>
    <w:p>
      <w:pPr>
        <w:pStyle w:val="BodyText"/>
        <w:tabs>
          <w:tab w:pos="3447" w:val="left" w:leader="none"/>
          <w:tab w:pos="4032" w:val="left" w:leader="none"/>
          <w:tab w:pos="5136" w:val="left" w:leader="none"/>
          <w:tab w:pos="5348" w:val="left" w:leader="none"/>
          <w:tab w:pos="7032" w:val="left" w:leader="none"/>
          <w:tab w:pos="7283" w:val="left" w:leader="none"/>
          <w:tab w:pos="7724" w:val="left" w:leader="none"/>
          <w:tab w:pos="8803" w:val="left" w:leader="none"/>
          <w:tab w:pos="9743" w:val="left" w:leader="none"/>
        </w:tabs>
        <w:spacing w:line="276" w:lineRule="auto"/>
        <w:ind w:right="1272" w:firstLine="707"/>
        <w:jc w:val="right"/>
      </w:pPr>
      <w:r>
        <w:rPr>
          <w:spacing w:val="-2"/>
        </w:rPr>
        <w:t>Категории</w:t>
      </w:r>
      <w:r>
        <w:rPr/>
        <w:tab/>
      </w:r>
      <w:r>
        <w:rPr>
          <w:spacing w:val="-2"/>
        </w:rPr>
        <w:t>граждан,</w:t>
      </w:r>
      <w:r>
        <w:rPr/>
        <w:tab/>
        <w:tab/>
      </w:r>
      <w:r>
        <w:rPr>
          <w:spacing w:val="-2"/>
        </w:rPr>
        <w:t>проходящих</w:t>
      </w:r>
      <w:r>
        <w:rPr/>
        <w:tab/>
      </w:r>
      <w:r>
        <w:rPr>
          <w:spacing w:val="-2"/>
        </w:rPr>
        <w:t>углубленную</w:t>
      </w:r>
      <w:r>
        <w:rPr/>
        <w:tab/>
      </w:r>
      <w:r>
        <w:rPr>
          <w:spacing w:val="-2"/>
        </w:rPr>
        <w:t>диспансеризацию </w:t>
      </w:r>
      <w:r>
        <w:rPr/>
        <w:t>в</w:t>
      </w:r>
      <w:r>
        <w:rPr>
          <w:spacing w:val="80"/>
        </w:rPr>
        <w:t> </w:t>
      </w:r>
      <w:r>
        <w:rPr/>
        <w:t>первоочередном</w:t>
      </w:r>
      <w:r>
        <w:rPr>
          <w:spacing w:val="80"/>
        </w:rPr>
        <w:t> </w:t>
      </w:r>
      <w:r>
        <w:rPr/>
        <w:t>порядке,</w:t>
      </w:r>
      <w:r>
        <w:rPr>
          <w:spacing w:val="80"/>
        </w:rPr>
        <w:t> </w:t>
      </w:r>
      <w:r>
        <w:rPr/>
        <w:t>определены</w:t>
      </w:r>
      <w:r>
        <w:rPr>
          <w:spacing w:val="80"/>
        </w:rPr>
        <w:t> </w:t>
      </w:r>
      <w:r>
        <w:rPr/>
        <w:t>в</w:t>
      </w:r>
      <w:r>
        <w:rPr>
          <w:spacing w:val="80"/>
        </w:rPr>
        <w:t> </w:t>
      </w:r>
      <w:r>
        <w:rPr/>
        <w:t>приложении</w:t>
      </w:r>
      <w:r>
        <w:rPr>
          <w:spacing w:val="80"/>
        </w:rPr>
        <w:t> </w:t>
      </w:r>
      <w:r>
        <w:rPr/>
        <w:t>к</w:t>
      </w:r>
      <w:r>
        <w:rPr>
          <w:spacing w:val="80"/>
        </w:rPr>
        <w:t> </w:t>
      </w:r>
      <w:r>
        <w:rPr/>
        <w:t>Порядку</w:t>
      </w:r>
      <w:r>
        <w:rPr>
          <w:spacing w:val="80"/>
        </w:rPr>
        <w:t> </w:t>
      </w:r>
      <w:r>
        <w:rPr/>
        <w:t>направления граждан</w:t>
      </w:r>
      <w:r>
        <w:rPr>
          <w:spacing w:val="-9"/>
        </w:rPr>
        <w:t> </w:t>
      </w:r>
      <w:r>
        <w:rPr/>
        <w:t>на</w:t>
      </w:r>
      <w:r>
        <w:rPr>
          <w:spacing w:val="-11"/>
        </w:rPr>
        <w:t> </w:t>
      </w:r>
      <w:r>
        <w:rPr/>
        <w:t>прохождение</w:t>
      </w:r>
      <w:r>
        <w:rPr>
          <w:spacing w:val="-11"/>
        </w:rPr>
        <w:t> </w:t>
      </w:r>
      <w:r>
        <w:rPr/>
        <w:t>углубленной</w:t>
      </w:r>
      <w:r>
        <w:rPr>
          <w:spacing w:val="-11"/>
        </w:rPr>
        <w:t> </w:t>
      </w:r>
      <w:r>
        <w:rPr/>
        <w:t>диспансеризации,</w:t>
      </w:r>
      <w:r>
        <w:rPr>
          <w:spacing w:val="-10"/>
        </w:rPr>
        <w:t> </w:t>
      </w:r>
      <w:r>
        <w:rPr/>
        <w:t>включая</w:t>
      </w:r>
      <w:r>
        <w:rPr>
          <w:spacing w:val="-10"/>
        </w:rPr>
        <w:t> </w:t>
      </w:r>
      <w:r>
        <w:rPr/>
        <w:t>категории</w:t>
      </w:r>
      <w:r>
        <w:rPr>
          <w:spacing w:val="-9"/>
        </w:rPr>
        <w:t> </w:t>
      </w:r>
      <w:r>
        <w:rPr/>
        <w:t>граждан, </w:t>
      </w:r>
      <w:r>
        <w:rPr>
          <w:spacing w:val="-2"/>
        </w:rPr>
        <w:t>проходящих</w:t>
      </w:r>
      <w:r>
        <w:rPr/>
        <w:tab/>
      </w:r>
      <w:r>
        <w:rPr>
          <w:spacing w:val="-2"/>
        </w:rPr>
        <w:t>углубленную</w:t>
      </w:r>
      <w:r>
        <w:rPr/>
        <w:tab/>
      </w:r>
      <w:r>
        <w:rPr>
          <w:spacing w:val="-2"/>
        </w:rPr>
        <w:t>диспансеризацию</w:t>
      </w:r>
      <w:r>
        <w:rPr/>
        <w:tab/>
        <w:tab/>
      </w:r>
      <w:r>
        <w:rPr>
          <w:spacing w:val="-10"/>
        </w:rPr>
        <w:t>в</w:t>
      </w:r>
      <w:r>
        <w:rPr/>
        <w:tab/>
      </w:r>
      <w:r>
        <w:rPr>
          <w:spacing w:val="-2"/>
        </w:rPr>
        <w:t>первоочередном</w:t>
      </w:r>
      <w:r>
        <w:rPr/>
        <w:tab/>
      </w:r>
      <w:r>
        <w:rPr>
          <w:spacing w:val="-2"/>
        </w:rPr>
        <w:t>порядке, </w:t>
      </w:r>
      <w:r>
        <w:rPr/>
        <w:t>утвержденному</w:t>
      </w:r>
      <w:r>
        <w:rPr>
          <w:spacing w:val="-10"/>
        </w:rPr>
        <w:t> </w:t>
      </w:r>
      <w:r>
        <w:rPr/>
        <w:t>приказом</w:t>
      </w:r>
      <w:r>
        <w:rPr>
          <w:spacing w:val="-10"/>
        </w:rPr>
        <w:t> </w:t>
      </w:r>
      <w:r>
        <w:rPr/>
        <w:t>Минздрава</w:t>
      </w:r>
      <w:r>
        <w:rPr>
          <w:spacing w:val="-11"/>
        </w:rPr>
        <w:t> </w:t>
      </w:r>
      <w:r>
        <w:rPr/>
        <w:t>России</w:t>
      </w:r>
      <w:r>
        <w:rPr>
          <w:spacing w:val="-9"/>
        </w:rPr>
        <w:t> </w:t>
      </w:r>
      <w:r>
        <w:rPr/>
        <w:t>от</w:t>
      </w:r>
      <w:r>
        <w:rPr>
          <w:spacing w:val="-10"/>
        </w:rPr>
        <w:t> </w:t>
      </w:r>
      <w:r>
        <w:rPr/>
        <w:t>01.07.2021</w:t>
      </w:r>
      <w:r>
        <w:rPr>
          <w:spacing w:val="-10"/>
        </w:rPr>
        <w:t> </w:t>
      </w:r>
      <w:r>
        <w:rPr/>
        <w:t>№</w:t>
      </w:r>
      <w:r>
        <w:rPr>
          <w:spacing w:val="-10"/>
        </w:rPr>
        <w:t> </w:t>
      </w:r>
      <w:r>
        <w:rPr/>
        <w:t>698н</w:t>
      </w:r>
      <w:r>
        <w:rPr>
          <w:spacing w:val="-9"/>
        </w:rPr>
        <w:t> </w:t>
      </w:r>
      <w:r>
        <w:rPr/>
        <w:t>(далее</w:t>
      </w:r>
      <w:r>
        <w:rPr>
          <w:spacing w:val="-8"/>
        </w:rPr>
        <w:t> </w:t>
      </w:r>
      <w:r>
        <w:rPr/>
        <w:t>–</w:t>
      </w:r>
      <w:r>
        <w:rPr>
          <w:spacing w:val="-10"/>
        </w:rPr>
        <w:t> </w:t>
      </w:r>
      <w:r>
        <w:rPr/>
        <w:t>Порядок). На основании перечня граждан медицинская организация формирует и ведет календарный план проведения углубленной диспансеризации с указанием осмотров врачами-специалистами,</w:t>
      </w:r>
      <w:r>
        <w:rPr>
          <w:spacing w:val="52"/>
        </w:rPr>
        <w:t> </w:t>
      </w:r>
      <w:r>
        <w:rPr/>
        <w:t>лабораторных,</w:t>
      </w:r>
      <w:r>
        <w:rPr>
          <w:spacing w:val="51"/>
        </w:rPr>
        <w:t> </w:t>
      </w:r>
      <w:r>
        <w:rPr/>
        <w:t>инструментальных</w:t>
      </w:r>
      <w:r>
        <w:rPr>
          <w:spacing w:val="51"/>
        </w:rPr>
        <w:t> </w:t>
      </w:r>
      <w:r>
        <w:rPr/>
        <w:t>и</w:t>
      </w:r>
      <w:r>
        <w:rPr>
          <w:spacing w:val="53"/>
        </w:rPr>
        <w:t> </w:t>
      </w:r>
      <w:r>
        <w:rPr/>
        <w:t>иных</w:t>
      </w:r>
      <w:r>
        <w:rPr>
          <w:spacing w:val="50"/>
        </w:rPr>
        <w:t> </w:t>
      </w:r>
      <w:r>
        <w:rPr>
          <w:spacing w:val="-2"/>
        </w:rPr>
        <w:t>исследований,</w:t>
      </w:r>
    </w:p>
    <w:p>
      <w:pPr>
        <w:pStyle w:val="BodyText"/>
        <w:spacing w:line="274" w:lineRule="exact"/>
      </w:pPr>
      <w:r>
        <w:rPr/>
        <w:t>дат</w:t>
      </w:r>
      <w:r>
        <w:rPr>
          <w:spacing w:val="-9"/>
        </w:rPr>
        <w:t> </w:t>
      </w:r>
      <w:r>
        <w:rPr/>
        <w:t>и</w:t>
      </w:r>
      <w:r>
        <w:rPr>
          <w:spacing w:val="-7"/>
        </w:rPr>
        <w:t> </w:t>
      </w:r>
      <w:r>
        <w:rPr/>
        <w:t>мест</w:t>
      </w:r>
      <w:r>
        <w:rPr>
          <w:spacing w:val="-8"/>
        </w:rPr>
        <w:t> </w:t>
      </w:r>
      <w:r>
        <w:rPr/>
        <w:t>их</w:t>
      </w:r>
      <w:r>
        <w:rPr>
          <w:spacing w:val="-9"/>
        </w:rPr>
        <w:t> </w:t>
      </w:r>
      <w:r>
        <w:rPr/>
        <w:t>проведения,</w:t>
      </w:r>
      <w:r>
        <w:rPr>
          <w:spacing w:val="-8"/>
        </w:rPr>
        <w:t> </w:t>
      </w:r>
      <w:r>
        <w:rPr/>
        <w:t>числа</w:t>
      </w:r>
      <w:r>
        <w:rPr>
          <w:spacing w:val="-7"/>
        </w:rPr>
        <w:t> </w:t>
      </w:r>
      <w:r>
        <w:rPr/>
        <w:t>граждан</w:t>
      </w:r>
      <w:r>
        <w:rPr>
          <w:spacing w:val="-7"/>
        </w:rPr>
        <w:t> </w:t>
      </w:r>
      <w:r>
        <w:rPr/>
        <w:t>(далее</w:t>
      </w:r>
      <w:r>
        <w:rPr>
          <w:spacing w:val="-9"/>
        </w:rPr>
        <w:t> </w:t>
      </w:r>
      <w:r>
        <w:rPr/>
        <w:t>-</w:t>
      </w:r>
      <w:r>
        <w:rPr>
          <w:spacing w:val="-8"/>
        </w:rPr>
        <w:t> </w:t>
      </w:r>
      <w:r>
        <w:rPr/>
        <w:t>календарный</w:t>
      </w:r>
      <w:r>
        <w:rPr>
          <w:spacing w:val="-8"/>
        </w:rPr>
        <w:t> </w:t>
      </w:r>
      <w:r>
        <w:rPr>
          <w:spacing w:val="-2"/>
        </w:rPr>
        <w:t>план).</w:t>
      </w:r>
    </w:p>
    <w:p>
      <w:pPr>
        <w:pStyle w:val="BodyText"/>
        <w:spacing w:line="276" w:lineRule="auto" w:before="40"/>
        <w:ind w:right="1278" w:firstLine="707"/>
      </w:pPr>
      <w:r>
        <w:rPr/>
        <w:t>При планировании даты проведения углубленной диспансеризации гражданина, составлении перечня граждан, подлежащих углубленной диспансеризации, а также при актуализации указанного перечня учитывается категория, к которой относится гражданин.</w:t>
      </w:r>
    </w:p>
    <w:p>
      <w:pPr>
        <w:pStyle w:val="BodyText"/>
        <w:spacing w:after="0" w:line="276" w:lineRule="auto"/>
        <w:sectPr>
          <w:pgSz w:w="11900" w:h="16840"/>
          <w:pgMar w:header="0" w:footer="697" w:top="1080" w:bottom="880" w:left="0" w:right="0"/>
        </w:sectPr>
      </w:pPr>
    </w:p>
    <w:p>
      <w:pPr>
        <w:pStyle w:val="BodyText"/>
        <w:spacing w:line="276" w:lineRule="auto" w:before="73"/>
        <w:ind w:right="1275" w:firstLine="707"/>
      </w:pPr>
      <w:bookmarkStart w:name="114" w:id="133"/>
      <w:bookmarkEnd w:id="133"/>
      <w:r>
        <w:rPr/>
      </w:r>
      <w:r>
        <w:rPr/>
        <w:t>При подозрении у гражданина наличия заболевания (состояния), диагноз которого не может быть установлен при проведении исследований и иных медицинских вмешательств, включенных в I этап, углубленная диспансеризация является завершенной в случае проведения исследований и иных медицинских вмешательств, включенных во II этап углубленной диспансеризации в соответствии</w:t>
      </w:r>
      <w:r>
        <w:rPr>
          <w:spacing w:val="40"/>
        </w:rPr>
        <w:t> </w:t>
      </w:r>
      <w:r>
        <w:rPr/>
        <w:t>с перечнем исследований и иных медицинских вмешательств, проводимых в рамках углубленной диспансеризации, приведенным в приложении № 4 к Программе государственных гарантий бесплатного оказания гражданам медицинской помощи (введен</w:t>
      </w:r>
      <w:r>
        <w:rPr>
          <w:spacing w:val="-5"/>
        </w:rPr>
        <w:t> </w:t>
      </w:r>
      <w:r>
        <w:rPr/>
        <w:t>Постановлением</w:t>
      </w:r>
      <w:r>
        <w:rPr>
          <w:spacing w:val="-6"/>
        </w:rPr>
        <w:t> </w:t>
      </w:r>
      <w:r>
        <w:rPr/>
        <w:t>Правительства</w:t>
      </w:r>
      <w:r>
        <w:rPr>
          <w:spacing w:val="-4"/>
        </w:rPr>
        <w:t> </w:t>
      </w:r>
      <w:r>
        <w:rPr/>
        <w:t>Российской</w:t>
      </w:r>
      <w:r>
        <w:rPr>
          <w:spacing w:val="-5"/>
        </w:rPr>
        <w:t> </w:t>
      </w:r>
      <w:r>
        <w:rPr/>
        <w:t>Федерации</w:t>
      </w:r>
      <w:r>
        <w:rPr>
          <w:spacing w:val="-5"/>
        </w:rPr>
        <w:t> </w:t>
      </w:r>
      <w:r>
        <w:rPr/>
        <w:t>от</w:t>
      </w:r>
      <w:r>
        <w:rPr>
          <w:spacing w:val="-6"/>
        </w:rPr>
        <w:t> </w:t>
      </w:r>
      <w:r>
        <w:rPr/>
        <w:t>18.06.2021</w:t>
      </w:r>
      <w:r>
        <w:rPr>
          <w:spacing w:val="-6"/>
        </w:rPr>
        <w:t> </w:t>
      </w:r>
      <w:r>
        <w:rPr/>
        <w:t>№</w:t>
      </w:r>
      <w:r>
        <w:rPr>
          <w:spacing w:val="-7"/>
        </w:rPr>
        <w:t> </w:t>
      </w:r>
      <w:r>
        <w:rPr/>
        <w:t>927) (далее - Перечень исследований).</w:t>
      </w:r>
    </w:p>
    <w:p>
      <w:pPr>
        <w:pStyle w:val="BodyText"/>
        <w:spacing w:line="276" w:lineRule="auto"/>
        <w:ind w:right="1272" w:firstLine="707"/>
      </w:pPr>
      <w:r>
        <w:rPr/>
        <w:t>В</w:t>
      </w:r>
      <w:r>
        <w:rPr>
          <w:spacing w:val="-6"/>
        </w:rPr>
        <w:t> </w:t>
      </w:r>
      <w:r>
        <w:rPr/>
        <w:t>соответствии</w:t>
      </w:r>
      <w:r>
        <w:rPr>
          <w:spacing w:val="-6"/>
        </w:rPr>
        <w:t> </w:t>
      </w:r>
      <w:r>
        <w:rPr/>
        <w:t>с</w:t>
      </w:r>
      <w:r>
        <w:rPr>
          <w:spacing w:val="-8"/>
        </w:rPr>
        <w:t> </w:t>
      </w:r>
      <w:r>
        <w:rPr/>
        <w:t>перечнем</w:t>
      </w:r>
      <w:r>
        <w:rPr>
          <w:spacing w:val="-8"/>
        </w:rPr>
        <w:t> </w:t>
      </w:r>
      <w:r>
        <w:rPr/>
        <w:t>исследований</w:t>
      </w:r>
      <w:r>
        <w:rPr>
          <w:spacing w:val="-6"/>
        </w:rPr>
        <w:t> </w:t>
      </w:r>
      <w:r>
        <w:rPr/>
        <w:t>I</w:t>
      </w:r>
      <w:r>
        <w:rPr>
          <w:spacing w:val="-10"/>
        </w:rPr>
        <w:t> </w:t>
      </w:r>
      <w:r>
        <w:rPr/>
        <w:t>этап</w:t>
      </w:r>
      <w:r>
        <w:rPr>
          <w:spacing w:val="-6"/>
        </w:rPr>
        <w:t> </w:t>
      </w:r>
      <w:r>
        <w:rPr/>
        <w:t>углубленной</w:t>
      </w:r>
      <w:r>
        <w:rPr>
          <w:spacing w:val="-6"/>
        </w:rPr>
        <w:t> </w:t>
      </w:r>
      <w:r>
        <w:rPr/>
        <w:t>диспансеризации проводится в целях выявления у граждан, перенесших новую коронавирусную инфекцию COVID-19, признаков развития хронических неинфекционных заболеваний, факторов риска их развития, а также определения медицинских показаний к выполнению дополнительных обследований и осмотров врачами- специалистами для уточнения диагноза заболевания (состояния) на втором этапе диспансеризации и включает в себя:</w:t>
      </w:r>
    </w:p>
    <w:p>
      <w:pPr>
        <w:pStyle w:val="BodyText"/>
        <w:spacing w:line="275" w:lineRule="exact"/>
        <w:ind w:left="2549"/>
      </w:pPr>
      <w:r>
        <w:rPr/>
        <w:t>а)</w:t>
      </w:r>
      <w:r>
        <w:rPr>
          <w:spacing w:val="-12"/>
        </w:rPr>
        <w:t> </w:t>
      </w:r>
      <w:r>
        <w:rPr/>
        <w:t>измерение</w:t>
      </w:r>
      <w:r>
        <w:rPr>
          <w:spacing w:val="-11"/>
        </w:rPr>
        <w:t> </w:t>
      </w:r>
      <w:r>
        <w:rPr/>
        <w:t>насыщения</w:t>
      </w:r>
      <w:r>
        <w:rPr>
          <w:spacing w:val="-12"/>
        </w:rPr>
        <w:t> </w:t>
      </w:r>
      <w:r>
        <w:rPr/>
        <w:t>крови</w:t>
      </w:r>
      <w:r>
        <w:rPr>
          <w:spacing w:val="-11"/>
        </w:rPr>
        <w:t> </w:t>
      </w:r>
      <w:r>
        <w:rPr/>
        <w:t>кислородом</w:t>
      </w:r>
      <w:r>
        <w:rPr>
          <w:spacing w:val="-11"/>
        </w:rPr>
        <w:t> </w:t>
      </w:r>
      <w:r>
        <w:rPr/>
        <w:t>(сатурация)</w:t>
      </w:r>
      <w:r>
        <w:rPr>
          <w:spacing w:val="-11"/>
        </w:rPr>
        <w:t> </w:t>
      </w:r>
      <w:r>
        <w:rPr/>
        <w:t>в</w:t>
      </w:r>
      <w:r>
        <w:rPr>
          <w:spacing w:val="-12"/>
        </w:rPr>
        <w:t> </w:t>
      </w:r>
      <w:r>
        <w:rPr>
          <w:spacing w:val="-2"/>
        </w:rPr>
        <w:t>покое;</w:t>
      </w:r>
    </w:p>
    <w:p>
      <w:pPr>
        <w:pStyle w:val="BodyText"/>
        <w:spacing w:line="276" w:lineRule="auto" w:before="37"/>
        <w:ind w:right="1278" w:firstLine="707"/>
      </w:pPr>
      <w:r>
        <w:rPr/>
        <w:t>б)</w:t>
      </w:r>
      <w:r>
        <w:rPr>
          <w:spacing w:val="40"/>
        </w:rPr>
        <w:t> </w:t>
      </w:r>
      <w:r>
        <w:rPr/>
        <w:t>тест</w:t>
      </w:r>
      <w:r>
        <w:rPr>
          <w:spacing w:val="40"/>
        </w:rPr>
        <w:t> </w:t>
      </w:r>
      <w:r>
        <w:rPr/>
        <w:t>с</w:t>
      </w:r>
      <w:r>
        <w:rPr>
          <w:spacing w:val="40"/>
        </w:rPr>
        <w:t> </w:t>
      </w:r>
      <w:r>
        <w:rPr/>
        <w:t>6-минутной</w:t>
      </w:r>
      <w:r>
        <w:rPr>
          <w:spacing w:val="40"/>
        </w:rPr>
        <w:t> </w:t>
      </w:r>
      <w:r>
        <w:rPr/>
        <w:t>ходьбой</w:t>
      </w:r>
      <w:r>
        <w:rPr>
          <w:spacing w:val="40"/>
        </w:rPr>
        <w:t> </w:t>
      </w:r>
      <w:r>
        <w:rPr/>
        <w:t>(при</w:t>
      </w:r>
      <w:r>
        <w:rPr>
          <w:spacing w:val="40"/>
        </w:rPr>
        <w:t> </w:t>
      </w:r>
      <w:r>
        <w:rPr/>
        <w:t>исходной</w:t>
      </w:r>
      <w:r>
        <w:rPr>
          <w:spacing w:val="40"/>
        </w:rPr>
        <w:t> </w:t>
      </w:r>
      <w:r>
        <w:rPr/>
        <w:t>сатурации</w:t>
      </w:r>
      <w:r>
        <w:rPr>
          <w:spacing w:val="40"/>
        </w:rPr>
        <w:t> </w:t>
      </w:r>
      <w:r>
        <w:rPr/>
        <w:t>кислорода</w:t>
      </w:r>
      <w:r>
        <w:rPr>
          <w:spacing w:val="40"/>
        </w:rPr>
        <w:t> </w:t>
      </w:r>
      <w:r>
        <w:rPr/>
        <w:t>крови 95</w:t>
      </w:r>
      <w:r>
        <w:rPr>
          <w:spacing w:val="-15"/>
        </w:rPr>
        <w:t> </w:t>
      </w:r>
      <w:r>
        <w:rPr/>
        <w:t>процентов</w:t>
      </w:r>
      <w:r>
        <w:rPr>
          <w:spacing w:val="-15"/>
        </w:rPr>
        <w:t> </w:t>
      </w:r>
      <w:r>
        <w:rPr/>
        <w:t>и</w:t>
      </w:r>
      <w:r>
        <w:rPr>
          <w:spacing w:val="-15"/>
        </w:rPr>
        <w:t> </w:t>
      </w:r>
      <w:r>
        <w:rPr/>
        <w:t>больше</w:t>
      </w:r>
      <w:r>
        <w:rPr>
          <w:spacing w:val="-15"/>
        </w:rPr>
        <w:t> </w:t>
      </w:r>
      <w:r>
        <w:rPr/>
        <w:t>в</w:t>
      </w:r>
      <w:r>
        <w:rPr>
          <w:spacing w:val="-15"/>
        </w:rPr>
        <w:t> </w:t>
      </w:r>
      <w:r>
        <w:rPr/>
        <w:t>сочетании</w:t>
      </w:r>
      <w:r>
        <w:rPr>
          <w:spacing w:val="-15"/>
        </w:rPr>
        <w:t> </w:t>
      </w:r>
      <w:r>
        <w:rPr/>
        <w:t>с</w:t>
      </w:r>
      <w:r>
        <w:rPr>
          <w:spacing w:val="-15"/>
        </w:rPr>
        <w:t> </w:t>
      </w:r>
      <w:r>
        <w:rPr/>
        <w:t>наличием</w:t>
      </w:r>
      <w:r>
        <w:rPr>
          <w:spacing w:val="-15"/>
        </w:rPr>
        <w:t> </w:t>
      </w:r>
      <w:r>
        <w:rPr/>
        <w:t>у</w:t>
      </w:r>
      <w:r>
        <w:rPr>
          <w:spacing w:val="-15"/>
        </w:rPr>
        <w:t> </w:t>
      </w:r>
      <w:r>
        <w:rPr/>
        <w:t>гражданина</w:t>
      </w:r>
      <w:r>
        <w:rPr>
          <w:spacing w:val="-15"/>
        </w:rPr>
        <w:t> </w:t>
      </w:r>
      <w:r>
        <w:rPr/>
        <w:t>жалоб</w:t>
      </w:r>
      <w:r>
        <w:rPr>
          <w:spacing w:val="-15"/>
        </w:rPr>
        <w:t> </w:t>
      </w:r>
      <w:r>
        <w:rPr/>
        <w:t>на</w:t>
      </w:r>
      <w:r>
        <w:rPr>
          <w:spacing w:val="-15"/>
        </w:rPr>
        <w:t> </w:t>
      </w:r>
      <w:r>
        <w:rPr/>
        <w:t>одышку,</w:t>
      </w:r>
      <w:r>
        <w:rPr>
          <w:spacing w:val="-15"/>
        </w:rPr>
        <w:t> </w:t>
      </w:r>
      <w:r>
        <w:rPr/>
        <w:t>отеки, которые появились впервые или повысилась их интенсивность);</w:t>
      </w:r>
    </w:p>
    <w:p>
      <w:pPr>
        <w:pStyle w:val="BodyText"/>
        <w:spacing w:line="276" w:lineRule="exact"/>
        <w:ind w:left="2549"/>
      </w:pPr>
      <w:r>
        <w:rPr/>
        <w:t>в)</w:t>
      </w:r>
      <w:r>
        <w:rPr>
          <w:spacing w:val="-12"/>
        </w:rPr>
        <w:t> </w:t>
      </w:r>
      <w:r>
        <w:rPr/>
        <w:t>проведение</w:t>
      </w:r>
      <w:r>
        <w:rPr>
          <w:spacing w:val="-11"/>
        </w:rPr>
        <w:t> </w:t>
      </w:r>
      <w:r>
        <w:rPr/>
        <w:t>спирометрии</w:t>
      </w:r>
      <w:r>
        <w:rPr>
          <w:spacing w:val="-11"/>
        </w:rPr>
        <w:t> </w:t>
      </w:r>
      <w:r>
        <w:rPr/>
        <w:t>или</w:t>
      </w:r>
      <w:r>
        <w:rPr>
          <w:spacing w:val="-9"/>
        </w:rPr>
        <w:t> </w:t>
      </w:r>
      <w:r>
        <w:rPr>
          <w:spacing w:val="-2"/>
        </w:rPr>
        <w:t>спирографии;</w:t>
      </w:r>
    </w:p>
    <w:p>
      <w:pPr>
        <w:pStyle w:val="BodyText"/>
        <w:spacing w:before="41"/>
        <w:ind w:left="2549"/>
      </w:pPr>
      <w:r>
        <w:rPr/>
        <w:t>г)</w:t>
      </w:r>
      <w:r>
        <w:rPr>
          <w:spacing w:val="-12"/>
        </w:rPr>
        <w:t> </w:t>
      </w:r>
      <w:r>
        <w:rPr/>
        <w:t>общий</w:t>
      </w:r>
      <w:r>
        <w:rPr>
          <w:spacing w:val="-12"/>
        </w:rPr>
        <w:t> </w:t>
      </w:r>
      <w:r>
        <w:rPr/>
        <w:t>(клинический)</w:t>
      </w:r>
      <w:r>
        <w:rPr>
          <w:spacing w:val="-12"/>
        </w:rPr>
        <w:t> </w:t>
      </w:r>
      <w:r>
        <w:rPr/>
        <w:t>анализ</w:t>
      </w:r>
      <w:r>
        <w:rPr>
          <w:spacing w:val="-11"/>
        </w:rPr>
        <w:t> </w:t>
      </w:r>
      <w:r>
        <w:rPr/>
        <w:t>крови</w:t>
      </w:r>
      <w:r>
        <w:rPr>
          <w:spacing w:val="-11"/>
        </w:rPr>
        <w:t> </w:t>
      </w:r>
      <w:r>
        <w:rPr>
          <w:spacing w:val="-2"/>
        </w:rPr>
        <w:t>развернутый;</w:t>
      </w:r>
    </w:p>
    <w:p>
      <w:pPr>
        <w:pStyle w:val="BodyText"/>
        <w:spacing w:line="276" w:lineRule="auto" w:before="40"/>
        <w:ind w:right="1275" w:firstLine="707"/>
      </w:pPr>
      <w:r>
        <w:rPr/>
        <w:t>д) биохимический анализ крови (включая исследования уровня холестерина, уровня липопротеинов низкой плотности, C-реактивного белка, определение активности аланинаминотрансферазы в крови, определение активности аспартатаминотрансферазы</w:t>
      </w:r>
      <w:r>
        <w:rPr>
          <w:spacing w:val="40"/>
        </w:rPr>
        <w:t> </w:t>
      </w:r>
      <w:r>
        <w:rPr/>
        <w:t>в</w:t>
      </w:r>
      <w:r>
        <w:rPr>
          <w:spacing w:val="40"/>
        </w:rPr>
        <w:t> </w:t>
      </w:r>
      <w:r>
        <w:rPr/>
        <w:t>крови,</w:t>
      </w:r>
      <w:r>
        <w:rPr>
          <w:spacing w:val="40"/>
        </w:rPr>
        <w:t> </w:t>
      </w:r>
      <w:r>
        <w:rPr/>
        <w:t>определение</w:t>
      </w:r>
      <w:r>
        <w:rPr>
          <w:spacing w:val="40"/>
        </w:rPr>
        <w:t> </w:t>
      </w:r>
      <w:r>
        <w:rPr/>
        <w:t>активности</w:t>
      </w:r>
      <w:r>
        <w:rPr>
          <w:spacing w:val="40"/>
        </w:rPr>
        <w:t> </w:t>
      </w:r>
      <w:r>
        <w:rPr/>
        <w:t>лактатдегидрогеназы в крови, исследование уровня креатинина в крови);</w:t>
      </w:r>
    </w:p>
    <w:p>
      <w:pPr>
        <w:pStyle w:val="BodyText"/>
        <w:spacing w:line="276" w:lineRule="auto"/>
        <w:ind w:right="1277" w:firstLine="707"/>
      </w:pPr>
      <w:r>
        <w:rPr/>
        <w:t>е) определение концентрации Д-димера в крови у граждан, перенесших среднюю степень тяжести и выше новой коронавирусной инфекции COVID-19;</w:t>
      </w:r>
    </w:p>
    <w:p>
      <w:pPr>
        <w:pStyle w:val="BodyText"/>
        <w:spacing w:line="276" w:lineRule="auto"/>
        <w:ind w:right="1279" w:firstLine="707"/>
      </w:pPr>
      <w:r>
        <w:rPr/>
        <w:t>ж) проведение рентгенографии органов грудной клетки (если не выполнялась ранее в течение года);</w:t>
      </w:r>
    </w:p>
    <w:p>
      <w:pPr>
        <w:pStyle w:val="BodyText"/>
        <w:spacing w:line="276" w:lineRule="auto"/>
        <w:ind w:right="1280" w:firstLine="707"/>
      </w:pPr>
      <w:r>
        <w:rPr/>
        <w:t>з) прием (осмотр) врачом-терапевтом (участковым терапевтом, врачом общей </w:t>
      </w:r>
      <w:r>
        <w:rPr>
          <w:spacing w:val="-2"/>
        </w:rPr>
        <w:t>практики).</w:t>
      </w:r>
    </w:p>
    <w:p>
      <w:pPr>
        <w:pStyle w:val="BodyText"/>
        <w:spacing w:line="276" w:lineRule="auto"/>
        <w:ind w:right="1279" w:firstLine="707"/>
      </w:pPr>
      <w:r>
        <w:rPr/>
        <w:t>II этап углубленной диспансеризации проводится в целях дополнительного обследования и уточнения диагноза заболевания (состояния) и включает в себя:</w:t>
      </w:r>
    </w:p>
    <w:p>
      <w:pPr>
        <w:pStyle w:val="BodyText"/>
        <w:spacing w:line="276" w:lineRule="auto"/>
        <w:ind w:right="1272" w:firstLine="707"/>
        <w:jc w:val="right"/>
      </w:pPr>
      <w:r>
        <w:rPr/>
        <w:t>а)</w:t>
      </w:r>
      <w:r>
        <w:rPr>
          <w:spacing w:val="80"/>
        </w:rPr>
        <w:t> </w:t>
      </w:r>
      <w:r>
        <w:rPr/>
        <w:t>проведение</w:t>
      </w:r>
      <w:r>
        <w:rPr>
          <w:spacing w:val="80"/>
        </w:rPr>
        <w:t> </w:t>
      </w:r>
      <w:r>
        <w:rPr/>
        <w:t>эхокардиографии</w:t>
      </w:r>
      <w:r>
        <w:rPr>
          <w:spacing w:val="80"/>
        </w:rPr>
        <w:t> </w:t>
      </w:r>
      <w:r>
        <w:rPr/>
        <w:t>(в</w:t>
      </w:r>
      <w:r>
        <w:rPr>
          <w:spacing w:val="80"/>
        </w:rPr>
        <w:t> </w:t>
      </w:r>
      <w:r>
        <w:rPr/>
        <w:t>случае</w:t>
      </w:r>
      <w:r>
        <w:rPr>
          <w:spacing w:val="80"/>
        </w:rPr>
        <w:t> </w:t>
      </w:r>
      <w:r>
        <w:rPr/>
        <w:t>показателя</w:t>
      </w:r>
      <w:r>
        <w:rPr>
          <w:spacing w:val="80"/>
        </w:rPr>
        <w:t> </w:t>
      </w:r>
      <w:r>
        <w:rPr/>
        <w:t>сатурации</w:t>
      </w:r>
      <w:r>
        <w:rPr>
          <w:spacing w:val="80"/>
        </w:rPr>
        <w:t> </w:t>
      </w:r>
      <w:r>
        <w:rPr/>
        <w:t>в</w:t>
      </w:r>
      <w:r>
        <w:rPr>
          <w:spacing w:val="80"/>
        </w:rPr>
        <w:t> </w:t>
      </w:r>
      <w:r>
        <w:rPr/>
        <w:t>покое 94</w:t>
      </w:r>
      <w:r>
        <w:rPr>
          <w:spacing w:val="-8"/>
        </w:rPr>
        <w:t> </w:t>
      </w:r>
      <w:r>
        <w:rPr/>
        <w:t>процента</w:t>
      </w:r>
      <w:r>
        <w:rPr>
          <w:spacing w:val="-9"/>
        </w:rPr>
        <w:t> </w:t>
      </w:r>
      <w:r>
        <w:rPr/>
        <w:t>и</w:t>
      </w:r>
      <w:r>
        <w:rPr>
          <w:spacing w:val="-7"/>
        </w:rPr>
        <w:t> </w:t>
      </w:r>
      <w:r>
        <w:rPr/>
        <w:t>ниже,</w:t>
      </w:r>
      <w:r>
        <w:rPr>
          <w:spacing w:val="-8"/>
        </w:rPr>
        <w:t> </w:t>
      </w:r>
      <w:r>
        <w:rPr/>
        <w:t>а</w:t>
      </w:r>
      <w:r>
        <w:rPr>
          <w:spacing w:val="-9"/>
        </w:rPr>
        <w:t> </w:t>
      </w:r>
      <w:r>
        <w:rPr/>
        <w:t>также</w:t>
      </w:r>
      <w:r>
        <w:rPr>
          <w:spacing w:val="-9"/>
        </w:rPr>
        <w:t> </w:t>
      </w:r>
      <w:r>
        <w:rPr/>
        <w:t>по</w:t>
      </w:r>
      <w:r>
        <w:rPr>
          <w:spacing w:val="-8"/>
        </w:rPr>
        <w:t> </w:t>
      </w:r>
      <w:r>
        <w:rPr/>
        <w:t>результатам</w:t>
      </w:r>
      <w:r>
        <w:rPr>
          <w:spacing w:val="-9"/>
        </w:rPr>
        <w:t> </w:t>
      </w:r>
      <w:r>
        <w:rPr/>
        <w:t>проведения</w:t>
      </w:r>
      <w:r>
        <w:rPr>
          <w:spacing w:val="-8"/>
        </w:rPr>
        <w:t> </w:t>
      </w:r>
      <w:r>
        <w:rPr/>
        <w:t>теста</w:t>
      </w:r>
      <w:r>
        <w:rPr>
          <w:spacing w:val="-9"/>
        </w:rPr>
        <w:t> </w:t>
      </w:r>
      <w:r>
        <w:rPr/>
        <w:t>с</w:t>
      </w:r>
      <w:r>
        <w:rPr>
          <w:spacing w:val="-7"/>
        </w:rPr>
        <w:t> </w:t>
      </w:r>
      <w:r>
        <w:rPr/>
        <w:t>6-минутной</w:t>
      </w:r>
      <w:r>
        <w:rPr>
          <w:spacing w:val="-7"/>
        </w:rPr>
        <w:t> </w:t>
      </w:r>
      <w:r>
        <w:rPr/>
        <w:t>ходьбой); б)</w:t>
      </w:r>
      <w:r>
        <w:rPr>
          <w:spacing w:val="80"/>
        </w:rPr>
        <w:t> </w:t>
      </w:r>
      <w:r>
        <w:rPr/>
        <w:t>проведение</w:t>
      </w:r>
      <w:r>
        <w:rPr>
          <w:spacing w:val="80"/>
        </w:rPr>
        <w:t> </w:t>
      </w:r>
      <w:r>
        <w:rPr/>
        <w:t>компьютерной</w:t>
      </w:r>
      <w:r>
        <w:rPr>
          <w:spacing w:val="80"/>
        </w:rPr>
        <w:t> </w:t>
      </w:r>
      <w:r>
        <w:rPr/>
        <w:t>томографии</w:t>
      </w:r>
      <w:r>
        <w:rPr>
          <w:spacing w:val="80"/>
        </w:rPr>
        <w:t> </w:t>
      </w:r>
      <w:r>
        <w:rPr/>
        <w:t>легких</w:t>
      </w:r>
      <w:r>
        <w:rPr>
          <w:spacing w:val="80"/>
        </w:rPr>
        <w:t> </w:t>
      </w:r>
      <w:r>
        <w:rPr/>
        <w:t>(в</w:t>
      </w:r>
      <w:r>
        <w:rPr>
          <w:spacing w:val="80"/>
        </w:rPr>
        <w:t> </w:t>
      </w:r>
      <w:r>
        <w:rPr/>
        <w:t>случае</w:t>
      </w:r>
      <w:r>
        <w:rPr>
          <w:spacing w:val="80"/>
        </w:rPr>
        <w:t> </w:t>
      </w:r>
      <w:r>
        <w:rPr/>
        <w:t>показателя</w:t>
      </w:r>
      <w:r>
        <w:rPr>
          <w:spacing w:val="40"/>
        </w:rPr>
        <w:t> </w:t>
      </w:r>
      <w:r>
        <w:rPr/>
        <w:t>сатурации</w:t>
      </w:r>
      <w:r>
        <w:rPr>
          <w:spacing w:val="33"/>
        </w:rPr>
        <w:t> </w:t>
      </w:r>
      <w:r>
        <w:rPr/>
        <w:t>в</w:t>
      </w:r>
      <w:r>
        <w:rPr>
          <w:spacing w:val="32"/>
        </w:rPr>
        <w:t> </w:t>
      </w:r>
      <w:r>
        <w:rPr/>
        <w:t>покое</w:t>
      </w:r>
      <w:r>
        <w:rPr>
          <w:spacing w:val="31"/>
        </w:rPr>
        <w:t> </w:t>
      </w:r>
      <w:r>
        <w:rPr/>
        <w:t>94</w:t>
      </w:r>
      <w:r>
        <w:rPr>
          <w:spacing w:val="35"/>
        </w:rPr>
        <w:t> </w:t>
      </w:r>
      <w:r>
        <w:rPr/>
        <w:t>процента</w:t>
      </w:r>
      <w:r>
        <w:rPr>
          <w:spacing w:val="33"/>
        </w:rPr>
        <w:t> </w:t>
      </w:r>
      <w:r>
        <w:rPr/>
        <w:t>и</w:t>
      </w:r>
      <w:r>
        <w:rPr>
          <w:spacing w:val="33"/>
        </w:rPr>
        <w:t> </w:t>
      </w:r>
      <w:r>
        <w:rPr/>
        <w:t>ниже,</w:t>
      </w:r>
      <w:r>
        <w:rPr>
          <w:spacing w:val="33"/>
        </w:rPr>
        <w:t> </w:t>
      </w:r>
      <w:r>
        <w:rPr/>
        <w:t>а</w:t>
      </w:r>
      <w:r>
        <w:rPr>
          <w:spacing w:val="31"/>
        </w:rPr>
        <w:t> </w:t>
      </w:r>
      <w:r>
        <w:rPr/>
        <w:t>также</w:t>
      </w:r>
      <w:r>
        <w:rPr>
          <w:spacing w:val="32"/>
        </w:rPr>
        <w:t> </w:t>
      </w:r>
      <w:r>
        <w:rPr/>
        <w:t>по</w:t>
      </w:r>
      <w:r>
        <w:rPr>
          <w:spacing w:val="33"/>
        </w:rPr>
        <w:t> </w:t>
      </w:r>
      <w:r>
        <w:rPr/>
        <w:t>результатам</w:t>
      </w:r>
      <w:r>
        <w:rPr>
          <w:spacing w:val="31"/>
        </w:rPr>
        <w:t> </w:t>
      </w:r>
      <w:r>
        <w:rPr/>
        <w:t>проведения</w:t>
      </w:r>
      <w:r>
        <w:rPr>
          <w:spacing w:val="33"/>
        </w:rPr>
        <w:t> </w:t>
      </w:r>
      <w:r>
        <w:rPr>
          <w:spacing w:val="-2"/>
        </w:rPr>
        <w:t>теста</w:t>
      </w:r>
    </w:p>
    <w:p>
      <w:pPr>
        <w:pStyle w:val="BodyText"/>
        <w:spacing w:line="275" w:lineRule="exact"/>
        <w:jc w:val="left"/>
      </w:pPr>
      <w:r>
        <w:rPr/>
        <w:t>с</w:t>
      </w:r>
      <w:r>
        <w:rPr>
          <w:spacing w:val="-10"/>
        </w:rPr>
        <w:t> </w:t>
      </w:r>
      <w:r>
        <w:rPr/>
        <w:t>6-минутной</w:t>
      </w:r>
      <w:r>
        <w:rPr>
          <w:spacing w:val="-10"/>
        </w:rPr>
        <w:t> </w:t>
      </w:r>
      <w:r>
        <w:rPr>
          <w:spacing w:val="-2"/>
        </w:rPr>
        <w:t>ходьбой);</w:t>
      </w:r>
    </w:p>
    <w:p>
      <w:pPr>
        <w:pStyle w:val="BodyText"/>
        <w:spacing w:line="276" w:lineRule="auto" w:before="39"/>
        <w:ind w:right="1283" w:firstLine="707"/>
        <w:jc w:val="left"/>
      </w:pPr>
      <w:r>
        <w:rPr/>
        <w:t>в)</w:t>
      </w:r>
      <w:r>
        <w:rPr>
          <w:spacing w:val="-7"/>
        </w:rPr>
        <w:t> </w:t>
      </w:r>
      <w:r>
        <w:rPr/>
        <w:t>дуплексное</w:t>
      </w:r>
      <w:r>
        <w:rPr>
          <w:spacing w:val="-6"/>
        </w:rPr>
        <w:t> </w:t>
      </w:r>
      <w:r>
        <w:rPr/>
        <w:t>сканирование</w:t>
      </w:r>
      <w:r>
        <w:rPr>
          <w:spacing w:val="-6"/>
        </w:rPr>
        <w:t> </w:t>
      </w:r>
      <w:r>
        <w:rPr/>
        <w:t>вен</w:t>
      </w:r>
      <w:r>
        <w:rPr>
          <w:spacing w:val="-4"/>
        </w:rPr>
        <w:t> </w:t>
      </w:r>
      <w:r>
        <w:rPr/>
        <w:t>нижних</w:t>
      </w:r>
      <w:r>
        <w:rPr>
          <w:spacing w:val="-5"/>
        </w:rPr>
        <w:t> </w:t>
      </w:r>
      <w:r>
        <w:rPr/>
        <w:t>конечностей</w:t>
      </w:r>
      <w:r>
        <w:rPr>
          <w:spacing w:val="-5"/>
        </w:rPr>
        <w:t> </w:t>
      </w:r>
      <w:r>
        <w:rPr/>
        <w:t>(при</w:t>
      </w:r>
      <w:r>
        <w:rPr>
          <w:spacing w:val="-4"/>
        </w:rPr>
        <w:t> </w:t>
      </w:r>
      <w:r>
        <w:rPr/>
        <w:t>наличии</w:t>
      </w:r>
      <w:r>
        <w:rPr>
          <w:spacing w:val="-7"/>
        </w:rPr>
        <w:t> </w:t>
      </w:r>
      <w:r>
        <w:rPr/>
        <w:t>показаний по результатам определения концентрации Д-димера в крови).</w:t>
      </w:r>
    </w:p>
    <w:p>
      <w:pPr>
        <w:pStyle w:val="BodyText"/>
        <w:tabs>
          <w:tab w:pos="3461" w:val="left" w:leader="none"/>
          <w:tab w:pos="4773" w:val="left" w:leader="none"/>
          <w:tab w:pos="5144" w:val="left" w:leader="none"/>
          <w:tab w:pos="6649" w:val="left" w:leader="none"/>
          <w:tab w:pos="7860" w:val="left" w:leader="none"/>
          <w:tab w:pos="9693" w:val="left" w:leader="none"/>
        </w:tabs>
        <w:spacing w:line="278" w:lineRule="auto"/>
        <w:ind w:right="1272" w:firstLine="707"/>
        <w:jc w:val="left"/>
      </w:pPr>
      <w:r>
        <w:rPr/>
        <w:t>При</w:t>
      </w:r>
      <w:r>
        <w:rPr>
          <w:spacing w:val="80"/>
        </w:rPr>
        <w:t> </w:t>
      </w:r>
      <w:r>
        <w:rPr/>
        <w:t>выявлении</w:t>
      </w:r>
      <w:r>
        <w:rPr>
          <w:spacing w:val="80"/>
        </w:rPr>
        <w:t> </w:t>
      </w:r>
      <w:r>
        <w:rPr/>
        <w:t>у</w:t>
      </w:r>
      <w:r>
        <w:rPr>
          <w:spacing w:val="80"/>
        </w:rPr>
        <w:t> </w:t>
      </w:r>
      <w:r>
        <w:rPr/>
        <w:t>гражданина</w:t>
      </w:r>
      <w:r>
        <w:rPr>
          <w:spacing w:val="80"/>
        </w:rPr>
        <w:t> </w:t>
      </w:r>
      <w:r>
        <w:rPr/>
        <w:t>в</w:t>
      </w:r>
      <w:r>
        <w:rPr>
          <w:spacing w:val="80"/>
        </w:rPr>
        <w:t> </w:t>
      </w:r>
      <w:r>
        <w:rPr/>
        <w:t>процессе</w:t>
      </w:r>
      <w:r>
        <w:rPr>
          <w:spacing w:val="80"/>
        </w:rPr>
        <w:t> </w:t>
      </w:r>
      <w:r>
        <w:rPr/>
        <w:t>углубленной</w:t>
      </w:r>
      <w:r>
        <w:rPr>
          <w:spacing w:val="80"/>
        </w:rPr>
        <w:t> </w:t>
      </w:r>
      <w:r>
        <w:rPr/>
        <w:t>диспансеризации </w:t>
      </w:r>
      <w:r>
        <w:rPr>
          <w:spacing w:val="-2"/>
        </w:rPr>
        <w:t>медицинских</w:t>
      </w:r>
      <w:r>
        <w:rPr/>
        <w:tab/>
      </w:r>
      <w:r>
        <w:rPr>
          <w:spacing w:val="-2"/>
        </w:rPr>
        <w:t>показаний</w:t>
      </w:r>
      <w:r>
        <w:rPr/>
        <w:tab/>
      </w:r>
      <w:r>
        <w:rPr>
          <w:spacing w:val="-10"/>
        </w:rPr>
        <w:t>к</w:t>
      </w:r>
      <w:r>
        <w:rPr/>
        <w:tab/>
      </w:r>
      <w:r>
        <w:rPr>
          <w:spacing w:val="-2"/>
        </w:rPr>
        <w:t>проведению</w:t>
      </w:r>
      <w:r>
        <w:rPr/>
        <w:tab/>
      </w:r>
      <w:r>
        <w:rPr>
          <w:spacing w:val="-2"/>
        </w:rPr>
        <w:t>осмотров</w:t>
      </w:r>
      <w:r>
        <w:rPr/>
        <w:tab/>
      </w:r>
      <w:r>
        <w:rPr>
          <w:spacing w:val="-2"/>
        </w:rPr>
        <w:t>(консультаций)</w:t>
      </w:r>
      <w:r>
        <w:rPr/>
        <w:tab/>
      </w:r>
      <w:r>
        <w:rPr>
          <w:spacing w:val="-2"/>
        </w:rPr>
        <w:t>врачами-</w:t>
      </w:r>
    </w:p>
    <w:p>
      <w:pPr>
        <w:pStyle w:val="BodyText"/>
        <w:spacing w:after="0" w:line="278" w:lineRule="auto"/>
        <w:jc w:val="left"/>
        <w:sectPr>
          <w:pgSz w:w="11900" w:h="16840"/>
          <w:pgMar w:header="0" w:footer="697" w:top="1080" w:bottom="880" w:left="0" w:right="0"/>
        </w:sectPr>
      </w:pPr>
    </w:p>
    <w:p>
      <w:pPr>
        <w:pStyle w:val="BodyText"/>
        <w:spacing w:line="276" w:lineRule="auto" w:before="73"/>
        <w:ind w:right="1275"/>
      </w:pPr>
      <w:bookmarkStart w:name="115" w:id="134"/>
      <w:bookmarkEnd w:id="134"/>
      <w:r>
        <w:rPr/>
      </w:r>
      <w:r>
        <w:rPr/>
        <w:t>специалистами,</w:t>
      </w:r>
      <w:r>
        <w:rPr>
          <w:spacing w:val="75"/>
        </w:rPr>
        <w:t> </w:t>
      </w:r>
      <w:r>
        <w:rPr/>
        <w:t>исследований</w:t>
      </w:r>
      <w:r>
        <w:rPr>
          <w:spacing w:val="73"/>
        </w:rPr>
        <w:t> </w:t>
      </w:r>
      <w:r>
        <w:rPr/>
        <w:t>и</w:t>
      </w:r>
      <w:r>
        <w:rPr>
          <w:spacing w:val="76"/>
        </w:rPr>
        <w:t> </w:t>
      </w:r>
      <w:r>
        <w:rPr/>
        <w:t>иных</w:t>
      </w:r>
      <w:r>
        <w:rPr>
          <w:spacing w:val="74"/>
        </w:rPr>
        <w:t> </w:t>
      </w:r>
      <w:r>
        <w:rPr/>
        <w:t>медицинских</w:t>
      </w:r>
      <w:r>
        <w:rPr>
          <w:spacing w:val="72"/>
        </w:rPr>
        <w:t> </w:t>
      </w:r>
      <w:r>
        <w:rPr/>
        <w:t>вмешательств,</w:t>
      </w:r>
      <w:r>
        <w:rPr>
          <w:spacing w:val="77"/>
        </w:rPr>
        <w:t> </w:t>
      </w:r>
      <w:r>
        <w:rPr/>
        <w:t>не</w:t>
      </w:r>
      <w:r>
        <w:rPr>
          <w:spacing w:val="74"/>
        </w:rPr>
        <w:t> </w:t>
      </w:r>
      <w:r>
        <w:rPr/>
        <w:t>входящих в</w:t>
      </w:r>
      <w:r>
        <w:rPr>
          <w:spacing w:val="40"/>
        </w:rPr>
        <w:t> </w:t>
      </w:r>
      <w:r>
        <w:rPr/>
        <w:t>объем</w:t>
      </w:r>
      <w:r>
        <w:rPr>
          <w:spacing w:val="40"/>
        </w:rPr>
        <w:t> </w:t>
      </w:r>
      <w:r>
        <w:rPr/>
        <w:t>углубленной</w:t>
      </w:r>
      <w:r>
        <w:rPr>
          <w:spacing w:val="40"/>
        </w:rPr>
        <w:t> </w:t>
      </w:r>
      <w:r>
        <w:rPr/>
        <w:t>диспансеризации</w:t>
      </w:r>
      <w:r>
        <w:rPr>
          <w:spacing w:val="40"/>
        </w:rPr>
        <w:t> </w:t>
      </w:r>
      <w:r>
        <w:rPr/>
        <w:t>в</w:t>
      </w:r>
      <w:r>
        <w:rPr>
          <w:spacing w:val="40"/>
        </w:rPr>
        <w:t> </w:t>
      </w:r>
      <w:r>
        <w:rPr/>
        <w:t>соответствии</w:t>
      </w:r>
      <w:r>
        <w:rPr>
          <w:spacing w:val="40"/>
        </w:rPr>
        <w:t> </w:t>
      </w:r>
      <w:r>
        <w:rPr/>
        <w:t>с</w:t>
      </w:r>
      <w:r>
        <w:rPr>
          <w:spacing w:val="40"/>
        </w:rPr>
        <w:t> </w:t>
      </w:r>
      <w:r>
        <w:rPr/>
        <w:t>настоящим</w:t>
      </w:r>
      <w:r>
        <w:rPr>
          <w:spacing w:val="40"/>
        </w:rPr>
        <w:t> </w:t>
      </w:r>
      <w:r>
        <w:rPr/>
        <w:t>Порядком, они назначаются и выполняются в соответствии с положениями порядков оказания медицинской помощи по профилю выявленного или предполагаемого заболевания (состояния), с учетом стандартов медицинской помощи, а также на основе клинических рекомендаций.</w:t>
      </w:r>
    </w:p>
    <w:p>
      <w:pPr>
        <w:pStyle w:val="BodyText"/>
        <w:spacing w:before="82"/>
        <w:ind w:left="0"/>
        <w:jc w:val="left"/>
      </w:pPr>
    </w:p>
    <w:p>
      <w:pPr>
        <w:pStyle w:val="Heading1"/>
        <w:numPr>
          <w:ilvl w:val="0"/>
          <w:numId w:val="5"/>
        </w:numPr>
        <w:tabs>
          <w:tab w:pos="2828" w:val="left" w:leader="none"/>
        </w:tabs>
        <w:spacing w:line="240" w:lineRule="auto" w:before="0" w:after="0"/>
        <w:ind w:left="2828" w:right="0" w:hanging="279"/>
        <w:jc w:val="left"/>
      </w:pPr>
      <w:bookmarkStart w:name="_TOC_250027" w:id="135"/>
      <w:r>
        <w:rPr>
          <w:color w:val="1F487C"/>
        </w:rPr>
        <w:t>ОСОБЕННОСТИ</w:t>
      </w:r>
      <w:r>
        <w:rPr>
          <w:color w:val="1F487C"/>
          <w:spacing w:val="-7"/>
        </w:rPr>
        <w:t> </w:t>
      </w:r>
      <w:r>
        <w:rPr>
          <w:color w:val="1F487C"/>
        </w:rPr>
        <w:t>ВЕДЕНИЯ</w:t>
      </w:r>
      <w:r>
        <w:rPr>
          <w:color w:val="1F487C"/>
          <w:spacing w:val="-7"/>
        </w:rPr>
        <w:t> </w:t>
      </w:r>
      <w:r>
        <w:rPr>
          <w:color w:val="1F487C"/>
        </w:rPr>
        <w:t>ДЕТЕЙ</w:t>
      </w:r>
      <w:r>
        <w:rPr>
          <w:color w:val="1F487C"/>
          <w:spacing w:val="-7"/>
        </w:rPr>
        <w:t> </w:t>
      </w:r>
      <w:r>
        <w:rPr>
          <w:color w:val="1F487C"/>
        </w:rPr>
        <w:t>С</w:t>
      </w:r>
      <w:r>
        <w:rPr>
          <w:color w:val="1F487C"/>
          <w:spacing w:val="-6"/>
        </w:rPr>
        <w:t> </w:t>
      </w:r>
      <w:r>
        <w:rPr>
          <w:color w:val="1F487C"/>
        </w:rPr>
        <w:t>COVID-</w:t>
      </w:r>
      <w:bookmarkEnd w:id="135"/>
      <w:r>
        <w:rPr>
          <w:color w:val="1F487C"/>
          <w:spacing w:val="-5"/>
        </w:rPr>
        <w:t>19</w:t>
      </w:r>
    </w:p>
    <w:p>
      <w:pPr>
        <w:pStyle w:val="BodyText"/>
        <w:spacing w:line="276" w:lineRule="auto" w:before="200"/>
        <w:ind w:right="1273" w:firstLine="707"/>
      </w:pPr>
      <w:r>
        <w:rPr/>
        <w:t>Подробная информация о диагностике, профилактике и лечении детей представлена в методических рекомендациях Минздрава России </w:t>
      </w:r>
      <w:r>
        <w:rPr>
          <w:color w:val="1F487C"/>
        </w:rPr>
        <w:t>«Особенности клинических проявлений и лечения заболевания, вызванного новой коронавирусной инфекцией (COVID-19) у детей»</w:t>
      </w:r>
      <w:r>
        <w:rPr/>
        <w:t>.</w:t>
      </w:r>
    </w:p>
    <w:p>
      <w:pPr>
        <w:pStyle w:val="BodyText"/>
        <w:spacing w:line="276" w:lineRule="auto"/>
        <w:ind w:right="1280" w:firstLine="707"/>
      </w:pPr>
      <w:r>
        <w:rPr/>
        <w:t>По имеющимся данным, дети болеют реже, с менее выраженной клинической симптоматикой, реже требуют госпитализации, заболевание у них протекает легче, что, однако, не исключает случаев тяжелого течения.</w:t>
      </w:r>
    </w:p>
    <w:p>
      <w:pPr>
        <w:pStyle w:val="BodyText"/>
        <w:spacing w:line="276" w:lineRule="auto"/>
        <w:ind w:right="1271" w:firstLine="707"/>
      </w:pPr>
      <w:r>
        <w:rPr/>
        <w:t>У детей отмечается более легкое течение болезни в сравнении со взрослыми, развитие</w:t>
      </w:r>
      <w:r>
        <w:rPr>
          <w:spacing w:val="-3"/>
        </w:rPr>
        <w:t> </w:t>
      </w:r>
      <w:r>
        <w:rPr/>
        <w:t>вирусной</w:t>
      </w:r>
      <w:r>
        <w:rPr>
          <w:spacing w:val="-4"/>
        </w:rPr>
        <w:t> </w:t>
      </w:r>
      <w:r>
        <w:rPr/>
        <w:t>пневмонии</w:t>
      </w:r>
      <w:r>
        <w:rPr>
          <w:spacing w:val="-1"/>
        </w:rPr>
        <w:t> </w:t>
      </w:r>
      <w:r>
        <w:rPr/>
        <w:t>не</w:t>
      </w:r>
      <w:r>
        <w:rPr>
          <w:spacing w:val="-3"/>
        </w:rPr>
        <w:t> </w:t>
      </w:r>
      <w:r>
        <w:rPr/>
        <w:t>характерно,</w:t>
      </w:r>
      <w:r>
        <w:rPr>
          <w:spacing w:val="-2"/>
        </w:rPr>
        <w:t> </w:t>
      </w:r>
      <w:r>
        <w:rPr/>
        <w:t>симптомы</w:t>
      </w:r>
      <w:r>
        <w:rPr>
          <w:spacing w:val="-3"/>
        </w:rPr>
        <w:t> </w:t>
      </w:r>
      <w:r>
        <w:rPr/>
        <w:t>менее</w:t>
      </w:r>
      <w:r>
        <w:rPr>
          <w:spacing w:val="-1"/>
        </w:rPr>
        <w:t> </w:t>
      </w:r>
      <w:r>
        <w:rPr/>
        <w:t>выражены,</w:t>
      </w:r>
      <w:r>
        <w:rPr>
          <w:spacing w:val="-3"/>
        </w:rPr>
        <w:t> </w:t>
      </w:r>
      <w:r>
        <w:rPr/>
        <w:t>летальные исходы чрезвычайно редки. У детей, так же как у взрослых, доминируют лихорадка</w:t>
      </w:r>
      <w:r>
        <w:rPr>
          <w:spacing w:val="40"/>
        </w:rPr>
        <w:t> </w:t>
      </w:r>
      <w:r>
        <w:rPr/>
        <w:t>и</w:t>
      </w:r>
      <w:r>
        <w:rPr>
          <w:spacing w:val="-2"/>
        </w:rPr>
        <w:t> </w:t>
      </w:r>
      <w:r>
        <w:rPr/>
        <w:t>респираторный синдром, однако менее выражены лимфопения и воспалительные </w:t>
      </w:r>
      <w:r>
        <w:rPr>
          <w:spacing w:val="-2"/>
        </w:rPr>
        <w:t>маркеры.</w:t>
      </w:r>
    </w:p>
    <w:p>
      <w:pPr>
        <w:pStyle w:val="BodyText"/>
        <w:spacing w:line="274" w:lineRule="exact"/>
        <w:ind w:left="2549"/>
      </w:pPr>
      <w:r>
        <w:rPr/>
        <w:t>Инкубационный</w:t>
      </w:r>
      <w:r>
        <w:rPr>
          <w:spacing w:val="9"/>
        </w:rPr>
        <w:t> </w:t>
      </w:r>
      <w:r>
        <w:rPr/>
        <w:t>период</w:t>
      </w:r>
      <w:r>
        <w:rPr>
          <w:spacing w:val="9"/>
        </w:rPr>
        <w:t> </w:t>
      </w:r>
      <w:r>
        <w:rPr/>
        <w:t>у</w:t>
      </w:r>
      <w:r>
        <w:rPr>
          <w:spacing w:val="9"/>
        </w:rPr>
        <w:t> </w:t>
      </w:r>
      <w:r>
        <w:rPr/>
        <w:t>детей</w:t>
      </w:r>
      <w:r>
        <w:rPr>
          <w:spacing w:val="10"/>
        </w:rPr>
        <w:t> </w:t>
      </w:r>
      <w:r>
        <w:rPr/>
        <w:t>колеблется</w:t>
      </w:r>
      <w:r>
        <w:rPr>
          <w:spacing w:val="9"/>
        </w:rPr>
        <w:t> </w:t>
      </w:r>
      <w:r>
        <w:rPr/>
        <w:t>от</w:t>
      </w:r>
      <w:r>
        <w:rPr>
          <w:spacing w:val="10"/>
        </w:rPr>
        <w:t> </w:t>
      </w:r>
      <w:r>
        <w:rPr/>
        <w:t>2</w:t>
      </w:r>
      <w:r>
        <w:rPr>
          <w:spacing w:val="9"/>
        </w:rPr>
        <w:t> </w:t>
      </w:r>
      <w:r>
        <w:rPr/>
        <w:t>до</w:t>
      </w:r>
      <w:r>
        <w:rPr>
          <w:spacing w:val="8"/>
        </w:rPr>
        <w:t> </w:t>
      </w:r>
      <w:r>
        <w:rPr/>
        <w:t>10</w:t>
      </w:r>
      <w:r>
        <w:rPr>
          <w:spacing w:val="9"/>
        </w:rPr>
        <w:t> </w:t>
      </w:r>
      <w:r>
        <w:rPr/>
        <w:t>дней,</w:t>
      </w:r>
      <w:r>
        <w:rPr>
          <w:spacing w:val="9"/>
        </w:rPr>
        <w:t> </w:t>
      </w:r>
      <w:r>
        <w:rPr/>
        <w:t>чаще</w:t>
      </w:r>
      <w:r>
        <w:rPr>
          <w:spacing w:val="8"/>
        </w:rPr>
        <w:t> </w:t>
      </w:r>
      <w:r>
        <w:rPr>
          <w:spacing w:val="-2"/>
        </w:rPr>
        <w:t>составляет</w:t>
      </w:r>
    </w:p>
    <w:p>
      <w:pPr>
        <w:pStyle w:val="BodyText"/>
        <w:spacing w:before="39"/>
        <w:jc w:val="left"/>
      </w:pPr>
      <w:r>
        <w:rPr/>
        <w:t>2</w:t>
      </w:r>
      <w:r>
        <w:rPr>
          <w:spacing w:val="-3"/>
        </w:rPr>
        <w:t> </w:t>
      </w:r>
      <w:r>
        <w:rPr>
          <w:spacing w:val="-4"/>
        </w:rPr>
        <w:t>дня.</w:t>
      </w:r>
    </w:p>
    <w:p>
      <w:pPr>
        <w:pStyle w:val="BodyText"/>
        <w:spacing w:before="41"/>
        <w:ind w:left="2549"/>
        <w:jc w:val="left"/>
      </w:pPr>
      <w:r>
        <w:rPr/>
        <w:t>Клинические</w:t>
      </w:r>
      <w:r>
        <w:rPr>
          <w:spacing w:val="75"/>
          <w:w w:val="150"/>
        </w:rPr>
        <w:t> </w:t>
      </w:r>
      <w:r>
        <w:rPr/>
        <w:t>симптомы</w:t>
      </w:r>
      <w:r>
        <w:rPr>
          <w:spacing w:val="77"/>
          <w:w w:val="150"/>
        </w:rPr>
        <w:t> </w:t>
      </w:r>
      <w:r>
        <w:rPr/>
        <w:t>COVID-19</w:t>
      </w:r>
      <w:r>
        <w:rPr>
          <w:spacing w:val="79"/>
          <w:w w:val="150"/>
        </w:rPr>
        <w:t> </w:t>
      </w:r>
      <w:r>
        <w:rPr/>
        <w:t>у</w:t>
      </w:r>
      <w:r>
        <w:rPr>
          <w:spacing w:val="77"/>
          <w:w w:val="150"/>
        </w:rPr>
        <w:t> </w:t>
      </w:r>
      <w:r>
        <w:rPr/>
        <w:t>детей</w:t>
      </w:r>
      <w:r>
        <w:rPr>
          <w:spacing w:val="78"/>
          <w:w w:val="150"/>
        </w:rPr>
        <w:t> </w:t>
      </w:r>
      <w:r>
        <w:rPr/>
        <w:t>соответствуют</w:t>
      </w:r>
      <w:r>
        <w:rPr>
          <w:spacing w:val="78"/>
          <w:w w:val="150"/>
        </w:rPr>
        <w:t> </w:t>
      </w:r>
      <w:r>
        <w:rPr>
          <w:spacing w:val="-2"/>
        </w:rPr>
        <w:t>клинической</w:t>
      </w:r>
    </w:p>
    <w:p>
      <w:pPr>
        <w:pStyle w:val="BodyText"/>
        <w:spacing w:line="276" w:lineRule="auto" w:before="43"/>
        <w:ind w:right="1275"/>
      </w:pPr>
      <w:r>
        <w:rPr/>
        <w:t>картине ОРВИ, обусловленной другими вирусами: лихорадка, кашель, боль в горле, чихание, слабость, миалгия. Выраженность лихорадочной реакции может быть различна: лихорадка до 38 °С отмечается у половины больных детей, у трети детей регистрируется повышение t тела от 38,1 до 39,0 °С.</w:t>
      </w:r>
    </w:p>
    <w:p>
      <w:pPr>
        <w:pStyle w:val="BodyText"/>
        <w:spacing w:line="276" w:lineRule="auto"/>
        <w:ind w:right="1278" w:firstLine="707"/>
      </w:pPr>
      <w:r>
        <w:rPr/>
        <w:t>Выраженность</w:t>
      </w:r>
      <w:r>
        <w:rPr>
          <w:spacing w:val="-7"/>
        </w:rPr>
        <w:t> </w:t>
      </w:r>
      <w:r>
        <w:rPr/>
        <w:t>клинических</w:t>
      </w:r>
      <w:r>
        <w:rPr>
          <w:spacing w:val="-8"/>
        </w:rPr>
        <w:t> </w:t>
      </w:r>
      <w:r>
        <w:rPr/>
        <w:t>проявлений</w:t>
      </w:r>
      <w:r>
        <w:rPr>
          <w:spacing w:val="-7"/>
        </w:rPr>
        <w:t> </w:t>
      </w:r>
      <w:r>
        <w:rPr/>
        <w:t>коронавирусной</w:t>
      </w:r>
      <w:r>
        <w:rPr>
          <w:spacing w:val="-7"/>
        </w:rPr>
        <w:t> </w:t>
      </w:r>
      <w:r>
        <w:rPr/>
        <w:t>инфекции</w:t>
      </w:r>
      <w:r>
        <w:rPr>
          <w:spacing w:val="-7"/>
        </w:rPr>
        <w:t> </w:t>
      </w:r>
      <w:r>
        <w:rPr/>
        <w:t>варьирует от отсутствия симптомов (бессимптомное течение) или легких респираторных симптомов до тяжелой ТОРС, протекающего с:</w:t>
      </w:r>
    </w:p>
    <w:p>
      <w:pPr>
        <w:pStyle w:val="ListParagraph"/>
        <w:numPr>
          <w:ilvl w:val="0"/>
          <w:numId w:val="54"/>
        </w:numPr>
        <w:tabs>
          <w:tab w:pos="2561" w:val="left" w:leader="none"/>
        </w:tabs>
        <w:spacing w:line="293" w:lineRule="exact" w:before="0" w:after="0"/>
        <w:ind w:left="2561" w:right="0" w:hanging="360"/>
        <w:jc w:val="left"/>
        <w:rPr>
          <w:sz w:val="24"/>
        </w:rPr>
      </w:pPr>
      <w:r>
        <w:rPr>
          <w:sz w:val="24"/>
        </w:rPr>
        <w:t>Высокой</w:t>
      </w:r>
      <w:r>
        <w:rPr>
          <w:spacing w:val="-13"/>
          <w:sz w:val="24"/>
        </w:rPr>
        <w:t> </w:t>
      </w:r>
      <w:r>
        <w:rPr>
          <w:spacing w:val="-2"/>
          <w:sz w:val="24"/>
        </w:rPr>
        <w:t>лихорадкой;</w:t>
      </w:r>
    </w:p>
    <w:p>
      <w:pPr>
        <w:pStyle w:val="ListParagraph"/>
        <w:numPr>
          <w:ilvl w:val="0"/>
          <w:numId w:val="54"/>
        </w:numPr>
        <w:tabs>
          <w:tab w:pos="2561" w:val="left" w:leader="none"/>
        </w:tabs>
        <w:spacing w:line="240" w:lineRule="auto" w:before="41" w:after="0"/>
        <w:ind w:left="2561" w:right="0" w:hanging="360"/>
        <w:jc w:val="left"/>
        <w:rPr>
          <w:sz w:val="24"/>
        </w:rPr>
      </w:pPr>
      <w:r>
        <w:rPr>
          <w:sz w:val="24"/>
        </w:rPr>
        <w:t>Выраженным</w:t>
      </w:r>
      <w:r>
        <w:rPr>
          <w:spacing w:val="-15"/>
          <w:sz w:val="24"/>
        </w:rPr>
        <w:t> </w:t>
      </w:r>
      <w:r>
        <w:rPr>
          <w:sz w:val="24"/>
        </w:rPr>
        <w:t>нарушением</w:t>
      </w:r>
      <w:r>
        <w:rPr>
          <w:spacing w:val="-13"/>
          <w:sz w:val="24"/>
        </w:rPr>
        <w:t> </w:t>
      </w:r>
      <w:r>
        <w:rPr>
          <w:sz w:val="24"/>
        </w:rPr>
        <w:t>самочувствия</w:t>
      </w:r>
      <w:r>
        <w:rPr>
          <w:spacing w:val="-14"/>
          <w:sz w:val="24"/>
        </w:rPr>
        <w:t> </w:t>
      </w:r>
      <w:r>
        <w:rPr>
          <w:sz w:val="24"/>
        </w:rPr>
        <w:t>вплоть</w:t>
      </w:r>
      <w:r>
        <w:rPr>
          <w:spacing w:val="-13"/>
          <w:sz w:val="24"/>
        </w:rPr>
        <w:t> </w:t>
      </w:r>
      <w:r>
        <w:rPr>
          <w:sz w:val="24"/>
        </w:rPr>
        <w:t>до</w:t>
      </w:r>
      <w:r>
        <w:rPr>
          <w:spacing w:val="-13"/>
          <w:sz w:val="24"/>
        </w:rPr>
        <w:t> </w:t>
      </w:r>
      <w:r>
        <w:rPr>
          <w:sz w:val="24"/>
        </w:rPr>
        <w:t>нарушения</w:t>
      </w:r>
      <w:r>
        <w:rPr>
          <w:spacing w:val="-14"/>
          <w:sz w:val="24"/>
        </w:rPr>
        <w:t> </w:t>
      </w:r>
      <w:r>
        <w:rPr>
          <w:spacing w:val="-2"/>
          <w:sz w:val="24"/>
        </w:rPr>
        <w:t>сознания;</w:t>
      </w:r>
    </w:p>
    <w:p>
      <w:pPr>
        <w:pStyle w:val="ListParagraph"/>
        <w:numPr>
          <w:ilvl w:val="0"/>
          <w:numId w:val="54"/>
        </w:numPr>
        <w:tabs>
          <w:tab w:pos="2561" w:val="left" w:leader="none"/>
        </w:tabs>
        <w:spacing w:line="240" w:lineRule="auto" w:before="40" w:after="0"/>
        <w:ind w:left="2561" w:right="0" w:hanging="360"/>
        <w:jc w:val="left"/>
        <w:rPr>
          <w:sz w:val="24"/>
        </w:rPr>
      </w:pPr>
      <w:r>
        <w:rPr>
          <w:sz w:val="24"/>
        </w:rPr>
        <w:t>Ознобом,</w:t>
      </w:r>
      <w:r>
        <w:rPr>
          <w:spacing w:val="-12"/>
          <w:sz w:val="24"/>
        </w:rPr>
        <w:t> </w:t>
      </w:r>
      <w:r>
        <w:rPr>
          <w:spacing w:val="-2"/>
          <w:sz w:val="24"/>
        </w:rPr>
        <w:t>потливостью;</w:t>
      </w:r>
    </w:p>
    <w:p>
      <w:pPr>
        <w:pStyle w:val="ListParagraph"/>
        <w:numPr>
          <w:ilvl w:val="0"/>
          <w:numId w:val="54"/>
        </w:numPr>
        <w:tabs>
          <w:tab w:pos="2561" w:val="left" w:leader="none"/>
        </w:tabs>
        <w:spacing w:line="240" w:lineRule="auto" w:before="41" w:after="0"/>
        <w:ind w:left="2561" w:right="0" w:hanging="360"/>
        <w:jc w:val="left"/>
        <w:rPr>
          <w:sz w:val="24"/>
        </w:rPr>
      </w:pPr>
      <w:r>
        <w:rPr>
          <w:sz w:val="24"/>
        </w:rPr>
        <w:t>Головными</w:t>
      </w:r>
      <w:r>
        <w:rPr>
          <w:spacing w:val="-13"/>
          <w:sz w:val="24"/>
        </w:rPr>
        <w:t> </w:t>
      </w:r>
      <w:r>
        <w:rPr>
          <w:sz w:val="24"/>
        </w:rPr>
        <w:t>и</w:t>
      </w:r>
      <w:r>
        <w:rPr>
          <w:spacing w:val="-13"/>
          <w:sz w:val="24"/>
        </w:rPr>
        <w:t> </w:t>
      </w:r>
      <w:r>
        <w:rPr>
          <w:sz w:val="24"/>
        </w:rPr>
        <w:t>мышечными</w:t>
      </w:r>
      <w:r>
        <w:rPr>
          <w:spacing w:val="-13"/>
          <w:sz w:val="24"/>
        </w:rPr>
        <w:t> </w:t>
      </w:r>
      <w:r>
        <w:rPr>
          <w:spacing w:val="-2"/>
          <w:sz w:val="24"/>
        </w:rPr>
        <w:t>болями;</w:t>
      </w:r>
    </w:p>
    <w:p>
      <w:pPr>
        <w:pStyle w:val="ListParagraph"/>
        <w:numPr>
          <w:ilvl w:val="0"/>
          <w:numId w:val="54"/>
        </w:numPr>
        <w:tabs>
          <w:tab w:pos="2561" w:val="left" w:leader="none"/>
        </w:tabs>
        <w:spacing w:line="240" w:lineRule="auto" w:before="40" w:after="0"/>
        <w:ind w:left="2561" w:right="0" w:hanging="360"/>
        <w:jc w:val="left"/>
        <w:rPr>
          <w:sz w:val="24"/>
        </w:rPr>
      </w:pPr>
      <w:r>
        <w:rPr>
          <w:sz w:val="24"/>
        </w:rPr>
        <w:t>Сухим</w:t>
      </w:r>
      <w:r>
        <w:rPr>
          <w:spacing w:val="-13"/>
          <w:sz w:val="24"/>
        </w:rPr>
        <w:t> </w:t>
      </w:r>
      <w:r>
        <w:rPr>
          <w:sz w:val="24"/>
        </w:rPr>
        <w:t>кашлем,</w:t>
      </w:r>
      <w:r>
        <w:rPr>
          <w:spacing w:val="-12"/>
          <w:sz w:val="24"/>
        </w:rPr>
        <w:t> </w:t>
      </w:r>
      <w:r>
        <w:rPr>
          <w:sz w:val="24"/>
        </w:rPr>
        <w:t>одышкой,</w:t>
      </w:r>
      <w:r>
        <w:rPr>
          <w:spacing w:val="-12"/>
          <w:sz w:val="24"/>
        </w:rPr>
        <w:t> </w:t>
      </w:r>
      <w:r>
        <w:rPr>
          <w:sz w:val="24"/>
        </w:rPr>
        <w:t>учащенным</w:t>
      </w:r>
      <w:r>
        <w:rPr>
          <w:spacing w:val="-13"/>
          <w:sz w:val="24"/>
        </w:rPr>
        <w:t> </w:t>
      </w:r>
      <w:r>
        <w:rPr>
          <w:sz w:val="24"/>
        </w:rPr>
        <w:t>и</w:t>
      </w:r>
      <w:r>
        <w:rPr>
          <w:spacing w:val="-11"/>
          <w:sz w:val="24"/>
        </w:rPr>
        <w:t> </w:t>
      </w:r>
      <w:r>
        <w:rPr>
          <w:sz w:val="24"/>
        </w:rPr>
        <w:t>затрудненным</w:t>
      </w:r>
      <w:r>
        <w:rPr>
          <w:spacing w:val="-13"/>
          <w:sz w:val="24"/>
        </w:rPr>
        <w:t> </w:t>
      </w:r>
      <w:r>
        <w:rPr>
          <w:spacing w:val="-2"/>
          <w:sz w:val="24"/>
        </w:rPr>
        <w:t>дыханием;</w:t>
      </w:r>
    </w:p>
    <w:p>
      <w:pPr>
        <w:pStyle w:val="ListParagraph"/>
        <w:numPr>
          <w:ilvl w:val="0"/>
          <w:numId w:val="54"/>
        </w:numPr>
        <w:tabs>
          <w:tab w:pos="2561" w:val="left" w:leader="none"/>
        </w:tabs>
        <w:spacing w:line="240" w:lineRule="auto" w:before="39" w:after="0"/>
        <w:ind w:left="2561" w:right="0" w:hanging="360"/>
        <w:jc w:val="left"/>
        <w:rPr>
          <w:sz w:val="24"/>
        </w:rPr>
      </w:pPr>
      <w:r>
        <w:rPr>
          <w:spacing w:val="-2"/>
          <w:sz w:val="24"/>
        </w:rPr>
        <w:t>Учащенным</w:t>
      </w:r>
      <w:r>
        <w:rPr>
          <w:sz w:val="24"/>
        </w:rPr>
        <w:t> </w:t>
      </w:r>
      <w:r>
        <w:rPr>
          <w:spacing w:val="-2"/>
          <w:sz w:val="24"/>
        </w:rPr>
        <w:t>сердцебиением.</w:t>
      </w:r>
    </w:p>
    <w:p>
      <w:pPr>
        <w:pStyle w:val="BodyText"/>
        <w:spacing w:line="276" w:lineRule="auto" w:before="54"/>
        <w:ind w:right="1273" w:firstLine="707"/>
      </w:pPr>
      <w:r>
        <w:rPr/>
        <w:t>Наиболее частым проявлением ТОРС является двусторонняя вирусная пневмония, осложненная ОРДС или отеком легких. Возможна остановка дыхания, что требует ИВЛ и оказания помощи в условиях ОРИТ.</w:t>
      </w:r>
    </w:p>
    <w:p>
      <w:pPr>
        <w:pStyle w:val="BodyText"/>
        <w:spacing w:line="278" w:lineRule="auto"/>
        <w:ind w:right="1278" w:firstLine="707"/>
      </w:pPr>
      <w:r>
        <w:rPr/>
        <w:t>Неблагоприятные исходы развиваются при прогрессирующей дыхательной недостаточности,</w:t>
      </w:r>
      <w:r>
        <w:rPr>
          <w:spacing w:val="-7"/>
        </w:rPr>
        <w:t> </w:t>
      </w:r>
      <w:r>
        <w:rPr/>
        <w:t>присоединении</w:t>
      </w:r>
      <w:r>
        <w:rPr>
          <w:spacing w:val="-6"/>
        </w:rPr>
        <w:t> </w:t>
      </w:r>
      <w:r>
        <w:rPr/>
        <w:t>вторичной</w:t>
      </w:r>
      <w:r>
        <w:rPr>
          <w:spacing w:val="-8"/>
        </w:rPr>
        <w:t> </w:t>
      </w:r>
      <w:r>
        <w:rPr/>
        <w:t>инфекции,</w:t>
      </w:r>
      <w:r>
        <w:rPr>
          <w:spacing w:val="-7"/>
        </w:rPr>
        <w:t> </w:t>
      </w:r>
      <w:r>
        <w:rPr/>
        <w:t>протекающей</w:t>
      </w:r>
      <w:r>
        <w:rPr>
          <w:spacing w:val="-8"/>
        </w:rPr>
        <w:t> </w:t>
      </w:r>
      <w:r>
        <w:rPr/>
        <w:t>в</w:t>
      </w:r>
      <w:r>
        <w:rPr>
          <w:spacing w:val="-7"/>
        </w:rPr>
        <w:t> </w:t>
      </w:r>
      <w:r>
        <w:rPr/>
        <w:t>виде</w:t>
      </w:r>
      <w:r>
        <w:rPr>
          <w:spacing w:val="-7"/>
        </w:rPr>
        <w:t> </w:t>
      </w:r>
      <w:r>
        <w:rPr/>
        <w:t>сепсиса.</w:t>
      </w:r>
    </w:p>
    <w:p>
      <w:pPr>
        <w:pStyle w:val="BodyText"/>
        <w:spacing w:line="271" w:lineRule="exact"/>
        <w:ind w:left="2549"/>
      </w:pPr>
      <w:r>
        <w:rPr>
          <w:spacing w:val="-2"/>
        </w:rPr>
        <w:t>Возможные</w:t>
      </w:r>
      <w:r>
        <w:rPr/>
        <w:t> </w:t>
      </w:r>
      <w:r>
        <w:rPr>
          <w:spacing w:val="-2"/>
        </w:rPr>
        <w:t>осложнения:</w:t>
      </w:r>
    </w:p>
    <w:p>
      <w:pPr>
        <w:pStyle w:val="ListParagraph"/>
        <w:numPr>
          <w:ilvl w:val="0"/>
          <w:numId w:val="54"/>
        </w:numPr>
        <w:tabs>
          <w:tab w:pos="2561" w:val="left" w:leader="none"/>
        </w:tabs>
        <w:spacing w:line="240" w:lineRule="auto" w:before="40" w:after="0"/>
        <w:ind w:left="2561" w:right="0" w:hanging="360"/>
        <w:jc w:val="left"/>
        <w:rPr>
          <w:sz w:val="24"/>
        </w:rPr>
      </w:pPr>
      <w:r>
        <w:rPr>
          <w:spacing w:val="-2"/>
          <w:sz w:val="24"/>
        </w:rPr>
        <w:t>ОРДС;</w:t>
      </w:r>
    </w:p>
    <w:p>
      <w:pPr>
        <w:pStyle w:val="ListParagraph"/>
        <w:spacing w:after="0" w:line="240" w:lineRule="auto"/>
        <w:jc w:val="left"/>
        <w:rPr>
          <w:sz w:val="24"/>
        </w:rPr>
        <w:sectPr>
          <w:pgSz w:w="11900" w:h="16840"/>
          <w:pgMar w:header="0" w:footer="697" w:top="1080" w:bottom="880" w:left="0" w:right="0"/>
        </w:sectPr>
      </w:pPr>
    </w:p>
    <w:p>
      <w:pPr>
        <w:pStyle w:val="ListParagraph"/>
        <w:numPr>
          <w:ilvl w:val="0"/>
          <w:numId w:val="54"/>
        </w:numPr>
        <w:tabs>
          <w:tab w:pos="2561" w:val="left" w:leader="none"/>
        </w:tabs>
        <w:spacing w:line="240" w:lineRule="auto" w:before="75" w:after="0"/>
        <w:ind w:left="2561" w:right="0" w:hanging="360"/>
        <w:jc w:val="left"/>
        <w:rPr>
          <w:sz w:val="24"/>
        </w:rPr>
      </w:pPr>
      <w:bookmarkStart w:name="116" w:id="136"/>
      <w:bookmarkEnd w:id="136"/>
      <w:r>
        <w:rPr/>
      </w:r>
      <w:r>
        <w:rPr>
          <w:sz w:val="24"/>
        </w:rPr>
        <w:t>Острая</w:t>
      </w:r>
      <w:r>
        <w:rPr>
          <w:spacing w:val="-13"/>
          <w:sz w:val="24"/>
        </w:rPr>
        <w:t> </w:t>
      </w:r>
      <w:r>
        <w:rPr>
          <w:sz w:val="24"/>
        </w:rPr>
        <w:t>сердечная</w:t>
      </w:r>
      <w:r>
        <w:rPr>
          <w:spacing w:val="-13"/>
          <w:sz w:val="24"/>
        </w:rPr>
        <w:t> </w:t>
      </w:r>
      <w:r>
        <w:rPr>
          <w:spacing w:val="-2"/>
          <w:sz w:val="24"/>
        </w:rPr>
        <w:t>недостаточность;</w:t>
      </w:r>
    </w:p>
    <w:p>
      <w:pPr>
        <w:pStyle w:val="ListParagraph"/>
        <w:numPr>
          <w:ilvl w:val="0"/>
          <w:numId w:val="54"/>
        </w:numPr>
        <w:tabs>
          <w:tab w:pos="2561" w:val="left" w:leader="none"/>
        </w:tabs>
        <w:spacing w:line="240" w:lineRule="auto" w:before="39" w:after="0"/>
        <w:ind w:left="2561" w:right="0" w:hanging="360"/>
        <w:jc w:val="left"/>
        <w:rPr>
          <w:sz w:val="24"/>
        </w:rPr>
      </w:pPr>
      <w:r>
        <w:rPr>
          <w:sz w:val="24"/>
        </w:rPr>
        <w:t>Острая</w:t>
      </w:r>
      <w:r>
        <w:rPr>
          <w:spacing w:val="-13"/>
          <w:sz w:val="24"/>
        </w:rPr>
        <w:t> </w:t>
      </w:r>
      <w:r>
        <w:rPr>
          <w:sz w:val="24"/>
        </w:rPr>
        <w:t>почечная</w:t>
      </w:r>
      <w:r>
        <w:rPr>
          <w:spacing w:val="-12"/>
          <w:sz w:val="24"/>
        </w:rPr>
        <w:t> </w:t>
      </w:r>
      <w:r>
        <w:rPr>
          <w:spacing w:val="-2"/>
          <w:sz w:val="24"/>
        </w:rPr>
        <w:t>недостаточность;</w:t>
      </w:r>
    </w:p>
    <w:p>
      <w:pPr>
        <w:pStyle w:val="ListParagraph"/>
        <w:numPr>
          <w:ilvl w:val="0"/>
          <w:numId w:val="54"/>
        </w:numPr>
        <w:tabs>
          <w:tab w:pos="2561" w:val="left" w:leader="none"/>
        </w:tabs>
        <w:spacing w:line="240" w:lineRule="auto" w:before="42" w:after="0"/>
        <w:ind w:left="2561" w:right="0" w:hanging="360"/>
        <w:jc w:val="left"/>
        <w:rPr>
          <w:sz w:val="24"/>
        </w:rPr>
      </w:pPr>
      <w:r>
        <w:rPr>
          <w:spacing w:val="-2"/>
          <w:sz w:val="24"/>
        </w:rPr>
        <w:t>Септический</w:t>
      </w:r>
      <w:r>
        <w:rPr>
          <w:spacing w:val="4"/>
          <w:sz w:val="24"/>
        </w:rPr>
        <w:t> </w:t>
      </w:r>
      <w:r>
        <w:rPr>
          <w:spacing w:val="-4"/>
          <w:sz w:val="24"/>
        </w:rPr>
        <w:t>шок;</w:t>
      </w:r>
    </w:p>
    <w:p>
      <w:pPr>
        <w:pStyle w:val="ListParagraph"/>
        <w:numPr>
          <w:ilvl w:val="0"/>
          <w:numId w:val="54"/>
        </w:numPr>
        <w:tabs>
          <w:tab w:pos="2561" w:val="left" w:leader="none"/>
        </w:tabs>
        <w:spacing w:line="273" w:lineRule="auto" w:before="39" w:after="0"/>
        <w:ind w:left="2561" w:right="2206" w:hanging="360"/>
        <w:jc w:val="left"/>
        <w:rPr>
          <w:sz w:val="24"/>
        </w:rPr>
      </w:pPr>
      <w:r>
        <w:rPr>
          <w:sz w:val="24"/>
        </w:rPr>
        <w:t>Полиорганная</w:t>
      </w:r>
      <w:r>
        <w:rPr>
          <w:spacing w:val="-10"/>
          <w:sz w:val="24"/>
        </w:rPr>
        <w:t> </w:t>
      </w:r>
      <w:r>
        <w:rPr>
          <w:sz w:val="24"/>
        </w:rPr>
        <w:t>недостаточность</w:t>
      </w:r>
      <w:r>
        <w:rPr>
          <w:spacing w:val="-9"/>
          <w:sz w:val="24"/>
        </w:rPr>
        <w:t> </w:t>
      </w:r>
      <w:r>
        <w:rPr>
          <w:sz w:val="24"/>
        </w:rPr>
        <w:t>(нарушение</w:t>
      </w:r>
      <w:r>
        <w:rPr>
          <w:spacing w:val="-10"/>
          <w:sz w:val="24"/>
        </w:rPr>
        <w:t> </w:t>
      </w:r>
      <w:r>
        <w:rPr>
          <w:sz w:val="24"/>
        </w:rPr>
        <w:t>функций</w:t>
      </w:r>
      <w:r>
        <w:rPr>
          <w:spacing w:val="-9"/>
          <w:sz w:val="24"/>
        </w:rPr>
        <w:t> </w:t>
      </w:r>
      <w:r>
        <w:rPr>
          <w:sz w:val="24"/>
        </w:rPr>
        <w:t>многих</w:t>
      </w:r>
      <w:r>
        <w:rPr>
          <w:spacing w:val="-10"/>
          <w:sz w:val="24"/>
        </w:rPr>
        <w:t> </w:t>
      </w:r>
      <w:r>
        <w:rPr>
          <w:sz w:val="24"/>
        </w:rPr>
        <w:t>органов и систем).</w:t>
      </w:r>
    </w:p>
    <w:p>
      <w:pPr>
        <w:pStyle w:val="BodyText"/>
        <w:spacing w:line="276" w:lineRule="auto" w:before="15"/>
        <w:ind w:right="1268" w:firstLine="707"/>
      </w:pPr>
      <w:r>
        <w:rPr/>
        <w:t>Не у всех детей с подозрением на COVID-19, переносивших тяжелые формы заболевания, был лабораторно выделен вирус SARS-CoV-2, что не позволяет исключить</w:t>
      </w:r>
      <w:r>
        <w:rPr>
          <w:spacing w:val="33"/>
        </w:rPr>
        <w:t> </w:t>
      </w:r>
      <w:r>
        <w:rPr/>
        <w:t>сочетанные</w:t>
      </w:r>
      <w:r>
        <w:rPr>
          <w:spacing w:val="31"/>
        </w:rPr>
        <w:t> </w:t>
      </w:r>
      <w:r>
        <w:rPr/>
        <w:t>инфекции</w:t>
      </w:r>
      <w:r>
        <w:rPr>
          <w:spacing w:val="33"/>
        </w:rPr>
        <w:t> </w:t>
      </w:r>
      <w:r>
        <w:rPr/>
        <w:t>или</w:t>
      </w:r>
      <w:r>
        <w:rPr>
          <w:spacing w:val="39"/>
        </w:rPr>
        <w:t> </w:t>
      </w:r>
      <w:r>
        <w:rPr/>
        <w:t>наличие</w:t>
      </w:r>
      <w:r>
        <w:rPr>
          <w:spacing w:val="32"/>
        </w:rPr>
        <w:t> </w:t>
      </w:r>
      <w:r>
        <w:rPr/>
        <w:t>других</w:t>
      </w:r>
      <w:r>
        <w:rPr>
          <w:spacing w:val="33"/>
        </w:rPr>
        <w:t> </w:t>
      </w:r>
      <w:r>
        <w:rPr/>
        <w:t>респираторных</w:t>
      </w:r>
      <w:r>
        <w:rPr>
          <w:spacing w:val="32"/>
        </w:rPr>
        <w:t> </w:t>
      </w:r>
      <w:r>
        <w:rPr/>
        <w:t>заболеваний у</w:t>
      </w:r>
      <w:r>
        <w:rPr>
          <w:spacing w:val="-3"/>
        </w:rPr>
        <w:t> </w:t>
      </w:r>
      <w:r>
        <w:rPr/>
        <w:t>детей с подозрительными случаями заболеваний на основании клинико- эпидемиологических данных.</w:t>
      </w:r>
    </w:p>
    <w:p>
      <w:pPr>
        <w:pStyle w:val="BodyText"/>
        <w:spacing w:line="276" w:lineRule="auto"/>
        <w:ind w:right="1273" w:firstLine="707"/>
        <w:rPr>
          <w:position w:val="2"/>
        </w:rPr>
      </w:pPr>
      <w:r>
        <w:rPr>
          <w:b/>
        </w:rPr>
        <w:t>Легкая</w:t>
      </w:r>
      <w:r>
        <w:rPr>
          <w:b/>
          <w:spacing w:val="-13"/>
        </w:rPr>
        <w:t> </w:t>
      </w:r>
      <w:r>
        <w:rPr>
          <w:b/>
        </w:rPr>
        <w:t>степень</w:t>
      </w:r>
      <w:r>
        <w:rPr>
          <w:b/>
          <w:spacing w:val="-12"/>
        </w:rPr>
        <w:t> </w:t>
      </w:r>
      <w:r>
        <w:rPr>
          <w:b/>
        </w:rPr>
        <w:t>тяжести</w:t>
      </w:r>
      <w:r>
        <w:rPr>
          <w:b/>
          <w:spacing w:val="-10"/>
        </w:rPr>
        <w:t> </w:t>
      </w:r>
      <w:r>
        <w:rPr/>
        <w:t>характеризуется</w:t>
      </w:r>
      <w:r>
        <w:rPr>
          <w:spacing w:val="-13"/>
        </w:rPr>
        <w:t> </w:t>
      </w:r>
      <w:r>
        <w:rPr/>
        <w:t>повышением</w:t>
      </w:r>
      <w:r>
        <w:rPr>
          <w:spacing w:val="-11"/>
        </w:rPr>
        <w:t> </w:t>
      </w:r>
      <w:r>
        <w:rPr/>
        <w:t>t</w:t>
      </w:r>
      <w:r>
        <w:rPr>
          <w:spacing w:val="-12"/>
        </w:rPr>
        <w:t> </w:t>
      </w:r>
      <w:r>
        <w:rPr/>
        <w:t>тела</w:t>
      </w:r>
      <w:r>
        <w:rPr>
          <w:spacing w:val="-14"/>
        </w:rPr>
        <w:t> </w:t>
      </w:r>
      <w:r>
        <w:rPr/>
        <w:t>не</w:t>
      </w:r>
      <w:r>
        <w:rPr>
          <w:spacing w:val="-14"/>
        </w:rPr>
        <w:t> </w:t>
      </w:r>
      <w:r>
        <w:rPr/>
        <w:t>выше</w:t>
      </w:r>
      <w:r>
        <w:rPr>
          <w:spacing w:val="-14"/>
        </w:rPr>
        <w:t> </w:t>
      </w:r>
      <w:r>
        <w:rPr/>
        <w:t>38,5</w:t>
      </w:r>
      <w:r>
        <w:rPr>
          <w:spacing w:val="-12"/>
        </w:rPr>
        <w:t> </w:t>
      </w:r>
      <w:r>
        <w:rPr/>
        <w:t>°С, отсутствием одышки в покое, но возможно появление ее при физической нагрузке, </w:t>
      </w:r>
      <w:r>
        <w:rPr>
          <w:position w:val="2"/>
        </w:rPr>
        <w:t>SpO</w:t>
      </w:r>
      <w:r>
        <w:rPr>
          <w:sz w:val="16"/>
        </w:rPr>
        <w:t>2</w:t>
      </w:r>
      <w:r>
        <w:rPr>
          <w:spacing w:val="40"/>
          <w:sz w:val="16"/>
        </w:rPr>
        <w:t> </w:t>
      </w:r>
      <w:r>
        <w:rPr>
          <w:position w:val="2"/>
        </w:rPr>
        <w:t>&gt; 95%.</w:t>
      </w:r>
    </w:p>
    <w:p>
      <w:pPr>
        <w:pStyle w:val="BodyText"/>
        <w:spacing w:line="276" w:lineRule="auto"/>
        <w:ind w:right="1276" w:firstLine="707"/>
        <w:rPr>
          <w:position w:val="2"/>
        </w:rPr>
      </w:pPr>
      <w:r>
        <w:rPr>
          <w:b/>
        </w:rPr>
        <w:t>Средняя степень тяжести </w:t>
      </w:r>
      <w:r>
        <w:rPr/>
        <w:t>характеризуется повышением t тела выше 38,5 °С, отсутствием одышки в покое, но ее появлением при физической нагрузке </w:t>
      </w:r>
      <w:r>
        <w:rPr>
          <w:position w:val="2"/>
        </w:rPr>
        <w:t>(крике/плаче), SpO</w:t>
      </w:r>
      <w:r>
        <w:rPr>
          <w:sz w:val="16"/>
        </w:rPr>
        <w:t>2</w:t>
      </w:r>
      <w:r>
        <w:rPr>
          <w:spacing w:val="40"/>
          <w:sz w:val="16"/>
        </w:rPr>
        <w:t> </w:t>
      </w:r>
      <w:r>
        <w:rPr>
          <w:position w:val="2"/>
        </w:rPr>
        <w:t>≤ 95%.</w:t>
      </w:r>
    </w:p>
    <w:p>
      <w:pPr>
        <w:pStyle w:val="BodyText"/>
        <w:spacing w:line="276" w:lineRule="auto"/>
        <w:ind w:right="1275" w:firstLine="707"/>
        <w:rPr>
          <w:position w:val="2"/>
        </w:rPr>
      </w:pPr>
      <w:r>
        <w:rPr>
          <w:b/>
        </w:rPr>
        <w:t>Тяжелая степень </w:t>
      </w:r>
      <w:r>
        <w:rPr/>
        <w:t>COVID-19 характеризуется диспноэ (чувство нехватки воздуха, стеснения в области грудной клетки, одышка или тахипноэ), </w:t>
      </w:r>
      <w:r>
        <w:rPr>
          <w:position w:val="2"/>
        </w:rPr>
        <w:t>цианозом/акроцианозом, SpO</w:t>
      </w:r>
      <w:r>
        <w:rPr>
          <w:sz w:val="16"/>
        </w:rPr>
        <w:t>2</w:t>
      </w:r>
      <w:r>
        <w:rPr>
          <w:spacing w:val="40"/>
          <w:sz w:val="16"/>
        </w:rPr>
        <w:t> </w:t>
      </w:r>
      <w:r>
        <w:rPr>
          <w:position w:val="2"/>
        </w:rPr>
        <w:t>≤ 93%.</w:t>
      </w:r>
    </w:p>
    <w:p>
      <w:pPr>
        <w:pStyle w:val="BodyText"/>
        <w:spacing w:line="276" w:lineRule="auto"/>
        <w:ind w:right="1273" w:firstLine="707"/>
      </w:pPr>
      <w:r>
        <w:rPr>
          <w:b/>
        </w:rPr>
        <w:t>Крайне тяжелую степень </w:t>
      </w:r>
      <w:r>
        <w:rPr/>
        <w:t>регистрируют при развитии дыхательной недостаточности с необходимостью респираторной поддержки, ОРДС, шока, признаков полиорганной недостаточности (энцефалопатии, сердечно-сосудистой, почечной, печеночной недостаточности, ДВС-синдрома).</w:t>
      </w:r>
    </w:p>
    <w:p>
      <w:pPr>
        <w:pStyle w:val="BodyText"/>
        <w:spacing w:line="276" w:lineRule="auto"/>
        <w:ind w:right="1272" w:firstLine="707"/>
      </w:pPr>
      <w:r>
        <w:rPr/>
        <w:t>Частота тяжелых и крайне тяжелых случаев заболевания не превышает 1%. Случаи крайне тяжелого COVID-19 у детей регистрируют обычно при наличии факторов риска: тяжелых преморбидных заболеваний (дети, имеющие заболевания легких, врожденные пороки сердца, бронхолегочную дисплазию, болезнь Кавасаки, гидронефроз,</w:t>
      </w:r>
      <w:r>
        <w:rPr>
          <w:spacing w:val="40"/>
        </w:rPr>
        <w:t> </w:t>
      </w:r>
      <w:r>
        <w:rPr/>
        <w:t>лейкемию</w:t>
      </w:r>
      <w:r>
        <w:rPr>
          <w:spacing w:val="40"/>
        </w:rPr>
        <w:t> </w:t>
      </w:r>
      <w:r>
        <w:rPr/>
        <w:t>и</w:t>
      </w:r>
      <w:r>
        <w:rPr>
          <w:spacing w:val="40"/>
        </w:rPr>
        <w:t> </w:t>
      </w:r>
      <w:r>
        <w:rPr/>
        <w:t>др.),</w:t>
      </w:r>
      <w:r>
        <w:rPr>
          <w:spacing w:val="40"/>
        </w:rPr>
        <w:t> </w:t>
      </w:r>
      <w:r>
        <w:rPr/>
        <w:t>иммунодефицитные</w:t>
      </w:r>
      <w:r>
        <w:rPr>
          <w:spacing w:val="40"/>
        </w:rPr>
        <w:t> </w:t>
      </w:r>
      <w:r>
        <w:rPr/>
        <w:t>состояния</w:t>
      </w:r>
      <w:r>
        <w:rPr>
          <w:spacing w:val="40"/>
        </w:rPr>
        <w:t> </w:t>
      </w:r>
      <w:r>
        <w:rPr/>
        <w:t>разного</w:t>
      </w:r>
      <w:r>
        <w:rPr>
          <w:spacing w:val="40"/>
        </w:rPr>
        <w:t> </w:t>
      </w:r>
      <w:r>
        <w:rPr/>
        <w:t>генеза (чаще</w:t>
      </w:r>
      <w:r>
        <w:rPr>
          <w:spacing w:val="-15"/>
        </w:rPr>
        <w:t> </w:t>
      </w:r>
      <w:r>
        <w:rPr/>
        <w:t>заболевают</w:t>
      </w:r>
      <w:r>
        <w:rPr>
          <w:spacing w:val="-15"/>
        </w:rPr>
        <w:t> </w:t>
      </w:r>
      <w:r>
        <w:rPr/>
        <w:t>дети</w:t>
      </w:r>
      <w:r>
        <w:rPr>
          <w:spacing w:val="-15"/>
        </w:rPr>
        <w:t> </w:t>
      </w:r>
      <w:r>
        <w:rPr/>
        <w:t>старше</w:t>
      </w:r>
      <w:r>
        <w:rPr>
          <w:spacing w:val="-15"/>
        </w:rPr>
        <w:t> </w:t>
      </w:r>
      <w:r>
        <w:rPr/>
        <w:t>5</w:t>
      </w:r>
      <w:r>
        <w:rPr>
          <w:spacing w:val="-15"/>
        </w:rPr>
        <w:t> </w:t>
      </w:r>
      <w:r>
        <w:rPr/>
        <w:t>лет;</w:t>
      </w:r>
      <w:r>
        <w:rPr>
          <w:spacing w:val="-15"/>
        </w:rPr>
        <w:t> </w:t>
      </w:r>
      <w:r>
        <w:rPr/>
        <w:t>в</w:t>
      </w:r>
      <w:r>
        <w:rPr>
          <w:spacing w:val="-15"/>
        </w:rPr>
        <w:t> </w:t>
      </w:r>
      <w:r>
        <w:rPr/>
        <w:t>1,5</w:t>
      </w:r>
      <w:r>
        <w:rPr>
          <w:spacing w:val="-15"/>
        </w:rPr>
        <w:t> </w:t>
      </w:r>
      <w:r>
        <w:rPr/>
        <w:t>раза</w:t>
      </w:r>
      <w:r>
        <w:rPr>
          <w:spacing w:val="-15"/>
        </w:rPr>
        <w:t> </w:t>
      </w:r>
      <w:r>
        <w:rPr/>
        <w:t>чаще</w:t>
      </w:r>
      <w:r>
        <w:rPr>
          <w:spacing w:val="-15"/>
        </w:rPr>
        <w:t> </w:t>
      </w:r>
      <w:r>
        <w:rPr/>
        <w:t>регистрируют</w:t>
      </w:r>
      <w:r>
        <w:rPr>
          <w:spacing w:val="-15"/>
        </w:rPr>
        <w:t> </w:t>
      </w:r>
      <w:r>
        <w:rPr/>
        <w:t>пневмонии),</w:t>
      </w:r>
      <w:r>
        <w:rPr>
          <w:spacing w:val="-15"/>
        </w:rPr>
        <w:t> </w:t>
      </w:r>
      <w:r>
        <w:rPr/>
        <w:t>нельзя также исключить влияние на тяжесть состояния коинфекции с другими респираторными вирусами (респираторно-синцитиальный вирус, риновирус, бокавирус, аденовирус), для которых характерно поражение нижних отделов респираторного тракта (пневмония, бронхиолит).</w:t>
      </w:r>
    </w:p>
    <w:p>
      <w:pPr>
        <w:pStyle w:val="BodyText"/>
        <w:spacing w:line="276" w:lineRule="auto"/>
        <w:ind w:right="1270" w:firstLine="707"/>
      </w:pPr>
      <w:r>
        <w:rPr/>
        <w:t>При</w:t>
      </w:r>
      <w:r>
        <w:rPr>
          <w:spacing w:val="-7"/>
        </w:rPr>
        <w:t> </w:t>
      </w:r>
      <w:r>
        <w:rPr/>
        <w:t>выявлении</w:t>
      </w:r>
      <w:r>
        <w:rPr>
          <w:spacing w:val="-9"/>
        </w:rPr>
        <w:t> </w:t>
      </w:r>
      <w:r>
        <w:rPr/>
        <w:t>бессимптомной</w:t>
      </w:r>
      <w:r>
        <w:rPr>
          <w:spacing w:val="-9"/>
        </w:rPr>
        <w:t> </w:t>
      </w:r>
      <w:r>
        <w:rPr/>
        <w:t>формы</w:t>
      </w:r>
      <w:r>
        <w:rPr>
          <w:spacing w:val="-11"/>
        </w:rPr>
        <w:t> </w:t>
      </w:r>
      <w:r>
        <w:rPr/>
        <w:t>или</w:t>
      </w:r>
      <w:r>
        <w:rPr>
          <w:spacing w:val="-9"/>
        </w:rPr>
        <w:t> </w:t>
      </w:r>
      <w:r>
        <w:rPr/>
        <w:t>легкой</w:t>
      </w:r>
      <w:r>
        <w:rPr>
          <w:spacing w:val="-7"/>
        </w:rPr>
        <w:t> </w:t>
      </w:r>
      <w:r>
        <w:rPr/>
        <w:t>степени</w:t>
      </w:r>
      <w:r>
        <w:rPr>
          <w:spacing w:val="-9"/>
        </w:rPr>
        <w:t> </w:t>
      </w:r>
      <w:r>
        <w:rPr/>
        <w:t>тяжести</w:t>
      </w:r>
      <w:r>
        <w:rPr>
          <w:spacing w:val="-7"/>
        </w:rPr>
        <w:t> </w:t>
      </w:r>
      <w:r>
        <w:rPr/>
        <w:t>COVID-19 допустимо лечение в амбулаторных условиях, в том числе и на дому. В случае решения о возможности лечения в амбулаторных условиях врач должен объяснить родителям или другим законным представителям ребенка необходимость соблюдать режим изоляции. Законные представители ребенка, осуществляющие уход, подписывают информированное согласие установленного образца. При условии амбулаторного лечения возможно использовать дистанционное консультирование больного (законного представителя) с помощью телемедицинских технологий.</w:t>
      </w:r>
    </w:p>
    <w:p>
      <w:pPr>
        <w:pStyle w:val="BodyText"/>
        <w:spacing w:after="0" w:line="276" w:lineRule="auto"/>
        <w:sectPr>
          <w:pgSz w:w="11900" w:h="16840"/>
          <w:pgMar w:header="0" w:footer="697" w:top="1080" w:bottom="880" w:left="0" w:right="0"/>
        </w:sectPr>
      </w:pPr>
    </w:p>
    <w:p>
      <w:pPr>
        <w:pStyle w:val="Heading3"/>
        <w:spacing w:line="259" w:lineRule="auto" w:before="73"/>
        <w:ind w:right="1822"/>
        <w:jc w:val="left"/>
      </w:pPr>
      <w:bookmarkStart w:name="117" w:id="137"/>
      <w:bookmarkEnd w:id="137"/>
      <w:r>
        <w:rPr>
          <w:b w:val="0"/>
        </w:rPr>
      </w:r>
      <w:r>
        <w:rPr>
          <w:color w:val="1F487C"/>
        </w:rPr>
        <w:t>Показания</w:t>
      </w:r>
      <w:r>
        <w:rPr>
          <w:color w:val="1F487C"/>
          <w:spacing w:val="-7"/>
        </w:rPr>
        <w:t> </w:t>
      </w:r>
      <w:r>
        <w:rPr>
          <w:color w:val="1F487C"/>
        </w:rPr>
        <w:t>для</w:t>
      </w:r>
      <w:r>
        <w:rPr>
          <w:color w:val="1F487C"/>
          <w:spacing w:val="-7"/>
        </w:rPr>
        <w:t> </w:t>
      </w:r>
      <w:r>
        <w:rPr>
          <w:color w:val="1F487C"/>
        </w:rPr>
        <w:t>госпитализации</w:t>
      </w:r>
      <w:r>
        <w:rPr>
          <w:color w:val="1F487C"/>
          <w:spacing w:val="-8"/>
        </w:rPr>
        <w:t> </w:t>
      </w:r>
      <w:r>
        <w:rPr>
          <w:color w:val="1F487C"/>
        </w:rPr>
        <w:t>детей</w:t>
      </w:r>
      <w:r>
        <w:rPr>
          <w:color w:val="1F487C"/>
          <w:spacing w:val="-6"/>
        </w:rPr>
        <w:t> </w:t>
      </w:r>
      <w:r>
        <w:rPr>
          <w:color w:val="1F487C"/>
        </w:rPr>
        <w:t>с</w:t>
      </w:r>
      <w:r>
        <w:rPr>
          <w:color w:val="1F487C"/>
          <w:spacing w:val="-4"/>
        </w:rPr>
        <w:t> </w:t>
      </w:r>
      <w:r>
        <w:rPr>
          <w:color w:val="1F487C"/>
        </w:rPr>
        <w:t>COVID-19</w:t>
      </w:r>
      <w:r>
        <w:rPr>
          <w:color w:val="1F487C"/>
          <w:spacing w:val="-7"/>
        </w:rPr>
        <w:t> </w:t>
      </w:r>
      <w:r>
        <w:rPr>
          <w:color w:val="1F487C"/>
        </w:rPr>
        <w:t>или</w:t>
      </w:r>
      <w:r>
        <w:rPr>
          <w:color w:val="1F487C"/>
          <w:spacing w:val="-5"/>
        </w:rPr>
        <w:t> </w:t>
      </w:r>
      <w:r>
        <w:rPr>
          <w:color w:val="1F487C"/>
        </w:rPr>
        <w:t>подозрением на него:</w:t>
      </w:r>
    </w:p>
    <w:p>
      <w:pPr>
        <w:pStyle w:val="ListParagraph"/>
        <w:numPr>
          <w:ilvl w:val="0"/>
          <w:numId w:val="55"/>
        </w:numPr>
        <w:tabs>
          <w:tab w:pos="2549" w:val="left" w:leader="none"/>
          <w:tab w:pos="3740" w:val="left" w:leader="none"/>
          <w:tab w:pos="4448" w:val="left" w:leader="none"/>
          <w:tab w:pos="6289" w:val="left" w:leader="none"/>
          <w:tab w:pos="7410" w:val="left" w:leader="none"/>
          <w:tab w:pos="9365" w:val="left" w:leader="none"/>
        </w:tabs>
        <w:spacing w:line="276" w:lineRule="auto" w:before="118" w:after="0"/>
        <w:ind w:left="2549" w:right="1276" w:hanging="425"/>
        <w:jc w:val="left"/>
        <w:rPr>
          <w:sz w:val="24"/>
        </w:rPr>
      </w:pPr>
      <w:r>
        <w:rPr>
          <w:spacing w:val="-2"/>
          <w:sz w:val="24"/>
        </w:rPr>
        <w:t>Тяжелая</w:t>
      </w:r>
      <w:r>
        <w:rPr>
          <w:sz w:val="24"/>
        </w:rPr>
        <w:tab/>
      </w:r>
      <w:r>
        <w:rPr>
          <w:spacing w:val="-4"/>
          <w:sz w:val="24"/>
        </w:rPr>
        <w:t>или</w:t>
      </w:r>
      <w:r>
        <w:rPr>
          <w:sz w:val="24"/>
        </w:rPr>
        <w:tab/>
      </w:r>
      <w:r>
        <w:rPr>
          <w:spacing w:val="-2"/>
          <w:sz w:val="24"/>
        </w:rPr>
        <w:t>среднетяжелая</w:t>
      </w:r>
      <w:r>
        <w:rPr>
          <w:sz w:val="24"/>
        </w:rPr>
        <w:tab/>
      </w:r>
      <w:r>
        <w:rPr>
          <w:spacing w:val="-2"/>
          <w:sz w:val="24"/>
        </w:rPr>
        <w:t>степень</w:t>
      </w:r>
      <w:r>
        <w:rPr>
          <w:sz w:val="24"/>
        </w:rPr>
        <w:tab/>
      </w:r>
      <w:r>
        <w:rPr>
          <w:spacing w:val="-2"/>
          <w:sz w:val="24"/>
        </w:rPr>
        <w:t>респираторного</w:t>
      </w:r>
      <w:r>
        <w:rPr>
          <w:sz w:val="24"/>
        </w:rPr>
        <w:tab/>
      </w:r>
      <w:r>
        <w:rPr>
          <w:spacing w:val="-2"/>
          <w:sz w:val="24"/>
        </w:rPr>
        <w:t>заболевания </w:t>
      </w:r>
      <w:r>
        <w:rPr>
          <w:sz w:val="24"/>
        </w:rPr>
        <w:t>или внебольничная пневмония.</w:t>
      </w:r>
    </w:p>
    <w:p>
      <w:pPr>
        <w:pStyle w:val="ListParagraph"/>
        <w:numPr>
          <w:ilvl w:val="0"/>
          <w:numId w:val="55"/>
        </w:numPr>
        <w:tabs>
          <w:tab w:pos="2549" w:val="left" w:leader="none"/>
        </w:tabs>
        <w:spacing w:line="276" w:lineRule="auto" w:before="1" w:after="0"/>
        <w:ind w:left="2549" w:right="1277" w:hanging="425"/>
        <w:jc w:val="left"/>
        <w:rPr>
          <w:sz w:val="24"/>
        </w:rPr>
      </w:pPr>
      <w:r>
        <w:rPr>
          <w:sz w:val="24"/>
        </w:rPr>
        <w:t>Лихорадка выше 38,5 °С, в том числе по данным анамнеза, или ниже 36,0 °С, или при длительности лихорадки выше 38,0 °С более 5 дней.</w:t>
      </w:r>
    </w:p>
    <w:p>
      <w:pPr>
        <w:pStyle w:val="ListParagraph"/>
        <w:numPr>
          <w:ilvl w:val="0"/>
          <w:numId w:val="55"/>
        </w:numPr>
        <w:tabs>
          <w:tab w:pos="2549" w:val="left" w:leader="none"/>
        </w:tabs>
        <w:spacing w:line="274" w:lineRule="exact" w:before="0" w:after="0"/>
        <w:ind w:left="2549" w:right="0" w:hanging="425"/>
        <w:jc w:val="left"/>
        <w:rPr>
          <w:sz w:val="24"/>
        </w:rPr>
      </w:pPr>
      <w:r>
        <w:rPr>
          <w:sz w:val="24"/>
        </w:rPr>
        <w:t>Одышка</w:t>
      </w:r>
      <w:r>
        <w:rPr>
          <w:spacing w:val="-7"/>
          <w:sz w:val="24"/>
        </w:rPr>
        <w:t> </w:t>
      </w:r>
      <w:r>
        <w:rPr>
          <w:sz w:val="24"/>
        </w:rPr>
        <w:t>в</w:t>
      </w:r>
      <w:r>
        <w:rPr>
          <w:spacing w:val="-7"/>
          <w:sz w:val="24"/>
        </w:rPr>
        <w:t> </w:t>
      </w:r>
      <w:r>
        <w:rPr>
          <w:sz w:val="24"/>
        </w:rPr>
        <w:t>покое</w:t>
      </w:r>
      <w:r>
        <w:rPr>
          <w:spacing w:val="-7"/>
          <w:sz w:val="24"/>
        </w:rPr>
        <w:t> </w:t>
      </w:r>
      <w:r>
        <w:rPr>
          <w:sz w:val="24"/>
        </w:rPr>
        <w:t>или</w:t>
      </w:r>
      <w:r>
        <w:rPr>
          <w:spacing w:val="-7"/>
          <w:sz w:val="24"/>
        </w:rPr>
        <w:t> </w:t>
      </w:r>
      <w:r>
        <w:rPr>
          <w:sz w:val="24"/>
        </w:rPr>
        <w:t>при</w:t>
      </w:r>
      <w:r>
        <w:rPr>
          <w:spacing w:val="-6"/>
          <w:sz w:val="24"/>
        </w:rPr>
        <w:t> </w:t>
      </w:r>
      <w:r>
        <w:rPr>
          <w:spacing w:val="-2"/>
          <w:sz w:val="24"/>
        </w:rPr>
        <w:t>беспокойстве.</w:t>
      </w:r>
    </w:p>
    <w:p>
      <w:pPr>
        <w:pStyle w:val="ListParagraph"/>
        <w:numPr>
          <w:ilvl w:val="0"/>
          <w:numId w:val="55"/>
        </w:numPr>
        <w:tabs>
          <w:tab w:pos="2549" w:val="left" w:leader="none"/>
        </w:tabs>
        <w:spacing w:line="278" w:lineRule="auto" w:before="41" w:after="0"/>
        <w:ind w:left="2549" w:right="1280" w:hanging="425"/>
        <w:jc w:val="left"/>
        <w:rPr>
          <w:sz w:val="24"/>
        </w:rPr>
      </w:pPr>
      <w:r>
        <w:rPr>
          <w:sz w:val="24"/>
        </w:rPr>
        <w:t>Тахипноэ,</w:t>
      </w:r>
      <w:r>
        <w:rPr>
          <w:spacing w:val="76"/>
          <w:sz w:val="24"/>
        </w:rPr>
        <w:t> </w:t>
      </w:r>
      <w:r>
        <w:rPr>
          <w:sz w:val="24"/>
        </w:rPr>
        <w:t>не</w:t>
      </w:r>
      <w:r>
        <w:rPr>
          <w:spacing w:val="77"/>
          <w:sz w:val="24"/>
        </w:rPr>
        <w:t> </w:t>
      </w:r>
      <w:r>
        <w:rPr>
          <w:sz w:val="24"/>
        </w:rPr>
        <w:t>связанное</w:t>
      </w:r>
      <w:r>
        <w:rPr>
          <w:spacing w:val="77"/>
          <w:sz w:val="24"/>
        </w:rPr>
        <w:t> </w:t>
      </w:r>
      <w:r>
        <w:rPr>
          <w:sz w:val="24"/>
        </w:rPr>
        <w:t>с</w:t>
      </w:r>
      <w:r>
        <w:rPr>
          <w:spacing w:val="77"/>
          <w:sz w:val="24"/>
        </w:rPr>
        <w:t> </w:t>
      </w:r>
      <w:r>
        <w:rPr>
          <w:sz w:val="24"/>
        </w:rPr>
        <w:t>лихорадкой,</w:t>
      </w:r>
      <w:r>
        <w:rPr>
          <w:spacing w:val="78"/>
          <w:sz w:val="24"/>
        </w:rPr>
        <w:t> </w:t>
      </w:r>
      <w:r>
        <w:rPr>
          <w:sz w:val="24"/>
        </w:rPr>
        <w:t>более</w:t>
      </w:r>
      <w:r>
        <w:rPr>
          <w:spacing w:val="77"/>
          <w:sz w:val="24"/>
        </w:rPr>
        <w:t> </w:t>
      </w:r>
      <w:r>
        <w:rPr>
          <w:sz w:val="24"/>
        </w:rPr>
        <w:t>20%</w:t>
      </w:r>
      <w:r>
        <w:rPr>
          <w:spacing w:val="77"/>
          <w:sz w:val="24"/>
        </w:rPr>
        <w:t> </w:t>
      </w:r>
      <w:r>
        <w:rPr>
          <w:sz w:val="24"/>
        </w:rPr>
        <w:t>от</w:t>
      </w:r>
      <w:r>
        <w:rPr>
          <w:spacing w:val="79"/>
          <w:sz w:val="24"/>
        </w:rPr>
        <w:t> </w:t>
      </w:r>
      <w:r>
        <w:rPr>
          <w:sz w:val="24"/>
        </w:rPr>
        <w:t>возрастной</w:t>
      </w:r>
      <w:r>
        <w:rPr>
          <w:spacing w:val="77"/>
          <w:sz w:val="24"/>
        </w:rPr>
        <w:t> </w:t>
      </w:r>
      <w:r>
        <w:rPr>
          <w:sz w:val="24"/>
        </w:rPr>
        <w:t>нормы: до 1 года – более 50, от 1 до 5 лет – более 40, старше 5 лет – более 30 в мин.</w:t>
      </w:r>
    </w:p>
    <w:p>
      <w:pPr>
        <w:pStyle w:val="ListParagraph"/>
        <w:numPr>
          <w:ilvl w:val="0"/>
          <w:numId w:val="55"/>
        </w:numPr>
        <w:tabs>
          <w:tab w:pos="2549" w:val="left" w:leader="none"/>
        </w:tabs>
        <w:spacing w:line="276" w:lineRule="auto" w:before="0" w:after="0"/>
        <w:ind w:left="2549" w:right="1277" w:hanging="425"/>
        <w:jc w:val="left"/>
        <w:rPr>
          <w:sz w:val="24"/>
        </w:rPr>
      </w:pPr>
      <w:r>
        <w:rPr>
          <w:sz w:val="24"/>
        </w:rPr>
        <w:t>Тахикардия,</w:t>
      </w:r>
      <w:r>
        <w:rPr>
          <w:spacing w:val="40"/>
          <w:sz w:val="24"/>
        </w:rPr>
        <w:t> </w:t>
      </w:r>
      <w:r>
        <w:rPr>
          <w:sz w:val="24"/>
        </w:rPr>
        <w:t>не</w:t>
      </w:r>
      <w:r>
        <w:rPr>
          <w:spacing w:val="40"/>
          <w:sz w:val="24"/>
        </w:rPr>
        <w:t> </w:t>
      </w:r>
      <w:r>
        <w:rPr>
          <w:sz w:val="24"/>
        </w:rPr>
        <w:t>связанная</w:t>
      </w:r>
      <w:r>
        <w:rPr>
          <w:spacing w:val="40"/>
          <w:sz w:val="24"/>
        </w:rPr>
        <w:t> </w:t>
      </w:r>
      <w:r>
        <w:rPr>
          <w:sz w:val="24"/>
        </w:rPr>
        <w:t>с</w:t>
      </w:r>
      <w:r>
        <w:rPr>
          <w:spacing w:val="40"/>
          <w:sz w:val="24"/>
        </w:rPr>
        <w:t> </w:t>
      </w:r>
      <w:r>
        <w:rPr>
          <w:sz w:val="24"/>
        </w:rPr>
        <w:t>лихорадкой,</w:t>
      </w:r>
      <w:r>
        <w:rPr>
          <w:spacing w:val="40"/>
          <w:sz w:val="24"/>
        </w:rPr>
        <w:t> </w:t>
      </w:r>
      <w:r>
        <w:rPr>
          <w:sz w:val="24"/>
        </w:rPr>
        <w:t>более</w:t>
      </w:r>
      <w:r>
        <w:rPr>
          <w:spacing w:val="40"/>
          <w:sz w:val="24"/>
        </w:rPr>
        <w:t> </w:t>
      </w:r>
      <w:r>
        <w:rPr>
          <w:sz w:val="24"/>
        </w:rPr>
        <w:t>20%</w:t>
      </w:r>
      <w:r>
        <w:rPr>
          <w:spacing w:val="40"/>
          <w:sz w:val="24"/>
        </w:rPr>
        <w:t> </w:t>
      </w:r>
      <w:r>
        <w:rPr>
          <w:sz w:val="24"/>
        </w:rPr>
        <w:t>от</w:t>
      </w:r>
      <w:r>
        <w:rPr>
          <w:spacing w:val="40"/>
          <w:sz w:val="24"/>
        </w:rPr>
        <w:t> </w:t>
      </w:r>
      <w:r>
        <w:rPr>
          <w:sz w:val="24"/>
        </w:rPr>
        <w:t>возрастной</w:t>
      </w:r>
      <w:r>
        <w:rPr>
          <w:spacing w:val="40"/>
          <w:sz w:val="24"/>
        </w:rPr>
        <w:t> </w:t>
      </w:r>
      <w:r>
        <w:rPr>
          <w:sz w:val="24"/>
        </w:rPr>
        <w:t>нормы: до</w:t>
      </w:r>
      <w:r>
        <w:rPr>
          <w:spacing w:val="-2"/>
          <w:sz w:val="24"/>
        </w:rPr>
        <w:t> </w:t>
      </w:r>
      <w:r>
        <w:rPr>
          <w:sz w:val="24"/>
        </w:rPr>
        <w:t>1</w:t>
      </w:r>
      <w:r>
        <w:rPr>
          <w:spacing w:val="-7"/>
          <w:sz w:val="24"/>
        </w:rPr>
        <w:t> </w:t>
      </w:r>
      <w:r>
        <w:rPr>
          <w:sz w:val="24"/>
        </w:rPr>
        <w:t>года</w:t>
      </w:r>
      <w:r>
        <w:rPr>
          <w:spacing w:val="-8"/>
          <w:sz w:val="24"/>
        </w:rPr>
        <w:t> </w:t>
      </w:r>
      <w:r>
        <w:rPr>
          <w:sz w:val="24"/>
        </w:rPr>
        <w:t>–</w:t>
      </w:r>
      <w:r>
        <w:rPr>
          <w:spacing w:val="-5"/>
          <w:sz w:val="24"/>
        </w:rPr>
        <w:t> </w:t>
      </w:r>
      <w:r>
        <w:rPr>
          <w:sz w:val="24"/>
        </w:rPr>
        <w:t>более</w:t>
      </w:r>
      <w:r>
        <w:rPr>
          <w:spacing w:val="-7"/>
          <w:sz w:val="24"/>
        </w:rPr>
        <w:t> </w:t>
      </w:r>
      <w:r>
        <w:rPr>
          <w:sz w:val="24"/>
        </w:rPr>
        <w:t>140,</w:t>
      </w:r>
      <w:r>
        <w:rPr>
          <w:spacing w:val="-7"/>
          <w:sz w:val="24"/>
        </w:rPr>
        <w:t> </w:t>
      </w:r>
      <w:r>
        <w:rPr>
          <w:sz w:val="24"/>
        </w:rPr>
        <w:t>от</w:t>
      </w:r>
      <w:r>
        <w:rPr>
          <w:spacing w:val="-7"/>
          <w:sz w:val="24"/>
        </w:rPr>
        <w:t> </w:t>
      </w:r>
      <w:r>
        <w:rPr>
          <w:sz w:val="24"/>
        </w:rPr>
        <w:t>1</w:t>
      </w:r>
      <w:r>
        <w:rPr>
          <w:spacing w:val="-7"/>
          <w:sz w:val="24"/>
        </w:rPr>
        <w:t> </w:t>
      </w:r>
      <w:r>
        <w:rPr>
          <w:sz w:val="24"/>
        </w:rPr>
        <w:t>до</w:t>
      </w:r>
      <w:r>
        <w:rPr>
          <w:spacing w:val="-7"/>
          <w:sz w:val="24"/>
        </w:rPr>
        <w:t> </w:t>
      </w:r>
      <w:r>
        <w:rPr>
          <w:sz w:val="24"/>
        </w:rPr>
        <w:t>5</w:t>
      </w:r>
      <w:r>
        <w:rPr>
          <w:spacing w:val="-7"/>
          <w:sz w:val="24"/>
        </w:rPr>
        <w:t> </w:t>
      </w:r>
      <w:r>
        <w:rPr>
          <w:sz w:val="24"/>
        </w:rPr>
        <w:t>лет</w:t>
      </w:r>
      <w:r>
        <w:rPr>
          <w:spacing w:val="-6"/>
          <w:sz w:val="24"/>
        </w:rPr>
        <w:t> </w:t>
      </w:r>
      <w:r>
        <w:rPr>
          <w:sz w:val="24"/>
        </w:rPr>
        <w:t>–</w:t>
      </w:r>
      <w:r>
        <w:rPr>
          <w:spacing w:val="-7"/>
          <w:sz w:val="24"/>
        </w:rPr>
        <w:t> </w:t>
      </w:r>
      <w:r>
        <w:rPr>
          <w:sz w:val="24"/>
        </w:rPr>
        <w:t>более</w:t>
      </w:r>
      <w:r>
        <w:rPr>
          <w:spacing w:val="-8"/>
          <w:sz w:val="24"/>
        </w:rPr>
        <w:t> </w:t>
      </w:r>
      <w:r>
        <w:rPr>
          <w:sz w:val="24"/>
        </w:rPr>
        <w:t>130,</w:t>
      </w:r>
      <w:r>
        <w:rPr>
          <w:spacing w:val="-5"/>
          <w:sz w:val="24"/>
        </w:rPr>
        <w:t> </w:t>
      </w:r>
      <w:r>
        <w:rPr>
          <w:sz w:val="24"/>
        </w:rPr>
        <w:t>старше</w:t>
      </w:r>
      <w:r>
        <w:rPr>
          <w:spacing w:val="-6"/>
          <w:sz w:val="24"/>
        </w:rPr>
        <w:t> </w:t>
      </w:r>
      <w:r>
        <w:rPr>
          <w:sz w:val="24"/>
        </w:rPr>
        <w:t>5</w:t>
      </w:r>
      <w:r>
        <w:rPr>
          <w:spacing w:val="-7"/>
          <w:sz w:val="24"/>
        </w:rPr>
        <w:t> </w:t>
      </w:r>
      <w:r>
        <w:rPr>
          <w:sz w:val="24"/>
        </w:rPr>
        <w:t>лет</w:t>
      </w:r>
      <w:r>
        <w:rPr>
          <w:spacing w:val="-5"/>
          <w:sz w:val="24"/>
        </w:rPr>
        <w:t> </w:t>
      </w:r>
      <w:r>
        <w:rPr>
          <w:sz w:val="24"/>
        </w:rPr>
        <w:t>–</w:t>
      </w:r>
      <w:r>
        <w:rPr>
          <w:spacing w:val="-7"/>
          <w:sz w:val="24"/>
        </w:rPr>
        <w:t> </w:t>
      </w:r>
      <w:r>
        <w:rPr>
          <w:sz w:val="24"/>
        </w:rPr>
        <w:t>более</w:t>
      </w:r>
      <w:r>
        <w:rPr>
          <w:spacing w:val="-8"/>
          <w:sz w:val="24"/>
        </w:rPr>
        <w:t> </w:t>
      </w:r>
      <w:r>
        <w:rPr>
          <w:sz w:val="24"/>
        </w:rPr>
        <w:t>120</w:t>
      </w:r>
      <w:r>
        <w:rPr>
          <w:spacing w:val="-7"/>
          <w:sz w:val="24"/>
        </w:rPr>
        <w:t> </w:t>
      </w:r>
      <w:r>
        <w:rPr>
          <w:sz w:val="24"/>
        </w:rPr>
        <w:t>в</w:t>
      </w:r>
      <w:r>
        <w:rPr>
          <w:spacing w:val="-8"/>
          <w:sz w:val="24"/>
        </w:rPr>
        <w:t> </w:t>
      </w:r>
      <w:r>
        <w:rPr>
          <w:sz w:val="24"/>
        </w:rPr>
        <w:t>мин.</w:t>
      </w:r>
    </w:p>
    <w:p>
      <w:pPr>
        <w:pStyle w:val="ListParagraph"/>
        <w:numPr>
          <w:ilvl w:val="0"/>
          <w:numId w:val="55"/>
        </w:numPr>
        <w:tabs>
          <w:tab w:pos="2549" w:val="left" w:leader="none"/>
        </w:tabs>
        <w:spacing w:line="277" w:lineRule="exact" w:before="0" w:after="0"/>
        <w:ind w:left="2549" w:right="0" w:hanging="425"/>
        <w:jc w:val="left"/>
        <w:rPr>
          <w:position w:val="2"/>
          <w:sz w:val="24"/>
        </w:rPr>
      </w:pPr>
      <w:r>
        <w:rPr>
          <w:position w:val="2"/>
          <w:sz w:val="24"/>
        </w:rPr>
        <w:t>SpO</w:t>
      </w:r>
      <w:r>
        <w:rPr>
          <w:sz w:val="16"/>
        </w:rPr>
        <w:t>2</w:t>
      </w:r>
      <w:r>
        <w:rPr>
          <w:spacing w:val="17"/>
          <w:sz w:val="16"/>
        </w:rPr>
        <w:t> </w:t>
      </w:r>
      <w:r>
        <w:rPr>
          <w:position w:val="2"/>
          <w:sz w:val="24"/>
        </w:rPr>
        <w:t>≤</w:t>
      </w:r>
      <w:r>
        <w:rPr>
          <w:spacing w:val="-3"/>
          <w:position w:val="2"/>
          <w:sz w:val="24"/>
        </w:rPr>
        <w:t> </w:t>
      </w:r>
      <w:r>
        <w:rPr>
          <w:spacing w:val="-4"/>
          <w:position w:val="2"/>
          <w:sz w:val="24"/>
        </w:rPr>
        <w:t>95%.</w:t>
      </w:r>
    </w:p>
    <w:p>
      <w:pPr>
        <w:pStyle w:val="ListParagraph"/>
        <w:numPr>
          <w:ilvl w:val="0"/>
          <w:numId w:val="55"/>
        </w:numPr>
        <w:tabs>
          <w:tab w:pos="2549" w:val="left" w:leader="none"/>
        </w:tabs>
        <w:spacing w:line="276" w:lineRule="auto" w:before="36" w:after="0"/>
        <w:ind w:left="2549" w:right="1281" w:hanging="425"/>
        <w:jc w:val="left"/>
        <w:rPr>
          <w:sz w:val="24"/>
        </w:rPr>
      </w:pPr>
      <w:r>
        <w:rPr>
          <w:sz w:val="24"/>
        </w:rPr>
        <w:t>Угнетение</w:t>
      </w:r>
      <w:r>
        <w:rPr>
          <w:spacing w:val="-15"/>
          <w:sz w:val="24"/>
        </w:rPr>
        <w:t> </w:t>
      </w:r>
      <w:r>
        <w:rPr>
          <w:sz w:val="24"/>
        </w:rPr>
        <w:t>сознания</w:t>
      </w:r>
      <w:r>
        <w:rPr>
          <w:spacing w:val="-15"/>
          <w:sz w:val="24"/>
        </w:rPr>
        <w:t> </w:t>
      </w:r>
      <w:r>
        <w:rPr>
          <w:sz w:val="24"/>
        </w:rPr>
        <w:t>(сонливость)</w:t>
      </w:r>
      <w:r>
        <w:rPr>
          <w:spacing w:val="-15"/>
          <w:sz w:val="24"/>
        </w:rPr>
        <w:t> </w:t>
      </w:r>
      <w:r>
        <w:rPr>
          <w:sz w:val="24"/>
        </w:rPr>
        <w:t>или</w:t>
      </w:r>
      <w:r>
        <w:rPr>
          <w:spacing w:val="-15"/>
          <w:sz w:val="24"/>
        </w:rPr>
        <w:t> </w:t>
      </w:r>
      <w:r>
        <w:rPr>
          <w:sz w:val="24"/>
        </w:rPr>
        <w:t>повышенное</w:t>
      </w:r>
      <w:r>
        <w:rPr>
          <w:spacing w:val="-15"/>
          <w:sz w:val="24"/>
        </w:rPr>
        <w:t> </w:t>
      </w:r>
      <w:r>
        <w:rPr>
          <w:sz w:val="24"/>
        </w:rPr>
        <w:t>возбуждение,</w:t>
      </w:r>
      <w:r>
        <w:rPr>
          <w:spacing w:val="-15"/>
          <w:sz w:val="24"/>
        </w:rPr>
        <w:t> </w:t>
      </w:r>
      <w:r>
        <w:rPr>
          <w:sz w:val="24"/>
        </w:rPr>
        <w:t>инверсия</w:t>
      </w:r>
      <w:r>
        <w:rPr>
          <w:spacing w:val="-15"/>
          <w:sz w:val="24"/>
        </w:rPr>
        <w:t> </w:t>
      </w:r>
      <w:r>
        <w:rPr>
          <w:sz w:val="24"/>
        </w:rPr>
        <w:t>сна, отказ от еды и питья.</w:t>
      </w:r>
    </w:p>
    <w:p>
      <w:pPr>
        <w:pStyle w:val="ListParagraph"/>
        <w:numPr>
          <w:ilvl w:val="0"/>
          <w:numId w:val="55"/>
        </w:numPr>
        <w:tabs>
          <w:tab w:pos="2549" w:val="left" w:leader="none"/>
        </w:tabs>
        <w:spacing w:line="274" w:lineRule="exact" w:before="0" w:after="0"/>
        <w:ind w:left="2549" w:right="0" w:hanging="425"/>
        <w:jc w:val="left"/>
        <w:rPr>
          <w:sz w:val="24"/>
        </w:rPr>
      </w:pPr>
      <w:r>
        <w:rPr>
          <w:spacing w:val="-2"/>
          <w:sz w:val="24"/>
        </w:rPr>
        <w:t>Судороги.</w:t>
      </w:r>
    </w:p>
    <w:p>
      <w:pPr>
        <w:pStyle w:val="ListParagraph"/>
        <w:numPr>
          <w:ilvl w:val="0"/>
          <w:numId w:val="55"/>
        </w:numPr>
        <w:tabs>
          <w:tab w:pos="2547" w:val="left" w:leader="none"/>
          <w:tab w:pos="2549" w:val="left" w:leader="none"/>
        </w:tabs>
        <w:spacing w:line="276" w:lineRule="auto" w:before="40" w:after="0"/>
        <w:ind w:left="2549" w:right="1280" w:hanging="425"/>
        <w:jc w:val="both"/>
        <w:rPr>
          <w:sz w:val="24"/>
        </w:rPr>
      </w:pPr>
      <w:r>
        <w:rPr>
          <w:sz w:val="24"/>
        </w:rPr>
        <w:t>Отсутствие положительной динамики или нарастание клинической симптоматики на фоне проводимой терапии через 5 дней после начала </w:t>
      </w:r>
      <w:r>
        <w:rPr>
          <w:spacing w:val="-2"/>
          <w:sz w:val="24"/>
        </w:rPr>
        <w:t>заболевания.</w:t>
      </w:r>
    </w:p>
    <w:p>
      <w:pPr>
        <w:pStyle w:val="ListParagraph"/>
        <w:numPr>
          <w:ilvl w:val="0"/>
          <w:numId w:val="55"/>
        </w:numPr>
        <w:tabs>
          <w:tab w:pos="2547" w:val="left" w:leader="none"/>
        </w:tabs>
        <w:spacing w:line="276" w:lineRule="exact" w:before="0" w:after="0"/>
        <w:ind w:left="2547" w:right="0" w:hanging="423"/>
        <w:jc w:val="both"/>
        <w:rPr>
          <w:sz w:val="24"/>
        </w:rPr>
      </w:pPr>
      <w:r>
        <w:rPr>
          <w:sz w:val="24"/>
        </w:rPr>
        <w:t>Наличие</w:t>
      </w:r>
      <w:r>
        <w:rPr>
          <w:spacing w:val="-12"/>
          <w:sz w:val="24"/>
        </w:rPr>
        <w:t> </w:t>
      </w:r>
      <w:r>
        <w:rPr>
          <w:sz w:val="24"/>
        </w:rPr>
        <w:t>тяжелых</w:t>
      </w:r>
      <w:r>
        <w:rPr>
          <w:spacing w:val="-12"/>
          <w:sz w:val="24"/>
        </w:rPr>
        <w:t> </w:t>
      </w:r>
      <w:r>
        <w:rPr>
          <w:sz w:val="24"/>
        </w:rPr>
        <w:t>фоновых</w:t>
      </w:r>
      <w:r>
        <w:rPr>
          <w:spacing w:val="-12"/>
          <w:sz w:val="24"/>
        </w:rPr>
        <w:t> </w:t>
      </w:r>
      <w:r>
        <w:rPr>
          <w:spacing w:val="-2"/>
          <w:sz w:val="24"/>
        </w:rPr>
        <w:t>заболеваний:</w:t>
      </w:r>
    </w:p>
    <w:p>
      <w:pPr>
        <w:pStyle w:val="ListParagraph"/>
        <w:numPr>
          <w:ilvl w:val="0"/>
          <w:numId w:val="56"/>
        </w:numPr>
        <w:tabs>
          <w:tab w:pos="2124" w:val="left" w:leader="none"/>
        </w:tabs>
        <w:spacing w:line="264" w:lineRule="auto" w:before="42" w:after="0"/>
        <w:ind w:left="2124" w:right="1273" w:hanging="360"/>
        <w:jc w:val="left"/>
        <w:rPr>
          <w:sz w:val="24"/>
        </w:rPr>
      </w:pPr>
      <w:r>
        <w:rPr>
          <w:sz w:val="24"/>
        </w:rPr>
        <w:t>Врожденные</w:t>
      </w:r>
      <w:r>
        <w:rPr>
          <w:spacing w:val="-13"/>
          <w:sz w:val="24"/>
        </w:rPr>
        <w:t> </w:t>
      </w:r>
      <w:r>
        <w:rPr>
          <w:sz w:val="24"/>
        </w:rPr>
        <w:t>и</w:t>
      </w:r>
      <w:r>
        <w:rPr>
          <w:spacing w:val="-11"/>
          <w:sz w:val="24"/>
        </w:rPr>
        <w:t> </w:t>
      </w:r>
      <w:r>
        <w:rPr>
          <w:sz w:val="24"/>
        </w:rPr>
        <w:t>приобретенные</w:t>
      </w:r>
      <w:r>
        <w:rPr>
          <w:spacing w:val="-13"/>
          <w:sz w:val="24"/>
        </w:rPr>
        <w:t> </w:t>
      </w:r>
      <w:r>
        <w:rPr>
          <w:sz w:val="24"/>
        </w:rPr>
        <w:t>заболевания</w:t>
      </w:r>
      <w:r>
        <w:rPr>
          <w:spacing w:val="-12"/>
          <w:sz w:val="24"/>
        </w:rPr>
        <w:t> </w:t>
      </w:r>
      <w:r>
        <w:rPr>
          <w:sz w:val="24"/>
        </w:rPr>
        <w:t>сердца,</w:t>
      </w:r>
      <w:r>
        <w:rPr>
          <w:spacing w:val="-12"/>
          <w:sz w:val="24"/>
        </w:rPr>
        <w:t> </w:t>
      </w:r>
      <w:r>
        <w:rPr>
          <w:sz w:val="24"/>
        </w:rPr>
        <w:t>в</w:t>
      </w:r>
      <w:r>
        <w:rPr>
          <w:spacing w:val="-12"/>
          <w:sz w:val="24"/>
        </w:rPr>
        <w:t> </w:t>
      </w:r>
      <w:r>
        <w:rPr>
          <w:sz w:val="24"/>
        </w:rPr>
        <w:t>том</w:t>
      </w:r>
      <w:r>
        <w:rPr>
          <w:spacing w:val="-12"/>
          <w:sz w:val="24"/>
        </w:rPr>
        <w:t> </w:t>
      </w:r>
      <w:r>
        <w:rPr>
          <w:sz w:val="24"/>
        </w:rPr>
        <w:t>числе</w:t>
      </w:r>
      <w:r>
        <w:rPr>
          <w:spacing w:val="-10"/>
          <w:sz w:val="24"/>
        </w:rPr>
        <w:t> </w:t>
      </w:r>
      <w:r>
        <w:rPr>
          <w:sz w:val="24"/>
        </w:rPr>
        <w:t>в</w:t>
      </w:r>
      <w:r>
        <w:rPr>
          <w:spacing w:val="-1"/>
          <w:sz w:val="24"/>
        </w:rPr>
        <w:t> </w:t>
      </w:r>
      <w:r>
        <w:rPr>
          <w:sz w:val="24"/>
        </w:rPr>
        <w:t>анамнезе</w:t>
      </w:r>
      <w:r>
        <w:rPr>
          <w:spacing w:val="-13"/>
          <w:sz w:val="24"/>
        </w:rPr>
        <w:t> </w:t>
      </w:r>
      <w:r>
        <w:rPr>
          <w:sz w:val="24"/>
        </w:rPr>
        <w:t>(пороки сердца, нарушения ритма, миокардиопатия или миокардит);</w:t>
      </w:r>
    </w:p>
    <w:p>
      <w:pPr>
        <w:pStyle w:val="ListParagraph"/>
        <w:numPr>
          <w:ilvl w:val="0"/>
          <w:numId w:val="56"/>
        </w:numPr>
        <w:tabs>
          <w:tab w:pos="2124" w:val="left" w:leader="none"/>
        </w:tabs>
        <w:spacing w:line="264" w:lineRule="auto" w:before="13" w:after="0"/>
        <w:ind w:left="2124" w:right="1282" w:hanging="360"/>
        <w:jc w:val="left"/>
        <w:rPr>
          <w:sz w:val="24"/>
        </w:rPr>
      </w:pPr>
      <w:r>
        <w:rPr>
          <w:sz w:val="24"/>
        </w:rPr>
        <w:t>Хронические</w:t>
      </w:r>
      <w:r>
        <w:rPr>
          <w:spacing w:val="-15"/>
          <w:sz w:val="24"/>
        </w:rPr>
        <w:t> </w:t>
      </w:r>
      <w:r>
        <w:rPr>
          <w:sz w:val="24"/>
        </w:rPr>
        <w:t>заболевания</w:t>
      </w:r>
      <w:r>
        <w:rPr>
          <w:spacing w:val="-15"/>
          <w:sz w:val="24"/>
        </w:rPr>
        <w:t> </w:t>
      </w:r>
      <w:r>
        <w:rPr>
          <w:sz w:val="24"/>
        </w:rPr>
        <w:t>легких</w:t>
      </w:r>
      <w:r>
        <w:rPr>
          <w:spacing w:val="-15"/>
          <w:sz w:val="24"/>
        </w:rPr>
        <w:t> </w:t>
      </w:r>
      <w:r>
        <w:rPr>
          <w:sz w:val="24"/>
        </w:rPr>
        <w:t>(бронхолегочная</w:t>
      </w:r>
      <w:r>
        <w:rPr>
          <w:spacing w:val="-15"/>
          <w:sz w:val="24"/>
        </w:rPr>
        <w:t> </w:t>
      </w:r>
      <w:r>
        <w:rPr>
          <w:sz w:val="24"/>
        </w:rPr>
        <w:t>дисплазия,</w:t>
      </w:r>
      <w:r>
        <w:rPr>
          <w:spacing w:val="-15"/>
          <w:sz w:val="24"/>
        </w:rPr>
        <w:t> </w:t>
      </w:r>
      <w:r>
        <w:rPr>
          <w:sz w:val="24"/>
        </w:rPr>
        <w:t>бронхиальная</w:t>
      </w:r>
      <w:r>
        <w:rPr>
          <w:spacing w:val="-15"/>
          <w:sz w:val="24"/>
        </w:rPr>
        <w:t> </w:t>
      </w:r>
      <w:r>
        <w:rPr>
          <w:sz w:val="24"/>
        </w:rPr>
        <w:t>астма, муковисцидоз, бронхоэктатическая болезнь, врожденные пороки легких и др.);</w:t>
      </w:r>
    </w:p>
    <w:p>
      <w:pPr>
        <w:pStyle w:val="ListParagraph"/>
        <w:numPr>
          <w:ilvl w:val="0"/>
          <w:numId w:val="56"/>
        </w:numPr>
        <w:tabs>
          <w:tab w:pos="2124" w:val="left" w:leader="none"/>
        </w:tabs>
        <w:spacing w:line="264" w:lineRule="auto" w:before="14" w:after="0"/>
        <w:ind w:left="2124" w:right="1272" w:hanging="360"/>
        <w:jc w:val="left"/>
        <w:rPr>
          <w:sz w:val="24"/>
        </w:rPr>
      </w:pPr>
      <w:r>
        <w:rPr>
          <w:sz w:val="24"/>
        </w:rPr>
        <w:t>Первичный</w:t>
      </w:r>
      <w:r>
        <w:rPr>
          <w:spacing w:val="80"/>
          <w:w w:val="150"/>
          <w:sz w:val="24"/>
        </w:rPr>
        <w:t> </w:t>
      </w:r>
      <w:r>
        <w:rPr>
          <w:sz w:val="24"/>
        </w:rPr>
        <w:t>или</w:t>
      </w:r>
      <w:r>
        <w:rPr>
          <w:spacing w:val="80"/>
          <w:w w:val="150"/>
          <w:sz w:val="24"/>
        </w:rPr>
        <w:t> </w:t>
      </w:r>
      <w:r>
        <w:rPr>
          <w:sz w:val="24"/>
        </w:rPr>
        <w:t>вторичный</w:t>
      </w:r>
      <w:r>
        <w:rPr>
          <w:spacing w:val="80"/>
          <w:w w:val="150"/>
          <w:sz w:val="24"/>
        </w:rPr>
        <w:t> </w:t>
      </w:r>
      <w:r>
        <w:rPr>
          <w:sz w:val="24"/>
        </w:rPr>
        <w:t>иммунодефицит,</w:t>
      </w:r>
      <w:r>
        <w:rPr>
          <w:spacing w:val="80"/>
          <w:w w:val="150"/>
          <w:sz w:val="24"/>
        </w:rPr>
        <w:t> </w:t>
      </w:r>
      <w:r>
        <w:rPr>
          <w:sz w:val="24"/>
        </w:rPr>
        <w:t>в</w:t>
      </w:r>
      <w:r>
        <w:rPr>
          <w:spacing w:val="80"/>
          <w:w w:val="150"/>
          <w:sz w:val="24"/>
        </w:rPr>
        <w:t> </w:t>
      </w:r>
      <w:r>
        <w:rPr>
          <w:sz w:val="24"/>
        </w:rPr>
        <w:t>том</w:t>
      </w:r>
      <w:r>
        <w:rPr>
          <w:spacing w:val="80"/>
          <w:w w:val="150"/>
          <w:sz w:val="24"/>
        </w:rPr>
        <w:t> </w:t>
      </w:r>
      <w:r>
        <w:rPr>
          <w:sz w:val="24"/>
        </w:rPr>
        <w:t>числе</w:t>
      </w:r>
      <w:r>
        <w:rPr>
          <w:spacing w:val="80"/>
          <w:w w:val="150"/>
          <w:sz w:val="24"/>
        </w:rPr>
        <w:t> </w:t>
      </w:r>
      <w:r>
        <w:rPr>
          <w:sz w:val="24"/>
        </w:rPr>
        <w:t>ВИЧ-инфекция, аутоиммунные заболевания, иммуносупрессивная терапия;</w:t>
      </w:r>
    </w:p>
    <w:p>
      <w:pPr>
        <w:pStyle w:val="ListParagraph"/>
        <w:numPr>
          <w:ilvl w:val="0"/>
          <w:numId w:val="56"/>
        </w:numPr>
        <w:tabs>
          <w:tab w:pos="2124" w:val="left" w:leader="none"/>
        </w:tabs>
        <w:spacing w:line="240" w:lineRule="auto" w:before="14" w:after="0"/>
        <w:ind w:left="2124" w:right="0" w:hanging="359"/>
        <w:jc w:val="left"/>
        <w:rPr>
          <w:sz w:val="24"/>
        </w:rPr>
      </w:pPr>
      <w:r>
        <w:rPr>
          <w:spacing w:val="-2"/>
          <w:sz w:val="24"/>
        </w:rPr>
        <w:t>Онкогематологические</w:t>
      </w:r>
      <w:r>
        <w:rPr>
          <w:spacing w:val="4"/>
          <w:sz w:val="24"/>
        </w:rPr>
        <w:t> </w:t>
      </w:r>
      <w:r>
        <w:rPr>
          <w:spacing w:val="-2"/>
          <w:sz w:val="24"/>
        </w:rPr>
        <w:t>заболевания,</w:t>
      </w:r>
      <w:r>
        <w:rPr>
          <w:spacing w:val="5"/>
          <w:sz w:val="24"/>
        </w:rPr>
        <w:t> </w:t>
      </w:r>
      <w:r>
        <w:rPr>
          <w:spacing w:val="-2"/>
          <w:sz w:val="24"/>
        </w:rPr>
        <w:t>химиотерапия;</w:t>
      </w:r>
    </w:p>
    <w:p>
      <w:pPr>
        <w:pStyle w:val="ListParagraph"/>
        <w:numPr>
          <w:ilvl w:val="0"/>
          <w:numId w:val="56"/>
        </w:numPr>
        <w:tabs>
          <w:tab w:pos="2124" w:val="left" w:leader="none"/>
        </w:tabs>
        <w:spacing w:line="240" w:lineRule="auto" w:before="33" w:after="0"/>
        <w:ind w:left="2124" w:right="0" w:hanging="359"/>
        <w:jc w:val="left"/>
        <w:rPr>
          <w:sz w:val="24"/>
        </w:rPr>
      </w:pPr>
      <w:r>
        <w:rPr>
          <w:sz w:val="24"/>
        </w:rPr>
        <w:t>Метаболические</w:t>
      </w:r>
      <w:r>
        <w:rPr>
          <w:spacing w:val="-15"/>
          <w:sz w:val="24"/>
        </w:rPr>
        <w:t> </w:t>
      </w:r>
      <w:r>
        <w:rPr>
          <w:sz w:val="24"/>
        </w:rPr>
        <w:t>заболевания</w:t>
      </w:r>
      <w:r>
        <w:rPr>
          <w:spacing w:val="-15"/>
          <w:sz w:val="24"/>
        </w:rPr>
        <w:t> </w:t>
      </w:r>
      <w:r>
        <w:rPr>
          <w:sz w:val="24"/>
        </w:rPr>
        <w:t>(сахарный</w:t>
      </w:r>
      <w:r>
        <w:rPr>
          <w:spacing w:val="-15"/>
          <w:sz w:val="24"/>
        </w:rPr>
        <w:t> </w:t>
      </w:r>
      <w:r>
        <w:rPr>
          <w:sz w:val="24"/>
        </w:rPr>
        <w:t>диабет,</w:t>
      </w:r>
      <w:r>
        <w:rPr>
          <w:spacing w:val="-14"/>
          <w:sz w:val="24"/>
        </w:rPr>
        <w:t> </w:t>
      </w:r>
      <w:r>
        <w:rPr>
          <w:sz w:val="24"/>
        </w:rPr>
        <w:t>ожирение</w:t>
      </w:r>
      <w:r>
        <w:rPr>
          <w:spacing w:val="-15"/>
          <w:sz w:val="24"/>
        </w:rPr>
        <w:t> </w:t>
      </w:r>
      <w:r>
        <w:rPr>
          <w:sz w:val="24"/>
        </w:rPr>
        <w:t>и</w:t>
      </w:r>
      <w:r>
        <w:rPr>
          <w:spacing w:val="-15"/>
          <w:sz w:val="24"/>
        </w:rPr>
        <w:t> </w:t>
      </w:r>
      <w:r>
        <w:rPr>
          <w:spacing w:val="-2"/>
          <w:sz w:val="24"/>
        </w:rPr>
        <w:t>др.);</w:t>
      </w:r>
    </w:p>
    <w:p>
      <w:pPr>
        <w:pStyle w:val="ListParagraph"/>
        <w:numPr>
          <w:ilvl w:val="0"/>
          <w:numId w:val="56"/>
        </w:numPr>
        <w:tabs>
          <w:tab w:pos="2124" w:val="left" w:leader="none"/>
        </w:tabs>
        <w:spacing w:line="240" w:lineRule="auto" w:before="33" w:after="0"/>
        <w:ind w:left="2124" w:right="0" w:hanging="359"/>
        <w:jc w:val="left"/>
        <w:rPr>
          <w:sz w:val="24"/>
        </w:rPr>
      </w:pPr>
      <w:r>
        <w:rPr>
          <w:sz w:val="24"/>
        </w:rPr>
        <w:t>Заболевания</w:t>
      </w:r>
      <w:r>
        <w:rPr>
          <w:spacing w:val="-12"/>
          <w:sz w:val="24"/>
        </w:rPr>
        <w:t> </w:t>
      </w:r>
      <w:r>
        <w:rPr>
          <w:sz w:val="24"/>
        </w:rPr>
        <w:t>печени</w:t>
      </w:r>
      <w:r>
        <w:rPr>
          <w:spacing w:val="-11"/>
          <w:sz w:val="24"/>
        </w:rPr>
        <w:t> </w:t>
      </w:r>
      <w:r>
        <w:rPr>
          <w:sz w:val="24"/>
        </w:rPr>
        <w:t>и</w:t>
      </w:r>
      <w:r>
        <w:rPr>
          <w:spacing w:val="-11"/>
          <w:sz w:val="24"/>
        </w:rPr>
        <w:t> </w:t>
      </w:r>
      <w:r>
        <w:rPr>
          <w:spacing w:val="-2"/>
          <w:sz w:val="24"/>
        </w:rPr>
        <w:t>почек.</w:t>
      </w:r>
    </w:p>
    <w:p>
      <w:pPr>
        <w:pStyle w:val="ListParagraph"/>
        <w:numPr>
          <w:ilvl w:val="0"/>
          <w:numId w:val="55"/>
        </w:numPr>
        <w:tabs>
          <w:tab w:pos="2547" w:val="left" w:leader="none"/>
        </w:tabs>
        <w:spacing w:line="240" w:lineRule="auto" w:before="46" w:after="0"/>
        <w:ind w:left="2547" w:right="0" w:hanging="423"/>
        <w:jc w:val="both"/>
        <w:rPr>
          <w:sz w:val="24"/>
        </w:rPr>
      </w:pPr>
      <w:r>
        <w:rPr>
          <w:sz w:val="24"/>
        </w:rPr>
        <w:t>Невозможность</w:t>
      </w:r>
      <w:r>
        <w:rPr>
          <w:spacing w:val="-11"/>
          <w:sz w:val="24"/>
        </w:rPr>
        <w:t> </w:t>
      </w:r>
      <w:r>
        <w:rPr>
          <w:sz w:val="24"/>
        </w:rPr>
        <w:t>изоляции</w:t>
      </w:r>
      <w:r>
        <w:rPr>
          <w:spacing w:val="-11"/>
          <w:sz w:val="24"/>
        </w:rPr>
        <w:t> </w:t>
      </w:r>
      <w:r>
        <w:rPr>
          <w:sz w:val="24"/>
        </w:rPr>
        <w:t>при</w:t>
      </w:r>
      <w:r>
        <w:rPr>
          <w:spacing w:val="-11"/>
          <w:sz w:val="24"/>
        </w:rPr>
        <w:t> </w:t>
      </w:r>
      <w:r>
        <w:rPr>
          <w:sz w:val="24"/>
        </w:rPr>
        <w:t>проживании</w:t>
      </w:r>
      <w:r>
        <w:rPr>
          <w:spacing w:val="-11"/>
          <w:sz w:val="24"/>
        </w:rPr>
        <w:t> </w:t>
      </w:r>
      <w:r>
        <w:rPr>
          <w:sz w:val="24"/>
        </w:rPr>
        <w:t>с</w:t>
      </w:r>
      <w:r>
        <w:rPr>
          <w:spacing w:val="-12"/>
          <w:sz w:val="24"/>
        </w:rPr>
        <w:t> </w:t>
      </w:r>
      <w:r>
        <w:rPr>
          <w:sz w:val="24"/>
        </w:rPr>
        <w:t>лицами</w:t>
      </w:r>
      <w:r>
        <w:rPr>
          <w:spacing w:val="-6"/>
          <w:sz w:val="24"/>
        </w:rPr>
        <w:t> </w:t>
      </w:r>
      <w:r>
        <w:rPr>
          <w:sz w:val="24"/>
        </w:rPr>
        <w:t>из</w:t>
      </w:r>
      <w:r>
        <w:rPr>
          <w:spacing w:val="-11"/>
          <w:sz w:val="24"/>
        </w:rPr>
        <w:t> </w:t>
      </w:r>
      <w:r>
        <w:rPr>
          <w:sz w:val="24"/>
        </w:rPr>
        <w:t>групп</w:t>
      </w:r>
      <w:r>
        <w:rPr>
          <w:spacing w:val="-11"/>
          <w:sz w:val="24"/>
        </w:rPr>
        <w:t> </w:t>
      </w:r>
      <w:r>
        <w:rPr>
          <w:spacing w:val="-2"/>
          <w:sz w:val="24"/>
        </w:rPr>
        <w:t>риска.</w:t>
      </w:r>
    </w:p>
    <w:p>
      <w:pPr>
        <w:pStyle w:val="ListParagraph"/>
        <w:numPr>
          <w:ilvl w:val="0"/>
          <w:numId w:val="55"/>
        </w:numPr>
        <w:tabs>
          <w:tab w:pos="2547" w:val="left" w:leader="none"/>
          <w:tab w:pos="2549" w:val="left" w:leader="none"/>
        </w:tabs>
        <w:spacing w:line="276" w:lineRule="auto" w:before="41" w:after="0"/>
        <w:ind w:left="2549" w:right="1279" w:hanging="425"/>
        <w:jc w:val="both"/>
        <w:rPr>
          <w:sz w:val="24"/>
        </w:rPr>
      </w:pPr>
      <w:r>
        <w:rPr>
          <w:sz w:val="24"/>
        </w:rPr>
        <w:t>Отсутствие условий для лечения на дому или гарантий выполнения рекомендаций (общежитие, учреждения социального обеспечения, пункт временного размещения, социально неблагополучная семья, плохие социально-бытовые условия).</w:t>
      </w:r>
    </w:p>
    <w:p>
      <w:pPr>
        <w:pStyle w:val="Heading3"/>
        <w:spacing w:before="239"/>
      </w:pPr>
      <w:r>
        <w:rPr>
          <w:color w:val="1F487C"/>
        </w:rPr>
        <w:t>Показания</w:t>
      </w:r>
      <w:r>
        <w:rPr>
          <w:color w:val="1F487C"/>
          <w:spacing w:val="-10"/>
        </w:rPr>
        <w:t> </w:t>
      </w:r>
      <w:r>
        <w:rPr>
          <w:color w:val="1F487C"/>
        </w:rPr>
        <w:t>для</w:t>
      </w:r>
      <w:r>
        <w:rPr>
          <w:color w:val="1F487C"/>
          <w:spacing w:val="-11"/>
        </w:rPr>
        <w:t> </w:t>
      </w:r>
      <w:r>
        <w:rPr>
          <w:color w:val="1F487C"/>
        </w:rPr>
        <w:t>перевода</w:t>
      </w:r>
      <w:r>
        <w:rPr>
          <w:color w:val="1F487C"/>
          <w:spacing w:val="-9"/>
        </w:rPr>
        <w:t> </w:t>
      </w:r>
      <w:r>
        <w:rPr>
          <w:color w:val="1F487C"/>
        </w:rPr>
        <w:t>в</w:t>
      </w:r>
      <w:r>
        <w:rPr>
          <w:color w:val="1F487C"/>
          <w:spacing w:val="-9"/>
        </w:rPr>
        <w:t> </w:t>
      </w:r>
      <w:r>
        <w:rPr>
          <w:color w:val="1F487C"/>
          <w:spacing w:val="-2"/>
        </w:rPr>
        <w:t>ОРИТ:</w:t>
      </w:r>
    </w:p>
    <w:p>
      <w:pPr>
        <w:pStyle w:val="ListParagraph"/>
        <w:numPr>
          <w:ilvl w:val="0"/>
          <w:numId w:val="57"/>
        </w:numPr>
        <w:tabs>
          <w:tab w:pos="2547" w:val="left" w:leader="none"/>
          <w:tab w:pos="2549" w:val="left" w:leader="none"/>
        </w:tabs>
        <w:spacing w:line="276" w:lineRule="auto" w:before="141" w:after="0"/>
        <w:ind w:left="2549" w:right="1278" w:hanging="425"/>
        <w:jc w:val="both"/>
        <w:rPr>
          <w:sz w:val="24"/>
        </w:rPr>
      </w:pPr>
      <w:r>
        <w:rPr>
          <w:sz w:val="24"/>
        </w:rPr>
        <w:t>Нарушение</w:t>
      </w:r>
      <w:r>
        <w:rPr>
          <w:spacing w:val="40"/>
          <w:sz w:val="24"/>
        </w:rPr>
        <w:t>  </w:t>
      </w:r>
      <w:r>
        <w:rPr>
          <w:sz w:val="24"/>
        </w:rPr>
        <w:t>сознания</w:t>
      </w:r>
      <w:r>
        <w:rPr>
          <w:spacing w:val="40"/>
          <w:sz w:val="24"/>
        </w:rPr>
        <w:t>  </w:t>
      </w:r>
      <w:r>
        <w:rPr>
          <w:sz w:val="24"/>
        </w:rPr>
        <w:t>(14</w:t>
      </w:r>
      <w:r>
        <w:rPr>
          <w:spacing w:val="40"/>
          <w:sz w:val="24"/>
        </w:rPr>
        <w:t>  </w:t>
      </w:r>
      <w:r>
        <w:rPr>
          <w:sz w:val="24"/>
        </w:rPr>
        <w:t>баллов</w:t>
      </w:r>
      <w:r>
        <w:rPr>
          <w:spacing w:val="40"/>
          <w:sz w:val="24"/>
        </w:rPr>
        <w:t>  </w:t>
      </w:r>
      <w:r>
        <w:rPr>
          <w:sz w:val="24"/>
        </w:rPr>
        <w:t>и</w:t>
      </w:r>
      <w:r>
        <w:rPr>
          <w:spacing w:val="40"/>
          <w:sz w:val="24"/>
        </w:rPr>
        <w:t>  </w:t>
      </w:r>
      <w:r>
        <w:rPr>
          <w:sz w:val="24"/>
        </w:rPr>
        <w:t>менее</w:t>
      </w:r>
      <w:r>
        <w:rPr>
          <w:spacing w:val="40"/>
          <w:sz w:val="24"/>
        </w:rPr>
        <w:t>  </w:t>
      </w:r>
      <w:r>
        <w:rPr>
          <w:sz w:val="24"/>
        </w:rPr>
        <w:t>по</w:t>
      </w:r>
      <w:r>
        <w:rPr>
          <w:spacing w:val="40"/>
          <w:sz w:val="24"/>
        </w:rPr>
        <w:t>  </w:t>
      </w:r>
      <w:r>
        <w:rPr>
          <w:sz w:val="24"/>
        </w:rPr>
        <w:t>шкале</w:t>
      </w:r>
      <w:r>
        <w:rPr>
          <w:spacing w:val="40"/>
          <w:sz w:val="24"/>
        </w:rPr>
        <w:t>  </w:t>
      </w:r>
      <w:r>
        <w:rPr>
          <w:sz w:val="24"/>
        </w:rPr>
        <w:t>комы</w:t>
      </w:r>
      <w:r>
        <w:rPr>
          <w:spacing w:val="40"/>
          <w:sz w:val="24"/>
        </w:rPr>
        <w:t>  </w:t>
      </w:r>
      <w:r>
        <w:rPr>
          <w:sz w:val="24"/>
        </w:rPr>
        <w:t>Глазго для соответствующей возрастной категории) или необъяснимое выраженное возбуждение (плач, крик) на фоне течения ОРИ;</w:t>
      </w:r>
    </w:p>
    <w:p>
      <w:pPr>
        <w:pStyle w:val="ListParagraph"/>
        <w:numPr>
          <w:ilvl w:val="0"/>
          <w:numId w:val="57"/>
        </w:numPr>
        <w:tabs>
          <w:tab w:pos="2547" w:val="left" w:leader="none"/>
          <w:tab w:pos="2549" w:val="left" w:leader="none"/>
        </w:tabs>
        <w:spacing w:line="276" w:lineRule="auto" w:before="0" w:after="0"/>
        <w:ind w:left="2549" w:right="1278" w:hanging="425"/>
        <w:jc w:val="both"/>
        <w:rPr>
          <w:sz w:val="24"/>
        </w:rPr>
      </w:pPr>
      <w:r>
        <w:rPr>
          <w:sz w:val="24"/>
        </w:rPr>
        <w:t>Увеличение ЧДД более чем на 15% от физиологических возрастных показателей в состоянии покоя;</w:t>
      </w:r>
    </w:p>
    <w:p>
      <w:pPr>
        <w:pStyle w:val="ListParagraph"/>
        <w:numPr>
          <w:ilvl w:val="0"/>
          <w:numId w:val="57"/>
        </w:numPr>
        <w:tabs>
          <w:tab w:pos="2547" w:val="left" w:leader="none"/>
        </w:tabs>
        <w:spacing w:line="274" w:lineRule="exact" w:before="0" w:after="0"/>
        <w:ind w:left="2547" w:right="0" w:hanging="423"/>
        <w:jc w:val="both"/>
        <w:rPr>
          <w:sz w:val="24"/>
        </w:rPr>
      </w:pPr>
      <w:r>
        <w:rPr>
          <w:sz w:val="24"/>
        </w:rPr>
        <w:t>Стонущее</w:t>
      </w:r>
      <w:r>
        <w:rPr>
          <w:spacing w:val="-12"/>
          <w:sz w:val="24"/>
        </w:rPr>
        <w:t> </w:t>
      </w:r>
      <w:r>
        <w:rPr>
          <w:sz w:val="24"/>
        </w:rPr>
        <w:t>или</w:t>
      </w:r>
      <w:r>
        <w:rPr>
          <w:spacing w:val="-12"/>
          <w:sz w:val="24"/>
        </w:rPr>
        <w:t> </w:t>
      </w:r>
      <w:r>
        <w:rPr>
          <w:sz w:val="24"/>
        </w:rPr>
        <w:t>кряхтящее</w:t>
      </w:r>
      <w:r>
        <w:rPr>
          <w:spacing w:val="-11"/>
          <w:sz w:val="24"/>
        </w:rPr>
        <w:t> </w:t>
      </w:r>
      <w:r>
        <w:rPr>
          <w:spacing w:val="-2"/>
          <w:sz w:val="24"/>
        </w:rPr>
        <w:t>дыхание;</w:t>
      </w:r>
    </w:p>
    <w:p>
      <w:pPr>
        <w:pStyle w:val="ListParagraph"/>
        <w:numPr>
          <w:ilvl w:val="0"/>
          <w:numId w:val="57"/>
        </w:numPr>
        <w:tabs>
          <w:tab w:pos="2547" w:val="left" w:leader="none"/>
          <w:tab w:pos="2549" w:val="left" w:leader="none"/>
        </w:tabs>
        <w:spacing w:line="278" w:lineRule="auto" w:before="41" w:after="0"/>
        <w:ind w:left="2549" w:right="1278" w:hanging="425"/>
        <w:jc w:val="both"/>
        <w:rPr>
          <w:sz w:val="24"/>
        </w:rPr>
      </w:pPr>
      <w:r>
        <w:rPr>
          <w:sz w:val="24"/>
        </w:rPr>
        <w:t>Увеличение ЧСС более чем на 15% от физиологических возрастных показателей в состоянии покоя;</w:t>
      </w:r>
    </w:p>
    <w:p>
      <w:pPr>
        <w:pStyle w:val="ListParagraph"/>
        <w:spacing w:after="0" w:line="278" w:lineRule="auto"/>
        <w:jc w:val="both"/>
        <w:rPr>
          <w:sz w:val="24"/>
        </w:rPr>
        <w:sectPr>
          <w:pgSz w:w="11900" w:h="16840"/>
          <w:pgMar w:header="0" w:footer="697" w:top="1080" w:bottom="880" w:left="0" w:right="0"/>
        </w:sectPr>
      </w:pPr>
    </w:p>
    <w:p>
      <w:pPr>
        <w:pStyle w:val="ListParagraph"/>
        <w:numPr>
          <w:ilvl w:val="0"/>
          <w:numId w:val="57"/>
        </w:numPr>
        <w:tabs>
          <w:tab w:pos="2549" w:val="left" w:leader="none"/>
        </w:tabs>
        <w:spacing w:line="276" w:lineRule="auto" w:before="73" w:after="0"/>
        <w:ind w:left="2549" w:right="1278" w:hanging="425"/>
        <w:jc w:val="left"/>
        <w:rPr>
          <w:sz w:val="24"/>
        </w:rPr>
      </w:pPr>
      <w:bookmarkStart w:name="118" w:id="138"/>
      <w:bookmarkEnd w:id="138"/>
      <w:r>
        <w:rPr/>
      </w:r>
      <w:r>
        <w:rPr>
          <w:sz w:val="24"/>
        </w:rPr>
        <w:t>Цианоз</w:t>
      </w:r>
      <w:r>
        <w:rPr>
          <w:spacing w:val="-15"/>
          <w:sz w:val="24"/>
        </w:rPr>
        <w:t> </w:t>
      </w:r>
      <w:r>
        <w:rPr>
          <w:sz w:val="24"/>
        </w:rPr>
        <w:t>и</w:t>
      </w:r>
      <w:r>
        <w:rPr>
          <w:spacing w:val="-13"/>
          <w:sz w:val="24"/>
        </w:rPr>
        <w:t> </w:t>
      </w:r>
      <w:r>
        <w:rPr>
          <w:sz w:val="24"/>
        </w:rPr>
        <w:t>одышка,</w:t>
      </w:r>
      <w:r>
        <w:rPr>
          <w:spacing w:val="-14"/>
          <w:sz w:val="24"/>
        </w:rPr>
        <w:t> </w:t>
      </w:r>
      <w:r>
        <w:rPr>
          <w:sz w:val="24"/>
        </w:rPr>
        <w:t>определяемые</w:t>
      </w:r>
      <w:r>
        <w:rPr>
          <w:spacing w:val="-15"/>
          <w:sz w:val="24"/>
        </w:rPr>
        <w:t> </w:t>
      </w:r>
      <w:r>
        <w:rPr>
          <w:sz w:val="24"/>
        </w:rPr>
        <w:t>при</w:t>
      </w:r>
      <w:r>
        <w:rPr>
          <w:spacing w:val="-13"/>
          <w:sz w:val="24"/>
        </w:rPr>
        <w:t> </w:t>
      </w:r>
      <w:r>
        <w:rPr>
          <w:sz w:val="24"/>
        </w:rPr>
        <w:t>визуальном</w:t>
      </w:r>
      <w:r>
        <w:rPr>
          <w:spacing w:val="-14"/>
          <w:sz w:val="24"/>
        </w:rPr>
        <w:t> </w:t>
      </w:r>
      <w:r>
        <w:rPr>
          <w:sz w:val="24"/>
        </w:rPr>
        <w:t>осмотре,</w:t>
      </w:r>
      <w:r>
        <w:rPr>
          <w:spacing w:val="-14"/>
          <w:sz w:val="24"/>
        </w:rPr>
        <w:t> </w:t>
      </w:r>
      <w:r>
        <w:rPr>
          <w:sz w:val="24"/>
        </w:rPr>
        <w:t>раздувание</w:t>
      </w:r>
      <w:r>
        <w:rPr>
          <w:spacing w:val="-15"/>
          <w:sz w:val="24"/>
        </w:rPr>
        <w:t> </w:t>
      </w:r>
      <w:r>
        <w:rPr>
          <w:sz w:val="24"/>
        </w:rPr>
        <w:t>крыльев носа у детей первого года жизни;</w:t>
      </w:r>
    </w:p>
    <w:p>
      <w:pPr>
        <w:pStyle w:val="ListParagraph"/>
        <w:numPr>
          <w:ilvl w:val="0"/>
          <w:numId w:val="57"/>
        </w:numPr>
        <w:tabs>
          <w:tab w:pos="2549" w:val="left" w:leader="none"/>
        </w:tabs>
        <w:spacing w:line="277" w:lineRule="exact" w:before="0" w:after="0"/>
        <w:ind w:left="2549" w:right="0" w:hanging="425"/>
        <w:jc w:val="left"/>
        <w:rPr>
          <w:position w:val="2"/>
          <w:sz w:val="24"/>
        </w:rPr>
      </w:pPr>
      <w:r>
        <w:rPr>
          <w:position w:val="2"/>
          <w:sz w:val="24"/>
        </w:rPr>
        <w:t>SpO</w:t>
      </w:r>
      <w:r>
        <w:rPr>
          <w:sz w:val="16"/>
        </w:rPr>
        <w:t>2</w:t>
      </w:r>
      <w:r>
        <w:rPr>
          <w:spacing w:val="17"/>
          <w:sz w:val="16"/>
        </w:rPr>
        <w:t> </w:t>
      </w:r>
      <w:r>
        <w:rPr>
          <w:position w:val="2"/>
          <w:sz w:val="24"/>
        </w:rPr>
        <w:t>≤</w:t>
      </w:r>
      <w:r>
        <w:rPr>
          <w:spacing w:val="-3"/>
          <w:position w:val="2"/>
          <w:sz w:val="24"/>
        </w:rPr>
        <w:t> </w:t>
      </w:r>
      <w:r>
        <w:rPr>
          <w:spacing w:val="-4"/>
          <w:position w:val="2"/>
          <w:sz w:val="24"/>
        </w:rPr>
        <w:t>93%;</w:t>
      </w:r>
    </w:p>
    <w:p>
      <w:pPr>
        <w:pStyle w:val="ListParagraph"/>
        <w:numPr>
          <w:ilvl w:val="0"/>
          <w:numId w:val="57"/>
        </w:numPr>
        <w:tabs>
          <w:tab w:pos="2549" w:val="left" w:leader="none"/>
        </w:tabs>
        <w:spacing w:line="240" w:lineRule="auto" w:before="40" w:after="0"/>
        <w:ind w:left="2549" w:right="0" w:hanging="425"/>
        <w:jc w:val="left"/>
        <w:rPr>
          <w:position w:val="2"/>
          <w:sz w:val="24"/>
        </w:rPr>
      </w:pPr>
      <w:r>
        <w:rPr>
          <w:position w:val="2"/>
          <w:sz w:val="24"/>
        </w:rPr>
        <w:t>Респираторный</w:t>
      </w:r>
      <w:r>
        <w:rPr>
          <w:spacing w:val="-8"/>
          <w:position w:val="2"/>
          <w:sz w:val="24"/>
        </w:rPr>
        <w:t> </w:t>
      </w:r>
      <w:r>
        <w:rPr>
          <w:position w:val="2"/>
          <w:sz w:val="24"/>
        </w:rPr>
        <w:t>ацидоз</w:t>
      </w:r>
      <w:r>
        <w:rPr>
          <w:spacing w:val="-9"/>
          <w:position w:val="2"/>
          <w:sz w:val="24"/>
        </w:rPr>
        <w:t> </w:t>
      </w:r>
      <w:r>
        <w:rPr>
          <w:position w:val="2"/>
          <w:sz w:val="24"/>
        </w:rPr>
        <w:t>(рСО</w:t>
      </w:r>
      <w:r>
        <w:rPr>
          <w:sz w:val="16"/>
        </w:rPr>
        <w:t>2</w:t>
      </w:r>
      <w:r>
        <w:rPr>
          <w:spacing w:val="14"/>
          <w:sz w:val="16"/>
        </w:rPr>
        <w:t> </w:t>
      </w:r>
      <w:r>
        <w:rPr>
          <w:position w:val="2"/>
          <w:sz w:val="24"/>
        </w:rPr>
        <w:t>&gt;</w:t>
      </w:r>
      <w:r>
        <w:rPr>
          <w:spacing w:val="-8"/>
          <w:position w:val="2"/>
          <w:sz w:val="24"/>
        </w:rPr>
        <w:t> </w:t>
      </w:r>
      <w:r>
        <w:rPr>
          <w:position w:val="2"/>
          <w:sz w:val="24"/>
        </w:rPr>
        <w:t>50</w:t>
      </w:r>
      <w:r>
        <w:rPr>
          <w:spacing w:val="-8"/>
          <w:position w:val="2"/>
          <w:sz w:val="24"/>
        </w:rPr>
        <w:t> </w:t>
      </w:r>
      <w:r>
        <w:rPr>
          <w:position w:val="2"/>
          <w:sz w:val="24"/>
        </w:rPr>
        <w:t>мм</w:t>
      </w:r>
      <w:r>
        <w:rPr>
          <w:spacing w:val="-8"/>
          <w:position w:val="2"/>
          <w:sz w:val="24"/>
        </w:rPr>
        <w:t> </w:t>
      </w:r>
      <w:r>
        <w:rPr>
          <w:position w:val="2"/>
          <w:sz w:val="24"/>
        </w:rPr>
        <w:t>рт.</w:t>
      </w:r>
      <w:r>
        <w:rPr>
          <w:spacing w:val="-7"/>
          <w:position w:val="2"/>
          <w:sz w:val="24"/>
        </w:rPr>
        <w:t> </w:t>
      </w:r>
      <w:r>
        <w:rPr>
          <w:spacing w:val="-2"/>
          <w:position w:val="2"/>
          <w:sz w:val="24"/>
        </w:rPr>
        <w:t>ст.);</w:t>
      </w:r>
    </w:p>
    <w:p>
      <w:pPr>
        <w:pStyle w:val="ListParagraph"/>
        <w:numPr>
          <w:ilvl w:val="0"/>
          <w:numId w:val="57"/>
        </w:numPr>
        <w:tabs>
          <w:tab w:pos="2549" w:val="left" w:leader="none"/>
          <w:tab w:pos="5015" w:val="left" w:leader="none"/>
          <w:tab w:pos="6422" w:val="left" w:leader="none"/>
          <w:tab w:pos="8735" w:val="left" w:leader="none"/>
          <w:tab w:pos="10048" w:val="left" w:leader="none"/>
        </w:tabs>
        <w:spacing w:line="276" w:lineRule="auto" w:before="38" w:after="0"/>
        <w:ind w:left="2549" w:right="1275" w:hanging="425"/>
        <w:jc w:val="left"/>
        <w:rPr>
          <w:sz w:val="23"/>
        </w:rPr>
      </w:pPr>
      <w:r>
        <w:rPr>
          <w:spacing w:val="-2"/>
          <w:sz w:val="23"/>
        </w:rPr>
        <w:t>Декомпенсированные</w:t>
      </w:r>
      <w:r>
        <w:rPr>
          <w:sz w:val="23"/>
        </w:rPr>
        <w:tab/>
      </w:r>
      <w:r>
        <w:rPr>
          <w:spacing w:val="-2"/>
          <w:sz w:val="23"/>
        </w:rPr>
        <w:t>нарушения</w:t>
      </w:r>
      <w:r>
        <w:rPr>
          <w:sz w:val="23"/>
        </w:rPr>
        <w:tab/>
      </w:r>
      <w:r>
        <w:rPr>
          <w:spacing w:val="-2"/>
          <w:sz w:val="23"/>
        </w:rPr>
        <w:t>кислотно-основного</w:t>
      </w:r>
      <w:r>
        <w:rPr>
          <w:sz w:val="23"/>
        </w:rPr>
        <w:tab/>
      </w:r>
      <w:r>
        <w:rPr>
          <w:spacing w:val="-2"/>
          <w:sz w:val="23"/>
        </w:rPr>
        <w:t>состояния</w:t>
      </w:r>
      <w:r>
        <w:rPr>
          <w:sz w:val="23"/>
        </w:rPr>
        <w:tab/>
      </w:r>
      <w:r>
        <w:rPr>
          <w:spacing w:val="-2"/>
          <w:sz w:val="23"/>
        </w:rPr>
        <w:t>крови </w:t>
      </w:r>
      <w:r>
        <w:rPr>
          <w:sz w:val="23"/>
        </w:rPr>
        <w:t>(рН &lt; 7,25);</w:t>
      </w:r>
    </w:p>
    <w:p>
      <w:pPr>
        <w:pStyle w:val="ListParagraph"/>
        <w:numPr>
          <w:ilvl w:val="0"/>
          <w:numId w:val="57"/>
        </w:numPr>
        <w:tabs>
          <w:tab w:pos="2549" w:val="left" w:leader="none"/>
        </w:tabs>
        <w:spacing w:line="275" w:lineRule="exact" w:before="0" w:after="0"/>
        <w:ind w:left="2549" w:right="0" w:hanging="425"/>
        <w:jc w:val="left"/>
        <w:rPr>
          <w:sz w:val="24"/>
        </w:rPr>
      </w:pPr>
      <w:r>
        <w:rPr>
          <w:spacing w:val="-2"/>
          <w:sz w:val="24"/>
        </w:rPr>
        <w:t>Выраженные</w:t>
      </w:r>
      <w:r>
        <w:rPr>
          <w:spacing w:val="1"/>
          <w:sz w:val="24"/>
        </w:rPr>
        <w:t> </w:t>
      </w:r>
      <w:r>
        <w:rPr>
          <w:spacing w:val="-2"/>
          <w:sz w:val="24"/>
        </w:rPr>
        <w:t>нарушения</w:t>
      </w:r>
      <w:r>
        <w:rPr>
          <w:spacing w:val="2"/>
          <w:sz w:val="24"/>
        </w:rPr>
        <w:t> </w:t>
      </w:r>
      <w:r>
        <w:rPr>
          <w:spacing w:val="-2"/>
          <w:sz w:val="24"/>
        </w:rPr>
        <w:t>тканевой</w:t>
      </w:r>
      <w:r>
        <w:rPr>
          <w:spacing w:val="3"/>
          <w:sz w:val="24"/>
        </w:rPr>
        <w:t> </w:t>
      </w:r>
      <w:r>
        <w:rPr>
          <w:spacing w:val="-2"/>
          <w:sz w:val="24"/>
        </w:rPr>
        <w:t>перфузии,</w:t>
      </w:r>
      <w:r>
        <w:rPr>
          <w:spacing w:val="2"/>
          <w:sz w:val="24"/>
        </w:rPr>
        <w:t> </w:t>
      </w:r>
      <w:r>
        <w:rPr>
          <w:spacing w:val="-2"/>
          <w:sz w:val="24"/>
        </w:rPr>
        <w:t>артериальная</w:t>
      </w:r>
      <w:r>
        <w:rPr>
          <w:spacing w:val="2"/>
          <w:sz w:val="24"/>
        </w:rPr>
        <w:t> </w:t>
      </w:r>
      <w:r>
        <w:rPr>
          <w:spacing w:val="-2"/>
          <w:sz w:val="24"/>
        </w:rPr>
        <w:t>гипотензия;</w:t>
      </w:r>
    </w:p>
    <w:p>
      <w:pPr>
        <w:pStyle w:val="ListParagraph"/>
        <w:numPr>
          <w:ilvl w:val="0"/>
          <w:numId w:val="57"/>
        </w:numPr>
        <w:tabs>
          <w:tab w:pos="2547" w:val="left" w:leader="none"/>
        </w:tabs>
        <w:spacing w:line="240" w:lineRule="auto" w:before="43" w:after="0"/>
        <w:ind w:left="2547" w:right="0" w:hanging="423"/>
        <w:jc w:val="left"/>
        <w:rPr>
          <w:sz w:val="24"/>
        </w:rPr>
      </w:pPr>
      <w:r>
        <w:rPr>
          <w:sz w:val="24"/>
        </w:rPr>
        <w:t>Лактат-ацидоз</w:t>
      </w:r>
      <w:r>
        <w:rPr>
          <w:spacing w:val="-11"/>
          <w:sz w:val="24"/>
        </w:rPr>
        <w:t> </w:t>
      </w:r>
      <w:r>
        <w:rPr>
          <w:sz w:val="24"/>
        </w:rPr>
        <w:t>(концентрация</w:t>
      </w:r>
      <w:r>
        <w:rPr>
          <w:spacing w:val="-12"/>
          <w:sz w:val="24"/>
        </w:rPr>
        <w:t> </w:t>
      </w:r>
      <w:r>
        <w:rPr>
          <w:sz w:val="24"/>
        </w:rPr>
        <w:t>лактата</w:t>
      </w:r>
      <w:r>
        <w:rPr>
          <w:spacing w:val="-10"/>
          <w:sz w:val="24"/>
        </w:rPr>
        <w:t> </w:t>
      </w:r>
      <w:r>
        <w:rPr>
          <w:sz w:val="24"/>
        </w:rPr>
        <w:t>&gt;</w:t>
      </w:r>
      <w:r>
        <w:rPr>
          <w:spacing w:val="-12"/>
          <w:sz w:val="24"/>
        </w:rPr>
        <w:t> </w:t>
      </w:r>
      <w:r>
        <w:rPr>
          <w:sz w:val="24"/>
        </w:rPr>
        <w:t>2,5</w:t>
      </w:r>
      <w:r>
        <w:rPr>
          <w:spacing w:val="-11"/>
          <w:sz w:val="24"/>
        </w:rPr>
        <w:t> </w:t>
      </w:r>
      <w:r>
        <w:rPr>
          <w:spacing w:val="-2"/>
          <w:sz w:val="24"/>
        </w:rPr>
        <w:t>ммоль/л);</w:t>
      </w:r>
    </w:p>
    <w:p>
      <w:pPr>
        <w:pStyle w:val="ListParagraph"/>
        <w:numPr>
          <w:ilvl w:val="0"/>
          <w:numId w:val="57"/>
        </w:numPr>
        <w:tabs>
          <w:tab w:pos="2547" w:val="left" w:leader="none"/>
        </w:tabs>
        <w:spacing w:line="240" w:lineRule="auto" w:before="41" w:after="0"/>
        <w:ind w:left="2547" w:right="0" w:hanging="423"/>
        <w:jc w:val="left"/>
        <w:rPr>
          <w:sz w:val="24"/>
        </w:rPr>
      </w:pPr>
      <w:r>
        <w:rPr>
          <w:spacing w:val="-2"/>
          <w:sz w:val="24"/>
        </w:rPr>
        <w:t>Артериальная</w:t>
      </w:r>
      <w:r>
        <w:rPr>
          <w:sz w:val="24"/>
        </w:rPr>
        <w:t> </w:t>
      </w:r>
      <w:r>
        <w:rPr>
          <w:spacing w:val="-2"/>
          <w:sz w:val="24"/>
        </w:rPr>
        <w:t>гипотония</w:t>
      </w:r>
      <w:r>
        <w:rPr>
          <w:sz w:val="24"/>
        </w:rPr>
        <w:t> </w:t>
      </w:r>
      <w:r>
        <w:rPr>
          <w:spacing w:val="-2"/>
          <w:sz w:val="24"/>
        </w:rPr>
        <w:t>с</w:t>
      </w:r>
      <w:r>
        <w:rPr>
          <w:spacing w:val="1"/>
          <w:sz w:val="24"/>
        </w:rPr>
        <w:t> </w:t>
      </w:r>
      <w:r>
        <w:rPr>
          <w:spacing w:val="-2"/>
          <w:sz w:val="24"/>
        </w:rPr>
        <w:t>клиническими</w:t>
      </w:r>
      <w:r>
        <w:rPr>
          <w:spacing w:val="5"/>
          <w:sz w:val="24"/>
        </w:rPr>
        <w:t> </w:t>
      </w:r>
      <w:r>
        <w:rPr>
          <w:spacing w:val="-2"/>
          <w:sz w:val="24"/>
        </w:rPr>
        <w:t>проявлениями</w:t>
      </w:r>
      <w:r>
        <w:rPr>
          <w:spacing w:val="2"/>
          <w:sz w:val="24"/>
        </w:rPr>
        <w:t> </w:t>
      </w:r>
      <w:r>
        <w:rPr>
          <w:spacing w:val="-2"/>
          <w:sz w:val="24"/>
        </w:rPr>
        <w:t>шока;</w:t>
      </w:r>
    </w:p>
    <w:p>
      <w:pPr>
        <w:pStyle w:val="ListParagraph"/>
        <w:numPr>
          <w:ilvl w:val="0"/>
          <w:numId w:val="57"/>
        </w:numPr>
        <w:tabs>
          <w:tab w:pos="2547" w:val="left" w:leader="none"/>
          <w:tab w:pos="2549" w:val="left" w:leader="none"/>
        </w:tabs>
        <w:spacing w:line="276" w:lineRule="auto" w:before="40" w:after="0"/>
        <w:ind w:left="2549" w:right="1279" w:hanging="425"/>
        <w:jc w:val="left"/>
        <w:rPr>
          <w:sz w:val="24"/>
        </w:rPr>
      </w:pPr>
      <w:r>
        <w:rPr>
          <w:sz w:val="24"/>
        </w:rPr>
        <w:t>Снижение</w:t>
      </w:r>
      <w:r>
        <w:rPr>
          <w:spacing w:val="40"/>
          <w:sz w:val="24"/>
        </w:rPr>
        <w:t> </w:t>
      </w:r>
      <w:r>
        <w:rPr>
          <w:sz w:val="24"/>
        </w:rPr>
        <w:t>диуреза</w:t>
      </w:r>
      <w:r>
        <w:rPr>
          <w:spacing w:val="40"/>
          <w:sz w:val="24"/>
        </w:rPr>
        <w:t> </w:t>
      </w:r>
      <w:r>
        <w:rPr>
          <w:sz w:val="24"/>
        </w:rPr>
        <w:t>до</w:t>
      </w:r>
      <w:r>
        <w:rPr>
          <w:spacing w:val="40"/>
          <w:sz w:val="24"/>
        </w:rPr>
        <w:t> </w:t>
      </w:r>
      <w:r>
        <w:rPr>
          <w:sz w:val="24"/>
        </w:rPr>
        <w:t>уровня</w:t>
      </w:r>
      <w:r>
        <w:rPr>
          <w:spacing w:val="40"/>
          <w:sz w:val="24"/>
        </w:rPr>
        <w:t> </w:t>
      </w:r>
      <w:r>
        <w:rPr>
          <w:sz w:val="24"/>
        </w:rPr>
        <w:t>олигоурии</w:t>
      </w:r>
      <w:r>
        <w:rPr>
          <w:spacing w:val="40"/>
          <w:sz w:val="24"/>
        </w:rPr>
        <w:t> </w:t>
      </w:r>
      <w:r>
        <w:rPr>
          <w:sz w:val="24"/>
        </w:rPr>
        <w:t>и</w:t>
      </w:r>
      <w:r>
        <w:rPr>
          <w:spacing w:val="40"/>
          <w:sz w:val="24"/>
        </w:rPr>
        <w:t> </w:t>
      </w:r>
      <w:r>
        <w:rPr>
          <w:sz w:val="24"/>
        </w:rPr>
        <w:t>ниже</w:t>
      </w:r>
      <w:r>
        <w:rPr>
          <w:spacing w:val="40"/>
          <w:sz w:val="24"/>
        </w:rPr>
        <w:t> </w:t>
      </w:r>
      <w:r>
        <w:rPr>
          <w:sz w:val="24"/>
        </w:rPr>
        <w:t>(ниже</w:t>
      </w:r>
      <w:r>
        <w:rPr>
          <w:spacing w:val="40"/>
          <w:sz w:val="24"/>
        </w:rPr>
        <w:t> </w:t>
      </w:r>
      <w:r>
        <w:rPr>
          <w:sz w:val="24"/>
        </w:rPr>
        <w:t>50%</w:t>
      </w:r>
      <w:r>
        <w:rPr>
          <w:spacing w:val="40"/>
          <w:sz w:val="24"/>
        </w:rPr>
        <w:t> </w:t>
      </w:r>
      <w:r>
        <w:rPr>
          <w:sz w:val="24"/>
        </w:rPr>
        <w:t>от</w:t>
      </w:r>
      <w:r>
        <w:rPr>
          <w:spacing w:val="40"/>
          <w:sz w:val="24"/>
        </w:rPr>
        <w:t> </w:t>
      </w:r>
      <w:r>
        <w:rPr>
          <w:sz w:val="24"/>
        </w:rPr>
        <w:t>возрастной нормы и менее);</w:t>
      </w:r>
    </w:p>
    <w:p>
      <w:pPr>
        <w:pStyle w:val="ListParagraph"/>
        <w:numPr>
          <w:ilvl w:val="0"/>
          <w:numId w:val="57"/>
        </w:numPr>
        <w:tabs>
          <w:tab w:pos="2547" w:val="left" w:leader="none"/>
          <w:tab w:pos="2549" w:val="left" w:leader="none"/>
          <w:tab w:pos="3864" w:val="left" w:leader="none"/>
          <w:tab w:pos="4713" w:val="left" w:leader="none"/>
          <w:tab w:pos="5029" w:val="left" w:leader="none"/>
          <w:tab w:pos="6267" w:val="left" w:leader="none"/>
          <w:tab w:pos="7081" w:val="left" w:leader="none"/>
          <w:tab w:pos="7402" w:val="left" w:leader="none"/>
          <w:tab w:pos="8512" w:val="left" w:leader="none"/>
          <w:tab w:pos="9212" w:val="left" w:leader="none"/>
          <w:tab w:pos="9796" w:val="left" w:leader="none"/>
        </w:tabs>
        <w:spacing w:line="276" w:lineRule="auto" w:before="1" w:after="0"/>
        <w:ind w:left="2549" w:right="1275" w:hanging="425"/>
        <w:jc w:val="left"/>
        <w:rPr>
          <w:sz w:val="24"/>
        </w:rPr>
      </w:pPr>
      <w:r>
        <w:rPr>
          <w:spacing w:val="-2"/>
          <w:sz w:val="24"/>
        </w:rPr>
        <w:t>Появление</w:t>
      </w:r>
      <w:r>
        <w:rPr>
          <w:sz w:val="24"/>
        </w:rPr>
        <w:tab/>
      </w:r>
      <w:r>
        <w:rPr>
          <w:spacing w:val="-4"/>
          <w:sz w:val="24"/>
        </w:rPr>
        <w:t>кашля</w:t>
      </w:r>
      <w:r>
        <w:rPr>
          <w:sz w:val="24"/>
        </w:rPr>
        <w:tab/>
      </w:r>
      <w:r>
        <w:rPr>
          <w:spacing w:val="-10"/>
          <w:sz w:val="24"/>
        </w:rPr>
        <w:t>с</w:t>
      </w:r>
      <w:r>
        <w:rPr>
          <w:sz w:val="24"/>
        </w:rPr>
        <w:tab/>
      </w:r>
      <w:r>
        <w:rPr>
          <w:spacing w:val="-2"/>
          <w:sz w:val="24"/>
        </w:rPr>
        <w:t>примесью</w:t>
      </w:r>
      <w:r>
        <w:rPr>
          <w:sz w:val="24"/>
        </w:rPr>
        <w:tab/>
      </w:r>
      <w:r>
        <w:rPr>
          <w:spacing w:val="-4"/>
          <w:sz w:val="24"/>
        </w:rPr>
        <w:t>крови</w:t>
      </w:r>
      <w:r>
        <w:rPr>
          <w:sz w:val="24"/>
        </w:rPr>
        <w:tab/>
      </w:r>
      <w:r>
        <w:rPr>
          <w:spacing w:val="-10"/>
          <w:sz w:val="24"/>
        </w:rPr>
        <w:t>в</w:t>
      </w:r>
      <w:r>
        <w:rPr>
          <w:sz w:val="24"/>
        </w:rPr>
        <w:tab/>
      </w:r>
      <w:r>
        <w:rPr>
          <w:spacing w:val="-2"/>
          <w:sz w:val="24"/>
        </w:rPr>
        <w:t>мокроте,</w:t>
      </w:r>
      <w:r>
        <w:rPr>
          <w:sz w:val="24"/>
        </w:rPr>
        <w:tab/>
      </w:r>
      <w:r>
        <w:rPr>
          <w:spacing w:val="-4"/>
          <w:sz w:val="24"/>
        </w:rPr>
        <w:t>боли</w:t>
      </w:r>
      <w:r>
        <w:rPr>
          <w:sz w:val="24"/>
        </w:rPr>
        <w:tab/>
      </w:r>
      <w:r>
        <w:rPr>
          <w:spacing w:val="-4"/>
          <w:sz w:val="24"/>
        </w:rPr>
        <w:t>или</w:t>
      </w:r>
      <w:r>
        <w:rPr>
          <w:sz w:val="24"/>
        </w:rPr>
        <w:tab/>
      </w:r>
      <w:r>
        <w:rPr>
          <w:spacing w:val="-2"/>
          <w:sz w:val="24"/>
        </w:rPr>
        <w:t>тяжести </w:t>
      </w:r>
      <w:r>
        <w:rPr>
          <w:sz w:val="24"/>
        </w:rPr>
        <w:t>в груди;</w:t>
      </w:r>
    </w:p>
    <w:p>
      <w:pPr>
        <w:pStyle w:val="ListParagraph"/>
        <w:numPr>
          <w:ilvl w:val="0"/>
          <w:numId w:val="57"/>
        </w:numPr>
        <w:tabs>
          <w:tab w:pos="2547" w:val="left" w:leader="none"/>
        </w:tabs>
        <w:spacing w:line="275" w:lineRule="exact" w:before="0" w:after="0"/>
        <w:ind w:left="2547" w:right="0" w:hanging="423"/>
        <w:jc w:val="left"/>
        <w:rPr>
          <w:sz w:val="24"/>
        </w:rPr>
      </w:pPr>
      <w:r>
        <w:rPr>
          <w:spacing w:val="-2"/>
          <w:sz w:val="24"/>
        </w:rPr>
        <w:t>Появление</w:t>
      </w:r>
      <w:r>
        <w:rPr>
          <w:spacing w:val="3"/>
          <w:sz w:val="24"/>
        </w:rPr>
        <w:t> </w:t>
      </w:r>
      <w:r>
        <w:rPr>
          <w:spacing w:val="-2"/>
          <w:sz w:val="24"/>
        </w:rPr>
        <w:t>признаков</w:t>
      </w:r>
      <w:r>
        <w:rPr>
          <w:spacing w:val="2"/>
          <w:sz w:val="24"/>
        </w:rPr>
        <w:t> </w:t>
      </w:r>
      <w:r>
        <w:rPr>
          <w:spacing w:val="-2"/>
          <w:sz w:val="24"/>
        </w:rPr>
        <w:t>геморрагического</w:t>
      </w:r>
      <w:r>
        <w:rPr>
          <w:spacing w:val="3"/>
          <w:sz w:val="24"/>
        </w:rPr>
        <w:t> </w:t>
      </w:r>
      <w:r>
        <w:rPr>
          <w:spacing w:val="-2"/>
          <w:sz w:val="24"/>
        </w:rPr>
        <w:t>синдрома.</w:t>
      </w:r>
    </w:p>
    <w:p>
      <w:pPr>
        <w:pStyle w:val="BodyText"/>
        <w:spacing w:line="278" w:lineRule="auto" w:before="40"/>
        <w:ind w:right="1272" w:firstLine="707"/>
      </w:pPr>
      <w:r>
        <w:rPr/>
        <w:t>В</w:t>
      </w:r>
      <w:r>
        <w:rPr>
          <w:spacing w:val="-2"/>
        </w:rPr>
        <w:t> </w:t>
      </w:r>
      <w:r>
        <w:rPr/>
        <w:t>оказании</w:t>
      </w:r>
      <w:r>
        <w:rPr>
          <w:spacing w:val="-1"/>
        </w:rPr>
        <w:t> </w:t>
      </w:r>
      <w:r>
        <w:rPr/>
        <w:t>медицинской</w:t>
      </w:r>
      <w:r>
        <w:rPr>
          <w:spacing w:val="-1"/>
        </w:rPr>
        <w:t> </w:t>
      </w:r>
      <w:r>
        <w:rPr/>
        <w:t>помощи</w:t>
      </w:r>
      <w:r>
        <w:rPr>
          <w:spacing w:val="-4"/>
        </w:rPr>
        <w:t> </w:t>
      </w:r>
      <w:r>
        <w:rPr/>
        <w:t>в условиях</w:t>
      </w:r>
      <w:r>
        <w:rPr>
          <w:spacing w:val="-2"/>
        </w:rPr>
        <w:t> </w:t>
      </w:r>
      <w:r>
        <w:rPr/>
        <w:t>ОРИТ</w:t>
      </w:r>
      <w:r>
        <w:rPr>
          <w:spacing w:val="-2"/>
        </w:rPr>
        <w:t> </w:t>
      </w:r>
      <w:r>
        <w:rPr/>
        <w:t>нуждаются</w:t>
      </w:r>
      <w:r>
        <w:rPr>
          <w:spacing w:val="-3"/>
        </w:rPr>
        <w:t> </w:t>
      </w:r>
      <w:r>
        <w:rPr/>
        <w:t>от</w:t>
      </w:r>
      <w:r>
        <w:rPr>
          <w:spacing w:val="-2"/>
        </w:rPr>
        <w:t> </w:t>
      </w:r>
      <w:r>
        <w:rPr/>
        <w:t>0,5%</w:t>
      </w:r>
      <w:r>
        <w:rPr>
          <w:spacing w:val="-3"/>
        </w:rPr>
        <w:t> </w:t>
      </w:r>
      <w:r>
        <w:rPr/>
        <w:t>до</w:t>
      </w:r>
      <w:r>
        <w:rPr>
          <w:spacing w:val="-2"/>
        </w:rPr>
        <w:t> </w:t>
      </w:r>
      <w:r>
        <w:rPr/>
        <w:t>2% госпитализированных детей.</w:t>
      </w:r>
    </w:p>
    <w:p>
      <w:pPr>
        <w:pStyle w:val="BodyText"/>
        <w:spacing w:line="276" w:lineRule="auto"/>
        <w:ind w:right="1273" w:firstLine="707"/>
      </w:pPr>
      <w:r>
        <w:rPr/>
        <w:t>В</w:t>
      </w:r>
      <w:r>
        <w:rPr>
          <w:spacing w:val="-12"/>
        </w:rPr>
        <w:t> </w:t>
      </w:r>
      <w:r>
        <w:rPr/>
        <w:t>качестве</w:t>
      </w:r>
      <w:r>
        <w:rPr>
          <w:spacing w:val="-13"/>
        </w:rPr>
        <w:t> </w:t>
      </w:r>
      <w:r>
        <w:rPr/>
        <w:t>противовирусной</w:t>
      </w:r>
      <w:r>
        <w:rPr>
          <w:spacing w:val="-12"/>
        </w:rPr>
        <w:t> </w:t>
      </w:r>
      <w:r>
        <w:rPr/>
        <w:t>терапии</w:t>
      </w:r>
      <w:r>
        <w:rPr>
          <w:spacing w:val="-12"/>
        </w:rPr>
        <w:t> </w:t>
      </w:r>
      <w:r>
        <w:rPr/>
        <w:t>детей</w:t>
      </w:r>
      <w:r>
        <w:rPr>
          <w:spacing w:val="-14"/>
        </w:rPr>
        <w:t> </w:t>
      </w:r>
      <w:r>
        <w:rPr/>
        <w:t>с</w:t>
      </w:r>
      <w:r>
        <w:rPr>
          <w:spacing w:val="-14"/>
        </w:rPr>
        <w:t> </w:t>
      </w:r>
      <w:r>
        <w:rPr/>
        <w:t>COVID-19</w:t>
      </w:r>
      <w:r>
        <w:rPr>
          <w:spacing w:val="-13"/>
        </w:rPr>
        <w:t> </w:t>
      </w:r>
      <w:r>
        <w:rPr/>
        <w:t>в</w:t>
      </w:r>
      <w:r>
        <w:rPr>
          <w:spacing w:val="-13"/>
        </w:rPr>
        <w:t> </w:t>
      </w:r>
      <w:r>
        <w:rPr/>
        <w:t>случаях</w:t>
      </w:r>
      <w:r>
        <w:rPr>
          <w:spacing w:val="-13"/>
        </w:rPr>
        <w:t> </w:t>
      </w:r>
      <w:r>
        <w:rPr/>
        <w:t>заболеваний среднетяжелой и легкой степени тяжести рекомендуются препараты ИФН-α, при тяжелой степени тяжести используются внутривенные иммуноглобулины.</w:t>
      </w:r>
    </w:p>
    <w:p>
      <w:pPr>
        <w:pStyle w:val="BodyText"/>
        <w:spacing w:line="276" w:lineRule="auto"/>
        <w:ind w:right="1274" w:firstLine="707"/>
      </w:pPr>
      <w:r>
        <w:rPr/>
        <w:t>Интерферон-альфа может снизить вирусную нагрузку на начальных стадиях болезни,</w:t>
      </w:r>
      <w:r>
        <w:rPr>
          <w:spacing w:val="40"/>
        </w:rPr>
        <w:t> </w:t>
      </w:r>
      <w:r>
        <w:rPr/>
        <w:t>облегчить</w:t>
      </w:r>
      <w:r>
        <w:rPr>
          <w:spacing w:val="40"/>
        </w:rPr>
        <w:t> </w:t>
      </w:r>
      <w:r>
        <w:rPr/>
        <w:t>симптомы</w:t>
      </w:r>
      <w:r>
        <w:rPr>
          <w:spacing w:val="40"/>
        </w:rPr>
        <w:t> </w:t>
      </w:r>
      <w:r>
        <w:rPr/>
        <w:t>и</w:t>
      </w:r>
      <w:r>
        <w:rPr>
          <w:spacing w:val="40"/>
        </w:rPr>
        <w:t> </w:t>
      </w:r>
      <w:r>
        <w:rPr/>
        <w:t>уменьшить</w:t>
      </w:r>
      <w:r>
        <w:rPr>
          <w:spacing w:val="40"/>
        </w:rPr>
        <w:t> </w:t>
      </w:r>
      <w:r>
        <w:rPr/>
        <w:t>длительность</w:t>
      </w:r>
      <w:r>
        <w:rPr>
          <w:spacing w:val="40"/>
        </w:rPr>
        <w:t> </w:t>
      </w:r>
      <w:r>
        <w:rPr/>
        <w:t>болезни.</w:t>
      </w:r>
      <w:r>
        <w:rPr>
          <w:spacing w:val="40"/>
        </w:rPr>
        <w:t> </w:t>
      </w:r>
      <w:r>
        <w:rPr/>
        <w:t>Исследования</w:t>
      </w:r>
      <w:r>
        <w:rPr>
          <w:spacing w:val="40"/>
        </w:rPr>
        <w:t> </w:t>
      </w:r>
      <w:r>
        <w:rPr/>
        <w:t>в</w:t>
      </w:r>
      <w:r>
        <w:rPr>
          <w:spacing w:val="80"/>
          <w:w w:val="150"/>
        </w:rPr>
        <w:t> </w:t>
      </w:r>
      <w:r>
        <w:rPr/>
        <w:t>КНР</w:t>
      </w:r>
      <w:r>
        <w:rPr>
          <w:spacing w:val="80"/>
          <w:w w:val="150"/>
        </w:rPr>
        <w:t> </w:t>
      </w:r>
      <w:r>
        <w:rPr/>
        <w:t>у</w:t>
      </w:r>
      <w:r>
        <w:rPr>
          <w:spacing w:val="80"/>
          <w:w w:val="150"/>
        </w:rPr>
        <w:t> </w:t>
      </w:r>
      <w:r>
        <w:rPr/>
        <w:t>детей</w:t>
      </w:r>
      <w:r>
        <w:rPr>
          <w:spacing w:val="80"/>
          <w:w w:val="150"/>
        </w:rPr>
        <w:t> </w:t>
      </w:r>
      <w:r>
        <w:rPr/>
        <w:t>показали</w:t>
      </w:r>
      <w:r>
        <w:rPr>
          <w:spacing w:val="80"/>
          <w:w w:val="150"/>
        </w:rPr>
        <w:t> </w:t>
      </w:r>
      <w:r>
        <w:rPr/>
        <w:t>возможность</w:t>
      </w:r>
      <w:r>
        <w:rPr>
          <w:spacing w:val="80"/>
          <w:w w:val="150"/>
        </w:rPr>
        <w:t> </w:t>
      </w:r>
      <w:r>
        <w:rPr/>
        <w:t>более</w:t>
      </w:r>
      <w:r>
        <w:rPr>
          <w:spacing w:val="80"/>
          <w:w w:val="150"/>
        </w:rPr>
        <w:t> </w:t>
      </w:r>
      <w:r>
        <w:rPr/>
        <w:t>длительного</w:t>
      </w:r>
      <w:r>
        <w:rPr>
          <w:spacing w:val="80"/>
          <w:w w:val="150"/>
        </w:rPr>
        <w:t> </w:t>
      </w:r>
      <w:r>
        <w:rPr/>
        <w:t>выделения</w:t>
      </w:r>
      <w:r>
        <w:rPr>
          <w:spacing w:val="80"/>
          <w:w w:val="150"/>
        </w:rPr>
        <w:t> </w:t>
      </w:r>
      <w:r>
        <w:rPr/>
        <w:t>вируса с фекалиями, чем из верхних дыхательных путей (до 28 против 14 дней). Поэтому обосновано применение препаратов ИФН-α в свечах, особенно с антиоксидантами, которые обеспечивают системное действие препарата, могут способствовать сокращению периода выделения вируса SARS-CoV-2 с фекалиями.</w:t>
      </w:r>
    </w:p>
    <w:p>
      <w:pPr>
        <w:pStyle w:val="BodyText"/>
        <w:spacing w:line="276" w:lineRule="auto"/>
        <w:ind w:right="1273" w:firstLine="707"/>
      </w:pPr>
      <w:r>
        <w:rPr/>
        <w:t>Умифеновир применяется у пациентов с COVID-19, однако отсутствуют доказательства его эффективности и безопасности. У детей возможно применение препарата в возрасте старше 6 лет.</w:t>
      </w:r>
    </w:p>
    <w:p>
      <w:pPr>
        <w:pStyle w:val="BodyText"/>
        <w:spacing w:line="276" w:lineRule="auto"/>
        <w:ind w:right="1274" w:firstLine="707"/>
      </w:pPr>
      <w:r>
        <w:rPr/>
        <w:t>Антимикробная</w:t>
      </w:r>
      <w:r>
        <w:rPr>
          <w:spacing w:val="78"/>
        </w:rPr>
        <w:t> </w:t>
      </w:r>
      <w:r>
        <w:rPr/>
        <w:t>терапия</w:t>
      </w:r>
      <w:r>
        <w:rPr>
          <w:spacing w:val="79"/>
        </w:rPr>
        <w:t> </w:t>
      </w:r>
      <w:r>
        <w:rPr/>
        <w:t>показана</w:t>
      </w:r>
      <w:r>
        <w:rPr>
          <w:spacing w:val="75"/>
        </w:rPr>
        <w:t> </w:t>
      </w:r>
      <w:r>
        <w:rPr/>
        <w:t>при</w:t>
      </w:r>
      <w:r>
        <w:rPr>
          <w:spacing w:val="77"/>
        </w:rPr>
        <w:t> </w:t>
      </w:r>
      <w:r>
        <w:rPr/>
        <w:t>наличии</w:t>
      </w:r>
      <w:r>
        <w:rPr>
          <w:spacing w:val="80"/>
        </w:rPr>
        <w:t> </w:t>
      </w:r>
      <w:r>
        <w:rPr/>
        <w:t>признаков</w:t>
      </w:r>
      <w:r>
        <w:rPr>
          <w:spacing w:val="76"/>
        </w:rPr>
        <w:t> </w:t>
      </w:r>
      <w:r>
        <w:rPr/>
        <w:t>присоединения к инфекции COVID-19 бактериальной или грибковой инфекции.</w:t>
      </w:r>
    </w:p>
    <w:p>
      <w:pPr>
        <w:pStyle w:val="BodyText"/>
        <w:spacing w:line="274" w:lineRule="exact"/>
        <w:ind w:left="2549"/>
      </w:pPr>
      <w:r>
        <w:rPr/>
        <w:t>Выздоровление</w:t>
      </w:r>
      <w:r>
        <w:rPr>
          <w:spacing w:val="-12"/>
        </w:rPr>
        <w:t> </w:t>
      </w:r>
      <w:r>
        <w:rPr/>
        <w:t>у</w:t>
      </w:r>
      <w:r>
        <w:rPr>
          <w:spacing w:val="-11"/>
        </w:rPr>
        <w:t> </w:t>
      </w:r>
      <w:r>
        <w:rPr/>
        <w:t>детей</w:t>
      </w:r>
      <w:r>
        <w:rPr>
          <w:spacing w:val="-12"/>
        </w:rPr>
        <w:t> </w:t>
      </w:r>
      <w:r>
        <w:rPr/>
        <w:t>преимущественно</w:t>
      </w:r>
      <w:r>
        <w:rPr>
          <w:spacing w:val="-11"/>
        </w:rPr>
        <w:t> </w:t>
      </w:r>
      <w:r>
        <w:rPr/>
        <w:t>происходит</w:t>
      </w:r>
      <w:r>
        <w:rPr>
          <w:spacing w:val="-12"/>
        </w:rPr>
        <w:t> </w:t>
      </w:r>
      <w:r>
        <w:rPr/>
        <w:t>в</w:t>
      </w:r>
      <w:r>
        <w:rPr>
          <w:spacing w:val="-11"/>
        </w:rPr>
        <w:t> </w:t>
      </w:r>
      <w:r>
        <w:rPr/>
        <w:t>течение</w:t>
      </w:r>
      <w:r>
        <w:rPr>
          <w:spacing w:val="-11"/>
        </w:rPr>
        <w:t> </w:t>
      </w:r>
      <w:r>
        <w:rPr/>
        <w:t>1-2</w:t>
      </w:r>
      <w:r>
        <w:rPr>
          <w:spacing w:val="-11"/>
        </w:rPr>
        <w:t> </w:t>
      </w:r>
      <w:r>
        <w:rPr>
          <w:spacing w:val="-2"/>
        </w:rPr>
        <w:t>недель.</w:t>
      </w:r>
    </w:p>
    <w:p>
      <w:pPr>
        <w:pStyle w:val="BodyText"/>
        <w:spacing w:before="120"/>
        <w:ind w:left="0"/>
        <w:jc w:val="left"/>
      </w:pPr>
    </w:p>
    <w:p>
      <w:pPr>
        <w:pStyle w:val="Heading1"/>
        <w:numPr>
          <w:ilvl w:val="0"/>
          <w:numId w:val="5"/>
        </w:numPr>
        <w:tabs>
          <w:tab w:pos="2828" w:val="left" w:leader="none"/>
        </w:tabs>
        <w:spacing w:line="240" w:lineRule="auto" w:before="0" w:after="0"/>
        <w:ind w:left="2828" w:right="0" w:hanging="279"/>
        <w:jc w:val="left"/>
      </w:pPr>
      <w:bookmarkStart w:name="_TOC_250026" w:id="139"/>
      <w:r>
        <w:rPr>
          <w:color w:val="1F487C"/>
        </w:rPr>
        <w:t>ПРОФИЛАКТИКА</w:t>
      </w:r>
      <w:r>
        <w:rPr>
          <w:color w:val="1F487C"/>
          <w:spacing w:val="-16"/>
        </w:rPr>
        <w:t> </w:t>
      </w:r>
      <w:r>
        <w:rPr>
          <w:color w:val="1F487C"/>
        </w:rPr>
        <w:t>КОРОНАВИРУСНОЙ</w:t>
      </w:r>
      <w:r>
        <w:rPr>
          <w:color w:val="1F487C"/>
          <w:spacing w:val="-13"/>
        </w:rPr>
        <w:t> </w:t>
      </w:r>
      <w:bookmarkEnd w:id="139"/>
      <w:r>
        <w:rPr>
          <w:color w:val="1F487C"/>
          <w:spacing w:val="-2"/>
        </w:rPr>
        <w:t>ИНФЕКЦИИ</w:t>
      </w:r>
    </w:p>
    <w:p>
      <w:pPr>
        <w:pStyle w:val="Heading1"/>
        <w:numPr>
          <w:ilvl w:val="1"/>
          <w:numId w:val="5"/>
        </w:numPr>
        <w:tabs>
          <w:tab w:pos="3037" w:val="left" w:leader="none"/>
        </w:tabs>
        <w:spacing w:line="240" w:lineRule="auto" w:before="318" w:after="0"/>
        <w:ind w:left="3037" w:right="0" w:hanging="488"/>
        <w:jc w:val="left"/>
        <w:rPr>
          <w:color w:val="1F487C"/>
        </w:rPr>
      </w:pPr>
      <w:bookmarkStart w:name="_TOC_250025" w:id="140"/>
      <w:r>
        <w:rPr>
          <w:color w:val="1F487C"/>
        </w:rPr>
        <w:t>СПЕЦИФИЧЕСКАЯ</w:t>
      </w:r>
      <w:r>
        <w:rPr>
          <w:color w:val="1F487C"/>
          <w:spacing w:val="-17"/>
        </w:rPr>
        <w:t> </w:t>
      </w:r>
      <w:r>
        <w:rPr>
          <w:color w:val="1F487C"/>
        </w:rPr>
        <w:t>ПРОФИЛАКТИКА</w:t>
      </w:r>
      <w:r>
        <w:rPr>
          <w:color w:val="1F487C"/>
          <w:spacing w:val="-16"/>
        </w:rPr>
        <w:t> </w:t>
      </w:r>
      <w:r>
        <w:rPr>
          <w:color w:val="1F487C"/>
        </w:rPr>
        <w:t>COVID-</w:t>
      </w:r>
      <w:bookmarkEnd w:id="140"/>
      <w:r>
        <w:rPr>
          <w:color w:val="1F487C"/>
          <w:spacing w:val="-5"/>
        </w:rPr>
        <w:t>19</w:t>
      </w:r>
    </w:p>
    <w:p>
      <w:pPr>
        <w:pStyle w:val="BodyText"/>
        <w:spacing w:line="276" w:lineRule="auto" w:before="169"/>
        <w:ind w:firstLine="707"/>
        <w:jc w:val="left"/>
      </w:pPr>
      <w:r>
        <w:rPr/>
        <w:t>В</w:t>
      </w:r>
      <w:r>
        <w:rPr>
          <w:spacing w:val="80"/>
        </w:rPr>
        <w:t> </w:t>
      </w:r>
      <w:r>
        <w:rPr/>
        <w:t>Российской</w:t>
      </w:r>
      <w:r>
        <w:rPr>
          <w:spacing w:val="80"/>
        </w:rPr>
        <w:t> </w:t>
      </w:r>
      <w:r>
        <w:rPr/>
        <w:t>Федерации</w:t>
      </w:r>
      <w:r>
        <w:rPr>
          <w:spacing w:val="80"/>
        </w:rPr>
        <w:t> </w:t>
      </w:r>
      <w:r>
        <w:rPr/>
        <w:t>для</w:t>
      </w:r>
      <w:r>
        <w:rPr>
          <w:spacing w:val="80"/>
        </w:rPr>
        <w:t> </w:t>
      </w:r>
      <w:r>
        <w:rPr/>
        <w:t>специфической</w:t>
      </w:r>
      <w:r>
        <w:rPr>
          <w:spacing w:val="80"/>
        </w:rPr>
        <w:t> </w:t>
      </w:r>
      <w:r>
        <w:rPr/>
        <w:t>профилактики</w:t>
      </w:r>
      <w:r>
        <w:rPr>
          <w:spacing w:val="80"/>
        </w:rPr>
        <w:t> </w:t>
      </w:r>
      <w:r>
        <w:rPr/>
        <w:t>COVID-19</w:t>
      </w:r>
      <w:r>
        <w:rPr>
          <w:spacing w:val="40"/>
        </w:rPr>
        <w:t> </w:t>
      </w:r>
      <w:r>
        <w:rPr/>
        <w:t>зарегистрированы следующие вакцины:</w:t>
      </w:r>
    </w:p>
    <w:p>
      <w:pPr>
        <w:pStyle w:val="ListParagraph"/>
        <w:numPr>
          <w:ilvl w:val="0"/>
          <w:numId w:val="58"/>
        </w:numPr>
        <w:tabs>
          <w:tab w:pos="2549" w:val="left" w:leader="none"/>
          <w:tab w:pos="4597" w:val="left" w:leader="none"/>
          <w:tab w:pos="5841" w:val="left" w:leader="none"/>
          <w:tab w:pos="6888" w:val="left" w:leader="none"/>
          <w:tab w:pos="9259" w:val="left" w:leader="none"/>
          <w:tab w:pos="10271" w:val="left" w:leader="none"/>
        </w:tabs>
        <w:spacing w:line="271" w:lineRule="auto" w:before="0" w:after="0"/>
        <w:ind w:left="2549" w:right="1274" w:hanging="360"/>
        <w:jc w:val="left"/>
        <w:rPr>
          <w:sz w:val="24"/>
        </w:rPr>
      </w:pPr>
      <w:r>
        <w:rPr>
          <w:spacing w:val="-2"/>
          <w:sz w:val="24"/>
        </w:rPr>
        <w:t>комбинированная</w:t>
      </w:r>
      <w:r>
        <w:rPr>
          <w:sz w:val="24"/>
        </w:rPr>
        <w:tab/>
      </w:r>
      <w:r>
        <w:rPr>
          <w:spacing w:val="-2"/>
          <w:sz w:val="24"/>
        </w:rPr>
        <w:t>векторная</w:t>
      </w:r>
      <w:r>
        <w:rPr>
          <w:sz w:val="24"/>
        </w:rPr>
        <w:tab/>
      </w:r>
      <w:r>
        <w:rPr>
          <w:spacing w:val="-2"/>
          <w:sz w:val="24"/>
        </w:rPr>
        <w:t>вакцина</w:t>
      </w:r>
      <w:r>
        <w:rPr>
          <w:sz w:val="24"/>
        </w:rPr>
        <w:tab/>
      </w:r>
      <w:r>
        <w:rPr>
          <w:spacing w:val="-2"/>
          <w:sz w:val="24"/>
        </w:rPr>
        <w:t>(«Гам-КОВИД-Вак»,</w:t>
      </w:r>
      <w:r>
        <w:rPr>
          <w:sz w:val="24"/>
        </w:rPr>
        <w:tab/>
      </w:r>
      <w:r>
        <w:rPr>
          <w:spacing w:val="-2"/>
          <w:sz w:val="24"/>
        </w:rPr>
        <w:t>раствор</w:t>
      </w:r>
      <w:r>
        <w:rPr>
          <w:sz w:val="24"/>
        </w:rPr>
        <w:tab/>
      </w:r>
      <w:r>
        <w:rPr>
          <w:spacing w:val="-4"/>
          <w:sz w:val="24"/>
        </w:rPr>
        <w:t>для </w:t>
      </w:r>
      <w:r>
        <w:rPr>
          <w:sz w:val="24"/>
        </w:rPr>
        <w:t>внутримышечного введения),</w:t>
      </w:r>
    </w:p>
    <w:p>
      <w:pPr>
        <w:pStyle w:val="BodyText"/>
        <w:spacing w:before="6"/>
        <w:ind w:left="2549"/>
        <w:jc w:val="left"/>
      </w:pPr>
      <w:r>
        <w:rPr>
          <w:color w:val="0462C1"/>
          <w:u w:val="single" w:color="0462C1"/>
        </w:rPr>
        <w:t>дата</w:t>
      </w:r>
      <w:r>
        <w:rPr>
          <w:color w:val="0462C1"/>
          <w:spacing w:val="-14"/>
          <w:u w:val="single" w:color="0462C1"/>
        </w:rPr>
        <w:t> </w:t>
      </w:r>
      <w:r>
        <w:rPr>
          <w:color w:val="0462C1"/>
          <w:u w:val="single" w:color="0462C1"/>
        </w:rPr>
        <w:t>регистрации</w:t>
      </w:r>
      <w:r>
        <w:rPr>
          <w:color w:val="0462C1"/>
          <w:spacing w:val="-12"/>
        </w:rPr>
        <w:t> </w:t>
      </w:r>
      <w:r>
        <w:rPr/>
        <w:t>11.08.2020</w:t>
      </w:r>
      <w:r>
        <w:rPr>
          <w:spacing w:val="-13"/>
        </w:rPr>
        <w:t> </w:t>
      </w:r>
      <w:r>
        <w:rPr>
          <w:spacing w:val="-5"/>
        </w:rPr>
        <w:t>г.;</w:t>
      </w:r>
    </w:p>
    <w:p>
      <w:pPr>
        <w:pStyle w:val="ListParagraph"/>
        <w:numPr>
          <w:ilvl w:val="0"/>
          <w:numId w:val="58"/>
        </w:numPr>
        <w:tabs>
          <w:tab w:pos="2549" w:val="left" w:leader="none"/>
          <w:tab w:pos="4933" w:val="left" w:leader="none"/>
          <w:tab w:pos="6515" w:val="left" w:leader="none"/>
          <w:tab w:pos="7897" w:val="left" w:leader="none"/>
        </w:tabs>
        <w:spacing w:line="271" w:lineRule="auto" w:before="43" w:after="0"/>
        <w:ind w:left="2549" w:right="1273" w:hanging="360"/>
        <w:jc w:val="left"/>
        <w:rPr>
          <w:sz w:val="24"/>
        </w:rPr>
      </w:pPr>
      <w:r>
        <w:rPr>
          <w:spacing w:val="-2"/>
          <w:sz w:val="24"/>
        </w:rPr>
        <w:t>комбинированная</w:t>
      </w:r>
      <w:r>
        <w:rPr>
          <w:sz w:val="24"/>
        </w:rPr>
        <w:tab/>
      </w:r>
      <w:r>
        <w:rPr>
          <w:spacing w:val="-2"/>
          <w:sz w:val="24"/>
        </w:rPr>
        <w:t>векторная</w:t>
      </w:r>
      <w:r>
        <w:rPr>
          <w:sz w:val="24"/>
        </w:rPr>
        <w:tab/>
      </w:r>
      <w:r>
        <w:rPr>
          <w:spacing w:val="-2"/>
          <w:sz w:val="24"/>
        </w:rPr>
        <w:t>вакцина</w:t>
      </w:r>
      <w:r>
        <w:rPr>
          <w:sz w:val="24"/>
        </w:rPr>
        <w:tab/>
      </w:r>
      <w:r>
        <w:rPr>
          <w:spacing w:val="-2"/>
          <w:sz w:val="24"/>
        </w:rPr>
        <w:t>(«Гам-КОВИД-Вак-Лио»), </w:t>
      </w:r>
      <w:r>
        <w:rPr>
          <w:color w:val="0462C1"/>
          <w:sz w:val="24"/>
          <w:u w:val="single" w:color="0462C1"/>
        </w:rPr>
        <w:t>дата регистрации</w:t>
      </w:r>
      <w:r>
        <w:rPr>
          <w:color w:val="0462C1"/>
          <w:sz w:val="24"/>
        </w:rPr>
        <w:t> </w:t>
      </w:r>
      <w:r>
        <w:rPr>
          <w:sz w:val="24"/>
        </w:rPr>
        <w:t>25.08.2020 г.;</w:t>
      </w:r>
    </w:p>
    <w:p>
      <w:pPr>
        <w:pStyle w:val="ListParagraph"/>
        <w:spacing w:after="0" w:line="271" w:lineRule="auto"/>
        <w:jc w:val="left"/>
        <w:rPr>
          <w:sz w:val="24"/>
        </w:rPr>
        <w:sectPr>
          <w:pgSz w:w="11900" w:h="16840"/>
          <w:pgMar w:header="0" w:footer="697" w:top="1080" w:bottom="880" w:left="0" w:right="0"/>
        </w:sectPr>
      </w:pPr>
    </w:p>
    <w:p>
      <w:pPr>
        <w:pStyle w:val="ListParagraph"/>
        <w:numPr>
          <w:ilvl w:val="0"/>
          <w:numId w:val="58"/>
        </w:numPr>
        <w:tabs>
          <w:tab w:pos="2549" w:val="left" w:leader="none"/>
          <w:tab w:pos="3804" w:val="left" w:leader="none"/>
          <w:tab w:pos="4468" w:val="left" w:leader="none"/>
          <w:tab w:pos="5589" w:val="left" w:leader="none"/>
          <w:tab w:pos="7147" w:val="left" w:leader="none"/>
          <w:tab w:pos="8609" w:val="left" w:leader="none"/>
        </w:tabs>
        <w:spacing w:line="271" w:lineRule="auto" w:before="75" w:after="0"/>
        <w:ind w:left="2549" w:right="1279" w:hanging="360"/>
        <w:jc w:val="left"/>
        <w:rPr>
          <w:sz w:val="24"/>
        </w:rPr>
      </w:pPr>
      <w:bookmarkStart w:name="119" w:id="141"/>
      <w:bookmarkEnd w:id="141"/>
      <w:r>
        <w:rPr/>
      </w:r>
      <w:r>
        <w:rPr>
          <w:spacing w:val="-2"/>
          <w:sz w:val="24"/>
        </w:rPr>
        <w:t>вакцина</w:t>
      </w:r>
      <w:r>
        <w:rPr>
          <w:sz w:val="24"/>
        </w:rPr>
        <w:tab/>
      </w:r>
      <w:r>
        <w:rPr>
          <w:spacing w:val="-6"/>
          <w:sz w:val="24"/>
        </w:rPr>
        <w:t>на</w:t>
      </w:r>
      <w:r>
        <w:rPr>
          <w:sz w:val="24"/>
        </w:rPr>
        <w:tab/>
      </w:r>
      <w:r>
        <w:rPr>
          <w:spacing w:val="-2"/>
          <w:sz w:val="24"/>
        </w:rPr>
        <w:t>основе</w:t>
      </w:r>
      <w:r>
        <w:rPr>
          <w:sz w:val="24"/>
        </w:rPr>
        <w:tab/>
      </w:r>
      <w:r>
        <w:rPr>
          <w:spacing w:val="-2"/>
          <w:sz w:val="24"/>
        </w:rPr>
        <w:t>пептидных</w:t>
      </w:r>
      <w:r>
        <w:rPr>
          <w:sz w:val="24"/>
        </w:rPr>
        <w:tab/>
      </w:r>
      <w:r>
        <w:rPr>
          <w:spacing w:val="-2"/>
          <w:sz w:val="24"/>
        </w:rPr>
        <w:t>антигенов</w:t>
      </w:r>
      <w:r>
        <w:rPr>
          <w:sz w:val="24"/>
        </w:rPr>
        <w:tab/>
      </w:r>
      <w:r>
        <w:rPr>
          <w:spacing w:val="-2"/>
          <w:sz w:val="24"/>
        </w:rPr>
        <w:t>(«ЭпиВакКорона»), </w:t>
      </w:r>
      <w:r>
        <w:rPr>
          <w:color w:val="0462C1"/>
          <w:sz w:val="24"/>
          <w:u w:val="single" w:color="0462C1"/>
        </w:rPr>
        <w:t>дата регистрации</w:t>
      </w:r>
      <w:r>
        <w:rPr>
          <w:color w:val="0462C1"/>
          <w:sz w:val="24"/>
        </w:rPr>
        <w:t> </w:t>
      </w:r>
      <w:r>
        <w:rPr>
          <w:sz w:val="24"/>
        </w:rPr>
        <w:t>13.10.2020 г.;</w:t>
      </w:r>
    </w:p>
    <w:p>
      <w:pPr>
        <w:pStyle w:val="ListParagraph"/>
        <w:numPr>
          <w:ilvl w:val="0"/>
          <w:numId w:val="58"/>
        </w:numPr>
        <w:tabs>
          <w:tab w:pos="2549" w:val="left" w:leader="none"/>
        </w:tabs>
        <w:spacing w:line="271" w:lineRule="auto" w:before="8" w:after="0"/>
        <w:ind w:left="2549" w:right="3018" w:hanging="360"/>
        <w:jc w:val="left"/>
        <w:rPr>
          <w:sz w:val="24"/>
        </w:rPr>
      </w:pPr>
      <w:r>
        <w:rPr>
          <w:sz w:val="24"/>
        </w:rPr>
        <w:t>вакцина</w:t>
      </w:r>
      <w:r>
        <w:rPr>
          <w:spacing w:val="-15"/>
          <w:sz w:val="24"/>
        </w:rPr>
        <w:t> </w:t>
      </w:r>
      <w:r>
        <w:rPr>
          <w:sz w:val="24"/>
        </w:rPr>
        <w:t>коронавирусная</w:t>
      </w:r>
      <w:r>
        <w:rPr>
          <w:spacing w:val="-15"/>
          <w:sz w:val="24"/>
        </w:rPr>
        <w:t> </w:t>
      </w:r>
      <w:r>
        <w:rPr>
          <w:sz w:val="24"/>
        </w:rPr>
        <w:t>инактивированная</w:t>
      </w:r>
      <w:r>
        <w:rPr>
          <w:spacing w:val="-15"/>
          <w:sz w:val="24"/>
        </w:rPr>
        <w:t> </w:t>
      </w:r>
      <w:r>
        <w:rPr>
          <w:sz w:val="24"/>
        </w:rPr>
        <w:t>цельновирионная концентрированная очищенная («КовиВак»),</w:t>
      </w:r>
    </w:p>
    <w:p>
      <w:pPr>
        <w:pStyle w:val="BodyText"/>
        <w:spacing w:before="4"/>
        <w:ind w:left="2549"/>
        <w:jc w:val="left"/>
      </w:pPr>
      <w:r>
        <w:rPr>
          <w:color w:val="0462C1"/>
          <w:u w:val="single" w:color="0462C1"/>
        </w:rPr>
        <w:t>дата</w:t>
      </w:r>
      <w:r>
        <w:rPr>
          <w:color w:val="0462C1"/>
          <w:spacing w:val="-14"/>
          <w:u w:val="single" w:color="0462C1"/>
        </w:rPr>
        <w:t> </w:t>
      </w:r>
      <w:r>
        <w:rPr>
          <w:color w:val="0462C1"/>
          <w:u w:val="single" w:color="0462C1"/>
        </w:rPr>
        <w:t>регистрации</w:t>
      </w:r>
      <w:r>
        <w:rPr>
          <w:color w:val="0462C1"/>
          <w:spacing w:val="-12"/>
        </w:rPr>
        <w:t> </w:t>
      </w:r>
      <w:r>
        <w:rPr/>
        <w:t>19.02.2021</w:t>
      </w:r>
      <w:r>
        <w:rPr>
          <w:spacing w:val="-13"/>
        </w:rPr>
        <w:t> </w:t>
      </w:r>
      <w:r>
        <w:rPr>
          <w:spacing w:val="-5"/>
        </w:rPr>
        <w:t>г.;</w:t>
      </w:r>
    </w:p>
    <w:p>
      <w:pPr>
        <w:pStyle w:val="ListParagraph"/>
        <w:numPr>
          <w:ilvl w:val="0"/>
          <w:numId w:val="58"/>
        </w:numPr>
        <w:tabs>
          <w:tab w:pos="2549" w:val="left" w:leader="none"/>
        </w:tabs>
        <w:spacing w:line="271" w:lineRule="auto" w:before="45" w:after="0"/>
        <w:ind w:left="2549" w:right="3468" w:hanging="360"/>
        <w:jc w:val="left"/>
        <w:rPr>
          <w:sz w:val="24"/>
        </w:rPr>
      </w:pPr>
      <w:r>
        <w:rPr>
          <w:sz w:val="24"/>
        </w:rPr>
        <w:t>однокомпонентная</w:t>
      </w:r>
      <w:r>
        <w:rPr>
          <w:spacing w:val="-11"/>
          <w:sz w:val="24"/>
        </w:rPr>
        <w:t> </w:t>
      </w:r>
      <w:r>
        <w:rPr>
          <w:sz w:val="24"/>
        </w:rPr>
        <w:t>векторная</w:t>
      </w:r>
      <w:r>
        <w:rPr>
          <w:spacing w:val="-11"/>
          <w:sz w:val="24"/>
        </w:rPr>
        <w:t> </w:t>
      </w:r>
      <w:r>
        <w:rPr>
          <w:sz w:val="24"/>
        </w:rPr>
        <w:t>вакцина</w:t>
      </w:r>
      <w:r>
        <w:rPr>
          <w:spacing w:val="-11"/>
          <w:sz w:val="24"/>
        </w:rPr>
        <w:t> </w:t>
      </w:r>
      <w:r>
        <w:rPr>
          <w:sz w:val="24"/>
        </w:rPr>
        <w:t>(«Спутник</w:t>
      </w:r>
      <w:r>
        <w:rPr>
          <w:spacing w:val="-11"/>
          <w:sz w:val="24"/>
        </w:rPr>
        <w:t> </w:t>
      </w:r>
      <w:r>
        <w:rPr>
          <w:sz w:val="24"/>
        </w:rPr>
        <w:t>Лайт»), </w:t>
      </w:r>
      <w:r>
        <w:rPr>
          <w:color w:val="0462C1"/>
          <w:sz w:val="24"/>
          <w:u w:val="single" w:color="0462C1"/>
        </w:rPr>
        <w:t>дата регистрации</w:t>
      </w:r>
      <w:r>
        <w:rPr>
          <w:color w:val="0462C1"/>
          <w:sz w:val="24"/>
        </w:rPr>
        <w:t> </w:t>
      </w:r>
      <w:r>
        <w:rPr>
          <w:sz w:val="24"/>
        </w:rPr>
        <w:t>06.05.2021 г.;</w:t>
      </w:r>
    </w:p>
    <w:p>
      <w:pPr>
        <w:pStyle w:val="ListParagraph"/>
        <w:numPr>
          <w:ilvl w:val="0"/>
          <w:numId w:val="58"/>
        </w:numPr>
        <w:tabs>
          <w:tab w:pos="2549" w:val="left" w:leader="none"/>
          <w:tab w:pos="3823" w:val="left" w:leader="none"/>
          <w:tab w:pos="4504" w:val="left" w:leader="none"/>
          <w:tab w:pos="5640" w:val="left" w:leader="none"/>
          <w:tab w:pos="7216" w:val="left" w:leader="none"/>
          <w:tab w:pos="8695" w:val="left" w:leader="none"/>
        </w:tabs>
        <w:spacing w:line="273" w:lineRule="auto" w:before="5" w:after="0"/>
        <w:ind w:left="2549" w:right="1272" w:hanging="360"/>
        <w:jc w:val="left"/>
        <w:rPr>
          <w:sz w:val="24"/>
        </w:rPr>
      </w:pPr>
      <w:r>
        <w:rPr>
          <w:sz w:val="24"/>
        </w:rPr>
        <mc:AlternateContent>
          <mc:Choice Requires="wps">
            <w:drawing>
              <wp:anchor distT="0" distB="0" distL="0" distR="0" allowOverlap="1" layoutInCell="1" locked="0" behindDoc="1" simplePos="0" relativeHeight="482824704">
                <wp:simplePos x="0" y="0"/>
                <wp:positionH relativeFrom="page">
                  <wp:posOffset>2749930</wp:posOffset>
                </wp:positionH>
                <wp:positionV relativeFrom="paragraph">
                  <wp:posOffset>366854</wp:posOffset>
                </wp:positionV>
                <wp:extent cx="38100" cy="7620"/>
                <wp:effectExtent l="0" t="0" r="0" b="0"/>
                <wp:wrapNone/>
                <wp:docPr id="68" name="Graphic 68"/>
                <wp:cNvGraphicFramePr>
                  <a:graphicFrameLocks/>
                </wp:cNvGraphicFramePr>
                <a:graphic>
                  <a:graphicData uri="http://schemas.microsoft.com/office/word/2010/wordprocessingShape">
                    <wps:wsp>
                      <wps:cNvPr id="68" name="Graphic 68"/>
                      <wps:cNvSpPr/>
                      <wps:spPr>
                        <a:xfrm>
                          <a:off x="0" y="0"/>
                          <a:ext cx="38100" cy="7620"/>
                        </a:xfrm>
                        <a:custGeom>
                          <a:avLst/>
                          <a:gdLst/>
                          <a:ahLst/>
                          <a:cxnLst/>
                          <a:rect l="l" t="t" r="r" b="b"/>
                          <a:pathLst>
                            <a:path w="38100" h="7620">
                              <a:moveTo>
                                <a:pt x="35479" y="7665"/>
                              </a:moveTo>
                              <a:lnTo>
                                <a:pt x="-2585" y="7665"/>
                              </a:lnTo>
                              <a:lnTo>
                                <a:pt x="-2585" y="15278"/>
                              </a:lnTo>
                              <a:lnTo>
                                <a:pt x="35479" y="15278"/>
                              </a:lnTo>
                              <a:lnTo>
                                <a:pt x="35479" y="7665"/>
                              </a:lnTo>
                              <a:close/>
                            </a:path>
                          </a:pathLst>
                        </a:custGeom>
                        <a:solidFill>
                          <a:srgbClr val="0462C1"/>
                        </a:solidFill>
                      </wps:spPr>
                      <wps:bodyPr wrap="square" lIns="0" tIns="0" rIns="0" bIns="0" rtlCol="0">
                        <a:prstTxWarp prst="textNoShape">
                          <a:avLst/>
                        </a:prstTxWarp>
                        <a:noAutofit/>
                      </wps:bodyPr>
                    </wps:wsp>
                  </a:graphicData>
                </a:graphic>
              </wp:anchor>
            </w:drawing>
          </mc:Choice>
          <mc:Fallback>
            <w:pict>
              <v:rect style="position:absolute;margin-left:216.326455pt;margin-top:29.489752pt;width:2.99718pt;height:.599446pt;mso-position-horizontal-relative:page;mso-position-vertical-relative:paragraph;z-index:-20491776" id="docshape56" filled="true" fillcolor="#0462c1" stroked="false">
                <v:fill type="solid"/>
                <w10:wrap type="none"/>
              </v:rect>
            </w:pict>
          </mc:Fallback>
        </mc:AlternateContent>
      </w:r>
      <w:r>
        <w:rPr>
          <w:spacing w:val="-2"/>
          <w:sz w:val="24"/>
        </w:rPr>
        <w:t>вакцина</w:t>
      </w:r>
      <w:r>
        <w:rPr>
          <w:sz w:val="24"/>
        </w:rPr>
        <w:tab/>
      </w:r>
      <w:r>
        <w:rPr>
          <w:spacing w:val="-6"/>
          <w:sz w:val="24"/>
        </w:rPr>
        <w:t>на</w:t>
      </w:r>
      <w:r>
        <w:rPr>
          <w:sz w:val="24"/>
        </w:rPr>
        <w:tab/>
      </w:r>
      <w:r>
        <w:rPr>
          <w:spacing w:val="-2"/>
          <w:sz w:val="24"/>
        </w:rPr>
        <w:t>основе</w:t>
      </w:r>
      <w:r>
        <w:rPr>
          <w:sz w:val="24"/>
        </w:rPr>
        <w:tab/>
      </w:r>
      <w:r>
        <w:rPr>
          <w:spacing w:val="-2"/>
          <w:sz w:val="24"/>
        </w:rPr>
        <w:t>пептидных</w:t>
      </w:r>
      <w:r>
        <w:rPr>
          <w:sz w:val="24"/>
        </w:rPr>
        <w:tab/>
      </w:r>
      <w:r>
        <w:rPr>
          <w:spacing w:val="-2"/>
          <w:sz w:val="24"/>
        </w:rPr>
        <w:t>антигенов</w:t>
      </w:r>
      <w:r>
        <w:rPr>
          <w:sz w:val="24"/>
        </w:rPr>
        <w:tab/>
      </w:r>
      <w:r>
        <w:rPr>
          <w:spacing w:val="-2"/>
          <w:sz w:val="24"/>
        </w:rPr>
        <w:t>(«АВРОРА-</w:t>
      </w:r>
      <w:r>
        <w:rPr>
          <w:spacing w:val="-2"/>
          <w:sz w:val="24"/>
        </w:rPr>
        <w:t>КоВ»), </w:t>
      </w:r>
      <w:r>
        <w:rPr>
          <w:sz w:val="24"/>
        </w:rPr>
        <w:t>дата регистрации 26.08.2021 г., </w:t>
      </w:r>
      <w:r>
        <w:rPr>
          <w:color w:val="0462C1"/>
          <w:sz w:val="24"/>
          <w:u w:val="single" w:color="0462C1"/>
        </w:rPr>
        <w:t>дата переоформления</w:t>
      </w:r>
      <w:r>
        <w:rPr>
          <w:color w:val="0462C1"/>
          <w:sz w:val="24"/>
        </w:rPr>
        <w:t> </w:t>
      </w:r>
      <w:r>
        <w:rPr>
          <w:sz w:val="24"/>
        </w:rPr>
        <w:t>12.04.2022 г.;</w:t>
      </w:r>
    </w:p>
    <w:p>
      <w:pPr>
        <w:pStyle w:val="ListParagraph"/>
        <w:numPr>
          <w:ilvl w:val="0"/>
          <w:numId w:val="58"/>
        </w:numPr>
        <w:tabs>
          <w:tab w:pos="2549" w:val="left" w:leader="none"/>
        </w:tabs>
        <w:spacing w:line="271" w:lineRule="auto" w:before="3" w:after="0"/>
        <w:ind w:left="2549" w:right="2966" w:hanging="360"/>
        <w:jc w:val="left"/>
        <w:rPr>
          <w:sz w:val="24"/>
        </w:rPr>
      </w:pPr>
      <w:r>
        <w:rPr>
          <w:sz w:val="24"/>
        </w:rPr>
        <w:t>комбинированная</w:t>
      </w:r>
      <w:r>
        <w:rPr>
          <w:spacing w:val="-15"/>
          <w:sz w:val="24"/>
        </w:rPr>
        <w:t> </w:t>
      </w:r>
      <w:r>
        <w:rPr>
          <w:sz w:val="24"/>
        </w:rPr>
        <w:t>векторная</w:t>
      </w:r>
      <w:r>
        <w:rPr>
          <w:spacing w:val="-15"/>
          <w:sz w:val="24"/>
        </w:rPr>
        <w:t> </w:t>
      </w:r>
      <w:r>
        <w:rPr>
          <w:sz w:val="24"/>
        </w:rPr>
        <w:t>вакцина</w:t>
      </w:r>
      <w:r>
        <w:rPr>
          <w:spacing w:val="-15"/>
          <w:sz w:val="24"/>
        </w:rPr>
        <w:t> </w:t>
      </w:r>
      <w:r>
        <w:rPr>
          <w:sz w:val="24"/>
        </w:rPr>
        <w:t>(«Гам-КОВИД-Вак-М»), </w:t>
      </w:r>
      <w:r>
        <w:rPr>
          <w:color w:val="0462C1"/>
          <w:sz w:val="24"/>
          <w:u w:val="single" w:color="0462C1"/>
        </w:rPr>
        <w:t>дата регистрации</w:t>
      </w:r>
      <w:r>
        <w:rPr>
          <w:color w:val="0462C1"/>
          <w:sz w:val="24"/>
        </w:rPr>
        <w:t> </w:t>
      </w:r>
      <w:r>
        <w:rPr>
          <w:sz w:val="24"/>
        </w:rPr>
        <w:t>24.11.2021.</w:t>
      </w:r>
    </w:p>
    <w:p>
      <w:pPr>
        <w:pStyle w:val="ListParagraph"/>
        <w:numPr>
          <w:ilvl w:val="0"/>
          <w:numId w:val="58"/>
        </w:numPr>
        <w:tabs>
          <w:tab w:pos="2549" w:val="left" w:leader="none"/>
        </w:tabs>
        <w:spacing w:line="271" w:lineRule="auto" w:before="8" w:after="0"/>
        <w:ind w:left="2549" w:right="3647" w:hanging="360"/>
        <w:jc w:val="left"/>
        <w:rPr>
          <w:sz w:val="24"/>
        </w:rPr>
      </w:pPr>
      <w:r>
        <w:rPr>
          <w:sz w:val="24"/>
        </w:rPr>
        <w:t>Вакцина</w:t>
      </w:r>
      <w:r>
        <w:rPr>
          <w:spacing w:val="-15"/>
          <w:sz w:val="24"/>
        </w:rPr>
        <w:t> </w:t>
      </w:r>
      <w:r>
        <w:rPr>
          <w:sz w:val="24"/>
        </w:rPr>
        <w:t>субъединичная</w:t>
      </w:r>
      <w:r>
        <w:rPr>
          <w:spacing w:val="-15"/>
          <w:sz w:val="24"/>
        </w:rPr>
        <w:t> </w:t>
      </w:r>
      <w:r>
        <w:rPr>
          <w:sz w:val="24"/>
        </w:rPr>
        <w:t>рекомбинантная</w:t>
      </w:r>
      <w:r>
        <w:rPr>
          <w:spacing w:val="-11"/>
          <w:sz w:val="24"/>
        </w:rPr>
        <w:t> </w:t>
      </w:r>
      <w:r>
        <w:rPr>
          <w:sz w:val="24"/>
        </w:rPr>
        <w:t>(«Конвасэл»), </w:t>
      </w:r>
      <w:r>
        <w:rPr>
          <w:color w:val="0462C1"/>
          <w:sz w:val="24"/>
          <w:u w:val="single" w:color="0462C1"/>
        </w:rPr>
        <w:t>дата регистрации</w:t>
      </w:r>
      <w:r>
        <w:rPr>
          <w:color w:val="0462C1"/>
          <w:sz w:val="24"/>
        </w:rPr>
        <w:t> </w:t>
      </w:r>
      <w:r>
        <w:rPr>
          <w:sz w:val="24"/>
        </w:rPr>
        <w:t>18.03.2022 г.;</w:t>
      </w:r>
    </w:p>
    <w:p>
      <w:pPr>
        <w:pStyle w:val="ListParagraph"/>
        <w:numPr>
          <w:ilvl w:val="0"/>
          <w:numId w:val="58"/>
        </w:numPr>
        <w:tabs>
          <w:tab w:pos="2549" w:val="left" w:leader="none"/>
        </w:tabs>
        <w:spacing w:line="273" w:lineRule="auto" w:before="6" w:after="0"/>
        <w:ind w:left="2549" w:right="1273" w:hanging="360"/>
        <w:jc w:val="left"/>
        <w:rPr>
          <w:sz w:val="24"/>
        </w:rPr>
      </w:pPr>
      <w:r>
        <w:rPr>
          <w:sz w:val="24"/>
        </w:rPr>
        <w:t>Комбинированная векторная вакцина («Гам-КОВИД-Вак», капли назальные), </w:t>
      </w:r>
      <w:r>
        <w:rPr>
          <w:color w:val="0462C1"/>
          <w:sz w:val="24"/>
          <w:u w:val="single" w:color="0462C1"/>
        </w:rPr>
        <w:t>дата регистрации</w:t>
      </w:r>
      <w:r>
        <w:rPr>
          <w:color w:val="0462C1"/>
          <w:sz w:val="24"/>
        </w:rPr>
        <w:t> </w:t>
      </w:r>
      <w:r>
        <w:rPr>
          <w:sz w:val="24"/>
        </w:rPr>
        <w:t>31.03.2022 г.</w:t>
      </w:r>
    </w:p>
    <w:p>
      <w:pPr>
        <w:pStyle w:val="ListParagraph"/>
        <w:numPr>
          <w:ilvl w:val="0"/>
          <w:numId w:val="58"/>
        </w:numPr>
        <w:tabs>
          <w:tab w:pos="2549" w:val="left" w:leader="none"/>
        </w:tabs>
        <w:spacing w:line="271" w:lineRule="auto" w:before="2" w:after="0"/>
        <w:ind w:left="2549" w:right="4028" w:hanging="360"/>
        <w:jc w:val="left"/>
        <w:rPr>
          <w:sz w:val="24"/>
        </w:rPr>
      </w:pPr>
      <w:r>
        <w:rPr>
          <w:sz w:val="24"/>
        </w:rPr>
        <w:t>Комбинированная</w:t>
      </w:r>
      <w:r>
        <w:rPr>
          <w:spacing w:val="-15"/>
          <w:sz w:val="24"/>
        </w:rPr>
        <w:t> </w:t>
      </w:r>
      <w:r>
        <w:rPr>
          <w:sz w:val="24"/>
        </w:rPr>
        <w:t>векторная</w:t>
      </w:r>
      <w:r>
        <w:rPr>
          <w:spacing w:val="-15"/>
          <w:sz w:val="24"/>
        </w:rPr>
        <w:t> </w:t>
      </w:r>
      <w:r>
        <w:rPr>
          <w:sz w:val="24"/>
        </w:rPr>
        <w:t>вакцина</w:t>
      </w:r>
      <w:r>
        <w:rPr>
          <w:spacing w:val="-15"/>
          <w:sz w:val="24"/>
        </w:rPr>
        <w:t> </w:t>
      </w:r>
      <w:r>
        <w:rPr>
          <w:sz w:val="24"/>
        </w:rPr>
        <w:t>(«Салнавак»), </w:t>
      </w:r>
      <w:r>
        <w:rPr>
          <w:color w:val="0462C1"/>
          <w:sz w:val="24"/>
          <w:u w:val="single" w:color="0462C1"/>
        </w:rPr>
        <w:t>дата регистрации</w:t>
      </w:r>
      <w:r>
        <w:rPr>
          <w:color w:val="0462C1"/>
          <w:sz w:val="24"/>
        </w:rPr>
        <w:t> </w:t>
      </w:r>
      <w:r>
        <w:rPr>
          <w:sz w:val="24"/>
        </w:rPr>
        <w:t>04.07.2022 г.</w:t>
      </w:r>
    </w:p>
    <w:p>
      <w:pPr>
        <w:pStyle w:val="ListParagraph"/>
        <w:numPr>
          <w:ilvl w:val="0"/>
          <w:numId w:val="58"/>
        </w:numPr>
        <w:tabs>
          <w:tab w:pos="2549" w:val="left" w:leader="none"/>
        </w:tabs>
        <w:spacing w:line="273" w:lineRule="auto" w:before="6" w:after="0"/>
        <w:ind w:left="2549" w:right="2975" w:hanging="360"/>
        <w:jc w:val="left"/>
        <w:rPr>
          <w:sz w:val="24"/>
        </w:rPr>
      </w:pPr>
      <w:r>
        <w:rPr>
          <w:sz w:val="24"/>
        </w:rPr>
        <w:t>Комбинированная</w:t>
      </w:r>
      <w:r>
        <w:rPr>
          <w:spacing w:val="-15"/>
          <w:sz w:val="24"/>
        </w:rPr>
        <w:t> </w:t>
      </w:r>
      <w:r>
        <w:rPr>
          <w:sz w:val="24"/>
        </w:rPr>
        <w:t>векторная</w:t>
      </w:r>
      <w:r>
        <w:rPr>
          <w:spacing w:val="-15"/>
          <w:sz w:val="24"/>
        </w:rPr>
        <w:t> </w:t>
      </w:r>
      <w:r>
        <w:rPr>
          <w:sz w:val="24"/>
        </w:rPr>
        <w:t>вакцина</w:t>
      </w:r>
      <w:r>
        <w:rPr>
          <w:spacing w:val="-15"/>
          <w:sz w:val="24"/>
        </w:rPr>
        <w:t> </w:t>
      </w:r>
      <w:r>
        <w:rPr>
          <w:sz w:val="24"/>
        </w:rPr>
        <w:t>(«Гам-КОВИД-Вак-Д»), </w:t>
      </w:r>
      <w:r>
        <w:rPr>
          <w:color w:val="0462C1"/>
          <w:sz w:val="24"/>
          <w:u w:val="single" w:color="0462C1"/>
        </w:rPr>
        <w:t>дата регистрации</w:t>
      </w:r>
      <w:r>
        <w:rPr>
          <w:color w:val="0462C1"/>
          <w:sz w:val="24"/>
        </w:rPr>
        <w:t> </w:t>
      </w:r>
      <w:r>
        <w:rPr>
          <w:sz w:val="24"/>
        </w:rPr>
        <w:t>14.04.2023 г.</w:t>
      </w:r>
    </w:p>
    <w:p>
      <w:pPr>
        <w:pStyle w:val="BodyText"/>
        <w:spacing w:before="55"/>
        <w:ind w:left="0"/>
        <w:jc w:val="left"/>
      </w:pPr>
    </w:p>
    <w:p>
      <w:pPr>
        <w:pStyle w:val="BodyText"/>
        <w:spacing w:line="276" w:lineRule="auto" w:before="1"/>
        <w:ind w:right="1271" w:firstLine="707"/>
      </w:pPr>
      <w:r>
        <w:rPr/>
        <w:t>Комбинированная векторная вакцина «Гам-КОВИД-Вак» получена биотехнологическим путем, при котором вирус SARS-CoV-2 не используется. Препарат</w:t>
      </w:r>
      <w:r>
        <w:rPr>
          <w:spacing w:val="40"/>
        </w:rPr>
        <w:t> </w:t>
      </w:r>
      <w:r>
        <w:rPr/>
        <w:t>состоит</w:t>
      </w:r>
      <w:r>
        <w:rPr>
          <w:spacing w:val="40"/>
        </w:rPr>
        <w:t> </w:t>
      </w:r>
      <w:r>
        <w:rPr/>
        <w:t>из</w:t>
      </w:r>
      <w:r>
        <w:rPr>
          <w:spacing w:val="40"/>
        </w:rPr>
        <w:t> </w:t>
      </w:r>
      <w:r>
        <w:rPr/>
        <w:t>двух</w:t>
      </w:r>
      <w:r>
        <w:rPr>
          <w:spacing w:val="40"/>
        </w:rPr>
        <w:t> </w:t>
      </w:r>
      <w:r>
        <w:rPr/>
        <w:t>компонентов:</w:t>
      </w:r>
      <w:r>
        <w:rPr>
          <w:spacing w:val="40"/>
        </w:rPr>
        <w:t> </w:t>
      </w:r>
      <w:r>
        <w:rPr/>
        <w:t>рекомбинантный</w:t>
      </w:r>
      <w:r>
        <w:rPr>
          <w:spacing w:val="40"/>
        </w:rPr>
        <w:t> </w:t>
      </w:r>
      <w:r>
        <w:rPr/>
        <w:t>аденовирусный</w:t>
      </w:r>
      <w:r>
        <w:rPr>
          <w:spacing w:val="40"/>
        </w:rPr>
        <w:t> </w:t>
      </w:r>
      <w:r>
        <w:rPr/>
        <w:t>вектор на основе аденовируса человека 26 серотипа, несущий ген S-белка SARS-CoV-2 (компонент I) и рекомбинантный аденовирусный вектор на основе аденовируса человека</w:t>
      </w:r>
      <w:r>
        <w:rPr>
          <w:spacing w:val="80"/>
        </w:rPr>
        <w:t> </w:t>
      </w:r>
      <w:r>
        <w:rPr/>
        <w:t>5</w:t>
      </w:r>
      <w:r>
        <w:rPr>
          <w:spacing w:val="80"/>
        </w:rPr>
        <w:t> </w:t>
      </w:r>
      <w:r>
        <w:rPr/>
        <w:t>серотипа,</w:t>
      </w:r>
      <w:r>
        <w:rPr>
          <w:spacing w:val="80"/>
        </w:rPr>
        <w:t> </w:t>
      </w:r>
      <w:r>
        <w:rPr/>
        <w:t>несущий</w:t>
      </w:r>
      <w:r>
        <w:rPr>
          <w:spacing w:val="80"/>
        </w:rPr>
        <w:t> </w:t>
      </w:r>
      <w:r>
        <w:rPr/>
        <w:t>ген</w:t>
      </w:r>
      <w:r>
        <w:rPr>
          <w:spacing w:val="80"/>
        </w:rPr>
        <w:t> </w:t>
      </w:r>
      <w:r>
        <w:rPr/>
        <w:t>S-белка</w:t>
      </w:r>
      <w:r>
        <w:rPr>
          <w:spacing w:val="80"/>
        </w:rPr>
        <w:t> </w:t>
      </w:r>
      <w:r>
        <w:rPr/>
        <w:t>SARS-CoV-2</w:t>
      </w:r>
      <w:r>
        <w:rPr>
          <w:spacing w:val="80"/>
        </w:rPr>
        <w:t> </w:t>
      </w:r>
      <w:r>
        <w:rPr/>
        <w:t>(компонент</w:t>
      </w:r>
      <w:r>
        <w:rPr>
          <w:spacing w:val="80"/>
        </w:rPr>
        <w:t> </w:t>
      </w:r>
      <w:r>
        <w:rPr/>
        <w:t>II). Вакцина</w:t>
      </w:r>
      <w:r>
        <w:rPr>
          <w:spacing w:val="80"/>
        </w:rPr>
        <w:t> </w:t>
      </w:r>
      <w:r>
        <w:rPr/>
        <w:t>«Гам-КОВИД-Вак»</w:t>
      </w:r>
      <w:r>
        <w:rPr>
          <w:spacing w:val="80"/>
        </w:rPr>
        <w:t> </w:t>
      </w:r>
      <w:r>
        <w:rPr/>
        <w:t>в</w:t>
      </w:r>
      <w:r>
        <w:rPr>
          <w:spacing w:val="80"/>
        </w:rPr>
        <w:t> </w:t>
      </w:r>
      <w:r>
        <w:rPr/>
        <w:t>форме</w:t>
      </w:r>
      <w:r>
        <w:rPr>
          <w:spacing w:val="80"/>
        </w:rPr>
        <w:t> </w:t>
      </w:r>
      <w:r>
        <w:rPr/>
        <w:t>раствора</w:t>
      </w:r>
      <w:r>
        <w:rPr>
          <w:spacing w:val="80"/>
        </w:rPr>
        <w:t> </w:t>
      </w:r>
      <w:r>
        <w:rPr/>
        <w:t>для</w:t>
      </w:r>
      <w:r>
        <w:rPr>
          <w:spacing w:val="80"/>
        </w:rPr>
        <w:t> </w:t>
      </w:r>
      <w:r>
        <w:rPr/>
        <w:t>внутримышечного</w:t>
      </w:r>
      <w:r>
        <w:rPr>
          <w:spacing w:val="80"/>
        </w:rPr>
        <w:t> </w:t>
      </w:r>
      <w:r>
        <w:rPr/>
        <w:t>введения и в форме назальных капель применяется для профилактики COVID-19 у взрослых старше 18 лет.</w:t>
      </w:r>
    </w:p>
    <w:p>
      <w:pPr>
        <w:pStyle w:val="BodyText"/>
        <w:spacing w:line="276" w:lineRule="auto" w:before="11"/>
        <w:ind w:right="1272" w:firstLine="707"/>
      </w:pPr>
      <w:r>
        <w:rPr/>
        <w:t>Вакцина</w:t>
      </w:r>
      <w:r>
        <w:rPr>
          <w:spacing w:val="-15"/>
        </w:rPr>
        <w:t> </w:t>
      </w:r>
      <w:r>
        <w:rPr/>
        <w:t>«Спутник</w:t>
      </w:r>
      <w:r>
        <w:rPr>
          <w:spacing w:val="-15"/>
        </w:rPr>
        <w:t> </w:t>
      </w:r>
      <w:r>
        <w:rPr/>
        <w:t>Лайт»</w:t>
      </w:r>
      <w:r>
        <w:rPr>
          <w:spacing w:val="-15"/>
        </w:rPr>
        <w:t> </w:t>
      </w:r>
      <w:r>
        <w:rPr/>
        <w:t>представляет</w:t>
      </w:r>
      <w:r>
        <w:rPr>
          <w:spacing w:val="-15"/>
        </w:rPr>
        <w:t> </w:t>
      </w:r>
      <w:r>
        <w:rPr/>
        <w:t>собой</w:t>
      </w:r>
      <w:r>
        <w:rPr>
          <w:spacing w:val="-15"/>
        </w:rPr>
        <w:t> </w:t>
      </w:r>
      <w:r>
        <w:rPr/>
        <w:t>рекомбинантный</w:t>
      </w:r>
      <w:r>
        <w:rPr>
          <w:spacing w:val="-15"/>
        </w:rPr>
        <w:t> </w:t>
      </w:r>
      <w:r>
        <w:rPr/>
        <w:t>аденовирусный вектор на основе аденовируса человека 26 серотипа, несущий ген S-белка SARS- CoV-2 и применяется для профилактики COVID-19 у взрослых старше 18 лет.</w:t>
      </w:r>
    </w:p>
    <w:p>
      <w:pPr>
        <w:pStyle w:val="BodyText"/>
        <w:spacing w:line="276" w:lineRule="auto" w:before="1"/>
        <w:ind w:right="1273" w:firstLine="707"/>
      </w:pPr>
      <w:r>
        <w:rPr/>
        <w:t>Вакцина «Гам-КОВИД-Вак-М» представляет собой рекомбинантный аденовирусный</w:t>
      </w:r>
      <w:r>
        <w:rPr>
          <w:spacing w:val="39"/>
        </w:rPr>
        <w:t> </w:t>
      </w:r>
      <w:r>
        <w:rPr/>
        <w:t>вектор</w:t>
      </w:r>
      <w:r>
        <w:rPr>
          <w:spacing w:val="37"/>
        </w:rPr>
        <w:t> </w:t>
      </w:r>
      <w:r>
        <w:rPr/>
        <w:t>на</w:t>
      </w:r>
      <w:r>
        <w:rPr>
          <w:spacing w:val="38"/>
        </w:rPr>
        <w:t> </w:t>
      </w:r>
      <w:r>
        <w:rPr/>
        <w:t>основе</w:t>
      </w:r>
      <w:r>
        <w:rPr>
          <w:spacing w:val="37"/>
        </w:rPr>
        <w:t> </w:t>
      </w:r>
      <w:r>
        <w:rPr/>
        <w:t>аденовируса</w:t>
      </w:r>
      <w:r>
        <w:rPr>
          <w:spacing w:val="38"/>
        </w:rPr>
        <w:t> </w:t>
      </w:r>
      <w:r>
        <w:rPr/>
        <w:t>человека</w:t>
      </w:r>
      <w:r>
        <w:rPr>
          <w:spacing w:val="38"/>
        </w:rPr>
        <w:t> </w:t>
      </w:r>
      <w:r>
        <w:rPr/>
        <w:t>26</w:t>
      </w:r>
      <w:r>
        <w:rPr>
          <w:spacing w:val="39"/>
        </w:rPr>
        <w:t> </w:t>
      </w:r>
      <w:r>
        <w:rPr/>
        <w:t>серотипа,</w:t>
      </w:r>
      <w:r>
        <w:rPr>
          <w:spacing w:val="40"/>
        </w:rPr>
        <w:t> </w:t>
      </w:r>
      <w:r>
        <w:rPr/>
        <w:t>несущий</w:t>
      </w:r>
      <w:r>
        <w:rPr>
          <w:spacing w:val="40"/>
        </w:rPr>
        <w:t> </w:t>
      </w:r>
      <w:r>
        <w:rPr/>
        <w:t>ген S-белка</w:t>
      </w:r>
      <w:r>
        <w:rPr>
          <w:spacing w:val="80"/>
          <w:w w:val="150"/>
        </w:rPr>
        <w:t> </w:t>
      </w:r>
      <w:r>
        <w:rPr/>
        <w:t>SARS-CoV</w:t>
      </w:r>
      <w:r>
        <w:rPr>
          <w:spacing w:val="80"/>
          <w:w w:val="150"/>
        </w:rPr>
        <w:t> </w:t>
      </w:r>
      <w:r>
        <w:rPr/>
        <w:t>2</w:t>
      </w:r>
      <w:r>
        <w:rPr>
          <w:spacing w:val="80"/>
          <w:w w:val="150"/>
        </w:rPr>
        <w:t> </w:t>
      </w:r>
      <w:r>
        <w:rPr/>
        <w:t>(с</w:t>
      </w:r>
      <w:r>
        <w:rPr>
          <w:spacing w:val="80"/>
          <w:w w:val="150"/>
        </w:rPr>
        <w:t> </w:t>
      </w:r>
      <w:r>
        <w:rPr/>
        <w:t>уменьшенным</w:t>
      </w:r>
      <w:r>
        <w:rPr>
          <w:spacing w:val="80"/>
          <w:w w:val="150"/>
        </w:rPr>
        <w:t> </w:t>
      </w:r>
      <w:r>
        <w:rPr/>
        <w:t>содержанием</w:t>
      </w:r>
      <w:r>
        <w:rPr>
          <w:spacing w:val="80"/>
          <w:w w:val="150"/>
        </w:rPr>
        <w:t> </w:t>
      </w:r>
      <w:r>
        <w:rPr/>
        <w:t>аденовирусных</w:t>
      </w:r>
      <w:r>
        <w:rPr>
          <w:spacing w:val="80"/>
          <w:w w:val="150"/>
        </w:rPr>
        <w:t> </w:t>
      </w:r>
      <w:r>
        <w:rPr/>
        <w:t>частиц), и применяется для профилактики COVID-19 у подростков в возрасте от 12 до 17 лет </w:t>
      </w:r>
      <w:r>
        <w:rPr>
          <w:spacing w:val="-2"/>
        </w:rPr>
        <w:t>(включительно).</w:t>
      </w:r>
    </w:p>
    <w:p>
      <w:pPr>
        <w:pStyle w:val="BodyText"/>
        <w:spacing w:line="276" w:lineRule="auto" w:before="12"/>
        <w:ind w:right="1272" w:firstLine="707"/>
      </w:pPr>
      <w:r>
        <w:rPr/>
        <w:t>Комбинированная векторная вакцина «Гам-КОВИД-Вак-Д» состоит из двух компонентов:</w:t>
      </w:r>
      <w:r>
        <w:rPr>
          <w:spacing w:val="-15"/>
        </w:rPr>
        <w:t> </w:t>
      </w:r>
      <w:r>
        <w:rPr/>
        <w:t>рекомбинантные</w:t>
      </w:r>
      <w:r>
        <w:rPr>
          <w:spacing w:val="-15"/>
        </w:rPr>
        <w:t> </w:t>
      </w:r>
      <w:r>
        <w:rPr/>
        <w:t>аденовирусные</w:t>
      </w:r>
      <w:r>
        <w:rPr>
          <w:spacing w:val="-15"/>
        </w:rPr>
        <w:t> </w:t>
      </w:r>
      <w:r>
        <w:rPr/>
        <w:t>частицы</w:t>
      </w:r>
      <w:r>
        <w:rPr>
          <w:spacing w:val="-15"/>
        </w:rPr>
        <w:t> </w:t>
      </w:r>
      <w:r>
        <w:rPr/>
        <w:t>26</w:t>
      </w:r>
      <w:r>
        <w:rPr>
          <w:spacing w:val="-15"/>
        </w:rPr>
        <w:t> </w:t>
      </w:r>
      <w:r>
        <w:rPr/>
        <w:t>серотипа</w:t>
      </w:r>
      <w:r>
        <w:rPr>
          <w:spacing w:val="-11"/>
        </w:rPr>
        <w:t> </w:t>
      </w:r>
      <w:r>
        <w:rPr/>
        <w:t>,</w:t>
      </w:r>
      <w:r>
        <w:rPr>
          <w:spacing w:val="-15"/>
        </w:rPr>
        <w:t> </w:t>
      </w:r>
      <w:r>
        <w:rPr/>
        <w:t>содержащие</w:t>
      </w:r>
      <w:r>
        <w:rPr>
          <w:spacing w:val="-15"/>
        </w:rPr>
        <w:t> </w:t>
      </w:r>
      <w:r>
        <w:rPr/>
        <w:t>ген белка</w:t>
      </w:r>
      <w:r>
        <w:rPr>
          <w:spacing w:val="-15"/>
        </w:rPr>
        <w:t> </w:t>
      </w:r>
      <w:r>
        <w:rPr/>
        <w:t>S</w:t>
      </w:r>
      <w:r>
        <w:rPr>
          <w:spacing w:val="-15"/>
        </w:rPr>
        <w:t> </w:t>
      </w:r>
      <w:r>
        <w:rPr/>
        <w:t>вируса</w:t>
      </w:r>
      <w:r>
        <w:rPr>
          <w:spacing w:val="-15"/>
        </w:rPr>
        <w:t> </w:t>
      </w:r>
      <w:r>
        <w:rPr/>
        <w:t>SARS-CoV-2</w:t>
      </w:r>
      <w:r>
        <w:rPr>
          <w:spacing w:val="-15"/>
        </w:rPr>
        <w:t> </w:t>
      </w:r>
      <w:r>
        <w:rPr/>
        <w:t>(компонент</w:t>
      </w:r>
      <w:r>
        <w:rPr>
          <w:spacing w:val="-15"/>
        </w:rPr>
        <w:t> </w:t>
      </w:r>
      <w:r>
        <w:rPr/>
        <w:t>I)</w:t>
      </w:r>
      <w:r>
        <w:rPr>
          <w:spacing w:val="-15"/>
        </w:rPr>
        <w:t> </w:t>
      </w:r>
      <w:r>
        <w:rPr/>
        <w:t>и</w:t>
      </w:r>
      <w:r>
        <w:rPr>
          <w:spacing w:val="-15"/>
        </w:rPr>
        <w:t> </w:t>
      </w:r>
      <w:r>
        <w:rPr/>
        <w:t>рекомбинантные</w:t>
      </w:r>
      <w:r>
        <w:rPr>
          <w:spacing w:val="-15"/>
        </w:rPr>
        <w:t> </w:t>
      </w:r>
      <w:r>
        <w:rPr/>
        <w:t>аденовирусные</w:t>
      </w:r>
      <w:r>
        <w:rPr>
          <w:spacing w:val="-15"/>
        </w:rPr>
        <w:t> </w:t>
      </w:r>
      <w:r>
        <w:rPr/>
        <w:t>частицы 5</w:t>
      </w:r>
      <w:r>
        <w:rPr>
          <w:spacing w:val="29"/>
        </w:rPr>
        <w:t> </w:t>
      </w:r>
      <w:r>
        <w:rPr/>
        <w:t>серотипа,</w:t>
      </w:r>
      <w:r>
        <w:rPr>
          <w:spacing w:val="30"/>
        </w:rPr>
        <w:t> </w:t>
      </w:r>
      <w:r>
        <w:rPr/>
        <w:t>содержащие</w:t>
      </w:r>
      <w:r>
        <w:rPr>
          <w:spacing w:val="30"/>
        </w:rPr>
        <w:t> </w:t>
      </w:r>
      <w:r>
        <w:rPr/>
        <w:t>ген</w:t>
      </w:r>
      <w:r>
        <w:rPr>
          <w:spacing w:val="29"/>
        </w:rPr>
        <w:t> </w:t>
      </w:r>
      <w:r>
        <w:rPr/>
        <w:t>белка</w:t>
      </w:r>
      <w:r>
        <w:rPr>
          <w:spacing w:val="29"/>
        </w:rPr>
        <w:t> </w:t>
      </w:r>
      <w:r>
        <w:rPr/>
        <w:t>S</w:t>
      </w:r>
      <w:r>
        <w:rPr>
          <w:spacing w:val="31"/>
        </w:rPr>
        <w:t> </w:t>
      </w:r>
      <w:r>
        <w:rPr/>
        <w:t>вируса</w:t>
      </w:r>
      <w:r>
        <w:rPr>
          <w:spacing w:val="32"/>
        </w:rPr>
        <w:t> </w:t>
      </w:r>
      <w:r>
        <w:rPr/>
        <w:t>SARS-CoV-2</w:t>
      </w:r>
      <w:r>
        <w:rPr>
          <w:spacing w:val="29"/>
        </w:rPr>
        <w:t> </w:t>
      </w:r>
      <w:r>
        <w:rPr/>
        <w:t>(компонент</w:t>
      </w:r>
      <w:r>
        <w:rPr>
          <w:spacing w:val="30"/>
        </w:rPr>
        <w:t> </w:t>
      </w:r>
      <w:r>
        <w:rPr/>
        <w:t>II).</w:t>
      </w:r>
      <w:r>
        <w:rPr>
          <w:spacing w:val="29"/>
        </w:rPr>
        <w:t> </w:t>
      </w:r>
      <w:r>
        <w:rPr>
          <w:spacing w:val="-2"/>
        </w:rPr>
        <w:t>Вакцина</w:t>
      </w:r>
    </w:p>
    <w:p>
      <w:pPr>
        <w:pStyle w:val="BodyText"/>
        <w:spacing w:line="276" w:lineRule="auto"/>
        <w:ind w:right="1277"/>
      </w:pPr>
      <w:r>
        <w:rPr/>
        <w:t>«Гам-КОВИД-Вак-Д»</w:t>
      </w:r>
      <w:r>
        <w:rPr>
          <w:spacing w:val="-9"/>
        </w:rPr>
        <w:t> </w:t>
      </w:r>
      <w:r>
        <w:rPr/>
        <w:t>предназначена</w:t>
      </w:r>
      <w:r>
        <w:rPr>
          <w:spacing w:val="-12"/>
        </w:rPr>
        <w:t> </w:t>
      </w:r>
      <w:r>
        <w:rPr/>
        <w:t>для</w:t>
      </w:r>
      <w:r>
        <w:rPr>
          <w:spacing w:val="-9"/>
        </w:rPr>
        <w:t> </w:t>
      </w:r>
      <w:r>
        <w:rPr/>
        <w:t>профилактики</w:t>
      </w:r>
      <w:r>
        <w:rPr>
          <w:spacing w:val="-10"/>
        </w:rPr>
        <w:t> </w:t>
      </w:r>
      <w:r>
        <w:rPr/>
        <w:t>COVID-19</w:t>
      </w:r>
      <w:r>
        <w:rPr>
          <w:spacing w:val="-9"/>
        </w:rPr>
        <w:t> </w:t>
      </w:r>
      <w:r>
        <w:rPr/>
        <w:t>у</w:t>
      </w:r>
      <w:r>
        <w:rPr>
          <w:spacing w:val="-11"/>
        </w:rPr>
        <w:t> </w:t>
      </w:r>
      <w:r>
        <w:rPr/>
        <w:t>детей</w:t>
      </w:r>
      <w:r>
        <w:rPr>
          <w:spacing w:val="-11"/>
        </w:rPr>
        <w:t> </w:t>
      </w:r>
      <w:r>
        <w:rPr/>
        <w:t>в</w:t>
      </w:r>
      <w:r>
        <w:rPr>
          <w:spacing w:val="-12"/>
        </w:rPr>
        <w:t> </w:t>
      </w:r>
      <w:r>
        <w:rPr/>
        <w:t>возрасте от 6 до 11 лет (включительно).</w:t>
      </w:r>
    </w:p>
    <w:p>
      <w:pPr>
        <w:pStyle w:val="BodyText"/>
        <w:spacing w:after="0" w:line="276" w:lineRule="auto"/>
        <w:sectPr>
          <w:pgSz w:w="11900" w:h="16840"/>
          <w:pgMar w:header="0" w:footer="697" w:top="1080" w:bottom="880" w:left="0" w:right="0"/>
        </w:sectPr>
      </w:pPr>
    </w:p>
    <w:p>
      <w:pPr>
        <w:pStyle w:val="BodyText"/>
        <w:spacing w:line="276" w:lineRule="auto" w:before="73"/>
        <w:ind w:right="1270" w:firstLine="707"/>
      </w:pPr>
      <w:bookmarkStart w:name="120" w:id="142"/>
      <w:bookmarkEnd w:id="142"/>
      <w:r>
        <w:rPr/>
      </w:r>
      <w:r>
        <w:rPr>
          <w:spacing w:val="-2"/>
        </w:rPr>
        <w:t>Вакцина</w:t>
      </w:r>
      <w:r>
        <w:rPr>
          <w:spacing w:val="-4"/>
        </w:rPr>
        <w:t> </w:t>
      </w:r>
      <w:r>
        <w:rPr>
          <w:spacing w:val="-2"/>
        </w:rPr>
        <w:t>на</w:t>
      </w:r>
      <w:r>
        <w:rPr>
          <w:spacing w:val="-4"/>
        </w:rPr>
        <w:t> </w:t>
      </w:r>
      <w:r>
        <w:rPr>
          <w:spacing w:val="-2"/>
        </w:rPr>
        <w:t>основе</w:t>
      </w:r>
      <w:r>
        <w:rPr>
          <w:spacing w:val="-4"/>
        </w:rPr>
        <w:t> </w:t>
      </w:r>
      <w:r>
        <w:rPr>
          <w:spacing w:val="-2"/>
        </w:rPr>
        <w:t>пептидных</w:t>
      </w:r>
      <w:r>
        <w:rPr>
          <w:spacing w:val="-3"/>
        </w:rPr>
        <w:t> </w:t>
      </w:r>
      <w:r>
        <w:rPr>
          <w:spacing w:val="-2"/>
        </w:rPr>
        <w:t>антигенов</w:t>
      </w:r>
      <w:r>
        <w:rPr>
          <w:spacing w:val="-3"/>
        </w:rPr>
        <w:t> </w:t>
      </w:r>
      <w:r>
        <w:rPr>
          <w:spacing w:val="-2"/>
        </w:rPr>
        <w:t>(«ЭпиВакКорона» и «АВРОРА-КоВ») </w:t>
      </w:r>
      <w:r>
        <w:rPr/>
        <w:t>представляет</w:t>
      </w:r>
      <w:r>
        <w:rPr>
          <w:spacing w:val="-7"/>
        </w:rPr>
        <w:t> </w:t>
      </w:r>
      <w:r>
        <w:rPr/>
        <w:t>собой</w:t>
      </w:r>
      <w:r>
        <w:rPr>
          <w:spacing w:val="-6"/>
        </w:rPr>
        <w:t> </w:t>
      </w:r>
      <w:r>
        <w:rPr/>
        <w:t>химически</w:t>
      </w:r>
      <w:r>
        <w:rPr>
          <w:spacing w:val="-6"/>
        </w:rPr>
        <w:t> </w:t>
      </w:r>
      <w:r>
        <w:rPr/>
        <w:t>синтезированные</w:t>
      </w:r>
      <w:r>
        <w:rPr>
          <w:spacing w:val="-8"/>
        </w:rPr>
        <w:t> </w:t>
      </w:r>
      <w:r>
        <w:rPr/>
        <w:t>пептидные</w:t>
      </w:r>
      <w:r>
        <w:rPr>
          <w:spacing w:val="-8"/>
        </w:rPr>
        <w:t> </w:t>
      </w:r>
      <w:r>
        <w:rPr/>
        <w:t>антигены</w:t>
      </w:r>
      <w:r>
        <w:rPr>
          <w:spacing w:val="-7"/>
        </w:rPr>
        <w:t> </w:t>
      </w:r>
      <w:r>
        <w:rPr/>
        <w:t>белка</w:t>
      </w:r>
      <w:r>
        <w:rPr>
          <w:spacing w:val="-2"/>
        </w:rPr>
        <w:t> </w:t>
      </w:r>
      <w:r>
        <w:rPr/>
        <w:t>S</w:t>
      </w:r>
      <w:r>
        <w:rPr>
          <w:spacing w:val="-6"/>
        </w:rPr>
        <w:t> </w:t>
      </w:r>
      <w:r>
        <w:rPr/>
        <w:t>вируса SARS-CoV-2,</w:t>
      </w:r>
      <w:r>
        <w:rPr>
          <w:spacing w:val="80"/>
        </w:rPr>
        <w:t>  </w:t>
      </w:r>
      <w:r>
        <w:rPr/>
        <w:t>конъюгированные</w:t>
      </w:r>
      <w:r>
        <w:rPr>
          <w:spacing w:val="80"/>
        </w:rPr>
        <w:t>  </w:t>
      </w:r>
      <w:r>
        <w:rPr/>
        <w:t>с</w:t>
      </w:r>
      <w:r>
        <w:rPr>
          <w:spacing w:val="80"/>
        </w:rPr>
        <w:t>  </w:t>
      </w:r>
      <w:r>
        <w:rPr/>
        <w:t>белком-носителем</w:t>
      </w:r>
      <w:r>
        <w:rPr>
          <w:spacing w:val="80"/>
        </w:rPr>
        <w:t>  </w:t>
      </w:r>
      <w:r>
        <w:rPr/>
        <w:t>и</w:t>
      </w:r>
      <w:r>
        <w:rPr>
          <w:spacing w:val="80"/>
        </w:rPr>
        <w:t>  </w:t>
      </w:r>
      <w:r>
        <w:rPr/>
        <w:t>адсорбированные на</w:t>
      </w:r>
      <w:r>
        <w:rPr>
          <w:spacing w:val="70"/>
          <w:w w:val="150"/>
        </w:rPr>
        <w:t>  </w:t>
      </w:r>
      <w:r>
        <w:rPr/>
        <w:t>алюминий-содержащем</w:t>
      </w:r>
      <w:r>
        <w:rPr>
          <w:spacing w:val="72"/>
          <w:w w:val="150"/>
        </w:rPr>
        <w:t>  </w:t>
      </w:r>
      <w:r>
        <w:rPr/>
        <w:t>адъюванте</w:t>
      </w:r>
      <w:r>
        <w:rPr>
          <w:spacing w:val="71"/>
          <w:w w:val="150"/>
        </w:rPr>
        <w:t>  </w:t>
      </w:r>
      <w:r>
        <w:rPr/>
        <w:t>(алюминия</w:t>
      </w:r>
      <w:r>
        <w:rPr>
          <w:spacing w:val="73"/>
          <w:w w:val="150"/>
        </w:rPr>
        <w:t>  </w:t>
      </w:r>
      <w:r>
        <w:rPr/>
        <w:t>гидроксиде).</w:t>
      </w:r>
      <w:r>
        <w:rPr>
          <w:spacing w:val="71"/>
          <w:w w:val="150"/>
        </w:rPr>
        <w:t>  </w:t>
      </w:r>
      <w:r>
        <w:rPr>
          <w:spacing w:val="-2"/>
        </w:rPr>
        <w:t>Вакцина</w:t>
      </w:r>
    </w:p>
    <w:p>
      <w:pPr>
        <w:pStyle w:val="BodyText"/>
        <w:spacing w:line="276" w:lineRule="auto"/>
        <w:ind w:right="1274"/>
      </w:pPr>
      <w:r>
        <w:rPr/>
        <w:t>«ЭпиВакКорона»</w:t>
      </w:r>
      <w:r>
        <w:rPr>
          <w:spacing w:val="40"/>
        </w:rPr>
        <w:t> </w:t>
      </w:r>
      <w:r>
        <w:rPr/>
        <w:t>применяется</w:t>
      </w:r>
      <w:r>
        <w:rPr>
          <w:spacing w:val="40"/>
        </w:rPr>
        <w:t> </w:t>
      </w:r>
      <w:r>
        <w:rPr/>
        <w:t>для</w:t>
      </w:r>
      <w:r>
        <w:rPr>
          <w:spacing w:val="40"/>
        </w:rPr>
        <w:t> </w:t>
      </w:r>
      <w:r>
        <w:rPr/>
        <w:t>профилактики</w:t>
      </w:r>
      <w:r>
        <w:rPr>
          <w:spacing w:val="40"/>
        </w:rPr>
        <w:t> </w:t>
      </w:r>
      <w:r>
        <w:rPr/>
        <w:t>COVID-19</w:t>
      </w:r>
      <w:r>
        <w:rPr>
          <w:spacing w:val="40"/>
        </w:rPr>
        <w:t> </w:t>
      </w:r>
      <w:r>
        <w:rPr/>
        <w:t>у</w:t>
      </w:r>
      <w:r>
        <w:rPr>
          <w:spacing w:val="40"/>
        </w:rPr>
        <w:t> </w:t>
      </w:r>
      <w:r>
        <w:rPr/>
        <w:t>взрослых</w:t>
      </w:r>
      <w:r>
        <w:rPr>
          <w:spacing w:val="40"/>
        </w:rPr>
        <w:t> </w:t>
      </w:r>
      <w:r>
        <w:rPr/>
        <w:t>старше</w:t>
      </w:r>
      <w:r>
        <w:rPr>
          <w:spacing w:val="40"/>
        </w:rPr>
        <w:t> </w:t>
      </w:r>
      <w:r>
        <w:rPr/>
        <w:t>18 лет, вакцина «АВРОРА-КоВ» – у взрослых в возрасте 18-60 лет.</w:t>
      </w:r>
    </w:p>
    <w:p>
      <w:pPr>
        <w:pStyle w:val="BodyText"/>
        <w:spacing w:line="276" w:lineRule="auto" w:before="12"/>
        <w:ind w:right="1271" w:firstLine="707"/>
      </w:pPr>
      <w:r>
        <w:rPr/>
        <w:t>Инактивированная вакцина («КовиВак») представляет собой очищенную концентрированную суспензию коронавируса SARS-CoV-2 штамм «AYDAR-1», полученного путем репродукции в перевиваемой культуре клеток Vero, инактивированного</w:t>
      </w:r>
      <w:r>
        <w:rPr>
          <w:spacing w:val="80"/>
        </w:rPr>
        <w:t> </w:t>
      </w:r>
      <w:r>
        <w:rPr/>
        <w:t>бета-пропиолактоном.</w:t>
      </w:r>
      <w:r>
        <w:rPr>
          <w:spacing w:val="80"/>
          <w:w w:val="150"/>
        </w:rPr>
        <w:t> </w:t>
      </w:r>
      <w:r>
        <w:rPr/>
        <w:t>Вакцина</w:t>
      </w:r>
      <w:r>
        <w:rPr>
          <w:spacing w:val="80"/>
        </w:rPr>
        <w:t> </w:t>
      </w:r>
      <w:r>
        <w:rPr/>
        <w:t>хранится</w:t>
      </w:r>
      <w:r>
        <w:rPr>
          <w:spacing w:val="80"/>
        </w:rPr>
        <w:t> </w:t>
      </w:r>
      <w:r>
        <w:rPr/>
        <w:t>при</w:t>
      </w:r>
      <w:r>
        <w:rPr>
          <w:spacing w:val="80"/>
        </w:rPr>
        <w:t> </w:t>
      </w:r>
      <w:r>
        <w:rPr/>
        <w:t>температуре</w:t>
      </w:r>
      <w:r>
        <w:rPr>
          <w:spacing w:val="80"/>
        </w:rPr>
        <w:t> </w:t>
      </w:r>
      <w:r>
        <w:rPr/>
        <w:t>от +2 до</w:t>
      </w:r>
      <w:r>
        <w:rPr>
          <w:spacing w:val="-2"/>
        </w:rPr>
        <w:t> </w:t>
      </w:r>
      <w:r>
        <w:rPr/>
        <w:t>+8 °C. Вакцину не замораживать! Вакцину вводят двукратно с интервалом 14</w:t>
      </w:r>
      <w:r>
        <w:rPr>
          <w:spacing w:val="-7"/>
        </w:rPr>
        <w:t> </w:t>
      </w:r>
      <w:r>
        <w:rPr/>
        <w:t>дней</w:t>
      </w:r>
      <w:r>
        <w:rPr>
          <w:spacing w:val="-6"/>
        </w:rPr>
        <w:t> </w:t>
      </w:r>
      <w:r>
        <w:rPr/>
        <w:t>в</w:t>
      </w:r>
      <w:r>
        <w:rPr>
          <w:spacing w:val="-7"/>
        </w:rPr>
        <w:t> </w:t>
      </w:r>
      <w:r>
        <w:rPr/>
        <w:t>дозе</w:t>
      </w:r>
      <w:r>
        <w:rPr>
          <w:spacing w:val="-8"/>
        </w:rPr>
        <w:t> </w:t>
      </w:r>
      <w:r>
        <w:rPr/>
        <w:t>0,5</w:t>
      </w:r>
      <w:r>
        <w:rPr>
          <w:spacing w:val="-7"/>
        </w:rPr>
        <w:t> </w:t>
      </w:r>
      <w:r>
        <w:rPr/>
        <w:t>мл</w:t>
      </w:r>
      <w:r>
        <w:rPr>
          <w:spacing w:val="-7"/>
        </w:rPr>
        <w:t> </w:t>
      </w:r>
      <w:r>
        <w:rPr/>
        <w:t>внутримышечно</w:t>
      </w:r>
      <w:r>
        <w:rPr>
          <w:spacing w:val="-7"/>
        </w:rPr>
        <w:t> </w:t>
      </w:r>
      <w:r>
        <w:rPr/>
        <w:t>в</w:t>
      </w:r>
      <w:r>
        <w:rPr>
          <w:spacing w:val="-7"/>
        </w:rPr>
        <w:t> </w:t>
      </w:r>
      <w:r>
        <w:rPr/>
        <w:t>верхнюю</w:t>
      </w:r>
      <w:r>
        <w:rPr>
          <w:spacing w:val="-6"/>
        </w:rPr>
        <w:t> </w:t>
      </w:r>
      <w:r>
        <w:rPr/>
        <w:t>треть</w:t>
      </w:r>
      <w:r>
        <w:rPr>
          <w:spacing w:val="-8"/>
        </w:rPr>
        <w:t> </w:t>
      </w:r>
      <w:r>
        <w:rPr/>
        <w:t>наружной</w:t>
      </w:r>
      <w:r>
        <w:rPr>
          <w:spacing w:val="-8"/>
        </w:rPr>
        <w:t> </w:t>
      </w:r>
      <w:r>
        <w:rPr/>
        <w:t>поверхности</w:t>
      </w:r>
      <w:r>
        <w:rPr>
          <w:spacing w:val="-8"/>
        </w:rPr>
        <w:t> </w:t>
      </w:r>
      <w:r>
        <w:rPr/>
        <w:t>плеча. Вакцина</w:t>
      </w:r>
      <w:r>
        <w:rPr>
          <w:spacing w:val="-10"/>
        </w:rPr>
        <w:t> </w:t>
      </w:r>
      <w:r>
        <w:rPr/>
        <w:t>«КовиВак»</w:t>
      </w:r>
      <w:r>
        <w:rPr>
          <w:spacing w:val="-9"/>
        </w:rPr>
        <w:t> </w:t>
      </w:r>
      <w:r>
        <w:rPr/>
        <w:t>применяется</w:t>
      </w:r>
      <w:r>
        <w:rPr>
          <w:spacing w:val="-10"/>
        </w:rPr>
        <w:t> </w:t>
      </w:r>
      <w:r>
        <w:rPr/>
        <w:t>для</w:t>
      </w:r>
      <w:r>
        <w:rPr>
          <w:spacing w:val="-9"/>
        </w:rPr>
        <w:t> </w:t>
      </w:r>
      <w:r>
        <w:rPr/>
        <w:t>профилактики</w:t>
      </w:r>
      <w:r>
        <w:rPr>
          <w:spacing w:val="-8"/>
        </w:rPr>
        <w:t> </w:t>
      </w:r>
      <w:r>
        <w:rPr/>
        <w:t>COVID-19</w:t>
      </w:r>
      <w:r>
        <w:rPr>
          <w:spacing w:val="-9"/>
        </w:rPr>
        <w:t> </w:t>
      </w:r>
      <w:r>
        <w:rPr/>
        <w:t>у</w:t>
      </w:r>
      <w:r>
        <w:rPr>
          <w:spacing w:val="-9"/>
        </w:rPr>
        <w:t> </w:t>
      </w:r>
      <w:r>
        <w:rPr/>
        <w:t>взрослых</w:t>
      </w:r>
      <w:r>
        <w:rPr>
          <w:spacing w:val="-10"/>
        </w:rPr>
        <w:t> </w:t>
      </w:r>
      <w:r>
        <w:rPr/>
        <w:t>в</w:t>
      </w:r>
      <w:r>
        <w:rPr>
          <w:spacing w:val="-10"/>
        </w:rPr>
        <w:t> </w:t>
      </w:r>
      <w:r>
        <w:rPr/>
        <w:t>возрасте 18-60 лет.</w:t>
      </w:r>
    </w:p>
    <w:p>
      <w:pPr>
        <w:pStyle w:val="BodyText"/>
        <w:spacing w:line="276" w:lineRule="auto" w:before="12"/>
        <w:ind w:right="1273" w:firstLine="707"/>
      </w:pPr>
      <w:r>
        <w:rPr/>
        <w:t>Вакцина субъединичная рекомбинантная («Конвасэл») представляет собой рекомбинантный</w:t>
      </w:r>
      <w:r>
        <w:rPr>
          <w:spacing w:val="62"/>
        </w:rPr>
        <w:t>  </w:t>
      </w:r>
      <w:r>
        <w:rPr/>
        <w:t>нуклеокапсидный</w:t>
      </w:r>
      <w:r>
        <w:rPr>
          <w:spacing w:val="62"/>
        </w:rPr>
        <w:t>  </w:t>
      </w:r>
      <w:r>
        <w:rPr/>
        <w:t>белок</w:t>
      </w:r>
      <w:r>
        <w:rPr>
          <w:spacing w:val="61"/>
        </w:rPr>
        <w:t>  </w:t>
      </w:r>
      <w:r>
        <w:rPr/>
        <w:t>вируса</w:t>
      </w:r>
      <w:r>
        <w:rPr>
          <w:spacing w:val="61"/>
        </w:rPr>
        <w:t>  </w:t>
      </w:r>
      <w:r>
        <w:rPr/>
        <w:t>SARS-CoV-2,</w:t>
      </w:r>
      <w:r>
        <w:rPr>
          <w:spacing w:val="62"/>
        </w:rPr>
        <w:t>  </w:t>
      </w:r>
      <w:r>
        <w:rPr/>
        <w:t>полученный в Escherichia coli, и смесь вспомогательных веществ (сквалан, (D,L)-α-токоферол, Полисорбат</w:t>
      </w:r>
      <w:r>
        <w:rPr>
          <w:spacing w:val="80"/>
        </w:rPr>
        <w:t> </w:t>
      </w:r>
      <w:r>
        <w:rPr/>
        <w:t>80)</w:t>
      </w:r>
      <w:r>
        <w:rPr>
          <w:spacing w:val="80"/>
        </w:rPr>
        <w:t> </w:t>
      </w:r>
      <w:r>
        <w:rPr/>
        <w:t>в</w:t>
      </w:r>
      <w:r>
        <w:rPr>
          <w:spacing w:val="80"/>
        </w:rPr>
        <w:t> </w:t>
      </w:r>
      <w:r>
        <w:rPr/>
        <w:t>форме</w:t>
      </w:r>
      <w:r>
        <w:rPr>
          <w:spacing w:val="80"/>
        </w:rPr>
        <w:t> </w:t>
      </w:r>
      <w:r>
        <w:rPr/>
        <w:t>эмульсии.</w:t>
      </w:r>
      <w:r>
        <w:rPr>
          <w:spacing w:val="80"/>
        </w:rPr>
        <w:t> </w:t>
      </w:r>
      <w:r>
        <w:rPr/>
        <w:t>Применяется</w:t>
      </w:r>
      <w:r>
        <w:rPr>
          <w:spacing w:val="80"/>
        </w:rPr>
        <w:t> </w:t>
      </w:r>
      <w:r>
        <w:rPr/>
        <w:t>для</w:t>
      </w:r>
      <w:r>
        <w:rPr>
          <w:spacing w:val="80"/>
        </w:rPr>
        <w:t> </w:t>
      </w:r>
      <w:r>
        <w:rPr/>
        <w:t>профилактики</w:t>
      </w:r>
      <w:r>
        <w:rPr>
          <w:spacing w:val="80"/>
        </w:rPr>
        <w:t> </w:t>
      </w:r>
      <w:r>
        <w:rPr/>
        <w:t>COVID-19 у взрослых в возрасте 18-60 лет.</w:t>
      </w:r>
    </w:p>
    <w:p>
      <w:pPr>
        <w:pStyle w:val="BodyText"/>
        <w:spacing w:line="276" w:lineRule="auto" w:before="13"/>
        <w:ind w:right="1271" w:firstLine="707"/>
      </w:pPr>
      <w:r>
        <w:rPr/>
        <w:t>Комбинированная векторная вакцина («Салнавак») в форме спрея назального получена</w:t>
      </w:r>
      <w:r>
        <w:rPr>
          <w:spacing w:val="80"/>
        </w:rPr>
        <w:t>  </w:t>
      </w:r>
      <w:r>
        <w:rPr/>
        <w:t>биотехнологическим</w:t>
      </w:r>
      <w:r>
        <w:rPr>
          <w:spacing w:val="80"/>
        </w:rPr>
        <w:t>  </w:t>
      </w:r>
      <w:r>
        <w:rPr/>
        <w:t>путем,</w:t>
      </w:r>
      <w:r>
        <w:rPr>
          <w:spacing w:val="80"/>
        </w:rPr>
        <w:t>  </w:t>
      </w:r>
      <w:r>
        <w:rPr/>
        <w:t>при</w:t>
      </w:r>
      <w:r>
        <w:rPr>
          <w:spacing w:val="80"/>
        </w:rPr>
        <w:t>  </w:t>
      </w:r>
      <w:r>
        <w:rPr/>
        <w:t>котором</w:t>
      </w:r>
      <w:r>
        <w:rPr>
          <w:spacing w:val="80"/>
        </w:rPr>
        <w:t>  </w:t>
      </w:r>
      <w:r>
        <w:rPr/>
        <w:t>вирус</w:t>
      </w:r>
      <w:r>
        <w:rPr>
          <w:spacing w:val="80"/>
        </w:rPr>
        <w:t>  </w:t>
      </w:r>
      <w:r>
        <w:rPr/>
        <w:t>SARS-CoV-2 не используется. Препарат состоит из двух компонентов: рекомбинантный аденовирусный</w:t>
      </w:r>
      <w:r>
        <w:rPr>
          <w:spacing w:val="40"/>
        </w:rPr>
        <w:t> </w:t>
      </w:r>
      <w:r>
        <w:rPr/>
        <w:t>вектор</w:t>
      </w:r>
      <w:r>
        <w:rPr>
          <w:spacing w:val="38"/>
        </w:rPr>
        <w:t> </w:t>
      </w:r>
      <w:r>
        <w:rPr/>
        <w:t>на</w:t>
      </w:r>
      <w:r>
        <w:rPr>
          <w:spacing w:val="39"/>
        </w:rPr>
        <w:t> </w:t>
      </w:r>
      <w:r>
        <w:rPr/>
        <w:t>основе</w:t>
      </w:r>
      <w:r>
        <w:rPr>
          <w:spacing w:val="38"/>
        </w:rPr>
        <w:t> </w:t>
      </w:r>
      <w:r>
        <w:rPr/>
        <w:t>аденовируса</w:t>
      </w:r>
      <w:r>
        <w:rPr>
          <w:spacing w:val="39"/>
        </w:rPr>
        <w:t> </w:t>
      </w:r>
      <w:r>
        <w:rPr/>
        <w:t>человека</w:t>
      </w:r>
      <w:r>
        <w:rPr>
          <w:spacing w:val="39"/>
        </w:rPr>
        <w:t> </w:t>
      </w:r>
      <w:r>
        <w:rPr/>
        <w:t>26</w:t>
      </w:r>
      <w:r>
        <w:rPr>
          <w:spacing w:val="40"/>
        </w:rPr>
        <w:t> </w:t>
      </w:r>
      <w:r>
        <w:rPr/>
        <w:t>серотипа,</w:t>
      </w:r>
      <w:r>
        <w:rPr>
          <w:spacing w:val="40"/>
        </w:rPr>
        <w:t> </w:t>
      </w:r>
      <w:r>
        <w:rPr/>
        <w:t>несущий</w:t>
      </w:r>
      <w:r>
        <w:rPr>
          <w:spacing w:val="40"/>
        </w:rPr>
        <w:t> </w:t>
      </w:r>
      <w:r>
        <w:rPr/>
        <w:t>ген S-белка</w:t>
      </w:r>
      <w:r>
        <w:rPr>
          <w:spacing w:val="80"/>
        </w:rPr>
        <w:t> </w:t>
      </w:r>
      <w:r>
        <w:rPr/>
        <w:t>SARS-CoV-2</w:t>
      </w:r>
      <w:r>
        <w:rPr>
          <w:spacing w:val="80"/>
        </w:rPr>
        <w:t> </w:t>
      </w:r>
      <w:r>
        <w:rPr/>
        <w:t>(компонент</w:t>
      </w:r>
      <w:r>
        <w:rPr>
          <w:spacing w:val="80"/>
        </w:rPr>
        <w:t> </w:t>
      </w:r>
      <w:r>
        <w:rPr/>
        <w:t>I)</w:t>
      </w:r>
      <w:r>
        <w:rPr>
          <w:spacing w:val="80"/>
        </w:rPr>
        <w:t> </w:t>
      </w:r>
      <w:r>
        <w:rPr/>
        <w:t>и</w:t>
      </w:r>
      <w:r>
        <w:rPr>
          <w:spacing w:val="80"/>
        </w:rPr>
        <w:t> </w:t>
      </w:r>
      <w:r>
        <w:rPr/>
        <w:t>рекомбинантный</w:t>
      </w:r>
      <w:r>
        <w:rPr>
          <w:spacing w:val="80"/>
        </w:rPr>
        <w:t> </w:t>
      </w:r>
      <w:r>
        <w:rPr/>
        <w:t>аденовирусный</w:t>
      </w:r>
      <w:r>
        <w:rPr>
          <w:spacing w:val="80"/>
        </w:rPr>
        <w:t> </w:t>
      </w:r>
      <w:r>
        <w:rPr/>
        <w:t>вектор на основе аденовируса человека 5 серотипа, несущий ген S-белка SARS-CoV-2 (компонент</w:t>
      </w:r>
      <w:r>
        <w:rPr>
          <w:spacing w:val="40"/>
        </w:rPr>
        <w:t> </w:t>
      </w:r>
      <w:r>
        <w:rPr/>
        <w:t>II).</w:t>
      </w:r>
      <w:r>
        <w:rPr>
          <w:spacing w:val="40"/>
        </w:rPr>
        <w:t> </w:t>
      </w:r>
      <w:r>
        <w:rPr/>
        <w:t>Применяется</w:t>
      </w:r>
      <w:r>
        <w:rPr>
          <w:spacing w:val="40"/>
        </w:rPr>
        <w:t> </w:t>
      </w:r>
      <w:r>
        <w:rPr/>
        <w:t>для</w:t>
      </w:r>
      <w:r>
        <w:rPr>
          <w:spacing w:val="40"/>
        </w:rPr>
        <w:t> </w:t>
      </w:r>
      <w:r>
        <w:rPr/>
        <w:t>профилактики</w:t>
      </w:r>
      <w:r>
        <w:rPr>
          <w:spacing w:val="40"/>
        </w:rPr>
        <w:t> </w:t>
      </w:r>
      <w:r>
        <w:rPr/>
        <w:t>COVID-19</w:t>
      </w:r>
      <w:r>
        <w:rPr>
          <w:spacing w:val="40"/>
        </w:rPr>
        <w:t> </w:t>
      </w:r>
      <w:r>
        <w:rPr/>
        <w:t>у</w:t>
      </w:r>
      <w:r>
        <w:rPr>
          <w:spacing w:val="40"/>
        </w:rPr>
        <w:t> </w:t>
      </w:r>
      <w:r>
        <w:rPr/>
        <w:t>взрослых</w:t>
      </w:r>
      <w:r>
        <w:rPr>
          <w:spacing w:val="40"/>
        </w:rPr>
        <w:t> </w:t>
      </w:r>
      <w:r>
        <w:rPr/>
        <w:t>в</w:t>
      </w:r>
      <w:r>
        <w:rPr>
          <w:spacing w:val="40"/>
        </w:rPr>
        <w:t> </w:t>
      </w:r>
      <w:r>
        <w:rPr/>
        <w:t>возрасте 18-60 лет.</w:t>
      </w:r>
    </w:p>
    <w:p>
      <w:pPr>
        <w:pStyle w:val="BodyText"/>
        <w:spacing w:line="276" w:lineRule="auto" w:before="12"/>
        <w:ind w:right="1271" w:firstLine="707"/>
      </w:pPr>
      <w:r>
        <w:rPr/>
        <w:t>В Календаре профилактических прививок по эпидемическим показаниям определены</w:t>
      </w:r>
      <w:r>
        <w:rPr>
          <w:spacing w:val="80"/>
        </w:rPr>
        <w:t> </w:t>
      </w:r>
      <w:r>
        <w:rPr/>
        <w:t>категории</w:t>
      </w:r>
      <w:r>
        <w:rPr>
          <w:spacing w:val="80"/>
        </w:rPr>
        <w:t> </w:t>
      </w:r>
      <w:r>
        <w:rPr/>
        <w:t>граждан</w:t>
      </w:r>
      <w:r>
        <w:rPr>
          <w:spacing w:val="80"/>
          <w:w w:val="150"/>
        </w:rPr>
        <w:t> </w:t>
      </w:r>
      <w:r>
        <w:rPr/>
        <w:t>подлежащие</w:t>
      </w:r>
      <w:r>
        <w:rPr>
          <w:spacing w:val="80"/>
        </w:rPr>
        <w:t> </w:t>
      </w:r>
      <w:r>
        <w:rPr/>
        <w:t>вакцинации</w:t>
      </w:r>
      <w:r>
        <w:rPr>
          <w:spacing w:val="80"/>
          <w:w w:val="150"/>
        </w:rPr>
        <w:t> </w:t>
      </w:r>
      <w:r>
        <w:rPr/>
        <w:t>против</w:t>
      </w:r>
      <w:r>
        <w:rPr>
          <w:spacing w:val="80"/>
        </w:rPr>
        <w:t> </w:t>
      </w:r>
      <w:r>
        <w:rPr/>
        <w:t>COVID-19</w:t>
      </w:r>
      <w:r>
        <w:rPr>
          <w:spacing w:val="28"/>
        </w:rPr>
        <w:t> </w:t>
      </w:r>
      <w:r>
        <w:rPr>
          <w:vertAlign w:val="superscript"/>
        </w:rPr>
        <w:t>1</w:t>
      </w:r>
      <w:r>
        <w:rPr>
          <w:spacing w:val="29"/>
          <w:vertAlign w:val="baseline"/>
        </w:rPr>
        <w:t> </w:t>
      </w:r>
      <w:r>
        <w:rPr>
          <w:vertAlign w:val="baseline"/>
        </w:rPr>
        <w:t>. В соответствии с Письмом Минздрава России от 18 июня 2024 года №30-4/2753 «О вакцинации против COVID-19», вакцинопрофилактика в настоящее время носит рекомендательный характер.</w:t>
      </w:r>
    </w:p>
    <w:p>
      <w:pPr>
        <w:pStyle w:val="BodyText"/>
        <w:spacing w:line="276" w:lineRule="auto" w:before="13"/>
        <w:ind w:right="1274" w:firstLine="707"/>
      </w:pPr>
      <w:r>
        <w:rPr/>
        <w:t>Вакцинные препараты (кроме вакцины «Гам-КОВИД-Вак» в форме раствора для внутримышечного введения) зарегистрированы по особой процедуре регистрации, в</w:t>
      </w:r>
      <w:r>
        <w:rPr>
          <w:spacing w:val="-3"/>
        </w:rPr>
        <w:t> </w:t>
      </w:r>
      <w:r>
        <w:rPr/>
        <w:t>связи с</w:t>
      </w:r>
      <w:r>
        <w:rPr>
          <w:spacing w:val="-1"/>
        </w:rPr>
        <w:t> </w:t>
      </w:r>
      <w:r>
        <w:rPr/>
        <w:t>чем необходимо уведомлять Федеральную службу по надзору в сфере здравоохранения о каждом факте применения лекарственного препарата путем внесения информации в соответствующий раздел информационной системы ЕГИСЗ. Факт применения вакцины на I и II этапах подтверждается внесением информации по форме регистра вакцинированных от COVID-19 в ЕГИСЗ.</w:t>
      </w:r>
    </w:p>
    <w:p>
      <w:pPr>
        <w:pStyle w:val="BodyText"/>
        <w:spacing w:before="8"/>
        <w:ind w:left="0"/>
        <w:jc w:val="left"/>
        <w:rPr>
          <w:sz w:val="17"/>
        </w:rPr>
      </w:pPr>
      <w:r>
        <w:rPr>
          <w:sz w:val="17"/>
        </w:rPr>
        <mc:AlternateContent>
          <mc:Choice Requires="wps">
            <w:drawing>
              <wp:anchor distT="0" distB="0" distL="0" distR="0" allowOverlap="1" layoutInCell="1" locked="0" behindDoc="1" simplePos="0" relativeHeight="487601664">
                <wp:simplePos x="0" y="0"/>
                <wp:positionH relativeFrom="page">
                  <wp:posOffset>1170736</wp:posOffset>
                </wp:positionH>
                <wp:positionV relativeFrom="paragraph">
                  <wp:posOffset>144685</wp:posOffset>
                </wp:positionV>
                <wp:extent cx="1829435" cy="9525"/>
                <wp:effectExtent l="0" t="0" r="0" b="0"/>
                <wp:wrapTopAndBottom/>
                <wp:docPr id="69" name="Graphic 69"/>
                <wp:cNvGraphicFramePr>
                  <a:graphicFrameLocks/>
                </wp:cNvGraphicFramePr>
                <a:graphic>
                  <a:graphicData uri="http://schemas.microsoft.com/office/word/2010/wordprocessingShape">
                    <wps:wsp>
                      <wps:cNvPr id="69" name="Graphic 69"/>
                      <wps:cNvSpPr/>
                      <wps:spPr>
                        <a:xfrm>
                          <a:off x="0" y="0"/>
                          <a:ext cx="1829435" cy="9525"/>
                        </a:xfrm>
                        <a:custGeom>
                          <a:avLst/>
                          <a:gdLst/>
                          <a:ahLst/>
                          <a:cxnLst/>
                          <a:rect l="l" t="t" r="r" b="b"/>
                          <a:pathLst>
                            <a:path w="1829435" h="9525">
                              <a:moveTo>
                                <a:pt x="1826234" y="1802"/>
                              </a:moveTo>
                              <a:lnTo>
                                <a:pt x="-1100" y="1802"/>
                              </a:lnTo>
                              <a:lnTo>
                                <a:pt x="-1100" y="10937"/>
                              </a:lnTo>
                              <a:lnTo>
                                <a:pt x="1826234" y="10937"/>
                              </a:lnTo>
                              <a:lnTo>
                                <a:pt x="1826234" y="1802"/>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11.534514pt;width:143.884618pt;height:.719293pt;mso-position-horizontal-relative:page;mso-position-vertical-relative:paragraph;z-index:-15714816;mso-wrap-distance-left:0;mso-wrap-distance-right:0" id="docshape57" filled="true" fillcolor="#000000" stroked="false">
                <v:fill type="solid"/>
                <w10:wrap type="topAndBottom"/>
              </v:rect>
            </w:pict>
          </mc:Fallback>
        </mc:AlternateContent>
      </w:r>
    </w:p>
    <w:p>
      <w:pPr>
        <w:pStyle w:val="BodyText"/>
        <w:ind w:left="0"/>
        <w:jc w:val="left"/>
        <w:rPr>
          <w:sz w:val="20"/>
        </w:rPr>
      </w:pPr>
    </w:p>
    <w:p>
      <w:pPr>
        <w:pStyle w:val="BodyText"/>
        <w:spacing w:before="190"/>
        <w:ind w:left="0"/>
        <w:jc w:val="left"/>
        <w:rPr>
          <w:sz w:val="20"/>
        </w:rPr>
      </w:pPr>
    </w:p>
    <w:p>
      <w:pPr>
        <w:spacing w:before="0"/>
        <w:ind w:left="1841" w:right="1277" w:firstLine="0"/>
        <w:jc w:val="both"/>
        <w:rPr>
          <w:sz w:val="20"/>
        </w:rPr>
      </w:pPr>
      <w:r>
        <w:rPr>
          <w:sz w:val="20"/>
          <w:vertAlign w:val="superscript"/>
        </w:rPr>
        <w:t>1</w:t>
      </w:r>
      <w:r>
        <w:rPr>
          <w:sz w:val="20"/>
          <w:vertAlign w:val="baseline"/>
        </w:rPr>
        <w:t> Приказ Министерства здравоохранения Российской Федерации от 06.12.2021 № 1122н "Об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w:t>
      </w:r>
    </w:p>
    <w:p>
      <w:pPr>
        <w:spacing w:after="0"/>
        <w:jc w:val="both"/>
        <w:rPr>
          <w:sz w:val="20"/>
        </w:rPr>
        <w:sectPr>
          <w:pgSz w:w="11900" w:h="16840"/>
          <w:pgMar w:header="0" w:footer="697" w:top="1080" w:bottom="880" w:left="0" w:right="0"/>
        </w:sectPr>
      </w:pPr>
    </w:p>
    <w:p>
      <w:pPr>
        <w:pStyle w:val="BodyText"/>
        <w:spacing w:line="276" w:lineRule="auto" w:before="73"/>
        <w:ind w:right="1272" w:firstLine="707"/>
      </w:pPr>
      <w:bookmarkStart w:name="121" w:id="143"/>
      <w:bookmarkEnd w:id="143"/>
      <w:r>
        <w:rPr/>
      </w:r>
      <w:r>
        <w:rPr/>
        <w:t>При работе с побочными проявлениями после иммунизации вакцин следует учитывать положения "Методические рекомендации по выявлению, расследованию</w:t>
      </w:r>
      <w:r>
        <w:rPr>
          <w:spacing w:val="40"/>
        </w:rPr>
        <w:t> </w:t>
      </w:r>
      <w:r>
        <w:rPr/>
        <w:t>и</w:t>
      </w:r>
      <w:r>
        <w:rPr>
          <w:spacing w:val="-1"/>
        </w:rPr>
        <w:t> </w:t>
      </w:r>
      <w:r>
        <w:rPr/>
        <w:t>профилактике побочных проявлений после иммунизации" (утверждены Минздравом России 12.04.2019). В субъектах Российской Федерации предпочтительно создать и</w:t>
      </w:r>
      <w:r>
        <w:rPr>
          <w:spacing w:val="-1"/>
        </w:rPr>
        <w:t> </w:t>
      </w:r>
      <w:r>
        <w:rPr/>
        <w:t>утвердить региональные иммунологические комиссии (далее - Комиссия), которые могут быть оперативно привлечены для проведения комиссионного</w:t>
      </w:r>
      <w:r>
        <w:rPr>
          <w:spacing w:val="80"/>
        </w:rPr>
        <w:t>  </w:t>
      </w:r>
      <w:r>
        <w:rPr/>
        <w:t>расследования</w:t>
      </w:r>
      <w:r>
        <w:rPr>
          <w:spacing w:val="80"/>
        </w:rPr>
        <w:t>  </w:t>
      </w:r>
      <w:r>
        <w:rPr/>
        <w:t>побочных</w:t>
      </w:r>
      <w:r>
        <w:rPr>
          <w:spacing w:val="80"/>
        </w:rPr>
        <w:t>  </w:t>
      </w:r>
      <w:r>
        <w:rPr/>
        <w:t>явлений</w:t>
      </w:r>
      <w:r>
        <w:rPr>
          <w:spacing w:val="80"/>
        </w:rPr>
        <w:t>  </w:t>
      </w:r>
      <w:r>
        <w:rPr/>
        <w:t>после</w:t>
      </w:r>
      <w:r>
        <w:rPr>
          <w:spacing w:val="80"/>
        </w:rPr>
        <w:t>  </w:t>
      </w:r>
      <w:r>
        <w:rPr/>
        <w:t>иммунизации.</w:t>
      </w:r>
      <w:r>
        <w:rPr>
          <w:spacing w:val="40"/>
        </w:rPr>
        <w:t> </w:t>
      </w:r>
      <w:r>
        <w:rPr/>
        <w:t>Акт расследования каждого случая серьезного побочного проявления после иммунизации направляется в Центральный аппарат Росздравнадзора в электронной форме</w:t>
      </w:r>
      <w:r>
        <w:rPr>
          <w:spacing w:val="80"/>
        </w:rPr>
        <w:t>  </w:t>
      </w:r>
      <w:r>
        <w:rPr/>
        <w:t>в</w:t>
      </w:r>
      <w:r>
        <w:rPr>
          <w:spacing w:val="80"/>
        </w:rPr>
        <w:t>  </w:t>
      </w:r>
      <w:r>
        <w:rPr/>
        <w:t>качестве</w:t>
      </w:r>
      <w:r>
        <w:rPr>
          <w:spacing w:val="80"/>
        </w:rPr>
        <w:t>  </w:t>
      </w:r>
      <w:r>
        <w:rPr/>
        <w:t>приложения</w:t>
      </w:r>
      <w:r>
        <w:rPr>
          <w:spacing w:val="80"/>
        </w:rPr>
        <w:t>  </w:t>
      </w:r>
      <w:r>
        <w:rPr/>
        <w:t>к</w:t>
      </w:r>
      <w:r>
        <w:rPr>
          <w:spacing w:val="80"/>
        </w:rPr>
        <w:t>  </w:t>
      </w:r>
      <w:r>
        <w:rPr/>
        <w:t>извещению</w:t>
      </w:r>
      <w:r>
        <w:rPr>
          <w:spacing w:val="80"/>
        </w:rPr>
        <w:t>  </w:t>
      </w:r>
      <w:r>
        <w:rPr/>
        <w:t>о нежелательной</w:t>
      </w:r>
      <w:r>
        <w:rPr>
          <w:spacing w:val="80"/>
        </w:rPr>
        <w:t>  </w:t>
      </w:r>
      <w:r>
        <w:rPr/>
        <w:t>реакции на лекарственный препарат информационного ресурса "Фармаконадзор 2.0" Автоматизированной Информационной Системы Росздравнадзора.</w:t>
      </w:r>
    </w:p>
    <w:p>
      <w:pPr>
        <w:pStyle w:val="BodyText"/>
        <w:spacing w:line="276" w:lineRule="auto"/>
        <w:ind w:right="1272" w:firstLine="707"/>
      </w:pPr>
      <w:r>
        <w:rPr/>
        <w:t>У особых групп пациентов (пациенты с первичным и вторичным иммунодефитом; онкологические больные, получающие лучевую терапию, химиотерапию, таргетную терапию или иммунотерапию; пациенты, перенесшие трансплантацию костного мозга или органов;</w:t>
      </w:r>
      <w:r>
        <w:rPr>
          <w:spacing w:val="-3"/>
        </w:rPr>
        <w:t> </w:t>
      </w:r>
      <w:r>
        <w:rPr/>
        <w:t>пациенты,</w:t>
      </w:r>
      <w:r>
        <w:rPr>
          <w:spacing w:val="-1"/>
        </w:rPr>
        <w:t> </w:t>
      </w:r>
      <w:r>
        <w:rPr/>
        <w:t>получающие лекарственные препараты, ослабляющих иммунитет; пациенты с ожирением (ИМТ ≥ 35), сердечно- сосудистыми заболеваниями, хроническими заболеваниями легких, сахарным диабетом 1 или 2 типа, хроническими заболеваниями почек) с целью доконтактной (предэкспозиционной) профилактики COVID-19 ранее использовалась комбинация моноклональных антител длительного действия (тиксагевимаб + цилгавимаб): взрослые и дети в возрасте от 12 лет и старше с массой тела не менее 40 кг, которые имели</w:t>
      </w:r>
      <w:r>
        <w:rPr>
          <w:spacing w:val="-4"/>
        </w:rPr>
        <w:t> </w:t>
      </w:r>
      <w:r>
        <w:rPr/>
        <w:t>снижение</w:t>
      </w:r>
      <w:r>
        <w:rPr>
          <w:spacing w:val="-5"/>
        </w:rPr>
        <w:t> </w:t>
      </w:r>
      <w:r>
        <w:rPr/>
        <w:t>иммунитета</w:t>
      </w:r>
      <w:r>
        <w:rPr>
          <w:spacing w:val="-5"/>
        </w:rPr>
        <w:t> </w:t>
      </w:r>
      <w:r>
        <w:rPr/>
        <w:t>вследствие</w:t>
      </w:r>
      <w:r>
        <w:rPr>
          <w:spacing w:val="-5"/>
        </w:rPr>
        <w:t> </w:t>
      </w:r>
      <w:r>
        <w:rPr/>
        <w:t>патологического</w:t>
      </w:r>
      <w:r>
        <w:rPr>
          <w:spacing w:val="-5"/>
        </w:rPr>
        <w:t> </w:t>
      </w:r>
      <w:r>
        <w:rPr/>
        <w:t>состояния</w:t>
      </w:r>
      <w:r>
        <w:rPr>
          <w:spacing w:val="-7"/>
        </w:rPr>
        <w:t> </w:t>
      </w:r>
      <w:r>
        <w:rPr/>
        <w:t>или</w:t>
      </w:r>
      <w:r>
        <w:rPr>
          <w:spacing w:val="-4"/>
        </w:rPr>
        <w:t> </w:t>
      </w:r>
      <w:r>
        <w:rPr/>
        <w:t>применения иммуносупрессивных</w:t>
      </w:r>
      <w:r>
        <w:rPr>
          <w:spacing w:val="-3"/>
        </w:rPr>
        <w:t> </w:t>
      </w:r>
      <w:r>
        <w:rPr/>
        <w:t>лекарственных</w:t>
      </w:r>
      <w:r>
        <w:rPr>
          <w:spacing w:val="-3"/>
        </w:rPr>
        <w:t> </w:t>
      </w:r>
      <w:r>
        <w:rPr/>
        <w:t>препаратов</w:t>
      </w:r>
      <w:r>
        <w:rPr>
          <w:spacing w:val="-3"/>
        </w:rPr>
        <w:t> </w:t>
      </w:r>
      <w:r>
        <w:rPr/>
        <w:t>или</w:t>
      </w:r>
      <w:r>
        <w:rPr>
          <w:spacing w:val="-2"/>
        </w:rPr>
        <w:t> </w:t>
      </w:r>
      <w:r>
        <w:rPr/>
        <w:t>терапии,</w:t>
      </w:r>
      <w:r>
        <w:rPr>
          <w:spacing w:val="-5"/>
        </w:rPr>
        <w:t> </w:t>
      </w:r>
      <w:r>
        <w:rPr/>
        <w:t>или</w:t>
      </w:r>
      <w:r>
        <w:rPr>
          <w:spacing w:val="-2"/>
        </w:rPr>
        <w:t> </w:t>
      </w:r>
      <w:r>
        <w:rPr/>
        <w:t>у</w:t>
      </w:r>
      <w:r>
        <w:rPr>
          <w:spacing w:val="-3"/>
        </w:rPr>
        <w:t> </w:t>
      </w:r>
      <w:r>
        <w:rPr/>
        <w:t>них</w:t>
      </w:r>
      <w:r>
        <w:rPr>
          <w:spacing w:val="-3"/>
        </w:rPr>
        <w:t> </w:t>
      </w:r>
      <w:r>
        <w:rPr/>
        <w:t>отсутствует адекватный иммунный ответ на вакцинацию против COVID-19 иливакцинация имеющейся</w:t>
      </w:r>
      <w:r>
        <w:rPr>
          <w:spacing w:val="-5"/>
        </w:rPr>
        <w:t> </w:t>
      </w:r>
      <w:r>
        <w:rPr/>
        <w:t>вакциной</w:t>
      </w:r>
      <w:r>
        <w:rPr>
          <w:spacing w:val="-4"/>
        </w:rPr>
        <w:t> </w:t>
      </w:r>
      <w:r>
        <w:rPr/>
        <w:t>от</w:t>
      </w:r>
      <w:r>
        <w:rPr>
          <w:spacing w:val="-5"/>
        </w:rPr>
        <w:t> </w:t>
      </w:r>
      <w:r>
        <w:rPr/>
        <w:t>COVID-19</w:t>
      </w:r>
      <w:r>
        <w:rPr>
          <w:spacing w:val="-2"/>
        </w:rPr>
        <w:t> </w:t>
      </w:r>
      <w:r>
        <w:rPr/>
        <w:t>в</w:t>
      </w:r>
      <w:r>
        <w:rPr>
          <w:spacing w:val="-5"/>
        </w:rPr>
        <w:t> </w:t>
      </w:r>
      <w:r>
        <w:rPr/>
        <w:t>соответствии</w:t>
      </w:r>
      <w:r>
        <w:rPr>
          <w:spacing w:val="-4"/>
        </w:rPr>
        <w:t> </w:t>
      </w:r>
      <w:r>
        <w:rPr/>
        <w:t>с</w:t>
      </w:r>
      <w:r>
        <w:rPr>
          <w:spacing w:val="-5"/>
        </w:rPr>
        <w:t> </w:t>
      </w:r>
      <w:r>
        <w:rPr/>
        <w:t>одобренным</w:t>
      </w:r>
      <w:r>
        <w:rPr>
          <w:spacing w:val="-6"/>
        </w:rPr>
        <w:t> </w:t>
      </w:r>
      <w:r>
        <w:rPr/>
        <w:t>или</w:t>
      </w:r>
      <w:r>
        <w:rPr>
          <w:spacing w:val="-6"/>
        </w:rPr>
        <w:t> </w:t>
      </w:r>
      <w:r>
        <w:rPr/>
        <w:t>утвержденным графиком была не рекомендована им вследствие ранее перенесенной тяжелой нежелательной</w:t>
      </w:r>
      <w:r>
        <w:rPr>
          <w:spacing w:val="76"/>
        </w:rPr>
        <w:t>   </w:t>
      </w:r>
      <w:r>
        <w:rPr/>
        <w:t>реакции</w:t>
      </w:r>
      <w:r>
        <w:rPr>
          <w:spacing w:val="75"/>
        </w:rPr>
        <w:t>   </w:t>
      </w:r>
      <w:r>
        <w:rPr/>
        <w:t>(например,</w:t>
      </w:r>
      <w:r>
        <w:rPr>
          <w:spacing w:val="76"/>
        </w:rPr>
        <w:t>   </w:t>
      </w:r>
      <w:r>
        <w:rPr/>
        <w:t>тяжелая</w:t>
      </w:r>
      <w:r>
        <w:rPr>
          <w:spacing w:val="76"/>
        </w:rPr>
        <w:t>   </w:t>
      </w:r>
      <w:r>
        <w:rPr/>
        <w:t>аллергическая</w:t>
      </w:r>
      <w:r>
        <w:rPr>
          <w:spacing w:val="76"/>
        </w:rPr>
        <w:t>   </w:t>
      </w:r>
      <w:r>
        <w:rPr/>
        <w:t>реакция) на вакцину(ы) против COVID-19 и/или компонент(ы) вакцины против COVID-19. Однако, в настоящее время данные комбинация моноклональных антител потеряла свою вируснейтрализующую активности в отношении циркулирующих штаммов SARS-CoV-2 и более не используетя в клинической практике.</w:t>
      </w:r>
    </w:p>
    <w:p>
      <w:pPr>
        <w:pStyle w:val="BodyText"/>
        <w:spacing w:before="33"/>
        <w:ind w:left="0"/>
        <w:jc w:val="left"/>
      </w:pPr>
    </w:p>
    <w:p>
      <w:pPr>
        <w:pStyle w:val="BodyText"/>
        <w:spacing w:line="276" w:lineRule="auto"/>
        <w:ind w:right="1275" w:firstLine="707"/>
      </w:pPr>
      <w:r>
        <w:rPr/>
        <w:t>С</w:t>
      </w:r>
      <w:r>
        <w:rPr>
          <w:spacing w:val="-14"/>
        </w:rPr>
        <w:t> </w:t>
      </w:r>
      <w:r>
        <w:rPr/>
        <w:t>учетом</w:t>
      </w:r>
      <w:r>
        <w:rPr>
          <w:spacing w:val="-14"/>
        </w:rPr>
        <w:t> </w:t>
      </w:r>
      <w:r>
        <w:rPr/>
        <w:t>особенностей</w:t>
      </w:r>
      <w:r>
        <w:rPr>
          <w:spacing w:val="-13"/>
        </w:rPr>
        <w:t> </w:t>
      </w:r>
      <w:r>
        <w:rPr/>
        <w:t>вновь</w:t>
      </w:r>
      <w:r>
        <w:rPr>
          <w:spacing w:val="-14"/>
        </w:rPr>
        <w:t> </w:t>
      </w:r>
      <w:r>
        <w:rPr/>
        <w:t>появляющихся</w:t>
      </w:r>
      <w:r>
        <w:rPr>
          <w:spacing w:val="-14"/>
        </w:rPr>
        <w:t> </w:t>
      </w:r>
      <w:r>
        <w:rPr/>
        <w:t>вариантов</w:t>
      </w:r>
      <w:r>
        <w:rPr>
          <w:spacing w:val="-14"/>
        </w:rPr>
        <w:t> </w:t>
      </w:r>
      <w:r>
        <w:rPr/>
        <w:t>вируса</w:t>
      </w:r>
      <w:r>
        <w:rPr>
          <w:spacing w:val="-15"/>
        </w:rPr>
        <w:t> </w:t>
      </w:r>
      <w:r>
        <w:rPr/>
        <w:t>был</w:t>
      </w:r>
      <w:r>
        <w:rPr>
          <w:spacing w:val="-14"/>
        </w:rPr>
        <w:t> </w:t>
      </w:r>
      <w:r>
        <w:rPr/>
        <w:t>разработан и зарегистрирован 12 декабря 2025 г. Комитетом Европейского агентства лекарственных средств препарат моноклональное антитело длительного действия второго</w:t>
      </w:r>
      <w:r>
        <w:rPr>
          <w:spacing w:val="80"/>
        </w:rPr>
        <w:t> </w:t>
      </w:r>
      <w:r>
        <w:rPr/>
        <w:t>поколения</w:t>
      </w:r>
      <w:r>
        <w:rPr>
          <w:spacing w:val="80"/>
        </w:rPr>
        <w:t> </w:t>
      </w:r>
      <w:r>
        <w:rPr/>
        <w:t>–</w:t>
      </w:r>
      <w:r>
        <w:rPr>
          <w:spacing w:val="80"/>
        </w:rPr>
        <w:t> </w:t>
      </w:r>
      <w:r>
        <w:rPr/>
        <w:t>Сипавибарт</w:t>
      </w:r>
      <w:r>
        <w:rPr>
          <w:spacing w:val="80"/>
        </w:rPr>
        <w:t> </w:t>
      </w:r>
      <w:r>
        <w:rPr/>
        <w:t>(AZD3152;</w:t>
      </w:r>
      <w:r>
        <w:rPr>
          <w:spacing w:val="80"/>
        </w:rPr>
        <w:t> </w:t>
      </w:r>
      <w:r>
        <w:rPr/>
        <w:t>Kavigale).</w:t>
      </w:r>
      <w:r>
        <w:rPr>
          <w:spacing w:val="80"/>
        </w:rPr>
        <w:t> </w:t>
      </w:r>
      <w:r>
        <w:rPr/>
        <w:t>Оценка</w:t>
      </w:r>
      <w:r>
        <w:rPr>
          <w:spacing w:val="80"/>
        </w:rPr>
        <w:t> </w:t>
      </w:r>
      <w:r>
        <w:rPr/>
        <w:t>эффективности и безопасности препарата проводилась в масштабном (3335 участников) международном рандомизированном двойном слепом клиническом исследовании III фазы SUPERNOVA в сравнении с препаратом Эвушелд или плацебо в популяции иммунокомпрометированных пациентов.</w:t>
      </w:r>
    </w:p>
    <w:p>
      <w:pPr>
        <w:pStyle w:val="BodyText"/>
        <w:spacing w:line="276" w:lineRule="auto" w:before="13"/>
        <w:ind w:right="1277" w:firstLine="707"/>
      </w:pPr>
      <w:r>
        <w:rPr/>
        <w:t>При применении Сипавибарта было продемонстрировано снижение риска COVID-19 с клиническими проявлениями на 41,9 % (95 % ДИ: 22,5; 56,5) в течение 3-месячного периода после внутримышечного введения в дозе 300 мг для всех вариантов</w:t>
      </w:r>
      <w:r>
        <w:rPr>
          <w:spacing w:val="20"/>
        </w:rPr>
        <w:t> </w:t>
      </w:r>
      <w:r>
        <w:rPr/>
        <w:t>SARS-CoV-2.</w:t>
      </w:r>
      <w:r>
        <w:rPr>
          <w:spacing w:val="20"/>
        </w:rPr>
        <w:t> </w:t>
      </w:r>
      <w:r>
        <w:rPr/>
        <w:t>Аналогичным</w:t>
      </w:r>
      <w:r>
        <w:rPr>
          <w:spacing w:val="19"/>
        </w:rPr>
        <w:t> </w:t>
      </w:r>
      <w:r>
        <w:rPr/>
        <w:t>образом,</w:t>
      </w:r>
      <w:r>
        <w:rPr>
          <w:spacing w:val="20"/>
        </w:rPr>
        <w:t> </w:t>
      </w:r>
      <w:r>
        <w:rPr/>
        <w:t>в</w:t>
      </w:r>
      <w:r>
        <w:rPr>
          <w:spacing w:val="19"/>
        </w:rPr>
        <w:t> </w:t>
      </w:r>
      <w:r>
        <w:rPr/>
        <w:t>анализе</w:t>
      </w:r>
      <w:r>
        <w:rPr>
          <w:spacing w:val="20"/>
        </w:rPr>
        <w:t> </w:t>
      </w:r>
      <w:r>
        <w:rPr/>
        <w:t>совпадающих</w:t>
      </w:r>
      <w:r>
        <w:rPr>
          <w:spacing w:val="20"/>
        </w:rPr>
        <w:t> </w:t>
      </w:r>
      <w:r>
        <w:rPr>
          <w:spacing w:val="-2"/>
        </w:rPr>
        <w:t>вариантов</w:t>
      </w:r>
    </w:p>
    <w:p>
      <w:pPr>
        <w:pStyle w:val="BodyText"/>
        <w:spacing w:after="0" w:line="276" w:lineRule="auto"/>
        <w:sectPr>
          <w:pgSz w:w="11900" w:h="16840"/>
          <w:pgMar w:header="0" w:footer="697" w:top="1080" w:bottom="880" w:left="0" w:right="0"/>
        </w:sectPr>
      </w:pPr>
    </w:p>
    <w:p>
      <w:pPr>
        <w:pStyle w:val="BodyText"/>
        <w:spacing w:line="276" w:lineRule="auto" w:before="73"/>
        <w:ind w:right="1277"/>
      </w:pPr>
      <w:bookmarkStart w:name="122" w:id="144"/>
      <w:bookmarkEnd w:id="144"/>
      <w:r>
        <w:rPr/>
      </w:r>
      <w:r>
        <w:rPr/>
        <w:t>вируса (не содержащих мутацию F456L) сипавибарт обеспечивал снижение риска</w:t>
      </w:r>
      <w:r>
        <w:rPr>
          <w:spacing w:val="80"/>
          <w:w w:val="150"/>
        </w:rPr>
        <w:t> </w:t>
      </w:r>
      <w:r>
        <w:rPr/>
        <w:t>на 60,0 % (95 % ДИ: 26,2; 74,9).</w:t>
      </w:r>
    </w:p>
    <w:p>
      <w:pPr>
        <w:pStyle w:val="BodyText"/>
        <w:spacing w:line="276" w:lineRule="auto" w:before="13"/>
        <w:ind w:right="1273" w:firstLine="707"/>
      </w:pPr>
      <w:r>
        <w:rPr/>
        <w:t>Профилактическая</w:t>
      </w:r>
      <w:r>
        <w:rPr>
          <w:spacing w:val="-8"/>
        </w:rPr>
        <w:t> </w:t>
      </w:r>
      <w:r>
        <w:rPr/>
        <w:t>эффективность</w:t>
      </w:r>
      <w:r>
        <w:rPr>
          <w:spacing w:val="-7"/>
        </w:rPr>
        <w:t> </w:t>
      </w:r>
      <w:r>
        <w:rPr/>
        <w:t>препарата</w:t>
      </w:r>
      <w:r>
        <w:rPr>
          <w:spacing w:val="-8"/>
        </w:rPr>
        <w:t> </w:t>
      </w:r>
      <w:r>
        <w:rPr/>
        <w:t>сохранялась</w:t>
      </w:r>
      <w:r>
        <w:rPr>
          <w:spacing w:val="-7"/>
        </w:rPr>
        <w:t> </w:t>
      </w:r>
      <w:r>
        <w:rPr/>
        <w:t>к</w:t>
      </w:r>
      <w:r>
        <w:rPr>
          <w:spacing w:val="-7"/>
        </w:rPr>
        <w:t> </w:t>
      </w:r>
      <w:r>
        <w:rPr/>
        <w:t>6-му</w:t>
      </w:r>
      <w:r>
        <w:rPr>
          <w:spacing w:val="-7"/>
        </w:rPr>
        <w:t> </w:t>
      </w:r>
      <w:r>
        <w:rPr/>
        <w:t>месяцу</w:t>
      </w:r>
      <w:r>
        <w:rPr>
          <w:spacing w:val="-8"/>
        </w:rPr>
        <w:t> </w:t>
      </w:r>
      <w:r>
        <w:rPr/>
        <w:t>после введения: было продемонстрировано снижение риска COVID-19 с клиническими проявлениями</w:t>
      </w:r>
      <w:r>
        <w:rPr>
          <w:spacing w:val="61"/>
        </w:rPr>
        <w:t> </w:t>
      </w:r>
      <w:r>
        <w:rPr/>
        <w:t>для</w:t>
      </w:r>
      <w:r>
        <w:rPr>
          <w:spacing w:val="63"/>
        </w:rPr>
        <w:t> </w:t>
      </w:r>
      <w:r>
        <w:rPr/>
        <w:t>всех</w:t>
      </w:r>
      <w:r>
        <w:rPr>
          <w:spacing w:val="62"/>
        </w:rPr>
        <w:t> </w:t>
      </w:r>
      <w:r>
        <w:rPr/>
        <w:t>вариантов</w:t>
      </w:r>
      <w:r>
        <w:rPr>
          <w:spacing w:val="63"/>
        </w:rPr>
        <w:t> </w:t>
      </w:r>
      <w:r>
        <w:rPr/>
        <w:t>SARS-CoV-2</w:t>
      </w:r>
      <w:r>
        <w:rPr>
          <w:spacing w:val="62"/>
        </w:rPr>
        <w:t> </w:t>
      </w:r>
      <w:r>
        <w:rPr/>
        <w:t>на</w:t>
      </w:r>
      <w:r>
        <w:rPr>
          <w:spacing w:val="61"/>
        </w:rPr>
        <w:t> </w:t>
      </w:r>
      <w:r>
        <w:rPr/>
        <w:t>29,9%</w:t>
      </w:r>
      <w:r>
        <w:rPr>
          <w:spacing w:val="62"/>
        </w:rPr>
        <w:t> </w:t>
      </w:r>
      <w:r>
        <w:rPr/>
        <w:t>(95</w:t>
      </w:r>
      <w:r>
        <w:rPr>
          <w:spacing w:val="62"/>
        </w:rPr>
        <w:t> </w:t>
      </w:r>
      <w:r>
        <w:rPr/>
        <w:t>%</w:t>
      </w:r>
      <w:r>
        <w:rPr>
          <w:spacing w:val="62"/>
        </w:rPr>
        <w:t> </w:t>
      </w:r>
      <w:r>
        <w:rPr/>
        <w:t>ДИ:</w:t>
      </w:r>
      <w:r>
        <w:rPr>
          <w:spacing w:val="63"/>
        </w:rPr>
        <w:t> </w:t>
      </w:r>
      <w:r>
        <w:rPr/>
        <w:t>13,4,</w:t>
      </w:r>
      <w:r>
        <w:rPr>
          <w:spacing w:val="62"/>
        </w:rPr>
        <w:t> </w:t>
      </w:r>
      <w:r>
        <w:rPr/>
        <w:t>43,3) и на 35,3% (95 % ДИ: 12,7, 52,0) для совпадающих вариантов вируса (без мутации </w:t>
      </w:r>
      <w:r>
        <w:rPr>
          <w:spacing w:val="-2"/>
        </w:rPr>
        <w:t>F456L).</w:t>
      </w:r>
    </w:p>
    <w:p>
      <w:pPr>
        <w:pStyle w:val="BodyText"/>
        <w:spacing w:before="67"/>
        <w:ind w:left="0"/>
        <w:jc w:val="left"/>
      </w:pPr>
    </w:p>
    <w:p>
      <w:pPr>
        <w:pStyle w:val="BodyText"/>
        <w:spacing w:line="278" w:lineRule="auto"/>
        <w:ind w:right="1281" w:firstLine="707"/>
      </w:pPr>
      <w:r>
        <w:rPr/>
        <w:t>В настоящее время препарат не зарегистрирован на территории Российской </w:t>
      </w:r>
      <w:r>
        <w:rPr>
          <w:spacing w:val="-2"/>
        </w:rPr>
        <w:t>Федерации.</w:t>
      </w:r>
    </w:p>
    <w:p>
      <w:pPr>
        <w:pStyle w:val="BodyText"/>
        <w:ind w:left="0"/>
        <w:jc w:val="left"/>
      </w:pPr>
    </w:p>
    <w:p>
      <w:pPr>
        <w:pStyle w:val="BodyText"/>
        <w:spacing w:before="15"/>
        <w:ind w:left="0"/>
        <w:jc w:val="left"/>
      </w:pPr>
    </w:p>
    <w:p>
      <w:pPr>
        <w:pStyle w:val="Heading1"/>
        <w:numPr>
          <w:ilvl w:val="1"/>
          <w:numId w:val="5"/>
        </w:numPr>
        <w:tabs>
          <w:tab w:pos="3038" w:val="left" w:leader="none"/>
        </w:tabs>
        <w:spacing w:line="259" w:lineRule="auto" w:before="0" w:after="0"/>
        <w:ind w:left="2549" w:right="2576" w:firstLine="0"/>
        <w:jc w:val="left"/>
        <w:rPr>
          <w:color w:val="1F487C"/>
        </w:rPr>
      </w:pPr>
      <w:bookmarkStart w:name="_TOC_250024" w:id="145"/>
      <w:r>
        <w:rPr>
          <w:color w:val="1F487C"/>
        </w:rPr>
        <w:t>НЕСПЕЦИФИЧЕСКАЯ</w:t>
      </w:r>
      <w:r>
        <w:rPr>
          <w:color w:val="1F487C"/>
          <w:spacing w:val="-18"/>
        </w:rPr>
        <w:t> </w:t>
      </w:r>
      <w:bookmarkEnd w:id="145"/>
      <w:r>
        <w:rPr>
          <w:color w:val="1F487C"/>
        </w:rPr>
        <w:t>МЕДИКАМЕНТОЗНАЯ ПРОФИЛАКТИКА COVID-19</w:t>
      </w:r>
    </w:p>
    <w:p>
      <w:pPr>
        <w:pStyle w:val="Heading3"/>
        <w:spacing w:before="119"/>
      </w:pPr>
      <w:r>
        <w:rPr>
          <w:spacing w:val="-2"/>
        </w:rPr>
        <w:t>Интерферон</w:t>
      </w:r>
      <w:r>
        <w:rPr>
          <w:spacing w:val="6"/>
        </w:rPr>
        <w:t> </w:t>
      </w:r>
      <w:r>
        <w:rPr>
          <w:spacing w:val="-2"/>
        </w:rPr>
        <w:t>альфа-</w:t>
      </w:r>
      <w:r>
        <w:rPr>
          <w:spacing w:val="-5"/>
        </w:rPr>
        <w:t>2b</w:t>
      </w:r>
    </w:p>
    <w:p>
      <w:pPr>
        <w:pStyle w:val="BodyText"/>
        <w:spacing w:line="324" w:lineRule="auto" w:before="110"/>
        <w:ind w:right="1272" w:firstLine="707"/>
      </w:pPr>
      <w:r>
        <w:rPr/>
        <w:t>Интраназальные формы интерфероана альфа-2b (спрей, капли, раствор, лиофилизат для приготовления раствора, гель или мазь) могут использоваться для профилактики COVID-19 в группах повышенного риска инфицирования (медицинские</w:t>
      </w:r>
      <w:r>
        <w:rPr>
          <w:spacing w:val="-15"/>
        </w:rPr>
        <w:t> </w:t>
      </w:r>
      <w:r>
        <w:rPr/>
        <w:t>и</w:t>
      </w:r>
      <w:r>
        <w:rPr>
          <w:spacing w:val="-15"/>
        </w:rPr>
        <w:t> </w:t>
      </w:r>
      <w:r>
        <w:rPr/>
        <w:t>социальные</w:t>
      </w:r>
      <w:r>
        <w:rPr>
          <w:spacing w:val="-15"/>
        </w:rPr>
        <w:t> </w:t>
      </w:r>
      <w:r>
        <w:rPr/>
        <w:t>работники,</w:t>
      </w:r>
      <w:r>
        <w:rPr>
          <w:spacing w:val="-15"/>
        </w:rPr>
        <w:t> </w:t>
      </w:r>
      <w:r>
        <w:rPr/>
        <w:t>дети</w:t>
      </w:r>
      <w:r>
        <w:rPr>
          <w:spacing w:val="-15"/>
        </w:rPr>
        <w:t> </w:t>
      </w:r>
      <w:r>
        <w:rPr/>
        <w:t>в</w:t>
      </w:r>
      <w:r>
        <w:rPr>
          <w:spacing w:val="-15"/>
        </w:rPr>
        <w:t> </w:t>
      </w:r>
      <w:r>
        <w:rPr/>
        <w:t>организованны</w:t>
      </w:r>
      <w:r>
        <w:rPr>
          <w:spacing w:val="-15"/>
        </w:rPr>
        <w:t> </w:t>
      </w:r>
      <w:r>
        <w:rPr/>
        <w:t>коллективах,</w:t>
      </w:r>
      <w:r>
        <w:rPr>
          <w:spacing w:val="-15"/>
        </w:rPr>
        <w:t> </w:t>
      </w:r>
      <w:r>
        <w:rPr/>
        <w:t>студенты, военнослужащие и др.), группах повышенного риска тяжелого течения COVID-19 (лица пожилого возраста, лица с хроническими сопутствующими заболеваниями, лица с наружением</w:t>
      </w:r>
      <w:r>
        <w:rPr>
          <w:spacing w:val="16"/>
        </w:rPr>
        <w:t> </w:t>
      </w:r>
      <w:r>
        <w:rPr/>
        <w:t>обмена веществ,</w:t>
      </w:r>
      <w:r>
        <w:rPr>
          <w:spacing w:val="19"/>
        </w:rPr>
        <w:t> </w:t>
      </w:r>
      <w:r>
        <w:rPr/>
        <w:t>беременные и</w:t>
      </w:r>
      <w:r>
        <w:rPr>
          <w:spacing w:val="17"/>
        </w:rPr>
        <w:t> </w:t>
      </w:r>
      <w:r>
        <w:rPr/>
        <w:t>др),</w:t>
      </w:r>
      <w:r>
        <w:rPr>
          <w:spacing w:val="16"/>
        </w:rPr>
        <w:t> </w:t>
      </w:r>
      <w:r>
        <w:rPr/>
        <w:t>а</w:t>
      </w:r>
      <w:r>
        <w:rPr>
          <w:spacing w:val="18"/>
        </w:rPr>
        <w:t> </w:t>
      </w:r>
      <w:r>
        <w:rPr/>
        <w:t>также</w:t>
      </w:r>
      <w:r>
        <w:rPr>
          <w:spacing w:val="18"/>
        </w:rPr>
        <w:t> </w:t>
      </w:r>
      <w:r>
        <w:rPr/>
        <w:t>в</w:t>
      </w:r>
      <w:r>
        <w:rPr>
          <w:spacing w:val="16"/>
        </w:rPr>
        <w:t> </w:t>
      </w:r>
      <w:r>
        <w:rPr/>
        <w:t>общей</w:t>
      </w:r>
      <w:r>
        <w:rPr>
          <w:spacing w:val="17"/>
        </w:rPr>
        <w:t> </w:t>
      </w:r>
      <w:r>
        <w:rPr/>
        <w:t>популяции в соответствии с инструкцией по медицинскому применению препарата.</w:t>
      </w:r>
    </w:p>
    <w:p>
      <w:pPr>
        <w:pStyle w:val="Heading3"/>
        <w:spacing w:before="10"/>
      </w:pPr>
      <w:r>
        <w:rPr>
          <w:spacing w:val="-2"/>
        </w:rPr>
        <w:t>Двуспиральной</w:t>
      </w:r>
      <w:r>
        <w:rPr/>
        <w:t> </w:t>
      </w:r>
      <w:r>
        <w:rPr>
          <w:spacing w:val="-2"/>
        </w:rPr>
        <w:t>РНК</w:t>
      </w:r>
      <w:r>
        <w:rPr>
          <w:spacing w:val="-1"/>
        </w:rPr>
        <w:t> </w:t>
      </w:r>
      <w:r>
        <w:rPr>
          <w:spacing w:val="-2"/>
        </w:rPr>
        <w:t>натриевая</w:t>
      </w:r>
      <w:r>
        <w:rPr>
          <w:spacing w:val="-1"/>
        </w:rPr>
        <w:t> </w:t>
      </w:r>
      <w:r>
        <w:rPr>
          <w:spacing w:val="-4"/>
        </w:rPr>
        <w:t>соль</w:t>
      </w:r>
    </w:p>
    <w:p>
      <w:pPr>
        <w:pStyle w:val="BodyText"/>
        <w:spacing w:line="276" w:lineRule="auto" w:before="110"/>
        <w:ind w:right="1275" w:firstLine="707"/>
      </w:pPr>
      <w:r>
        <w:rPr/>
        <w:t>В результате исследования RAD-012022 (версия 1.0 от 10.03.2022 г., зарегистрировано clinicaltrials.gov под № NCT05722691) получены данные, что двуспиральной РНК натриевая соль может рассматриваться как профилактический препарат для COVID-19.</w:t>
      </w:r>
    </w:p>
    <w:p>
      <w:pPr>
        <w:pStyle w:val="BodyText"/>
        <w:spacing w:line="276" w:lineRule="auto" w:before="13"/>
        <w:ind w:right="1272" w:firstLine="707"/>
      </w:pPr>
      <w:r>
        <w:rPr/>
        <w:t>Участниками</w:t>
      </w:r>
      <w:r>
        <w:rPr>
          <w:spacing w:val="80"/>
          <w:w w:val="150"/>
        </w:rPr>
        <w:t> </w:t>
      </w:r>
      <w:r>
        <w:rPr/>
        <w:t>исследования</w:t>
      </w:r>
      <w:r>
        <w:rPr>
          <w:spacing w:val="40"/>
        </w:rPr>
        <w:t>  </w:t>
      </w:r>
      <w:r>
        <w:rPr/>
        <w:t>были</w:t>
      </w:r>
      <w:r>
        <w:rPr>
          <w:spacing w:val="80"/>
          <w:w w:val="150"/>
        </w:rPr>
        <w:t> </w:t>
      </w:r>
      <w:r>
        <w:rPr/>
        <w:t>здоровые</w:t>
      </w:r>
      <w:r>
        <w:rPr>
          <w:spacing w:val="80"/>
          <w:w w:val="150"/>
        </w:rPr>
        <w:t> </w:t>
      </w:r>
      <w:r>
        <w:rPr/>
        <w:t>люди,</w:t>
      </w:r>
      <w:r>
        <w:rPr>
          <w:spacing w:val="80"/>
          <w:w w:val="150"/>
        </w:rPr>
        <w:t> </w:t>
      </w:r>
      <w:r>
        <w:rPr/>
        <w:t>которые</w:t>
      </w:r>
      <w:r>
        <w:rPr>
          <w:spacing w:val="80"/>
          <w:w w:val="150"/>
        </w:rPr>
        <w:t> </w:t>
      </w:r>
      <w:r>
        <w:rPr/>
        <w:t>проживали</w:t>
      </w:r>
      <w:r>
        <w:rPr>
          <w:spacing w:val="80"/>
        </w:rPr>
        <w:t> </w:t>
      </w:r>
      <w:r>
        <w:rPr/>
        <w:t>с пациентами с документально подтвержденным COVID-19. Препарат вводился однократно внутримышечно, к 11 дню наблюдения 94% обследуемых остались </w:t>
      </w:r>
      <w:r>
        <w:rPr>
          <w:spacing w:val="-2"/>
        </w:rPr>
        <w:t>здоровыми.</w:t>
      </w:r>
    </w:p>
    <w:p>
      <w:pPr>
        <w:pStyle w:val="BodyText"/>
        <w:spacing w:before="14"/>
        <w:ind w:left="2549"/>
      </w:pPr>
      <w:r>
        <w:rPr>
          <w:spacing w:val="-2"/>
        </w:rPr>
        <w:t>Применяется</w:t>
      </w:r>
      <w:r>
        <w:rPr>
          <w:spacing w:val="2"/>
        </w:rPr>
        <w:t> </w:t>
      </w:r>
      <w:r>
        <w:rPr>
          <w:spacing w:val="-2"/>
        </w:rPr>
        <w:t>внутримышечно</w:t>
      </w:r>
      <w:r>
        <w:rPr>
          <w:spacing w:val="2"/>
        </w:rPr>
        <w:t> </w:t>
      </w:r>
      <w:r>
        <w:rPr>
          <w:spacing w:val="-2"/>
        </w:rPr>
        <w:t>однократно</w:t>
      </w:r>
      <w:r>
        <w:rPr>
          <w:spacing w:val="3"/>
        </w:rPr>
        <w:t> </w:t>
      </w:r>
      <w:r>
        <w:rPr>
          <w:spacing w:val="-2"/>
        </w:rPr>
        <w:t>(5</w:t>
      </w:r>
      <w:r>
        <w:rPr>
          <w:spacing w:val="2"/>
        </w:rPr>
        <w:t> </w:t>
      </w:r>
      <w:r>
        <w:rPr>
          <w:spacing w:val="-4"/>
        </w:rPr>
        <w:t>мг).</w:t>
      </w:r>
    </w:p>
    <w:p>
      <w:pPr>
        <w:pStyle w:val="Heading3"/>
        <w:spacing w:before="161"/>
      </w:pPr>
      <w:r>
        <w:rPr>
          <w:spacing w:val="-2"/>
        </w:rPr>
        <w:t>Азоксимера</w:t>
      </w:r>
      <w:r>
        <w:rPr>
          <w:spacing w:val="1"/>
        </w:rPr>
        <w:t> </w:t>
      </w:r>
      <w:r>
        <w:rPr>
          <w:spacing w:val="-2"/>
        </w:rPr>
        <w:t>бромид</w:t>
      </w:r>
    </w:p>
    <w:p>
      <w:pPr>
        <w:pStyle w:val="BodyText"/>
        <w:spacing w:line="276" w:lineRule="auto" w:before="55"/>
        <w:ind w:right="1270" w:firstLine="707"/>
      </w:pPr>
      <w:r>
        <w:rPr/>
        <w:t>В мета-анализе «Опыт применения азоксимера бромида для профилактики острых</w:t>
      </w:r>
      <w:r>
        <w:rPr>
          <w:spacing w:val="-6"/>
        </w:rPr>
        <w:t> </w:t>
      </w:r>
      <w:r>
        <w:rPr/>
        <w:t>респираторных</w:t>
      </w:r>
      <w:r>
        <w:rPr>
          <w:spacing w:val="-6"/>
        </w:rPr>
        <w:t> </w:t>
      </w:r>
      <w:r>
        <w:rPr/>
        <w:t>заболеваний</w:t>
      </w:r>
      <w:r>
        <w:rPr>
          <w:spacing w:val="-5"/>
        </w:rPr>
        <w:t> </w:t>
      </w:r>
      <w:r>
        <w:rPr/>
        <w:t>и</w:t>
      </w:r>
      <w:r>
        <w:rPr>
          <w:spacing w:val="-4"/>
        </w:rPr>
        <w:t> </w:t>
      </w:r>
      <w:r>
        <w:rPr/>
        <w:t>COVID-19</w:t>
      </w:r>
      <w:r>
        <w:rPr>
          <w:spacing w:val="-6"/>
        </w:rPr>
        <w:t> </w:t>
      </w:r>
      <w:r>
        <w:rPr/>
        <w:t>у</w:t>
      </w:r>
      <w:r>
        <w:rPr>
          <w:spacing w:val="-6"/>
        </w:rPr>
        <w:t> </w:t>
      </w:r>
      <w:r>
        <w:rPr/>
        <w:t>взрослых</w:t>
      </w:r>
      <w:r>
        <w:rPr>
          <w:spacing w:val="-6"/>
        </w:rPr>
        <w:t> </w:t>
      </w:r>
      <w:r>
        <w:rPr/>
        <w:t>из</w:t>
      </w:r>
      <w:r>
        <w:rPr>
          <w:spacing w:val="-5"/>
        </w:rPr>
        <w:t> </w:t>
      </w:r>
      <w:r>
        <w:rPr/>
        <w:t>группы</w:t>
      </w:r>
      <w:r>
        <w:rPr>
          <w:spacing w:val="-6"/>
        </w:rPr>
        <w:t> </w:t>
      </w:r>
      <w:r>
        <w:rPr/>
        <w:t>повышенного риска</w:t>
      </w:r>
      <w:r>
        <w:rPr>
          <w:spacing w:val="-15"/>
        </w:rPr>
        <w:t> </w:t>
      </w:r>
      <w:r>
        <w:rPr/>
        <w:t>инфицирования</w:t>
      </w:r>
      <w:r>
        <w:rPr>
          <w:spacing w:val="-15"/>
        </w:rPr>
        <w:t> </w:t>
      </w:r>
      <w:r>
        <w:rPr/>
        <w:t>(медицинских</w:t>
      </w:r>
      <w:r>
        <w:rPr>
          <w:spacing w:val="-15"/>
        </w:rPr>
        <w:t> </w:t>
      </w:r>
      <w:r>
        <w:rPr/>
        <w:t>работников</w:t>
      </w:r>
      <w:r>
        <w:rPr>
          <w:spacing w:val="-15"/>
        </w:rPr>
        <w:t> </w:t>
      </w:r>
      <w:r>
        <w:rPr/>
        <w:t>„красной</w:t>
      </w:r>
      <w:r>
        <w:rPr>
          <w:spacing w:val="-15"/>
        </w:rPr>
        <w:t> </w:t>
      </w:r>
      <w:r>
        <w:rPr/>
        <w:t>зоны“)»</w:t>
      </w:r>
      <w:r>
        <w:rPr>
          <w:spacing w:val="-15"/>
        </w:rPr>
        <w:t> </w:t>
      </w:r>
      <w:r>
        <w:rPr/>
        <w:t>2022</w:t>
      </w:r>
      <w:r>
        <w:rPr>
          <w:spacing w:val="-15"/>
        </w:rPr>
        <w:t> </w:t>
      </w:r>
      <w:r>
        <w:rPr/>
        <w:t>г,</w:t>
      </w:r>
      <w:r>
        <w:rPr>
          <w:spacing w:val="-15"/>
        </w:rPr>
        <w:t> </w:t>
      </w:r>
      <w:r>
        <w:rPr/>
        <w:t>куда</w:t>
      </w:r>
      <w:r>
        <w:rPr>
          <w:spacing w:val="-15"/>
        </w:rPr>
        <w:t> </w:t>
      </w:r>
      <w:r>
        <w:rPr/>
        <w:t>вошли 1</w:t>
      </w:r>
      <w:r>
        <w:rPr>
          <w:spacing w:val="-15"/>
        </w:rPr>
        <w:t> </w:t>
      </w:r>
      <w:r>
        <w:rPr/>
        <w:t>141</w:t>
      </w:r>
      <w:r>
        <w:rPr>
          <w:spacing w:val="-15"/>
        </w:rPr>
        <w:t> </w:t>
      </w:r>
      <w:r>
        <w:rPr/>
        <w:t>участник,</w:t>
      </w:r>
      <w:r>
        <w:rPr>
          <w:spacing w:val="-15"/>
        </w:rPr>
        <w:t> </w:t>
      </w:r>
      <w:r>
        <w:rPr/>
        <w:t>было</w:t>
      </w:r>
      <w:r>
        <w:rPr>
          <w:spacing w:val="-15"/>
        </w:rPr>
        <w:t> </w:t>
      </w:r>
      <w:r>
        <w:rPr/>
        <w:t>изучено</w:t>
      </w:r>
      <w:r>
        <w:rPr>
          <w:spacing w:val="-15"/>
        </w:rPr>
        <w:t> </w:t>
      </w:r>
      <w:r>
        <w:rPr/>
        <w:t>применение</w:t>
      </w:r>
      <w:r>
        <w:rPr>
          <w:spacing w:val="-15"/>
        </w:rPr>
        <w:t> </w:t>
      </w:r>
      <w:r>
        <w:rPr/>
        <w:t>препарата</w:t>
      </w:r>
      <w:r>
        <w:rPr>
          <w:spacing w:val="-15"/>
        </w:rPr>
        <w:t> </w:t>
      </w:r>
      <w:r>
        <w:rPr/>
        <w:t>для</w:t>
      </w:r>
      <w:r>
        <w:rPr>
          <w:spacing w:val="-15"/>
        </w:rPr>
        <w:t> </w:t>
      </w:r>
      <w:r>
        <w:rPr/>
        <w:t>профилактики</w:t>
      </w:r>
      <w:r>
        <w:rPr>
          <w:spacing w:val="-15"/>
        </w:rPr>
        <w:t> </w:t>
      </w:r>
      <w:r>
        <w:rPr/>
        <w:t>инфекционно- воспалительных заболеваний дыхательных путей (в сравнении с плацебо или без него).</w:t>
      </w:r>
      <w:r>
        <w:rPr>
          <w:spacing w:val="-6"/>
        </w:rPr>
        <w:t> </w:t>
      </w:r>
      <w:r>
        <w:rPr/>
        <w:t>По</w:t>
      </w:r>
      <w:r>
        <w:rPr>
          <w:spacing w:val="-7"/>
        </w:rPr>
        <w:t> </w:t>
      </w:r>
      <w:r>
        <w:rPr/>
        <w:t>результатам</w:t>
      </w:r>
      <w:r>
        <w:rPr>
          <w:spacing w:val="-10"/>
        </w:rPr>
        <w:t> </w:t>
      </w:r>
      <w:r>
        <w:rPr/>
        <w:t>исследования</w:t>
      </w:r>
      <w:r>
        <w:rPr>
          <w:spacing w:val="-4"/>
        </w:rPr>
        <w:t> </w:t>
      </w:r>
      <w:r>
        <w:rPr/>
        <w:t>при</w:t>
      </w:r>
      <w:r>
        <w:rPr>
          <w:spacing w:val="-8"/>
        </w:rPr>
        <w:t> </w:t>
      </w:r>
      <w:r>
        <w:rPr/>
        <w:t>применении</w:t>
      </w:r>
      <w:r>
        <w:rPr>
          <w:spacing w:val="-4"/>
        </w:rPr>
        <w:t> </w:t>
      </w:r>
      <w:r>
        <w:rPr/>
        <w:t>азоксимера</w:t>
      </w:r>
      <w:r>
        <w:rPr>
          <w:spacing w:val="-7"/>
        </w:rPr>
        <w:t> </w:t>
      </w:r>
      <w:r>
        <w:rPr/>
        <w:t>бромида</w:t>
      </w:r>
      <w:r>
        <w:rPr>
          <w:spacing w:val="-6"/>
        </w:rPr>
        <w:t> </w:t>
      </w:r>
      <w:r>
        <w:rPr/>
        <w:t>отношение шансов</w:t>
      </w:r>
      <w:r>
        <w:rPr>
          <w:spacing w:val="29"/>
        </w:rPr>
        <w:t> </w:t>
      </w:r>
      <w:r>
        <w:rPr/>
        <w:t>не</w:t>
      </w:r>
      <w:r>
        <w:rPr>
          <w:spacing w:val="28"/>
        </w:rPr>
        <w:t> </w:t>
      </w:r>
      <w:r>
        <w:rPr/>
        <w:t>заболеть</w:t>
      </w:r>
      <w:r>
        <w:rPr>
          <w:spacing w:val="30"/>
        </w:rPr>
        <w:t> </w:t>
      </w:r>
      <w:r>
        <w:rPr/>
        <w:t>острыми</w:t>
      </w:r>
      <w:r>
        <w:rPr>
          <w:spacing w:val="30"/>
        </w:rPr>
        <w:t> </w:t>
      </w:r>
      <w:r>
        <w:rPr/>
        <w:t>респираторными</w:t>
      </w:r>
      <w:r>
        <w:rPr>
          <w:spacing w:val="30"/>
        </w:rPr>
        <w:t> </w:t>
      </w:r>
      <w:r>
        <w:rPr/>
        <w:t>инфекциями</w:t>
      </w:r>
      <w:r>
        <w:rPr>
          <w:spacing w:val="30"/>
        </w:rPr>
        <w:t> </w:t>
      </w:r>
      <w:r>
        <w:rPr/>
        <w:t>и</w:t>
      </w:r>
      <w:r>
        <w:rPr>
          <w:spacing w:val="37"/>
        </w:rPr>
        <w:t> </w:t>
      </w:r>
      <w:r>
        <w:rPr/>
        <w:t>COVID-19</w:t>
      </w:r>
      <w:r>
        <w:rPr>
          <w:spacing w:val="29"/>
        </w:rPr>
        <w:t> </w:t>
      </w:r>
      <w:r>
        <w:rPr/>
        <w:t>составило</w:t>
      </w:r>
    </w:p>
    <w:p>
      <w:pPr>
        <w:pStyle w:val="BodyText"/>
        <w:spacing w:after="0" w:line="276" w:lineRule="auto"/>
        <w:sectPr>
          <w:pgSz w:w="11900" w:h="16840"/>
          <w:pgMar w:header="0" w:footer="697" w:top="1080" w:bottom="880" w:left="0" w:right="0"/>
        </w:sectPr>
      </w:pPr>
    </w:p>
    <w:p>
      <w:pPr>
        <w:pStyle w:val="BodyText"/>
        <w:spacing w:line="276" w:lineRule="auto" w:before="73"/>
        <w:jc w:val="left"/>
      </w:pPr>
      <w:bookmarkStart w:name="123" w:id="146"/>
      <w:bookmarkEnd w:id="146"/>
      <w:r>
        <w:rPr/>
      </w:r>
      <w:r>
        <w:rPr/>
        <w:t>3,02,</w:t>
      </w:r>
      <w:r>
        <w:rPr>
          <w:spacing w:val="40"/>
        </w:rPr>
        <w:t> </w:t>
      </w:r>
      <w:r>
        <w:rPr/>
        <w:t>отношение</w:t>
      </w:r>
      <w:r>
        <w:rPr>
          <w:spacing w:val="40"/>
        </w:rPr>
        <w:t> </w:t>
      </w:r>
      <w:r>
        <w:rPr/>
        <w:t>шансов</w:t>
      </w:r>
      <w:r>
        <w:rPr>
          <w:spacing w:val="40"/>
        </w:rPr>
        <w:t> </w:t>
      </w:r>
      <w:r>
        <w:rPr/>
        <w:t>не</w:t>
      </w:r>
      <w:r>
        <w:rPr>
          <w:spacing w:val="40"/>
        </w:rPr>
        <w:t> </w:t>
      </w:r>
      <w:r>
        <w:rPr/>
        <w:t>заболеть</w:t>
      </w:r>
      <w:r>
        <w:rPr>
          <w:spacing w:val="40"/>
        </w:rPr>
        <w:t> </w:t>
      </w:r>
      <w:r>
        <w:rPr/>
        <w:t>COVID-19</w:t>
      </w:r>
      <w:r>
        <w:rPr>
          <w:spacing w:val="40"/>
        </w:rPr>
        <w:t> </w:t>
      </w:r>
      <w:r>
        <w:rPr/>
        <w:t>составило</w:t>
      </w:r>
      <w:r>
        <w:rPr>
          <w:spacing w:val="40"/>
        </w:rPr>
        <w:t> </w:t>
      </w:r>
      <w:r>
        <w:rPr/>
        <w:t>2,65.</w:t>
      </w:r>
      <w:r>
        <w:rPr>
          <w:spacing w:val="40"/>
        </w:rPr>
        <w:t> </w:t>
      </w:r>
      <w:r>
        <w:rPr/>
        <w:t>Препарат</w:t>
      </w:r>
      <w:r>
        <w:rPr>
          <w:spacing w:val="40"/>
        </w:rPr>
        <w:t> </w:t>
      </w:r>
      <w:r>
        <w:rPr/>
        <w:t>имеет благоприятный профиль переносимости.</w:t>
      </w:r>
    </w:p>
    <w:p>
      <w:pPr>
        <w:pStyle w:val="Heading3"/>
        <w:spacing w:before="13"/>
        <w:jc w:val="left"/>
      </w:pPr>
      <w:r>
        <w:rPr>
          <w:spacing w:val="-2"/>
        </w:rPr>
        <w:t>Риамиловир</w:t>
      </w:r>
    </w:p>
    <w:p>
      <w:pPr>
        <w:pStyle w:val="BodyText"/>
        <w:spacing w:line="276" w:lineRule="auto" w:before="55"/>
        <w:ind w:right="1273" w:firstLine="707"/>
        <w:rPr>
          <w:b/>
        </w:rPr>
      </w:pPr>
      <w:r>
        <w:rPr/>
        <w:t>По результатам проведенного в России в 2023 году многоцентрового рандомизированного двойного слепого плацебо-контролируемого клинического исследования была установлена эффективность препарата риамиловир для профилактики COVID-19. Показано, что относительный риск заболевания в группе, принимавшей препарат риамиловир с целью профилактики, был на 88,96% меньше, чем в группе контроля. Механизмом действия препарата риамиловир является ингибирование синтеза вирусных РНК и репликации геномных фрагментов, что тормозит</w:t>
      </w:r>
      <w:r>
        <w:rPr>
          <w:spacing w:val="-7"/>
        </w:rPr>
        <w:t> </w:t>
      </w:r>
      <w:r>
        <w:rPr/>
        <w:t>жизненный</w:t>
      </w:r>
      <w:r>
        <w:rPr>
          <w:spacing w:val="-8"/>
        </w:rPr>
        <w:t> </w:t>
      </w:r>
      <w:r>
        <w:rPr/>
        <w:t>цикл</w:t>
      </w:r>
      <w:r>
        <w:rPr>
          <w:spacing w:val="-8"/>
        </w:rPr>
        <w:t> </w:t>
      </w:r>
      <w:r>
        <w:rPr/>
        <w:t>вирусных</w:t>
      </w:r>
      <w:r>
        <w:rPr>
          <w:spacing w:val="-8"/>
        </w:rPr>
        <w:t> </w:t>
      </w:r>
      <w:r>
        <w:rPr/>
        <w:t>белков</w:t>
      </w:r>
      <w:r>
        <w:rPr>
          <w:spacing w:val="-8"/>
        </w:rPr>
        <w:t> </w:t>
      </w:r>
      <w:r>
        <w:rPr/>
        <w:t>и</w:t>
      </w:r>
      <w:r>
        <w:rPr>
          <w:spacing w:val="-7"/>
        </w:rPr>
        <w:t> </w:t>
      </w:r>
      <w:r>
        <w:rPr/>
        <w:t>обеспечивает</w:t>
      </w:r>
      <w:r>
        <w:rPr>
          <w:spacing w:val="-5"/>
        </w:rPr>
        <w:t> </w:t>
      </w:r>
      <w:r>
        <w:rPr/>
        <w:t>прямое</w:t>
      </w:r>
      <w:r>
        <w:rPr>
          <w:spacing w:val="-9"/>
        </w:rPr>
        <w:t> </w:t>
      </w:r>
      <w:r>
        <w:rPr/>
        <w:t>противовирусное действие.</w:t>
      </w:r>
      <w:r>
        <w:rPr>
          <w:spacing w:val="-2"/>
        </w:rPr>
        <w:t> </w:t>
      </w:r>
      <w:r>
        <w:rPr/>
        <w:t>По</w:t>
      </w:r>
      <w:r>
        <w:rPr>
          <w:spacing w:val="-3"/>
        </w:rPr>
        <w:t> </w:t>
      </w:r>
      <w:r>
        <w:rPr/>
        <w:t>безопасности</w:t>
      </w:r>
      <w:r>
        <w:rPr>
          <w:spacing w:val="-1"/>
        </w:rPr>
        <w:t> </w:t>
      </w:r>
      <w:r>
        <w:rPr/>
        <w:t>препарат</w:t>
      </w:r>
      <w:r>
        <w:rPr>
          <w:spacing w:val="-2"/>
        </w:rPr>
        <w:t> </w:t>
      </w:r>
      <w:r>
        <w:rPr/>
        <w:t>не</w:t>
      </w:r>
      <w:r>
        <w:rPr>
          <w:spacing w:val="-3"/>
        </w:rPr>
        <w:t> </w:t>
      </w:r>
      <w:r>
        <w:rPr/>
        <w:t>отличался</w:t>
      </w:r>
      <w:r>
        <w:rPr>
          <w:spacing w:val="-2"/>
        </w:rPr>
        <w:t> </w:t>
      </w:r>
      <w:r>
        <w:rPr/>
        <w:t>от</w:t>
      </w:r>
      <w:r>
        <w:rPr>
          <w:spacing w:val="-2"/>
        </w:rPr>
        <w:t> </w:t>
      </w:r>
      <w:r>
        <w:rPr/>
        <w:t>плацебо.</w:t>
      </w:r>
      <w:r>
        <w:rPr>
          <w:spacing w:val="-2"/>
        </w:rPr>
        <w:t> </w:t>
      </w:r>
      <w:r>
        <w:rPr/>
        <w:t>Препарат</w:t>
      </w:r>
      <w:r>
        <w:rPr>
          <w:spacing w:val="-2"/>
        </w:rPr>
        <w:t> </w:t>
      </w:r>
      <w:r>
        <w:rPr/>
        <w:t>применяется </w:t>
      </w:r>
      <w:r>
        <w:rPr>
          <w:spacing w:val="-2"/>
        </w:rPr>
        <w:t>перорально</w:t>
      </w:r>
      <w:r>
        <w:rPr>
          <w:spacing w:val="-9"/>
        </w:rPr>
        <w:t> </w:t>
      </w:r>
      <w:r>
        <w:rPr>
          <w:spacing w:val="-2"/>
        </w:rPr>
        <w:t>в</w:t>
      </w:r>
      <w:r>
        <w:rPr>
          <w:spacing w:val="-9"/>
        </w:rPr>
        <w:t> </w:t>
      </w:r>
      <w:r>
        <w:rPr>
          <w:spacing w:val="-2"/>
        </w:rPr>
        <w:t>капсулах</w:t>
      </w:r>
      <w:r>
        <w:rPr>
          <w:spacing w:val="-11"/>
        </w:rPr>
        <w:t> </w:t>
      </w:r>
      <w:r>
        <w:rPr>
          <w:spacing w:val="-2"/>
        </w:rPr>
        <w:t>в</w:t>
      </w:r>
      <w:r>
        <w:rPr>
          <w:spacing w:val="-9"/>
        </w:rPr>
        <w:t> </w:t>
      </w:r>
      <w:r>
        <w:rPr>
          <w:spacing w:val="-2"/>
        </w:rPr>
        <w:t>дозе</w:t>
      </w:r>
      <w:r>
        <w:rPr>
          <w:spacing w:val="-10"/>
        </w:rPr>
        <w:t> </w:t>
      </w:r>
      <w:r>
        <w:rPr>
          <w:spacing w:val="-2"/>
        </w:rPr>
        <w:t>250</w:t>
      </w:r>
      <w:r>
        <w:rPr>
          <w:spacing w:val="-9"/>
        </w:rPr>
        <w:t> </w:t>
      </w:r>
      <w:r>
        <w:rPr>
          <w:spacing w:val="-2"/>
        </w:rPr>
        <w:t>мг</w:t>
      </w:r>
      <w:r>
        <w:rPr>
          <w:spacing w:val="-9"/>
        </w:rPr>
        <w:t> </w:t>
      </w:r>
      <w:r>
        <w:rPr>
          <w:spacing w:val="-2"/>
        </w:rPr>
        <w:t>1</w:t>
      </w:r>
      <w:r>
        <w:rPr>
          <w:spacing w:val="-9"/>
        </w:rPr>
        <w:t> </w:t>
      </w:r>
      <w:r>
        <w:rPr>
          <w:spacing w:val="-2"/>
        </w:rPr>
        <w:t>раз</w:t>
      </w:r>
      <w:r>
        <w:rPr>
          <w:spacing w:val="-8"/>
        </w:rPr>
        <w:t> </w:t>
      </w:r>
      <w:r>
        <w:rPr>
          <w:spacing w:val="-2"/>
        </w:rPr>
        <w:t>в</w:t>
      </w:r>
      <w:r>
        <w:rPr>
          <w:spacing w:val="-9"/>
        </w:rPr>
        <w:t> </w:t>
      </w:r>
      <w:r>
        <w:rPr>
          <w:spacing w:val="-2"/>
        </w:rPr>
        <w:t>сутки</w:t>
      </w:r>
      <w:r>
        <w:rPr>
          <w:spacing w:val="-8"/>
        </w:rPr>
        <w:t> </w:t>
      </w:r>
      <w:r>
        <w:rPr>
          <w:spacing w:val="-2"/>
        </w:rPr>
        <w:t>в</w:t>
      </w:r>
      <w:r>
        <w:rPr>
          <w:spacing w:val="-9"/>
        </w:rPr>
        <w:t> </w:t>
      </w:r>
      <w:r>
        <w:rPr>
          <w:spacing w:val="-2"/>
        </w:rPr>
        <w:t>течение</w:t>
      </w:r>
      <w:r>
        <w:rPr>
          <w:spacing w:val="-10"/>
        </w:rPr>
        <w:t> </w:t>
      </w:r>
      <w:r>
        <w:rPr>
          <w:spacing w:val="-2"/>
        </w:rPr>
        <w:t>10</w:t>
      </w:r>
      <w:r>
        <w:rPr>
          <w:spacing w:val="-9"/>
        </w:rPr>
        <w:t> </w:t>
      </w:r>
      <w:r>
        <w:rPr>
          <w:spacing w:val="-2"/>
        </w:rPr>
        <w:t>суток</w:t>
      </w:r>
      <w:r>
        <w:rPr>
          <w:spacing w:val="-10"/>
        </w:rPr>
        <w:t> </w:t>
      </w:r>
      <w:r>
        <w:rPr>
          <w:spacing w:val="-2"/>
        </w:rPr>
        <w:t>для</w:t>
      </w:r>
      <w:r>
        <w:rPr>
          <w:spacing w:val="-9"/>
        </w:rPr>
        <w:t> </w:t>
      </w:r>
      <w:r>
        <w:rPr>
          <w:spacing w:val="-2"/>
        </w:rPr>
        <w:t>профилактики COVID-19</w:t>
      </w:r>
      <w:r>
        <w:rPr>
          <w:b/>
          <w:spacing w:val="-2"/>
        </w:rPr>
        <w:t>.</w:t>
      </w:r>
    </w:p>
    <w:p>
      <w:pPr>
        <w:pStyle w:val="Heading1"/>
        <w:numPr>
          <w:ilvl w:val="1"/>
          <w:numId w:val="5"/>
        </w:numPr>
        <w:tabs>
          <w:tab w:pos="3038" w:val="left" w:leader="none"/>
        </w:tabs>
        <w:spacing w:line="240" w:lineRule="auto" w:before="239" w:after="0"/>
        <w:ind w:left="3038" w:right="0" w:hanging="489"/>
        <w:jc w:val="left"/>
        <w:rPr>
          <w:color w:val="1F487C"/>
        </w:rPr>
      </w:pPr>
      <w:bookmarkStart w:name="_TOC_250023" w:id="147"/>
      <w:r>
        <w:rPr>
          <w:color w:val="1F487C"/>
          <w:spacing w:val="-2"/>
        </w:rPr>
        <w:t>НЕСПЕЦИФИЧЕСКАЯ</w:t>
      </w:r>
      <w:r>
        <w:rPr>
          <w:color w:val="1F487C"/>
          <w:spacing w:val="12"/>
        </w:rPr>
        <w:t> </w:t>
      </w:r>
      <w:r>
        <w:rPr>
          <w:color w:val="1F487C"/>
          <w:spacing w:val="-2"/>
        </w:rPr>
        <w:t>ПРОФИЛАКТИКА</w:t>
      </w:r>
      <w:r>
        <w:rPr>
          <w:color w:val="1F487C"/>
          <w:spacing w:val="15"/>
        </w:rPr>
        <w:t> </w:t>
      </w:r>
      <w:r>
        <w:rPr>
          <w:color w:val="1F487C"/>
          <w:spacing w:val="-2"/>
        </w:rPr>
        <w:t>COVID-</w:t>
      </w:r>
      <w:bookmarkEnd w:id="147"/>
      <w:r>
        <w:rPr>
          <w:color w:val="1F487C"/>
          <w:spacing w:val="-5"/>
        </w:rPr>
        <w:t>19</w:t>
      </w:r>
    </w:p>
    <w:p>
      <w:pPr>
        <w:pStyle w:val="BodyText"/>
        <w:spacing w:line="276" w:lineRule="auto" w:before="144"/>
        <w:ind w:right="1273" w:firstLine="707"/>
      </w:pPr>
      <w:r>
        <w:rPr/>
        <w:t>Неспецифическая профилактика представляет собой мероприятия, направленные на предотвращение распространения инфекции, перечень которых определяется текущей эпидемической ситуацией.</w:t>
      </w:r>
    </w:p>
    <w:p>
      <w:pPr>
        <w:pStyle w:val="BodyText"/>
        <w:spacing w:line="276" w:lineRule="exact"/>
        <w:ind w:left="2549"/>
      </w:pPr>
      <w:r>
        <w:rPr/>
        <w:t>К</w:t>
      </w:r>
      <w:r>
        <w:rPr>
          <w:spacing w:val="-3"/>
        </w:rPr>
        <w:t> </w:t>
      </w:r>
      <w:r>
        <w:rPr/>
        <w:t>ним</w:t>
      </w:r>
      <w:r>
        <w:rPr>
          <w:spacing w:val="-4"/>
        </w:rPr>
        <w:t> </w:t>
      </w:r>
      <w:r>
        <w:rPr>
          <w:spacing w:val="-2"/>
        </w:rPr>
        <w:t>относятся:</w:t>
      </w:r>
    </w:p>
    <w:p>
      <w:pPr>
        <w:pStyle w:val="ListParagraph"/>
        <w:numPr>
          <w:ilvl w:val="0"/>
          <w:numId w:val="59"/>
        </w:numPr>
        <w:tabs>
          <w:tab w:pos="2268" w:val="left" w:leader="none"/>
        </w:tabs>
        <w:spacing w:line="264" w:lineRule="auto" w:before="42" w:after="0"/>
        <w:ind w:left="2268" w:right="1278" w:hanging="360"/>
        <w:jc w:val="both"/>
        <w:rPr>
          <w:sz w:val="24"/>
        </w:rPr>
      </w:pPr>
      <w:r>
        <w:rPr>
          <w:sz w:val="24"/>
        </w:rPr>
        <w:t>ранняя</w:t>
      </w:r>
      <w:r>
        <w:rPr>
          <w:spacing w:val="80"/>
          <w:sz w:val="24"/>
        </w:rPr>
        <w:t> </w:t>
      </w:r>
      <w:r>
        <w:rPr>
          <w:sz w:val="24"/>
        </w:rPr>
        <w:t>диагностика</w:t>
      </w:r>
      <w:r>
        <w:rPr>
          <w:spacing w:val="80"/>
          <w:sz w:val="24"/>
        </w:rPr>
        <w:t> </w:t>
      </w:r>
      <w:r>
        <w:rPr>
          <w:sz w:val="24"/>
        </w:rPr>
        <w:t>и</w:t>
      </w:r>
      <w:r>
        <w:rPr>
          <w:spacing w:val="80"/>
          <w:sz w:val="24"/>
        </w:rPr>
        <w:t> </w:t>
      </w:r>
      <w:r>
        <w:rPr>
          <w:sz w:val="24"/>
        </w:rPr>
        <w:t>активное</w:t>
      </w:r>
      <w:r>
        <w:rPr>
          <w:spacing w:val="80"/>
          <w:sz w:val="24"/>
        </w:rPr>
        <w:t> </w:t>
      </w:r>
      <w:r>
        <w:rPr>
          <w:sz w:val="24"/>
        </w:rPr>
        <w:t>выявление</w:t>
      </w:r>
      <w:r>
        <w:rPr>
          <w:spacing w:val="80"/>
          <w:sz w:val="24"/>
        </w:rPr>
        <w:t> </w:t>
      </w:r>
      <w:r>
        <w:rPr>
          <w:sz w:val="24"/>
        </w:rPr>
        <w:t>инфицированных,</w:t>
      </w:r>
      <w:r>
        <w:rPr>
          <w:spacing w:val="80"/>
          <w:sz w:val="24"/>
        </w:rPr>
        <w:t> </w:t>
      </w:r>
      <w:r>
        <w:rPr>
          <w:sz w:val="24"/>
        </w:rPr>
        <w:t>в</w:t>
      </w:r>
      <w:r>
        <w:rPr>
          <w:spacing w:val="80"/>
          <w:sz w:val="24"/>
        </w:rPr>
        <w:t> </w:t>
      </w:r>
      <w:r>
        <w:rPr>
          <w:sz w:val="24"/>
        </w:rPr>
        <w:t>том</w:t>
      </w:r>
      <w:r>
        <w:rPr>
          <w:spacing w:val="80"/>
          <w:sz w:val="24"/>
        </w:rPr>
        <w:t> </w:t>
      </w:r>
      <w:r>
        <w:rPr>
          <w:sz w:val="24"/>
        </w:rPr>
        <w:t>числе</w:t>
      </w:r>
      <w:r>
        <w:rPr>
          <w:spacing w:val="80"/>
          <w:sz w:val="24"/>
        </w:rPr>
        <w:t> </w:t>
      </w:r>
      <w:r>
        <w:rPr>
          <w:sz w:val="24"/>
        </w:rPr>
        <w:t>с бессимптомными формами;</w:t>
      </w:r>
    </w:p>
    <w:p>
      <w:pPr>
        <w:pStyle w:val="ListParagraph"/>
        <w:numPr>
          <w:ilvl w:val="0"/>
          <w:numId w:val="59"/>
        </w:numPr>
        <w:tabs>
          <w:tab w:pos="2268" w:val="left" w:leader="none"/>
        </w:tabs>
        <w:spacing w:line="240" w:lineRule="auto" w:before="14" w:after="0"/>
        <w:ind w:left="2268" w:right="0" w:hanging="359"/>
        <w:jc w:val="both"/>
        <w:rPr>
          <w:sz w:val="24"/>
        </w:rPr>
      </w:pPr>
      <w:r>
        <w:rPr>
          <w:spacing w:val="-2"/>
          <w:sz w:val="24"/>
        </w:rPr>
        <w:t>соблюдение</w:t>
      </w:r>
      <w:r>
        <w:rPr>
          <w:sz w:val="24"/>
        </w:rPr>
        <w:t> </w:t>
      </w:r>
      <w:r>
        <w:rPr>
          <w:spacing w:val="-2"/>
          <w:sz w:val="24"/>
        </w:rPr>
        <w:t>режима</w:t>
      </w:r>
      <w:r>
        <w:rPr>
          <w:spacing w:val="1"/>
          <w:sz w:val="24"/>
        </w:rPr>
        <w:t> </w:t>
      </w:r>
      <w:r>
        <w:rPr>
          <w:spacing w:val="-2"/>
          <w:sz w:val="24"/>
        </w:rPr>
        <w:t>самоизоляции;</w:t>
      </w:r>
    </w:p>
    <w:p>
      <w:pPr>
        <w:pStyle w:val="ListParagraph"/>
        <w:numPr>
          <w:ilvl w:val="0"/>
          <w:numId w:val="59"/>
        </w:numPr>
        <w:tabs>
          <w:tab w:pos="2268" w:val="left" w:leader="none"/>
        </w:tabs>
        <w:spacing w:line="304" w:lineRule="auto" w:before="45" w:after="0"/>
        <w:ind w:left="2268" w:right="1280" w:hanging="360"/>
        <w:jc w:val="both"/>
        <w:rPr>
          <w:sz w:val="24"/>
        </w:rPr>
      </w:pPr>
      <w:r>
        <w:rPr>
          <w:sz w:val="24"/>
        </w:rPr>
        <w:t>своевременное обращение пациента в медицинские организации в случае появления симптомов ОРИ;</w:t>
      </w:r>
    </w:p>
    <w:p>
      <w:pPr>
        <w:pStyle w:val="ListParagraph"/>
        <w:numPr>
          <w:ilvl w:val="0"/>
          <w:numId w:val="59"/>
        </w:numPr>
        <w:tabs>
          <w:tab w:pos="2268" w:val="left" w:leader="none"/>
        </w:tabs>
        <w:spacing w:line="268" w:lineRule="auto" w:before="36" w:after="0"/>
        <w:ind w:left="2268" w:right="1278" w:hanging="360"/>
        <w:jc w:val="both"/>
        <w:rPr>
          <w:sz w:val="24"/>
        </w:rPr>
      </w:pPr>
      <w:r>
        <w:rPr>
          <w:sz w:val="24"/>
        </w:rPr>
        <w:t>соблюдение правил личной гигиены (мыть руки с мылом, использовать одноразовые</w:t>
      </w:r>
      <w:r>
        <w:rPr>
          <w:spacing w:val="-6"/>
          <w:sz w:val="24"/>
        </w:rPr>
        <w:t> </w:t>
      </w:r>
      <w:r>
        <w:rPr>
          <w:sz w:val="24"/>
        </w:rPr>
        <w:t>салфетки</w:t>
      </w:r>
      <w:r>
        <w:rPr>
          <w:spacing w:val="-7"/>
          <w:sz w:val="24"/>
        </w:rPr>
        <w:t> </w:t>
      </w:r>
      <w:r>
        <w:rPr>
          <w:sz w:val="24"/>
        </w:rPr>
        <w:t>при</w:t>
      </w:r>
      <w:r>
        <w:rPr>
          <w:spacing w:val="-5"/>
          <w:sz w:val="24"/>
        </w:rPr>
        <w:t> </w:t>
      </w:r>
      <w:r>
        <w:rPr>
          <w:sz w:val="24"/>
        </w:rPr>
        <w:t>чихании</w:t>
      </w:r>
      <w:r>
        <w:rPr>
          <w:spacing w:val="-7"/>
          <w:sz w:val="24"/>
        </w:rPr>
        <w:t> </w:t>
      </w:r>
      <w:r>
        <w:rPr>
          <w:sz w:val="24"/>
        </w:rPr>
        <w:t>и</w:t>
      </w:r>
      <w:r>
        <w:rPr>
          <w:spacing w:val="-7"/>
          <w:sz w:val="24"/>
        </w:rPr>
        <w:t> </w:t>
      </w:r>
      <w:r>
        <w:rPr>
          <w:sz w:val="24"/>
        </w:rPr>
        <w:t>кашле,</w:t>
      </w:r>
      <w:r>
        <w:rPr>
          <w:spacing w:val="-6"/>
          <w:sz w:val="24"/>
        </w:rPr>
        <w:t> </w:t>
      </w:r>
      <w:r>
        <w:rPr>
          <w:sz w:val="24"/>
        </w:rPr>
        <w:t>прикасаться</w:t>
      </w:r>
      <w:r>
        <w:rPr>
          <w:spacing w:val="-6"/>
          <w:sz w:val="24"/>
        </w:rPr>
        <w:t> </w:t>
      </w:r>
      <w:r>
        <w:rPr>
          <w:sz w:val="24"/>
        </w:rPr>
        <w:t>к</w:t>
      </w:r>
      <w:r>
        <w:rPr>
          <w:spacing w:val="-5"/>
          <w:sz w:val="24"/>
        </w:rPr>
        <w:t> </w:t>
      </w:r>
      <w:r>
        <w:rPr>
          <w:sz w:val="24"/>
        </w:rPr>
        <w:t>лицу</w:t>
      </w:r>
      <w:r>
        <w:rPr>
          <w:spacing w:val="-6"/>
          <w:sz w:val="24"/>
        </w:rPr>
        <w:t> </w:t>
      </w:r>
      <w:r>
        <w:rPr>
          <w:sz w:val="24"/>
        </w:rPr>
        <w:t>только</w:t>
      </w:r>
      <w:r>
        <w:rPr>
          <w:spacing w:val="-6"/>
          <w:sz w:val="24"/>
        </w:rPr>
        <w:t> </w:t>
      </w:r>
      <w:r>
        <w:rPr>
          <w:sz w:val="24"/>
        </w:rPr>
        <w:t>чистыми салфетками или вымытыми руками);</w:t>
      </w:r>
    </w:p>
    <w:p>
      <w:pPr>
        <w:pStyle w:val="ListParagraph"/>
        <w:numPr>
          <w:ilvl w:val="0"/>
          <w:numId w:val="59"/>
        </w:numPr>
        <w:tabs>
          <w:tab w:pos="2268" w:val="left" w:leader="none"/>
        </w:tabs>
        <w:spacing w:line="240" w:lineRule="auto" w:before="24" w:after="0"/>
        <w:ind w:left="2268" w:right="0" w:hanging="359"/>
        <w:jc w:val="both"/>
        <w:rPr>
          <w:sz w:val="24"/>
        </w:rPr>
      </w:pPr>
      <w:r>
        <w:rPr>
          <w:sz w:val="24"/>
        </w:rPr>
        <w:t>гигиена</w:t>
      </w:r>
      <w:r>
        <w:rPr>
          <w:spacing w:val="-13"/>
          <w:sz w:val="24"/>
        </w:rPr>
        <w:t> </w:t>
      </w:r>
      <w:r>
        <w:rPr>
          <w:sz w:val="24"/>
        </w:rPr>
        <w:t>рук,</w:t>
      </w:r>
      <w:r>
        <w:rPr>
          <w:spacing w:val="-15"/>
          <w:sz w:val="24"/>
        </w:rPr>
        <w:t> </w:t>
      </w:r>
      <w:r>
        <w:rPr>
          <w:sz w:val="24"/>
        </w:rPr>
        <w:t>применение</w:t>
      </w:r>
      <w:r>
        <w:rPr>
          <w:spacing w:val="-13"/>
          <w:sz w:val="24"/>
        </w:rPr>
        <w:t> </w:t>
      </w:r>
      <w:r>
        <w:rPr>
          <w:sz w:val="24"/>
        </w:rPr>
        <w:t>кожных</w:t>
      </w:r>
      <w:r>
        <w:rPr>
          <w:spacing w:val="-13"/>
          <w:sz w:val="24"/>
        </w:rPr>
        <w:t> </w:t>
      </w:r>
      <w:r>
        <w:rPr>
          <w:sz w:val="24"/>
        </w:rPr>
        <w:t>спиртовых</w:t>
      </w:r>
      <w:r>
        <w:rPr>
          <w:spacing w:val="-13"/>
          <w:sz w:val="24"/>
        </w:rPr>
        <w:t> </w:t>
      </w:r>
      <w:r>
        <w:rPr>
          <w:spacing w:val="-2"/>
          <w:sz w:val="24"/>
        </w:rPr>
        <w:t>антисептиков;</w:t>
      </w:r>
    </w:p>
    <w:p>
      <w:pPr>
        <w:pStyle w:val="BodyText"/>
        <w:spacing w:before="142"/>
        <w:ind w:left="0"/>
        <w:jc w:val="left"/>
      </w:pPr>
    </w:p>
    <w:p>
      <w:pPr>
        <w:pStyle w:val="ListParagraph"/>
        <w:numPr>
          <w:ilvl w:val="0"/>
          <w:numId w:val="59"/>
        </w:numPr>
        <w:tabs>
          <w:tab w:pos="2268" w:val="left" w:leader="none"/>
        </w:tabs>
        <w:spacing w:line="268" w:lineRule="auto" w:before="1" w:after="0"/>
        <w:ind w:left="2268" w:right="1271" w:hanging="360"/>
        <w:jc w:val="both"/>
        <w:rPr>
          <w:sz w:val="24"/>
        </w:rPr>
      </w:pPr>
      <w:r>
        <w:rPr>
          <w:sz w:val="24"/>
        </w:rPr>
        <w:t>использование</w:t>
      </w:r>
      <w:r>
        <w:rPr>
          <w:spacing w:val="80"/>
          <w:w w:val="150"/>
          <w:sz w:val="24"/>
        </w:rPr>
        <w:t>  </w:t>
      </w:r>
      <w:r>
        <w:rPr>
          <w:sz w:val="24"/>
        </w:rPr>
        <w:t>средств</w:t>
      </w:r>
      <w:r>
        <w:rPr>
          <w:spacing w:val="80"/>
          <w:w w:val="150"/>
          <w:sz w:val="24"/>
        </w:rPr>
        <w:t>  </w:t>
      </w:r>
      <w:r>
        <w:rPr>
          <w:sz w:val="24"/>
        </w:rPr>
        <w:t>индивидуальной</w:t>
      </w:r>
      <w:r>
        <w:rPr>
          <w:spacing w:val="80"/>
          <w:w w:val="150"/>
          <w:sz w:val="24"/>
        </w:rPr>
        <w:t>  </w:t>
      </w:r>
      <w:r>
        <w:rPr>
          <w:sz w:val="24"/>
        </w:rPr>
        <w:t>защиты</w:t>
      </w:r>
      <w:r>
        <w:rPr>
          <w:spacing w:val="80"/>
          <w:w w:val="150"/>
          <w:sz w:val="24"/>
        </w:rPr>
        <w:t>  </w:t>
      </w:r>
      <w:r>
        <w:rPr>
          <w:sz w:val="24"/>
        </w:rPr>
        <w:t>органов</w:t>
      </w:r>
      <w:r>
        <w:rPr>
          <w:spacing w:val="80"/>
          <w:w w:val="150"/>
          <w:sz w:val="24"/>
        </w:rPr>
        <w:t>  </w:t>
      </w:r>
      <w:r>
        <w:rPr>
          <w:sz w:val="24"/>
        </w:rPr>
        <w:t>дыхания</w:t>
      </w:r>
      <w:r>
        <w:rPr>
          <w:spacing w:val="80"/>
          <w:sz w:val="24"/>
        </w:rPr>
        <w:t> </w:t>
      </w:r>
      <w:r>
        <w:rPr>
          <w:sz w:val="24"/>
        </w:rPr>
        <w:t>в зависимости от степени риска инфицирования (лицевой щиток, одноразовая медицинская маска, респиратор, изолирующая полумаска, полнолицевая маска);</w:t>
      </w:r>
    </w:p>
    <w:p>
      <w:pPr>
        <w:pStyle w:val="ListParagraph"/>
        <w:numPr>
          <w:ilvl w:val="0"/>
          <w:numId w:val="59"/>
        </w:numPr>
        <w:tabs>
          <w:tab w:pos="2268" w:val="left" w:leader="none"/>
        </w:tabs>
        <w:spacing w:line="240" w:lineRule="auto" w:before="12" w:after="0"/>
        <w:ind w:left="2268" w:right="0" w:hanging="359"/>
        <w:jc w:val="both"/>
        <w:rPr>
          <w:sz w:val="24"/>
        </w:rPr>
      </w:pPr>
      <w:r>
        <w:rPr>
          <w:spacing w:val="-2"/>
          <w:sz w:val="24"/>
        </w:rPr>
        <w:t>проведение</w:t>
      </w:r>
      <w:r>
        <w:rPr>
          <w:spacing w:val="2"/>
          <w:sz w:val="24"/>
        </w:rPr>
        <w:t> </w:t>
      </w:r>
      <w:r>
        <w:rPr>
          <w:spacing w:val="-2"/>
          <w:sz w:val="24"/>
        </w:rPr>
        <w:t>дезинфекционных</w:t>
      </w:r>
      <w:r>
        <w:rPr>
          <w:spacing w:val="3"/>
          <w:sz w:val="24"/>
        </w:rPr>
        <w:t> </w:t>
      </w:r>
      <w:r>
        <w:rPr>
          <w:spacing w:val="-2"/>
          <w:sz w:val="24"/>
        </w:rPr>
        <w:t>мероприятий;</w:t>
      </w:r>
    </w:p>
    <w:p>
      <w:pPr>
        <w:pStyle w:val="ListParagraph"/>
        <w:numPr>
          <w:ilvl w:val="0"/>
          <w:numId w:val="59"/>
        </w:numPr>
        <w:tabs>
          <w:tab w:pos="2268" w:val="left" w:leader="none"/>
        </w:tabs>
        <w:spacing w:line="264" w:lineRule="auto" w:before="30" w:after="0"/>
        <w:ind w:left="2268" w:right="1277" w:hanging="360"/>
        <w:jc w:val="both"/>
        <w:rPr>
          <w:sz w:val="24"/>
        </w:rPr>
      </w:pPr>
      <w:r>
        <w:rPr>
          <w:sz w:val="24"/>
        </w:rPr>
        <w:t>другие мероприятия в соответствии с нормативными и методическими документами по борьбе с новой коронавирусной инфекцией.</w:t>
      </w:r>
    </w:p>
    <w:p>
      <w:pPr>
        <w:pStyle w:val="BodyText"/>
        <w:spacing w:before="56"/>
        <w:ind w:left="0"/>
        <w:jc w:val="left"/>
      </w:pPr>
    </w:p>
    <w:p>
      <w:pPr>
        <w:pStyle w:val="BodyText"/>
        <w:spacing w:line="276" w:lineRule="auto"/>
        <w:ind w:right="1279" w:firstLine="707"/>
      </w:pPr>
      <w:r>
        <w:rPr/>
        <w:t>Противоэпидемические мероприятия при новой коронавирусной инфекции проводятся в</w:t>
      </w:r>
      <w:r>
        <w:rPr>
          <w:spacing w:val="-5"/>
        </w:rPr>
        <w:t> </w:t>
      </w:r>
      <w:r>
        <w:rPr/>
        <w:t>отношении источника инфекции (больного человека и бессимптомного носителя), механизма передачи возбудителя инфекции, а также восприимчивого контингента (защита лиц, находящихся и/или находившихся в контакте с больным </w:t>
      </w:r>
      <w:r>
        <w:rPr>
          <w:spacing w:val="-2"/>
        </w:rPr>
        <w:t>человеком).</w:t>
      </w:r>
    </w:p>
    <w:p>
      <w:pPr>
        <w:pStyle w:val="BodyText"/>
        <w:spacing w:after="0" w:line="276" w:lineRule="auto"/>
        <w:sectPr>
          <w:pgSz w:w="11900" w:h="16840"/>
          <w:pgMar w:header="0" w:footer="697" w:top="1080" w:bottom="880" w:left="0" w:right="0"/>
        </w:sectPr>
      </w:pPr>
    </w:p>
    <w:p>
      <w:pPr>
        <w:pStyle w:val="BodyText"/>
        <w:spacing w:line="276" w:lineRule="auto" w:before="73"/>
        <w:ind w:right="1276" w:firstLine="707"/>
      </w:pPr>
      <w:bookmarkStart w:name="124" w:id="148"/>
      <w:bookmarkEnd w:id="148"/>
      <w:r>
        <w:rPr/>
      </w:r>
      <w:r>
        <w:rPr/>
        <w:t>Мероприятия</w:t>
      </w:r>
      <w:r>
        <w:rPr>
          <w:spacing w:val="-1"/>
        </w:rPr>
        <w:t> </w:t>
      </w:r>
      <w:r>
        <w:rPr/>
        <w:t>по борьбе новой коронавирусной инфекцией в настояшее время осуществляются в рамках общих мероприятий по борьбе с гриппом, острыми респираторными вирусными инфекциями и регламентируются Постановлением Главного</w:t>
      </w:r>
      <w:r>
        <w:rPr>
          <w:spacing w:val="78"/>
        </w:rPr>
        <w:t>  </w:t>
      </w:r>
      <w:r>
        <w:rPr/>
        <w:t>санитарного</w:t>
      </w:r>
      <w:r>
        <w:rPr>
          <w:spacing w:val="78"/>
        </w:rPr>
        <w:t>  </w:t>
      </w:r>
      <w:r>
        <w:rPr/>
        <w:t>врача</w:t>
      </w:r>
      <w:r>
        <w:rPr>
          <w:spacing w:val="77"/>
        </w:rPr>
        <w:t>  </w:t>
      </w:r>
      <w:r>
        <w:rPr/>
        <w:t>Российской</w:t>
      </w:r>
      <w:r>
        <w:rPr>
          <w:spacing w:val="79"/>
        </w:rPr>
        <w:t>  </w:t>
      </w:r>
      <w:r>
        <w:rPr/>
        <w:t>Федерации</w:t>
      </w:r>
      <w:r>
        <w:rPr>
          <w:spacing w:val="79"/>
        </w:rPr>
        <w:t>  </w:t>
      </w:r>
      <w:r>
        <w:rPr/>
        <w:t>от</w:t>
      </w:r>
      <w:r>
        <w:rPr>
          <w:spacing w:val="78"/>
        </w:rPr>
        <w:t>  </w:t>
      </w:r>
      <w:r>
        <w:rPr/>
        <w:t>17.06.2024</w:t>
      </w:r>
      <w:r>
        <w:rPr>
          <w:spacing w:val="78"/>
        </w:rPr>
        <w:t>  </w:t>
      </w:r>
      <w:r>
        <w:rPr>
          <w:spacing w:val="-5"/>
        </w:rPr>
        <w:t>№7</w:t>
      </w:r>
    </w:p>
    <w:p>
      <w:pPr>
        <w:pStyle w:val="BodyText"/>
        <w:spacing w:line="276" w:lineRule="auto"/>
        <w:ind w:right="1276"/>
      </w:pPr>
      <w:r>
        <w:rPr/>
        <w:t>«О мероприятиях по профилактике гриппа, острых респираторных вирусных инфекций и новой коронавирусной инфекции (COVID-19) в эпидемическом сезоне 2024-2025 годов".</w:t>
      </w:r>
    </w:p>
    <w:p>
      <w:pPr>
        <w:pStyle w:val="Heading3"/>
        <w:spacing w:before="238"/>
        <w:jc w:val="left"/>
      </w:pPr>
      <w:r>
        <w:rPr>
          <w:color w:val="1F487C"/>
        </w:rPr>
        <w:t>Мероприятия</w:t>
      </w:r>
      <w:r>
        <w:rPr>
          <w:color w:val="1F487C"/>
          <w:spacing w:val="-15"/>
        </w:rPr>
        <w:t> </w:t>
      </w:r>
      <w:r>
        <w:rPr>
          <w:color w:val="1F487C"/>
        </w:rPr>
        <w:t>в</w:t>
      </w:r>
      <w:r>
        <w:rPr>
          <w:color w:val="1F487C"/>
          <w:spacing w:val="-14"/>
        </w:rPr>
        <w:t> </w:t>
      </w:r>
      <w:r>
        <w:rPr>
          <w:color w:val="1F487C"/>
        </w:rPr>
        <w:t>отношении</w:t>
      </w:r>
      <w:r>
        <w:rPr>
          <w:color w:val="1F487C"/>
          <w:spacing w:val="-14"/>
        </w:rPr>
        <w:t> </w:t>
      </w:r>
      <w:r>
        <w:rPr>
          <w:color w:val="1F487C"/>
        </w:rPr>
        <w:t>источника</w:t>
      </w:r>
      <w:r>
        <w:rPr>
          <w:color w:val="1F487C"/>
          <w:spacing w:val="-15"/>
        </w:rPr>
        <w:t> </w:t>
      </w:r>
      <w:r>
        <w:rPr>
          <w:color w:val="1F487C"/>
          <w:spacing w:val="-2"/>
        </w:rPr>
        <w:t>инфекции:</w:t>
      </w:r>
    </w:p>
    <w:p>
      <w:pPr>
        <w:pStyle w:val="ListParagraph"/>
        <w:numPr>
          <w:ilvl w:val="0"/>
          <w:numId w:val="59"/>
        </w:numPr>
        <w:tabs>
          <w:tab w:pos="2268" w:val="left" w:leader="none"/>
        </w:tabs>
        <w:spacing w:line="240" w:lineRule="auto" w:before="162" w:after="0"/>
        <w:ind w:left="2268" w:right="0" w:hanging="359"/>
        <w:jc w:val="both"/>
        <w:rPr>
          <w:sz w:val="24"/>
        </w:rPr>
      </w:pPr>
      <w:r>
        <w:rPr>
          <w:spacing w:val="-2"/>
          <w:sz w:val="24"/>
        </w:rPr>
        <w:t>диагностические;</w:t>
      </w:r>
    </w:p>
    <w:p>
      <w:pPr>
        <w:pStyle w:val="BodyText"/>
        <w:spacing w:line="276" w:lineRule="auto" w:before="32"/>
        <w:ind w:left="1909" w:right="1272"/>
      </w:pPr>
      <w:r>
        <w:rPr/>
        <w:t>Лабораторное обследование на новую коронавирусную инфекцию (COVID-19) проводят лицам с диагнозами "грипп", "острая респираторная вирусная инфекция"</w:t>
      </w:r>
      <w:r>
        <w:rPr>
          <w:spacing w:val="80"/>
        </w:rPr>
        <w:t> </w:t>
      </w:r>
      <w:r>
        <w:rPr/>
        <w:t>и</w:t>
      </w:r>
      <w:r>
        <w:rPr>
          <w:spacing w:val="-6"/>
        </w:rPr>
        <w:t> </w:t>
      </w:r>
      <w:r>
        <w:rPr/>
        <w:t>"внебольничная</w:t>
      </w:r>
      <w:r>
        <w:rPr>
          <w:spacing w:val="-7"/>
        </w:rPr>
        <w:t> </w:t>
      </w:r>
      <w:r>
        <w:rPr/>
        <w:t>пневмония".</w:t>
      </w:r>
      <w:r>
        <w:rPr>
          <w:spacing w:val="-7"/>
        </w:rPr>
        <w:t> </w:t>
      </w:r>
      <w:r>
        <w:rPr/>
        <w:t>Доставку</w:t>
      </w:r>
      <w:r>
        <w:rPr>
          <w:spacing w:val="-7"/>
        </w:rPr>
        <w:t> </w:t>
      </w:r>
      <w:r>
        <w:rPr/>
        <w:t>в</w:t>
      </w:r>
      <w:r>
        <w:rPr>
          <w:spacing w:val="-7"/>
        </w:rPr>
        <w:t> </w:t>
      </w:r>
      <w:r>
        <w:rPr/>
        <w:t>диагностическую</w:t>
      </w:r>
      <w:r>
        <w:rPr>
          <w:spacing w:val="-6"/>
        </w:rPr>
        <w:t> </w:t>
      </w:r>
      <w:r>
        <w:rPr/>
        <w:t>лабораторию</w:t>
      </w:r>
      <w:r>
        <w:rPr>
          <w:spacing w:val="-6"/>
        </w:rPr>
        <w:t> </w:t>
      </w:r>
      <w:r>
        <w:rPr/>
        <w:t>материала от больных гриппом, острыми респираторными вирусными инфекциями, новой коронавирусной инфекцией (COVID-19), внебольничными пневмониями для исследования на грипп, острые респираторные вирусные инфекции, новую коронавирусную инфекцию (COVID-19) в срок не более 24 часов с момента его отбора. Направление диагностическими лабораториями информации о результатах исследований на новую коронавирусную инфекцию (COVID-19) в медицинские организации, направившие биологический материал, а также в территориальные органы Роспотребнадзора (с указанием данных об обследуемом лице в объеме, позволяющем провести противоэпидемические мероприятия) не позднее 24 часов после получения результатов исследований.</w:t>
      </w:r>
    </w:p>
    <w:p>
      <w:pPr>
        <w:pStyle w:val="BodyText"/>
        <w:spacing w:line="273" w:lineRule="exact"/>
        <w:ind w:left="1909"/>
        <w:jc w:val="left"/>
      </w:pPr>
      <w:r>
        <w:rPr>
          <w:spacing w:val="-2"/>
        </w:rPr>
        <w:t>лечебные;</w:t>
      </w:r>
    </w:p>
    <w:p>
      <w:pPr>
        <w:pStyle w:val="BodyText"/>
        <w:spacing w:line="276" w:lineRule="auto" w:before="40"/>
        <w:ind w:left="1909" w:right="1272"/>
      </w:pPr>
      <w:r>
        <w:rPr/>
        <w:t>Своевременное оказание медицинской помощи населению осуществляется на дому, в</w:t>
      </w:r>
      <w:r>
        <w:rPr>
          <w:spacing w:val="-6"/>
        </w:rPr>
        <w:t> </w:t>
      </w:r>
      <w:r>
        <w:rPr/>
        <w:t>медицинских</w:t>
      </w:r>
      <w:r>
        <w:rPr>
          <w:spacing w:val="-6"/>
        </w:rPr>
        <w:t> </w:t>
      </w:r>
      <w:r>
        <w:rPr/>
        <w:t>организациях</w:t>
      </w:r>
      <w:r>
        <w:rPr>
          <w:spacing w:val="-6"/>
        </w:rPr>
        <w:t> </w:t>
      </w:r>
      <w:r>
        <w:rPr/>
        <w:t>амбулаторно-поликлинического</w:t>
      </w:r>
      <w:r>
        <w:rPr>
          <w:spacing w:val="-6"/>
        </w:rPr>
        <w:t> </w:t>
      </w:r>
      <w:r>
        <w:rPr/>
        <w:t>и</w:t>
      </w:r>
      <w:r>
        <w:rPr>
          <w:spacing w:val="-5"/>
        </w:rPr>
        <w:t> </w:t>
      </w:r>
      <w:r>
        <w:rPr/>
        <w:t>стационарного</w:t>
      </w:r>
      <w:r>
        <w:rPr>
          <w:spacing w:val="-6"/>
        </w:rPr>
        <w:t> </w:t>
      </w:r>
      <w:r>
        <w:rPr/>
        <w:t>типа. Прием больных с клиническими проявлениями гриппа, острых респираторных вирусных</w:t>
      </w:r>
      <w:r>
        <w:rPr>
          <w:spacing w:val="80"/>
        </w:rPr>
        <w:t>  </w:t>
      </w:r>
      <w:r>
        <w:rPr/>
        <w:t>заболеваний</w:t>
      </w:r>
      <w:r>
        <w:rPr>
          <w:spacing w:val="80"/>
        </w:rPr>
        <w:t>  </w:t>
      </w:r>
      <w:r>
        <w:rPr/>
        <w:t>и</w:t>
      </w:r>
      <w:r>
        <w:rPr>
          <w:spacing w:val="80"/>
        </w:rPr>
        <w:t>  </w:t>
      </w:r>
      <w:r>
        <w:rPr/>
        <w:t>новой</w:t>
      </w:r>
      <w:r>
        <w:rPr>
          <w:spacing w:val="80"/>
        </w:rPr>
        <w:t>  </w:t>
      </w:r>
      <w:r>
        <w:rPr/>
        <w:t>коронавирусной</w:t>
      </w:r>
      <w:r>
        <w:rPr>
          <w:spacing w:val="80"/>
        </w:rPr>
        <w:t>  </w:t>
      </w:r>
      <w:r>
        <w:rPr/>
        <w:t>инфекции</w:t>
      </w:r>
      <w:r>
        <w:rPr>
          <w:spacing w:val="80"/>
        </w:rPr>
        <w:t>  </w:t>
      </w:r>
      <w:r>
        <w:rPr/>
        <w:t>(COVID-19) в амбулаторных условиях раздельно от пациентов с соматическими заболеваниями, определение маршрутизации и объемов оказания медицинской помощи больным такими инфекциями</w:t>
      </w:r>
    </w:p>
    <w:p>
      <w:pPr>
        <w:pStyle w:val="BodyText"/>
        <w:spacing w:before="40"/>
        <w:ind w:left="0"/>
        <w:jc w:val="left"/>
      </w:pPr>
    </w:p>
    <w:p>
      <w:pPr>
        <w:pStyle w:val="ListParagraph"/>
        <w:numPr>
          <w:ilvl w:val="0"/>
          <w:numId w:val="59"/>
        </w:numPr>
        <w:tabs>
          <w:tab w:pos="2834" w:val="left" w:leader="none"/>
        </w:tabs>
        <w:spacing w:line="264" w:lineRule="auto" w:before="1" w:after="0"/>
        <w:ind w:left="1909" w:right="1278" w:firstLine="0"/>
        <w:jc w:val="both"/>
        <w:rPr>
          <w:sz w:val="24"/>
        </w:rPr>
      </w:pPr>
      <w:r>
        <w:rPr>
          <w:sz w:val="24"/>
        </w:rPr>
        <w:t>изоляционные,</w:t>
      </w:r>
      <w:r>
        <w:rPr>
          <w:spacing w:val="80"/>
          <w:w w:val="150"/>
          <w:sz w:val="24"/>
        </w:rPr>
        <w:t>   </w:t>
      </w:r>
      <w:r>
        <w:rPr>
          <w:sz w:val="24"/>
        </w:rPr>
        <w:t>включая</w:t>
      </w:r>
      <w:r>
        <w:rPr>
          <w:spacing w:val="80"/>
          <w:w w:val="150"/>
          <w:sz w:val="24"/>
        </w:rPr>
        <w:t>   </w:t>
      </w:r>
      <w:r>
        <w:rPr>
          <w:sz w:val="24"/>
        </w:rPr>
        <w:t>госпитализацию</w:t>
      </w:r>
      <w:r>
        <w:rPr>
          <w:spacing w:val="80"/>
          <w:w w:val="150"/>
          <w:sz w:val="24"/>
        </w:rPr>
        <w:t>   </w:t>
      </w:r>
      <w:r>
        <w:rPr>
          <w:sz w:val="24"/>
        </w:rPr>
        <w:t>по</w:t>
      </w:r>
      <w:r>
        <w:rPr>
          <w:spacing w:val="80"/>
          <w:w w:val="150"/>
          <w:sz w:val="24"/>
        </w:rPr>
        <w:t>   </w:t>
      </w:r>
      <w:r>
        <w:rPr>
          <w:sz w:val="24"/>
        </w:rPr>
        <w:t>клиническим и эпидемиологическим показаниям.</w:t>
      </w:r>
    </w:p>
    <w:p>
      <w:pPr>
        <w:pStyle w:val="BodyText"/>
        <w:spacing w:line="276" w:lineRule="auto" w:before="13"/>
        <w:ind w:left="1909" w:right="1274"/>
      </w:pPr>
      <w:r>
        <w:rPr/>
        <w:t>Госпитализацию</w:t>
      </w:r>
      <w:r>
        <w:rPr>
          <w:spacing w:val="40"/>
        </w:rPr>
        <w:t>  </w:t>
      </w:r>
      <w:r>
        <w:rPr/>
        <w:t>по</w:t>
      </w:r>
      <w:r>
        <w:rPr>
          <w:spacing w:val="40"/>
        </w:rPr>
        <w:t>  </w:t>
      </w:r>
      <w:r>
        <w:rPr/>
        <w:t>клиническим</w:t>
      </w:r>
      <w:r>
        <w:rPr>
          <w:spacing w:val="40"/>
        </w:rPr>
        <w:t>  </w:t>
      </w:r>
      <w:r>
        <w:rPr/>
        <w:t>и</w:t>
      </w:r>
      <w:r>
        <w:rPr>
          <w:spacing w:val="40"/>
        </w:rPr>
        <w:t>  </w:t>
      </w:r>
      <w:r>
        <w:rPr/>
        <w:t>(или)</w:t>
      </w:r>
      <w:r>
        <w:rPr>
          <w:spacing w:val="40"/>
        </w:rPr>
        <w:t>  </w:t>
      </w:r>
      <w:r>
        <w:rPr/>
        <w:t>эпидемиологическим</w:t>
      </w:r>
      <w:r>
        <w:rPr>
          <w:spacing w:val="40"/>
        </w:rPr>
        <w:t>  </w:t>
      </w:r>
      <w:r>
        <w:rPr/>
        <w:t>показаниям</w:t>
      </w:r>
      <w:r>
        <w:rPr>
          <w:spacing w:val="40"/>
        </w:rPr>
        <w:t> </w:t>
      </w:r>
      <w:r>
        <w:rPr/>
        <w:t>в инфекционное отделение медицинской организации больных гриппом, острыми респираторными вирусными инфекциями, новой коронавирусной инфекцией (COVID-19), внебольничной пневмонией, с соблюдением условий, исключающих внутрибольничную</w:t>
      </w:r>
      <w:r>
        <w:rPr>
          <w:spacing w:val="40"/>
        </w:rPr>
        <w:t> </w:t>
      </w:r>
      <w:r>
        <w:rPr/>
        <w:t>передачу</w:t>
      </w:r>
      <w:r>
        <w:rPr>
          <w:spacing w:val="40"/>
        </w:rPr>
        <w:t> </w:t>
      </w:r>
      <w:r>
        <w:rPr/>
        <w:t>инфекций,</w:t>
      </w:r>
      <w:r>
        <w:rPr>
          <w:spacing w:val="40"/>
        </w:rPr>
        <w:t> </w:t>
      </w:r>
      <w:r>
        <w:rPr/>
        <w:t>включая</w:t>
      </w:r>
      <w:r>
        <w:rPr>
          <w:spacing w:val="40"/>
        </w:rPr>
        <w:t> </w:t>
      </w:r>
      <w:r>
        <w:rPr/>
        <w:t>разграничение</w:t>
      </w:r>
      <w:r>
        <w:rPr>
          <w:spacing w:val="40"/>
        </w:rPr>
        <w:t> </w:t>
      </w:r>
      <w:r>
        <w:rPr/>
        <w:t>потоков</w:t>
      </w:r>
      <w:r>
        <w:rPr>
          <w:spacing w:val="40"/>
        </w:rPr>
        <w:t> </w:t>
      </w:r>
      <w:r>
        <w:rPr/>
        <w:t>больных с учетом предполагаемой этиологии заболевания.</w:t>
      </w:r>
    </w:p>
    <w:p>
      <w:pPr>
        <w:pStyle w:val="BodyText"/>
        <w:spacing w:line="276" w:lineRule="auto"/>
        <w:ind w:left="1909" w:right="1275"/>
      </w:pPr>
      <w:r>
        <w:rPr/>
        <w:t>Перевозку</w:t>
      </w:r>
      <w:r>
        <w:rPr>
          <w:spacing w:val="40"/>
        </w:rPr>
        <w:t> </w:t>
      </w:r>
      <w:r>
        <w:rPr/>
        <w:t>санитарным</w:t>
      </w:r>
      <w:r>
        <w:rPr>
          <w:spacing w:val="40"/>
        </w:rPr>
        <w:t> </w:t>
      </w:r>
      <w:r>
        <w:rPr/>
        <w:t>транспортом</w:t>
      </w:r>
      <w:r>
        <w:rPr>
          <w:spacing w:val="40"/>
        </w:rPr>
        <w:t> </w:t>
      </w:r>
      <w:r>
        <w:rPr/>
        <w:t>в</w:t>
      </w:r>
      <w:r>
        <w:rPr>
          <w:spacing w:val="40"/>
        </w:rPr>
        <w:t> </w:t>
      </w:r>
      <w:r>
        <w:rPr/>
        <w:t>стационар</w:t>
      </w:r>
      <w:r>
        <w:rPr>
          <w:spacing w:val="40"/>
        </w:rPr>
        <w:t> </w:t>
      </w:r>
      <w:r>
        <w:rPr/>
        <w:t>больных</w:t>
      </w:r>
      <w:r>
        <w:rPr>
          <w:spacing w:val="40"/>
        </w:rPr>
        <w:t> </w:t>
      </w:r>
      <w:r>
        <w:rPr/>
        <w:t>и</w:t>
      </w:r>
      <w:r>
        <w:rPr>
          <w:spacing w:val="40"/>
        </w:rPr>
        <w:t> </w:t>
      </w:r>
      <w:r>
        <w:rPr/>
        <w:t>лиц</w:t>
      </w:r>
      <w:r>
        <w:rPr>
          <w:spacing w:val="40"/>
        </w:rPr>
        <w:t> </w:t>
      </w:r>
      <w:r>
        <w:rPr/>
        <w:t>с</w:t>
      </w:r>
      <w:r>
        <w:rPr>
          <w:spacing w:val="40"/>
        </w:rPr>
        <w:t> </w:t>
      </w:r>
      <w:r>
        <w:rPr/>
        <w:t>подозрением на новую коронавирусную инфекцию (COVID-19), грипп, острую респираторную инфекцию</w:t>
      </w:r>
      <w:r>
        <w:rPr>
          <w:spacing w:val="66"/>
        </w:rPr>
        <w:t>  </w:t>
      </w:r>
      <w:r>
        <w:rPr/>
        <w:t>при</w:t>
      </w:r>
      <w:r>
        <w:rPr>
          <w:spacing w:val="68"/>
        </w:rPr>
        <w:t>  </w:t>
      </w:r>
      <w:r>
        <w:rPr/>
        <w:t>условии</w:t>
      </w:r>
      <w:r>
        <w:rPr>
          <w:spacing w:val="69"/>
        </w:rPr>
        <w:t>  </w:t>
      </w:r>
      <w:r>
        <w:rPr/>
        <w:t>использования</w:t>
      </w:r>
      <w:r>
        <w:rPr>
          <w:spacing w:val="66"/>
        </w:rPr>
        <w:t>  </w:t>
      </w:r>
      <w:r>
        <w:rPr/>
        <w:t>перевозимыми</w:t>
      </w:r>
      <w:r>
        <w:rPr>
          <w:spacing w:val="68"/>
        </w:rPr>
        <w:t>  </w:t>
      </w:r>
      <w:r>
        <w:rPr/>
        <w:t>лицами,</w:t>
      </w:r>
      <w:r>
        <w:rPr>
          <w:spacing w:val="68"/>
        </w:rPr>
        <w:t>  </w:t>
      </w:r>
      <w:r>
        <w:rPr/>
        <w:t>а</w:t>
      </w:r>
      <w:r>
        <w:rPr>
          <w:spacing w:val="67"/>
        </w:rPr>
        <w:t>  </w:t>
      </w:r>
      <w:r>
        <w:rPr>
          <w:spacing w:val="-2"/>
        </w:rPr>
        <w:t>также</w:t>
      </w:r>
    </w:p>
    <w:p>
      <w:pPr>
        <w:pStyle w:val="BodyText"/>
        <w:spacing w:after="0" w:line="276" w:lineRule="auto"/>
        <w:sectPr>
          <w:pgSz w:w="11900" w:h="16840"/>
          <w:pgMar w:header="0" w:footer="697" w:top="1080" w:bottom="880" w:left="0" w:right="0"/>
        </w:sectPr>
      </w:pPr>
    </w:p>
    <w:p>
      <w:pPr>
        <w:pStyle w:val="BodyText"/>
        <w:spacing w:line="276" w:lineRule="auto" w:before="73"/>
        <w:ind w:left="1909" w:right="1277"/>
      </w:pPr>
      <w:bookmarkStart w:name="125" w:id="149"/>
      <w:bookmarkEnd w:id="149"/>
      <w:r>
        <w:rPr/>
      </w:r>
      <w:r>
        <w:rPr/>
        <w:t>сопровождающим</w:t>
      </w:r>
      <w:r>
        <w:rPr>
          <w:spacing w:val="-12"/>
        </w:rPr>
        <w:t> </w:t>
      </w:r>
      <w:r>
        <w:rPr/>
        <w:t>персоналом,</w:t>
      </w:r>
      <w:r>
        <w:rPr>
          <w:spacing w:val="-11"/>
        </w:rPr>
        <w:t> </w:t>
      </w:r>
      <w:r>
        <w:rPr/>
        <w:t>включая</w:t>
      </w:r>
      <w:r>
        <w:rPr>
          <w:spacing w:val="-11"/>
        </w:rPr>
        <w:t> </w:t>
      </w:r>
      <w:r>
        <w:rPr/>
        <w:t>водителей,</w:t>
      </w:r>
      <w:r>
        <w:rPr>
          <w:spacing w:val="-11"/>
        </w:rPr>
        <w:t> </w:t>
      </w:r>
      <w:r>
        <w:rPr/>
        <w:t>средств</w:t>
      </w:r>
      <w:r>
        <w:rPr>
          <w:spacing w:val="-11"/>
        </w:rPr>
        <w:t> </w:t>
      </w:r>
      <w:r>
        <w:rPr/>
        <w:t>индивидуальной</w:t>
      </w:r>
      <w:r>
        <w:rPr>
          <w:spacing w:val="-10"/>
        </w:rPr>
        <w:t> </w:t>
      </w:r>
      <w:r>
        <w:rPr/>
        <w:t>защиты органов дыхания (при отсутствии противопоказаний)</w:t>
      </w:r>
    </w:p>
    <w:p>
      <w:pPr>
        <w:pStyle w:val="BodyText"/>
        <w:ind w:left="0"/>
        <w:jc w:val="left"/>
      </w:pPr>
    </w:p>
    <w:p>
      <w:pPr>
        <w:pStyle w:val="BodyText"/>
        <w:spacing w:before="5"/>
        <w:ind w:left="0"/>
        <w:jc w:val="left"/>
      </w:pPr>
    </w:p>
    <w:p>
      <w:pPr>
        <w:pStyle w:val="Heading3"/>
        <w:spacing w:line="276" w:lineRule="auto"/>
        <w:ind w:right="1283"/>
        <w:jc w:val="left"/>
      </w:pPr>
      <w:r>
        <w:rPr>
          <w:color w:val="1F487C"/>
        </w:rPr>
        <w:t>Мероприятия,</w:t>
      </w:r>
      <w:r>
        <w:rPr>
          <w:color w:val="1F487C"/>
          <w:spacing w:val="-10"/>
        </w:rPr>
        <w:t> </w:t>
      </w:r>
      <w:r>
        <w:rPr>
          <w:color w:val="1F487C"/>
        </w:rPr>
        <w:t>направленные</w:t>
      </w:r>
      <w:r>
        <w:rPr>
          <w:color w:val="1F487C"/>
          <w:spacing w:val="-11"/>
        </w:rPr>
        <w:t> </w:t>
      </w:r>
      <w:r>
        <w:rPr>
          <w:color w:val="1F487C"/>
        </w:rPr>
        <w:t>на</w:t>
      </w:r>
      <w:r>
        <w:rPr>
          <w:color w:val="1F487C"/>
          <w:spacing w:val="-10"/>
        </w:rPr>
        <w:t> </w:t>
      </w:r>
      <w:r>
        <w:rPr>
          <w:color w:val="1F487C"/>
        </w:rPr>
        <w:t>механизм</w:t>
      </w:r>
      <w:r>
        <w:rPr>
          <w:color w:val="1F487C"/>
          <w:spacing w:val="-10"/>
        </w:rPr>
        <w:t> </w:t>
      </w:r>
      <w:r>
        <w:rPr>
          <w:color w:val="1F487C"/>
        </w:rPr>
        <w:t>передачи</w:t>
      </w:r>
      <w:r>
        <w:rPr>
          <w:color w:val="1F487C"/>
          <w:spacing w:val="-9"/>
        </w:rPr>
        <w:t> </w:t>
      </w:r>
      <w:r>
        <w:rPr>
          <w:color w:val="1F487C"/>
        </w:rPr>
        <w:t>возбудителя </w:t>
      </w:r>
      <w:r>
        <w:rPr>
          <w:color w:val="1F487C"/>
          <w:spacing w:val="-2"/>
        </w:rPr>
        <w:t>инфекции:</w:t>
      </w:r>
    </w:p>
    <w:p>
      <w:pPr>
        <w:pStyle w:val="ListParagraph"/>
        <w:numPr>
          <w:ilvl w:val="0"/>
          <w:numId w:val="59"/>
        </w:numPr>
        <w:tabs>
          <w:tab w:pos="2268" w:val="left" w:leader="none"/>
        </w:tabs>
        <w:spacing w:line="240" w:lineRule="auto" w:before="119" w:after="0"/>
        <w:ind w:left="2268" w:right="0" w:hanging="359"/>
        <w:jc w:val="left"/>
        <w:rPr>
          <w:sz w:val="24"/>
        </w:rPr>
      </w:pPr>
      <w:r>
        <w:rPr>
          <w:sz w:val="24"/>
        </w:rPr>
        <w:t>очаговая</w:t>
      </w:r>
      <w:r>
        <w:rPr>
          <w:spacing w:val="-11"/>
          <w:sz w:val="24"/>
        </w:rPr>
        <w:t> </w:t>
      </w:r>
      <w:r>
        <w:rPr>
          <w:sz w:val="24"/>
        </w:rPr>
        <w:t>дезинфекция:</w:t>
      </w:r>
      <w:r>
        <w:rPr>
          <w:spacing w:val="-11"/>
          <w:sz w:val="24"/>
        </w:rPr>
        <w:t> </w:t>
      </w:r>
      <w:r>
        <w:rPr>
          <w:sz w:val="24"/>
        </w:rPr>
        <w:t>текущая</w:t>
      </w:r>
      <w:r>
        <w:rPr>
          <w:spacing w:val="-11"/>
          <w:sz w:val="24"/>
        </w:rPr>
        <w:t> </w:t>
      </w:r>
      <w:r>
        <w:rPr>
          <w:sz w:val="24"/>
        </w:rPr>
        <w:t>и</w:t>
      </w:r>
      <w:r>
        <w:rPr>
          <w:spacing w:val="-9"/>
          <w:sz w:val="24"/>
        </w:rPr>
        <w:t> </w:t>
      </w:r>
      <w:r>
        <w:rPr>
          <w:spacing w:val="-2"/>
          <w:sz w:val="24"/>
        </w:rPr>
        <w:t>заключительная;</w:t>
      </w:r>
    </w:p>
    <w:p>
      <w:pPr>
        <w:pStyle w:val="ListParagraph"/>
        <w:numPr>
          <w:ilvl w:val="0"/>
          <w:numId w:val="59"/>
        </w:numPr>
        <w:tabs>
          <w:tab w:pos="2268" w:val="left" w:leader="none"/>
        </w:tabs>
        <w:spacing w:line="264" w:lineRule="auto" w:before="33" w:after="0"/>
        <w:ind w:left="2268" w:right="1279" w:hanging="360"/>
        <w:jc w:val="left"/>
        <w:rPr>
          <w:sz w:val="24"/>
        </w:rPr>
      </w:pPr>
      <w:r>
        <w:rPr>
          <w:sz w:val="24"/>
        </w:rPr>
        <w:t>соблюдение</w:t>
      </w:r>
      <w:r>
        <w:rPr>
          <w:spacing w:val="35"/>
          <w:sz w:val="24"/>
        </w:rPr>
        <w:t> </w:t>
      </w:r>
      <w:r>
        <w:rPr>
          <w:sz w:val="24"/>
        </w:rPr>
        <w:t>правил</w:t>
      </w:r>
      <w:r>
        <w:rPr>
          <w:spacing w:val="34"/>
          <w:sz w:val="24"/>
        </w:rPr>
        <w:t> </w:t>
      </w:r>
      <w:r>
        <w:rPr>
          <w:sz w:val="24"/>
        </w:rPr>
        <w:t>личной</w:t>
      </w:r>
      <w:r>
        <w:rPr>
          <w:spacing w:val="36"/>
          <w:sz w:val="24"/>
        </w:rPr>
        <w:t> </w:t>
      </w:r>
      <w:r>
        <w:rPr>
          <w:sz w:val="24"/>
        </w:rPr>
        <w:t>гигиены</w:t>
      </w:r>
      <w:r>
        <w:rPr>
          <w:spacing w:val="36"/>
          <w:sz w:val="24"/>
        </w:rPr>
        <w:t> </w:t>
      </w:r>
      <w:r>
        <w:rPr>
          <w:sz w:val="24"/>
        </w:rPr>
        <w:t>(мытье</w:t>
      </w:r>
      <w:r>
        <w:rPr>
          <w:spacing w:val="33"/>
          <w:sz w:val="24"/>
        </w:rPr>
        <w:t> </w:t>
      </w:r>
      <w:r>
        <w:rPr>
          <w:sz w:val="24"/>
        </w:rPr>
        <w:t>рук,</w:t>
      </w:r>
      <w:r>
        <w:rPr>
          <w:spacing w:val="36"/>
          <w:sz w:val="24"/>
        </w:rPr>
        <w:t> </w:t>
      </w:r>
      <w:r>
        <w:rPr>
          <w:sz w:val="24"/>
        </w:rPr>
        <w:t>использование</w:t>
      </w:r>
      <w:r>
        <w:rPr>
          <w:spacing w:val="35"/>
          <w:sz w:val="24"/>
        </w:rPr>
        <w:t> </w:t>
      </w:r>
      <w:r>
        <w:rPr>
          <w:sz w:val="24"/>
        </w:rPr>
        <w:t>антисептиков, медицинских масок, перчаток);</w:t>
      </w:r>
    </w:p>
    <w:p>
      <w:pPr>
        <w:pStyle w:val="ListParagraph"/>
        <w:numPr>
          <w:ilvl w:val="0"/>
          <w:numId w:val="59"/>
        </w:numPr>
        <w:tabs>
          <w:tab w:pos="2268" w:val="left" w:leader="none"/>
        </w:tabs>
        <w:spacing w:line="240" w:lineRule="auto" w:before="14" w:after="0"/>
        <w:ind w:left="2268" w:right="0" w:hanging="359"/>
        <w:jc w:val="left"/>
        <w:rPr>
          <w:sz w:val="24"/>
        </w:rPr>
      </w:pPr>
      <w:r>
        <w:rPr>
          <w:sz w:val="24"/>
        </w:rPr>
        <w:t>использование</w:t>
      </w:r>
      <w:r>
        <w:rPr>
          <w:spacing w:val="-12"/>
          <w:sz w:val="24"/>
        </w:rPr>
        <w:t> </w:t>
      </w:r>
      <w:r>
        <w:rPr>
          <w:sz w:val="24"/>
        </w:rPr>
        <w:t>СИЗ</w:t>
      </w:r>
      <w:r>
        <w:rPr>
          <w:spacing w:val="-11"/>
          <w:sz w:val="24"/>
        </w:rPr>
        <w:t> </w:t>
      </w:r>
      <w:r>
        <w:rPr>
          <w:sz w:val="24"/>
        </w:rPr>
        <w:t>для</w:t>
      </w:r>
      <w:r>
        <w:rPr>
          <w:spacing w:val="-12"/>
          <w:sz w:val="24"/>
        </w:rPr>
        <w:t> </w:t>
      </w:r>
      <w:r>
        <w:rPr>
          <w:spacing w:val="-2"/>
          <w:sz w:val="24"/>
        </w:rPr>
        <w:t>медработников;</w:t>
      </w:r>
    </w:p>
    <w:p>
      <w:pPr>
        <w:pStyle w:val="ListParagraph"/>
        <w:numPr>
          <w:ilvl w:val="0"/>
          <w:numId w:val="59"/>
        </w:numPr>
        <w:tabs>
          <w:tab w:pos="2268" w:val="left" w:leader="none"/>
        </w:tabs>
        <w:spacing w:line="240" w:lineRule="auto" w:before="33" w:after="0"/>
        <w:ind w:left="2268" w:right="0" w:hanging="359"/>
        <w:jc w:val="left"/>
        <w:rPr>
          <w:sz w:val="24"/>
        </w:rPr>
      </w:pPr>
      <w:r>
        <w:rPr>
          <w:sz w:val="24"/>
        </w:rPr>
        <w:t>обеззараживание</w:t>
      </w:r>
      <w:r>
        <w:rPr>
          <w:spacing w:val="-15"/>
          <w:sz w:val="24"/>
        </w:rPr>
        <w:t> </w:t>
      </w:r>
      <w:r>
        <w:rPr>
          <w:sz w:val="24"/>
        </w:rPr>
        <w:t>и</w:t>
      </w:r>
      <w:r>
        <w:rPr>
          <w:spacing w:val="-15"/>
          <w:sz w:val="24"/>
        </w:rPr>
        <w:t> </w:t>
      </w:r>
      <w:r>
        <w:rPr>
          <w:sz w:val="24"/>
        </w:rPr>
        <w:t>утилизация</w:t>
      </w:r>
      <w:r>
        <w:rPr>
          <w:spacing w:val="-12"/>
          <w:sz w:val="24"/>
        </w:rPr>
        <w:t> </w:t>
      </w:r>
      <w:r>
        <w:rPr>
          <w:sz w:val="24"/>
        </w:rPr>
        <w:t>медицинских</w:t>
      </w:r>
      <w:r>
        <w:rPr>
          <w:spacing w:val="-15"/>
          <w:sz w:val="24"/>
        </w:rPr>
        <w:t> </w:t>
      </w:r>
      <w:r>
        <w:rPr>
          <w:sz w:val="24"/>
        </w:rPr>
        <w:t>отходов</w:t>
      </w:r>
      <w:r>
        <w:rPr>
          <w:spacing w:val="-15"/>
          <w:sz w:val="24"/>
        </w:rPr>
        <w:t> </w:t>
      </w:r>
      <w:r>
        <w:rPr>
          <w:sz w:val="24"/>
        </w:rPr>
        <w:t>класса</w:t>
      </w:r>
      <w:r>
        <w:rPr>
          <w:spacing w:val="-15"/>
          <w:sz w:val="24"/>
        </w:rPr>
        <w:t> </w:t>
      </w:r>
      <w:r>
        <w:rPr>
          <w:spacing w:val="-5"/>
          <w:sz w:val="24"/>
        </w:rPr>
        <w:t>В.</w:t>
      </w:r>
    </w:p>
    <w:p>
      <w:pPr>
        <w:pStyle w:val="Heading3"/>
        <w:spacing w:before="150"/>
        <w:jc w:val="left"/>
      </w:pPr>
      <w:r>
        <w:rPr>
          <w:color w:val="1F487C"/>
          <w:spacing w:val="-2"/>
        </w:rPr>
        <w:t>Мероприятия,</w:t>
      </w:r>
      <w:r>
        <w:rPr>
          <w:color w:val="1F487C"/>
        </w:rPr>
        <w:t> </w:t>
      </w:r>
      <w:r>
        <w:rPr>
          <w:color w:val="1F487C"/>
          <w:spacing w:val="-2"/>
        </w:rPr>
        <w:t>направленные</w:t>
      </w:r>
      <w:r>
        <w:rPr>
          <w:color w:val="1F487C"/>
        </w:rPr>
        <w:t> </w:t>
      </w:r>
      <w:r>
        <w:rPr>
          <w:color w:val="1F487C"/>
          <w:spacing w:val="-2"/>
        </w:rPr>
        <w:t>на</w:t>
      </w:r>
      <w:r>
        <w:rPr>
          <w:color w:val="1F487C"/>
          <w:spacing w:val="1"/>
        </w:rPr>
        <w:t> </w:t>
      </w:r>
      <w:r>
        <w:rPr>
          <w:color w:val="1F487C"/>
          <w:spacing w:val="-2"/>
        </w:rPr>
        <w:t>восприимчивый</w:t>
      </w:r>
      <w:r>
        <w:rPr>
          <w:color w:val="1F487C"/>
          <w:spacing w:val="1"/>
        </w:rPr>
        <w:t> </w:t>
      </w:r>
      <w:r>
        <w:rPr>
          <w:color w:val="1F487C"/>
          <w:spacing w:val="-2"/>
        </w:rPr>
        <w:t>контингент:</w:t>
      </w:r>
    </w:p>
    <w:p>
      <w:pPr>
        <w:pStyle w:val="ListParagraph"/>
        <w:numPr>
          <w:ilvl w:val="0"/>
          <w:numId w:val="59"/>
        </w:numPr>
        <w:tabs>
          <w:tab w:pos="2268" w:val="left" w:leader="none"/>
        </w:tabs>
        <w:spacing w:line="264" w:lineRule="auto" w:before="163" w:after="0"/>
        <w:ind w:left="2268" w:right="1277" w:hanging="360"/>
        <w:jc w:val="left"/>
        <w:rPr>
          <w:sz w:val="24"/>
        </w:rPr>
      </w:pPr>
      <w:r>
        <w:rPr>
          <w:sz w:val="24"/>
        </w:rPr>
        <w:t>режимно-ограничительные</w:t>
      </w:r>
      <w:r>
        <w:rPr>
          <w:spacing w:val="80"/>
          <w:sz w:val="24"/>
        </w:rPr>
        <w:t> </w:t>
      </w:r>
      <w:r>
        <w:rPr>
          <w:sz w:val="24"/>
        </w:rPr>
        <w:t>мероприятия,</w:t>
      </w:r>
      <w:r>
        <w:rPr>
          <w:spacing w:val="80"/>
          <w:sz w:val="24"/>
        </w:rPr>
        <w:t> </w:t>
      </w:r>
      <w:r>
        <w:rPr>
          <w:sz w:val="24"/>
        </w:rPr>
        <w:t>включая</w:t>
      </w:r>
      <w:r>
        <w:rPr>
          <w:spacing w:val="80"/>
          <w:sz w:val="24"/>
        </w:rPr>
        <w:t> </w:t>
      </w:r>
      <w:r>
        <w:rPr>
          <w:sz w:val="24"/>
        </w:rPr>
        <w:t>клиническое</w:t>
      </w:r>
      <w:r>
        <w:rPr>
          <w:spacing w:val="80"/>
          <w:sz w:val="24"/>
        </w:rPr>
        <w:t> </w:t>
      </w:r>
      <w:r>
        <w:rPr>
          <w:sz w:val="24"/>
        </w:rPr>
        <w:t>наблюдение</w:t>
      </w:r>
      <w:r>
        <w:rPr>
          <w:spacing w:val="80"/>
          <w:sz w:val="24"/>
        </w:rPr>
        <w:t> </w:t>
      </w:r>
      <w:r>
        <w:rPr>
          <w:sz w:val="24"/>
        </w:rPr>
        <w:t>и карантин;</w:t>
      </w:r>
    </w:p>
    <w:p>
      <w:pPr>
        <w:pStyle w:val="BodyText"/>
        <w:spacing w:before="55"/>
        <w:ind w:left="0"/>
        <w:jc w:val="left"/>
      </w:pPr>
    </w:p>
    <w:p>
      <w:pPr>
        <w:spacing w:before="0"/>
        <w:ind w:left="1909" w:right="0" w:firstLine="0"/>
        <w:jc w:val="left"/>
        <w:rPr>
          <w:rFonts w:ascii="Symbol" w:hAnsi="Symbol"/>
          <w:sz w:val="24"/>
        </w:rPr>
      </w:pPr>
      <w:r>
        <w:rPr>
          <w:rFonts w:ascii="Symbol" w:hAnsi="Symbol"/>
          <w:spacing w:val="-10"/>
          <w:sz w:val="24"/>
        </w:rPr>
        <w:t></w:t>
      </w:r>
    </w:p>
    <w:p>
      <w:pPr>
        <w:pStyle w:val="BodyText"/>
        <w:spacing w:before="107"/>
        <w:ind w:left="0"/>
        <w:jc w:val="left"/>
        <w:rPr>
          <w:rFonts w:ascii="Symbol" w:hAnsi="Symbol"/>
        </w:rPr>
      </w:pPr>
    </w:p>
    <w:p>
      <w:pPr>
        <w:pStyle w:val="Heading1"/>
        <w:numPr>
          <w:ilvl w:val="0"/>
          <w:numId w:val="5"/>
        </w:numPr>
        <w:tabs>
          <w:tab w:pos="2828" w:val="left" w:leader="none"/>
        </w:tabs>
        <w:spacing w:line="300" w:lineRule="auto" w:before="0" w:after="0"/>
        <w:ind w:left="2549" w:right="3249" w:firstLine="0"/>
        <w:jc w:val="left"/>
      </w:pPr>
      <w:r>
        <w:rPr>
          <w:color w:val="1F487C"/>
        </w:rPr>
        <w:t>ПОРЯДОК ПРОВЕДЕНИЯ ПАТОЛОГОАНАТОМИЧЕСКИХ</w:t>
      </w:r>
      <w:r>
        <w:rPr>
          <w:color w:val="1F487C"/>
          <w:spacing w:val="-18"/>
        </w:rPr>
        <w:t> </w:t>
      </w:r>
      <w:r>
        <w:rPr>
          <w:color w:val="1F487C"/>
        </w:rPr>
        <w:t>ВСКРЫТИЙ</w:t>
      </w:r>
    </w:p>
    <w:p>
      <w:pPr>
        <w:pStyle w:val="BodyText"/>
        <w:spacing w:line="276" w:lineRule="auto" w:before="119"/>
        <w:ind w:right="1276" w:firstLine="707"/>
      </w:pPr>
      <w:r>
        <w:rPr/>
        <w:t>В</w:t>
      </w:r>
      <w:r>
        <w:rPr>
          <w:spacing w:val="-12"/>
        </w:rPr>
        <w:t> </w:t>
      </w:r>
      <w:r>
        <w:rPr/>
        <w:t>случае</w:t>
      </w:r>
      <w:r>
        <w:rPr>
          <w:spacing w:val="-14"/>
        </w:rPr>
        <w:t> </w:t>
      </w:r>
      <w:r>
        <w:rPr/>
        <w:t>смерти</w:t>
      </w:r>
      <w:r>
        <w:rPr>
          <w:spacing w:val="-11"/>
        </w:rPr>
        <w:t> </w:t>
      </w:r>
      <w:r>
        <w:rPr/>
        <w:t>в</w:t>
      </w:r>
      <w:r>
        <w:rPr>
          <w:spacing w:val="-13"/>
        </w:rPr>
        <w:t> </w:t>
      </w:r>
      <w:r>
        <w:rPr/>
        <w:t>стационаре</w:t>
      </w:r>
      <w:r>
        <w:rPr>
          <w:spacing w:val="-14"/>
        </w:rPr>
        <w:t> </w:t>
      </w:r>
      <w:r>
        <w:rPr/>
        <w:t>больного</w:t>
      </w:r>
      <w:r>
        <w:rPr>
          <w:spacing w:val="-15"/>
        </w:rPr>
        <w:t> </w:t>
      </w:r>
      <w:r>
        <w:rPr/>
        <w:t>с</w:t>
      </w:r>
      <w:r>
        <w:rPr>
          <w:spacing w:val="-14"/>
        </w:rPr>
        <w:t> </w:t>
      </w:r>
      <w:r>
        <w:rPr/>
        <w:t>установленным</w:t>
      </w:r>
      <w:r>
        <w:rPr>
          <w:spacing w:val="-14"/>
        </w:rPr>
        <w:t> </w:t>
      </w:r>
      <w:r>
        <w:rPr/>
        <w:t>при</w:t>
      </w:r>
      <w:r>
        <w:rPr>
          <w:spacing w:val="-14"/>
        </w:rPr>
        <w:t> </w:t>
      </w:r>
      <w:r>
        <w:rPr/>
        <w:t>жизни</w:t>
      </w:r>
      <w:r>
        <w:rPr>
          <w:spacing w:val="-12"/>
        </w:rPr>
        <w:t> </w:t>
      </w:r>
      <w:r>
        <w:rPr/>
        <w:t>диагнозом COVID-19 или отнесенного к категории «подозрительный и вероятный случай </w:t>
      </w:r>
      <w:r>
        <w:rPr>
          <w:spacing w:val="-2"/>
        </w:rPr>
        <w:t>COVID-19»</w:t>
      </w:r>
      <w:r>
        <w:rPr>
          <w:spacing w:val="-7"/>
        </w:rPr>
        <w:t> </w:t>
      </w:r>
      <w:r>
        <w:rPr>
          <w:spacing w:val="-2"/>
        </w:rPr>
        <w:t>патологоанатомическое</w:t>
      </w:r>
      <w:r>
        <w:rPr>
          <w:spacing w:val="-7"/>
        </w:rPr>
        <w:t> </w:t>
      </w:r>
      <w:r>
        <w:rPr>
          <w:spacing w:val="-2"/>
        </w:rPr>
        <w:t>вскрытие</w:t>
      </w:r>
      <w:r>
        <w:rPr>
          <w:spacing w:val="-7"/>
        </w:rPr>
        <w:t> </w:t>
      </w:r>
      <w:r>
        <w:rPr>
          <w:spacing w:val="-2"/>
        </w:rPr>
        <w:t>в</w:t>
      </w:r>
      <w:r>
        <w:rPr>
          <w:spacing w:val="-7"/>
        </w:rPr>
        <w:t> </w:t>
      </w:r>
      <w:r>
        <w:rPr>
          <w:spacing w:val="-2"/>
        </w:rPr>
        <w:t>соответствии</w:t>
      </w:r>
      <w:r>
        <w:rPr>
          <w:spacing w:val="-5"/>
        </w:rPr>
        <w:t> </w:t>
      </w:r>
      <w:r>
        <w:rPr>
          <w:spacing w:val="-2"/>
        </w:rPr>
        <w:t>с</w:t>
      </w:r>
      <w:r>
        <w:rPr>
          <w:spacing w:val="-7"/>
        </w:rPr>
        <w:t> </w:t>
      </w:r>
      <w:r>
        <w:rPr>
          <w:spacing w:val="-2"/>
        </w:rPr>
        <w:t>Федеральным</w:t>
      </w:r>
      <w:r>
        <w:rPr>
          <w:spacing w:val="-7"/>
        </w:rPr>
        <w:t> </w:t>
      </w:r>
      <w:r>
        <w:rPr>
          <w:spacing w:val="-2"/>
        </w:rPr>
        <w:t>законом</w:t>
      </w:r>
    </w:p>
    <w:p>
      <w:pPr>
        <w:pStyle w:val="BodyText"/>
        <w:spacing w:line="276" w:lineRule="auto" w:before="1"/>
        <w:ind w:right="1278"/>
      </w:pPr>
      <w:r>
        <w:rPr/>
        <w:t>№323-ФЗ от 21.11.2011 «Об основах охраны здоровья граждан в Российской Федерации»</w:t>
      </w:r>
      <w:r>
        <w:rPr>
          <w:spacing w:val="64"/>
          <w:w w:val="150"/>
        </w:rPr>
        <w:t>  </w:t>
      </w:r>
      <w:r>
        <w:rPr/>
        <w:t>и</w:t>
      </w:r>
      <w:r>
        <w:rPr>
          <w:spacing w:val="66"/>
          <w:w w:val="150"/>
        </w:rPr>
        <w:t>  </w:t>
      </w:r>
      <w:r>
        <w:rPr/>
        <w:t>приказом</w:t>
      </w:r>
      <w:r>
        <w:rPr>
          <w:spacing w:val="64"/>
          <w:w w:val="150"/>
        </w:rPr>
        <w:t>  </w:t>
      </w:r>
      <w:r>
        <w:rPr/>
        <w:t>Минздрава</w:t>
      </w:r>
      <w:r>
        <w:rPr>
          <w:spacing w:val="65"/>
          <w:w w:val="150"/>
        </w:rPr>
        <w:t>  </w:t>
      </w:r>
      <w:r>
        <w:rPr/>
        <w:t>России</w:t>
      </w:r>
      <w:r>
        <w:rPr>
          <w:spacing w:val="66"/>
          <w:w w:val="150"/>
        </w:rPr>
        <w:t>  </w:t>
      </w:r>
      <w:r>
        <w:rPr/>
        <w:t>№</w:t>
      </w:r>
      <w:r>
        <w:rPr>
          <w:spacing w:val="64"/>
          <w:w w:val="150"/>
        </w:rPr>
        <w:t>  </w:t>
      </w:r>
      <w:r>
        <w:rPr/>
        <w:t>354н</w:t>
      </w:r>
      <w:r>
        <w:rPr>
          <w:spacing w:val="65"/>
          <w:w w:val="150"/>
        </w:rPr>
        <w:t>  </w:t>
      </w:r>
      <w:r>
        <w:rPr/>
        <w:t>от</w:t>
      </w:r>
      <w:r>
        <w:rPr>
          <w:spacing w:val="66"/>
          <w:w w:val="150"/>
        </w:rPr>
        <w:t>  </w:t>
      </w:r>
      <w:r>
        <w:rPr>
          <w:spacing w:val="-2"/>
        </w:rPr>
        <w:t>06.06.2013</w:t>
      </w:r>
    </w:p>
    <w:p>
      <w:pPr>
        <w:pStyle w:val="BodyText"/>
        <w:spacing w:line="276" w:lineRule="auto"/>
        <w:ind w:right="1276"/>
      </w:pPr>
      <w:r>
        <w:rPr/>
        <w:t>«О</w:t>
      </w:r>
      <w:r>
        <w:rPr>
          <w:spacing w:val="-2"/>
        </w:rPr>
        <w:t> </w:t>
      </w:r>
      <w:r>
        <w:rPr/>
        <w:t>порядке</w:t>
      </w:r>
      <w:r>
        <w:rPr>
          <w:spacing w:val="-2"/>
        </w:rPr>
        <w:t> </w:t>
      </w:r>
      <w:r>
        <w:rPr/>
        <w:t>проведения</w:t>
      </w:r>
      <w:r>
        <w:rPr>
          <w:spacing w:val="-3"/>
        </w:rPr>
        <w:t> </w:t>
      </w:r>
      <w:r>
        <w:rPr/>
        <w:t>патологоанатомических</w:t>
      </w:r>
      <w:r>
        <w:rPr>
          <w:spacing w:val="-2"/>
        </w:rPr>
        <w:t> </w:t>
      </w:r>
      <w:r>
        <w:rPr/>
        <w:t>вскрытий»</w:t>
      </w:r>
      <w:r>
        <w:rPr>
          <w:spacing w:val="-2"/>
        </w:rPr>
        <w:t> </w:t>
      </w:r>
      <w:r>
        <w:rPr/>
        <w:t>проводится</w:t>
      </w:r>
      <w:r>
        <w:rPr>
          <w:spacing w:val="-2"/>
        </w:rPr>
        <w:t> </w:t>
      </w:r>
      <w:r>
        <w:rPr/>
        <w:t>в</w:t>
      </w:r>
      <w:r>
        <w:rPr>
          <w:spacing w:val="-2"/>
        </w:rPr>
        <w:t> </w:t>
      </w:r>
      <w:r>
        <w:rPr/>
        <w:t>специально перепрофилированных, для подобных вскрытий в том числе, межстационарных патологоанатомических</w:t>
      </w:r>
      <w:r>
        <w:rPr>
          <w:spacing w:val="-6"/>
        </w:rPr>
        <w:t> </w:t>
      </w:r>
      <w:r>
        <w:rPr/>
        <w:t>отделениях</w:t>
      </w:r>
      <w:r>
        <w:rPr>
          <w:spacing w:val="-6"/>
        </w:rPr>
        <w:t> </w:t>
      </w:r>
      <w:r>
        <w:rPr/>
        <w:t>с</w:t>
      </w:r>
      <w:r>
        <w:rPr>
          <w:spacing w:val="-9"/>
        </w:rPr>
        <w:t> </w:t>
      </w:r>
      <w:r>
        <w:rPr/>
        <w:t>соблюдением</w:t>
      </w:r>
      <w:r>
        <w:rPr>
          <w:spacing w:val="-6"/>
        </w:rPr>
        <w:t> </w:t>
      </w:r>
      <w:r>
        <w:rPr/>
        <w:t>правил</w:t>
      </w:r>
      <w:r>
        <w:rPr>
          <w:spacing w:val="-8"/>
        </w:rPr>
        <w:t> </w:t>
      </w:r>
      <w:r>
        <w:rPr/>
        <w:t>биобезопасности.</w:t>
      </w:r>
      <w:r>
        <w:rPr>
          <w:spacing w:val="-6"/>
        </w:rPr>
        <w:t> </w:t>
      </w:r>
      <w:r>
        <w:rPr/>
        <w:t>Отмена вскрытия не допускается. Категория сложности 5 (приложение 1 Приказа №354н).</w:t>
      </w:r>
    </w:p>
    <w:p>
      <w:pPr>
        <w:pStyle w:val="BodyText"/>
        <w:spacing w:line="276" w:lineRule="auto" w:before="11"/>
        <w:ind w:right="1271" w:firstLine="707"/>
      </w:pPr>
      <w:r>
        <w:rPr/>
        <w:t>Администрация патологоанатомических бюро, больниц, имеющих в своем составе</w:t>
      </w:r>
      <w:r>
        <w:rPr>
          <w:spacing w:val="-8"/>
        </w:rPr>
        <w:t> </w:t>
      </w:r>
      <w:r>
        <w:rPr/>
        <w:t>патологоанатомические</w:t>
      </w:r>
      <w:r>
        <w:rPr>
          <w:spacing w:val="-8"/>
        </w:rPr>
        <w:t> </w:t>
      </w:r>
      <w:r>
        <w:rPr/>
        <w:t>отделения,</w:t>
      </w:r>
      <w:r>
        <w:rPr>
          <w:spacing w:val="-5"/>
        </w:rPr>
        <w:t> </w:t>
      </w:r>
      <w:r>
        <w:rPr/>
        <w:t>и</w:t>
      </w:r>
      <w:r>
        <w:rPr>
          <w:spacing w:val="-11"/>
        </w:rPr>
        <w:t> </w:t>
      </w:r>
      <w:r>
        <w:rPr/>
        <w:t>бюро</w:t>
      </w:r>
      <w:r>
        <w:rPr>
          <w:spacing w:val="-8"/>
        </w:rPr>
        <w:t> </w:t>
      </w:r>
      <w:r>
        <w:rPr/>
        <w:t>судебно-медицинской</w:t>
      </w:r>
      <w:r>
        <w:rPr>
          <w:spacing w:val="-7"/>
        </w:rPr>
        <w:t> </w:t>
      </w:r>
      <w:r>
        <w:rPr/>
        <w:t>экспертизы обеспечивает</w:t>
      </w:r>
      <w:r>
        <w:rPr>
          <w:spacing w:val="40"/>
        </w:rPr>
        <w:t>  </w:t>
      </w:r>
      <w:r>
        <w:rPr/>
        <w:t>соблюдение</w:t>
      </w:r>
      <w:r>
        <w:rPr>
          <w:spacing w:val="40"/>
        </w:rPr>
        <w:t>  </w:t>
      </w:r>
      <w:r>
        <w:rPr/>
        <w:t>требований</w:t>
      </w:r>
      <w:r>
        <w:rPr>
          <w:spacing w:val="40"/>
        </w:rPr>
        <w:t>  </w:t>
      </w:r>
      <w:r>
        <w:rPr/>
        <w:t>СП</w:t>
      </w:r>
      <w:r>
        <w:rPr>
          <w:spacing w:val="40"/>
        </w:rPr>
        <w:t>  </w:t>
      </w:r>
      <w:r>
        <w:rPr/>
        <w:t>1.3.3118-13</w:t>
      </w:r>
      <w:r>
        <w:rPr>
          <w:spacing w:val="40"/>
        </w:rPr>
        <w:t>  </w:t>
      </w:r>
      <w:r>
        <w:rPr/>
        <w:t>«Безопасность</w:t>
      </w:r>
      <w:r>
        <w:rPr>
          <w:spacing w:val="40"/>
        </w:rPr>
        <w:t>  </w:t>
      </w:r>
      <w:r>
        <w:rPr/>
        <w:t>работы с</w:t>
      </w:r>
      <w:r>
        <w:rPr>
          <w:spacing w:val="-5"/>
        </w:rPr>
        <w:t> </w:t>
      </w:r>
      <w:r>
        <w:rPr/>
        <w:t>микроорганизмами</w:t>
      </w:r>
      <w:r>
        <w:rPr>
          <w:spacing w:val="40"/>
        </w:rPr>
        <w:t> </w:t>
      </w:r>
      <w:r>
        <w:rPr/>
        <w:t>I-II</w:t>
      </w:r>
      <w:r>
        <w:rPr>
          <w:spacing w:val="40"/>
        </w:rPr>
        <w:t> </w:t>
      </w:r>
      <w:r>
        <w:rPr/>
        <w:t>групп</w:t>
      </w:r>
      <w:r>
        <w:rPr>
          <w:spacing w:val="40"/>
        </w:rPr>
        <w:t> </w:t>
      </w:r>
      <w:r>
        <w:rPr/>
        <w:t>патогенности</w:t>
      </w:r>
      <w:r>
        <w:rPr>
          <w:spacing w:val="40"/>
        </w:rPr>
        <w:t> </w:t>
      </w:r>
      <w:r>
        <w:rPr/>
        <w:t>(опасности)»</w:t>
      </w:r>
      <w:r>
        <w:rPr>
          <w:spacing w:val="40"/>
        </w:rPr>
        <w:t> </w:t>
      </w:r>
      <w:r>
        <w:rPr/>
        <w:t>и</w:t>
      </w:r>
      <w:r>
        <w:rPr>
          <w:spacing w:val="40"/>
        </w:rPr>
        <w:t> </w:t>
      </w:r>
      <w:r>
        <w:rPr/>
        <w:t>других</w:t>
      </w:r>
      <w:r>
        <w:rPr>
          <w:spacing w:val="40"/>
        </w:rPr>
        <w:t> </w:t>
      </w:r>
      <w:r>
        <w:rPr/>
        <w:t>нормативных и методических документов в отдельной секционной.</w:t>
      </w:r>
    </w:p>
    <w:p>
      <w:pPr>
        <w:pStyle w:val="BodyText"/>
        <w:spacing w:line="276" w:lineRule="auto" w:before="13"/>
        <w:ind w:right="1279" w:firstLine="707"/>
      </w:pPr>
      <w:r>
        <w:rPr/>
        <w:t>В патологоанатомическом отделении должен быть полный набор инструкций и необходимых средств для их реализации:</w:t>
      </w:r>
    </w:p>
    <w:p>
      <w:pPr>
        <w:pStyle w:val="ListParagraph"/>
        <w:numPr>
          <w:ilvl w:val="0"/>
          <w:numId w:val="60"/>
        </w:numPr>
        <w:tabs>
          <w:tab w:pos="2124" w:val="left" w:leader="none"/>
        </w:tabs>
        <w:spacing w:line="264" w:lineRule="auto" w:before="14" w:after="0"/>
        <w:ind w:left="2124" w:right="1279" w:hanging="360"/>
        <w:jc w:val="both"/>
        <w:rPr>
          <w:sz w:val="24"/>
        </w:rPr>
      </w:pPr>
      <w:r>
        <w:rPr>
          <w:sz w:val="24"/>
        </w:rPr>
        <w:t>Методическая папка с оперативным планом противоэпидемических мероприятий в случае выявления больного COVID-19;</w:t>
      </w:r>
    </w:p>
    <w:p>
      <w:pPr>
        <w:pStyle w:val="ListParagraph"/>
        <w:numPr>
          <w:ilvl w:val="0"/>
          <w:numId w:val="60"/>
        </w:numPr>
        <w:tabs>
          <w:tab w:pos="2124" w:val="left" w:leader="none"/>
        </w:tabs>
        <w:spacing w:line="240" w:lineRule="auto" w:before="13" w:after="0"/>
        <w:ind w:left="2124" w:right="0" w:hanging="359"/>
        <w:jc w:val="both"/>
        <w:rPr>
          <w:sz w:val="24"/>
        </w:rPr>
      </w:pPr>
      <w:r>
        <w:rPr>
          <w:sz w:val="24"/>
        </w:rPr>
        <w:t>Схема</w:t>
      </w:r>
      <w:r>
        <w:rPr>
          <w:spacing w:val="-10"/>
          <w:sz w:val="24"/>
        </w:rPr>
        <w:t> </w:t>
      </w:r>
      <w:r>
        <w:rPr>
          <w:spacing w:val="-2"/>
          <w:sz w:val="24"/>
        </w:rPr>
        <w:t>оповещения;</w:t>
      </w:r>
    </w:p>
    <w:p>
      <w:pPr>
        <w:pStyle w:val="ListParagraph"/>
        <w:numPr>
          <w:ilvl w:val="0"/>
          <w:numId w:val="60"/>
        </w:numPr>
        <w:tabs>
          <w:tab w:pos="2124" w:val="left" w:leader="none"/>
        </w:tabs>
        <w:spacing w:line="264" w:lineRule="auto" w:before="33" w:after="0"/>
        <w:ind w:left="2124" w:right="1274" w:hanging="360"/>
        <w:jc w:val="both"/>
        <w:rPr>
          <w:sz w:val="24"/>
        </w:rPr>
      </w:pPr>
      <w:r>
        <w:rPr>
          <w:sz w:val="24"/>
        </w:rPr>
        <w:t>Памятка по технике вскрытия и cбора материала для микробиологического </w:t>
      </w:r>
      <w:r>
        <w:rPr>
          <w:spacing w:val="-2"/>
          <w:sz w:val="24"/>
        </w:rPr>
        <w:t>исследования;</w:t>
      </w:r>
    </w:p>
    <w:p>
      <w:pPr>
        <w:pStyle w:val="ListParagraph"/>
        <w:numPr>
          <w:ilvl w:val="0"/>
          <w:numId w:val="60"/>
        </w:numPr>
        <w:tabs>
          <w:tab w:pos="2124" w:val="left" w:leader="none"/>
        </w:tabs>
        <w:spacing w:line="240" w:lineRule="auto" w:before="14" w:after="0"/>
        <w:ind w:left="2124" w:right="0" w:hanging="359"/>
        <w:jc w:val="both"/>
        <w:rPr>
          <w:sz w:val="24"/>
        </w:rPr>
      </w:pPr>
      <w:r>
        <w:rPr>
          <w:sz w:val="24"/>
        </w:rPr>
        <w:t>Функциональные</w:t>
      </w:r>
      <w:r>
        <w:rPr>
          <w:spacing w:val="-15"/>
          <w:sz w:val="24"/>
        </w:rPr>
        <w:t> </w:t>
      </w:r>
      <w:r>
        <w:rPr>
          <w:sz w:val="24"/>
        </w:rPr>
        <w:t>обязанности</w:t>
      </w:r>
      <w:r>
        <w:rPr>
          <w:spacing w:val="-15"/>
          <w:sz w:val="24"/>
        </w:rPr>
        <w:t> </w:t>
      </w:r>
      <w:r>
        <w:rPr>
          <w:sz w:val="24"/>
        </w:rPr>
        <w:t>на</w:t>
      </w:r>
      <w:r>
        <w:rPr>
          <w:spacing w:val="-15"/>
          <w:sz w:val="24"/>
        </w:rPr>
        <w:t> </w:t>
      </w:r>
      <w:r>
        <w:rPr>
          <w:sz w:val="24"/>
        </w:rPr>
        <w:t>всех</w:t>
      </w:r>
      <w:r>
        <w:rPr>
          <w:spacing w:val="-15"/>
          <w:sz w:val="24"/>
        </w:rPr>
        <w:t> </w:t>
      </w:r>
      <w:r>
        <w:rPr>
          <w:sz w:val="24"/>
        </w:rPr>
        <w:t>сотрудников</w:t>
      </w:r>
      <w:r>
        <w:rPr>
          <w:spacing w:val="-15"/>
          <w:sz w:val="24"/>
        </w:rPr>
        <w:t> </w:t>
      </w:r>
      <w:r>
        <w:rPr>
          <w:spacing w:val="-2"/>
          <w:sz w:val="24"/>
        </w:rPr>
        <w:t>отделения;</w:t>
      </w:r>
    </w:p>
    <w:p>
      <w:pPr>
        <w:pStyle w:val="ListParagraph"/>
        <w:spacing w:after="0" w:line="240" w:lineRule="auto"/>
        <w:jc w:val="both"/>
        <w:rPr>
          <w:sz w:val="24"/>
        </w:rPr>
        <w:sectPr>
          <w:pgSz w:w="11900" w:h="16840"/>
          <w:pgMar w:header="0" w:footer="697" w:top="1080" w:bottom="880" w:left="0" w:right="0"/>
        </w:sectPr>
      </w:pPr>
    </w:p>
    <w:p>
      <w:pPr>
        <w:pStyle w:val="ListParagraph"/>
        <w:numPr>
          <w:ilvl w:val="0"/>
          <w:numId w:val="60"/>
        </w:numPr>
        <w:tabs>
          <w:tab w:pos="2124" w:val="left" w:leader="none"/>
        </w:tabs>
        <w:spacing w:line="273" w:lineRule="auto" w:before="74" w:after="0"/>
        <w:ind w:left="2124" w:right="1272" w:hanging="360"/>
        <w:jc w:val="both"/>
        <w:rPr>
          <w:sz w:val="24"/>
        </w:rPr>
      </w:pPr>
      <w:bookmarkStart w:name="126" w:id="150"/>
      <w:bookmarkEnd w:id="150"/>
      <w:r>
        <w:rPr/>
      </w:r>
      <w:r>
        <w:rPr>
          <w:sz w:val="24"/>
        </w:rPr>
        <w:t>Защитная</w:t>
      </w:r>
      <w:r>
        <w:rPr>
          <w:spacing w:val="-2"/>
          <w:sz w:val="24"/>
        </w:rPr>
        <w:t> </w:t>
      </w:r>
      <w:r>
        <w:rPr>
          <w:sz w:val="24"/>
        </w:rPr>
        <w:t>одежда</w:t>
      </w:r>
      <w:r>
        <w:rPr>
          <w:spacing w:val="-3"/>
          <w:sz w:val="24"/>
        </w:rPr>
        <w:t> </w:t>
      </w:r>
      <w:r>
        <w:rPr>
          <w:sz w:val="24"/>
        </w:rPr>
        <w:t>(противочумный</w:t>
      </w:r>
      <w:r>
        <w:rPr>
          <w:spacing w:val="-2"/>
          <w:sz w:val="24"/>
        </w:rPr>
        <w:t> </w:t>
      </w:r>
      <w:r>
        <w:rPr>
          <w:sz w:val="24"/>
        </w:rPr>
        <w:t>костюм</w:t>
      </w:r>
      <w:r>
        <w:rPr>
          <w:spacing w:val="-3"/>
          <w:sz w:val="24"/>
        </w:rPr>
        <w:t> </w:t>
      </w:r>
      <w:r>
        <w:rPr>
          <w:sz w:val="24"/>
        </w:rPr>
        <w:t>1</w:t>
      </w:r>
      <w:r>
        <w:rPr>
          <w:spacing w:val="-2"/>
          <w:sz w:val="24"/>
        </w:rPr>
        <w:t> </w:t>
      </w:r>
      <w:r>
        <w:rPr>
          <w:sz w:val="24"/>
        </w:rPr>
        <w:t>типа,</w:t>
      </w:r>
      <w:r>
        <w:rPr>
          <w:spacing w:val="-2"/>
          <w:sz w:val="24"/>
        </w:rPr>
        <w:t> </w:t>
      </w:r>
      <w:r>
        <w:rPr>
          <w:sz w:val="24"/>
        </w:rPr>
        <w:t>СИЗ</w:t>
      </w:r>
      <w:r>
        <w:rPr>
          <w:spacing w:val="-3"/>
          <w:sz w:val="24"/>
        </w:rPr>
        <w:t> </w:t>
      </w:r>
      <w:r>
        <w:rPr>
          <w:sz w:val="24"/>
        </w:rPr>
        <w:t>типа</w:t>
      </w:r>
      <w:r>
        <w:rPr>
          <w:spacing w:val="-3"/>
          <w:sz w:val="24"/>
        </w:rPr>
        <w:t> </w:t>
      </w:r>
      <w:r>
        <w:rPr>
          <w:sz w:val="24"/>
        </w:rPr>
        <w:t>«Кварц»</w:t>
      </w:r>
      <w:r>
        <w:rPr>
          <w:spacing w:val="-2"/>
          <w:sz w:val="24"/>
        </w:rPr>
        <w:t> </w:t>
      </w:r>
      <w:r>
        <w:rPr>
          <w:sz w:val="24"/>
        </w:rPr>
        <w:t>и подобные, допускается противочумный костюм II типа с дополнительным надеванием двойных</w:t>
      </w:r>
      <w:r>
        <w:rPr>
          <w:spacing w:val="-15"/>
          <w:sz w:val="24"/>
        </w:rPr>
        <w:t> </w:t>
      </w:r>
      <w:r>
        <w:rPr>
          <w:sz w:val="24"/>
        </w:rPr>
        <w:t>хирургических</w:t>
      </w:r>
      <w:r>
        <w:rPr>
          <w:spacing w:val="-15"/>
          <w:sz w:val="24"/>
        </w:rPr>
        <w:t> </w:t>
      </w:r>
      <w:r>
        <w:rPr>
          <w:sz w:val="24"/>
        </w:rPr>
        <w:t>перчаток</w:t>
      </w:r>
      <w:r>
        <w:rPr>
          <w:spacing w:val="-15"/>
          <w:sz w:val="24"/>
        </w:rPr>
        <w:t> </w:t>
      </w:r>
      <w:r>
        <w:rPr>
          <w:sz w:val="24"/>
        </w:rPr>
        <w:t>и</w:t>
      </w:r>
      <w:r>
        <w:rPr>
          <w:spacing w:val="-15"/>
          <w:sz w:val="24"/>
        </w:rPr>
        <w:t> </w:t>
      </w:r>
      <w:r>
        <w:rPr>
          <w:sz w:val="24"/>
        </w:rPr>
        <w:t>непрорезаемых</w:t>
      </w:r>
      <w:r>
        <w:rPr>
          <w:spacing w:val="-15"/>
          <w:sz w:val="24"/>
        </w:rPr>
        <w:t> </w:t>
      </w:r>
      <w:r>
        <w:rPr>
          <w:sz w:val="24"/>
        </w:rPr>
        <w:t>синтетических</w:t>
      </w:r>
      <w:r>
        <w:rPr>
          <w:spacing w:val="-15"/>
          <w:sz w:val="24"/>
        </w:rPr>
        <w:t> </w:t>
      </w:r>
      <w:r>
        <w:rPr>
          <w:sz w:val="24"/>
        </w:rPr>
        <w:t>перчаток</w:t>
      </w:r>
      <w:r>
        <w:rPr>
          <w:spacing w:val="-14"/>
          <w:sz w:val="24"/>
        </w:rPr>
        <w:t> </w:t>
      </w:r>
      <w:r>
        <w:rPr>
          <w:sz w:val="24"/>
        </w:rPr>
        <w:t>между ними, защитных очков, клеенчатого или полиэтиленового (ламинированного) фартука, нарукавников из подобного материала; необходимо использовать респираторы класса FFP3);</w:t>
      </w:r>
    </w:p>
    <w:p>
      <w:pPr>
        <w:pStyle w:val="ListParagraph"/>
        <w:numPr>
          <w:ilvl w:val="0"/>
          <w:numId w:val="60"/>
        </w:numPr>
        <w:tabs>
          <w:tab w:pos="2124" w:val="left" w:leader="none"/>
        </w:tabs>
        <w:spacing w:line="240" w:lineRule="auto" w:before="0" w:after="0"/>
        <w:ind w:left="2124" w:right="0" w:hanging="359"/>
        <w:jc w:val="left"/>
        <w:rPr>
          <w:sz w:val="24"/>
        </w:rPr>
      </w:pPr>
      <w:r>
        <w:rPr>
          <w:sz w:val="24"/>
        </w:rPr>
        <w:t>Укладка</w:t>
      </w:r>
      <w:r>
        <w:rPr>
          <w:spacing w:val="-12"/>
          <w:sz w:val="24"/>
        </w:rPr>
        <w:t> </w:t>
      </w:r>
      <w:r>
        <w:rPr>
          <w:sz w:val="24"/>
        </w:rPr>
        <w:t>для</w:t>
      </w:r>
      <w:r>
        <w:rPr>
          <w:spacing w:val="-10"/>
          <w:sz w:val="24"/>
        </w:rPr>
        <w:t> </w:t>
      </w:r>
      <w:r>
        <w:rPr>
          <w:sz w:val="24"/>
        </w:rPr>
        <w:t>сбора</w:t>
      </w:r>
      <w:r>
        <w:rPr>
          <w:spacing w:val="-12"/>
          <w:sz w:val="24"/>
        </w:rPr>
        <w:t> </w:t>
      </w:r>
      <w:r>
        <w:rPr>
          <w:sz w:val="24"/>
        </w:rPr>
        <w:t>биологического</w:t>
      </w:r>
      <w:r>
        <w:rPr>
          <w:spacing w:val="-10"/>
          <w:sz w:val="24"/>
        </w:rPr>
        <w:t> </w:t>
      </w:r>
      <w:r>
        <w:rPr>
          <w:spacing w:val="-2"/>
          <w:sz w:val="24"/>
        </w:rPr>
        <w:t>материала;</w:t>
      </w:r>
    </w:p>
    <w:p>
      <w:pPr>
        <w:pStyle w:val="ListParagraph"/>
        <w:numPr>
          <w:ilvl w:val="0"/>
          <w:numId w:val="60"/>
        </w:numPr>
        <w:tabs>
          <w:tab w:pos="2124" w:val="left" w:leader="none"/>
        </w:tabs>
        <w:spacing w:line="240" w:lineRule="auto" w:before="33" w:after="0"/>
        <w:ind w:left="2124" w:right="0" w:hanging="359"/>
        <w:jc w:val="left"/>
        <w:rPr>
          <w:sz w:val="24"/>
        </w:rPr>
      </w:pPr>
      <w:r>
        <w:rPr>
          <w:spacing w:val="-2"/>
          <w:sz w:val="24"/>
        </w:rPr>
        <w:t>Стерильный</w:t>
      </w:r>
      <w:r>
        <w:rPr>
          <w:spacing w:val="-1"/>
          <w:sz w:val="24"/>
        </w:rPr>
        <w:t> </w:t>
      </w:r>
      <w:r>
        <w:rPr>
          <w:spacing w:val="-2"/>
          <w:sz w:val="24"/>
        </w:rPr>
        <w:t>секционный</w:t>
      </w:r>
      <w:r>
        <w:rPr>
          <w:sz w:val="24"/>
        </w:rPr>
        <w:t> </w:t>
      </w:r>
      <w:r>
        <w:rPr>
          <w:spacing w:val="-2"/>
          <w:sz w:val="24"/>
        </w:rPr>
        <w:t>набор;</w:t>
      </w:r>
    </w:p>
    <w:p>
      <w:pPr>
        <w:pStyle w:val="ListParagraph"/>
        <w:numPr>
          <w:ilvl w:val="0"/>
          <w:numId w:val="60"/>
        </w:numPr>
        <w:tabs>
          <w:tab w:pos="2124" w:val="left" w:leader="none"/>
        </w:tabs>
        <w:spacing w:line="240" w:lineRule="auto" w:before="32" w:after="0"/>
        <w:ind w:left="2124" w:right="0" w:hanging="359"/>
        <w:jc w:val="left"/>
        <w:rPr>
          <w:sz w:val="24"/>
        </w:rPr>
      </w:pPr>
      <w:r>
        <w:rPr>
          <w:sz w:val="24"/>
        </w:rPr>
        <w:t>Запас</w:t>
      </w:r>
      <w:r>
        <w:rPr>
          <w:spacing w:val="-11"/>
          <w:sz w:val="24"/>
        </w:rPr>
        <w:t> </w:t>
      </w:r>
      <w:r>
        <w:rPr>
          <w:sz w:val="24"/>
        </w:rPr>
        <w:t>дезинфицирующих</w:t>
      </w:r>
      <w:r>
        <w:rPr>
          <w:spacing w:val="-10"/>
          <w:sz w:val="24"/>
        </w:rPr>
        <w:t> </w:t>
      </w:r>
      <w:r>
        <w:rPr>
          <w:sz w:val="24"/>
        </w:rPr>
        <w:t>средств</w:t>
      </w:r>
      <w:r>
        <w:rPr>
          <w:spacing w:val="-11"/>
          <w:sz w:val="24"/>
        </w:rPr>
        <w:t> </w:t>
      </w:r>
      <w:r>
        <w:rPr>
          <w:sz w:val="24"/>
        </w:rPr>
        <w:t>и</w:t>
      </w:r>
      <w:r>
        <w:rPr>
          <w:spacing w:val="-9"/>
          <w:sz w:val="24"/>
        </w:rPr>
        <w:t> </w:t>
      </w:r>
      <w:r>
        <w:rPr>
          <w:sz w:val="24"/>
        </w:rPr>
        <w:t>емкости</w:t>
      </w:r>
      <w:r>
        <w:rPr>
          <w:spacing w:val="-8"/>
          <w:sz w:val="24"/>
        </w:rPr>
        <w:t> </w:t>
      </w:r>
      <w:r>
        <w:rPr>
          <w:sz w:val="24"/>
        </w:rPr>
        <w:t>для</w:t>
      </w:r>
      <w:r>
        <w:rPr>
          <w:spacing w:val="-11"/>
          <w:sz w:val="24"/>
        </w:rPr>
        <w:t> </w:t>
      </w:r>
      <w:r>
        <w:rPr>
          <w:sz w:val="24"/>
        </w:rPr>
        <w:t>их</w:t>
      </w:r>
      <w:r>
        <w:rPr>
          <w:spacing w:val="-10"/>
          <w:sz w:val="24"/>
        </w:rPr>
        <w:t> </w:t>
      </w:r>
      <w:r>
        <w:rPr>
          <w:spacing w:val="-2"/>
          <w:sz w:val="24"/>
        </w:rPr>
        <w:t>приготовления.</w:t>
      </w:r>
    </w:p>
    <w:p>
      <w:pPr>
        <w:pStyle w:val="BodyText"/>
        <w:spacing w:line="276" w:lineRule="auto" w:before="44"/>
        <w:ind w:right="1276" w:firstLine="707"/>
      </w:pPr>
      <w:r>
        <w:rPr/>
        <w:t>Медицинские отходы, образующиеся в результате патологоанатомического вскрытия</w:t>
      </w:r>
      <w:r>
        <w:rPr>
          <w:spacing w:val="40"/>
        </w:rPr>
        <w:t>  </w:t>
      </w:r>
      <w:r>
        <w:rPr/>
        <w:t>таких</w:t>
      </w:r>
      <w:r>
        <w:rPr>
          <w:spacing w:val="40"/>
        </w:rPr>
        <w:t>  </w:t>
      </w:r>
      <w:r>
        <w:rPr/>
        <w:t>трупов,</w:t>
      </w:r>
      <w:r>
        <w:rPr>
          <w:spacing w:val="40"/>
        </w:rPr>
        <w:t>  </w:t>
      </w:r>
      <w:r>
        <w:rPr/>
        <w:t>подлежат</w:t>
      </w:r>
      <w:r>
        <w:rPr>
          <w:spacing w:val="40"/>
        </w:rPr>
        <w:t>  </w:t>
      </w:r>
      <w:r>
        <w:rPr/>
        <w:t>обеззараживанию</w:t>
      </w:r>
      <w:r>
        <w:rPr>
          <w:spacing w:val="40"/>
        </w:rPr>
        <w:t>  </w:t>
      </w:r>
      <w:r>
        <w:rPr/>
        <w:t>и/или</w:t>
      </w:r>
      <w:r>
        <w:rPr>
          <w:spacing w:val="40"/>
        </w:rPr>
        <w:t>  </w:t>
      </w:r>
      <w:r>
        <w:rPr/>
        <w:t>обезвреживанию</w:t>
      </w:r>
      <w:r>
        <w:rPr>
          <w:spacing w:val="80"/>
        </w:rPr>
        <w:t> </w:t>
      </w:r>
      <w:r>
        <w:rPr/>
        <w:t>в соответствии с требованиями к медицинским отходам класса В</w:t>
      </w:r>
      <w:r>
        <w:rPr>
          <w:vertAlign w:val="superscript"/>
        </w:rPr>
        <w:t>1</w:t>
      </w:r>
      <w:r>
        <w:rPr>
          <w:vertAlign w:val="baseline"/>
        </w:rPr>
        <w:t>.</w:t>
      </w:r>
    </w:p>
    <w:p>
      <w:pPr>
        <w:pStyle w:val="BodyText"/>
        <w:spacing w:line="276" w:lineRule="auto" w:before="15"/>
        <w:ind w:right="1271" w:firstLine="707"/>
      </w:pPr>
      <w:r>
        <w:rPr/>
        <w:t>Вскрытие</w:t>
      </w:r>
      <w:r>
        <w:rPr>
          <w:spacing w:val="-5"/>
        </w:rPr>
        <w:t> </w:t>
      </w:r>
      <w:r>
        <w:rPr/>
        <w:t>проводит</w:t>
      </w:r>
      <w:r>
        <w:rPr>
          <w:spacing w:val="-6"/>
        </w:rPr>
        <w:t> </w:t>
      </w:r>
      <w:r>
        <w:rPr/>
        <w:t>или</w:t>
      </w:r>
      <w:r>
        <w:rPr>
          <w:spacing w:val="-5"/>
        </w:rPr>
        <w:t> </w:t>
      </w:r>
      <w:r>
        <w:rPr/>
        <w:t>контролирует</w:t>
      </w:r>
      <w:r>
        <w:rPr>
          <w:spacing w:val="-6"/>
        </w:rPr>
        <w:t> </w:t>
      </w:r>
      <w:r>
        <w:rPr/>
        <w:t>его</w:t>
      </w:r>
      <w:r>
        <w:rPr>
          <w:spacing w:val="-5"/>
        </w:rPr>
        <w:t> </w:t>
      </w:r>
      <w:r>
        <w:rPr/>
        <w:t>заведующий</w:t>
      </w:r>
      <w:r>
        <w:rPr>
          <w:spacing w:val="-6"/>
        </w:rPr>
        <w:t> </w:t>
      </w:r>
      <w:r>
        <w:rPr/>
        <w:t>или</w:t>
      </w:r>
      <w:r>
        <w:rPr>
          <w:spacing w:val="-6"/>
        </w:rPr>
        <w:t> </w:t>
      </w:r>
      <w:r>
        <w:rPr/>
        <w:t>наиболее</w:t>
      </w:r>
      <w:r>
        <w:rPr>
          <w:spacing w:val="-6"/>
        </w:rPr>
        <w:t> </w:t>
      </w:r>
      <w:r>
        <w:rPr/>
        <w:t>опытный патологоанатом. К проведению патологоанатомического вскрытия допускаются врачи-патологоанатомы, медицинские техники (лаборанты) и санитары патологоанатомического отделения, прошедшие инструктаж, специальное обучение (очное или дистанционное). Вскрытие должно быть проведено в максимально возможные ранние сроки. Время вскрытия и число участвующего персонала необходимо</w:t>
      </w:r>
      <w:r>
        <w:rPr>
          <w:spacing w:val="-6"/>
        </w:rPr>
        <w:t> </w:t>
      </w:r>
      <w:r>
        <w:rPr/>
        <w:t>сократить</w:t>
      </w:r>
      <w:r>
        <w:rPr>
          <w:spacing w:val="-9"/>
        </w:rPr>
        <w:t> </w:t>
      </w:r>
      <w:r>
        <w:rPr/>
        <w:t>до</w:t>
      </w:r>
      <w:r>
        <w:rPr>
          <w:spacing w:val="-6"/>
        </w:rPr>
        <w:t> </w:t>
      </w:r>
      <w:r>
        <w:rPr/>
        <w:t>минимума.</w:t>
      </w:r>
      <w:r>
        <w:rPr>
          <w:spacing w:val="-6"/>
        </w:rPr>
        <w:t> </w:t>
      </w:r>
      <w:r>
        <w:rPr/>
        <w:t>Вскрытие</w:t>
      </w:r>
      <w:r>
        <w:rPr>
          <w:spacing w:val="-6"/>
        </w:rPr>
        <w:t> </w:t>
      </w:r>
      <w:r>
        <w:rPr/>
        <w:t>проводится</w:t>
      </w:r>
      <w:r>
        <w:rPr>
          <w:spacing w:val="-6"/>
        </w:rPr>
        <w:t> </w:t>
      </w:r>
      <w:r>
        <w:rPr/>
        <w:t>без</w:t>
      </w:r>
      <w:r>
        <w:rPr>
          <w:spacing w:val="-5"/>
        </w:rPr>
        <w:t> </w:t>
      </w:r>
      <w:r>
        <w:rPr/>
        <w:t>применения</w:t>
      </w:r>
      <w:r>
        <w:rPr>
          <w:spacing w:val="-8"/>
        </w:rPr>
        <w:t> </w:t>
      </w:r>
      <w:r>
        <w:rPr/>
        <w:t>воды</w:t>
      </w:r>
      <w:r>
        <w:rPr>
          <w:spacing w:val="-6"/>
        </w:rPr>
        <w:t> </w:t>
      </w:r>
      <w:r>
        <w:rPr/>
        <w:t>при отключенном стоке, так называемое «сухое вскрытие». При вскрытии, особенно черепа, необходимо исключить образование аэрозолей. Аутопсийный материал (кусочки</w:t>
      </w:r>
      <w:r>
        <w:rPr>
          <w:spacing w:val="50"/>
          <w:w w:val="150"/>
        </w:rPr>
        <w:t> </w:t>
      </w:r>
      <w:r>
        <w:rPr/>
        <w:t>легкого,</w:t>
      </w:r>
      <w:r>
        <w:rPr>
          <w:spacing w:val="79"/>
        </w:rPr>
        <w:t> </w:t>
      </w:r>
      <w:r>
        <w:rPr/>
        <w:t>трахеи,</w:t>
      </w:r>
      <w:r>
        <w:rPr>
          <w:spacing w:val="79"/>
        </w:rPr>
        <w:t> </w:t>
      </w:r>
      <w:r>
        <w:rPr/>
        <w:t>бронхов)</w:t>
      </w:r>
      <w:r>
        <w:rPr>
          <w:spacing w:val="78"/>
        </w:rPr>
        <w:t> </w:t>
      </w:r>
      <w:r>
        <w:rPr/>
        <w:t>в</w:t>
      </w:r>
      <w:r>
        <w:rPr>
          <w:spacing w:val="52"/>
          <w:w w:val="150"/>
        </w:rPr>
        <w:t> </w:t>
      </w:r>
      <w:r>
        <w:rPr/>
        <w:t>кратчайшие</w:t>
      </w:r>
      <w:r>
        <w:rPr>
          <w:spacing w:val="78"/>
        </w:rPr>
        <w:t> </w:t>
      </w:r>
      <w:r>
        <w:rPr/>
        <w:t>сроки</w:t>
      </w:r>
      <w:r>
        <w:rPr>
          <w:spacing w:val="50"/>
          <w:w w:val="150"/>
        </w:rPr>
        <w:t> </w:t>
      </w:r>
      <w:r>
        <w:rPr/>
        <w:t>направляется</w:t>
      </w:r>
      <w:r>
        <w:rPr>
          <w:spacing w:val="79"/>
        </w:rPr>
        <w:t> </w:t>
      </w:r>
      <w:r>
        <w:rPr/>
        <w:t>в</w:t>
      </w:r>
      <w:r>
        <w:rPr>
          <w:spacing w:val="51"/>
          <w:w w:val="150"/>
        </w:rPr>
        <w:t> </w:t>
      </w:r>
      <w:r>
        <w:rPr>
          <w:spacing w:val="-4"/>
        </w:rPr>
        <w:t>ФБУЗ</w:t>
      </w:r>
    </w:p>
    <w:p>
      <w:pPr>
        <w:pStyle w:val="BodyText"/>
        <w:spacing w:line="276" w:lineRule="auto"/>
        <w:ind w:right="1271"/>
      </w:pPr>
      <w:r>
        <w:rPr/>
        <w:t>«Центр</w:t>
      </w:r>
      <w:r>
        <w:rPr>
          <w:spacing w:val="-3"/>
        </w:rPr>
        <w:t> </w:t>
      </w:r>
      <w:r>
        <w:rPr/>
        <w:t>гигиены и</w:t>
      </w:r>
      <w:r>
        <w:rPr>
          <w:spacing w:val="-3"/>
        </w:rPr>
        <w:t> </w:t>
      </w:r>
      <w:r>
        <w:rPr/>
        <w:t>эпидемиологии» в субъекте Российской Федерации на предмет наличия COVID-19, а</w:t>
      </w:r>
      <w:r>
        <w:rPr>
          <w:spacing w:val="-4"/>
        </w:rPr>
        <w:t> </w:t>
      </w:r>
      <w:r>
        <w:rPr/>
        <w:t>также других вирусных и бактериальных возбудителей ОРИ. Объем</w:t>
      </w:r>
      <w:r>
        <w:rPr>
          <w:spacing w:val="-9"/>
        </w:rPr>
        <w:t> </w:t>
      </w:r>
      <w:r>
        <w:rPr/>
        <w:t>и</w:t>
      </w:r>
      <w:r>
        <w:rPr>
          <w:spacing w:val="-7"/>
        </w:rPr>
        <w:t> </w:t>
      </w:r>
      <w:r>
        <w:rPr/>
        <w:t>вид</w:t>
      </w:r>
      <w:r>
        <w:rPr>
          <w:spacing w:val="-8"/>
        </w:rPr>
        <w:t> </w:t>
      </w:r>
      <w:r>
        <w:rPr/>
        <w:t>биологического</w:t>
      </w:r>
      <w:r>
        <w:rPr>
          <w:spacing w:val="-8"/>
        </w:rPr>
        <w:t> </w:t>
      </w:r>
      <w:r>
        <w:rPr/>
        <w:t>материала</w:t>
      </w:r>
      <w:r>
        <w:rPr>
          <w:spacing w:val="-9"/>
        </w:rPr>
        <w:t> </w:t>
      </w:r>
      <w:r>
        <w:rPr/>
        <w:t>согласовывается</w:t>
      </w:r>
      <w:r>
        <w:rPr>
          <w:spacing w:val="-8"/>
        </w:rPr>
        <w:t> </w:t>
      </w:r>
      <w:r>
        <w:rPr/>
        <w:t>с</w:t>
      </w:r>
      <w:r>
        <w:rPr>
          <w:spacing w:val="-9"/>
        </w:rPr>
        <w:t> </w:t>
      </w:r>
      <w:r>
        <w:rPr/>
        <w:t>территориальным</w:t>
      </w:r>
      <w:r>
        <w:rPr>
          <w:spacing w:val="-9"/>
        </w:rPr>
        <w:t> </w:t>
      </w:r>
      <w:r>
        <w:rPr/>
        <w:t>органом </w:t>
      </w:r>
      <w:r>
        <w:rPr>
          <w:spacing w:val="-2"/>
        </w:rPr>
        <w:t>Роспотребнадзора.</w:t>
      </w:r>
    </w:p>
    <w:p>
      <w:pPr>
        <w:pStyle w:val="BodyText"/>
        <w:spacing w:line="276" w:lineRule="auto" w:before="10"/>
        <w:ind w:right="1274" w:firstLine="707"/>
      </w:pPr>
      <w:r>
        <w:rPr/>
        <w:t>Для гистологического исследования забирают образцы каждого органа. Фиксацию производят</w:t>
      </w:r>
      <w:r>
        <w:rPr>
          <w:spacing w:val="-3"/>
        </w:rPr>
        <w:t> </w:t>
      </w:r>
      <w:r>
        <w:rPr/>
        <w:t>в 10% нейтральном</w:t>
      </w:r>
      <w:r>
        <w:rPr>
          <w:spacing w:val="-2"/>
        </w:rPr>
        <w:t> </w:t>
      </w:r>
      <w:r>
        <w:rPr/>
        <w:t>забуференном растворе формалина, после фиксации в растворе формалина не менее одних суток материал биологически безопасен. Фиксация кусочков по продолжительности должна соответствовать размерам кусочка и может быть при необходимости увеличена до 48-72 ч. После фиксации</w:t>
      </w:r>
      <w:r>
        <w:rPr>
          <w:spacing w:val="-15"/>
        </w:rPr>
        <w:t> </w:t>
      </w:r>
      <w:r>
        <w:rPr/>
        <w:t>и</w:t>
      </w:r>
      <w:r>
        <w:rPr>
          <w:spacing w:val="-15"/>
        </w:rPr>
        <w:t> </w:t>
      </w:r>
      <w:r>
        <w:rPr/>
        <w:t>гистологической</w:t>
      </w:r>
      <w:r>
        <w:rPr>
          <w:spacing w:val="-15"/>
        </w:rPr>
        <w:t> </w:t>
      </w:r>
      <w:r>
        <w:rPr/>
        <w:t>проводки</w:t>
      </w:r>
      <w:r>
        <w:rPr>
          <w:spacing w:val="-15"/>
        </w:rPr>
        <w:t> </w:t>
      </w:r>
      <w:r>
        <w:rPr/>
        <w:t>кусочки</w:t>
      </w:r>
      <w:r>
        <w:rPr>
          <w:spacing w:val="-15"/>
        </w:rPr>
        <w:t> </w:t>
      </w:r>
      <w:r>
        <w:rPr/>
        <w:t>ткани</w:t>
      </w:r>
      <w:r>
        <w:rPr>
          <w:spacing w:val="-15"/>
        </w:rPr>
        <w:t> </w:t>
      </w:r>
      <w:r>
        <w:rPr/>
        <w:t>эпидемиологической</w:t>
      </w:r>
      <w:r>
        <w:rPr>
          <w:spacing w:val="-15"/>
        </w:rPr>
        <w:t> </w:t>
      </w:r>
      <w:r>
        <w:rPr/>
        <w:t>опасности не представляют, и дальнейшая пробоподготовка проводится обычным образом. Микроскопическое исследование включает в обязательном порядке: трахею (проксимальный</w:t>
      </w:r>
      <w:r>
        <w:rPr>
          <w:spacing w:val="-8"/>
        </w:rPr>
        <w:t> </w:t>
      </w:r>
      <w:r>
        <w:rPr/>
        <w:t>и</w:t>
      </w:r>
      <w:r>
        <w:rPr>
          <w:spacing w:val="-8"/>
        </w:rPr>
        <w:t> </w:t>
      </w:r>
      <w:r>
        <w:rPr/>
        <w:t>дистальный</w:t>
      </w:r>
      <w:r>
        <w:rPr>
          <w:spacing w:val="-6"/>
        </w:rPr>
        <w:t> </w:t>
      </w:r>
      <w:r>
        <w:rPr/>
        <w:t>отделы);</w:t>
      </w:r>
      <w:r>
        <w:rPr>
          <w:spacing w:val="-7"/>
        </w:rPr>
        <w:t> </w:t>
      </w:r>
      <w:r>
        <w:rPr/>
        <w:t>центральную</w:t>
      </w:r>
      <w:r>
        <w:rPr>
          <w:spacing w:val="-8"/>
        </w:rPr>
        <w:t> </w:t>
      </w:r>
      <w:r>
        <w:rPr/>
        <w:t>часть</w:t>
      </w:r>
      <w:r>
        <w:rPr>
          <w:spacing w:val="-5"/>
        </w:rPr>
        <w:t> </w:t>
      </w:r>
      <w:r>
        <w:rPr/>
        <w:t>легкого</w:t>
      </w:r>
      <w:r>
        <w:rPr>
          <w:spacing w:val="-7"/>
        </w:rPr>
        <w:t> </w:t>
      </w:r>
      <w:r>
        <w:rPr/>
        <w:t>с</w:t>
      </w:r>
      <w:r>
        <w:rPr>
          <w:spacing w:val="-7"/>
        </w:rPr>
        <w:t> </w:t>
      </w:r>
      <w:r>
        <w:rPr/>
        <w:t>сегментарными бронхами, правые и левые бронхи первого порядка; репрезентативные участки легочной</w:t>
      </w:r>
      <w:r>
        <w:rPr>
          <w:spacing w:val="56"/>
        </w:rPr>
        <w:t> </w:t>
      </w:r>
      <w:r>
        <w:rPr/>
        <w:t>паренхимы</w:t>
      </w:r>
      <w:r>
        <w:rPr>
          <w:spacing w:val="55"/>
        </w:rPr>
        <w:t> </w:t>
      </w:r>
      <w:r>
        <w:rPr/>
        <w:t>из</w:t>
      </w:r>
      <w:r>
        <w:rPr>
          <w:spacing w:val="56"/>
        </w:rPr>
        <w:t> </w:t>
      </w:r>
      <w:r>
        <w:rPr/>
        <w:t>правого</w:t>
      </w:r>
      <w:r>
        <w:rPr>
          <w:spacing w:val="55"/>
        </w:rPr>
        <w:t> </w:t>
      </w:r>
      <w:r>
        <w:rPr/>
        <w:t>и</w:t>
      </w:r>
      <w:r>
        <w:rPr>
          <w:spacing w:val="56"/>
        </w:rPr>
        <w:t> </w:t>
      </w:r>
      <w:r>
        <w:rPr/>
        <w:t>левого</w:t>
      </w:r>
      <w:r>
        <w:rPr>
          <w:spacing w:val="58"/>
        </w:rPr>
        <w:t> </w:t>
      </w:r>
      <w:r>
        <w:rPr/>
        <w:t>легкого.</w:t>
      </w:r>
      <w:r>
        <w:rPr>
          <w:spacing w:val="69"/>
        </w:rPr>
        <w:t> </w:t>
      </w:r>
      <w:r>
        <w:rPr/>
        <w:t>Обязательно</w:t>
      </w:r>
      <w:r>
        <w:rPr>
          <w:spacing w:val="55"/>
        </w:rPr>
        <w:t> </w:t>
      </w:r>
      <w:r>
        <w:rPr>
          <w:spacing w:val="-2"/>
        </w:rPr>
        <w:t>гистологическое</w:t>
      </w:r>
    </w:p>
    <w:p>
      <w:pPr>
        <w:pStyle w:val="BodyText"/>
        <w:spacing w:before="25"/>
        <w:ind w:left="0"/>
        <w:jc w:val="left"/>
        <w:rPr>
          <w:sz w:val="20"/>
        </w:rPr>
      </w:pPr>
      <w:r>
        <w:rPr>
          <w:sz w:val="20"/>
        </w:rPr>
        <mc:AlternateContent>
          <mc:Choice Requires="wps">
            <w:drawing>
              <wp:anchor distT="0" distB="0" distL="0" distR="0" allowOverlap="1" layoutInCell="1" locked="0" behindDoc="1" simplePos="0" relativeHeight="487602176">
                <wp:simplePos x="0" y="0"/>
                <wp:positionH relativeFrom="page">
                  <wp:posOffset>1170736</wp:posOffset>
                </wp:positionH>
                <wp:positionV relativeFrom="paragraph">
                  <wp:posOffset>177241</wp:posOffset>
                </wp:positionV>
                <wp:extent cx="1829435" cy="9525"/>
                <wp:effectExtent l="0" t="0" r="0" b="0"/>
                <wp:wrapTopAndBottom/>
                <wp:docPr id="70" name="Graphic 70"/>
                <wp:cNvGraphicFramePr>
                  <a:graphicFrameLocks/>
                </wp:cNvGraphicFramePr>
                <a:graphic>
                  <a:graphicData uri="http://schemas.microsoft.com/office/word/2010/wordprocessingShape">
                    <wps:wsp>
                      <wps:cNvPr id="70" name="Graphic 70"/>
                      <wps:cNvSpPr/>
                      <wps:spPr>
                        <a:xfrm>
                          <a:off x="0" y="0"/>
                          <a:ext cx="1829435" cy="9525"/>
                        </a:xfrm>
                        <a:custGeom>
                          <a:avLst/>
                          <a:gdLst/>
                          <a:ahLst/>
                          <a:cxnLst/>
                          <a:rect l="l" t="t" r="r" b="b"/>
                          <a:pathLst>
                            <a:path w="1829435" h="9525">
                              <a:moveTo>
                                <a:pt x="1826234" y="2077"/>
                              </a:moveTo>
                              <a:lnTo>
                                <a:pt x="-1100" y="2077"/>
                              </a:lnTo>
                              <a:lnTo>
                                <a:pt x="-1100" y="11213"/>
                              </a:lnTo>
                              <a:lnTo>
                                <a:pt x="1826234" y="11213"/>
                              </a:lnTo>
                              <a:lnTo>
                                <a:pt x="1826234" y="2077"/>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14.119627pt;width:143.884618pt;height:.719353pt;mso-position-horizontal-relative:page;mso-position-vertical-relative:paragraph;z-index:-15714304;mso-wrap-distance-left:0;mso-wrap-distance-right:0" id="docshape58" filled="true" fillcolor="#000000" stroked="false">
                <v:fill type="solid"/>
                <w10:wrap type="topAndBottom"/>
              </v:rect>
            </w:pict>
          </mc:Fallback>
        </mc:AlternateContent>
      </w:r>
    </w:p>
    <w:p>
      <w:pPr>
        <w:pStyle w:val="BodyText"/>
        <w:ind w:left="0"/>
        <w:jc w:val="left"/>
        <w:rPr>
          <w:sz w:val="20"/>
        </w:rPr>
      </w:pPr>
    </w:p>
    <w:p>
      <w:pPr>
        <w:pStyle w:val="BodyText"/>
        <w:spacing w:before="193"/>
        <w:ind w:left="0"/>
        <w:jc w:val="left"/>
        <w:rPr>
          <w:sz w:val="20"/>
        </w:rPr>
      </w:pPr>
    </w:p>
    <w:p>
      <w:pPr>
        <w:spacing w:line="240" w:lineRule="auto" w:before="0"/>
        <w:ind w:left="1841" w:right="1274" w:firstLine="0"/>
        <w:jc w:val="both"/>
        <w:rPr>
          <w:sz w:val="20"/>
        </w:rPr>
      </w:pPr>
      <w:r>
        <w:rPr>
          <w:sz w:val="20"/>
          <w:vertAlign w:val="superscript"/>
        </w:rPr>
        <w:t>1</w:t>
      </w:r>
      <w:r>
        <w:rPr>
          <w:spacing w:val="26"/>
          <w:sz w:val="20"/>
          <w:vertAlign w:val="baseline"/>
        </w:rPr>
        <w:t> </w:t>
      </w:r>
      <w:r>
        <w:rPr>
          <w:sz w:val="20"/>
          <w:vertAlign w:val="baseline"/>
        </w:rPr>
        <w:t>Санитарные</w:t>
      </w:r>
      <w:r>
        <w:rPr>
          <w:spacing w:val="40"/>
          <w:sz w:val="20"/>
          <w:vertAlign w:val="baseline"/>
        </w:rPr>
        <w:t> </w:t>
      </w:r>
      <w:r>
        <w:rPr>
          <w:sz w:val="20"/>
          <w:vertAlign w:val="baseline"/>
        </w:rPr>
        <w:t>правила</w:t>
      </w:r>
      <w:r>
        <w:rPr>
          <w:spacing w:val="40"/>
          <w:sz w:val="20"/>
          <w:vertAlign w:val="baseline"/>
        </w:rPr>
        <w:t> </w:t>
      </w:r>
      <w:r>
        <w:rPr>
          <w:sz w:val="20"/>
          <w:vertAlign w:val="baseline"/>
        </w:rPr>
        <w:t>и</w:t>
      </w:r>
      <w:r>
        <w:rPr>
          <w:spacing w:val="40"/>
          <w:sz w:val="20"/>
          <w:vertAlign w:val="baseline"/>
        </w:rPr>
        <w:t> </w:t>
      </w:r>
      <w:r>
        <w:rPr>
          <w:sz w:val="20"/>
          <w:vertAlign w:val="baseline"/>
        </w:rPr>
        <w:t>нормы</w:t>
      </w:r>
      <w:r>
        <w:rPr>
          <w:spacing w:val="40"/>
          <w:sz w:val="20"/>
          <w:vertAlign w:val="baseline"/>
        </w:rPr>
        <w:t> </w:t>
      </w:r>
      <w:r>
        <w:rPr>
          <w:sz w:val="20"/>
          <w:vertAlign w:val="baseline"/>
        </w:rPr>
        <w:t>СанПиН</w:t>
      </w:r>
      <w:r>
        <w:rPr>
          <w:spacing w:val="40"/>
          <w:sz w:val="20"/>
          <w:vertAlign w:val="baseline"/>
        </w:rPr>
        <w:t> </w:t>
      </w:r>
      <w:r>
        <w:rPr>
          <w:sz w:val="20"/>
          <w:vertAlign w:val="baseline"/>
        </w:rPr>
        <w:t>2.1.3684-21</w:t>
      </w:r>
      <w:r>
        <w:rPr>
          <w:spacing w:val="40"/>
          <w:sz w:val="20"/>
          <w:vertAlign w:val="baseline"/>
        </w:rPr>
        <w:t> </w:t>
      </w:r>
      <w:r>
        <w:rPr>
          <w:sz w:val="20"/>
          <w:vertAlign w:val="baseline"/>
        </w:rPr>
        <w:t>"Санитарно-эпидемиологические</w:t>
      </w:r>
      <w:r>
        <w:rPr>
          <w:spacing w:val="40"/>
          <w:sz w:val="20"/>
          <w:vertAlign w:val="baseline"/>
        </w:rPr>
        <w:t> </w:t>
      </w:r>
      <w:r>
        <w:rPr>
          <w:sz w:val="20"/>
          <w:vertAlign w:val="baseline"/>
        </w:rPr>
        <w:t>требования к</w:t>
      </w:r>
      <w:r>
        <w:rPr>
          <w:spacing w:val="40"/>
          <w:sz w:val="20"/>
          <w:vertAlign w:val="baseline"/>
        </w:rPr>
        <w:t> </w:t>
      </w:r>
      <w:r>
        <w:rPr>
          <w:sz w:val="20"/>
          <w:vertAlign w:val="baseline"/>
        </w:rPr>
        <w:t>содержанию</w:t>
      </w:r>
      <w:r>
        <w:rPr>
          <w:spacing w:val="40"/>
          <w:sz w:val="20"/>
          <w:vertAlign w:val="baseline"/>
        </w:rPr>
        <w:t> </w:t>
      </w:r>
      <w:r>
        <w:rPr>
          <w:sz w:val="20"/>
          <w:vertAlign w:val="baseline"/>
        </w:rPr>
        <w:t>территорий</w:t>
      </w:r>
      <w:r>
        <w:rPr>
          <w:spacing w:val="40"/>
          <w:sz w:val="20"/>
          <w:vertAlign w:val="baseline"/>
        </w:rPr>
        <w:t> </w:t>
      </w:r>
      <w:r>
        <w:rPr>
          <w:sz w:val="20"/>
          <w:vertAlign w:val="baseline"/>
        </w:rPr>
        <w:t>городских</w:t>
      </w:r>
      <w:r>
        <w:rPr>
          <w:spacing w:val="40"/>
          <w:sz w:val="20"/>
          <w:vertAlign w:val="baseline"/>
        </w:rPr>
        <w:t> </w:t>
      </w:r>
      <w:r>
        <w:rPr>
          <w:sz w:val="20"/>
          <w:vertAlign w:val="baseline"/>
        </w:rPr>
        <w:t>и</w:t>
      </w:r>
      <w:r>
        <w:rPr>
          <w:spacing w:val="40"/>
          <w:sz w:val="20"/>
          <w:vertAlign w:val="baseline"/>
        </w:rPr>
        <w:t> </w:t>
      </w:r>
      <w:r>
        <w:rPr>
          <w:sz w:val="20"/>
          <w:vertAlign w:val="baseline"/>
        </w:rPr>
        <w:t>сельских</w:t>
      </w:r>
      <w:r>
        <w:rPr>
          <w:spacing w:val="40"/>
          <w:sz w:val="20"/>
          <w:vertAlign w:val="baseline"/>
        </w:rPr>
        <w:t> </w:t>
      </w:r>
      <w:r>
        <w:rPr>
          <w:sz w:val="20"/>
          <w:vertAlign w:val="baseline"/>
        </w:rPr>
        <w:t>поселений,</w:t>
      </w:r>
      <w:r>
        <w:rPr>
          <w:spacing w:val="40"/>
          <w:sz w:val="20"/>
          <w:vertAlign w:val="baseline"/>
        </w:rPr>
        <w:t> </w:t>
      </w:r>
      <w:r>
        <w:rPr>
          <w:sz w:val="20"/>
          <w:vertAlign w:val="baseline"/>
        </w:rPr>
        <w:t>к</w:t>
      </w:r>
      <w:r>
        <w:rPr>
          <w:spacing w:val="40"/>
          <w:sz w:val="20"/>
          <w:vertAlign w:val="baseline"/>
        </w:rPr>
        <w:t> </w:t>
      </w:r>
      <w:r>
        <w:rPr>
          <w:sz w:val="20"/>
          <w:vertAlign w:val="baseline"/>
        </w:rPr>
        <w:t>водным</w:t>
      </w:r>
      <w:r>
        <w:rPr>
          <w:spacing w:val="40"/>
          <w:sz w:val="20"/>
          <w:vertAlign w:val="baseline"/>
        </w:rPr>
        <w:t> </w:t>
      </w:r>
      <w:r>
        <w:rPr>
          <w:sz w:val="20"/>
          <w:vertAlign w:val="baseline"/>
        </w:rPr>
        <w:t>объектам,</w:t>
      </w:r>
      <w:r>
        <w:rPr>
          <w:spacing w:val="40"/>
          <w:sz w:val="20"/>
          <w:vertAlign w:val="baseline"/>
        </w:rPr>
        <w:t> </w:t>
      </w:r>
      <w:r>
        <w:rPr>
          <w:sz w:val="20"/>
          <w:vertAlign w:val="baseline"/>
        </w:rPr>
        <w:t>питьевой</w:t>
      </w:r>
      <w:r>
        <w:rPr>
          <w:spacing w:val="40"/>
          <w:sz w:val="20"/>
          <w:vertAlign w:val="baseline"/>
        </w:rPr>
        <w:t> </w:t>
      </w:r>
      <w:r>
        <w:rPr>
          <w:sz w:val="20"/>
          <w:vertAlign w:val="baseline"/>
        </w:rPr>
        <w:t>воде</w:t>
      </w:r>
      <w:r>
        <w:rPr>
          <w:spacing w:val="80"/>
          <w:sz w:val="20"/>
          <w:vertAlign w:val="baseline"/>
        </w:rPr>
        <w:t> </w:t>
      </w:r>
      <w:r>
        <w:rPr>
          <w:sz w:val="20"/>
          <w:vertAlign w:val="baseline"/>
        </w:rPr>
        <w:t>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 противоэпидемических</w:t>
      </w:r>
      <w:r>
        <w:rPr>
          <w:spacing w:val="80"/>
          <w:sz w:val="20"/>
          <w:vertAlign w:val="baseline"/>
        </w:rPr>
        <w:t> </w:t>
      </w:r>
      <w:r>
        <w:rPr>
          <w:sz w:val="20"/>
          <w:vertAlign w:val="baseline"/>
        </w:rPr>
        <w:t>(профилактических)</w:t>
      </w:r>
      <w:r>
        <w:rPr>
          <w:spacing w:val="80"/>
          <w:sz w:val="20"/>
          <w:vertAlign w:val="baseline"/>
        </w:rPr>
        <w:t> </w:t>
      </w:r>
      <w:r>
        <w:rPr>
          <w:sz w:val="20"/>
          <w:vertAlign w:val="baseline"/>
        </w:rPr>
        <w:t>мероприятий",</w:t>
      </w:r>
      <w:r>
        <w:rPr>
          <w:spacing w:val="80"/>
          <w:sz w:val="20"/>
          <w:vertAlign w:val="baseline"/>
        </w:rPr>
        <w:t> </w:t>
      </w:r>
      <w:r>
        <w:rPr>
          <w:sz w:val="20"/>
          <w:vertAlign w:val="baseline"/>
        </w:rPr>
        <w:t>раздел</w:t>
      </w:r>
      <w:r>
        <w:rPr>
          <w:spacing w:val="80"/>
          <w:sz w:val="20"/>
          <w:vertAlign w:val="baseline"/>
        </w:rPr>
        <w:t> </w:t>
      </w:r>
      <w:r>
        <w:rPr>
          <w:sz w:val="20"/>
          <w:vertAlign w:val="baseline"/>
        </w:rPr>
        <w:t>Х</w:t>
      </w:r>
      <w:r>
        <w:rPr>
          <w:spacing w:val="80"/>
          <w:sz w:val="20"/>
          <w:vertAlign w:val="baseline"/>
        </w:rPr>
        <w:t> </w:t>
      </w:r>
      <w:r>
        <w:rPr>
          <w:sz w:val="20"/>
          <w:vertAlign w:val="baseline"/>
        </w:rPr>
        <w:t>Требования</w:t>
      </w:r>
      <w:r>
        <w:rPr>
          <w:spacing w:val="80"/>
          <w:sz w:val="20"/>
          <w:vertAlign w:val="baseline"/>
        </w:rPr>
        <w:t> </w:t>
      </w:r>
      <w:r>
        <w:rPr>
          <w:sz w:val="20"/>
          <w:vertAlign w:val="baseline"/>
        </w:rPr>
        <w:t>к</w:t>
      </w:r>
      <w:r>
        <w:rPr>
          <w:spacing w:val="80"/>
          <w:sz w:val="20"/>
          <w:vertAlign w:val="baseline"/>
        </w:rPr>
        <w:t> </w:t>
      </w:r>
      <w:r>
        <w:rPr>
          <w:sz w:val="20"/>
          <w:vertAlign w:val="baseline"/>
        </w:rPr>
        <w:t>обращению с отходами</w:t>
      </w:r>
    </w:p>
    <w:p>
      <w:pPr>
        <w:spacing w:after="0" w:line="240" w:lineRule="auto"/>
        <w:jc w:val="both"/>
        <w:rPr>
          <w:sz w:val="20"/>
        </w:rPr>
        <w:sectPr>
          <w:pgSz w:w="11900" w:h="16840"/>
          <w:pgMar w:header="0" w:footer="697" w:top="1080" w:bottom="880" w:left="0" w:right="0"/>
        </w:sectPr>
      </w:pPr>
    </w:p>
    <w:p>
      <w:pPr>
        <w:pStyle w:val="BodyText"/>
        <w:spacing w:line="276" w:lineRule="auto" w:before="73"/>
        <w:ind w:right="1273"/>
      </w:pPr>
      <w:bookmarkStart w:name="127" w:id="151"/>
      <w:bookmarkEnd w:id="151"/>
      <w:r>
        <w:rPr/>
      </w:r>
      <w:r>
        <w:rPr/>
        <w:t>исследование</w:t>
      </w:r>
      <w:r>
        <w:rPr>
          <w:spacing w:val="40"/>
        </w:rPr>
        <w:t> </w:t>
      </w:r>
      <w:r>
        <w:rPr/>
        <w:t>всех</w:t>
      </w:r>
      <w:r>
        <w:rPr>
          <w:spacing w:val="40"/>
        </w:rPr>
        <w:t> </w:t>
      </w:r>
      <w:r>
        <w:rPr/>
        <w:t>других</w:t>
      </w:r>
      <w:r>
        <w:rPr>
          <w:spacing w:val="40"/>
        </w:rPr>
        <w:t> </w:t>
      </w:r>
      <w:r>
        <w:rPr/>
        <w:t>жизненно</w:t>
      </w:r>
      <w:r>
        <w:rPr>
          <w:spacing w:val="40"/>
        </w:rPr>
        <w:t> </w:t>
      </w:r>
      <w:r>
        <w:rPr/>
        <w:t>важных</w:t>
      </w:r>
      <w:r>
        <w:rPr>
          <w:spacing w:val="40"/>
        </w:rPr>
        <w:t> </w:t>
      </w:r>
      <w:r>
        <w:rPr/>
        <w:t>внутренних</w:t>
      </w:r>
      <w:r>
        <w:rPr>
          <w:spacing w:val="40"/>
        </w:rPr>
        <w:t> </w:t>
      </w:r>
      <w:r>
        <w:rPr/>
        <w:t>органов</w:t>
      </w:r>
      <w:r>
        <w:rPr>
          <w:spacing w:val="40"/>
        </w:rPr>
        <w:t> </w:t>
      </w:r>
      <w:r>
        <w:rPr/>
        <w:t>в</w:t>
      </w:r>
      <w:r>
        <w:rPr>
          <w:spacing w:val="40"/>
        </w:rPr>
        <w:t> </w:t>
      </w:r>
      <w:r>
        <w:rPr/>
        <w:t>зависимости от</w:t>
      </w:r>
      <w:r>
        <w:rPr>
          <w:spacing w:val="-3"/>
        </w:rPr>
        <w:t> </w:t>
      </w:r>
      <w:r>
        <w:rPr/>
        <w:t>макроскопически выявленных изменений: миокард, печень, почки, селезенка, поджелудочная железа, головной мозг и другие. Все диагностически значимые морфологические изменения необходимо по возможности фиксировать с помощью макро и микрофото‑ (или видео-) съемки.</w:t>
      </w:r>
    </w:p>
    <w:p>
      <w:pPr>
        <w:pStyle w:val="BodyText"/>
        <w:spacing w:before="13"/>
        <w:ind w:left="0"/>
        <w:jc w:val="left"/>
      </w:pPr>
    </w:p>
    <w:p>
      <w:pPr>
        <w:pStyle w:val="ListParagraph"/>
        <w:numPr>
          <w:ilvl w:val="0"/>
          <w:numId w:val="5"/>
        </w:numPr>
        <w:tabs>
          <w:tab w:pos="2828" w:val="left" w:leader="none"/>
        </w:tabs>
        <w:spacing w:line="300" w:lineRule="auto" w:before="0" w:after="0"/>
        <w:ind w:left="2549" w:right="1811" w:firstLine="0"/>
        <w:jc w:val="left"/>
        <w:rPr>
          <w:b/>
          <w:sz w:val="28"/>
        </w:rPr>
      </w:pPr>
      <w:r>
        <w:rPr>
          <w:b/>
          <w:color w:val="1F487C"/>
          <w:sz w:val="28"/>
        </w:rPr>
        <w:t>МАРШРУТИЗАЦИЯ</w:t>
      </w:r>
      <w:r>
        <w:rPr>
          <w:b/>
          <w:color w:val="1F487C"/>
          <w:spacing w:val="-14"/>
          <w:sz w:val="28"/>
        </w:rPr>
        <w:t> </w:t>
      </w:r>
      <w:r>
        <w:rPr>
          <w:b/>
          <w:color w:val="1F487C"/>
          <w:sz w:val="28"/>
        </w:rPr>
        <w:t>ПАЦИЕНТОВ</w:t>
      </w:r>
      <w:r>
        <w:rPr>
          <w:b/>
          <w:color w:val="1F487C"/>
          <w:spacing w:val="-14"/>
          <w:sz w:val="28"/>
        </w:rPr>
        <w:t> </w:t>
      </w:r>
      <w:r>
        <w:rPr>
          <w:b/>
          <w:color w:val="1F487C"/>
          <w:sz w:val="28"/>
        </w:rPr>
        <w:t>И</w:t>
      </w:r>
      <w:r>
        <w:rPr>
          <w:b/>
          <w:color w:val="1F487C"/>
          <w:spacing w:val="-16"/>
          <w:sz w:val="28"/>
        </w:rPr>
        <w:t> </w:t>
      </w:r>
      <w:r>
        <w:rPr>
          <w:b/>
          <w:color w:val="1F487C"/>
          <w:sz w:val="28"/>
        </w:rPr>
        <w:t>ОСОБЕННОСТИ ЭВАКУАЦИОННЫХ МЕРОПРИЯТИЙ БОЛЬНЫХ</w:t>
      </w:r>
    </w:p>
    <w:p>
      <w:pPr>
        <w:spacing w:line="320" w:lineRule="exact" w:before="0"/>
        <w:ind w:left="2549" w:right="0" w:firstLine="0"/>
        <w:jc w:val="left"/>
        <w:rPr>
          <w:b/>
          <w:sz w:val="28"/>
        </w:rPr>
      </w:pPr>
      <w:r>
        <w:rPr>
          <w:b/>
          <w:color w:val="1F487C"/>
          <w:sz w:val="28"/>
        </w:rPr>
        <w:t>ИЛИ</w:t>
      </w:r>
      <w:r>
        <w:rPr>
          <w:b/>
          <w:color w:val="1F487C"/>
          <w:spacing w:val="-5"/>
          <w:sz w:val="28"/>
        </w:rPr>
        <w:t> </w:t>
      </w:r>
      <w:r>
        <w:rPr>
          <w:b/>
          <w:color w:val="1F487C"/>
          <w:sz w:val="28"/>
        </w:rPr>
        <w:t>ЛИЦ</w:t>
      </w:r>
      <w:r>
        <w:rPr>
          <w:b/>
          <w:color w:val="1F487C"/>
          <w:spacing w:val="-7"/>
          <w:sz w:val="28"/>
        </w:rPr>
        <w:t> </w:t>
      </w:r>
      <w:r>
        <w:rPr>
          <w:b/>
          <w:color w:val="1F487C"/>
          <w:sz w:val="28"/>
        </w:rPr>
        <w:t>С</w:t>
      </w:r>
      <w:r>
        <w:rPr>
          <w:b/>
          <w:color w:val="1F487C"/>
          <w:spacing w:val="-3"/>
          <w:sz w:val="28"/>
        </w:rPr>
        <w:t> </w:t>
      </w:r>
      <w:r>
        <w:rPr>
          <w:b/>
          <w:color w:val="1F487C"/>
          <w:sz w:val="28"/>
        </w:rPr>
        <w:t>ПОДОЗРЕНИЕМ</w:t>
      </w:r>
      <w:r>
        <w:rPr>
          <w:b/>
          <w:color w:val="1F487C"/>
          <w:spacing w:val="-4"/>
          <w:sz w:val="28"/>
        </w:rPr>
        <w:t> </w:t>
      </w:r>
      <w:r>
        <w:rPr>
          <w:b/>
          <w:color w:val="1F487C"/>
          <w:sz w:val="28"/>
        </w:rPr>
        <w:t>НА</w:t>
      </w:r>
      <w:r>
        <w:rPr>
          <w:b/>
          <w:color w:val="1F487C"/>
          <w:spacing w:val="-6"/>
          <w:sz w:val="28"/>
        </w:rPr>
        <w:t> </w:t>
      </w:r>
      <w:r>
        <w:rPr>
          <w:b/>
          <w:color w:val="1F487C"/>
          <w:sz w:val="28"/>
        </w:rPr>
        <w:t>COVID-</w:t>
      </w:r>
      <w:r>
        <w:rPr>
          <w:b/>
          <w:color w:val="1F487C"/>
          <w:spacing w:val="-5"/>
          <w:sz w:val="28"/>
        </w:rPr>
        <w:t>19</w:t>
      </w:r>
    </w:p>
    <w:p>
      <w:pPr>
        <w:pStyle w:val="Heading1"/>
        <w:numPr>
          <w:ilvl w:val="1"/>
          <w:numId w:val="5"/>
        </w:numPr>
        <w:tabs>
          <w:tab w:pos="3038" w:val="left" w:leader="none"/>
        </w:tabs>
        <w:spacing w:line="259" w:lineRule="auto" w:before="321" w:after="0"/>
        <w:ind w:left="2549" w:right="3226" w:firstLine="0"/>
        <w:jc w:val="left"/>
        <w:rPr>
          <w:color w:val="1F487C"/>
        </w:rPr>
      </w:pPr>
      <w:bookmarkStart w:name="_TOC_250022" w:id="152"/>
      <w:r>
        <w:rPr>
          <w:color w:val="1F487C"/>
        </w:rPr>
        <w:t>МАРШРУТИЗАЦИЯ</w:t>
      </w:r>
      <w:r>
        <w:rPr>
          <w:color w:val="1F487C"/>
          <w:spacing w:val="-14"/>
        </w:rPr>
        <w:t> </w:t>
      </w:r>
      <w:r>
        <w:rPr>
          <w:color w:val="1F487C"/>
        </w:rPr>
        <w:t>ПАЦИЕНТОВ</w:t>
      </w:r>
      <w:r>
        <w:rPr>
          <w:color w:val="1F487C"/>
          <w:spacing w:val="-14"/>
        </w:rPr>
        <w:t> </w:t>
      </w:r>
      <w:r>
        <w:rPr>
          <w:color w:val="1F487C"/>
        </w:rPr>
        <w:t>И</w:t>
      </w:r>
      <w:r>
        <w:rPr>
          <w:color w:val="1F487C"/>
          <w:spacing w:val="-15"/>
        </w:rPr>
        <w:t> </w:t>
      </w:r>
      <w:bookmarkEnd w:id="152"/>
      <w:r>
        <w:rPr>
          <w:color w:val="1F487C"/>
        </w:rPr>
        <w:t>ЛИЦ С ПОДОЗРЕНИЕМ НА COVID-19</w:t>
      </w:r>
    </w:p>
    <w:p>
      <w:pPr>
        <w:pStyle w:val="BodyText"/>
        <w:spacing w:line="276" w:lineRule="auto" w:before="119"/>
        <w:ind w:right="1278" w:firstLine="707"/>
      </w:pPr>
      <w:r>
        <w:rPr/>
        <w:t>Порядок маршрутизации регулирует вопросы оказания медицинской помощи пациентам с COVID-19 в медицинских организациях.</w:t>
      </w:r>
    </w:p>
    <w:p>
      <w:pPr>
        <w:pStyle w:val="BodyText"/>
        <w:spacing w:line="276" w:lineRule="auto" w:before="13"/>
        <w:ind w:right="1273" w:firstLine="707"/>
      </w:pPr>
      <w:r>
        <w:rPr/>
        <w:t>Медицинская помощь пациентам с COVID-19 осуществляется в соответствии с требованиями действующего законодательства в виде скорой, в том числе скорой специализированной, первичной медико-санитарной и специализированной медицинской помощи в медицинских организациях и их структурных подразделениях, а также в амбулаторных условиях (на дому).</w:t>
      </w:r>
    </w:p>
    <w:p>
      <w:pPr>
        <w:pStyle w:val="BodyText"/>
        <w:spacing w:line="276" w:lineRule="auto"/>
        <w:ind w:right="1277" w:firstLine="707"/>
      </w:pPr>
      <w:r>
        <w:rPr/>
        <w:t>В зависимости от степени тяжести состояния при подтверждении диагноза коронавирусной инфекции лечение осуществляют:</w:t>
      </w:r>
    </w:p>
    <w:p>
      <w:pPr>
        <w:pStyle w:val="ListParagraph"/>
        <w:numPr>
          <w:ilvl w:val="0"/>
          <w:numId w:val="61"/>
        </w:numPr>
        <w:tabs>
          <w:tab w:pos="2561" w:val="left" w:leader="none"/>
        </w:tabs>
        <w:spacing w:line="240" w:lineRule="auto" w:before="13" w:after="0"/>
        <w:ind w:left="2561" w:right="0" w:hanging="360"/>
        <w:jc w:val="left"/>
        <w:rPr>
          <w:sz w:val="24"/>
        </w:rPr>
      </w:pPr>
      <w:r>
        <w:rPr>
          <w:spacing w:val="-2"/>
          <w:sz w:val="24"/>
        </w:rPr>
        <w:t>Медицинские</w:t>
      </w:r>
      <w:r>
        <w:rPr>
          <w:sz w:val="24"/>
        </w:rPr>
        <w:t> </w:t>
      </w:r>
      <w:r>
        <w:rPr>
          <w:spacing w:val="-2"/>
          <w:sz w:val="24"/>
        </w:rPr>
        <w:t>работники</w:t>
      </w:r>
      <w:r>
        <w:rPr>
          <w:spacing w:val="2"/>
          <w:sz w:val="24"/>
        </w:rPr>
        <w:t> </w:t>
      </w:r>
      <w:r>
        <w:rPr>
          <w:spacing w:val="-2"/>
          <w:sz w:val="24"/>
        </w:rPr>
        <w:t>амбулаторных</w:t>
      </w:r>
      <w:r>
        <w:rPr>
          <w:spacing w:val="5"/>
          <w:sz w:val="24"/>
        </w:rPr>
        <w:t> </w:t>
      </w:r>
      <w:r>
        <w:rPr>
          <w:spacing w:val="-2"/>
          <w:sz w:val="24"/>
        </w:rPr>
        <w:t>медицинских</w:t>
      </w:r>
      <w:r>
        <w:rPr>
          <w:spacing w:val="1"/>
          <w:sz w:val="24"/>
        </w:rPr>
        <w:t> </w:t>
      </w:r>
      <w:r>
        <w:rPr>
          <w:spacing w:val="-2"/>
          <w:sz w:val="24"/>
        </w:rPr>
        <w:t>организаций</w:t>
      </w:r>
      <w:r>
        <w:rPr>
          <w:spacing w:val="2"/>
          <w:sz w:val="24"/>
        </w:rPr>
        <w:t> </w:t>
      </w:r>
      <w:r>
        <w:rPr>
          <w:spacing w:val="-2"/>
          <w:sz w:val="24"/>
        </w:rPr>
        <w:t>на дому;</w:t>
      </w:r>
    </w:p>
    <w:p>
      <w:pPr>
        <w:pStyle w:val="ListParagraph"/>
        <w:numPr>
          <w:ilvl w:val="0"/>
          <w:numId w:val="61"/>
        </w:numPr>
        <w:tabs>
          <w:tab w:pos="2561" w:val="left" w:leader="none"/>
        </w:tabs>
        <w:spacing w:line="240" w:lineRule="auto" w:before="82" w:after="0"/>
        <w:ind w:left="2561" w:right="0" w:hanging="360"/>
        <w:jc w:val="left"/>
        <w:rPr>
          <w:sz w:val="24"/>
        </w:rPr>
      </w:pPr>
      <w:r>
        <w:rPr>
          <w:sz w:val="24"/>
        </w:rPr>
        <w:t>В</w:t>
      </w:r>
      <w:r>
        <w:rPr>
          <w:spacing w:val="-13"/>
          <w:sz w:val="24"/>
        </w:rPr>
        <w:t> </w:t>
      </w:r>
      <w:r>
        <w:rPr>
          <w:sz w:val="24"/>
        </w:rPr>
        <w:t>отделении</w:t>
      </w:r>
      <w:r>
        <w:rPr>
          <w:spacing w:val="-15"/>
          <w:sz w:val="24"/>
        </w:rPr>
        <w:t> </w:t>
      </w:r>
      <w:r>
        <w:rPr>
          <w:sz w:val="24"/>
        </w:rPr>
        <w:t>для</w:t>
      </w:r>
      <w:r>
        <w:rPr>
          <w:spacing w:val="-13"/>
          <w:sz w:val="24"/>
        </w:rPr>
        <w:t> </w:t>
      </w:r>
      <w:r>
        <w:rPr>
          <w:sz w:val="24"/>
        </w:rPr>
        <w:t>лечения</w:t>
      </w:r>
      <w:r>
        <w:rPr>
          <w:spacing w:val="-14"/>
          <w:sz w:val="24"/>
        </w:rPr>
        <w:t> </w:t>
      </w:r>
      <w:r>
        <w:rPr>
          <w:sz w:val="24"/>
        </w:rPr>
        <w:t>инфекционных</w:t>
      </w:r>
      <w:r>
        <w:rPr>
          <w:spacing w:val="-13"/>
          <w:sz w:val="24"/>
        </w:rPr>
        <w:t> </w:t>
      </w:r>
      <w:r>
        <w:rPr>
          <w:sz w:val="24"/>
        </w:rPr>
        <w:t>больных</w:t>
      </w:r>
      <w:r>
        <w:rPr>
          <w:spacing w:val="-14"/>
          <w:sz w:val="24"/>
        </w:rPr>
        <w:t> </w:t>
      </w:r>
      <w:r>
        <w:rPr>
          <w:sz w:val="24"/>
        </w:rPr>
        <w:t>медицинской</w:t>
      </w:r>
      <w:r>
        <w:rPr>
          <w:spacing w:val="-12"/>
          <w:sz w:val="24"/>
        </w:rPr>
        <w:t> </w:t>
      </w:r>
      <w:r>
        <w:rPr>
          <w:spacing w:val="-2"/>
          <w:sz w:val="24"/>
        </w:rPr>
        <w:t>организации;</w:t>
      </w:r>
    </w:p>
    <w:p>
      <w:pPr>
        <w:pStyle w:val="ListParagraph"/>
        <w:numPr>
          <w:ilvl w:val="0"/>
          <w:numId w:val="61"/>
        </w:numPr>
        <w:tabs>
          <w:tab w:pos="2561" w:val="left" w:leader="none"/>
        </w:tabs>
        <w:spacing w:line="240" w:lineRule="auto" w:before="83" w:after="0"/>
        <w:ind w:left="2561" w:right="0" w:hanging="360"/>
        <w:jc w:val="left"/>
        <w:rPr>
          <w:sz w:val="24"/>
        </w:rPr>
      </w:pPr>
      <w:r>
        <w:rPr>
          <w:sz w:val="24"/>
        </w:rPr>
        <w:t>В</w:t>
      </w:r>
      <w:r>
        <w:rPr>
          <w:spacing w:val="-12"/>
          <w:sz w:val="24"/>
        </w:rPr>
        <w:t> </w:t>
      </w:r>
      <w:r>
        <w:rPr>
          <w:sz w:val="24"/>
        </w:rPr>
        <w:t>ОРИТ</w:t>
      </w:r>
      <w:r>
        <w:rPr>
          <w:spacing w:val="-12"/>
          <w:sz w:val="24"/>
        </w:rPr>
        <w:t> </w:t>
      </w:r>
      <w:r>
        <w:rPr>
          <w:sz w:val="24"/>
        </w:rPr>
        <w:t>медицинской</w:t>
      </w:r>
      <w:r>
        <w:rPr>
          <w:spacing w:val="-11"/>
          <w:sz w:val="24"/>
        </w:rPr>
        <w:t> </w:t>
      </w:r>
      <w:r>
        <w:rPr>
          <w:sz w:val="24"/>
        </w:rPr>
        <w:t>организации</w:t>
      </w:r>
      <w:r>
        <w:rPr>
          <w:spacing w:val="-11"/>
          <w:sz w:val="24"/>
        </w:rPr>
        <w:t> </w:t>
      </w:r>
      <w:r>
        <w:rPr>
          <w:sz w:val="24"/>
        </w:rPr>
        <w:t>(при</w:t>
      </w:r>
      <w:r>
        <w:rPr>
          <w:spacing w:val="-12"/>
          <w:sz w:val="24"/>
        </w:rPr>
        <w:t> </w:t>
      </w:r>
      <w:r>
        <w:rPr>
          <w:sz w:val="24"/>
        </w:rPr>
        <w:t>наличии</w:t>
      </w:r>
      <w:r>
        <w:rPr>
          <w:spacing w:val="-11"/>
          <w:sz w:val="24"/>
        </w:rPr>
        <w:t> </w:t>
      </w:r>
      <w:r>
        <w:rPr>
          <w:spacing w:val="-2"/>
          <w:sz w:val="24"/>
        </w:rPr>
        <w:t>показаний).</w:t>
      </w:r>
    </w:p>
    <w:p>
      <w:pPr>
        <w:pStyle w:val="BodyText"/>
        <w:spacing w:line="276" w:lineRule="auto" w:before="92"/>
        <w:ind w:right="1275" w:firstLine="707"/>
      </w:pPr>
      <w:r>
        <w:rPr/>
        <w:t>Алгоритм действий медицинских работников, оказывающих медицинскую помощь в амбулаторных условиях, в том числе на дому, пациентам с ОРВИ представлен в Приложении 10-1. Типовые схемы организации медицинской помощи пациентам</w:t>
      </w:r>
      <w:r>
        <w:rPr>
          <w:spacing w:val="-10"/>
        </w:rPr>
        <w:t> </w:t>
      </w:r>
      <w:r>
        <w:rPr/>
        <w:t>с</w:t>
      </w:r>
      <w:r>
        <w:rPr>
          <w:spacing w:val="-10"/>
        </w:rPr>
        <w:t> </w:t>
      </w:r>
      <w:r>
        <w:rPr/>
        <w:t>симптомами</w:t>
      </w:r>
      <w:r>
        <w:rPr>
          <w:spacing w:val="-8"/>
        </w:rPr>
        <w:t> </w:t>
      </w:r>
      <w:r>
        <w:rPr/>
        <w:t>с</w:t>
      </w:r>
      <w:r>
        <w:rPr>
          <w:spacing w:val="-10"/>
        </w:rPr>
        <w:t> </w:t>
      </w:r>
      <w:r>
        <w:rPr/>
        <w:t>ОРВИ,</w:t>
      </w:r>
      <w:r>
        <w:rPr>
          <w:spacing w:val="-9"/>
        </w:rPr>
        <w:t> </w:t>
      </w:r>
      <w:r>
        <w:rPr/>
        <w:t>гриппа,</w:t>
      </w:r>
      <w:r>
        <w:rPr>
          <w:spacing w:val="-9"/>
        </w:rPr>
        <w:t> </w:t>
      </w:r>
      <w:r>
        <w:rPr/>
        <w:t>новой</w:t>
      </w:r>
      <w:r>
        <w:rPr>
          <w:spacing w:val="-8"/>
        </w:rPr>
        <w:t> </w:t>
      </w:r>
      <w:r>
        <w:rPr/>
        <w:t>коронавирусной</w:t>
      </w:r>
      <w:r>
        <w:rPr>
          <w:spacing w:val="-10"/>
        </w:rPr>
        <w:t> </w:t>
      </w:r>
      <w:r>
        <w:rPr/>
        <w:t>инфекции</w:t>
      </w:r>
      <w:r>
        <w:rPr>
          <w:spacing w:val="-10"/>
        </w:rPr>
        <w:t> </w:t>
      </w:r>
      <w:r>
        <w:rPr/>
        <w:t>(COVID- 19)</w:t>
      </w:r>
      <w:r>
        <w:rPr>
          <w:spacing w:val="40"/>
        </w:rPr>
        <w:t> </w:t>
      </w:r>
      <w:r>
        <w:rPr/>
        <w:t>в</w:t>
      </w:r>
      <w:r>
        <w:rPr>
          <w:spacing w:val="40"/>
        </w:rPr>
        <w:t> </w:t>
      </w:r>
      <w:r>
        <w:rPr/>
        <w:t>зависимости</w:t>
      </w:r>
      <w:r>
        <w:rPr>
          <w:spacing w:val="40"/>
        </w:rPr>
        <w:t> </w:t>
      </w:r>
      <w:r>
        <w:rPr/>
        <w:t>от</w:t>
      </w:r>
      <w:r>
        <w:rPr>
          <w:spacing w:val="40"/>
        </w:rPr>
        <w:t> </w:t>
      </w:r>
      <w:r>
        <w:rPr/>
        <w:t>тяжести</w:t>
      </w:r>
      <w:r>
        <w:rPr>
          <w:spacing w:val="40"/>
        </w:rPr>
        <w:t> </w:t>
      </w:r>
      <w:r>
        <w:rPr/>
        <w:t>течения</w:t>
      </w:r>
      <w:r>
        <w:rPr>
          <w:spacing w:val="40"/>
        </w:rPr>
        <w:t> </w:t>
      </w:r>
      <w:r>
        <w:rPr/>
        <w:t>заболевания</w:t>
      </w:r>
      <w:r>
        <w:rPr>
          <w:spacing w:val="40"/>
        </w:rPr>
        <w:t> </w:t>
      </w:r>
      <w:r>
        <w:rPr/>
        <w:t>и</w:t>
      </w:r>
      <w:r>
        <w:rPr>
          <w:spacing w:val="40"/>
        </w:rPr>
        <w:t> </w:t>
      </w:r>
      <w:r>
        <w:rPr/>
        <w:t>результатов</w:t>
      </w:r>
      <w:r>
        <w:rPr>
          <w:spacing w:val="40"/>
        </w:rPr>
        <w:t> </w:t>
      </w:r>
      <w:r>
        <w:rPr/>
        <w:t>тестирования</w:t>
      </w:r>
      <w:r>
        <w:rPr>
          <w:spacing w:val="80"/>
        </w:rPr>
        <w:t> </w:t>
      </w:r>
      <w:r>
        <w:rPr/>
        <w:t>на COVID-19 представлены в приложениях 10-2, 10-3 и 10-4.</w:t>
      </w:r>
    </w:p>
    <w:p>
      <w:pPr>
        <w:pStyle w:val="BodyText"/>
        <w:spacing w:line="276" w:lineRule="auto"/>
        <w:ind w:right="1275" w:firstLine="707"/>
      </w:pPr>
      <w:r>
        <w:rPr/>
        <w:t>Скорая, в том числе скорая специализированная, медицинская помощь больным инфекционным заболеванием оказывается фельдшерскими выездными бригадами скорой медицинской помощи, врачебными выездными бригадами скорой медицинской помощи, специализированными выездными бригадами скорой </w:t>
      </w:r>
      <w:r>
        <w:rPr>
          <w:spacing w:val="-2"/>
        </w:rPr>
        <w:t>медицинской помощи, бригадами экстренной медицинской помощи территориальных </w:t>
      </w:r>
      <w:r>
        <w:rPr/>
        <w:t>центров медицины катастроф.</w:t>
      </w:r>
    </w:p>
    <w:p>
      <w:pPr>
        <w:pStyle w:val="BodyText"/>
        <w:spacing w:line="276" w:lineRule="auto" w:before="12"/>
        <w:ind w:right="1274" w:firstLine="707"/>
      </w:pPr>
      <w:r>
        <w:rPr/>
        <w:t>Деятельность</w:t>
      </w:r>
      <w:r>
        <w:rPr>
          <w:spacing w:val="72"/>
        </w:rPr>
        <w:t>  </w:t>
      </w:r>
      <w:r>
        <w:rPr/>
        <w:t>этих</w:t>
      </w:r>
      <w:r>
        <w:rPr>
          <w:spacing w:val="69"/>
        </w:rPr>
        <w:t>  </w:t>
      </w:r>
      <w:r>
        <w:rPr/>
        <w:t>бригад</w:t>
      </w:r>
      <w:r>
        <w:rPr>
          <w:spacing w:val="70"/>
        </w:rPr>
        <w:t>  </w:t>
      </w:r>
      <w:r>
        <w:rPr/>
        <w:t>направлена</w:t>
      </w:r>
      <w:r>
        <w:rPr>
          <w:spacing w:val="68"/>
        </w:rPr>
        <w:t>  </w:t>
      </w:r>
      <w:r>
        <w:rPr/>
        <w:t>на</w:t>
      </w:r>
      <w:r>
        <w:rPr>
          <w:spacing w:val="70"/>
        </w:rPr>
        <w:t>  </w:t>
      </w:r>
      <w:r>
        <w:rPr/>
        <w:t>проведение</w:t>
      </w:r>
      <w:r>
        <w:rPr>
          <w:spacing w:val="70"/>
        </w:rPr>
        <w:t>  </w:t>
      </w:r>
      <w:r>
        <w:rPr/>
        <w:t>мероприятий по</w:t>
      </w:r>
      <w:r>
        <w:rPr>
          <w:spacing w:val="-3"/>
        </w:rPr>
        <w:t> </w:t>
      </w:r>
      <w:r>
        <w:rPr/>
        <w:t>устранению угрожающих жизни состояний с последующей медицинской эвакуацией</w:t>
      </w:r>
      <w:r>
        <w:rPr>
          <w:spacing w:val="-15"/>
        </w:rPr>
        <w:t> </w:t>
      </w:r>
      <w:r>
        <w:rPr/>
        <w:t>в</w:t>
      </w:r>
      <w:r>
        <w:rPr>
          <w:spacing w:val="-8"/>
        </w:rPr>
        <w:t> </w:t>
      </w:r>
      <w:r>
        <w:rPr/>
        <w:t>медицинскую</w:t>
      </w:r>
      <w:r>
        <w:rPr>
          <w:spacing w:val="-15"/>
        </w:rPr>
        <w:t> </w:t>
      </w:r>
      <w:r>
        <w:rPr/>
        <w:t>организацию,</w:t>
      </w:r>
      <w:r>
        <w:rPr>
          <w:spacing w:val="-15"/>
        </w:rPr>
        <w:t> </w:t>
      </w:r>
      <w:r>
        <w:rPr/>
        <w:t>оказывающую</w:t>
      </w:r>
      <w:r>
        <w:rPr>
          <w:spacing w:val="-15"/>
        </w:rPr>
        <w:t> </w:t>
      </w:r>
      <w:r>
        <w:rPr/>
        <w:t>стационарную</w:t>
      </w:r>
      <w:r>
        <w:rPr>
          <w:spacing w:val="-15"/>
        </w:rPr>
        <w:t> </w:t>
      </w:r>
      <w:r>
        <w:rPr/>
        <w:t>медицинскую помощь больным инфекционными заболеваниями. Медицинская помощь больным инфекционными заболеваниями с жизнеугрожающими острыми состояниями, в том числе</w:t>
      </w:r>
      <w:r>
        <w:rPr>
          <w:spacing w:val="40"/>
        </w:rPr>
        <w:t> </w:t>
      </w:r>
      <w:r>
        <w:rPr/>
        <w:t>с</w:t>
      </w:r>
      <w:r>
        <w:rPr>
          <w:spacing w:val="40"/>
        </w:rPr>
        <w:t> </w:t>
      </w:r>
      <w:r>
        <w:rPr/>
        <w:t>инфекционно-токсическим,</w:t>
      </w:r>
      <w:r>
        <w:rPr>
          <w:spacing w:val="40"/>
        </w:rPr>
        <w:t> </w:t>
      </w:r>
      <w:r>
        <w:rPr/>
        <w:t>гиповолемическим</w:t>
      </w:r>
      <w:r>
        <w:rPr>
          <w:spacing w:val="40"/>
        </w:rPr>
        <w:t> </w:t>
      </w:r>
      <w:r>
        <w:rPr/>
        <w:t>шоком,</w:t>
      </w:r>
      <w:r>
        <w:rPr>
          <w:spacing w:val="40"/>
        </w:rPr>
        <w:t> </w:t>
      </w:r>
      <w:r>
        <w:rPr/>
        <w:t>острыми</w:t>
      </w:r>
      <w:r>
        <w:rPr>
          <w:spacing w:val="40"/>
        </w:rPr>
        <w:t> </w:t>
      </w:r>
      <w:r>
        <w:rPr/>
        <w:t>почечной и</w:t>
      </w:r>
      <w:r>
        <w:rPr>
          <w:spacing w:val="-4"/>
        </w:rPr>
        <w:t> </w:t>
      </w:r>
      <w:r>
        <w:rPr/>
        <w:t>печеночной</w:t>
      </w:r>
      <w:r>
        <w:rPr>
          <w:spacing w:val="42"/>
        </w:rPr>
        <w:t>  </w:t>
      </w:r>
      <w:r>
        <w:rPr/>
        <w:t>недостаточностью,</w:t>
      </w:r>
      <w:r>
        <w:rPr>
          <w:spacing w:val="43"/>
        </w:rPr>
        <w:t>  </w:t>
      </w:r>
      <w:r>
        <w:rPr/>
        <w:t>острой</w:t>
      </w:r>
      <w:r>
        <w:rPr>
          <w:spacing w:val="44"/>
        </w:rPr>
        <w:t>  </w:t>
      </w:r>
      <w:r>
        <w:rPr/>
        <w:t>сердечно-сосудистой</w:t>
      </w:r>
      <w:r>
        <w:rPr>
          <w:spacing w:val="44"/>
        </w:rPr>
        <w:t>  </w:t>
      </w:r>
      <w:r>
        <w:rPr/>
        <w:t>и</w:t>
      </w:r>
      <w:r>
        <w:rPr>
          <w:spacing w:val="43"/>
        </w:rPr>
        <w:t>  </w:t>
      </w:r>
      <w:r>
        <w:rPr>
          <w:spacing w:val="-2"/>
        </w:rPr>
        <w:t>дыхательной</w:t>
      </w:r>
    </w:p>
    <w:p>
      <w:pPr>
        <w:pStyle w:val="BodyText"/>
        <w:spacing w:after="0" w:line="276" w:lineRule="auto"/>
        <w:sectPr>
          <w:pgSz w:w="11900" w:h="16840"/>
          <w:pgMar w:header="0" w:footer="697" w:top="1080" w:bottom="880" w:left="0" w:right="0"/>
        </w:sectPr>
      </w:pPr>
    </w:p>
    <w:p>
      <w:pPr>
        <w:pStyle w:val="BodyText"/>
        <w:tabs>
          <w:tab w:pos="4089" w:val="left" w:leader="none"/>
          <w:tab w:pos="4736" w:val="left" w:leader="none"/>
          <w:tab w:pos="6403" w:val="left" w:leader="none"/>
          <w:tab w:pos="7989" w:val="left" w:leader="none"/>
          <w:tab w:pos="9532" w:val="left" w:leader="none"/>
        </w:tabs>
        <w:spacing w:line="276" w:lineRule="auto" w:before="73"/>
        <w:ind w:right="1282"/>
        <w:jc w:val="left"/>
      </w:pPr>
      <w:bookmarkStart w:name="128" w:id="153"/>
      <w:bookmarkEnd w:id="153"/>
      <w:r>
        <w:rPr/>
      </w:r>
      <w:r>
        <w:rPr>
          <w:spacing w:val="-2"/>
        </w:rPr>
        <w:t>недостаточностью,</w:t>
      </w:r>
      <w:r>
        <w:rPr/>
        <w:tab/>
      </w:r>
      <w:r>
        <w:rPr>
          <w:spacing w:val="-4"/>
        </w:rPr>
        <w:t>вне</w:t>
      </w:r>
      <w:r>
        <w:rPr/>
        <w:tab/>
      </w:r>
      <w:r>
        <w:rPr>
          <w:spacing w:val="-2"/>
        </w:rPr>
        <w:t>медицинской</w:t>
      </w:r>
      <w:r>
        <w:rPr/>
        <w:tab/>
      </w:r>
      <w:r>
        <w:rPr>
          <w:spacing w:val="-2"/>
        </w:rPr>
        <w:t>организации</w:t>
      </w:r>
      <w:r>
        <w:rPr/>
        <w:tab/>
      </w:r>
      <w:r>
        <w:rPr>
          <w:spacing w:val="-2"/>
        </w:rPr>
        <w:t>оказывается</w:t>
      </w:r>
      <w:r>
        <w:rPr/>
        <w:tab/>
      </w:r>
      <w:r>
        <w:rPr>
          <w:spacing w:val="-2"/>
        </w:rPr>
        <w:t>бригадами </w:t>
      </w:r>
      <w:r>
        <w:rPr/>
        <w:t>(в том числе реанимационными) скорой медицинской помощи.</w:t>
      </w:r>
    </w:p>
    <w:p>
      <w:pPr>
        <w:pStyle w:val="Heading1"/>
        <w:numPr>
          <w:ilvl w:val="1"/>
          <w:numId w:val="62"/>
        </w:numPr>
        <w:tabs>
          <w:tab w:pos="2969" w:val="left" w:leader="none"/>
        </w:tabs>
        <w:spacing w:line="240" w:lineRule="auto" w:before="239" w:after="0"/>
        <w:ind w:left="2969" w:right="0" w:hanging="420"/>
        <w:jc w:val="left"/>
      </w:pPr>
      <w:bookmarkStart w:name="_TOC_250021" w:id="154"/>
      <w:r>
        <w:rPr>
          <w:color w:val="1F487C"/>
        </w:rPr>
        <w:t>ПОРЯДОК</w:t>
      </w:r>
      <w:r>
        <w:rPr>
          <w:color w:val="1F487C"/>
          <w:spacing w:val="-13"/>
        </w:rPr>
        <w:t> </w:t>
      </w:r>
      <w:r>
        <w:rPr>
          <w:color w:val="1F487C"/>
        </w:rPr>
        <w:t>ОРГАНИЗАЦИИ</w:t>
      </w:r>
      <w:r>
        <w:rPr>
          <w:color w:val="1F487C"/>
          <w:spacing w:val="-10"/>
        </w:rPr>
        <w:t> </w:t>
      </w:r>
      <w:r>
        <w:rPr>
          <w:color w:val="1F487C"/>
        </w:rPr>
        <w:t>МЕДИЦИНСКОЙ</w:t>
      </w:r>
      <w:r>
        <w:rPr>
          <w:color w:val="1F487C"/>
          <w:spacing w:val="-10"/>
        </w:rPr>
        <w:t> </w:t>
      </w:r>
      <w:bookmarkEnd w:id="154"/>
      <w:r>
        <w:rPr>
          <w:color w:val="1F487C"/>
          <w:spacing w:val="-2"/>
        </w:rPr>
        <w:t>ПОМОЩИ</w:t>
      </w:r>
    </w:p>
    <w:p>
      <w:pPr>
        <w:pStyle w:val="BodyText"/>
        <w:spacing w:line="276" w:lineRule="auto" w:before="145"/>
        <w:ind w:left="1851" w:right="1271" w:firstLine="697"/>
      </w:pPr>
      <w:r>
        <w:rPr/>
        <w:t>Проведение</w:t>
      </w:r>
      <w:r>
        <w:rPr>
          <w:spacing w:val="-15"/>
        </w:rPr>
        <w:t> </w:t>
      </w:r>
      <w:r>
        <w:rPr/>
        <w:t>противоэпидемических</w:t>
      </w:r>
      <w:r>
        <w:rPr>
          <w:spacing w:val="-15"/>
        </w:rPr>
        <w:t> </w:t>
      </w:r>
      <w:r>
        <w:rPr/>
        <w:t>мероприятий</w:t>
      </w:r>
      <w:r>
        <w:rPr>
          <w:spacing w:val="-15"/>
        </w:rPr>
        <w:t> </w:t>
      </w:r>
      <w:r>
        <w:rPr/>
        <w:t>в</w:t>
      </w:r>
      <w:r>
        <w:rPr>
          <w:spacing w:val="-15"/>
        </w:rPr>
        <w:t> </w:t>
      </w:r>
      <w:r>
        <w:rPr/>
        <w:t>медицинских</w:t>
      </w:r>
      <w:r>
        <w:rPr>
          <w:spacing w:val="-15"/>
        </w:rPr>
        <w:t> </w:t>
      </w:r>
      <w:r>
        <w:rPr/>
        <w:t>организациях осуществляется в соотвествии с Планом санитарно-противоэпидемических мероприятий по предупреждению завоза и распространения новой коронавирусной инфекции, вызванной SARS-CoV-2, утвержденным уполномоченным органом исполнительной власти субъекта Российской Федерации, а также действующими требованиями санитарного законодательства.</w:t>
      </w:r>
    </w:p>
    <w:p>
      <w:pPr>
        <w:pStyle w:val="Heading3"/>
        <w:spacing w:line="312" w:lineRule="auto" w:before="119"/>
        <w:ind w:left="1853" w:right="1278" w:firstLine="695"/>
      </w:pPr>
      <w:r>
        <w:rPr>
          <w:color w:val="1F487C"/>
        </w:rPr>
        <w:t>а)</w:t>
      </w:r>
      <w:r>
        <w:rPr>
          <w:color w:val="1F487C"/>
          <w:spacing w:val="-10"/>
        </w:rPr>
        <w:t> </w:t>
      </w:r>
      <w:r>
        <w:rPr>
          <w:color w:val="1F487C"/>
        </w:rPr>
        <w:t>Порядок</w:t>
      </w:r>
      <w:r>
        <w:rPr>
          <w:color w:val="1F487C"/>
          <w:spacing w:val="-8"/>
        </w:rPr>
        <w:t> </w:t>
      </w:r>
      <w:r>
        <w:rPr>
          <w:color w:val="1F487C"/>
        </w:rPr>
        <w:t>организации</w:t>
      </w:r>
      <w:r>
        <w:rPr>
          <w:color w:val="1F487C"/>
          <w:spacing w:val="-8"/>
        </w:rPr>
        <w:t> </w:t>
      </w:r>
      <w:r>
        <w:rPr>
          <w:color w:val="1F487C"/>
        </w:rPr>
        <w:t>скорой,</w:t>
      </w:r>
      <w:r>
        <w:rPr>
          <w:color w:val="1F487C"/>
          <w:spacing w:val="-9"/>
        </w:rPr>
        <w:t> </w:t>
      </w:r>
      <w:r>
        <w:rPr>
          <w:color w:val="1F487C"/>
        </w:rPr>
        <w:t>в</w:t>
      </w:r>
      <w:r>
        <w:rPr>
          <w:color w:val="1F487C"/>
          <w:spacing w:val="-9"/>
        </w:rPr>
        <w:t> </w:t>
      </w:r>
      <w:r>
        <w:rPr>
          <w:color w:val="1F487C"/>
        </w:rPr>
        <w:t>том</w:t>
      </w:r>
      <w:r>
        <w:rPr>
          <w:color w:val="1F487C"/>
          <w:spacing w:val="-9"/>
        </w:rPr>
        <w:t> </w:t>
      </w:r>
      <w:r>
        <w:rPr>
          <w:color w:val="1F487C"/>
        </w:rPr>
        <w:t>числе</w:t>
      </w:r>
      <w:r>
        <w:rPr>
          <w:color w:val="1F487C"/>
          <w:spacing w:val="-10"/>
        </w:rPr>
        <w:t> </w:t>
      </w:r>
      <w:r>
        <w:rPr>
          <w:color w:val="1F487C"/>
        </w:rPr>
        <w:t>скорой</w:t>
      </w:r>
      <w:r>
        <w:rPr>
          <w:color w:val="1F487C"/>
          <w:spacing w:val="-8"/>
        </w:rPr>
        <w:t> </w:t>
      </w:r>
      <w:r>
        <w:rPr>
          <w:color w:val="1F487C"/>
        </w:rPr>
        <w:t>специализированной, медицинской помощи.</w:t>
      </w:r>
    </w:p>
    <w:p>
      <w:pPr>
        <w:pStyle w:val="BodyText"/>
        <w:spacing w:line="276" w:lineRule="auto" w:before="120"/>
        <w:ind w:left="1851" w:right="1278" w:firstLine="697"/>
      </w:pPr>
      <w:r>
        <w:rPr/>
        <w:t>Руководителям медицинских организаций, оказывающих скорую медицинскую помощь, необходимо обеспечить:</w:t>
      </w:r>
    </w:p>
    <w:p>
      <w:pPr>
        <w:pStyle w:val="ListParagraph"/>
        <w:numPr>
          <w:ilvl w:val="0"/>
          <w:numId w:val="60"/>
        </w:numPr>
        <w:tabs>
          <w:tab w:pos="2124" w:val="left" w:leader="none"/>
        </w:tabs>
        <w:spacing w:line="268" w:lineRule="auto" w:before="14" w:after="0"/>
        <w:ind w:left="2124" w:right="1276" w:hanging="360"/>
        <w:jc w:val="both"/>
        <w:rPr>
          <w:sz w:val="24"/>
        </w:rPr>
      </w:pPr>
      <w:r>
        <w:rPr>
          <w:sz w:val="24"/>
        </w:rPr>
        <w:t>Наличие</w:t>
      </w:r>
      <w:r>
        <w:rPr>
          <w:spacing w:val="40"/>
          <w:sz w:val="24"/>
        </w:rPr>
        <w:t>  </w:t>
      </w:r>
      <w:r>
        <w:rPr>
          <w:sz w:val="24"/>
        </w:rPr>
        <w:t>запаса</w:t>
      </w:r>
      <w:r>
        <w:rPr>
          <w:spacing w:val="40"/>
          <w:sz w:val="24"/>
        </w:rPr>
        <w:t>  </w:t>
      </w:r>
      <w:r>
        <w:rPr>
          <w:sz w:val="24"/>
        </w:rPr>
        <w:t>необходимых</w:t>
      </w:r>
      <w:r>
        <w:rPr>
          <w:spacing w:val="40"/>
          <w:sz w:val="24"/>
        </w:rPr>
        <w:t>  </w:t>
      </w:r>
      <w:r>
        <w:rPr>
          <w:sz w:val="24"/>
        </w:rPr>
        <w:t>расходных</w:t>
      </w:r>
      <w:r>
        <w:rPr>
          <w:spacing w:val="40"/>
          <w:sz w:val="24"/>
        </w:rPr>
        <w:t>  </w:t>
      </w:r>
      <w:r>
        <w:rPr>
          <w:sz w:val="24"/>
        </w:rPr>
        <w:t>материалов</w:t>
      </w:r>
      <w:r>
        <w:rPr>
          <w:spacing w:val="40"/>
          <w:sz w:val="24"/>
        </w:rPr>
        <w:t>  </w:t>
      </w:r>
      <w:r>
        <w:rPr>
          <w:sz w:val="24"/>
        </w:rPr>
        <w:t>для</w:t>
      </w:r>
      <w:r>
        <w:rPr>
          <w:spacing w:val="40"/>
          <w:sz w:val="24"/>
        </w:rPr>
        <w:t>  </w:t>
      </w:r>
      <w:r>
        <w:rPr>
          <w:sz w:val="24"/>
        </w:rPr>
        <w:t>отбора</w:t>
      </w:r>
      <w:r>
        <w:rPr>
          <w:spacing w:val="40"/>
          <w:sz w:val="24"/>
        </w:rPr>
        <w:t>  </w:t>
      </w:r>
      <w:r>
        <w:rPr>
          <w:sz w:val="24"/>
        </w:rPr>
        <w:t>проб для проведения лабораторных исследований на наличие COVID-19, дезинфекционных средств и СИЗ;</w:t>
      </w:r>
    </w:p>
    <w:p>
      <w:pPr>
        <w:pStyle w:val="ListParagraph"/>
        <w:numPr>
          <w:ilvl w:val="0"/>
          <w:numId w:val="60"/>
        </w:numPr>
        <w:tabs>
          <w:tab w:pos="2124" w:val="left" w:leader="none"/>
        </w:tabs>
        <w:spacing w:line="264" w:lineRule="auto" w:before="9" w:after="0"/>
        <w:ind w:left="2124" w:right="1279" w:hanging="360"/>
        <w:jc w:val="both"/>
        <w:rPr>
          <w:sz w:val="24"/>
        </w:rPr>
      </w:pPr>
      <w:r>
        <w:rPr>
          <w:sz w:val="24"/>
        </w:rPr>
        <w:t>Информирование медицинских работников по вопросам профилактики, диагностики и лечения COVID-19;</w:t>
      </w:r>
    </w:p>
    <w:p>
      <w:pPr>
        <w:pStyle w:val="ListParagraph"/>
        <w:numPr>
          <w:ilvl w:val="0"/>
          <w:numId w:val="60"/>
        </w:numPr>
        <w:tabs>
          <w:tab w:pos="2124" w:val="left" w:leader="none"/>
        </w:tabs>
        <w:spacing w:line="268" w:lineRule="auto" w:before="13" w:after="0"/>
        <w:ind w:left="2124" w:right="1282" w:hanging="360"/>
        <w:jc w:val="both"/>
        <w:rPr>
          <w:sz w:val="24"/>
        </w:rPr>
      </w:pPr>
      <w:r>
        <w:rPr>
          <w:sz w:val="24"/>
        </w:rPr>
        <w:t>Выполнение Инструкции по соблюдению мер инфекционной безопасности для специализированных выездных бригад скорой медицинской помощи согласно Приложению №10 к настоящим методическим рекомендациям;</w:t>
      </w:r>
    </w:p>
    <w:p>
      <w:pPr>
        <w:pStyle w:val="ListParagraph"/>
        <w:numPr>
          <w:ilvl w:val="0"/>
          <w:numId w:val="60"/>
        </w:numPr>
        <w:tabs>
          <w:tab w:pos="2124" w:val="left" w:leader="none"/>
        </w:tabs>
        <w:spacing w:line="273" w:lineRule="auto" w:before="12" w:after="0"/>
        <w:ind w:left="2124" w:right="1273" w:hanging="360"/>
        <w:jc w:val="both"/>
        <w:rPr>
          <w:sz w:val="24"/>
        </w:rPr>
      </w:pPr>
      <w:r>
        <w:rPr>
          <w:sz w:val="24"/>
        </w:rPr>
        <w:t>Передачу биологического материала (мазки из носо- и ротоглотки) пациентов</w:t>
      </w:r>
      <w:r>
        <w:rPr>
          <w:spacing w:val="40"/>
          <w:sz w:val="24"/>
        </w:rPr>
        <w:t> </w:t>
      </w:r>
      <w:r>
        <w:rPr>
          <w:sz w:val="24"/>
        </w:rPr>
        <w:t>(при необходимости забора биологического материала на этапе СМП, в</w:t>
      </w:r>
      <w:r>
        <w:rPr>
          <w:spacing w:val="-2"/>
          <w:sz w:val="24"/>
        </w:rPr>
        <w:t> </w:t>
      </w:r>
      <w:r>
        <w:rPr>
          <w:sz w:val="24"/>
        </w:rPr>
        <w:t>частности необходимости проведения специальных карантинных мероприятий) при подозрении на COVID-19 в лаборатории медицинских организаций, имеющих эпидемиологическое заключение на работу с III и IV группами патогенности;</w:t>
      </w:r>
    </w:p>
    <w:p>
      <w:pPr>
        <w:pStyle w:val="ListParagraph"/>
        <w:numPr>
          <w:ilvl w:val="0"/>
          <w:numId w:val="60"/>
        </w:numPr>
        <w:tabs>
          <w:tab w:pos="2124" w:val="left" w:leader="none"/>
        </w:tabs>
        <w:spacing w:line="268" w:lineRule="auto" w:before="0" w:after="0"/>
        <w:ind w:left="2124" w:right="1281" w:hanging="360"/>
        <w:jc w:val="both"/>
        <w:rPr>
          <w:sz w:val="24"/>
        </w:rPr>
      </w:pPr>
      <w:r>
        <w:rPr>
          <w:sz w:val="24"/>
        </w:rPr>
        <w:t>Указание медицинскими работниками в бланке направления на лабораторное исследование диагноза «пневмония» при направлении биологического материала пациентов с внебольничной пневмонией для диагностики COVID-19;</w:t>
      </w:r>
    </w:p>
    <w:p>
      <w:pPr>
        <w:pStyle w:val="ListParagraph"/>
        <w:numPr>
          <w:ilvl w:val="0"/>
          <w:numId w:val="60"/>
        </w:numPr>
        <w:tabs>
          <w:tab w:pos="2124" w:val="left" w:leader="none"/>
        </w:tabs>
        <w:spacing w:line="268" w:lineRule="auto" w:before="7" w:after="0"/>
        <w:ind w:left="2124" w:right="1276" w:hanging="360"/>
        <w:jc w:val="both"/>
        <w:rPr>
          <w:sz w:val="24"/>
        </w:rPr>
      </w:pPr>
      <w:r>
        <w:rPr>
          <w:sz w:val="24"/>
        </w:rPr>
        <w:t>Системную работу по информированию населения о рисках COVID-19, мерах индивидуальной</w:t>
      </w:r>
      <w:r>
        <w:rPr>
          <w:spacing w:val="80"/>
          <w:w w:val="150"/>
          <w:sz w:val="24"/>
        </w:rPr>
        <w:t> </w:t>
      </w:r>
      <w:r>
        <w:rPr>
          <w:sz w:val="24"/>
        </w:rPr>
        <w:t>профилактики,</w:t>
      </w:r>
      <w:r>
        <w:rPr>
          <w:spacing w:val="80"/>
          <w:w w:val="150"/>
          <w:sz w:val="24"/>
        </w:rPr>
        <w:t> </w:t>
      </w:r>
      <w:r>
        <w:rPr>
          <w:sz w:val="24"/>
        </w:rPr>
        <w:t>необходимости</w:t>
      </w:r>
      <w:r>
        <w:rPr>
          <w:spacing w:val="80"/>
          <w:w w:val="150"/>
          <w:sz w:val="24"/>
        </w:rPr>
        <w:t> </w:t>
      </w:r>
      <w:r>
        <w:rPr>
          <w:sz w:val="24"/>
        </w:rPr>
        <w:t>своевременного</w:t>
      </w:r>
      <w:r>
        <w:rPr>
          <w:spacing w:val="80"/>
          <w:w w:val="150"/>
          <w:sz w:val="24"/>
        </w:rPr>
        <w:t> </w:t>
      </w:r>
      <w:r>
        <w:rPr>
          <w:sz w:val="24"/>
        </w:rPr>
        <w:t>обращения</w:t>
      </w:r>
      <w:r>
        <w:rPr>
          <w:spacing w:val="40"/>
          <w:sz w:val="24"/>
        </w:rPr>
        <w:t> </w:t>
      </w:r>
      <w:r>
        <w:rPr>
          <w:sz w:val="24"/>
        </w:rPr>
        <w:t>за медицинской помощью при появлении первых симптомов ОРВИ.</w:t>
      </w:r>
    </w:p>
    <w:p>
      <w:pPr>
        <w:pStyle w:val="Heading3"/>
        <w:spacing w:before="131"/>
      </w:pPr>
      <w:r>
        <w:rPr>
          <w:color w:val="1F487C"/>
        </w:rPr>
        <w:t>б)</w:t>
      </w:r>
      <w:r>
        <w:rPr>
          <w:color w:val="1F487C"/>
          <w:spacing w:val="-15"/>
        </w:rPr>
        <w:t> </w:t>
      </w:r>
      <w:r>
        <w:rPr>
          <w:color w:val="1F487C"/>
        </w:rPr>
        <w:t>Порядок</w:t>
      </w:r>
      <w:r>
        <w:rPr>
          <w:color w:val="1F487C"/>
          <w:spacing w:val="-14"/>
        </w:rPr>
        <w:t> </w:t>
      </w:r>
      <w:r>
        <w:rPr>
          <w:color w:val="1F487C"/>
        </w:rPr>
        <w:t>организации</w:t>
      </w:r>
      <w:r>
        <w:rPr>
          <w:color w:val="1F487C"/>
          <w:spacing w:val="-14"/>
        </w:rPr>
        <w:t> </w:t>
      </w:r>
      <w:r>
        <w:rPr>
          <w:color w:val="1F487C"/>
        </w:rPr>
        <w:t>медицинской</w:t>
      </w:r>
      <w:r>
        <w:rPr>
          <w:color w:val="1F487C"/>
          <w:spacing w:val="-13"/>
        </w:rPr>
        <w:t> </w:t>
      </w:r>
      <w:r>
        <w:rPr>
          <w:color w:val="1F487C"/>
        </w:rPr>
        <w:t>помощи</w:t>
      </w:r>
      <w:r>
        <w:rPr>
          <w:color w:val="1F487C"/>
          <w:spacing w:val="-14"/>
        </w:rPr>
        <w:t> </w:t>
      </w:r>
      <w:r>
        <w:rPr>
          <w:color w:val="1F487C"/>
        </w:rPr>
        <w:t>в</w:t>
      </w:r>
      <w:r>
        <w:rPr>
          <w:color w:val="1F487C"/>
          <w:spacing w:val="-15"/>
        </w:rPr>
        <w:t> </w:t>
      </w:r>
      <w:r>
        <w:rPr>
          <w:color w:val="1F487C"/>
        </w:rPr>
        <w:t>стационарных</w:t>
      </w:r>
      <w:r>
        <w:rPr>
          <w:color w:val="1F487C"/>
          <w:spacing w:val="-14"/>
        </w:rPr>
        <w:t> </w:t>
      </w:r>
      <w:r>
        <w:rPr>
          <w:color w:val="1F487C"/>
          <w:spacing w:val="-2"/>
        </w:rPr>
        <w:t>условиях.</w:t>
      </w:r>
    </w:p>
    <w:p>
      <w:pPr>
        <w:pStyle w:val="BodyText"/>
        <w:spacing w:line="278" w:lineRule="auto" w:before="199"/>
        <w:ind w:left="1851" w:right="1279" w:firstLine="697"/>
      </w:pPr>
      <w:r>
        <w:rPr/>
        <w:t>Руководителям медицинских организаций, оказывающих медицинскую помощь в стационарных условиях, необходимо обеспечить:</w:t>
      </w:r>
    </w:p>
    <w:p>
      <w:pPr>
        <w:pStyle w:val="ListParagraph"/>
        <w:numPr>
          <w:ilvl w:val="0"/>
          <w:numId w:val="60"/>
        </w:numPr>
        <w:tabs>
          <w:tab w:pos="2124" w:val="left" w:leader="none"/>
        </w:tabs>
        <w:spacing w:line="273" w:lineRule="auto" w:before="10" w:after="0"/>
        <w:ind w:left="2124" w:right="1279" w:hanging="360"/>
        <w:jc w:val="both"/>
        <w:rPr>
          <w:sz w:val="24"/>
        </w:rPr>
      </w:pPr>
      <w:r>
        <w:rPr>
          <w:sz w:val="24"/>
        </w:rPr>
        <w:t>Наличие запаса необходимых расходных материалов для отбора биологического материала</w:t>
      </w:r>
      <w:r>
        <w:rPr>
          <w:spacing w:val="-13"/>
          <w:sz w:val="24"/>
        </w:rPr>
        <w:t> </w:t>
      </w:r>
      <w:r>
        <w:rPr>
          <w:sz w:val="24"/>
        </w:rPr>
        <w:t>для</w:t>
      </w:r>
      <w:r>
        <w:rPr>
          <w:spacing w:val="-11"/>
          <w:sz w:val="24"/>
        </w:rPr>
        <w:t> </w:t>
      </w:r>
      <w:r>
        <w:rPr>
          <w:sz w:val="24"/>
        </w:rPr>
        <w:t>проведения</w:t>
      </w:r>
      <w:r>
        <w:rPr>
          <w:spacing w:val="-13"/>
          <w:sz w:val="24"/>
        </w:rPr>
        <w:t> </w:t>
      </w:r>
      <w:r>
        <w:rPr>
          <w:sz w:val="24"/>
        </w:rPr>
        <w:t>лабораторных</w:t>
      </w:r>
      <w:r>
        <w:rPr>
          <w:spacing w:val="-12"/>
          <w:sz w:val="24"/>
        </w:rPr>
        <w:t> </w:t>
      </w:r>
      <w:r>
        <w:rPr>
          <w:sz w:val="24"/>
        </w:rPr>
        <w:t>исследований,</w:t>
      </w:r>
      <w:r>
        <w:rPr>
          <w:spacing w:val="-12"/>
          <w:sz w:val="24"/>
        </w:rPr>
        <w:t> </w:t>
      </w:r>
      <w:r>
        <w:rPr>
          <w:sz w:val="24"/>
        </w:rPr>
        <w:t>дезинфекционных</w:t>
      </w:r>
      <w:r>
        <w:rPr>
          <w:spacing w:val="-12"/>
          <w:sz w:val="24"/>
        </w:rPr>
        <w:t> </w:t>
      </w:r>
      <w:r>
        <w:rPr>
          <w:sz w:val="24"/>
        </w:rPr>
        <w:t>средств и</w:t>
      </w:r>
      <w:r>
        <w:rPr>
          <w:spacing w:val="-13"/>
          <w:sz w:val="24"/>
        </w:rPr>
        <w:t> </w:t>
      </w:r>
      <w:r>
        <w:rPr>
          <w:sz w:val="24"/>
        </w:rPr>
        <w:t>СИЗ</w:t>
      </w:r>
      <w:r>
        <w:rPr>
          <w:spacing w:val="-14"/>
          <w:sz w:val="24"/>
        </w:rPr>
        <w:t> </w:t>
      </w:r>
      <w:r>
        <w:rPr>
          <w:sz w:val="24"/>
        </w:rPr>
        <w:t>(очки,</w:t>
      </w:r>
      <w:r>
        <w:rPr>
          <w:spacing w:val="-14"/>
          <w:sz w:val="24"/>
        </w:rPr>
        <w:t> </w:t>
      </w:r>
      <w:r>
        <w:rPr>
          <w:sz w:val="24"/>
        </w:rPr>
        <w:t>одноразовые</w:t>
      </w:r>
      <w:r>
        <w:rPr>
          <w:spacing w:val="-15"/>
          <w:sz w:val="24"/>
        </w:rPr>
        <w:t> </w:t>
      </w:r>
      <w:r>
        <w:rPr>
          <w:sz w:val="24"/>
        </w:rPr>
        <w:t>перчатки,</w:t>
      </w:r>
      <w:r>
        <w:rPr>
          <w:spacing w:val="-14"/>
          <w:sz w:val="24"/>
        </w:rPr>
        <w:t> </w:t>
      </w:r>
      <w:r>
        <w:rPr>
          <w:sz w:val="24"/>
        </w:rPr>
        <w:t>респиратор</w:t>
      </w:r>
      <w:r>
        <w:rPr>
          <w:spacing w:val="-14"/>
          <w:sz w:val="24"/>
        </w:rPr>
        <w:t> </w:t>
      </w:r>
      <w:r>
        <w:rPr>
          <w:sz w:val="24"/>
        </w:rPr>
        <w:t>соответствующего</w:t>
      </w:r>
      <w:r>
        <w:rPr>
          <w:spacing w:val="-14"/>
          <w:sz w:val="24"/>
        </w:rPr>
        <w:t> </w:t>
      </w:r>
      <w:r>
        <w:rPr>
          <w:sz w:val="24"/>
        </w:rPr>
        <w:t>класса</w:t>
      </w:r>
      <w:r>
        <w:rPr>
          <w:spacing w:val="-15"/>
          <w:sz w:val="24"/>
        </w:rPr>
        <w:t> </w:t>
      </w:r>
      <w:r>
        <w:rPr>
          <w:sz w:val="24"/>
        </w:rPr>
        <w:t>защиты, противочумный костюм 1 типа или одноразовый халат, бахилы), обеспечение медицинскими изделиями, в том числе пульсоксиметрами, аппаратами искусственной вентиляции легких;</w:t>
      </w:r>
    </w:p>
    <w:p>
      <w:pPr>
        <w:pStyle w:val="ListParagraph"/>
        <w:spacing w:after="0" w:line="273" w:lineRule="auto"/>
        <w:jc w:val="both"/>
        <w:rPr>
          <w:sz w:val="24"/>
        </w:rPr>
        <w:sectPr>
          <w:pgSz w:w="11900" w:h="16840"/>
          <w:pgMar w:header="0" w:footer="697" w:top="1080" w:bottom="880" w:left="0" w:right="0"/>
        </w:sectPr>
      </w:pPr>
    </w:p>
    <w:p>
      <w:pPr>
        <w:pStyle w:val="ListParagraph"/>
        <w:numPr>
          <w:ilvl w:val="0"/>
          <w:numId w:val="60"/>
        </w:numPr>
        <w:tabs>
          <w:tab w:pos="2124" w:val="left" w:leader="none"/>
          <w:tab w:pos="4204" w:val="left" w:leader="none"/>
          <w:tab w:pos="5850" w:val="left" w:leader="none"/>
          <w:tab w:pos="7309" w:val="left" w:leader="none"/>
          <w:tab w:pos="7839" w:val="left" w:leader="none"/>
          <w:tab w:pos="9085" w:val="left" w:leader="none"/>
        </w:tabs>
        <w:spacing w:line="264" w:lineRule="auto" w:before="74" w:after="0"/>
        <w:ind w:left="2124" w:right="1279" w:hanging="360"/>
        <w:jc w:val="left"/>
        <w:rPr>
          <w:sz w:val="24"/>
        </w:rPr>
      </w:pPr>
      <w:bookmarkStart w:name="129" w:id="155"/>
      <w:bookmarkEnd w:id="155"/>
      <w:r>
        <w:rPr/>
      </w:r>
      <w:r>
        <w:rPr>
          <w:spacing w:val="-2"/>
          <w:sz w:val="24"/>
        </w:rPr>
        <w:t>Информирование</w:t>
      </w:r>
      <w:r>
        <w:rPr>
          <w:sz w:val="24"/>
        </w:rPr>
        <w:tab/>
      </w:r>
      <w:r>
        <w:rPr>
          <w:spacing w:val="-2"/>
          <w:sz w:val="24"/>
        </w:rPr>
        <w:t>медицинских</w:t>
      </w:r>
      <w:r>
        <w:rPr>
          <w:sz w:val="24"/>
        </w:rPr>
        <w:tab/>
      </w:r>
      <w:r>
        <w:rPr>
          <w:spacing w:val="-2"/>
          <w:sz w:val="24"/>
        </w:rPr>
        <w:t>работников</w:t>
      </w:r>
      <w:r>
        <w:rPr>
          <w:sz w:val="24"/>
        </w:rPr>
        <w:tab/>
      </w:r>
      <w:r>
        <w:rPr>
          <w:spacing w:val="-6"/>
          <w:sz w:val="24"/>
        </w:rPr>
        <w:t>по</w:t>
      </w:r>
      <w:r>
        <w:rPr>
          <w:sz w:val="24"/>
        </w:rPr>
        <w:tab/>
      </w:r>
      <w:r>
        <w:rPr>
          <w:spacing w:val="-2"/>
          <w:sz w:val="24"/>
        </w:rPr>
        <w:t>вопросам</w:t>
      </w:r>
      <w:r>
        <w:rPr>
          <w:sz w:val="24"/>
        </w:rPr>
        <w:tab/>
      </w:r>
      <w:r>
        <w:rPr>
          <w:spacing w:val="-2"/>
          <w:sz w:val="24"/>
        </w:rPr>
        <w:t>профилактики, </w:t>
      </w:r>
      <w:r>
        <w:rPr>
          <w:sz w:val="24"/>
        </w:rPr>
        <w:t>диагностики и лечения COVID-19, а также сбора эпидемиологического анамнеза;</w:t>
      </w:r>
    </w:p>
    <w:p>
      <w:pPr>
        <w:pStyle w:val="ListParagraph"/>
        <w:numPr>
          <w:ilvl w:val="0"/>
          <w:numId w:val="60"/>
        </w:numPr>
        <w:tabs>
          <w:tab w:pos="2124" w:val="left" w:leader="none"/>
        </w:tabs>
        <w:spacing w:line="264" w:lineRule="auto" w:before="14" w:after="0"/>
        <w:ind w:left="2124" w:right="1280" w:hanging="360"/>
        <w:jc w:val="left"/>
        <w:rPr>
          <w:sz w:val="24"/>
        </w:rPr>
      </w:pPr>
      <w:r>
        <w:rPr>
          <w:sz w:val="24"/>
        </w:rPr>
        <w:t>Госпитализацию</w:t>
      </w:r>
      <w:r>
        <w:rPr>
          <w:spacing w:val="80"/>
          <w:sz w:val="24"/>
        </w:rPr>
        <w:t> </w:t>
      </w:r>
      <w:r>
        <w:rPr>
          <w:sz w:val="24"/>
        </w:rPr>
        <w:t>пациентов</w:t>
      </w:r>
      <w:r>
        <w:rPr>
          <w:spacing w:val="80"/>
          <w:sz w:val="24"/>
        </w:rPr>
        <w:t> </w:t>
      </w:r>
      <w:r>
        <w:rPr>
          <w:sz w:val="24"/>
        </w:rPr>
        <w:t>с</w:t>
      </w:r>
      <w:r>
        <w:rPr>
          <w:spacing w:val="80"/>
          <w:sz w:val="24"/>
        </w:rPr>
        <w:t> </w:t>
      </w:r>
      <w:r>
        <w:rPr>
          <w:sz w:val="24"/>
        </w:rPr>
        <w:t>нетипичным</w:t>
      </w:r>
      <w:r>
        <w:rPr>
          <w:spacing w:val="80"/>
          <w:sz w:val="24"/>
        </w:rPr>
        <w:t> </w:t>
      </w:r>
      <w:r>
        <w:rPr>
          <w:sz w:val="24"/>
        </w:rPr>
        <w:t>течением</w:t>
      </w:r>
      <w:r>
        <w:rPr>
          <w:spacing w:val="80"/>
          <w:sz w:val="24"/>
        </w:rPr>
        <w:t> </w:t>
      </w:r>
      <w:r>
        <w:rPr>
          <w:sz w:val="24"/>
        </w:rPr>
        <w:t>ОРВИ,</w:t>
      </w:r>
      <w:r>
        <w:rPr>
          <w:spacing w:val="80"/>
          <w:sz w:val="24"/>
        </w:rPr>
        <w:t> </w:t>
      </w:r>
      <w:r>
        <w:rPr>
          <w:sz w:val="24"/>
        </w:rPr>
        <w:t>внебольничной </w:t>
      </w:r>
      <w:r>
        <w:rPr>
          <w:spacing w:val="-2"/>
          <w:sz w:val="24"/>
        </w:rPr>
        <w:t>пневмонией;</w:t>
      </w:r>
    </w:p>
    <w:p>
      <w:pPr>
        <w:pStyle w:val="ListParagraph"/>
        <w:numPr>
          <w:ilvl w:val="0"/>
          <w:numId w:val="60"/>
        </w:numPr>
        <w:tabs>
          <w:tab w:pos="2124" w:val="left" w:leader="none"/>
        </w:tabs>
        <w:spacing w:line="264" w:lineRule="auto" w:before="13" w:after="0"/>
        <w:ind w:left="2124" w:right="1281" w:hanging="360"/>
        <w:jc w:val="left"/>
        <w:rPr>
          <w:sz w:val="24"/>
        </w:rPr>
      </w:pPr>
      <w:r>
        <w:rPr>
          <w:sz w:val="24"/>
        </w:rPr>
        <w:t>Проведение</w:t>
      </w:r>
      <w:r>
        <w:rPr>
          <w:spacing w:val="80"/>
          <w:sz w:val="24"/>
        </w:rPr>
        <w:t> </w:t>
      </w:r>
      <w:r>
        <w:rPr>
          <w:sz w:val="24"/>
        </w:rPr>
        <w:t>противоэпидемических</w:t>
      </w:r>
      <w:r>
        <w:rPr>
          <w:spacing w:val="80"/>
          <w:sz w:val="24"/>
        </w:rPr>
        <w:t> </w:t>
      </w:r>
      <w:r>
        <w:rPr>
          <w:sz w:val="24"/>
        </w:rPr>
        <w:t>мероприятий</w:t>
      </w:r>
      <w:r>
        <w:rPr>
          <w:spacing w:val="80"/>
          <w:sz w:val="24"/>
        </w:rPr>
        <w:t> </w:t>
      </w:r>
      <w:r>
        <w:rPr>
          <w:sz w:val="24"/>
        </w:rPr>
        <w:t>при</w:t>
      </w:r>
      <w:r>
        <w:rPr>
          <w:spacing w:val="80"/>
          <w:sz w:val="24"/>
        </w:rPr>
        <w:t> </w:t>
      </w:r>
      <w:r>
        <w:rPr>
          <w:sz w:val="24"/>
        </w:rPr>
        <w:t>выявлении</w:t>
      </w:r>
      <w:r>
        <w:rPr>
          <w:spacing w:val="80"/>
          <w:sz w:val="24"/>
        </w:rPr>
        <w:t> </w:t>
      </w:r>
      <w:r>
        <w:rPr>
          <w:sz w:val="24"/>
        </w:rPr>
        <w:t>подозрения на COVID-19 в соответствии с требованиями Роспотребнадзора;</w:t>
      </w:r>
    </w:p>
    <w:p>
      <w:pPr>
        <w:pStyle w:val="ListParagraph"/>
        <w:numPr>
          <w:ilvl w:val="0"/>
          <w:numId w:val="60"/>
        </w:numPr>
        <w:tabs>
          <w:tab w:pos="2124" w:val="left" w:leader="none"/>
        </w:tabs>
        <w:spacing w:line="268" w:lineRule="auto" w:before="14" w:after="0"/>
        <w:ind w:left="2124" w:right="1273" w:hanging="360"/>
        <w:jc w:val="both"/>
        <w:rPr>
          <w:sz w:val="24"/>
        </w:rPr>
      </w:pPr>
      <w:r>
        <w:rPr>
          <w:sz w:val="24"/>
        </w:rPr>
        <w:t>Прием</w:t>
      </w:r>
      <w:r>
        <w:rPr>
          <w:spacing w:val="80"/>
          <w:w w:val="150"/>
          <w:sz w:val="24"/>
        </w:rPr>
        <w:t> </w:t>
      </w:r>
      <w:r>
        <w:rPr>
          <w:sz w:val="24"/>
        </w:rPr>
        <w:t>через</w:t>
      </w:r>
      <w:r>
        <w:rPr>
          <w:spacing w:val="80"/>
          <w:w w:val="150"/>
          <w:sz w:val="24"/>
        </w:rPr>
        <w:t> </w:t>
      </w:r>
      <w:r>
        <w:rPr>
          <w:sz w:val="24"/>
        </w:rPr>
        <w:t>приемно-смотровые</w:t>
      </w:r>
      <w:r>
        <w:rPr>
          <w:spacing w:val="80"/>
          <w:w w:val="150"/>
          <w:sz w:val="24"/>
        </w:rPr>
        <w:t> </w:t>
      </w:r>
      <w:r>
        <w:rPr>
          <w:sz w:val="24"/>
        </w:rPr>
        <w:t>боксы</w:t>
      </w:r>
      <w:r>
        <w:rPr>
          <w:spacing w:val="38"/>
          <w:sz w:val="24"/>
        </w:rPr>
        <w:t>  </w:t>
      </w:r>
      <w:r>
        <w:rPr>
          <w:sz w:val="24"/>
        </w:rPr>
        <w:t>и</w:t>
      </w:r>
      <w:r>
        <w:rPr>
          <w:spacing w:val="80"/>
          <w:w w:val="150"/>
          <w:sz w:val="24"/>
        </w:rPr>
        <w:t> </w:t>
      </w:r>
      <w:r>
        <w:rPr>
          <w:sz w:val="24"/>
        </w:rPr>
        <w:t>(или)</w:t>
      </w:r>
      <w:r>
        <w:rPr>
          <w:spacing w:val="80"/>
          <w:w w:val="150"/>
          <w:sz w:val="24"/>
        </w:rPr>
        <w:t> </w:t>
      </w:r>
      <w:r>
        <w:rPr>
          <w:sz w:val="24"/>
        </w:rPr>
        <w:t>фильтр-боксы</w:t>
      </w:r>
      <w:r>
        <w:rPr>
          <w:spacing w:val="80"/>
          <w:w w:val="150"/>
          <w:sz w:val="24"/>
        </w:rPr>
        <w:t> </w:t>
      </w:r>
      <w:r>
        <w:rPr>
          <w:sz w:val="24"/>
        </w:rPr>
        <w:t>пациентов</w:t>
      </w:r>
      <w:r>
        <w:rPr>
          <w:spacing w:val="80"/>
          <w:sz w:val="24"/>
        </w:rPr>
        <w:t> </w:t>
      </w:r>
      <w:r>
        <w:rPr>
          <w:sz w:val="24"/>
        </w:rPr>
        <w:t>с</w:t>
      </w:r>
      <w:r>
        <w:rPr>
          <w:spacing w:val="-5"/>
          <w:sz w:val="24"/>
        </w:rPr>
        <w:t> </w:t>
      </w:r>
      <w:r>
        <w:rPr>
          <w:sz w:val="24"/>
        </w:rPr>
        <w:t>признаками ОРВИ, внебольничных пневмоний и дальнейшую маршрутизацию пациентов в медицинской организации;</w:t>
      </w:r>
    </w:p>
    <w:p>
      <w:pPr>
        <w:pStyle w:val="ListParagraph"/>
        <w:numPr>
          <w:ilvl w:val="0"/>
          <w:numId w:val="60"/>
        </w:numPr>
        <w:tabs>
          <w:tab w:pos="2124" w:val="left" w:leader="none"/>
        </w:tabs>
        <w:spacing w:line="268" w:lineRule="auto" w:before="9" w:after="0"/>
        <w:ind w:left="2124" w:right="1273" w:hanging="360"/>
        <w:jc w:val="both"/>
        <w:rPr>
          <w:sz w:val="24"/>
        </w:rPr>
      </w:pPr>
      <w:r>
        <w:rPr>
          <w:sz w:val="24"/>
        </w:rPr>
        <w:t>Соблюдение температурного режима, режима проветривания, текущей дезинфекции в медицинской организации (особого внимания требуют ОРИТ), использование работниками медицинской организации СИЗ;</w:t>
      </w:r>
    </w:p>
    <w:p>
      <w:pPr>
        <w:pStyle w:val="ListParagraph"/>
        <w:numPr>
          <w:ilvl w:val="0"/>
          <w:numId w:val="60"/>
        </w:numPr>
        <w:tabs>
          <w:tab w:pos="2124" w:val="left" w:leader="none"/>
        </w:tabs>
        <w:spacing w:line="271" w:lineRule="auto" w:before="12" w:after="0"/>
        <w:ind w:left="2124" w:right="1269" w:hanging="360"/>
        <w:jc w:val="both"/>
        <w:rPr>
          <w:sz w:val="24"/>
        </w:rPr>
      </w:pPr>
      <w:r>
        <w:rPr>
          <w:sz w:val="24"/>
        </w:rPr>
        <w:t>Проведение</w:t>
      </w:r>
      <w:r>
        <w:rPr>
          <w:spacing w:val="80"/>
          <w:sz w:val="24"/>
        </w:rPr>
        <w:t>  </w:t>
      </w:r>
      <w:r>
        <w:rPr>
          <w:sz w:val="24"/>
        </w:rPr>
        <w:t>обеззараживания</w:t>
      </w:r>
      <w:r>
        <w:rPr>
          <w:spacing w:val="80"/>
          <w:sz w:val="24"/>
        </w:rPr>
        <w:t>  </w:t>
      </w:r>
      <w:r>
        <w:rPr>
          <w:sz w:val="24"/>
        </w:rPr>
        <w:t>воздуха</w:t>
      </w:r>
      <w:r>
        <w:rPr>
          <w:spacing w:val="80"/>
          <w:sz w:val="24"/>
        </w:rPr>
        <w:t>  </w:t>
      </w:r>
      <w:r>
        <w:rPr>
          <w:sz w:val="24"/>
        </w:rPr>
        <w:t>и</w:t>
      </w:r>
      <w:r>
        <w:rPr>
          <w:spacing w:val="80"/>
          <w:sz w:val="24"/>
        </w:rPr>
        <w:t>  </w:t>
      </w:r>
      <w:r>
        <w:rPr>
          <w:sz w:val="24"/>
        </w:rPr>
        <w:t>поверхностей</w:t>
      </w:r>
      <w:r>
        <w:rPr>
          <w:spacing w:val="80"/>
          <w:sz w:val="24"/>
        </w:rPr>
        <w:t>  </w:t>
      </w:r>
      <w:r>
        <w:rPr>
          <w:sz w:val="24"/>
        </w:rPr>
        <w:t>в</w:t>
      </w:r>
      <w:r>
        <w:rPr>
          <w:spacing w:val="80"/>
          <w:sz w:val="24"/>
        </w:rPr>
        <w:t>  </w:t>
      </w:r>
      <w:r>
        <w:rPr>
          <w:sz w:val="24"/>
        </w:rPr>
        <w:t>помещениях с</w:t>
      </w:r>
      <w:r>
        <w:rPr>
          <w:spacing w:val="-4"/>
          <w:sz w:val="24"/>
        </w:rPr>
        <w:t> </w:t>
      </w:r>
      <w:r>
        <w:rPr>
          <w:sz w:val="24"/>
        </w:rPr>
        <w:t>использованием</w:t>
      </w:r>
      <w:r>
        <w:rPr>
          <w:spacing w:val="40"/>
          <w:sz w:val="24"/>
        </w:rPr>
        <w:t> </w:t>
      </w:r>
      <w:r>
        <w:rPr>
          <w:sz w:val="24"/>
        </w:rPr>
        <w:t>ультрафиолетовых</w:t>
      </w:r>
      <w:r>
        <w:rPr>
          <w:spacing w:val="40"/>
          <w:sz w:val="24"/>
        </w:rPr>
        <w:t> </w:t>
      </w:r>
      <w:r>
        <w:rPr>
          <w:sz w:val="24"/>
        </w:rPr>
        <w:t>бактерицидных</w:t>
      </w:r>
      <w:r>
        <w:rPr>
          <w:spacing w:val="40"/>
          <w:sz w:val="24"/>
        </w:rPr>
        <w:t> </w:t>
      </w:r>
      <w:r>
        <w:rPr>
          <w:sz w:val="24"/>
        </w:rPr>
        <w:t>облучателей</w:t>
      </w:r>
      <w:r>
        <w:rPr>
          <w:spacing w:val="40"/>
          <w:sz w:val="24"/>
        </w:rPr>
        <w:t> </w:t>
      </w:r>
      <w:r>
        <w:rPr>
          <w:sz w:val="24"/>
        </w:rPr>
        <w:t>с</w:t>
      </w:r>
      <w:r>
        <w:rPr>
          <w:spacing w:val="40"/>
          <w:sz w:val="24"/>
        </w:rPr>
        <w:t> </w:t>
      </w:r>
      <w:r>
        <w:rPr>
          <w:sz w:val="24"/>
        </w:rPr>
        <w:t>УФ-дозой не</w:t>
      </w:r>
      <w:r>
        <w:rPr>
          <w:spacing w:val="-8"/>
          <w:sz w:val="24"/>
        </w:rPr>
        <w:t> </w:t>
      </w:r>
      <w:r>
        <w:rPr>
          <w:sz w:val="24"/>
        </w:rPr>
        <w:t>менее</w:t>
      </w:r>
      <w:r>
        <w:rPr>
          <w:spacing w:val="-8"/>
          <w:sz w:val="24"/>
        </w:rPr>
        <w:t> </w:t>
      </w:r>
      <w:r>
        <w:rPr>
          <w:sz w:val="24"/>
        </w:rPr>
        <w:t>25</w:t>
      </w:r>
      <w:r>
        <w:rPr>
          <w:spacing w:val="-7"/>
          <w:sz w:val="24"/>
        </w:rPr>
        <w:t> </w:t>
      </w:r>
      <w:r>
        <w:rPr>
          <w:sz w:val="24"/>
        </w:rPr>
        <w:t>мДж/см2</w:t>
      </w:r>
      <w:r>
        <w:rPr>
          <w:spacing w:val="-7"/>
          <w:sz w:val="24"/>
        </w:rPr>
        <w:t> </w:t>
      </w:r>
      <w:r>
        <w:rPr>
          <w:sz w:val="24"/>
        </w:rPr>
        <w:t>и/или</w:t>
      </w:r>
      <w:r>
        <w:rPr>
          <w:spacing w:val="-6"/>
          <w:sz w:val="24"/>
        </w:rPr>
        <w:t> </w:t>
      </w:r>
      <w:r>
        <w:rPr>
          <w:sz w:val="24"/>
        </w:rPr>
        <w:t>других</w:t>
      </w:r>
      <w:r>
        <w:rPr>
          <w:spacing w:val="-7"/>
          <w:sz w:val="24"/>
        </w:rPr>
        <w:t> </w:t>
      </w:r>
      <w:r>
        <w:rPr>
          <w:sz w:val="24"/>
        </w:rPr>
        <w:t>устройств</w:t>
      </w:r>
      <w:r>
        <w:rPr>
          <w:spacing w:val="-7"/>
          <w:sz w:val="24"/>
        </w:rPr>
        <w:t> </w:t>
      </w:r>
      <w:r>
        <w:rPr>
          <w:sz w:val="24"/>
        </w:rPr>
        <w:t>для</w:t>
      </w:r>
      <w:r>
        <w:rPr>
          <w:spacing w:val="-7"/>
          <w:sz w:val="24"/>
        </w:rPr>
        <w:t> </w:t>
      </w:r>
      <w:r>
        <w:rPr>
          <w:sz w:val="24"/>
        </w:rPr>
        <w:t>обеззараживания</w:t>
      </w:r>
      <w:r>
        <w:rPr>
          <w:spacing w:val="-7"/>
          <w:sz w:val="24"/>
        </w:rPr>
        <w:t> </w:t>
      </w:r>
      <w:r>
        <w:rPr>
          <w:sz w:val="24"/>
        </w:rPr>
        <w:t>воздуха</w:t>
      </w:r>
      <w:r>
        <w:rPr>
          <w:spacing w:val="-8"/>
          <w:sz w:val="24"/>
        </w:rPr>
        <w:t> </w:t>
      </w:r>
      <w:r>
        <w:rPr>
          <w:sz w:val="24"/>
        </w:rPr>
        <w:t>и (или) </w:t>
      </w:r>
      <w:r>
        <w:rPr>
          <w:spacing w:val="-2"/>
          <w:sz w:val="24"/>
        </w:rPr>
        <w:t>поверхностей;</w:t>
      </w:r>
    </w:p>
    <w:p>
      <w:pPr>
        <w:pStyle w:val="ListParagraph"/>
        <w:numPr>
          <w:ilvl w:val="0"/>
          <w:numId w:val="60"/>
        </w:numPr>
        <w:tabs>
          <w:tab w:pos="2124" w:val="left" w:leader="none"/>
        </w:tabs>
        <w:spacing w:line="240" w:lineRule="auto" w:before="5" w:after="0"/>
        <w:ind w:left="2124" w:right="0" w:hanging="359"/>
        <w:jc w:val="both"/>
        <w:rPr>
          <w:sz w:val="24"/>
        </w:rPr>
      </w:pPr>
      <w:r>
        <w:rPr>
          <w:spacing w:val="-2"/>
          <w:sz w:val="24"/>
        </w:rPr>
        <w:t>Контроль</w:t>
      </w:r>
      <w:r>
        <w:rPr>
          <w:spacing w:val="1"/>
          <w:sz w:val="24"/>
        </w:rPr>
        <w:t> </w:t>
      </w:r>
      <w:r>
        <w:rPr>
          <w:spacing w:val="-2"/>
          <w:sz w:val="24"/>
        </w:rPr>
        <w:t>концентрации</w:t>
      </w:r>
      <w:r>
        <w:rPr>
          <w:spacing w:val="1"/>
          <w:sz w:val="24"/>
        </w:rPr>
        <w:t> </w:t>
      </w:r>
      <w:r>
        <w:rPr>
          <w:spacing w:val="-2"/>
          <w:sz w:val="24"/>
        </w:rPr>
        <w:t>дезинфицирующих</w:t>
      </w:r>
      <w:r>
        <w:rPr>
          <w:sz w:val="24"/>
        </w:rPr>
        <w:t> </w:t>
      </w:r>
      <w:r>
        <w:rPr>
          <w:spacing w:val="-2"/>
          <w:sz w:val="24"/>
        </w:rPr>
        <w:t>средств</w:t>
      </w:r>
      <w:r>
        <w:rPr>
          <w:sz w:val="24"/>
        </w:rPr>
        <w:t> </w:t>
      </w:r>
      <w:r>
        <w:rPr>
          <w:spacing w:val="-2"/>
          <w:sz w:val="24"/>
        </w:rPr>
        <w:t>в</w:t>
      </w:r>
      <w:r>
        <w:rPr>
          <w:sz w:val="24"/>
        </w:rPr>
        <w:t> </w:t>
      </w:r>
      <w:r>
        <w:rPr>
          <w:spacing w:val="-2"/>
          <w:sz w:val="24"/>
        </w:rPr>
        <w:t>рабочих</w:t>
      </w:r>
      <w:r>
        <w:rPr>
          <w:sz w:val="24"/>
        </w:rPr>
        <w:t> </w:t>
      </w:r>
      <w:r>
        <w:rPr>
          <w:spacing w:val="-2"/>
          <w:sz w:val="24"/>
        </w:rPr>
        <w:t>растворах;</w:t>
      </w:r>
    </w:p>
    <w:p>
      <w:pPr>
        <w:pStyle w:val="ListParagraph"/>
        <w:numPr>
          <w:ilvl w:val="0"/>
          <w:numId w:val="60"/>
        </w:numPr>
        <w:tabs>
          <w:tab w:pos="2124" w:val="left" w:leader="none"/>
        </w:tabs>
        <w:spacing w:line="264" w:lineRule="auto" w:before="33" w:after="0"/>
        <w:ind w:left="2124" w:right="1279" w:hanging="360"/>
        <w:jc w:val="both"/>
        <w:rPr>
          <w:sz w:val="24"/>
        </w:rPr>
      </w:pPr>
      <w:r>
        <w:rPr>
          <w:sz w:val="24"/>
        </w:rPr>
        <w:t>Увеличение кратности дезинфекционных обработок помещений медицинских </w:t>
      </w:r>
      <w:r>
        <w:rPr>
          <w:spacing w:val="-2"/>
          <w:sz w:val="24"/>
        </w:rPr>
        <w:t>организаций;</w:t>
      </w:r>
    </w:p>
    <w:p>
      <w:pPr>
        <w:pStyle w:val="ListParagraph"/>
        <w:numPr>
          <w:ilvl w:val="0"/>
          <w:numId w:val="60"/>
        </w:numPr>
        <w:tabs>
          <w:tab w:pos="2124" w:val="left" w:leader="none"/>
        </w:tabs>
        <w:spacing w:line="271" w:lineRule="auto" w:before="14" w:after="0"/>
        <w:ind w:left="2124" w:right="1271" w:hanging="360"/>
        <w:jc w:val="both"/>
        <w:rPr>
          <w:sz w:val="24"/>
        </w:rPr>
      </w:pPr>
      <w:r>
        <w:rPr>
          <w:sz w:val="24"/>
        </w:rPr>
        <w:t>Передачу биологического материала от пациентов (мазки из носо- и</w:t>
      </w:r>
      <w:r>
        <w:rPr>
          <w:spacing w:val="-2"/>
          <w:sz w:val="24"/>
        </w:rPr>
        <w:t> </w:t>
      </w:r>
      <w:r>
        <w:rPr>
          <w:sz w:val="24"/>
        </w:rPr>
        <w:t>ротоглотки) при</w:t>
      </w:r>
      <w:r>
        <w:rPr>
          <w:spacing w:val="-5"/>
          <w:sz w:val="24"/>
        </w:rPr>
        <w:t> </w:t>
      </w:r>
      <w:r>
        <w:rPr>
          <w:sz w:val="24"/>
        </w:rPr>
        <w:t>подозрении</w:t>
      </w:r>
      <w:r>
        <w:rPr>
          <w:spacing w:val="-5"/>
          <w:sz w:val="24"/>
        </w:rPr>
        <w:t> </w:t>
      </w:r>
      <w:r>
        <w:rPr>
          <w:sz w:val="24"/>
        </w:rPr>
        <w:t>на</w:t>
      </w:r>
      <w:r>
        <w:rPr>
          <w:spacing w:val="-6"/>
          <w:sz w:val="24"/>
        </w:rPr>
        <w:t> </w:t>
      </w:r>
      <w:r>
        <w:rPr>
          <w:sz w:val="24"/>
        </w:rPr>
        <w:t>COVID-19</w:t>
      </w:r>
      <w:r>
        <w:rPr>
          <w:spacing w:val="-3"/>
          <w:sz w:val="24"/>
        </w:rPr>
        <w:t> </w:t>
      </w:r>
      <w:r>
        <w:rPr>
          <w:sz w:val="24"/>
        </w:rPr>
        <w:t>в</w:t>
      </w:r>
      <w:r>
        <w:rPr>
          <w:spacing w:val="-4"/>
          <w:sz w:val="24"/>
        </w:rPr>
        <w:t> </w:t>
      </w:r>
      <w:r>
        <w:rPr>
          <w:sz w:val="24"/>
        </w:rPr>
        <w:t>лаборатории</w:t>
      </w:r>
      <w:r>
        <w:rPr>
          <w:spacing w:val="-2"/>
          <w:sz w:val="24"/>
        </w:rPr>
        <w:t> </w:t>
      </w:r>
      <w:r>
        <w:rPr>
          <w:sz w:val="24"/>
        </w:rPr>
        <w:t>медицинских</w:t>
      </w:r>
      <w:r>
        <w:rPr>
          <w:spacing w:val="-3"/>
          <w:sz w:val="24"/>
        </w:rPr>
        <w:t> </w:t>
      </w:r>
      <w:r>
        <w:rPr>
          <w:sz w:val="24"/>
        </w:rPr>
        <w:t>организаций,</w:t>
      </w:r>
      <w:r>
        <w:rPr>
          <w:spacing w:val="-6"/>
          <w:sz w:val="24"/>
        </w:rPr>
        <w:t> </w:t>
      </w:r>
      <w:r>
        <w:rPr>
          <w:sz w:val="24"/>
        </w:rPr>
        <w:t>имеющих эпидемиологическое</w:t>
      </w:r>
      <w:r>
        <w:rPr>
          <w:spacing w:val="40"/>
          <w:sz w:val="24"/>
        </w:rPr>
        <w:t> </w:t>
      </w:r>
      <w:r>
        <w:rPr>
          <w:sz w:val="24"/>
        </w:rPr>
        <w:t>заключение</w:t>
      </w:r>
      <w:r>
        <w:rPr>
          <w:spacing w:val="40"/>
          <w:sz w:val="24"/>
        </w:rPr>
        <w:t> </w:t>
      </w:r>
      <w:r>
        <w:rPr>
          <w:sz w:val="24"/>
        </w:rPr>
        <w:t>на</w:t>
      </w:r>
      <w:r>
        <w:rPr>
          <w:spacing w:val="40"/>
          <w:sz w:val="24"/>
        </w:rPr>
        <w:t> </w:t>
      </w:r>
      <w:r>
        <w:rPr>
          <w:sz w:val="24"/>
        </w:rPr>
        <w:t>работу</w:t>
      </w:r>
      <w:r>
        <w:rPr>
          <w:spacing w:val="40"/>
          <w:sz w:val="24"/>
        </w:rPr>
        <w:t> </w:t>
      </w:r>
      <w:r>
        <w:rPr>
          <w:sz w:val="24"/>
        </w:rPr>
        <w:t>с</w:t>
      </w:r>
      <w:r>
        <w:rPr>
          <w:spacing w:val="40"/>
          <w:sz w:val="24"/>
        </w:rPr>
        <w:t> </w:t>
      </w:r>
      <w:r>
        <w:rPr>
          <w:sz w:val="24"/>
        </w:rPr>
        <w:t>III</w:t>
      </w:r>
      <w:r>
        <w:rPr>
          <w:spacing w:val="40"/>
          <w:sz w:val="24"/>
        </w:rPr>
        <w:t> </w:t>
      </w:r>
      <w:r>
        <w:rPr>
          <w:sz w:val="24"/>
        </w:rPr>
        <w:t>и</w:t>
      </w:r>
      <w:r>
        <w:rPr>
          <w:spacing w:val="40"/>
          <w:sz w:val="24"/>
        </w:rPr>
        <w:t> </w:t>
      </w:r>
      <w:r>
        <w:rPr>
          <w:sz w:val="24"/>
        </w:rPr>
        <w:t>IV</w:t>
      </w:r>
      <w:r>
        <w:rPr>
          <w:spacing w:val="40"/>
          <w:sz w:val="24"/>
        </w:rPr>
        <w:t> </w:t>
      </w:r>
      <w:r>
        <w:rPr>
          <w:sz w:val="24"/>
        </w:rPr>
        <w:t>группами</w:t>
      </w:r>
      <w:r>
        <w:rPr>
          <w:spacing w:val="40"/>
          <w:sz w:val="24"/>
        </w:rPr>
        <w:t> </w:t>
      </w:r>
      <w:r>
        <w:rPr>
          <w:sz w:val="24"/>
        </w:rPr>
        <w:t>патогенности,</w:t>
      </w:r>
      <w:r>
        <w:rPr>
          <w:spacing w:val="80"/>
          <w:sz w:val="24"/>
        </w:rPr>
        <w:t> </w:t>
      </w:r>
      <w:r>
        <w:rPr>
          <w:sz w:val="24"/>
        </w:rPr>
        <w:t>с оформлением Акта приема-передачи;</w:t>
      </w:r>
    </w:p>
    <w:p>
      <w:pPr>
        <w:pStyle w:val="ListParagraph"/>
        <w:numPr>
          <w:ilvl w:val="0"/>
          <w:numId w:val="60"/>
        </w:numPr>
        <w:tabs>
          <w:tab w:pos="2124" w:val="left" w:leader="none"/>
        </w:tabs>
        <w:spacing w:line="268" w:lineRule="auto" w:before="7" w:after="0"/>
        <w:ind w:left="2124" w:right="1281" w:hanging="360"/>
        <w:jc w:val="both"/>
        <w:rPr>
          <w:sz w:val="24"/>
        </w:rPr>
      </w:pPr>
      <w:r>
        <w:rPr>
          <w:sz w:val="24"/>
        </w:rPr>
        <w:t>Указание медицинскими работниками в бланке направления на лабораторное исследование диагноза «пневмония» при направлении биологического материала пациентов с внебольничной пневмонией для диагностики COVID-19;</w:t>
      </w:r>
    </w:p>
    <w:p>
      <w:pPr>
        <w:pStyle w:val="ListParagraph"/>
        <w:numPr>
          <w:ilvl w:val="0"/>
          <w:numId w:val="60"/>
        </w:numPr>
        <w:tabs>
          <w:tab w:pos="2124" w:val="left" w:leader="none"/>
        </w:tabs>
        <w:spacing w:line="271" w:lineRule="auto" w:before="9" w:after="0"/>
        <w:ind w:left="2124" w:right="1276" w:hanging="360"/>
        <w:jc w:val="both"/>
        <w:rPr>
          <w:sz w:val="24"/>
        </w:rPr>
      </w:pPr>
      <w:r>
        <w:rPr>
          <w:sz w:val="24"/>
        </w:rPr>
        <w:t>Информирование населения о рисках распространения COVID-19, мерах индивидуальной профилактики, обращая особое внимание на необходимость своевременного обращения за медицинской помощью при появлении первых симптомов ОРВИ;</w:t>
      </w:r>
    </w:p>
    <w:p>
      <w:pPr>
        <w:pStyle w:val="ListParagraph"/>
        <w:numPr>
          <w:ilvl w:val="0"/>
          <w:numId w:val="60"/>
        </w:numPr>
        <w:tabs>
          <w:tab w:pos="2124" w:val="left" w:leader="none"/>
        </w:tabs>
        <w:spacing w:line="264" w:lineRule="auto" w:before="5" w:after="0"/>
        <w:ind w:left="2124" w:right="1281" w:hanging="360"/>
        <w:jc w:val="both"/>
        <w:rPr>
          <w:sz w:val="24"/>
        </w:rPr>
      </w:pPr>
      <w:r>
        <w:rPr>
          <w:sz w:val="24"/>
        </w:rPr>
        <w:t>Рассмотрение</w:t>
      </w:r>
      <w:r>
        <w:rPr>
          <w:spacing w:val="80"/>
          <w:sz w:val="24"/>
        </w:rPr>
        <w:t> </w:t>
      </w:r>
      <w:r>
        <w:rPr>
          <w:sz w:val="24"/>
        </w:rPr>
        <w:t>возможности</w:t>
      </w:r>
      <w:r>
        <w:rPr>
          <w:spacing w:val="80"/>
          <w:sz w:val="24"/>
        </w:rPr>
        <w:t> </w:t>
      </w:r>
      <w:r>
        <w:rPr>
          <w:sz w:val="24"/>
        </w:rPr>
        <w:t>переноса</w:t>
      </w:r>
      <w:r>
        <w:rPr>
          <w:spacing w:val="80"/>
          <w:sz w:val="24"/>
        </w:rPr>
        <w:t> </w:t>
      </w:r>
      <w:r>
        <w:rPr>
          <w:sz w:val="24"/>
        </w:rPr>
        <w:t>сроков</w:t>
      </w:r>
      <w:r>
        <w:rPr>
          <w:spacing w:val="80"/>
          <w:sz w:val="24"/>
        </w:rPr>
        <w:t> </w:t>
      </w:r>
      <w:r>
        <w:rPr>
          <w:sz w:val="24"/>
        </w:rPr>
        <w:t>оказания</w:t>
      </w:r>
      <w:r>
        <w:rPr>
          <w:spacing w:val="80"/>
          <w:sz w:val="24"/>
        </w:rPr>
        <w:t> </w:t>
      </w:r>
      <w:r>
        <w:rPr>
          <w:sz w:val="24"/>
        </w:rPr>
        <w:t>медицинской</w:t>
      </w:r>
      <w:r>
        <w:rPr>
          <w:spacing w:val="80"/>
          <w:sz w:val="24"/>
        </w:rPr>
        <w:t> </w:t>
      </w:r>
      <w:r>
        <w:rPr>
          <w:sz w:val="24"/>
        </w:rPr>
        <w:t>помощи</w:t>
      </w:r>
      <w:r>
        <w:rPr>
          <w:spacing w:val="40"/>
          <w:sz w:val="24"/>
        </w:rPr>
        <w:t> </w:t>
      </w:r>
      <w:r>
        <w:rPr>
          <w:sz w:val="24"/>
        </w:rPr>
        <w:t>в плановой форме.</w:t>
      </w:r>
    </w:p>
    <w:p>
      <w:pPr>
        <w:pStyle w:val="Heading3"/>
        <w:spacing w:line="309" w:lineRule="auto" w:before="136"/>
        <w:ind w:left="1853" w:right="1282" w:firstLine="695"/>
      </w:pPr>
      <w:r>
        <w:rPr>
          <w:color w:val="1F487C"/>
        </w:rPr>
        <w:t>в) Порядок организации медицинской помощи в амбулаторных условиях и условиях дневного стационара.</w:t>
      </w:r>
    </w:p>
    <w:p>
      <w:pPr>
        <w:pStyle w:val="BodyText"/>
        <w:spacing w:line="276" w:lineRule="auto" w:before="122"/>
        <w:ind w:left="1851" w:right="1272" w:firstLine="697"/>
      </w:pPr>
      <w:r>
        <w:rPr/>
        <w:t>Руководителям медицинских организаций, оказывающих медицинскую помощь в амбулаторных условиях и условиях дневного стационара, необходимо </w:t>
      </w:r>
      <w:r>
        <w:rPr>
          <w:spacing w:val="-2"/>
        </w:rPr>
        <w:t>обеспечить:</w:t>
      </w:r>
    </w:p>
    <w:p>
      <w:pPr>
        <w:pStyle w:val="ListParagraph"/>
        <w:numPr>
          <w:ilvl w:val="0"/>
          <w:numId w:val="60"/>
        </w:numPr>
        <w:tabs>
          <w:tab w:pos="2124" w:val="left" w:leader="none"/>
        </w:tabs>
        <w:spacing w:line="268" w:lineRule="auto" w:before="15" w:after="0"/>
        <w:ind w:left="2124" w:right="1273" w:hanging="360"/>
        <w:jc w:val="both"/>
        <w:rPr>
          <w:sz w:val="24"/>
        </w:rPr>
      </w:pPr>
      <w:r>
        <w:rPr>
          <w:sz w:val="24"/>
        </w:rPr>
        <w:t>Наличие запаса расходных материалов для отбора проб для проведения лабораторных исследований, дезинфекционных средств и медицинских изделий, включая СИЗ, медицинских изделий, включая пульсоксиметры;</w:t>
      </w:r>
    </w:p>
    <w:p>
      <w:pPr>
        <w:pStyle w:val="ListParagraph"/>
        <w:numPr>
          <w:ilvl w:val="0"/>
          <w:numId w:val="60"/>
        </w:numPr>
        <w:tabs>
          <w:tab w:pos="2124" w:val="left" w:leader="none"/>
        </w:tabs>
        <w:spacing w:line="264" w:lineRule="auto" w:before="9" w:after="0"/>
        <w:ind w:left="2124" w:right="1279" w:hanging="360"/>
        <w:jc w:val="both"/>
        <w:rPr>
          <w:sz w:val="24"/>
        </w:rPr>
      </w:pPr>
      <w:r>
        <w:rPr>
          <w:sz w:val="24"/>
        </w:rPr>
        <w:t>Информирование медицинских работников по вопросам профилактики, диагностики и лечения COVID-19, а также сбора эпидемиологического анамнеза;</w:t>
      </w:r>
    </w:p>
    <w:p>
      <w:pPr>
        <w:pStyle w:val="ListParagraph"/>
        <w:spacing w:after="0" w:line="264" w:lineRule="auto"/>
        <w:jc w:val="both"/>
        <w:rPr>
          <w:sz w:val="24"/>
        </w:rPr>
        <w:sectPr>
          <w:pgSz w:w="11900" w:h="16840"/>
          <w:pgMar w:header="0" w:footer="697" w:top="1080" w:bottom="880" w:left="0" w:right="0"/>
        </w:sectPr>
      </w:pPr>
    </w:p>
    <w:p>
      <w:pPr>
        <w:pStyle w:val="ListParagraph"/>
        <w:numPr>
          <w:ilvl w:val="0"/>
          <w:numId w:val="60"/>
        </w:numPr>
        <w:tabs>
          <w:tab w:pos="2124" w:val="left" w:leader="none"/>
        </w:tabs>
        <w:spacing w:line="264" w:lineRule="auto" w:before="74" w:after="0"/>
        <w:ind w:left="2124" w:right="1281" w:hanging="360"/>
        <w:jc w:val="both"/>
        <w:rPr>
          <w:sz w:val="24"/>
        </w:rPr>
      </w:pPr>
      <w:bookmarkStart w:name="130" w:id="156"/>
      <w:bookmarkEnd w:id="156"/>
      <w:r>
        <w:rPr/>
      </w:r>
      <w:r>
        <w:rPr>
          <w:sz w:val="24"/>
        </w:rPr>
        <w:t>Госпитализацию пациентов с нетипичным течением ОРВИ и внебольничной </w:t>
      </w:r>
      <w:r>
        <w:rPr>
          <w:spacing w:val="-2"/>
          <w:sz w:val="24"/>
        </w:rPr>
        <w:t>пневмонией;</w:t>
      </w:r>
    </w:p>
    <w:p>
      <w:pPr>
        <w:pStyle w:val="ListParagraph"/>
        <w:numPr>
          <w:ilvl w:val="0"/>
          <w:numId w:val="60"/>
        </w:numPr>
        <w:tabs>
          <w:tab w:pos="2124" w:val="left" w:leader="none"/>
        </w:tabs>
        <w:spacing w:line="264" w:lineRule="auto" w:before="14" w:after="0"/>
        <w:ind w:left="2124" w:right="1280" w:hanging="360"/>
        <w:jc w:val="both"/>
        <w:rPr>
          <w:sz w:val="24"/>
        </w:rPr>
      </w:pPr>
      <w:r>
        <w:rPr>
          <w:sz w:val="24"/>
        </w:rPr>
        <w:t>Проведение</w:t>
      </w:r>
      <w:r>
        <w:rPr>
          <w:spacing w:val="40"/>
          <w:sz w:val="24"/>
        </w:rPr>
        <w:t> </w:t>
      </w:r>
      <w:r>
        <w:rPr>
          <w:sz w:val="24"/>
        </w:rPr>
        <w:t>противоэпидемических</w:t>
      </w:r>
      <w:r>
        <w:rPr>
          <w:spacing w:val="40"/>
          <w:sz w:val="24"/>
        </w:rPr>
        <w:t> </w:t>
      </w:r>
      <w:r>
        <w:rPr>
          <w:sz w:val="24"/>
        </w:rPr>
        <w:t>мероприятий</w:t>
      </w:r>
      <w:r>
        <w:rPr>
          <w:spacing w:val="40"/>
          <w:sz w:val="24"/>
        </w:rPr>
        <w:t> </w:t>
      </w:r>
      <w:r>
        <w:rPr>
          <w:sz w:val="24"/>
        </w:rPr>
        <w:t>при</w:t>
      </w:r>
      <w:r>
        <w:rPr>
          <w:spacing w:val="80"/>
          <w:sz w:val="24"/>
        </w:rPr>
        <w:t> </w:t>
      </w:r>
      <w:r>
        <w:rPr>
          <w:sz w:val="24"/>
        </w:rPr>
        <w:t>выявлении</w:t>
      </w:r>
      <w:r>
        <w:rPr>
          <w:spacing w:val="40"/>
          <w:sz w:val="24"/>
        </w:rPr>
        <w:t> </w:t>
      </w:r>
      <w:r>
        <w:rPr>
          <w:sz w:val="24"/>
        </w:rPr>
        <w:t>подозрения</w:t>
      </w:r>
      <w:r>
        <w:rPr>
          <w:spacing w:val="80"/>
          <w:sz w:val="24"/>
        </w:rPr>
        <w:t> </w:t>
      </w:r>
      <w:r>
        <w:rPr>
          <w:sz w:val="24"/>
        </w:rPr>
        <w:t>на COVID-19;</w:t>
      </w:r>
    </w:p>
    <w:p>
      <w:pPr>
        <w:pStyle w:val="ListParagraph"/>
        <w:numPr>
          <w:ilvl w:val="0"/>
          <w:numId w:val="60"/>
        </w:numPr>
        <w:tabs>
          <w:tab w:pos="2124" w:val="left" w:leader="none"/>
        </w:tabs>
        <w:spacing w:line="271" w:lineRule="auto" w:before="13" w:after="0"/>
        <w:ind w:left="2124" w:right="1272" w:hanging="360"/>
        <w:jc w:val="both"/>
        <w:rPr>
          <w:sz w:val="24"/>
        </w:rPr>
      </w:pPr>
      <w:r>
        <w:rPr>
          <w:sz w:val="24"/>
        </w:rPr>
        <w:t>Прием</w:t>
      </w:r>
      <w:r>
        <w:rPr>
          <w:spacing w:val="80"/>
          <w:w w:val="150"/>
          <w:sz w:val="24"/>
        </w:rPr>
        <w:t> </w:t>
      </w:r>
      <w:r>
        <w:rPr>
          <w:sz w:val="24"/>
        </w:rPr>
        <w:t>через</w:t>
      </w:r>
      <w:r>
        <w:rPr>
          <w:spacing w:val="80"/>
          <w:w w:val="150"/>
          <w:sz w:val="24"/>
        </w:rPr>
        <w:t> </w:t>
      </w:r>
      <w:r>
        <w:rPr>
          <w:sz w:val="24"/>
        </w:rPr>
        <w:t>приемно-смотровые</w:t>
      </w:r>
      <w:r>
        <w:rPr>
          <w:spacing w:val="80"/>
          <w:w w:val="150"/>
          <w:sz w:val="24"/>
        </w:rPr>
        <w:t> </w:t>
      </w:r>
      <w:r>
        <w:rPr>
          <w:sz w:val="24"/>
        </w:rPr>
        <w:t>боксы</w:t>
      </w:r>
      <w:r>
        <w:rPr>
          <w:spacing w:val="38"/>
          <w:sz w:val="24"/>
        </w:rPr>
        <w:t>  </w:t>
      </w:r>
      <w:r>
        <w:rPr>
          <w:sz w:val="24"/>
        </w:rPr>
        <w:t>и</w:t>
      </w:r>
      <w:r>
        <w:rPr>
          <w:spacing w:val="80"/>
          <w:w w:val="150"/>
          <w:sz w:val="24"/>
        </w:rPr>
        <w:t> </w:t>
      </w:r>
      <w:r>
        <w:rPr>
          <w:sz w:val="24"/>
        </w:rPr>
        <w:t>(или)</w:t>
      </w:r>
      <w:r>
        <w:rPr>
          <w:spacing w:val="80"/>
          <w:w w:val="150"/>
          <w:sz w:val="24"/>
        </w:rPr>
        <w:t> </w:t>
      </w:r>
      <w:r>
        <w:rPr>
          <w:sz w:val="24"/>
        </w:rPr>
        <w:t>фильтр-боксы</w:t>
      </w:r>
      <w:r>
        <w:rPr>
          <w:spacing w:val="80"/>
          <w:w w:val="150"/>
          <w:sz w:val="24"/>
        </w:rPr>
        <w:t> </w:t>
      </w:r>
      <w:r>
        <w:rPr>
          <w:sz w:val="24"/>
        </w:rPr>
        <w:t>пациентов</w:t>
      </w:r>
      <w:r>
        <w:rPr>
          <w:spacing w:val="80"/>
          <w:sz w:val="24"/>
        </w:rPr>
        <w:t> </w:t>
      </w:r>
      <w:r>
        <w:rPr>
          <w:sz w:val="24"/>
        </w:rPr>
        <w:t>с</w:t>
      </w:r>
      <w:r>
        <w:rPr>
          <w:spacing w:val="-3"/>
          <w:sz w:val="24"/>
        </w:rPr>
        <w:t> </w:t>
      </w:r>
      <w:r>
        <w:rPr>
          <w:sz w:val="24"/>
        </w:rPr>
        <w:t>признаками</w:t>
      </w:r>
      <w:r>
        <w:rPr>
          <w:spacing w:val="80"/>
          <w:sz w:val="24"/>
        </w:rPr>
        <w:t> </w:t>
      </w:r>
      <w:r>
        <w:rPr>
          <w:sz w:val="24"/>
        </w:rPr>
        <w:t>ОРВИ,</w:t>
      </w:r>
      <w:r>
        <w:rPr>
          <w:spacing w:val="80"/>
          <w:sz w:val="24"/>
        </w:rPr>
        <w:t> </w:t>
      </w:r>
      <w:r>
        <w:rPr>
          <w:sz w:val="24"/>
        </w:rPr>
        <w:t>а</w:t>
      </w:r>
      <w:r>
        <w:rPr>
          <w:spacing w:val="80"/>
          <w:sz w:val="24"/>
        </w:rPr>
        <w:t> </w:t>
      </w:r>
      <w:r>
        <w:rPr>
          <w:sz w:val="24"/>
        </w:rPr>
        <w:t>также</w:t>
      </w:r>
      <w:r>
        <w:rPr>
          <w:spacing w:val="80"/>
          <w:sz w:val="24"/>
        </w:rPr>
        <w:t> </w:t>
      </w:r>
      <w:r>
        <w:rPr>
          <w:sz w:val="24"/>
        </w:rPr>
        <w:t>схемы</w:t>
      </w:r>
      <w:r>
        <w:rPr>
          <w:spacing w:val="80"/>
          <w:sz w:val="24"/>
        </w:rPr>
        <w:t> </w:t>
      </w:r>
      <w:r>
        <w:rPr>
          <w:sz w:val="24"/>
        </w:rPr>
        <w:t>дальнейшей</w:t>
      </w:r>
      <w:r>
        <w:rPr>
          <w:spacing w:val="80"/>
          <w:sz w:val="24"/>
        </w:rPr>
        <w:t> </w:t>
      </w:r>
      <w:r>
        <w:rPr>
          <w:sz w:val="24"/>
        </w:rPr>
        <w:t>маршрутизации</w:t>
      </w:r>
      <w:r>
        <w:rPr>
          <w:spacing w:val="80"/>
          <w:sz w:val="24"/>
        </w:rPr>
        <w:t> </w:t>
      </w:r>
      <w:r>
        <w:rPr>
          <w:sz w:val="24"/>
        </w:rPr>
        <w:t>пациентов</w:t>
      </w:r>
      <w:r>
        <w:rPr>
          <w:spacing w:val="40"/>
          <w:sz w:val="24"/>
        </w:rPr>
        <w:t> </w:t>
      </w:r>
      <w:r>
        <w:rPr>
          <w:sz w:val="24"/>
        </w:rPr>
        <w:t>в</w:t>
      </w:r>
      <w:r>
        <w:rPr>
          <w:spacing w:val="-7"/>
          <w:sz w:val="24"/>
        </w:rPr>
        <w:t> </w:t>
      </w:r>
      <w:r>
        <w:rPr>
          <w:sz w:val="24"/>
        </w:rPr>
        <w:t>медицинские организации, оказывающие медицинскую помощь в стационарных </w:t>
      </w:r>
      <w:r>
        <w:rPr>
          <w:spacing w:val="-2"/>
          <w:sz w:val="24"/>
        </w:rPr>
        <w:t>условиях;</w:t>
      </w:r>
    </w:p>
    <w:p>
      <w:pPr>
        <w:pStyle w:val="ListParagraph"/>
        <w:numPr>
          <w:ilvl w:val="0"/>
          <w:numId w:val="60"/>
        </w:numPr>
        <w:tabs>
          <w:tab w:pos="2124" w:val="left" w:leader="none"/>
        </w:tabs>
        <w:spacing w:line="268" w:lineRule="auto" w:before="8" w:after="0"/>
        <w:ind w:left="2124" w:right="1278" w:hanging="360"/>
        <w:jc w:val="both"/>
        <w:rPr>
          <w:sz w:val="24"/>
        </w:rPr>
      </w:pPr>
      <w:r>
        <w:rPr>
          <w:sz w:val="24"/>
        </w:rPr>
        <w:t>Соблюдение температурного режима, режима проветривания, текущей дезинфекции в медицинской организации, использование работниками медицинской организации СИЗ;</w:t>
      </w:r>
    </w:p>
    <w:p>
      <w:pPr>
        <w:pStyle w:val="ListParagraph"/>
        <w:numPr>
          <w:ilvl w:val="0"/>
          <w:numId w:val="60"/>
        </w:numPr>
        <w:tabs>
          <w:tab w:pos="2124" w:val="left" w:leader="none"/>
        </w:tabs>
        <w:spacing w:line="271" w:lineRule="auto" w:before="9" w:after="0"/>
        <w:ind w:left="2124" w:right="1273" w:hanging="360"/>
        <w:jc w:val="both"/>
        <w:rPr>
          <w:sz w:val="24"/>
        </w:rPr>
      </w:pPr>
      <w:r>
        <w:rPr>
          <w:sz w:val="24"/>
        </w:rPr>
        <w:t>Проведение</w:t>
      </w:r>
      <w:r>
        <w:rPr>
          <w:spacing w:val="80"/>
          <w:sz w:val="24"/>
        </w:rPr>
        <w:t>  </w:t>
      </w:r>
      <w:r>
        <w:rPr>
          <w:sz w:val="24"/>
        </w:rPr>
        <w:t>обеззараживания</w:t>
      </w:r>
      <w:r>
        <w:rPr>
          <w:spacing w:val="80"/>
          <w:sz w:val="24"/>
        </w:rPr>
        <w:t>  </w:t>
      </w:r>
      <w:r>
        <w:rPr>
          <w:sz w:val="24"/>
        </w:rPr>
        <w:t>воздуха</w:t>
      </w:r>
      <w:r>
        <w:rPr>
          <w:spacing w:val="80"/>
          <w:sz w:val="24"/>
        </w:rPr>
        <w:t>  </w:t>
      </w:r>
      <w:r>
        <w:rPr>
          <w:sz w:val="24"/>
        </w:rPr>
        <w:t>и</w:t>
      </w:r>
      <w:r>
        <w:rPr>
          <w:spacing w:val="80"/>
          <w:sz w:val="24"/>
        </w:rPr>
        <w:t>  </w:t>
      </w:r>
      <w:r>
        <w:rPr>
          <w:sz w:val="24"/>
        </w:rPr>
        <w:t>поверхностей</w:t>
      </w:r>
      <w:r>
        <w:rPr>
          <w:spacing w:val="80"/>
          <w:sz w:val="24"/>
        </w:rPr>
        <w:t>  </w:t>
      </w:r>
      <w:r>
        <w:rPr>
          <w:sz w:val="24"/>
        </w:rPr>
        <w:t>в</w:t>
      </w:r>
      <w:r>
        <w:rPr>
          <w:spacing w:val="80"/>
          <w:sz w:val="24"/>
        </w:rPr>
        <w:t>  </w:t>
      </w:r>
      <w:r>
        <w:rPr>
          <w:sz w:val="24"/>
        </w:rPr>
        <w:t>помещениях с</w:t>
      </w:r>
      <w:r>
        <w:rPr>
          <w:spacing w:val="-4"/>
          <w:sz w:val="24"/>
        </w:rPr>
        <w:t> </w:t>
      </w:r>
      <w:r>
        <w:rPr>
          <w:sz w:val="24"/>
        </w:rPr>
        <w:t>использованием</w:t>
      </w:r>
      <w:r>
        <w:rPr>
          <w:spacing w:val="40"/>
          <w:sz w:val="24"/>
        </w:rPr>
        <w:t> </w:t>
      </w:r>
      <w:r>
        <w:rPr>
          <w:sz w:val="24"/>
        </w:rPr>
        <w:t>ультрафиолетовых</w:t>
      </w:r>
      <w:r>
        <w:rPr>
          <w:spacing w:val="40"/>
          <w:sz w:val="24"/>
        </w:rPr>
        <w:t> </w:t>
      </w:r>
      <w:r>
        <w:rPr>
          <w:sz w:val="24"/>
        </w:rPr>
        <w:t>бактерицидных</w:t>
      </w:r>
      <w:r>
        <w:rPr>
          <w:spacing w:val="40"/>
          <w:sz w:val="24"/>
        </w:rPr>
        <w:t> </w:t>
      </w:r>
      <w:r>
        <w:rPr>
          <w:sz w:val="24"/>
        </w:rPr>
        <w:t>облучателей</w:t>
      </w:r>
      <w:r>
        <w:rPr>
          <w:spacing w:val="40"/>
          <w:sz w:val="24"/>
        </w:rPr>
        <w:t> </w:t>
      </w:r>
      <w:r>
        <w:rPr>
          <w:sz w:val="24"/>
        </w:rPr>
        <w:t>с</w:t>
      </w:r>
      <w:r>
        <w:rPr>
          <w:spacing w:val="40"/>
          <w:sz w:val="24"/>
        </w:rPr>
        <w:t> </w:t>
      </w:r>
      <w:r>
        <w:rPr>
          <w:sz w:val="24"/>
        </w:rPr>
        <w:t>УФ-дозой не</w:t>
      </w:r>
      <w:r>
        <w:rPr>
          <w:spacing w:val="40"/>
          <w:sz w:val="24"/>
        </w:rPr>
        <w:t> </w:t>
      </w:r>
      <w:r>
        <w:rPr>
          <w:sz w:val="24"/>
        </w:rPr>
        <w:t>менее</w:t>
      </w:r>
      <w:r>
        <w:rPr>
          <w:spacing w:val="40"/>
          <w:sz w:val="24"/>
        </w:rPr>
        <w:t> </w:t>
      </w:r>
      <w:r>
        <w:rPr>
          <w:sz w:val="24"/>
        </w:rPr>
        <w:t>25</w:t>
      </w:r>
      <w:r>
        <w:rPr>
          <w:spacing w:val="40"/>
          <w:sz w:val="24"/>
        </w:rPr>
        <w:t> </w:t>
      </w:r>
      <w:r>
        <w:rPr>
          <w:sz w:val="24"/>
        </w:rPr>
        <w:t>мДж/см2</w:t>
      </w:r>
      <w:r>
        <w:rPr>
          <w:spacing w:val="40"/>
          <w:sz w:val="24"/>
        </w:rPr>
        <w:t> </w:t>
      </w:r>
      <w:r>
        <w:rPr>
          <w:sz w:val="24"/>
        </w:rPr>
        <w:t>и</w:t>
      </w:r>
      <w:r>
        <w:rPr>
          <w:spacing w:val="40"/>
          <w:sz w:val="24"/>
        </w:rPr>
        <w:t> </w:t>
      </w:r>
      <w:r>
        <w:rPr>
          <w:sz w:val="24"/>
        </w:rPr>
        <w:t>(или)</w:t>
      </w:r>
      <w:r>
        <w:rPr>
          <w:spacing w:val="40"/>
          <w:sz w:val="24"/>
        </w:rPr>
        <w:t> </w:t>
      </w:r>
      <w:r>
        <w:rPr>
          <w:sz w:val="24"/>
        </w:rPr>
        <w:t>других</w:t>
      </w:r>
      <w:r>
        <w:rPr>
          <w:spacing w:val="40"/>
          <w:sz w:val="24"/>
        </w:rPr>
        <w:t> </w:t>
      </w:r>
      <w:r>
        <w:rPr>
          <w:sz w:val="24"/>
        </w:rPr>
        <w:t>устройств</w:t>
      </w:r>
      <w:r>
        <w:rPr>
          <w:spacing w:val="40"/>
          <w:sz w:val="24"/>
        </w:rPr>
        <w:t> </w:t>
      </w:r>
      <w:r>
        <w:rPr>
          <w:sz w:val="24"/>
        </w:rPr>
        <w:t>для</w:t>
      </w:r>
      <w:r>
        <w:rPr>
          <w:spacing w:val="40"/>
          <w:sz w:val="24"/>
        </w:rPr>
        <w:t> </w:t>
      </w:r>
      <w:r>
        <w:rPr>
          <w:sz w:val="24"/>
        </w:rPr>
        <w:t>обеззараживания</w:t>
      </w:r>
      <w:r>
        <w:rPr>
          <w:spacing w:val="40"/>
          <w:sz w:val="24"/>
        </w:rPr>
        <w:t> </w:t>
      </w:r>
      <w:r>
        <w:rPr>
          <w:sz w:val="24"/>
        </w:rPr>
        <w:t>воздуха</w:t>
      </w:r>
      <w:r>
        <w:rPr>
          <w:spacing w:val="80"/>
          <w:sz w:val="24"/>
        </w:rPr>
        <w:t> </w:t>
      </w:r>
      <w:r>
        <w:rPr>
          <w:sz w:val="24"/>
        </w:rPr>
        <w:t>и (или) поверхностей;</w:t>
      </w:r>
    </w:p>
    <w:p>
      <w:pPr>
        <w:pStyle w:val="ListParagraph"/>
        <w:numPr>
          <w:ilvl w:val="0"/>
          <w:numId w:val="60"/>
        </w:numPr>
        <w:tabs>
          <w:tab w:pos="2124" w:val="left" w:leader="none"/>
        </w:tabs>
        <w:spacing w:line="240" w:lineRule="auto" w:before="5" w:after="0"/>
        <w:ind w:left="2124" w:right="0" w:hanging="359"/>
        <w:jc w:val="both"/>
        <w:rPr>
          <w:sz w:val="24"/>
        </w:rPr>
      </w:pPr>
      <w:r>
        <w:rPr>
          <w:spacing w:val="-2"/>
          <w:sz w:val="24"/>
        </w:rPr>
        <w:t>Контроль</w:t>
      </w:r>
      <w:r>
        <w:rPr>
          <w:spacing w:val="1"/>
          <w:sz w:val="24"/>
        </w:rPr>
        <w:t> </w:t>
      </w:r>
      <w:r>
        <w:rPr>
          <w:spacing w:val="-2"/>
          <w:sz w:val="24"/>
        </w:rPr>
        <w:t>концентрации</w:t>
      </w:r>
      <w:r>
        <w:rPr>
          <w:spacing w:val="1"/>
          <w:sz w:val="24"/>
        </w:rPr>
        <w:t> </w:t>
      </w:r>
      <w:r>
        <w:rPr>
          <w:spacing w:val="-2"/>
          <w:sz w:val="24"/>
        </w:rPr>
        <w:t>дезинфицирующих</w:t>
      </w:r>
      <w:r>
        <w:rPr>
          <w:sz w:val="24"/>
        </w:rPr>
        <w:t> </w:t>
      </w:r>
      <w:r>
        <w:rPr>
          <w:spacing w:val="-2"/>
          <w:sz w:val="24"/>
        </w:rPr>
        <w:t>средств</w:t>
      </w:r>
      <w:r>
        <w:rPr>
          <w:sz w:val="24"/>
        </w:rPr>
        <w:t> </w:t>
      </w:r>
      <w:r>
        <w:rPr>
          <w:spacing w:val="-2"/>
          <w:sz w:val="24"/>
        </w:rPr>
        <w:t>в</w:t>
      </w:r>
      <w:r>
        <w:rPr>
          <w:sz w:val="24"/>
        </w:rPr>
        <w:t> </w:t>
      </w:r>
      <w:r>
        <w:rPr>
          <w:spacing w:val="-2"/>
          <w:sz w:val="24"/>
        </w:rPr>
        <w:t>рабочих</w:t>
      </w:r>
      <w:r>
        <w:rPr>
          <w:sz w:val="24"/>
        </w:rPr>
        <w:t> </w:t>
      </w:r>
      <w:r>
        <w:rPr>
          <w:spacing w:val="-2"/>
          <w:sz w:val="24"/>
        </w:rPr>
        <w:t>растворах;</w:t>
      </w:r>
    </w:p>
    <w:p>
      <w:pPr>
        <w:pStyle w:val="ListParagraph"/>
        <w:numPr>
          <w:ilvl w:val="0"/>
          <w:numId w:val="60"/>
        </w:numPr>
        <w:tabs>
          <w:tab w:pos="2124" w:val="left" w:leader="none"/>
        </w:tabs>
        <w:spacing w:line="264" w:lineRule="auto" w:before="33" w:after="0"/>
        <w:ind w:left="2124" w:right="1277" w:hanging="360"/>
        <w:jc w:val="both"/>
        <w:rPr>
          <w:sz w:val="24"/>
        </w:rPr>
      </w:pPr>
      <w:r>
        <w:rPr>
          <w:sz w:val="24"/>
        </w:rPr>
        <w:t>Увеличение кратности дезинфекционных обработок помещений медицинских </w:t>
      </w:r>
      <w:r>
        <w:rPr>
          <w:spacing w:val="-2"/>
          <w:sz w:val="24"/>
        </w:rPr>
        <w:t>организаций;</w:t>
      </w:r>
    </w:p>
    <w:p>
      <w:pPr>
        <w:pStyle w:val="ListParagraph"/>
        <w:numPr>
          <w:ilvl w:val="0"/>
          <w:numId w:val="60"/>
        </w:numPr>
        <w:tabs>
          <w:tab w:pos="2124" w:val="left" w:leader="none"/>
        </w:tabs>
        <w:spacing w:line="271" w:lineRule="auto" w:before="14" w:after="0"/>
        <w:ind w:left="2124" w:right="1271" w:hanging="360"/>
        <w:jc w:val="both"/>
        <w:rPr>
          <w:sz w:val="24"/>
        </w:rPr>
      </w:pPr>
      <w:r>
        <w:rPr>
          <w:sz w:val="24"/>
        </w:rPr>
        <w:t>Передачу биологического материала от пациентов (мазки из носо- и ротоглотки) при</w:t>
      </w:r>
      <w:r>
        <w:rPr>
          <w:spacing w:val="-5"/>
          <w:sz w:val="24"/>
        </w:rPr>
        <w:t> </w:t>
      </w:r>
      <w:r>
        <w:rPr>
          <w:sz w:val="24"/>
        </w:rPr>
        <w:t>подозрении</w:t>
      </w:r>
      <w:r>
        <w:rPr>
          <w:spacing w:val="-5"/>
          <w:sz w:val="24"/>
        </w:rPr>
        <w:t> </w:t>
      </w:r>
      <w:r>
        <w:rPr>
          <w:sz w:val="24"/>
        </w:rPr>
        <w:t>на</w:t>
      </w:r>
      <w:r>
        <w:rPr>
          <w:spacing w:val="-6"/>
          <w:sz w:val="24"/>
        </w:rPr>
        <w:t> </w:t>
      </w:r>
      <w:r>
        <w:rPr>
          <w:sz w:val="24"/>
        </w:rPr>
        <w:t>COVID-19</w:t>
      </w:r>
      <w:r>
        <w:rPr>
          <w:spacing w:val="-3"/>
          <w:sz w:val="24"/>
        </w:rPr>
        <w:t> </w:t>
      </w:r>
      <w:r>
        <w:rPr>
          <w:sz w:val="24"/>
        </w:rPr>
        <w:t>в</w:t>
      </w:r>
      <w:r>
        <w:rPr>
          <w:spacing w:val="-4"/>
          <w:sz w:val="24"/>
        </w:rPr>
        <w:t> </w:t>
      </w:r>
      <w:r>
        <w:rPr>
          <w:sz w:val="24"/>
        </w:rPr>
        <w:t>лаборатории</w:t>
      </w:r>
      <w:r>
        <w:rPr>
          <w:spacing w:val="-2"/>
          <w:sz w:val="24"/>
        </w:rPr>
        <w:t> </w:t>
      </w:r>
      <w:r>
        <w:rPr>
          <w:sz w:val="24"/>
        </w:rPr>
        <w:t>медицинских</w:t>
      </w:r>
      <w:r>
        <w:rPr>
          <w:spacing w:val="-3"/>
          <w:sz w:val="24"/>
        </w:rPr>
        <w:t> </w:t>
      </w:r>
      <w:r>
        <w:rPr>
          <w:sz w:val="24"/>
        </w:rPr>
        <w:t>организаций,</w:t>
      </w:r>
      <w:r>
        <w:rPr>
          <w:spacing w:val="-6"/>
          <w:sz w:val="24"/>
        </w:rPr>
        <w:t> </w:t>
      </w:r>
      <w:r>
        <w:rPr>
          <w:sz w:val="24"/>
        </w:rPr>
        <w:t>имеющих эпидемиологическое</w:t>
      </w:r>
      <w:r>
        <w:rPr>
          <w:spacing w:val="40"/>
          <w:sz w:val="24"/>
        </w:rPr>
        <w:t> </w:t>
      </w:r>
      <w:r>
        <w:rPr>
          <w:sz w:val="24"/>
        </w:rPr>
        <w:t>заключение</w:t>
      </w:r>
      <w:r>
        <w:rPr>
          <w:spacing w:val="40"/>
          <w:sz w:val="24"/>
        </w:rPr>
        <w:t> </w:t>
      </w:r>
      <w:r>
        <w:rPr>
          <w:sz w:val="24"/>
        </w:rPr>
        <w:t>на</w:t>
      </w:r>
      <w:r>
        <w:rPr>
          <w:spacing w:val="40"/>
          <w:sz w:val="24"/>
        </w:rPr>
        <w:t> </w:t>
      </w:r>
      <w:r>
        <w:rPr>
          <w:sz w:val="24"/>
        </w:rPr>
        <w:t>работу</w:t>
      </w:r>
      <w:r>
        <w:rPr>
          <w:spacing w:val="40"/>
          <w:sz w:val="24"/>
        </w:rPr>
        <w:t> </w:t>
      </w:r>
      <w:r>
        <w:rPr>
          <w:sz w:val="24"/>
        </w:rPr>
        <w:t>с</w:t>
      </w:r>
      <w:r>
        <w:rPr>
          <w:spacing w:val="40"/>
          <w:sz w:val="24"/>
        </w:rPr>
        <w:t> </w:t>
      </w:r>
      <w:r>
        <w:rPr>
          <w:sz w:val="24"/>
        </w:rPr>
        <w:t>III</w:t>
      </w:r>
      <w:r>
        <w:rPr>
          <w:spacing w:val="40"/>
          <w:sz w:val="24"/>
        </w:rPr>
        <w:t> </w:t>
      </w:r>
      <w:r>
        <w:rPr>
          <w:sz w:val="24"/>
        </w:rPr>
        <w:t>и</w:t>
      </w:r>
      <w:r>
        <w:rPr>
          <w:spacing w:val="40"/>
          <w:sz w:val="24"/>
        </w:rPr>
        <w:t> </w:t>
      </w:r>
      <w:r>
        <w:rPr>
          <w:sz w:val="24"/>
        </w:rPr>
        <w:t>IV</w:t>
      </w:r>
      <w:r>
        <w:rPr>
          <w:spacing w:val="40"/>
          <w:sz w:val="24"/>
        </w:rPr>
        <w:t> </w:t>
      </w:r>
      <w:r>
        <w:rPr>
          <w:sz w:val="24"/>
        </w:rPr>
        <w:t>группами</w:t>
      </w:r>
      <w:r>
        <w:rPr>
          <w:spacing w:val="40"/>
          <w:sz w:val="24"/>
        </w:rPr>
        <w:t> </w:t>
      </w:r>
      <w:r>
        <w:rPr>
          <w:sz w:val="24"/>
        </w:rPr>
        <w:t>патогенности,</w:t>
      </w:r>
      <w:r>
        <w:rPr>
          <w:spacing w:val="80"/>
          <w:sz w:val="24"/>
        </w:rPr>
        <w:t> </w:t>
      </w:r>
      <w:r>
        <w:rPr>
          <w:sz w:val="24"/>
        </w:rPr>
        <w:t>с оформлением Акта приема-передачи;</w:t>
      </w:r>
    </w:p>
    <w:p>
      <w:pPr>
        <w:pStyle w:val="ListParagraph"/>
        <w:numPr>
          <w:ilvl w:val="0"/>
          <w:numId w:val="60"/>
        </w:numPr>
        <w:tabs>
          <w:tab w:pos="2124" w:val="left" w:leader="none"/>
        </w:tabs>
        <w:spacing w:line="268" w:lineRule="auto" w:before="8" w:after="0"/>
        <w:ind w:left="2124" w:right="1281" w:hanging="360"/>
        <w:jc w:val="both"/>
        <w:rPr>
          <w:sz w:val="24"/>
        </w:rPr>
      </w:pPr>
      <w:r>
        <w:rPr>
          <w:sz w:val="24"/>
        </w:rPr>
        <w:t>Указание медицинскими работниками в бланке направления на лабораторное исследование диагноза «пневмония» при направлении биологического материала пациентов с внебольничной пневмонией для диагностики COVID-19;</w:t>
      </w:r>
    </w:p>
    <w:p>
      <w:pPr>
        <w:pStyle w:val="ListParagraph"/>
        <w:numPr>
          <w:ilvl w:val="0"/>
          <w:numId w:val="60"/>
        </w:numPr>
        <w:tabs>
          <w:tab w:pos="2124" w:val="left" w:leader="none"/>
        </w:tabs>
        <w:spacing w:line="271" w:lineRule="auto" w:before="9" w:after="0"/>
        <w:ind w:left="2124" w:right="1276" w:hanging="360"/>
        <w:jc w:val="both"/>
        <w:rPr>
          <w:sz w:val="24"/>
        </w:rPr>
      </w:pPr>
      <w:r>
        <w:rPr>
          <w:sz w:val="24"/>
        </w:rPr>
        <w:t>Системную работу по информированию населения о рисках COVID-19, мерах индивидуальной профилактики, обращая особое внимание на необходимость своевременного обращения за медицинской помощью при появлении первых симптомов ОРИ;</w:t>
      </w:r>
    </w:p>
    <w:p>
      <w:pPr>
        <w:pStyle w:val="ListParagraph"/>
        <w:numPr>
          <w:ilvl w:val="0"/>
          <w:numId w:val="60"/>
        </w:numPr>
        <w:tabs>
          <w:tab w:pos="2124" w:val="left" w:leader="none"/>
        </w:tabs>
        <w:spacing w:line="261" w:lineRule="auto" w:before="7" w:after="0"/>
        <w:ind w:left="2124" w:right="1281" w:hanging="360"/>
        <w:jc w:val="both"/>
        <w:rPr>
          <w:sz w:val="24"/>
        </w:rPr>
      </w:pPr>
      <w:r>
        <w:rPr>
          <w:sz w:val="24"/>
        </w:rPr>
        <w:t>Оказание медицинской помощи пациентам с ОРВИ в амбулаторных условиях, преимущественно на дому;</w:t>
      </w:r>
    </w:p>
    <w:p>
      <w:pPr>
        <w:pStyle w:val="ListParagraph"/>
        <w:numPr>
          <w:ilvl w:val="0"/>
          <w:numId w:val="60"/>
        </w:numPr>
        <w:tabs>
          <w:tab w:pos="2124" w:val="left" w:leader="none"/>
        </w:tabs>
        <w:spacing w:line="271" w:lineRule="auto" w:before="20" w:after="0"/>
        <w:ind w:left="2124" w:right="1276" w:hanging="360"/>
        <w:jc w:val="both"/>
        <w:rPr>
          <w:sz w:val="24"/>
        </w:rPr>
      </w:pPr>
      <w:r>
        <w:rPr>
          <w:sz w:val="24"/>
        </w:rPr>
        <w:t>Актуализацию сведений о лицах в возрасте старше 60 лет, а также лицах, страдающих хроническими заболеваниями бронхолегочной, сердечно-сосудистой и эндокринной систем, лицах с болезнью двигательного нейрона, беременных </w:t>
      </w:r>
      <w:r>
        <w:rPr>
          <w:spacing w:val="-2"/>
          <w:sz w:val="24"/>
        </w:rPr>
        <w:t>женщинах, проживающих на территории обслуживания медицинской организации;</w:t>
      </w:r>
    </w:p>
    <w:p>
      <w:pPr>
        <w:pStyle w:val="ListParagraph"/>
        <w:numPr>
          <w:ilvl w:val="0"/>
          <w:numId w:val="60"/>
        </w:numPr>
        <w:tabs>
          <w:tab w:pos="2124" w:val="left" w:leader="none"/>
        </w:tabs>
        <w:spacing w:line="264" w:lineRule="auto" w:before="5" w:after="0"/>
        <w:ind w:left="2124" w:right="1282" w:hanging="360"/>
        <w:jc w:val="both"/>
        <w:rPr>
          <w:sz w:val="24"/>
        </w:rPr>
      </w:pPr>
      <w:r>
        <w:rPr>
          <w:sz w:val="24"/>
        </w:rPr>
        <w:t>Возможность</w:t>
      </w:r>
      <w:r>
        <w:rPr>
          <w:spacing w:val="80"/>
          <w:sz w:val="24"/>
        </w:rPr>
        <w:t> </w:t>
      </w:r>
      <w:r>
        <w:rPr>
          <w:sz w:val="24"/>
        </w:rPr>
        <w:t>дистанционной</w:t>
      </w:r>
      <w:r>
        <w:rPr>
          <w:spacing w:val="80"/>
          <w:sz w:val="24"/>
        </w:rPr>
        <w:t> </w:t>
      </w:r>
      <w:r>
        <w:rPr>
          <w:sz w:val="24"/>
        </w:rPr>
        <w:t>выписки</w:t>
      </w:r>
      <w:r>
        <w:rPr>
          <w:spacing w:val="80"/>
          <w:sz w:val="24"/>
        </w:rPr>
        <w:t> </w:t>
      </w:r>
      <w:r>
        <w:rPr>
          <w:sz w:val="24"/>
        </w:rPr>
        <w:t>лекарственных</w:t>
      </w:r>
      <w:r>
        <w:rPr>
          <w:spacing w:val="80"/>
          <w:sz w:val="24"/>
        </w:rPr>
        <w:t> </w:t>
      </w:r>
      <w:r>
        <w:rPr>
          <w:sz w:val="24"/>
        </w:rPr>
        <w:t>препаратов,</w:t>
      </w:r>
      <w:r>
        <w:rPr>
          <w:spacing w:val="80"/>
          <w:sz w:val="24"/>
        </w:rPr>
        <w:t> </w:t>
      </w:r>
      <w:r>
        <w:rPr>
          <w:sz w:val="24"/>
        </w:rPr>
        <w:t>доставки</w:t>
      </w:r>
      <w:r>
        <w:rPr>
          <w:spacing w:val="40"/>
          <w:sz w:val="24"/>
        </w:rPr>
        <w:t> </w:t>
      </w:r>
      <w:r>
        <w:rPr>
          <w:sz w:val="24"/>
        </w:rPr>
        <w:t>их на дом;</w:t>
      </w:r>
    </w:p>
    <w:p>
      <w:pPr>
        <w:pStyle w:val="ListParagraph"/>
        <w:numPr>
          <w:ilvl w:val="0"/>
          <w:numId w:val="60"/>
        </w:numPr>
        <w:tabs>
          <w:tab w:pos="2124" w:val="left" w:leader="none"/>
        </w:tabs>
        <w:spacing w:line="273" w:lineRule="auto" w:before="14" w:after="0"/>
        <w:ind w:left="2124" w:right="1276" w:hanging="360"/>
        <w:jc w:val="both"/>
        <w:rPr>
          <w:sz w:val="24"/>
        </w:rPr>
      </w:pPr>
      <w:r>
        <w:rPr>
          <w:sz w:val="24"/>
        </w:rPr>
        <w:t>Медицинское наблюдение (ежедневная термометрия, опрос гражданина медицинским работником, в том числе по телефону, на предмет наличия симптомов ОРВИ) граждан, вернувшихся из стран, в которых зарегистрированы случаи</w:t>
      </w:r>
      <w:r>
        <w:rPr>
          <w:spacing w:val="80"/>
          <w:w w:val="150"/>
          <w:sz w:val="24"/>
        </w:rPr>
        <w:t> </w:t>
      </w:r>
      <w:r>
        <w:rPr>
          <w:sz w:val="24"/>
        </w:rPr>
        <w:t>COVID-19,</w:t>
      </w:r>
      <w:r>
        <w:rPr>
          <w:spacing w:val="80"/>
          <w:w w:val="150"/>
          <w:sz w:val="24"/>
        </w:rPr>
        <w:t> </w:t>
      </w:r>
      <w:r>
        <w:rPr>
          <w:sz w:val="24"/>
        </w:rPr>
        <w:t>на</w:t>
      </w:r>
      <w:r>
        <w:rPr>
          <w:spacing w:val="80"/>
          <w:w w:val="150"/>
          <w:sz w:val="24"/>
        </w:rPr>
        <w:t> </w:t>
      </w:r>
      <w:r>
        <w:rPr>
          <w:sz w:val="24"/>
        </w:rPr>
        <w:t>период</w:t>
      </w:r>
      <w:r>
        <w:rPr>
          <w:spacing w:val="80"/>
          <w:w w:val="150"/>
          <w:sz w:val="24"/>
        </w:rPr>
        <w:t> </w:t>
      </w:r>
      <w:r>
        <w:rPr>
          <w:sz w:val="24"/>
        </w:rPr>
        <w:t>не</w:t>
      </w:r>
      <w:r>
        <w:rPr>
          <w:spacing w:val="80"/>
          <w:w w:val="150"/>
          <w:sz w:val="24"/>
        </w:rPr>
        <w:t> </w:t>
      </w:r>
      <w:r>
        <w:rPr>
          <w:sz w:val="24"/>
        </w:rPr>
        <w:t>менее</w:t>
      </w:r>
      <w:r>
        <w:rPr>
          <w:spacing w:val="80"/>
          <w:w w:val="150"/>
          <w:sz w:val="24"/>
        </w:rPr>
        <w:t> </w:t>
      </w:r>
      <w:r>
        <w:rPr>
          <w:sz w:val="24"/>
        </w:rPr>
        <w:t>7</w:t>
      </w:r>
      <w:r>
        <w:rPr>
          <w:spacing w:val="80"/>
          <w:w w:val="150"/>
          <w:sz w:val="24"/>
        </w:rPr>
        <w:t> </w:t>
      </w:r>
      <w:r>
        <w:rPr>
          <w:sz w:val="24"/>
        </w:rPr>
        <w:t>календарных</w:t>
      </w:r>
      <w:r>
        <w:rPr>
          <w:spacing w:val="80"/>
          <w:w w:val="150"/>
          <w:sz w:val="24"/>
        </w:rPr>
        <w:t> </w:t>
      </w:r>
      <w:r>
        <w:rPr>
          <w:sz w:val="24"/>
        </w:rPr>
        <w:t>дней</w:t>
      </w:r>
      <w:r>
        <w:rPr>
          <w:spacing w:val="80"/>
          <w:w w:val="150"/>
          <w:sz w:val="24"/>
        </w:rPr>
        <w:t> </w:t>
      </w:r>
      <w:r>
        <w:rPr>
          <w:sz w:val="24"/>
        </w:rPr>
        <w:t>с</w:t>
      </w:r>
      <w:r>
        <w:rPr>
          <w:spacing w:val="80"/>
          <w:w w:val="150"/>
          <w:sz w:val="24"/>
        </w:rPr>
        <w:t> </w:t>
      </w:r>
      <w:r>
        <w:rPr>
          <w:sz w:val="24"/>
        </w:rPr>
        <w:t>момента их</w:t>
      </w:r>
      <w:r>
        <w:rPr>
          <w:spacing w:val="-5"/>
          <w:sz w:val="24"/>
        </w:rPr>
        <w:t> </w:t>
      </w:r>
      <w:r>
        <w:rPr>
          <w:sz w:val="24"/>
        </w:rPr>
        <w:t>возвращения, а также проживающих совместно с ними лиц. Передача сводной</w:t>
      </w:r>
    </w:p>
    <w:p>
      <w:pPr>
        <w:pStyle w:val="ListParagraph"/>
        <w:spacing w:after="0" w:line="273" w:lineRule="auto"/>
        <w:jc w:val="both"/>
        <w:rPr>
          <w:sz w:val="24"/>
        </w:rPr>
        <w:sectPr>
          <w:pgSz w:w="11900" w:h="16840"/>
          <w:pgMar w:header="0" w:footer="697" w:top="1080" w:bottom="880" w:left="0" w:right="0"/>
        </w:sectPr>
      </w:pPr>
    </w:p>
    <w:p>
      <w:pPr>
        <w:pStyle w:val="BodyText"/>
        <w:spacing w:line="276" w:lineRule="auto" w:before="73"/>
        <w:ind w:left="2124" w:right="1279"/>
      </w:pPr>
      <w:bookmarkStart w:name="131" w:id="157"/>
      <w:bookmarkEnd w:id="157"/>
      <w:r>
        <w:rPr/>
      </w:r>
      <w:r>
        <w:rPr/>
        <w:t>статистической</w:t>
      </w:r>
      <w:r>
        <w:rPr>
          <w:spacing w:val="80"/>
        </w:rPr>
        <w:t>  </w:t>
      </w:r>
      <w:r>
        <w:rPr/>
        <w:t>информации</w:t>
      </w:r>
      <w:r>
        <w:rPr>
          <w:spacing w:val="80"/>
        </w:rPr>
        <w:t>  </w:t>
      </w:r>
      <w:r>
        <w:rPr/>
        <w:t>о</w:t>
      </w:r>
      <w:r>
        <w:rPr>
          <w:spacing w:val="80"/>
        </w:rPr>
        <w:t>  </w:t>
      </w:r>
      <w:r>
        <w:rPr/>
        <w:t>результатах</w:t>
      </w:r>
      <w:r>
        <w:rPr>
          <w:spacing w:val="80"/>
        </w:rPr>
        <w:t>  </w:t>
      </w:r>
      <w:r>
        <w:rPr/>
        <w:t>медицинского</w:t>
      </w:r>
      <w:r>
        <w:rPr>
          <w:spacing w:val="80"/>
        </w:rPr>
        <w:t>  </w:t>
      </w:r>
      <w:r>
        <w:rPr/>
        <w:t>наблюдения</w:t>
      </w:r>
      <w:r>
        <w:rPr>
          <w:spacing w:val="40"/>
        </w:rPr>
        <w:t> </w:t>
      </w:r>
      <w:r>
        <w:rPr/>
        <w:t>в территориальное управление Роспотребнадзора;</w:t>
      </w:r>
    </w:p>
    <w:p>
      <w:pPr>
        <w:pStyle w:val="ListParagraph"/>
        <w:numPr>
          <w:ilvl w:val="0"/>
          <w:numId w:val="60"/>
        </w:numPr>
        <w:tabs>
          <w:tab w:pos="2124" w:val="left" w:leader="none"/>
        </w:tabs>
        <w:spacing w:line="271" w:lineRule="auto" w:before="0" w:after="0"/>
        <w:ind w:left="2124" w:right="1277" w:hanging="360"/>
        <w:jc w:val="both"/>
        <w:rPr>
          <w:sz w:val="24"/>
        </w:rPr>
      </w:pPr>
      <w:r>
        <w:rPr>
          <w:sz w:val="24"/>
        </w:rPr>
        <w:t>Немедленную изоляцию и, при наличии показаний, госпитализацию пациентов производить в специально созданные для данного контингента медицинские организации, оказывающие медицинскую помощь в стационарных условиях, при появлении подозрения или установлении факта заболевания COVID-19;</w:t>
      </w:r>
    </w:p>
    <w:p>
      <w:pPr>
        <w:pStyle w:val="ListParagraph"/>
        <w:numPr>
          <w:ilvl w:val="0"/>
          <w:numId w:val="60"/>
        </w:numPr>
        <w:tabs>
          <w:tab w:pos="2124" w:val="left" w:leader="none"/>
        </w:tabs>
        <w:spacing w:line="271" w:lineRule="auto" w:before="7" w:after="0"/>
        <w:ind w:left="2124" w:right="1271" w:hanging="360"/>
        <w:jc w:val="both"/>
        <w:rPr>
          <w:sz w:val="24"/>
        </w:rPr>
      </w:pPr>
      <w:r>
        <w:rPr>
          <w:sz w:val="24"/>
        </w:rPr>
        <w:t>Возможность оформления листков нетрудоспособности без посещения медицинской организации лицам,</w:t>
      </w:r>
      <w:r>
        <w:rPr>
          <w:spacing w:val="-1"/>
          <w:sz w:val="24"/>
        </w:rPr>
        <w:t> </w:t>
      </w:r>
      <w:r>
        <w:rPr>
          <w:sz w:val="24"/>
        </w:rPr>
        <w:t>прибывшим</w:t>
      </w:r>
      <w:r>
        <w:rPr>
          <w:spacing w:val="-4"/>
          <w:sz w:val="24"/>
        </w:rPr>
        <w:t> </w:t>
      </w:r>
      <w:r>
        <w:rPr>
          <w:sz w:val="24"/>
        </w:rPr>
        <w:t>в</w:t>
      </w:r>
      <w:r>
        <w:rPr>
          <w:spacing w:val="-2"/>
          <w:sz w:val="24"/>
        </w:rPr>
        <w:t> </w:t>
      </w:r>
      <w:r>
        <w:rPr>
          <w:sz w:val="24"/>
        </w:rPr>
        <w:t>Российскую</w:t>
      </w:r>
      <w:r>
        <w:rPr>
          <w:spacing w:val="-1"/>
          <w:sz w:val="24"/>
        </w:rPr>
        <w:t> </w:t>
      </w:r>
      <w:r>
        <w:rPr>
          <w:sz w:val="24"/>
        </w:rPr>
        <w:t>Федерацию</w:t>
      </w:r>
      <w:r>
        <w:rPr>
          <w:spacing w:val="-1"/>
          <w:sz w:val="24"/>
        </w:rPr>
        <w:t> </w:t>
      </w:r>
      <w:r>
        <w:rPr>
          <w:sz w:val="24"/>
        </w:rPr>
        <w:t>из стран, в которых зарегистрированы случаи заболевания COVID-19, а также проживающим совместно с ними лицам.</w:t>
      </w:r>
    </w:p>
    <w:p>
      <w:pPr>
        <w:pStyle w:val="BodyText"/>
        <w:spacing w:before="107"/>
        <w:ind w:left="0"/>
        <w:jc w:val="left"/>
      </w:pPr>
    </w:p>
    <w:p>
      <w:pPr>
        <w:pStyle w:val="Heading3"/>
        <w:ind w:left="1841" w:right="1276" w:firstLine="707"/>
      </w:pPr>
      <w:r>
        <w:rPr/>
        <w:t>Организация медицинской помощи пациентам с новой коронавирусной инфекцией</w:t>
      </w:r>
      <w:r>
        <w:rPr>
          <w:spacing w:val="78"/>
        </w:rPr>
        <w:t>  </w:t>
      </w:r>
      <w:r>
        <w:rPr/>
        <w:t>COVID-19</w:t>
      </w:r>
      <w:r>
        <w:rPr>
          <w:spacing w:val="77"/>
        </w:rPr>
        <w:t>  </w:t>
      </w:r>
      <w:r>
        <w:rPr/>
        <w:t>из</w:t>
      </w:r>
      <w:r>
        <w:rPr>
          <w:spacing w:val="77"/>
        </w:rPr>
        <w:t>  </w:t>
      </w:r>
      <w:r>
        <w:rPr/>
        <w:t>групп</w:t>
      </w:r>
      <w:r>
        <w:rPr>
          <w:spacing w:val="78"/>
        </w:rPr>
        <w:t>  </w:t>
      </w:r>
      <w:r>
        <w:rPr/>
        <w:t>риска</w:t>
      </w:r>
      <w:r>
        <w:rPr>
          <w:spacing w:val="77"/>
        </w:rPr>
        <w:t>  </w:t>
      </w:r>
      <w:r>
        <w:rPr/>
        <w:t>(первичные</w:t>
      </w:r>
      <w:r>
        <w:rPr>
          <w:spacing w:val="77"/>
        </w:rPr>
        <w:t>  </w:t>
      </w:r>
      <w:r>
        <w:rPr/>
        <w:t>иммунодефициты и</w:t>
      </w:r>
      <w:r>
        <w:rPr>
          <w:spacing w:val="80"/>
        </w:rPr>
        <w:t> </w:t>
      </w:r>
      <w:r>
        <w:rPr/>
        <w:t>вторичные</w:t>
      </w:r>
      <w:r>
        <w:rPr>
          <w:spacing w:val="80"/>
        </w:rPr>
        <w:t> </w:t>
      </w:r>
      <w:r>
        <w:rPr/>
        <w:t>иммунодефицитные</w:t>
      </w:r>
      <w:r>
        <w:rPr>
          <w:spacing w:val="80"/>
        </w:rPr>
        <w:t> </w:t>
      </w:r>
      <w:r>
        <w:rPr/>
        <w:t>состояния</w:t>
      </w:r>
      <w:r>
        <w:rPr>
          <w:spacing w:val="80"/>
        </w:rPr>
        <w:t> </w:t>
      </w:r>
      <w:r>
        <w:rPr/>
        <w:t>на</w:t>
      </w:r>
      <w:r>
        <w:rPr>
          <w:spacing w:val="80"/>
        </w:rPr>
        <w:t> </w:t>
      </w:r>
      <w:r>
        <w:rPr/>
        <w:t>фоне</w:t>
      </w:r>
      <w:r>
        <w:rPr>
          <w:spacing w:val="80"/>
        </w:rPr>
        <w:t> </w:t>
      </w:r>
      <w:r>
        <w:rPr/>
        <w:t>иммуносупрессивной</w:t>
      </w:r>
      <w:r>
        <w:rPr>
          <w:spacing w:val="40"/>
        </w:rPr>
        <w:t> </w:t>
      </w:r>
      <w:r>
        <w:rPr/>
        <w:t>и</w:t>
      </w:r>
      <w:r>
        <w:rPr>
          <w:spacing w:val="80"/>
        </w:rPr>
        <w:t>  </w:t>
      </w:r>
      <w:r>
        <w:rPr/>
        <w:t>генно-инженерной</w:t>
      </w:r>
      <w:r>
        <w:rPr>
          <w:spacing w:val="80"/>
        </w:rPr>
        <w:t>  </w:t>
      </w:r>
      <w:r>
        <w:rPr/>
        <w:t>биологической</w:t>
      </w:r>
      <w:r>
        <w:rPr>
          <w:spacing w:val="80"/>
        </w:rPr>
        <w:t>  </w:t>
      </w:r>
      <w:r>
        <w:rPr/>
        <w:t>терапии,</w:t>
      </w:r>
      <w:r>
        <w:rPr>
          <w:spacing w:val="80"/>
        </w:rPr>
        <w:t>  </w:t>
      </w:r>
      <w:r>
        <w:rPr/>
        <w:t>беременные,</w:t>
      </w:r>
      <w:r>
        <w:rPr>
          <w:spacing w:val="80"/>
        </w:rPr>
        <w:t>  </w:t>
      </w:r>
      <w:r>
        <w:rPr/>
        <w:t>пациенты</w:t>
      </w:r>
      <w:r>
        <w:rPr>
          <w:spacing w:val="80"/>
        </w:rPr>
        <w:t> </w:t>
      </w:r>
      <w:r>
        <w:rPr/>
        <w:t>с трансплантированными органами и другие) при проведении терапии препаратами</w:t>
      </w:r>
      <w:r>
        <w:rPr>
          <w:spacing w:val="80"/>
          <w:w w:val="150"/>
        </w:rPr>
        <w:t> </w:t>
      </w:r>
      <w:r>
        <w:rPr/>
        <w:t>на</w:t>
      </w:r>
      <w:r>
        <w:rPr>
          <w:spacing w:val="80"/>
          <w:w w:val="150"/>
        </w:rPr>
        <w:t> </w:t>
      </w:r>
      <w:r>
        <w:rPr/>
        <w:t>основе</w:t>
      </w:r>
      <w:r>
        <w:rPr>
          <w:spacing w:val="80"/>
          <w:w w:val="150"/>
        </w:rPr>
        <w:t> </w:t>
      </w:r>
      <w:r>
        <w:rPr/>
        <w:t>вируснейтрализующих</w:t>
      </w:r>
      <w:r>
        <w:rPr>
          <w:spacing w:val="80"/>
          <w:w w:val="150"/>
        </w:rPr>
        <w:t> </w:t>
      </w:r>
      <w:r>
        <w:rPr/>
        <w:t>моноклональных</w:t>
      </w:r>
      <w:r>
        <w:rPr>
          <w:spacing w:val="80"/>
          <w:w w:val="150"/>
        </w:rPr>
        <w:t> </w:t>
      </w:r>
      <w:r>
        <w:rPr/>
        <w:t>антител</w:t>
      </w:r>
      <w:r>
        <w:rPr>
          <w:spacing w:val="80"/>
          <w:w w:val="150"/>
        </w:rPr>
        <w:t> </w:t>
      </w:r>
      <w:r>
        <w:rPr/>
        <w:t>в</w:t>
      </w:r>
      <w:r>
        <w:rPr>
          <w:spacing w:val="-12"/>
        </w:rPr>
        <w:t> </w:t>
      </w:r>
      <w:r>
        <w:rPr/>
        <w:t>условиях</w:t>
      </w:r>
      <w:r>
        <w:rPr>
          <w:spacing w:val="-12"/>
        </w:rPr>
        <w:t> </w:t>
      </w:r>
      <w:r>
        <w:rPr/>
        <w:t>дневного</w:t>
      </w:r>
      <w:r>
        <w:rPr>
          <w:spacing w:val="-12"/>
        </w:rPr>
        <w:t> </w:t>
      </w:r>
      <w:r>
        <w:rPr/>
        <w:t>стационара</w:t>
      </w:r>
      <w:r>
        <w:rPr>
          <w:spacing w:val="-14"/>
        </w:rPr>
        <w:t> </w:t>
      </w:r>
      <w:r>
        <w:rPr/>
        <w:t>или</w:t>
      </w:r>
      <w:r>
        <w:rPr>
          <w:spacing w:val="-12"/>
        </w:rPr>
        <w:t> </w:t>
      </w:r>
      <w:r>
        <w:rPr/>
        <w:t>стационара</w:t>
      </w:r>
      <w:r>
        <w:rPr>
          <w:spacing w:val="-12"/>
        </w:rPr>
        <w:t> </w:t>
      </w:r>
      <w:r>
        <w:rPr/>
        <w:t>кратковременного</w:t>
      </w:r>
      <w:r>
        <w:rPr>
          <w:spacing w:val="-12"/>
        </w:rPr>
        <w:t> </w:t>
      </w:r>
      <w:r>
        <w:rPr/>
        <w:t>пребывания</w:t>
      </w:r>
    </w:p>
    <w:p>
      <w:pPr>
        <w:pStyle w:val="BodyText"/>
        <w:spacing w:before="63"/>
        <w:ind w:left="0"/>
        <w:jc w:val="left"/>
        <w:rPr>
          <w:b/>
        </w:rPr>
      </w:pPr>
    </w:p>
    <w:p>
      <w:pPr>
        <w:pStyle w:val="BodyText"/>
        <w:ind w:right="1271" w:firstLine="707"/>
      </w:pPr>
      <w:r>
        <w:rPr/>
        <w:t>В целях дальнейшего совершенствования оказания медицинской помощи пациентам с COVID-19 из групп риска терапия препаратами вируснейтрализующих моноклональных</w:t>
      </w:r>
      <w:r>
        <w:rPr>
          <w:spacing w:val="-9"/>
        </w:rPr>
        <w:t> </w:t>
      </w:r>
      <w:r>
        <w:rPr/>
        <w:t>антител</w:t>
      </w:r>
      <w:r>
        <w:rPr>
          <w:spacing w:val="-9"/>
        </w:rPr>
        <w:t> </w:t>
      </w:r>
      <w:r>
        <w:rPr/>
        <w:t>может</w:t>
      </w:r>
      <w:r>
        <w:rPr>
          <w:spacing w:val="-8"/>
        </w:rPr>
        <w:t> </w:t>
      </w:r>
      <w:r>
        <w:rPr/>
        <w:t>проводится</w:t>
      </w:r>
      <w:r>
        <w:rPr>
          <w:spacing w:val="-9"/>
        </w:rPr>
        <w:t> </w:t>
      </w:r>
      <w:r>
        <w:rPr/>
        <w:t>в</w:t>
      </w:r>
      <w:r>
        <w:rPr>
          <w:spacing w:val="-11"/>
        </w:rPr>
        <w:t> </w:t>
      </w:r>
      <w:r>
        <w:rPr/>
        <w:t>условиях</w:t>
      </w:r>
      <w:r>
        <w:rPr>
          <w:spacing w:val="-9"/>
        </w:rPr>
        <w:t> </w:t>
      </w:r>
      <w:r>
        <w:rPr/>
        <w:t>дневного</w:t>
      </w:r>
      <w:r>
        <w:rPr>
          <w:spacing w:val="-9"/>
        </w:rPr>
        <w:t> </w:t>
      </w:r>
      <w:r>
        <w:rPr/>
        <w:t>стационара</w:t>
      </w:r>
      <w:r>
        <w:rPr>
          <w:spacing w:val="-10"/>
        </w:rPr>
        <w:t> </w:t>
      </w:r>
      <w:r>
        <w:rPr/>
        <w:t>(далее</w:t>
      </w:r>
      <w:r>
        <w:rPr>
          <w:spacing w:val="-4"/>
        </w:rPr>
        <w:t> </w:t>
      </w:r>
      <w:r>
        <w:rPr/>
        <w:t>– ДС) или стационара кратковременного пребывания (далее – СКП). Показания для направления пациента в ДС или СКП (определяются врачом):</w:t>
      </w:r>
    </w:p>
    <w:p>
      <w:pPr>
        <w:pStyle w:val="ListParagraph"/>
        <w:numPr>
          <w:ilvl w:val="0"/>
          <w:numId w:val="60"/>
        </w:numPr>
        <w:tabs>
          <w:tab w:pos="2124" w:val="left" w:leader="none"/>
          <w:tab w:pos="4132" w:val="left" w:leader="none"/>
          <w:tab w:pos="5486" w:val="left" w:leader="none"/>
          <w:tab w:pos="7357" w:val="left" w:leader="none"/>
          <w:tab w:pos="7960" w:val="left" w:leader="none"/>
          <w:tab w:pos="9288" w:val="left" w:leader="none"/>
        </w:tabs>
        <w:spacing w:line="264" w:lineRule="auto" w:before="12" w:after="0"/>
        <w:ind w:left="2124" w:right="1277" w:hanging="360"/>
        <w:jc w:val="left"/>
        <w:rPr>
          <w:sz w:val="24"/>
        </w:rPr>
      </w:pPr>
      <w:r>
        <w:rPr>
          <w:spacing w:val="-2"/>
          <w:sz w:val="24"/>
        </w:rPr>
        <w:t>положительный</w:t>
      </w:r>
      <w:r>
        <w:rPr>
          <w:sz w:val="24"/>
        </w:rPr>
        <w:tab/>
      </w:r>
      <w:r>
        <w:rPr>
          <w:spacing w:val="-2"/>
          <w:sz w:val="24"/>
        </w:rPr>
        <w:t>результат</w:t>
      </w:r>
      <w:r>
        <w:rPr>
          <w:sz w:val="24"/>
        </w:rPr>
        <w:tab/>
      </w:r>
      <w:r>
        <w:rPr>
          <w:spacing w:val="-2"/>
          <w:sz w:val="24"/>
        </w:rPr>
        <w:t>экспресс-теста</w:t>
      </w:r>
      <w:r>
        <w:rPr>
          <w:sz w:val="24"/>
        </w:rPr>
        <w:tab/>
      </w:r>
      <w:r>
        <w:rPr>
          <w:spacing w:val="-6"/>
          <w:sz w:val="24"/>
        </w:rPr>
        <w:t>на</w:t>
      </w:r>
      <w:r>
        <w:rPr>
          <w:sz w:val="24"/>
        </w:rPr>
        <w:tab/>
      </w:r>
      <w:r>
        <w:rPr>
          <w:spacing w:val="-2"/>
          <w:sz w:val="24"/>
        </w:rPr>
        <w:t>антигены</w:t>
      </w:r>
      <w:r>
        <w:rPr>
          <w:sz w:val="24"/>
        </w:rPr>
        <w:tab/>
      </w:r>
      <w:r>
        <w:rPr>
          <w:spacing w:val="-2"/>
          <w:sz w:val="24"/>
        </w:rPr>
        <w:t>SARS-CoV-</w:t>
      </w:r>
      <w:r>
        <w:rPr>
          <w:spacing w:val="-2"/>
          <w:sz w:val="24"/>
        </w:rPr>
        <w:t>2 </w:t>
      </w:r>
      <w:r>
        <w:rPr>
          <w:sz w:val="24"/>
        </w:rPr>
        <w:t>иммунохроматографическим методом или РНК SARS-CoV-2 методом ПЦР;</w:t>
      </w:r>
    </w:p>
    <w:p>
      <w:pPr>
        <w:pStyle w:val="ListParagraph"/>
        <w:numPr>
          <w:ilvl w:val="0"/>
          <w:numId w:val="60"/>
        </w:numPr>
        <w:tabs>
          <w:tab w:pos="2124" w:val="left" w:leader="none"/>
        </w:tabs>
        <w:spacing w:line="240" w:lineRule="auto" w:before="14" w:after="0"/>
        <w:ind w:left="2124" w:right="0" w:hanging="359"/>
        <w:jc w:val="left"/>
        <w:rPr>
          <w:sz w:val="24"/>
        </w:rPr>
      </w:pPr>
      <w:r>
        <w:rPr>
          <w:sz w:val="24"/>
        </w:rPr>
        <w:t>возраст</w:t>
      </w:r>
      <w:r>
        <w:rPr>
          <w:spacing w:val="-6"/>
          <w:sz w:val="24"/>
        </w:rPr>
        <w:t> </w:t>
      </w:r>
      <w:r>
        <w:rPr>
          <w:sz w:val="24"/>
        </w:rPr>
        <w:t>от</w:t>
      </w:r>
      <w:r>
        <w:rPr>
          <w:spacing w:val="-4"/>
          <w:sz w:val="24"/>
        </w:rPr>
        <w:t> </w:t>
      </w:r>
      <w:r>
        <w:rPr>
          <w:sz w:val="24"/>
        </w:rPr>
        <w:t>12</w:t>
      </w:r>
      <w:r>
        <w:rPr>
          <w:spacing w:val="-6"/>
          <w:sz w:val="24"/>
        </w:rPr>
        <w:t> </w:t>
      </w:r>
      <w:r>
        <w:rPr>
          <w:sz w:val="24"/>
        </w:rPr>
        <w:t>до75</w:t>
      </w:r>
      <w:r>
        <w:rPr>
          <w:spacing w:val="-6"/>
          <w:sz w:val="24"/>
        </w:rPr>
        <w:t> </w:t>
      </w:r>
      <w:r>
        <w:rPr>
          <w:spacing w:val="-4"/>
          <w:sz w:val="24"/>
        </w:rPr>
        <w:t>лет;</w:t>
      </w:r>
    </w:p>
    <w:p>
      <w:pPr>
        <w:pStyle w:val="ListParagraph"/>
        <w:numPr>
          <w:ilvl w:val="0"/>
          <w:numId w:val="60"/>
        </w:numPr>
        <w:tabs>
          <w:tab w:pos="2124" w:val="left" w:leader="none"/>
        </w:tabs>
        <w:spacing w:line="240" w:lineRule="auto" w:before="33" w:after="0"/>
        <w:ind w:left="2124" w:right="0" w:hanging="359"/>
        <w:jc w:val="left"/>
        <w:rPr>
          <w:sz w:val="24"/>
        </w:rPr>
      </w:pPr>
      <w:r>
        <w:rPr>
          <w:sz w:val="24"/>
        </w:rPr>
        <w:t>наличие</w:t>
      </w:r>
      <w:r>
        <w:rPr>
          <w:spacing w:val="-14"/>
          <w:sz w:val="24"/>
        </w:rPr>
        <w:t> </w:t>
      </w:r>
      <w:r>
        <w:rPr>
          <w:sz w:val="24"/>
        </w:rPr>
        <w:t>факторов</w:t>
      </w:r>
      <w:r>
        <w:rPr>
          <w:spacing w:val="-14"/>
          <w:sz w:val="24"/>
        </w:rPr>
        <w:t> </w:t>
      </w:r>
      <w:r>
        <w:rPr>
          <w:sz w:val="24"/>
        </w:rPr>
        <w:t>риска</w:t>
      </w:r>
      <w:r>
        <w:rPr>
          <w:spacing w:val="-13"/>
          <w:sz w:val="24"/>
        </w:rPr>
        <w:t> </w:t>
      </w:r>
      <w:r>
        <w:rPr>
          <w:sz w:val="24"/>
        </w:rPr>
        <w:t>тяжелого</w:t>
      </w:r>
      <w:r>
        <w:rPr>
          <w:spacing w:val="-14"/>
          <w:sz w:val="24"/>
        </w:rPr>
        <w:t> </w:t>
      </w:r>
      <w:r>
        <w:rPr>
          <w:sz w:val="24"/>
        </w:rPr>
        <w:t>течения</w:t>
      </w:r>
      <w:r>
        <w:rPr>
          <w:spacing w:val="-13"/>
          <w:sz w:val="24"/>
        </w:rPr>
        <w:t> </w:t>
      </w:r>
      <w:r>
        <w:rPr>
          <w:sz w:val="24"/>
        </w:rPr>
        <w:t>COVID-</w:t>
      </w:r>
      <w:r>
        <w:rPr>
          <w:spacing w:val="-5"/>
          <w:sz w:val="24"/>
        </w:rPr>
        <w:t>19;</w:t>
      </w:r>
    </w:p>
    <w:p>
      <w:pPr>
        <w:pStyle w:val="ListParagraph"/>
        <w:numPr>
          <w:ilvl w:val="0"/>
          <w:numId w:val="60"/>
        </w:numPr>
        <w:tabs>
          <w:tab w:pos="2124" w:val="left" w:leader="none"/>
        </w:tabs>
        <w:spacing w:line="264" w:lineRule="auto" w:before="33" w:after="0"/>
        <w:ind w:left="2124" w:right="1281" w:hanging="360"/>
        <w:jc w:val="left"/>
        <w:rPr>
          <w:sz w:val="24"/>
        </w:rPr>
      </w:pPr>
      <w:r>
        <w:rPr>
          <w:sz w:val="24"/>
        </w:rPr>
        <w:t>длительность</w:t>
      </w:r>
      <w:r>
        <w:rPr>
          <w:spacing w:val="80"/>
          <w:w w:val="150"/>
          <w:sz w:val="24"/>
        </w:rPr>
        <w:t> </w:t>
      </w:r>
      <w:r>
        <w:rPr>
          <w:sz w:val="24"/>
        </w:rPr>
        <w:t>заболевания</w:t>
      </w:r>
      <w:r>
        <w:rPr>
          <w:spacing w:val="80"/>
          <w:w w:val="150"/>
          <w:sz w:val="24"/>
        </w:rPr>
        <w:t> </w:t>
      </w:r>
      <w:r>
        <w:rPr>
          <w:sz w:val="24"/>
        </w:rPr>
        <w:t>до</w:t>
      </w:r>
      <w:r>
        <w:rPr>
          <w:spacing w:val="80"/>
          <w:w w:val="150"/>
          <w:sz w:val="24"/>
        </w:rPr>
        <w:t> </w:t>
      </w:r>
      <w:r>
        <w:rPr>
          <w:sz w:val="24"/>
        </w:rPr>
        <w:t>7</w:t>
      </w:r>
      <w:r>
        <w:rPr>
          <w:spacing w:val="80"/>
          <w:w w:val="150"/>
          <w:sz w:val="24"/>
        </w:rPr>
        <w:t> </w:t>
      </w:r>
      <w:r>
        <w:rPr>
          <w:sz w:val="24"/>
        </w:rPr>
        <w:t>дней</w:t>
      </w:r>
      <w:r>
        <w:rPr>
          <w:spacing w:val="80"/>
          <w:w w:val="150"/>
          <w:sz w:val="24"/>
        </w:rPr>
        <w:t> </w:t>
      </w:r>
      <w:r>
        <w:rPr>
          <w:sz w:val="24"/>
        </w:rPr>
        <w:t>включительно</w:t>
      </w:r>
      <w:r>
        <w:rPr>
          <w:spacing w:val="80"/>
          <w:w w:val="150"/>
          <w:sz w:val="24"/>
        </w:rPr>
        <w:t> </w:t>
      </w:r>
      <w:r>
        <w:rPr>
          <w:sz w:val="24"/>
        </w:rPr>
        <w:t>от</w:t>
      </w:r>
      <w:r>
        <w:rPr>
          <w:spacing w:val="80"/>
          <w:w w:val="150"/>
          <w:sz w:val="24"/>
        </w:rPr>
        <w:t> </w:t>
      </w:r>
      <w:r>
        <w:rPr>
          <w:sz w:val="24"/>
        </w:rPr>
        <w:t>появления</w:t>
      </w:r>
      <w:r>
        <w:rPr>
          <w:spacing w:val="80"/>
          <w:w w:val="150"/>
          <w:sz w:val="24"/>
        </w:rPr>
        <w:t> </w:t>
      </w:r>
      <w:r>
        <w:rPr>
          <w:sz w:val="24"/>
        </w:rPr>
        <w:t>первых клинических симптомов.</w:t>
      </w:r>
    </w:p>
    <w:p>
      <w:pPr>
        <w:pStyle w:val="BodyText"/>
        <w:spacing w:before="67"/>
        <w:ind w:left="0"/>
        <w:jc w:val="left"/>
      </w:pPr>
    </w:p>
    <w:p>
      <w:pPr>
        <w:pStyle w:val="BodyText"/>
        <w:ind w:right="1273" w:firstLine="707"/>
      </w:pPr>
      <w:r>
        <w:rPr/>
        <w:t>Врач</w:t>
      </w:r>
      <w:r>
        <w:rPr>
          <w:spacing w:val="40"/>
        </w:rPr>
        <w:t> </w:t>
      </w:r>
      <w:r>
        <w:rPr/>
        <w:t>ДС</w:t>
      </w:r>
      <w:r>
        <w:rPr>
          <w:spacing w:val="40"/>
        </w:rPr>
        <w:t> </w:t>
      </w:r>
      <w:r>
        <w:rPr/>
        <w:t>или</w:t>
      </w:r>
      <w:r>
        <w:rPr>
          <w:spacing w:val="40"/>
        </w:rPr>
        <w:t> </w:t>
      </w:r>
      <w:r>
        <w:rPr/>
        <w:t>СКП</w:t>
      </w:r>
      <w:r>
        <w:rPr>
          <w:spacing w:val="40"/>
        </w:rPr>
        <w:t> </w:t>
      </w:r>
      <w:r>
        <w:rPr/>
        <w:t>определяет</w:t>
      </w:r>
      <w:r>
        <w:rPr>
          <w:spacing w:val="40"/>
        </w:rPr>
        <w:t> </w:t>
      </w:r>
      <w:r>
        <w:rPr/>
        <w:t>показания</w:t>
      </w:r>
      <w:r>
        <w:rPr>
          <w:spacing w:val="40"/>
        </w:rPr>
        <w:t> </w:t>
      </w:r>
      <w:r>
        <w:rPr/>
        <w:t>и</w:t>
      </w:r>
      <w:r>
        <w:rPr>
          <w:spacing w:val="40"/>
        </w:rPr>
        <w:t> </w:t>
      </w:r>
      <w:r>
        <w:rPr/>
        <w:t>исключает</w:t>
      </w:r>
      <w:r>
        <w:rPr>
          <w:spacing w:val="40"/>
        </w:rPr>
        <w:t> </w:t>
      </w:r>
      <w:r>
        <w:rPr/>
        <w:t>противопоказания для проведения терапии, получает информированное добровольное согласие пациента</w:t>
      </w:r>
      <w:r>
        <w:rPr>
          <w:spacing w:val="-11"/>
        </w:rPr>
        <w:t> </w:t>
      </w:r>
      <w:r>
        <w:rPr/>
        <w:t>(у</w:t>
      </w:r>
      <w:r>
        <w:rPr>
          <w:spacing w:val="-11"/>
        </w:rPr>
        <w:t> </w:t>
      </w:r>
      <w:r>
        <w:rPr/>
        <w:t>детей</w:t>
      </w:r>
      <w:r>
        <w:rPr>
          <w:spacing w:val="-10"/>
        </w:rPr>
        <w:t> </w:t>
      </w:r>
      <w:r>
        <w:rPr/>
        <w:t>от</w:t>
      </w:r>
      <w:r>
        <w:rPr>
          <w:spacing w:val="-10"/>
        </w:rPr>
        <w:t> </w:t>
      </w:r>
      <w:r>
        <w:rPr/>
        <w:t>12</w:t>
      </w:r>
      <w:r>
        <w:rPr>
          <w:spacing w:val="-8"/>
        </w:rPr>
        <w:t> </w:t>
      </w:r>
      <w:r>
        <w:rPr/>
        <w:t>до</w:t>
      </w:r>
      <w:r>
        <w:rPr>
          <w:spacing w:val="-10"/>
        </w:rPr>
        <w:t> </w:t>
      </w:r>
      <w:r>
        <w:rPr/>
        <w:t>15</w:t>
      </w:r>
      <w:r>
        <w:rPr>
          <w:spacing w:val="-11"/>
        </w:rPr>
        <w:t> </w:t>
      </w:r>
      <w:r>
        <w:rPr/>
        <w:t>лет</w:t>
      </w:r>
      <w:r>
        <w:rPr>
          <w:spacing w:val="-8"/>
        </w:rPr>
        <w:t> </w:t>
      </w:r>
      <w:r>
        <w:rPr/>
        <w:t>–</w:t>
      </w:r>
      <w:r>
        <w:rPr>
          <w:spacing w:val="-8"/>
        </w:rPr>
        <w:t> </w:t>
      </w:r>
      <w:r>
        <w:rPr/>
        <w:t>согласие</w:t>
      </w:r>
      <w:r>
        <w:rPr>
          <w:spacing w:val="-12"/>
        </w:rPr>
        <w:t> </w:t>
      </w:r>
      <w:r>
        <w:rPr/>
        <w:t>родителей</w:t>
      </w:r>
      <w:r>
        <w:rPr>
          <w:spacing w:val="-10"/>
        </w:rPr>
        <w:t> </w:t>
      </w:r>
      <w:r>
        <w:rPr/>
        <w:t>или</w:t>
      </w:r>
      <w:r>
        <w:rPr>
          <w:spacing w:val="-10"/>
        </w:rPr>
        <w:t> </w:t>
      </w:r>
      <w:r>
        <w:rPr/>
        <w:t>законных</w:t>
      </w:r>
      <w:r>
        <w:rPr>
          <w:spacing w:val="-14"/>
        </w:rPr>
        <w:t> </w:t>
      </w:r>
      <w:r>
        <w:rPr/>
        <w:t>представителей) </w:t>
      </w:r>
      <w:r>
        <w:rPr>
          <w:spacing w:val="-2"/>
        </w:rPr>
        <w:t>на проведение терапии препаратами вируснейтрализующих моноклональных антител. </w:t>
      </w:r>
      <w:r>
        <w:rPr/>
        <w:t>Врач разъясняет все факторы риска и пользы для пациента. Решение о проведении терапии</w:t>
      </w:r>
      <w:r>
        <w:rPr>
          <w:spacing w:val="80"/>
        </w:rPr>
        <w:t> </w:t>
      </w:r>
      <w:r>
        <w:rPr/>
        <w:t>препаратами</w:t>
      </w:r>
      <w:r>
        <w:rPr>
          <w:spacing w:val="80"/>
        </w:rPr>
        <w:t> </w:t>
      </w:r>
      <w:r>
        <w:rPr/>
        <w:t>вируснейтрализующих</w:t>
      </w:r>
      <w:r>
        <w:rPr>
          <w:spacing w:val="80"/>
        </w:rPr>
        <w:t> </w:t>
      </w:r>
      <w:r>
        <w:rPr/>
        <w:t>моноклональных</w:t>
      </w:r>
      <w:r>
        <w:rPr>
          <w:spacing w:val="80"/>
        </w:rPr>
        <w:t> </w:t>
      </w:r>
      <w:r>
        <w:rPr/>
        <w:t>антител</w:t>
      </w:r>
      <w:r>
        <w:rPr>
          <w:spacing w:val="80"/>
        </w:rPr>
        <w:t> </w:t>
      </w:r>
      <w:r>
        <w:rPr/>
        <w:t>вносится в протокол осмотра врача. В случае отказа пациента от предложенной терапии оформляется отказ от медицинского вмешательства.</w:t>
      </w:r>
    </w:p>
    <w:p>
      <w:pPr>
        <w:pStyle w:val="BodyText"/>
        <w:spacing w:before="13"/>
        <w:ind w:right="1273" w:firstLine="707"/>
      </w:pPr>
      <w:r>
        <w:rPr/>
        <w:t>В</w:t>
      </w:r>
      <w:r>
        <w:rPr>
          <w:spacing w:val="-4"/>
        </w:rPr>
        <w:t> </w:t>
      </w:r>
      <w:r>
        <w:rPr/>
        <w:t>дневном</w:t>
      </w:r>
      <w:r>
        <w:rPr>
          <w:spacing w:val="-5"/>
        </w:rPr>
        <w:t> </w:t>
      </w:r>
      <w:r>
        <w:rPr/>
        <w:t>стационаре</w:t>
      </w:r>
      <w:r>
        <w:rPr>
          <w:spacing w:val="-5"/>
        </w:rPr>
        <w:t> </w:t>
      </w:r>
      <w:r>
        <w:rPr/>
        <w:t>врач</w:t>
      </w:r>
      <w:r>
        <w:rPr>
          <w:spacing w:val="-5"/>
        </w:rPr>
        <w:t> </w:t>
      </w:r>
      <w:r>
        <w:rPr/>
        <w:t>проводит</w:t>
      </w:r>
      <w:r>
        <w:rPr>
          <w:spacing w:val="-4"/>
        </w:rPr>
        <w:t> </w:t>
      </w:r>
      <w:r>
        <w:rPr/>
        <w:t>сбор</w:t>
      </w:r>
      <w:r>
        <w:rPr>
          <w:spacing w:val="-4"/>
        </w:rPr>
        <w:t> </w:t>
      </w:r>
      <w:r>
        <w:rPr/>
        <w:t>анамнеза,</w:t>
      </w:r>
      <w:r>
        <w:rPr>
          <w:spacing w:val="-4"/>
        </w:rPr>
        <w:t> </w:t>
      </w:r>
      <w:r>
        <w:rPr/>
        <w:t>определяет</w:t>
      </w:r>
      <w:r>
        <w:rPr>
          <w:spacing w:val="-4"/>
        </w:rPr>
        <w:t> </w:t>
      </w:r>
      <w:r>
        <w:rPr/>
        <w:t>длительность заболевания (в днях с момента появления первых симптомов), оценивает соматический анамнез, выявляет факторы риска тяжелого течения COVID-19. Результаты осмотра вносятся в протокол осмотра врача дневного стационара.</w:t>
      </w:r>
    </w:p>
    <w:p>
      <w:pPr>
        <w:pStyle w:val="BodyText"/>
        <w:spacing w:before="14"/>
        <w:ind w:right="1277" w:firstLine="707"/>
      </w:pPr>
      <w:r>
        <w:rPr/>
        <w:t>При необходимости назначаются лабораторные и инструментальные обследования: клинический и биохимический анализ крови (АЛТ, АСТ, креатинин, СРБ), ЭКГ, другие исследования (по показаниям).</w:t>
      </w:r>
    </w:p>
    <w:p>
      <w:pPr>
        <w:pStyle w:val="BodyText"/>
        <w:spacing w:after="0"/>
        <w:sectPr>
          <w:pgSz w:w="11900" w:h="16840"/>
          <w:pgMar w:header="0" w:footer="697" w:top="1080" w:bottom="880" w:left="0" w:right="0"/>
        </w:sectPr>
      </w:pPr>
    </w:p>
    <w:p>
      <w:pPr>
        <w:pStyle w:val="BodyText"/>
        <w:spacing w:before="73"/>
        <w:ind w:right="1277" w:firstLine="707"/>
      </w:pPr>
      <w:bookmarkStart w:name="132" w:id="158"/>
      <w:bookmarkEnd w:id="158"/>
      <w:r>
        <w:rPr/>
      </w:r>
      <w:r>
        <w:rPr/>
        <w:t>Врач</w:t>
      </w:r>
      <w:r>
        <w:rPr>
          <w:spacing w:val="-8"/>
        </w:rPr>
        <w:t> </w:t>
      </w:r>
      <w:r>
        <w:rPr/>
        <w:t>дневного</w:t>
      </w:r>
      <w:r>
        <w:rPr>
          <w:spacing w:val="-7"/>
        </w:rPr>
        <w:t> </w:t>
      </w:r>
      <w:r>
        <w:rPr/>
        <w:t>стационара</w:t>
      </w:r>
      <w:r>
        <w:rPr>
          <w:spacing w:val="-6"/>
        </w:rPr>
        <w:t> </w:t>
      </w:r>
      <w:r>
        <w:rPr/>
        <w:t>собирает</w:t>
      </w:r>
      <w:r>
        <w:rPr>
          <w:spacing w:val="-7"/>
        </w:rPr>
        <w:t> </w:t>
      </w:r>
      <w:r>
        <w:rPr/>
        <w:t>и</w:t>
      </w:r>
      <w:r>
        <w:rPr>
          <w:spacing w:val="-7"/>
        </w:rPr>
        <w:t> </w:t>
      </w:r>
      <w:r>
        <w:rPr/>
        <w:t>проводит</w:t>
      </w:r>
      <w:r>
        <w:rPr>
          <w:spacing w:val="-7"/>
        </w:rPr>
        <w:t> </w:t>
      </w:r>
      <w:r>
        <w:rPr/>
        <w:t>Врачебную</w:t>
      </w:r>
      <w:r>
        <w:rPr>
          <w:spacing w:val="-7"/>
        </w:rPr>
        <w:t> </w:t>
      </w:r>
      <w:r>
        <w:rPr/>
        <w:t>комиссию</w:t>
      </w:r>
      <w:r>
        <w:rPr>
          <w:spacing w:val="-7"/>
        </w:rPr>
        <w:t> </w:t>
      </w:r>
      <w:r>
        <w:rPr/>
        <w:t>с</w:t>
      </w:r>
      <w:r>
        <w:rPr>
          <w:spacing w:val="-8"/>
        </w:rPr>
        <w:t> </w:t>
      </w:r>
      <w:r>
        <w:rPr/>
        <w:t>целью решением вопроса о целесообразности проведения терапии препаратом из группы вируснейтрализующих</w:t>
      </w:r>
      <w:r>
        <w:rPr>
          <w:spacing w:val="-15"/>
        </w:rPr>
        <w:t> </w:t>
      </w:r>
      <w:r>
        <w:rPr/>
        <w:t>моноклональных</w:t>
      </w:r>
      <w:r>
        <w:rPr>
          <w:spacing w:val="-13"/>
        </w:rPr>
        <w:t> </w:t>
      </w:r>
      <w:r>
        <w:rPr/>
        <w:t>антител.</w:t>
      </w:r>
      <w:r>
        <w:rPr>
          <w:spacing w:val="-12"/>
        </w:rPr>
        <w:t> </w:t>
      </w:r>
      <w:r>
        <w:rPr/>
        <w:t>В</w:t>
      </w:r>
      <w:r>
        <w:rPr>
          <w:spacing w:val="-12"/>
        </w:rPr>
        <w:t> </w:t>
      </w:r>
      <w:r>
        <w:rPr/>
        <w:t>случае</w:t>
      </w:r>
      <w:r>
        <w:rPr>
          <w:spacing w:val="-13"/>
        </w:rPr>
        <w:t> </w:t>
      </w:r>
      <w:r>
        <w:rPr/>
        <w:t>принятия</w:t>
      </w:r>
      <w:r>
        <w:rPr>
          <w:spacing w:val="-12"/>
        </w:rPr>
        <w:t> </w:t>
      </w:r>
      <w:r>
        <w:rPr/>
        <w:t>положительного решения</w:t>
      </w:r>
      <w:r>
        <w:rPr>
          <w:spacing w:val="72"/>
        </w:rPr>
        <w:t> </w:t>
      </w:r>
      <w:r>
        <w:rPr/>
        <w:t>Врачебной</w:t>
      </w:r>
      <w:r>
        <w:rPr>
          <w:spacing w:val="71"/>
        </w:rPr>
        <w:t> </w:t>
      </w:r>
      <w:r>
        <w:rPr/>
        <w:t>комиссией</w:t>
      </w:r>
      <w:r>
        <w:rPr>
          <w:spacing w:val="73"/>
        </w:rPr>
        <w:t> </w:t>
      </w:r>
      <w:r>
        <w:rPr/>
        <w:t>о</w:t>
      </w:r>
      <w:r>
        <w:rPr>
          <w:spacing w:val="72"/>
        </w:rPr>
        <w:t> </w:t>
      </w:r>
      <w:r>
        <w:rPr/>
        <w:t>проведении</w:t>
      </w:r>
      <w:r>
        <w:rPr>
          <w:spacing w:val="73"/>
        </w:rPr>
        <w:t> </w:t>
      </w:r>
      <w:r>
        <w:rPr/>
        <w:t>терапии,</w:t>
      </w:r>
      <w:r>
        <w:rPr>
          <w:spacing w:val="72"/>
        </w:rPr>
        <w:t> </w:t>
      </w:r>
      <w:r>
        <w:rPr/>
        <w:t>лечащий</w:t>
      </w:r>
      <w:r>
        <w:rPr>
          <w:spacing w:val="71"/>
        </w:rPr>
        <w:t> </w:t>
      </w:r>
      <w:r>
        <w:rPr/>
        <w:t>врач</w:t>
      </w:r>
      <w:r>
        <w:rPr>
          <w:spacing w:val="72"/>
        </w:rPr>
        <w:t> </w:t>
      </w:r>
      <w:r>
        <w:rPr/>
        <w:t>указывает в листе назначения, кратность, дозировку, метод введения, длительность введения </w:t>
      </w:r>
      <w:r>
        <w:rPr>
          <w:spacing w:val="-2"/>
        </w:rPr>
        <w:t>препарата.</w:t>
      </w:r>
    </w:p>
    <w:p>
      <w:pPr>
        <w:pStyle w:val="Heading3"/>
        <w:spacing w:before="13"/>
        <w:ind w:left="1841" w:right="1281" w:firstLine="707"/>
      </w:pPr>
      <w:r>
        <w:rPr/>
        <w:t>Наблюдение</w:t>
      </w:r>
      <w:r>
        <w:rPr>
          <w:spacing w:val="-10"/>
        </w:rPr>
        <w:t> </w:t>
      </w:r>
      <w:r>
        <w:rPr/>
        <w:t>пациентов</w:t>
      </w:r>
      <w:r>
        <w:rPr>
          <w:spacing w:val="-9"/>
        </w:rPr>
        <w:t> </w:t>
      </w:r>
      <w:r>
        <w:rPr/>
        <w:t>после</w:t>
      </w:r>
      <w:r>
        <w:rPr>
          <w:spacing w:val="-10"/>
        </w:rPr>
        <w:t> </w:t>
      </w:r>
      <w:r>
        <w:rPr/>
        <w:t>проведения</w:t>
      </w:r>
      <w:r>
        <w:rPr>
          <w:spacing w:val="-9"/>
        </w:rPr>
        <w:t> </w:t>
      </w:r>
      <w:r>
        <w:rPr/>
        <w:t>терапии</w:t>
      </w:r>
      <w:r>
        <w:rPr>
          <w:spacing w:val="-8"/>
        </w:rPr>
        <w:t> </w:t>
      </w:r>
      <w:r>
        <w:rPr/>
        <w:t>препаратами</w:t>
      </w:r>
      <w:r>
        <w:rPr>
          <w:spacing w:val="-9"/>
        </w:rPr>
        <w:t> </w:t>
      </w:r>
      <w:r>
        <w:rPr/>
        <w:t>на</w:t>
      </w:r>
      <w:r>
        <w:rPr>
          <w:spacing w:val="-9"/>
        </w:rPr>
        <w:t> </w:t>
      </w:r>
      <w:r>
        <w:rPr/>
        <w:t>основе вируснейтрализующих моноклональных антител в дневном стационаре</w:t>
      </w:r>
    </w:p>
    <w:p>
      <w:pPr>
        <w:pStyle w:val="BodyText"/>
        <w:spacing w:before="14"/>
        <w:ind w:right="1277" w:firstLine="707"/>
      </w:pPr>
      <w:r>
        <w:rPr/>
        <w:t>Оценка общего состояния пациента после терапии в условиях ДС может проводиться с помощью телемедицинских технологий врачами после проведения инфузии препарата/препаратов с обязательным контролем лабораторных исследований амбулаторно на 3-7-11 сутки после проведения терапии:</w:t>
      </w:r>
    </w:p>
    <w:p>
      <w:pPr>
        <w:pStyle w:val="BodyText"/>
        <w:spacing w:before="25"/>
        <w:ind w:left="0"/>
        <w:jc w:val="left"/>
      </w:pPr>
    </w:p>
    <w:p>
      <w:pPr>
        <w:pStyle w:val="BodyText"/>
        <w:spacing w:before="1"/>
        <w:ind w:left="2549"/>
        <w:jc w:val="left"/>
      </w:pPr>
      <w:r>
        <w:rPr>
          <w:spacing w:val="-2"/>
        </w:rPr>
        <w:t>Контролируемые</w:t>
      </w:r>
      <w:r>
        <w:rPr>
          <w:spacing w:val="3"/>
        </w:rPr>
        <w:t> </w:t>
      </w:r>
      <w:r>
        <w:rPr>
          <w:spacing w:val="-2"/>
        </w:rPr>
        <w:t>показатели:</w:t>
      </w:r>
    </w:p>
    <w:p>
      <w:pPr>
        <w:pStyle w:val="ListParagraph"/>
        <w:numPr>
          <w:ilvl w:val="0"/>
          <w:numId w:val="60"/>
        </w:numPr>
        <w:tabs>
          <w:tab w:pos="2124" w:val="left" w:leader="none"/>
        </w:tabs>
        <w:spacing w:line="240" w:lineRule="auto" w:before="15" w:after="0"/>
        <w:ind w:left="2124" w:right="0" w:hanging="359"/>
        <w:jc w:val="left"/>
        <w:rPr>
          <w:sz w:val="24"/>
        </w:rPr>
      </w:pPr>
      <w:r>
        <w:rPr>
          <w:sz w:val="24"/>
        </w:rPr>
        <w:t>исследование</w:t>
      </w:r>
      <w:r>
        <w:rPr>
          <w:spacing w:val="-12"/>
          <w:sz w:val="24"/>
        </w:rPr>
        <w:t> </w:t>
      </w:r>
      <w:r>
        <w:rPr>
          <w:sz w:val="24"/>
        </w:rPr>
        <w:t>на</w:t>
      </w:r>
      <w:r>
        <w:rPr>
          <w:spacing w:val="-11"/>
          <w:sz w:val="24"/>
        </w:rPr>
        <w:t> </w:t>
      </w:r>
      <w:r>
        <w:rPr>
          <w:sz w:val="24"/>
        </w:rPr>
        <w:t>РНК</w:t>
      </w:r>
      <w:r>
        <w:rPr>
          <w:spacing w:val="-12"/>
          <w:sz w:val="24"/>
        </w:rPr>
        <w:t> </w:t>
      </w:r>
      <w:r>
        <w:rPr>
          <w:sz w:val="24"/>
        </w:rPr>
        <w:t>SARS-CoV-2</w:t>
      </w:r>
      <w:r>
        <w:rPr>
          <w:spacing w:val="-11"/>
          <w:sz w:val="24"/>
        </w:rPr>
        <w:t> </w:t>
      </w:r>
      <w:r>
        <w:rPr>
          <w:sz w:val="24"/>
        </w:rPr>
        <w:t>методом</w:t>
      </w:r>
      <w:r>
        <w:rPr>
          <w:spacing w:val="-12"/>
          <w:sz w:val="24"/>
        </w:rPr>
        <w:t> </w:t>
      </w:r>
      <w:r>
        <w:rPr>
          <w:spacing w:val="-4"/>
          <w:sz w:val="24"/>
        </w:rPr>
        <w:t>ПЦР,</w:t>
      </w:r>
    </w:p>
    <w:p>
      <w:pPr>
        <w:pStyle w:val="ListParagraph"/>
        <w:numPr>
          <w:ilvl w:val="0"/>
          <w:numId w:val="60"/>
        </w:numPr>
        <w:tabs>
          <w:tab w:pos="2124" w:val="left" w:leader="none"/>
        </w:tabs>
        <w:spacing w:line="240" w:lineRule="auto" w:before="33" w:after="0"/>
        <w:ind w:left="2124" w:right="0" w:hanging="359"/>
        <w:jc w:val="left"/>
        <w:rPr>
          <w:sz w:val="24"/>
        </w:rPr>
      </w:pPr>
      <w:r>
        <w:rPr>
          <w:spacing w:val="-2"/>
          <w:sz w:val="24"/>
        </w:rPr>
        <w:t>клинический</w:t>
      </w:r>
      <w:r>
        <w:rPr>
          <w:spacing w:val="1"/>
          <w:sz w:val="24"/>
        </w:rPr>
        <w:t> </w:t>
      </w:r>
      <w:r>
        <w:rPr>
          <w:spacing w:val="-2"/>
          <w:sz w:val="24"/>
        </w:rPr>
        <w:t>анализ</w:t>
      </w:r>
      <w:r>
        <w:rPr>
          <w:spacing w:val="2"/>
          <w:sz w:val="24"/>
        </w:rPr>
        <w:t> </w:t>
      </w:r>
      <w:r>
        <w:rPr>
          <w:spacing w:val="-2"/>
          <w:sz w:val="24"/>
        </w:rPr>
        <w:t>крови,</w:t>
      </w:r>
    </w:p>
    <w:p>
      <w:pPr>
        <w:pStyle w:val="ListParagraph"/>
        <w:numPr>
          <w:ilvl w:val="0"/>
          <w:numId w:val="60"/>
        </w:numPr>
        <w:tabs>
          <w:tab w:pos="2124" w:val="left" w:leader="none"/>
        </w:tabs>
        <w:spacing w:line="240" w:lineRule="auto" w:before="33" w:after="0"/>
        <w:ind w:left="2124" w:right="0" w:hanging="359"/>
        <w:jc w:val="left"/>
        <w:rPr>
          <w:sz w:val="24"/>
        </w:rPr>
      </w:pPr>
      <w:r>
        <w:rPr>
          <w:sz w:val="24"/>
        </w:rPr>
        <w:t>биохимический</w:t>
      </w:r>
      <w:r>
        <w:rPr>
          <w:spacing w:val="-13"/>
          <w:sz w:val="24"/>
        </w:rPr>
        <w:t> </w:t>
      </w:r>
      <w:r>
        <w:rPr>
          <w:sz w:val="24"/>
        </w:rPr>
        <w:t>анализ</w:t>
      </w:r>
      <w:r>
        <w:rPr>
          <w:spacing w:val="-13"/>
          <w:sz w:val="24"/>
        </w:rPr>
        <w:t> </w:t>
      </w:r>
      <w:r>
        <w:rPr>
          <w:sz w:val="24"/>
        </w:rPr>
        <w:t>крови</w:t>
      </w:r>
      <w:r>
        <w:rPr>
          <w:spacing w:val="-12"/>
          <w:sz w:val="24"/>
        </w:rPr>
        <w:t> </w:t>
      </w:r>
      <w:r>
        <w:rPr>
          <w:sz w:val="24"/>
        </w:rPr>
        <w:t>(АЛТ,</w:t>
      </w:r>
      <w:r>
        <w:rPr>
          <w:spacing w:val="-13"/>
          <w:sz w:val="24"/>
        </w:rPr>
        <w:t> </w:t>
      </w:r>
      <w:r>
        <w:rPr>
          <w:sz w:val="24"/>
        </w:rPr>
        <w:t>АСТ,</w:t>
      </w:r>
      <w:r>
        <w:rPr>
          <w:spacing w:val="-10"/>
          <w:sz w:val="24"/>
        </w:rPr>
        <w:t> </w:t>
      </w:r>
      <w:r>
        <w:rPr>
          <w:sz w:val="24"/>
        </w:rPr>
        <w:t>креатинин,</w:t>
      </w:r>
      <w:r>
        <w:rPr>
          <w:spacing w:val="-14"/>
          <w:sz w:val="24"/>
        </w:rPr>
        <w:t> </w:t>
      </w:r>
      <w:r>
        <w:rPr>
          <w:spacing w:val="-2"/>
          <w:sz w:val="24"/>
        </w:rPr>
        <w:t>СРБ).</w:t>
      </w:r>
    </w:p>
    <w:p>
      <w:pPr>
        <w:pStyle w:val="BodyText"/>
        <w:spacing w:before="57"/>
        <w:ind w:left="0"/>
        <w:jc w:val="left"/>
      </w:pPr>
    </w:p>
    <w:p>
      <w:pPr>
        <w:pStyle w:val="BodyText"/>
        <w:spacing w:before="1"/>
        <w:ind w:right="1279" w:firstLine="565"/>
      </w:pPr>
      <w:r>
        <w:rPr/>
        <w:t>В случае отсутствия эффекта от проводимой терапии или при ухудшении состояния на любом этапе динамического наблюдения пациенты могут быть направлены на стационарное лечение.</w:t>
      </w:r>
    </w:p>
    <w:p>
      <w:pPr>
        <w:pStyle w:val="Heading3"/>
        <w:spacing w:line="309" w:lineRule="auto" w:before="121"/>
        <w:ind w:left="1853" w:right="1280" w:firstLine="695"/>
      </w:pPr>
      <w:r>
        <w:rPr>
          <w:color w:val="1F487C"/>
        </w:rPr>
        <w:t>г) Порядок организации лабораторного обследования для диагностики </w:t>
      </w:r>
      <w:r>
        <w:rPr>
          <w:color w:val="1F487C"/>
          <w:spacing w:val="-2"/>
        </w:rPr>
        <w:t>COVID-19.</w:t>
      </w:r>
    </w:p>
    <w:p>
      <w:pPr>
        <w:pStyle w:val="BodyText"/>
        <w:spacing w:line="276" w:lineRule="auto" w:before="123"/>
        <w:ind w:left="1851" w:right="1280" w:firstLine="697"/>
      </w:pPr>
      <w:r>
        <w:rPr/>
        <w:t>Руководителям медицинских организаций, в подчинении которых находятся диагностические лаборатории, выполняющие исследования с целью диагностики COVID-19, необходимо обеспечить:</w:t>
      </w:r>
    </w:p>
    <w:p>
      <w:pPr>
        <w:pStyle w:val="ListParagraph"/>
        <w:numPr>
          <w:ilvl w:val="0"/>
          <w:numId w:val="60"/>
        </w:numPr>
        <w:tabs>
          <w:tab w:pos="2124" w:val="left" w:leader="none"/>
        </w:tabs>
        <w:spacing w:line="268" w:lineRule="auto" w:before="15" w:after="0"/>
        <w:ind w:left="2124" w:right="1273" w:hanging="360"/>
        <w:jc w:val="both"/>
        <w:rPr>
          <w:sz w:val="24"/>
        </w:rPr>
      </w:pPr>
      <w:r>
        <w:rPr>
          <w:sz w:val="24"/>
        </w:rPr>
        <w:t>Наличие запаса реагентов, тест-систем, расходных материалов для проведения лабораторных исследований, дезинфекционных средств и медицинских изделий, включая СИЗ, для обеспечения эффективной и безопасной работы лаборатории;</w:t>
      </w:r>
    </w:p>
    <w:p>
      <w:pPr>
        <w:pStyle w:val="ListParagraph"/>
        <w:numPr>
          <w:ilvl w:val="0"/>
          <w:numId w:val="60"/>
        </w:numPr>
        <w:tabs>
          <w:tab w:pos="2124" w:val="left" w:leader="none"/>
        </w:tabs>
        <w:spacing w:line="264" w:lineRule="auto" w:before="9" w:after="0"/>
        <w:ind w:left="2124" w:right="1281" w:hanging="360"/>
        <w:jc w:val="both"/>
        <w:rPr>
          <w:sz w:val="24"/>
        </w:rPr>
      </w:pPr>
      <w:r>
        <w:rPr>
          <w:sz w:val="24"/>
        </w:rPr>
        <w:t>Проведение</w:t>
      </w:r>
      <w:r>
        <w:rPr>
          <w:spacing w:val="40"/>
          <w:sz w:val="24"/>
        </w:rPr>
        <w:t> </w:t>
      </w:r>
      <w:r>
        <w:rPr>
          <w:sz w:val="24"/>
        </w:rPr>
        <w:t>противоэпидемических</w:t>
      </w:r>
      <w:r>
        <w:rPr>
          <w:spacing w:val="40"/>
          <w:sz w:val="24"/>
        </w:rPr>
        <w:t> </w:t>
      </w:r>
      <w:r>
        <w:rPr>
          <w:sz w:val="24"/>
        </w:rPr>
        <w:t>мероприятий</w:t>
      </w:r>
      <w:r>
        <w:rPr>
          <w:spacing w:val="40"/>
          <w:sz w:val="24"/>
        </w:rPr>
        <w:t> </w:t>
      </w:r>
      <w:r>
        <w:rPr>
          <w:sz w:val="24"/>
        </w:rPr>
        <w:t>и</w:t>
      </w:r>
      <w:r>
        <w:rPr>
          <w:spacing w:val="40"/>
          <w:sz w:val="24"/>
        </w:rPr>
        <w:t> </w:t>
      </w:r>
      <w:r>
        <w:rPr>
          <w:sz w:val="24"/>
        </w:rPr>
        <w:t>соблюдение</w:t>
      </w:r>
      <w:r>
        <w:rPr>
          <w:spacing w:val="40"/>
          <w:sz w:val="24"/>
        </w:rPr>
        <w:t> </w:t>
      </w:r>
      <w:r>
        <w:rPr>
          <w:sz w:val="24"/>
        </w:rPr>
        <w:t>правил</w:t>
      </w:r>
      <w:r>
        <w:rPr>
          <w:spacing w:val="40"/>
          <w:sz w:val="24"/>
        </w:rPr>
        <w:t> </w:t>
      </w:r>
      <w:r>
        <w:rPr>
          <w:sz w:val="24"/>
        </w:rPr>
        <w:t>работы с патологическими биологическими агентами II группы опасности;</w:t>
      </w:r>
    </w:p>
    <w:p>
      <w:pPr>
        <w:pStyle w:val="ListParagraph"/>
        <w:numPr>
          <w:ilvl w:val="0"/>
          <w:numId w:val="60"/>
        </w:numPr>
        <w:tabs>
          <w:tab w:pos="2124" w:val="left" w:leader="none"/>
        </w:tabs>
        <w:spacing w:line="264" w:lineRule="auto" w:before="14" w:after="0"/>
        <w:ind w:left="2124" w:right="1281" w:hanging="360"/>
        <w:jc w:val="both"/>
        <w:rPr>
          <w:sz w:val="24"/>
        </w:rPr>
      </w:pPr>
      <w:r>
        <w:rPr>
          <w:sz w:val="24"/>
        </w:rPr>
        <w:t>Соблюдение температурного режима, текущей дезинфекции в лаборатории, использование работниками лаборатории СИЗ;</w:t>
      </w:r>
    </w:p>
    <w:p>
      <w:pPr>
        <w:pStyle w:val="ListParagraph"/>
        <w:numPr>
          <w:ilvl w:val="0"/>
          <w:numId w:val="60"/>
        </w:numPr>
        <w:tabs>
          <w:tab w:pos="2124" w:val="left" w:leader="none"/>
        </w:tabs>
        <w:spacing w:line="271" w:lineRule="auto" w:before="14" w:after="0"/>
        <w:ind w:left="2124" w:right="1273" w:hanging="360"/>
        <w:jc w:val="both"/>
        <w:rPr>
          <w:sz w:val="24"/>
        </w:rPr>
      </w:pPr>
      <w:r>
        <w:rPr>
          <w:sz w:val="24"/>
        </w:rPr>
        <w:t>Проведение</w:t>
      </w:r>
      <w:r>
        <w:rPr>
          <w:spacing w:val="80"/>
          <w:sz w:val="24"/>
        </w:rPr>
        <w:t>  </w:t>
      </w:r>
      <w:r>
        <w:rPr>
          <w:sz w:val="24"/>
        </w:rPr>
        <w:t>обеззараживания</w:t>
      </w:r>
      <w:r>
        <w:rPr>
          <w:spacing w:val="80"/>
          <w:sz w:val="24"/>
        </w:rPr>
        <w:t>  </w:t>
      </w:r>
      <w:r>
        <w:rPr>
          <w:sz w:val="24"/>
        </w:rPr>
        <w:t>воздуха</w:t>
      </w:r>
      <w:r>
        <w:rPr>
          <w:spacing w:val="80"/>
          <w:sz w:val="24"/>
        </w:rPr>
        <w:t>  </w:t>
      </w:r>
      <w:r>
        <w:rPr>
          <w:sz w:val="24"/>
        </w:rPr>
        <w:t>и</w:t>
      </w:r>
      <w:r>
        <w:rPr>
          <w:spacing w:val="80"/>
          <w:sz w:val="24"/>
        </w:rPr>
        <w:t>  </w:t>
      </w:r>
      <w:r>
        <w:rPr>
          <w:sz w:val="24"/>
        </w:rPr>
        <w:t>поверхностей</w:t>
      </w:r>
      <w:r>
        <w:rPr>
          <w:spacing w:val="80"/>
          <w:sz w:val="24"/>
        </w:rPr>
        <w:t>  </w:t>
      </w:r>
      <w:r>
        <w:rPr>
          <w:sz w:val="24"/>
        </w:rPr>
        <w:t>в</w:t>
      </w:r>
      <w:r>
        <w:rPr>
          <w:spacing w:val="80"/>
          <w:sz w:val="24"/>
        </w:rPr>
        <w:t>  </w:t>
      </w:r>
      <w:r>
        <w:rPr>
          <w:sz w:val="24"/>
        </w:rPr>
        <w:t>помещениях с</w:t>
      </w:r>
      <w:r>
        <w:rPr>
          <w:spacing w:val="-4"/>
          <w:sz w:val="24"/>
        </w:rPr>
        <w:t> </w:t>
      </w:r>
      <w:r>
        <w:rPr>
          <w:sz w:val="24"/>
        </w:rPr>
        <w:t>использованием</w:t>
      </w:r>
      <w:r>
        <w:rPr>
          <w:spacing w:val="40"/>
          <w:sz w:val="24"/>
        </w:rPr>
        <w:t> </w:t>
      </w:r>
      <w:r>
        <w:rPr>
          <w:sz w:val="24"/>
        </w:rPr>
        <w:t>ультрафиолетовых</w:t>
      </w:r>
      <w:r>
        <w:rPr>
          <w:spacing w:val="40"/>
          <w:sz w:val="24"/>
        </w:rPr>
        <w:t> </w:t>
      </w:r>
      <w:r>
        <w:rPr>
          <w:sz w:val="24"/>
        </w:rPr>
        <w:t>бактерицидных</w:t>
      </w:r>
      <w:r>
        <w:rPr>
          <w:spacing w:val="40"/>
          <w:sz w:val="24"/>
        </w:rPr>
        <w:t> </w:t>
      </w:r>
      <w:r>
        <w:rPr>
          <w:sz w:val="24"/>
        </w:rPr>
        <w:t>облучателей</w:t>
      </w:r>
      <w:r>
        <w:rPr>
          <w:spacing w:val="40"/>
          <w:sz w:val="24"/>
        </w:rPr>
        <w:t> </w:t>
      </w:r>
      <w:r>
        <w:rPr>
          <w:sz w:val="24"/>
        </w:rPr>
        <w:t>с</w:t>
      </w:r>
      <w:r>
        <w:rPr>
          <w:spacing w:val="40"/>
          <w:sz w:val="24"/>
        </w:rPr>
        <w:t> </w:t>
      </w:r>
      <w:r>
        <w:rPr>
          <w:sz w:val="24"/>
        </w:rPr>
        <w:t>УФ-дозой не</w:t>
      </w:r>
      <w:r>
        <w:rPr>
          <w:spacing w:val="40"/>
          <w:sz w:val="24"/>
        </w:rPr>
        <w:t> </w:t>
      </w:r>
      <w:r>
        <w:rPr>
          <w:sz w:val="24"/>
        </w:rPr>
        <w:t>менее</w:t>
      </w:r>
      <w:r>
        <w:rPr>
          <w:spacing w:val="40"/>
          <w:sz w:val="24"/>
        </w:rPr>
        <w:t> </w:t>
      </w:r>
      <w:r>
        <w:rPr>
          <w:sz w:val="24"/>
        </w:rPr>
        <w:t>25</w:t>
      </w:r>
      <w:r>
        <w:rPr>
          <w:spacing w:val="40"/>
          <w:sz w:val="24"/>
        </w:rPr>
        <w:t> </w:t>
      </w:r>
      <w:r>
        <w:rPr>
          <w:sz w:val="24"/>
        </w:rPr>
        <w:t>мДж/см2</w:t>
      </w:r>
      <w:r>
        <w:rPr>
          <w:spacing w:val="40"/>
          <w:sz w:val="24"/>
        </w:rPr>
        <w:t> </w:t>
      </w:r>
      <w:r>
        <w:rPr>
          <w:sz w:val="24"/>
        </w:rPr>
        <w:t>и</w:t>
      </w:r>
      <w:r>
        <w:rPr>
          <w:spacing w:val="40"/>
          <w:sz w:val="24"/>
        </w:rPr>
        <w:t> </w:t>
      </w:r>
      <w:r>
        <w:rPr>
          <w:sz w:val="24"/>
        </w:rPr>
        <w:t>(или)</w:t>
      </w:r>
      <w:r>
        <w:rPr>
          <w:spacing w:val="40"/>
          <w:sz w:val="24"/>
        </w:rPr>
        <w:t> </w:t>
      </w:r>
      <w:r>
        <w:rPr>
          <w:sz w:val="24"/>
        </w:rPr>
        <w:t>других</w:t>
      </w:r>
      <w:r>
        <w:rPr>
          <w:spacing w:val="40"/>
          <w:sz w:val="24"/>
        </w:rPr>
        <w:t> </w:t>
      </w:r>
      <w:r>
        <w:rPr>
          <w:sz w:val="24"/>
        </w:rPr>
        <w:t>устройств</w:t>
      </w:r>
      <w:r>
        <w:rPr>
          <w:spacing w:val="40"/>
          <w:sz w:val="24"/>
        </w:rPr>
        <w:t> </w:t>
      </w:r>
      <w:r>
        <w:rPr>
          <w:sz w:val="24"/>
        </w:rPr>
        <w:t>для</w:t>
      </w:r>
      <w:r>
        <w:rPr>
          <w:spacing w:val="40"/>
          <w:sz w:val="24"/>
        </w:rPr>
        <w:t> </w:t>
      </w:r>
      <w:r>
        <w:rPr>
          <w:sz w:val="24"/>
        </w:rPr>
        <w:t>обеззараживания</w:t>
      </w:r>
      <w:r>
        <w:rPr>
          <w:spacing w:val="40"/>
          <w:sz w:val="24"/>
        </w:rPr>
        <w:t> </w:t>
      </w:r>
      <w:r>
        <w:rPr>
          <w:sz w:val="24"/>
        </w:rPr>
        <w:t>воздуха</w:t>
      </w:r>
      <w:r>
        <w:rPr>
          <w:spacing w:val="80"/>
          <w:sz w:val="24"/>
        </w:rPr>
        <w:t> </w:t>
      </w:r>
      <w:r>
        <w:rPr>
          <w:sz w:val="24"/>
        </w:rPr>
        <w:t>и (или) поверхностей;</w:t>
      </w:r>
    </w:p>
    <w:p>
      <w:pPr>
        <w:pStyle w:val="ListParagraph"/>
        <w:numPr>
          <w:ilvl w:val="0"/>
          <w:numId w:val="60"/>
        </w:numPr>
        <w:tabs>
          <w:tab w:pos="2124" w:val="left" w:leader="none"/>
        </w:tabs>
        <w:spacing w:line="240" w:lineRule="auto" w:before="5" w:after="0"/>
        <w:ind w:left="2124" w:right="0" w:hanging="359"/>
        <w:jc w:val="both"/>
        <w:rPr>
          <w:sz w:val="24"/>
        </w:rPr>
      </w:pPr>
      <w:r>
        <w:rPr>
          <w:spacing w:val="-2"/>
          <w:sz w:val="24"/>
        </w:rPr>
        <w:t>Контроль</w:t>
      </w:r>
      <w:r>
        <w:rPr>
          <w:spacing w:val="1"/>
          <w:sz w:val="24"/>
        </w:rPr>
        <w:t> </w:t>
      </w:r>
      <w:r>
        <w:rPr>
          <w:spacing w:val="-2"/>
          <w:sz w:val="24"/>
        </w:rPr>
        <w:t>концентрации</w:t>
      </w:r>
      <w:r>
        <w:rPr>
          <w:spacing w:val="1"/>
          <w:sz w:val="24"/>
        </w:rPr>
        <w:t> </w:t>
      </w:r>
      <w:r>
        <w:rPr>
          <w:spacing w:val="-2"/>
          <w:sz w:val="24"/>
        </w:rPr>
        <w:t>дезинфицирующих</w:t>
      </w:r>
      <w:r>
        <w:rPr>
          <w:sz w:val="24"/>
        </w:rPr>
        <w:t> </w:t>
      </w:r>
      <w:r>
        <w:rPr>
          <w:spacing w:val="-2"/>
          <w:sz w:val="24"/>
        </w:rPr>
        <w:t>средств</w:t>
      </w:r>
      <w:r>
        <w:rPr>
          <w:sz w:val="24"/>
        </w:rPr>
        <w:t> </w:t>
      </w:r>
      <w:r>
        <w:rPr>
          <w:spacing w:val="-2"/>
          <w:sz w:val="24"/>
        </w:rPr>
        <w:t>в</w:t>
      </w:r>
      <w:r>
        <w:rPr>
          <w:sz w:val="24"/>
        </w:rPr>
        <w:t> </w:t>
      </w:r>
      <w:r>
        <w:rPr>
          <w:spacing w:val="-2"/>
          <w:sz w:val="24"/>
        </w:rPr>
        <w:t>рабочих</w:t>
      </w:r>
      <w:r>
        <w:rPr>
          <w:sz w:val="24"/>
        </w:rPr>
        <w:t> </w:t>
      </w:r>
      <w:r>
        <w:rPr>
          <w:spacing w:val="-2"/>
          <w:sz w:val="24"/>
        </w:rPr>
        <w:t>растворах;</w:t>
      </w:r>
    </w:p>
    <w:p>
      <w:pPr>
        <w:pStyle w:val="ListParagraph"/>
        <w:numPr>
          <w:ilvl w:val="0"/>
          <w:numId w:val="60"/>
        </w:numPr>
        <w:tabs>
          <w:tab w:pos="2124" w:val="left" w:leader="none"/>
        </w:tabs>
        <w:spacing w:line="240" w:lineRule="auto" w:before="33" w:after="0"/>
        <w:ind w:left="2124" w:right="0" w:hanging="359"/>
        <w:jc w:val="both"/>
        <w:rPr>
          <w:sz w:val="24"/>
        </w:rPr>
      </w:pPr>
      <w:r>
        <w:rPr>
          <w:spacing w:val="-2"/>
          <w:sz w:val="24"/>
        </w:rPr>
        <w:t>Увеличение</w:t>
      </w:r>
      <w:r>
        <w:rPr>
          <w:spacing w:val="2"/>
          <w:sz w:val="24"/>
        </w:rPr>
        <w:t> </w:t>
      </w:r>
      <w:r>
        <w:rPr>
          <w:spacing w:val="-2"/>
          <w:sz w:val="24"/>
        </w:rPr>
        <w:t>кратности</w:t>
      </w:r>
      <w:r>
        <w:rPr>
          <w:spacing w:val="3"/>
          <w:sz w:val="24"/>
        </w:rPr>
        <w:t> </w:t>
      </w:r>
      <w:r>
        <w:rPr>
          <w:spacing w:val="-2"/>
          <w:sz w:val="24"/>
        </w:rPr>
        <w:t>дезинфекционных</w:t>
      </w:r>
      <w:r>
        <w:rPr>
          <w:spacing w:val="3"/>
          <w:sz w:val="24"/>
        </w:rPr>
        <w:t> </w:t>
      </w:r>
      <w:r>
        <w:rPr>
          <w:spacing w:val="-2"/>
          <w:sz w:val="24"/>
        </w:rPr>
        <w:t>обработок</w:t>
      </w:r>
      <w:r>
        <w:rPr>
          <w:spacing w:val="4"/>
          <w:sz w:val="24"/>
        </w:rPr>
        <w:t> </w:t>
      </w:r>
      <w:r>
        <w:rPr>
          <w:spacing w:val="-2"/>
          <w:sz w:val="24"/>
        </w:rPr>
        <w:t>помещений</w:t>
      </w:r>
      <w:r>
        <w:rPr>
          <w:spacing w:val="4"/>
          <w:sz w:val="24"/>
        </w:rPr>
        <w:t> </w:t>
      </w:r>
      <w:r>
        <w:rPr>
          <w:spacing w:val="-2"/>
          <w:sz w:val="24"/>
        </w:rPr>
        <w:t>лаборатории;</w:t>
      </w:r>
    </w:p>
    <w:p>
      <w:pPr>
        <w:pStyle w:val="ListParagraph"/>
        <w:numPr>
          <w:ilvl w:val="0"/>
          <w:numId w:val="60"/>
        </w:numPr>
        <w:tabs>
          <w:tab w:pos="2124" w:val="left" w:leader="none"/>
        </w:tabs>
        <w:spacing w:line="264" w:lineRule="auto" w:before="33" w:after="0"/>
        <w:ind w:left="2124" w:right="1273" w:hanging="360"/>
        <w:jc w:val="both"/>
        <w:rPr>
          <w:sz w:val="24"/>
        </w:rPr>
      </w:pPr>
      <w:r>
        <w:rPr>
          <w:sz w:val="24"/>
        </w:rPr>
        <w:t>Получение биологического материала от пациентов (мазки из носо- и</w:t>
      </w:r>
      <w:r>
        <w:rPr>
          <w:spacing w:val="-6"/>
          <w:sz w:val="24"/>
        </w:rPr>
        <w:t> </w:t>
      </w:r>
      <w:r>
        <w:rPr>
          <w:sz w:val="24"/>
        </w:rPr>
        <w:t>ротоглотки) при подозрении на COVID-19 с оформлением Акта приема-передачи;</w:t>
      </w:r>
    </w:p>
    <w:p>
      <w:pPr>
        <w:pStyle w:val="ListParagraph"/>
        <w:numPr>
          <w:ilvl w:val="0"/>
          <w:numId w:val="60"/>
        </w:numPr>
        <w:tabs>
          <w:tab w:pos="2124" w:val="left" w:leader="none"/>
        </w:tabs>
        <w:spacing w:line="268" w:lineRule="auto" w:before="14" w:after="0"/>
        <w:ind w:left="2124" w:right="1281" w:hanging="360"/>
        <w:jc w:val="both"/>
        <w:rPr>
          <w:sz w:val="24"/>
        </w:rPr>
      </w:pPr>
      <w:r>
        <w:rPr>
          <w:sz w:val="24"/>
        </w:rPr>
        <w:t>Указание медицинскими работниками в бланке направления на лабораторное исследование диагноза «пневмония» при направлении биологического материала пациентов с внебольничной пневмонией для диагностики COVID-19;</w:t>
      </w:r>
    </w:p>
    <w:p>
      <w:pPr>
        <w:pStyle w:val="ListParagraph"/>
        <w:spacing w:after="0" w:line="268" w:lineRule="auto"/>
        <w:jc w:val="both"/>
        <w:rPr>
          <w:sz w:val="24"/>
        </w:rPr>
        <w:sectPr>
          <w:pgSz w:w="11900" w:h="16840"/>
          <w:pgMar w:header="0" w:footer="697" w:top="1080" w:bottom="880" w:left="0" w:right="0"/>
        </w:sectPr>
      </w:pPr>
    </w:p>
    <w:p>
      <w:pPr>
        <w:pStyle w:val="ListParagraph"/>
        <w:numPr>
          <w:ilvl w:val="0"/>
          <w:numId w:val="60"/>
        </w:numPr>
        <w:tabs>
          <w:tab w:pos="2124" w:val="left" w:leader="none"/>
        </w:tabs>
        <w:spacing w:line="264" w:lineRule="auto" w:before="74" w:after="0"/>
        <w:ind w:left="2124" w:right="1278" w:hanging="360"/>
        <w:jc w:val="left"/>
        <w:rPr>
          <w:sz w:val="24"/>
        </w:rPr>
      </w:pPr>
      <w:bookmarkStart w:name="133" w:id="159"/>
      <w:bookmarkEnd w:id="159"/>
      <w:r>
        <w:rPr/>
      </w:r>
      <w:r>
        <w:rPr>
          <w:spacing w:val="-2"/>
          <w:sz w:val="24"/>
        </w:rPr>
        <w:t>Медицинское наблюдение (ежедневная термометрия) и лабораторное тестирование </w:t>
      </w:r>
      <w:r>
        <w:rPr>
          <w:sz w:val="24"/>
        </w:rPr>
        <w:t>сотрудников лаборатории в соответствии с требованиями.</w:t>
      </w:r>
    </w:p>
    <w:p>
      <w:pPr>
        <w:pStyle w:val="Heading1"/>
        <w:numPr>
          <w:ilvl w:val="1"/>
          <w:numId w:val="62"/>
        </w:numPr>
        <w:tabs>
          <w:tab w:pos="2969" w:val="left" w:leader="none"/>
        </w:tabs>
        <w:spacing w:line="276" w:lineRule="auto" w:before="253" w:after="0"/>
        <w:ind w:left="2549" w:right="1498" w:firstLine="0"/>
        <w:jc w:val="left"/>
      </w:pPr>
      <w:bookmarkStart w:name="_TOC_250020" w:id="160"/>
      <w:r>
        <w:rPr>
          <w:color w:val="1F487C"/>
        </w:rPr>
        <w:t>ОСОБЕННОСТИ</w:t>
      </w:r>
      <w:r>
        <w:rPr>
          <w:color w:val="1F487C"/>
          <w:spacing w:val="-18"/>
        </w:rPr>
        <w:t> </w:t>
      </w:r>
      <w:r>
        <w:rPr>
          <w:color w:val="1F487C"/>
        </w:rPr>
        <w:t>ЭВАКУАЦИОННЫХ</w:t>
      </w:r>
      <w:r>
        <w:rPr>
          <w:color w:val="1F487C"/>
          <w:spacing w:val="-17"/>
        </w:rPr>
        <w:t> </w:t>
      </w:r>
      <w:bookmarkEnd w:id="160"/>
      <w:r>
        <w:rPr>
          <w:color w:val="1F487C"/>
        </w:rPr>
        <w:t>МЕРОПРИЯТИЙ И ОБЩИЕ ПРИНЦИПЫ ГОСПИТАЛИЗАЦИИ БОЛЬНЫХ ИЛИ ЛИЦ С ПОДОЗРЕНИЕМ НА COVID-19</w:t>
      </w:r>
    </w:p>
    <w:p>
      <w:pPr>
        <w:pStyle w:val="BodyText"/>
        <w:spacing w:line="276" w:lineRule="auto" w:before="119"/>
        <w:ind w:left="1851" w:right="1278" w:firstLine="697"/>
      </w:pPr>
      <w:r>
        <w:rPr/>
        <w:t>Госпитализация пациента осуществляется в медицинские организации, имеющие в своем составе мельцеровские боксы, либо в медицинские организации, перепрофилируемые под специализированные учреждения той административной территории, где был выявлен больной.</w:t>
      </w:r>
    </w:p>
    <w:p>
      <w:pPr>
        <w:pStyle w:val="BodyText"/>
        <w:spacing w:line="276" w:lineRule="auto"/>
        <w:ind w:left="1851" w:right="1281" w:firstLine="697"/>
      </w:pPr>
      <w:r>
        <w:rPr/>
        <w:t>Требования</w:t>
      </w:r>
      <w:r>
        <w:rPr>
          <w:spacing w:val="-11"/>
        </w:rPr>
        <w:t> </w:t>
      </w:r>
      <w:r>
        <w:rPr/>
        <w:t>к</w:t>
      </w:r>
      <w:r>
        <w:rPr>
          <w:spacing w:val="-11"/>
        </w:rPr>
        <w:t> </w:t>
      </w:r>
      <w:r>
        <w:rPr/>
        <w:t>работе</w:t>
      </w:r>
      <w:r>
        <w:rPr>
          <w:spacing w:val="-12"/>
        </w:rPr>
        <w:t> </w:t>
      </w:r>
      <w:r>
        <w:rPr/>
        <w:t>в</w:t>
      </w:r>
      <w:r>
        <w:rPr>
          <w:spacing w:val="-12"/>
        </w:rPr>
        <w:t> </w:t>
      </w:r>
      <w:r>
        <w:rPr/>
        <w:t>инфекционных</w:t>
      </w:r>
      <w:r>
        <w:rPr>
          <w:spacing w:val="-12"/>
        </w:rPr>
        <w:t> </w:t>
      </w:r>
      <w:r>
        <w:rPr/>
        <w:t>стационарах,</w:t>
      </w:r>
      <w:r>
        <w:rPr>
          <w:spacing w:val="-11"/>
        </w:rPr>
        <w:t> </w:t>
      </w:r>
      <w:r>
        <w:rPr/>
        <w:t>изоляторах</w:t>
      </w:r>
      <w:r>
        <w:rPr>
          <w:spacing w:val="-11"/>
        </w:rPr>
        <w:t> </w:t>
      </w:r>
      <w:r>
        <w:rPr/>
        <w:t>и</w:t>
      </w:r>
      <w:r>
        <w:rPr>
          <w:spacing w:val="-10"/>
        </w:rPr>
        <w:t> </w:t>
      </w:r>
      <w:r>
        <w:rPr/>
        <w:t>обсерваторах изложены в действующих нормативных и методических документах</w:t>
      </w:r>
      <w:r>
        <w:rPr>
          <w:vertAlign w:val="superscript"/>
        </w:rPr>
        <w:t>1</w:t>
      </w:r>
      <w:r>
        <w:rPr>
          <w:vertAlign w:val="baseline"/>
        </w:rPr>
        <w:t>.</w:t>
      </w:r>
    </w:p>
    <w:p>
      <w:pPr>
        <w:pStyle w:val="BodyText"/>
        <w:spacing w:line="276" w:lineRule="auto"/>
        <w:ind w:left="1851" w:right="1278" w:firstLine="697"/>
      </w:pPr>
      <w:r>
        <w:rPr/>
        <w:t>Оказание</w:t>
      </w:r>
      <w:r>
        <w:rPr>
          <w:spacing w:val="80"/>
        </w:rPr>
        <w:t> </w:t>
      </w:r>
      <w:r>
        <w:rPr/>
        <w:t>медицинской</w:t>
      </w:r>
      <w:r>
        <w:rPr>
          <w:spacing w:val="80"/>
        </w:rPr>
        <w:t> </w:t>
      </w:r>
      <w:r>
        <w:rPr/>
        <w:t>помощи</w:t>
      </w:r>
      <w:r>
        <w:rPr>
          <w:spacing w:val="80"/>
        </w:rPr>
        <w:t> </w:t>
      </w:r>
      <w:r>
        <w:rPr/>
        <w:t>больным</w:t>
      </w:r>
      <w:r>
        <w:rPr>
          <w:spacing w:val="80"/>
        </w:rPr>
        <w:t> </w:t>
      </w:r>
      <w:r>
        <w:rPr/>
        <w:t>с</w:t>
      </w:r>
      <w:r>
        <w:rPr>
          <w:spacing w:val="80"/>
        </w:rPr>
        <w:t> </w:t>
      </w:r>
      <w:r>
        <w:rPr/>
        <w:t>инфекционным</w:t>
      </w:r>
      <w:r>
        <w:rPr>
          <w:spacing w:val="80"/>
        </w:rPr>
        <w:t> </w:t>
      </w:r>
      <w:r>
        <w:rPr/>
        <w:t>заболеванием в</w:t>
      </w:r>
      <w:r>
        <w:rPr>
          <w:spacing w:val="-3"/>
        </w:rPr>
        <w:t> </w:t>
      </w:r>
      <w:r>
        <w:rPr/>
        <w:t>процессе</w:t>
      </w:r>
      <w:r>
        <w:rPr>
          <w:spacing w:val="58"/>
        </w:rPr>
        <w:t>  </w:t>
      </w:r>
      <w:r>
        <w:rPr/>
        <w:t>подготовки</w:t>
      </w:r>
      <w:r>
        <w:rPr>
          <w:spacing w:val="59"/>
        </w:rPr>
        <w:t>  </w:t>
      </w:r>
      <w:r>
        <w:rPr/>
        <w:t>и</w:t>
      </w:r>
      <w:r>
        <w:rPr>
          <w:spacing w:val="59"/>
        </w:rPr>
        <w:t>  </w:t>
      </w:r>
      <w:r>
        <w:rPr/>
        <w:t>проведения</w:t>
      </w:r>
      <w:r>
        <w:rPr>
          <w:spacing w:val="58"/>
        </w:rPr>
        <w:t>  </w:t>
      </w:r>
      <w:r>
        <w:rPr/>
        <w:t>медицинской</w:t>
      </w:r>
      <w:r>
        <w:rPr>
          <w:spacing w:val="59"/>
        </w:rPr>
        <w:t>  </w:t>
      </w:r>
      <w:r>
        <w:rPr/>
        <w:t>эвакуации</w:t>
      </w:r>
      <w:r>
        <w:rPr>
          <w:spacing w:val="58"/>
        </w:rPr>
        <w:t>  </w:t>
      </w:r>
      <w:r>
        <w:rPr/>
        <w:t>выполняется в</w:t>
      </w:r>
      <w:r>
        <w:rPr>
          <w:spacing w:val="-3"/>
        </w:rPr>
        <w:t> </w:t>
      </w:r>
      <w:r>
        <w:rPr/>
        <w:t>соответствии</w:t>
      </w:r>
      <w:r>
        <w:rPr>
          <w:spacing w:val="79"/>
        </w:rPr>
        <w:t>  </w:t>
      </w:r>
      <w:r>
        <w:rPr/>
        <w:t>с</w:t>
      </w:r>
      <w:r>
        <w:rPr>
          <w:spacing w:val="78"/>
        </w:rPr>
        <w:t>  </w:t>
      </w:r>
      <w:r>
        <w:rPr/>
        <w:t>действующим</w:t>
      </w:r>
      <w:r>
        <w:rPr>
          <w:spacing w:val="78"/>
        </w:rPr>
        <w:t>  </w:t>
      </w:r>
      <w:r>
        <w:rPr/>
        <w:t>порядком,</w:t>
      </w:r>
      <w:r>
        <w:rPr>
          <w:spacing w:val="79"/>
        </w:rPr>
        <w:t>  </w:t>
      </w:r>
      <w:r>
        <w:rPr/>
        <w:t>клиническими</w:t>
      </w:r>
      <w:r>
        <w:rPr>
          <w:spacing w:val="79"/>
        </w:rPr>
        <w:t>  </w:t>
      </w:r>
      <w:r>
        <w:rPr/>
        <w:t>рекомендациями и стандартами.</w:t>
      </w:r>
    </w:p>
    <w:p>
      <w:pPr>
        <w:pStyle w:val="BodyText"/>
        <w:spacing w:line="276" w:lineRule="auto"/>
        <w:ind w:left="1851" w:right="1278" w:firstLine="697"/>
      </w:pPr>
      <w:r>
        <w:rPr/>
        <w:t>При наличии жизнеугрожающих синдромокомплексов проводятся реанимационные</w:t>
      </w:r>
      <w:r>
        <w:rPr>
          <w:spacing w:val="40"/>
        </w:rPr>
        <w:t> </w:t>
      </w:r>
      <w:r>
        <w:rPr/>
        <w:t>мероприятия</w:t>
      </w:r>
      <w:r>
        <w:rPr>
          <w:spacing w:val="40"/>
        </w:rPr>
        <w:t> </w:t>
      </w:r>
      <w:r>
        <w:rPr/>
        <w:t>и</w:t>
      </w:r>
      <w:r>
        <w:rPr>
          <w:spacing w:val="40"/>
        </w:rPr>
        <w:t> </w:t>
      </w:r>
      <w:r>
        <w:rPr/>
        <w:t>интенсивная</w:t>
      </w:r>
      <w:r>
        <w:rPr>
          <w:spacing w:val="40"/>
        </w:rPr>
        <w:t> </w:t>
      </w:r>
      <w:r>
        <w:rPr/>
        <w:t>терапия</w:t>
      </w:r>
      <w:r>
        <w:rPr>
          <w:spacing w:val="40"/>
        </w:rPr>
        <w:t> </w:t>
      </w:r>
      <w:r>
        <w:rPr/>
        <w:t>по</w:t>
      </w:r>
      <w:r>
        <w:rPr>
          <w:spacing w:val="40"/>
        </w:rPr>
        <w:t> </w:t>
      </w:r>
      <w:r>
        <w:rPr/>
        <w:t>схемам,</w:t>
      </w:r>
      <w:r>
        <w:rPr>
          <w:spacing w:val="40"/>
        </w:rPr>
        <w:t> </w:t>
      </w:r>
      <w:r>
        <w:rPr/>
        <w:t>утвержденным</w:t>
      </w:r>
      <w:r>
        <w:rPr>
          <w:spacing w:val="80"/>
        </w:rPr>
        <w:t> </w:t>
      </w:r>
      <w:r>
        <w:rPr/>
        <w:t>в установленном порядке.</w:t>
      </w:r>
    </w:p>
    <w:p>
      <w:pPr>
        <w:pStyle w:val="BodyText"/>
        <w:spacing w:line="276" w:lineRule="auto"/>
        <w:ind w:left="1851" w:right="1278" w:firstLine="697"/>
      </w:pPr>
      <w:r>
        <w:rPr/>
        <w:t>Транспортировка пациентов с инфекционным заболеванием осуществляется без транспортировочного изолирующего бокса (ТИБ) или в нем.</w:t>
      </w:r>
    </w:p>
    <w:p>
      <w:pPr>
        <w:pStyle w:val="Heading3"/>
        <w:spacing w:line="278" w:lineRule="auto" w:before="115"/>
        <w:ind w:left="1853" w:right="1281" w:firstLine="695"/>
      </w:pPr>
      <w:r>
        <w:rPr>
          <w:color w:val="1F487C"/>
        </w:rPr>
        <w:t>а) Транспортировка пациента с инфекционным заболеванием без транспортировочного изолирующего бокса</w:t>
      </w:r>
    </w:p>
    <w:p>
      <w:pPr>
        <w:pStyle w:val="BodyText"/>
        <w:spacing w:line="276" w:lineRule="auto" w:before="115"/>
        <w:ind w:left="1851" w:right="1280" w:firstLine="697"/>
      </w:pPr>
      <w:r>
        <w:rPr/>
        <w:t>Мероприятия</w:t>
      </w:r>
      <w:r>
        <w:rPr>
          <w:spacing w:val="-15"/>
        </w:rPr>
        <w:t> </w:t>
      </w:r>
      <w:r>
        <w:rPr/>
        <w:t>эпидбригад</w:t>
      </w:r>
      <w:r>
        <w:rPr>
          <w:spacing w:val="-15"/>
        </w:rPr>
        <w:t> </w:t>
      </w:r>
      <w:r>
        <w:rPr/>
        <w:t>и/или</w:t>
      </w:r>
      <w:r>
        <w:rPr>
          <w:spacing w:val="-15"/>
        </w:rPr>
        <w:t> </w:t>
      </w:r>
      <w:r>
        <w:rPr/>
        <w:t>бригад</w:t>
      </w:r>
      <w:r>
        <w:rPr>
          <w:spacing w:val="-15"/>
        </w:rPr>
        <w:t> </w:t>
      </w:r>
      <w:r>
        <w:rPr/>
        <w:t>скорой</w:t>
      </w:r>
      <w:r>
        <w:rPr>
          <w:spacing w:val="-15"/>
        </w:rPr>
        <w:t> </w:t>
      </w:r>
      <w:r>
        <w:rPr/>
        <w:t>медицинской</w:t>
      </w:r>
      <w:r>
        <w:rPr>
          <w:spacing w:val="-15"/>
        </w:rPr>
        <w:t> </w:t>
      </w:r>
      <w:r>
        <w:rPr/>
        <w:t>помощи</w:t>
      </w:r>
      <w:r>
        <w:rPr>
          <w:spacing w:val="-15"/>
        </w:rPr>
        <w:t> </w:t>
      </w:r>
      <w:r>
        <w:rPr/>
        <w:t>до</w:t>
      </w:r>
      <w:r>
        <w:rPr>
          <w:spacing w:val="-15"/>
        </w:rPr>
        <w:t> </w:t>
      </w:r>
      <w:r>
        <w:rPr/>
        <w:t>начала </w:t>
      </w:r>
      <w:r>
        <w:rPr>
          <w:spacing w:val="-2"/>
        </w:rPr>
        <w:t>транспортировки</w:t>
      </w:r>
      <w:r>
        <w:rPr>
          <w:spacing w:val="-2"/>
          <w:vertAlign w:val="superscript"/>
        </w:rPr>
        <w:t>2</w:t>
      </w:r>
      <w:r>
        <w:rPr>
          <w:spacing w:val="-2"/>
          <w:vertAlign w:val="baseline"/>
        </w:rPr>
        <w:t>.</w:t>
      </w:r>
    </w:p>
    <w:p>
      <w:pPr>
        <w:pStyle w:val="BodyText"/>
        <w:spacing w:line="276" w:lineRule="auto"/>
        <w:ind w:left="1851" w:right="1275" w:firstLine="697"/>
      </w:pPr>
      <w:r>
        <w:rPr/>
        <w:t>Члены</w:t>
      </w:r>
      <w:r>
        <w:rPr>
          <w:spacing w:val="69"/>
        </w:rPr>
        <w:t> </w:t>
      </w:r>
      <w:r>
        <w:rPr/>
        <w:t>эпидбригады</w:t>
      </w:r>
      <w:r>
        <w:rPr>
          <w:spacing w:val="68"/>
        </w:rPr>
        <w:t> </w:t>
      </w:r>
      <w:r>
        <w:rPr/>
        <w:t>и/или</w:t>
      </w:r>
      <w:r>
        <w:rPr>
          <w:spacing w:val="70"/>
        </w:rPr>
        <w:t> </w:t>
      </w:r>
      <w:r>
        <w:rPr/>
        <w:t>бригады</w:t>
      </w:r>
      <w:r>
        <w:rPr>
          <w:spacing w:val="68"/>
        </w:rPr>
        <w:t> </w:t>
      </w:r>
      <w:r>
        <w:rPr/>
        <w:t>медицинской</w:t>
      </w:r>
      <w:r>
        <w:rPr>
          <w:spacing w:val="69"/>
        </w:rPr>
        <w:t> </w:t>
      </w:r>
      <w:r>
        <w:rPr/>
        <w:t>эвакуации</w:t>
      </w:r>
      <w:r>
        <w:rPr>
          <w:spacing w:val="69"/>
        </w:rPr>
        <w:t> </w:t>
      </w:r>
      <w:r>
        <w:rPr/>
        <w:t>по</w:t>
      </w:r>
      <w:r>
        <w:rPr>
          <w:spacing w:val="69"/>
        </w:rPr>
        <w:t> </w:t>
      </w:r>
      <w:r>
        <w:rPr/>
        <w:t>прибытии к</w:t>
      </w:r>
      <w:r>
        <w:rPr>
          <w:spacing w:val="-4"/>
        </w:rPr>
        <w:t> </w:t>
      </w:r>
      <w:r>
        <w:rPr/>
        <w:t>месту выявления больного перед входом в помещение, где находится больной, под наблюдением старшего медицинского работника бригады надевают защитные костюмы в установленном порядке</w:t>
      </w:r>
      <w:r>
        <w:rPr>
          <w:vertAlign w:val="superscript"/>
        </w:rPr>
        <w:t>1</w:t>
      </w:r>
      <w:r>
        <w:rPr>
          <w:vertAlign w:val="baseline"/>
        </w:rPr>
        <w:t>.</w:t>
      </w:r>
    </w:p>
    <w:p>
      <w:pPr>
        <w:pStyle w:val="BodyText"/>
        <w:spacing w:line="275" w:lineRule="exact"/>
        <w:ind w:left="2549"/>
      </w:pPr>
      <w:r>
        <w:rPr/>
        <w:t>Врач</w:t>
      </w:r>
      <w:r>
        <w:rPr>
          <w:spacing w:val="-8"/>
        </w:rPr>
        <w:t> </w:t>
      </w:r>
      <w:r>
        <w:rPr>
          <w:spacing w:val="-2"/>
        </w:rPr>
        <w:t>бригады:</w:t>
      </w:r>
    </w:p>
    <w:p>
      <w:pPr>
        <w:pStyle w:val="ListParagraph"/>
        <w:numPr>
          <w:ilvl w:val="0"/>
          <w:numId w:val="60"/>
        </w:numPr>
        <w:tabs>
          <w:tab w:pos="2124" w:val="left" w:leader="none"/>
        </w:tabs>
        <w:spacing w:line="261" w:lineRule="auto" w:before="42" w:after="0"/>
        <w:ind w:left="2124" w:right="1278" w:hanging="360"/>
        <w:jc w:val="left"/>
        <w:rPr>
          <w:sz w:val="24"/>
        </w:rPr>
      </w:pPr>
      <w:r>
        <w:rPr>
          <w:sz w:val="24"/>
        </w:rPr>
        <w:t>Уточняет</w:t>
      </w:r>
      <w:r>
        <w:rPr>
          <w:spacing w:val="28"/>
          <w:sz w:val="24"/>
        </w:rPr>
        <w:t> </w:t>
      </w:r>
      <w:r>
        <w:rPr>
          <w:sz w:val="24"/>
        </w:rPr>
        <w:t>у</w:t>
      </w:r>
      <w:r>
        <w:rPr>
          <w:spacing w:val="28"/>
          <w:sz w:val="24"/>
        </w:rPr>
        <w:t> </w:t>
      </w:r>
      <w:r>
        <w:rPr>
          <w:sz w:val="24"/>
        </w:rPr>
        <w:t>больного</w:t>
      </w:r>
      <w:r>
        <w:rPr>
          <w:spacing w:val="28"/>
          <w:sz w:val="24"/>
        </w:rPr>
        <w:t> </w:t>
      </w:r>
      <w:r>
        <w:rPr>
          <w:sz w:val="24"/>
        </w:rPr>
        <w:t>данные эпидемиологического</w:t>
      </w:r>
      <w:r>
        <w:rPr>
          <w:spacing w:val="28"/>
          <w:sz w:val="24"/>
        </w:rPr>
        <w:t> </w:t>
      </w:r>
      <w:r>
        <w:rPr>
          <w:sz w:val="24"/>
        </w:rPr>
        <w:t>анамнеза,</w:t>
      </w:r>
      <w:r>
        <w:rPr>
          <w:spacing w:val="28"/>
          <w:sz w:val="24"/>
        </w:rPr>
        <w:t> </w:t>
      </w:r>
      <w:r>
        <w:rPr>
          <w:sz w:val="24"/>
        </w:rPr>
        <w:t>круг</w:t>
      </w:r>
      <w:r>
        <w:rPr>
          <w:spacing w:val="28"/>
          <w:sz w:val="24"/>
        </w:rPr>
        <w:t> </w:t>
      </w:r>
      <w:r>
        <w:rPr>
          <w:sz w:val="24"/>
        </w:rPr>
        <w:t>лиц,</w:t>
      </w:r>
      <w:r>
        <w:rPr>
          <w:spacing w:val="28"/>
          <w:sz w:val="24"/>
        </w:rPr>
        <w:t> </w:t>
      </w:r>
      <w:r>
        <w:rPr>
          <w:sz w:val="24"/>
        </w:rPr>
        <w:t>которые общались с ним (с указанием даты, степени и длительности контакта);</w:t>
      </w:r>
    </w:p>
    <w:p>
      <w:pPr>
        <w:pStyle w:val="ListParagraph"/>
        <w:numPr>
          <w:ilvl w:val="0"/>
          <w:numId w:val="60"/>
        </w:numPr>
        <w:tabs>
          <w:tab w:pos="2124" w:val="left" w:leader="none"/>
        </w:tabs>
        <w:spacing w:line="261" w:lineRule="auto" w:before="20" w:after="0"/>
        <w:ind w:left="2124" w:right="1278" w:hanging="360"/>
        <w:jc w:val="left"/>
        <w:rPr>
          <w:sz w:val="24"/>
        </w:rPr>
      </w:pPr>
      <w:r>
        <w:rPr>
          <w:sz w:val="24"/>
        </w:rPr>
        <w:t>Определяет</w:t>
      </w:r>
      <w:r>
        <w:rPr>
          <w:spacing w:val="-13"/>
          <w:sz w:val="24"/>
        </w:rPr>
        <w:t> </w:t>
      </w:r>
      <w:r>
        <w:rPr>
          <w:sz w:val="24"/>
        </w:rPr>
        <w:t>контингенты</w:t>
      </w:r>
      <w:r>
        <w:rPr>
          <w:spacing w:val="-14"/>
          <w:sz w:val="24"/>
        </w:rPr>
        <w:t> </w:t>
      </w:r>
      <w:r>
        <w:rPr>
          <w:sz w:val="24"/>
        </w:rPr>
        <w:t>лиц,</w:t>
      </w:r>
      <w:r>
        <w:rPr>
          <w:spacing w:val="-13"/>
          <w:sz w:val="24"/>
        </w:rPr>
        <w:t> </w:t>
      </w:r>
      <w:r>
        <w:rPr>
          <w:sz w:val="24"/>
        </w:rPr>
        <w:t>подлежащих</w:t>
      </w:r>
      <w:r>
        <w:rPr>
          <w:spacing w:val="-13"/>
          <w:sz w:val="24"/>
        </w:rPr>
        <w:t> </w:t>
      </w:r>
      <w:r>
        <w:rPr>
          <w:sz w:val="24"/>
        </w:rPr>
        <w:t>изоляции,</w:t>
      </w:r>
      <w:r>
        <w:rPr>
          <w:spacing w:val="-13"/>
          <w:sz w:val="24"/>
        </w:rPr>
        <w:t> </w:t>
      </w:r>
      <w:r>
        <w:rPr>
          <w:sz w:val="24"/>
        </w:rPr>
        <w:t>медицинскому</w:t>
      </w:r>
      <w:r>
        <w:rPr>
          <w:spacing w:val="-13"/>
          <w:sz w:val="24"/>
        </w:rPr>
        <w:t> </w:t>
      </w:r>
      <w:r>
        <w:rPr>
          <w:sz w:val="24"/>
        </w:rPr>
        <w:t>наблюдению, экстренной профилактике;</w:t>
      </w:r>
    </w:p>
    <w:p>
      <w:pPr>
        <w:pStyle w:val="ListParagraph"/>
        <w:numPr>
          <w:ilvl w:val="0"/>
          <w:numId w:val="60"/>
        </w:numPr>
        <w:tabs>
          <w:tab w:pos="2124" w:val="left" w:leader="none"/>
        </w:tabs>
        <w:spacing w:line="240" w:lineRule="auto" w:before="20" w:after="0"/>
        <w:ind w:left="2124" w:right="0" w:hanging="359"/>
        <w:jc w:val="left"/>
        <w:rPr>
          <w:sz w:val="24"/>
        </w:rPr>
      </w:pPr>
      <w:r>
        <w:rPr>
          <w:sz w:val="24"/>
        </w:rPr>
        <w:t>Обеспечивает</w:t>
      </w:r>
      <w:r>
        <w:rPr>
          <w:spacing w:val="-13"/>
          <w:sz w:val="24"/>
        </w:rPr>
        <w:t> </w:t>
      </w:r>
      <w:r>
        <w:rPr>
          <w:sz w:val="24"/>
        </w:rPr>
        <w:t>контроль</w:t>
      </w:r>
      <w:r>
        <w:rPr>
          <w:spacing w:val="-12"/>
          <w:sz w:val="24"/>
        </w:rPr>
        <w:t> </w:t>
      </w:r>
      <w:r>
        <w:rPr>
          <w:sz w:val="24"/>
        </w:rPr>
        <w:t>эвакуации</w:t>
      </w:r>
      <w:r>
        <w:rPr>
          <w:spacing w:val="-12"/>
          <w:sz w:val="24"/>
        </w:rPr>
        <w:t> </w:t>
      </w:r>
      <w:r>
        <w:rPr>
          <w:sz w:val="24"/>
        </w:rPr>
        <w:t>больного</w:t>
      </w:r>
      <w:r>
        <w:rPr>
          <w:spacing w:val="-12"/>
          <w:sz w:val="24"/>
        </w:rPr>
        <w:t> </w:t>
      </w:r>
      <w:r>
        <w:rPr>
          <w:sz w:val="24"/>
        </w:rPr>
        <w:t>и</w:t>
      </w:r>
      <w:r>
        <w:rPr>
          <w:spacing w:val="-13"/>
          <w:sz w:val="24"/>
        </w:rPr>
        <w:t> </w:t>
      </w:r>
      <w:r>
        <w:rPr>
          <w:sz w:val="24"/>
        </w:rPr>
        <w:t>контактировавших</w:t>
      </w:r>
      <w:r>
        <w:rPr>
          <w:spacing w:val="-7"/>
          <w:sz w:val="24"/>
        </w:rPr>
        <w:t> </w:t>
      </w:r>
      <w:r>
        <w:rPr>
          <w:sz w:val="24"/>
        </w:rPr>
        <w:t>с</w:t>
      </w:r>
      <w:r>
        <w:rPr>
          <w:spacing w:val="-12"/>
          <w:sz w:val="24"/>
        </w:rPr>
        <w:t> </w:t>
      </w:r>
      <w:r>
        <w:rPr>
          <w:sz w:val="24"/>
        </w:rPr>
        <w:t>ним</w:t>
      </w:r>
      <w:r>
        <w:rPr>
          <w:spacing w:val="-12"/>
          <w:sz w:val="24"/>
        </w:rPr>
        <w:t> </w:t>
      </w:r>
      <w:r>
        <w:rPr>
          <w:spacing w:val="-4"/>
          <w:sz w:val="24"/>
        </w:rPr>
        <w:t>лиц;</w:t>
      </w:r>
    </w:p>
    <w:p>
      <w:pPr>
        <w:pStyle w:val="BodyText"/>
        <w:spacing w:before="63"/>
        <w:ind w:left="0"/>
        <w:jc w:val="left"/>
        <w:rPr>
          <w:sz w:val="20"/>
        </w:rPr>
      </w:pPr>
      <w:r>
        <w:rPr>
          <w:sz w:val="20"/>
        </w:rPr>
        <mc:AlternateContent>
          <mc:Choice Requires="wps">
            <w:drawing>
              <wp:anchor distT="0" distB="0" distL="0" distR="0" allowOverlap="1" layoutInCell="1" locked="0" behindDoc="1" simplePos="0" relativeHeight="487602688">
                <wp:simplePos x="0" y="0"/>
                <wp:positionH relativeFrom="page">
                  <wp:posOffset>1170736</wp:posOffset>
                </wp:positionH>
                <wp:positionV relativeFrom="paragraph">
                  <wp:posOffset>201395</wp:posOffset>
                </wp:positionV>
                <wp:extent cx="1829435" cy="9525"/>
                <wp:effectExtent l="0" t="0" r="0" b="0"/>
                <wp:wrapTopAndBottom/>
                <wp:docPr id="71" name="Graphic 71"/>
                <wp:cNvGraphicFramePr>
                  <a:graphicFrameLocks/>
                </wp:cNvGraphicFramePr>
                <a:graphic>
                  <a:graphicData uri="http://schemas.microsoft.com/office/word/2010/wordprocessingShape">
                    <wps:wsp>
                      <wps:cNvPr id="71" name="Graphic 71"/>
                      <wps:cNvSpPr/>
                      <wps:spPr>
                        <a:xfrm>
                          <a:off x="0" y="0"/>
                          <a:ext cx="1829435" cy="9525"/>
                        </a:xfrm>
                        <a:custGeom>
                          <a:avLst/>
                          <a:gdLst/>
                          <a:ahLst/>
                          <a:cxnLst/>
                          <a:rect l="l" t="t" r="r" b="b"/>
                          <a:pathLst>
                            <a:path w="1829435" h="9525">
                              <a:moveTo>
                                <a:pt x="1826234" y="2215"/>
                              </a:moveTo>
                              <a:lnTo>
                                <a:pt x="-1100" y="2215"/>
                              </a:lnTo>
                              <a:lnTo>
                                <a:pt x="-1100" y="11350"/>
                              </a:lnTo>
                              <a:lnTo>
                                <a:pt x="1826234" y="11350"/>
                              </a:lnTo>
                              <a:lnTo>
                                <a:pt x="1826234" y="2215"/>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16.032306pt;width:143.884618pt;height:.719293pt;mso-position-horizontal-relative:page;mso-position-vertical-relative:paragraph;z-index:-15713792;mso-wrap-distance-left:0;mso-wrap-distance-right:0" id="docshape59" filled="true" fillcolor="#000000" stroked="false">
                <v:fill type="solid"/>
                <w10:wrap type="topAndBottom"/>
              </v:rect>
            </w:pict>
          </mc:Fallback>
        </mc:AlternateContent>
      </w:r>
    </w:p>
    <w:p>
      <w:pPr>
        <w:pStyle w:val="BodyText"/>
        <w:ind w:left="0"/>
        <w:jc w:val="left"/>
        <w:rPr>
          <w:sz w:val="20"/>
        </w:rPr>
      </w:pPr>
    </w:p>
    <w:p>
      <w:pPr>
        <w:pStyle w:val="BodyText"/>
        <w:spacing w:before="193"/>
        <w:ind w:left="0"/>
        <w:jc w:val="left"/>
        <w:rPr>
          <w:sz w:val="20"/>
        </w:rPr>
      </w:pPr>
    </w:p>
    <w:p>
      <w:pPr>
        <w:spacing w:before="0"/>
        <w:ind w:left="1841" w:right="0" w:firstLine="0"/>
        <w:jc w:val="both"/>
        <w:rPr>
          <w:sz w:val="20"/>
        </w:rPr>
      </w:pPr>
      <w:r>
        <w:rPr>
          <w:sz w:val="20"/>
          <w:vertAlign w:val="superscript"/>
        </w:rPr>
        <w:t>1</w:t>
      </w:r>
      <w:r>
        <w:rPr>
          <w:spacing w:val="-7"/>
          <w:sz w:val="20"/>
          <w:vertAlign w:val="baseline"/>
        </w:rPr>
        <w:t> </w:t>
      </w:r>
      <w:r>
        <w:rPr>
          <w:sz w:val="20"/>
          <w:vertAlign w:val="baseline"/>
        </w:rPr>
        <w:t>Санитарные</w:t>
      </w:r>
      <w:r>
        <w:rPr>
          <w:spacing w:val="-5"/>
          <w:sz w:val="20"/>
          <w:vertAlign w:val="baseline"/>
        </w:rPr>
        <w:t> </w:t>
      </w:r>
      <w:r>
        <w:rPr>
          <w:sz w:val="20"/>
          <w:vertAlign w:val="baseline"/>
        </w:rPr>
        <w:t>правила</w:t>
      </w:r>
      <w:r>
        <w:rPr>
          <w:spacing w:val="-6"/>
          <w:sz w:val="20"/>
          <w:vertAlign w:val="baseline"/>
        </w:rPr>
        <w:t> </w:t>
      </w:r>
      <w:r>
        <w:rPr>
          <w:sz w:val="20"/>
          <w:vertAlign w:val="baseline"/>
        </w:rPr>
        <w:t>и</w:t>
      </w:r>
      <w:r>
        <w:rPr>
          <w:spacing w:val="-6"/>
          <w:sz w:val="20"/>
          <w:vertAlign w:val="baseline"/>
        </w:rPr>
        <w:t> </w:t>
      </w:r>
      <w:r>
        <w:rPr>
          <w:sz w:val="20"/>
          <w:vertAlign w:val="baseline"/>
        </w:rPr>
        <w:t>нормы</w:t>
      </w:r>
      <w:r>
        <w:rPr>
          <w:spacing w:val="-7"/>
          <w:sz w:val="20"/>
          <w:vertAlign w:val="baseline"/>
        </w:rPr>
        <w:t> </w:t>
      </w:r>
      <w:r>
        <w:rPr>
          <w:sz w:val="20"/>
          <w:vertAlign w:val="baseline"/>
        </w:rPr>
        <w:t>СанПиН</w:t>
      </w:r>
      <w:r>
        <w:rPr>
          <w:spacing w:val="-7"/>
          <w:sz w:val="20"/>
          <w:vertAlign w:val="baseline"/>
        </w:rPr>
        <w:t> </w:t>
      </w:r>
      <w:r>
        <w:rPr>
          <w:sz w:val="20"/>
          <w:vertAlign w:val="baseline"/>
        </w:rPr>
        <w:t>2.1.3684-</w:t>
      </w:r>
      <w:r>
        <w:rPr>
          <w:spacing w:val="-5"/>
          <w:sz w:val="20"/>
          <w:vertAlign w:val="baseline"/>
        </w:rPr>
        <w:t>21.</w:t>
      </w:r>
    </w:p>
    <w:p>
      <w:pPr>
        <w:spacing w:before="1"/>
        <w:ind w:left="1841" w:right="0" w:firstLine="0"/>
        <w:jc w:val="both"/>
        <w:rPr>
          <w:sz w:val="20"/>
        </w:rPr>
      </w:pPr>
      <w:r>
        <w:rPr>
          <w:sz w:val="20"/>
        </w:rPr>
        <w:t>СП</w:t>
      </w:r>
      <w:r>
        <w:rPr>
          <w:spacing w:val="-10"/>
          <w:sz w:val="20"/>
        </w:rPr>
        <w:t> </w:t>
      </w:r>
      <w:r>
        <w:rPr>
          <w:sz w:val="20"/>
        </w:rPr>
        <w:t>3.1.3597-20</w:t>
      </w:r>
      <w:r>
        <w:rPr>
          <w:spacing w:val="-9"/>
          <w:sz w:val="20"/>
        </w:rPr>
        <w:t> </w:t>
      </w:r>
      <w:r>
        <w:rPr>
          <w:sz w:val="20"/>
        </w:rPr>
        <w:t>«Профилактика</w:t>
      </w:r>
      <w:r>
        <w:rPr>
          <w:spacing w:val="-7"/>
          <w:sz w:val="20"/>
        </w:rPr>
        <w:t> </w:t>
      </w:r>
      <w:r>
        <w:rPr>
          <w:sz w:val="20"/>
        </w:rPr>
        <w:t>новой</w:t>
      </w:r>
      <w:r>
        <w:rPr>
          <w:spacing w:val="-11"/>
          <w:sz w:val="20"/>
        </w:rPr>
        <w:t> </w:t>
      </w:r>
      <w:r>
        <w:rPr>
          <w:sz w:val="20"/>
        </w:rPr>
        <w:t>коронавирусной</w:t>
      </w:r>
      <w:r>
        <w:rPr>
          <w:spacing w:val="-10"/>
          <w:sz w:val="20"/>
        </w:rPr>
        <w:t> </w:t>
      </w:r>
      <w:r>
        <w:rPr>
          <w:sz w:val="20"/>
        </w:rPr>
        <w:t>инфекции</w:t>
      </w:r>
      <w:r>
        <w:rPr>
          <w:spacing w:val="-10"/>
          <w:sz w:val="20"/>
        </w:rPr>
        <w:t> </w:t>
      </w:r>
      <w:r>
        <w:rPr>
          <w:sz w:val="20"/>
        </w:rPr>
        <w:t>COVID-</w:t>
      </w:r>
      <w:r>
        <w:rPr>
          <w:spacing w:val="-4"/>
          <w:sz w:val="20"/>
        </w:rPr>
        <w:t>19».</w:t>
      </w:r>
    </w:p>
    <w:p>
      <w:pPr>
        <w:spacing w:line="240" w:lineRule="auto" w:before="0"/>
        <w:ind w:left="1841" w:right="1284" w:firstLine="0"/>
        <w:jc w:val="both"/>
        <w:rPr>
          <w:sz w:val="20"/>
        </w:rPr>
      </w:pPr>
      <w:r>
        <w:rPr>
          <w:sz w:val="20"/>
        </w:rPr>
        <w:t>МР 3.1.0229-21. Рекомендации по организации противоэпидемических мероприятий в медицинских организациях, осуществляющих оказание медицинской помощи пациентам с новой коронавирусной инфекцией (COVID-19) (подозрением на заболевание) в стационарных условиях.</w:t>
      </w:r>
    </w:p>
    <w:p>
      <w:pPr>
        <w:spacing w:before="0"/>
        <w:ind w:left="1841" w:right="1285" w:firstLine="0"/>
        <w:jc w:val="both"/>
        <w:rPr>
          <w:sz w:val="20"/>
        </w:rPr>
      </w:pPr>
      <w:r>
        <w:rPr>
          <w:sz w:val="20"/>
          <w:vertAlign w:val="superscript"/>
        </w:rPr>
        <w:t>2</w:t>
      </w:r>
      <w:r>
        <w:rPr>
          <w:spacing w:val="39"/>
          <w:sz w:val="20"/>
          <w:vertAlign w:val="baseline"/>
        </w:rPr>
        <w:t> </w:t>
      </w:r>
      <w:r>
        <w:rPr>
          <w:sz w:val="20"/>
          <w:vertAlign w:val="baseline"/>
        </w:rPr>
        <w:t>Мероприятия</w:t>
      </w:r>
      <w:r>
        <w:rPr>
          <w:spacing w:val="80"/>
          <w:w w:val="150"/>
          <w:sz w:val="20"/>
          <w:vertAlign w:val="baseline"/>
        </w:rPr>
        <w:t> </w:t>
      </w:r>
      <w:r>
        <w:rPr>
          <w:sz w:val="20"/>
          <w:vertAlign w:val="baseline"/>
        </w:rPr>
        <w:t>проводятся</w:t>
      </w:r>
      <w:r>
        <w:rPr>
          <w:spacing w:val="80"/>
          <w:w w:val="150"/>
          <w:sz w:val="20"/>
          <w:vertAlign w:val="baseline"/>
        </w:rPr>
        <w:t> </w:t>
      </w:r>
      <w:r>
        <w:rPr>
          <w:sz w:val="20"/>
          <w:vertAlign w:val="baseline"/>
        </w:rPr>
        <w:t>и</w:t>
      </w:r>
      <w:r>
        <w:rPr>
          <w:spacing w:val="80"/>
          <w:w w:val="150"/>
          <w:sz w:val="20"/>
          <w:vertAlign w:val="baseline"/>
        </w:rPr>
        <w:t> </w:t>
      </w:r>
      <w:r>
        <w:rPr>
          <w:sz w:val="20"/>
          <w:vertAlign w:val="baseline"/>
        </w:rPr>
        <w:t>при</w:t>
      </w:r>
      <w:r>
        <w:rPr>
          <w:spacing w:val="80"/>
          <w:w w:val="150"/>
          <w:sz w:val="20"/>
          <w:vertAlign w:val="baseline"/>
        </w:rPr>
        <w:t> </w:t>
      </w:r>
      <w:r>
        <w:rPr>
          <w:sz w:val="20"/>
          <w:vertAlign w:val="baseline"/>
        </w:rPr>
        <w:t>транспортировке</w:t>
      </w:r>
      <w:r>
        <w:rPr>
          <w:spacing w:val="80"/>
          <w:w w:val="150"/>
          <w:sz w:val="20"/>
          <w:vertAlign w:val="baseline"/>
        </w:rPr>
        <w:t> </w:t>
      </w:r>
      <w:r>
        <w:rPr>
          <w:sz w:val="20"/>
          <w:vertAlign w:val="baseline"/>
        </w:rPr>
        <w:t>больных</w:t>
      </w:r>
      <w:r>
        <w:rPr>
          <w:spacing w:val="80"/>
          <w:w w:val="150"/>
          <w:sz w:val="20"/>
          <w:vertAlign w:val="baseline"/>
        </w:rPr>
        <w:t> </w:t>
      </w:r>
      <w:r>
        <w:rPr>
          <w:sz w:val="20"/>
          <w:vertAlign w:val="baseline"/>
        </w:rPr>
        <w:t>с</w:t>
      </w:r>
      <w:r>
        <w:rPr>
          <w:spacing w:val="80"/>
          <w:w w:val="150"/>
          <w:sz w:val="20"/>
          <w:vertAlign w:val="baseline"/>
        </w:rPr>
        <w:t> </w:t>
      </w:r>
      <w:r>
        <w:rPr>
          <w:sz w:val="20"/>
          <w:vertAlign w:val="baseline"/>
        </w:rPr>
        <w:t>инфекционным</w:t>
      </w:r>
      <w:r>
        <w:rPr>
          <w:spacing w:val="80"/>
          <w:w w:val="150"/>
          <w:sz w:val="20"/>
          <w:vertAlign w:val="baseline"/>
        </w:rPr>
        <w:t> </w:t>
      </w:r>
      <w:r>
        <w:rPr>
          <w:sz w:val="20"/>
          <w:vertAlign w:val="baseline"/>
        </w:rPr>
        <w:t>заболеванием с применением транспортировочного изолирующего бокса.</w:t>
      </w:r>
    </w:p>
    <w:p>
      <w:pPr>
        <w:spacing w:after="0"/>
        <w:jc w:val="both"/>
        <w:rPr>
          <w:sz w:val="20"/>
        </w:rPr>
        <w:sectPr>
          <w:pgSz w:w="11900" w:h="16840"/>
          <w:pgMar w:header="0" w:footer="697" w:top="1080" w:bottom="880" w:left="0" w:right="0"/>
        </w:sectPr>
      </w:pPr>
    </w:p>
    <w:p>
      <w:pPr>
        <w:pStyle w:val="ListParagraph"/>
        <w:numPr>
          <w:ilvl w:val="0"/>
          <w:numId w:val="60"/>
        </w:numPr>
        <w:tabs>
          <w:tab w:pos="2124" w:val="left" w:leader="none"/>
          <w:tab w:pos="3838" w:val="left" w:leader="none"/>
          <w:tab w:pos="6280" w:val="left" w:leader="none"/>
          <w:tab w:pos="7874" w:val="left" w:leader="none"/>
          <w:tab w:pos="10027" w:val="left" w:leader="none"/>
        </w:tabs>
        <w:spacing w:line="268" w:lineRule="auto" w:before="74" w:after="0"/>
        <w:ind w:left="2124" w:right="1279" w:hanging="360"/>
        <w:jc w:val="both"/>
        <w:rPr>
          <w:sz w:val="24"/>
        </w:rPr>
      </w:pPr>
      <w:bookmarkStart w:name="134" w:id="161"/>
      <w:bookmarkEnd w:id="161"/>
      <w:r>
        <w:rPr/>
      </w:r>
      <w:r>
        <w:rPr>
          <w:spacing w:val="-2"/>
          <w:sz w:val="24"/>
        </w:rPr>
        <w:t>Сообщает</w:t>
      </w:r>
      <w:r>
        <w:rPr>
          <w:sz w:val="24"/>
        </w:rPr>
        <w:tab/>
      </w:r>
      <w:r>
        <w:rPr>
          <w:spacing w:val="-2"/>
          <w:sz w:val="24"/>
        </w:rPr>
        <w:t>незамедлительно</w:t>
      </w:r>
      <w:r>
        <w:rPr>
          <w:sz w:val="24"/>
        </w:rPr>
        <w:tab/>
      </w:r>
      <w:r>
        <w:rPr>
          <w:spacing w:val="-2"/>
          <w:sz w:val="24"/>
        </w:rPr>
        <w:t>согласно</w:t>
      </w:r>
      <w:r>
        <w:rPr>
          <w:sz w:val="24"/>
        </w:rPr>
        <w:tab/>
      </w:r>
      <w:r>
        <w:rPr>
          <w:spacing w:val="-2"/>
          <w:sz w:val="24"/>
        </w:rPr>
        <w:t>утвержденной</w:t>
      </w:r>
      <w:r>
        <w:rPr>
          <w:sz w:val="24"/>
        </w:rPr>
        <w:tab/>
      </w:r>
      <w:r>
        <w:rPr>
          <w:spacing w:val="-2"/>
          <w:sz w:val="24"/>
        </w:rPr>
        <w:t>схеме </w:t>
      </w:r>
      <w:r>
        <w:rPr>
          <w:sz w:val="24"/>
        </w:rPr>
        <w:t>(старший</w:t>
      </w:r>
      <w:r>
        <w:rPr>
          <w:spacing w:val="71"/>
          <w:sz w:val="24"/>
        </w:rPr>
        <w:t> </w:t>
      </w:r>
      <w:r>
        <w:rPr>
          <w:sz w:val="24"/>
        </w:rPr>
        <w:t>врач</w:t>
      </w:r>
      <w:r>
        <w:rPr>
          <w:spacing w:val="72"/>
          <w:sz w:val="24"/>
        </w:rPr>
        <w:t> </w:t>
      </w:r>
      <w:r>
        <w:rPr>
          <w:sz w:val="24"/>
        </w:rPr>
        <w:t>смены)</w:t>
      </w:r>
      <w:r>
        <w:rPr>
          <w:spacing w:val="71"/>
          <w:sz w:val="24"/>
        </w:rPr>
        <w:t> </w:t>
      </w:r>
      <w:r>
        <w:rPr>
          <w:sz w:val="24"/>
        </w:rPr>
        <w:t>уточненные</w:t>
      </w:r>
      <w:r>
        <w:rPr>
          <w:spacing w:val="69"/>
          <w:sz w:val="24"/>
        </w:rPr>
        <w:t> </w:t>
      </w:r>
      <w:r>
        <w:rPr>
          <w:sz w:val="24"/>
        </w:rPr>
        <w:t>сведения</w:t>
      </w:r>
      <w:r>
        <w:rPr>
          <w:spacing w:val="70"/>
          <w:sz w:val="24"/>
        </w:rPr>
        <w:t> </w:t>
      </w:r>
      <w:r>
        <w:rPr>
          <w:sz w:val="24"/>
        </w:rPr>
        <w:t>о</w:t>
      </w:r>
      <w:r>
        <w:rPr>
          <w:spacing w:val="70"/>
          <w:sz w:val="24"/>
        </w:rPr>
        <w:t> </w:t>
      </w:r>
      <w:r>
        <w:rPr>
          <w:sz w:val="24"/>
        </w:rPr>
        <w:t>больном,</w:t>
      </w:r>
      <w:r>
        <w:rPr>
          <w:spacing w:val="70"/>
          <w:sz w:val="24"/>
        </w:rPr>
        <w:t> </w:t>
      </w:r>
      <w:r>
        <w:rPr>
          <w:sz w:val="24"/>
        </w:rPr>
        <w:t>о</w:t>
      </w:r>
      <w:r>
        <w:rPr>
          <w:spacing w:val="70"/>
          <w:sz w:val="24"/>
        </w:rPr>
        <w:t> </w:t>
      </w:r>
      <w:r>
        <w:rPr>
          <w:sz w:val="24"/>
        </w:rPr>
        <w:t>контактировавших с больным и проведенных первичных мероприятиях по локализации очага.</w:t>
      </w:r>
    </w:p>
    <w:p>
      <w:pPr>
        <w:pStyle w:val="BodyText"/>
        <w:spacing w:before="63"/>
        <w:ind w:left="0"/>
        <w:jc w:val="left"/>
      </w:pPr>
    </w:p>
    <w:p>
      <w:pPr>
        <w:pStyle w:val="BodyText"/>
        <w:spacing w:line="276" w:lineRule="auto"/>
        <w:ind w:left="1851" w:right="1273" w:firstLine="697"/>
      </w:pPr>
      <w:r>
        <w:rPr/>
        <w:t>Бригада, выполняющая медицинскую эвакуацию инфекционного больного, должна состоять из медицинских работников, обученных требованиям соблюдения противоэпидемического</w:t>
      </w:r>
      <w:r>
        <w:rPr>
          <w:spacing w:val="40"/>
        </w:rPr>
        <w:t>  </w:t>
      </w:r>
      <w:r>
        <w:rPr/>
        <w:t>режима</w:t>
      </w:r>
      <w:r>
        <w:rPr>
          <w:spacing w:val="40"/>
        </w:rPr>
        <w:t>  </w:t>
      </w:r>
      <w:r>
        <w:rPr/>
        <w:t>и</w:t>
      </w:r>
      <w:r>
        <w:rPr>
          <w:spacing w:val="40"/>
        </w:rPr>
        <w:t>  </w:t>
      </w:r>
      <w:r>
        <w:rPr/>
        <w:t>прошедших</w:t>
      </w:r>
      <w:r>
        <w:rPr>
          <w:spacing w:val="40"/>
        </w:rPr>
        <w:t>  </w:t>
      </w:r>
      <w:r>
        <w:rPr/>
        <w:t>дополнительный</w:t>
      </w:r>
      <w:r>
        <w:rPr>
          <w:spacing w:val="40"/>
        </w:rPr>
        <w:t>  </w:t>
      </w:r>
      <w:r>
        <w:rPr/>
        <w:t>инструктаж по вопросам дезинфекции.</w:t>
      </w:r>
    </w:p>
    <w:p>
      <w:pPr>
        <w:pStyle w:val="BodyText"/>
        <w:tabs>
          <w:tab w:pos="3484" w:val="left" w:leader="none"/>
          <w:tab w:pos="3924" w:val="left" w:leader="none"/>
          <w:tab w:pos="4802" w:val="left" w:leader="none"/>
          <w:tab w:pos="5633" w:val="left" w:leader="none"/>
          <w:tab w:pos="6008" w:val="left" w:leader="none"/>
          <w:tab w:pos="7184" w:val="left" w:leader="none"/>
          <w:tab w:pos="8368" w:val="left" w:leader="none"/>
          <w:tab w:pos="8958" w:val="left" w:leader="none"/>
          <w:tab w:pos="9688" w:val="left" w:leader="none"/>
        </w:tabs>
        <w:spacing w:line="276" w:lineRule="auto"/>
        <w:ind w:left="1851" w:right="1271" w:firstLine="697"/>
        <w:jc w:val="right"/>
      </w:pPr>
      <w:r>
        <w:rPr/>
        <w:t>Больной</w:t>
      </w:r>
      <w:r>
        <w:rPr>
          <w:spacing w:val="80"/>
        </w:rPr>
        <w:t> </w:t>
      </w:r>
      <w:r>
        <w:rPr/>
        <w:t>транспортируется</w:t>
      </w:r>
      <w:r>
        <w:rPr>
          <w:spacing w:val="80"/>
        </w:rPr>
        <w:t> </w:t>
      </w:r>
      <w:r>
        <w:rPr/>
        <w:t>в</w:t>
      </w:r>
      <w:r>
        <w:rPr>
          <w:spacing w:val="80"/>
        </w:rPr>
        <w:t> </w:t>
      </w:r>
      <w:r>
        <w:rPr/>
        <w:t>маске</w:t>
      </w:r>
      <w:r>
        <w:rPr>
          <w:spacing w:val="80"/>
        </w:rPr>
        <w:t> </w:t>
      </w:r>
      <w:r>
        <w:rPr/>
        <w:t>со</w:t>
      </w:r>
      <w:r>
        <w:rPr>
          <w:spacing w:val="80"/>
        </w:rPr>
        <w:t> </w:t>
      </w:r>
      <w:r>
        <w:rPr/>
        <w:t>всеми</w:t>
      </w:r>
      <w:r>
        <w:rPr>
          <w:spacing w:val="40"/>
        </w:rPr>
        <w:t> </w:t>
      </w:r>
      <w:r>
        <w:rPr/>
        <w:t>мерами</w:t>
      </w:r>
      <w:r>
        <w:rPr>
          <w:spacing w:val="80"/>
        </w:rPr>
        <w:t> </w:t>
      </w:r>
      <w:r>
        <w:rPr/>
        <w:t>предосторожности. Водитель</w:t>
      </w:r>
      <w:r>
        <w:rPr>
          <w:spacing w:val="-15"/>
        </w:rPr>
        <w:t> </w:t>
      </w:r>
      <w:r>
        <w:rPr/>
        <w:t>транспортного</w:t>
      </w:r>
      <w:r>
        <w:rPr>
          <w:spacing w:val="-15"/>
        </w:rPr>
        <w:t> </w:t>
      </w:r>
      <w:r>
        <w:rPr/>
        <w:t>средства,</w:t>
      </w:r>
      <w:r>
        <w:rPr>
          <w:spacing w:val="-15"/>
        </w:rPr>
        <w:t> </w:t>
      </w:r>
      <w:r>
        <w:rPr/>
        <w:t>в</w:t>
      </w:r>
      <w:r>
        <w:rPr>
          <w:spacing w:val="-15"/>
        </w:rPr>
        <w:t> </w:t>
      </w:r>
      <w:r>
        <w:rPr/>
        <w:t>котором</w:t>
      </w:r>
      <w:r>
        <w:rPr>
          <w:spacing w:val="-15"/>
        </w:rPr>
        <w:t> </w:t>
      </w:r>
      <w:r>
        <w:rPr/>
        <w:t>осуществляется</w:t>
      </w:r>
      <w:r>
        <w:rPr>
          <w:spacing w:val="-15"/>
        </w:rPr>
        <w:t> </w:t>
      </w:r>
      <w:r>
        <w:rPr/>
        <w:t>медицинская</w:t>
      </w:r>
      <w:r>
        <w:rPr>
          <w:spacing w:val="-15"/>
        </w:rPr>
        <w:t> </w:t>
      </w:r>
      <w:r>
        <w:rPr/>
        <w:t>эвакуация, при наличии изолированной кабины должен</w:t>
      </w:r>
      <w:r>
        <w:rPr>
          <w:spacing w:val="40"/>
        </w:rPr>
        <w:t> </w:t>
      </w:r>
      <w:r>
        <w:rPr/>
        <w:t>быть одет в комбинезон</w:t>
      </w:r>
      <w:r>
        <w:rPr>
          <w:spacing w:val="26"/>
        </w:rPr>
        <w:t> </w:t>
      </w:r>
      <w:r>
        <w:rPr/>
        <w:t>и маску, при</w:t>
      </w:r>
      <w:r>
        <w:rPr>
          <w:spacing w:val="80"/>
        </w:rPr>
        <w:t> </w:t>
      </w:r>
      <w:r>
        <w:rPr/>
        <w:t>ее</w:t>
      </w:r>
      <w:r>
        <w:rPr>
          <w:spacing w:val="-6"/>
        </w:rPr>
        <w:t> </w:t>
      </w:r>
      <w:r>
        <w:rPr/>
        <w:t>отсутствии</w:t>
      </w:r>
      <w:r>
        <w:rPr>
          <w:spacing w:val="-2"/>
        </w:rPr>
        <w:t> </w:t>
      </w:r>
      <w:r>
        <w:rPr/>
        <w:t>–</w:t>
      </w:r>
      <w:r>
        <w:rPr>
          <w:spacing w:val="-7"/>
        </w:rPr>
        <w:t> </w:t>
      </w:r>
      <w:r>
        <w:rPr/>
        <w:t>в</w:t>
      </w:r>
      <w:r>
        <w:rPr>
          <w:spacing w:val="-7"/>
        </w:rPr>
        <w:t> </w:t>
      </w:r>
      <w:r>
        <w:rPr/>
        <w:t>защитную</w:t>
      </w:r>
      <w:r>
        <w:rPr>
          <w:spacing w:val="-5"/>
        </w:rPr>
        <w:t> </w:t>
      </w:r>
      <w:r>
        <w:rPr/>
        <w:t>одежду</w:t>
      </w:r>
      <w:r>
        <w:rPr>
          <w:spacing w:val="-6"/>
        </w:rPr>
        <w:t> </w:t>
      </w:r>
      <w:r>
        <w:rPr/>
        <w:t>в</w:t>
      </w:r>
      <w:r>
        <w:rPr>
          <w:spacing w:val="-7"/>
        </w:rPr>
        <w:t> </w:t>
      </w:r>
      <w:r>
        <w:rPr/>
        <w:t>соответствии</w:t>
      </w:r>
      <w:r>
        <w:rPr>
          <w:spacing w:val="-6"/>
        </w:rPr>
        <w:t> </w:t>
      </w:r>
      <w:r>
        <w:rPr/>
        <w:t>с</w:t>
      </w:r>
      <w:r>
        <w:rPr>
          <w:spacing w:val="-8"/>
        </w:rPr>
        <w:t> </w:t>
      </w:r>
      <w:r>
        <w:rPr/>
        <w:t>установленными</w:t>
      </w:r>
      <w:r>
        <w:rPr>
          <w:spacing w:val="-3"/>
        </w:rPr>
        <w:t> </w:t>
      </w:r>
      <w:r>
        <w:rPr/>
        <w:t>требованиями. При наличии нескольких пациентов с признаками инфекционного заболевания старший</w:t>
      </w:r>
      <w:r>
        <w:rPr>
          <w:spacing w:val="80"/>
        </w:rPr>
        <w:t> </w:t>
      </w:r>
      <w:r>
        <w:rPr/>
        <w:t>медицинский</w:t>
      </w:r>
      <w:r>
        <w:rPr>
          <w:spacing w:val="80"/>
        </w:rPr>
        <w:t> </w:t>
      </w:r>
      <w:r>
        <w:rPr/>
        <w:t>работник</w:t>
      </w:r>
      <w:r>
        <w:rPr>
          <w:spacing w:val="80"/>
        </w:rPr>
        <w:t> </w:t>
      </w:r>
      <w:r>
        <w:rPr/>
        <w:t>бригады</w:t>
      </w:r>
      <w:r>
        <w:rPr>
          <w:spacing w:val="80"/>
        </w:rPr>
        <w:t> </w:t>
      </w:r>
      <w:r>
        <w:rPr/>
        <w:t>определяет</w:t>
      </w:r>
      <w:r>
        <w:rPr>
          <w:spacing w:val="80"/>
        </w:rPr>
        <w:t> </w:t>
      </w:r>
      <w:r>
        <w:rPr/>
        <w:t>количество</w:t>
      </w:r>
      <w:r>
        <w:rPr>
          <w:spacing w:val="80"/>
        </w:rPr>
        <w:t> </w:t>
      </w:r>
      <w:r>
        <w:rPr/>
        <w:t>и</w:t>
      </w:r>
      <w:r>
        <w:rPr>
          <w:spacing w:val="-1"/>
        </w:rPr>
        <w:t> </w:t>
      </w:r>
      <w:r>
        <w:rPr/>
        <w:t>очередность </w:t>
      </w:r>
      <w:r>
        <w:rPr>
          <w:spacing w:val="-2"/>
        </w:rPr>
        <w:t>медицинской</w:t>
      </w:r>
      <w:r>
        <w:rPr/>
        <w:tab/>
      </w:r>
      <w:r>
        <w:rPr>
          <w:spacing w:val="-2"/>
        </w:rPr>
        <w:t>эвакуации</w:t>
      </w:r>
      <w:r>
        <w:rPr/>
        <w:tab/>
      </w:r>
      <w:r>
        <w:rPr>
          <w:spacing w:val="-2"/>
        </w:rPr>
        <w:t>больных,</w:t>
      </w:r>
      <w:r>
        <w:rPr/>
        <w:tab/>
      </w:r>
      <w:r>
        <w:rPr>
          <w:spacing w:val="-2"/>
        </w:rPr>
        <w:t>уточняет</w:t>
      </w:r>
      <w:r>
        <w:rPr/>
        <w:tab/>
      </w:r>
      <w:r>
        <w:rPr>
          <w:spacing w:val="-51"/>
        </w:rPr>
        <w:t> </w:t>
      </w:r>
      <w:r>
        <w:rPr>
          <w:spacing w:val="-2"/>
        </w:rPr>
        <w:t>маршрут</w:t>
      </w:r>
      <w:r>
        <w:rPr/>
        <w:tab/>
      </w:r>
      <w:r>
        <w:rPr>
          <w:spacing w:val="-2"/>
        </w:rPr>
        <w:t>эвакуации</w:t>
      </w:r>
      <w:r>
        <w:rPr/>
        <w:tab/>
      </w:r>
      <w:r>
        <w:rPr>
          <w:spacing w:val="-2"/>
        </w:rPr>
        <w:t>больного </w:t>
      </w:r>
      <w:r>
        <w:rPr/>
        <w:t>и</w:t>
      </w:r>
      <w:r>
        <w:rPr>
          <w:spacing w:val="-3"/>
        </w:rPr>
        <w:t> </w:t>
      </w:r>
      <w:r>
        <w:rPr/>
        <w:t>медицинскую</w:t>
      </w:r>
      <w:r>
        <w:rPr>
          <w:spacing w:val="33"/>
        </w:rPr>
        <w:t> </w:t>
      </w:r>
      <w:r>
        <w:rPr/>
        <w:t>организацию.</w:t>
      </w:r>
      <w:r>
        <w:rPr>
          <w:spacing w:val="36"/>
        </w:rPr>
        <w:t> </w:t>
      </w:r>
      <w:r>
        <w:rPr/>
        <w:t>При</w:t>
      </w:r>
      <w:r>
        <w:rPr>
          <w:spacing w:val="34"/>
        </w:rPr>
        <w:t> </w:t>
      </w:r>
      <w:r>
        <w:rPr/>
        <w:t>наличии</w:t>
      </w:r>
      <w:r>
        <w:rPr>
          <w:spacing w:val="34"/>
        </w:rPr>
        <w:t> </w:t>
      </w:r>
      <w:r>
        <w:rPr/>
        <w:t>нескольких</w:t>
      </w:r>
      <w:r>
        <w:rPr>
          <w:spacing w:val="33"/>
        </w:rPr>
        <w:t> </w:t>
      </w:r>
      <w:r>
        <w:rPr/>
        <w:t>медицинских</w:t>
      </w:r>
      <w:r>
        <w:rPr>
          <w:spacing w:val="33"/>
        </w:rPr>
        <w:t> </w:t>
      </w:r>
      <w:r>
        <w:rPr/>
        <w:t>организаций, </w:t>
      </w:r>
      <w:r>
        <w:rPr>
          <w:spacing w:val="-2"/>
        </w:rPr>
        <w:t>соответствующих</w:t>
      </w:r>
      <w:r>
        <w:rPr/>
        <w:tab/>
      </w:r>
      <w:r>
        <w:rPr>
          <w:spacing w:val="-2"/>
        </w:rPr>
        <w:t>минимальным</w:t>
      </w:r>
      <w:r>
        <w:rPr/>
        <w:tab/>
      </w:r>
      <w:r>
        <w:rPr>
          <w:spacing w:val="-2"/>
        </w:rPr>
        <w:t>требованиям</w:t>
      </w:r>
      <w:r>
        <w:rPr/>
        <w:tab/>
        <w:t>к структурным</w:t>
        <w:tab/>
      </w:r>
      <w:r>
        <w:rPr>
          <w:spacing w:val="-2"/>
        </w:rPr>
        <w:t>подразделениям </w:t>
      </w:r>
      <w:r>
        <w:rPr/>
        <w:t>медицинской</w:t>
      </w:r>
      <w:r>
        <w:rPr>
          <w:spacing w:val="80"/>
        </w:rPr>
        <w:t> </w:t>
      </w:r>
      <w:r>
        <w:rPr/>
        <w:t>организации</w:t>
      </w:r>
      <w:r>
        <w:rPr>
          <w:spacing w:val="80"/>
        </w:rPr>
        <w:t> </w:t>
      </w:r>
      <w:r>
        <w:rPr/>
        <w:t>для</w:t>
      </w:r>
      <w:r>
        <w:rPr>
          <w:spacing w:val="80"/>
        </w:rPr>
        <w:t> </w:t>
      </w:r>
      <w:r>
        <w:rPr/>
        <w:t>лечения</w:t>
      </w:r>
      <w:r>
        <w:rPr>
          <w:spacing w:val="80"/>
        </w:rPr>
        <w:t> </w:t>
      </w:r>
      <w:r>
        <w:rPr/>
        <w:t>COVID-19</w:t>
      </w:r>
      <w:r>
        <w:rPr>
          <w:spacing w:val="80"/>
        </w:rPr>
        <w:t> </w:t>
      </w:r>
      <w:r>
        <w:rPr/>
        <w:t>для</w:t>
      </w:r>
      <w:r>
        <w:rPr>
          <w:spacing w:val="80"/>
        </w:rPr>
        <w:t> </w:t>
      </w:r>
      <w:r>
        <w:rPr/>
        <w:t>пациентов,</w:t>
      </w:r>
      <w:r>
        <w:rPr>
          <w:spacing w:val="80"/>
        </w:rPr>
        <w:t> </w:t>
      </w:r>
      <w:r>
        <w:rPr/>
        <w:t>находящихся в</w:t>
      </w:r>
      <w:r>
        <w:rPr>
          <w:spacing w:val="-3"/>
        </w:rPr>
        <w:t> </w:t>
      </w:r>
      <w:r>
        <w:rPr/>
        <w:t>тяжелом</w:t>
      </w:r>
      <w:r>
        <w:rPr>
          <w:spacing w:val="80"/>
          <w:w w:val="150"/>
        </w:rPr>
        <w:t> </w:t>
      </w:r>
      <w:r>
        <w:rPr/>
        <w:t>состоянии,</w:t>
      </w:r>
      <w:r>
        <w:rPr>
          <w:spacing w:val="80"/>
          <w:w w:val="150"/>
        </w:rPr>
        <w:t> </w:t>
      </w:r>
      <w:r>
        <w:rPr/>
        <w:t>-</w:t>
      </w:r>
      <w:r>
        <w:rPr>
          <w:spacing w:val="80"/>
          <w:w w:val="150"/>
        </w:rPr>
        <w:t> </w:t>
      </w:r>
      <w:r>
        <w:rPr/>
        <w:t>больных</w:t>
      </w:r>
      <w:r>
        <w:rPr>
          <w:spacing w:val="80"/>
          <w:w w:val="150"/>
        </w:rPr>
        <w:t> </w:t>
      </w:r>
      <w:r>
        <w:rPr/>
        <w:t>с</w:t>
      </w:r>
      <w:r>
        <w:rPr>
          <w:spacing w:val="80"/>
          <w:w w:val="150"/>
        </w:rPr>
        <w:t> </w:t>
      </w:r>
      <w:r>
        <w:rPr/>
        <w:t>тяжелыми</w:t>
      </w:r>
      <w:r>
        <w:rPr>
          <w:spacing w:val="80"/>
          <w:w w:val="150"/>
        </w:rPr>
        <w:t> </w:t>
      </w:r>
      <w:r>
        <w:rPr/>
        <w:t>и</w:t>
      </w:r>
      <w:r>
        <w:rPr>
          <w:spacing w:val="80"/>
          <w:w w:val="150"/>
        </w:rPr>
        <w:t> </w:t>
      </w:r>
      <w:r>
        <w:rPr/>
        <w:t>крайне</w:t>
      </w:r>
      <w:r>
        <w:rPr>
          <w:spacing w:val="80"/>
          <w:w w:val="150"/>
        </w:rPr>
        <w:t> </w:t>
      </w:r>
      <w:r>
        <w:rPr/>
        <w:t>тяжелыми</w:t>
      </w:r>
      <w:r>
        <w:rPr>
          <w:spacing w:val="80"/>
          <w:w w:val="150"/>
        </w:rPr>
        <w:t> </w:t>
      </w:r>
      <w:r>
        <w:rPr/>
        <w:t>формами заболевания</w:t>
      </w:r>
      <w:r>
        <w:rPr>
          <w:spacing w:val="40"/>
        </w:rPr>
        <w:t> </w:t>
      </w:r>
      <w:r>
        <w:rPr/>
        <w:t>целесообразно</w:t>
      </w:r>
      <w:r>
        <w:rPr>
          <w:spacing w:val="40"/>
        </w:rPr>
        <w:t> </w:t>
      </w:r>
      <w:r>
        <w:rPr/>
        <w:t>направлять</w:t>
      </w:r>
      <w:r>
        <w:rPr>
          <w:spacing w:val="40"/>
        </w:rPr>
        <w:t> </w:t>
      </w:r>
      <w:r>
        <w:rPr/>
        <w:t>в</w:t>
      </w:r>
      <w:r>
        <w:rPr>
          <w:spacing w:val="40"/>
        </w:rPr>
        <w:t> </w:t>
      </w:r>
      <w:r>
        <w:rPr/>
        <w:t>медицинские</w:t>
      </w:r>
      <w:r>
        <w:rPr>
          <w:spacing w:val="40"/>
        </w:rPr>
        <w:t> </w:t>
      </w:r>
      <w:r>
        <w:rPr/>
        <w:t>организации,</w:t>
      </w:r>
      <w:r>
        <w:rPr>
          <w:spacing w:val="40"/>
        </w:rPr>
        <w:t> </w:t>
      </w:r>
      <w:r>
        <w:rPr/>
        <w:t>обладающие всеми</w:t>
      </w:r>
      <w:r>
        <w:rPr>
          <w:spacing w:val="70"/>
          <w:w w:val="150"/>
        </w:rPr>
        <w:t> </w:t>
      </w:r>
      <w:r>
        <w:rPr/>
        <w:t>технологиями</w:t>
      </w:r>
      <w:r>
        <w:rPr>
          <w:spacing w:val="70"/>
          <w:w w:val="150"/>
        </w:rPr>
        <w:t> </w:t>
      </w:r>
      <w:r>
        <w:rPr/>
        <w:t>респираторной</w:t>
      </w:r>
      <w:r>
        <w:rPr>
          <w:spacing w:val="70"/>
          <w:w w:val="150"/>
        </w:rPr>
        <w:t> </w:t>
      </w:r>
      <w:r>
        <w:rPr/>
        <w:t>поддержки,</w:t>
      </w:r>
      <w:r>
        <w:rPr>
          <w:spacing w:val="69"/>
          <w:w w:val="150"/>
        </w:rPr>
        <w:t> </w:t>
      </w:r>
      <w:r>
        <w:rPr/>
        <w:t>эфферентной</w:t>
      </w:r>
      <w:r>
        <w:rPr>
          <w:spacing w:val="71"/>
          <w:w w:val="150"/>
        </w:rPr>
        <w:t> </w:t>
      </w:r>
      <w:r>
        <w:rPr/>
        <w:t>и</w:t>
      </w:r>
      <w:r>
        <w:rPr>
          <w:spacing w:val="68"/>
          <w:w w:val="150"/>
        </w:rPr>
        <w:t> </w:t>
      </w:r>
      <w:r>
        <w:rPr>
          <w:spacing w:val="-2"/>
        </w:rPr>
        <w:t>упреждающей</w:t>
      </w:r>
    </w:p>
    <w:p>
      <w:pPr>
        <w:pStyle w:val="BodyText"/>
        <w:spacing w:line="272" w:lineRule="exact"/>
        <w:ind w:left="1851"/>
      </w:pPr>
      <w:r>
        <w:rPr>
          <w:spacing w:val="-2"/>
        </w:rPr>
        <w:t>противовоспалительной</w:t>
      </w:r>
      <w:r>
        <w:rPr>
          <w:spacing w:val="2"/>
        </w:rPr>
        <w:t> </w:t>
      </w:r>
      <w:r>
        <w:rPr>
          <w:spacing w:val="-2"/>
        </w:rPr>
        <w:t>терапии.</w:t>
      </w:r>
    </w:p>
    <w:p>
      <w:pPr>
        <w:pStyle w:val="BodyText"/>
        <w:spacing w:line="276" w:lineRule="auto" w:before="42"/>
        <w:ind w:left="1851" w:right="1273" w:firstLine="697"/>
      </w:pPr>
      <w:r>
        <w:rPr/>
        <w:t>Транспортировка</w:t>
      </w:r>
      <w:r>
        <w:rPr>
          <w:spacing w:val="40"/>
        </w:rPr>
        <w:t> </w:t>
      </w:r>
      <w:r>
        <w:rPr/>
        <w:t>двух</w:t>
      </w:r>
      <w:r>
        <w:rPr>
          <w:spacing w:val="40"/>
        </w:rPr>
        <w:t> </w:t>
      </w:r>
      <w:r>
        <w:rPr/>
        <w:t>и</w:t>
      </w:r>
      <w:r>
        <w:rPr>
          <w:spacing w:val="40"/>
        </w:rPr>
        <w:t> </w:t>
      </w:r>
      <w:r>
        <w:rPr/>
        <w:t>более</w:t>
      </w:r>
      <w:r>
        <w:rPr>
          <w:spacing w:val="40"/>
        </w:rPr>
        <w:t> </w:t>
      </w:r>
      <w:r>
        <w:rPr/>
        <w:t>инфекционных</w:t>
      </w:r>
      <w:r>
        <w:rPr>
          <w:spacing w:val="40"/>
        </w:rPr>
        <w:t> </w:t>
      </w:r>
      <w:r>
        <w:rPr/>
        <w:t>больных</w:t>
      </w:r>
      <w:r>
        <w:rPr>
          <w:spacing w:val="40"/>
        </w:rPr>
        <w:t> </w:t>
      </w:r>
      <w:r>
        <w:rPr/>
        <w:t>из</w:t>
      </w:r>
      <w:r>
        <w:rPr>
          <w:spacing w:val="40"/>
        </w:rPr>
        <w:t> </w:t>
      </w:r>
      <w:r>
        <w:rPr/>
        <w:t>разных</w:t>
      </w:r>
      <w:r>
        <w:rPr>
          <w:spacing w:val="40"/>
        </w:rPr>
        <w:t> </w:t>
      </w:r>
      <w:r>
        <w:rPr/>
        <w:t>очагов на</w:t>
      </w:r>
      <w:r>
        <w:rPr>
          <w:spacing w:val="-15"/>
        </w:rPr>
        <w:t> </w:t>
      </w:r>
      <w:r>
        <w:rPr/>
        <w:t>одной</w:t>
      </w:r>
      <w:r>
        <w:rPr>
          <w:spacing w:val="-15"/>
        </w:rPr>
        <w:t> </w:t>
      </w:r>
      <w:r>
        <w:rPr/>
        <w:t>машине</w:t>
      </w:r>
      <w:r>
        <w:rPr>
          <w:spacing w:val="-15"/>
        </w:rPr>
        <w:t> </w:t>
      </w:r>
      <w:r>
        <w:rPr/>
        <w:t>не</w:t>
      </w:r>
      <w:r>
        <w:rPr>
          <w:spacing w:val="-15"/>
        </w:rPr>
        <w:t> </w:t>
      </w:r>
      <w:r>
        <w:rPr/>
        <w:t>допускается.</w:t>
      </w:r>
      <w:r>
        <w:rPr>
          <w:spacing w:val="-15"/>
        </w:rPr>
        <w:t> </w:t>
      </w:r>
      <w:r>
        <w:rPr/>
        <w:t>Совместная</w:t>
      </w:r>
      <w:r>
        <w:rPr>
          <w:spacing w:val="-15"/>
        </w:rPr>
        <w:t> </w:t>
      </w:r>
      <w:r>
        <w:rPr/>
        <w:t>транспортировка</w:t>
      </w:r>
      <w:r>
        <w:rPr>
          <w:spacing w:val="-15"/>
        </w:rPr>
        <w:t> </w:t>
      </w:r>
      <w:r>
        <w:rPr/>
        <w:t>нескольких</w:t>
      </w:r>
      <w:r>
        <w:rPr>
          <w:spacing w:val="-15"/>
        </w:rPr>
        <w:t> </w:t>
      </w:r>
      <w:r>
        <w:rPr/>
        <w:t>пациентов с</w:t>
      </w:r>
      <w:r>
        <w:rPr>
          <w:spacing w:val="-8"/>
        </w:rPr>
        <w:t> </w:t>
      </w:r>
      <w:r>
        <w:rPr/>
        <w:t>подтвержденным</w:t>
      </w:r>
      <w:r>
        <w:rPr>
          <w:spacing w:val="-11"/>
        </w:rPr>
        <w:t> </w:t>
      </w:r>
      <w:r>
        <w:rPr/>
        <w:t>диагнозом</w:t>
      </w:r>
      <w:r>
        <w:rPr>
          <w:spacing w:val="-11"/>
        </w:rPr>
        <w:t> </w:t>
      </w:r>
      <w:r>
        <w:rPr/>
        <w:t>COVID-19</w:t>
      </w:r>
      <w:r>
        <w:rPr>
          <w:spacing w:val="-10"/>
        </w:rPr>
        <w:t> </w:t>
      </w:r>
      <w:r>
        <w:rPr/>
        <w:t>из</w:t>
      </w:r>
      <w:r>
        <w:rPr>
          <w:spacing w:val="-10"/>
        </w:rPr>
        <w:t> </w:t>
      </w:r>
      <w:r>
        <w:rPr/>
        <w:t>одного</w:t>
      </w:r>
      <w:r>
        <w:rPr>
          <w:spacing w:val="-10"/>
        </w:rPr>
        <w:t> </w:t>
      </w:r>
      <w:r>
        <w:rPr/>
        <w:t>очага</w:t>
      </w:r>
      <w:r>
        <w:rPr>
          <w:spacing w:val="-11"/>
        </w:rPr>
        <w:t> </w:t>
      </w:r>
      <w:r>
        <w:rPr/>
        <w:t>допускается</w:t>
      </w:r>
      <w:r>
        <w:rPr>
          <w:spacing w:val="-11"/>
        </w:rPr>
        <w:t> </w:t>
      </w:r>
      <w:r>
        <w:rPr/>
        <w:t>при</w:t>
      </w:r>
      <w:r>
        <w:rPr>
          <w:spacing w:val="-10"/>
        </w:rPr>
        <w:t> </w:t>
      </w:r>
      <w:r>
        <w:rPr/>
        <w:t>отсутствии противопоказаний</w:t>
      </w:r>
      <w:r>
        <w:rPr>
          <w:spacing w:val="70"/>
        </w:rPr>
        <w:t>  </w:t>
      </w:r>
      <w:r>
        <w:rPr/>
        <w:t>по</w:t>
      </w:r>
      <w:r>
        <w:rPr>
          <w:spacing w:val="70"/>
        </w:rPr>
        <w:t>  </w:t>
      </w:r>
      <w:r>
        <w:rPr/>
        <w:t>клиническому</w:t>
      </w:r>
      <w:r>
        <w:rPr>
          <w:spacing w:val="71"/>
        </w:rPr>
        <w:t>  </w:t>
      </w:r>
      <w:r>
        <w:rPr/>
        <w:t>статусу.</w:t>
      </w:r>
      <w:r>
        <w:rPr>
          <w:spacing w:val="71"/>
        </w:rPr>
        <w:t>  </w:t>
      </w:r>
      <w:r>
        <w:rPr/>
        <w:t>Перевозка</w:t>
      </w:r>
      <w:r>
        <w:rPr>
          <w:spacing w:val="70"/>
        </w:rPr>
        <w:t>  </w:t>
      </w:r>
      <w:r>
        <w:rPr/>
        <w:t>контактировавших с больными лиц вместе с больным на одной автомашине не допускается.</w:t>
      </w:r>
    </w:p>
    <w:p>
      <w:pPr>
        <w:pStyle w:val="BodyText"/>
        <w:spacing w:line="276" w:lineRule="auto"/>
        <w:ind w:left="1851" w:right="1272" w:firstLine="697"/>
      </w:pPr>
      <w:r>
        <w:rPr/>
        <w:t>Машину скорой медицинской помощи дополнительно оснащают набором дезинфицирующих средств из расчета на 1</w:t>
      </w:r>
      <w:r>
        <w:rPr>
          <w:spacing w:val="-5"/>
        </w:rPr>
        <w:t> </w:t>
      </w:r>
      <w:r>
        <w:rPr/>
        <w:t>сутки:</w:t>
      </w:r>
    </w:p>
    <w:p>
      <w:pPr>
        <w:pStyle w:val="ListParagraph"/>
        <w:numPr>
          <w:ilvl w:val="0"/>
          <w:numId w:val="60"/>
        </w:numPr>
        <w:tabs>
          <w:tab w:pos="2124" w:val="left" w:leader="none"/>
        </w:tabs>
        <w:spacing w:line="321" w:lineRule="exact" w:before="0" w:after="0"/>
        <w:ind w:left="2124" w:right="0" w:hanging="359"/>
        <w:jc w:val="left"/>
        <w:rPr>
          <w:sz w:val="24"/>
        </w:rPr>
      </w:pPr>
      <w:r>
        <w:rPr>
          <w:sz w:val="24"/>
        </w:rPr>
        <w:t>Средство</w:t>
      </w:r>
      <w:r>
        <w:rPr>
          <w:spacing w:val="-12"/>
          <w:sz w:val="24"/>
        </w:rPr>
        <w:t> </w:t>
      </w:r>
      <w:r>
        <w:rPr>
          <w:sz w:val="24"/>
        </w:rPr>
        <w:t>для</w:t>
      </w:r>
      <w:r>
        <w:rPr>
          <w:spacing w:val="-11"/>
          <w:sz w:val="24"/>
        </w:rPr>
        <w:t> </w:t>
      </w:r>
      <w:r>
        <w:rPr>
          <w:sz w:val="24"/>
        </w:rPr>
        <w:t>дезинфекции</w:t>
      </w:r>
      <w:r>
        <w:rPr>
          <w:spacing w:val="-8"/>
          <w:sz w:val="24"/>
        </w:rPr>
        <w:t> </w:t>
      </w:r>
      <w:r>
        <w:rPr>
          <w:spacing w:val="-2"/>
          <w:sz w:val="24"/>
        </w:rPr>
        <w:t>выделений;</w:t>
      </w:r>
    </w:p>
    <w:p>
      <w:pPr>
        <w:pStyle w:val="ListParagraph"/>
        <w:numPr>
          <w:ilvl w:val="0"/>
          <w:numId w:val="60"/>
        </w:numPr>
        <w:tabs>
          <w:tab w:pos="2124" w:val="left" w:leader="none"/>
        </w:tabs>
        <w:spacing w:line="240" w:lineRule="auto" w:before="31" w:after="0"/>
        <w:ind w:left="2124" w:right="0" w:hanging="359"/>
        <w:jc w:val="left"/>
        <w:rPr>
          <w:sz w:val="24"/>
        </w:rPr>
      </w:pPr>
      <w:r>
        <w:rPr>
          <w:sz w:val="24"/>
        </w:rPr>
        <w:t>Средство</w:t>
      </w:r>
      <w:r>
        <w:rPr>
          <w:spacing w:val="-14"/>
          <w:sz w:val="24"/>
        </w:rPr>
        <w:t> </w:t>
      </w:r>
      <w:r>
        <w:rPr>
          <w:sz w:val="24"/>
        </w:rPr>
        <w:t>для</w:t>
      </w:r>
      <w:r>
        <w:rPr>
          <w:spacing w:val="-14"/>
          <w:sz w:val="24"/>
        </w:rPr>
        <w:t> </w:t>
      </w:r>
      <w:r>
        <w:rPr>
          <w:sz w:val="24"/>
        </w:rPr>
        <w:t>дезинфекции</w:t>
      </w:r>
      <w:r>
        <w:rPr>
          <w:spacing w:val="-15"/>
          <w:sz w:val="24"/>
        </w:rPr>
        <w:t> </w:t>
      </w:r>
      <w:r>
        <w:rPr>
          <w:sz w:val="24"/>
        </w:rPr>
        <w:t>поверхностей</w:t>
      </w:r>
      <w:r>
        <w:rPr>
          <w:spacing w:val="-10"/>
          <w:sz w:val="24"/>
        </w:rPr>
        <w:t> </w:t>
      </w:r>
      <w:r>
        <w:rPr>
          <w:spacing w:val="-2"/>
          <w:sz w:val="24"/>
        </w:rPr>
        <w:t>салона;</w:t>
      </w:r>
    </w:p>
    <w:p>
      <w:pPr>
        <w:pStyle w:val="ListParagraph"/>
        <w:numPr>
          <w:ilvl w:val="0"/>
          <w:numId w:val="60"/>
        </w:numPr>
        <w:tabs>
          <w:tab w:pos="2124" w:val="left" w:leader="none"/>
        </w:tabs>
        <w:spacing w:line="240" w:lineRule="auto" w:before="33" w:after="0"/>
        <w:ind w:left="2124" w:right="0" w:hanging="359"/>
        <w:jc w:val="left"/>
        <w:rPr>
          <w:sz w:val="24"/>
        </w:rPr>
      </w:pPr>
      <w:r>
        <w:rPr>
          <w:sz w:val="24"/>
        </w:rPr>
        <w:t>Средство</w:t>
      </w:r>
      <w:r>
        <w:rPr>
          <w:spacing w:val="-9"/>
          <w:sz w:val="24"/>
        </w:rPr>
        <w:t> </w:t>
      </w:r>
      <w:r>
        <w:rPr>
          <w:sz w:val="24"/>
        </w:rPr>
        <w:t>для</w:t>
      </w:r>
      <w:r>
        <w:rPr>
          <w:spacing w:val="-9"/>
          <w:sz w:val="24"/>
        </w:rPr>
        <w:t> </w:t>
      </w:r>
      <w:r>
        <w:rPr>
          <w:sz w:val="24"/>
        </w:rPr>
        <w:t>обработки</w:t>
      </w:r>
      <w:r>
        <w:rPr>
          <w:spacing w:val="-8"/>
          <w:sz w:val="24"/>
        </w:rPr>
        <w:t> </w:t>
      </w:r>
      <w:r>
        <w:rPr>
          <w:sz w:val="24"/>
        </w:rPr>
        <w:t>рук</w:t>
      </w:r>
      <w:r>
        <w:rPr>
          <w:spacing w:val="-8"/>
          <w:sz w:val="24"/>
        </w:rPr>
        <w:t> </w:t>
      </w:r>
      <w:r>
        <w:rPr>
          <w:sz w:val="24"/>
        </w:rPr>
        <w:t>персонала</w:t>
      </w:r>
      <w:r>
        <w:rPr>
          <w:spacing w:val="-9"/>
          <w:sz w:val="24"/>
        </w:rPr>
        <w:t> </w:t>
      </w:r>
      <w:r>
        <w:rPr>
          <w:sz w:val="24"/>
        </w:rPr>
        <w:t>(1-2</w:t>
      </w:r>
      <w:r>
        <w:rPr>
          <w:spacing w:val="-9"/>
          <w:sz w:val="24"/>
        </w:rPr>
        <w:t> </w:t>
      </w:r>
      <w:r>
        <w:rPr>
          <w:spacing w:val="-2"/>
          <w:sz w:val="24"/>
        </w:rPr>
        <w:t>упаковки);</w:t>
      </w:r>
    </w:p>
    <w:p>
      <w:pPr>
        <w:pStyle w:val="ListParagraph"/>
        <w:numPr>
          <w:ilvl w:val="0"/>
          <w:numId w:val="60"/>
        </w:numPr>
        <w:tabs>
          <w:tab w:pos="2124" w:val="left" w:leader="none"/>
        </w:tabs>
        <w:spacing w:line="240" w:lineRule="auto" w:before="34" w:after="0"/>
        <w:ind w:left="2124" w:right="0" w:hanging="359"/>
        <w:jc w:val="left"/>
        <w:rPr>
          <w:sz w:val="24"/>
        </w:rPr>
      </w:pPr>
      <w:r>
        <w:rPr>
          <w:spacing w:val="-2"/>
          <w:sz w:val="24"/>
        </w:rPr>
        <w:t>Бактерицидный</w:t>
      </w:r>
      <w:r>
        <w:rPr>
          <w:spacing w:val="1"/>
          <w:sz w:val="24"/>
        </w:rPr>
        <w:t> </w:t>
      </w:r>
      <w:r>
        <w:rPr>
          <w:spacing w:val="-2"/>
          <w:sz w:val="24"/>
        </w:rPr>
        <w:t>облучатель.</w:t>
      </w:r>
    </w:p>
    <w:p>
      <w:pPr>
        <w:pStyle w:val="BodyText"/>
        <w:spacing w:before="86"/>
        <w:ind w:left="0"/>
        <w:jc w:val="left"/>
      </w:pPr>
    </w:p>
    <w:p>
      <w:pPr>
        <w:pStyle w:val="BodyText"/>
        <w:spacing w:line="276" w:lineRule="auto"/>
        <w:ind w:left="1853" w:right="1279" w:firstLine="695"/>
        <w:jc w:val="right"/>
      </w:pPr>
      <w:r>
        <w:rPr/>
        <w:t>Расход</w:t>
      </w:r>
      <w:r>
        <w:rPr>
          <w:spacing w:val="29"/>
        </w:rPr>
        <w:t> </w:t>
      </w:r>
      <w:r>
        <w:rPr/>
        <w:t>дезинфицирующих</w:t>
      </w:r>
      <w:r>
        <w:rPr>
          <w:spacing w:val="29"/>
        </w:rPr>
        <w:t> </w:t>
      </w:r>
      <w:r>
        <w:rPr/>
        <w:t>средств,</w:t>
      </w:r>
      <w:r>
        <w:rPr>
          <w:spacing w:val="29"/>
        </w:rPr>
        <w:t> </w:t>
      </w:r>
      <w:r>
        <w:rPr/>
        <w:t>необходимых</w:t>
      </w:r>
      <w:r>
        <w:rPr>
          <w:spacing w:val="29"/>
        </w:rPr>
        <w:t> </w:t>
      </w:r>
      <w:r>
        <w:rPr/>
        <w:t>на</w:t>
      </w:r>
      <w:r>
        <w:rPr>
          <w:spacing w:val="28"/>
        </w:rPr>
        <w:t> </w:t>
      </w:r>
      <w:r>
        <w:rPr/>
        <w:t>1</w:t>
      </w:r>
      <w:r>
        <w:rPr>
          <w:spacing w:val="29"/>
        </w:rPr>
        <w:t> </w:t>
      </w:r>
      <w:r>
        <w:rPr/>
        <w:t>смену,</w:t>
      </w:r>
      <w:r>
        <w:rPr>
          <w:spacing w:val="29"/>
        </w:rPr>
        <w:t> </w:t>
      </w:r>
      <w:r>
        <w:rPr/>
        <w:t>рассчитывают </w:t>
      </w:r>
      <w:r>
        <w:rPr>
          <w:spacing w:val="-2"/>
        </w:rPr>
        <w:t>в</w:t>
      </w:r>
      <w:r>
        <w:rPr>
          <w:spacing w:val="2"/>
        </w:rPr>
        <w:t> </w:t>
      </w:r>
      <w:r>
        <w:rPr>
          <w:spacing w:val="-2"/>
        </w:rPr>
        <w:t>зависимости</w:t>
      </w:r>
      <w:r>
        <w:rPr>
          <w:spacing w:val="-6"/>
        </w:rPr>
        <w:t> </w:t>
      </w:r>
      <w:r>
        <w:rPr>
          <w:spacing w:val="-2"/>
        </w:rPr>
        <w:t>от</w:t>
      </w:r>
      <w:r>
        <w:rPr>
          <w:spacing w:val="-6"/>
        </w:rPr>
        <w:t> </w:t>
      </w:r>
      <w:r>
        <w:rPr>
          <w:spacing w:val="-2"/>
        </w:rPr>
        <w:t>того</w:t>
      </w:r>
      <w:r>
        <w:rPr>
          <w:spacing w:val="-7"/>
        </w:rPr>
        <w:t> </w:t>
      </w:r>
      <w:r>
        <w:rPr>
          <w:spacing w:val="-2"/>
        </w:rPr>
        <w:t>какое</w:t>
      </w:r>
      <w:r>
        <w:rPr>
          <w:spacing w:val="-8"/>
        </w:rPr>
        <w:t> </w:t>
      </w:r>
      <w:r>
        <w:rPr>
          <w:spacing w:val="-2"/>
        </w:rPr>
        <w:t>средство</w:t>
      </w:r>
      <w:r>
        <w:rPr>
          <w:spacing w:val="-8"/>
        </w:rPr>
        <w:t> </w:t>
      </w:r>
      <w:r>
        <w:rPr>
          <w:spacing w:val="-2"/>
        </w:rPr>
        <w:t>имеется</w:t>
      </w:r>
      <w:r>
        <w:rPr>
          <w:spacing w:val="-5"/>
        </w:rPr>
        <w:t> </w:t>
      </w:r>
      <w:r>
        <w:rPr>
          <w:spacing w:val="-2"/>
        </w:rPr>
        <w:t>в</w:t>
      </w:r>
      <w:r>
        <w:rPr>
          <w:spacing w:val="-5"/>
        </w:rPr>
        <w:t> </w:t>
      </w:r>
      <w:r>
        <w:rPr>
          <w:spacing w:val="-2"/>
        </w:rPr>
        <w:t>наличии</w:t>
      </w:r>
      <w:r>
        <w:rPr>
          <w:spacing w:val="-10"/>
        </w:rPr>
        <w:t> </w:t>
      </w:r>
      <w:r>
        <w:rPr>
          <w:spacing w:val="-2"/>
        </w:rPr>
        <w:t>и</w:t>
      </w:r>
      <w:r>
        <w:rPr>
          <w:spacing w:val="-6"/>
        </w:rPr>
        <w:t> </w:t>
      </w:r>
      <w:r>
        <w:rPr>
          <w:spacing w:val="-2"/>
        </w:rPr>
        <w:t>возможного</w:t>
      </w:r>
      <w:r>
        <w:rPr>
          <w:spacing w:val="-11"/>
        </w:rPr>
        <w:t> </w:t>
      </w:r>
      <w:r>
        <w:rPr>
          <w:spacing w:val="-2"/>
        </w:rPr>
        <w:t>числа</w:t>
      </w:r>
      <w:r>
        <w:rPr>
          <w:spacing w:val="-8"/>
        </w:rPr>
        <w:t> </w:t>
      </w:r>
      <w:r>
        <w:rPr>
          <w:spacing w:val="-2"/>
        </w:rPr>
        <w:t>выездов.</w:t>
      </w:r>
    </w:p>
    <w:p>
      <w:pPr>
        <w:pStyle w:val="BodyText"/>
        <w:spacing w:line="276" w:lineRule="auto"/>
        <w:ind w:left="1853" w:right="1279" w:firstLine="695"/>
      </w:pPr>
      <w:r>
        <w:rPr/>
        <w:t>После</w:t>
      </w:r>
      <w:r>
        <w:rPr>
          <w:spacing w:val="80"/>
        </w:rPr>
        <w:t> </w:t>
      </w:r>
      <w:r>
        <w:rPr/>
        <w:t>доставки</w:t>
      </w:r>
      <w:r>
        <w:rPr>
          <w:spacing w:val="80"/>
        </w:rPr>
        <w:t> </w:t>
      </w:r>
      <w:r>
        <w:rPr/>
        <w:t>больного</w:t>
      </w:r>
      <w:r>
        <w:rPr>
          <w:spacing w:val="80"/>
        </w:rPr>
        <w:t> </w:t>
      </w:r>
      <w:r>
        <w:rPr/>
        <w:t>в</w:t>
      </w:r>
      <w:r>
        <w:rPr>
          <w:spacing w:val="80"/>
        </w:rPr>
        <w:t> </w:t>
      </w:r>
      <w:r>
        <w:rPr/>
        <w:t>инфекционный</w:t>
      </w:r>
      <w:r>
        <w:rPr>
          <w:spacing w:val="80"/>
        </w:rPr>
        <w:t> </w:t>
      </w:r>
      <w:r>
        <w:rPr/>
        <w:t>стационар</w:t>
      </w:r>
      <w:r>
        <w:rPr>
          <w:spacing w:val="80"/>
        </w:rPr>
        <w:t> </w:t>
      </w:r>
      <w:r>
        <w:rPr/>
        <w:t>бригада</w:t>
      </w:r>
      <w:r>
        <w:rPr>
          <w:spacing w:val="80"/>
        </w:rPr>
        <w:t> </w:t>
      </w:r>
      <w:r>
        <w:rPr/>
        <w:t>проходит на</w:t>
      </w:r>
      <w:r>
        <w:rPr>
          <w:spacing w:val="-6"/>
        </w:rPr>
        <w:t> </w:t>
      </w:r>
      <w:r>
        <w:rPr/>
        <w:t>территории больницы полную санитарную обработку с дезинфекцией защитной </w:t>
      </w:r>
      <w:r>
        <w:rPr>
          <w:spacing w:val="-2"/>
        </w:rPr>
        <w:t>одежды.</w:t>
      </w:r>
    </w:p>
    <w:p>
      <w:pPr>
        <w:pStyle w:val="BodyText"/>
        <w:spacing w:line="276" w:lineRule="auto"/>
        <w:ind w:left="1851" w:right="1279" w:firstLine="697"/>
      </w:pPr>
      <w:r>
        <w:rPr/>
        <w:t>Машина и предметы ухода за больным подвергаются заключительной дезинфекции на территории больницы силами самой больницы или бригад учреждения дезинфекционного профиля (в соответствии с комплексным планом).</w:t>
      </w:r>
    </w:p>
    <w:p>
      <w:pPr>
        <w:pStyle w:val="BodyText"/>
        <w:spacing w:after="0" w:line="276" w:lineRule="auto"/>
        <w:sectPr>
          <w:pgSz w:w="11900" w:h="16840"/>
          <w:pgMar w:header="0" w:footer="697" w:top="1080" w:bottom="880" w:left="0" w:right="0"/>
        </w:sectPr>
      </w:pPr>
    </w:p>
    <w:p>
      <w:pPr>
        <w:pStyle w:val="BodyText"/>
        <w:spacing w:line="276" w:lineRule="auto" w:before="73"/>
        <w:ind w:left="1851" w:right="1280" w:firstLine="697"/>
      </w:pPr>
      <w:bookmarkStart w:name="135" w:id="162"/>
      <w:bookmarkEnd w:id="162"/>
      <w:r>
        <w:rPr/>
      </w:r>
      <w:r>
        <w:rPr/>
        <w:t>За членами бригады, проводившей медицинскую эвакуацию, устанавливается наблюдение на срок 7 дней.</w:t>
      </w:r>
    </w:p>
    <w:p>
      <w:pPr>
        <w:pStyle w:val="Heading3"/>
        <w:spacing w:line="276" w:lineRule="auto" w:before="121"/>
        <w:ind w:left="1853" w:right="1276" w:firstLine="695"/>
      </w:pPr>
      <w:r>
        <w:rPr>
          <w:color w:val="1F487C"/>
        </w:rPr>
        <w:t>б)</w:t>
      </w:r>
      <w:r>
        <w:rPr>
          <w:color w:val="1F487C"/>
          <w:spacing w:val="80"/>
        </w:rPr>
        <w:t>  </w:t>
      </w:r>
      <w:r>
        <w:rPr>
          <w:color w:val="1F487C"/>
        </w:rPr>
        <w:t>Транспортировка</w:t>
      </w:r>
      <w:r>
        <w:rPr>
          <w:color w:val="1F487C"/>
          <w:spacing w:val="80"/>
        </w:rPr>
        <w:t>  </w:t>
      </w:r>
      <w:r>
        <w:rPr>
          <w:color w:val="1F487C"/>
        </w:rPr>
        <w:t>пациента</w:t>
      </w:r>
      <w:r>
        <w:rPr>
          <w:color w:val="1F487C"/>
          <w:spacing w:val="80"/>
        </w:rPr>
        <w:t>  </w:t>
      </w:r>
      <w:r>
        <w:rPr>
          <w:color w:val="1F487C"/>
        </w:rPr>
        <w:t>с</w:t>
      </w:r>
      <w:r>
        <w:rPr>
          <w:color w:val="1F487C"/>
          <w:spacing w:val="80"/>
        </w:rPr>
        <w:t>  </w:t>
      </w:r>
      <w:r>
        <w:rPr>
          <w:color w:val="1F487C"/>
        </w:rPr>
        <w:t>инфекционным</w:t>
      </w:r>
      <w:r>
        <w:rPr>
          <w:color w:val="1F487C"/>
          <w:spacing w:val="80"/>
        </w:rPr>
        <w:t>  </w:t>
      </w:r>
      <w:r>
        <w:rPr>
          <w:color w:val="1F487C"/>
        </w:rPr>
        <w:t>заболеванием</w:t>
      </w:r>
      <w:r>
        <w:rPr>
          <w:color w:val="1F487C"/>
          <w:spacing w:val="80"/>
        </w:rPr>
        <w:t> </w:t>
      </w:r>
      <w:r>
        <w:rPr>
          <w:color w:val="1F487C"/>
        </w:rPr>
        <w:t>с применением транспортировочного изолирующего бокса</w:t>
      </w:r>
    </w:p>
    <w:p>
      <w:pPr>
        <w:pStyle w:val="BodyText"/>
        <w:spacing w:line="276" w:lineRule="auto" w:before="118"/>
        <w:ind w:left="1851" w:right="1275" w:firstLine="697"/>
      </w:pPr>
      <w:r>
        <w:rPr/>
        <w:t>Больные</w:t>
      </w:r>
      <w:r>
        <w:rPr>
          <w:spacing w:val="65"/>
        </w:rPr>
        <w:t> </w:t>
      </w:r>
      <w:r>
        <w:rPr/>
        <w:t>или</w:t>
      </w:r>
      <w:r>
        <w:rPr>
          <w:spacing w:val="67"/>
        </w:rPr>
        <w:t> </w:t>
      </w:r>
      <w:r>
        <w:rPr/>
        <w:t>лица</w:t>
      </w:r>
      <w:r>
        <w:rPr>
          <w:spacing w:val="65"/>
        </w:rPr>
        <w:t> </w:t>
      </w:r>
      <w:r>
        <w:rPr/>
        <w:t>с</w:t>
      </w:r>
      <w:r>
        <w:rPr>
          <w:spacing w:val="65"/>
        </w:rPr>
        <w:t> </w:t>
      </w:r>
      <w:r>
        <w:rPr/>
        <w:t>подозрением</w:t>
      </w:r>
      <w:r>
        <w:rPr>
          <w:spacing w:val="65"/>
        </w:rPr>
        <w:t> </w:t>
      </w:r>
      <w:r>
        <w:rPr/>
        <w:t>на</w:t>
      </w:r>
      <w:r>
        <w:rPr>
          <w:spacing w:val="70"/>
        </w:rPr>
        <w:t> </w:t>
      </w:r>
      <w:r>
        <w:rPr/>
        <w:t>COVID-19</w:t>
      </w:r>
      <w:r>
        <w:rPr>
          <w:spacing w:val="66"/>
        </w:rPr>
        <w:t> </w:t>
      </w:r>
      <w:r>
        <w:rPr/>
        <w:t>перевозятся</w:t>
      </w:r>
      <w:r>
        <w:rPr>
          <w:spacing w:val="66"/>
        </w:rPr>
        <w:t> </w:t>
      </w:r>
      <w:r>
        <w:rPr/>
        <w:t>транспортом с</w:t>
      </w:r>
      <w:r>
        <w:rPr>
          <w:spacing w:val="-9"/>
        </w:rPr>
        <w:t> </w:t>
      </w:r>
      <w:r>
        <w:rPr/>
        <w:t>использованием</w:t>
      </w:r>
      <w:r>
        <w:rPr>
          <w:spacing w:val="-10"/>
        </w:rPr>
        <w:t> </w:t>
      </w:r>
      <w:r>
        <w:rPr/>
        <w:t>транспортировочного</w:t>
      </w:r>
      <w:r>
        <w:rPr>
          <w:spacing w:val="-9"/>
        </w:rPr>
        <w:t> </w:t>
      </w:r>
      <w:r>
        <w:rPr/>
        <w:t>изолирующего</w:t>
      </w:r>
      <w:r>
        <w:rPr>
          <w:spacing w:val="-9"/>
        </w:rPr>
        <w:t> </w:t>
      </w:r>
      <w:r>
        <w:rPr/>
        <w:t>бокса</w:t>
      </w:r>
      <w:r>
        <w:rPr>
          <w:spacing w:val="-10"/>
        </w:rPr>
        <w:t> </w:t>
      </w:r>
      <w:r>
        <w:rPr/>
        <w:t>(ТИБ),</w:t>
      </w:r>
      <w:r>
        <w:rPr>
          <w:spacing w:val="-9"/>
        </w:rPr>
        <w:t> </w:t>
      </w:r>
      <w:r>
        <w:rPr/>
        <w:t>оборудованного фильтровентиляционными установками, окнами для визуального мониторинга состояния пациента, двумя парами встроенных перчаток для проведения основных процедур во время транспортирования.</w:t>
      </w:r>
    </w:p>
    <w:p>
      <w:pPr>
        <w:pStyle w:val="BodyText"/>
        <w:spacing w:line="276" w:lineRule="auto"/>
        <w:ind w:left="1851" w:right="1273" w:firstLine="697"/>
      </w:pPr>
      <w:r>
        <w:rPr/>
        <w:t>Для медицинской эвакуации пациента формируется медицинская бригада, прошедшая инструктаж по вопросам санитарно-противоэпидемического режима. Медицинские</w:t>
      </w:r>
      <w:r>
        <w:rPr>
          <w:spacing w:val="40"/>
        </w:rPr>
        <w:t> </w:t>
      </w:r>
      <w:r>
        <w:rPr/>
        <w:t>работники</w:t>
      </w:r>
      <w:r>
        <w:rPr>
          <w:spacing w:val="67"/>
        </w:rPr>
        <w:t> </w:t>
      </w:r>
      <w:r>
        <w:rPr/>
        <w:t>осуществляют</w:t>
      </w:r>
      <w:r>
        <w:rPr>
          <w:spacing w:val="40"/>
        </w:rPr>
        <w:t> </w:t>
      </w:r>
      <w:r>
        <w:rPr/>
        <w:t>прием</w:t>
      </w:r>
      <w:r>
        <w:rPr>
          <w:spacing w:val="40"/>
        </w:rPr>
        <w:t> </w:t>
      </w:r>
      <w:r>
        <w:rPr/>
        <w:t>пациента,</w:t>
      </w:r>
      <w:r>
        <w:rPr>
          <w:spacing w:val="66"/>
        </w:rPr>
        <w:t> </w:t>
      </w:r>
      <w:r>
        <w:rPr/>
        <w:t>его</w:t>
      </w:r>
      <w:r>
        <w:rPr>
          <w:spacing w:val="66"/>
        </w:rPr>
        <w:t> </w:t>
      </w:r>
      <w:r>
        <w:rPr/>
        <w:t>размещение</w:t>
      </w:r>
      <w:r>
        <w:rPr>
          <w:spacing w:val="40"/>
        </w:rPr>
        <w:t> </w:t>
      </w:r>
      <w:r>
        <w:rPr/>
        <w:t>в</w:t>
      </w:r>
      <w:r>
        <w:rPr>
          <w:spacing w:val="66"/>
        </w:rPr>
        <w:t> </w:t>
      </w:r>
      <w:r>
        <w:rPr/>
        <w:t>ТИБ и последующее сопровождение.</w:t>
      </w:r>
    </w:p>
    <w:p>
      <w:pPr>
        <w:pStyle w:val="BodyText"/>
        <w:spacing w:line="276" w:lineRule="auto"/>
        <w:ind w:left="1851" w:right="1276" w:firstLine="697"/>
      </w:pPr>
      <w:r>
        <w:rPr/>
        <w:t>Все перемещения новорожденных (вне- и внутригоспитальные) производятся в</w:t>
      </w:r>
      <w:r>
        <w:rPr>
          <w:spacing w:val="-4"/>
        </w:rPr>
        <w:t> </w:t>
      </w:r>
      <w:r>
        <w:rPr/>
        <w:t>транспортном кувезе вне зависимости от гестационного возраста и массы тела при рождении. Кувез должен быть оснащен герметизирующими портами для манипуляций и проведения</w:t>
      </w:r>
      <w:r>
        <w:rPr>
          <w:spacing w:val="-1"/>
        </w:rPr>
        <w:t> </w:t>
      </w:r>
      <w:r>
        <w:rPr/>
        <w:t>через стенки кувеза</w:t>
      </w:r>
      <w:r>
        <w:rPr>
          <w:spacing w:val="-2"/>
        </w:rPr>
        <w:t> </w:t>
      </w:r>
      <w:r>
        <w:rPr/>
        <w:t>необходимых</w:t>
      </w:r>
      <w:r>
        <w:rPr>
          <w:spacing w:val="-1"/>
        </w:rPr>
        <w:t> </w:t>
      </w:r>
      <w:r>
        <w:rPr/>
        <w:t>для</w:t>
      </w:r>
      <w:r>
        <w:rPr>
          <w:spacing w:val="-1"/>
        </w:rPr>
        <w:t> </w:t>
      </w:r>
      <w:r>
        <w:rPr/>
        <w:t>жизнеобеспечения ребенка устройств.</w:t>
      </w:r>
    </w:p>
    <w:p>
      <w:pPr>
        <w:pStyle w:val="BodyText"/>
        <w:spacing w:line="274" w:lineRule="exact"/>
        <w:ind w:left="2549"/>
      </w:pPr>
      <w:r>
        <w:rPr/>
        <w:t>Медицинские</w:t>
      </w:r>
      <w:r>
        <w:rPr>
          <w:spacing w:val="-12"/>
        </w:rPr>
        <w:t> </w:t>
      </w:r>
      <w:r>
        <w:rPr/>
        <w:t>работники</w:t>
      </w:r>
      <w:r>
        <w:rPr>
          <w:spacing w:val="-11"/>
        </w:rPr>
        <w:t> </w:t>
      </w:r>
      <w:r>
        <w:rPr/>
        <w:t>и</w:t>
      </w:r>
      <w:r>
        <w:rPr>
          <w:spacing w:val="-11"/>
        </w:rPr>
        <w:t> </w:t>
      </w:r>
      <w:r>
        <w:rPr/>
        <w:t>водитель</w:t>
      </w:r>
      <w:r>
        <w:rPr>
          <w:spacing w:val="-11"/>
        </w:rPr>
        <w:t> </w:t>
      </w:r>
      <w:r>
        <w:rPr/>
        <w:t>должны</w:t>
      </w:r>
      <w:r>
        <w:rPr>
          <w:spacing w:val="-12"/>
        </w:rPr>
        <w:t> </w:t>
      </w:r>
      <w:r>
        <w:rPr/>
        <w:t>быть</w:t>
      </w:r>
      <w:r>
        <w:rPr>
          <w:spacing w:val="-11"/>
        </w:rPr>
        <w:t> </w:t>
      </w:r>
      <w:r>
        <w:rPr/>
        <w:t>одеты</w:t>
      </w:r>
      <w:r>
        <w:rPr>
          <w:spacing w:val="-11"/>
        </w:rPr>
        <w:t> </w:t>
      </w:r>
      <w:r>
        <w:rPr/>
        <w:t>в</w:t>
      </w:r>
      <w:r>
        <w:rPr>
          <w:spacing w:val="-12"/>
        </w:rPr>
        <w:t> </w:t>
      </w:r>
      <w:r>
        <w:rPr/>
        <w:t>защитную</w:t>
      </w:r>
      <w:r>
        <w:rPr>
          <w:spacing w:val="-13"/>
        </w:rPr>
        <w:t> </w:t>
      </w:r>
      <w:r>
        <w:rPr>
          <w:spacing w:val="-2"/>
        </w:rPr>
        <w:t>одежду.</w:t>
      </w:r>
    </w:p>
    <w:p>
      <w:pPr>
        <w:pStyle w:val="BodyText"/>
        <w:spacing w:line="276" w:lineRule="auto" w:before="40"/>
        <w:ind w:left="1851" w:right="1277" w:firstLine="697"/>
      </w:pPr>
      <w:r>
        <w:rPr/>
        <w:t>Пациента готовят к транспортированию до помещения в ТИБ: на месте эвакуации старший медицинский работник бригады оценивает состояние пациента на</w:t>
      </w:r>
      <w:r>
        <w:rPr>
          <w:spacing w:val="-5"/>
        </w:rPr>
        <w:t> </w:t>
      </w:r>
      <w:r>
        <w:rPr/>
        <w:t>момент транспортирования и решает вопрос о проведении дополнительных медицинских манипуляций.</w:t>
      </w:r>
    </w:p>
    <w:p>
      <w:pPr>
        <w:pStyle w:val="BodyText"/>
        <w:spacing w:line="276" w:lineRule="auto"/>
        <w:ind w:left="1851" w:right="1275" w:firstLine="697"/>
      </w:pPr>
      <w:r>
        <w:rPr/>
        <w:t>Пациента</w:t>
      </w:r>
      <w:r>
        <w:rPr>
          <w:spacing w:val="80"/>
        </w:rPr>
        <w:t>  </w:t>
      </w:r>
      <w:r>
        <w:rPr/>
        <w:t>размещают</w:t>
      </w:r>
      <w:r>
        <w:rPr>
          <w:spacing w:val="80"/>
        </w:rPr>
        <w:t>  </w:t>
      </w:r>
      <w:r>
        <w:rPr/>
        <w:t>внутри</w:t>
      </w:r>
      <w:r>
        <w:rPr>
          <w:spacing w:val="80"/>
        </w:rPr>
        <w:t>  </w:t>
      </w:r>
      <w:r>
        <w:rPr/>
        <w:t>камеры</w:t>
      </w:r>
      <w:r>
        <w:rPr>
          <w:spacing w:val="80"/>
        </w:rPr>
        <w:t>  </w:t>
      </w:r>
      <w:r>
        <w:rPr/>
        <w:t>транспортировочного</w:t>
      </w:r>
      <w:r>
        <w:rPr>
          <w:spacing w:val="80"/>
        </w:rPr>
        <w:t>  </w:t>
      </w:r>
      <w:r>
        <w:rPr/>
        <w:t>модуля в</w:t>
      </w:r>
      <w:r>
        <w:rPr>
          <w:spacing w:val="-3"/>
        </w:rPr>
        <w:t> </w:t>
      </w:r>
      <w:r>
        <w:rPr/>
        <w:t>горизонтальном положении на спине и фиксируют ремнями; в ТИБ помещают необходимое</w:t>
      </w:r>
      <w:r>
        <w:rPr>
          <w:spacing w:val="-7"/>
        </w:rPr>
        <w:t> </w:t>
      </w:r>
      <w:r>
        <w:rPr/>
        <w:t>для</w:t>
      </w:r>
      <w:r>
        <w:rPr>
          <w:spacing w:val="-7"/>
        </w:rPr>
        <w:t> </w:t>
      </w:r>
      <w:r>
        <w:rPr/>
        <w:t>транспортирования</w:t>
      </w:r>
      <w:r>
        <w:rPr>
          <w:spacing w:val="-7"/>
        </w:rPr>
        <w:t> </w:t>
      </w:r>
      <w:r>
        <w:rPr/>
        <w:t>и</w:t>
      </w:r>
      <w:r>
        <w:rPr>
          <w:spacing w:val="-6"/>
        </w:rPr>
        <w:t> </w:t>
      </w:r>
      <w:r>
        <w:rPr/>
        <w:t>оказания</w:t>
      </w:r>
      <w:r>
        <w:rPr>
          <w:spacing w:val="-7"/>
        </w:rPr>
        <w:t> </w:t>
      </w:r>
      <w:r>
        <w:rPr/>
        <w:t>медицинской</w:t>
      </w:r>
      <w:r>
        <w:rPr>
          <w:spacing w:val="-8"/>
        </w:rPr>
        <w:t> </w:t>
      </w:r>
      <w:r>
        <w:rPr/>
        <w:t>помощи</w:t>
      </w:r>
      <w:r>
        <w:rPr>
          <w:spacing w:val="-6"/>
        </w:rPr>
        <w:t> </w:t>
      </w:r>
      <w:r>
        <w:rPr/>
        <w:t>оборудование и</w:t>
      </w:r>
      <w:r>
        <w:rPr>
          <w:spacing w:val="-3"/>
        </w:rPr>
        <w:t> </w:t>
      </w:r>
      <w:r>
        <w:rPr/>
        <w:t>медикаменты; после этого закрывают застежку-молнию. Проверяют надежность крепления фильтров, включают фильтровентиляционную установку на режим отрицательного</w:t>
      </w:r>
      <w:r>
        <w:rPr>
          <w:spacing w:val="-9"/>
        </w:rPr>
        <w:t> </w:t>
      </w:r>
      <w:r>
        <w:rPr/>
        <w:t>давления.</w:t>
      </w:r>
    </w:p>
    <w:p>
      <w:pPr>
        <w:pStyle w:val="BodyText"/>
        <w:spacing w:line="276" w:lineRule="exact"/>
        <w:ind w:left="2549"/>
      </w:pPr>
      <w:r>
        <w:rPr/>
        <w:t>После</w:t>
      </w:r>
      <w:r>
        <w:rPr>
          <w:spacing w:val="-12"/>
        </w:rPr>
        <w:t> </w:t>
      </w:r>
      <w:r>
        <w:rPr/>
        <w:t>помещения</w:t>
      </w:r>
      <w:r>
        <w:rPr>
          <w:spacing w:val="-12"/>
        </w:rPr>
        <w:t> </w:t>
      </w:r>
      <w:r>
        <w:rPr/>
        <w:t>пациента</w:t>
      </w:r>
      <w:r>
        <w:rPr>
          <w:spacing w:val="-12"/>
        </w:rPr>
        <w:t> </w:t>
      </w:r>
      <w:r>
        <w:rPr/>
        <w:t>в</w:t>
      </w:r>
      <w:r>
        <w:rPr>
          <w:spacing w:val="-12"/>
        </w:rPr>
        <w:t> </w:t>
      </w:r>
      <w:r>
        <w:rPr/>
        <w:t>ТИБ</w:t>
      </w:r>
      <w:r>
        <w:rPr>
          <w:spacing w:val="-13"/>
        </w:rPr>
        <w:t> </w:t>
      </w:r>
      <w:r>
        <w:rPr/>
        <w:t>медицинский</w:t>
      </w:r>
      <w:r>
        <w:rPr>
          <w:spacing w:val="-11"/>
        </w:rPr>
        <w:t> </w:t>
      </w:r>
      <w:r>
        <w:rPr/>
        <w:t>персонал</w:t>
      </w:r>
      <w:r>
        <w:rPr>
          <w:spacing w:val="-12"/>
        </w:rPr>
        <w:t> </w:t>
      </w:r>
      <w:r>
        <w:rPr>
          <w:spacing w:val="-2"/>
        </w:rPr>
        <w:t>бригады:</w:t>
      </w:r>
    </w:p>
    <w:p>
      <w:pPr>
        <w:pStyle w:val="ListParagraph"/>
        <w:numPr>
          <w:ilvl w:val="0"/>
          <w:numId w:val="63"/>
        </w:numPr>
        <w:tabs>
          <w:tab w:pos="2268" w:val="left" w:leader="none"/>
        </w:tabs>
        <w:spacing w:line="271" w:lineRule="auto" w:before="39" w:after="0"/>
        <w:ind w:left="2268" w:right="1277" w:hanging="360"/>
        <w:jc w:val="both"/>
        <w:rPr>
          <w:sz w:val="24"/>
        </w:rPr>
      </w:pPr>
      <w:r>
        <w:rPr>
          <w:sz w:val="24"/>
        </w:rPr>
        <w:t>Протирает руки в резиновых перчатках и поверхность клеенчатого фартука, орошает наружную поверхность транспортировочного модуля дезинфицирующим</w:t>
      </w:r>
      <w:r>
        <w:rPr>
          <w:spacing w:val="40"/>
          <w:sz w:val="24"/>
        </w:rPr>
        <w:t> </w:t>
      </w:r>
      <w:r>
        <w:rPr>
          <w:sz w:val="24"/>
        </w:rPr>
        <w:t>раствором</w:t>
      </w:r>
      <w:r>
        <w:rPr>
          <w:spacing w:val="40"/>
          <w:sz w:val="24"/>
        </w:rPr>
        <w:t> </w:t>
      </w:r>
      <w:r>
        <w:rPr>
          <w:sz w:val="24"/>
        </w:rPr>
        <w:t>с</w:t>
      </w:r>
      <w:r>
        <w:rPr>
          <w:spacing w:val="40"/>
          <w:sz w:val="24"/>
        </w:rPr>
        <w:t> </w:t>
      </w:r>
      <w:r>
        <w:rPr>
          <w:sz w:val="24"/>
        </w:rPr>
        <w:t>экспозицией</w:t>
      </w:r>
      <w:r>
        <w:rPr>
          <w:spacing w:val="40"/>
          <w:sz w:val="24"/>
        </w:rPr>
        <w:t> </w:t>
      </w:r>
      <w:r>
        <w:rPr>
          <w:sz w:val="24"/>
        </w:rPr>
        <w:t>в</w:t>
      </w:r>
      <w:r>
        <w:rPr>
          <w:spacing w:val="40"/>
          <w:sz w:val="24"/>
        </w:rPr>
        <w:t> </w:t>
      </w:r>
      <w:r>
        <w:rPr>
          <w:sz w:val="24"/>
        </w:rPr>
        <w:t>соответствии</w:t>
      </w:r>
      <w:r>
        <w:rPr>
          <w:spacing w:val="40"/>
          <w:sz w:val="24"/>
        </w:rPr>
        <w:t> </w:t>
      </w:r>
      <w:r>
        <w:rPr>
          <w:sz w:val="24"/>
        </w:rPr>
        <w:t>с</w:t>
      </w:r>
      <w:r>
        <w:rPr>
          <w:spacing w:val="40"/>
          <w:sz w:val="24"/>
        </w:rPr>
        <w:t> </w:t>
      </w:r>
      <w:r>
        <w:rPr>
          <w:sz w:val="24"/>
        </w:rPr>
        <w:t>инструкцией</w:t>
      </w:r>
      <w:r>
        <w:rPr>
          <w:spacing w:val="40"/>
          <w:sz w:val="24"/>
        </w:rPr>
        <w:t> </w:t>
      </w:r>
      <w:r>
        <w:rPr>
          <w:sz w:val="24"/>
        </w:rPr>
        <w:t>по применению;</w:t>
      </w:r>
    </w:p>
    <w:p>
      <w:pPr>
        <w:pStyle w:val="ListParagraph"/>
        <w:numPr>
          <w:ilvl w:val="0"/>
          <w:numId w:val="63"/>
        </w:numPr>
        <w:tabs>
          <w:tab w:pos="2268" w:val="left" w:leader="none"/>
        </w:tabs>
        <w:spacing w:line="268" w:lineRule="auto" w:before="8" w:after="0"/>
        <w:ind w:left="2268" w:right="1276" w:hanging="360"/>
        <w:jc w:val="both"/>
        <w:rPr>
          <w:sz w:val="24"/>
        </w:rPr>
      </w:pPr>
      <w:r>
        <w:rPr>
          <w:sz w:val="24"/>
        </w:rPr>
        <w:t>Проводит</w:t>
      </w:r>
      <w:r>
        <w:rPr>
          <w:spacing w:val="-7"/>
          <w:sz w:val="24"/>
        </w:rPr>
        <w:t> </w:t>
      </w:r>
      <w:r>
        <w:rPr>
          <w:sz w:val="24"/>
        </w:rPr>
        <w:t>обработку</w:t>
      </w:r>
      <w:r>
        <w:rPr>
          <w:spacing w:val="-7"/>
          <w:sz w:val="24"/>
        </w:rPr>
        <w:t> </w:t>
      </w:r>
      <w:r>
        <w:rPr>
          <w:sz w:val="24"/>
        </w:rPr>
        <w:t>защитных</w:t>
      </w:r>
      <w:r>
        <w:rPr>
          <w:spacing w:val="-7"/>
          <w:sz w:val="24"/>
        </w:rPr>
        <w:t> </w:t>
      </w:r>
      <w:r>
        <w:rPr>
          <w:sz w:val="24"/>
        </w:rPr>
        <w:t>костюмов</w:t>
      </w:r>
      <w:r>
        <w:rPr>
          <w:spacing w:val="-7"/>
          <w:sz w:val="24"/>
        </w:rPr>
        <w:t> </w:t>
      </w:r>
      <w:r>
        <w:rPr>
          <w:sz w:val="24"/>
        </w:rPr>
        <w:t>методом</w:t>
      </w:r>
      <w:r>
        <w:rPr>
          <w:spacing w:val="-7"/>
          <w:sz w:val="24"/>
        </w:rPr>
        <w:t> </w:t>
      </w:r>
      <w:r>
        <w:rPr>
          <w:sz w:val="24"/>
        </w:rPr>
        <w:t>орошения</w:t>
      </w:r>
      <w:r>
        <w:rPr>
          <w:spacing w:val="-7"/>
          <w:sz w:val="24"/>
        </w:rPr>
        <w:t> </w:t>
      </w:r>
      <w:r>
        <w:rPr>
          <w:sz w:val="24"/>
        </w:rPr>
        <w:t>дезинфицирующим раствором в соответствии с инструкцией по применению, затем снимает защитные костюмы и помещает их в мешки для опасных отходов;</w:t>
      </w:r>
    </w:p>
    <w:p>
      <w:pPr>
        <w:pStyle w:val="ListParagraph"/>
        <w:numPr>
          <w:ilvl w:val="0"/>
          <w:numId w:val="63"/>
        </w:numPr>
        <w:tabs>
          <w:tab w:pos="2268" w:val="left" w:leader="none"/>
          <w:tab w:pos="3431" w:val="left" w:leader="none"/>
          <w:tab w:pos="5685" w:val="left" w:leader="none"/>
          <w:tab w:pos="6982" w:val="left" w:leader="none"/>
          <w:tab w:pos="8302" w:val="left" w:leader="none"/>
          <w:tab w:pos="9829" w:val="left" w:leader="none"/>
        </w:tabs>
        <w:spacing w:line="264" w:lineRule="auto" w:before="9" w:after="0"/>
        <w:ind w:left="2268" w:right="1277" w:hanging="360"/>
        <w:jc w:val="right"/>
        <w:rPr>
          <w:sz w:val="24"/>
        </w:rPr>
      </w:pPr>
      <w:r>
        <w:rPr>
          <w:spacing w:val="-2"/>
          <w:sz w:val="24"/>
        </w:rPr>
        <w:t>Орошает</w:t>
      </w:r>
      <w:r>
        <w:rPr>
          <w:sz w:val="24"/>
        </w:rPr>
        <w:tab/>
      </w:r>
      <w:r>
        <w:rPr>
          <w:spacing w:val="-2"/>
          <w:sz w:val="24"/>
        </w:rPr>
        <w:t>дезинфицирующим</w:t>
      </w:r>
      <w:r>
        <w:rPr>
          <w:sz w:val="24"/>
        </w:rPr>
        <w:tab/>
      </w:r>
      <w:r>
        <w:rPr>
          <w:spacing w:val="-2"/>
          <w:sz w:val="24"/>
        </w:rPr>
        <w:t>средством</w:t>
      </w:r>
      <w:r>
        <w:rPr>
          <w:sz w:val="24"/>
        </w:rPr>
        <w:tab/>
      </w:r>
      <w:r>
        <w:rPr>
          <w:spacing w:val="-2"/>
          <w:sz w:val="24"/>
        </w:rPr>
        <w:t>наружную</w:t>
      </w:r>
      <w:r>
        <w:rPr>
          <w:sz w:val="24"/>
        </w:rPr>
        <w:tab/>
      </w:r>
      <w:r>
        <w:rPr>
          <w:spacing w:val="-2"/>
          <w:sz w:val="24"/>
        </w:rPr>
        <w:t>поверхность</w:t>
      </w:r>
      <w:r>
        <w:rPr>
          <w:sz w:val="24"/>
        </w:rPr>
        <w:tab/>
      </w:r>
      <w:r>
        <w:rPr>
          <w:spacing w:val="-2"/>
          <w:sz w:val="24"/>
        </w:rPr>
        <w:t>мешков </w:t>
      </w:r>
      <w:r>
        <w:rPr>
          <w:sz w:val="24"/>
        </w:rPr>
        <w:t>с</w:t>
      </w:r>
      <w:r>
        <w:rPr>
          <w:spacing w:val="-1"/>
          <w:sz w:val="24"/>
        </w:rPr>
        <w:t> </w:t>
      </w:r>
      <w:r>
        <w:rPr>
          <w:sz w:val="24"/>
        </w:rPr>
        <w:t>использованными защитными</w:t>
      </w:r>
      <w:r>
        <w:rPr>
          <w:spacing w:val="-2"/>
          <w:sz w:val="24"/>
        </w:rPr>
        <w:t> </w:t>
      </w:r>
      <w:r>
        <w:rPr>
          <w:sz w:val="24"/>
        </w:rPr>
        <w:t>костюмами и</w:t>
      </w:r>
      <w:r>
        <w:rPr>
          <w:spacing w:val="-2"/>
          <w:sz w:val="24"/>
        </w:rPr>
        <w:t> </w:t>
      </w:r>
      <w:r>
        <w:rPr>
          <w:sz w:val="24"/>
        </w:rPr>
        <w:t>относит</w:t>
      </w:r>
      <w:r>
        <w:rPr>
          <w:spacing w:val="-2"/>
          <w:sz w:val="24"/>
        </w:rPr>
        <w:t> </w:t>
      </w:r>
      <w:r>
        <w:rPr>
          <w:sz w:val="24"/>
        </w:rPr>
        <w:t>на</w:t>
      </w:r>
      <w:r>
        <w:rPr>
          <w:spacing w:val="-1"/>
          <w:sz w:val="24"/>
        </w:rPr>
        <w:t> </w:t>
      </w:r>
      <w:r>
        <w:rPr>
          <w:sz w:val="24"/>
        </w:rPr>
        <w:t>транспортное</w:t>
      </w:r>
      <w:r>
        <w:rPr>
          <w:spacing w:val="-2"/>
          <w:sz w:val="24"/>
        </w:rPr>
        <w:t> </w:t>
      </w:r>
      <w:r>
        <w:rPr>
          <w:sz w:val="24"/>
        </w:rPr>
        <w:t>средство.</w:t>
      </w:r>
    </w:p>
    <w:p>
      <w:pPr>
        <w:pStyle w:val="BodyText"/>
        <w:spacing w:line="276" w:lineRule="auto" w:before="27"/>
        <w:ind w:left="1851" w:right="1282" w:firstLine="697"/>
      </w:pPr>
      <w:r>
        <w:rPr/>
        <w:t>В боксе инфекционного стационара пациента из ТИБ передают медицинским работникам стационара.</w:t>
      </w:r>
    </w:p>
    <w:p>
      <w:pPr>
        <w:pStyle w:val="BodyText"/>
        <w:spacing w:line="278" w:lineRule="auto"/>
        <w:ind w:left="1851" w:right="1278" w:firstLine="697"/>
      </w:pPr>
      <w:r>
        <w:rPr/>
        <w:t>После доставки больного в стационар медицинский транспорт и ТИБ, а также находящиеся</w:t>
      </w:r>
      <w:r>
        <w:rPr>
          <w:spacing w:val="50"/>
          <w:w w:val="150"/>
        </w:rPr>
        <w:t>  </w:t>
      </w:r>
      <w:r>
        <w:rPr/>
        <w:t>в</w:t>
      </w:r>
      <w:r>
        <w:rPr>
          <w:spacing w:val="79"/>
        </w:rPr>
        <w:t>  </w:t>
      </w:r>
      <w:r>
        <w:rPr/>
        <w:t>нем</w:t>
      </w:r>
      <w:r>
        <w:rPr>
          <w:spacing w:val="50"/>
          <w:w w:val="150"/>
        </w:rPr>
        <w:t>  </w:t>
      </w:r>
      <w:r>
        <w:rPr/>
        <w:t>предметы,</w:t>
      </w:r>
      <w:r>
        <w:rPr>
          <w:spacing w:val="50"/>
          <w:w w:val="150"/>
        </w:rPr>
        <w:t>  </w:t>
      </w:r>
      <w:r>
        <w:rPr/>
        <w:t>использованные</w:t>
      </w:r>
      <w:r>
        <w:rPr>
          <w:spacing w:val="79"/>
        </w:rPr>
        <w:t>  </w:t>
      </w:r>
      <w:r>
        <w:rPr/>
        <w:t>при</w:t>
      </w:r>
      <w:r>
        <w:rPr>
          <w:spacing w:val="50"/>
          <w:w w:val="150"/>
        </w:rPr>
        <w:t>  </w:t>
      </w:r>
      <w:r>
        <w:rPr>
          <w:spacing w:val="-2"/>
        </w:rPr>
        <w:t>транспортировании,</w:t>
      </w:r>
    </w:p>
    <w:p>
      <w:pPr>
        <w:pStyle w:val="BodyText"/>
        <w:spacing w:after="0" w:line="278" w:lineRule="auto"/>
        <w:sectPr>
          <w:pgSz w:w="11900" w:h="16840"/>
          <w:pgMar w:header="0" w:footer="697" w:top="1080" w:bottom="880" w:left="0" w:right="0"/>
        </w:sectPr>
      </w:pPr>
    </w:p>
    <w:p>
      <w:pPr>
        <w:pStyle w:val="BodyText"/>
        <w:spacing w:line="276" w:lineRule="auto" w:before="73"/>
        <w:ind w:left="1851" w:right="1277"/>
      </w:pPr>
      <w:bookmarkStart w:name="136" w:id="163"/>
      <w:bookmarkEnd w:id="163"/>
      <w:r>
        <w:rPr/>
      </w:r>
      <w:r>
        <w:rPr/>
        <w:t>обеззараживаются силами бригады дезинфекторов на территории инфекционного стационара</w:t>
      </w:r>
      <w:r>
        <w:rPr>
          <w:spacing w:val="80"/>
        </w:rPr>
        <w:t>  </w:t>
      </w:r>
      <w:r>
        <w:rPr/>
        <w:t>на</w:t>
      </w:r>
      <w:r>
        <w:rPr>
          <w:spacing w:val="80"/>
        </w:rPr>
        <w:t>  </w:t>
      </w:r>
      <w:r>
        <w:rPr/>
        <w:t>специальной,</w:t>
      </w:r>
      <w:r>
        <w:rPr>
          <w:spacing w:val="80"/>
        </w:rPr>
        <w:t>  </w:t>
      </w:r>
      <w:r>
        <w:rPr/>
        <w:t>оборудованной</w:t>
      </w:r>
      <w:r>
        <w:rPr>
          <w:spacing w:val="80"/>
        </w:rPr>
        <w:t>  </w:t>
      </w:r>
      <w:r>
        <w:rPr/>
        <w:t>стоком</w:t>
      </w:r>
      <w:r>
        <w:rPr>
          <w:spacing w:val="80"/>
        </w:rPr>
        <w:t>  </w:t>
      </w:r>
      <w:r>
        <w:rPr/>
        <w:t>и</w:t>
      </w:r>
      <w:r>
        <w:rPr>
          <w:spacing w:val="80"/>
        </w:rPr>
        <w:t>  </w:t>
      </w:r>
      <w:r>
        <w:rPr/>
        <w:t>ямой</w:t>
      </w:r>
      <w:r>
        <w:rPr>
          <w:spacing w:val="80"/>
        </w:rPr>
        <w:t>  </w:t>
      </w:r>
      <w:r>
        <w:rPr/>
        <w:t>площадке для дезинфекции транспорта, используемого для перевозки больных в соответствии с действующими методическими документами. Внутренние и внешние поверхности транспортировочного</w:t>
      </w:r>
      <w:r>
        <w:rPr>
          <w:spacing w:val="40"/>
        </w:rPr>
        <w:t> </w:t>
      </w:r>
      <w:r>
        <w:rPr/>
        <w:t>модуля</w:t>
      </w:r>
      <w:r>
        <w:rPr>
          <w:spacing w:val="40"/>
        </w:rPr>
        <w:t> </w:t>
      </w:r>
      <w:r>
        <w:rPr/>
        <w:t>и</w:t>
      </w:r>
      <w:r>
        <w:rPr>
          <w:spacing w:val="40"/>
        </w:rPr>
        <w:t> </w:t>
      </w:r>
      <w:r>
        <w:rPr/>
        <w:t>автотранспорта</w:t>
      </w:r>
      <w:r>
        <w:rPr>
          <w:spacing w:val="40"/>
        </w:rPr>
        <w:t> </w:t>
      </w:r>
      <w:r>
        <w:rPr/>
        <w:t>обрабатываются</w:t>
      </w:r>
      <w:r>
        <w:rPr>
          <w:spacing w:val="40"/>
        </w:rPr>
        <w:t> </w:t>
      </w:r>
      <w:r>
        <w:rPr/>
        <w:t>путем</w:t>
      </w:r>
      <w:r>
        <w:rPr>
          <w:spacing w:val="40"/>
        </w:rPr>
        <w:t> </w:t>
      </w:r>
      <w:r>
        <w:rPr/>
        <w:t>орошения из</w:t>
      </w:r>
      <w:r>
        <w:rPr>
          <w:spacing w:val="-15"/>
        </w:rPr>
        <w:t> </w:t>
      </w:r>
      <w:r>
        <w:rPr/>
        <w:t>гидропульта</w:t>
      </w:r>
      <w:r>
        <w:rPr>
          <w:spacing w:val="-15"/>
        </w:rPr>
        <w:t> </w:t>
      </w:r>
      <w:r>
        <w:rPr/>
        <w:t>разрешенными</w:t>
      </w:r>
      <w:r>
        <w:rPr>
          <w:spacing w:val="-15"/>
        </w:rPr>
        <w:t> </w:t>
      </w:r>
      <w:r>
        <w:rPr/>
        <w:t>для</w:t>
      </w:r>
      <w:r>
        <w:rPr>
          <w:spacing w:val="-15"/>
        </w:rPr>
        <w:t> </w:t>
      </w:r>
      <w:r>
        <w:rPr/>
        <w:t>работы</w:t>
      </w:r>
      <w:r>
        <w:rPr>
          <w:spacing w:val="-15"/>
        </w:rPr>
        <w:t> </w:t>
      </w:r>
      <w:r>
        <w:rPr/>
        <w:t>с</w:t>
      </w:r>
      <w:r>
        <w:rPr>
          <w:spacing w:val="-15"/>
        </w:rPr>
        <w:t> </w:t>
      </w:r>
      <w:r>
        <w:rPr/>
        <w:t>опасными</w:t>
      </w:r>
      <w:r>
        <w:rPr>
          <w:spacing w:val="-15"/>
        </w:rPr>
        <w:t> </w:t>
      </w:r>
      <w:r>
        <w:rPr/>
        <w:t>вирусами</w:t>
      </w:r>
      <w:r>
        <w:rPr>
          <w:spacing w:val="-15"/>
        </w:rPr>
        <w:t> </w:t>
      </w:r>
      <w:r>
        <w:rPr/>
        <w:t>дезинфицирующими средствами в концентрации в соответствии с инструкцией.</w:t>
      </w:r>
    </w:p>
    <w:p>
      <w:pPr>
        <w:pStyle w:val="BodyText"/>
        <w:spacing w:line="276" w:lineRule="auto"/>
        <w:ind w:left="1851" w:right="1279" w:firstLine="697"/>
      </w:pPr>
      <w:r>
        <w:rPr/>
        <w:t>Фильтрующие</w:t>
      </w:r>
      <w:r>
        <w:rPr>
          <w:spacing w:val="40"/>
        </w:rPr>
        <w:t> </w:t>
      </w:r>
      <w:r>
        <w:rPr/>
        <w:t>элементы</w:t>
      </w:r>
      <w:r>
        <w:rPr>
          <w:spacing w:val="40"/>
        </w:rPr>
        <w:t> </w:t>
      </w:r>
      <w:r>
        <w:rPr/>
        <w:t>ТИБ</w:t>
      </w:r>
      <w:r>
        <w:rPr>
          <w:spacing w:val="40"/>
        </w:rPr>
        <w:t> </w:t>
      </w:r>
      <w:r>
        <w:rPr/>
        <w:t>и</w:t>
      </w:r>
      <w:r>
        <w:rPr>
          <w:spacing w:val="40"/>
        </w:rPr>
        <w:t> </w:t>
      </w:r>
      <w:r>
        <w:rPr/>
        <w:t>другие</w:t>
      </w:r>
      <w:r>
        <w:rPr>
          <w:spacing w:val="40"/>
        </w:rPr>
        <w:t> </w:t>
      </w:r>
      <w:r>
        <w:rPr/>
        <w:t>медицинские</w:t>
      </w:r>
      <w:r>
        <w:rPr>
          <w:spacing w:val="40"/>
        </w:rPr>
        <w:t> </w:t>
      </w:r>
      <w:r>
        <w:rPr/>
        <w:t>отходы</w:t>
      </w:r>
      <w:r>
        <w:rPr>
          <w:spacing w:val="40"/>
        </w:rPr>
        <w:t> </w:t>
      </w:r>
      <w:r>
        <w:rPr/>
        <w:t>утилизируют</w:t>
      </w:r>
      <w:r>
        <w:rPr>
          <w:spacing w:val="40"/>
        </w:rPr>
        <w:t> </w:t>
      </w:r>
      <w:r>
        <w:rPr/>
        <w:t>в установленном порядке.</w:t>
      </w:r>
    </w:p>
    <w:p>
      <w:pPr>
        <w:pStyle w:val="BodyText"/>
        <w:spacing w:line="276" w:lineRule="auto"/>
        <w:ind w:left="1851" w:right="1278" w:firstLine="697"/>
      </w:pPr>
      <w:r>
        <w:rPr/>
        <w:t>Защитную и рабочую одежду по окончании транспортирования больного подвергают специальной обработке методом замачивания в дезинфицирующем растворе по вирусному режиму согласно инструкции по применению.</w:t>
      </w:r>
    </w:p>
    <w:p>
      <w:pPr>
        <w:pStyle w:val="BodyText"/>
        <w:spacing w:line="276" w:lineRule="auto"/>
        <w:ind w:left="1851" w:right="1282" w:firstLine="697"/>
      </w:pPr>
      <w:r>
        <w:rPr/>
        <w:t>Все члены бригады обязаны пройти санитарную обработку в специально выделенном помещении инфекционного стационара.</w:t>
      </w:r>
    </w:p>
    <w:p>
      <w:pPr>
        <w:pStyle w:val="BodyText"/>
        <w:spacing w:line="278" w:lineRule="auto"/>
        <w:ind w:left="1851" w:right="1283" w:firstLine="697"/>
      </w:pPr>
      <w:r>
        <w:rPr/>
        <w:t>За членами бригад, проводивших медицинскую эвакуацию, устанавливается медицинское наблюдение на срок 7 дней.</w:t>
      </w:r>
    </w:p>
    <w:p>
      <w:pPr>
        <w:pStyle w:val="Heading3"/>
        <w:spacing w:before="111"/>
      </w:pPr>
      <w:r>
        <w:rPr>
          <w:color w:val="1F487C"/>
        </w:rPr>
        <w:t>в)</w:t>
      </w:r>
      <w:r>
        <w:rPr>
          <w:color w:val="1F487C"/>
          <w:spacing w:val="-13"/>
        </w:rPr>
        <w:t> </w:t>
      </w:r>
      <w:r>
        <w:rPr>
          <w:color w:val="1F487C"/>
        </w:rPr>
        <w:t>Мероприятия</w:t>
      </w:r>
      <w:r>
        <w:rPr>
          <w:color w:val="1F487C"/>
          <w:spacing w:val="-12"/>
        </w:rPr>
        <w:t> </w:t>
      </w:r>
      <w:r>
        <w:rPr>
          <w:color w:val="1F487C"/>
        </w:rPr>
        <w:t>бригады</w:t>
      </w:r>
      <w:r>
        <w:rPr>
          <w:color w:val="1F487C"/>
          <w:spacing w:val="-12"/>
        </w:rPr>
        <w:t> </w:t>
      </w:r>
      <w:r>
        <w:rPr>
          <w:color w:val="1F487C"/>
          <w:spacing w:val="-2"/>
        </w:rPr>
        <w:t>дезинфекции</w:t>
      </w:r>
    </w:p>
    <w:p>
      <w:pPr>
        <w:pStyle w:val="BodyText"/>
        <w:spacing w:line="276" w:lineRule="auto" w:before="160"/>
        <w:ind w:left="1851" w:right="1272" w:firstLine="697"/>
      </w:pPr>
      <w:r>
        <w:rPr/>
        <w:t>Мероприятия по дезинфекции проводятся с учетом письма Роспотребнадзора от</w:t>
      </w:r>
      <w:r>
        <w:rPr>
          <w:spacing w:val="-4"/>
        </w:rPr>
        <w:t> </w:t>
      </w:r>
      <w:r>
        <w:rPr/>
        <w:t>23.01.2020 № 02/770-2020-32 «Об инструкции по проведению дезинфекционных мероприятий для профилактики заболеваний, вызываемых коронавирусами».</w:t>
      </w:r>
    </w:p>
    <w:p>
      <w:pPr>
        <w:pStyle w:val="BodyText"/>
        <w:spacing w:line="276" w:lineRule="auto"/>
        <w:ind w:left="1851" w:right="1280" w:firstLine="697"/>
      </w:pPr>
      <w:r>
        <w:rPr/>
        <w:t>По прибытии на место проведения дезинфекции члены бригады надевают защитную</w:t>
      </w:r>
      <w:r>
        <w:rPr>
          <w:spacing w:val="-13"/>
        </w:rPr>
        <w:t> </w:t>
      </w:r>
      <w:r>
        <w:rPr/>
        <w:t>одежду.</w:t>
      </w:r>
      <w:r>
        <w:rPr>
          <w:spacing w:val="-13"/>
        </w:rPr>
        <w:t> </w:t>
      </w:r>
      <w:r>
        <w:rPr/>
        <w:t>Заключительную</w:t>
      </w:r>
      <w:r>
        <w:rPr>
          <w:spacing w:val="-13"/>
        </w:rPr>
        <w:t> </w:t>
      </w:r>
      <w:r>
        <w:rPr/>
        <w:t>дезинфекцию</w:t>
      </w:r>
      <w:r>
        <w:rPr>
          <w:spacing w:val="-13"/>
        </w:rPr>
        <w:t> </w:t>
      </w:r>
      <w:r>
        <w:rPr/>
        <w:t>в</w:t>
      </w:r>
      <w:r>
        <w:rPr>
          <w:spacing w:val="-14"/>
        </w:rPr>
        <w:t> </w:t>
      </w:r>
      <w:r>
        <w:rPr/>
        <w:t>транспортном</w:t>
      </w:r>
      <w:r>
        <w:rPr>
          <w:spacing w:val="-14"/>
        </w:rPr>
        <w:t> </w:t>
      </w:r>
      <w:r>
        <w:rPr/>
        <w:t>средстве</w:t>
      </w:r>
      <w:r>
        <w:rPr>
          <w:spacing w:val="-14"/>
        </w:rPr>
        <w:t> </w:t>
      </w:r>
      <w:r>
        <w:rPr/>
        <w:t>проводят немедленно после эвакуации больного.</w:t>
      </w:r>
    </w:p>
    <w:p>
      <w:pPr>
        <w:pStyle w:val="BodyText"/>
        <w:spacing w:line="276" w:lineRule="auto"/>
        <w:ind w:left="1851" w:right="1278" w:firstLine="697"/>
      </w:pPr>
      <w:r>
        <w:rPr/>
        <w:t>Для проведения обеззараживания в очаг входят два члена бригады, один дезинфектор</w:t>
      </w:r>
      <w:r>
        <w:rPr>
          <w:spacing w:val="40"/>
        </w:rPr>
        <w:t> </w:t>
      </w:r>
      <w:r>
        <w:rPr/>
        <w:t>остается</w:t>
      </w:r>
      <w:r>
        <w:rPr>
          <w:spacing w:val="40"/>
        </w:rPr>
        <w:t> </w:t>
      </w:r>
      <w:r>
        <w:rPr/>
        <w:t>вне</w:t>
      </w:r>
      <w:r>
        <w:rPr>
          <w:spacing w:val="40"/>
        </w:rPr>
        <w:t> </w:t>
      </w:r>
      <w:r>
        <w:rPr/>
        <w:t>очага.</w:t>
      </w:r>
      <w:r>
        <w:rPr>
          <w:spacing w:val="40"/>
        </w:rPr>
        <w:t> </w:t>
      </w:r>
      <w:r>
        <w:rPr/>
        <w:t>В</w:t>
      </w:r>
      <w:r>
        <w:rPr>
          <w:spacing w:val="40"/>
        </w:rPr>
        <w:t> </w:t>
      </w:r>
      <w:r>
        <w:rPr/>
        <w:t>обязанность</w:t>
      </w:r>
      <w:r>
        <w:rPr>
          <w:spacing w:val="40"/>
        </w:rPr>
        <w:t> </w:t>
      </w:r>
      <w:r>
        <w:rPr/>
        <w:t>последнего</w:t>
      </w:r>
      <w:r>
        <w:rPr>
          <w:spacing w:val="40"/>
        </w:rPr>
        <w:t> </w:t>
      </w:r>
      <w:r>
        <w:rPr/>
        <w:t>входит</w:t>
      </w:r>
      <w:r>
        <w:rPr>
          <w:spacing w:val="40"/>
        </w:rPr>
        <w:t> </w:t>
      </w:r>
      <w:r>
        <w:rPr/>
        <w:t>прием</w:t>
      </w:r>
      <w:r>
        <w:rPr>
          <w:spacing w:val="40"/>
        </w:rPr>
        <w:t> </w:t>
      </w:r>
      <w:r>
        <w:rPr/>
        <w:t>вещей из</w:t>
      </w:r>
      <w:r>
        <w:rPr>
          <w:spacing w:val="-4"/>
        </w:rPr>
        <w:t> </w:t>
      </w:r>
      <w:r>
        <w:rPr/>
        <w:t>очага для камерной дезинфекции, приготовление дезинфицирующих растворов, поднос необходимой аппаратуры.</w:t>
      </w:r>
    </w:p>
    <w:p>
      <w:pPr>
        <w:pStyle w:val="BodyText"/>
        <w:spacing w:line="276" w:lineRule="auto"/>
        <w:ind w:left="1853" w:right="1278" w:firstLine="695"/>
      </w:pPr>
      <w:r>
        <w:rPr/>
        <w:t>Перед</w:t>
      </w:r>
      <w:r>
        <w:rPr>
          <w:spacing w:val="40"/>
        </w:rPr>
        <w:t>  </w:t>
      </w:r>
      <w:r>
        <w:rPr/>
        <w:t>проведением</w:t>
      </w:r>
      <w:r>
        <w:rPr>
          <w:spacing w:val="40"/>
        </w:rPr>
        <w:t>  </w:t>
      </w:r>
      <w:r>
        <w:rPr/>
        <w:t>дезинфекции</w:t>
      </w:r>
      <w:r>
        <w:rPr>
          <w:spacing w:val="40"/>
        </w:rPr>
        <w:t>  </w:t>
      </w:r>
      <w:r>
        <w:rPr/>
        <w:t>необходимо</w:t>
      </w:r>
      <w:r>
        <w:rPr>
          <w:spacing w:val="40"/>
        </w:rPr>
        <w:t>  </w:t>
      </w:r>
      <w:r>
        <w:rPr/>
        <w:t>закрыть</w:t>
      </w:r>
      <w:r>
        <w:rPr>
          <w:spacing w:val="40"/>
        </w:rPr>
        <w:t>  </w:t>
      </w:r>
      <w:r>
        <w:rPr/>
        <w:t>окна</w:t>
      </w:r>
      <w:r>
        <w:rPr>
          <w:spacing w:val="40"/>
        </w:rPr>
        <w:t>  </w:t>
      </w:r>
      <w:r>
        <w:rPr/>
        <w:t>и</w:t>
      </w:r>
      <w:r>
        <w:rPr>
          <w:spacing w:val="40"/>
        </w:rPr>
        <w:t>  </w:t>
      </w:r>
      <w:r>
        <w:rPr/>
        <w:t>двери в</w:t>
      </w:r>
      <w:r>
        <w:rPr>
          <w:spacing w:val="-5"/>
        </w:rPr>
        <w:t> </w:t>
      </w:r>
      <w:r>
        <w:rPr/>
        <w:t>помещениях, подлежащих обработке. Проведение заключительной дезинфекции начинают от входной двери здания, последовательно обрабатывая все помещения, включая комнату,</w:t>
      </w:r>
      <w:r>
        <w:rPr>
          <w:spacing w:val="18"/>
        </w:rPr>
        <w:t> </w:t>
      </w:r>
      <w:r>
        <w:rPr/>
        <w:t>где</w:t>
      </w:r>
      <w:r>
        <w:rPr>
          <w:spacing w:val="18"/>
        </w:rPr>
        <w:t> </w:t>
      </w:r>
      <w:r>
        <w:rPr/>
        <w:t>находился больной. В каждом помещении</w:t>
      </w:r>
      <w:r>
        <w:rPr>
          <w:spacing w:val="18"/>
        </w:rPr>
        <w:t> </w:t>
      </w:r>
      <w:r>
        <w:rPr/>
        <w:t>с порога, не входя</w:t>
      </w:r>
      <w:r>
        <w:rPr>
          <w:spacing w:val="80"/>
        </w:rPr>
        <w:t> </w:t>
      </w:r>
      <w:r>
        <w:rPr/>
        <w:t>в комнату, обильно орошают дезинфицирующим раствором пол и воздух.</w:t>
      </w:r>
    </w:p>
    <w:p>
      <w:pPr>
        <w:pStyle w:val="BodyText"/>
        <w:spacing w:line="276" w:lineRule="auto"/>
        <w:ind w:left="1851" w:right="1275" w:firstLine="697"/>
      </w:pPr>
      <w:r>
        <w:rPr/>
        <w:t>Руководитель медицинской организации, в которой выявлен больной, подозрительный на COVID-19, осуществляет первичные противоэпидемические мероприятия</w:t>
      </w:r>
      <w:r>
        <w:rPr>
          <w:spacing w:val="-13"/>
        </w:rPr>
        <w:t> </w:t>
      </w:r>
      <w:r>
        <w:rPr/>
        <w:t>согласно</w:t>
      </w:r>
      <w:r>
        <w:rPr>
          <w:spacing w:val="-13"/>
        </w:rPr>
        <w:t> </w:t>
      </w:r>
      <w:r>
        <w:rPr/>
        <w:t>оперативному</w:t>
      </w:r>
      <w:r>
        <w:rPr>
          <w:spacing w:val="-13"/>
        </w:rPr>
        <w:t> </w:t>
      </w:r>
      <w:r>
        <w:rPr/>
        <w:t>плану</w:t>
      </w:r>
      <w:r>
        <w:rPr>
          <w:spacing w:val="-13"/>
        </w:rPr>
        <w:t> </w:t>
      </w:r>
      <w:r>
        <w:rPr/>
        <w:t>медицинской</w:t>
      </w:r>
      <w:r>
        <w:rPr>
          <w:spacing w:val="-12"/>
        </w:rPr>
        <w:t> </w:t>
      </w:r>
      <w:r>
        <w:rPr/>
        <w:t>организации</w:t>
      </w:r>
      <w:r>
        <w:rPr>
          <w:spacing w:val="-8"/>
        </w:rPr>
        <w:t> </w:t>
      </w:r>
      <w:r>
        <w:rPr/>
        <w:t>-</w:t>
      </w:r>
      <w:r>
        <w:rPr>
          <w:spacing w:val="-13"/>
        </w:rPr>
        <w:t> </w:t>
      </w:r>
      <w:r>
        <w:rPr/>
        <w:t>как</w:t>
      </w:r>
      <w:r>
        <w:rPr>
          <w:spacing w:val="-12"/>
        </w:rPr>
        <w:t> </w:t>
      </w:r>
      <w:r>
        <w:rPr/>
        <w:t>на</w:t>
      </w:r>
      <w:r>
        <w:rPr>
          <w:spacing w:val="-14"/>
        </w:rPr>
        <w:t> </w:t>
      </w:r>
      <w:r>
        <w:rPr/>
        <w:t>случай выявления</w:t>
      </w:r>
      <w:r>
        <w:rPr>
          <w:spacing w:val="-15"/>
        </w:rPr>
        <w:t> </w:t>
      </w:r>
      <w:r>
        <w:rPr/>
        <w:t>больного</w:t>
      </w:r>
      <w:r>
        <w:rPr>
          <w:spacing w:val="-15"/>
        </w:rPr>
        <w:t> </w:t>
      </w:r>
      <w:r>
        <w:rPr/>
        <w:t>особо</w:t>
      </w:r>
      <w:r>
        <w:rPr>
          <w:spacing w:val="-15"/>
        </w:rPr>
        <w:t> </w:t>
      </w:r>
      <w:r>
        <w:rPr/>
        <w:t>опасной</w:t>
      </w:r>
      <w:r>
        <w:rPr>
          <w:spacing w:val="-15"/>
        </w:rPr>
        <w:t> </w:t>
      </w:r>
      <w:r>
        <w:rPr/>
        <w:t>инфекцией</w:t>
      </w:r>
      <w:r>
        <w:rPr>
          <w:spacing w:val="-15"/>
        </w:rPr>
        <w:t> </w:t>
      </w:r>
      <w:r>
        <w:rPr/>
        <w:t>-</w:t>
      </w:r>
      <w:r>
        <w:rPr>
          <w:spacing w:val="-15"/>
        </w:rPr>
        <w:t> </w:t>
      </w:r>
      <w:r>
        <w:rPr/>
        <w:t>с</w:t>
      </w:r>
      <w:r>
        <w:rPr>
          <w:spacing w:val="-15"/>
        </w:rPr>
        <w:t> </w:t>
      </w:r>
      <w:r>
        <w:rPr/>
        <w:t>целью</w:t>
      </w:r>
      <w:r>
        <w:rPr>
          <w:spacing w:val="-15"/>
        </w:rPr>
        <w:t> </w:t>
      </w:r>
      <w:r>
        <w:rPr/>
        <w:t>обеспечения</w:t>
      </w:r>
      <w:r>
        <w:rPr>
          <w:spacing w:val="-15"/>
        </w:rPr>
        <w:t> </w:t>
      </w:r>
      <w:r>
        <w:rPr/>
        <w:t>своевременного информирования, временной изоляции, консультирования, эвакуации, проведения дезинфекции,</w:t>
      </w:r>
      <w:r>
        <w:rPr>
          <w:spacing w:val="-4"/>
        </w:rPr>
        <w:t> </w:t>
      </w:r>
      <w:r>
        <w:rPr/>
        <w:t>оказания</w:t>
      </w:r>
      <w:r>
        <w:rPr>
          <w:spacing w:val="-7"/>
        </w:rPr>
        <w:t> </w:t>
      </w:r>
      <w:r>
        <w:rPr/>
        <w:t>больному</w:t>
      </w:r>
      <w:r>
        <w:rPr>
          <w:spacing w:val="-4"/>
        </w:rPr>
        <w:t> </w:t>
      </w:r>
      <w:r>
        <w:rPr/>
        <w:t>необходимой</w:t>
      </w:r>
      <w:r>
        <w:rPr>
          <w:spacing w:val="-6"/>
        </w:rPr>
        <w:t> </w:t>
      </w:r>
      <w:r>
        <w:rPr/>
        <w:t>медицинской</w:t>
      </w:r>
      <w:r>
        <w:rPr>
          <w:spacing w:val="-6"/>
        </w:rPr>
        <w:t> </w:t>
      </w:r>
      <w:r>
        <w:rPr/>
        <w:t>помощи</w:t>
      </w:r>
      <w:r>
        <w:rPr>
          <w:spacing w:val="-6"/>
        </w:rPr>
        <w:t> </w:t>
      </w:r>
      <w:r>
        <w:rPr/>
        <w:t>в</w:t>
      </w:r>
      <w:r>
        <w:rPr>
          <w:spacing w:val="-5"/>
        </w:rPr>
        <w:t> </w:t>
      </w:r>
      <w:r>
        <w:rPr/>
        <w:t>соответствии с действующими нормативными документами и санитарным законодательством.</w:t>
      </w:r>
    </w:p>
    <w:p>
      <w:pPr>
        <w:pStyle w:val="BodyText"/>
        <w:spacing w:line="276" w:lineRule="auto"/>
        <w:ind w:left="1851" w:right="1277" w:firstLine="697"/>
      </w:pPr>
      <w:r>
        <w:rPr/>
        <w:t>В</w:t>
      </w:r>
      <w:r>
        <w:rPr>
          <w:spacing w:val="40"/>
        </w:rPr>
        <w:t> </w:t>
      </w:r>
      <w:r>
        <w:rPr/>
        <w:t>медицинской</w:t>
      </w:r>
      <w:r>
        <w:rPr>
          <w:spacing w:val="38"/>
        </w:rPr>
        <w:t> </w:t>
      </w:r>
      <w:r>
        <w:rPr/>
        <w:t>организации,</w:t>
      </w:r>
      <w:r>
        <w:rPr>
          <w:spacing w:val="39"/>
        </w:rPr>
        <w:t> </w:t>
      </w:r>
      <w:r>
        <w:rPr/>
        <w:t>оказывающей</w:t>
      </w:r>
      <w:r>
        <w:rPr>
          <w:spacing w:val="40"/>
        </w:rPr>
        <w:t> </w:t>
      </w:r>
      <w:r>
        <w:rPr/>
        <w:t>медицинскую</w:t>
      </w:r>
      <w:r>
        <w:rPr>
          <w:spacing w:val="37"/>
        </w:rPr>
        <w:t> </w:t>
      </w:r>
      <w:r>
        <w:rPr/>
        <w:t>помощь</w:t>
      </w:r>
      <w:r>
        <w:rPr>
          <w:spacing w:val="40"/>
        </w:rPr>
        <w:t> </w:t>
      </w:r>
      <w:r>
        <w:rPr/>
        <w:t>больным и</w:t>
      </w:r>
      <w:r>
        <w:rPr>
          <w:spacing w:val="-3"/>
        </w:rPr>
        <w:t> </w:t>
      </w:r>
      <w:r>
        <w:rPr/>
        <w:t>лицам с подозрением на COVID-19, согласно санитарным правилам необходимо </w:t>
      </w:r>
      <w:r>
        <w:rPr>
          <w:spacing w:val="-2"/>
        </w:rPr>
        <w:t>наличие:</w:t>
      </w:r>
    </w:p>
    <w:p>
      <w:pPr>
        <w:pStyle w:val="ListParagraph"/>
        <w:numPr>
          <w:ilvl w:val="0"/>
          <w:numId w:val="63"/>
        </w:numPr>
        <w:tabs>
          <w:tab w:pos="2268" w:val="left" w:leader="none"/>
        </w:tabs>
        <w:spacing w:line="264" w:lineRule="auto" w:before="0" w:after="0"/>
        <w:ind w:left="2268" w:right="1278" w:hanging="360"/>
        <w:jc w:val="both"/>
        <w:rPr>
          <w:sz w:val="24"/>
        </w:rPr>
      </w:pPr>
      <w:r>
        <w:rPr>
          <w:sz w:val="24"/>
        </w:rPr>
        <w:t>Неснижаемого запаса СИЗ персонала (защитная одежда, маски, респираторы, очки/экраны, перчатки и другие);</w:t>
      </w:r>
    </w:p>
    <w:p>
      <w:pPr>
        <w:pStyle w:val="ListParagraph"/>
        <w:spacing w:after="0" w:line="264" w:lineRule="auto"/>
        <w:jc w:val="both"/>
        <w:rPr>
          <w:sz w:val="24"/>
        </w:rPr>
        <w:sectPr>
          <w:pgSz w:w="11900" w:h="16840"/>
          <w:pgMar w:header="0" w:footer="697" w:top="1080" w:bottom="880" w:left="0" w:right="0"/>
        </w:sectPr>
      </w:pPr>
    </w:p>
    <w:p>
      <w:pPr>
        <w:pStyle w:val="ListParagraph"/>
        <w:numPr>
          <w:ilvl w:val="0"/>
          <w:numId w:val="63"/>
        </w:numPr>
        <w:tabs>
          <w:tab w:pos="2268" w:val="left" w:leader="none"/>
        </w:tabs>
        <w:spacing w:line="240" w:lineRule="auto" w:before="74" w:after="0"/>
        <w:ind w:left="2268" w:right="0" w:hanging="359"/>
        <w:jc w:val="left"/>
        <w:rPr>
          <w:sz w:val="24"/>
        </w:rPr>
      </w:pPr>
      <w:bookmarkStart w:name="137" w:id="164"/>
      <w:bookmarkEnd w:id="164"/>
      <w:r>
        <w:rPr/>
      </w:r>
      <w:r>
        <w:rPr>
          <w:sz w:val="24"/>
        </w:rPr>
        <w:t>Укладки</w:t>
      </w:r>
      <w:r>
        <w:rPr>
          <w:spacing w:val="-11"/>
          <w:sz w:val="24"/>
        </w:rPr>
        <w:t> </w:t>
      </w:r>
      <w:r>
        <w:rPr>
          <w:sz w:val="24"/>
        </w:rPr>
        <w:t>для</w:t>
      </w:r>
      <w:r>
        <w:rPr>
          <w:spacing w:val="-12"/>
          <w:sz w:val="24"/>
        </w:rPr>
        <w:t> </w:t>
      </w:r>
      <w:r>
        <w:rPr>
          <w:sz w:val="24"/>
        </w:rPr>
        <w:t>забора</w:t>
      </w:r>
      <w:r>
        <w:rPr>
          <w:spacing w:val="-11"/>
          <w:sz w:val="24"/>
        </w:rPr>
        <w:t> </w:t>
      </w:r>
      <w:r>
        <w:rPr>
          <w:sz w:val="24"/>
        </w:rPr>
        <w:t>биологического</w:t>
      </w:r>
      <w:r>
        <w:rPr>
          <w:spacing w:val="-12"/>
          <w:sz w:val="24"/>
        </w:rPr>
        <w:t> </w:t>
      </w:r>
      <w:r>
        <w:rPr>
          <w:sz w:val="24"/>
        </w:rPr>
        <w:t>материала</w:t>
      </w:r>
      <w:r>
        <w:rPr>
          <w:spacing w:val="-10"/>
          <w:sz w:val="24"/>
        </w:rPr>
        <w:t> </w:t>
      </w:r>
      <w:r>
        <w:rPr>
          <w:sz w:val="24"/>
        </w:rPr>
        <w:t>у</w:t>
      </w:r>
      <w:r>
        <w:rPr>
          <w:spacing w:val="-11"/>
          <w:sz w:val="24"/>
        </w:rPr>
        <w:t> </w:t>
      </w:r>
      <w:r>
        <w:rPr>
          <w:sz w:val="24"/>
        </w:rPr>
        <w:t>больного</w:t>
      </w:r>
      <w:r>
        <w:rPr>
          <w:spacing w:val="-12"/>
          <w:sz w:val="24"/>
        </w:rPr>
        <w:t> </w:t>
      </w:r>
      <w:r>
        <w:rPr>
          <w:spacing w:val="-2"/>
          <w:sz w:val="24"/>
        </w:rPr>
        <w:t>(подозрительного);</w:t>
      </w:r>
    </w:p>
    <w:p>
      <w:pPr>
        <w:pStyle w:val="ListParagraph"/>
        <w:numPr>
          <w:ilvl w:val="0"/>
          <w:numId w:val="63"/>
        </w:numPr>
        <w:tabs>
          <w:tab w:pos="2268" w:val="left" w:leader="none"/>
        </w:tabs>
        <w:spacing w:line="240" w:lineRule="auto" w:before="33" w:after="0"/>
        <w:ind w:left="2268" w:right="0" w:hanging="359"/>
        <w:jc w:val="left"/>
        <w:rPr>
          <w:sz w:val="24"/>
        </w:rPr>
      </w:pPr>
      <w:r>
        <w:rPr>
          <w:sz w:val="24"/>
        </w:rPr>
        <w:t>Укладки</w:t>
      </w:r>
      <w:r>
        <w:rPr>
          <w:spacing w:val="-15"/>
          <w:sz w:val="24"/>
        </w:rPr>
        <w:t> </w:t>
      </w:r>
      <w:r>
        <w:rPr>
          <w:sz w:val="24"/>
        </w:rPr>
        <w:t>со</w:t>
      </w:r>
      <w:r>
        <w:rPr>
          <w:spacing w:val="-15"/>
          <w:sz w:val="24"/>
        </w:rPr>
        <w:t> </w:t>
      </w:r>
      <w:r>
        <w:rPr>
          <w:sz w:val="24"/>
        </w:rPr>
        <w:t>средствами</w:t>
      </w:r>
      <w:r>
        <w:rPr>
          <w:spacing w:val="-15"/>
          <w:sz w:val="24"/>
        </w:rPr>
        <w:t> </w:t>
      </w:r>
      <w:r>
        <w:rPr>
          <w:sz w:val="24"/>
        </w:rPr>
        <w:t>экстренной</w:t>
      </w:r>
      <w:r>
        <w:rPr>
          <w:spacing w:val="-15"/>
          <w:sz w:val="24"/>
        </w:rPr>
        <w:t> </w:t>
      </w:r>
      <w:r>
        <w:rPr>
          <w:sz w:val="24"/>
        </w:rPr>
        <w:t>профилактики</w:t>
      </w:r>
      <w:r>
        <w:rPr>
          <w:spacing w:val="-13"/>
          <w:sz w:val="24"/>
        </w:rPr>
        <w:t> </w:t>
      </w:r>
      <w:r>
        <w:rPr>
          <w:sz w:val="24"/>
        </w:rPr>
        <w:t>медицинских</w:t>
      </w:r>
      <w:r>
        <w:rPr>
          <w:spacing w:val="-15"/>
          <w:sz w:val="24"/>
        </w:rPr>
        <w:t> </w:t>
      </w:r>
      <w:r>
        <w:rPr>
          <w:spacing w:val="-2"/>
          <w:sz w:val="24"/>
        </w:rPr>
        <w:t>работников;</w:t>
      </w:r>
    </w:p>
    <w:p>
      <w:pPr>
        <w:pStyle w:val="ListParagraph"/>
        <w:numPr>
          <w:ilvl w:val="0"/>
          <w:numId w:val="63"/>
        </w:numPr>
        <w:tabs>
          <w:tab w:pos="2268" w:val="left" w:leader="none"/>
        </w:tabs>
        <w:spacing w:line="240" w:lineRule="auto" w:before="33" w:after="0"/>
        <w:ind w:left="2268" w:right="0" w:hanging="359"/>
        <w:jc w:val="left"/>
        <w:rPr>
          <w:sz w:val="24"/>
        </w:rPr>
      </w:pPr>
      <w:r>
        <w:rPr>
          <w:sz w:val="24"/>
        </w:rPr>
        <w:t>Месячного</w:t>
      </w:r>
      <w:r>
        <w:rPr>
          <w:spacing w:val="-14"/>
          <w:sz w:val="24"/>
        </w:rPr>
        <w:t> </w:t>
      </w:r>
      <w:r>
        <w:rPr>
          <w:sz w:val="24"/>
        </w:rPr>
        <w:t>запаса</w:t>
      </w:r>
      <w:r>
        <w:rPr>
          <w:spacing w:val="-14"/>
          <w:sz w:val="24"/>
        </w:rPr>
        <w:t> </w:t>
      </w:r>
      <w:r>
        <w:rPr>
          <w:sz w:val="24"/>
        </w:rPr>
        <w:t>дезинфицирующих</w:t>
      </w:r>
      <w:r>
        <w:rPr>
          <w:spacing w:val="-14"/>
          <w:sz w:val="24"/>
        </w:rPr>
        <w:t> </w:t>
      </w:r>
      <w:r>
        <w:rPr>
          <w:sz w:val="24"/>
        </w:rPr>
        <w:t>средств</w:t>
      </w:r>
      <w:r>
        <w:rPr>
          <w:spacing w:val="-13"/>
          <w:sz w:val="24"/>
        </w:rPr>
        <w:t> </w:t>
      </w:r>
      <w:r>
        <w:rPr>
          <w:sz w:val="24"/>
        </w:rPr>
        <w:t>и</w:t>
      </w:r>
      <w:r>
        <w:rPr>
          <w:spacing w:val="-10"/>
          <w:sz w:val="24"/>
        </w:rPr>
        <w:t> </w:t>
      </w:r>
      <w:r>
        <w:rPr>
          <w:spacing w:val="-2"/>
          <w:sz w:val="24"/>
        </w:rPr>
        <w:t>аппаратуры;</w:t>
      </w:r>
    </w:p>
    <w:p>
      <w:pPr>
        <w:pStyle w:val="ListParagraph"/>
        <w:numPr>
          <w:ilvl w:val="0"/>
          <w:numId w:val="63"/>
        </w:numPr>
        <w:tabs>
          <w:tab w:pos="2268" w:val="left" w:leader="none"/>
          <w:tab w:pos="3876" w:val="left" w:leader="none"/>
          <w:tab w:pos="4591" w:val="left" w:leader="none"/>
          <w:tab w:pos="6369" w:val="left" w:leader="none"/>
          <w:tab w:pos="8017" w:val="left" w:leader="none"/>
          <w:tab w:pos="8492" w:val="left" w:leader="none"/>
          <w:tab w:pos="9532" w:val="left" w:leader="none"/>
        </w:tabs>
        <w:spacing w:line="264" w:lineRule="auto" w:before="30" w:after="0"/>
        <w:ind w:left="2268" w:right="1276" w:hanging="360"/>
        <w:jc w:val="left"/>
        <w:rPr>
          <w:sz w:val="24"/>
        </w:rPr>
      </w:pPr>
      <w:r>
        <w:rPr>
          <w:spacing w:val="-2"/>
          <w:sz w:val="24"/>
        </w:rPr>
        <w:t>Тест-систем</w:t>
      </w:r>
      <w:r>
        <w:rPr>
          <w:sz w:val="24"/>
        </w:rPr>
        <w:tab/>
      </w:r>
      <w:r>
        <w:rPr>
          <w:spacing w:val="-4"/>
          <w:sz w:val="24"/>
        </w:rPr>
        <w:t>для</w:t>
      </w:r>
      <w:r>
        <w:rPr>
          <w:sz w:val="24"/>
        </w:rPr>
        <w:tab/>
      </w:r>
      <w:r>
        <w:rPr>
          <w:spacing w:val="-2"/>
          <w:sz w:val="24"/>
        </w:rPr>
        <w:t>лабораторной</w:t>
      </w:r>
      <w:r>
        <w:rPr>
          <w:sz w:val="24"/>
        </w:rPr>
        <w:tab/>
      </w:r>
      <w:r>
        <w:rPr>
          <w:spacing w:val="-2"/>
          <w:sz w:val="24"/>
        </w:rPr>
        <w:t>диагностики</w:t>
      </w:r>
      <w:r>
        <w:rPr>
          <w:sz w:val="24"/>
        </w:rPr>
        <w:tab/>
      </w:r>
      <w:r>
        <w:rPr>
          <w:spacing w:val="-10"/>
          <w:sz w:val="24"/>
        </w:rPr>
        <w:t>в</w:t>
      </w:r>
      <w:r>
        <w:rPr>
          <w:sz w:val="24"/>
        </w:rPr>
        <w:tab/>
      </w:r>
      <w:r>
        <w:rPr>
          <w:spacing w:val="-2"/>
          <w:sz w:val="24"/>
        </w:rPr>
        <w:t>случае</w:t>
      </w:r>
      <w:r>
        <w:rPr>
          <w:sz w:val="24"/>
        </w:rPr>
        <w:tab/>
      </w:r>
      <w:r>
        <w:rPr>
          <w:spacing w:val="-2"/>
          <w:sz w:val="24"/>
        </w:rPr>
        <w:t>выявления </w:t>
      </w:r>
      <w:r>
        <w:rPr>
          <w:sz w:val="24"/>
        </w:rPr>
        <w:t>лиц с подозрением на коронавирусную инфекцию;</w:t>
      </w:r>
    </w:p>
    <w:p>
      <w:pPr>
        <w:pStyle w:val="ListParagraph"/>
        <w:numPr>
          <w:ilvl w:val="0"/>
          <w:numId w:val="63"/>
        </w:numPr>
        <w:tabs>
          <w:tab w:pos="2268" w:val="left" w:leader="none"/>
        </w:tabs>
        <w:spacing w:line="264" w:lineRule="auto" w:before="14" w:after="0"/>
        <w:ind w:left="2268" w:right="1278" w:hanging="360"/>
        <w:jc w:val="left"/>
        <w:rPr>
          <w:sz w:val="24"/>
        </w:rPr>
      </w:pPr>
      <w:r>
        <w:rPr>
          <w:sz w:val="24"/>
        </w:rPr>
        <w:t>Медицинского</w:t>
      </w:r>
      <w:r>
        <w:rPr>
          <w:spacing w:val="80"/>
          <w:sz w:val="24"/>
        </w:rPr>
        <w:t> </w:t>
      </w:r>
      <w:r>
        <w:rPr>
          <w:sz w:val="24"/>
        </w:rPr>
        <w:t>персонала,</w:t>
      </w:r>
      <w:r>
        <w:rPr>
          <w:spacing w:val="80"/>
          <w:sz w:val="24"/>
        </w:rPr>
        <w:t> </w:t>
      </w:r>
      <w:r>
        <w:rPr>
          <w:sz w:val="24"/>
        </w:rPr>
        <w:t>обученного</w:t>
      </w:r>
      <w:r>
        <w:rPr>
          <w:spacing w:val="80"/>
          <w:sz w:val="24"/>
        </w:rPr>
        <w:t> </w:t>
      </w:r>
      <w:r>
        <w:rPr>
          <w:sz w:val="24"/>
        </w:rPr>
        <w:t>действиям</w:t>
      </w:r>
      <w:r>
        <w:rPr>
          <w:spacing w:val="80"/>
          <w:sz w:val="24"/>
        </w:rPr>
        <w:t> </w:t>
      </w:r>
      <w:r>
        <w:rPr>
          <w:sz w:val="24"/>
        </w:rPr>
        <w:t>при</w:t>
      </w:r>
      <w:r>
        <w:rPr>
          <w:spacing w:val="80"/>
          <w:sz w:val="24"/>
        </w:rPr>
        <w:t> </w:t>
      </w:r>
      <w:r>
        <w:rPr>
          <w:sz w:val="24"/>
        </w:rPr>
        <w:t>выявлении</w:t>
      </w:r>
      <w:r>
        <w:rPr>
          <w:spacing w:val="80"/>
          <w:sz w:val="24"/>
        </w:rPr>
        <w:t> </w:t>
      </w:r>
      <w:r>
        <w:rPr>
          <w:sz w:val="24"/>
        </w:rPr>
        <w:t>больного (подозрительного на) COVID-19.</w:t>
      </w:r>
    </w:p>
    <w:p>
      <w:pPr>
        <w:pStyle w:val="BodyText"/>
        <w:spacing w:before="70"/>
        <w:ind w:left="0"/>
        <w:jc w:val="left"/>
      </w:pPr>
    </w:p>
    <w:p>
      <w:pPr>
        <w:pStyle w:val="BodyText"/>
        <w:spacing w:line="276" w:lineRule="auto"/>
        <w:ind w:left="1853" w:right="1276" w:firstLine="695"/>
      </w:pPr>
      <w:r>
        <w:rPr/>
        <w:t>При использовании СИЗ обязательно следовать требованиям санитарных правил.</w:t>
      </w:r>
      <w:r>
        <w:rPr>
          <w:spacing w:val="80"/>
        </w:rPr>
        <w:t> </w:t>
      </w:r>
      <w:r>
        <w:rPr/>
        <w:t>Использованные</w:t>
      </w:r>
      <w:r>
        <w:rPr>
          <w:spacing w:val="80"/>
        </w:rPr>
        <w:t> </w:t>
      </w:r>
      <w:r>
        <w:rPr/>
        <w:t>материалы</w:t>
      </w:r>
      <w:r>
        <w:rPr>
          <w:spacing w:val="80"/>
        </w:rPr>
        <w:t> </w:t>
      </w:r>
      <w:r>
        <w:rPr/>
        <w:t>обеззараживаются</w:t>
      </w:r>
      <w:r>
        <w:rPr>
          <w:spacing w:val="80"/>
        </w:rPr>
        <w:t> </w:t>
      </w:r>
      <w:r>
        <w:rPr/>
        <w:t>и/или</w:t>
      </w:r>
      <w:r>
        <w:rPr>
          <w:spacing w:val="80"/>
        </w:rPr>
        <w:t> </w:t>
      </w:r>
      <w:r>
        <w:rPr/>
        <w:t>обезвреживаются</w:t>
      </w:r>
      <w:r>
        <w:rPr>
          <w:spacing w:val="80"/>
        </w:rPr>
        <w:t> </w:t>
      </w:r>
      <w:r>
        <w:rPr/>
        <w:t>и</w:t>
      </w:r>
      <w:r>
        <w:rPr>
          <w:spacing w:val="-4"/>
        </w:rPr>
        <w:t> </w:t>
      </w:r>
      <w:r>
        <w:rPr/>
        <w:t>в</w:t>
      </w:r>
      <w:r>
        <w:rPr>
          <w:spacing w:val="-6"/>
        </w:rPr>
        <w:t> </w:t>
      </w:r>
      <w:r>
        <w:rPr/>
        <w:t>последующем</w:t>
      </w:r>
      <w:r>
        <w:rPr>
          <w:spacing w:val="-4"/>
        </w:rPr>
        <w:t> </w:t>
      </w:r>
      <w:r>
        <w:rPr/>
        <w:t>захораниваются</w:t>
      </w:r>
      <w:r>
        <w:rPr>
          <w:spacing w:val="-4"/>
        </w:rPr>
        <w:t> </w:t>
      </w:r>
      <w:r>
        <w:rPr/>
        <w:t>или</w:t>
      </w:r>
      <w:r>
        <w:rPr>
          <w:spacing w:val="-4"/>
        </w:rPr>
        <w:t> </w:t>
      </w:r>
      <w:r>
        <w:rPr/>
        <w:t>уничтожаются</w:t>
      </w:r>
      <w:r>
        <w:rPr>
          <w:spacing w:val="-4"/>
        </w:rPr>
        <w:t> </w:t>
      </w:r>
      <w:r>
        <w:rPr/>
        <w:t>в</w:t>
      </w:r>
      <w:r>
        <w:rPr>
          <w:spacing w:val="-4"/>
        </w:rPr>
        <w:t> </w:t>
      </w:r>
      <w:r>
        <w:rPr/>
        <w:t>соответствии</w:t>
      </w:r>
      <w:r>
        <w:rPr>
          <w:spacing w:val="-2"/>
        </w:rPr>
        <w:t> </w:t>
      </w:r>
      <w:r>
        <w:rPr/>
        <w:t>с</w:t>
      </w:r>
      <w:r>
        <w:rPr>
          <w:spacing w:val="-4"/>
        </w:rPr>
        <w:t> </w:t>
      </w:r>
      <w:r>
        <w:rPr/>
        <w:t>требованиями к</w:t>
      </w:r>
      <w:r>
        <w:rPr>
          <w:spacing w:val="-2"/>
        </w:rPr>
        <w:t> </w:t>
      </w:r>
      <w:r>
        <w:rPr/>
        <w:t>медицинским отходам класса В. Проводится заключительная и текущая дезинфекция, включая обеззараживание воздуха.</w:t>
      </w:r>
    </w:p>
    <w:p>
      <w:pPr>
        <w:pStyle w:val="Heading1"/>
        <w:spacing w:before="239"/>
      </w:pPr>
      <w:r>
        <w:rPr>
          <w:color w:val="1F487C"/>
        </w:rPr>
        <w:t>9.4.</w:t>
      </w:r>
      <w:r>
        <w:rPr>
          <w:color w:val="1F487C"/>
          <w:spacing w:val="-5"/>
        </w:rPr>
        <w:t> </w:t>
      </w:r>
      <w:r>
        <w:rPr>
          <w:color w:val="1F487C"/>
        </w:rPr>
        <w:t>ОСНОВНЫЕ</w:t>
      </w:r>
      <w:r>
        <w:rPr>
          <w:color w:val="1F487C"/>
          <w:spacing w:val="-6"/>
        </w:rPr>
        <w:t> </w:t>
      </w:r>
      <w:r>
        <w:rPr>
          <w:color w:val="1F487C"/>
        </w:rPr>
        <w:t>ПРИНЦИПЫ</w:t>
      </w:r>
      <w:r>
        <w:rPr>
          <w:color w:val="1F487C"/>
          <w:spacing w:val="-3"/>
        </w:rPr>
        <w:t> </w:t>
      </w:r>
      <w:r>
        <w:rPr>
          <w:color w:val="1F487C"/>
          <w:spacing w:val="-2"/>
        </w:rPr>
        <w:t>ОКАЗАНИЯ</w:t>
      </w:r>
    </w:p>
    <w:p>
      <w:pPr>
        <w:spacing w:line="256" w:lineRule="auto" w:before="26"/>
        <w:ind w:left="2549" w:right="1283" w:firstLine="0"/>
        <w:jc w:val="left"/>
        <w:rPr>
          <w:b/>
          <w:sz w:val="28"/>
        </w:rPr>
      </w:pPr>
      <w:r>
        <w:rPr>
          <w:b/>
          <w:color w:val="1F487C"/>
          <w:sz w:val="28"/>
        </w:rPr>
        <w:t>МЕДИЦИНСКОЙ</w:t>
      </w:r>
      <w:r>
        <w:rPr>
          <w:b/>
          <w:color w:val="1F487C"/>
          <w:spacing w:val="-16"/>
          <w:sz w:val="28"/>
        </w:rPr>
        <w:t> </w:t>
      </w:r>
      <w:r>
        <w:rPr>
          <w:b/>
          <w:color w:val="1F487C"/>
          <w:sz w:val="28"/>
        </w:rPr>
        <w:t>ПОМОЩИ</w:t>
      </w:r>
      <w:r>
        <w:rPr>
          <w:b/>
          <w:color w:val="1F487C"/>
          <w:spacing w:val="-14"/>
          <w:sz w:val="28"/>
        </w:rPr>
        <w:t> </w:t>
      </w:r>
      <w:r>
        <w:rPr>
          <w:b/>
          <w:color w:val="1F487C"/>
          <w:sz w:val="28"/>
        </w:rPr>
        <w:t>В</w:t>
      </w:r>
      <w:r>
        <w:rPr>
          <w:b/>
          <w:color w:val="1F487C"/>
          <w:spacing w:val="-15"/>
          <w:sz w:val="28"/>
        </w:rPr>
        <w:t> </w:t>
      </w:r>
      <w:r>
        <w:rPr>
          <w:b/>
          <w:color w:val="1F487C"/>
          <w:sz w:val="28"/>
        </w:rPr>
        <w:t>АМБУЛАТОРНЫХ УСЛОВИЯХ (НА ДОМУ)</w:t>
      </w:r>
    </w:p>
    <w:p>
      <w:pPr>
        <w:pStyle w:val="BodyText"/>
        <w:spacing w:line="276" w:lineRule="auto" w:before="123"/>
        <w:ind w:right="1271" w:firstLine="707"/>
      </w:pPr>
      <w:r>
        <w:rPr/>
        <w:t>Алгоритм действий медицинских работников, оказывающих медицинскую помощь в амбулаторных условиях, в том числе на дому, пациентам с ОРВИ представлен в Приложении 10-1.</w:t>
      </w:r>
    </w:p>
    <w:p>
      <w:pPr>
        <w:pStyle w:val="BodyText"/>
        <w:spacing w:line="276" w:lineRule="auto"/>
        <w:ind w:left="1851" w:right="1272" w:firstLine="697"/>
      </w:pPr>
      <w:r>
        <w:rPr/>
        <w:t>При получении положительного результата лабораторных исследований биологического материала пациента на наличие COVID-19 (далее – результат теста на COVID-19) уполномоченное лицо медицинской организации:</w:t>
      </w:r>
    </w:p>
    <w:p>
      <w:pPr>
        <w:pStyle w:val="BodyText"/>
        <w:spacing w:before="42"/>
        <w:ind w:left="0"/>
        <w:jc w:val="left"/>
      </w:pPr>
    </w:p>
    <w:p>
      <w:pPr>
        <w:pStyle w:val="ListParagraph"/>
        <w:numPr>
          <w:ilvl w:val="0"/>
          <w:numId w:val="64"/>
        </w:numPr>
        <w:tabs>
          <w:tab w:pos="2267" w:val="left" w:leader="none"/>
        </w:tabs>
        <w:spacing w:line="240" w:lineRule="auto" w:before="0" w:after="0"/>
        <w:ind w:left="2267" w:right="0" w:hanging="426"/>
        <w:jc w:val="both"/>
        <w:rPr>
          <w:sz w:val="24"/>
        </w:rPr>
      </w:pPr>
      <w:r>
        <w:rPr>
          <w:sz w:val="24"/>
        </w:rPr>
        <w:t>Уведомляет</w:t>
      </w:r>
      <w:r>
        <w:rPr>
          <w:spacing w:val="-14"/>
          <w:sz w:val="24"/>
        </w:rPr>
        <w:t> </w:t>
      </w:r>
      <w:r>
        <w:rPr>
          <w:sz w:val="24"/>
        </w:rPr>
        <w:t>пациента</w:t>
      </w:r>
      <w:r>
        <w:rPr>
          <w:spacing w:val="-13"/>
          <w:sz w:val="24"/>
        </w:rPr>
        <w:t> </w:t>
      </w:r>
      <w:r>
        <w:rPr>
          <w:sz w:val="24"/>
        </w:rPr>
        <w:t>о</w:t>
      </w:r>
      <w:r>
        <w:rPr>
          <w:spacing w:val="-14"/>
          <w:sz w:val="24"/>
        </w:rPr>
        <w:t> </w:t>
      </w:r>
      <w:r>
        <w:rPr>
          <w:sz w:val="24"/>
        </w:rPr>
        <w:t>положительном</w:t>
      </w:r>
      <w:r>
        <w:rPr>
          <w:spacing w:val="-13"/>
          <w:sz w:val="24"/>
        </w:rPr>
        <w:t> </w:t>
      </w:r>
      <w:r>
        <w:rPr>
          <w:sz w:val="24"/>
        </w:rPr>
        <w:t>результате</w:t>
      </w:r>
      <w:r>
        <w:rPr>
          <w:spacing w:val="-14"/>
          <w:sz w:val="24"/>
        </w:rPr>
        <w:t> </w:t>
      </w:r>
      <w:r>
        <w:rPr>
          <w:sz w:val="24"/>
        </w:rPr>
        <w:t>теста</w:t>
      </w:r>
      <w:r>
        <w:rPr>
          <w:spacing w:val="-13"/>
          <w:sz w:val="24"/>
        </w:rPr>
        <w:t> </w:t>
      </w:r>
      <w:r>
        <w:rPr>
          <w:sz w:val="24"/>
        </w:rPr>
        <w:t>на</w:t>
      </w:r>
      <w:r>
        <w:rPr>
          <w:spacing w:val="-12"/>
          <w:sz w:val="24"/>
        </w:rPr>
        <w:t> </w:t>
      </w:r>
      <w:r>
        <w:rPr>
          <w:sz w:val="24"/>
        </w:rPr>
        <w:t>COVID-</w:t>
      </w:r>
      <w:r>
        <w:rPr>
          <w:spacing w:val="-5"/>
          <w:sz w:val="24"/>
        </w:rPr>
        <w:t>19;</w:t>
      </w:r>
    </w:p>
    <w:p>
      <w:pPr>
        <w:pStyle w:val="ListParagraph"/>
        <w:numPr>
          <w:ilvl w:val="0"/>
          <w:numId w:val="64"/>
        </w:numPr>
        <w:tabs>
          <w:tab w:pos="2268" w:val="left" w:leader="none"/>
        </w:tabs>
        <w:spacing w:line="273" w:lineRule="auto" w:before="39" w:after="0"/>
        <w:ind w:left="2268" w:right="1272" w:hanging="427"/>
        <w:jc w:val="both"/>
        <w:rPr>
          <w:sz w:val="24"/>
        </w:rPr>
      </w:pPr>
      <w:r>
        <w:rPr>
          <w:sz w:val="24"/>
        </w:rPr>
        <w:t>Оповещает о положительном результате теста на COVID-19 руководителя медицинской организации;</w:t>
      </w:r>
    </w:p>
    <w:p>
      <w:pPr>
        <w:pStyle w:val="ListParagraph"/>
        <w:numPr>
          <w:ilvl w:val="0"/>
          <w:numId w:val="64"/>
        </w:numPr>
        <w:tabs>
          <w:tab w:pos="2268" w:val="left" w:leader="none"/>
        </w:tabs>
        <w:spacing w:line="273" w:lineRule="auto" w:before="3" w:after="0"/>
        <w:ind w:left="2268" w:right="1276" w:hanging="427"/>
        <w:jc w:val="both"/>
        <w:rPr>
          <w:sz w:val="24"/>
        </w:rPr>
      </w:pPr>
      <w:r>
        <w:rPr>
          <w:sz w:val="24"/>
        </w:rPr>
        <w:t>Направляет экстренное извещение о случае заболевания новой коронавирусной инфекцией</w:t>
      </w:r>
      <w:r>
        <w:rPr>
          <w:spacing w:val="80"/>
          <w:w w:val="150"/>
          <w:sz w:val="24"/>
        </w:rPr>
        <w:t> </w:t>
      </w:r>
      <w:r>
        <w:rPr>
          <w:sz w:val="24"/>
        </w:rPr>
        <w:t>(COVID-19)</w:t>
      </w:r>
      <w:r>
        <w:rPr>
          <w:spacing w:val="80"/>
          <w:sz w:val="24"/>
        </w:rPr>
        <w:t> </w:t>
      </w:r>
      <w:r>
        <w:rPr>
          <w:sz w:val="24"/>
        </w:rPr>
        <w:t>в</w:t>
      </w:r>
      <w:r>
        <w:rPr>
          <w:spacing w:val="80"/>
          <w:sz w:val="24"/>
        </w:rPr>
        <w:t> </w:t>
      </w:r>
      <w:r>
        <w:rPr>
          <w:sz w:val="24"/>
        </w:rPr>
        <w:t>территориальные</w:t>
      </w:r>
      <w:r>
        <w:rPr>
          <w:spacing w:val="80"/>
          <w:sz w:val="24"/>
        </w:rPr>
        <w:t> </w:t>
      </w:r>
      <w:r>
        <w:rPr>
          <w:sz w:val="24"/>
        </w:rPr>
        <w:t>органы</w:t>
      </w:r>
      <w:r>
        <w:rPr>
          <w:spacing w:val="80"/>
          <w:sz w:val="24"/>
        </w:rPr>
        <w:t> </w:t>
      </w:r>
      <w:r>
        <w:rPr>
          <w:sz w:val="24"/>
        </w:rPr>
        <w:t>Федеральной</w:t>
      </w:r>
      <w:r>
        <w:rPr>
          <w:spacing w:val="80"/>
          <w:w w:val="150"/>
          <w:sz w:val="24"/>
        </w:rPr>
        <w:t> </w:t>
      </w:r>
      <w:r>
        <w:rPr>
          <w:sz w:val="24"/>
        </w:rPr>
        <w:t>службы</w:t>
      </w:r>
      <w:r>
        <w:rPr>
          <w:spacing w:val="40"/>
          <w:sz w:val="24"/>
        </w:rPr>
        <w:t> </w:t>
      </w:r>
      <w:r>
        <w:rPr>
          <w:sz w:val="24"/>
        </w:rPr>
        <w:t>по надзору в сфере защиты прав потребителей и благополучия человека;</w:t>
      </w:r>
    </w:p>
    <w:p>
      <w:pPr>
        <w:pStyle w:val="ListParagraph"/>
        <w:numPr>
          <w:ilvl w:val="0"/>
          <w:numId w:val="64"/>
        </w:numPr>
        <w:tabs>
          <w:tab w:pos="2268" w:val="left" w:leader="none"/>
        </w:tabs>
        <w:spacing w:line="273" w:lineRule="auto" w:before="4" w:after="0"/>
        <w:ind w:left="2268" w:right="1272" w:hanging="427"/>
        <w:jc w:val="both"/>
        <w:rPr>
          <w:sz w:val="24"/>
        </w:rPr>
      </w:pPr>
      <w:r>
        <w:rPr>
          <w:sz w:val="24"/>
        </w:rPr>
        <w:t>Организует</w:t>
      </w:r>
      <w:r>
        <w:rPr>
          <w:spacing w:val="40"/>
          <w:sz w:val="24"/>
        </w:rPr>
        <w:t> </w:t>
      </w:r>
      <w:r>
        <w:rPr>
          <w:sz w:val="24"/>
        </w:rPr>
        <w:t>осмотр</w:t>
      </w:r>
      <w:r>
        <w:rPr>
          <w:spacing w:val="40"/>
          <w:sz w:val="24"/>
        </w:rPr>
        <w:t> </w:t>
      </w:r>
      <w:r>
        <w:rPr>
          <w:sz w:val="24"/>
        </w:rPr>
        <w:t>работников</w:t>
      </w:r>
      <w:r>
        <w:rPr>
          <w:spacing w:val="40"/>
          <w:sz w:val="24"/>
        </w:rPr>
        <w:t> </w:t>
      </w:r>
      <w:r>
        <w:rPr>
          <w:sz w:val="24"/>
        </w:rPr>
        <w:t>медицинской</w:t>
      </w:r>
      <w:r>
        <w:rPr>
          <w:spacing w:val="40"/>
          <w:sz w:val="24"/>
        </w:rPr>
        <w:t> </w:t>
      </w:r>
      <w:r>
        <w:rPr>
          <w:sz w:val="24"/>
        </w:rPr>
        <w:t>организации,</w:t>
      </w:r>
      <w:r>
        <w:rPr>
          <w:spacing w:val="40"/>
          <w:sz w:val="24"/>
        </w:rPr>
        <w:t> </w:t>
      </w:r>
      <w:r>
        <w:rPr>
          <w:sz w:val="24"/>
        </w:rPr>
        <w:t>контактировавших</w:t>
      </w:r>
      <w:r>
        <w:rPr>
          <w:spacing w:val="40"/>
          <w:sz w:val="24"/>
        </w:rPr>
        <w:t> </w:t>
      </w:r>
      <w:r>
        <w:rPr>
          <w:sz w:val="24"/>
        </w:rPr>
        <w:t>с</w:t>
      </w:r>
      <w:r>
        <w:rPr>
          <w:spacing w:val="-4"/>
          <w:sz w:val="24"/>
        </w:rPr>
        <w:t> </w:t>
      </w:r>
      <w:r>
        <w:rPr>
          <w:sz w:val="24"/>
        </w:rPr>
        <w:t>заболевшим пациентом, и в случае выявления симптомов ОРВИ производит забор у них биоматериала (мазки из носо- и ротоглотки) для лабораторного исследования на наличие COVID-19;</w:t>
      </w:r>
    </w:p>
    <w:p>
      <w:pPr>
        <w:pStyle w:val="ListParagraph"/>
        <w:numPr>
          <w:ilvl w:val="0"/>
          <w:numId w:val="64"/>
        </w:numPr>
        <w:tabs>
          <w:tab w:pos="2268" w:val="left" w:leader="none"/>
        </w:tabs>
        <w:spacing w:line="271" w:lineRule="auto" w:before="7" w:after="0"/>
        <w:ind w:left="2268" w:right="1282" w:hanging="427"/>
        <w:jc w:val="both"/>
        <w:rPr>
          <w:sz w:val="24"/>
        </w:rPr>
      </w:pPr>
      <w:r>
        <w:rPr>
          <w:sz w:val="24"/>
        </w:rPr>
        <w:t>Принимает решение о необходимости проведения очного приема врача (фельдшера) (осмотра, консультации);</w:t>
      </w:r>
    </w:p>
    <w:p>
      <w:pPr>
        <w:pStyle w:val="ListParagraph"/>
        <w:numPr>
          <w:ilvl w:val="0"/>
          <w:numId w:val="64"/>
        </w:numPr>
        <w:tabs>
          <w:tab w:pos="2268" w:val="left" w:leader="none"/>
        </w:tabs>
        <w:spacing w:line="273" w:lineRule="auto" w:before="6" w:after="0"/>
        <w:ind w:left="2268" w:right="1272" w:hanging="427"/>
        <w:jc w:val="both"/>
        <w:rPr>
          <w:sz w:val="24"/>
        </w:rPr>
      </w:pPr>
      <w:r>
        <w:rPr>
          <w:sz w:val="24"/>
        </w:rPr>
        <w:t>В случае отсутствия необходимости очного приема врача (фельдшера) (при отсутствии симптомов или легком течении новой коронавирусной инфекции COVID-19) дистанционно формирует листок нетрудоспособности в форме электронного документа сроком не менее чем на 7 календарных дней;</w:t>
      </w:r>
    </w:p>
    <w:p>
      <w:pPr>
        <w:pStyle w:val="ListParagraph"/>
        <w:numPr>
          <w:ilvl w:val="0"/>
          <w:numId w:val="64"/>
        </w:numPr>
        <w:tabs>
          <w:tab w:pos="2268" w:val="left" w:leader="none"/>
        </w:tabs>
        <w:spacing w:line="271" w:lineRule="auto" w:before="8" w:after="0"/>
        <w:ind w:left="2268" w:right="1274" w:hanging="427"/>
        <w:jc w:val="both"/>
        <w:rPr>
          <w:sz w:val="24"/>
        </w:rPr>
      </w:pPr>
      <w:r>
        <w:rPr>
          <w:sz w:val="24"/>
        </w:rPr>
        <w:t>Осуществляет опрос пациента с целью уточнения его состояния: сбор и анализ жалоб пациента, данных анамнеза;</w:t>
      </w:r>
    </w:p>
    <w:p>
      <w:pPr>
        <w:pStyle w:val="ListParagraph"/>
        <w:spacing w:after="0" w:line="271" w:lineRule="auto"/>
        <w:jc w:val="both"/>
        <w:rPr>
          <w:sz w:val="24"/>
        </w:rPr>
        <w:sectPr>
          <w:pgSz w:w="11900" w:h="16840"/>
          <w:pgMar w:header="0" w:footer="697" w:top="1080" w:bottom="880" w:left="0" w:right="0"/>
        </w:sectPr>
      </w:pPr>
    </w:p>
    <w:p>
      <w:pPr>
        <w:pStyle w:val="ListParagraph"/>
        <w:numPr>
          <w:ilvl w:val="0"/>
          <w:numId w:val="64"/>
        </w:numPr>
        <w:tabs>
          <w:tab w:pos="2268" w:val="left" w:leader="none"/>
        </w:tabs>
        <w:spacing w:line="273" w:lineRule="auto" w:before="75" w:after="0"/>
        <w:ind w:left="2268" w:right="1280" w:hanging="427"/>
        <w:jc w:val="both"/>
        <w:rPr>
          <w:sz w:val="24"/>
        </w:rPr>
      </w:pPr>
      <w:bookmarkStart w:name="138" w:id="165"/>
      <w:bookmarkEnd w:id="165"/>
      <w:r>
        <w:rPr/>
      </w:r>
      <w:r>
        <w:rPr>
          <w:sz w:val="24"/>
        </w:rPr>
        <w:t>Осуществляет информирование медицинского работника, направляемого для оказания</w:t>
      </w:r>
      <w:r>
        <w:rPr>
          <w:spacing w:val="40"/>
          <w:sz w:val="24"/>
        </w:rPr>
        <w:t> </w:t>
      </w:r>
      <w:r>
        <w:rPr>
          <w:sz w:val="24"/>
        </w:rPr>
        <w:t>медицинской</w:t>
      </w:r>
      <w:r>
        <w:rPr>
          <w:spacing w:val="40"/>
          <w:sz w:val="24"/>
        </w:rPr>
        <w:t> </w:t>
      </w:r>
      <w:r>
        <w:rPr>
          <w:sz w:val="24"/>
        </w:rPr>
        <w:t>помощи</w:t>
      </w:r>
      <w:r>
        <w:rPr>
          <w:spacing w:val="40"/>
          <w:sz w:val="24"/>
        </w:rPr>
        <w:t> </w:t>
      </w:r>
      <w:r>
        <w:rPr>
          <w:sz w:val="24"/>
        </w:rPr>
        <w:t>пациенту,</w:t>
      </w:r>
      <w:r>
        <w:rPr>
          <w:spacing w:val="40"/>
          <w:sz w:val="24"/>
        </w:rPr>
        <w:t> </w:t>
      </w:r>
      <w:r>
        <w:rPr>
          <w:sz w:val="24"/>
        </w:rPr>
        <w:t>о</w:t>
      </w:r>
      <w:r>
        <w:rPr>
          <w:spacing w:val="40"/>
          <w:sz w:val="24"/>
        </w:rPr>
        <w:t> </w:t>
      </w:r>
      <w:r>
        <w:rPr>
          <w:sz w:val="24"/>
        </w:rPr>
        <w:t>положительном</w:t>
      </w:r>
      <w:r>
        <w:rPr>
          <w:spacing w:val="40"/>
          <w:sz w:val="24"/>
        </w:rPr>
        <w:t> </w:t>
      </w:r>
      <w:r>
        <w:rPr>
          <w:sz w:val="24"/>
        </w:rPr>
        <w:t>результате</w:t>
      </w:r>
      <w:r>
        <w:rPr>
          <w:spacing w:val="40"/>
          <w:sz w:val="24"/>
        </w:rPr>
        <w:t> </w:t>
      </w:r>
      <w:r>
        <w:rPr>
          <w:sz w:val="24"/>
        </w:rPr>
        <w:t>теста на COVID-19;</w:t>
      </w:r>
    </w:p>
    <w:p>
      <w:pPr>
        <w:pStyle w:val="ListParagraph"/>
        <w:numPr>
          <w:ilvl w:val="0"/>
          <w:numId w:val="64"/>
        </w:numPr>
        <w:tabs>
          <w:tab w:pos="2268" w:val="left" w:leader="none"/>
        </w:tabs>
        <w:spacing w:line="276" w:lineRule="auto" w:before="4" w:after="0"/>
        <w:ind w:left="2268" w:right="1277" w:hanging="427"/>
        <w:jc w:val="both"/>
        <w:rPr>
          <w:sz w:val="24"/>
        </w:rPr>
      </w:pPr>
      <w:r>
        <w:rPr>
          <w:sz w:val="24"/>
        </w:rPr>
        <w:t>Осуществляет</w:t>
      </w:r>
      <w:r>
        <w:rPr>
          <w:spacing w:val="78"/>
          <w:sz w:val="24"/>
        </w:rPr>
        <w:t> </w:t>
      </w:r>
      <w:r>
        <w:rPr>
          <w:sz w:val="24"/>
        </w:rPr>
        <w:t>предоставление</w:t>
      </w:r>
      <w:r>
        <w:rPr>
          <w:spacing w:val="77"/>
          <w:sz w:val="24"/>
        </w:rPr>
        <w:t> </w:t>
      </w:r>
      <w:r>
        <w:rPr>
          <w:sz w:val="24"/>
        </w:rPr>
        <w:t>информации</w:t>
      </w:r>
      <w:r>
        <w:rPr>
          <w:spacing w:val="76"/>
          <w:sz w:val="24"/>
        </w:rPr>
        <w:t> </w:t>
      </w:r>
      <w:r>
        <w:rPr>
          <w:sz w:val="24"/>
        </w:rPr>
        <w:t>о</w:t>
      </w:r>
      <w:r>
        <w:rPr>
          <w:spacing w:val="78"/>
          <w:sz w:val="24"/>
        </w:rPr>
        <w:t> </w:t>
      </w:r>
      <w:r>
        <w:rPr>
          <w:sz w:val="24"/>
        </w:rPr>
        <w:t>пациенте</w:t>
      </w:r>
      <w:r>
        <w:rPr>
          <w:spacing w:val="77"/>
          <w:sz w:val="24"/>
        </w:rPr>
        <w:t> </w:t>
      </w:r>
      <w:r>
        <w:rPr>
          <w:sz w:val="24"/>
        </w:rPr>
        <w:t>и</w:t>
      </w:r>
      <w:r>
        <w:rPr>
          <w:spacing w:val="76"/>
          <w:sz w:val="24"/>
        </w:rPr>
        <w:t> </w:t>
      </w:r>
      <w:r>
        <w:rPr>
          <w:sz w:val="24"/>
        </w:rPr>
        <w:t>контактировавших с</w:t>
      </w:r>
      <w:r>
        <w:rPr>
          <w:spacing w:val="32"/>
          <w:sz w:val="24"/>
        </w:rPr>
        <w:t> </w:t>
      </w:r>
      <w:r>
        <w:rPr>
          <w:sz w:val="24"/>
        </w:rPr>
        <w:t>ним</w:t>
      </w:r>
      <w:r>
        <w:rPr>
          <w:spacing w:val="32"/>
          <w:sz w:val="24"/>
        </w:rPr>
        <w:t> </w:t>
      </w:r>
      <w:r>
        <w:rPr>
          <w:sz w:val="24"/>
        </w:rPr>
        <w:t>лицах</w:t>
      </w:r>
      <w:r>
        <w:rPr>
          <w:spacing w:val="33"/>
          <w:sz w:val="24"/>
        </w:rPr>
        <w:t> </w:t>
      </w:r>
      <w:r>
        <w:rPr>
          <w:sz w:val="24"/>
        </w:rPr>
        <w:t>(со</w:t>
      </w:r>
      <w:r>
        <w:rPr>
          <w:spacing w:val="33"/>
          <w:sz w:val="24"/>
        </w:rPr>
        <w:t> </w:t>
      </w:r>
      <w:r>
        <w:rPr>
          <w:sz w:val="24"/>
        </w:rPr>
        <w:t>слов</w:t>
      </w:r>
      <w:r>
        <w:rPr>
          <w:spacing w:val="32"/>
          <w:sz w:val="24"/>
        </w:rPr>
        <w:t> </w:t>
      </w:r>
      <w:r>
        <w:rPr>
          <w:sz w:val="24"/>
        </w:rPr>
        <w:t>пациента)</w:t>
      </w:r>
      <w:r>
        <w:rPr>
          <w:spacing w:val="32"/>
          <w:sz w:val="24"/>
        </w:rPr>
        <w:t> </w:t>
      </w:r>
      <w:r>
        <w:rPr>
          <w:sz w:val="24"/>
        </w:rPr>
        <w:t>в</w:t>
      </w:r>
      <w:r>
        <w:rPr>
          <w:spacing w:val="32"/>
          <w:sz w:val="24"/>
        </w:rPr>
        <w:t> </w:t>
      </w:r>
      <w:r>
        <w:rPr>
          <w:sz w:val="24"/>
        </w:rPr>
        <w:t>информационный</w:t>
      </w:r>
      <w:r>
        <w:rPr>
          <w:spacing w:val="33"/>
          <w:sz w:val="24"/>
        </w:rPr>
        <w:t> </w:t>
      </w:r>
      <w:r>
        <w:rPr>
          <w:sz w:val="24"/>
        </w:rPr>
        <w:t>ресурс</w:t>
      </w:r>
      <w:r>
        <w:rPr>
          <w:spacing w:val="32"/>
          <w:sz w:val="24"/>
        </w:rPr>
        <w:t> </w:t>
      </w:r>
      <w:r>
        <w:rPr>
          <w:sz w:val="24"/>
        </w:rPr>
        <w:t>учета</w:t>
      </w:r>
      <w:r>
        <w:rPr>
          <w:spacing w:val="32"/>
          <w:sz w:val="24"/>
        </w:rPr>
        <w:t> </w:t>
      </w:r>
      <w:r>
        <w:rPr>
          <w:sz w:val="24"/>
        </w:rPr>
        <w:t>информации в целях предотвращения распространения новой коронавирусной инфекции (COVID-19)</w:t>
      </w:r>
      <w:r>
        <w:rPr>
          <w:spacing w:val="79"/>
          <w:w w:val="150"/>
          <w:sz w:val="24"/>
        </w:rPr>
        <w:t> </w:t>
      </w:r>
      <w:r>
        <w:rPr>
          <w:sz w:val="24"/>
        </w:rPr>
        <w:t>в</w:t>
      </w:r>
      <w:r>
        <w:rPr>
          <w:spacing w:val="79"/>
          <w:w w:val="150"/>
          <w:sz w:val="24"/>
        </w:rPr>
        <w:t> </w:t>
      </w:r>
      <w:r>
        <w:rPr>
          <w:sz w:val="24"/>
        </w:rPr>
        <w:t>соответствии</w:t>
      </w:r>
      <w:r>
        <w:rPr>
          <w:spacing w:val="80"/>
          <w:w w:val="150"/>
          <w:sz w:val="24"/>
        </w:rPr>
        <w:t> </w:t>
      </w:r>
      <w:r>
        <w:rPr>
          <w:sz w:val="24"/>
        </w:rPr>
        <w:t>с</w:t>
      </w:r>
      <w:r>
        <w:rPr>
          <w:spacing w:val="79"/>
          <w:w w:val="150"/>
          <w:sz w:val="24"/>
        </w:rPr>
        <w:t> </w:t>
      </w:r>
      <w:r>
        <w:rPr>
          <w:sz w:val="24"/>
        </w:rPr>
        <w:t>Временными</w:t>
      </w:r>
      <w:r>
        <w:rPr>
          <w:spacing w:val="80"/>
          <w:w w:val="150"/>
          <w:sz w:val="24"/>
        </w:rPr>
        <w:t> </w:t>
      </w:r>
      <w:r>
        <w:rPr>
          <w:sz w:val="24"/>
        </w:rPr>
        <w:t>правилами</w:t>
      </w:r>
      <w:r>
        <w:rPr>
          <w:spacing w:val="80"/>
          <w:w w:val="150"/>
          <w:sz w:val="24"/>
        </w:rPr>
        <w:t> </w:t>
      </w:r>
      <w:r>
        <w:rPr>
          <w:sz w:val="24"/>
        </w:rPr>
        <w:t>учета</w:t>
      </w:r>
      <w:r>
        <w:rPr>
          <w:spacing w:val="80"/>
          <w:w w:val="150"/>
          <w:sz w:val="24"/>
        </w:rPr>
        <w:t> </w:t>
      </w:r>
      <w:r>
        <w:rPr>
          <w:sz w:val="24"/>
        </w:rPr>
        <w:t>информации в целях предотвращения распространения новой коронавирусной инфекции (COVID-19), утвержденными постановлением Правительства Российской Федерации от 31 марта 2020 г. N 373.</w:t>
      </w:r>
    </w:p>
    <w:p>
      <w:pPr>
        <w:pStyle w:val="BodyText"/>
        <w:spacing w:before="48"/>
        <w:ind w:left="0"/>
        <w:jc w:val="left"/>
      </w:pPr>
    </w:p>
    <w:p>
      <w:pPr>
        <w:pStyle w:val="BodyText"/>
        <w:spacing w:line="276" w:lineRule="auto"/>
        <w:ind w:left="1851" w:right="1281" w:firstLine="697"/>
      </w:pPr>
      <w:r>
        <w:rPr/>
        <w:t>Медицинские работники, оказывающие медицинскую помощь на дому пациентам с положительным результатом теста на COVID-19, обязаны:</w:t>
      </w:r>
    </w:p>
    <w:p>
      <w:pPr>
        <w:pStyle w:val="BodyText"/>
        <w:spacing w:before="43"/>
        <w:ind w:left="0"/>
        <w:jc w:val="left"/>
      </w:pPr>
    </w:p>
    <w:p>
      <w:pPr>
        <w:pStyle w:val="ListParagraph"/>
        <w:numPr>
          <w:ilvl w:val="0"/>
          <w:numId w:val="63"/>
        </w:numPr>
        <w:tabs>
          <w:tab w:pos="2268" w:val="left" w:leader="none"/>
        </w:tabs>
        <w:spacing w:line="268" w:lineRule="auto" w:before="0" w:after="0"/>
        <w:ind w:left="2268" w:right="1278" w:hanging="360"/>
        <w:jc w:val="both"/>
        <w:rPr>
          <w:sz w:val="24"/>
        </w:rPr>
      </w:pPr>
      <w:r>
        <w:rPr>
          <w:sz w:val="24"/>
        </w:rPr>
        <w:t>Использовать СИЗ (очки, одноразовые перчатки, респиратор соответствующего класса защиты, противочумный костюм 1-го типа или одноразовый халат, </w:t>
      </w:r>
      <w:r>
        <w:rPr>
          <w:spacing w:val="-2"/>
          <w:sz w:val="24"/>
        </w:rPr>
        <w:t>бахилы);</w:t>
      </w:r>
    </w:p>
    <w:p>
      <w:pPr>
        <w:pStyle w:val="ListParagraph"/>
        <w:numPr>
          <w:ilvl w:val="0"/>
          <w:numId w:val="63"/>
        </w:numPr>
        <w:tabs>
          <w:tab w:pos="2268" w:val="left" w:leader="none"/>
        </w:tabs>
        <w:spacing w:line="264" w:lineRule="auto" w:before="9" w:after="0"/>
        <w:ind w:left="2268" w:right="1280" w:hanging="360"/>
        <w:jc w:val="both"/>
        <w:rPr>
          <w:sz w:val="24"/>
        </w:rPr>
      </w:pPr>
      <w:r>
        <w:rPr>
          <w:sz w:val="24"/>
        </w:rPr>
        <w:t>Иметь</w:t>
      </w:r>
      <w:r>
        <w:rPr>
          <w:spacing w:val="36"/>
          <w:sz w:val="24"/>
        </w:rPr>
        <w:t> </w:t>
      </w:r>
      <w:r>
        <w:rPr>
          <w:sz w:val="24"/>
        </w:rPr>
        <w:t>запас</w:t>
      </w:r>
      <w:r>
        <w:rPr>
          <w:spacing w:val="34"/>
          <w:sz w:val="24"/>
        </w:rPr>
        <w:t> </w:t>
      </w:r>
      <w:r>
        <w:rPr>
          <w:sz w:val="24"/>
        </w:rPr>
        <w:t>медицинских</w:t>
      </w:r>
      <w:r>
        <w:rPr>
          <w:spacing w:val="35"/>
          <w:sz w:val="24"/>
        </w:rPr>
        <w:t> </w:t>
      </w:r>
      <w:r>
        <w:rPr>
          <w:sz w:val="24"/>
        </w:rPr>
        <w:t>масок</w:t>
      </w:r>
      <w:r>
        <w:rPr>
          <w:spacing w:val="36"/>
          <w:sz w:val="24"/>
        </w:rPr>
        <w:t> </w:t>
      </w:r>
      <w:r>
        <w:rPr>
          <w:sz w:val="24"/>
        </w:rPr>
        <w:t>в</w:t>
      </w:r>
      <w:r>
        <w:rPr>
          <w:spacing w:val="32"/>
          <w:sz w:val="24"/>
        </w:rPr>
        <w:t> </w:t>
      </w:r>
      <w:r>
        <w:rPr>
          <w:sz w:val="24"/>
        </w:rPr>
        <w:t>количестве</w:t>
      </w:r>
      <w:r>
        <w:rPr>
          <w:spacing w:val="34"/>
          <w:sz w:val="24"/>
        </w:rPr>
        <w:t> </w:t>
      </w:r>
      <w:r>
        <w:rPr>
          <w:sz w:val="24"/>
        </w:rPr>
        <w:t>не</w:t>
      </w:r>
      <w:r>
        <w:rPr>
          <w:spacing w:val="34"/>
          <w:sz w:val="24"/>
        </w:rPr>
        <w:t> </w:t>
      </w:r>
      <w:r>
        <w:rPr>
          <w:sz w:val="24"/>
        </w:rPr>
        <w:t>менее</w:t>
      </w:r>
      <w:r>
        <w:rPr>
          <w:spacing w:val="34"/>
          <w:sz w:val="24"/>
        </w:rPr>
        <w:t> </w:t>
      </w:r>
      <w:r>
        <w:rPr>
          <w:sz w:val="24"/>
        </w:rPr>
        <w:t>20</w:t>
      </w:r>
      <w:r>
        <w:rPr>
          <w:spacing w:val="35"/>
          <w:sz w:val="24"/>
        </w:rPr>
        <w:t> </w:t>
      </w:r>
      <w:r>
        <w:rPr>
          <w:sz w:val="24"/>
        </w:rPr>
        <w:t>штук</w:t>
      </w:r>
      <w:r>
        <w:rPr>
          <w:spacing w:val="34"/>
          <w:sz w:val="24"/>
        </w:rPr>
        <w:t> </w:t>
      </w:r>
      <w:r>
        <w:rPr>
          <w:sz w:val="24"/>
        </w:rPr>
        <w:t>и</w:t>
      </w:r>
      <w:r>
        <w:rPr>
          <w:spacing w:val="33"/>
          <w:sz w:val="24"/>
        </w:rPr>
        <w:t> </w:t>
      </w:r>
      <w:r>
        <w:rPr>
          <w:sz w:val="24"/>
        </w:rPr>
        <w:t>предлагать их пациенту, прежде чем приступить к опросу и осмотру;</w:t>
      </w:r>
    </w:p>
    <w:p>
      <w:pPr>
        <w:pStyle w:val="ListParagraph"/>
        <w:numPr>
          <w:ilvl w:val="0"/>
          <w:numId w:val="63"/>
        </w:numPr>
        <w:tabs>
          <w:tab w:pos="2268" w:val="left" w:leader="none"/>
        </w:tabs>
        <w:spacing w:line="264" w:lineRule="auto" w:before="13" w:after="0"/>
        <w:ind w:left="2268" w:right="1277" w:hanging="360"/>
        <w:jc w:val="both"/>
        <w:rPr>
          <w:sz w:val="24"/>
        </w:rPr>
      </w:pPr>
      <w:r>
        <w:rPr>
          <w:sz w:val="24"/>
        </w:rPr>
        <w:t>Рекомендовать пациенту во время осмотра и опроса медицинским работником находиться в медицинской маске;</w:t>
      </w:r>
    </w:p>
    <w:p>
      <w:pPr>
        <w:pStyle w:val="ListParagraph"/>
        <w:numPr>
          <w:ilvl w:val="0"/>
          <w:numId w:val="63"/>
        </w:numPr>
        <w:tabs>
          <w:tab w:pos="2268" w:val="left" w:leader="none"/>
        </w:tabs>
        <w:spacing w:line="240" w:lineRule="auto" w:before="14" w:after="0"/>
        <w:ind w:left="2268" w:right="0" w:hanging="359"/>
        <w:jc w:val="both"/>
        <w:rPr>
          <w:sz w:val="24"/>
        </w:rPr>
      </w:pPr>
      <w:r>
        <w:rPr>
          <w:sz w:val="24"/>
        </w:rPr>
        <w:t>Обрабатывать</w:t>
      </w:r>
      <w:r>
        <w:rPr>
          <w:spacing w:val="-14"/>
          <w:sz w:val="24"/>
        </w:rPr>
        <w:t> </w:t>
      </w:r>
      <w:r>
        <w:rPr>
          <w:sz w:val="24"/>
        </w:rPr>
        <w:t>руки</w:t>
      </w:r>
      <w:r>
        <w:rPr>
          <w:spacing w:val="-13"/>
          <w:sz w:val="24"/>
        </w:rPr>
        <w:t> </w:t>
      </w:r>
      <w:r>
        <w:rPr>
          <w:sz w:val="24"/>
        </w:rPr>
        <w:t>в</w:t>
      </w:r>
      <w:r>
        <w:rPr>
          <w:spacing w:val="-15"/>
          <w:sz w:val="24"/>
        </w:rPr>
        <w:t> </w:t>
      </w:r>
      <w:r>
        <w:rPr>
          <w:sz w:val="24"/>
        </w:rPr>
        <w:t>перчатках</w:t>
      </w:r>
      <w:r>
        <w:rPr>
          <w:spacing w:val="-15"/>
          <w:sz w:val="24"/>
        </w:rPr>
        <w:t> </w:t>
      </w:r>
      <w:r>
        <w:rPr>
          <w:sz w:val="24"/>
        </w:rPr>
        <w:t>дезинфицирующим</w:t>
      </w:r>
      <w:r>
        <w:rPr>
          <w:spacing w:val="-14"/>
          <w:sz w:val="24"/>
        </w:rPr>
        <w:t> </w:t>
      </w:r>
      <w:r>
        <w:rPr>
          <w:spacing w:val="-2"/>
          <w:sz w:val="24"/>
        </w:rPr>
        <w:t>средством;</w:t>
      </w:r>
    </w:p>
    <w:p>
      <w:pPr>
        <w:pStyle w:val="ListParagraph"/>
        <w:numPr>
          <w:ilvl w:val="0"/>
          <w:numId w:val="63"/>
        </w:numPr>
        <w:tabs>
          <w:tab w:pos="2268" w:val="left" w:leader="none"/>
        </w:tabs>
        <w:spacing w:line="240" w:lineRule="auto" w:before="33" w:after="0"/>
        <w:ind w:left="2268" w:right="0" w:hanging="359"/>
        <w:jc w:val="both"/>
        <w:rPr>
          <w:sz w:val="24"/>
        </w:rPr>
      </w:pPr>
      <w:r>
        <w:rPr>
          <w:sz w:val="24"/>
        </w:rPr>
        <w:t>Находясь</w:t>
      </w:r>
      <w:r>
        <w:rPr>
          <w:spacing w:val="-9"/>
          <w:sz w:val="24"/>
        </w:rPr>
        <w:t> </w:t>
      </w:r>
      <w:r>
        <w:rPr>
          <w:sz w:val="24"/>
        </w:rPr>
        <w:t>в</w:t>
      </w:r>
      <w:r>
        <w:rPr>
          <w:spacing w:val="-10"/>
          <w:sz w:val="24"/>
        </w:rPr>
        <w:t> </w:t>
      </w:r>
      <w:r>
        <w:rPr>
          <w:sz w:val="24"/>
        </w:rPr>
        <w:t>квартире</w:t>
      </w:r>
      <w:r>
        <w:rPr>
          <w:spacing w:val="-10"/>
          <w:sz w:val="24"/>
        </w:rPr>
        <w:t> </w:t>
      </w:r>
      <w:r>
        <w:rPr>
          <w:sz w:val="24"/>
        </w:rPr>
        <w:t>пациента</w:t>
      </w:r>
      <w:r>
        <w:rPr>
          <w:spacing w:val="-10"/>
          <w:sz w:val="24"/>
        </w:rPr>
        <w:t> </w:t>
      </w:r>
      <w:r>
        <w:rPr>
          <w:sz w:val="24"/>
        </w:rPr>
        <w:t>не</w:t>
      </w:r>
      <w:r>
        <w:rPr>
          <w:spacing w:val="-9"/>
          <w:sz w:val="24"/>
        </w:rPr>
        <w:t> </w:t>
      </w:r>
      <w:r>
        <w:rPr>
          <w:sz w:val="24"/>
        </w:rPr>
        <w:t>снимать</w:t>
      </w:r>
      <w:r>
        <w:rPr>
          <w:spacing w:val="-9"/>
          <w:sz w:val="24"/>
        </w:rPr>
        <w:t> </w:t>
      </w:r>
      <w:r>
        <w:rPr>
          <w:spacing w:val="-4"/>
          <w:sz w:val="24"/>
        </w:rPr>
        <w:t>СИЗ;</w:t>
      </w:r>
    </w:p>
    <w:p>
      <w:pPr>
        <w:pStyle w:val="ListParagraph"/>
        <w:numPr>
          <w:ilvl w:val="0"/>
          <w:numId w:val="63"/>
        </w:numPr>
        <w:tabs>
          <w:tab w:pos="2268" w:val="left" w:leader="none"/>
        </w:tabs>
        <w:spacing w:line="271" w:lineRule="auto" w:before="31" w:after="0"/>
        <w:ind w:left="2268" w:right="1278" w:hanging="360"/>
        <w:jc w:val="both"/>
        <w:rPr>
          <w:sz w:val="24"/>
        </w:rPr>
      </w:pPr>
      <w:r>
        <w:rPr>
          <w:sz w:val="24"/>
        </w:rPr>
        <w:t>После выхода из квартиры пациента снять средства индивидуальной защиты, упаковать</w:t>
      </w:r>
      <w:r>
        <w:rPr>
          <w:spacing w:val="80"/>
          <w:w w:val="150"/>
          <w:sz w:val="24"/>
        </w:rPr>
        <w:t> </w:t>
      </w:r>
      <w:r>
        <w:rPr>
          <w:sz w:val="24"/>
        </w:rPr>
        <w:t>их</w:t>
      </w:r>
      <w:r>
        <w:rPr>
          <w:spacing w:val="80"/>
          <w:sz w:val="24"/>
        </w:rPr>
        <w:t> </w:t>
      </w:r>
      <w:r>
        <w:rPr>
          <w:sz w:val="24"/>
        </w:rPr>
        <w:t>в</w:t>
      </w:r>
      <w:r>
        <w:rPr>
          <w:spacing w:val="80"/>
          <w:sz w:val="24"/>
        </w:rPr>
        <w:t> </w:t>
      </w:r>
      <w:r>
        <w:rPr>
          <w:sz w:val="24"/>
        </w:rPr>
        <w:t>пакет</w:t>
      </w:r>
      <w:r>
        <w:rPr>
          <w:spacing w:val="80"/>
          <w:w w:val="150"/>
          <w:sz w:val="24"/>
        </w:rPr>
        <w:t> </w:t>
      </w:r>
      <w:r>
        <w:rPr>
          <w:sz w:val="24"/>
        </w:rPr>
        <w:t>для</w:t>
      </w:r>
      <w:r>
        <w:rPr>
          <w:spacing w:val="80"/>
          <w:w w:val="150"/>
          <w:sz w:val="24"/>
        </w:rPr>
        <w:t> </w:t>
      </w:r>
      <w:r>
        <w:rPr>
          <w:sz w:val="24"/>
        </w:rPr>
        <w:t>медицинских</w:t>
      </w:r>
      <w:r>
        <w:rPr>
          <w:spacing w:val="80"/>
          <w:sz w:val="24"/>
        </w:rPr>
        <w:t> </w:t>
      </w:r>
      <w:r>
        <w:rPr>
          <w:sz w:val="24"/>
        </w:rPr>
        <w:t>отходов</w:t>
      </w:r>
      <w:r>
        <w:rPr>
          <w:spacing w:val="80"/>
          <w:sz w:val="24"/>
        </w:rPr>
        <w:t> </w:t>
      </w:r>
      <w:r>
        <w:rPr>
          <w:sz w:val="24"/>
        </w:rPr>
        <w:t>класса</w:t>
      </w:r>
      <w:r>
        <w:rPr>
          <w:spacing w:val="80"/>
          <w:sz w:val="24"/>
        </w:rPr>
        <w:t> </w:t>
      </w:r>
      <w:r>
        <w:rPr>
          <w:sz w:val="24"/>
        </w:rPr>
        <w:t>B</w:t>
      </w:r>
      <w:r>
        <w:rPr>
          <w:spacing w:val="80"/>
          <w:w w:val="150"/>
          <w:sz w:val="24"/>
        </w:rPr>
        <w:t> </w:t>
      </w:r>
      <w:r>
        <w:rPr>
          <w:sz w:val="24"/>
        </w:rPr>
        <w:t>и</w:t>
      </w:r>
      <w:r>
        <w:rPr>
          <w:spacing w:val="80"/>
          <w:sz w:val="24"/>
        </w:rPr>
        <w:t> </w:t>
      </w:r>
      <w:r>
        <w:rPr>
          <w:sz w:val="24"/>
        </w:rPr>
        <w:t>обеспечить их</w:t>
      </w:r>
      <w:r>
        <w:rPr>
          <w:spacing w:val="-3"/>
          <w:sz w:val="24"/>
        </w:rPr>
        <w:t> </w:t>
      </w:r>
      <w:r>
        <w:rPr>
          <w:sz w:val="24"/>
        </w:rPr>
        <w:t>дальнейшую</w:t>
      </w:r>
      <w:r>
        <w:rPr>
          <w:spacing w:val="80"/>
          <w:sz w:val="24"/>
        </w:rPr>
        <w:t>  </w:t>
      </w:r>
      <w:r>
        <w:rPr>
          <w:sz w:val="24"/>
        </w:rPr>
        <w:t>транспортировку</w:t>
      </w:r>
      <w:r>
        <w:rPr>
          <w:spacing w:val="80"/>
          <w:sz w:val="24"/>
        </w:rPr>
        <w:t>  </w:t>
      </w:r>
      <w:r>
        <w:rPr>
          <w:sz w:val="24"/>
        </w:rPr>
        <w:t>для</w:t>
      </w:r>
      <w:r>
        <w:rPr>
          <w:spacing w:val="80"/>
          <w:sz w:val="24"/>
        </w:rPr>
        <w:t>  </w:t>
      </w:r>
      <w:r>
        <w:rPr>
          <w:sz w:val="24"/>
        </w:rPr>
        <w:t>обезвреживания</w:t>
      </w:r>
      <w:r>
        <w:rPr>
          <w:spacing w:val="80"/>
          <w:sz w:val="24"/>
        </w:rPr>
        <w:t>  </w:t>
      </w:r>
      <w:r>
        <w:rPr>
          <w:sz w:val="24"/>
        </w:rPr>
        <w:t>в</w:t>
      </w:r>
      <w:r>
        <w:rPr>
          <w:spacing w:val="80"/>
          <w:sz w:val="24"/>
        </w:rPr>
        <w:t>  </w:t>
      </w:r>
      <w:r>
        <w:rPr>
          <w:sz w:val="24"/>
        </w:rPr>
        <w:t>соответствии с требованиями;</w:t>
      </w:r>
    </w:p>
    <w:p>
      <w:pPr>
        <w:pStyle w:val="BodyText"/>
        <w:spacing w:before="61"/>
        <w:ind w:left="0"/>
        <w:jc w:val="left"/>
      </w:pPr>
    </w:p>
    <w:p>
      <w:pPr>
        <w:pStyle w:val="BodyText"/>
        <w:spacing w:line="276" w:lineRule="auto"/>
        <w:ind w:left="1851" w:right="1273" w:firstLine="697"/>
      </w:pPr>
      <w:r>
        <w:rPr/>
        <w:t>Медицинская помощь взрослым пациентам с положительным результатом теста на COVID-19 может оказываться на дому в случае отсутствия клинических проявлений заболевания или легком течении заболевания. Допускается оказание медицинской помощи на дому взрослым пациентам со среднетяжелым течением заболевания при наличии условий:</w:t>
      </w:r>
    </w:p>
    <w:p>
      <w:pPr>
        <w:pStyle w:val="ListParagraph"/>
        <w:numPr>
          <w:ilvl w:val="0"/>
          <w:numId w:val="63"/>
        </w:numPr>
        <w:tabs>
          <w:tab w:pos="2268" w:val="left" w:leader="none"/>
        </w:tabs>
        <w:spacing w:line="264" w:lineRule="auto" w:before="0" w:after="0"/>
        <w:ind w:left="2268" w:right="1273" w:hanging="360"/>
        <w:jc w:val="both"/>
        <w:rPr>
          <w:sz w:val="24"/>
        </w:rPr>
      </w:pPr>
      <w:r>
        <w:rPr>
          <w:sz w:val="24"/>
        </w:rPr>
        <w:t>Пациент с положительным результатом теста на COVID-19 получает </w:t>
      </w:r>
      <w:r>
        <w:rPr>
          <w:spacing w:val="-2"/>
          <w:sz w:val="24"/>
        </w:rPr>
        <w:t>необходимое</w:t>
      </w:r>
      <w:r>
        <w:rPr>
          <w:spacing w:val="-3"/>
          <w:sz w:val="24"/>
        </w:rPr>
        <w:t> </w:t>
      </w:r>
      <w:r>
        <w:rPr>
          <w:spacing w:val="-2"/>
          <w:sz w:val="24"/>
        </w:rPr>
        <w:t>лечение</w:t>
      </w:r>
      <w:r>
        <w:rPr>
          <w:spacing w:val="-4"/>
          <w:sz w:val="24"/>
        </w:rPr>
        <w:t> </w:t>
      </w:r>
      <w:r>
        <w:rPr>
          <w:spacing w:val="-2"/>
          <w:sz w:val="24"/>
        </w:rPr>
        <w:t>в</w:t>
      </w:r>
      <w:r>
        <w:rPr>
          <w:spacing w:val="-3"/>
          <w:sz w:val="24"/>
        </w:rPr>
        <w:t> </w:t>
      </w:r>
      <w:r>
        <w:rPr>
          <w:spacing w:val="-2"/>
          <w:sz w:val="24"/>
        </w:rPr>
        <w:t>соответствии с</w:t>
      </w:r>
      <w:r>
        <w:rPr>
          <w:spacing w:val="-4"/>
          <w:sz w:val="24"/>
        </w:rPr>
        <w:t> </w:t>
      </w:r>
      <w:r>
        <w:rPr>
          <w:spacing w:val="-2"/>
          <w:sz w:val="24"/>
        </w:rPr>
        <w:t>данными методическими рекомендациями.</w:t>
      </w:r>
    </w:p>
    <w:p>
      <w:pPr>
        <w:pStyle w:val="ListParagraph"/>
        <w:numPr>
          <w:ilvl w:val="0"/>
          <w:numId w:val="63"/>
        </w:numPr>
        <w:tabs>
          <w:tab w:pos="2268" w:val="left" w:leader="none"/>
        </w:tabs>
        <w:spacing w:line="273" w:lineRule="auto" w:before="13" w:after="0"/>
        <w:ind w:left="2268" w:right="1271" w:hanging="360"/>
        <w:jc w:val="both"/>
        <w:rPr>
          <w:sz w:val="24"/>
        </w:rPr>
      </w:pPr>
      <w:r>
        <w:rPr>
          <w:sz w:val="24"/>
        </w:rPr>
        <w:t>Пациент</w:t>
      </w:r>
      <w:r>
        <w:rPr>
          <w:spacing w:val="77"/>
          <w:w w:val="150"/>
          <w:sz w:val="24"/>
        </w:rPr>
        <w:t>  </w:t>
      </w:r>
      <w:r>
        <w:rPr>
          <w:sz w:val="24"/>
        </w:rPr>
        <w:t>должен</w:t>
      </w:r>
      <w:r>
        <w:rPr>
          <w:spacing w:val="77"/>
          <w:w w:val="150"/>
          <w:sz w:val="24"/>
        </w:rPr>
        <w:t>  </w:t>
      </w:r>
      <w:r>
        <w:rPr>
          <w:sz w:val="24"/>
        </w:rPr>
        <w:t>быть</w:t>
      </w:r>
      <w:r>
        <w:rPr>
          <w:spacing w:val="77"/>
          <w:w w:val="150"/>
          <w:sz w:val="24"/>
        </w:rPr>
        <w:t>  </w:t>
      </w:r>
      <w:r>
        <w:rPr>
          <w:sz w:val="24"/>
        </w:rPr>
        <w:t>проинформирован</w:t>
      </w:r>
      <w:r>
        <w:rPr>
          <w:spacing w:val="77"/>
          <w:w w:val="150"/>
          <w:sz w:val="24"/>
        </w:rPr>
        <w:t>  </w:t>
      </w:r>
      <w:r>
        <w:rPr>
          <w:sz w:val="24"/>
        </w:rPr>
        <w:t>медицинским</w:t>
      </w:r>
      <w:r>
        <w:rPr>
          <w:spacing w:val="77"/>
          <w:w w:val="150"/>
          <w:sz w:val="24"/>
        </w:rPr>
        <w:t>  </w:t>
      </w:r>
      <w:r>
        <w:rPr>
          <w:sz w:val="24"/>
        </w:rPr>
        <w:t>работником о</w:t>
      </w:r>
      <w:r>
        <w:rPr>
          <w:spacing w:val="-4"/>
          <w:sz w:val="24"/>
        </w:rPr>
        <w:t> </w:t>
      </w:r>
      <w:r>
        <w:rPr>
          <w:sz w:val="24"/>
        </w:rPr>
        <w:t>необходимости вызова врача или бригады скорой медицинской помощи при ухудшении самочувствия (t тела &gt; 38,5 °C в течение 3 дней и более, появление затрудненного дыхания, одышки, SpO2 &lt; 93%), а также о возможных способах обращения за медицинской помощью.</w:t>
      </w:r>
    </w:p>
    <w:p>
      <w:pPr>
        <w:pStyle w:val="ListParagraph"/>
        <w:numPr>
          <w:ilvl w:val="0"/>
          <w:numId w:val="63"/>
        </w:numPr>
        <w:tabs>
          <w:tab w:pos="2268" w:val="left" w:leader="none"/>
        </w:tabs>
        <w:spacing w:line="268" w:lineRule="auto" w:before="0" w:after="0"/>
        <w:ind w:left="2268" w:right="1274" w:hanging="360"/>
        <w:jc w:val="both"/>
        <w:rPr>
          <w:sz w:val="24"/>
        </w:rPr>
      </w:pPr>
      <w:r>
        <w:rPr>
          <w:sz w:val="24"/>
        </w:rPr>
        <w:t>Лица, проживающие с пациентом в одном помещении, должны быть проинформированы о рисках заболевания COVID-19 и необходимости временного проживания в другом месте.</w:t>
      </w:r>
    </w:p>
    <w:p>
      <w:pPr>
        <w:pStyle w:val="ListParagraph"/>
        <w:spacing w:after="0" w:line="268" w:lineRule="auto"/>
        <w:jc w:val="both"/>
        <w:rPr>
          <w:sz w:val="24"/>
        </w:rPr>
        <w:sectPr>
          <w:pgSz w:w="11900" w:h="16840"/>
          <w:pgMar w:header="0" w:footer="697" w:top="1080" w:bottom="880" w:left="0" w:right="0"/>
        </w:sectPr>
      </w:pPr>
    </w:p>
    <w:p>
      <w:pPr>
        <w:pStyle w:val="ListParagraph"/>
        <w:numPr>
          <w:ilvl w:val="0"/>
          <w:numId w:val="63"/>
        </w:numPr>
        <w:tabs>
          <w:tab w:pos="2268" w:val="left" w:leader="none"/>
        </w:tabs>
        <w:spacing w:line="273" w:lineRule="auto" w:before="74" w:after="0"/>
        <w:ind w:left="2268" w:right="1271" w:hanging="360"/>
        <w:jc w:val="both"/>
        <w:rPr>
          <w:sz w:val="24"/>
        </w:rPr>
      </w:pPr>
      <w:bookmarkStart w:name="139" w:id="166"/>
      <w:bookmarkEnd w:id="166"/>
      <w:r>
        <w:rPr/>
      </w:r>
      <w:r>
        <w:rPr>
          <w:sz w:val="24"/>
        </w:rPr>
        <w:t>Пациент и лица, проживающие с ним, должны быть проинформированы о том, что</w:t>
      </w:r>
      <w:r>
        <w:rPr>
          <w:spacing w:val="80"/>
          <w:w w:val="150"/>
          <w:sz w:val="24"/>
        </w:rPr>
        <w:t>  </w:t>
      </w:r>
      <w:r>
        <w:rPr>
          <w:sz w:val="24"/>
        </w:rPr>
        <w:t>нарушение</w:t>
      </w:r>
      <w:r>
        <w:rPr>
          <w:spacing w:val="80"/>
          <w:w w:val="150"/>
          <w:sz w:val="24"/>
        </w:rPr>
        <w:t>  </w:t>
      </w:r>
      <w:r>
        <w:rPr>
          <w:sz w:val="24"/>
        </w:rPr>
        <w:t>санитарно-эпидемиологических</w:t>
      </w:r>
      <w:r>
        <w:rPr>
          <w:spacing w:val="80"/>
          <w:w w:val="150"/>
          <w:sz w:val="24"/>
        </w:rPr>
        <w:t>  </w:t>
      </w:r>
      <w:r>
        <w:rPr>
          <w:sz w:val="24"/>
        </w:rPr>
        <w:t>правил,</w:t>
      </w:r>
      <w:r>
        <w:rPr>
          <w:spacing w:val="80"/>
          <w:w w:val="150"/>
          <w:sz w:val="24"/>
        </w:rPr>
        <w:t>  </w:t>
      </w:r>
      <w:r>
        <w:rPr>
          <w:sz w:val="24"/>
        </w:rPr>
        <w:t>повлекшее</w:t>
      </w:r>
      <w:r>
        <w:rPr>
          <w:spacing w:val="80"/>
          <w:w w:val="150"/>
          <w:sz w:val="24"/>
        </w:rPr>
        <w:t> </w:t>
      </w:r>
      <w:r>
        <w:rPr>
          <w:sz w:val="24"/>
        </w:rPr>
        <w:t>по</w:t>
      </w:r>
      <w:r>
        <w:rPr>
          <w:spacing w:val="-6"/>
          <w:sz w:val="24"/>
        </w:rPr>
        <w:t> </w:t>
      </w:r>
      <w:r>
        <w:rPr>
          <w:sz w:val="24"/>
        </w:rPr>
        <w:t>неосторожности массовое заболевание, может быть основанием привлечения их</w:t>
      </w:r>
      <w:r>
        <w:rPr>
          <w:spacing w:val="-4"/>
          <w:sz w:val="24"/>
        </w:rPr>
        <w:t> </w:t>
      </w:r>
      <w:r>
        <w:rPr>
          <w:sz w:val="24"/>
        </w:rPr>
        <w:t>к</w:t>
      </w:r>
      <w:r>
        <w:rPr>
          <w:spacing w:val="-3"/>
          <w:sz w:val="24"/>
        </w:rPr>
        <w:t> </w:t>
      </w:r>
      <w:r>
        <w:rPr>
          <w:sz w:val="24"/>
        </w:rPr>
        <w:t>уголовной ответственности, предусмотренной статьей 236 Уголовного кодекса Российской Федерации (Собрание законодательства Российской Федерации, 1996, №25, ст. 2954; 2011, №50, ст. 7362).</w:t>
      </w:r>
    </w:p>
    <w:p>
      <w:pPr>
        <w:pStyle w:val="ListParagraph"/>
        <w:numPr>
          <w:ilvl w:val="0"/>
          <w:numId w:val="63"/>
        </w:numPr>
        <w:tabs>
          <w:tab w:pos="2268" w:val="left" w:leader="none"/>
        </w:tabs>
        <w:spacing w:line="271" w:lineRule="auto" w:before="0" w:after="0"/>
        <w:ind w:left="2268" w:right="1276" w:hanging="360"/>
        <w:jc w:val="both"/>
        <w:rPr>
          <w:sz w:val="24"/>
        </w:rPr>
      </w:pPr>
      <w:r>
        <w:rPr>
          <w:sz w:val="24"/>
        </w:rPr>
        <w:t>Пациент и лица, проживающие с ним, должны быть обеспечены информационными материалами по вопросам ухода за пациентами, больными COVID-19, и общими рекомендациями по защите от инфекций, передающихся воздушно-капельным и контактным путем.</w:t>
      </w:r>
    </w:p>
    <w:p>
      <w:pPr>
        <w:pStyle w:val="ListParagraph"/>
        <w:numPr>
          <w:ilvl w:val="0"/>
          <w:numId w:val="63"/>
        </w:numPr>
        <w:tabs>
          <w:tab w:pos="2268" w:val="left" w:leader="none"/>
        </w:tabs>
        <w:spacing w:line="271" w:lineRule="auto" w:before="7" w:after="0"/>
        <w:ind w:left="2268" w:right="1280" w:hanging="360"/>
        <w:jc w:val="both"/>
        <w:rPr>
          <w:sz w:val="24"/>
        </w:rPr>
      </w:pPr>
      <w:r>
        <w:rPr>
          <w:sz w:val="24"/>
        </w:rPr>
        <w:t>В случае принятия решения о дальнейшем оказании медицинской помощи пациенту</w:t>
      </w:r>
      <w:r>
        <w:rPr>
          <w:spacing w:val="40"/>
          <w:sz w:val="24"/>
        </w:rPr>
        <w:t>  </w:t>
      </w:r>
      <w:r>
        <w:rPr>
          <w:sz w:val="24"/>
        </w:rPr>
        <w:t>в</w:t>
      </w:r>
      <w:r>
        <w:rPr>
          <w:spacing w:val="40"/>
          <w:sz w:val="24"/>
        </w:rPr>
        <w:t>  </w:t>
      </w:r>
      <w:r>
        <w:rPr>
          <w:sz w:val="24"/>
        </w:rPr>
        <w:t>амбулаторных</w:t>
      </w:r>
      <w:r>
        <w:rPr>
          <w:spacing w:val="40"/>
          <w:sz w:val="24"/>
        </w:rPr>
        <w:t>  </w:t>
      </w:r>
      <w:r>
        <w:rPr>
          <w:sz w:val="24"/>
        </w:rPr>
        <w:t>условиях</w:t>
      </w:r>
      <w:r>
        <w:rPr>
          <w:spacing w:val="40"/>
          <w:sz w:val="24"/>
        </w:rPr>
        <w:t>  </w:t>
      </w:r>
      <w:r>
        <w:rPr>
          <w:sz w:val="24"/>
        </w:rPr>
        <w:t>(на</w:t>
      </w:r>
      <w:r>
        <w:rPr>
          <w:spacing w:val="40"/>
          <w:sz w:val="24"/>
        </w:rPr>
        <w:t>  </w:t>
      </w:r>
      <w:r>
        <w:rPr>
          <w:sz w:val="24"/>
        </w:rPr>
        <w:t>дому)</w:t>
      </w:r>
      <w:r>
        <w:rPr>
          <w:spacing w:val="40"/>
          <w:sz w:val="24"/>
        </w:rPr>
        <w:t>  </w:t>
      </w:r>
      <w:r>
        <w:rPr>
          <w:sz w:val="24"/>
        </w:rPr>
        <w:t>оформляется</w:t>
      </w:r>
      <w:r>
        <w:rPr>
          <w:spacing w:val="40"/>
          <w:sz w:val="24"/>
        </w:rPr>
        <w:t>  </w:t>
      </w:r>
      <w:r>
        <w:rPr>
          <w:sz w:val="24"/>
        </w:rPr>
        <w:t>согласие</w:t>
      </w:r>
      <w:r>
        <w:rPr>
          <w:spacing w:val="80"/>
          <w:w w:val="150"/>
          <w:sz w:val="24"/>
        </w:rPr>
        <w:t> </w:t>
      </w:r>
      <w:r>
        <w:rPr>
          <w:sz w:val="24"/>
        </w:rPr>
        <w:t>на</w:t>
      </w:r>
      <w:r>
        <w:rPr>
          <w:spacing w:val="80"/>
          <w:w w:val="150"/>
          <w:sz w:val="24"/>
        </w:rPr>
        <w:t> </w:t>
      </w:r>
      <w:r>
        <w:rPr>
          <w:sz w:val="24"/>
        </w:rPr>
        <w:t>оказание</w:t>
      </w:r>
      <w:r>
        <w:rPr>
          <w:spacing w:val="80"/>
          <w:w w:val="150"/>
          <w:sz w:val="24"/>
        </w:rPr>
        <w:t> </w:t>
      </w:r>
      <w:r>
        <w:rPr>
          <w:sz w:val="24"/>
        </w:rPr>
        <w:t>медицинской</w:t>
      </w:r>
      <w:r>
        <w:rPr>
          <w:spacing w:val="80"/>
          <w:w w:val="150"/>
          <w:sz w:val="24"/>
        </w:rPr>
        <w:t> </w:t>
      </w:r>
      <w:r>
        <w:rPr>
          <w:sz w:val="24"/>
        </w:rPr>
        <w:t>помощи</w:t>
      </w:r>
      <w:r>
        <w:rPr>
          <w:spacing w:val="80"/>
          <w:w w:val="150"/>
          <w:sz w:val="24"/>
        </w:rPr>
        <w:t> </w:t>
      </w:r>
      <w:r>
        <w:rPr>
          <w:sz w:val="24"/>
        </w:rPr>
        <w:t>в</w:t>
      </w:r>
      <w:r>
        <w:rPr>
          <w:spacing w:val="80"/>
          <w:w w:val="150"/>
          <w:sz w:val="24"/>
        </w:rPr>
        <w:t> </w:t>
      </w:r>
      <w:r>
        <w:rPr>
          <w:sz w:val="24"/>
        </w:rPr>
        <w:t>амбулаторных</w:t>
      </w:r>
      <w:r>
        <w:rPr>
          <w:spacing w:val="80"/>
          <w:w w:val="150"/>
          <w:sz w:val="24"/>
        </w:rPr>
        <w:t> </w:t>
      </w:r>
      <w:r>
        <w:rPr>
          <w:sz w:val="24"/>
        </w:rPr>
        <w:t>условиях</w:t>
      </w:r>
      <w:r>
        <w:rPr>
          <w:spacing w:val="80"/>
          <w:w w:val="150"/>
          <w:sz w:val="24"/>
        </w:rPr>
        <w:t> </w:t>
      </w:r>
      <w:r>
        <w:rPr>
          <w:sz w:val="24"/>
        </w:rPr>
        <w:t>(на</w:t>
      </w:r>
      <w:r>
        <w:rPr>
          <w:spacing w:val="80"/>
          <w:w w:val="150"/>
          <w:sz w:val="24"/>
        </w:rPr>
        <w:t> </w:t>
      </w:r>
      <w:r>
        <w:rPr>
          <w:sz w:val="24"/>
        </w:rPr>
        <w:t>дому)</w:t>
      </w:r>
      <w:r>
        <w:rPr>
          <w:spacing w:val="80"/>
          <w:sz w:val="24"/>
        </w:rPr>
        <w:t> </w:t>
      </w:r>
      <w:r>
        <w:rPr>
          <w:sz w:val="24"/>
        </w:rPr>
        <w:t>и соблюдение режима изоляции при лечении COVID-19.</w:t>
      </w:r>
    </w:p>
    <w:p>
      <w:pPr>
        <w:pStyle w:val="BodyText"/>
        <w:spacing w:before="45"/>
        <w:ind w:left="0"/>
        <w:jc w:val="left"/>
      </w:pPr>
    </w:p>
    <w:p>
      <w:pPr>
        <w:pStyle w:val="BodyText"/>
        <w:spacing w:line="276" w:lineRule="auto"/>
        <w:ind w:right="1273" w:firstLine="426"/>
      </w:pPr>
      <w:r>
        <w:rPr/>
        <w:t>Пациент с положительным результатом теста на COVID-19 подлежит госпитализации</w:t>
      </w:r>
      <w:r>
        <w:rPr>
          <w:spacing w:val="-15"/>
        </w:rPr>
        <w:t> </w:t>
      </w:r>
      <w:r>
        <w:rPr/>
        <w:t>по</w:t>
      </w:r>
      <w:r>
        <w:rPr>
          <w:spacing w:val="-15"/>
        </w:rPr>
        <w:t> </w:t>
      </w:r>
      <w:r>
        <w:rPr/>
        <w:t>клиническим</w:t>
      </w:r>
      <w:r>
        <w:rPr>
          <w:spacing w:val="-15"/>
        </w:rPr>
        <w:t> </w:t>
      </w:r>
      <w:r>
        <w:rPr/>
        <w:t>или</w:t>
      </w:r>
      <w:r>
        <w:rPr>
          <w:spacing w:val="-15"/>
        </w:rPr>
        <w:t> </w:t>
      </w:r>
      <w:r>
        <w:rPr/>
        <w:t>эпидемиологическим</w:t>
      </w:r>
      <w:r>
        <w:rPr>
          <w:spacing w:val="-15"/>
        </w:rPr>
        <w:t> </w:t>
      </w:r>
      <w:r>
        <w:rPr/>
        <w:t>показаниям</w:t>
      </w:r>
      <w:r>
        <w:rPr>
          <w:spacing w:val="-15"/>
        </w:rPr>
        <w:t> </w:t>
      </w:r>
      <w:r>
        <w:rPr/>
        <w:t>в</w:t>
      </w:r>
      <w:r>
        <w:rPr>
          <w:spacing w:val="-15"/>
        </w:rPr>
        <w:t> </w:t>
      </w:r>
      <w:r>
        <w:rPr/>
        <w:t>соответствии с требованиями действующего законодательства.</w:t>
      </w:r>
    </w:p>
    <w:p>
      <w:pPr>
        <w:pStyle w:val="BodyText"/>
        <w:spacing w:line="276" w:lineRule="auto"/>
        <w:ind w:right="1271" w:firstLine="565"/>
      </w:pPr>
      <w:r>
        <w:rPr/>
        <w:t>Основные</w:t>
      </w:r>
      <w:r>
        <w:rPr>
          <w:spacing w:val="-11"/>
        </w:rPr>
        <w:t> </w:t>
      </w:r>
      <w:r>
        <w:rPr/>
        <w:t>принципы</w:t>
      </w:r>
      <w:r>
        <w:rPr>
          <w:spacing w:val="-10"/>
        </w:rPr>
        <w:t> </w:t>
      </w:r>
      <w:r>
        <w:rPr/>
        <w:t>и</w:t>
      </w:r>
      <w:r>
        <w:rPr>
          <w:spacing w:val="-11"/>
        </w:rPr>
        <w:t> </w:t>
      </w:r>
      <w:r>
        <w:rPr/>
        <w:t>типовые</w:t>
      </w:r>
      <w:r>
        <w:rPr>
          <w:spacing w:val="-10"/>
        </w:rPr>
        <w:t> </w:t>
      </w:r>
      <w:r>
        <w:rPr/>
        <w:t>схемы</w:t>
      </w:r>
      <w:r>
        <w:rPr>
          <w:spacing w:val="-10"/>
        </w:rPr>
        <w:t> </w:t>
      </w:r>
      <w:r>
        <w:rPr/>
        <w:t>организации</w:t>
      </w:r>
      <w:r>
        <w:rPr>
          <w:spacing w:val="-8"/>
        </w:rPr>
        <w:t> </w:t>
      </w:r>
      <w:r>
        <w:rPr/>
        <w:t>амбулаторной</w:t>
      </w:r>
      <w:r>
        <w:rPr>
          <w:spacing w:val="-9"/>
        </w:rPr>
        <w:t> </w:t>
      </w:r>
      <w:r>
        <w:rPr/>
        <w:t>медицинской помощи</w:t>
      </w:r>
      <w:r>
        <w:rPr>
          <w:spacing w:val="40"/>
        </w:rPr>
        <w:t>  </w:t>
      </w:r>
      <w:r>
        <w:rPr/>
        <w:t>(в</w:t>
      </w:r>
      <w:r>
        <w:rPr>
          <w:spacing w:val="40"/>
        </w:rPr>
        <w:t>  </w:t>
      </w:r>
      <w:r>
        <w:rPr/>
        <w:t>том</w:t>
      </w:r>
      <w:r>
        <w:rPr>
          <w:spacing w:val="40"/>
        </w:rPr>
        <w:t>  </w:t>
      </w:r>
      <w:r>
        <w:rPr/>
        <w:t>числе</w:t>
      </w:r>
      <w:r>
        <w:rPr>
          <w:spacing w:val="40"/>
        </w:rPr>
        <w:t>  </w:t>
      </w:r>
      <w:r>
        <w:rPr/>
        <w:t>на</w:t>
      </w:r>
      <w:r>
        <w:rPr>
          <w:spacing w:val="40"/>
        </w:rPr>
        <w:t>  </w:t>
      </w:r>
      <w:r>
        <w:rPr/>
        <w:t>дому)</w:t>
      </w:r>
      <w:r>
        <w:rPr>
          <w:spacing w:val="40"/>
        </w:rPr>
        <w:t>  </w:t>
      </w:r>
      <w:r>
        <w:rPr/>
        <w:t>представлены</w:t>
      </w:r>
      <w:r>
        <w:rPr>
          <w:spacing w:val="40"/>
        </w:rPr>
        <w:t>  </w:t>
      </w:r>
      <w:r>
        <w:rPr/>
        <w:t>в</w:t>
      </w:r>
      <w:r>
        <w:rPr>
          <w:spacing w:val="40"/>
        </w:rPr>
        <w:t>  </w:t>
      </w:r>
      <w:r>
        <w:rPr/>
        <w:t>Приложениях</w:t>
      </w:r>
      <w:r>
        <w:rPr>
          <w:spacing w:val="40"/>
        </w:rPr>
        <w:t>  </w:t>
      </w:r>
      <w:r>
        <w:rPr/>
        <w:t>10-2,</w:t>
      </w:r>
      <w:r>
        <w:rPr>
          <w:spacing w:val="40"/>
        </w:rPr>
        <w:t>  </w:t>
      </w:r>
      <w:r>
        <w:rPr/>
        <w:t>10-3 и 10-4 настоящих рекомендаций.</w:t>
      </w:r>
    </w:p>
    <w:p>
      <w:pPr>
        <w:pStyle w:val="BodyText"/>
        <w:spacing w:line="276" w:lineRule="auto" w:before="14"/>
        <w:ind w:left="1851" w:right="1272" w:firstLine="697"/>
      </w:pPr>
      <w:r>
        <w:rPr/>
        <w:t>Медицинская организация, в которой наблюдается ребенок с положительным результатом</w:t>
      </w:r>
      <w:r>
        <w:rPr>
          <w:spacing w:val="-14"/>
        </w:rPr>
        <w:t> </w:t>
      </w:r>
      <w:r>
        <w:rPr/>
        <w:t>теста</w:t>
      </w:r>
      <w:r>
        <w:rPr>
          <w:spacing w:val="-14"/>
        </w:rPr>
        <w:t> </w:t>
      </w:r>
      <w:r>
        <w:rPr/>
        <w:t>на</w:t>
      </w:r>
      <w:r>
        <w:rPr>
          <w:spacing w:val="-15"/>
        </w:rPr>
        <w:t> </w:t>
      </w:r>
      <w:r>
        <w:rPr/>
        <w:t>COVID-19</w:t>
      </w:r>
      <w:r>
        <w:rPr>
          <w:spacing w:val="-14"/>
        </w:rPr>
        <w:t> </w:t>
      </w:r>
      <w:r>
        <w:rPr/>
        <w:t>и</w:t>
      </w:r>
      <w:r>
        <w:rPr>
          <w:spacing w:val="-13"/>
        </w:rPr>
        <w:t> </w:t>
      </w:r>
      <w:r>
        <w:rPr/>
        <w:t>отсутствием</w:t>
      </w:r>
      <w:r>
        <w:rPr>
          <w:spacing w:val="-12"/>
        </w:rPr>
        <w:t> </w:t>
      </w:r>
      <w:r>
        <w:rPr/>
        <w:t>клинических</w:t>
      </w:r>
      <w:r>
        <w:rPr>
          <w:spacing w:val="-14"/>
        </w:rPr>
        <w:t> </w:t>
      </w:r>
      <w:r>
        <w:rPr/>
        <w:t>проявлений</w:t>
      </w:r>
      <w:r>
        <w:rPr>
          <w:spacing w:val="-11"/>
        </w:rPr>
        <w:t> </w:t>
      </w:r>
      <w:r>
        <w:rPr/>
        <w:t>заболеваний, обеспечивает</w:t>
      </w:r>
      <w:r>
        <w:rPr>
          <w:spacing w:val="40"/>
        </w:rPr>
        <w:t> </w:t>
      </w:r>
      <w:r>
        <w:rPr/>
        <w:t>ежедневный</w:t>
      </w:r>
      <w:r>
        <w:rPr>
          <w:spacing w:val="40"/>
        </w:rPr>
        <w:t> </w:t>
      </w:r>
      <w:r>
        <w:rPr/>
        <w:t>опрос</w:t>
      </w:r>
      <w:r>
        <w:rPr>
          <w:spacing w:val="40"/>
        </w:rPr>
        <w:t> </w:t>
      </w:r>
      <w:r>
        <w:rPr/>
        <w:t>участковой</w:t>
      </w:r>
      <w:r>
        <w:rPr>
          <w:spacing w:val="40"/>
        </w:rPr>
        <w:t> </w:t>
      </w:r>
      <w:r>
        <w:rPr/>
        <w:t>медицинской</w:t>
      </w:r>
      <w:r>
        <w:rPr>
          <w:spacing w:val="40"/>
        </w:rPr>
        <w:t> </w:t>
      </w:r>
      <w:r>
        <w:rPr/>
        <w:t>сестрой</w:t>
      </w:r>
      <w:r>
        <w:rPr>
          <w:spacing w:val="40"/>
        </w:rPr>
        <w:t> </w:t>
      </w:r>
      <w:r>
        <w:rPr/>
        <w:t>(по</w:t>
      </w:r>
      <w:r>
        <w:rPr>
          <w:spacing w:val="40"/>
        </w:rPr>
        <w:t> </w:t>
      </w:r>
      <w:r>
        <w:rPr/>
        <w:t>телефону)</w:t>
      </w:r>
      <w:r>
        <w:rPr>
          <w:spacing w:val="40"/>
        </w:rPr>
        <w:t> </w:t>
      </w:r>
      <w:r>
        <w:rPr/>
        <w:t>о</w:t>
      </w:r>
      <w:r>
        <w:rPr>
          <w:spacing w:val="-3"/>
        </w:rPr>
        <w:t> </w:t>
      </w:r>
      <w:r>
        <w:rPr/>
        <w:t>состоянии пациента не менее 2-х раз в день, а также патронаж врача-педиатра участкового не реже 1 раза в 5 дней.</w:t>
      </w:r>
    </w:p>
    <w:p>
      <w:pPr>
        <w:pStyle w:val="BodyText"/>
        <w:spacing w:line="276" w:lineRule="auto"/>
        <w:ind w:left="1851" w:right="1274" w:firstLine="697"/>
      </w:pPr>
      <w:r>
        <w:rPr/>
        <w:t>Медицинская организация, в которой наблюдается ребенок с положительным результатом теста на COVID-19 и легким течением заболевания, обеспечивает ежедневный опрос участковой медицинской сестрой (по телефону) о состоянии пациента не менее 2-х раз в день, а также патронаж участкового врача-педиатра (фельдшера) с учетом состояния ребенка не реже 1 раза в 2 дня.</w:t>
      </w:r>
    </w:p>
    <w:p>
      <w:pPr>
        <w:pStyle w:val="BodyText"/>
        <w:spacing w:line="276" w:lineRule="auto"/>
        <w:ind w:left="1851" w:right="1270" w:firstLine="697"/>
      </w:pPr>
      <w:r>
        <w:rPr/>
        <w:t>Законный</w:t>
      </w:r>
      <w:r>
        <w:rPr>
          <w:spacing w:val="-15"/>
        </w:rPr>
        <w:t> </w:t>
      </w:r>
      <w:r>
        <w:rPr/>
        <w:t>представитель,</w:t>
      </w:r>
      <w:r>
        <w:rPr>
          <w:spacing w:val="-15"/>
        </w:rPr>
        <w:t> </w:t>
      </w:r>
      <w:r>
        <w:rPr/>
        <w:t>обеспечивающий</w:t>
      </w:r>
      <w:r>
        <w:rPr>
          <w:spacing w:val="-15"/>
        </w:rPr>
        <w:t> </w:t>
      </w:r>
      <w:r>
        <w:rPr/>
        <w:t>уход</w:t>
      </w:r>
      <w:r>
        <w:rPr>
          <w:spacing w:val="-15"/>
        </w:rPr>
        <w:t> </w:t>
      </w:r>
      <w:r>
        <w:rPr/>
        <w:t>за</w:t>
      </w:r>
      <w:r>
        <w:rPr>
          <w:spacing w:val="-15"/>
        </w:rPr>
        <w:t> </w:t>
      </w:r>
      <w:r>
        <w:rPr/>
        <w:t>ребенком</w:t>
      </w:r>
      <w:r>
        <w:rPr>
          <w:spacing w:val="-15"/>
        </w:rPr>
        <w:t> </w:t>
      </w:r>
      <w:r>
        <w:rPr/>
        <w:t>с</w:t>
      </w:r>
      <w:r>
        <w:rPr>
          <w:spacing w:val="-15"/>
        </w:rPr>
        <w:t> </w:t>
      </w:r>
      <w:r>
        <w:rPr/>
        <w:t>положительным результатом</w:t>
      </w:r>
      <w:r>
        <w:rPr>
          <w:spacing w:val="-15"/>
        </w:rPr>
        <w:t> </w:t>
      </w:r>
      <w:r>
        <w:rPr/>
        <w:t>теста</w:t>
      </w:r>
      <w:r>
        <w:rPr>
          <w:spacing w:val="-15"/>
        </w:rPr>
        <w:t> </w:t>
      </w:r>
      <w:r>
        <w:rPr/>
        <w:t>на</w:t>
      </w:r>
      <w:r>
        <w:rPr>
          <w:spacing w:val="-15"/>
        </w:rPr>
        <w:t> </w:t>
      </w:r>
      <w:r>
        <w:rPr/>
        <w:t>COVID-19,</w:t>
      </w:r>
      <w:r>
        <w:rPr>
          <w:spacing w:val="-15"/>
        </w:rPr>
        <w:t> </w:t>
      </w:r>
      <w:r>
        <w:rPr/>
        <w:t>которому</w:t>
      </w:r>
      <w:r>
        <w:rPr>
          <w:spacing w:val="-15"/>
        </w:rPr>
        <w:t> </w:t>
      </w:r>
      <w:r>
        <w:rPr/>
        <w:t>оказывается</w:t>
      </w:r>
      <w:r>
        <w:rPr>
          <w:spacing w:val="-15"/>
        </w:rPr>
        <w:t> </w:t>
      </w:r>
      <w:r>
        <w:rPr/>
        <w:t>медицинская</w:t>
      </w:r>
      <w:r>
        <w:rPr>
          <w:spacing w:val="-15"/>
        </w:rPr>
        <w:t> </w:t>
      </w:r>
      <w:r>
        <w:rPr/>
        <w:t>помощь</w:t>
      </w:r>
      <w:r>
        <w:rPr>
          <w:spacing w:val="-15"/>
        </w:rPr>
        <w:t> </w:t>
      </w:r>
      <w:r>
        <w:rPr/>
        <w:t>на</w:t>
      </w:r>
      <w:r>
        <w:rPr>
          <w:spacing w:val="-15"/>
        </w:rPr>
        <w:t> </w:t>
      </w:r>
      <w:r>
        <w:rPr/>
        <w:t>дому, должен быть проинформирован о рисках заболевания COVID-19 и необходимости соблюдения рекомендаций по защите от инфекций, передающихся воздушно- капельным и контактным путем, особенностях ухода за пациентами, больными указанной инфекцией, а также иметь информацию, что нарушение санитарно- эпидемиологических правил, повлекшее по неосторожности массовое заболевание, может повлечь привлечение к уголовной ответственности, предусмотренной статьей 236 Уголовного кодекса Российской Федерации.</w:t>
      </w:r>
    </w:p>
    <w:p>
      <w:pPr>
        <w:pStyle w:val="BodyText"/>
        <w:spacing w:after="0" w:line="276" w:lineRule="auto"/>
        <w:sectPr>
          <w:pgSz w:w="11900" w:h="16840"/>
          <w:pgMar w:header="0" w:footer="697" w:top="1080" w:bottom="880" w:left="0" w:right="0"/>
        </w:sectPr>
      </w:pPr>
    </w:p>
    <w:p>
      <w:pPr>
        <w:pStyle w:val="Heading1"/>
        <w:spacing w:line="259" w:lineRule="auto" w:before="74"/>
        <w:ind w:right="1490"/>
      </w:pPr>
      <w:bookmarkStart w:name="140" w:id="167"/>
      <w:bookmarkEnd w:id="167"/>
      <w:r>
        <w:rPr>
          <w:b w:val="0"/>
        </w:rPr>
      </w:r>
      <w:r>
        <w:rPr>
          <w:color w:val="1F487C"/>
        </w:rPr>
        <w:t>9.5.</w:t>
      </w:r>
      <w:r>
        <w:rPr>
          <w:color w:val="1F487C"/>
          <w:spacing w:val="-15"/>
        </w:rPr>
        <w:t> </w:t>
      </w:r>
      <w:r>
        <w:rPr>
          <w:color w:val="1F487C"/>
        </w:rPr>
        <w:t>МАРШРУТИЗАЦИЯ</w:t>
      </w:r>
      <w:r>
        <w:rPr>
          <w:color w:val="1F487C"/>
          <w:spacing w:val="-14"/>
        </w:rPr>
        <w:t> </w:t>
      </w:r>
      <w:r>
        <w:rPr>
          <w:color w:val="1F487C"/>
        </w:rPr>
        <w:t>ПАЦИЕНТОВ,</w:t>
      </w:r>
      <w:r>
        <w:rPr>
          <w:color w:val="1F487C"/>
          <w:spacing w:val="-16"/>
        </w:rPr>
        <w:t> </w:t>
      </w:r>
      <w:r>
        <w:rPr>
          <w:color w:val="1F487C"/>
        </w:rPr>
        <w:t>НУЖДАЮЩИХСЯ В ЭКСТРЕННОЙ ХИРУРГИЧЕСКОЙ ПОМОЩИ</w:t>
      </w:r>
    </w:p>
    <w:p>
      <w:pPr>
        <w:pStyle w:val="Heading3"/>
        <w:spacing w:line="276" w:lineRule="auto" w:before="239"/>
        <w:ind w:right="2796"/>
      </w:pPr>
      <w:r>
        <w:rPr>
          <w:color w:val="1F487C"/>
        </w:rPr>
        <w:t>Экстренная</w:t>
      </w:r>
      <w:r>
        <w:rPr>
          <w:color w:val="1F487C"/>
          <w:spacing w:val="-9"/>
        </w:rPr>
        <w:t> </w:t>
      </w:r>
      <w:r>
        <w:rPr>
          <w:color w:val="1F487C"/>
        </w:rPr>
        <w:t>хирургическая</w:t>
      </w:r>
      <w:r>
        <w:rPr>
          <w:color w:val="1F487C"/>
          <w:spacing w:val="-9"/>
        </w:rPr>
        <w:t> </w:t>
      </w:r>
      <w:r>
        <w:rPr>
          <w:color w:val="1F487C"/>
        </w:rPr>
        <w:t>помощь</w:t>
      </w:r>
      <w:r>
        <w:rPr>
          <w:color w:val="1F487C"/>
          <w:spacing w:val="-9"/>
        </w:rPr>
        <w:t> </w:t>
      </w:r>
      <w:r>
        <w:rPr>
          <w:color w:val="1F487C"/>
        </w:rPr>
        <w:t>пациентам</w:t>
      </w:r>
      <w:r>
        <w:rPr>
          <w:color w:val="1F487C"/>
          <w:spacing w:val="-9"/>
        </w:rPr>
        <w:t> </w:t>
      </w:r>
      <w:r>
        <w:rPr>
          <w:color w:val="1F487C"/>
        </w:rPr>
        <w:t>с</w:t>
      </w:r>
      <w:r>
        <w:rPr>
          <w:color w:val="1F487C"/>
          <w:spacing w:val="-10"/>
        </w:rPr>
        <w:t> </w:t>
      </w:r>
      <w:r>
        <w:rPr>
          <w:color w:val="1F487C"/>
        </w:rPr>
        <w:t>COVID-19, находящимся на стационарном лечении</w:t>
      </w:r>
    </w:p>
    <w:p>
      <w:pPr>
        <w:pStyle w:val="BodyText"/>
        <w:spacing w:line="276" w:lineRule="auto" w:before="118"/>
        <w:ind w:right="1275" w:firstLine="707"/>
      </w:pPr>
      <w:r>
        <w:rPr/>
        <w:t>Пациентам, находящимся на стационарном лечении, специализированная экстренная хирургическая помощь оказывается в многопрофильной инфекционной больнице или перепрофилированном многопрофильном стационаре для оказания помощи больным с COVID-19 (в операционном блоке, оборудованном для проведения</w:t>
      </w:r>
      <w:r>
        <w:rPr>
          <w:spacing w:val="-15"/>
        </w:rPr>
        <w:t> </w:t>
      </w:r>
      <w:r>
        <w:rPr/>
        <w:t>операций</w:t>
      </w:r>
      <w:r>
        <w:rPr>
          <w:spacing w:val="-15"/>
        </w:rPr>
        <w:t> </w:t>
      </w:r>
      <w:r>
        <w:rPr/>
        <w:t>у</w:t>
      </w:r>
      <w:r>
        <w:rPr>
          <w:spacing w:val="-15"/>
        </w:rPr>
        <w:t> </w:t>
      </w:r>
      <w:r>
        <w:rPr/>
        <w:t>пациентов</w:t>
      </w:r>
      <w:r>
        <w:rPr>
          <w:spacing w:val="-15"/>
        </w:rPr>
        <w:t> </w:t>
      </w:r>
      <w:r>
        <w:rPr/>
        <w:t>с</w:t>
      </w:r>
      <w:r>
        <w:rPr>
          <w:spacing w:val="-15"/>
        </w:rPr>
        <w:t> </w:t>
      </w:r>
      <w:r>
        <w:rPr/>
        <w:t>COVID-19).</w:t>
      </w:r>
      <w:r>
        <w:rPr>
          <w:spacing w:val="-15"/>
        </w:rPr>
        <w:t> </w:t>
      </w:r>
      <w:r>
        <w:rPr/>
        <w:t>При</w:t>
      </w:r>
      <w:r>
        <w:rPr>
          <w:spacing w:val="-15"/>
        </w:rPr>
        <w:t> </w:t>
      </w:r>
      <w:r>
        <w:rPr/>
        <w:t>необходимости</w:t>
      </w:r>
      <w:r>
        <w:rPr>
          <w:spacing w:val="-13"/>
        </w:rPr>
        <w:t> </w:t>
      </w:r>
      <w:r>
        <w:rPr/>
        <w:t>в</w:t>
      </w:r>
      <w:r>
        <w:rPr>
          <w:spacing w:val="-15"/>
        </w:rPr>
        <w:t> </w:t>
      </w:r>
      <w:r>
        <w:rPr/>
        <w:t>инфекционный стационар</w:t>
      </w:r>
      <w:r>
        <w:rPr>
          <w:spacing w:val="80"/>
          <w:w w:val="150"/>
        </w:rPr>
        <w:t> </w:t>
      </w:r>
      <w:r>
        <w:rPr/>
        <w:t>может</w:t>
      </w:r>
      <w:r>
        <w:rPr>
          <w:spacing w:val="80"/>
          <w:w w:val="150"/>
        </w:rPr>
        <w:t> </w:t>
      </w:r>
      <w:r>
        <w:rPr/>
        <w:t>быть</w:t>
      </w:r>
      <w:r>
        <w:rPr>
          <w:spacing w:val="80"/>
          <w:w w:val="150"/>
        </w:rPr>
        <w:t> </w:t>
      </w:r>
      <w:r>
        <w:rPr/>
        <w:t>вызвана</w:t>
      </w:r>
      <w:r>
        <w:rPr>
          <w:spacing w:val="80"/>
          <w:w w:val="150"/>
        </w:rPr>
        <w:t> </w:t>
      </w:r>
      <w:r>
        <w:rPr/>
        <w:t>специализированная</w:t>
      </w:r>
      <w:r>
        <w:rPr>
          <w:spacing w:val="80"/>
          <w:w w:val="150"/>
        </w:rPr>
        <w:t> </w:t>
      </w:r>
      <w:r>
        <w:rPr/>
        <w:t>хирургическая</w:t>
      </w:r>
      <w:r>
        <w:rPr>
          <w:spacing w:val="80"/>
          <w:w w:val="150"/>
        </w:rPr>
        <w:t> </w:t>
      </w:r>
      <w:r>
        <w:rPr/>
        <w:t>бригада</w:t>
      </w:r>
      <w:r>
        <w:rPr>
          <w:spacing w:val="80"/>
          <w:w w:val="150"/>
        </w:rPr>
        <w:t> </w:t>
      </w:r>
      <w:r>
        <w:rPr/>
        <w:t>из другого учреждения, если профильных специалистов нет на месте.</w:t>
      </w:r>
    </w:p>
    <w:p>
      <w:pPr>
        <w:pStyle w:val="BodyText"/>
        <w:spacing w:line="276" w:lineRule="auto"/>
        <w:ind w:right="1274" w:firstLine="707"/>
      </w:pPr>
      <w:r>
        <w:rPr/>
        <w:t>В ряде случаев решение о переводе пациента с COVID-19 для экстренной хирургической помощи в иной специализированный инфекционный стационар или перепрофилированный</w:t>
      </w:r>
      <w:r>
        <w:rPr>
          <w:spacing w:val="80"/>
        </w:rPr>
        <w:t>  </w:t>
      </w:r>
      <w:r>
        <w:rPr/>
        <w:t>многопрофильный</w:t>
      </w:r>
      <w:r>
        <w:rPr>
          <w:spacing w:val="80"/>
        </w:rPr>
        <w:t>  </w:t>
      </w:r>
      <w:r>
        <w:rPr/>
        <w:t>стационар</w:t>
      </w:r>
      <w:r>
        <w:rPr>
          <w:spacing w:val="80"/>
        </w:rPr>
        <w:t>  </w:t>
      </w:r>
      <w:r>
        <w:rPr/>
        <w:t>может</w:t>
      </w:r>
      <w:r>
        <w:rPr>
          <w:spacing w:val="80"/>
        </w:rPr>
        <w:t>  </w:t>
      </w:r>
      <w:r>
        <w:rPr/>
        <w:t>быть</w:t>
      </w:r>
      <w:r>
        <w:rPr>
          <w:spacing w:val="80"/>
        </w:rPr>
        <w:t>  </w:t>
      </w:r>
      <w:r>
        <w:rPr/>
        <w:t>принято в</w:t>
      </w:r>
      <w:r>
        <w:rPr>
          <w:spacing w:val="-5"/>
        </w:rPr>
        <w:t> </w:t>
      </w:r>
      <w:r>
        <w:rPr/>
        <w:t>индивидуальном порядке с учетом возможности безопасной транспортировки при отсутствии обусловленной транспортировкой угрозы для жизни. Специализированные</w:t>
      </w:r>
      <w:r>
        <w:rPr>
          <w:spacing w:val="71"/>
          <w:w w:val="150"/>
        </w:rPr>
        <w:t>  </w:t>
      </w:r>
      <w:r>
        <w:rPr/>
        <w:t>хирургические</w:t>
      </w:r>
      <w:r>
        <w:rPr>
          <w:spacing w:val="72"/>
          <w:w w:val="150"/>
        </w:rPr>
        <w:t>  </w:t>
      </w:r>
      <w:r>
        <w:rPr/>
        <w:t>бригады</w:t>
      </w:r>
      <w:r>
        <w:rPr>
          <w:spacing w:val="72"/>
          <w:w w:val="150"/>
        </w:rPr>
        <w:t>  </w:t>
      </w:r>
      <w:r>
        <w:rPr/>
        <w:t>могут</w:t>
      </w:r>
      <w:r>
        <w:rPr>
          <w:spacing w:val="72"/>
          <w:w w:val="150"/>
        </w:rPr>
        <w:t>  </w:t>
      </w:r>
      <w:r>
        <w:rPr/>
        <w:t>быть</w:t>
      </w:r>
      <w:r>
        <w:rPr>
          <w:spacing w:val="72"/>
          <w:w w:val="150"/>
        </w:rPr>
        <w:t>  </w:t>
      </w:r>
      <w:r>
        <w:rPr/>
        <w:t>использованы в тех случаях, когда в лечебном учреждении нет специалистов соответствующего профиля или квалификации.</w:t>
      </w:r>
    </w:p>
    <w:p>
      <w:pPr>
        <w:pStyle w:val="Heading3"/>
        <w:spacing w:line="276" w:lineRule="auto" w:before="237"/>
        <w:ind w:right="2796"/>
      </w:pPr>
      <w:r>
        <w:rPr>
          <w:color w:val="1F487C"/>
        </w:rPr>
        <w:t>Экстренная</w:t>
      </w:r>
      <w:r>
        <w:rPr>
          <w:color w:val="1F487C"/>
          <w:spacing w:val="-9"/>
        </w:rPr>
        <w:t> </w:t>
      </w:r>
      <w:r>
        <w:rPr>
          <w:color w:val="1F487C"/>
        </w:rPr>
        <w:t>хирургическая</w:t>
      </w:r>
      <w:r>
        <w:rPr>
          <w:color w:val="1F487C"/>
          <w:spacing w:val="-9"/>
        </w:rPr>
        <w:t> </w:t>
      </w:r>
      <w:r>
        <w:rPr>
          <w:color w:val="1F487C"/>
        </w:rPr>
        <w:t>помощь</w:t>
      </w:r>
      <w:r>
        <w:rPr>
          <w:color w:val="1F487C"/>
          <w:spacing w:val="-9"/>
        </w:rPr>
        <w:t> </w:t>
      </w:r>
      <w:r>
        <w:rPr>
          <w:color w:val="1F487C"/>
        </w:rPr>
        <w:t>пациентам</w:t>
      </w:r>
      <w:r>
        <w:rPr>
          <w:color w:val="1F487C"/>
          <w:spacing w:val="-9"/>
        </w:rPr>
        <w:t> </w:t>
      </w:r>
      <w:r>
        <w:rPr>
          <w:color w:val="1F487C"/>
        </w:rPr>
        <w:t>с</w:t>
      </w:r>
      <w:r>
        <w:rPr>
          <w:color w:val="1F487C"/>
          <w:spacing w:val="-10"/>
        </w:rPr>
        <w:t> </w:t>
      </w:r>
      <w:r>
        <w:rPr>
          <w:color w:val="1F487C"/>
        </w:rPr>
        <w:t>COVID-19, находящимся на домашнем лечении</w:t>
      </w:r>
    </w:p>
    <w:p>
      <w:pPr>
        <w:pStyle w:val="BodyText"/>
        <w:spacing w:line="276" w:lineRule="auto" w:before="118"/>
        <w:ind w:right="1273" w:firstLine="707"/>
      </w:pPr>
      <w:r>
        <w:rPr/>
        <w:t>Пациента госпитализируют для оказания экстренной хирургической помощи</w:t>
      </w:r>
      <w:r>
        <w:rPr>
          <w:spacing w:val="40"/>
        </w:rPr>
        <w:t> </w:t>
      </w:r>
      <w:r>
        <w:rPr/>
        <w:t>в</w:t>
      </w:r>
      <w:r>
        <w:rPr>
          <w:spacing w:val="-3"/>
        </w:rPr>
        <w:t> </w:t>
      </w:r>
      <w:r>
        <w:rPr/>
        <w:t>многопрофильную инфекционную больницу или перепрофилированный многопрофильный</w:t>
      </w:r>
      <w:r>
        <w:rPr>
          <w:spacing w:val="80"/>
          <w:w w:val="150"/>
        </w:rPr>
        <w:t> </w:t>
      </w:r>
      <w:r>
        <w:rPr/>
        <w:t>стационар</w:t>
      </w:r>
      <w:r>
        <w:rPr>
          <w:spacing w:val="80"/>
          <w:w w:val="150"/>
        </w:rPr>
        <w:t> </w:t>
      </w:r>
      <w:r>
        <w:rPr/>
        <w:t>для</w:t>
      </w:r>
      <w:r>
        <w:rPr>
          <w:spacing w:val="80"/>
          <w:w w:val="150"/>
        </w:rPr>
        <w:t> </w:t>
      </w:r>
      <w:r>
        <w:rPr/>
        <w:t>оказания</w:t>
      </w:r>
      <w:r>
        <w:rPr>
          <w:spacing w:val="80"/>
          <w:w w:val="150"/>
        </w:rPr>
        <w:t> </w:t>
      </w:r>
      <w:r>
        <w:rPr/>
        <w:t>помощи</w:t>
      </w:r>
      <w:r>
        <w:rPr>
          <w:spacing w:val="80"/>
          <w:w w:val="150"/>
        </w:rPr>
        <w:t> </w:t>
      </w:r>
      <w:r>
        <w:rPr/>
        <w:t>больным</w:t>
      </w:r>
      <w:r>
        <w:rPr>
          <w:spacing w:val="80"/>
          <w:w w:val="150"/>
        </w:rPr>
        <w:t> </w:t>
      </w:r>
      <w:r>
        <w:rPr/>
        <w:t>с</w:t>
      </w:r>
      <w:r>
        <w:rPr>
          <w:spacing w:val="80"/>
          <w:w w:val="150"/>
        </w:rPr>
        <w:t> </w:t>
      </w:r>
      <w:r>
        <w:rPr/>
        <w:t>COVID-19. При</w:t>
      </w:r>
      <w:r>
        <w:rPr>
          <w:spacing w:val="-2"/>
        </w:rPr>
        <w:t> </w:t>
      </w:r>
      <w:r>
        <w:rPr/>
        <w:t>необходимости в стационар может быть вызвана специализированная хирургическая бригада. Специализированные хирургические бригады могут быть использованы в тех случаях, когда в лечебном учреждении нет специалистов соответствующего профиля или квалификации. В остальных случаях экстренная хирургическая</w:t>
      </w:r>
      <w:r>
        <w:rPr>
          <w:spacing w:val="-13"/>
        </w:rPr>
        <w:t> </w:t>
      </w:r>
      <w:r>
        <w:rPr/>
        <w:t>помощь</w:t>
      </w:r>
      <w:r>
        <w:rPr>
          <w:spacing w:val="-13"/>
        </w:rPr>
        <w:t> </w:t>
      </w:r>
      <w:r>
        <w:rPr/>
        <w:t>оказывается</w:t>
      </w:r>
      <w:r>
        <w:rPr>
          <w:spacing w:val="-14"/>
        </w:rPr>
        <w:t> </w:t>
      </w:r>
      <w:r>
        <w:rPr/>
        <w:t>специалистами</w:t>
      </w:r>
      <w:r>
        <w:rPr>
          <w:spacing w:val="-12"/>
        </w:rPr>
        <w:t> </w:t>
      </w:r>
      <w:r>
        <w:rPr/>
        <w:t>многопрофильной</w:t>
      </w:r>
      <w:r>
        <w:rPr>
          <w:spacing w:val="-15"/>
        </w:rPr>
        <w:t> </w:t>
      </w:r>
      <w:r>
        <w:rPr/>
        <w:t>инфекционной </w:t>
      </w:r>
      <w:r>
        <w:rPr>
          <w:spacing w:val="-2"/>
        </w:rPr>
        <w:t>больницы.</w:t>
      </w:r>
    </w:p>
    <w:p>
      <w:pPr>
        <w:pStyle w:val="Heading3"/>
        <w:spacing w:line="276" w:lineRule="auto" w:before="238"/>
        <w:ind w:right="2578"/>
      </w:pPr>
      <w:r>
        <w:rPr>
          <w:color w:val="1F487C"/>
        </w:rPr>
        <w:t>Экстренная</w:t>
      </w:r>
      <w:r>
        <w:rPr>
          <w:color w:val="1F487C"/>
          <w:spacing w:val="-9"/>
        </w:rPr>
        <w:t> </w:t>
      </w:r>
      <w:r>
        <w:rPr>
          <w:color w:val="1F487C"/>
        </w:rPr>
        <w:t>хирургическая</w:t>
      </w:r>
      <w:r>
        <w:rPr>
          <w:color w:val="1F487C"/>
          <w:spacing w:val="-9"/>
        </w:rPr>
        <w:t> </w:t>
      </w:r>
      <w:r>
        <w:rPr>
          <w:color w:val="1F487C"/>
        </w:rPr>
        <w:t>помощь</w:t>
      </w:r>
      <w:r>
        <w:rPr>
          <w:color w:val="1F487C"/>
          <w:spacing w:val="-9"/>
        </w:rPr>
        <w:t> </w:t>
      </w:r>
      <w:r>
        <w:rPr>
          <w:color w:val="1F487C"/>
        </w:rPr>
        <w:t>пациентам</w:t>
      </w:r>
      <w:r>
        <w:rPr>
          <w:color w:val="1F487C"/>
          <w:spacing w:val="-9"/>
        </w:rPr>
        <w:t> </w:t>
      </w:r>
      <w:r>
        <w:rPr>
          <w:color w:val="1F487C"/>
        </w:rPr>
        <w:t>без</w:t>
      </w:r>
      <w:r>
        <w:rPr>
          <w:color w:val="1F487C"/>
          <w:spacing w:val="-9"/>
        </w:rPr>
        <w:t> </w:t>
      </w:r>
      <w:r>
        <w:rPr>
          <w:color w:val="1F487C"/>
        </w:rPr>
        <w:t>COVID-19, находящимся на карантине в домашних условиях</w:t>
      </w:r>
    </w:p>
    <w:p>
      <w:pPr>
        <w:pStyle w:val="BodyText"/>
        <w:spacing w:line="276" w:lineRule="auto" w:before="120"/>
        <w:ind w:right="1273" w:firstLine="707"/>
      </w:pPr>
      <w:r>
        <w:rPr/>
        <w:t>Пациент</w:t>
      </w:r>
      <w:r>
        <w:rPr>
          <w:spacing w:val="80"/>
          <w:w w:val="150"/>
        </w:rPr>
        <w:t>   </w:t>
      </w:r>
      <w:r>
        <w:rPr/>
        <w:t>доставляется</w:t>
      </w:r>
      <w:r>
        <w:rPr>
          <w:spacing w:val="80"/>
          <w:w w:val="150"/>
        </w:rPr>
        <w:t>   </w:t>
      </w:r>
      <w:r>
        <w:rPr/>
        <w:t>для</w:t>
      </w:r>
      <w:r>
        <w:rPr>
          <w:spacing w:val="80"/>
          <w:w w:val="150"/>
        </w:rPr>
        <w:t>   </w:t>
      </w:r>
      <w:r>
        <w:rPr/>
        <w:t>оказания</w:t>
      </w:r>
      <w:r>
        <w:rPr>
          <w:spacing w:val="80"/>
          <w:w w:val="150"/>
        </w:rPr>
        <w:t>   </w:t>
      </w:r>
      <w:r>
        <w:rPr/>
        <w:t>экстренной</w:t>
      </w:r>
      <w:r>
        <w:rPr>
          <w:spacing w:val="80"/>
          <w:w w:val="150"/>
        </w:rPr>
        <w:t>   </w:t>
      </w:r>
      <w:r>
        <w:rPr/>
        <w:t>помощи в специализированную хирургическую больницу, имеющую возможность изолировать подозрительных (условно инфицированных) пациентов с дальнейшим переводом в инфекционное отделение для пациентов с внебольничной пневмонией. Пациенту в экстренном порядке выполняют КТ ОГК с использованием соответствующих мер безопасности как для больного, так и для медицинского персонала</w:t>
      </w:r>
      <w:r>
        <w:rPr>
          <w:spacing w:val="75"/>
        </w:rPr>
        <w:t>  </w:t>
      </w:r>
      <w:r>
        <w:rPr/>
        <w:t>(обязательно</w:t>
      </w:r>
      <w:r>
        <w:rPr>
          <w:spacing w:val="75"/>
        </w:rPr>
        <w:t>  </w:t>
      </w:r>
      <w:r>
        <w:rPr/>
        <w:t>использование</w:t>
      </w:r>
      <w:r>
        <w:rPr>
          <w:spacing w:val="74"/>
        </w:rPr>
        <w:t>  </w:t>
      </w:r>
      <w:r>
        <w:rPr/>
        <w:t>СИЗ)</w:t>
      </w:r>
      <w:r>
        <w:rPr>
          <w:spacing w:val="75"/>
        </w:rPr>
        <w:t>  </w:t>
      </w:r>
      <w:r>
        <w:rPr/>
        <w:t>и лабораторное</w:t>
      </w:r>
      <w:r>
        <w:rPr>
          <w:spacing w:val="74"/>
        </w:rPr>
        <w:t>  </w:t>
      </w:r>
      <w:r>
        <w:rPr/>
        <w:t>обследование на COVID-19.</w:t>
      </w:r>
    </w:p>
    <w:p>
      <w:pPr>
        <w:pStyle w:val="BodyText"/>
        <w:spacing w:after="0" w:line="276" w:lineRule="auto"/>
        <w:sectPr>
          <w:pgSz w:w="11900" w:h="16840"/>
          <w:pgMar w:header="0" w:footer="697" w:top="1080" w:bottom="880" w:left="0" w:right="0"/>
        </w:sectPr>
      </w:pPr>
    </w:p>
    <w:p>
      <w:pPr>
        <w:pStyle w:val="BodyText"/>
        <w:tabs>
          <w:tab w:pos="2697" w:val="left" w:leader="none"/>
          <w:tab w:pos="2821" w:val="left" w:leader="none"/>
          <w:tab w:pos="3846" w:val="left" w:leader="none"/>
          <w:tab w:pos="3876" w:val="left" w:leader="none"/>
          <w:tab w:pos="4571" w:val="left" w:leader="none"/>
          <w:tab w:pos="5414" w:val="left" w:leader="none"/>
          <w:tab w:pos="5490" w:val="left" w:leader="none"/>
          <w:tab w:pos="6011" w:val="left" w:leader="none"/>
          <w:tab w:pos="6344" w:val="left" w:leader="none"/>
          <w:tab w:pos="6714" w:val="left" w:leader="none"/>
          <w:tab w:pos="7724" w:val="left" w:leader="none"/>
          <w:tab w:pos="8203" w:val="left" w:leader="none"/>
          <w:tab w:pos="8345" w:val="left" w:leader="none"/>
          <w:tab w:pos="8982" w:val="left" w:leader="none"/>
          <w:tab w:pos="9425" w:val="left" w:leader="none"/>
          <w:tab w:pos="9552" w:val="left" w:leader="none"/>
          <w:tab w:pos="9943" w:val="left" w:leader="none"/>
        </w:tabs>
        <w:spacing w:line="276" w:lineRule="auto" w:before="73"/>
        <w:ind w:right="1272" w:firstLine="707"/>
        <w:jc w:val="right"/>
      </w:pPr>
      <w:bookmarkStart w:name="141" w:id="168"/>
      <w:bookmarkEnd w:id="168"/>
      <w:r>
        <w:rPr/>
      </w:r>
      <w:r>
        <w:rPr/>
        <w:t>Решение</w:t>
      </w:r>
      <w:r>
        <w:rPr>
          <w:spacing w:val="80"/>
        </w:rPr>
        <w:t> </w:t>
      </w:r>
      <w:r>
        <w:rPr/>
        <w:t>о</w:t>
      </w:r>
      <w:r>
        <w:rPr>
          <w:spacing w:val="80"/>
        </w:rPr>
        <w:t> </w:t>
      </w:r>
      <w:r>
        <w:rPr/>
        <w:t>маршрутизации</w:t>
      </w:r>
      <w:r>
        <w:rPr>
          <w:spacing w:val="80"/>
        </w:rPr>
        <w:t> </w:t>
      </w:r>
      <w:r>
        <w:rPr/>
        <w:t>пациента</w:t>
      </w:r>
      <w:r>
        <w:rPr>
          <w:spacing w:val="80"/>
        </w:rPr>
        <w:t> </w:t>
      </w:r>
      <w:r>
        <w:rPr/>
        <w:t>должно</w:t>
      </w:r>
      <w:r>
        <w:rPr>
          <w:spacing w:val="80"/>
        </w:rPr>
        <w:t> </w:t>
      </w:r>
      <w:r>
        <w:rPr/>
        <w:t>приниматься</w:t>
      </w:r>
      <w:r>
        <w:rPr>
          <w:spacing w:val="80"/>
        </w:rPr>
        <w:t> </w:t>
      </w:r>
      <w:r>
        <w:rPr/>
        <w:t>на</w:t>
      </w:r>
      <w:r>
        <w:rPr>
          <w:spacing w:val="80"/>
        </w:rPr>
        <w:t> </w:t>
      </w:r>
      <w:r>
        <w:rPr/>
        <w:t>основании эпидемиологических</w:t>
      </w:r>
      <w:r>
        <w:rPr>
          <w:spacing w:val="-11"/>
        </w:rPr>
        <w:t> </w:t>
      </w:r>
      <w:r>
        <w:rPr/>
        <w:t>и</w:t>
      </w:r>
      <w:r>
        <w:rPr>
          <w:spacing w:val="-13"/>
        </w:rPr>
        <w:t> </w:t>
      </w:r>
      <w:r>
        <w:rPr/>
        <w:t>клинических</w:t>
      </w:r>
      <w:r>
        <w:rPr>
          <w:spacing w:val="-11"/>
        </w:rPr>
        <w:t> </w:t>
      </w:r>
      <w:r>
        <w:rPr/>
        <w:t>данных.</w:t>
      </w:r>
      <w:r>
        <w:rPr>
          <w:spacing w:val="-9"/>
        </w:rPr>
        <w:t> </w:t>
      </w:r>
      <w:r>
        <w:rPr/>
        <w:t>Кроме</w:t>
      </w:r>
      <w:r>
        <w:rPr>
          <w:spacing w:val="-12"/>
        </w:rPr>
        <w:t> </w:t>
      </w:r>
      <w:r>
        <w:rPr/>
        <w:t>того,</w:t>
      </w:r>
      <w:r>
        <w:rPr>
          <w:spacing w:val="-11"/>
        </w:rPr>
        <w:t> </w:t>
      </w:r>
      <w:r>
        <w:rPr/>
        <w:t>результаты</w:t>
      </w:r>
      <w:r>
        <w:rPr>
          <w:spacing w:val="-11"/>
        </w:rPr>
        <w:t> </w:t>
      </w:r>
      <w:r>
        <w:rPr/>
        <w:t>тестирования</w:t>
      </w:r>
      <w:r>
        <w:rPr>
          <w:spacing w:val="-11"/>
        </w:rPr>
        <w:t> </w:t>
      </w:r>
      <w:r>
        <w:rPr/>
        <w:t>не могут</w:t>
      </w:r>
      <w:r>
        <w:rPr>
          <w:spacing w:val="40"/>
        </w:rPr>
        <w:t> </w:t>
      </w:r>
      <w:r>
        <w:rPr/>
        <w:t>влиять</w:t>
      </w:r>
      <w:r>
        <w:rPr>
          <w:spacing w:val="40"/>
        </w:rPr>
        <w:t> </w:t>
      </w:r>
      <w:r>
        <w:rPr/>
        <w:t>на</w:t>
      </w:r>
      <w:r>
        <w:rPr>
          <w:spacing w:val="40"/>
        </w:rPr>
        <w:t> </w:t>
      </w:r>
      <w:r>
        <w:rPr/>
        <w:t>принятие</w:t>
      </w:r>
      <w:r>
        <w:rPr>
          <w:spacing w:val="40"/>
        </w:rPr>
        <w:t> </w:t>
      </w:r>
      <w:r>
        <w:rPr/>
        <w:t>решения</w:t>
      </w:r>
      <w:r>
        <w:rPr>
          <w:spacing w:val="40"/>
        </w:rPr>
        <w:t> </w:t>
      </w:r>
      <w:r>
        <w:rPr/>
        <w:t>о</w:t>
      </w:r>
      <w:r>
        <w:rPr>
          <w:spacing w:val="40"/>
        </w:rPr>
        <w:t> </w:t>
      </w:r>
      <w:r>
        <w:rPr/>
        <w:t>маршрутизации</w:t>
      </w:r>
      <w:r>
        <w:rPr>
          <w:spacing w:val="40"/>
        </w:rPr>
        <w:t> </w:t>
      </w:r>
      <w:r>
        <w:rPr/>
        <w:t>пациента.</w:t>
      </w:r>
      <w:r>
        <w:rPr>
          <w:spacing w:val="40"/>
        </w:rPr>
        <w:t> </w:t>
      </w:r>
      <w:r>
        <w:rPr/>
        <w:t>При</w:t>
      </w:r>
      <w:r>
        <w:rPr>
          <w:spacing w:val="40"/>
        </w:rPr>
        <w:t> </w:t>
      </w:r>
      <w:r>
        <w:rPr/>
        <w:t>отсутствии клинических симптомов ОРВИ или пневмонии экстренную хирургическую помощь оказывают</w:t>
      </w:r>
      <w:r>
        <w:rPr>
          <w:spacing w:val="40"/>
        </w:rPr>
        <w:t> </w:t>
      </w:r>
      <w:r>
        <w:rPr/>
        <w:t>в</w:t>
      </w:r>
      <w:r>
        <w:rPr>
          <w:spacing w:val="40"/>
        </w:rPr>
        <w:t> </w:t>
      </w:r>
      <w:r>
        <w:rPr/>
        <w:t>специализированном</w:t>
      </w:r>
      <w:r>
        <w:rPr>
          <w:spacing w:val="40"/>
        </w:rPr>
        <w:t> </w:t>
      </w:r>
      <w:r>
        <w:rPr/>
        <w:t>хирургическом</w:t>
      </w:r>
      <w:r>
        <w:rPr>
          <w:spacing w:val="40"/>
        </w:rPr>
        <w:t> </w:t>
      </w:r>
      <w:r>
        <w:rPr/>
        <w:t>стационаре</w:t>
      </w:r>
      <w:r>
        <w:rPr>
          <w:spacing w:val="40"/>
        </w:rPr>
        <w:t> </w:t>
      </w:r>
      <w:r>
        <w:rPr/>
        <w:t>(имеющем</w:t>
      </w:r>
      <w:r>
        <w:rPr>
          <w:spacing w:val="40"/>
        </w:rPr>
        <w:t> </w:t>
      </w:r>
      <w:r>
        <w:rPr/>
        <w:t>в</w:t>
      </w:r>
      <w:r>
        <w:rPr>
          <w:spacing w:val="40"/>
        </w:rPr>
        <w:t> </w:t>
      </w:r>
      <w:r>
        <w:rPr/>
        <w:t>своем </w:t>
      </w:r>
      <w:r>
        <w:rPr>
          <w:spacing w:val="-2"/>
        </w:rPr>
        <w:t>составе</w:t>
      </w:r>
      <w:r>
        <w:rPr/>
        <w:tab/>
        <w:tab/>
      </w:r>
      <w:r>
        <w:rPr>
          <w:spacing w:val="-2"/>
        </w:rPr>
        <w:t>мельцеровские</w:t>
      </w:r>
      <w:r>
        <w:rPr/>
        <w:tab/>
      </w:r>
      <w:r>
        <w:rPr>
          <w:spacing w:val="-4"/>
        </w:rPr>
        <w:t>боксы</w:t>
      </w:r>
      <w:r>
        <w:rPr/>
        <w:tab/>
      </w:r>
      <w:r>
        <w:rPr>
          <w:spacing w:val="-4"/>
        </w:rPr>
        <w:t>или</w:t>
      </w:r>
      <w:r>
        <w:rPr/>
        <w:tab/>
      </w:r>
      <w:r>
        <w:rPr>
          <w:spacing w:val="-2"/>
        </w:rPr>
        <w:t>инфекционное</w:t>
      </w:r>
      <w:r>
        <w:rPr/>
        <w:tab/>
      </w:r>
      <w:r>
        <w:rPr>
          <w:spacing w:val="-2"/>
        </w:rPr>
        <w:t>отделение</w:t>
      </w:r>
      <w:r>
        <w:rPr/>
        <w:tab/>
      </w:r>
      <w:r>
        <w:rPr>
          <w:spacing w:val="-4"/>
        </w:rPr>
        <w:t>для</w:t>
      </w:r>
      <w:r>
        <w:rPr/>
        <w:tab/>
        <w:tab/>
      </w:r>
      <w:r>
        <w:rPr>
          <w:spacing w:val="-2"/>
        </w:rPr>
        <w:t>пациентов </w:t>
      </w:r>
      <w:r>
        <w:rPr/>
        <w:t>с внебольничной</w:t>
        <w:tab/>
      </w:r>
      <w:r>
        <w:rPr>
          <w:spacing w:val="-2"/>
        </w:rPr>
        <w:t>пневмонией).</w:t>
      </w:r>
      <w:r>
        <w:rPr/>
        <w:tab/>
        <w:tab/>
      </w:r>
      <w:r>
        <w:rPr>
          <w:spacing w:val="-2"/>
        </w:rPr>
        <w:t>Оказание</w:t>
      </w:r>
      <w:r>
        <w:rPr/>
        <w:tab/>
      </w:r>
      <w:r>
        <w:rPr>
          <w:spacing w:val="-2"/>
        </w:rPr>
        <w:t>медицинской</w:t>
      </w:r>
      <w:r>
        <w:rPr/>
        <w:tab/>
        <w:tab/>
      </w:r>
      <w:r>
        <w:rPr>
          <w:spacing w:val="-2"/>
        </w:rPr>
        <w:t>помощи</w:t>
      </w:r>
      <w:r>
        <w:rPr/>
        <w:tab/>
      </w:r>
      <w:r>
        <w:rPr>
          <w:spacing w:val="-44"/>
        </w:rPr>
        <w:t> </w:t>
      </w:r>
      <w:r>
        <w:rPr/>
        <w:t>проводится медицинским</w:t>
      </w:r>
      <w:r>
        <w:rPr>
          <w:spacing w:val="40"/>
        </w:rPr>
        <w:t> </w:t>
      </w:r>
      <w:r>
        <w:rPr/>
        <w:t>персоналом,</w:t>
      </w:r>
      <w:r>
        <w:rPr>
          <w:spacing w:val="40"/>
        </w:rPr>
        <w:t> </w:t>
      </w:r>
      <w:r>
        <w:rPr/>
        <w:t>не</w:t>
      </w:r>
      <w:r>
        <w:rPr>
          <w:spacing w:val="40"/>
        </w:rPr>
        <w:t> </w:t>
      </w:r>
      <w:r>
        <w:rPr/>
        <w:t>контактирующим</w:t>
      </w:r>
      <w:r>
        <w:rPr>
          <w:spacing w:val="40"/>
        </w:rPr>
        <w:t> </w:t>
      </w:r>
      <w:r>
        <w:rPr/>
        <w:t>с</w:t>
      </w:r>
      <w:r>
        <w:rPr>
          <w:spacing w:val="40"/>
        </w:rPr>
        <w:t> </w:t>
      </w:r>
      <w:r>
        <w:rPr/>
        <w:t>пациентами</w:t>
      </w:r>
      <w:r>
        <w:rPr>
          <w:spacing w:val="40"/>
        </w:rPr>
        <w:t> </w:t>
      </w:r>
      <w:r>
        <w:rPr/>
        <w:t>с</w:t>
      </w:r>
      <w:r>
        <w:rPr>
          <w:spacing w:val="40"/>
        </w:rPr>
        <w:t> </w:t>
      </w:r>
      <w:r>
        <w:rPr/>
        <w:t>COVID-19,</w:t>
      </w:r>
      <w:r>
        <w:rPr>
          <w:spacing w:val="40"/>
        </w:rPr>
        <w:t> </w:t>
      </w:r>
      <w:r>
        <w:rPr/>
        <w:t>если пациент</w:t>
      </w:r>
      <w:r>
        <w:rPr>
          <w:spacing w:val="-5"/>
        </w:rPr>
        <w:t> </w:t>
      </w:r>
      <w:r>
        <w:rPr/>
        <w:t>был</w:t>
      </w:r>
      <w:r>
        <w:rPr>
          <w:spacing w:val="-4"/>
        </w:rPr>
        <w:t> </w:t>
      </w:r>
      <w:r>
        <w:rPr/>
        <w:t>на</w:t>
      </w:r>
      <w:r>
        <w:rPr>
          <w:spacing w:val="-4"/>
        </w:rPr>
        <w:t> </w:t>
      </w:r>
      <w:r>
        <w:rPr/>
        <w:t>карантине</w:t>
      </w:r>
      <w:r>
        <w:rPr>
          <w:spacing w:val="-4"/>
        </w:rPr>
        <w:t> </w:t>
      </w:r>
      <w:r>
        <w:rPr/>
        <w:t>более</w:t>
      </w:r>
      <w:r>
        <w:rPr>
          <w:spacing w:val="-2"/>
        </w:rPr>
        <w:t> </w:t>
      </w:r>
      <w:r>
        <w:rPr/>
        <w:t>7</w:t>
      </w:r>
      <w:r>
        <w:rPr>
          <w:spacing w:val="-4"/>
        </w:rPr>
        <w:t> </w:t>
      </w:r>
      <w:r>
        <w:rPr/>
        <w:t>дней</w:t>
      </w:r>
      <w:r>
        <w:rPr>
          <w:spacing w:val="-3"/>
        </w:rPr>
        <w:t> </w:t>
      </w:r>
      <w:r>
        <w:rPr/>
        <w:t>или</w:t>
      </w:r>
      <w:r>
        <w:rPr>
          <w:spacing w:val="-2"/>
        </w:rPr>
        <w:t> </w:t>
      </w:r>
      <w:r>
        <w:rPr/>
        <w:t>у</w:t>
      </w:r>
      <w:r>
        <w:rPr>
          <w:spacing w:val="-6"/>
        </w:rPr>
        <w:t> </w:t>
      </w:r>
      <w:r>
        <w:rPr/>
        <w:t>него</w:t>
      </w:r>
      <w:r>
        <w:rPr>
          <w:spacing w:val="-4"/>
        </w:rPr>
        <w:t> </w:t>
      </w:r>
      <w:r>
        <w:rPr/>
        <w:t>отрицательный</w:t>
      </w:r>
      <w:r>
        <w:rPr>
          <w:spacing w:val="-5"/>
        </w:rPr>
        <w:t> </w:t>
      </w:r>
      <w:r>
        <w:rPr/>
        <w:t>тест</w:t>
      </w:r>
      <w:r>
        <w:rPr>
          <w:spacing w:val="-4"/>
        </w:rPr>
        <w:t> </w:t>
      </w:r>
      <w:r>
        <w:rPr/>
        <w:t>на</w:t>
      </w:r>
      <w:r>
        <w:rPr>
          <w:spacing w:val="-4"/>
        </w:rPr>
        <w:t> </w:t>
      </w:r>
      <w:r>
        <w:rPr/>
        <w:t>COVID-19. При</w:t>
      </w:r>
      <w:r>
        <w:rPr>
          <w:spacing w:val="80"/>
        </w:rPr>
        <w:t> </w:t>
      </w:r>
      <w:r>
        <w:rPr/>
        <w:t>выявлении</w:t>
      </w:r>
      <w:r>
        <w:rPr>
          <w:spacing w:val="80"/>
        </w:rPr>
        <w:t> </w:t>
      </w:r>
      <w:r>
        <w:rPr/>
        <w:t>внебольничной</w:t>
      </w:r>
      <w:r>
        <w:rPr>
          <w:spacing w:val="80"/>
        </w:rPr>
        <w:t> </w:t>
      </w:r>
      <w:r>
        <w:rPr/>
        <w:t>пневмонии</w:t>
      </w:r>
      <w:r>
        <w:rPr>
          <w:spacing w:val="80"/>
        </w:rPr>
        <w:t> </w:t>
      </w:r>
      <w:r>
        <w:rPr/>
        <w:t>или</w:t>
      </w:r>
      <w:r>
        <w:rPr>
          <w:spacing w:val="80"/>
        </w:rPr>
        <w:t> </w:t>
      </w:r>
      <w:r>
        <w:rPr/>
        <w:t>положительном</w:t>
      </w:r>
      <w:r>
        <w:rPr>
          <w:spacing w:val="80"/>
        </w:rPr>
        <w:t> </w:t>
      </w:r>
      <w:r>
        <w:rPr/>
        <w:t>тесте</w:t>
      </w:r>
      <w:r>
        <w:rPr>
          <w:spacing w:val="80"/>
        </w:rPr>
        <w:t> </w:t>
      </w:r>
      <w:r>
        <w:rPr/>
        <w:t>на COVID-19</w:t>
      </w:r>
      <w:r>
        <w:rPr>
          <w:spacing w:val="80"/>
        </w:rPr>
        <w:t> </w:t>
      </w:r>
      <w:r>
        <w:rPr/>
        <w:t>экстренную</w:t>
      </w:r>
      <w:r>
        <w:rPr>
          <w:spacing w:val="80"/>
        </w:rPr>
        <w:t> </w:t>
      </w:r>
      <w:r>
        <w:rPr/>
        <w:t>хирургическую</w:t>
      </w:r>
      <w:r>
        <w:rPr>
          <w:spacing w:val="80"/>
        </w:rPr>
        <w:t> </w:t>
      </w:r>
      <w:r>
        <w:rPr/>
        <w:t>помощь</w:t>
      </w:r>
      <w:r>
        <w:rPr>
          <w:spacing w:val="80"/>
        </w:rPr>
        <w:t> </w:t>
      </w:r>
      <w:r>
        <w:rPr/>
        <w:t>оказывают</w:t>
      </w:r>
      <w:r>
        <w:rPr>
          <w:spacing w:val="80"/>
        </w:rPr>
        <w:t> </w:t>
      </w:r>
      <w:r>
        <w:rPr/>
        <w:t>в</w:t>
      </w:r>
      <w:r>
        <w:rPr>
          <w:spacing w:val="80"/>
        </w:rPr>
        <w:t> </w:t>
      </w:r>
      <w:r>
        <w:rPr/>
        <w:t>многопрофильной инфекционной</w:t>
      </w:r>
      <w:r>
        <w:rPr>
          <w:spacing w:val="37"/>
        </w:rPr>
        <w:t> </w:t>
      </w:r>
      <w:r>
        <w:rPr/>
        <w:t>больнице</w:t>
      </w:r>
      <w:r>
        <w:rPr>
          <w:spacing w:val="35"/>
        </w:rPr>
        <w:t> </w:t>
      </w:r>
      <w:r>
        <w:rPr/>
        <w:t>или</w:t>
      </w:r>
      <w:r>
        <w:rPr>
          <w:spacing w:val="35"/>
        </w:rPr>
        <w:t> </w:t>
      </w:r>
      <w:r>
        <w:rPr/>
        <w:t>перепрофилированном</w:t>
      </w:r>
      <w:r>
        <w:rPr>
          <w:spacing w:val="35"/>
        </w:rPr>
        <w:t> </w:t>
      </w:r>
      <w:r>
        <w:rPr/>
        <w:t>многопрофильном</w:t>
      </w:r>
      <w:r>
        <w:rPr>
          <w:spacing w:val="35"/>
        </w:rPr>
        <w:t> </w:t>
      </w:r>
      <w:r>
        <w:rPr/>
        <w:t>стационаре для</w:t>
      </w:r>
      <w:r>
        <w:rPr>
          <w:spacing w:val="29"/>
        </w:rPr>
        <w:t> </w:t>
      </w:r>
      <w:r>
        <w:rPr/>
        <w:t>оказания помощи больным с COVID-19,</w:t>
      </w:r>
      <w:r>
        <w:rPr>
          <w:spacing w:val="29"/>
        </w:rPr>
        <w:t> </w:t>
      </w:r>
      <w:r>
        <w:rPr/>
        <w:t>куда,</w:t>
      </w:r>
      <w:r>
        <w:rPr>
          <w:spacing w:val="29"/>
        </w:rPr>
        <w:t> </w:t>
      </w:r>
      <w:r>
        <w:rPr/>
        <w:t>в случае необходимости,</w:t>
      </w:r>
      <w:r>
        <w:rPr>
          <w:spacing w:val="29"/>
        </w:rPr>
        <w:t> </w:t>
      </w:r>
      <w:r>
        <w:rPr/>
        <w:t>может </w:t>
      </w:r>
      <w:r>
        <w:rPr>
          <w:spacing w:val="-4"/>
        </w:rPr>
        <w:t>быть</w:t>
      </w:r>
      <w:r>
        <w:rPr/>
        <w:tab/>
      </w:r>
      <w:r>
        <w:rPr>
          <w:spacing w:val="-2"/>
        </w:rPr>
        <w:t>вызвана</w:t>
      </w:r>
      <w:r>
        <w:rPr/>
        <w:tab/>
        <w:tab/>
      </w:r>
      <w:r>
        <w:rPr>
          <w:spacing w:val="-2"/>
        </w:rPr>
        <w:t>специализированная</w:t>
      </w:r>
      <w:r>
        <w:rPr/>
        <w:tab/>
        <w:tab/>
      </w:r>
      <w:r>
        <w:rPr>
          <w:spacing w:val="-2"/>
        </w:rPr>
        <w:t>хирургическая</w:t>
      </w:r>
      <w:r>
        <w:rPr/>
        <w:tab/>
      </w:r>
      <w:r>
        <w:rPr>
          <w:spacing w:val="-2"/>
        </w:rPr>
        <w:t>бригада.</w:t>
      </w:r>
      <w:r>
        <w:rPr/>
        <w:tab/>
      </w:r>
      <w:r>
        <w:rPr>
          <w:spacing w:val="-10"/>
        </w:rPr>
        <w:t>В</w:t>
      </w:r>
      <w:r>
        <w:rPr/>
        <w:tab/>
      </w:r>
      <w:r>
        <w:rPr>
          <w:spacing w:val="-2"/>
        </w:rPr>
        <w:t>случае </w:t>
      </w:r>
      <w:r>
        <w:rPr/>
        <w:t>жизнеугрожающей</w:t>
      </w:r>
      <w:r>
        <w:rPr>
          <w:spacing w:val="80"/>
        </w:rPr>
        <w:t> </w:t>
      </w:r>
      <w:r>
        <w:rPr/>
        <w:t>ситуации</w:t>
      </w:r>
      <w:r>
        <w:rPr>
          <w:spacing w:val="80"/>
        </w:rPr>
        <w:t> </w:t>
      </w:r>
      <w:r>
        <w:rPr/>
        <w:t>и</w:t>
      </w:r>
      <w:r>
        <w:rPr>
          <w:spacing w:val="80"/>
        </w:rPr>
        <w:t> </w:t>
      </w:r>
      <w:r>
        <w:rPr/>
        <w:t>невозможности</w:t>
      </w:r>
      <w:r>
        <w:rPr>
          <w:spacing w:val="80"/>
        </w:rPr>
        <w:t> </w:t>
      </w:r>
      <w:r>
        <w:rPr/>
        <w:t>транспортировки</w:t>
      </w:r>
      <w:r>
        <w:rPr>
          <w:spacing w:val="80"/>
        </w:rPr>
        <w:t> </w:t>
      </w:r>
      <w:r>
        <w:rPr/>
        <w:t>хирургическая помощь</w:t>
      </w:r>
      <w:r>
        <w:rPr>
          <w:spacing w:val="32"/>
        </w:rPr>
        <w:t> </w:t>
      </w:r>
      <w:r>
        <w:rPr/>
        <w:t>оказывается</w:t>
      </w:r>
      <w:r>
        <w:rPr>
          <w:spacing w:val="31"/>
        </w:rPr>
        <w:t> </w:t>
      </w:r>
      <w:r>
        <w:rPr/>
        <w:t>на</w:t>
      </w:r>
      <w:r>
        <w:rPr>
          <w:spacing w:val="31"/>
        </w:rPr>
        <w:t> </w:t>
      </w:r>
      <w:r>
        <w:rPr/>
        <w:t>месте</w:t>
      </w:r>
      <w:r>
        <w:rPr>
          <w:spacing w:val="34"/>
        </w:rPr>
        <w:t> </w:t>
      </w:r>
      <w:r>
        <w:rPr/>
        <w:t>с</w:t>
      </w:r>
      <w:r>
        <w:rPr>
          <w:spacing w:val="31"/>
        </w:rPr>
        <w:t> </w:t>
      </w:r>
      <w:r>
        <w:rPr/>
        <w:t>соблюдением</w:t>
      </w:r>
      <w:r>
        <w:rPr>
          <w:spacing w:val="31"/>
        </w:rPr>
        <w:t> </w:t>
      </w:r>
      <w:r>
        <w:rPr/>
        <w:t>всех</w:t>
      </w:r>
      <w:r>
        <w:rPr>
          <w:spacing w:val="34"/>
        </w:rPr>
        <w:t> </w:t>
      </w:r>
      <w:r>
        <w:rPr/>
        <w:t>санитарно-эпидемиологических мероприятий. В</w:t>
      </w:r>
      <w:r>
        <w:rPr>
          <w:spacing w:val="-3"/>
        </w:rPr>
        <w:t> </w:t>
      </w:r>
      <w:r>
        <w:rPr/>
        <w:t>послеоперационном периоде пациент помещается в изолированный бокс</w:t>
      </w:r>
      <w:r>
        <w:rPr>
          <w:spacing w:val="-4"/>
        </w:rPr>
        <w:t> </w:t>
      </w:r>
      <w:r>
        <w:rPr/>
        <w:t>или</w:t>
      </w:r>
      <w:r>
        <w:rPr>
          <w:spacing w:val="-2"/>
        </w:rPr>
        <w:t> </w:t>
      </w:r>
      <w:r>
        <w:rPr/>
        <w:t>боксированное</w:t>
      </w:r>
      <w:r>
        <w:rPr>
          <w:spacing w:val="-4"/>
        </w:rPr>
        <w:t> </w:t>
      </w:r>
      <w:r>
        <w:rPr/>
        <w:t>отделение, откуда</w:t>
      </w:r>
      <w:r>
        <w:rPr>
          <w:spacing w:val="-4"/>
        </w:rPr>
        <w:t> </w:t>
      </w:r>
      <w:r>
        <w:rPr/>
        <w:t>осуществляется</w:t>
      </w:r>
      <w:r>
        <w:rPr>
          <w:spacing w:val="-3"/>
        </w:rPr>
        <w:t> </w:t>
      </w:r>
      <w:r>
        <w:rPr/>
        <w:t>перевод</w:t>
      </w:r>
      <w:r>
        <w:rPr>
          <w:spacing w:val="-1"/>
        </w:rPr>
        <w:t> </w:t>
      </w:r>
      <w:r>
        <w:rPr/>
        <w:t>в</w:t>
      </w:r>
      <w:r>
        <w:rPr>
          <w:spacing w:val="-2"/>
        </w:rPr>
        <w:t> </w:t>
      </w:r>
      <w:r>
        <w:rPr/>
        <w:t>инфекционный или</w:t>
      </w:r>
      <w:r>
        <w:rPr>
          <w:spacing w:val="53"/>
          <w:w w:val="150"/>
        </w:rPr>
        <w:t> </w:t>
      </w:r>
      <w:r>
        <w:rPr/>
        <w:t>перепрофилированный</w:t>
      </w:r>
      <w:r>
        <w:rPr>
          <w:spacing w:val="55"/>
          <w:w w:val="150"/>
        </w:rPr>
        <w:t> </w:t>
      </w:r>
      <w:r>
        <w:rPr/>
        <w:t>многопрофильный</w:t>
      </w:r>
      <w:r>
        <w:rPr>
          <w:spacing w:val="55"/>
          <w:w w:val="150"/>
        </w:rPr>
        <w:t> </w:t>
      </w:r>
      <w:r>
        <w:rPr/>
        <w:t>стационар</w:t>
      </w:r>
      <w:r>
        <w:rPr>
          <w:spacing w:val="54"/>
          <w:w w:val="150"/>
        </w:rPr>
        <w:t> </w:t>
      </w:r>
      <w:r>
        <w:rPr/>
        <w:t>для</w:t>
      </w:r>
      <w:r>
        <w:rPr>
          <w:spacing w:val="55"/>
          <w:w w:val="150"/>
        </w:rPr>
        <w:t> </w:t>
      </w:r>
      <w:r>
        <w:rPr/>
        <w:t>оказания</w:t>
      </w:r>
      <w:r>
        <w:rPr>
          <w:spacing w:val="54"/>
          <w:w w:val="150"/>
        </w:rPr>
        <w:t> </w:t>
      </w:r>
      <w:r>
        <w:rPr>
          <w:spacing w:val="-2"/>
        </w:rPr>
        <w:t>помощи</w:t>
      </w:r>
    </w:p>
    <w:p>
      <w:pPr>
        <w:pStyle w:val="BodyText"/>
        <w:spacing w:line="272" w:lineRule="exact"/>
        <w:jc w:val="left"/>
      </w:pPr>
      <w:r>
        <w:rPr/>
        <w:t>больным</w:t>
      </w:r>
      <w:r>
        <w:rPr>
          <w:spacing w:val="-14"/>
        </w:rPr>
        <w:t> </w:t>
      </w:r>
      <w:r>
        <w:rPr/>
        <w:t>с</w:t>
      </w:r>
      <w:r>
        <w:rPr>
          <w:spacing w:val="-12"/>
        </w:rPr>
        <w:t> </w:t>
      </w:r>
      <w:r>
        <w:rPr/>
        <w:t>COVID-19</w:t>
      </w:r>
      <w:r>
        <w:rPr>
          <w:spacing w:val="-13"/>
        </w:rPr>
        <w:t> </w:t>
      </w:r>
      <w:r>
        <w:rPr/>
        <w:t>после</w:t>
      </w:r>
      <w:r>
        <w:rPr>
          <w:spacing w:val="-12"/>
        </w:rPr>
        <w:t> </w:t>
      </w:r>
      <w:r>
        <w:rPr/>
        <w:t>стабилизации</w:t>
      </w:r>
      <w:r>
        <w:rPr>
          <w:spacing w:val="-12"/>
        </w:rPr>
        <w:t> </w:t>
      </w:r>
      <w:r>
        <w:rPr/>
        <w:t>состояния</w:t>
      </w:r>
      <w:r>
        <w:rPr>
          <w:spacing w:val="-13"/>
        </w:rPr>
        <w:t> </w:t>
      </w:r>
      <w:r>
        <w:rPr>
          <w:spacing w:val="-2"/>
        </w:rPr>
        <w:t>пациента.</w:t>
      </w:r>
    </w:p>
    <w:p>
      <w:pPr>
        <w:pStyle w:val="BodyText"/>
        <w:spacing w:before="4"/>
        <w:ind w:left="0"/>
        <w:jc w:val="left"/>
      </w:pPr>
    </w:p>
    <w:p>
      <w:pPr>
        <w:pStyle w:val="Heading3"/>
        <w:ind w:left="849" w:right="938"/>
        <w:jc w:val="center"/>
      </w:pPr>
      <w:r>
        <w:rPr>
          <w:color w:val="1F487C"/>
          <w:spacing w:val="-2"/>
        </w:rPr>
        <w:t>Экстренная</w:t>
      </w:r>
      <w:r>
        <w:rPr>
          <w:color w:val="1F487C"/>
          <w:spacing w:val="1"/>
        </w:rPr>
        <w:t> </w:t>
      </w:r>
      <w:r>
        <w:rPr>
          <w:color w:val="1F487C"/>
          <w:spacing w:val="-2"/>
        </w:rPr>
        <w:t>хирургическая</w:t>
      </w:r>
      <w:r>
        <w:rPr>
          <w:color w:val="1F487C"/>
          <w:spacing w:val="2"/>
        </w:rPr>
        <w:t> </w:t>
      </w:r>
      <w:r>
        <w:rPr>
          <w:color w:val="1F487C"/>
          <w:spacing w:val="-2"/>
        </w:rPr>
        <w:t>помощь</w:t>
      </w:r>
      <w:r>
        <w:rPr>
          <w:color w:val="1F487C"/>
          <w:spacing w:val="2"/>
        </w:rPr>
        <w:t> </w:t>
      </w:r>
      <w:r>
        <w:rPr>
          <w:color w:val="1F487C"/>
          <w:spacing w:val="-2"/>
        </w:rPr>
        <w:t>пациентам</w:t>
      </w:r>
      <w:r>
        <w:rPr>
          <w:color w:val="1F487C"/>
          <w:spacing w:val="2"/>
        </w:rPr>
        <w:t> </w:t>
      </w:r>
      <w:r>
        <w:rPr>
          <w:color w:val="1F487C"/>
          <w:spacing w:val="-2"/>
        </w:rPr>
        <w:t>без</w:t>
      </w:r>
      <w:r>
        <w:rPr>
          <w:color w:val="1F487C"/>
          <w:spacing w:val="2"/>
        </w:rPr>
        <w:t> </w:t>
      </w:r>
      <w:r>
        <w:rPr>
          <w:color w:val="1F487C"/>
          <w:spacing w:val="-2"/>
        </w:rPr>
        <w:t>COVID-</w:t>
      </w:r>
      <w:r>
        <w:rPr>
          <w:color w:val="1F487C"/>
          <w:spacing w:val="-5"/>
        </w:rPr>
        <w:t>19</w:t>
      </w:r>
    </w:p>
    <w:p>
      <w:pPr>
        <w:pStyle w:val="BodyText"/>
        <w:spacing w:line="276" w:lineRule="auto" w:before="161"/>
        <w:ind w:right="1277" w:firstLine="707"/>
      </w:pPr>
      <w:r>
        <w:rPr/>
        <w:t>Пациент</w:t>
      </w:r>
      <w:r>
        <w:rPr>
          <w:spacing w:val="71"/>
        </w:rPr>
        <w:t>   </w:t>
      </w:r>
      <w:r>
        <w:rPr/>
        <w:t>доставляется</w:t>
      </w:r>
      <w:r>
        <w:rPr>
          <w:spacing w:val="71"/>
        </w:rPr>
        <w:t>   </w:t>
      </w:r>
      <w:r>
        <w:rPr/>
        <w:t>бригадой</w:t>
      </w:r>
      <w:r>
        <w:rPr>
          <w:spacing w:val="71"/>
        </w:rPr>
        <w:t>   </w:t>
      </w:r>
      <w:r>
        <w:rPr/>
        <w:t>скорой</w:t>
      </w:r>
      <w:r>
        <w:rPr>
          <w:spacing w:val="71"/>
        </w:rPr>
        <w:t>   </w:t>
      </w:r>
      <w:r>
        <w:rPr/>
        <w:t>медицинской</w:t>
      </w:r>
      <w:r>
        <w:rPr>
          <w:spacing w:val="70"/>
        </w:rPr>
        <w:t>   </w:t>
      </w:r>
      <w:r>
        <w:rPr/>
        <w:t>помощи в</w:t>
      </w:r>
      <w:r>
        <w:rPr>
          <w:spacing w:val="-5"/>
        </w:rPr>
        <w:t> </w:t>
      </w:r>
      <w:r>
        <w:rPr/>
        <w:t>многопрофильную клинику, выделенную для оказания экстренной хирургической помощи пациентам без COVID-19, имеющую возможность изолировать больных, подозрительных на внебольничную пневмонию или ОРВИ.</w:t>
      </w:r>
    </w:p>
    <w:p>
      <w:pPr>
        <w:pStyle w:val="BodyText"/>
        <w:spacing w:line="276" w:lineRule="auto"/>
        <w:ind w:right="1273" w:firstLine="707"/>
      </w:pPr>
      <w:r>
        <w:rPr/>
        <w:t>Пациенту в экстренном порядке берут материал для лабораторного обследования</w:t>
      </w:r>
      <w:r>
        <w:rPr>
          <w:spacing w:val="40"/>
        </w:rPr>
        <w:t> </w:t>
      </w:r>
      <w:r>
        <w:rPr/>
        <w:t>на</w:t>
      </w:r>
      <w:r>
        <w:rPr>
          <w:spacing w:val="40"/>
        </w:rPr>
        <w:t> </w:t>
      </w:r>
      <w:r>
        <w:rPr/>
        <w:t>COVID-19,</w:t>
      </w:r>
      <w:r>
        <w:rPr>
          <w:spacing w:val="40"/>
        </w:rPr>
        <w:t> </w:t>
      </w:r>
      <w:r>
        <w:rPr/>
        <w:t>при</w:t>
      </w:r>
      <w:r>
        <w:rPr>
          <w:spacing w:val="40"/>
        </w:rPr>
        <w:t> </w:t>
      </w:r>
      <w:r>
        <w:rPr/>
        <w:t>наличии</w:t>
      </w:r>
      <w:r>
        <w:rPr>
          <w:spacing w:val="40"/>
        </w:rPr>
        <w:t> </w:t>
      </w:r>
      <w:r>
        <w:rPr/>
        <w:t>показаний</w:t>
      </w:r>
      <w:r>
        <w:rPr>
          <w:spacing w:val="40"/>
        </w:rPr>
        <w:t> </w:t>
      </w:r>
      <w:r>
        <w:rPr/>
        <w:t>выполняют</w:t>
      </w:r>
      <w:r>
        <w:rPr>
          <w:spacing w:val="40"/>
        </w:rPr>
        <w:t> </w:t>
      </w:r>
      <w:r>
        <w:rPr/>
        <w:t>РГ</w:t>
      </w:r>
      <w:r>
        <w:rPr>
          <w:spacing w:val="40"/>
        </w:rPr>
        <w:t> </w:t>
      </w:r>
      <w:r>
        <w:rPr/>
        <w:t>или</w:t>
      </w:r>
      <w:r>
        <w:rPr>
          <w:spacing w:val="40"/>
        </w:rPr>
        <w:t> </w:t>
      </w:r>
      <w:r>
        <w:rPr/>
        <w:t>КТ</w:t>
      </w:r>
      <w:r>
        <w:rPr>
          <w:spacing w:val="40"/>
        </w:rPr>
        <w:t> </w:t>
      </w:r>
      <w:r>
        <w:rPr/>
        <w:t>ОГК (с</w:t>
      </w:r>
      <w:r>
        <w:rPr>
          <w:spacing w:val="-5"/>
        </w:rPr>
        <w:t> </w:t>
      </w:r>
      <w:r>
        <w:rPr/>
        <w:t>использованием соответствующих мер безопасности как для больного, так и для медицинского</w:t>
      </w:r>
      <w:r>
        <w:rPr>
          <w:spacing w:val="-6"/>
        </w:rPr>
        <w:t> </w:t>
      </w:r>
      <w:r>
        <w:rPr/>
        <w:t>персонала).</w:t>
      </w:r>
      <w:r>
        <w:rPr>
          <w:spacing w:val="-1"/>
        </w:rPr>
        <w:t> </w:t>
      </w:r>
      <w:r>
        <w:rPr/>
        <w:t>Сроки</w:t>
      </w:r>
      <w:r>
        <w:rPr>
          <w:spacing w:val="-2"/>
        </w:rPr>
        <w:t> </w:t>
      </w:r>
      <w:r>
        <w:rPr/>
        <w:t>выполнения</w:t>
      </w:r>
      <w:r>
        <w:rPr>
          <w:spacing w:val="-3"/>
        </w:rPr>
        <w:t> </w:t>
      </w:r>
      <w:r>
        <w:rPr/>
        <w:t>теста</w:t>
      </w:r>
      <w:r>
        <w:rPr>
          <w:spacing w:val="-4"/>
        </w:rPr>
        <w:t> </w:t>
      </w:r>
      <w:r>
        <w:rPr/>
        <w:t>и</w:t>
      </w:r>
      <w:r>
        <w:rPr>
          <w:spacing w:val="-2"/>
        </w:rPr>
        <w:t> </w:t>
      </w:r>
      <w:r>
        <w:rPr/>
        <w:t>его</w:t>
      </w:r>
      <w:r>
        <w:rPr>
          <w:spacing w:val="-3"/>
        </w:rPr>
        <w:t> </w:t>
      </w:r>
      <w:r>
        <w:rPr/>
        <w:t>результаты</w:t>
      </w:r>
      <w:r>
        <w:rPr>
          <w:spacing w:val="-6"/>
        </w:rPr>
        <w:t> </w:t>
      </w:r>
      <w:r>
        <w:rPr/>
        <w:t>не</w:t>
      </w:r>
      <w:r>
        <w:rPr>
          <w:spacing w:val="-4"/>
        </w:rPr>
        <w:t> </w:t>
      </w:r>
      <w:r>
        <w:rPr/>
        <w:t>могут</w:t>
      </w:r>
      <w:r>
        <w:rPr>
          <w:spacing w:val="-3"/>
        </w:rPr>
        <w:t> </w:t>
      </w:r>
      <w:r>
        <w:rPr/>
        <w:t>влиять на принятие решения о</w:t>
      </w:r>
      <w:r>
        <w:rPr>
          <w:spacing w:val="-1"/>
        </w:rPr>
        <w:t> </w:t>
      </w:r>
      <w:r>
        <w:rPr/>
        <w:t>маршрутизации пациента. При отсутствии клинических признаков</w:t>
      </w:r>
      <w:r>
        <w:rPr>
          <w:spacing w:val="80"/>
          <w:w w:val="150"/>
        </w:rPr>
        <w:t> </w:t>
      </w:r>
      <w:r>
        <w:rPr/>
        <w:t>ОРВИ,</w:t>
      </w:r>
      <w:r>
        <w:rPr>
          <w:spacing w:val="80"/>
          <w:w w:val="150"/>
        </w:rPr>
        <w:t> </w:t>
      </w:r>
      <w:r>
        <w:rPr/>
        <w:t>пневмонии</w:t>
      </w:r>
      <w:r>
        <w:rPr>
          <w:spacing w:val="80"/>
          <w:w w:val="150"/>
        </w:rPr>
        <w:t> </w:t>
      </w:r>
      <w:r>
        <w:rPr/>
        <w:t>экстренную</w:t>
      </w:r>
      <w:r>
        <w:rPr>
          <w:spacing w:val="80"/>
          <w:w w:val="150"/>
        </w:rPr>
        <w:t> </w:t>
      </w:r>
      <w:r>
        <w:rPr/>
        <w:t>хирургическую</w:t>
      </w:r>
      <w:r>
        <w:rPr>
          <w:spacing w:val="80"/>
          <w:w w:val="150"/>
        </w:rPr>
        <w:t> </w:t>
      </w:r>
      <w:r>
        <w:rPr/>
        <w:t>помощь</w:t>
      </w:r>
      <w:r>
        <w:rPr>
          <w:spacing w:val="80"/>
          <w:w w:val="150"/>
        </w:rPr>
        <w:t> </w:t>
      </w:r>
      <w:r>
        <w:rPr/>
        <w:t>оказывают</w:t>
      </w:r>
      <w:r>
        <w:rPr>
          <w:spacing w:val="40"/>
        </w:rPr>
        <w:t> </w:t>
      </w:r>
      <w:r>
        <w:rPr/>
        <w:t>в</w:t>
      </w:r>
      <w:r>
        <w:rPr>
          <w:spacing w:val="-3"/>
        </w:rPr>
        <w:t> </w:t>
      </w:r>
      <w:r>
        <w:rPr/>
        <w:t>специализированном хирургическом стационаре (имеющем в своем составе мельцеровские боксы или инфекционное отделение для пациентов с внебольничной пневмонией). Оказание</w:t>
      </w:r>
      <w:r>
        <w:rPr>
          <w:spacing w:val="-2"/>
        </w:rPr>
        <w:t> </w:t>
      </w:r>
      <w:r>
        <w:rPr/>
        <w:t>медицинской помощи проводится медицинским персоналом, не</w:t>
      </w:r>
      <w:r>
        <w:rPr>
          <w:spacing w:val="-4"/>
        </w:rPr>
        <w:t> </w:t>
      </w:r>
      <w:r>
        <w:rPr/>
        <w:t>контактирующим с</w:t>
      </w:r>
      <w:r>
        <w:rPr>
          <w:spacing w:val="-1"/>
        </w:rPr>
        <w:t> </w:t>
      </w:r>
      <w:r>
        <w:rPr/>
        <w:t>пациентами с COVID-19, если пациент был на карантине</w:t>
      </w:r>
      <w:r>
        <w:rPr>
          <w:spacing w:val="40"/>
        </w:rPr>
        <w:t> </w:t>
      </w:r>
      <w:r>
        <w:rPr/>
        <w:t>более 7 дней или у него отрицательный тест на COVID-19.</w:t>
      </w:r>
    </w:p>
    <w:p>
      <w:pPr>
        <w:pStyle w:val="BodyText"/>
        <w:spacing w:line="276" w:lineRule="auto"/>
        <w:ind w:right="1276" w:firstLine="707"/>
      </w:pPr>
      <w:r>
        <w:rPr/>
        <w:t>При выявлении внебольничной пневмонии, ОРВИ или положительном тесте на</w:t>
      </w:r>
      <w:r>
        <w:rPr>
          <w:spacing w:val="-7"/>
        </w:rPr>
        <w:t> </w:t>
      </w:r>
      <w:r>
        <w:rPr/>
        <w:t>COVID-19 больной переводится для оказания экстренной хирургической помощи в</w:t>
      </w:r>
      <w:r>
        <w:rPr>
          <w:spacing w:val="-3"/>
        </w:rPr>
        <w:t> </w:t>
      </w:r>
      <w:r>
        <w:rPr/>
        <w:t>многопрофильную инфекционную больницу или перепрофилированный многопрофильный</w:t>
      </w:r>
      <w:r>
        <w:rPr>
          <w:spacing w:val="65"/>
        </w:rPr>
        <w:t> </w:t>
      </w:r>
      <w:r>
        <w:rPr/>
        <w:t>стационар</w:t>
      </w:r>
      <w:r>
        <w:rPr>
          <w:spacing w:val="64"/>
        </w:rPr>
        <w:t> </w:t>
      </w:r>
      <w:r>
        <w:rPr/>
        <w:t>для</w:t>
      </w:r>
      <w:r>
        <w:rPr>
          <w:spacing w:val="64"/>
        </w:rPr>
        <w:t> </w:t>
      </w:r>
      <w:r>
        <w:rPr/>
        <w:t>оказания</w:t>
      </w:r>
      <w:r>
        <w:rPr>
          <w:spacing w:val="40"/>
        </w:rPr>
        <w:t> </w:t>
      </w:r>
      <w:r>
        <w:rPr/>
        <w:t>помощи</w:t>
      </w:r>
      <w:r>
        <w:rPr>
          <w:spacing w:val="65"/>
        </w:rPr>
        <w:t> </w:t>
      </w:r>
      <w:r>
        <w:rPr/>
        <w:t>больным</w:t>
      </w:r>
      <w:r>
        <w:rPr>
          <w:spacing w:val="40"/>
        </w:rPr>
        <w:t> </w:t>
      </w:r>
      <w:r>
        <w:rPr/>
        <w:t>с</w:t>
      </w:r>
      <w:r>
        <w:rPr>
          <w:spacing w:val="40"/>
        </w:rPr>
        <w:t> </w:t>
      </w:r>
      <w:r>
        <w:rPr/>
        <w:t>COVID-19,</w:t>
      </w:r>
      <w:r>
        <w:rPr>
          <w:spacing w:val="64"/>
        </w:rPr>
        <w:t> </w:t>
      </w:r>
      <w:r>
        <w:rPr/>
        <w:t>куда, в</w:t>
      </w:r>
      <w:r>
        <w:rPr>
          <w:spacing w:val="-5"/>
        </w:rPr>
        <w:t> </w:t>
      </w:r>
      <w:r>
        <w:rPr/>
        <w:t>случае необходимости, может быть вызвана специализированная хирургическая </w:t>
      </w:r>
      <w:r>
        <w:rPr>
          <w:spacing w:val="-2"/>
        </w:rPr>
        <w:t>бригада.</w:t>
      </w:r>
    </w:p>
    <w:p>
      <w:pPr>
        <w:pStyle w:val="BodyText"/>
        <w:spacing w:after="0" w:line="276" w:lineRule="auto"/>
        <w:sectPr>
          <w:pgSz w:w="11900" w:h="16840"/>
          <w:pgMar w:header="0" w:footer="697" w:top="1080" w:bottom="880" w:left="0" w:right="0"/>
        </w:sectPr>
      </w:pPr>
    </w:p>
    <w:p>
      <w:pPr>
        <w:pStyle w:val="BodyText"/>
        <w:spacing w:line="276" w:lineRule="auto" w:before="73"/>
        <w:ind w:right="1273" w:firstLine="707"/>
      </w:pPr>
      <w:bookmarkStart w:name="142" w:id="169"/>
      <w:bookmarkEnd w:id="169"/>
      <w:r>
        <w:rPr/>
      </w:r>
      <w:r>
        <w:rPr/>
        <w:t>В случае жизнеугрожающей ситуации и невозможности транспортировки, помощь оказывается на месте с соблюдением всех санитарно-эпидемиологических мероприятий. В послеоперационном периоде пациент помещается в изолированный бокс</w:t>
      </w:r>
      <w:r>
        <w:rPr>
          <w:spacing w:val="-4"/>
        </w:rPr>
        <w:t> </w:t>
      </w:r>
      <w:r>
        <w:rPr/>
        <w:t>или</w:t>
      </w:r>
      <w:r>
        <w:rPr>
          <w:spacing w:val="-2"/>
        </w:rPr>
        <w:t> </w:t>
      </w:r>
      <w:r>
        <w:rPr/>
        <w:t>боксированное</w:t>
      </w:r>
      <w:r>
        <w:rPr>
          <w:spacing w:val="-4"/>
        </w:rPr>
        <w:t> </w:t>
      </w:r>
      <w:r>
        <w:rPr/>
        <w:t>отделение,</w:t>
      </w:r>
      <w:r>
        <w:rPr>
          <w:spacing w:val="-3"/>
        </w:rPr>
        <w:t> </w:t>
      </w:r>
      <w:r>
        <w:rPr/>
        <w:t>откуда</w:t>
      </w:r>
      <w:r>
        <w:rPr>
          <w:spacing w:val="-4"/>
        </w:rPr>
        <w:t> </w:t>
      </w:r>
      <w:r>
        <w:rPr/>
        <w:t>осуществляется</w:t>
      </w:r>
      <w:r>
        <w:rPr>
          <w:spacing w:val="-3"/>
        </w:rPr>
        <w:t> </w:t>
      </w:r>
      <w:r>
        <w:rPr/>
        <w:t>перевод</w:t>
      </w:r>
      <w:r>
        <w:rPr>
          <w:spacing w:val="-1"/>
        </w:rPr>
        <w:t> </w:t>
      </w:r>
      <w:r>
        <w:rPr/>
        <w:t>в</w:t>
      </w:r>
      <w:r>
        <w:rPr>
          <w:spacing w:val="-2"/>
        </w:rPr>
        <w:t> </w:t>
      </w:r>
      <w:r>
        <w:rPr/>
        <w:t>инфекционный или перепрофилированный многопрофильный стационар для оказания помощи больным с COVID-19 после стабилизации состояния.</w:t>
      </w:r>
    </w:p>
    <w:p>
      <w:pPr>
        <w:pStyle w:val="Heading3"/>
        <w:spacing w:line="278" w:lineRule="auto" w:before="237"/>
        <w:ind w:right="1694"/>
      </w:pPr>
      <w:r>
        <w:rPr>
          <w:color w:val="1F487C"/>
        </w:rPr>
        <w:t>Меры</w:t>
      </w:r>
      <w:r>
        <w:rPr>
          <w:color w:val="1F487C"/>
          <w:spacing w:val="-10"/>
        </w:rPr>
        <w:t> </w:t>
      </w:r>
      <w:r>
        <w:rPr>
          <w:color w:val="1F487C"/>
        </w:rPr>
        <w:t>предосторожности</w:t>
      </w:r>
      <w:r>
        <w:rPr>
          <w:color w:val="1F487C"/>
          <w:spacing w:val="-10"/>
        </w:rPr>
        <w:t> </w:t>
      </w:r>
      <w:r>
        <w:rPr>
          <w:color w:val="1F487C"/>
        </w:rPr>
        <w:t>для</w:t>
      </w:r>
      <w:r>
        <w:rPr>
          <w:color w:val="1F487C"/>
          <w:spacing w:val="-11"/>
        </w:rPr>
        <w:t> </w:t>
      </w:r>
      <w:r>
        <w:rPr>
          <w:color w:val="1F487C"/>
        </w:rPr>
        <w:t>обеспечения</w:t>
      </w:r>
      <w:r>
        <w:rPr>
          <w:color w:val="1F487C"/>
          <w:spacing w:val="-11"/>
        </w:rPr>
        <w:t> </w:t>
      </w:r>
      <w:r>
        <w:rPr>
          <w:color w:val="1F487C"/>
        </w:rPr>
        <w:t>безопасности</w:t>
      </w:r>
      <w:r>
        <w:rPr>
          <w:color w:val="1F487C"/>
          <w:spacing w:val="-10"/>
        </w:rPr>
        <w:t> </w:t>
      </w:r>
      <w:r>
        <w:rPr>
          <w:color w:val="1F487C"/>
        </w:rPr>
        <w:t>медицинского персонала при оказании экстренной хирургической помощи</w:t>
      </w:r>
    </w:p>
    <w:p>
      <w:pPr>
        <w:pStyle w:val="BodyText"/>
        <w:spacing w:line="276" w:lineRule="auto" w:before="115"/>
        <w:ind w:right="1272" w:firstLine="707"/>
      </w:pPr>
      <w:r>
        <w:rPr/>
        <w:t>Образование мельчайших жидких частиц (аэрозолей) в ходе медицинских процедур может представлять угрозу для медицинского персонала из-за возможного содержания в аэрозоли SARS-CoV-2. Следующие процедуры считаются потенциально</w:t>
      </w:r>
      <w:r>
        <w:rPr>
          <w:spacing w:val="40"/>
        </w:rPr>
        <w:t> </w:t>
      </w:r>
      <w:r>
        <w:rPr/>
        <w:t>опасными</w:t>
      </w:r>
      <w:r>
        <w:rPr>
          <w:spacing w:val="40"/>
        </w:rPr>
        <w:t> </w:t>
      </w:r>
      <w:r>
        <w:rPr/>
        <w:t>в</w:t>
      </w:r>
      <w:r>
        <w:rPr>
          <w:spacing w:val="40"/>
        </w:rPr>
        <w:t> </w:t>
      </w:r>
      <w:r>
        <w:rPr/>
        <w:t>отношении</w:t>
      </w:r>
      <w:r>
        <w:rPr>
          <w:spacing w:val="40"/>
        </w:rPr>
        <w:t> </w:t>
      </w:r>
      <w:r>
        <w:rPr/>
        <w:t>образования</w:t>
      </w:r>
      <w:r>
        <w:rPr>
          <w:spacing w:val="40"/>
        </w:rPr>
        <w:t> </w:t>
      </w:r>
      <w:r>
        <w:rPr/>
        <w:t>аэрозолей,</w:t>
      </w:r>
      <w:r>
        <w:rPr>
          <w:spacing w:val="40"/>
        </w:rPr>
        <w:t> </w:t>
      </w:r>
      <w:r>
        <w:rPr/>
        <w:t>содержащих </w:t>
      </w:r>
      <w:r>
        <w:rPr>
          <w:spacing w:val="-2"/>
        </w:rPr>
        <w:t>COVID-19:</w:t>
      </w:r>
    </w:p>
    <w:p>
      <w:pPr>
        <w:pStyle w:val="ListParagraph"/>
        <w:numPr>
          <w:ilvl w:val="0"/>
          <w:numId w:val="65"/>
        </w:numPr>
        <w:tabs>
          <w:tab w:pos="2268" w:val="left" w:leader="none"/>
        </w:tabs>
        <w:spacing w:line="264" w:lineRule="auto" w:before="0" w:after="0"/>
        <w:ind w:left="2268" w:right="1278" w:hanging="360"/>
        <w:jc w:val="both"/>
        <w:rPr>
          <w:sz w:val="24"/>
        </w:rPr>
      </w:pPr>
      <w:r>
        <w:rPr>
          <w:sz w:val="24"/>
        </w:rPr>
        <w:t>Эндоскопия верхних отделов ЖКТ, подразумевающая открытую аспирацию содержимого верхних дыхательных путей;</w:t>
      </w:r>
    </w:p>
    <w:p>
      <w:pPr>
        <w:pStyle w:val="ListParagraph"/>
        <w:numPr>
          <w:ilvl w:val="0"/>
          <w:numId w:val="65"/>
        </w:numPr>
        <w:tabs>
          <w:tab w:pos="2268" w:val="left" w:leader="none"/>
        </w:tabs>
        <w:spacing w:line="264" w:lineRule="auto" w:before="13" w:after="0"/>
        <w:ind w:left="2268" w:right="1277" w:hanging="360"/>
        <w:jc w:val="both"/>
        <w:rPr>
          <w:sz w:val="24"/>
        </w:rPr>
      </w:pPr>
      <w:r>
        <w:rPr>
          <w:sz w:val="24"/>
        </w:rPr>
        <w:t>Хирургические</w:t>
      </w:r>
      <w:r>
        <w:rPr>
          <w:spacing w:val="40"/>
          <w:sz w:val="24"/>
        </w:rPr>
        <w:t> </w:t>
      </w:r>
      <w:r>
        <w:rPr>
          <w:sz w:val="24"/>
        </w:rPr>
        <w:t>операции</w:t>
      </w:r>
      <w:r>
        <w:rPr>
          <w:spacing w:val="40"/>
          <w:sz w:val="24"/>
        </w:rPr>
        <w:t> </w:t>
      </w:r>
      <w:r>
        <w:rPr>
          <w:sz w:val="24"/>
        </w:rPr>
        <w:t>с</w:t>
      </w:r>
      <w:r>
        <w:rPr>
          <w:spacing w:val="40"/>
          <w:sz w:val="24"/>
        </w:rPr>
        <w:t> </w:t>
      </w:r>
      <w:r>
        <w:rPr>
          <w:sz w:val="24"/>
        </w:rPr>
        <w:t>использованием</w:t>
      </w:r>
      <w:r>
        <w:rPr>
          <w:spacing w:val="40"/>
          <w:sz w:val="24"/>
        </w:rPr>
        <w:t> </w:t>
      </w:r>
      <w:r>
        <w:rPr>
          <w:sz w:val="24"/>
        </w:rPr>
        <w:t>высокоскоростных</w:t>
      </w:r>
      <w:r>
        <w:rPr>
          <w:spacing w:val="40"/>
          <w:sz w:val="24"/>
        </w:rPr>
        <w:t> </w:t>
      </w:r>
      <w:r>
        <w:rPr>
          <w:sz w:val="24"/>
        </w:rPr>
        <w:t>устройств (пилы и пр.);</w:t>
      </w:r>
    </w:p>
    <w:p>
      <w:pPr>
        <w:pStyle w:val="ListParagraph"/>
        <w:numPr>
          <w:ilvl w:val="0"/>
          <w:numId w:val="65"/>
        </w:numPr>
        <w:tabs>
          <w:tab w:pos="2268" w:val="left" w:leader="none"/>
        </w:tabs>
        <w:spacing w:line="264" w:lineRule="auto" w:before="14" w:after="0"/>
        <w:ind w:left="2268" w:right="1271" w:hanging="360"/>
        <w:jc w:val="both"/>
        <w:rPr>
          <w:sz w:val="24"/>
        </w:rPr>
      </w:pPr>
      <w:r>
        <w:rPr>
          <w:sz w:val="24"/>
        </w:rPr>
        <w:t>Некоторые экстренные стоматологические манипуляции (например, высокоскоростное сверление);</w:t>
      </w:r>
    </w:p>
    <w:p>
      <w:pPr>
        <w:pStyle w:val="ListParagraph"/>
        <w:numPr>
          <w:ilvl w:val="0"/>
          <w:numId w:val="65"/>
        </w:numPr>
        <w:tabs>
          <w:tab w:pos="2268" w:val="left" w:leader="none"/>
        </w:tabs>
        <w:spacing w:line="271" w:lineRule="auto" w:before="13" w:after="0"/>
        <w:ind w:left="2268" w:right="1278" w:hanging="360"/>
        <w:jc w:val="both"/>
        <w:rPr>
          <w:sz w:val="24"/>
        </w:rPr>
      </w:pPr>
      <w:r>
        <w:rPr>
          <w:sz w:val="24"/>
        </w:rPr>
        <w:t>Неинвазивная</w:t>
      </w:r>
      <w:r>
        <w:rPr>
          <w:spacing w:val="67"/>
          <w:w w:val="150"/>
          <w:sz w:val="24"/>
        </w:rPr>
        <w:t>   </w:t>
      </w:r>
      <w:r>
        <w:rPr>
          <w:sz w:val="24"/>
        </w:rPr>
        <w:t>вентиляция,</w:t>
      </w:r>
      <w:r>
        <w:rPr>
          <w:spacing w:val="67"/>
          <w:w w:val="150"/>
          <w:sz w:val="24"/>
        </w:rPr>
        <w:t>   </w:t>
      </w:r>
      <w:r>
        <w:rPr>
          <w:sz w:val="24"/>
        </w:rPr>
        <w:t>например,</w:t>
      </w:r>
      <w:r>
        <w:rPr>
          <w:spacing w:val="66"/>
          <w:w w:val="150"/>
          <w:sz w:val="24"/>
        </w:rPr>
        <w:t>   </w:t>
      </w:r>
      <w:r>
        <w:rPr>
          <w:sz w:val="24"/>
        </w:rPr>
        <w:t>двухуровневая</w:t>
      </w:r>
      <w:r>
        <w:rPr>
          <w:spacing w:val="68"/>
          <w:w w:val="150"/>
          <w:sz w:val="24"/>
        </w:rPr>
        <w:t>   </w:t>
      </w:r>
      <w:r>
        <w:rPr>
          <w:sz w:val="24"/>
        </w:rPr>
        <w:t>вентиляция с</w:t>
      </w:r>
      <w:r>
        <w:rPr>
          <w:spacing w:val="-5"/>
          <w:sz w:val="24"/>
        </w:rPr>
        <w:t> </w:t>
      </w:r>
      <w:r>
        <w:rPr>
          <w:sz w:val="24"/>
        </w:rPr>
        <w:t>положительным</w:t>
      </w:r>
      <w:r>
        <w:rPr>
          <w:spacing w:val="40"/>
          <w:sz w:val="24"/>
        </w:rPr>
        <w:t> </w:t>
      </w:r>
      <w:r>
        <w:rPr>
          <w:sz w:val="24"/>
        </w:rPr>
        <w:t>давлением</w:t>
      </w:r>
      <w:r>
        <w:rPr>
          <w:spacing w:val="40"/>
          <w:sz w:val="24"/>
        </w:rPr>
        <w:t> </w:t>
      </w:r>
      <w:r>
        <w:rPr>
          <w:sz w:val="24"/>
        </w:rPr>
        <w:t>в</w:t>
      </w:r>
      <w:r>
        <w:rPr>
          <w:spacing w:val="40"/>
          <w:sz w:val="24"/>
        </w:rPr>
        <w:t> </w:t>
      </w:r>
      <w:r>
        <w:rPr>
          <w:sz w:val="24"/>
        </w:rPr>
        <w:t>дыхательных</w:t>
      </w:r>
      <w:r>
        <w:rPr>
          <w:spacing w:val="40"/>
          <w:sz w:val="24"/>
        </w:rPr>
        <w:t> </w:t>
      </w:r>
      <w:r>
        <w:rPr>
          <w:sz w:val="24"/>
        </w:rPr>
        <w:t>путях</w:t>
      </w:r>
      <w:r>
        <w:rPr>
          <w:spacing w:val="40"/>
          <w:sz w:val="24"/>
        </w:rPr>
        <w:t> </w:t>
      </w:r>
      <w:r>
        <w:rPr>
          <w:sz w:val="24"/>
        </w:rPr>
        <w:t>и</w:t>
      </w:r>
      <w:r>
        <w:rPr>
          <w:spacing w:val="40"/>
          <w:sz w:val="24"/>
        </w:rPr>
        <w:t> </w:t>
      </w:r>
      <w:r>
        <w:rPr>
          <w:sz w:val="24"/>
        </w:rPr>
        <w:t>непрерывная</w:t>
      </w:r>
      <w:r>
        <w:rPr>
          <w:spacing w:val="40"/>
          <w:sz w:val="24"/>
        </w:rPr>
        <w:t> </w:t>
      </w:r>
      <w:r>
        <w:rPr>
          <w:sz w:val="24"/>
        </w:rPr>
        <w:t>вентиляция с</w:t>
      </w:r>
      <w:r>
        <w:rPr>
          <w:spacing w:val="-2"/>
          <w:sz w:val="24"/>
        </w:rPr>
        <w:t> </w:t>
      </w:r>
      <w:r>
        <w:rPr>
          <w:sz w:val="24"/>
        </w:rPr>
        <w:t>положительным давлением в дыхательных путях, вентиляция высокочастотными колебаниями;</w:t>
      </w:r>
    </w:p>
    <w:p>
      <w:pPr>
        <w:pStyle w:val="ListParagraph"/>
        <w:numPr>
          <w:ilvl w:val="0"/>
          <w:numId w:val="65"/>
        </w:numPr>
        <w:tabs>
          <w:tab w:pos="2268" w:val="left" w:leader="none"/>
        </w:tabs>
        <w:spacing w:line="240" w:lineRule="auto" w:before="8" w:after="0"/>
        <w:ind w:left="2268" w:right="0" w:hanging="359"/>
        <w:jc w:val="both"/>
        <w:rPr>
          <w:sz w:val="24"/>
        </w:rPr>
      </w:pPr>
      <w:r>
        <w:rPr>
          <w:spacing w:val="-2"/>
          <w:sz w:val="24"/>
        </w:rPr>
        <w:t>Стимуляция</w:t>
      </w:r>
      <w:r>
        <w:rPr>
          <w:spacing w:val="1"/>
          <w:sz w:val="24"/>
        </w:rPr>
        <w:t> </w:t>
      </w:r>
      <w:r>
        <w:rPr>
          <w:spacing w:val="-2"/>
          <w:sz w:val="24"/>
        </w:rPr>
        <w:t>отхождения</w:t>
      </w:r>
      <w:r>
        <w:rPr>
          <w:spacing w:val="2"/>
          <w:sz w:val="24"/>
        </w:rPr>
        <w:t> </w:t>
      </w:r>
      <w:r>
        <w:rPr>
          <w:spacing w:val="-2"/>
          <w:sz w:val="24"/>
        </w:rPr>
        <w:t>мокроты;</w:t>
      </w:r>
    </w:p>
    <w:p>
      <w:pPr>
        <w:pStyle w:val="ListParagraph"/>
        <w:numPr>
          <w:ilvl w:val="0"/>
          <w:numId w:val="65"/>
        </w:numPr>
        <w:tabs>
          <w:tab w:pos="2268" w:val="left" w:leader="none"/>
        </w:tabs>
        <w:spacing w:line="240" w:lineRule="auto" w:before="33" w:after="0"/>
        <w:ind w:left="2268" w:right="0" w:hanging="359"/>
        <w:jc w:val="both"/>
        <w:rPr>
          <w:sz w:val="24"/>
        </w:rPr>
      </w:pPr>
      <w:r>
        <w:rPr>
          <w:spacing w:val="-2"/>
          <w:sz w:val="24"/>
        </w:rPr>
        <w:t>Высокопоточная</w:t>
      </w:r>
      <w:r>
        <w:rPr>
          <w:spacing w:val="1"/>
          <w:sz w:val="24"/>
        </w:rPr>
        <w:t> </w:t>
      </w:r>
      <w:r>
        <w:rPr>
          <w:spacing w:val="-2"/>
          <w:sz w:val="24"/>
        </w:rPr>
        <w:t>назальная</w:t>
      </w:r>
      <w:r>
        <w:rPr>
          <w:spacing w:val="1"/>
          <w:sz w:val="24"/>
        </w:rPr>
        <w:t> </w:t>
      </w:r>
      <w:r>
        <w:rPr>
          <w:spacing w:val="-2"/>
          <w:sz w:val="24"/>
        </w:rPr>
        <w:t>оксигенация.</w:t>
      </w:r>
    </w:p>
    <w:p>
      <w:pPr>
        <w:pStyle w:val="BodyText"/>
        <w:spacing w:before="84"/>
        <w:ind w:left="0"/>
        <w:jc w:val="left"/>
      </w:pPr>
    </w:p>
    <w:p>
      <w:pPr>
        <w:pStyle w:val="BodyText"/>
        <w:spacing w:line="276" w:lineRule="auto" w:before="1"/>
        <w:ind w:right="1277" w:firstLine="707"/>
      </w:pPr>
      <w:r>
        <w:rPr/>
        <w:t>Для пациентов с подозрительным или подтвержденным случаем COVID-19 любую из этих потенциально инфекционных процедур с образованием аэрозоли следует проводить только в случае крайней необходимости.</w:t>
      </w:r>
    </w:p>
    <w:p>
      <w:pPr>
        <w:pStyle w:val="BodyText"/>
        <w:spacing w:line="276" w:lineRule="auto"/>
        <w:ind w:right="1275" w:firstLine="707"/>
      </w:pPr>
      <w:r>
        <w:rPr/>
        <w:t>Рекомендуется, чтобы вентиляция как в ламинарном потоке, так и в обычных вентилируемых помещениях была полностью включена во время хирургических манипуляций, особенно если пациент инфицирован SARS-CoV-2. Максимальная вентиляция в операционной позволит защитить медицинский персонал от заражения вирусом. Воздух, выходящий из операционных в прилегающие больничные территории, будет сильно разбавлен и не должен рассматриваться в качестве возможного инфекционного агента.</w:t>
      </w:r>
    </w:p>
    <w:p>
      <w:pPr>
        <w:pStyle w:val="Heading3"/>
        <w:spacing w:line="276" w:lineRule="auto" w:before="238"/>
        <w:ind w:right="1963"/>
      </w:pPr>
      <w:r>
        <w:rPr>
          <w:color w:val="1F487C"/>
        </w:rPr>
        <w:t>Профилактика</w:t>
      </w:r>
      <w:r>
        <w:rPr>
          <w:color w:val="1F487C"/>
          <w:spacing w:val="-10"/>
        </w:rPr>
        <w:t> </w:t>
      </w:r>
      <w:r>
        <w:rPr>
          <w:color w:val="1F487C"/>
        </w:rPr>
        <w:t>образования</w:t>
      </w:r>
      <w:r>
        <w:rPr>
          <w:color w:val="1F487C"/>
          <w:spacing w:val="-10"/>
        </w:rPr>
        <w:t> </w:t>
      </w:r>
      <w:r>
        <w:rPr>
          <w:color w:val="1F487C"/>
        </w:rPr>
        <w:t>и</w:t>
      </w:r>
      <w:r>
        <w:rPr>
          <w:color w:val="1F487C"/>
          <w:spacing w:val="-9"/>
        </w:rPr>
        <w:t> </w:t>
      </w:r>
      <w:r>
        <w:rPr>
          <w:color w:val="1F487C"/>
        </w:rPr>
        <w:t>высвобождения</w:t>
      </w:r>
      <w:r>
        <w:rPr>
          <w:color w:val="1F487C"/>
          <w:spacing w:val="-10"/>
        </w:rPr>
        <w:t> </w:t>
      </w:r>
      <w:r>
        <w:rPr>
          <w:color w:val="1F487C"/>
        </w:rPr>
        <w:t>мельчайших</w:t>
      </w:r>
      <w:r>
        <w:rPr>
          <w:color w:val="1F487C"/>
          <w:spacing w:val="-10"/>
        </w:rPr>
        <w:t> </w:t>
      </w:r>
      <w:r>
        <w:rPr>
          <w:color w:val="1F487C"/>
        </w:rPr>
        <w:t>жидких частиц (аэрозолей) в ходе хирургического вмешательств</w:t>
      </w:r>
    </w:p>
    <w:p>
      <w:pPr>
        <w:pStyle w:val="BodyText"/>
        <w:spacing w:line="276" w:lineRule="auto" w:before="119"/>
        <w:ind w:right="1276" w:firstLine="707"/>
      </w:pPr>
      <w:r>
        <w:rPr/>
        <w:t>Интраоперационное выделение хирургического дыма может нести в себе мельчайшие частицы вируса. С целью уменьшения выделения хирургического дыма рекомендовано максимально снизить мощность электрокоагуляции. В ряде исследований</w:t>
      </w:r>
      <w:r>
        <w:rPr>
          <w:spacing w:val="48"/>
        </w:rPr>
        <w:t>  </w:t>
      </w:r>
      <w:r>
        <w:rPr/>
        <w:t>было</w:t>
      </w:r>
      <w:r>
        <w:rPr>
          <w:spacing w:val="48"/>
        </w:rPr>
        <w:t>  </w:t>
      </w:r>
      <w:r>
        <w:rPr/>
        <w:t>доказано,</w:t>
      </w:r>
      <w:r>
        <w:rPr>
          <w:spacing w:val="48"/>
        </w:rPr>
        <w:t>  </w:t>
      </w:r>
      <w:r>
        <w:rPr/>
        <w:t>что</w:t>
      </w:r>
      <w:r>
        <w:rPr>
          <w:spacing w:val="47"/>
        </w:rPr>
        <w:t>  </w:t>
      </w:r>
      <w:r>
        <w:rPr/>
        <w:t>в</w:t>
      </w:r>
      <w:r>
        <w:rPr>
          <w:spacing w:val="48"/>
        </w:rPr>
        <w:t>  </w:t>
      </w:r>
      <w:r>
        <w:rPr/>
        <w:t>хирургическом</w:t>
      </w:r>
      <w:r>
        <w:rPr>
          <w:spacing w:val="47"/>
        </w:rPr>
        <w:t>  </w:t>
      </w:r>
      <w:r>
        <w:rPr/>
        <w:t>дыме</w:t>
      </w:r>
      <w:r>
        <w:rPr>
          <w:spacing w:val="48"/>
        </w:rPr>
        <w:t>  </w:t>
      </w:r>
      <w:r>
        <w:rPr>
          <w:spacing w:val="-2"/>
        </w:rPr>
        <w:t>обнаруживаются</w:t>
      </w:r>
    </w:p>
    <w:p>
      <w:pPr>
        <w:pStyle w:val="BodyText"/>
        <w:spacing w:after="0" w:line="276" w:lineRule="auto"/>
        <w:sectPr>
          <w:pgSz w:w="11900" w:h="16840"/>
          <w:pgMar w:header="0" w:footer="697" w:top="1080" w:bottom="880" w:left="0" w:right="0"/>
        </w:sectPr>
      </w:pPr>
    </w:p>
    <w:p>
      <w:pPr>
        <w:pStyle w:val="BodyText"/>
        <w:spacing w:line="276" w:lineRule="auto" w:before="73"/>
        <w:ind w:right="1275"/>
      </w:pPr>
      <w:bookmarkStart w:name="143" w:id="170"/>
      <w:bookmarkEnd w:id="170"/>
      <w:r>
        <w:rPr/>
      </w:r>
      <w:r>
        <w:rPr/>
        <w:t>коринебактерии, папилломавирус и ВИЧ. Известно, что концентрация дыма при проведении лапароскопической операции значительно выше, чем при открытых вмешательствах.</w:t>
      </w:r>
      <w:r>
        <w:rPr>
          <w:spacing w:val="80"/>
        </w:rPr>
        <w:t> </w:t>
      </w:r>
      <w:r>
        <w:rPr/>
        <w:t>Уменьшение</w:t>
      </w:r>
      <w:r>
        <w:rPr>
          <w:spacing w:val="80"/>
        </w:rPr>
        <w:t> </w:t>
      </w:r>
      <w:r>
        <w:rPr/>
        <w:t>пневмоперитонеума</w:t>
      </w:r>
      <w:r>
        <w:rPr>
          <w:spacing w:val="80"/>
        </w:rPr>
        <w:t> </w:t>
      </w:r>
      <w:r>
        <w:rPr/>
        <w:t>в</w:t>
      </w:r>
      <w:r>
        <w:rPr>
          <w:spacing w:val="80"/>
        </w:rPr>
        <w:t> </w:t>
      </w:r>
      <w:r>
        <w:rPr/>
        <w:t>конце</w:t>
      </w:r>
      <w:r>
        <w:rPr>
          <w:spacing w:val="80"/>
        </w:rPr>
        <w:t> </w:t>
      </w:r>
      <w:r>
        <w:rPr/>
        <w:t>операции</w:t>
      </w:r>
      <w:r>
        <w:rPr>
          <w:spacing w:val="80"/>
        </w:rPr>
        <w:t> </w:t>
      </w:r>
      <w:r>
        <w:rPr/>
        <w:t>позволяет</w:t>
      </w:r>
      <w:r>
        <w:rPr>
          <w:spacing w:val="40"/>
        </w:rPr>
        <w:t> </w:t>
      </w:r>
      <w:r>
        <w:rPr/>
        <w:t>в</w:t>
      </w:r>
      <w:r>
        <w:rPr>
          <w:spacing w:val="-6"/>
        </w:rPr>
        <w:t> </w:t>
      </w:r>
      <w:r>
        <w:rPr/>
        <w:t>значительной степени снизить риск распространения мельчайших жидких частиц, особенно при резком извлечении троакаров и/или в ходе замены лапароскопических инструментов. С технической точки зрения должны применяться интеллектуальные проточные</w:t>
      </w:r>
      <w:r>
        <w:rPr>
          <w:spacing w:val="40"/>
        </w:rPr>
        <w:t>  </w:t>
      </w:r>
      <w:r>
        <w:rPr/>
        <w:t>системы,</w:t>
      </w:r>
      <w:r>
        <w:rPr>
          <w:spacing w:val="40"/>
        </w:rPr>
        <w:t>  </w:t>
      </w:r>
      <w:r>
        <w:rPr/>
        <w:t>позволяющие</w:t>
      </w:r>
      <w:r>
        <w:rPr>
          <w:spacing w:val="40"/>
        </w:rPr>
        <w:t>  </w:t>
      </w:r>
      <w:r>
        <w:rPr/>
        <w:t>поддерживать</w:t>
      </w:r>
      <w:r>
        <w:rPr>
          <w:spacing w:val="40"/>
        </w:rPr>
        <w:t>  </w:t>
      </w:r>
      <w:r>
        <w:rPr/>
        <w:t>внутрибрюшное</w:t>
      </w:r>
      <w:r>
        <w:rPr>
          <w:spacing w:val="40"/>
        </w:rPr>
        <w:t>  </w:t>
      </w:r>
      <w:r>
        <w:rPr/>
        <w:t>давление</w:t>
      </w:r>
      <w:r>
        <w:rPr>
          <w:spacing w:val="40"/>
        </w:rPr>
        <w:t> </w:t>
      </w:r>
      <w:r>
        <w:rPr/>
        <w:t>на</w:t>
      </w:r>
      <w:r>
        <w:rPr>
          <w:spacing w:val="-5"/>
        </w:rPr>
        <w:t> </w:t>
      </w:r>
      <w:r>
        <w:rPr/>
        <w:t>предельно низком уровне и эвакуирующие дым. Классические аспирационные системы,</w:t>
      </w:r>
      <w:r>
        <w:rPr>
          <w:spacing w:val="-4"/>
        </w:rPr>
        <w:t> </w:t>
      </w:r>
      <w:r>
        <w:rPr/>
        <w:t>наоборот,</w:t>
      </w:r>
      <w:r>
        <w:rPr>
          <w:spacing w:val="-3"/>
        </w:rPr>
        <w:t> </w:t>
      </w:r>
      <w:r>
        <w:rPr/>
        <w:t>подвержены</w:t>
      </w:r>
      <w:r>
        <w:rPr>
          <w:spacing w:val="-4"/>
        </w:rPr>
        <w:t> </w:t>
      </w:r>
      <w:r>
        <w:rPr/>
        <w:t>более</w:t>
      </w:r>
      <w:r>
        <w:rPr>
          <w:spacing w:val="-3"/>
        </w:rPr>
        <w:t> </w:t>
      </w:r>
      <w:r>
        <w:rPr/>
        <w:t>высокому</w:t>
      </w:r>
      <w:r>
        <w:rPr>
          <w:spacing w:val="-3"/>
        </w:rPr>
        <w:t> </w:t>
      </w:r>
      <w:r>
        <w:rPr/>
        <w:t>риску</w:t>
      </w:r>
      <w:r>
        <w:rPr>
          <w:spacing w:val="-3"/>
        </w:rPr>
        <w:t> </w:t>
      </w:r>
      <w:r>
        <w:rPr/>
        <w:t>передачи</w:t>
      </w:r>
      <w:r>
        <w:rPr>
          <w:spacing w:val="-2"/>
        </w:rPr>
        <w:t> </w:t>
      </w:r>
      <w:r>
        <w:rPr/>
        <w:t>мельчайших</w:t>
      </w:r>
      <w:r>
        <w:rPr>
          <w:spacing w:val="-3"/>
        </w:rPr>
        <w:t> </w:t>
      </w:r>
      <w:r>
        <w:rPr/>
        <w:t>частиц </w:t>
      </w:r>
      <w:r>
        <w:rPr>
          <w:spacing w:val="-2"/>
        </w:rPr>
        <w:t>SARS-CoV-2.</w:t>
      </w:r>
    </w:p>
    <w:p>
      <w:pPr>
        <w:pStyle w:val="BodyText"/>
        <w:spacing w:line="276" w:lineRule="auto"/>
        <w:ind w:right="1277" w:firstLine="707"/>
        <w:rPr>
          <w:position w:val="2"/>
        </w:rPr>
      </w:pPr>
      <w:r>
        <w:rPr/>
        <w:t>Предпочтительно</w:t>
      </w:r>
      <w:r>
        <w:rPr>
          <w:spacing w:val="40"/>
        </w:rPr>
        <w:t> </w:t>
      </w:r>
      <w:r>
        <w:rPr/>
        <w:t>минимизировать</w:t>
      </w:r>
      <w:r>
        <w:rPr>
          <w:spacing w:val="40"/>
        </w:rPr>
        <w:t> </w:t>
      </w:r>
      <w:r>
        <w:rPr/>
        <w:t>различные</w:t>
      </w:r>
      <w:r>
        <w:rPr>
          <w:spacing w:val="40"/>
        </w:rPr>
        <w:t> </w:t>
      </w:r>
      <w:r>
        <w:rPr/>
        <w:t>манипуляции</w:t>
      </w:r>
      <w:r>
        <w:rPr>
          <w:spacing w:val="40"/>
        </w:rPr>
        <w:t> </w:t>
      </w:r>
      <w:r>
        <w:rPr/>
        <w:t>с</w:t>
      </w:r>
      <w:r>
        <w:rPr>
          <w:spacing w:val="40"/>
        </w:rPr>
        <w:t> </w:t>
      </w:r>
      <w:r>
        <w:rPr/>
        <w:t>кишечником, а</w:t>
      </w:r>
      <w:r>
        <w:rPr>
          <w:spacing w:val="-4"/>
        </w:rPr>
        <w:t> </w:t>
      </w:r>
      <w:r>
        <w:rPr/>
        <w:t>также</w:t>
      </w:r>
      <w:r>
        <w:rPr>
          <w:spacing w:val="40"/>
        </w:rPr>
        <w:t>  </w:t>
      </w:r>
      <w:r>
        <w:rPr/>
        <w:t>его</w:t>
      </w:r>
      <w:r>
        <w:rPr>
          <w:spacing w:val="59"/>
        </w:rPr>
        <w:t>  </w:t>
      </w:r>
      <w:r>
        <w:rPr/>
        <w:t>вскрытие</w:t>
      </w:r>
      <w:r>
        <w:rPr>
          <w:spacing w:val="40"/>
        </w:rPr>
        <w:t>  </w:t>
      </w:r>
      <w:r>
        <w:rPr/>
        <w:t>во</w:t>
      </w:r>
      <w:r>
        <w:rPr>
          <w:spacing w:val="40"/>
        </w:rPr>
        <w:t>  </w:t>
      </w:r>
      <w:r>
        <w:rPr/>
        <w:t>время</w:t>
      </w:r>
      <w:r>
        <w:rPr>
          <w:spacing w:val="59"/>
        </w:rPr>
        <w:t>  </w:t>
      </w:r>
      <w:r>
        <w:rPr/>
        <w:t>хирургических</w:t>
      </w:r>
      <w:r>
        <w:rPr>
          <w:spacing w:val="59"/>
        </w:rPr>
        <w:t>  </w:t>
      </w:r>
      <w:r>
        <w:rPr/>
        <w:t>процедур,</w:t>
      </w:r>
      <w:r>
        <w:rPr>
          <w:spacing w:val="40"/>
        </w:rPr>
        <w:t>  </w:t>
      </w:r>
      <w:r>
        <w:rPr/>
        <w:t>которые</w:t>
      </w:r>
      <w:r>
        <w:rPr>
          <w:spacing w:val="40"/>
        </w:rPr>
        <w:t>  </w:t>
      </w:r>
      <w:r>
        <w:rPr/>
        <w:t>этого не</w:t>
      </w:r>
      <w:r>
        <w:rPr>
          <w:spacing w:val="-5"/>
        </w:rPr>
        <w:t> </w:t>
      </w:r>
      <w:r>
        <w:rPr/>
        <w:t>предусматривают. Это особенно важно при выполнении лапароскопических </w:t>
      </w:r>
      <w:r>
        <w:rPr>
          <w:position w:val="2"/>
        </w:rPr>
        <w:t>манипуляций, чтобы снизить риск диффузии вируса в режиме инсуффляции CO</w:t>
      </w:r>
      <w:r>
        <w:rPr>
          <w:sz w:val="16"/>
        </w:rPr>
        <w:t>2</w:t>
      </w:r>
      <w:r>
        <w:rPr>
          <w:position w:val="2"/>
        </w:rPr>
        <w:t>.</w:t>
      </w:r>
    </w:p>
    <w:p>
      <w:pPr>
        <w:pStyle w:val="BodyText"/>
        <w:spacing w:line="276" w:lineRule="auto"/>
        <w:ind w:right="1278" w:firstLine="707"/>
      </w:pPr>
      <w:r>
        <w:rPr/>
        <w:t>До настоящего момента не было ни одного факта передачи заболевания через мочу, тем не менее дренирование мочевого пузыря и/или мочеточника во время операций следует проводить с осторожностью, особенно в случае наличия </w:t>
      </w:r>
      <w:r>
        <w:rPr>
          <w:spacing w:val="-2"/>
        </w:rPr>
        <w:t>пневмоперитонеума.</w:t>
      </w:r>
    </w:p>
    <w:p>
      <w:pPr>
        <w:pStyle w:val="Heading3"/>
        <w:spacing w:before="232"/>
        <w:jc w:val="left"/>
      </w:pPr>
      <w:r>
        <w:rPr>
          <w:color w:val="1F487C"/>
        </w:rPr>
        <w:t>Защита</w:t>
      </w:r>
      <w:r>
        <w:rPr>
          <w:color w:val="1F487C"/>
          <w:spacing w:val="-12"/>
        </w:rPr>
        <w:t> </w:t>
      </w:r>
      <w:r>
        <w:rPr>
          <w:color w:val="1F487C"/>
        </w:rPr>
        <w:t>медицинского</w:t>
      </w:r>
      <w:r>
        <w:rPr>
          <w:color w:val="1F487C"/>
          <w:spacing w:val="-14"/>
        </w:rPr>
        <w:t> </w:t>
      </w:r>
      <w:r>
        <w:rPr>
          <w:color w:val="1F487C"/>
        </w:rPr>
        <w:t>персонала</w:t>
      </w:r>
      <w:r>
        <w:rPr>
          <w:color w:val="1F487C"/>
          <w:spacing w:val="-12"/>
        </w:rPr>
        <w:t> </w:t>
      </w:r>
      <w:r>
        <w:rPr>
          <w:color w:val="1F487C"/>
        </w:rPr>
        <w:t>в</w:t>
      </w:r>
      <w:r>
        <w:rPr>
          <w:color w:val="1F487C"/>
          <w:spacing w:val="-12"/>
        </w:rPr>
        <w:t> </w:t>
      </w:r>
      <w:r>
        <w:rPr>
          <w:color w:val="1F487C"/>
          <w:spacing w:val="-2"/>
        </w:rPr>
        <w:t>операционных</w:t>
      </w:r>
    </w:p>
    <w:p>
      <w:pPr>
        <w:pStyle w:val="BodyText"/>
        <w:spacing w:line="276" w:lineRule="auto" w:before="162"/>
        <w:ind w:right="1272" w:firstLine="707"/>
      </w:pPr>
      <w:r>
        <w:rPr/>
        <w:t>Вся хирургическая бригада (включая хирургов, анестезиологов и медсестер) должна</w:t>
      </w:r>
      <w:r>
        <w:rPr>
          <w:spacing w:val="80"/>
          <w:w w:val="150"/>
        </w:rPr>
        <w:t> </w:t>
      </w:r>
      <w:r>
        <w:rPr/>
        <w:t>использовать</w:t>
      </w:r>
      <w:r>
        <w:rPr>
          <w:spacing w:val="80"/>
          <w:w w:val="150"/>
        </w:rPr>
        <w:t> </w:t>
      </w:r>
      <w:r>
        <w:rPr/>
        <w:t>дополнительные</w:t>
      </w:r>
      <w:r>
        <w:rPr>
          <w:spacing w:val="80"/>
          <w:w w:val="150"/>
        </w:rPr>
        <w:t> </w:t>
      </w:r>
      <w:r>
        <w:rPr/>
        <w:t>СИЗ</w:t>
      </w:r>
      <w:r>
        <w:rPr>
          <w:spacing w:val="80"/>
          <w:w w:val="150"/>
        </w:rPr>
        <w:t> </w:t>
      </w:r>
      <w:r>
        <w:rPr/>
        <w:t>при</w:t>
      </w:r>
      <w:r>
        <w:rPr>
          <w:spacing w:val="80"/>
          <w:w w:val="150"/>
        </w:rPr>
        <w:t> </w:t>
      </w:r>
      <w:r>
        <w:rPr/>
        <w:t>оперативных</w:t>
      </w:r>
      <w:r>
        <w:rPr>
          <w:spacing w:val="80"/>
          <w:w w:val="150"/>
        </w:rPr>
        <w:t> </w:t>
      </w:r>
      <w:r>
        <w:rPr/>
        <w:t>вмешательствах у</w:t>
      </w:r>
      <w:r>
        <w:rPr>
          <w:spacing w:val="-3"/>
        </w:rPr>
        <w:t> </w:t>
      </w:r>
      <w:r>
        <w:rPr/>
        <w:t>больных с коронавирусной инфекцией. Защитные очки, маска FFP2/3 (в т.ч. маска</w:t>
      </w:r>
      <w:r>
        <w:rPr>
          <w:spacing w:val="40"/>
        </w:rPr>
        <w:t> </w:t>
      </w:r>
      <w:r>
        <w:rPr/>
        <w:t>с</w:t>
      </w:r>
      <w:r>
        <w:rPr>
          <w:spacing w:val="-4"/>
        </w:rPr>
        <w:t> </w:t>
      </w:r>
      <w:r>
        <w:rPr/>
        <w:t>защитным козырьком) и защитная одежда (комбинезон) представляют собой необходимые предметы в случае выполнения любой инвазивной операции, выполняемой во время чрезвычайной ситуации с COVID-19. Хирурги должны минимизировать любые контакты с биологическими жидкостями пациента. Также необходимо</w:t>
      </w:r>
      <w:r>
        <w:rPr>
          <w:spacing w:val="40"/>
        </w:rPr>
        <w:t> </w:t>
      </w:r>
      <w:r>
        <w:rPr/>
        <w:t>проводить</w:t>
      </w:r>
      <w:r>
        <w:rPr>
          <w:spacing w:val="40"/>
        </w:rPr>
        <w:t> </w:t>
      </w:r>
      <w:r>
        <w:rPr/>
        <w:t>тщательную</w:t>
      </w:r>
      <w:r>
        <w:rPr>
          <w:spacing w:val="40"/>
        </w:rPr>
        <w:t> </w:t>
      </w:r>
      <w:r>
        <w:rPr/>
        <w:t>очистку</w:t>
      </w:r>
      <w:r>
        <w:rPr>
          <w:spacing w:val="40"/>
        </w:rPr>
        <w:t> </w:t>
      </w:r>
      <w:r>
        <w:rPr/>
        <w:t>и</w:t>
      </w:r>
      <w:r>
        <w:rPr>
          <w:spacing w:val="40"/>
        </w:rPr>
        <w:t> </w:t>
      </w:r>
      <w:r>
        <w:rPr/>
        <w:t>дезинфекцию</w:t>
      </w:r>
      <w:r>
        <w:rPr>
          <w:spacing w:val="40"/>
        </w:rPr>
        <w:t> </w:t>
      </w:r>
      <w:r>
        <w:rPr/>
        <w:t>всего</w:t>
      </w:r>
      <w:r>
        <w:rPr>
          <w:spacing w:val="40"/>
        </w:rPr>
        <w:t> </w:t>
      </w:r>
      <w:r>
        <w:rPr/>
        <w:t>оборудования,</w:t>
      </w:r>
      <w:r>
        <w:rPr>
          <w:spacing w:val="40"/>
        </w:rPr>
        <w:t> </w:t>
      </w:r>
      <w:r>
        <w:rPr/>
        <w:t>в том числе лапароскопических, эндоскопических стоек и хирургических консолей.</w:t>
      </w:r>
    </w:p>
    <w:p>
      <w:pPr>
        <w:pStyle w:val="BodyText"/>
        <w:spacing w:before="82"/>
        <w:ind w:left="0"/>
        <w:jc w:val="left"/>
      </w:pPr>
    </w:p>
    <w:p>
      <w:pPr>
        <w:pStyle w:val="Heading1"/>
        <w:numPr>
          <w:ilvl w:val="0"/>
          <w:numId w:val="5"/>
        </w:numPr>
        <w:tabs>
          <w:tab w:pos="2968" w:val="left" w:leader="none"/>
        </w:tabs>
        <w:spacing w:line="240" w:lineRule="auto" w:before="0" w:after="0"/>
        <w:ind w:left="2968" w:right="0" w:hanging="419"/>
        <w:jc w:val="left"/>
      </w:pPr>
      <w:r>
        <w:rPr>
          <w:color w:val="1F487C"/>
        </w:rPr>
        <w:t>ПРАВИЛА</w:t>
      </w:r>
      <w:r>
        <w:rPr>
          <w:color w:val="1F487C"/>
          <w:spacing w:val="-16"/>
        </w:rPr>
        <w:t> </w:t>
      </w:r>
      <w:r>
        <w:rPr>
          <w:color w:val="1F487C"/>
        </w:rPr>
        <w:t>ФОРМУЛИРОВКИ</w:t>
      </w:r>
      <w:r>
        <w:rPr>
          <w:color w:val="1F487C"/>
          <w:spacing w:val="-14"/>
        </w:rPr>
        <w:t> </w:t>
      </w:r>
      <w:r>
        <w:rPr>
          <w:color w:val="1F487C"/>
          <w:spacing w:val="-2"/>
        </w:rPr>
        <w:t>ДИАГНОЗА,</w:t>
      </w:r>
    </w:p>
    <w:p>
      <w:pPr>
        <w:spacing w:line="276" w:lineRule="auto" w:before="48"/>
        <w:ind w:left="2549" w:right="2303" w:firstLine="0"/>
        <w:jc w:val="left"/>
        <w:rPr>
          <w:b/>
          <w:sz w:val="28"/>
        </w:rPr>
      </w:pPr>
      <w:r>
        <w:rPr>
          <w:b/>
          <w:color w:val="1F487C"/>
          <w:sz w:val="28"/>
        </w:rPr>
        <w:t>КОДИРОВАНИЯ</w:t>
      </w:r>
      <w:r>
        <w:rPr>
          <w:b/>
          <w:color w:val="1F487C"/>
          <w:spacing w:val="-11"/>
          <w:sz w:val="28"/>
        </w:rPr>
        <w:t> </w:t>
      </w:r>
      <w:r>
        <w:rPr>
          <w:b/>
          <w:color w:val="1F487C"/>
          <w:sz w:val="28"/>
        </w:rPr>
        <w:t>ПО</w:t>
      </w:r>
      <w:r>
        <w:rPr>
          <w:b/>
          <w:color w:val="1F487C"/>
          <w:spacing w:val="-9"/>
          <w:sz w:val="28"/>
        </w:rPr>
        <w:t> </w:t>
      </w:r>
      <w:r>
        <w:rPr>
          <w:b/>
          <w:color w:val="1F487C"/>
          <w:sz w:val="28"/>
        </w:rPr>
        <w:t>МКБ-10</w:t>
      </w:r>
      <w:r>
        <w:rPr>
          <w:b/>
          <w:color w:val="1F487C"/>
          <w:spacing w:val="-9"/>
          <w:sz w:val="28"/>
        </w:rPr>
        <w:t> </w:t>
      </w:r>
      <w:r>
        <w:rPr>
          <w:b/>
          <w:color w:val="1F487C"/>
          <w:sz w:val="28"/>
        </w:rPr>
        <w:t>И</w:t>
      </w:r>
      <w:r>
        <w:rPr>
          <w:b/>
          <w:color w:val="1F487C"/>
          <w:spacing w:val="-9"/>
          <w:sz w:val="28"/>
        </w:rPr>
        <w:t> </w:t>
      </w:r>
      <w:r>
        <w:rPr>
          <w:b/>
          <w:color w:val="1F487C"/>
          <w:sz w:val="28"/>
        </w:rPr>
        <w:t>УЧЕТ</w:t>
      </w:r>
      <w:r>
        <w:rPr>
          <w:b/>
          <w:color w:val="1F487C"/>
          <w:spacing w:val="-9"/>
          <w:sz w:val="28"/>
        </w:rPr>
        <w:t> </w:t>
      </w:r>
      <w:r>
        <w:rPr>
          <w:b/>
          <w:color w:val="1F487C"/>
          <w:sz w:val="28"/>
        </w:rPr>
        <w:t>ПАЦИЕНТОВ С COVID-19 В ИНФОРМАЦИОННОМ РЕСУРСЕ</w:t>
      </w:r>
    </w:p>
    <w:p>
      <w:pPr>
        <w:pStyle w:val="BodyText"/>
        <w:spacing w:line="276" w:lineRule="auto" w:before="120"/>
        <w:ind w:right="1271" w:firstLine="707"/>
      </w:pPr>
      <w:r>
        <w:rPr/>
        <w:t>Для</w:t>
      </w:r>
      <w:r>
        <w:rPr>
          <w:spacing w:val="-5"/>
        </w:rPr>
        <w:t> </w:t>
      </w:r>
      <w:r>
        <w:rPr/>
        <w:t>обеспечения</w:t>
      </w:r>
      <w:r>
        <w:rPr>
          <w:spacing w:val="-5"/>
        </w:rPr>
        <w:t> </w:t>
      </w:r>
      <w:r>
        <w:rPr/>
        <w:t>достоверного</w:t>
      </w:r>
      <w:r>
        <w:rPr>
          <w:spacing w:val="-5"/>
        </w:rPr>
        <w:t> </w:t>
      </w:r>
      <w:r>
        <w:rPr/>
        <w:t>статистического</w:t>
      </w:r>
      <w:r>
        <w:rPr>
          <w:spacing w:val="-5"/>
        </w:rPr>
        <w:t> </w:t>
      </w:r>
      <w:r>
        <w:rPr/>
        <w:t>учета</w:t>
      </w:r>
      <w:r>
        <w:rPr>
          <w:spacing w:val="-3"/>
        </w:rPr>
        <w:t> </w:t>
      </w:r>
      <w:r>
        <w:rPr/>
        <w:t>при</w:t>
      </w:r>
      <w:r>
        <w:rPr>
          <w:spacing w:val="-4"/>
        </w:rPr>
        <w:t> </w:t>
      </w:r>
      <w:r>
        <w:rPr/>
        <w:t>наличии</w:t>
      </w:r>
      <w:r>
        <w:rPr>
          <w:spacing w:val="-4"/>
        </w:rPr>
        <w:t> </w:t>
      </w:r>
      <w:r>
        <w:rPr/>
        <w:t>у</w:t>
      </w:r>
      <w:r>
        <w:rPr>
          <w:spacing w:val="-7"/>
        </w:rPr>
        <w:t> </w:t>
      </w:r>
      <w:r>
        <w:rPr/>
        <w:t>пациента коронавирусной инфекции или подозрения на нее заключительный клинический, патологоанатомический и судебно-медицинский диагнозы должны быть сформулированы в соответствии с правилами МКБ-10.</w:t>
      </w:r>
    </w:p>
    <w:p>
      <w:pPr>
        <w:pStyle w:val="BodyText"/>
        <w:spacing w:line="276" w:lineRule="auto"/>
        <w:ind w:right="1271" w:firstLine="707"/>
      </w:pPr>
      <w:r>
        <w:rPr/>
        <w:t>В статистике заболеваемости в конце эпизода оказания медицинской помощи из</w:t>
      </w:r>
      <w:r>
        <w:rPr>
          <w:spacing w:val="-2"/>
        </w:rPr>
        <w:t> </w:t>
      </w:r>
      <w:r>
        <w:rPr/>
        <w:t>нескольких имеющихся у пациента заболеваний, при прочих равных условиях, должно быть выбрано только одно заболевание в качестве основного, на долю которого пришлась наибольшая часть использованных ресурсов (том 2, стр. 107).</w:t>
      </w:r>
    </w:p>
    <w:p>
      <w:pPr>
        <w:pStyle w:val="BodyText"/>
        <w:spacing w:after="0" w:line="276" w:lineRule="auto"/>
        <w:sectPr>
          <w:pgSz w:w="11900" w:h="16840"/>
          <w:pgMar w:header="0" w:footer="697" w:top="1080" w:bottom="880" w:left="0" w:right="0"/>
        </w:sectPr>
      </w:pPr>
    </w:p>
    <w:p>
      <w:pPr>
        <w:pStyle w:val="BodyText"/>
        <w:spacing w:line="276" w:lineRule="auto" w:before="73"/>
        <w:ind w:right="1274" w:firstLine="707"/>
      </w:pPr>
      <w:bookmarkStart w:name="144" w:id="171"/>
      <w:bookmarkEnd w:id="171"/>
      <w:r>
        <w:rPr/>
      </w:r>
      <w:r>
        <w:rPr/>
        <w:t>Кодирование статистической информации при наличии подозрения или установленного</w:t>
      </w:r>
      <w:r>
        <w:rPr>
          <w:spacing w:val="76"/>
        </w:rPr>
        <w:t>   </w:t>
      </w:r>
      <w:r>
        <w:rPr/>
        <w:t>диагноза</w:t>
      </w:r>
      <w:r>
        <w:rPr>
          <w:spacing w:val="76"/>
        </w:rPr>
        <w:t>   </w:t>
      </w:r>
      <w:r>
        <w:rPr/>
        <w:t>COVID-19</w:t>
      </w:r>
      <w:r>
        <w:rPr>
          <w:spacing w:val="77"/>
        </w:rPr>
        <w:t>   </w:t>
      </w:r>
      <w:r>
        <w:rPr/>
        <w:t>осуществляется</w:t>
      </w:r>
      <w:r>
        <w:rPr>
          <w:spacing w:val="76"/>
        </w:rPr>
        <w:t>   </w:t>
      </w:r>
      <w:r>
        <w:rPr/>
        <w:t>в</w:t>
      </w:r>
      <w:r>
        <w:rPr>
          <w:spacing w:val="76"/>
        </w:rPr>
        <w:t>   </w:t>
      </w:r>
      <w:r>
        <w:rPr/>
        <w:t>соответствии с нижеследующим порядком:</w:t>
      </w:r>
    </w:p>
    <w:p>
      <w:pPr>
        <w:pStyle w:val="BodyText"/>
        <w:spacing w:line="276" w:lineRule="auto"/>
        <w:ind w:left="3401" w:right="1283" w:hanging="850"/>
        <w:jc w:val="left"/>
      </w:pPr>
      <w:r>
        <w:rPr>
          <w:b/>
        </w:rPr>
        <w:t>U07.1 </w:t>
      </w:r>
      <w:r>
        <w:rPr/>
        <w:t>– Коронавирусная инфекция COVID-19, вирус идентифицирован (подтвержден</w:t>
      </w:r>
      <w:r>
        <w:rPr>
          <w:spacing w:val="-9"/>
        </w:rPr>
        <w:t> </w:t>
      </w:r>
      <w:r>
        <w:rPr/>
        <w:t>лабораторным</w:t>
      </w:r>
      <w:r>
        <w:rPr>
          <w:spacing w:val="-11"/>
        </w:rPr>
        <w:t> </w:t>
      </w:r>
      <w:r>
        <w:rPr/>
        <w:t>тестированием</w:t>
      </w:r>
      <w:r>
        <w:rPr>
          <w:spacing w:val="-10"/>
        </w:rPr>
        <w:t> </w:t>
      </w:r>
      <w:r>
        <w:rPr/>
        <w:t>независимо</w:t>
      </w:r>
      <w:r>
        <w:rPr>
          <w:spacing w:val="-10"/>
        </w:rPr>
        <w:t> </w:t>
      </w:r>
      <w:r>
        <w:rPr/>
        <w:t>от</w:t>
      </w:r>
      <w:r>
        <w:rPr>
          <w:spacing w:val="-10"/>
        </w:rPr>
        <w:t> </w:t>
      </w:r>
      <w:r>
        <w:rPr/>
        <w:t>тяжести клинических признаков или симптомов)</w:t>
      </w:r>
    </w:p>
    <w:p>
      <w:pPr>
        <w:pStyle w:val="BodyText"/>
        <w:spacing w:line="276" w:lineRule="auto"/>
        <w:ind w:left="3401" w:right="1718" w:hanging="850"/>
      </w:pPr>
      <w:r>
        <w:rPr>
          <w:b/>
        </w:rPr>
        <w:t>U07.2</w:t>
      </w:r>
      <w:r>
        <w:rPr>
          <w:b/>
          <w:spacing w:val="-7"/>
        </w:rPr>
        <w:t> </w:t>
      </w:r>
      <w:r>
        <w:rPr/>
        <w:t>–</w:t>
      </w:r>
      <w:r>
        <w:rPr>
          <w:spacing w:val="-7"/>
        </w:rPr>
        <w:t> </w:t>
      </w:r>
      <w:r>
        <w:rPr/>
        <w:t>Коронавирусная</w:t>
      </w:r>
      <w:r>
        <w:rPr>
          <w:spacing w:val="-7"/>
        </w:rPr>
        <w:t> </w:t>
      </w:r>
      <w:r>
        <w:rPr/>
        <w:t>инфекция</w:t>
      </w:r>
      <w:r>
        <w:rPr>
          <w:spacing w:val="-7"/>
        </w:rPr>
        <w:t> </w:t>
      </w:r>
      <w:r>
        <w:rPr/>
        <w:t>COVID-19,</w:t>
      </w:r>
      <w:r>
        <w:rPr>
          <w:spacing w:val="-5"/>
        </w:rPr>
        <w:t> </w:t>
      </w:r>
      <w:r>
        <w:rPr/>
        <w:t>вирус</w:t>
      </w:r>
      <w:r>
        <w:rPr>
          <w:spacing w:val="-7"/>
        </w:rPr>
        <w:t> </w:t>
      </w:r>
      <w:r>
        <w:rPr/>
        <w:t>не</w:t>
      </w:r>
      <w:r>
        <w:rPr>
          <w:spacing w:val="-7"/>
        </w:rPr>
        <w:t> </w:t>
      </w:r>
      <w:r>
        <w:rPr/>
        <w:t>идентифицирован (COVID-19</w:t>
      </w:r>
      <w:r>
        <w:rPr>
          <w:spacing w:val="-11"/>
        </w:rPr>
        <w:t> </w:t>
      </w:r>
      <w:r>
        <w:rPr/>
        <w:t>диагностируется</w:t>
      </w:r>
      <w:r>
        <w:rPr>
          <w:spacing w:val="-11"/>
        </w:rPr>
        <w:t> </w:t>
      </w:r>
      <w:r>
        <w:rPr/>
        <w:t>клинически</w:t>
      </w:r>
      <w:r>
        <w:rPr>
          <w:spacing w:val="-12"/>
        </w:rPr>
        <w:t> </w:t>
      </w:r>
      <w:r>
        <w:rPr/>
        <w:t>или</w:t>
      </w:r>
      <w:r>
        <w:rPr>
          <w:spacing w:val="-10"/>
        </w:rPr>
        <w:t> </w:t>
      </w:r>
      <w:r>
        <w:rPr/>
        <w:t>эпидемиологически, но лабораторные исследования неубедительны или недоступны)</w:t>
      </w:r>
    </w:p>
    <w:p>
      <w:pPr>
        <w:pStyle w:val="BodyText"/>
        <w:spacing w:line="276" w:lineRule="exact"/>
        <w:ind w:left="2551"/>
      </w:pPr>
      <w:r>
        <w:rPr>
          <w:b/>
        </w:rPr>
        <w:t>Z03.8</w:t>
      </w:r>
      <w:r>
        <w:rPr>
          <w:b/>
          <w:spacing w:val="-11"/>
        </w:rPr>
        <w:t> </w:t>
      </w:r>
      <w:r>
        <w:rPr/>
        <w:t>–</w:t>
      </w:r>
      <w:r>
        <w:rPr>
          <w:spacing w:val="-11"/>
        </w:rPr>
        <w:t> </w:t>
      </w:r>
      <w:r>
        <w:rPr/>
        <w:t>Наблюдение</w:t>
      </w:r>
      <w:r>
        <w:rPr>
          <w:spacing w:val="-12"/>
        </w:rPr>
        <w:t> </w:t>
      </w:r>
      <w:r>
        <w:rPr/>
        <w:t>при</w:t>
      </w:r>
      <w:r>
        <w:rPr>
          <w:spacing w:val="-11"/>
        </w:rPr>
        <w:t> </w:t>
      </w:r>
      <w:r>
        <w:rPr/>
        <w:t>подозрении</w:t>
      </w:r>
      <w:r>
        <w:rPr>
          <w:spacing w:val="-11"/>
        </w:rPr>
        <w:t> </w:t>
      </w:r>
      <w:r>
        <w:rPr/>
        <w:t>на</w:t>
      </w:r>
      <w:r>
        <w:rPr>
          <w:spacing w:val="-12"/>
        </w:rPr>
        <w:t> </w:t>
      </w:r>
      <w:r>
        <w:rPr/>
        <w:t>коронавирусную</w:t>
      </w:r>
      <w:r>
        <w:rPr>
          <w:spacing w:val="-11"/>
        </w:rPr>
        <w:t> </w:t>
      </w:r>
      <w:r>
        <w:rPr>
          <w:spacing w:val="-2"/>
        </w:rPr>
        <w:t>инфекцию</w:t>
      </w:r>
    </w:p>
    <w:p>
      <w:pPr>
        <w:pStyle w:val="BodyText"/>
        <w:spacing w:before="38"/>
        <w:ind w:left="2551"/>
      </w:pPr>
      <w:r>
        <w:rPr>
          <w:b/>
        </w:rPr>
        <w:t>Z22.8</w:t>
      </w:r>
      <w:r>
        <w:rPr>
          <w:b/>
          <w:spacing w:val="-15"/>
        </w:rPr>
        <w:t> </w:t>
      </w:r>
      <w:r>
        <w:rPr/>
        <w:t>–</w:t>
      </w:r>
      <w:r>
        <w:rPr>
          <w:spacing w:val="-14"/>
        </w:rPr>
        <w:t> </w:t>
      </w:r>
      <w:r>
        <w:rPr/>
        <w:t>Носительство</w:t>
      </w:r>
      <w:r>
        <w:rPr>
          <w:spacing w:val="-15"/>
        </w:rPr>
        <w:t> </w:t>
      </w:r>
      <w:r>
        <w:rPr/>
        <w:t>возбудителя</w:t>
      </w:r>
      <w:r>
        <w:rPr>
          <w:spacing w:val="-15"/>
        </w:rPr>
        <w:t> </w:t>
      </w:r>
      <w:r>
        <w:rPr/>
        <w:t>коронавирусной</w:t>
      </w:r>
      <w:r>
        <w:rPr>
          <w:spacing w:val="-14"/>
        </w:rPr>
        <w:t> </w:t>
      </w:r>
      <w:r>
        <w:rPr>
          <w:spacing w:val="-2"/>
        </w:rPr>
        <w:t>инфекции</w:t>
      </w:r>
    </w:p>
    <w:p>
      <w:pPr>
        <w:pStyle w:val="BodyText"/>
        <w:spacing w:before="43"/>
        <w:ind w:left="2551"/>
      </w:pPr>
      <w:r>
        <w:rPr>
          <w:b/>
        </w:rPr>
        <w:t>Z20.8</w:t>
      </w:r>
      <w:r>
        <w:rPr>
          <w:b/>
          <w:spacing w:val="-10"/>
        </w:rPr>
        <w:t> </w:t>
      </w:r>
      <w:r>
        <w:rPr/>
        <w:t>–</w:t>
      </w:r>
      <w:r>
        <w:rPr>
          <w:spacing w:val="-10"/>
        </w:rPr>
        <w:t> </w:t>
      </w:r>
      <w:r>
        <w:rPr/>
        <w:t>Контакт</w:t>
      </w:r>
      <w:r>
        <w:rPr>
          <w:spacing w:val="-11"/>
        </w:rPr>
        <w:t> </w:t>
      </w:r>
      <w:r>
        <w:rPr/>
        <w:t>с</w:t>
      </w:r>
      <w:r>
        <w:rPr>
          <w:spacing w:val="-10"/>
        </w:rPr>
        <w:t> </w:t>
      </w:r>
      <w:r>
        <w:rPr/>
        <w:t>больным</w:t>
      </w:r>
      <w:r>
        <w:rPr>
          <w:spacing w:val="-11"/>
        </w:rPr>
        <w:t> </w:t>
      </w:r>
      <w:r>
        <w:rPr/>
        <w:t>коронавирусной</w:t>
      </w:r>
      <w:r>
        <w:rPr>
          <w:spacing w:val="-12"/>
        </w:rPr>
        <w:t> </w:t>
      </w:r>
      <w:r>
        <w:rPr>
          <w:spacing w:val="-2"/>
        </w:rPr>
        <w:t>инфекцией</w:t>
      </w:r>
    </w:p>
    <w:p>
      <w:pPr>
        <w:pStyle w:val="BodyText"/>
        <w:spacing w:line="276" w:lineRule="auto" w:before="41"/>
        <w:ind w:left="3401" w:right="3581" w:hanging="850"/>
      </w:pPr>
      <w:r>
        <w:rPr>
          <w:b/>
        </w:rPr>
        <w:t>Z11.5</w:t>
      </w:r>
      <w:r>
        <w:rPr>
          <w:b/>
          <w:spacing w:val="-7"/>
        </w:rPr>
        <w:t> </w:t>
      </w:r>
      <w:r>
        <w:rPr/>
        <w:t>–</w:t>
      </w:r>
      <w:r>
        <w:rPr>
          <w:spacing w:val="-7"/>
        </w:rPr>
        <w:t> </w:t>
      </w:r>
      <w:r>
        <w:rPr/>
        <w:t>Скрининговое</w:t>
      </w:r>
      <w:r>
        <w:rPr>
          <w:spacing w:val="-9"/>
        </w:rPr>
        <w:t> </w:t>
      </w:r>
      <w:r>
        <w:rPr/>
        <w:t>обследование</w:t>
      </w:r>
      <w:r>
        <w:rPr>
          <w:spacing w:val="-8"/>
        </w:rPr>
        <w:t> </w:t>
      </w:r>
      <w:r>
        <w:rPr/>
        <w:t>с</w:t>
      </w:r>
      <w:r>
        <w:rPr>
          <w:spacing w:val="-8"/>
        </w:rPr>
        <w:t> </w:t>
      </w:r>
      <w:r>
        <w:rPr/>
        <w:t>целью</w:t>
      </w:r>
      <w:r>
        <w:rPr>
          <w:spacing w:val="-7"/>
        </w:rPr>
        <w:t> </w:t>
      </w:r>
      <w:r>
        <w:rPr/>
        <w:t>выявления коронавирусной инфекции</w:t>
      </w:r>
    </w:p>
    <w:p>
      <w:pPr>
        <w:pStyle w:val="BodyText"/>
        <w:spacing w:line="276" w:lineRule="auto"/>
        <w:ind w:left="2551" w:right="2095"/>
        <w:jc w:val="left"/>
      </w:pPr>
      <w:r>
        <w:rPr>
          <w:b/>
        </w:rPr>
        <w:t>В34.2</w:t>
      </w:r>
      <w:r>
        <w:rPr>
          <w:b/>
          <w:spacing w:val="-7"/>
        </w:rPr>
        <w:t> </w:t>
      </w:r>
      <w:r>
        <w:rPr/>
        <w:t>–</w:t>
      </w:r>
      <w:r>
        <w:rPr>
          <w:spacing w:val="-7"/>
        </w:rPr>
        <w:t> </w:t>
      </w:r>
      <w:r>
        <w:rPr/>
        <w:t>Коронавирусная</w:t>
      </w:r>
      <w:r>
        <w:rPr>
          <w:spacing w:val="-8"/>
        </w:rPr>
        <w:t> </w:t>
      </w:r>
      <w:r>
        <w:rPr/>
        <w:t>инфекция</w:t>
      </w:r>
      <w:r>
        <w:rPr>
          <w:spacing w:val="-9"/>
        </w:rPr>
        <w:t> </w:t>
      </w:r>
      <w:r>
        <w:rPr/>
        <w:t>неуточненная</w:t>
      </w:r>
      <w:r>
        <w:rPr>
          <w:spacing w:val="-8"/>
        </w:rPr>
        <w:t> </w:t>
      </w:r>
      <w:r>
        <w:rPr/>
        <w:t>(кроме</w:t>
      </w:r>
      <w:r>
        <w:rPr>
          <w:spacing w:val="-9"/>
        </w:rPr>
        <w:t> </w:t>
      </w:r>
      <w:r>
        <w:rPr/>
        <w:t>COVID-19) </w:t>
      </w:r>
      <w:r>
        <w:rPr>
          <w:b/>
        </w:rPr>
        <w:t>В33.8 </w:t>
      </w:r>
      <w:r>
        <w:rPr/>
        <w:t>– Коронавирусная инфекция уточненная (кроме COVID-19) </w:t>
      </w:r>
      <w:r>
        <w:rPr>
          <w:b/>
        </w:rPr>
        <w:t>Z29.0 </w:t>
      </w:r>
      <w:r>
        <w:rPr/>
        <w:t>– Изоляция</w:t>
      </w:r>
    </w:p>
    <w:p>
      <w:pPr>
        <w:pStyle w:val="BodyText"/>
        <w:spacing w:line="276" w:lineRule="exact"/>
        <w:ind w:left="2551"/>
        <w:jc w:val="left"/>
      </w:pPr>
      <w:r>
        <w:rPr>
          <w:b/>
        </w:rPr>
        <w:t>U08.9</w:t>
      </w:r>
      <w:r>
        <w:rPr>
          <w:b/>
          <w:spacing w:val="-10"/>
        </w:rPr>
        <w:t> </w:t>
      </w:r>
      <w:r>
        <w:rPr/>
        <w:t>–</w:t>
      </w:r>
      <w:r>
        <w:rPr>
          <w:spacing w:val="-9"/>
        </w:rPr>
        <w:t> </w:t>
      </w:r>
      <w:r>
        <w:rPr/>
        <w:t>В</w:t>
      </w:r>
      <w:r>
        <w:rPr>
          <w:spacing w:val="-9"/>
        </w:rPr>
        <w:t> </w:t>
      </w:r>
      <w:r>
        <w:rPr/>
        <w:t>личном</w:t>
      </w:r>
      <w:r>
        <w:rPr>
          <w:spacing w:val="-10"/>
        </w:rPr>
        <w:t> </w:t>
      </w:r>
      <w:r>
        <w:rPr/>
        <w:t>анамнезе</w:t>
      </w:r>
      <w:r>
        <w:rPr>
          <w:spacing w:val="-9"/>
        </w:rPr>
        <w:t> </w:t>
      </w:r>
      <w:r>
        <w:rPr/>
        <w:t>COVID-</w:t>
      </w:r>
      <w:r>
        <w:rPr>
          <w:spacing w:val="-5"/>
        </w:rPr>
        <w:t>19</w:t>
      </w:r>
    </w:p>
    <w:p>
      <w:pPr>
        <w:pStyle w:val="BodyText"/>
        <w:spacing w:before="39"/>
        <w:ind w:left="2551"/>
        <w:jc w:val="left"/>
      </w:pPr>
      <w:r>
        <w:rPr>
          <w:b/>
        </w:rPr>
        <w:t>U09.9</w:t>
      </w:r>
      <w:r>
        <w:rPr>
          <w:b/>
          <w:spacing w:val="-12"/>
        </w:rPr>
        <w:t> </w:t>
      </w:r>
      <w:r>
        <w:rPr/>
        <w:t>–</w:t>
      </w:r>
      <w:r>
        <w:rPr>
          <w:spacing w:val="-12"/>
        </w:rPr>
        <w:t> </w:t>
      </w:r>
      <w:r>
        <w:rPr/>
        <w:t>Состояние</w:t>
      </w:r>
      <w:r>
        <w:rPr>
          <w:spacing w:val="-12"/>
        </w:rPr>
        <w:t> </w:t>
      </w:r>
      <w:r>
        <w:rPr/>
        <w:t>после</w:t>
      </w:r>
      <w:r>
        <w:rPr>
          <w:spacing w:val="-11"/>
        </w:rPr>
        <w:t> </w:t>
      </w:r>
      <w:r>
        <w:rPr/>
        <w:t>COVID-</w:t>
      </w:r>
      <w:r>
        <w:rPr>
          <w:spacing w:val="-5"/>
        </w:rPr>
        <w:t>19</w:t>
      </w:r>
    </w:p>
    <w:p>
      <w:pPr>
        <w:pStyle w:val="BodyText"/>
        <w:spacing w:before="42"/>
        <w:ind w:left="2551"/>
        <w:jc w:val="left"/>
      </w:pPr>
      <w:r>
        <w:rPr>
          <w:b/>
          <w:spacing w:val="-2"/>
        </w:rPr>
        <w:t>U11.9</w:t>
      </w:r>
      <w:r>
        <w:rPr>
          <w:b/>
        </w:rPr>
        <w:t> </w:t>
      </w:r>
      <w:r>
        <w:rPr>
          <w:spacing w:val="-2"/>
        </w:rPr>
        <w:t>–</w:t>
      </w:r>
      <w:r>
        <w:rPr>
          <w:spacing w:val="1"/>
        </w:rPr>
        <w:t> </w:t>
      </w:r>
      <w:r>
        <w:rPr>
          <w:spacing w:val="-2"/>
        </w:rPr>
        <w:t>Необходимость</w:t>
      </w:r>
      <w:r>
        <w:rPr>
          <w:spacing w:val="3"/>
        </w:rPr>
        <w:t> </w:t>
      </w:r>
      <w:r>
        <w:rPr>
          <w:spacing w:val="-2"/>
        </w:rPr>
        <w:t>иммунизации</w:t>
      </w:r>
      <w:r>
        <w:rPr>
          <w:spacing w:val="-1"/>
        </w:rPr>
        <w:t> </w:t>
      </w:r>
      <w:r>
        <w:rPr>
          <w:spacing w:val="-2"/>
        </w:rPr>
        <w:t>против</w:t>
      </w:r>
      <w:r>
        <w:rPr>
          <w:spacing w:val="4"/>
        </w:rPr>
        <w:t> </w:t>
      </w:r>
      <w:r>
        <w:rPr>
          <w:spacing w:val="-2"/>
        </w:rPr>
        <w:t>COVID-</w:t>
      </w:r>
      <w:r>
        <w:rPr>
          <w:spacing w:val="-5"/>
        </w:rPr>
        <w:t>19</w:t>
      </w:r>
    </w:p>
    <w:p>
      <w:pPr>
        <w:pStyle w:val="BodyText"/>
        <w:spacing w:before="41"/>
        <w:ind w:left="2551"/>
        <w:jc w:val="left"/>
      </w:pPr>
      <w:r>
        <w:rPr>
          <w:b/>
        </w:rPr>
        <w:t>U12.9</w:t>
      </w:r>
      <w:r>
        <w:rPr>
          <w:b/>
          <w:spacing w:val="-14"/>
        </w:rPr>
        <w:t> </w:t>
      </w:r>
      <w:r>
        <w:rPr/>
        <w:t>–</w:t>
      </w:r>
      <w:r>
        <w:rPr>
          <w:spacing w:val="-12"/>
        </w:rPr>
        <w:t> </w:t>
      </w:r>
      <w:r>
        <w:rPr/>
        <w:t>Вакцина</w:t>
      </w:r>
      <w:r>
        <w:rPr>
          <w:spacing w:val="-13"/>
        </w:rPr>
        <w:t> </w:t>
      </w:r>
      <w:r>
        <w:rPr/>
        <w:t>против</w:t>
      </w:r>
      <w:r>
        <w:rPr>
          <w:spacing w:val="-14"/>
        </w:rPr>
        <w:t> </w:t>
      </w:r>
      <w:r>
        <w:rPr/>
        <w:t>COVID-19,</w:t>
      </w:r>
      <w:r>
        <w:rPr>
          <w:spacing w:val="-14"/>
        </w:rPr>
        <w:t> </w:t>
      </w:r>
      <w:r>
        <w:rPr/>
        <w:t>вызвавшая</w:t>
      </w:r>
      <w:r>
        <w:rPr>
          <w:spacing w:val="-13"/>
        </w:rPr>
        <w:t> </w:t>
      </w:r>
      <w:r>
        <w:rPr/>
        <w:t>неблагоприятную</w:t>
      </w:r>
      <w:r>
        <w:rPr>
          <w:spacing w:val="-12"/>
        </w:rPr>
        <w:t> </w:t>
      </w:r>
      <w:r>
        <w:rPr>
          <w:spacing w:val="-2"/>
        </w:rPr>
        <w:t>реакцию</w:t>
      </w:r>
    </w:p>
    <w:p>
      <w:pPr>
        <w:pStyle w:val="BodyText"/>
        <w:spacing w:before="81"/>
        <w:ind w:left="0"/>
        <w:jc w:val="left"/>
      </w:pPr>
    </w:p>
    <w:p>
      <w:pPr>
        <w:pStyle w:val="BodyText"/>
        <w:spacing w:line="276" w:lineRule="auto"/>
        <w:ind w:right="1273" w:firstLine="707"/>
      </w:pPr>
      <w:r>
        <w:rPr/>
        <w:t>При наличии пневмонии, вызванной COVID-19, рубрики </w:t>
      </w:r>
      <w:r>
        <w:rPr>
          <w:b/>
        </w:rPr>
        <w:t>J12-J18 </w:t>
      </w:r>
      <w:r>
        <w:rPr/>
        <w:t>используются в качестве дополнительных кодов. При летальных исходах рубрики XXI класса </w:t>
      </w:r>
      <w:r>
        <w:rPr>
          <w:b/>
        </w:rPr>
        <w:t>(Z00-Z99) </w:t>
      </w:r>
      <w:r>
        <w:rPr/>
        <w:t>МКБ-10 не используются.</w:t>
      </w:r>
    </w:p>
    <w:p>
      <w:pPr>
        <w:pStyle w:val="BodyText"/>
        <w:spacing w:line="276" w:lineRule="auto"/>
        <w:ind w:right="1273" w:firstLine="707"/>
      </w:pPr>
      <w:r>
        <w:rPr/>
        <w:t>Первичная медицинская документация (Талон пациента, получающего медицинскую</w:t>
      </w:r>
      <w:r>
        <w:rPr>
          <w:spacing w:val="-1"/>
        </w:rPr>
        <w:t> </w:t>
      </w:r>
      <w:r>
        <w:rPr/>
        <w:t>помощь в амбулаторных условиях – форма № 025-1/у; Статистическая карта выбывшего из стационара – форма № 066/у) заполняется в установленном порядке. Дополнительные коды проставляются ручным способом в правом верхнем </w:t>
      </w:r>
      <w:r>
        <w:rPr>
          <w:spacing w:val="-2"/>
        </w:rPr>
        <w:t>углу.</w:t>
      </w:r>
    </w:p>
    <w:p>
      <w:pPr>
        <w:pStyle w:val="Heading3"/>
        <w:spacing w:line="430" w:lineRule="atLeast" w:before="84"/>
        <w:ind w:right="1275"/>
      </w:pPr>
      <w:r>
        <w:rPr>
          <w:color w:val="1F487C"/>
        </w:rPr>
        <w:t>Примеры</w:t>
      </w:r>
      <w:r>
        <w:rPr>
          <w:color w:val="1F487C"/>
          <w:spacing w:val="-6"/>
        </w:rPr>
        <w:t> </w:t>
      </w:r>
      <w:r>
        <w:rPr>
          <w:color w:val="1F487C"/>
        </w:rPr>
        <w:t>формулировки</w:t>
      </w:r>
      <w:r>
        <w:rPr>
          <w:color w:val="1F487C"/>
          <w:spacing w:val="-6"/>
        </w:rPr>
        <w:t> </w:t>
      </w:r>
      <w:r>
        <w:rPr>
          <w:color w:val="1F487C"/>
        </w:rPr>
        <w:t>диагнозов</w:t>
      </w:r>
      <w:r>
        <w:rPr>
          <w:color w:val="1F487C"/>
          <w:spacing w:val="-7"/>
        </w:rPr>
        <w:t> </w:t>
      </w:r>
      <w:r>
        <w:rPr>
          <w:color w:val="1F487C"/>
        </w:rPr>
        <w:t>и</w:t>
      </w:r>
      <w:r>
        <w:rPr>
          <w:color w:val="1F487C"/>
          <w:spacing w:val="-7"/>
        </w:rPr>
        <w:t> </w:t>
      </w:r>
      <w:r>
        <w:rPr>
          <w:color w:val="1F487C"/>
        </w:rPr>
        <w:t>кодирование</w:t>
      </w:r>
      <w:r>
        <w:rPr>
          <w:color w:val="1F487C"/>
          <w:spacing w:val="-7"/>
        </w:rPr>
        <w:t> </w:t>
      </w:r>
      <w:r>
        <w:rPr>
          <w:color w:val="1F487C"/>
        </w:rPr>
        <w:t>CОVID-19</w:t>
      </w:r>
      <w:r>
        <w:rPr>
          <w:color w:val="1F487C"/>
          <w:spacing w:val="-7"/>
        </w:rPr>
        <w:t> </w:t>
      </w:r>
      <w:r>
        <w:rPr>
          <w:color w:val="1F487C"/>
        </w:rPr>
        <w:t>по</w:t>
      </w:r>
      <w:r>
        <w:rPr>
          <w:color w:val="1F487C"/>
          <w:spacing w:val="-7"/>
        </w:rPr>
        <w:t> </w:t>
      </w:r>
      <w:r>
        <w:rPr>
          <w:color w:val="1F487C"/>
        </w:rPr>
        <w:t>МКБ-10: </w:t>
      </w:r>
      <w:r>
        <w:rPr>
          <w:color w:val="1F4E79"/>
        </w:rPr>
        <w:t>Пример 1.</w:t>
      </w:r>
    </w:p>
    <w:p>
      <w:pPr>
        <w:spacing w:line="276" w:lineRule="auto" w:before="50"/>
        <w:ind w:left="1841" w:right="3067" w:firstLine="0"/>
        <w:jc w:val="left"/>
        <w:rPr>
          <w:sz w:val="24"/>
        </w:rPr>
      </w:pPr>
      <w:r>
        <w:rPr>
          <w:b/>
          <w:sz w:val="24"/>
        </w:rPr>
        <w:t>Основное</w:t>
      </w:r>
      <w:r>
        <w:rPr>
          <w:b/>
          <w:spacing w:val="-11"/>
          <w:sz w:val="24"/>
        </w:rPr>
        <w:t> </w:t>
      </w:r>
      <w:r>
        <w:rPr>
          <w:b/>
          <w:sz w:val="24"/>
        </w:rPr>
        <w:t>заболевание:</w:t>
      </w:r>
      <w:r>
        <w:rPr>
          <w:b/>
          <w:spacing w:val="-10"/>
          <w:sz w:val="24"/>
        </w:rPr>
        <w:t> </w:t>
      </w:r>
      <w:r>
        <w:rPr>
          <w:sz w:val="24"/>
        </w:rPr>
        <w:t>Коронавирусная</w:t>
      </w:r>
      <w:r>
        <w:rPr>
          <w:spacing w:val="-11"/>
          <w:sz w:val="24"/>
        </w:rPr>
        <w:t> </w:t>
      </w:r>
      <w:r>
        <w:rPr>
          <w:sz w:val="24"/>
        </w:rPr>
        <w:t>инфекция</w:t>
      </w:r>
      <w:r>
        <w:rPr>
          <w:spacing w:val="-13"/>
          <w:sz w:val="24"/>
        </w:rPr>
        <w:t> </w:t>
      </w:r>
      <w:r>
        <w:rPr>
          <w:sz w:val="24"/>
        </w:rPr>
        <w:t>COVID-19, вирус идентифицирован </w:t>
      </w:r>
      <w:r>
        <w:rPr>
          <w:b/>
          <w:sz w:val="24"/>
        </w:rPr>
        <w:t>(U07.1)</w:t>
      </w:r>
      <w:r>
        <w:rPr>
          <w:sz w:val="24"/>
        </w:rPr>
        <w:t>.</w:t>
      </w:r>
    </w:p>
    <w:p>
      <w:pPr>
        <w:spacing w:line="276" w:lineRule="auto" w:before="0"/>
        <w:ind w:left="1841" w:right="0" w:firstLine="0"/>
        <w:jc w:val="left"/>
        <w:rPr>
          <w:sz w:val="24"/>
        </w:rPr>
      </w:pPr>
      <w:r>
        <w:rPr>
          <w:b/>
          <w:sz w:val="24"/>
        </w:rPr>
        <w:t>Фоновое</w:t>
      </w:r>
      <w:r>
        <w:rPr>
          <w:b/>
          <w:spacing w:val="-6"/>
          <w:sz w:val="24"/>
        </w:rPr>
        <w:t> </w:t>
      </w:r>
      <w:r>
        <w:rPr>
          <w:b/>
          <w:sz w:val="24"/>
        </w:rPr>
        <w:t>заболевание:</w:t>
      </w:r>
      <w:r>
        <w:rPr>
          <w:b/>
          <w:spacing w:val="-3"/>
          <w:sz w:val="24"/>
        </w:rPr>
        <w:t> </w:t>
      </w:r>
      <w:r>
        <w:rPr>
          <w:sz w:val="24"/>
        </w:rPr>
        <w:t>Сахарный</w:t>
      </w:r>
      <w:r>
        <w:rPr>
          <w:spacing w:val="-5"/>
          <w:sz w:val="24"/>
        </w:rPr>
        <w:t> </w:t>
      </w:r>
      <w:r>
        <w:rPr>
          <w:sz w:val="24"/>
        </w:rPr>
        <w:t>диабет</w:t>
      </w:r>
      <w:r>
        <w:rPr>
          <w:spacing w:val="-6"/>
          <w:sz w:val="24"/>
        </w:rPr>
        <w:t> </w:t>
      </w:r>
      <w:r>
        <w:rPr>
          <w:sz w:val="24"/>
        </w:rPr>
        <w:t>2</w:t>
      </w:r>
      <w:r>
        <w:rPr>
          <w:spacing w:val="-6"/>
          <w:sz w:val="24"/>
        </w:rPr>
        <w:t> </w:t>
      </w:r>
      <w:r>
        <w:rPr>
          <w:sz w:val="24"/>
        </w:rPr>
        <w:t>типа</w:t>
      </w:r>
      <w:r>
        <w:rPr>
          <w:spacing w:val="-6"/>
          <w:sz w:val="24"/>
        </w:rPr>
        <w:t> </w:t>
      </w:r>
      <w:r>
        <w:rPr>
          <w:sz w:val="24"/>
        </w:rPr>
        <w:t>с</w:t>
      </w:r>
      <w:r>
        <w:rPr>
          <w:spacing w:val="-6"/>
          <w:sz w:val="24"/>
        </w:rPr>
        <w:t> </w:t>
      </w:r>
      <w:r>
        <w:rPr>
          <w:sz w:val="24"/>
        </w:rPr>
        <w:t>почечными</w:t>
      </w:r>
      <w:r>
        <w:rPr>
          <w:spacing w:val="-5"/>
          <w:sz w:val="24"/>
        </w:rPr>
        <w:t> </w:t>
      </w:r>
      <w:r>
        <w:rPr>
          <w:sz w:val="24"/>
        </w:rPr>
        <w:t>осложнениями</w:t>
      </w:r>
      <w:r>
        <w:rPr>
          <w:spacing w:val="-1"/>
          <w:sz w:val="24"/>
        </w:rPr>
        <w:t> </w:t>
      </w:r>
      <w:r>
        <w:rPr>
          <w:b/>
          <w:sz w:val="24"/>
        </w:rPr>
        <w:t>(E11.2)</w:t>
      </w:r>
      <w:r>
        <w:rPr>
          <w:sz w:val="24"/>
        </w:rPr>
        <w:t>. </w:t>
      </w:r>
      <w:r>
        <w:rPr>
          <w:b/>
          <w:sz w:val="24"/>
        </w:rPr>
        <w:t>Осложнения: </w:t>
      </w:r>
      <w:r>
        <w:rPr>
          <w:sz w:val="24"/>
        </w:rPr>
        <w:t>Двусторонняя полисегментарная вирусная пневмония.</w:t>
      </w:r>
    </w:p>
    <w:p>
      <w:pPr>
        <w:pStyle w:val="BodyText"/>
        <w:ind w:left="2549"/>
        <w:jc w:val="left"/>
      </w:pPr>
      <w:r>
        <w:rPr>
          <w:b/>
          <w:color w:val="1F4E79"/>
        </w:rPr>
        <w:t>Пример</w:t>
      </w:r>
      <w:r>
        <w:rPr>
          <w:b/>
          <w:color w:val="1F4E79"/>
          <w:spacing w:val="-11"/>
        </w:rPr>
        <w:t> </w:t>
      </w:r>
      <w:r>
        <w:rPr>
          <w:b/>
          <w:color w:val="1F4E79"/>
        </w:rPr>
        <w:t>2</w:t>
      </w:r>
      <w:r>
        <w:rPr>
          <w:b/>
          <w:color w:val="1F4E79"/>
          <w:spacing w:val="-10"/>
        </w:rPr>
        <w:t> </w:t>
      </w:r>
      <w:r>
        <w:rPr/>
        <w:t>(только</w:t>
      </w:r>
      <w:r>
        <w:rPr>
          <w:spacing w:val="-12"/>
        </w:rPr>
        <w:t> </w:t>
      </w:r>
      <w:r>
        <w:rPr/>
        <w:t>для</w:t>
      </w:r>
      <w:r>
        <w:rPr>
          <w:spacing w:val="-12"/>
        </w:rPr>
        <w:t> </w:t>
      </w:r>
      <w:r>
        <w:rPr/>
        <w:t>этапного</w:t>
      </w:r>
      <w:r>
        <w:rPr>
          <w:spacing w:val="-11"/>
        </w:rPr>
        <w:t> </w:t>
      </w:r>
      <w:r>
        <w:rPr/>
        <w:t>клинического</w:t>
      </w:r>
      <w:r>
        <w:rPr>
          <w:spacing w:val="-12"/>
        </w:rPr>
        <w:t> </w:t>
      </w:r>
      <w:r>
        <w:rPr>
          <w:spacing w:val="-2"/>
        </w:rPr>
        <w:t>диагноза).</w:t>
      </w:r>
    </w:p>
    <w:p>
      <w:pPr>
        <w:spacing w:before="39"/>
        <w:ind w:left="1841" w:right="0" w:firstLine="0"/>
        <w:jc w:val="left"/>
        <w:rPr>
          <w:sz w:val="24"/>
        </w:rPr>
      </w:pPr>
      <w:r>
        <w:rPr>
          <w:b/>
          <w:sz w:val="24"/>
        </w:rPr>
        <w:t>Основное</w:t>
      </w:r>
      <w:r>
        <w:rPr>
          <w:b/>
          <w:spacing w:val="-15"/>
          <w:sz w:val="24"/>
        </w:rPr>
        <w:t> </w:t>
      </w:r>
      <w:r>
        <w:rPr>
          <w:b/>
          <w:sz w:val="24"/>
        </w:rPr>
        <w:t>заболевание:</w:t>
      </w:r>
      <w:r>
        <w:rPr>
          <w:b/>
          <w:spacing w:val="-15"/>
          <w:sz w:val="24"/>
        </w:rPr>
        <w:t> </w:t>
      </w:r>
      <w:r>
        <w:rPr>
          <w:sz w:val="24"/>
        </w:rPr>
        <w:t>Контакт</w:t>
      </w:r>
      <w:r>
        <w:rPr>
          <w:spacing w:val="-15"/>
          <w:sz w:val="24"/>
        </w:rPr>
        <w:t> </w:t>
      </w:r>
      <w:r>
        <w:rPr>
          <w:sz w:val="24"/>
        </w:rPr>
        <w:t>с</w:t>
      </w:r>
      <w:r>
        <w:rPr>
          <w:spacing w:val="-15"/>
          <w:sz w:val="24"/>
        </w:rPr>
        <w:t> </w:t>
      </w:r>
      <w:r>
        <w:rPr>
          <w:sz w:val="24"/>
        </w:rPr>
        <w:t>больным</w:t>
      </w:r>
      <w:r>
        <w:rPr>
          <w:spacing w:val="-15"/>
          <w:sz w:val="24"/>
        </w:rPr>
        <w:t> </w:t>
      </w:r>
      <w:r>
        <w:rPr>
          <w:sz w:val="24"/>
        </w:rPr>
        <w:t>коронавирусной</w:t>
      </w:r>
      <w:r>
        <w:rPr>
          <w:spacing w:val="-14"/>
          <w:sz w:val="24"/>
        </w:rPr>
        <w:t> </w:t>
      </w:r>
      <w:r>
        <w:rPr>
          <w:sz w:val="24"/>
        </w:rPr>
        <w:t>инфекцией</w:t>
      </w:r>
      <w:r>
        <w:rPr>
          <w:spacing w:val="-12"/>
          <w:sz w:val="24"/>
        </w:rPr>
        <w:t> </w:t>
      </w:r>
      <w:r>
        <w:rPr>
          <w:b/>
          <w:spacing w:val="-2"/>
          <w:sz w:val="24"/>
        </w:rPr>
        <w:t>(Z20.8)</w:t>
      </w:r>
      <w:r>
        <w:rPr>
          <w:spacing w:val="-2"/>
          <w:sz w:val="24"/>
        </w:rPr>
        <w:t>.</w:t>
      </w:r>
    </w:p>
    <w:p>
      <w:pPr>
        <w:pStyle w:val="Heading3"/>
        <w:spacing w:before="41"/>
        <w:jc w:val="left"/>
      </w:pPr>
      <w:r>
        <w:rPr>
          <w:color w:val="1F4E79"/>
        </w:rPr>
        <w:t>Пример</w:t>
      </w:r>
      <w:r>
        <w:rPr>
          <w:color w:val="1F4E79"/>
          <w:spacing w:val="-11"/>
        </w:rPr>
        <w:t> </w:t>
      </w:r>
      <w:r>
        <w:rPr>
          <w:color w:val="1F4E79"/>
          <w:spacing w:val="-5"/>
        </w:rPr>
        <w:t>3.</w:t>
      </w:r>
    </w:p>
    <w:p>
      <w:pPr>
        <w:spacing w:line="278" w:lineRule="auto" w:before="40"/>
        <w:ind w:left="1841" w:right="3067" w:firstLine="0"/>
        <w:jc w:val="left"/>
        <w:rPr>
          <w:sz w:val="24"/>
        </w:rPr>
      </w:pPr>
      <w:r>
        <w:rPr>
          <w:b/>
          <w:sz w:val="24"/>
        </w:rPr>
        <w:t>Основное</w:t>
      </w:r>
      <w:r>
        <w:rPr>
          <w:b/>
          <w:spacing w:val="-11"/>
          <w:sz w:val="24"/>
        </w:rPr>
        <w:t> </w:t>
      </w:r>
      <w:r>
        <w:rPr>
          <w:b/>
          <w:sz w:val="24"/>
        </w:rPr>
        <w:t>заболевание:</w:t>
      </w:r>
      <w:r>
        <w:rPr>
          <w:b/>
          <w:spacing w:val="-10"/>
          <w:sz w:val="24"/>
        </w:rPr>
        <w:t> </w:t>
      </w:r>
      <w:r>
        <w:rPr>
          <w:sz w:val="24"/>
        </w:rPr>
        <w:t>Коронавирусная</w:t>
      </w:r>
      <w:r>
        <w:rPr>
          <w:spacing w:val="-11"/>
          <w:sz w:val="24"/>
        </w:rPr>
        <w:t> </w:t>
      </w:r>
      <w:r>
        <w:rPr>
          <w:sz w:val="24"/>
        </w:rPr>
        <w:t>инфекция</w:t>
      </w:r>
      <w:r>
        <w:rPr>
          <w:spacing w:val="-13"/>
          <w:sz w:val="24"/>
        </w:rPr>
        <w:t> </w:t>
      </w:r>
      <w:r>
        <w:rPr>
          <w:sz w:val="24"/>
        </w:rPr>
        <w:t>COVID-19, вирус идентифицирован </w:t>
      </w:r>
      <w:r>
        <w:rPr>
          <w:b/>
          <w:sz w:val="24"/>
        </w:rPr>
        <w:t>(U07.1)</w:t>
      </w:r>
      <w:r>
        <w:rPr>
          <w:sz w:val="24"/>
        </w:rPr>
        <w:t>.</w:t>
      </w:r>
    </w:p>
    <w:p>
      <w:pPr>
        <w:spacing w:line="271" w:lineRule="exact" w:before="0"/>
        <w:ind w:left="1841" w:right="0" w:firstLine="0"/>
        <w:jc w:val="left"/>
        <w:rPr>
          <w:sz w:val="24"/>
        </w:rPr>
      </w:pPr>
      <w:r>
        <w:rPr>
          <w:b/>
          <w:spacing w:val="-2"/>
          <w:sz w:val="24"/>
        </w:rPr>
        <w:t>Осложнения:</w:t>
      </w:r>
      <w:r>
        <w:rPr>
          <w:b/>
          <w:spacing w:val="4"/>
          <w:sz w:val="24"/>
        </w:rPr>
        <w:t> </w:t>
      </w:r>
      <w:r>
        <w:rPr>
          <w:spacing w:val="-2"/>
          <w:sz w:val="24"/>
        </w:rPr>
        <w:t>Двусторонняя</w:t>
      </w:r>
      <w:r>
        <w:rPr>
          <w:spacing w:val="3"/>
          <w:sz w:val="24"/>
        </w:rPr>
        <w:t> </w:t>
      </w:r>
      <w:r>
        <w:rPr>
          <w:spacing w:val="-2"/>
          <w:sz w:val="24"/>
        </w:rPr>
        <w:t>пневмония.</w:t>
      </w:r>
      <w:r>
        <w:rPr>
          <w:spacing w:val="5"/>
          <w:sz w:val="24"/>
        </w:rPr>
        <w:t> </w:t>
      </w:r>
      <w:r>
        <w:rPr>
          <w:spacing w:val="-2"/>
          <w:sz w:val="24"/>
        </w:rPr>
        <w:t>Cепсис.</w:t>
      </w:r>
    </w:p>
    <w:p>
      <w:pPr>
        <w:spacing w:after="0" w:line="271" w:lineRule="exact"/>
        <w:jc w:val="left"/>
        <w:rPr>
          <w:sz w:val="24"/>
        </w:rPr>
        <w:sectPr>
          <w:pgSz w:w="11900" w:h="16840"/>
          <w:pgMar w:header="0" w:footer="697" w:top="1080" w:bottom="880" w:left="0" w:right="0"/>
        </w:sectPr>
      </w:pPr>
    </w:p>
    <w:p>
      <w:pPr>
        <w:spacing w:line="276" w:lineRule="auto" w:before="73"/>
        <w:ind w:left="1841" w:right="4077" w:firstLine="0"/>
        <w:jc w:val="left"/>
        <w:rPr>
          <w:sz w:val="24"/>
        </w:rPr>
      </w:pPr>
      <w:bookmarkStart w:name="145" w:id="172"/>
      <w:bookmarkEnd w:id="172"/>
      <w:r>
        <w:rPr/>
      </w:r>
      <w:r>
        <w:rPr>
          <w:b/>
          <w:sz w:val="24"/>
        </w:rPr>
        <w:t>Сопутствующие</w:t>
      </w:r>
      <w:r>
        <w:rPr>
          <w:b/>
          <w:spacing w:val="-10"/>
          <w:sz w:val="24"/>
        </w:rPr>
        <w:t> </w:t>
      </w:r>
      <w:r>
        <w:rPr>
          <w:b/>
          <w:sz w:val="24"/>
        </w:rPr>
        <w:t>заболевания:</w:t>
      </w:r>
      <w:r>
        <w:rPr>
          <w:b/>
          <w:spacing w:val="-10"/>
          <w:sz w:val="24"/>
        </w:rPr>
        <w:t> </w:t>
      </w:r>
      <w:r>
        <w:rPr>
          <w:sz w:val="24"/>
        </w:rPr>
        <w:t>Болезнь,</w:t>
      </w:r>
      <w:r>
        <w:rPr>
          <w:spacing w:val="-11"/>
          <w:sz w:val="24"/>
        </w:rPr>
        <w:t> </w:t>
      </w:r>
      <w:r>
        <w:rPr>
          <w:sz w:val="24"/>
        </w:rPr>
        <w:t>вызванная</w:t>
      </w:r>
      <w:r>
        <w:rPr>
          <w:spacing w:val="-11"/>
          <w:sz w:val="24"/>
        </w:rPr>
        <w:t> </w:t>
      </w:r>
      <w:r>
        <w:rPr>
          <w:sz w:val="24"/>
        </w:rPr>
        <w:t>ВИЧ, с туберкулезом и саркомой Капоши </w:t>
      </w:r>
      <w:r>
        <w:rPr>
          <w:b/>
          <w:sz w:val="24"/>
        </w:rPr>
        <w:t>(B22.7)</w:t>
      </w:r>
      <w:r>
        <w:rPr>
          <w:sz w:val="24"/>
        </w:rPr>
        <w:t>.</w:t>
      </w:r>
    </w:p>
    <w:p>
      <w:pPr>
        <w:pStyle w:val="Heading3"/>
        <w:spacing w:line="275" w:lineRule="exact"/>
        <w:jc w:val="left"/>
      </w:pPr>
      <w:r>
        <w:rPr>
          <w:color w:val="1F4E79"/>
        </w:rPr>
        <w:t>Пример</w:t>
      </w:r>
      <w:r>
        <w:rPr>
          <w:color w:val="1F4E79"/>
          <w:spacing w:val="-11"/>
        </w:rPr>
        <w:t> </w:t>
      </w:r>
      <w:r>
        <w:rPr>
          <w:color w:val="1F4E79"/>
          <w:spacing w:val="-5"/>
        </w:rPr>
        <w:t>4.</w:t>
      </w:r>
    </w:p>
    <w:p>
      <w:pPr>
        <w:spacing w:line="276" w:lineRule="auto" w:before="43"/>
        <w:ind w:left="1841" w:right="3067" w:firstLine="0"/>
        <w:jc w:val="left"/>
        <w:rPr>
          <w:sz w:val="24"/>
        </w:rPr>
      </w:pPr>
      <w:r>
        <w:rPr>
          <w:b/>
          <w:sz w:val="24"/>
        </w:rPr>
        <w:t>Основное</w:t>
      </w:r>
      <w:r>
        <w:rPr>
          <w:b/>
          <w:spacing w:val="-11"/>
          <w:sz w:val="24"/>
        </w:rPr>
        <w:t> </w:t>
      </w:r>
      <w:r>
        <w:rPr>
          <w:b/>
          <w:sz w:val="24"/>
        </w:rPr>
        <w:t>заболевание:</w:t>
      </w:r>
      <w:r>
        <w:rPr>
          <w:b/>
          <w:spacing w:val="-10"/>
          <w:sz w:val="24"/>
        </w:rPr>
        <w:t> </w:t>
      </w:r>
      <w:r>
        <w:rPr>
          <w:sz w:val="24"/>
        </w:rPr>
        <w:t>Коронавирусная</w:t>
      </w:r>
      <w:r>
        <w:rPr>
          <w:spacing w:val="-11"/>
          <w:sz w:val="24"/>
        </w:rPr>
        <w:t> </w:t>
      </w:r>
      <w:r>
        <w:rPr>
          <w:sz w:val="24"/>
        </w:rPr>
        <w:t>инфекция</w:t>
      </w:r>
      <w:r>
        <w:rPr>
          <w:spacing w:val="-13"/>
          <w:sz w:val="24"/>
        </w:rPr>
        <w:t> </w:t>
      </w:r>
      <w:r>
        <w:rPr>
          <w:sz w:val="24"/>
        </w:rPr>
        <w:t>COVID-19, вирус не идентифицирован </w:t>
      </w:r>
      <w:r>
        <w:rPr>
          <w:b/>
          <w:sz w:val="24"/>
        </w:rPr>
        <w:t>(U07.2)</w:t>
      </w:r>
      <w:r>
        <w:rPr>
          <w:sz w:val="24"/>
        </w:rPr>
        <w:t>.</w:t>
      </w:r>
    </w:p>
    <w:p>
      <w:pPr>
        <w:pStyle w:val="BodyText"/>
        <w:spacing w:line="276" w:lineRule="auto"/>
        <w:ind w:right="1822"/>
        <w:jc w:val="left"/>
      </w:pPr>
      <w:r>
        <w:rPr>
          <w:b/>
        </w:rPr>
        <w:t>Осложнения:</w:t>
      </w:r>
      <w:r>
        <w:rPr>
          <w:b/>
          <w:spacing w:val="-9"/>
        </w:rPr>
        <w:t> </w:t>
      </w:r>
      <w:r>
        <w:rPr/>
        <w:t>Двусторонняя</w:t>
      </w:r>
      <w:r>
        <w:rPr>
          <w:spacing w:val="-10"/>
        </w:rPr>
        <w:t> </w:t>
      </w:r>
      <w:r>
        <w:rPr/>
        <w:t>полисегментарная</w:t>
      </w:r>
      <w:r>
        <w:rPr>
          <w:spacing w:val="-10"/>
        </w:rPr>
        <w:t> </w:t>
      </w:r>
      <w:r>
        <w:rPr/>
        <w:t>вирусная</w:t>
      </w:r>
      <w:r>
        <w:rPr>
          <w:spacing w:val="-10"/>
        </w:rPr>
        <w:t> </w:t>
      </w:r>
      <w:r>
        <w:rPr/>
        <w:t>пневмония,</w:t>
      </w:r>
      <w:r>
        <w:rPr>
          <w:spacing w:val="-11"/>
        </w:rPr>
        <w:t> </w:t>
      </w:r>
      <w:r>
        <w:rPr/>
        <w:t>вызванная </w:t>
      </w:r>
      <w:r>
        <w:rPr>
          <w:spacing w:val="-2"/>
        </w:rPr>
        <w:t>SARS-CoV-2.</w:t>
      </w:r>
    </w:p>
    <w:p>
      <w:pPr>
        <w:spacing w:line="276" w:lineRule="auto" w:before="0"/>
        <w:ind w:left="1841" w:right="1273" w:firstLine="0"/>
        <w:jc w:val="both"/>
        <w:rPr>
          <w:sz w:val="24"/>
        </w:rPr>
      </w:pPr>
      <w:r>
        <w:rPr>
          <w:b/>
          <w:sz w:val="24"/>
        </w:rPr>
        <w:t>Сопутствующие</w:t>
      </w:r>
      <w:r>
        <w:rPr>
          <w:b/>
          <w:spacing w:val="-15"/>
          <w:sz w:val="24"/>
        </w:rPr>
        <w:t> </w:t>
      </w:r>
      <w:r>
        <w:rPr>
          <w:b/>
          <w:sz w:val="24"/>
        </w:rPr>
        <w:t>заболевания:</w:t>
      </w:r>
      <w:r>
        <w:rPr>
          <w:b/>
          <w:spacing w:val="-15"/>
          <w:sz w:val="24"/>
        </w:rPr>
        <w:t> </w:t>
      </w:r>
      <w:r>
        <w:rPr>
          <w:sz w:val="24"/>
        </w:rPr>
        <w:t>Злокачественное</w:t>
      </w:r>
      <w:r>
        <w:rPr>
          <w:spacing w:val="-15"/>
          <w:sz w:val="24"/>
        </w:rPr>
        <w:t> </w:t>
      </w:r>
      <w:r>
        <w:rPr>
          <w:sz w:val="24"/>
        </w:rPr>
        <w:t>новообразование</w:t>
      </w:r>
      <w:r>
        <w:rPr>
          <w:spacing w:val="-15"/>
          <w:sz w:val="24"/>
        </w:rPr>
        <w:t> </w:t>
      </w:r>
      <w:r>
        <w:rPr>
          <w:sz w:val="24"/>
        </w:rPr>
        <w:t>средней</w:t>
      </w:r>
      <w:r>
        <w:rPr>
          <w:spacing w:val="-15"/>
          <w:sz w:val="24"/>
        </w:rPr>
        <w:t> </w:t>
      </w:r>
      <w:r>
        <w:rPr>
          <w:sz w:val="24"/>
        </w:rPr>
        <w:t>трети</w:t>
      </w:r>
      <w:r>
        <w:rPr>
          <w:spacing w:val="-15"/>
          <w:sz w:val="24"/>
        </w:rPr>
        <w:t> </w:t>
      </w:r>
      <w:r>
        <w:rPr>
          <w:sz w:val="24"/>
        </w:rPr>
        <w:t>тела желудка, cT3N0M0 IIб стадия (тубулярная аденокарцинома G1) </w:t>
      </w:r>
      <w:r>
        <w:rPr>
          <w:b/>
          <w:sz w:val="24"/>
        </w:rPr>
        <w:t>(C16.2)</w:t>
      </w:r>
      <w:r>
        <w:rPr>
          <w:sz w:val="24"/>
        </w:rPr>
        <w:t>.</w:t>
      </w:r>
    </w:p>
    <w:p>
      <w:pPr>
        <w:pStyle w:val="BodyText"/>
        <w:spacing w:line="276" w:lineRule="auto"/>
        <w:ind w:right="1273" w:firstLine="707"/>
      </w:pPr>
      <w:r>
        <w:rPr/>
        <w:t>От правильности формулировки заключительного клинического, патологоанатомического или судебно-медицинского диагноза зависит кодирование</w:t>
      </w:r>
      <w:r>
        <w:rPr>
          <w:spacing w:val="80"/>
        </w:rPr>
        <w:t> </w:t>
      </w:r>
      <w:r>
        <w:rPr/>
        <w:t>и выбор первоначальной причины смерти.</w:t>
      </w:r>
    </w:p>
    <w:p>
      <w:pPr>
        <w:pStyle w:val="BodyText"/>
        <w:spacing w:line="276" w:lineRule="auto"/>
        <w:ind w:right="1272" w:firstLine="707"/>
      </w:pPr>
      <w:r>
        <w:rPr/>
        <w:t>В разных странах существует разный подход к формулировке патологоанатомического</w:t>
      </w:r>
      <w:r>
        <w:rPr>
          <w:spacing w:val="-3"/>
        </w:rPr>
        <w:t> </w:t>
      </w:r>
      <w:r>
        <w:rPr/>
        <w:t>диагноза,</w:t>
      </w:r>
      <w:r>
        <w:rPr>
          <w:spacing w:val="-3"/>
        </w:rPr>
        <w:t> </w:t>
      </w:r>
      <w:r>
        <w:rPr/>
        <w:t>выбору</w:t>
      </w:r>
      <w:r>
        <w:rPr>
          <w:spacing w:val="-3"/>
        </w:rPr>
        <w:t> </w:t>
      </w:r>
      <w:r>
        <w:rPr/>
        <w:t>и</w:t>
      </w:r>
      <w:r>
        <w:rPr>
          <w:spacing w:val="-2"/>
        </w:rPr>
        <w:t> </w:t>
      </w:r>
      <w:r>
        <w:rPr/>
        <w:t>учету</w:t>
      </w:r>
      <w:r>
        <w:rPr>
          <w:spacing w:val="-3"/>
        </w:rPr>
        <w:t> </w:t>
      </w:r>
      <w:r>
        <w:rPr/>
        <w:t>причин</w:t>
      </w:r>
      <w:r>
        <w:rPr>
          <w:spacing w:val="-2"/>
        </w:rPr>
        <w:t> </w:t>
      </w:r>
      <w:r>
        <w:rPr/>
        <w:t>смерти</w:t>
      </w:r>
      <w:r>
        <w:rPr>
          <w:spacing w:val="-2"/>
        </w:rPr>
        <w:t> </w:t>
      </w:r>
      <w:r>
        <w:rPr/>
        <w:t>от COVID-19,</w:t>
      </w:r>
      <w:r>
        <w:rPr>
          <w:spacing w:val="-1"/>
        </w:rPr>
        <w:t> </w:t>
      </w:r>
      <w:r>
        <w:rPr/>
        <w:t>что, вероятно, объясняет существенные различия в статистике смертности. При этом международные правила по кодированию COVID-19 в свидетельствах о смерти представлены в рекомендациях ВОЗ. Предварительный и окончательный патологоанатомические диагнозы формулируются в соответствии с приказом Минздрава России от 06.06.2013 № 354 «О порядке проведения патологоанатомических вскрытий» и клиническими рекомендациями Российского общества патологоанатомов «Формулировка патологоанатомического диагноза при некоторых инфекционных и паразитарных болезнях» RPSA.1(2016), причем окончательный – после завершения гистологического исследования и получения результатов лабораторных исследований.</w:t>
      </w:r>
    </w:p>
    <w:p>
      <w:pPr>
        <w:pStyle w:val="BodyText"/>
        <w:spacing w:line="276" w:lineRule="auto"/>
        <w:ind w:right="1272" w:firstLine="707"/>
      </w:pPr>
      <w:r>
        <w:rPr/>
        <w:t>Правила</w:t>
      </w:r>
      <w:r>
        <w:rPr>
          <w:spacing w:val="-15"/>
        </w:rPr>
        <w:t> </w:t>
      </w:r>
      <w:r>
        <w:rPr/>
        <w:t>и</w:t>
      </w:r>
      <w:r>
        <w:rPr>
          <w:spacing w:val="-14"/>
        </w:rPr>
        <w:t> </w:t>
      </w:r>
      <w:r>
        <w:rPr/>
        <w:t>примеры</w:t>
      </w:r>
      <w:r>
        <w:rPr>
          <w:spacing w:val="-15"/>
        </w:rPr>
        <w:t> </w:t>
      </w:r>
      <w:r>
        <w:rPr/>
        <w:t>формулировки</w:t>
      </w:r>
      <w:r>
        <w:rPr>
          <w:spacing w:val="-13"/>
        </w:rPr>
        <w:t> </w:t>
      </w:r>
      <w:r>
        <w:rPr/>
        <w:t>диагноза</w:t>
      </w:r>
      <w:r>
        <w:rPr>
          <w:spacing w:val="-15"/>
        </w:rPr>
        <w:t> </w:t>
      </w:r>
      <w:r>
        <w:rPr/>
        <w:t>и</w:t>
      </w:r>
      <w:r>
        <w:rPr>
          <w:spacing w:val="-15"/>
        </w:rPr>
        <w:t> </w:t>
      </w:r>
      <w:r>
        <w:rPr/>
        <w:t>кодирования</w:t>
      </w:r>
      <w:r>
        <w:rPr>
          <w:spacing w:val="-15"/>
        </w:rPr>
        <w:t> </w:t>
      </w:r>
      <w:r>
        <w:rPr/>
        <w:t>причин</w:t>
      </w:r>
      <w:r>
        <w:rPr>
          <w:spacing w:val="-13"/>
        </w:rPr>
        <w:t> </w:t>
      </w:r>
      <w:r>
        <w:rPr/>
        <w:t>смерти</w:t>
      </w:r>
      <w:r>
        <w:rPr>
          <w:spacing w:val="-12"/>
        </w:rPr>
        <w:t> </w:t>
      </w:r>
      <w:r>
        <w:rPr/>
        <w:t>при наличии</w:t>
      </w:r>
      <w:r>
        <w:rPr>
          <w:spacing w:val="40"/>
        </w:rPr>
        <w:t>  </w:t>
      </w:r>
      <w:r>
        <w:rPr/>
        <w:t>у</w:t>
      </w:r>
      <w:r>
        <w:rPr>
          <w:spacing w:val="40"/>
        </w:rPr>
        <w:t>  </w:t>
      </w:r>
      <w:r>
        <w:rPr/>
        <w:t>пациента</w:t>
      </w:r>
      <w:r>
        <w:rPr>
          <w:spacing w:val="40"/>
        </w:rPr>
        <w:t>  </w:t>
      </w:r>
      <w:r>
        <w:rPr/>
        <w:t>новой</w:t>
      </w:r>
      <w:r>
        <w:rPr>
          <w:spacing w:val="40"/>
        </w:rPr>
        <w:t>  </w:t>
      </w:r>
      <w:r>
        <w:rPr/>
        <w:t>коронавирусной</w:t>
      </w:r>
      <w:r>
        <w:rPr>
          <w:spacing w:val="40"/>
        </w:rPr>
        <w:t>  </w:t>
      </w:r>
      <w:r>
        <w:rPr/>
        <w:t>инфекции</w:t>
      </w:r>
      <w:r>
        <w:rPr>
          <w:spacing w:val="40"/>
        </w:rPr>
        <w:t>  </w:t>
      </w:r>
      <w:r>
        <w:rPr/>
        <w:t>COVID-19</w:t>
      </w:r>
      <w:r>
        <w:rPr>
          <w:spacing w:val="40"/>
        </w:rPr>
        <w:t>  </w:t>
      </w:r>
      <w:r>
        <w:rPr/>
        <w:t>изложены в</w:t>
      </w:r>
      <w:r>
        <w:rPr>
          <w:spacing w:val="-4"/>
        </w:rPr>
        <w:t> </w:t>
      </w:r>
      <w:r>
        <w:rPr/>
        <w:t>«Методических</w:t>
      </w:r>
      <w:r>
        <w:rPr>
          <w:spacing w:val="40"/>
        </w:rPr>
        <w:t> </w:t>
      </w:r>
      <w:r>
        <w:rPr/>
        <w:t>рекомендациях</w:t>
      </w:r>
      <w:r>
        <w:rPr>
          <w:spacing w:val="40"/>
        </w:rPr>
        <w:t> </w:t>
      </w:r>
      <w:r>
        <w:rPr/>
        <w:t>по</w:t>
      </w:r>
      <w:r>
        <w:rPr>
          <w:spacing w:val="40"/>
        </w:rPr>
        <w:t> </w:t>
      </w:r>
      <w:r>
        <w:rPr/>
        <w:t>кодированию</w:t>
      </w:r>
      <w:r>
        <w:rPr>
          <w:spacing w:val="40"/>
        </w:rPr>
        <w:t> </w:t>
      </w:r>
      <w:r>
        <w:rPr/>
        <w:t>и</w:t>
      </w:r>
      <w:r>
        <w:rPr>
          <w:spacing w:val="40"/>
        </w:rPr>
        <w:t> </w:t>
      </w:r>
      <w:r>
        <w:rPr/>
        <w:t>выбору</w:t>
      </w:r>
      <w:r>
        <w:rPr>
          <w:spacing w:val="40"/>
        </w:rPr>
        <w:t> </w:t>
      </w:r>
      <w:r>
        <w:rPr/>
        <w:t>основного</w:t>
      </w:r>
      <w:r>
        <w:rPr>
          <w:spacing w:val="40"/>
        </w:rPr>
        <w:t> </w:t>
      </w:r>
      <w:r>
        <w:rPr/>
        <w:t>состояния в</w:t>
      </w:r>
      <w:r>
        <w:rPr>
          <w:spacing w:val="-4"/>
        </w:rPr>
        <w:t> </w:t>
      </w:r>
      <w:r>
        <w:rPr/>
        <w:t>статистике заболеваемости и первоначальной причины в статистике смертности, связанных с COVID-19» (в актуальной версии).</w:t>
      </w:r>
    </w:p>
    <w:p>
      <w:pPr>
        <w:pStyle w:val="BodyText"/>
        <w:spacing w:line="276" w:lineRule="auto"/>
        <w:ind w:right="1274" w:firstLine="707"/>
      </w:pPr>
      <w:r>
        <w:rPr/>
        <w:t>В целях сбора сведений информации о пациентах с новой коронавирусной инфекцией, а также лицах с пневмонией, в том числе находящихся на амбулаторном лечении, разработана информационная система (далее – информационный ресурс), которая размещена по адресу: </w:t>
      </w:r>
      <w:r>
        <w:rPr>
          <w:color w:val="0462C1"/>
          <w:u w:val="single" w:color="0462C1"/>
        </w:rPr>
        <w:t>https://covid.egisz.rosminzdrav.ru/</w:t>
      </w:r>
      <w:r>
        <w:rPr>
          <w:color w:val="0462C1"/>
        </w:rPr>
        <w:t> </w:t>
      </w:r>
      <w:r>
        <w:rPr/>
        <w:t>.</w:t>
      </w:r>
    </w:p>
    <w:p>
      <w:pPr>
        <w:pStyle w:val="BodyText"/>
        <w:spacing w:line="276" w:lineRule="auto"/>
        <w:ind w:right="1273" w:firstLine="707"/>
      </w:pPr>
      <w:r>
        <w:rPr/>
        <w:t>В</w:t>
      </w:r>
      <w:r>
        <w:rPr>
          <w:spacing w:val="40"/>
        </w:rPr>
        <w:t> </w:t>
      </w:r>
      <w:r>
        <w:rPr/>
        <w:t>соответствии</w:t>
      </w:r>
      <w:r>
        <w:rPr>
          <w:spacing w:val="40"/>
        </w:rPr>
        <w:t> </w:t>
      </w:r>
      <w:r>
        <w:rPr/>
        <w:t>с</w:t>
      </w:r>
      <w:r>
        <w:rPr>
          <w:spacing w:val="40"/>
        </w:rPr>
        <w:t> </w:t>
      </w:r>
      <w:r>
        <w:rPr/>
        <w:t>постановлением</w:t>
      </w:r>
      <w:r>
        <w:rPr>
          <w:spacing w:val="40"/>
        </w:rPr>
        <w:t> </w:t>
      </w:r>
      <w:r>
        <w:rPr/>
        <w:t>Правительства</w:t>
      </w:r>
      <w:r>
        <w:rPr>
          <w:spacing w:val="40"/>
        </w:rPr>
        <w:t> </w:t>
      </w:r>
      <w:r>
        <w:rPr/>
        <w:t>Российской</w:t>
      </w:r>
      <w:r>
        <w:rPr>
          <w:spacing w:val="40"/>
        </w:rPr>
        <w:t> </w:t>
      </w:r>
      <w:r>
        <w:rPr/>
        <w:t>Федерации</w:t>
      </w:r>
      <w:r>
        <w:rPr>
          <w:spacing w:val="80"/>
          <w:w w:val="150"/>
        </w:rPr>
        <w:t> </w:t>
      </w:r>
      <w:r>
        <w:rPr/>
        <w:t>от</w:t>
      </w:r>
      <w:r>
        <w:rPr>
          <w:spacing w:val="-3"/>
        </w:rPr>
        <w:t> </w:t>
      </w:r>
      <w:r>
        <w:rPr/>
        <w:t>31.03.2020 № 373 «Об утверждении временных правил учета информации в целях предотвращения распространения новой коронавирусной инфекции (COVID-19)» необходимо</w:t>
      </w:r>
      <w:r>
        <w:rPr>
          <w:spacing w:val="80"/>
        </w:rPr>
        <w:t> </w:t>
      </w:r>
      <w:r>
        <w:rPr/>
        <w:t>обеспечить</w:t>
      </w:r>
      <w:r>
        <w:rPr>
          <w:spacing w:val="80"/>
        </w:rPr>
        <w:t> </w:t>
      </w:r>
      <w:r>
        <w:rPr/>
        <w:t>предоставление</w:t>
      </w:r>
      <w:r>
        <w:rPr>
          <w:spacing w:val="80"/>
        </w:rPr>
        <w:t> </w:t>
      </w:r>
      <w:r>
        <w:rPr/>
        <w:t>медицинскими</w:t>
      </w:r>
      <w:r>
        <w:rPr>
          <w:spacing w:val="80"/>
        </w:rPr>
        <w:t> </w:t>
      </w:r>
      <w:r>
        <w:rPr/>
        <w:t>организациями</w:t>
      </w:r>
      <w:r>
        <w:rPr>
          <w:spacing w:val="80"/>
        </w:rPr>
        <w:t> </w:t>
      </w:r>
      <w:r>
        <w:rPr/>
        <w:t>сведений о</w:t>
      </w:r>
      <w:r>
        <w:rPr>
          <w:spacing w:val="-4"/>
        </w:rPr>
        <w:t> </w:t>
      </w:r>
      <w:r>
        <w:rPr/>
        <w:t>лицах</w:t>
      </w:r>
      <w:r>
        <w:rPr>
          <w:spacing w:val="33"/>
        </w:rPr>
        <w:t> </w:t>
      </w:r>
      <w:r>
        <w:rPr/>
        <w:t>с</w:t>
      </w:r>
      <w:r>
        <w:rPr>
          <w:spacing w:val="32"/>
        </w:rPr>
        <w:t> </w:t>
      </w:r>
      <w:r>
        <w:rPr/>
        <w:t>установленным</w:t>
      </w:r>
      <w:r>
        <w:rPr>
          <w:spacing w:val="31"/>
        </w:rPr>
        <w:t> </w:t>
      </w:r>
      <w:r>
        <w:rPr/>
        <w:t>диагнозом</w:t>
      </w:r>
      <w:r>
        <w:rPr>
          <w:spacing w:val="32"/>
        </w:rPr>
        <w:t> </w:t>
      </w:r>
      <w:r>
        <w:rPr/>
        <w:t>новой</w:t>
      </w:r>
      <w:r>
        <w:rPr>
          <w:spacing w:val="33"/>
        </w:rPr>
        <w:t> </w:t>
      </w:r>
      <w:r>
        <w:rPr/>
        <w:t>коронавирусной</w:t>
      </w:r>
      <w:r>
        <w:rPr>
          <w:spacing w:val="31"/>
        </w:rPr>
        <w:t> </w:t>
      </w:r>
      <w:r>
        <w:rPr/>
        <w:t>инфекции</w:t>
      </w:r>
      <w:r>
        <w:rPr>
          <w:spacing w:val="33"/>
        </w:rPr>
        <w:t> </w:t>
      </w:r>
      <w:r>
        <w:rPr/>
        <w:t>(COVID-19) и</w:t>
      </w:r>
      <w:r>
        <w:rPr>
          <w:spacing w:val="-5"/>
        </w:rPr>
        <w:t> </w:t>
      </w:r>
      <w:r>
        <w:rPr/>
        <w:t>лицах</w:t>
      </w:r>
      <w:r>
        <w:rPr>
          <w:spacing w:val="-14"/>
        </w:rPr>
        <w:t> </w:t>
      </w:r>
      <w:r>
        <w:rPr/>
        <w:t>с</w:t>
      </w:r>
      <w:r>
        <w:rPr>
          <w:spacing w:val="-15"/>
        </w:rPr>
        <w:t> </w:t>
      </w:r>
      <w:r>
        <w:rPr/>
        <w:t>признаками</w:t>
      </w:r>
      <w:r>
        <w:rPr>
          <w:spacing w:val="-15"/>
        </w:rPr>
        <w:t> </w:t>
      </w:r>
      <w:r>
        <w:rPr/>
        <w:t>пневмонии.</w:t>
      </w:r>
      <w:r>
        <w:rPr>
          <w:spacing w:val="-14"/>
        </w:rPr>
        <w:t> </w:t>
      </w:r>
      <w:r>
        <w:rPr/>
        <w:t>Сведения</w:t>
      </w:r>
      <w:r>
        <w:rPr>
          <w:spacing w:val="-15"/>
        </w:rPr>
        <w:t> </w:t>
      </w:r>
      <w:r>
        <w:rPr/>
        <w:t>направляются</w:t>
      </w:r>
      <w:r>
        <w:rPr>
          <w:spacing w:val="-14"/>
        </w:rPr>
        <w:t> </w:t>
      </w:r>
      <w:r>
        <w:rPr/>
        <w:t>в</w:t>
      </w:r>
      <w:r>
        <w:rPr>
          <w:spacing w:val="-15"/>
        </w:rPr>
        <w:t> </w:t>
      </w:r>
      <w:r>
        <w:rPr/>
        <w:t>соответствии</w:t>
      </w:r>
      <w:r>
        <w:rPr>
          <w:spacing w:val="-14"/>
        </w:rPr>
        <w:t> </w:t>
      </w:r>
      <w:r>
        <w:rPr/>
        <w:t>с</w:t>
      </w:r>
      <w:r>
        <w:rPr>
          <w:spacing w:val="-15"/>
        </w:rPr>
        <w:t> </w:t>
      </w:r>
      <w:r>
        <w:rPr/>
        <w:t>порядком, изложенным в инструкции по внесению сведений в информационный ресурс, размещенной</w:t>
      </w:r>
      <w:r>
        <w:rPr>
          <w:spacing w:val="80"/>
          <w:w w:val="150"/>
        </w:rPr>
        <w:t>   </w:t>
      </w:r>
      <w:r>
        <w:rPr/>
        <w:t>по</w:t>
      </w:r>
      <w:r>
        <w:rPr>
          <w:spacing w:val="80"/>
          <w:w w:val="150"/>
        </w:rPr>
        <w:t>   </w:t>
      </w:r>
      <w:r>
        <w:rPr/>
        <w:t>адресу</w:t>
      </w:r>
      <w:r>
        <w:rPr>
          <w:spacing w:val="80"/>
          <w:w w:val="150"/>
        </w:rPr>
        <w:t>   </w:t>
      </w:r>
      <w:hyperlink r:id="rId24">
        <w:r>
          <w:rPr>
            <w:color w:val="0000FF"/>
            <w:u w:val="single" w:color="0000FF"/>
          </w:rPr>
          <w:t>http://portal.egisz.rosminzdrav.ru/materials/3557</w:t>
        </w:r>
        <w:r>
          <w:rPr/>
          <w:t>,</w:t>
        </w:r>
      </w:hyperlink>
      <w:r>
        <w:rPr>
          <w:spacing w:val="80"/>
        </w:rPr>
        <w:t> </w:t>
      </w:r>
      <w:r>
        <w:rPr/>
        <w:t>в установленные сроки:</w:t>
      </w:r>
    </w:p>
    <w:p>
      <w:pPr>
        <w:pStyle w:val="BodyText"/>
        <w:spacing w:line="276" w:lineRule="auto"/>
        <w:ind w:right="1281"/>
      </w:pPr>
      <w:r>
        <w:rPr/>
        <w:t>В течение 2 ч с момента установления диагноза новой коронавирусной инфекции (COVID-19) или госпитализации пациента с признаками пневмонии;</w:t>
      </w:r>
    </w:p>
    <w:p>
      <w:pPr>
        <w:pStyle w:val="BodyText"/>
      </w:pPr>
      <w:r>
        <w:rPr/>
        <w:t>В</w:t>
      </w:r>
      <w:r>
        <w:rPr>
          <w:spacing w:val="-9"/>
        </w:rPr>
        <w:t> </w:t>
      </w:r>
      <w:r>
        <w:rPr/>
        <w:t>течение</w:t>
      </w:r>
      <w:r>
        <w:rPr>
          <w:spacing w:val="-9"/>
        </w:rPr>
        <w:t> </w:t>
      </w:r>
      <w:r>
        <w:rPr/>
        <w:t>2</w:t>
      </w:r>
      <w:r>
        <w:rPr>
          <w:spacing w:val="-9"/>
        </w:rPr>
        <w:t> </w:t>
      </w:r>
      <w:r>
        <w:rPr/>
        <w:t>ч</w:t>
      </w:r>
      <w:r>
        <w:rPr>
          <w:spacing w:val="-9"/>
        </w:rPr>
        <w:t> </w:t>
      </w:r>
      <w:r>
        <w:rPr/>
        <w:t>с</w:t>
      </w:r>
      <w:r>
        <w:rPr>
          <w:spacing w:val="-10"/>
        </w:rPr>
        <w:t> </w:t>
      </w:r>
      <w:r>
        <w:rPr/>
        <w:t>момента</w:t>
      </w:r>
      <w:r>
        <w:rPr>
          <w:spacing w:val="-9"/>
        </w:rPr>
        <w:t> </w:t>
      </w:r>
      <w:r>
        <w:rPr/>
        <w:t>получения</w:t>
      </w:r>
      <w:r>
        <w:rPr>
          <w:spacing w:val="-6"/>
        </w:rPr>
        <w:t> </w:t>
      </w:r>
      <w:r>
        <w:rPr/>
        <w:t>результатов</w:t>
      </w:r>
      <w:r>
        <w:rPr>
          <w:spacing w:val="-10"/>
        </w:rPr>
        <w:t> </w:t>
      </w:r>
      <w:r>
        <w:rPr/>
        <w:t>лабораторных</w:t>
      </w:r>
      <w:r>
        <w:rPr>
          <w:spacing w:val="-9"/>
        </w:rPr>
        <w:t> </w:t>
      </w:r>
      <w:r>
        <w:rPr>
          <w:spacing w:val="-2"/>
        </w:rPr>
        <w:t>исследований.</w:t>
      </w:r>
    </w:p>
    <w:p>
      <w:pPr>
        <w:pStyle w:val="BodyText"/>
        <w:spacing w:after="0"/>
        <w:sectPr>
          <w:pgSz w:w="11900" w:h="16840"/>
          <w:pgMar w:header="0" w:footer="697" w:top="1080" w:bottom="880" w:left="0" w:right="0"/>
        </w:sectPr>
      </w:pPr>
    </w:p>
    <w:p>
      <w:pPr>
        <w:pStyle w:val="Heading3"/>
        <w:spacing w:before="73"/>
        <w:jc w:val="left"/>
      </w:pPr>
      <w:bookmarkStart w:name="146" w:id="173"/>
      <w:bookmarkEnd w:id="173"/>
      <w:r>
        <w:rPr>
          <w:b w:val="0"/>
        </w:rPr>
      </w:r>
      <w:r>
        <w:rPr>
          <w:color w:val="1F487C"/>
        </w:rPr>
        <w:t>При</w:t>
      </w:r>
      <w:r>
        <w:rPr>
          <w:color w:val="1F487C"/>
          <w:spacing w:val="-12"/>
        </w:rPr>
        <w:t> </w:t>
      </w:r>
      <w:r>
        <w:rPr>
          <w:color w:val="1F487C"/>
        </w:rPr>
        <w:t>внесении</w:t>
      </w:r>
      <w:r>
        <w:rPr>
          <w:color w:val="1F487C"/>
          <w:spacing w:val="-14"/>
        </w:rPr>
        <w:t> </w:t>
      </w:r>
      <w:r>
        <w:rPr>
          <w:color w:val="1F487C"/>
        </w:rPr>
        <w:t>информации</w:t>
      </w:r>
      <w:r>
        <w:rPr>
          <w:color w:val="1F487C"/>
          <w:spacing w:val="-12"/>
        </w:rPr>
        <w:t> </w:t>
      </w:r>
      <w:r>
        <w:rPr>
          <w:color w:val="1F487C"/>
        </w:rPr>
        <w:t>о</w:t>
      </w:r>
      <w:r>
        <w:rPr>
          <w:color w:val="1F487C"/>
          <w:spacing w:val="-14"/>
        </w:rPr>
        <w:t> </w:t>
      </w:r>
      <w:r>
        <w:rPr>
          <w:color w:val="1F487C"/>
        </w:rPr>
        <w:t>пациенте</w:t>
      </w:r>
      <w:r>
        <w:rPr>
          <w:color w:val="1F487C"/>
          <w:spacing w:val="-13"/>
        </w:rPr>
        <w:t> </w:t>
      </w:r>
      <w:r>
        <w:rPr>
          <w:color w:val="1F487C"/>
        </w:rPr>
        <w:t>необходимо</w:t>
      </w:r>
      <w:r>
        <w:rPr>
          <w:color w:val="1F487C"/>
          <w:spacing w:val="-13"/>
        </w:rPr>
        <w:t> </w:t>
      </w:r>
      <w:r>
        <w:rPr>
          <w:color w:val="1F487C"/>
          <w:spacing w:val="-2"/>
        </w:rPr>
        <w:t>указать:</w:t>
      </w:r>
    </w:p>
    <w:p>
      <w:pPr>
        <w:pStyle w:val="BodyText"/>
        <w:spacing w:line="276" w:lineRule="auto" w:before="160"/>
        <w:ind w:left="2549" w:right="4875"/>
        <w:jc w:val="left"/>
      </w:pPr>
      <w:r>
        <w:rPr/>
        <w:t>а)</w:t>
      </w:r>
      <w:r>
        <w:rPr>
          <w:spacing w:val="-11"/>
        </w:rPr>
        <w:t> </w:t>
      </w:r>
      <w:r>
        <w:rPr/>
        <w:t>Дату</w:t>
      </w:r>
      <w:r>
        <w:rPr>
          <w:spacing w:val="-11"/>
        </w:rPr>
        <w:t> </w:t>
      </w:r>
      <w:r>
        <w:rPr/>
        <w:t>появления</w:t>
      </w:r>
      <w:r>
        <w:rPr>
          <w:spacing w:val="-11"/>
        </w:rPr>
        <w:t> </w:t>
      </w:r>
      <w:r>
        <w:rPr/>
        <w:t>клинических</w:t>
      </w:r>
      <w:r>
        <w:rPr>
          <w:spacing w:val="-11"/>
        </w:rPr>
        <w:t> </w:t>
      </w:r>
      <w:r>
        <w:rPr/>
        <w:t>симптомов; б) Диагноз (указывается код по МКБ-10);</w:t>
      </w:r>
      <w:r>
        <w:rPr>
          <w:spacing w:val="40"/>
        </w:rPr>
        <w:t> </w:t>
      </w:r>
      <w:r>
        <w:rPr/>
        <w:t>в) Дату постановки диагноза;</w:t>
      </w:r>
    </w:p>
    <w:p>
      <w:pPr>
        <w:pStyle w:val="BodyText"/>
        <w:spacing w:line="276" w:lineRule="exact"/>
        <w:ind w:left="2549"/>
        <w:jc w:val="left"/>
      </w:pPr>
      <w:r>
        <w:rPr>
          <w:spacing w:val="-2"/>
        </w:rPr>
        <w:t>г)</w:t>
      </w:r>
      <w:r>
        <w:rPr>
          <w:spacing w:val="1"/>
        </w:rPr>
        <w:t> </w:t>
      </w:r>
      <w:r>
        <w:rPr>
          <w:spacing w:val="-2"/>
        </w:rPr>
        <w:t>Наличие</w:t>
      </w:r>
      <w:r>
        <w:rPr>
          <w:spacing w:val="2"/>
        </w:rPr>
        <w:t> </w:t>
      </w:r>
      <w:r>
        <w:rPr>
          <w:spacing w:val="-2"/>
        </w:rPr>
        <w:t>сопутствующих</w:t>
      </w:r>
      <w:r>
        <w:rPr>
          <w:spacing w:val="4"/>
        </w:rPr>
        <w:t> </w:t>
      </w:r>
      <w:r>
        <w:rPr>
          <w:spacing w:val="-2"/>
        </w:rPr>
        <w:t>(коморбидных)</w:t>
      </w:r>
      <w:r>
        <w:rPr>
          <w:spacing w:val="1"/>
        </w:rPr>
        <w:t> </w:t>
      </w:r>
      <w:r>
        <w:rPr>
          <w:spacing w:val="-2"/>
        </w:rPr>
        <w:t>заболеваний:</w:t>
      </w:r>
    </w:p>
    <w:p>
      <w:pPr>
        <w:pStyle w:val="ListParagraph"/>
        <w:numPr>
          <w:ilvl w:val="0"/>
          <w:numId w:val="66"/>
        </w:numPr>
        <w:tabs>
          <w:tab w:pos="2268" w:val="left" w:leader="none"/>
        </w:tabs>
        <w:spacing w:line="240" w:lineRule="auto" w:before="42" w:after="0"/>
        <w:ind w:left="2268" w:right="0" w:hanging="359"/>
        <w:jc w:val="left"/>
        <w:rPr>
          <w:sz w:val="24"/>
        </w:rPr>
      </w:pPr>
      <w:r>
        <w:rPr>
          <w:spacing w:val="-2"/>
          <w:sz w:val="24"/>
        </w:rPr>
        <w:t>Хронических</w:t>
      </w:r>
      <w:r>
        <w:rPr>
          <w:spacing w:val="2"/>
          <w:sz w:val="24"/>
        </w:rPr>
        <w:t> </w:t>
      </w:r>
      <w:r>
        <w:rPr>
          <w:spacing w:val="-2"/>
          <w:sz w:val="24"/>
        </w:rPr>
        <w:t>заболеваний</w:t>
      </w:r>
      <w:r>
        <w:rPr>
          <w:spacing w:val="3"/>
          <w:sz w:val="24"/>
        </w:rPr>
        <w:t> </w:t>
      </w:r>
      <w:r>
        <w:rPr>
          <w:spacing w:val="-2"/>
          <w:sz w:val="24"/>
        </w:rPr>
        <w:t>бронхолегочной</w:t>
      </w:r>
      <w:r>
        <w:rPr>
          <w:spacing w:val="3"/>
          <w:sz w:val="24"/>
        </w:rPr>
        <w:t> </w:t>
      </w:r>
      <w:r>
        <w:rPr>
          <w:spacing w:val="-2"/>
          <w:sz w:val="24"/>
        </w:rPr>
        <w:t>системы;</w:t>
      </w:r>
    </w:p>
    <w:p>
      <w:pPr>
        <w:pStyle w:val="ListParagraph"/>
        <w:numPr>
          <w:ilvl w:val="0"/>
          <w:numId w:val="66"/>
        </w:numPr>
        <w:tabs>
          <w:tab w:pos="2268" w:val="left" w:leader="none"/>
        </w:tabs>
        <w:spacing w:line="240" w:lineRule="auto" w:before="33" w:after="0"/>
        <w:ind w:left="2268" w:right="0" w:hanging="359"/>
        <w:jc w:val="left"/>
        <w:rPr>
          <w:sz w:val="24"/>
        </w:rPr>
      </w:pPr>
      <w:r>
        <w:rPr>
          <w:spacing w:val="-2"/>
          <w:sz w:val="24"/>
        </w:rPr>
        <w:t>Хронических</w:t>
      </w:r>
      <w:r>
        <w:rPr>
          <w:spacing w:val="4"/>
          <w:sz w:val="24"/>
        </w:rPr>
        <w:t> </w:t>
      </w:r>
      <w:r>
        <w:rPr>
          <w:spacing w:val="-2"/>
          <w:sz w:val="24"/>
        </w:rPr>
        <w:t>заболеваний</w:t>
      </w:r>
      <w:r>
        <w:rPr>
          <w:spacing w:val="6"/>
          <w:sz w:val="24"/>
        </w:rPr>
        <w:t> </w:t>
      </w:r>
      <w:r>
        <w:rPr>
          <w:spacing w:val="-2"/>
          <w:sz w:val="24"/>
        </w:rPr>
        <w:t>сердечно-сосудистой</w:t>
      </w:r>
      <w:r>
        <w:rPr>
          <w:spacing w:val="5"/>
          <w:sz w:val="24"/>
        </w:rPr>
        <w:t> </w:t>
      </w:r>
      <w:r>
        <w:rPr>
          <w:spacing w:val="-2"/>
          <w:sz w:val="24"/>
        </w:rPr>
        <w:t>системы;</w:t>
      </w:r>
    </w:p>
    <w:p>
      <w:pPr>
        <w:pStyle w:val="ListParagraph"/>
        <w:numPr>
          <w:ilvl w:val="0"/>
          <w:numId w:val="66"/>
        </w:numPr>
        <w:tabs>
          <w:tab w:pos="2268" w:val="left" w:leader="none"/>
        </w:tabs>
        <w:spacing w:line="240" w:lineRule="auto" w:before="33" w:after="0"/>
        <w:ind w:left="2268" w:right="0" w:hanging="359"/>
        <w:jc w:val="left"/>
        <w:rPr>
          <w:sz w:val="24"/>
        </w:rPr>
      </w:pPr>
      <w:r>
        <w:rPr>
          <w:spacing w:val="-2"/>
          <w:sz w:val="24"/>
        </w:rPr>
        <w:t>Хронических</w:t>
      </w:r>
      <w:r>
        <w:rPr>
          <w:sz w:val="24"/>
        </w:rPr>
        <w:t> </w:t>
      </w:r>
      <w:r>
        <w:rPr>
          <w:spacing w:val="-2"/>
          <w:sz w:val="24"/>
        </w:rPr>
        <w:t>заболеваний</w:t>
      </w:r>
      <w:r>
        <w:rPr>
          <w:spacing w:val="2"/>
          <w:sz w:val="24"/>
        </w:rPr>
        <w:t> </w:t>
      </w:r>
      <w:r>
        <w:rPr>
          <w:spacing w:val="-2"/>
          <w:sz w:val="24"/>
        </w:rPr>
        <w:t>эндокринной</w:t>
      </w:r>
      <w:r>
        <w:rPr>
          <w:spacing w:val="2"/>
          <w:sz w:val="24"/>
        </w:rPr>
        <w:t> </w:t>
      </w:r>
      <w:r>
        <w:rPr>
          <w:spacing w:val="-2"/>
          <w:sz w:val="24"/>
        </w:rPr>
        <w:t>системы;</w:t>
      </w:r>
    </w:p>
    <w:p>
      <w:pPr>
        <w:pStyle w:val="ListParagraph"/>
        <w:numPr>
          <w:ilvl w:val="0"/>
          <w:numId w:val="66"/>
        </w:numPr>
        <w:tabs>
          <w:tab w:pos="2268" w:val="left" w:leader="none"/>
        </w:tabs>
        <w:spacing w:line="240" w:lineRule="auto" w:before="33" w:after="0"/>
        <w:ind w:left="2268" w:right="0" w:hanging="359"/>
        <w:jc w:val="left"/>
        <w:rPr>
          <w:sz w:val="24"/>
        </w:rPr>
      </w:pPr>
      <w:r>
        <w:rPr>
          <w:spacing w:val="-2"/>
          <w:sz w:val="24"/>
        </w:rPr>
        <w:t>Онкологических</w:t>
      </w:r>
      <w:r>
        <w:rPr>
          <w:sz w:val="24"/>
        </w:rPr>
        <w:t> </w:t>
      </w:r>
      <w:r>
        <w:rPr>
          <w:spacing w:val="-2"/>
          <w:sz w:val="24"/>
        </w:rPr>
        <w:t>заболеваний;</w:t>
      </w:r>
    </w:p>
    <w:p>
      <w:pPr>
        <w:pStyle w:val="ListParagraph"/>
        <w:numPr>
          <w:ilvl w:val="0"/>
          <w:numId w:val="66"/>
        </w:numPr>
        <w:tabs>
          <w:tab w:pos="2268" w:val="left" w:leader="none"/>
        </w:tabs>
        <w:spacing w:line="240" w:lineRule="auto" w:before="30" w:after="0"/>
        <w:ind w:left="2268" w:right="0" w:hanging="359"/>
        <w:jc w:val="left"/>
        <w:rPr>
          <w:sz w:val="24"/>
        </w:rPr>
      </w:pPr>
      <w:r>
        <w:rPr>
          <w:spacing w:val="-2"/>
          <w:sz w:val="24"/>
        </w:rPr>
        <w:t>ВИЧ-инфекции;</w:t>
      </w:r>
    </w:p>
    <w:p>
      <w:pPr>
        <w:pStyle w:val="ListParagraph"/>
        <w:numPr>
          <w:ilvl w:val="0"/>
          <w:numId w:val="66"/>
        </w:numPr>
        <w:tabs>
          <w:tab w:pos="2268" w:val="left" w:leader="none"/>
        </w:tabs>
        <w:spacing w:line="240" w:lineRule="auto" w:before="33" w:after="0"/>
        <w:ind w:left="2268" w:right="0" w:hanging="359"/>
        <w:jc w:val="left"/>
        <w:rPr>
          <w:sz w:val="24"/>
        </w:rPr>
      </w:pPr>
      <w:r>
        <w:rPr>
          <w:spacing w:val="-2"/>
          <w:sz w:val="24"/>
        </w:rPr>
        <w:t>туберкулеза;</w:t>
      </w:r>
    </w:p>
    <w:p>
      <w:pPr>
        <w:pStyle w:val="ListParagraph"/>
        <w:numPr>
          <w:ilvl w:val="0"/>
          <w:numId w:val="66"/>
        </w:numPr>
        <w:tabs>
          <w:tab w:pos="2268" w:val="left" w:leader="none"/>
        </w:tabs>
        <w:spacing w:line="240" w:lineRule="auto" w:before="34" w:after="0"/>
        <w:ind w:left="2268" w:right="0" w:hanging="359"/>
        <w:jc w:val="left"/>
        <w:rPr>
          <w:sz w:val="24"/>
        </w:rPr>
      </w:pPr>
      <w:r>
        <w:rPr>
          <w:sz w:val="24"/>
        </w:rPr>
        <w:t>иных</w:t>
      </w:r>
      <w:r>
        <w:rPr>
          <w:spacing w:val="-7"/>
          <w:sz w:val="24"/>
        </w:rPr>
        <w:t> </w:t>
      </w:r>
      <w:r>
        <w:rPr>
          <w:spacing w:val="-2"/>
          <w:sz w:val="24"/>
        </w:rPr>
        <w:t>заболеваний.</w:t>
      </w:r>
    </w:p>
    <w:p>
      <w:pPr>
        <w:pStyle w:val="BodyText"/>
        <w:spacing w:before="46"/>
        <w:ind w:left="2549"/>
        <w:jc w:val="left"/>
      </w:pPr>
      <w:r>
        <w:rPr/>
        <w:t>д)</w:t>
      </w:r>
      <w:r>
        <w:rPr>
          <w:spacing w:val="-8"/>
        </w:rPr>
        <w:t> </w:t>
      </w:r>
      <w:r>
        <w:rPr/>
        <w:t>Наличие</w:t>
      </w:r>
      <w:r>
        <w:rPr>
          <w:spacing w:val="-8"/>
        </w:rPr>
        <w:t> </w:t>
      </w:r>
      <w:r>
        <w:rPr>
          <w:spacing w:val="-2"/>
        </w:rPr>
        <w:t>беременности;</w:t>
      </w:r>
    </w:p>
    <w:p>
      <w:pPr>
        <w:pStyle w:val="BodyText"/>
        <w:spacing w:before="40"/>
        <w:ind w:left="2549"/>
        <w:jc w:val="left"/>
      </w:pPr>
      <w:r>
        <w:rPr/>
        <w:t>е)</w:t>
      </w:r>
      <w:r>
        <w:rPr>
          <w:spacing w:val="-12"/>
        </w:rPr>
        <w:t> </w:t>
      </w:r>
      <w:r>
        <w:rPr/>
        <w:t>Сведения</w:t>
      </w:r>
      <w:r>
        <w:rPr>
          <w:spacing w:val="-11"/>
        </w:rPr>
        <w:t> </w:t>
      </w:r>
      <w:r>
        <w:rPr/>
        <w:t>о</w:t>
      </w:r>
      <w:r>
        <w:rPr>
          <w:spacing w:val="-11"/>
        </w:rPr>
        <w:t> </w:t>
      </w:r>
      <w:r>
        <w:rPr/>
        <w:t>вакцинации</w:t>
      </w:r>
      <w:r>
        <w:rPr>
          <w:spacing w:val="-10"/>
        </w:rPr>
        <w:t> </w:t>
      </w:r>
      <w:r>
        <w:rPr/>
        <w:t>(грипп</w:t>
      </w:r>
      <w:r>
        <w:rPr>
          <w:spacing w:val="-12"/>
        </w:rPr>
        <w:t> </w:t>
      </w:r>
      <w:r>
        <w:rPr/>
        <w:t>и</w:t>
      </w:r>
      <w:r>
        <w:rPr>
          <w:spacing w:val="-10"/>
        </w:rPr>
        <w:t> </w:t>
      </w:r>
      <w:r>
        <w:rPr/>
        <w:t>пневмококковая</w:t>
      </w:r>
      <w:r>
        <w:rPr>
          <w:spacing w:val="-11"/>
        </w:rPr>
        <w:t> </w:t>
      </w:r>
      <w:r>
        <w:rPr/>
        <w:t>инфекция</w:t>
      </w:r>
      <w:r>
        <w:rPr>
          <w:spacing w:val="-12"/>
        </w:rPr>
        <w:t> </w:t>
      </w:r>
      <w:r>
        <w:rPr/>
        <w:t>(при</w:t>
      </w:r>
      <w:r>
        <w:rPr>
          <w:spacing w:val="-10"/>
        </w:rPr>
        <w:t> </w:t>
      </w:r>
      <w:r>
        <w:rPr>
          <w:spacing w:val="-2"/>
        </w:rPr>
        <w:t>наличии).</w:t>
      </w:r>
    </w:p>
    <w:p>
      <w:pPr>
        <w:pStyle w:val="BodyText"/>
        <w:spacing w:line="276" w:lineRule="auto" w:before="41"/>
        <w:ind w:right="1283" w:firstLine="707"/>
        <w:jc w:val="left"/>
      </w:pPr>
      <w:r>
        <w:rPr/>
        <w:t>В</w:t>
      </w:r>
      <w:r>
        <w:rPr>
          <w:spacing w:val="80"/>
        </w:rPr>
        <w:t> </w:t>
      </w:r>
      <w:r>
        <w:rPr/>
        <w:t>ежедневном</w:t>
      </w:r>
      <w:r>
        <w:rPr>
          <w:spacing w:val="80"/>
        </w:rPr>
        <w:t> </w:t>
      </w:r>
      <w:r>
        <w:rPr/>
        <w:t>режиме</w:t>
      </w:r>
      <w:r>
        <w:rPr>
          <w:spacing w:val="80"/>
        </w:rPr>
        <w:t> </w:t>
      </w:r>
      <w:r>
        <w:rPr/>
        <w:t>необходимо</w:t>
      </w:r>
      <w:r>
        <w:rPr>
          <w:spacing w:val="80"/>
        </w:rPr>
        <w:t> </w:t>
      </w:r>
      <w:r>
        <w:rPr/>
        <w:t>обеспечить</w:t>
      </w:r>
      <w:r>
        <w:rPr>
          <w:spacing w:val="80"/>
        </w:rPr>
        <w:t> </w:t>
      </w:r>
      <w:r>
        <w:rPr/>
        <w:t>обновление</w:t>
      </w:r>
      <w:r>
        <w:rPr>
          <w:spacing w:val="80"/>
        </w:rPr>
        <w:t> </w:t>
      </w:r>
      <w:r>
        <w:rPr/>
        <w:t>медицинской информации о пациенте:</w:t>
      </w:r>
    </w:p>
    <w:p>
      <w:pPr>
        <w:pStyle w:val="BodyText"/>
        <w:ind w:left="2549"/>
        <w:jc w:val="left"/>
      </w:pPr>
      <w:r>
        <w:rPr/>
        <w:t>ж)</w:t>
      </w:r>
      <w:r>
        <w:rPr>
          <w:spacing w:val="-11"/>
        </w:rPr>
        <w:t> </w:t>
      </w:r>
      <w:r>
        <w:rPr/>
        <w:t>Сведения</w:t>
      </w:r>
      <w:r>
        <w:rPr>
          <w:spacing w:val="-11"/>
        </w:rPr>
        <w:t> </w:t>
      </w:r>
      <w:r>
        <w:rPr/>
        <w:t>о</w:t>
      </w:r>
      <w:r>
        <w:rPr>
          <w:spacing w:val="-10"/>
        </w:rPr>
        <w:t> </w:t>
      </w:r>
      <w:r>
        <w:rPr/>
        <w:t>проводимом</w:t>
      </w:r>
      <w:r>
        <w:rPr>
          <w:spacing w:val="-11"/>
        </w:rPr>
        <w:t> </w:t>
      </w:r>
      <w:r>
        <w:rPr>
          <w:spacing w:val="-2"/>
        </w:rPr>
        <w:t>лечении:</w:t>
      </w:r>
    </w:p>
    <w:p>
      <w:pPr>
        <w:pStyle w:val="ListParagraph"/>
        <w:numPr>
          <w:ilvl w:val="0"/>
          <w:numId w:val="66"/>
        </w:numPr>
        <w:tabs>
          <w:tab w:pos="2268" w:val="left" w:leader="none"/>
        </w:tabs>
        <w:spacing w:line="240" w:lineRule="auto" w:before="42" w:after="0"/>
        <w:ind w:left="2268" w:right="0" w:hanging="359"/>
        <w:jc w:val="left"/>
        <w:rPr>
          <w:sz w:val="24"/>
        </w:rPr>
      </w:pPr>
      <w:r>
        <w:rPr>
          <w:spacing w:val="-2"/>
          <w:sz w:val="24"/>
        </w:rPr>
        <w:t>Противовирусное</w:t>
      </w:r>
      <w:r>
        <w:rPr>
          <w:spacing w:val="3"/>
          <w:sz w:val="24"/>
        </w:rPr>
        <w:t> </w:t>
      </w:r>
      <w:r>
        <w:rPr>
          <w:spacing w:val="-2"/>
          <w:sz w:val="24"/>
        </w:rPr>
        <w:t>лечение;</w:t>
      </w:r>
    </w:p>
    <w:p>
      <w:pPr>
        <w:pStyle w:val="ListParagraph"/>
        <w:numPr>
          <w:ilvl w:val="0"/>
          <w:numId w:val="66"/>
        </w:numPr>
        <w:tabs>
          <w:tab w:pos="2268" w:val="left" w:leader="none"/>
          <w:tab w:pos="2549" w:val="left" w:leader="none"/>
        </w:tabs>
        <w:spacing w:line="273" w:lineRule="auto" w:before="33" w:after="0"/>
        <w:ind w:left="2549" w:right="5124" w:hanging="641"/>
        <w:jc w:val="left"/>
        <w:rPr>
          <w:sz w:val="24"/>
        </w:rPr>
      </w:pPr>
      <w:r>
        <w:rPr>
          <w:sz w:val="24"/>
        </w:rPr>
        <w:t>Респираторная поддержка (ИВЛ, ЭКМО);</w:t>
      </w:r>
      <w:r>
        <w:rPr>
          <w:spacing w:val="40"/>
          <w:sz w:val="24"/>
        </w:rPr>
        <w:t> </w:t>
      </w:r>
      <w:r>
        <w:rPr>
          <w:sz w:val="24"/>
        </w:rPr>
        <w:t>з)</w:t>
      </w:r>
      <w:r>
        <w:rPr>
          <w:spacing w:val="-9"/>
          <w:sz w:val="24"/>
        </w:rPr>
        <w:t> </w:t>
      </w:r>
      <w:r>
        <w:rPr>
          <w:sz w:val="24"/>
        </w:rPr>
        <w:t>Уровень</w:t>
      </w:r>
      <w:r>
        <w:rPr>
          <w:spacing w:val="-8"/>
          <w:sz w:val="24"/>
        </w:rPr>
        <w:t> </w:t>
      </w:r>
      <w:r>
        <w:rPr>
          <w:sz w:val="24"/>
        </w:rPr>
        <w:t>сатурации</w:t>
      </w:r>
      <w:r>
        <w:rPr>
          <w:spacing w:val="-10"/>
          <w:sz w:val="24"/>
        </w:rPr>
        <w:t> </w:t>
      </w:r>
      <w:r>
        <w:rPr>
          <w:sz w:val="24"/>
        </w:rPr>
        <w:t>кислорода</w:t>
      </w:r>
      <w:r>
        <w:rPr>
          <w:spacing w:val="-9"/>
          <w:sz w:val="24"/>
        </w:rPr>
        <w:t> </w:t>
      </w:r>
      <w:r>
        <w:rPr>
          <w:sz w:val="24"/>
        </w:rPr>
        <w:t>в</w:t>
      </w:r>
      <w:r>
        <w:rPr>
          <w:spacing w:val="-10"/>
          <w:sz w:val="24"/>
        </w:rPr>
        <w:t> </w:t>
      </w:r>
      <w:r>
        <w:rPr>
          <w:sz w:val="24"/>
        </w:rPr>
        <w:t>крови; и) Тяжесть течения заболевания.</w:t>
      </w:r>
    </w:p>
    <w:p>
      <w:pPr>
        <w:pStyle w:val="Heading3"/>
        <w:spacing w:before="125"/>
        <w:ind w:left="2407"/>
        <w:jc w:val="left"/>
      </w:pPr>
      <w:r>
        <w:rPr>
          <w:color w:val="1F4E79"/>
        </w:rPr>
        <w:t>В</w:t>
      </w:r>
      <w:r>
        <w:rPr>
          <w:color w:val="1F4E79"/>
          <w:spacing w:val="-8"/>
        </w:rPr>
        <w:t> </w:t>
      </w:r>
      <w:r>
        <w:rPr>
          <w:color w:val="1F4E79"/>
        </w:rPr>
        <w:t>случае</w:t>
      </w:r>
      <w:r>
        <w:rPr>
          <w:color w:val="1F4E79"/>
          <w:spacing w:val="-8"/>
        </w:rPr>
        <w:t> </w:t>
      </w:r>
      <w:r>
        <w:rPr>
          <w:color w:val="1F4E79"/>
        </w:rPr>
        <w:t>смерти</w:t>
      </w:r>
      <w:r>
        <w:rPr>
          <w:color w:val="1F4E79"/>
          <w:spacing w:val="-7"/>
        </w:rPr>
        <w:t> </w:t>
      </w:r>
      <w:r>
        <w:rPr>
          <w:color w:val="1F4E79"/>
          <w:spacing w:val="-2"/>
        </w:rPr>
        <w:t>пациента</w:t>
      </w:r>
    </w:p>
    <w:p>
      <w:pPr>
        <w:pStyle w:val="BodyText"/>
        <w:spacing w:line="276" w:lineRule="auto" w:before="161"/>
        <w:ind w:right="1280" w:firstLine="707"/>
      </w:pPr>
      <w:r>
        <w:rPr/>
        <w:t>а) В течение суток заполняется раздел «Заключительный клинический </w:t>
      </w:r>
      <w:r>
        <w:rPr>
          <w:spacing w:val="-2"/>
        </w:rPr>
        <w:t>диагноз»:</w:t>
      </w:r>
    </w:p>
    <w:p>
      <w:pPr>
        <w:pStyle w:val="ListParagraph"/>
        <w:numPr>
          <w:ilvl w:val="0"/>
          <w:numId w:val="66"/>
        </w:numPr>
        <w:tabs>
          <w:tab w:pos="2268" w:val="left" w:leader="none"/>
        </w:tabs>
        <w:spacing w:line="321" w:lineRule="exact" w:before="0" w:after="0"/>
        <w:ind w:left="2268" w:right="0" w:hanging="359"/>
        <w:jc w:val="both"/>
        <w:rPr>
          <w:sz w:val="24"/>
        </w:rPr>
      </w:pPr>
      <w:r>
        <w:rPr>
          <w:sz w:val="24"/>
        </w:rPr>
        <w:t>Основное</w:t>
      </w:r>
      <w:r>
        <w:rPr>
          <w:spacing w:val="-15"/>
          <w:sz w:val="24"/>
        </w:rPr>
        <w:t> </w:t>
      </w:r>
      <w:r>
        <w:rPr>
          <w:spacing w:val="-2"/>
          <w:sz w:val="24"/>
        </w:rPr>
        <w:t>заболевание;</w:t>
      </w:r>
    </w:p>
    <w:p>
      <w:pPr>
        <w:pStyle w:val="ListParagraph"/>
        <w:numPr>
          <w:ilvl w:val="0"/>
          <w:numId w:val="66"/>
        </w:numPr>
        <w:tabs>
          <w:tab w:pos="2268" w:val="left" w:leader="none"/>
        </w:tabs>
        <w:spacing w:line="240" w:lineRule="auto" w:before="32" w:after="0"/>
        <w:ind w:left="2268" w:right="0" w:hanging="359"/>
        <w:jc w:val="both"/>
        <w:rPr>
          <w:sz w:val="24"/>
        </w:rPr>
      </w:pPr>
      <w:r>
        <w:rPr>
          <w:spacing w:val="-2"/>
          <w:sz w:val="24"/>
        </w:rPr>
        <w:t>Коморбидные,</w:t>
      </w:r>
      <w:r>
        <w:rPr>
          <w:spacing w:val="1"/>
          <w:sz w:val="24"/>
        </w:rPr>
        <w:t> </w:t>
      </w:r>
      <w:r>
        <w:rPr>
          <w:spacing w:val="-2"/>
          <w:sz w:val="24"/>
        </w:rPr>
        <w:t>конкурирующие,</w:t>
      </w:r>
      <w:r>
        <w:rPr>
          <w:spacing w:val="1"/>
          <w:sz w:val="24"/>
        </w:rPr>
        <w:t> </w:t>
      </w:r>
      <w:r>
        <w:rPr>
          <w:spacing w:val="-2"/>
          <w:sz w:val="24"/>
        </w:rPr>
        <w:t>сочетанные</w:t>
      </w:r>
      <w:r>
        <w:rPr>
          <w:sz w:val="24"/>
        </w:rPr>
        <w:t> </w:t>
      </w:r>
      <w:r>
        <w:rPr>
          <w:spacing w:val="-2"/>
          <w:sz w:val="24"/>
        </w:rPr>
        <w:t>и</w:t>
      </w:r>
      <w:r>
        <w:rPr>
          <w:spacing w:val="2"/>
          <w:sz w:val="24"/>
        </w:rPr>
        <w:t> </w:t>
      </w:r>
      <w:r>
        <w:rPr>
          <w:spacing w:val="-2"/>
          <w:sz w:val="24"/>
        </w:rPr>
        <w:t>фоновые</w:t>
      </w:r>
      <w:r>
        <w:rPr>
          <w:spacing w:val="1"/>
          <w:sz w:val="24"/>
        </w:rPr>
        <w:t> </w:t>
      </w:r>
      <w:r>
        <w:rPr>
          <w:spacing w:val="-2"/>
          <w:sz w:val="24"/>
        </w:rPr>
        <w:t>заболевания;</w:t>
      </w:r>
    </w:p>
    <w:p>
      <w:pPr>
        <w:pStyle w:val="ListParagraph"/>
        <w:numPr>
          <w:ilvl w:val="0"/>
          <w:numId w:val="66"/>
        </w:numPr>
        <w:tabs>
          <w:tab w:pos="2268" w:val="left" w:leader="none"/>
        </w:tabs>
        <w:spacing w:line="264" w:lineRule="auto" w:before="33" w:after="0"/>
        <w:ind w:left="2268" w:right="1271" w:hanging="360"/>
        <w:jc w:val="both"/>
        <w:rPr>
          <w:sz w:val="24"/>
        </w:rPr>
      </w:pPr>
      <w:r>
        <w:rPr>
          <w:sz w:val="24"/>
        </w:rPr>
        <w:t>Осложнения</w:t>
      </w:r>
      <w:r>
        <w:rPr>
          <w:spacing w:val="80"/>
          <w:sz w:val="24"/>
        </w:rPr>
        <w:t>  </w:t>
      </w:r>
      <w:r>
        <w:rPr>
          <w:sz w:val="24"/>
        </w:rPr>
        <w:t>(основного</w:t>
      </w:r>
      <w:r>
        <w:rPr>
          <w:spacing w:val="80"/>
          <w:sz w:val="24"/>
        </w:rPr>
        <w:t>  </w:t>
      </w:r>
      <w:r>
        <w:rPr>
          <w:sz w:val="24"/>
        </w:rPr>
        <w:t>заболевания,</w:t>
      </w:r>
      <w:r>
        <w:rPr>
          <w:spacing w:val="80"/>
          <w:sz w:val="24"/>
        </w:rPr>
        <w:t>  </w:t>
      </w:r>
      <w:r>
        <w:rPr>
          <w:sz w:val="24"/>
        </w:rPr>
        <w:t>коморбидных</w:t>
      </w:r>
      <w:r>
        <w:rPr>
          <w:spacing w:val="80"/>
          <w:sz w:val="24"/>
        </w:rPr>
        <w:t>  </w:t>
      </w:r>
      <w:r>
        <w:rPr>
          <w:sz w:val="24"/>
        </w:rPr>
        <w:t>заболеваний)</w:t>
      </w:r>
      <w:r>
        <w:rPr>
          <w:spacing w:val="80"/>
          <w:sz w:val="24"/>
        </w:rPr>
        <w:t>  </w:t>
      </w:r>
      <w:r>
        <w:rPr>
          <w:sz w:val="24"/>
        </w:rPr>
        <w:t>– при их наличии;</w:t>
      </w:r>
    </w:p>
    <w:p>
      <w:pPr>
        <w:pStyle w:val="ListParagraph"/>
        <w:numPr>
          <w:ilvl w:val="0"/>
          <w:numId w:val="66"/>
        </w:numPr>
        <w:tabs>
          <w:tab w:pos="2268" w:val="left" w:leader="none"/>
        </w:tabs>
        <w:spacing w:line="240" w:lineRule="auto" w:before="14" w:after="0"/>
        <w:ind w:left="2268" w:right="0" w:hanging="359"/>
        <w:jc w:val="both"/>
        <w:rPr>
          <w:sz w:val="24"/>
        </w:rPr>
      </w:pPr>
      <w:r>
        <w:rPr>
          <w:spacing w:val="-2"/>
          <w:sz w:val="24"/>
        </w:rPr>
        <w:t>Сопутствующие</w:t>
      </w:r>
      <w:r>
        <w:rPr>
          <w:spacing w:val="2"/>
          <w:sz w:val="24"/>
        </w:rPr>
        <w:t> </w:t>
      </w:r>
      <w:r>
        <w:rPr>
          <w:spacing w:val="-2"/>
          <w:sz w:val="24"/>
        </w:rPr>
        <w:t>заболевания</w:t>
      </w:r>
      <w:r>
        <w:rPr>
          <w:spacing w:val="2"/>
          <w:sz w:val="24"/>
        </w:rPr>
        <w:t> </w:t>
      </w:r>
      <w:r>
        <w:rPr>
          <w:spacing w:val="-2"/>
          <w:sz w:val="24"/>
        </w:rPr>
        <w:t>(при</w:t>
      </w:r>
      <w:r>
        <w:rPr>
          <w:spacing w:val="4"/>
          <w:sz w:val="24"/>
        </w:rPr>
        <w:t> </w:t>
      </w:r>
      <w:r>
        <w:rPr>
          <w:spacing w:val="-2"/>
          <w:sz w:val="24"/>
        </w:rPr>
        <w:t>наличии).</w:t>
      </w:r>
    </w:p>
    <w:p>
      <w:pPr>
        <w:pStyle w:val="BodyText"/>
        <w:spacing w:before="46"/>
        <w:ind w:left="2549"/>
      </w:pPr>
      <w:r>
        <w:rPr/>
        <w:t>б)</w:t>
      </w:r>
      <w:r>
        <w:rPr>
          <w:spacing w:val="76"/>
        </w:rPr>
        <w:t> </w:t>
      </w:r>
      <w:r>
        <w:rPr/>
        <w:t>В</w:t>
      </w:r>
      <w:r>
        <w:rPr>
          <w:spacing w:val="77"/>
        </w:rPr>
        <w:t> </w:t>
      </w:r>
      <w:r>
        <w:rPr/>
        <w:t>течение</w:t>
      </w:r>
      <w:r>
        <w:rPr>
          <w:spacing w:val="76"/>
        </w:rPr>
        <w:t> </w:t>
      </w:r>
      <w:r>
        <w:rPr/>
        <w:t>суток</w:t>
      </w:r>
      <w:r>
        <w:rPr>
          <w:spacing w:val="78"/>
        </w:rPr>
        <w:t> </w:t>
      </w:r>
      <w:r>
        <w:rPr/>
        <w:t>с</w:t>
      </w:r>
      <w:r>
        <w:rPr>
          <w:spacing w:val="76"/>
        </w:rPr>
        <w:t> </w:t>
      </w:r>
      <w:r>
        <w:rPr/>
        <w:t>момента</w:t>
      </w:r>
      <w:r>
        <w:rPr>
          <w:spacing w:val="76"/>
        </w:rPr>
        <w:t> </w:t>
      </w:r>
      <w:r>
        <w:rPr/>
        <w:t>проведения</w:t>
      </w:r>
      <w:r>
        <w:rPr>
          <w:spacing w:val="77"/>
        </w:rPr>
        <w:t> </w:t>
      </w:r>
      <w:r>
        <w:rPr/>
        <w:t>вскрытия</w:t>
      </w:r>
      <w:r>
        <w:rPr>
          <w:spacing w:val="77"/>
        </w:rPr>
        <w:t> </w:t>
      </w:r>
      <w:r>
        <w:rPr/>
        <w:t>заполняется</w:t>
      </w:r>
      <w:r>
        <w:rPr>
          <w:spacing w:val="78"/>
        </w:rPr>
        <w:t> </w:t>
      </w:r>
      <w:r>
        <w:rPr>
          <w:spacing w:val="-2"/>
        </w:rPr>
        <w:t>раздел</w:t>
      </w:r>
    </w:p>
    <w:p>
      <w:pPr>
        <w:pStyle w:val="BodyText"/>
        <w:spacing w:line="276" w:lineRule="auto" w:before="41"/>
        <w:ind w:right="1272"/>
      </w:pPr>
      <w:r>
        <w:rPr/>
        <w:t>«Предварительный</w:t>
      </w:r>
      <w:r>
        <w:rPr>
          <w:spacing w:val="80"/>
        </w:rPr>
        <w:t>  </w:t>
      </w:r>
      <w:r>
        <w:rPr/>
        <w:t>патологоанатомический</w:t>
      </w:r>
      <w:r>
        <w:rPr>
          <w:spacing w:val="80"/>
        </w:rPr>
        <w:t>  </w:t>
      </w:r>
      <w:r>
        <w:rPr/>
        <w:t>(судебно-медицинский)</w:t>
      </w:r>
      <w:r>
        <w:rPr>
          <w:spacing w:val="80"/>
        </w:rPr>
        <w:t>  </w:t>
      </w:r>
      <w:r>
        <w:rPr/>
        <w:t>диагноз» по результатам первого этапа патологоанатомического или судебно-медицинского </w:t>
      </w:r>
      <w:r>
        <w:rPr>
          <w:spacing w:val="-2"/>
        </w:rPr>
        <w:t>исследования:</w:t>
      </w:r>
    </w:p>
    <w:p>
      <w:pPr>
        <w:pStyle w:val="ListParagraph"/>
        <w:numPr>
          <w:ilvl w:val="0"/>
          <w:numId w:val="66"/>
        </w:numPr>
        <w:tabs>
          <w:tab w:pos="2268" w:val="left" w:leader="none"/>
        </w:tabs>
        <w:spacing w:line="240" w:lineRule="auto" w:before="1" w:after="0"/>
        <w:ind w:left="2268" w:right="0" w:hanging="359"/>
        <w:jc w:val="both"/>
        <w:rPr>
          <w:sz w:val="24"/>
        </w:rPr>
      </w:pPr>
      <w:r>
        <w:rPr>
          <w:sz w:val="24"/>
        </w:rPr>
        <w:t>Основное</w:t>
      </w:r>
      <w:r>
        <w:rPr>
          <w:spacing w:val="-15"/>
          <w:sz w:val="24"/>
        </w:rPr>
        <w:t> </w:t>
      </w:r>
      <w:r>
        <w:rPr>
          <w:spacing w:val="-2"/>
          <w:sz w:val="24"/>
        </w:rPr>
        <w:t>заболевание;</w:t>
      </w:r>
    </w:p>
    <w:p>
      <w:pPr>
        <w:pStyle w:val="ListParagraph"/>
        <w:numPr>
          <w:ilvl w:val="0"/>
          <w:numId w:val="66"/>
        </w:numPr>
        <w:tabs>
          <w:tab w:pos="2268" w:val="left" w:leader="none"/>
        </w:tabs>
        <w:spacing w:line="240" w:lineRule="auto" w:before="31" w:after="0"/>
        <w:ind w:left="2268" w:right="0" w:hanging="359"/>
        <w:jc w:val="both"/>
        <w:rPr>
          <w:sz w:val="24"/>
        </w:rPr>
      </w:pPr>
      <w:r>
        <w:rPr>
          <w:spacing w:val="-2"/>
          <w:sz w:val="24"/>
        </w:rPr>
        <w:t>Коморбидные,</w:t>
      </w:r>
      <w:r>
        <w:rPr>
          <w:spacing w:val="1"/>
          <w:sz w:val="24"/>
        </w:rPr>
        <w:t> </w:t>
      </w:r>
      <w:r>
        <w:rPr>
          <w:spacing w:val="-2"/>
          <w:sz w:val="24"/>
        </w:rPr>
        <w:t>конкурирующие,</w:t>
      </w:r>
      <w:r>
        <w:rPr>
          <w:spacing w:val="1"/>
          <w:sz w:val="24"/>
        </w:rPr>
        <w:t> </w:t>
      </w:r>
      <w:r>
        <w:rPr>
          <w:spacing w:val="-2"/>
          <w:sz w:val="24"/>
        </w:rPr>
        <w:t>сочетанные</w:t>
      </w:r>
      <w:r>
        <w:rPr>
          <w:sz w:val="24"/>
        </w:rPr>
        <w:t> </w:t>
      </w:r>
      <w:r>
        <w:rPr>
          <w:spacing w:val="-2"/>
          <w:sz w:val="24"/>
        </w:rPr>
        <w:t>и</w:t>
      </w:r>
      <w:r>
        <w:rPr>
          <w:spacing w:val="2"/>
          <w:sz w:val="24"/>
        </w:rPr>
        <w:t> </w:t>
      </w:r>
      <w:r>
        <w:rPr>
          <w:spacing w:val="-2"/>
          <w:sz w:val="24"/>
        </w:rPr>
        <w:t>фоновые</w:t>
      </w:r>
      <w:r>
        <w:rPr>
          <w:spacing w:val="1"/>
          <w:sz w:val="24"/>
        </w:rPr>
        <w:t> </w:t>
      </w:r>
      <w:r>
        <w:rPr>
          <w:spacing w:val="-2"/>
          <w:sz w:val="24"/>
        </w:rPr>
        <w:t>заболевания;</w:t>
      </w:r>
    </w:p>
    <w:p>
      <w:pPr>
        <w:pStyle w:val="ListParagraph"/>
        <w:numPr>
          <w:ilvl w:val="0"/>
          <w:numId w:val="66"/>
        </w:numPr>
        <w:tabs>
          <w:tab w:pos="2268" w:val="left" w:leader="none"/>
        </w:tabs>
        <w:spacing w:line="264" w:lineRule="auto" w:before="33" w:after="0"/>
        <w:ind w:left="2268" w:right="1271" w:hanging="360"/>
        <w:jc w:val="both"/>
        <w:rPr>
          <w:sz w:val="24"/>
        </w:rPr>
      </w:pPr>
      <w:r>
        <w:rPr>
          <w:sz w:val="24"/>
        </w:rPr>
        <w:t>Осложнения</w:t>
      </w:r>
      <w:r>
        <w:rPr>
          <w:spacing w:val="80"/>
          <w:sz w:val="24"/>
        </w:rPr>
        <w:t>  </w:t>
      </w:r>
      <w:r>
        <w:rPr>
          <w:sz w:val="24"/>
        </w:rPr>
        <w:t>(основного</w:t>
      </w:r>
      <w:r>
        <w:rPr>
          <w:spacing w:val="80"/>
          <w:sz w:val="24"/>
        </w:rPr>
        <w:t>  </w:t>
      </w:r>
      <w:r>
        <w:rPr>
          <w:sz w:val="24"/>
        </w:rPr>
        <w:t>заболевания,</w:t>
      </w:r>
      <w:r>
        <w:rPr>
          <w:spacing w:val="80"/>
          <w:sz w:val="24"/>
        </w:rPr>
        <w:t>  </w:t>
      </w:r>
      <w:r>
        <w:rPr>
          <w:sz w:val="24"/>
        </w:rPr>
        <w:t>коморбидных</w:t>
      </w:r>
      <w:r>
        <w:rPr>
          <w:spacing w:val="80"/>
          <w:sz w:val="24"/>
        </w:rPr>
        <w:t>  </w:t>
      </w:r>
      <w:r>
        <w:rPr>
          <w:sz w:val="24"/>
        </w:rPr>
        <w:t>заболеваний)</w:t>
      </w:r>
      <w:r>
        <w:rPr>
          <w:spacing w:val="80"/>
          <w:sz w:val="24"/>
        </w:rPr>
        <w:t>  </w:t>
      </w:r>
      <w:r>
        <w:rPr>
          <w:sz w:val="24"/>
        </w:rPr>
        <w:t>– при их наличии;</w:t>
      </w:r>
    </w:p>
    <w:p>
      <w:pPr>
        <w:pStyle w:val="ListParagraph"/>
        <w:numPr>
          <w:ilvl w:val="0"/>
          <w:numId w:val="66"/>
        </w:numPr>
        <w:tabs>
          <w:tab w:pos="2268" w:val="left" w:leader="none"/>
        </w:tabs>
        <w:spacing w:line="240" w:lineRule="auto" w:before="13" w:after="0"/>
        <w:ind w:left="2268" w:right="0" w:hanging="359"/>
        <w:jc w:val="both"/>
        <w:rPr>
          <w:sz w:val="24"/>
        </w:rPr>
      </w:pPr>
      <w:r>
        <w:rPr>
          <w:spacing w:val="-2"/>
          <w:sz w:val="24"/>
        </w:rPr>
        <w:t>Сопутствующие</w:t>
      </w:r>
      <w:r>
        <w:rPr>
          <w:spacing w:val="2"/>
          <w:sz w:val="24"/>
        </w:rPr>
        <w:t> </w:t>
      </w:r>
      <w:r>
        <w:rPr>
          <w:spacing w:val="-2"/>
          <w:sz w:val="24"/>
        </w:rPr>
        <w:t>заболевания</w:t>
      </w:r>
      <w:r>
        <w:rPr>
          <w:spacing w:val="2"/>
          <w:sz w:val="24"/>
        </w:rPr>
        <w:t> </w:t>
      </w:r>
      <w:r>
        <w:rPr>
          <w:spacing w:val="-2"/>
          <w:sz w:val="24"/>
        </w:rPr>
        <w:t>(при</w:t>
      </w:r>
      <w:r>
        <w:rPr>
          <w:spacing w:val="4"/>
          <w:sz w:val="24"/>
        </w:rPr>
        <w:t> </w:t>
      </w:r>
      <w:r>
        <w:rPr>
          <w:spacing w:val="-2"/>
          <w:sz w:val="24"/>
        </w:rPr>
        <w:t>наличии);</w:t>
      </w:r>
    </w:p>
    <w:p>
      <w:pPr>
        <w:pStyle w:val="ListParagraph"/>
        <w:numPr>
          <w:ilvl w:val="0"/>
          <w:numId w:val="66"/>
        </w:numPr>
        <w:tabs>
          <w:tab w:pos="2268" w:val="left" w:leader="none"/>
        </w:tabs>
        <w:spacing w:line="264" w:lineRule="auto" w:before="33" w:after="0"/>
        <w:ind w:left="2268" w:right="1272" w:hanging="360"/>
        <w:jc w:val="both"/>
        <w:rPr>
          <w:sz w:val="24"/>
        </w:rPr>
      </w:pPr>
      <w:r>
        <w:rPr>
          <w:sz w:val="24"/>
        </w:rPr>
        <w:t>Скан-копия первой части протокола патологоанатомического вскрытия или выписка</w:t>
      </w:r>
      <w:r>
        <w:rPr>
          <w:spacing w:val="80"/>
          <w:w w:val="150"/>
          <w:sz w:val="24"/>
        </w:rPr>
        <w:t> </w:t>
      </w:r>
      <w:r>
        <w:rPr>
          <w:sz w:val="24"/>
        </w:rPr>
        <w:t>из</w:t>
      </w:r>
      <w:r>
        <w:rPr>
          <w:spacing w:val="80"/>
          <w:w w:val="150"/>
          <w:sz w:val="24"/>
        </w:rPr>
        <w:t> </w:t>
      </w:r>
      <w:r>
        <w:rPr>
          <w:sz w:val="24"/>
        </w:rPr>
        <w:t>результатов</w:t>
      </w:r>
      <w:r>
        <w:rPr>
          <w:spacing w:val="80"/>
          <w:w w:val="150"/>
          <w:sz w:val="24"/>
        </w:rPr>
        <w:t> </w:t>
      </w:r>
      <w:r>
        <w:rPr>
          <w:sz w:val="24"/>
        </w:rPr>
        <w:t>наружного</w:t>
      </w:r>
      <w:r>
        <w:rPr>
          <w:spacing w:val="80"/>
          <w:w w:val="150"/>
          <w:sz w:val="24"/>
        </w:rPr>
        <w:t> </w:t>
      </w:r>
      <w:r>
        <w:rPr>
          <w:sz w:val="24"/>
        </w:rPr>
        <w:t>и</w:t>
      </w:r>
      <w:r>
        <w:rPr>
          <w:spacing w:val="80"/>
          <w:w w:val="150"/>
          <w:sz w:val="24"/>
        </w:rPr>
        <w:t> </w:t>
      </w:r>
      <w:r>
        <w:rPr>
          <w:sz w:val="24"/>
        </w:rPr>
        <w:t>внутреннего</w:t>
      </w:r>
      <w:r>
        <w:rPr>
          <w:spacing w:val="80"/>
          <w:w w:val="150"/>
          <w:sz w:val="24"/>
        </w:rPr>
        <w:t> </w:t>
      </w:r>
      <w:r>
        <w:rPr>
          <w:sz w:val="24"/>
        </w:rPr>
        <w:t>судебно-медицинского</w:t>
      </w:r>
    </w:p>
    <w:p>
      <w:pPr>
        <w:pStyle w:val="ListParagraph"/>
        <w:spacing w:after="0" w:line="264" w:lineRule="auto"/>
        <w:jc w:val="both"/>
        <w:rPr>
          <w:sz w:val="24"/>
        </w:rPr>
        <w:sectPr>
          <w:pgSz w:w="11900" w:h="16840"/>
          <w:pgMar w:header="0" w:footer="697" w:top="1080" w:bottom="880" w:left="0" w:right="0"/>
        </w:sectPr>
      </w:pPr>
    </w:p>
    <w:p>
      <w:pPr>
        <w:pStyle w:val="BodyText"/>
        <w:spacing w:line="276" w:lineRule="auto" w:before="73"/>
        <w:ind w:left="2268" w:right="1283"/>
        <w:jc w:val="left"/>
      </w:pPr>
      <w:bookmarkStart w:name="147" w:id="174"/>
      <w:bookmarkEnd w:id="174"/>
      <w:r>
        <w:rPr/>
      </w:r>
      <w:r>
        <w:rPr/>
        <w:t>исследования,</w:t>
      </w:r>
      <w:r>
        <w:rPr>
          <w:spacing w:val="26"/>
        </w:rPr>
        <w:t> </w:t>
      </w:r>
      <w:r>
        <w:rPr/>
        <w:t>содержащая</w:t>
      </w:r>
      <w:r>
        <w:rPr>
          <w:spacing w:val="26"/>
        </w:rPr>
        <w:t> </w:t>
      </w:r>
      <w:r>
        <w:rPr/>
        <w:t>патологические изменения,</w:t>
      </w:r>
      <w:r>
        <w:rPr>
          <w:spacing w:val="26"/>
        </w:rPr>
        <w:t> </w:t>
      </w:r>
      <w:r>
        <w:rPr/>
        <w:t>которые легли</w:t>
      </w:r>
      <w:r>
        <w:rPr>
          <w:spacing w:val="27"/>
        </w:rPr>
        <w:t> </w:t>
      </w:r>
      <w:r>
        <w:rPr/>
        <w:t>в основу постановки судебно- медицинского диагноза.</w:t>
      </w:r>
    </w:p>
    <w:p>
      <w:pPr>
        <w:pStyle w:val="BodyText"/>
        <w:spacing w:before="13"/>
        <w:ind w:left="2549"/>
        <w:jc w:val="left"/>
      </w:pPr>
      <w:r>
        <w:rPr/>
        <w:t>в)</w:t>
      </w:r>
      <w:r>
        <w:rPr>
          <w:spacing w:val="-15"/>
        </w:rPr>
        <w:t> </w:t>
      </w:r>
      <w:r>
        <w:rPr/>
        <w:t>«Медицинское</w:t>
      </w:r>
      <w:r>
        <w:rPr>
          <w:spacing w:val="-11"/>
        </w:rPr>
        <w:t> </w:t>
      </w:r>
      <w:r>
        <w:rPr/>
        <w:t>свидетельство</w:t>
      </w:r>
      <w:r>
        <w:rPr>
          <w:spacing w:val="-12"/>
        </w:rPr>
        <w:t> </w:t>
      </w:r>
      <w:r>
        <w:rPr/>
        <w:t>о</w:t>
      </w:r>
      <w:r>
        <w:rPr>
          <w:spacing w:val="-11"/>
        </w:rPr>
        <w:t> </w:t>
      </w:r>
      <w:r>
        <w:rPr>
          <w:spacing w:val="-2"/>
        </w:rPr>
        <w:t>смерти»:</w:t>
      </w:r>
    </w:p>
    <w:p>
      <w:pPr>
        <w:pStyle w:val="Heading3"/>
        <w:spacing w:before="43"/>
        <w:jc w:val="left"/>
        <w:rPr>
          <w:b w:val="0"/>
        </w:rPr>
      </w:pPr>
      <w:r>
        <w:rPr/>
        <w:t>Часть</w:t>
      </w:r>
      <w:r>
        <w:rPr>
          <w:spacing w:val="-10"/>
        </w:rPr>
        <w:t> </w:t>
      </w:r>
      <w:r>
        <w:rPr>
          <w:spacing w:val="-5"/>
        </w:rPr>
        <w:t>I</w:t>
      </w:r>
      <w:r>
        <w:rPr>
          <w:b w:val="0"/>
          <w:spacing w:val="-5"/>
        </w:rPr>
        <w:t>.</w:t>
      </w:r>
    </w:p>
    <w:p>
      <w:pPr>
        <w:pStyle w:val="BodyText"/>
        <w:spacing w:before="40"/>
        <w:ind w:left="2549"/>
        <w:jc w:val="left"/>
      </w:pPr>
      <w:r>
        <w:rPr/>
        <w:t>Строка</w:t>
      </w:r>
      <w:r>
        <w:rPr>
          <w:spacing w:val="-12"/>
        </w:rPr>
        <w:t> </w:t>
      </w:r>
      <w:r>
        <w:rPr/>
        <w:t>«а»</w:t>
      </w:r>
      <w:r>
        <w:rPr>
          <w:spacing w:val="-10"/>
        </w:rPr>
        <w:t> </w:t>
      </w:r>
      <w:r>
        <w:rPr/>
        <w:t>Болезнь</w:t>
      </w:r>
      <w:r>
        <w:rPr>
          <w:spacing w:val="-11"/>
        </w:rPr>
        <w:t> </w:t>
      </w:r>
      <w:r>
        <w:rPr/>
        <w:t>или</w:t>
      </w:r>
      <w:r>
        <w:rPr>
          <w:spacing w:val="-12"/>
        </w:rPr>
        <w:t> </w:t>
      </w:r>
      <w:r>
        <w:rPr/>
        <w:t>состояние,</w:t>
      </w:r>
      <w:r>
        <w:rPr>
          <w:spacing w:val="-12"/>
        </w:rPr>
        <w:t> </w:t>
      </w:r>
      <w:r>
        <w:rPr/>
        <w:t>непосредственно</w:t>
      </w:r>
      <w:r>
        <w:rPr>
          <w:spacing w:val="-11"/>
        </w:rPr>
        <w:t> </w:t>
      </w:r>
      <w:r>
        <w:rPr/>
        <w:t>приведшее</w:t>
      </w:r>
      <w:r>
        <w:rPr>
          <w:spacing w:val="-11"/>
        </w:rPr>
        <w:t> </w:t>
      </w:r>
      <w:r>
        <w:rPr/>
        <w:t>к</w:t>
      </w:r>
      <w:r>
        <w:rPr>
          <w:spacing w:val="-11"/>
        </w:rPr>
        <w:t> </w:t>
      </w:r>
      <w:r>
        <w:rPr>
          <w:spacing w:val="-2"/>
        </w:rPr>
        <w:t>смерти;</w:t>
      </w:r>
    </w:p>
    <w:p>
      <w:pPr>
        <w:pStyle w:val="BodyText"/>
        <w:spacing w:line="276" w:lineRule="auto" w:before="41"/>
        <w:ind w:right="1277" w:firstLine="707"/>
      </w:pPr>
      <w:r>
        <w:rPr/>
        <w:t>Строка «б» Патологическое состояние, которое привело к возникновению вышеуказанной причины (при наличии);</w:t>
      </w:r>
    </w:p>
    <w:p>
      <w:pPr>
        <w:pStyle w:val="BodyText"/>
        <w:spacing w:line="276" w:lineRule="auto"/>
        <w:ind w:right="1274" w:firstLine="707"/>
      </w:pPr>
      <w:r>
        <w:rPr/>
        <w:t>Строка «в» или «б», если последняя не была заполнена, - Первоначальная причина смерти;</w:t>
      </w:r>
    </w:p>
    <w:p>
      <w:pPr>
        <w:pStyle w:val="BodyText"/>
        <w:spacing w:line="274" w:lineRule="exact"/>
        <w:ind w:left="2549"/>
      </w:pPr>
      <w:r>
        <w:rPr/>
        <w:t>Строка</w:t>
      </w:r>
      <w:r>
        <w:rPr>
          <w:spacing w:val="-11"/>
        </w:rPr>
        <w:t> </w:t>
      </w:r>
      <w:r>
        <w:rPr/>
        <w:t>«г»</w:t>
      </w:r>
      <w:r>
        <w:rPr>
          <w:spacing w:val="-9"/>
        </w:rPr>
        <w:t> </w:t>
      </w:r>
      <w:r>
        <w:rPr/>
        <w:t>Внешняя</w:t>
      </w:r>
      <w:r>
        <w:rPr>
          <w:spacing w:val="-12"/>
        </w:rPr>
        <w:t> </w:t>
      </w:r>
      <w:r>
        <w:rPr/>
        <w:t>причина</w:t>
      </w:r>
      <w:r>
        <w:rPr>
          <w:spacing w:val="-10"/>
        </w:rPr>
        <w:t> </w:t>
      </w:r>
      <w:r>
        <w:rPr/>
        <w:t>при</w:t>
      </w:r>
      <w:r>
        <w:rPr>
          <w:spacing w:val="-9"/>
        </w:rPr>
        <w:t> </w:t>
      </w:r>
      <w:r>
        <w:rPr/>
        <w:t>травмах</w:t>
      </w:r>
      <w:r>
        <w:rPr>
          <w:spacing w:val="-10"/>
        </w:rPr>
        <w:t> </w:t>
      </w:r>
      <w:r>
        <w:rPr/>
        <w:t>и</w:t>
      </w:r>
      <w:r>
        <w:rPr>
          <w:spacing w:val="-9"/>
        </w:rPr>
        <w:t> </w:t>
      </w:r>
      <w:r>
        <w:rPr/>
        <w:t>отравлениях</w:t>
      </w:r>
      <w:r>
        <w:rPr>
          <w:spacing w:val="-10"/>
        </w:rPr>
        <w:t> </w:t>
      </w:r>
      <w:r>
        <w:rPr/>
        <w:t>(при</w:t>
      </w:r>
      <w:r>
        <w:rPr>
          <w:spacing w:val="-9"/>
        </w:rPr>
        <w:t> </w:t>
      </w:r>
      <w:r>
        <w:rPr>
          <w:spacing w:val="-2"/>
        </w:rPr>
        <w:t>наличии).</w:t>
      </w:r>
    </w:p>
    <w:p>
      <w:pPr>
        <w:pStyle w:val="BodyText"/>
        <w:spacing w:line="276" w:lineRule="auto" w:before="41"/>
        <w:ind w:right="1280" w:firstLine="707"/>
      </w:pPr>
      <w:r>
        <w:rPr>
          <w:b/>
        </w:rPr>
        <w:t>Часть</w:t>
      </w:r>
      <w:r>
        <w:rPr>
          <w:b/>
          <w:spacing w:val="80"/>
        </w:rPr>
        <w:t>  </w:t>
      </w:r>
      <w:r>
        <w:rPr>
          <w:b/>
        </w:rPr>
        <w:t>II.</w:t>
      </w:r>
      <w:r>
        <w:rPr>
          <w:b/>
          <w:spacing w:val="80"/>
        </w:rPr>
        <w:t>  </w:t>
      </w:r>
      <w:r>
        <w:rPr/>
        <w:t>Прочие</w:t>
      </w:r>
      <w:r>
        <w:rPr>
          <w:spacing w:val="80"/>
        </w:rPr>
        <w:t>  </w:t>
      </w:r>
      <w:r>
        <w:rPr/>
        <w:t>важные</w:t>
      </w:r>
      <w:r>
        <w:rPr>
          <w:spacing w:val="80"/>
        </w:rPr>
        <w:t>  </w:t>
      </w:r>
      <w:r>
        <w:rPr/>
        <w:t>состояния,</w:t>
      </w:r>
      <w:r>
        <w:rPr>
          <w:spacing w:val="80"/>
        </w:rPr>
        <w:t>  </w:t>
      </w:r>
      <w:r>
        <w:rPr/>
        <w:t>способствовавшие</w:t>
      </w:r>
      <w:r>
        <w:rPr>
          <w:spacing w:val="80"/>
        </w:rPr>
        <w:t>  </w:t>
      </w:r>
      <w:r>
        <w:rPr/>
        <w:t>смерти, но не связанные с болезнью или патологическим состоянием (при наличии).</w:t>
      </w:r>
    </w:p>
    <w:p>
      <w:pPr>
        <w:pStyle w:val="BodyText"/>
        <w:spacing w:line="276" w:lineRule="auto" w:before="1"/>
        <w:ind w:right="1272" w:firstLine="707"/>
      </w:pPr>
      <w:r>
        <w:rPr/>
        <w:t>г) После завершения патологоанатомического или судебно-медицинского исследования заполняется раздел «Заключительный патологоанатомический (судебно-медицинский) диагноз»:</w:t>
      </w:r>
    </w:p>
    <w:p>
      <w:pPr>
        <w:pStyle w:val="ListParagraph"/>
        <w:numPr>
          <w:ilvl w:val="0"/>
          <w:numId w:val="66"/>
        </w:numPr>
        <w:tabs>
          <w:tab w:pos="2268" w:val="left" w:leader="none"/>
        </w:tabs>
        <w:spacing w:line="320" w:lineRule="exact" w:before="0" w:after="0"/>
        <w:ind w:left="2268" w:right="0" w:hanging="359"/>
        <w:jc w:val="left"/>
        <w:rPr>
          <w:sz w:val="24"/>
        </w:rPr>
      </w:pPr>
      <w:r>
        <w:rPr>
          <w:spacing w:val="-2"/>
          <w:sz w:val="24"/>
        </w:rPr>
        <w:t>Скан-копия</w:t>
      </w:r>
      <w:r>
        <w:rPr>
          <w:spacing w:val="1"/>
          <w:sz w:val="24"/>
        </w:rPr>
        <w:t> </w:t>
      </w:r>
      <w:r>
        <w:rPr>
          <w:spacing w:val="-2"/>
          <w:sz w:val="24"/>
        </w:rPr>
        <w:t>медицинского</w:t>
      </w:r>
      <w:r>
        <w:rPr>
          <w:spacing w:val="2"/>
          <w:sz w:val="24"/>
        </w:rPr>
        <w:t> </w:t>
      </w:r>
      <w:r>
        <w:rPr>
          <w:spacing w:val="-2"/>
          <w:sz w:val="24"/>
        </w:rPr>
        <w:t>свидетельства</w:t>
      </w:r>
      <w:r>
        <w:rPr>
          <w:spacing w:val="2"/>
          <w:sz w:val="24"/>
        </w:rPr>
        <w:t> </w:t>
      </w:r>
      <w:r>
        <w:rPr>
          <w:spacing w:val="-2"/>
          <w:sz w:val="24"/>
        </w:rPr>
        <w:t>о</w:t>
      </w:r>
      <w:r>
        <w:rPr>
          <w:spacing w:val="2"/>
          <w:sz w:val="24"/>
        </w:rPr>
        <w:t> </w:t>
      </w:r>
      <w:r>
        <w:rPr>
          <w:spacing w:val="-2"/>
          <w:sz w:val="24"/>
        </w:rPr>
        <w:t>смерти;</w:t>
      </w:r>
    </w:p>
    <w:p>
      <w:pPr>
        <w:pStyle w:val="ListParagraph"/>
        <w:numPr>
          <w:ilvl w:val="0"/>
          <w:numId w:val="66"/>
        </w:numPr>
        <w:tabs>
          <w:tab w:pos="2268" w:val="left" w:leader="none"/>
        </w:tabs>
        <w:spacing w:line="240" w:lineRule="auto" w:before="33" w:after="0"/>
        <w:ind w:left="2268" w:right="0" w:hanging="359"/>
        <w:jc w:val="left"/>
        <w:rPr>
          <w:sz w:val="24"/>
        </w:rPr>
      </w:pPr>
      <w:r>
        <w:rPr>
          <w:sz w:val="24"/>
        </w:rPr>
        <w:t>Основное</w:t>
      </w:r>
      <w:r>
        <w:rPr>
          <w:spacing w:val="-15"/>
          <w:sz w:val="24"/>
        </w:rPr>
        <w:t> </w:t>
      </w:r>
      <w:r>
        <w:rPr>
          <w:spacing w:val="-2"/>
          <w:sz w:val="24"/>
        </w:rPr>
        <w:t>заболевание;</w:t>
      </w:r>
    </w:p>
    <w:p>
      <w:pPr>
        <w:pStyle w:val="ListParagraph"/>
        <w:numPr>
          <w:ilvl w:val="0"/>
          <w:numId w:val="66"/>
        </w:numPr>
        <w:tabs>
          <w:tab w:pos="2268" w:val="left" w:leader="none"/>
        </w:tabs>
        <w:spacing w:line="240" w:lineRule="auto" w:before="33" w:after="0"/>
        <w:ind w:left="2268" w:right="0" w:hanging="359"/>
        <w:jc w:val="left"/>
        <w:rPr>
          <w:sz w:val="24"/>
        </w:rPr>
      </w:pPr>
      <w:r>
        <w:rPr>
          <w:spacing w:val="-2"/>
          <w:sz w:val="24"/>
        </w:rPr>
        <w:t>Коморбидные,</w:t>
      </w:r>
      <w:r>
        <w:rPr>
          <w:spacing w:val="1"/>
          <w:sz w:val="24"/>
        </w:rPr>
        <w:t> </w:t>
      </w:r>
      <w:r>
        <w:rPr>
          <w:spacing w:val="-2"/>
          <w:sz w:val="24"/>
        </w:rPr>
        <w:t>конкурирующие,</w:t>
      </w:r>
      <w:r>
        <w:rPr>
          <w:spacing w:val="1"/>
          <w:sz w:val="24"/>
        </w:rPr>
        <w:t> </w:t>
      </w:r>
      <w:r>
        <w:rPr>
          <w:spacing w:val="-2"/>
          <w:sz w:val="24"/>
        </w:rPr>
        <w:t>сочетанные</w:t>
      </w:r>
      <w:r>
        <w:rPr>
          <w:sz w:val="24"/>
        </w:rPr>
        <w:t> </w:t>
      </w:r>
      <w:r>
        <w:rPr>
          <w:spacing w:val="-2"/>
          <w:sz w:val="24"/>
        </w:rPr>
        <w:t>и</w:t>
      </w:r>
      <w:r>
        <w:rPr>
          <w:spacing w:val="2"/>
          <w:sz w:val="24"/>
        </w:rPr>
        <w:t> </w:t>
      </w:r>
      <w:r>
        <w:rPr>
          <w:spacing w:val="-2"/>
          <w:sz w:val="24"/>
        </w:rPr>
        <w:t>фоновые</w:t>
      </w:r>
      <w:r>
        <w:rPr>
          <w:spacing w:val="1"/>
          <w:sz w:val="24"/>
        </w:rPr>
        <w:t> </w:t>
      </w:r>
      <w:r>
        <w:rPr>
          <w:spacing w:val="-2"/>
          <w:sz w:val="24"/>
        </w:rPr>
        <w:t>заболевания;</w:t>
      </w:r>
    </w:p>
    <w:p>
      <w:pPr>
        <w:pStyle w:val="ListParagraph"/>
        <w:numPr>
          <w:ilvl w:val="0"/>
          <w:numId w:val="66"/>
        </w:numPr>
        <w:tabs>
          <w:tab w:pos="2268" w:val="left" w:leader="none"/>
        </w:tabs>
        <w:spacing w:line="264" w:lineRule="auto" w:before="33" w:after="0"/>
        <w:ind w:left="2268" w:right="1271" w:hanging="360"/>
        <w:jc w:val="both"/>
        <w:rPr>
          <w:sz w:val="24"/>
        </w:rPr>
      </w:pPr>
      <w:r>
        <w:rPr>
          <w:sz w:val="24"/>
        </w:rPr>
        <w:t>Осложнения</w:t>
      </w:r>
      <w:r>
        <w:rPr>
          <w:spacing w:val="80"/>
          <w:sz w:val="24"/>
        </w:rPr>
        <w:t>  </w:t>
      </w:r>
      <w:r>
        <w:rPr>
          <w:sz w:val="24"/>
        </w:rPr>
        <w:t>(основного</w:t>
      </w:r>
      <w:r>
        <w:rPr>
          <w:spacing w:val="80"/>
          <w:sz w:val="24"/>
        </w:rPr>
        <w:t>  </w:t>
      </w:r>
      <w:r>
        <w:rPr>
          <w:sz w:val="24"/>
        </w:rPr>
        <w:t>заболевания,</w:t>
      </w:r>
      <w:r>
        <w:rPr>
          <w:spacing w:val="80"/>
          <w:sz w:val="24"/>
        </w:rPr>
        <w:t>  </w:t>
      </w:r>
      <w:r>
        <w:rPr>
          <w:sz w:val="24"/>
        </w:rPr>
        <w:t>коморбидных</w:t>
      </w:r>
      <w:r>
        <w:rPr>
          <w:spacing w:val="80"/>
          <w:sz w:val="24"/>
        </w:rPr>
        <w:t>  </w:t>
      </w:r>
      <w:r>
        <w:rPr>
          <w:sz w:val="24"/>
        </w:rPr>
        <w:t>заболеваний)</w:t>
      </w:r>
      <w:r>
        <w:rPr>
          <w:spacing w:val="80"/>
          <w:sz w:val="24"/>
        </w:rPr>
        <w:t>  </w:t>
      </w:r>
      <w:r>
        <w:rPr>
          <w:sz w:val="24"/>
        </w:rPr>
        <w:t>– при их наличии;</w:t>
      </w:r>
    </w:p>
    <w:p>
      <w:pPr>
        <w:pStyle w:val="ListParagraph"/>
        <w:numPr>
          <w:ilvl w:val="0"/>
          <w:numId w:val="66"/>
        </w:numPr>
        <w:tabs>
          <w:tab w:pos="2268" w:val="left" w:leader="none"/>
        </w:tabs>
        <w:spacing w:line="240" w:lineRule="auto" w:before="13" w:after="0"/>
        <w:ind w:left="2268" w:right="0" w:hanging="359"/>
        <w:jc w:val="both"/>
        <w:rPr>
          <w:sz w:val="24"/>
        </w:rPr>
      </w:pPr>
      <w:r>
        <w:rPr>
          <w:spacing w:val="-2"/>
          <w:sz w:val="24"/>
        </w:rPr>
        <w:t>Сопутствующие</w:t>
      </w:r>
      <w:r>
        <w:rPr>
          <w:spacing w:val="2"/>
          <w:sz w:val="24"/>
        </w:rPr>
        <w:t> </w:t>
      </w:r>
      <w:r>
        <w:rPr>
          <w:spacing w:val="-2"/>
          <w:sz w:val="24"/>
        </w:rPr>
        <w:t>заболевания</w:t>
      </w:r>
      <w:r>
        <w:rPr>
          <w:spacing w:val="2"/>
          <w:sz w:val="24"/>
        </w:rPr>
        <w:t> </w:t>
      </w:r>
      <w:r>
        <w:rPr>
          <w:spacing w:val="-2"/>
          <w:sz w:val="24"/>
        </w:rPr>
        <w:t>(при</w:t>
      </w:r>
      <w:r>
        <w:rPr>
          <w:spacing w:val="4"/>
          <w:sz w:val="24"/>
        </w:rPr>
        <w:t> </w:t>
      </w:r>
      <w:r>
        <w:rPr>
          <w:spacing w:val="-2"/>
          <w:sz w:val="24"/>
        </w:rPr>
        <w:t>наличии);</w:t>
      </w:r>
    </w:p>
    <w:p>
      <w:pPr>
        <w:pStyle w:val="ListParagraph"/>
        <w:numPr>
          <w:ilvl w:val="0"/>
          <w:numId w:val="66"/>
        </w:numPr>
        <w:tabs>
          <w:tab w:pos="2268" w:val="left" w:leader="none"/>
        </w:tabs>
        <w:spacing w:line="268" w:lineRule="auto" w:before="33" w:after="0"/>
        <w:ind w:left="2268" w:right="1277" w:hanging="360"/>
        <w:jc w:val="both"/>
        <w:rPr>
          <w:sz w:val="24"/>
        </w:rPr>
      </w:pPr>
      <w:r>
        <w:rPr>
          <w:sz w:val="24"/>
        </w:rPr>
        <w:t>Скан-копия</w:t>
      </w:r>
      <w:r>
        <w:rPr>
          <w:spacing w:val="40"/>
          <w:sz w:val="24"/>
        </w:rPr>
        <w:t> </w:t>
      </w:r>
      <w:r>
        <w:rPr>
          <w:sz w:val="24"/>
        </w:rPr>
        <w:t>второй</w:t>
      </w:r>
      <w:r>
        <w:rPr>
          <w:spacing w:val="40"/>
          <w:sz w:val="24"/>
        </w:rPr>
        <w:t> </w:t>
      </w:r>
      <w:r>
        <w:rPr>
          <w:sz w:val="24"/>
        </w:rPr>
        <w:t>части</w:t>
      </w:r>
      <w:r>
        <w:rPr>
          <w:spacing w:val="40"/>
          <w:sz w:val="24"/>
        </w:rPr>
        <w:t> </w:t>
      </w:r>
      <w:r>
        <w:rPr>
          <w:sz w:val="24"/>
        </w:rPr>
        <w:t>протокола</w:t>
      </w:r>
      <w:r>
        <w:rPr>
          <w:spacing w:val="40"/>
          <w:sz w:val="24"/>
        </w:rPr>
        <w:t> </w:t>
      </w:r>
      <w:r>
        <w:rPr>
          <w:sz w:val="24"/>
        </w:rPr>
        <w:t>патологоанатомического</w:t>
      </w:r>
      <w:r>
        <w:rPr>
          <w:spacing w:val="40"/>
          <w:sz w:val="24"/>
        </w:rPr>
        <w:t> </w:t>
      </w:r>
      <w:r>
        <w:rPr>
          <w:sz w:val="24"/>
        </w:rPr>
        <w:t>исследования или</w:t>
      </w:r>
      <w:r>
        <w:rPr>
          <w:spacing w:val="80"/>
          <w:w w:val="150"/>
          <w:sz w:val="24"/>
        </w:rPr>
        <w:t> </w:t>
      </w:r>
      <w:r>
        <w:rPr>
          <w:sz w:val="24"/>
        </w:rPr>
        <w:t>выписка</w:t>
      </w:r>
      <w:r>
        <w:rPr>
          <w:spacing w:val="80"/>
          <w:w w:val="150"/>
          <w:sz w:val="24"/>
        </w:rPr>
        <w:t> </w:t>
      </w:r>
      <w:r>
        <w:rPr>
          <w:sz w:val="24"/>
        </w:rPr>
        <w:t>из</w:t>
      </w:r>
      <w:r>
        <w:rPr>
          <w:spacing w:val="80"/>
          <w:w w:val="150"/>
          <w:sz w:val="24"/>
        </w:rPr>
        <w:t> </w:t>
      </w:r>
      <w:r>
        <w:rPr>
          <w:sz w:val="24"/>
        </w:rPr>
        <w:t>результатов</w:t>
      </w:r>
      <w:r>
        <w:rPr>
          <w:spacing w:val="80"/>
          <w:w w:val="150"/>
          <w:sz w:val="24"/>
        </w:rPr>
        <w:t> </w:t>
      </w:r>
      <w:r>
        <w:rPr>
          <w:sz w:val="24"/>
        </w:rPr>
        <w:t>дополнительных</w:t>
      </w:r>
      <w:r>
        <w:rPr>
          <w:spacing w:val="80"/>
          <w:w w:val="150"/>
          <w:sz w:val="24"/>
        </w:rPr>
        <w:t> </w:t>
      </w:r>
      <w:r>
        <w:rPr>
          <w:sz w:val="24"/>
        </w:rPr>
        <w:t>лабораторных</w:t>
      </w:r>
      <w:r>
        <w:rPr>
          <w:spacing w:val="80"/>
          <w:w w:val="150"/>
          <w:sz w:val="24"/>
        </w:rPr>
        <w:t> </w:t>
      </w:r>
      <w:r>
        <w:rPr>
          <w:sz w:val="24"/>
        </w:rPr>
        <w:t>исследований в случае проведения судебно-медицинского исследования.</w:t>
      </w:r>
    </w:p>
    <w:p>
      <w:pPr>
        <w:pStyle w:val="BodyText"/>
        <w:spacing w:before="23"/>
        <w:ind w:left="2549"/>
      </w:pPr>
      <w:r>
        <w:rPr/>
        <w:t>д)</w:t>
      </w:r>
      <w:r>
        <w:rPr>
          <w:spacing w:val="29"/>
        </w:rPr>
        <w:t> </w:t>
      </w:r>
      <w:r>
        <w:rPr/>
        <w:t>При</w:t>
      </w:r>
      <w:r>
        <w:rPr>
          <w:spacing w:val="30"/>
        </w:rPr>
        <w:t> </w:t>
      </w:r>
      <w:r>
        <w:rPr/>
        <w:t>внесении</w:t>
      </w:r>
      <w:r>
        <w:rPr>
          <w:spacing w:val="31"/>
        </w:rPr>
        <w:t> </w:t>
      </w:r>
      <w:r>
        <w:rPr/>
        <w:t>изменений</w:t>
      </w:r>
      <w:r>
        <w:rPr>
          <w:spacing w:val="31"/>
        </w:rPr>
        <w:t> </w:t>
      </w:r>
      <w:r>
        <w:rPr/>
        <w:t>в</w:t>
      </w:r>
      <w:r>
        <w:rPr>
          <w:spacing w:val="29"/>
        </w:rPr>
        <w:t> </w:t>
      </w:r>
      <w:r>
        <w:rPr/>
        <w:t>первое</w:t>
      </w:r>
      <w:r>
        <w:rPr>
          <w:spacing w:val="31"/>
        </w:rPr>
        <w:t> </w:t>
      </w:r>
      <w:r>
        <w:rPr/>
        <w:t>(предварительное</w:t>
      </w:r>
      <w:r>
        <w:rPr>
          <w:spacing w:val="29"/>
        </w:rPr>
        <w:t> </w:t>
      </w:r>
      <w:r>
        <w:rPr/>
        <w:t>или</w:t>
      </w:r>
      <w:r>
        <w:rPr>
          <w:spacing w:val="31"/>
        </w:rPr>
        <w:t> </w:t>
      </w:r>
      <w:r>
        <w:rPr>
          <w:spacing w:val="-2"/>
        </w:rPr>
        <w:t>окончательное)</w:t>
      </w:r>
    </w:p>
    <w:p>
      <w:pPr>
        <w:pStyle w:val="BodyText"/>
        <w:spacing w:line="276" w:lineRule="auto" w:before="41"/>
        <w:ind w:right="1277"/>
      </w:pPr>
      <w:r>
        <w:rPr/>
        <w:t>«Медицинское свидетельство о смерти» (при необходимости в случае оформления повторного свидетельства взамен предварительного</w:t>
      </w:r>
      <w:r>
        <w:rPr>
          <w:spacing w:val="-2"/>
        </w:rPr>
        <w:t> </w:t>
      </w:r>
      <w:r>
        <w:rPr/>
        <w:t>или окончательного) приложить скан-копию повторного медицинского свидетельства о смерти.</w:t>
      </w:r>
    </w:p>
    <w:p>
      <w:pPr>
        <w:pStyle w:val="BodyText"/>
        <w:spacing w:line="276" w:lineRule="auto"/>
        <w:ind w:right="1275" w:firstLine="707"/>
      </w:pPr>
      <w:r>
        <w:rPr/>
        <w:t>Для получения доступа к информационному ресурсу необходимо направить заявку на предоставление доступа по форме, приведенной в инструкции, на адрес электронной почты </w:t>
      </w:r>
      <w:hyperlink r:id="rId25">
        <w:r>
          <w:rPr>
            <w:color w:val="0000FF"/>
            <w:u w:val="single" w:color="0000FF"/>
          </w:rPr>
          <w:t>egisz@rt-eu.ru</w:t>
        </w:r>
        <w:r>
          <w:rPr/>
          <w:t>.</w:t>
        </w:r>
      </w:hyperlink>
    </w:p>
    <w:p>
      <w:pPr>
        <w:pStyle w:val="BodyText"/>
        <w:spacing w:after="0" w:line="276" w:lineRule="auto"/>
        <w:sectPr>
          <w:pgSz w:w="11900" w:h="16840"/>
          <w:pgMar w:header="0" w:footer="697" w:top="1080" w:bottom="880" w:left="0" w:right="0"/>
        </w:sectPr>
      </w:pPr>
    </w:p>
    <w:p>
      <w:pPr>
        <w:pStyle w:val="Heading3"/>
        <w:spacing w:before="73"/>
        <w:jc w:val="left"/>
      </w:pPr>
      <w:bookmarkStart w:name="_TOC_250019" w:id="175"/>
      <w:bookmarkStart w:name="148" w:id="176"/>
      <w:r>
        <w:rPr>
          <w:b w:val="0"/>
        </w:rPr>
      </w:r>
      <w:r>
        <w:rPr>
          <w:color w:val="1F487C"/>
          <w:spacing w:val="-2"/>
        </w:rPr>
        <w:t>Использованные</w:t>
      </w:r>
      <w:r>
        <w:rPr>
          <w:color w:val="1F487C"/>
          <w:spacing w:val="-3"/>
        </w:rPr>
        <w:t> </w:t>
      </w:r>
      <w:bookmarkEnd w:id="175"/>
      <w:r>
        <w:rPr>
          <w:color w:val="1F487C"/>
          <w:spacing w:val="-2"/>
        </w:rPr>
        <w:t>источники</w:t>
      </w:r>
    </w:p>
    <w:p>
      <w:pPr>
        <w:pStyle w:val="ListParagraph"/>
        <w:numPr>
          <w:ilvl w:val="0"/>
          <w:numId w:val="67"/>
        </w:numPr>
        <w:tabs>
          <w:tab w:pos="2407" w:val="left" w:leader="none"/>
        </w:tabs>
        <w:spacing w:line="240" w:lineRule="auto" w:before="143" w:after="0"/>
        <w:ind w:left="2407" w:right="1273" w:hanging="566"/>
        <w:jc w:val="both"/>
        <w:rPr>
          <w:sz w:val="20"/>
        </w:rPr>
      </w:pPr>
      <w:r>
        <w:rPr>
          <w:sz w:val="20"/>
        </w:rPr>
        <w:t>Abramowicz J.S., Basseal J. Заявление о позиции WFUMB: как безопасно проводить ультразвуковое исследование и обеззараживать ультразвуковое оборудование в условиях COVID-19 // Ультразвуковая и функциональная диагностика. 2020. № 1. С. 12–23. Doi: 10.24835/1607-0771-2020-1-12-23. Опубликовано до печати. Режим доступа: // </w:t>
      </w:r>
      <w:hyperlink r:id="rId26">
        <w:r>
          <w:rPr>
            <w:sz w:val="20"/>
          </w:rPr>
          <w:t>http://www.rasudm.org/files/WFUMB-Position-Statement-COVID.pdf,</w:t>
        </w:r>
      </w:hyperlink>
      <w:r>
        <w:rPr>
          <w:sz w:val="20"/>
        </w:rPr>
        <w:t> свободный. Загл. с экрана. </w:t>
      </w:r>
      <w:r>
        <w:rPr>
          <w:spacing w:val="-2"/>
          <w:sz w:val="20"/>
        </w:rPr>
        <w:t>16.04.2020.</w:t>
      </w:r>
    </w:p>
    <w:p>
      <w:pPr>
        <w:pStyle w:val="ListParagraph"/>
        <w:numPr>
          <w:ilvl w:val="0"/>
          <w:numId w:val="67"/>
        </w:numPr>
        <w:tabs>
          <w:tab w:pos="2407" w:val="left" w:leader="none"/>
        </w:tabs>
        <w:spacing w:line="240" w:lineRule="auto" w:before="0" w:after="0"/>
        <w:ind w:left="2407" w:right="1272" w:hanging="566"/>
        <w:jc w:val="both"/>
        <w:rPr>
          <w:sz w:val="20"/>
        </w:rPr>
      </w:pPr>
      <w:r>
        <w:rPr>
          <w:sz w:val="20"/>
        </w:rPr>
        <w:t>Ai</w:t>
      </w:r>
      <w:r>
        <w:rPr>
          <w:spacing w:val="-5"/>
          <w:sz w:val="20"/>
        </w:rPr>
        <w:t> </w:t>
      </w:r>
      <w:r>
        <w:rPr>
          <w:sz w:val="20"/>
        </w:rPr>
        <w:t>T.</w:t>
      </w:r>
      <w:r>
        <w:rPr>
          <w:spacing w:val="-5"/>
          <w:sz w:val="20"/>
        </w:rPr>
        <w:t> </w:t>
      </w:r>
      <w:r>
        <w:rPr>
          <w:sz w:val="20"/>
        </w:rPr>
        <w:t>et</w:t>
      </w:r>
      <w:r>
        <w:rPr>
          <w:spacing w:val="-5"/>
          <w:sz w:val="20"/>
        </w:rPr>
        <w:t> </w:t>
      </w:r>
      <w:r>
        <w:rPr>
          <w:sz w:val="20"/>
        </w:rPr>
        <w:t>al.</w:t>
      </w:r>
      <w:r>
        <w:rPr>
          <w:spacing w:val="-3"/>
          <w:sz w:val="20"/>
        </w:rPr>
        <w:t> </w:t>
      </w:r>
      <w:r>
        <w:rPr>
          <w:sz w:val="20"/>
        </w:rPr>
        <w:t>Correlation</w:t>
      </w:r>
      <w:r>
        <w:rPr>
          <w:spacing w:val="-5"/>
          <w:sz w:val="20"/>
        </w:rPr>
        <w:t> </w:t>
      </w:r>
      <w:r>
        <w:rPr>
          <w:sz w:val="20"/>
        </w:rPr>
        <w:t>of</w:t>
      </w:r>
      <w:r>
        <w:rPr>
          <w:spacing w:val="-5"/>
          <w:sz w:val="20"/>
        </w:rPr>
        <w:t> </w:t>
      </w:r>
      <w:r>
        <w:rPr>
          <w:sz w:val="20"/>
        </w:rPr>
        <w:t>Chest</w:t>
      </w:r>
      <w:r>
        <w:rPr>
          <w:spacing w:val="-5"/>
          <w:sz w:val="20"/>
        </w:rPr>
        <w:t> </w:t>
      </w:r>
      <w:r>
        <w:rPr>
          <w:sz w:val="20"/>
        </w:rPr>
        <w:t>CT</w:t>
      </w:r>
      <w:r>
        <w:rPr>
          <w:spacing w:val="-3"/>
          <w:sz w:val="20"/>
        </w:rPr>
        <w:t> </w:t>
      </w:r>
      <w:r>
        <w:rPr>
          <w:sz w:val="20"/>
        </w:rPr>
        <w:t>and</w:t>
      </w:r>
      <w:r>
        <w:rPr>
          <w:spacing w:val="-5"/>
          <w:sz w:val="20"/>
        </w:rPr>
        <w:t> </w:t>
      </w:r>
      <w:r>
        <w:rPr>
          <w:sz w:val="20"/>
        </w:rPr>
        <w:t>RT-PCR</w:t>
      </w:r>
      <w:r>
        <w:rPr>
          <w:spacing w:val="-5"/>
          <w:sz w:val="20"/>
        </w:rPr>
        <w:t> </w:t>
      </w:r>
      <w:r>
        <w:rPr>
          <w:sz w:val="20"/>
        </w:rPr>
        <w:t>Testing</w:t>
      </w:r>
      <w:r>
        <w:rPr>
          <w:spacing w:val="-5"/>
          <w:sz w:val="20"/>
        </w:rPr>
        <w:t> </w:t>
      </w:r>
      <w:r>
        <w:rPr>
          <w:sz w:val="20"/>
        </w:rPr>
        <w:t>in</w:t>
      </w:r>
      <w:r>
        <w:rPr>
          <w:spacing w:val="-3"/>
          <w:sz w:val="20"/>
        </w:rPr>
        <w:t> </w:t>
      </w:r>
      <w:r>
        <w:rPr>
          <w:sz w:val="20"/>
        </w:rPr>
        <w:t>Coronavirus</w:t>
      </w:r>
      <w:r>
        <w:rPr>
          <w:spacing w:val="-5"/>
          <w:sz w:val="20"/>
        </w:rPr>
        <w:t> </w:t>
      </w:r>
      <w:r>
        <w:rPr>
          <w:sz w:val="20"/>
        </w:rPr>
        <w:t>Disease</w:t>
      </w:r>
      <w:r>
        <w:rPr>
          <w:spacing w:val="-5"/>
          <w:sz w:val="20"/>
        </w:rPr>
        <w:t> </w:t>
      </w:r>
      <w:r>
        <w:rPr>
          <w:sz w:val="20"/>
        </w:rPr>
        <w:t>2019</w:t>
      </w:r>
      <w:r>
        <w:rPr>
          <w:spacing w:val="-5"/>
          <w:sz w:val="20"/>
        </w:rPr>
        <w:t> </w:t>
      </w:r>
      <w:r>
        <w:rPr>
          <w:sz w:val="20"/>
        </w:rPr>
        <w:t>(COVID-19)</w:t>
      </w:r>
      <w:r>
        <w:rPr>
          <w:spacing w:val="-5"/>
          <w:sz w:val="20"/>
        </w:rPr>
        <w:t> </w:t>
      </w:r>
      <w:r>
        <w:rPr>
          <w:sz w:val="20"/>
        </w:rPr>
        <w:t>in China: A Report of 1014 Cases [published online ahead of print, 2020 Feb 26] // Radiology. 2020. 200642. Doi: 10.1148/radiol.2020200642.</w:t>
      </w:r>
    </w:p>
    <w:p>
      <w:pPr>
        <w:pStyle w:val="ListParagraph"/>
        <w:numPr>
          <w:ilvl w:val="0"/>
          <w:numId w:val="67"/>
        </w:numPr>
        <w:tabs>
          <w:tab w:pos="2407" w:val="left" w:leader="none"/>
        </w:tabs>
        <w:spacing w:line="240" w:lineRule="auto" w:before="0" w:after="0"/>
        <w:ind w:left="2407" w:right="1284" w:hanging="566"/>
        <w:jc w:val="both"/>
        <w:rPr>
          <w:sz w:val="20"/>
        </w:rPr>
      </w:pPr>
      <w:r>
        <w:rPr>
          <w:sz w:val="20"/>
        </w:rPr>
        <w:t>Al-Tawfiq J. A., Memish Z. A. Update on therapeutic options for Middle East Respiratory Syndrome Coronavirus (MERS-CoV) // Expert review of anti-infective therapy. 2017. 15. № 3. С. 269–275.</w:t>
      </w:r>
    </w:p>
    <w:p>
      <w:pPr>
        <w:pStyle w:val="ListParagraph"/>
        <w:numPr>
          <w:ilvl w:val="0"/>
          <w:numId w:val="67"/>
        </w:numPr>
        <w:tabs>
          <w:tab w:pos="2407" w:val="left" w:leader="none"/>
        </w:tabs>
        <w:spacing w:line="240" w:lineRule="auto" w:before="0" w:after="0"/>
        <w:ind w:left="2407" w:right="1273" w:hanging="566"/>
        <w:jc w:val="both"/>
        <w:rPr>
          <w:sz w:val="20"/>
        </w:rPr>
      </w:pPr>
      <w:r>
        <w:rPr>
          <w:sz w:val="20"/>
        </w:rPr>
        <w:t>Baig</w:t>
      </w:r>
      <w:r>
        <w:rPr>
          <w:spacing w:val="-2"/>
          <w:sz w:val="20"/>
        </w:rPr>
        <w:t> </w:t>
      </w:r>
      <w:r>
        <w:rPr>
          <w:sz w:val="20"/>
        </w:rPr>
        <w:t>A.M.</w:t>
      </w:r>
      <w:r>
        <w:rPr>
          <w:spacing w:val="-2"/>
          <w:sz w:val="20"/>
        </w:rPr>
        <w:t> </w:t>
      </w:r>
      <w:r>
        <w:rPr>
          <w:sz w:val="20"/>
        </w:rPr>
        <w:t>et</w:t>
      </w:r>
      <w:r>
        <w:rPr>
          <w:spacing w:val="-3"/>
          <w:sz w:val="20"/>
        </w:rPr>
        <w:t> </w:t>
      </w:r>
      <w:r>
        <w:rPr>
          <w:sz w:val="20"/>
        </w:rPr>
        <w:t>al.Evidence</w:t>
      </w:r>
      <w:r>
        <w:rPr>
          <w:spacing w:val="-3"/>
          <w:sz w:val="20"/>
        </w:rPr>
        <w:t> </w:t>
      </w:r>
      <w:r>
        <w:rPr>
          <w:sz w:val="20"/>
        </w:rPr>
        <w:t>of</w:t>
      </w:r>
      <w:r>
        <w:rPr>
          <w:spacing w:val="-3"/>
          <w:sz w:val="20"/>
        </w:rPr>
        <w:t> </w:t>
      </w:r>
      <w:r>
        <w:rPr>
          <w:sz w:val="20"/>
        </w:rPr>
        <w:t>the</w:t>
      </w:r>
      <w:r>
        <w:rPr>
          <w:spacing w:val="-3"/>
          <w:sz w:val="20"/>
        </w:rPr>
        <w:t> </w:t>
      </w:r>
      <w:r>
        <w:rPr>
          <w:sz w:val="20"/>
        </w:rPr>
        <w:t>COVID-19</w:t>
      </w:r>
      <w:r>
        <w:rPr>
          <w:spacing w:val="-2"/>
          <w:sz w:val="20"/>
        </w:rPr>
        <w:t> </w:t>
      </w:r>
      <w:r>
        <w:rPr>
          <w:sz w:val="20"/>
        </w:rPr>
        <w:t>Virus</w:t>
      </w:r>
      <w:r>
        <w:rPr>
          <w:spacing w:val="-4"/>
          <w:sz w:val="20"/>
        </w:rPr>
        <w:t> </w:t>
      </w:r>
      <w:r>
        <w:rPr>
          <w:sz w:val="20"/>
        </w:rPr>
        <w:t>Targeting</w:t>
      </w:r>
      <w:r>
        <w:rPr>
          <w:spacing w:val="-2"/>
          <w:sz w:val="20"/>
        </w:rPr>
        <w:t> </w:t>
      </w:r>
      <w:r>
        <w:rPr>
          <w:sz w:val="20"/>
        </w:rPr>
        <w:t>the</w:t>
      </w:r>
      <w:r>
        <w:rPr>
          <w:spacing w:val="-3"/>
          <w:sz w:val="20"/>
        </w:rPr>
        <w:t> </w:t>
      </w:r>
      <w:r>
        <w:rPr>
          <w:sz w:val="20"/>
        </w:rPr>
        <w:t>CNS:</w:t>
      </w:r>
      <w:r>
        <w:rPr>
          <w:spacing w:val="-4"/>
          <w:sz w:val="20"/>
        </w:rPr>
        <w:t> </w:t>
      </w:r>
      <w:r>
        <w:rPr>
          <w:sz w:val="20"/>
        </w:rPr>
        <w:t>Tissue</w:t>
      </w:r>
      <w:r>
        <w:rPr>
          <w:spacing w:val="-3"/>
          <w:sz w:val="20"/>
        </w:rPr>
        <w:t> </w:t>
      </w:r>
      <w:r>
        <w:rPr>
          <w:sz w:val="20"/>
        </w:rPr>
        <w:t>Distribution,</w:t>
      </w:r>
      <w:r>
        <w:rPr>
          <w:spacing w:val="-3"/>
          <w:sz w:val="20"/>
        </w:rPr>
        <w:t> </w:t>
      </w:r>
      <w:r>
        <w:rPr>
          <w:sz w:val="20"/>
        </w:rPr>
        <w:t>Host–Virus Interaction, and Proposed Neurotropic Mechanisms. ACS Chem. Neurosci. 2020. </w:t>
      </w:r>
      <w:r>
        <w:rPr>
          <w:spacing w:val="-2"/>
          <w:sz w:val="20"/>
        </w:rPr>
        <w:t>doi:10.1021/acschemneuro.0c00122.</w:t>
      </w:r>
    </w:p>
    <w:p>
      <w:pPr>
        <w:pStyle w:val="ListParagraph"/>
        <w:numPr>
          <w:ilvl w:val="0"/>
          <w:numId w:val="67"/>
        </w:numPr>
        <w:tabs>
          <w:tab w:pos="2407" w:val="left" w:leader="none"/>
        </w:tabs>
        <w:spacing w:line="240" w:lineRule="auto" w:before="0" w:after="0"/>
        <w:ind w:left="2407" w:right="1271" w:hanging="566"/>
        <w:jc w:val="both"/>
        <w:rPr>
          <w:sz w:val="20"/>
        </w:rPr>
      </w:pPr>
      <w:r>
        <w:rPr>
          <w:sz w:val="20"/>
        </w:rPr>
        <w:t>Beigel J.H. et al. ACTT-1 Study Group Members. Remdesivir for the Treatment of Covid-19 - Final Report. N Engl J Med. 2020 Oct 8: NEJMoa2007764. doi: 10.1056/NEJMoa2007764.</w:t>
      </w:r>
    </w:p>
    <w:p>
      <w:pPr>
        <w:pStyle w:val="ListParagraph"/>
        <w:numPr>
          <w:ilvl w:val="0"/>
          <w:numId w:val="67"/>
        </w:numPr>
        <w:tabs>
          <w:tab w:pos="2407" w:val="left" w:leader="none"/>
        </w:tabs>
        <w:spacing w:line="240" w:lineRule="auto" w:before="0" w:after="0"/>
        <w:ind w:left="2407" w:right="1274" w:hanging="566"/>
        <w:jc w:val="both"/>
        <w:rPr>
          <w:sz w:val="20"/>
        </w:rPr>
      </w:pPr>
      <w:r>
        <w:rPr>
          <w:sz w:val="20"/>
        </w:rPr>
        <w:t>Bein T</w:t>
      </w:r>
      <w:r>
        <w:rPr>
          <w:spacing w:val="-1"/>
          <w:sz w:val="20"/>
        </w:rPr>
        <w:t> </w:t>
      </w:r>
      <w:r>
        <w:rPr>
          <w:sz w:val="20"/>
        </w:rPr>
        <w:t>et</w:t>
      </w:r>
      <w:r>
        <w:rPr>
          <w:spacing w:val="-2"/>
          <w:sz w:val="20"/>
        </w:rPr>
        <w:t> </w:t>
      </w:r>
      <w:r>
        <w:rPr>
          <w:sz w:val="20"/>
        </w:rPr>
        <w:t>al.</w:t>
      </w:r>
      <w:r>
        <w:rPr>
          <w:spacing w:val="-1"/>
          <w:sz w:val="20"/>
        </w:rPr>
        <w:t> </w:t>
      </w:r>
      <w:r>
        <w:rPr>
          <w:sz w:val="20"/>
        </w:rPr>
        <w:t>S2e</w:t>
      </w:r>
      <w:r>
        <w:rPr>
          <w:spacing w:val="-1"/>
          <w:sz w:val="20"/>
        </w:rPr>
        <w:t> </w:t>
      </w:r>
      <w:r>
        <w:rPr>
          <w:sz w:val="20"/>
        </w:rPr>
        <w:t>guideline:</w:t>
      </w:r>
      <w:r>
        <w:rPr>
          <w:spacing w:val="-2"/>
          <w:sz w:val="20"/>
        </w:rPr>
        <w:t> </w:t>
      </w:r>
      <w:r>
        <w:rPr>
          <w:sz w:val="20"/>
        </w:rPr>
        <w:t>positioning and early mobilisation in</w:t>
      </w:r>
      <w:r>
        <w:rPr>
          <w:spacing w:val="-1"/>
          <w:sz w:val="20"/>
        </w:rPr>
        <w:t> </w:t>
      </w:r>
      <w:r>
        <w:rPr>
          <w:sz w:val="20"/>
        </w:rPr>
        <w:t>prophylaxis</w:t>
      </w:r>
      <w:r>
        <w:rPr>
          <w:spacing w:val="-1"/>
          <w:sz w:val="20"/>
        </w:rPr>
        <w:t> </w:t>
      </w:r>
      <w:r>
        <w:rPr>
          <w:sz w:val="20"/>
        </w:rPr>
        <w:t>or</w:t>
      </w:r>
      <w:r>
        <w:rPr>
          <w:spacing w:val="-1"/>
          <w:sz w:val="20"/>
        </w:rPr>
        <w:t> </w:t>
      </w:r>
      <w:r>
        <w:rPr>
          <w:sz w:val="20"/>
        </w:rPr>
        <w:t>therapy of</w:t>
      </w:r>
      <w:r>
        <w:rPr>
          <w:spacing w:val="-1"/>
          <w:sz w:val="20"/>
        </w:rPr>
        <w:t> </w:t>
      </w:r>
      <w:r>
        <w:rPr>
          <w:sz w:val="20"/>
        </w:rPr>
        <w:t>pulmonary disorders Revision. Anaesthesist. 2015;64(September):1-26. doi:10.1007/s00101-015-0071-1.</w:t>
      </w:r>
    </w:p>
    <w:p>
      <w:pPr>
        <w:pStyle w:val="ListParagraph"/>
        <w:numPr>
          <w:ilvl w:val="0"/>
          <w:numId w:val="67"/>
        </w:numPr>
        <w:tabs>
          <w:tab w:pos="2407" w:val="left" w:leader="none"/>
        </w:tabs>
        <w:spacing w:line="240" w:lineRule="auto" w:before="0" w:after="0"/>
        <w:ind w:left="2407" w:right="1272" w:hanging="566"/>
        <w:jc w:val="both"/>
        <w:rPr>
          <w:sz w:val="20"/>
        </w:rPr>
      </w:pPr>
      <w:r>
        <w:rPr>
          <w:sz w:val="20"/>
        </w:rPr>
        <w:t>Beloncle F, Mercat A Approaches and Techniques to Avoid Development or Progression of Acute Respiratory Distress Syndrome Review Curr Opin Crit Care 2018 Feb;24(1):10-15. doi: </w:t>
      </w:r>
      <w:r>
        <w:rPr>
          <w:spacing w:val="-2"/>
          <w:sz w:val="20"/>
        </w:rPr>
        <w:t>10.1097/MCC.0000000000000477.</w:t>
      </w:r>
    </w:p>
    <w:p>
      <w:pPr>
        <w:pStyle w:val="ListParagraph"/>
        <w:numPr>
          <w:ilvl w:val="0"/>
          <w:numId w:val="67"/>
        </w:numPr>
        <w:tabs>
          <w:tab w:pos="2407" w:val="left" w:leader="none"/>
        </w:tabs>
        <w:spacing w:line="240" w:lineRule="auto" w:before="0" w:after="0"/>
        <w:ind w:left="2407" w:right="1274" w:hanging="566"/>
        <w:jc w:val="both"/>
        <w:rPr>
          <w:sz w:val="20"/>
        </w:rPr>
      </w:pPr>
      <w:r>
        <w:rPr>
          <w:sz w:val="20"/>
        </w:rPr>
        <w:t>Benefits,</w:t>
      </w:r>
      <w:r>
        <w:rPr>
          <w:spacing w:val="-5"/>
          <w:sz w:val="20"/>
        </w:rPr>
        <w:t> </w:t>
      </w:r>
      <w:r>
        <w:rPr>
          <w:sz w:val="20"/>
        </w:rPr>
        <w:t>Open</w:t>
      </w:r>
      <w:r>
        <w:rPr>
          <w:spacing w:val="-4"/>
          <w:sz w:val="20"/>
        </w:rPr>
        <w:t> </w:t>
      </w:r>
      <w:r>
        <w:rPr>
          <w:sz w:val="20"/>
        </w:rPr>
        <w:t>questions</w:t>
      </w:r>
      <w:r>
        <w:rPr>
          <w:spacing w:val="-6"/>
          <w:sz w:val="20"/>
        </w:rPr>
        <w:t> </w:t>
      </w:r>
      <w:r>
        <w:rPr>
          <w:sz w:val="20"/>
        </w:rPr>
        <w:t>and</w:t>
      </w:r>
      <w:r>
        <w:rPr>
          <w:spacing w:val="-5"/>
          <w:sz w:val="20"/>
        </w:rPr>
        <w:t> </w:t>
      </w:r>
      <w:r>
        <w:rPr>
          <w:sz w:val="20"/>
        </w:rPr>
        <w:t>Challenges</w:t>
      </w:r>
      <w:r>
        <w:rPr>
          <w:spacing w:val="-6"/>
          <w:sz w:val="20"/>
        </w:rPr>
        <w:t> </w:t>
      </w:r>
      <w:r>
        <w:rPr>
          <w:sz w:val="20"/>
        </w:rPr>
        <w:t>of</w:t>
      </w:r>
      <w:r>
        <w:rPr>
          <w:spacing w:val="-5"/>
          <w:sz w:val="20"/>
        </w:rPr>
        <w:t> </w:t>
      </w:r>
      <w:r>
        <w:rPr>
          <w:sz w:val="20"/>
        </w:rPr>
        <w:t>the</w:t>
      </w:r>
      <w:r>
        <w:rPr>
          <w:spacing w:val="-5"/>
          <w:sz w:val="20"/>
        </w:rPr>
        <w:t> </w:t>
      </w:r>
      <w:r>
        <w:rPr>
          <w:sz w:val="20"/>
        </w:rPr>
        <w:t>use</w:t>
      </w:r>
      <w:r>
        <w:rPr>
          <w:spacing w:val="-5"/>
          <w:sz w:val="20"/>
        </w:rPr>
        <w:t> </w:t>
      </w:r>
      <w:r>
        <w:rPr>
          <w:sz w:val="20"/>
        </w:rPr>
        <w:t>of</w:t>
      </w:r>
      <w:r>
        <w:rPr>
          <w:spacing w:val="-5"/>
          <w:sz w:val="20"/>
        </w:rPr>
        <w:t> </w:t>
      </w:r>
      <w:r>
        <w:rPr>
          <w:sz w:val="20"/>
        </w:rPr>
        <w:t>Ultrasound</w:t>
      </w:r>
      <w:r>
        <w:rPr>
          <w:spacing w:val="-5"/>
          <w:sz w:val="20"/>
        </w:rPr>
        <w:t> </w:t>
      </w:r>
      <w:r>
        <w:rPr>
          <w:sz w:val="20"/>
        </w:rPr>
        <w:t>in</w:t>
      </w:r>
      <w:r>
        <w:rPr>
          <w:spacing w:val="-5"/>
          <w:sz w:val="20"/>
        </w:rPr>
        <w:t> </w:t>
      </w:r>
      <w:r>
        <w:rPr>
          <w:sz w:val="20"/>
        </w:rPr>
        <w:t>the</w:t>
      </w:r>
      <w:r>
        <w:rPr>
          <w:spacing w:val="-5"/>
          <w:sz w:val="20"/>
        </w:rPr>
        <w:t> </w:t>
      </w:r>
      <w:r>
        <w:rPr>
          <w:sz w:val="20"/>
        </w:rPr>
        <w:t>COVID-19</w:t>
      </w:r>
      <w:r>
        <w:rPr>
          <w:spacing w:val="-5"/>
          <w:sz w:val="20"/>
        </w:rPr>
        <w:t> </w:t>
      </w:r>
      <w:r>
        <w:rPr>
          <w:sz w:val="20"/>
        </w:rPr>
        <w:t>pandemic</w:t>
      </w:r>
      <w:r>
        <w:rPr>
          <w:spacing w:val="-5"/>
          <w:sz w:val="20"/>
        </w:rPr>
        <w:t> </w:t>
      </w:r>
      <w:r>
        <w:rPr>
          <w:sz w:val="20"/>
        </w:rPr>
        <w:t>era.</w:t>
      </w:r>
      <w:r>
        <w:rPr>
          <w:spacing w:val="-5"/>
          <w:sz w:val="20"/>
        </w:rPr>
        <w:t> </w:t>
      </w:r>
      <w:r>
        <w:rPr>
          <w:sz w:val="20"/>
        </w:rPr>
        <w:t>The views of a panel of worldwide international experts [published online ahead of print, 2020 Apr 15] // Ultraschall Med. 2020;10.1055/a-1149-9872. Doi: 10.1055/a-1149-9872.</w:t>
      </w:r>
    </w:p>
    <w:p>
      <w:pPr>
        <w:pStyle w:val="ListParagraph"/>
        <w:numPr>
          <w:ilvl w:val="0"/>
          <w:numId w:val="67"/>
        </w:numPr>
        <w:tabs>
          <w:tab w:pos="2407" w:val="left" w:leader="none"/>
        </w:tabs>
        <w:spacing w:line="240" w:lineRule="auto" w:before="0" w:after="0"/>
        <w:ind w:left="2407" w:right="1276" w:hanging="566"/>
        <w:jc w:val="both"/>
        <w:rPr>
          <w:sz w:val="20"/>
        </w:rPr>
      </w:pPr>
      <w:r>
        <w:rPr>
          <w:spacing w:val="-2"/>
          <w:sz w:val="20"/>
        </w:rPr>
        <w:t>Bernheim A. et</w:t>
      </w:r>
      <w:r>
        <w:rPr>
          <w:spacing w:val="-3"/>
          <w:sz w:val="20"/>
        </w:rPr>
        <w:t> </w:t>
      </w:r>
      <w:r>
        <w:rPr>
          <w:spacing w:val="-2"/>
          <w:sz w:val="20"/>
        </w:rPr>
        <w:t>al. Chest</w:t>
      </w:r>
      <w:r>
        <w:rPr>
          <w:spacing w:val="-4"/>
          <w:sz w:val="20"/>
        </w:rPr>
        <w:t> </w:t>
      </w:r>
      <w:r>
        <w:rPr>
          <w:spacing w:val="-2"/>
          <w:sz w:val="20"/>
        </w:rPr>
        <w:t>CT</w:t>
      </w:r>
      <w:r>
        <w:rPr>
          <w:spacing w:val="-3"/>
          <w:sz w:val="20"/>
        </w:rPr>
        <w:t> </w:t>
      </w:r>
      <w:r>
        <w:rPr>
          <w:spacing w:val="-2"/>
          <w:sz w:val="20"/>
        </w:rPr>
        <w:t>Findings</w:t>
      </w:r>
      <w:r>
        <w:rPr>
          <w:spacing w:val="-4"/>
          <w:sz w:val="20"/>
        </w:rPr>
        <w:t> </w:t>
      </w:r>
      <w:r>
        <w:rPr>
          <w:spacing w:val="-2"/>
          <w:sz w:val="20"/>
        </w:rPr>
        <w:t>in</w:t>
      </w:r>
      <w:r>
        <w:rPr>
          <w:spacing w:val="-4"/>
          <w:sz w:val="20"/>
        </w:rPr>
        <w:t> </w:t>
      </w:r>
      <w:r>
        <w:rPr>
          <w:spacing w:val="-2"/>
          <w:sz w:val="20"/>
        </w:rPr>
        <w:t>Coronavirus</w:t>
      </w:r>
      <w:r>
        <w:rPr>
          <w:spacing w:val="-4"/>
          <w:sz w:val="20"/>
        </w:rPr>
        <w:t> </w:t>
      </w:r>
      <w:r>
        <w:rPr>
          <w:spacing w:val="-2"/>
          <w:sz w:val="20"/>
        </w:rPr>
        <w:t>Disease-19 (COVID-19):</w:t>
      </w:r>
      <w:r>
        <w:rPr>
          <w:spacing w:val="-3"/>
          <w:sz w:val="20"/>
        </w:rPr>
        <w:t> </w:t>
      </w:r>
      <w:r>
        <w:rPr>
          <w:spacing w:val="-2"/>
          <w:sz w:val="20"/>
        </w:rPr>
        <w:t>Relationship</w:t>
      </w:r>
      <w:r>
        <w:rPr>
          <w:spacing w:val="-4"/>
          <w:sz w:val="20"/>
        </w:rPr>
        <w:t> </w:t>
      </w:r>
      <w:r>
        <w:rPr>
          <w:spacing w:val="-2"/>
          <w:sz w:val="20"/>
        </w:rPr>
        <w:t>to Duration </w:t>
      </w:r>
      <w:r>
        <w:rPr>
          <w:sz w:val="20"/>
        </w:rPr>
        <w:t>of Infection. Radiology. 2020:200463. doi:10.1148/radiol.2020200463.</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Busani S, Dall’Ara L, Tonelli</w:t>
      </w:r>
      <w:r>
        <w:rPr>
          <w:spacing w:val="-1"/>
          <w:sz w:val="20"/>
        </w:rPr>
        <w:t> </w:t>
      </w:r>
      <w:r>
        <w:rPr>
          <w:sz w:val="20"/>
        </w:rPr>
        <w:t>R, et al. Surfactant</w:t>
      </w:r>
      <w:r>
        <w:rPr>
          <w:spacing w:val="-1"/>
          <w:sz w:val="20"/>
        </w:rPr>
        <w:t> </w:t>
      </w:r>
      <w:r>
        <w:rPr>
          <w:sz w:val="20"/>
        </w:rPr>
        <w:t>replacement might</w:t>
      </w:r>
      <w:r>
        <w:rPr>
          <w:spacing w:val="-1"/>
          <w:sz w:val="20"/>
        </w:rPr>
        <w:t> </w:t>
      </w:r>
      <w:r>
        <w:rPr>
          <w:sz w:val="20"/>
        </w:rPr>
        <w:t>help recovery of low-compliance lung in severe COVID-19 pneumonia. Ther Adv Respir Dis 2020, 14: 1–6 DOI: </w:t>
      </w:r>
      <w:r>
        <w:rPr>
          <w:spacing w:val="-2"/>
          <w:sz w:val="20"/>
        </w:rPr>
        <w:t>10.1177/1753466620951043.</w:t>
      </w:r>
    </w:p>
    <w:p>
      <w:pPr>
        <w:pStyle w:val="ListParagraph"/>
        <w:numPr>
          <w:ilvl w:val="0"/>
          <w:numId w:val="67"/>
        </w:numPr>
        <w:tabs>
          <w:tab w:pos="2405" w:val="left" w:leader="none"/>
          <w:tab w:pos="2407" w:val="left" w:leader="none"/>
        </w:tabs>
        <w:spacing w:line="240" w:lineRule="auto" w:before="0" w:after="0"/>
        <w:ind w:left="2407" w:right="1274" w:hanging="566"/>
        <w:jc w:val="both"/>
        <w:rPr>
          <w:sz w:val="20"/>
        </w:rPr>
      </w:pPr>
      <w:r>
        <w:rPr>
          <w:sz w:val="20"/>
        </w:rPr>
        <w:t>Bütikofer S, Lenggenhager D, Wendel Garcia PD, Maggio EM, Haberecker M, Reiner CS, et al. Secondary sclerosing cholangitis as cause of persistent jaundice in patients with severe COVID-19. Liver Int 2021;41:2404–2417</w:t>
      </w:r>
    </w:p>
    <w:p>
      <w:pPr>
        <w:pStyle w:val="ListParagraph"/>
        <w:numPr>
          <w:ilvl w:val="0"/>
          <w:numId w:val="67"/>
        </w:numPr>
        <w:tabs>
          <w:tab w:pos="2405" w:val="left" w:leader="none"/>
        </w:tabs>
        <w:spacing w:line="228" w:lineRule="exact" w:before="0" w:after="0"/>
        <w:ind w:left="2405" w:right="0" w:hanging="564"/>
        <w:jc w:val="both"/>
        <w:rPr>
          <w:sz w:val="20"/>
        </w:rPr>
      </w:pPr>
      <w:r>
        <w:rPr>
          <w:sz w:val="20"/>
        </w:rPr>
        <w:t>CDC.</w:t>
      </w:r>
      <w:r>
        <w:rPr>
          <w:spacing w:val="-10"/>
          <w:sz w:val="20"/>
        </w:rPr>
        <w:t> </w:t>
      </w:r>
      <w:r>
        <w:rPr>
          <w:sz w:val="20"/>
        </w:rPr>
        <w:t>2019</w:t>
      </w:r>
      <w:r>
        <w:rPr>
          <w:spacing w:val="-9"/>
          <w:sz w:val="20"/>
        </w:rPr>
        <w:t> </w:t>
      </w:r>
      <w:r>
        <w:rPr>
          <w:sz w:val="20"/>
        </w:rPr>
        <w:t>Novel</w:t>
      </w:r>
      <w:r>
        <w:rPr>
          <w:spacing w:val="-10"/>
          <w:sz w:val="20"/>
        </w:rPr>
        <w:t> </w:t>
      </w:r>
      <w:r>
        <w:rPr>
          <w:sz w:val="20"/>
        </w:rPr>
        <w:t>Coronavirus.</w:t>
      </w:r>
      <w:r>
        <w:rPr>
          <w:spacing w:val="-10"/>
          <w:sz w:val="20"/>
        </w:rPr>
        <w:t> </w:t>
      </w:r>
      <w:r>
        <w:rPr>
          <w:sz w:val="20"/>
        </w:rPr>
        <w:t>URL:</w:t>
      </w:r>
      <w:r>
        <w:rPr>
          <w:spacing w:val="-10"/>
          <w:sz w:val="20"/>
        </w:rPr>
        <w:t> </w:t>
      </w:r>
      <w:r>
        <w:rPr>
          <w:color w:val="0462C1"/>
          <w:sz w:val="20"/>
          <w:u w:val="single" w:color="0462C1"/>
        </w:rPr>
        <w:t>https://</w:t>
      </w:r>
      <w:hyperlink r:id="rId27">
        <w:r>
          <w:rPr>
            <w:color w:val="0462C1"/>
            <w:sz w:val="20"/>
            <w:u w:val="single" w:color="0462C1"/>
          </w:rPr>
          <w:t>www.cdc.gov/coronavirus/2019-</w:t>
        </w:r>
        <w:r>
          <w:rPr>
            <w:color w:val="0462C1"/>
            <w:spacing w:val="-2"/>
            <w:sz w:val="20"/>
            <w:u w:val="single" w:color="0462C1"/>
          </w:rPr>
          <w:t>ncov/index.html</w:t>
        </w:r>
      </w:hyperlink>
    </w:p>
    <w:p>
      <w:pPr>
        <w:pStyle w:val="ListParagraph"/>
        <w:numPr>
          <w:ilvl w:val="0"/>
          <w:numId w:val="67"/>
        </w:numPr>
        <w:tabs>
          <w:tab w:pos="2407" w:val="left" w:leader="none"/>
        </w:tabs>
        <w:spacing w:line="240" w:lineRule="auto" w:before="0" w:after="0"/>
        <w:ind w:left="2407" w:right="1287" w:hanging="566"/>
        <w:jc w:val="left"/>
        <w:rPr>
          <w:sz w:val="20"/>
        </w:rPr>
      </w:pPr>
      <w:r>
        <w:rPr>
          <w:sz w:val="20"/>
        </w:rPr>
        <w:t>Ceribelli</w:t>
      </w:r>
      <w:r>
        <w:rPr>
          <w:spacing w:val="36"/>
          <w:sz w:val="20"/>
        </w:rPr>
        <w:t> </w:t>
      </w:r>
      <w:r>
        <w:rPr>
          <w:sz w:val="20"/>
        </w:rPr>
        <w:t>A,</w:t>
      </w:r>
      <w:r>
        <w:rPr>
          <w:spacing w:val="37"/>
          <w:sz w:val="20"/>
        </w:rPr>
        <w:t> </w:t>
      </w:r>
      <w:r>
        <w:rPr>
          <w:sz w:val="20"/>
        </w:rPr>
        <w:t>et</w:t>
      </w:r>
      <w:r>
        <w:rPr>
          <w:spacing w:val="39"/>
          <w:sz w:val="20"/>
        </w:rPr>
        <w:t> </w:t>
      </w:r>
      <w:r>
        <w:rPr>
          <w:sz w:val="20"/>
        </w:rPr>
        <w:t>al.</w:t>
      </w:r>
      <w:r>
        <w:rPr>
          <w:spacing w:val="37"/>
          <w:sz w:val="20"/>
        </w:rPr>
        <w:t> </w:t>
      </w:r>
      <w:r>
        <w:rPr>
          <w:sz w:val="20"/>
        </w:rPr>
        <w:t>Recommendations</w:t>
      </w:r>
      <w:r>
        <w:rPr>
          <w:spacing w:val="36"/>
          <w:sz w:val="20"/>
        </w:rPr>
        <w:t> </w:t>
      </w:r>
      <w:r>
        <w:rPr>
          <w:sz w:val="20"/>
        </w:rPr>
        <w:t>for</w:t>
      </w:r>
      <w:r>
        <w:rPr>
          <w:spacing w:val="37"/>
          <w:sz w:val="20"/>
        </w:rPr>
        <w:t> </w:t>
      </w:r>
      <w:r>
        <w:rPr>
          <w:sz w:val="20"/>
        </w:rPr>
        <w:t>coronavirus</w:t>
      </w:r>
      <w:r>
        <w:rPr>
          <w:spacing w:val="36"/>
          <w:sz w:val="20"/>
        </w:rPr>
        <w:t> </w:t>
      </w:r>
      <w:r>
        <w:rPr>
          <w:sz w:val="20"/>
        </w:rPr>
        <w:t>infection</w:t>
      </w:r>
      <w:r>
        <w:rPr>
          <w:spacing w:val="37"/>
          <w:sz w:val="20"/>
        </w:rPr>
        <w:t> </w:t>
      </w:r>
      <w:r>
        <w:rPr>
          <w:sz w:val="20"/>
        </w:rPr>
        <w:t>in</w:t>
      </w:r>
      <w:r>
        <w:rPr>
          <w:spacing w:val="37"/>
          <w:sz w:val="20"/>
        </w:rPr>
        <w:t> </w:t>
      </w:r>
      <w:r>
        <w:rPr>
          <w:sz w:val="20"/>
        </w:rPr>
        <w:t>rheumatic</w:t>
      </w:r>
      <w:r>
        <w:rPr>
          <w:spacing w:val="37"/>
          <w:sz w:val="20"/>
        </w:rPr>
        <w:t> </w:t>
      </w:r>
      <w:r>
        <w:rPr>
          <w:sz w:val="20"/>
        </w:rPr>
        <w:t>diseases</w:t>
      </w:r>
      <w:r>
        <w:rPr>
          <w:spacing w:val="36"/>
          <w:sz w:val="20"/>
        </w:rPr>
        <w:t> </w:t>
      </w:r>
      <w:r>
        <w:rPr>
          <w:sz w:val="20"/>
        </w:rPr>
        <w:t>treated</w:t>
      </w:r>
      <w:r>
        <w:rPr>
          <w:spacing w:val="38"/>
          <w:sz w:val="20"/>
        </w:rPr>
        <w:t> </w:t>
      </w:r>
      <w:r>
        <w:rPr>
          <w:sz w:val="20"/>
        </w:rPr>
        <w:t>with biologic therapy. J Autoimmun. 2020 May; 109:102442. doi: 10.1016/j.jaut.2020.102442.</w:t>
      </w:r>
    </w:p>
    <w:p>
      <w:pPr>
        <w:pStyle w:val="ListParagraph"/>
        <w:numPr>
          <w:ilvl w:val="0"/>
          <w:numId w:val="67"/>
        </w:numPr>
        <w:tabs>
          <w:tab w:pos="2407" w:val="left" w:leader="none"/>
        </w:tabs>
        <w:spacing w:line="240" w:lineRule="auto" w:before="0" w:after="0"/>
        <w:ind w:left="2407" w:right="1272" w:hanging="566"/>
        <w:jc w:val="left"/>
        <w:rPr>
          <w:sz w:val="20"/>
        </w:rPr>
      </w:pPr>
      <w:r>
        <w:rPr>
          <w:sz w:val="20"/>
        </w:rPr>
        <w:t>Chaolin H. et al. Clinical features of patients infected with 2019 novel coronavirus in Wuhan, China? Lancet</w:t>
      </w:r>
      <w:r>
        <w:rPr>
          <w:spacing w:val="40"/>
          <w:sz w:val="20"/>
        </w:rPr>
        <w:t> </w:t>
      </w:r>
      <w:r>
        <w:rPr>
          <w:sz w:val="20"/>
        </w:rPr>
        <w:t>2020;</w:t>
      </w:r>
      <w:r>
        <w:rPr>
          <w:spacing w:val="40"/>
          <w:sz w:val="20"/>
        </w:rPr>
        <w:t> </w:t>
      </w:r>
      <w:r>
        <w:rPr>
          <w:sz w:val="20"/>
        </w:rPr>
        <w:t>395:</w:t>
      </w:r>
      <w:r>
        <w:rPr>
          <w:spacing w:val="40"/>
          <w:sz w:val="20"/>
        </w:rPr>
        <w:t> </w:t>
      </w:r>
      <w:r>
        <w:rPr>
          <w:sz w:val="20"/>
        </w:rPr>
        <w:t>497–506</w:t>
      </w:r>
      <w:r>
        <w:rPr>
          <w:spacing w:val="40"/>
          <w:sz w:val="20"/>
        </w:rPr>
        <w:t> </w:t>
      </w:r>
      <w:r>
        <w:rPr>
          <w:sz w:val="20"/>
        </w:rPr>
        <w:t>Published</w:t>
      </w:r>
      <w:r>
        <w:rPr>
          <w:spacing w:val="40"/>
          <w:sz w:val="20"/>
        </w:rPr>
        <w:t> </w:t>
      </w:r>
      <w:r>
        <w:rPr>
          <w:sz w:val="20"/>
        </w:rPr>
        <w:t>Online</w:t>
      </w:r>
      <w:r>
        <w:rPr>
          <w:spacing w:val="40"/>
          <w:sz w:val="20"/>
        </w:rPr>
        <w:t> </w:t>
      </w:r>
      <w:r>
        <w:rPr>
          <w:sz w:val="20"/>
        </w:rPr>
        <w:t>January</w:t>
      </w:r>
      <w:r>
        <w:rPr>
          <w:spacing w:val="40"/>
          <w:sz w:val="20"/>
        </w:rPr>
        <w:t> </w:t>
      </w:r>
      <w:r>
        <w:rPr>
          <w:sz w:val="20"/>
        </w:rPr>
        <w:t>24,</w:t>
      </w:r>
      <w:r>
        <w:rPr>
          <w:spacing w:val="40"/>
          <w:sz w:val="20"/>
        </w:rPr>
        <w:t> </w:t>
      </w:r>
      <w:r>
        <w:rPr>
          <w:sz w:val="20"/>
        </w:rPr>
        <w:t>2020.</w:t>
      </w:r>
      <w:r>
        <w:rPr>
          <w:spacing w:val="40"/>
          <w:sz w:val="20"/>
        </w:rPr>
        <w:t> </w:t>
      </w:r>
      <w:r>
        <w:rPr>
          <w:sz w:val="20"/>
        </w:rPr>
        <w:t>https://doi.org/10.1016/</w:t>
      </w:r>
      <w:r>
        <w:rPr>
          <w:spacing w:val="40"/>
          <w:sz w:val="20"/>
        </w:rPr>
        <w:t> </w:t>
      </w:r>
      <w:r>
        <w:rPr>
          <w:sz w:val="20"/>
        </w:rPr>
        <w:t>S0140-</w:t>
      </w:r>
    </w:p>
    <w:p>
      <w:pPr>
        <w:spacing w:line="228" w:lineRule="exact" w:before="0"/>
        <w:ind w:left="2407" w:right="0" w:firstLine="0"/>
        <w:jc w:val="left"/>
        <w:rPr>
          <w:sz w:val="20"/>
        </w:rPr>
      </w:pPr>
      <w:r>
        <w:rPr>
          <w:spacing w:val="-2"/>
          <w:sz w:val="20"/>
        </w:rPr>
        <w:t>6736(20)30183-</w:t>
      </w:r>
      <w:r>
        <w:rPr>
          <w:spacing w:val="-10"/>
          <w:sz w:val="20"/>
        </w:rPr>
        <w:t>5</w:t>
      </w:r>
    </w:p>
    <w:p>
      <w:pPr>
        <w:pStyle w:val="ListParagraph"/>
        <w:numPr>
          <w:ilvl w:val="0"/>
          <w:numId w:val="67"/>
        </w:numPr>
        <w:tabs>
          <w:tab w:pos="2405" w:val="left" w:leader="none"/>
          <w:tab w:pos="2407" w:val="left" w:leader="none"/>
        </w:tabs>
        <w:spacing w:line="240" w:lineRule="auto" w:before="0" w:after="0"/>
        <w:ind w:left="2407" w:right="1273" w:hanging="566"/>
        <w:jc w:val="both"/>
        <w:rPr>
          <w:sz w:val="20"/>
        </w:rPr>
      </w:pPr>
      <w:r>
        <w:rPr>
          <w:sz w:val="20"/>
        </w:rPr>
        <w:t>Chaomin</w:t>
      </w:r>
      <w:r>
        <w:rPr>
          <w:spacing w:val="-1"/>
          <w:sz w:val="20"/>
        </w:rPr>
        <w:t> </w:t>
      </w:r>
      <w:r>
        <w:rPr>
          <w:sz w:val="20"/>
        </w:rPr>
        <w:t>Wu et al. Risk Factors Associated With Acute Respiratory Distress Syndrome and Death in Patients With Coronavirus Disease 2019 Pneumonia in Wuhan, China. JAMA Intern Med. Published online March 13, 2020. doi:10.1001/jamainternmed.2020.099.</w:t>
      </w:r>
    </w:p>
    <w:p>
      <w:pPr>
        <w:pStyle w:val="ListParagraph"/>
        <w:numPr>
          <w:ilvl w:val="0"/>
          <w:numId w:val="67"/>
        </w:numPr>
        <w:tabs>
          <w:tab w:pos="2405" w:val="left" w:leader="none"/>
          <w:tab w:pos="2407" w:val="left" w:leader="none"/>
        </w:tabs>
        <w:spacing w:line="240" w:lineRule="auto" w:before="0" w:after="0"/>
        <w:ind w:left="2407" w:right="1269" w:hanging="566"/>
        <w:jc w:val="both"/>
        <w:rPr>
          <w:sz w:val="20"/>
        </w:rPr>
      </w:pPr>
      <w:r>
        <w:rPr>
          <w:sz w:val="20"/>
        </w:rPr>
        <w:t>Chen N. et al. Epidemiological and clinical characteristics of 99 cases of 2019 novel coronavirus pneumonia</w:t>
      </w:r>
      <w:r>
        <w:rPr>
          <w:spacing w:val="-1"/>
          <w:sz w:val="20"/>
        </w:rPr>
        <w:t> </w:t>
      </w:r>
      <w:r>
        <w:rPr>
          <w:sz w:val="20"/>
        </w:rPr>
        <w:t>in</w:t>
      </w:r>
      <w:r>
        <w:rPr>
          <w:spacing w:val="-2"/>
          <w:sz w:val="20"/>
        </w:rPr>
        <w:t> </w:t>
      </w:r>
      <w:r>
        <w:rPr>
          <w:sz w:val="20"/>
        </w:rPr>
        <w:t>Wuhan,</w:t>
      </w:r>
      <w:r>
        <w:rPr>
          <w:spacing w:val="-3"/>
          <w:sz w:val="20"/>
        </w:rPr>
        <w:t> </w:t>
      </w:r>
      <w:r>
        <w:rPr>
          <w:sz w:val="20"/>
        </w:rPr>
        <w:t>China:</w:t>
      </w:r>
      <w:r>
        <w:rPr>
          <w:spacing w:val="-3"/>
          <w:sz w:val="20"/>
        </w:rPr>
        <w:t> </w:t>
      </w:r>
      <w:r>
        <w:rPr>
          <w:sz w:val="20"/>
        </w:rPr>
        <w:t>a</w:t>
      </w:r>
      <w:r>
        <w:rPr>
          <w:spacing w:val="-1"/>
          <w:sz w:val="20"/>
        </w:rPr>
        <w:t> </w:t>
      </w:r>
      <w:r>
        <w:rPr>
          <w:sz w:val="20"/>
        </w:rPr>
        <w:t>descriptive</w:t>
      </w:r>
      <w:r>
        <w:rPr>
          <w:spacing w:val="-1"/>
          <w:sz w:val="20"/>
        </w:rPr>
        <w:t> </w:t>
      </w:r>
      <w:r>
        <w:rPr>
          <w:sz w:val="20"/>
        </w:rPr>
        <w:t>study //</w:t>
      </w:r>
      <w:r>
        <w:rPr>
          <w:spacing w:val="-4"/>
          <w:sz w:val="20"/>
        </w:rPr>
        <w:t> </w:t>
      </w:r>
      <w:r>
        <w:rPr>
          <w:sz w:val="20"/>
        </w:rPr>
        <w:t>Lancet.</w:t>
      </w:r>
      <w:r>
        <w:rPr>
          <w:spacing w:val="-3"/>
          <w:sz w:val="20"/>
        </w:rPr>
        <w:t> </w:t>
      </w:r>
      <w:r>
        <w:rPr>
          <w:sz w:val="20"/>
        </w:rPr>
        <w:t>2020.</w:t>
      </w:r>
      <w:r>
        <w:rPr>
          <w:spacing w:val="-3"/>
          <w:sz w:val="20"/>
        </w:rPr>
        <w:t> </w:t>
      </w:r>
      <w:r>
        <w:rPr>
          <w:sz w:val="20"/>
        </w:rPr>
        <w:t>doi:</w:t>
      </w:r>
      <w:r>
        <w:rPr>
          <w:spacing w:val="-1"/>
          <w:sz w:val="20"/>
        </w:rPr>
        <w:t> </w:t>
      </w:r>
      <w:r>
        <w:rPr>
          <w:sz w:val="20"/>
        </w:rPr>
        <w:t>10.1016/S0140-6736(20)30211- </w:t>
      </w:r>
      <w:r>
        <w:rPr>
          <w:spacing w:val="-6"/>
          <w:sz w:val="20"/>
        </w:rPr>
        <w:t>7.</w:t>
      </w:r>
    </w:p>
    <w:p>
      <w:pPr>
        <w:pStyle w:val="ListParagraph"/>
        <w:numPr>
          <w:ilvl w:val="0"/>
          <w:numId w:val="67"/>
        </w:numPr>
        <w:tabs>
          <w:tab w:pos="2405" w:val="left" w:leader="none"/>
        </w:tabs>
        <w:spacing w:line="229" w:lineRule="exact" w:before="0" w:after="0"/>
        <w:ind w:left="2405" w:right="0" w:hanging="564"/>
        <w:jc w:val="both"/>
        <w:rPr>
          <w:sz w:val="20"/>
        </w:rPr>
      </w:pPr>
      <w:r>
        <w:rPr>
          <w:sz w:val="20"/>
        </w:rPr>
        <w:t>China</w:t>
      </w:r>
      <w:r>
        <w:rPr>
          <w:spacing w:val="-5"/>
          <w:sz w:val="20"/>
        </w:rPr>
        <w:t> </w:t>
      </w:r>
      <w:r>
        <w:rPr>
          <w:sz w:val="20"/>
        </w:rPr>
        <w:t>CDC.</w:t>
      </w:r>
      <w:r>
        <w:rPr>
          <w:spacing w:val="-5"/>
          <w:sz w:val="20"/>
        </w:rPr>
        <w:t> </w:t>
      </w:r>
      <w:r>
        <w:rPr>
          <w:sz w:val="20"/>
        </w:rPr>
        <w:t>Diagnosis</w:t>
      </w:r>
      <w:r>
        <w:rPr>
          <w:spacing w:val="-6"/>
          <w:sz w:val="20"/>
        </w:rPr>
        <w:t> </w:t>
      </w:r>
      <w:r>
        <w:rPr>
          <w:sz w:val="20"/>
        </w:rPr>
        <w:t>and</w:t>
      </w:r>
      <w:r>
        <w:rPr>
          <w:spacing w:val="-4"/>
          <w:sz w:val="20"/>
        </w:rPr>
        <w:t> </w:t>
      </w:r>
      <w:r>
        <w:rPr>
          <w:sz w:val="20"/>
        </w:rPr>
        <w:t>treatment</w:t>
      </w:r>
      <w:r>
        <w:rPr>
          <w:spacing w:val="-5"/>
          <w:sz w:val="20"/>
        </w:rPr>
        <w:t> </w:t>
      </w:r>
      <w:r>
        <w:rPr>
          <w:sz w:val="20"/>
        </w:rPr>
        <w:t>protocol for</w:t>
      </w:r>
      <w:r>
        <w:rPr>
          <w:spacing w:val="-5"/>
          <w:sz w:val="20"/>
        </w:rPr>
        <w:t> </w:t>
      </w:r>
      <w:r>
        <w:rPr>
          <w:sz w:val="20"/>
        </w:rPr>
        <w:t>COVID-19</w:t>
      </w:r>
      <w:r>
        <w:rPr>
          <w:spacing w:val="-4"/>
          <w:sz w:val="20"/>
        </w:rPr>
        <w:t> </w:t>
      </w:r>
      <w:r>
        <w:rPr>
          <w:sz w:val="20"/>
        </w:rPr>
        <w:t>patients</w:t>
      </w:r>
      <w:r>
        <w:rPr>
          <w:spacing w:val="-6"/>
          <w:sz w:val="20"/>
        </w:rPr>
        <w:t> </w:t>
      </w:r>
      <w:r>
        <w:rPr>
          <w:sz w:val="20"/>
        </w:rPr>
        <w:t>(trial</w:t>
      </w:r>
      <w:r>
        <w:rPr>
          <w:spacing w:val="-4"/>
          <w:sz w:val="20"/>
        </w:rPr>
        <w:t> </w:t>
      </w:r>
      <w:r>
        <w:rPr>
          <w:sz w:val="20"/>
        </w:rPr>
        <w:t>version</w:t>
      </w:r>
      <w:r>
        <w:rPr>
          <w:spacing w:val="-7"/>
          <w:sz w:val="20"/>
        </w:rPr>
        <w:t> </w:t>
      </w:r>
      <w:r>
        <w:rPr>
          <w:sz w:val="20"/>
        </w:rPr>
        <w:t>7,</w:t>
      </w:r>
      <w:r>
        <w:rPr>
          <w:spacing w:val="-5"/>
          <w:sz w:val="20"/>
        </w:rPr>
        <w:t> </w:t>
      </w:r>
      <w:r>
        <w:rPr>
          <w:spacing w:val="-2"/>
          <w:sz w:val="20"/>
        </w:rPr>
        <w:t>revised).</w:t>
      </w:r>
    </w:p>
    <w:p>
      <w:pPr>
        <w:pStyle w:val="ListParagraph"/>
        <w:numPr>
          <w:ilvl w:val="0"/>
          <w:numId w:val="67"/>
        </w:numPr>
        <w:tabs>
          <w:tab w:pos="2405" w:val="left" w:leader="none"/>
          <w:tab w:pos="2407" w:val="left" w:leader="none"/>
        </w:tabs>
        <w:spacing w:line="240" w:lineRule="auto" w:before="0" w:after="0"/>
        <w:ind w:left="2407" w:right="1282" w:hanging="566"/>
        <w:jc w:val="both"/>
        <w:rPr>
          <w:sz w:val="20"/>
        </w:rPr>
      </w:pPr>
      <w:r>
        <w:rPr>
          <w:sz w:val="20"/>
        </w:rPr>
        <w:t>Chong</w:t>
      </w:r>
      <w:r>
        <w:rPr>
          <w:spacing w:val="-3"/>
          <w:sz w:val="20"/>
        </w:rPr>
        <w:t> </w:t>
      </w:r>
      <w:r>
        <w:rPr>
          <w:sz w:val="20"/>
        </w:rPr>
        <w:t>Y.P.</w:t>
      </w:r>
      <w:r>
        <w:rPr>
          <w:spacing w:val="-7"/>
          <w:sz w:val="20"/>
        </w:rPr>
        <w:t> </w:t>
      </w:r>
      <w:r>
        <w:rPr>
          <w:sz w:val="20"/>
        </w:rPr>
        <w:t>et</w:t>
      </w:r>
      <w:r>
        <w:rPr>
          <w:spacing w:val="-4"/>
          <w:sz w:val="20"/>
        </w:rPr>
        <w:t> </w:t>
      </w:r>
      <w:r>
        <w:rPr>
          <w:sz w:val="20"/>
        </w:rPr>
        <w:t>al.</w:t>
      </w:r>
      <w:r>
        <w:rPr>
          <w:spacing w:val="-6"/>
          <w:sz w:val="20"/>
        </w:rPr>
        <w:t> </w:t>
      </w:r>
      <w:r>
        <w:rPr>
          <w:sz w:val="20"/>
        </w:rPr>
        <w:t>Antiviral</w:t>
      </w:r>
      <w:r>
        <w:rPr>
          <w:spacing w:val="-7"/>
          <w:sz w:val="20"/>
        </w:rPr>
        <w:t> </w:t>
      </w:r>
      <w:r>
        <w:rPr>
          <w:sz w:val="20"/>
        </w:rPr>
        <w:t>Treatment</w:t>
      </w:r>
      <w:r>
        <w:rPr>
          <w:spacing w:val="-5"/>
          <w:sz w:val="20"/>
        </w:rPr>
        <w:t> </w:t>
      </w:r>
      <w:r>
        <w:rPr>
          <w:sz w:val="20"/>
        </w:rPr>
        <w:t>Guidelines</w:t>
      </w:r>
      <w:r>
        <w:rPr>
          <w:spacing w:val="-7"/>
          <w:sz w:val="20"/>
        </w:rPr>
        <w:t> </w:t>
      </w:r>
      <w:r>
        <w:rPr>
          <w:sz w:val="20"/>
        </w:rPr>
        <w:t>for</w:t>
      </w:r>
      <w:r>
        <w:rPr>
          <w:spacing w:val="-6"/>
          <w:sz w:val="20"/>
        </w:rPr>
        <w:t> </w:t>
      </w:r>
      <w:r>
        <w:rPr>
          <w:sz w:val="20"/>
        </w:rPr>
        <w:t>Middle</w:t>
      </w:r>
      <w:r>
        <w:rPr>
          <w:spacing w:val="-4"/>
          <w:sz w:val="20"/>
        </w:rPr>
        <w:t> </w:t>
      </w:r>
      <w:r>
        <w:rPr>
          <w:sz w:val="20"/>
        </w:rPr>
        <w:t>East</w:t>
      </w:r>
      <w:r>
        <w:rPr>
          <w:spacing w:val="-5"/>
          <w:sz w:val="20"/>
        </w:rPr>
        <w:t> </w:t>
      </w:r>
      <w:r>
        <w:rPr>
          <w:sz w:val="20"/>
        </w:rPr>
        <w:t>Respiratory</w:t>
      </w:r>
      <w:r>
        <w:rPr>
          <w:spacing w:val="-6"/>
          <w:sz w:val="20"/>
        </w:rPr>
        <w:t> </w:t>
      </w:r>
      <w:r>
        <w:rPr>
          <w:sz w:val="20"/>
        </w:rPr>
        <w:t>Syndrome</w:t>
      </w:r>
      <w:r>
        <w:rPr>
          <w:spacing w:val="-6"/>
          <w:sz w:val="20"/>
        </w:rPr>
        <w:t> </w:t>
      </w:r>
      <w:r>
        <w:rPr>
          <w:sz w:val="20"/>
        </w:rPr>
        <w:t>//</w:t>
      </w:r>
      <w:r>
        <w:rPr>
          <w:spacing w:val="-5"/>
          <w:sz w:val="20"/>
        </w:rPr>
        <w:t> </w:t>
      </w:r>
      <w:r>
        <w:rPr>
          <w:sz w:val="20"/>
        </w:rPr>
        <w:t>Infection</w:t>
      </w:r>
      <w:r>
        <w:rPr>
          <w:spacing w:val="-3"/>
          <w:sz w:val="20"/>
        </w:rPr>
        <w:t> </w:t>
      </w:r>
      <w:r>
        <w:rPr>
          <w:sz w:val="20"/>
        </w:rPr>
        <w:t>&amp; chemotherapy. 2015. 47. № 3. pp. 212–222.</w:t>
      </w:r>
    </w:p>
    <w:p>
      <w:pPr>
        <w:pStyle w:val="ListParagraph"/>
        <w:numPr>
          <w:ilvl w:val="0"/>
          <w:numId w:val="67"/>
        </w:numPr>
        <w:tabs>
          <w:tab w:pos="2405" w:val="left" w:leader="none"/>
        </w:tabs>
        <w:spacing w:line="240" w:lineRule="auto" w:before="0" w:after="0"/>
        <w:ind w:left="2405" w:right="0" w:hanging="564"/>
        <w:jc w:val="both"/>
        <w:rPr>
          <w:sz w:val="20"/>
        </w:rPr>
      </w:pPr>
      <w:r>
        <w:rPr>
          <w:sz w:val="20"/>
        </w:rPr>
        <w:t>Chung</w:t>
      </w:r>
      <w:r>
        <w:rPr>
          <w:spacing w:val="-3"/>
          <w:sz w:val="20"/>
        </w:rPr>
        <w:t> </w:t>
      </w:r>
      <w:r>
        <w:rPr>
          <w:sz w:val="20"/>
        </w:rPr>
        <w:t>M.</w:t>
      </w:r>
      <w:r>
        <w:rPr>
          <w:spacing w:val="-3"/>
          <w:sz w:val="20"/>
        </w:rPr>
        <w:t> </w:t>
      </w:r>
      <w:r>
        <w:rPr>
          <w:sz w:val="20"/>
        </w:rPr>
        <w:t>et</w:t>
      </w:r>
      <w:r>
        <w:rPr>
          <w:spacing w:val="-3"/>
          <w:sz w:val="20"/>
        </w:rPr>
        <w:t> </w:t>
      </w:r>
      <w:r>
        <w:rPr>
          <w:sz w:val="20"/>
        </w:rPr>
        <w:t>al.</w:t>
      </w:r>
      <w:r>
        <w:rPr>
          <w:spacing w:val="-3"/>
          <w:sz w:val="20"/>
        </w:rPr>
        <w:t> </w:t>
      </w:r>
      <w:r>
        <w:rPr>
          <w:sz w:val="20"/>
        </w:rPr>
        <w:t>CT</w:t>
      </w:r>
      <w:r>
        <w:rPr>
          <w:spacing w:val="-4"/>
          <w:sz w:val="20"/>
        </w:rPr>
        <w:t> </w:t>
      </w:r>
      <w:r>
        <w:rPr>
          <w:sz w:val="20"/>
        </w:rPr>
        <w:t>Imaging</w:t>
      </w:r>
      <w:r>
        <w:rPr>
          <w:spacing w:val="-2"/>
          <w:sz w:val="20"/>
        </w:rPr>
        <w:t> </w:t>
      </w:r>
      <w:r>
        <w:rPr>
          <w:sz w:val="20"/>
        </w:rPr>
        <w:t>Features</w:t>
      </w:r>
      <w:r>
        <w:rPr>
          <w:spacing w:val="-5"/>
          <w:sz w:val="20"/>
        </w:rPr>
        <w:t> </w:t>
      </w:r>
      <w:r>
        <w:rPr>
          <w:sz w:val="20"/>
        </w:rPr>
        <w:t>of</w:t>
      </w:r>
      <w:r>
        <w:rPr>
          <w:spacing w:val="-3"/>
          <w:sz w:val="20"/>
        </w:rPr>
        <w:t> </w:t>
      </w:r>
      <w:r>
        <w:rPr>
          <w:sz w:val="20"/>
        </w:rPr>
        <w:t>2019</w:t>
      </w:r>
      <w:r>
        <w:rPr>
          <w:spacing w:val="-3"/>
          <w:sz w:val="20"/>
        </w:rPr>
        <w:t> </w:t>
      </w:r>
      <w:r>
        <w:rPr>
          <w:sz w:val="20"/>
        </w:rPr>
        <w:t>Novel</w:t>
      </w:r>
      <w:r>
        <w:rPr>
          <w:spacing w:val="-3"/>
          <w:sz w:val="20"/>
        </w:rPr>
        <w:t> </w:t>
      </w:r>
      <w:r>
        <w:rPr>
          <w:sz w:val="20"/>
        </w:rPr>
        <w:t>Coronavirus</w:t>
      </w:r>
      <w:r>
        <w:rPr>
          <w:spacing w:val="-4"/>
          <w:sz w:val="20"/>
        </w:rPr>
        <w:t> </w:t>
      </w:r>
      <w:r>
        <w:rPr>
          <w:sz w:val="20"/>
        </w:rPr>
        <w:t>(2019-nCoV)</w:t>
      </w:r>
      <w:r>
        <w:rPr>
          <w:spacing w:val="-4"/>
          <w:sz w:val="20"/>
        </w:rPr>
        <w:t> </w:t>
      </w:r>
      <w:r>
        <w:rPr>
          <w:sz w:val="20"/>
        </w:rPr>
        <w:t>//</w:t>
      </w:r>
      <w:r>
        <w:rPr>
          <w:spacing w:val="-4"/>
          <w:sz w:val="20"/>
        </w:rPr>
        <w:t> </w:t>
      </w:r>
      <w:r>
        <w:rPr>
          <w:sz w:val="20"/>
        </w:rPr>
        <w:t>Radiology.</w:t>
      </w:r>
      <w:r>
        <w:rPr>
          <w:spacing w:val="-4"/>
          <w:sz w:val="20"/>
        </w:rPr>
        <w:t> </w:t>
      </w:r>
      <w:r>
        <w:rPr>
          <w:sz w:val="20"/>
        </w:rPr>
        <w:t>2020.</w:t>
      </w:r>
      <w:r>
        <w:rPr>
          <w:spacing w:val="-3"/>
          <w:sz w:val="20"/>
        </w:rPr>
        <w:t> </w:t>
      </w:r>
      <w:r>
        <w:rPr>
          <w:spacing w:val="-5"/>
          <w:sz w:val="20"/>
        </w:rPr>
        <w:t>V.</w:t>
      </w:r>
    </w:p>
    <w:p>
      <w:pPr>
        <w:spacing w:line="229" w:lineRule="exact" w:before="0"/>
        <w:ind w:left="2407" w:right="0" w:firstLine="0"/>
        <w:jc w:val="both"/>
        <w:rPr>
          <w:sz w:val="20"/>
        </w:rPr>
      </w:pPr>
      <w:r>
        <w:rPr>
          <w:sz w:val="20"/>
        </w:rPr>
        <w:t>295.</w:t>
      </w:r>
      <w:r>
        <w:rPr>
          <w:spacing w:val="-3"/>
          <w:sz w:val="20"/>
        </w:rPr>
        <w:t> </w:t>
      </w:r>
      <w:r>
        <w:rPr>
          <w:sz w:val="20"/>
        </w:rPr>
        <w:t>No.</w:t>
      </w:r>
      <w:r>
        <w:rPr>
          <w:spacing w:val="-2"/>
          <w:sz w:val="20"/>
        </w:rPr>
        <w:t> </w:t>
      </w:r>
      <w:r>
        <w:rPr>
          <w:sz w:val="20"/>
        </w:rPr>
        <w:t>1.</w:t>
      </w:r>
      <w:r>
        <w:rPr>
          <w:spacing w:val="-2"/>
          <w:sz w:val="20"/>
        </w:rPr>
        <w:t> </w:t>
      </w:r>
      <w:r>
        <w:rPr>
          <w:sz w:val="20"/>
        </w:rPr>
        <w:t>P.</w:t>
      </w:r>
      <w:r>
        <w:rPr>
          <w:spacing w:val="-4"/>
          <w:sz w:val="20"/>
        </w:rPr>
        <w:t> </w:t>
      </w:r>
      <w:r>
        <w:rPr>
          <w:sz w:val="20"/>
        </w:rPr>
        <w:t>202–207.</w:t>
      </w:r>
      <w:r>
        <w:rPr>
          <w:spacing w:val="-2"/>
          <w:sz w:val="20"/>
        </w:rPr>
        <w:t> </w:t>
      </w:r>
      <w:r>
        <w:rPr>
          <w:sz w:val="20"/>
        </w:rPr>
        <w:t>Doi:</w:t>
      </w:r>
      <w:r>
        <w:rPr>
          <w:spacing w:val="-5"/>
          <w:sz w:val="20"/>
        </w:rPr>
        <w:t> </w:t>
      </w:r>
      <w:r>
        <w:rPr>
          <w:spacing w:val="-2"/>
          <w:sz w:val="20"/>
        </w:rPr>
        <w:t>10.1148/radiol.2020200230.</w:t>
      </w:r>
    </w:p>
    <w:p>
      <w:pPr>
        <w:pStyle w:val="ListParagraph"/>
        <w:numPr>
          <w:ilvl w:val="0"/>
          <w:numId w:val="67"/>
        </w:numPr>
        <w:tabs>
          <w:tab w:pos="2405" w:val="left" w:leader="none"/>
        </w:tabs>
        <w:spacing w:line="229" w:lineRule="exact" w:before="0" w:after="0"/>
        <w:ind w:left="2405" w:right="0" w:hanging="564"/>
        <w:jc w:val="both"/>
        <w:rPr>
          <w:sz w:val="20"/>
        </w:rPr>
      </w:pPr>
      <w:r>
        <w:rPr>
          <w:sz w:val="20"/>
        </w:rPr>
        <w:t>Cinatl</w:t>
      </w:r>
      <w:r>
        <w:rPr>
          <w:spacing w:val="-4"/>
          <w:sz w:val="20"/>
        </w:rPr>
        <w:t> </w:t>
      </w:r>
      <w:r>
        <w:rPr>
          <w:sz w:val="20"/>
        </w:rPr>
        <w:t>J.</w:t>
      </w:r>
      <w:r>
        <w:rPr>
          <w:spacing w:val="-4"/>
          <w:sz w:val="20"/>
        </w:rPr>
        <w:t> </w:t>
      </w:r>
      <w:r>
        <w:rPr>
          <w:sz w:val="20"/>
        </w:rPr>
        <w:t>et</w:t>
      </w:r>
      <w:r>
        <w:rPr>
          <w:spacing w:val="-3"/>
          <w:sz w:val="20"/>
        </w:rPr>
        <w:t> </w:t>
      </w:r>
      <w:r>
        <w:rPr>
          <w:sz w:val="20"/>
        </w:rPr>
        <w:t>al.</w:t>
      </w:r>
      <w:r>
        <w:rPr>
          <w:spacing w:val="-4"/>
          <w:sz w:val="20"/>
        </w:rPr>
        <w:t> </w:t>
      </w:r>
      <w:r>
        <w:rPr>
          <w:sz w:val="20"/>
        </w:rPr>
        <w:t>Treatment</w:t>
      </w:r>
      <w:r>
        <w:rPr>
          <w:spacing w:val="-4"/>
          <w:sz w:val="20"/>
        </w:rPr>
        <w:t> </w:t>
      </w:r>
      <w:r>
        <w:rPr>
          <w:sz w:val="20"/>
        </w:rPr>
        <w:t>of</w:t>
      </w:r>
      <w:r>
        <w:rPr>
          <w:spacing w:val="-4"/>
          <w:sz w:val="20"/>
        </w:rPr>
        <w:t> </w:t>
      </w:r>
      <w:r>
        <w:rPr>
          <w:sz w:val="20"/>
        </w:rPr>
        <w:t>SARS</w:t>
      </w:r>
      <w:r>
        <w:rPr>
          <w:spacing w:val="-4"/>
          <w:sz w:val="20"/>
        </w:rPr>
        <w:t> </w:t>
      </w:r>
      <w:r>
        <w:rPr>
          <w:sz w:val="20"/>
        </w:rPr>
        <w:t>with</w:t>
      </w:r>
      <w:r>
        <w:rPr>
          <w:spacing w:val="-3"/>
          <w:sz w:val="20"/>
        </w:rPr>
        <w:t> </w:t>
      </w:r>
      <w:r>
        <w:rPr>
          <w:sz w:val="20"/>
        </w:rPr>
        <w:t>human</w:t>
      </w:r>
      <w:r>
        <w:rPr>
          <w:spacing w:val="-3"/>
          <w:sz w:val="20"/>
        </w:rPr>
        <w:t> </w:t>
      </w:r>
      <w:r>
        <w:rPr>
          <w:sz w:val="20"/>
        </w:rPr>
        <w:t>interferons</w:t>
      </w:r>
      <w:r>
        <w:rPr>
          <w:spacing w:val="-4"/>
          <w:sz w:val="20"/>
        </w:rPr>
        <w:t> </w:t>
      </w:r>
      <w:r>
        <w:rPr>
          <w:sz w:val="20"/>
        </w:rPr>
        <w:t>//</w:t>
      </w:r>
      <w:r>
        <w:rPr>
          <w:spacing w:val="-5"/>
          <w:sz w:val="20"/>
        </w:rPr>
        <w:t> </w:t>
      </w:r>
      <w:r>
        <w:rPr>
          <w:sz w:val="20"/>
        </w:rPr>
        <w:t>Lancet.</w:t>
      </w:r>
      <w:r>
        <w:rPr>
          <w:spacing w:val="-3"/>
          <w:sz w:val="20"/>
        </w:rPr>
        <w:t> </w:t>
      </w:r>
      <w:r>
        <w:rPr>
          <w:sz w:val="20"/>
        </w:rPr>
        <w:t>2003.</w:t>
      </w:r>
      <w:r>
        <w:rPr>
          <w:spacing w:val="-6"/>
          <w:sz w:val="20"/>
        </w:rPr>
        <w:t> </w:t>
      </w:r>
      <w:r>
        <w:rPr>
          <w:sz w:val="20"/>
        </w:rPr>
        <w:t>362.</w:t>
      </w:r>
      <w:r>
        <w:rPr>
          <w:spacing w:val="-5"/>
          <w:sz w:val="20"/>
        </w:rPr>
        <w:t> </w:t>
      </w:r>
      <w:r>
        <w:rPr>
          <w:sz w:val="20"/>
        </w:rPr>
        <w:t>№</w:t>
      </w:r>
      <w:r>
        <w:rPr>
          <w:spacing w:val="-5"/>
          <w:sz w:val="20"/>
        </w:rPr>
        <w:t> </w:t>
      </w:r>
      <w:r>
        <w:rPr>
          <w:sz w:val="20"/>
        </w:rPr>
        <w:t>9380.</w:t>
      </w:r>
      <w:r>
        <w:rPr>
          <w:spacing w:val="-5"/>
          <w:sz w:val="20"/>
        </w:rPr>
        <w:t> </w:t>
      </w:r>
      <w:r>
        <w:rPr>
          <w:sz w:val="20"/>
        </w:rPr>
        <w:t>pp.</w:t>
      </w:r>
      <w:r>
        <w:rPr>
          <w:spacing w:val="-4"/>
          <w:sz w:val="20"/>
        </w:rPr>
        <w:t> </w:t>
      </w:r>
      <w:r>
        <w:rPr>
          <w:spacing w:val="-2"/>
          <w:sz w:val="20"/>
        </w:rPr>
        <w:t>293–294.</w:t>
      </w:r>
    </w:p>
    <w:p>
      <w:pPr>
        <w:pStyle w:val="ListParagraph"/>
        <w:numPr>
          <w:ilvl w:val="0"/>
          <w:numId w:val="67"/>
        </w:numPr>
        <w:tabs>
          <w:tab w:pos="2405" w:val="left" w:leader="none"/>
          <w:tab w:pos="2407" w:val="left" w:leader="none"/>
        </w:tabs>
        <w:spacing w:line="240" w:lineRule="auto" w:before="0" w:after="0"/>
        <w:ind w:left="2407" w:right="1276" w:hanging="566"/>
        <w:jc w:val="both"/>
        <w:rPr>
          <w:sz w:val="20"/>
        </w:rPr>
      </w:pPr>
      <w:r>
        <w:rPr>
          <w:sz w:val="20"/>
        </w:rPr>
        <w:t>Commonwealth of Australia | Department of Health. Novel coronavirus (2019-nCoV) URL: </w:t>
      </w:r>
      <w:r>
        <w:rPr>
          <w:color w:val="0462C1"/>
          <w:spacing w:val="-2"/>
          <w:sz w:val="20"/>
          <w:u w:val="single" w:color="0462C1"/>
        </w:rPr>
        <w:t>https</w:t>
      </w:r>
      <w:hyperlink r:id="rId28">
        <w:r>
          <w:rPr>
            <w:color w:val="0462C1"/>
            <w:spacing w:val="-2"/>
            <w:sz w:val="20"/>
            <w:u w:val="single" w:color="0462C1"/>
          </w:rPr>
          <w:t>://www.health.gov.au/health-topics/novel-coronavirus-2019-ncov</w:t>
        </w:r>
      </w:hyperlink>
    </w:p>
    <w:p>
      <w:pPr>
        <w:pStyle w:val="ListParagraph"/>
        <w:numPr>
          <w:ilvl w:val="0"/>
          <w:numId w:val="67"/>
        </w:numPr>
        <w:tabs>
          <w:tab w:pos="2405" w:val="left" w:leader="none"/>
          <w:tab w:pos="2407" w:val="left" w:leader="none"/>
        </w:tabs>
        <w:spacing w:line="240" w:lineRule="auto" w:before="0" w:after="0"/>
        <w:ind w:left="2407" w:right="1275" w:hanging="566"/>
        <w:jc w:val="both"/>
        <w:rPr>
          <w:sz w:val="20"/>
        </w:rPr>
      </w:pPr>
      <w:r>
        <w:rPr>
          <w:sz w:val="20"/>
        </w:rPr>
        <w:t>Copin R, et al. In vitro and in vivo preclinical studies predict REGEN-COV protection against emergence of viral escape in humans. bioRxiv 2021.03.10.434834.</w:t>
      </w:r>
    </w:p>
    <w:p>
      <w:pPr>
        <w:pStyle w:val="ListParagraph"/>
        <w:numPr>
          <w:ilvl w:val="0"/>
          <w:numId w:val="67"/>
        </w:numPr>
        <w:tabs>
          <w:tab w:pos="2405" w:val="left" w:leader="none"/>
        </w:tabs>
        <w:spacing w:line="228" w:lineRule="exact" w:before="0" w:after="0"/>
        <w:ind w:left="2405" w:right="0" w:hanging="564"/>
        <w:jc w:val="both"/>
        <w:rPr>
          <w:sz w:val="20"/>
        </w:rPr>
      </w:pPr>
      <w:r>
        <w:rPr>
          <w:sz w:val="20"/>
        </w:rPr>
        <w:t>Corman</w:t>
      </w:r>
      <w:r>
        <w:rPr>
          <w:spacing w:val="54"/>
          <w:sz w:val="20"/>
        </w:rPr>
        <w:t> </w:t>
      </w:r>
      <w:r>
        <w:rPr>
          <w:sz w:val="20"/>
        </w:rPr>
        <w:t>V.</w:t>
      </w:r>
      <w:r>
        <w:rPr>
          <w:spacing w:val="51"/>
          <w:sz w:val="20"/>
        </w:rPr>
        <w:t> </w:t>
      </w:r>
      <w:r>
        <w:rPr>
          <w:sz w:val="20"/>
        </w:rPr>
        <w:t>M.</w:t>
      </w:r>
      <w:r>
        <w:rPr>
          <w:spacing w:val="53"/>
          <w:sz w:val="20"/>
        </w:rPr>
        <w:t> </w:t>
      </w:r>
      <w:r>
        <w:rPr>
          <w:sz w:val="20"/>
        </w:rPr>
        <w:t>et</w:t>
      </w:r>
      <w:r>
        <w:rPr>
          <w:spacing w:val="51"/>
          <w:sz w:val="20"/>
        </w:rPr>
        <w:t> </w:t>
      </w:r>
      <w:r>
        <w:rPr>
          <w:sz w:val="20"/>
        </w:rPr>
        <w:t>al.</w:t>
      </w:r>
      <w:r>
        <w:rPr>
          <w:spacing w:val="51"/>
          <w:sz w:val="20"/>
        </w:rPr>
        <w:t> </w:t>
      </w:r>
      <w:r>
        <w:rPr>
          <w:sz w:val="20"/>
        </w:rPr>
        <w:t>Detection</w:t>
      </w:r>
      <w:r>
        <w:rPr>
          <w:spacing w:val="53"/>
          <w:sz w:val="20"/>
        </w:rPr>
        <w:t> </w:t>
      </w:r>
      <w:r>
        <w:rPr>
          <w:sz w:val="20"/>
        </w:rPr>
        <w:t>of</w:t>
      </w:r>
      <w:r>
        <w:rPr>
          <w:spacing w:val="54"/>
          <w:sz w:val="20"/>
        </w:rPr>
        <w:t> </w:t>
      </w:r>
      <w:r>
        <w:rPr>
          <w:sz w:val="20"/>
        </w:rPr>
        <w:t>2019</w:t>
      </w:r>
      <w:r>
        <w:rPr>
          <w:spacing w:val="51"/>
          <w:sz w:val="20"/>
        </w:rPr>
        <w:t> </w:t>
      </w:r>
      <w:r>
        <w:rPr>
          <w:sz w:val="20"/>
        </w:rPr>
        <w:t>novel</w:t>
      </w:r>
      <w:r>
        <w:rPr>
          <w:spacing w:val="51"/>
          <w:sz w:val="20"/>
        </w:rPr>
        <w:t> </w:t>
      </w:r>
      <w:r>
        <w:rPr>
          <w:sz w:val="20"/>
        </w:rPr>
        <w:t>coronavirus</w:t>
      </w:r>
      <w:r>
        <w:rPr>
          <w:spacing w:val="52"/>
          <w:sz w:val="20"/>
        </w:rPr>
        <w:t> </w:t>
      </w:r>
      <w:r>
        <w:rPr>
          <w:sz w:val="20"/>
        </w:rPr>
        <w:t>(2019-nCoV)</w:t>
      </w:r>
      <w:r>
        <w:rPr>
          <w:spacing w:val="51"/>
          <w:sz w:val="20"/>
        </w:rPr>
        <w:t> </w:t>
      </w:r>
      <w:r>
        <w:rPr>
          <w:sz w:val="20"/>
        </w:rPr>
        <w:t>by</w:t>
      </w:r>
      <w:r>
        <w:rPr>
          <w:spacing w:val="52"/>
          <w:sz w:val="20"/>
        </w:rPr>
        <w:t> </w:t>
      </w:r>
      <w:r>
        <w:rPr>
          <w:sz w:val="20"/>
        </w:rPr>
        <w:t>real-time</w:t>
      </w:r>
      <w:r>
        <w:rPr>
          <w:spacing w:val="53"/>
          <w:sz w:val="20"/>
        </w:rPr>
        <w:t> </w:t>
      </w:r>
      <w:r>
        <w:rPr>
          <w:sz w:val="20"/>
        </w:rPr>
        <w:t>RT-</w:t>
      </w:r>
      <w:r>
        <w:rPr>
          <w:spacing w:val="-5"/>
          <w:sz w:val="20"/>
        </w:rPr>
        <w:t>PCR</w:t>
      </w:r>
    </w:p>
    <w:p>
      <w:pPr>
        <w:spacing w:before="0"/>
        <w:ind w:left="2407" w:right="0" w:firstLine="0"/>
        <w:jc w:val="both"/>
        <w:rPr>
          <w:sz w:val="20"/>
        </w:rPr>
      </w:pPr>
      <w:r>
        <w:rPr>
          <w:sz w:val="20"/>
        </w:rPr>
        <w:t>//Eurosurveillance.</w:t>
      </w:r>
      <w:r>
        <w:rPr>
          <w:spacing w:val="-8"/>
          <w:sz w:val="20"/>
        </w:rPr>
        <w:t> </w:t>
      </w:r>
      <w:r>
        <w:rPr>
          <w:sz w:val="20"/>
        </w:rPr>
        <w:t>2020.</w:t>
      </w:r>
      <w:r>
        <w:rPr>
          <w:spacing w:val="-7"/>
          <w:sz w:val="20"/>
        </w:rPr>
        <w:t> </w:t>
      </w:r>
      <w:r>
        <w:rPr>
          <w:sz w:val="20"/>
        </w:rPr>
        <w:t>(3)25.</w:t>
      </w:r>
      <w:r>
        <w:rPr>
          <w:spacing w:val="-8"/>
          <w:sz w:val="20"/>
        </w:rPr>
        <w:t> </w:t>
      </w:r>
      <w:r>
        <w:rPr>
          <w:sz w:val="20"/>
        </w:rPr>
        <w:t>doi:</w:t>
      </w:r>
      <w:r>
        <w:rPr>
          <w:spacing w:val="-10"/>
          <w:sz w:val="20"/>
        </w:rPr>
        <w:t> </w:t>
      </w:r>
      <w:r>
        <w:rPr>
          <w:sz w:val="20"/>
        </w:rPr>
        <w:t>10.2807/1560-</w:t>
      </w:r>
      <w:r>
        <w:rPr>
          <w:spacing w:val="-2"/>
          <w:sz w:val="20"/>
        </w:rPr>
        <w:t>7917.ES.</w:t>
      </w:r>
    </w:p>
    <w:p>
      <w:pPr>
        <w:pStyle w:val="ListParagraph"/>
        <w:numPr>
          <w:ilvl w:val="0"/>
          <w:numId w:val="67"/>
        </w:numPr>
        <w:tabs>
          <w:tab w:pos="2405" w:val="left" w:leader="none"/>
          <w:tab w:pos="2407" w:val="left" w:leader="none"/>
        </w:tabs>
        <w:spacing w:line="240" w:lineRule="auto" w:before="0" w:after="0"/>
        <w:ind w:left="2407" w:right="1286" w:hanging="566"/>
        <w:jc w:val="both"/>
        <w:rPr>
          <w:sz w:val="20"/>
        </w:rPr>
      </w:pPr>
      <w:r>
        <w:rPr>
          <w:sz w:val="20"/>
        </w:rPr>
        <w:t>COVID-19</w:t>
      </w:r>
      <w:r>
        <w:rPr>
          <w:spacing w:val="-1"/>
          <w:sz w:val="20"/>
        </w:rPr>
        <w:t> </w:t>
      </w:r>
      <w:r>
        <w:rPr>
          <w:sz w:val="20"/>
        </w:rPr>
        <w:t>rapid</w:t>
      </w:r>
      <w:r>
        <w:rPr>
          <w:spacing w:val="-1"/>
          <w:sz w:val="20"/>
        </w:rPr>
        <w:t> </w:t>
      </w:r>
      <w:r>
        <w:rPr>
          <w:sz w:val="20"/>
        </w:rPr>
        <w:t>guideline:</w:t>
      </w:r>
      <w:r>
        <w:rPr>
          <w:spacing w:val="-1"/>
          <w:sz w:val="20"/>
        </w:rPr>
        <w:t> </w:t>
      </w:r>
      <w:r>
        <w:rPr>
          <w:sz w:val="20"/>
        </w:rPr>
        <w:t>rheumatological</w:t>
      </w:r>
      <w:r>
        <w:rPr>
          <w:spacing w:val="-1"/>
          <w:sz w:val="20"/>
        </w:rPr>
        <w:t> </w:t>
      </w:r>
      <w:r>
        <w:rPr>
          <w:sz w:val="20"/>
        </w:rPr>
        <w:t>autoimmune,</w:t>
      </w:r>
      <w:r>
        <w:rPr>
          <w:spacing w:val="-1"/>
          <w:sz w:val="20"/>
        </w:rPr>
        <w:t> </w:t>
      </w:r>
      <w:r>
        <w:rPr>
          <w:sz w:val="20"/>
        </w:rPr>
        <w:t>inflammatory</w:t>
      </w:r>
      <w:r>
        <w:rPr>
          <w:spacing w:val="-1"/>
          <w:sz w:val="20"/>
        </w:rPr>
        <w:t> </w:t>
      </w:r>
      <w:r>
        <w:rPr>
          <w:sz w:val="20"/>
        </w:rPr>
        <w:t>and</w:t>
      </w:r>
      <w:r>
        <w:rPr>
          <w:spacing w:val="-1"/>
          <w:sz w:val="20"/>
        </w:rPr>
        <w:t> </w:t>
      </w:r>
      <w:r>
        <w:rPr>
          <w:sz w:val="20"/>
        </w:rPr>
        <w:t>metabolic</w:t>
      </w:r>
      <w:r>
        <w:rPr>
          <w:spacing w:val="-1"/>
          <w:sz w:val="20"/>
        </w:rPr>
        <w:t> </w:t>
      </w:r>
      <w:r>
        <w:rPr>
          <w:sz w:val="20"/>
        </w:rPr>
        <w:t>bone</w:t>
      </w:r>
      <w:r>
        <w:rPr>
          <w:spacing w:val="-1"/>
          <w:sz w:val="20"/>
        </w:rPr>
        <w:t> </w:t>
      </w:r>
      <w:r>
        <w:rPr>
          <w:sz w:val="20"/>
        </w:rPr>
        <w:t>diseases. NICE guideline, published 3 april 2020. URL: </w:t>
      </w:r>
      <w:hyperlink r:id="rId29">
        <w:r>
          <w:rPr>
            <w:color w:val="0462C1"/>
            <w:sz w:val="20"/>
            <w:u w:val="single" w:color="0462C1"/>
          </w:rPr>
          <w:t>www.nice.org./uk/guidancr/ng167</w:t>
        </w:r>
      </w:hyperlink>
    </w:p>
    <w:p>
      <w:pPr>
        <w:pStyle w:val="ListParagraph"/>
        <w:numPr>
          <w:ilvl w:val="0"/>
          <w:numId w:val="67"/>
        </w:numPr>
        <w:tabs>
          <w:tab w:pos="2405" w:val="left" w:leader="none"/>
          <w:tab w:pos="2407" w:val="left" w:leader="none"/>
        </w:tabs>
        <w:spacing w:line="240" w:lineRule="auto" w:before="0" w:after="0"/>
        <w:ind w:left="2407" w:right="1285" w:hanging="566"/>
        <w:jc w:val="both"/>
        <w:rPr>
          <w:sz w:val="20"/>
        </w:rPr>
      </w:pPr>
      <w:r>
        <w:rPr>
          <w:sz w:val="20"/>
        </w:rPr>
        <w:t>COVID-19: guidance for rheumatologists. British Society of Rheumatology. URL: </w:t>
      </w:r>
      <w:r>
        <w:rPr>
          <w:spacing w:val="-2"/>
          <w:sz w:val="20"/>
        </w:rPr>
        <w:t>htpps</w:t>
      </w:r>
      <w:hyperlink r:id="rId30">
        <w:r>
          <w:rPr>
            <w:spacing w:val="-2"/>
            <w:sz w:val="20"/>
          </w:rPr>
          <w:t>//www.rheumatology.org.uk</w:t>
        </w:r>
      </w:hyperlink>
    </w:p>
    <w:p>
      <w:pPr>
        <w:pStyle w:val="ListParagraph"/>
        <w:spacing w:after="0" w:line="240" w:lineRule="auto"/>
        <w:jc w:val="both"/>
        <w:rPr>
          <w:sz w:val="20"/>
        </w:rPr>
        <w:sectPr>
          <w:pgSz w:w="11900" w:h="16840"/>
          <w:pgMar w:header="0" w:footer="697" w:top="1080" w:bottom="880" w:left="0" w:right="0"/>
        </w:sectPr>
      </w:pPr>
    </w:p>
    <w:p>
      <w:pPr>
        <w:pStyle w:val="ListParagraph"/>
        <w:numPr>
          <w:ilvl w:val="0"/>
          <w:numId w:val="67"/>
        </w:numPr>
        <w:tabs>
          <w:tab w:pos="2405" w:val="left" w:leader="none"/>
          <w:tab w:pos="2407" w:val="left" w:leader="none"/>
        </w:tabs>
        <w:spacing w:line="240" w:lineRule="auto" w:before="74" w:after="0"/>
        <w:ind w:left="2407" w:right="1276" w:hanging="566"/>
        <w:jc w:val="both"/>
        <w:rPr>
          <w:sz w:val="20"/>
        </w:rPr>
      </w:pPr>
      <w:bookmarkStart w:name="149" w:id="177"/>
      <w:bookmarkEnd w:id="177"/>
      <w:r>
        <w:rPr/>
      </w:r>
      <w:r>
        <w:rPr>
          <w:sz w:val="20"/>
        </w:rPr>
        <w:t>COVID-19</w:t>
      </w:r>
      <w:r>
        <w:rPr>
          <w:spacing w:val="-13"/>
          <w:sz w:val="20"/>
        </w:rPr>
        <w:t> </w:t>
      </w:r>
      <w:r>
        <w:rPr>
          <w:sz w:val="20"/>
        </w:rPr>
        <w:t>Treatment</w:t>
      </w:r>
      <w:r>
        <w:rPr>
          <w:spacing w:val="-12"/>
          <w:sz w:val="20"/>
        </w:rPr>
        <w:t> </w:t>
      </w:r>
      <w:r>
        <w:rPr>
          <w:sz w:val="20"/>
        </w:rPr>
        <w:t>Guidelines</w:t>
      </w:r>
      <w:r>
        <w:rPr>
          <w:spacing w:val="-13"/>
          <w:sz w:val="20"/>
        </w:rPr>
        <w:t> </w:t>
      </w:r>
      <w:r>
        <w:rPr>
          <w:sz w:val="20"/>
        </w:rPr>
        <w:t>Panel.</w:t>
      </w:r>
      <w:r>
        <w:rPr>
          <w:spacing w:val="-12"/>
          <w:sz w:val="20"/>
        </w:rPr>
        <w:t> </w:t>
      </w:r>
      <w:r>
        <w:rPr>
          <w:sz w:val="20"/>
        </w:rPr>
        <w:t>Coronavirus</w:t>
      </w:r>
      <w:r>
        <w:rPr>
          <w:spacing w:val="-13"/>
          <w:sz w:val="20"/>
        </w:rPr>
        <w:t> </w:t>
      </w:r>
      <w:r>
        <w:rPr>
          <w:sz w:val="20"/>
        </w:rPr>
        <w:t>Disease</w:t>
      </w:r>
      <w:r>
        <w:rPr>
          <w:spacing w:val="-12"/>
          <w:sz w:val="20"/>
        </w:rPr>
        <w:t> </w:t>
      </w:r>
      <w:r>
        <w:rPr>
          <w:sz w:val="20"/>
        </w:rPr>
        <w:t>2019</w:t>
      </w:r>
      <w:r>
        <w:rPr>
          <w:spacing w:val="-13"/>
          <w:sz w:val="20"/>
        </w:rPr>
        <w:t> </w:t>
      </w:r>
      <w:r>
        <w:rPr>
          <w:sz w:val="20"/>
        </w:rPr>
        <w:t>(COVID-19)</w:t>
      </w:r>
      <w:r>
        <w:rPr>
          <w:spacing w:val="-12"/>
          <w:sz w:val="20"/>
        </w:rPr>
        <w:t> </w:t>
      </w:r>
      <w:r>
        <w:rPr>
          <w:sz w:val="20"/>
        </w:rPr>
        <w:t>Treatment</w:t>
      </w:r>
      <w:r>
        <w:rPr>
          <w:spacing w:val="-13"/>
          <w:sz w:val="20"/>
        </w:rPr>
        <w:t> </w:t>
      </w:r>
      <w:r>
        <w:rPr>
          <w:sz w:val="20"/>
        </w:rPr>
        <w:t>Guidelines. National Institutes of Health. Available at </w:t>
      </w:r>
      <w:r>
        <w:rPr>
          <w:color w:val="0462C1"/>
          <w:sz w:val="20"/>
          <w:u w:val="single" w:color="0462C1"/>
        </w:rPr>
        <w:t>https</w:t>
      </w:r>
      <w:hyperlink r:id="rId31">
        <w:r>
          <w:rPr>
            <w:color w:val="0462C1"/>
            <w:sz w:val="20"/>
            <w:u w:val="single" w:color="0462C1"/>
          </w:rPr>
          <w:t>://www.covid19treatmentguidelines.nih.gov/</w:t>
        </w:r>
      </w:hyperlink>
    </w:p>
    <w:p>
      <w:pPr>
        <w:pStyle w:val="ListParagraph"/>
        <w:numPr>
          <w:ilvl w:val="0"/>
          <w:numId w:val="67"/>
        </w:numPr>
        <w:tabs>
          <w:tab w:pos="2405" w:val="left" w:leader="none"/>
          <w:tab w:pos="2407" w:val="left" w:leader="none"/>
        </w:tabs>
        <w:spacing w:line="256" w:lineRule="auto" w:before="1" w:after="0"/>
        <w:ind w:left="2407" w:right="1282" w:hanging="566"/>
        <w:jc w:val="both"/>
        <w:rPr>
          <w:sz w:val="20"/>
        </w:rPr>
      </w:pPr>
      <w:r>
        <w:rPr>
          <w:sz w:val="20"/>
        </w:rPr>
        <w:t>David</w:t>
      </w:r>
      <w:r>
        <w:rPr>
          <w:spacing w:val="-1"/>
          <w:sz w:val="20"/>
        </w:rPr>
        <w:t> </w:t>
      </w:r>
      <w:r>
        <w:rPr>
          <w:sz w:val="20"/>
        </w:rPr>
        <w:t>C</w:t>
      </w:r>
      <w:r>
        <w:rPr>
          <w:spacing w:val="-3"/>
          <w:sz w:val="20"/>
        </w:rPr>
        <w:t> </w:t>
      </w:r>
      <w:r>
        <w:rPr>
          <w:sz w:val="20"/>
        </w:rPr>
        <w:t>et</w:t>
      </w:r>
      <w:r>
        <w:rPr>
          <w:spacing w:val="-2"/>
          <w:sz w:val="20"/>
        </w:rPr>
        <w:t> </w:t>
      </w:r>
      <w:r>
        <w:rPr>
          <w:sz w:val="20"/>
        </w:rPr>
        <w:t>al.</w:t>
      </w:r>
      <w:r>
        <w:rPr>
          <w:spacing w:val="-1"/>
          <w:sz w:val="20"/>
        </w:rPr>
        <w:t> </w:t>
      </w:r>
      <w:r>
        <w:rPr>
          <w:sz w:val="20"/>
        </w:rPr>
        <w:t>Postacute</w:t>
      </w:r>
      <w:r>
        <w:rPr>
          <w:spacing w:val="-2"/>
          <w:sz w:val="20"/>
        </w:rPr>
        <w:t> </w:t>
      </w:r>
      <w:r>
        <w:rPr>
          <w:sz w:val="20"/>
        </w:rPr>
        <w:t>Care</w:t>
      </w:r>
      <w:r>
        <w:rPr>
          <w:spacing w:val="-2"/>
          <w:sz w:val="20"/>
        </w:rPr>
        <w:t> </w:t>
      </w:r>
      <w:r>
        <w:rPr>
          <w:sz w:val="20"/>
        </w:rPr>
        <w:t>Preparedness</w:t>
      </w:r>
      <w:r>
        <w:rPr>
          <w:spacing w:val="-3"/>
          <w:sz w:val="20"/>
        </w:rPr>
        <w:t> </w:t>
      </w:r>
      <w:r>
        <w:rPr>
          <w:sz w:val="20"/>
        </w:rPr>
        <w:t>for</w:t>
      </w:r>
      <w:r>
        <w:rPr>
          <w:spacing w:val="-1"/>
          <w:sz w:val="20"/>
        </w:rPr>
        <w:t> </w:t>
      </w:r>
      <w:r>
        <w:rPr>
          <w:sz w:val="20"/>
        </w:rPr>
        <w:t>COVID-19Thinking</w:t>
      </w:r>
      <w:r>
        <w:rPr>
          <w:spacing w:val="-1"/>
          <w:sz w:val="20"/>
        </w:rPr>
        <w:t> </w:t>
      </w:r>
      <w:r>
        <w:rPr>
          <w:sz w:val="20"/>
        </w:rPr>
        <w:t>Ahead</w:t>
      </w:r>
      <w:r>
        <w:rPr>
          <w:spacing w:val="-1"/>
          <w:sz w:val="20"/>
        </w:rPr>
        <w:t> </w:t>
      </w:r>
      <w:r>
        <w:rPr>
          <w:sz w:val="20"/>
        </w:rPr>
        <w:t>Author</w:t>
      </w:r>
      <w:r>
        <w:rPr>
          <w:spacing w:val="-1"/>
          <w:sz w:val="20"/>
        </w:rPr>
        <w:t> </w:t>
      </w:r>
      <w:r>
        <w:rPr>
          <w:sz w:val="20"/>
        </w:rPr>
        <w:t>Affiliations</w:t>
      </w:r>
      <w:r>
        <w:rPr>
          <w:spacing w:val="-3"/>
          <w:sz w:val="20"/>
        </w:rPr>
        <w:t> </w:t>
      </w:r>
      <w:r>
        <w:rPr>
          <w:sz w:val="20"/>
        </w:rPr>
        <w:t>Article Information JAMA. Published online March 25, 2020. doi:10.1001/jama.2020.4686.</w:t>
      </w:r>
    </w:p>
    <w:p>
      <w:pPr>
        <w:pStyle w:val="ListParagraph"/>
        <w:numPr>
          <w:ilvl w:val="0"/>
          <w:numId w:val="67"/>
        </w:numPr>
        <w:tabs>
          <w:tab w:pos="2405" w:val="left" w:leader="none"/>
          <w:tab w:pos="2407" w:val="left" w:leader="none"/>
        </w:tabs>
        <w:spacing w:line="259" w:lineRule="auto" w:before="2" w:after="0"/>
        <w:ind w:left="2407" w:right="1285" w:hanging="566"/>
        <w:jc w:val="both"/>
        <w:rPr>
          <w:sz w:val="20"/>
        </w:rPr>
      </w:pPr>
      <w:r>
        <w:rPr>
          <w:sz w:val="20"/>
        </w:rPr>
        <w:t>Dayer M.R. et al. Lopinavir; A Potent Drug against Coronavirus Infection: Insight from Molecular Docking Study // Arch Clin Infect Dis. 2017 ; 12(4):e13823. doi: 10.5812/archcid.13823.</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Eggmann S et al. Physiological effects and safety of an early, combined endurance and resistance training in mechanically ventilated, critically ill patients. Physiotherapy. 2015;101:e344-e345. </w:t>
      </w:r>
      <w:r>
        <w:rPr>
          <w:spacing w:val="-2"/>
          <w:sz w:val="20"/>
        </w:rPr>
        <w:t>doi:10.1016/j.physio.2015.03.553</w:t>
      </w:r>
    </w:p>
    <w:p>
      <w:pPr>
        <w:pStyle w:val="ListParagraph"/>
        <w:numPr>
          <w:ilvl w:val="0"/>
          <w:numId w:val="67"/>
        </w:numPr>
        <w:tabs>
          <w:tab w:pos="2405" w:val="left" w:leader="none"/>
          <w:tab w:pos="2407" w:val="left" w:leader="none"/>
        </w:tabs>
        <w:spacing w:line="237" w:lineRule="auto" w:before="2" w:after="0"/>
        <w:ind w:left="2407" w:right="1275" w:hanging="566"/>
        <w:jc w:val="both"/>
        <w:rPr>
          <w:sz w:val="20"/>
        </w:rPr>
      </w:pPr>
      <w:r>
        <w:rPr>
          <w:sz w:val="20"/>
        </w:rPr>
        <w:t>ESMO guidelines Cancer patients’ management during the COVID-19 pandemic. URL: </w:t>
      </w:r>
      <w:r>
        <w:rPr>
          <w:color w:val="0462C1"/>
          <w:spacing w:val="-2"/>
          <w:sz w:val="20"/>
          <w:u w:val="single" w:color="0462C1"/>
        </w:rPr>
        <w:t>https</w:t>
      </w:r>
      <w:hyperlink r:id="rId32">
        <w:r>
          <w:rPr>
            <w:color w:val="0462C1"/>
            <w:spacing w:val="-2"/>
            <w:sz w:val="20"/>
            <w:u w:val="single" w:color="0462C1"/>
          </w:rPr>
          <w:t>://www.esmo.org/guidelines/cancer-patient-management-during-the-covid-19-pandemic</w:t>
        </w:r>
      </w:hyperlink>
    </w:p>
    <w:p>
      <w:pPr>
        <w:pStyle w:val="ListParagraph"/>
        <w:numPr>
          <w:ilvl w:val="0"/>
          <w:numId w:val="67"/>
        </w:numPr>
        <w:tabs>
          <w:tab w:pos="2405" w:val="left" w:leader="none"/>
          <w:tab w:pos="2407" w:val="left" w:leader="none"/>
          <w:tab w:pos="3885" w:val="left" w:leader="none"/>
          <w:tab w:pos="5655" w:val="left" w:leader="none"/>
          <w:tab w:pos="6856" w:val="left" w:leader="none"/>
          <w:tab w:pos="8509" w:val="left" w:leader="none"/>
          <w:tab w:pos="10170" w:val="left" w:leader="none"/>
        </w:tabs>
        <w:spacing w:line="240" w:lineRule="auto" w:before="0" w:after="0"/>
        <w:ind w:left="2407" w:right="1274" w:hanging="566"/>
        <w:jc w:val="both"/>
        <w:rPr>
          <w:sz w:val="20"/>
        </w:rPr>
      </w:pPr>
      <w:r>
        <w:rPr>
          <w:spacing w:val="-2"/>
          <w:sz w:val="20"/>
        </w:rPr>
        <w:t>European</w:t>
      </w:r>
      <w:r>
        <w:rPr>
          <w:sz w:val="20"/>
        </w:rPr>
        <w:tab/>
      </w:r>
      <w:r>
        <w:rPr>
          <w:spacing w:val="-2"/>
          <w:sz w:val="20"/>
        </w:rPr>
        <w:t>Commission.</w:t>
      </w:r>
      <w:r>
        <w:rPr>
          <w:sz w:val="20"/>
        </w:rPr>
        <w:tab/>
      </w:r>
      <w:r>
        <w:rPr>
          <w:spacing w:val="-4"/>
          <w:sz w:val="20"/>
        </w:rPr>
        <w:t>Novel</w:t>
      </w:r>
      <w:r>
        <w:rPr>
          <w:sz w:val="20"/>
        </w:rPr>
        <w:tab/>
      </w:r>
      <w:r>
        <w:rPr>
          <w:spacing w:val="-2"/>
          <w:sz w:val="20"/>
        </w:rPr>
        <w:t>coronavirus</w:t>
      </w:r>
      <w:r>
        <w:rPr>
          <w:sz w:val="20"/>
        </w:rPr>
        <w:tab/>
      </w:r>
      <w:r>
        <w:rPr>
          <w:spacing w:val="-2"/>
          <w:sz w:val="20"/>
        </w:rPr>
        <w:t>2019-nCoV</w:t>
      </w:r>
      <w:r>
        <w:rPr>
          <w:sz w:val="20"/>
        </w:rPr>
        <w:tab/>
      </w:r>
      <w:r>
        <w:rPr>
          <w:spacing w:val="-4"/>
          <w:sz w:val="20"/>
        </w:rPr>
        <w:t>URL: </w:t>
      </w:r>
      <w:r>
        <w:rPr>
          <w:color w:val="0462C1"/>
          <w:spacing w:val="-2"/>
          <w:sz w:val="20"/>
          <w:u w:val="single" w:color="0462C1"/>
        </w:rPr>
        <w:t>https://ec.europa.eu/health/coronavirus_en</w:t>
      </w:r>
    </w:p>
    <w:p>
      <w:pPr>
        <w:pStyle w:val="ListParagraph"/>
        <w:numPr>
          <w:ilvl w:val="0"/>
          <w:numId w:val="67"/>
        </w:numPr>
        <w:tabs>
          <w:tab w:pos="2405" w:val="left" w:leader="none"/>
          <w:tab w:pos="2407" w:val="left" w:leader="none"/>
        </w:tabs>
        <w:spacing w:line="240" w:lineRule="auto" w:before="1" w:after="0"/>
        <w:ind w:left="2407" w:right="1281" w:hanging="566"/>
        <w:jc w:val="both"/>
        <w:rPr>
          <w:sz w:val="20"/>
        </w:rPr>
      </w:pPr>
      <w:r>
        <w:rPr>
          <w:sz w:val="20"/>
        </w:rPr>
        <w:t>Fact</w:t>
      </w:r>
      <w:r>
        <w:rPr>
          <w:spacing w:val="-9"/>
          <w:sz w:val="20"/>
        </w:rPr>
        <w:t> </w:t>
      </w:r>
      <w:r>
        <w:rPr>
          <w:sz w:val="20"/>
        </w:rPr>
        <w:t>sheet</w:t>
      </w:r>
      <w:r>
        <w:rPr>
          <w:spacing w:val="-9"/>
          <w:sz w:val="20"/>
        </w:rPr>
        <w:t> </w:t>
      </w:r>
      <w:r>
        <w:rPr>
          <w:sz w:val="20"/>
        </w:rPr>
        <w:t>for</w:t>
      </w:r>
      <w:r>
        <w:rPr>
          <w:spacing w:val="-11"/>
          <w:sz w:val="20"/>
        </w:rPr>
        <w:t> </w:t>
      </w:r>
      <w:r>
        <w:rPr>
          <w:sz w:val="20"/>
        </w:rPr>
        <w:t>health</w:t>
      </w:r>
      <w:r>
        <w:rPr>
          <w:spacing w:val="-11"/>
          <w:sz w:val="20"/>
        </w:rPr>
        <w:t> </w:t>
      </w:r>
      <w:r>
        <w:rPr>
          <w:sz w:val="20"/>
        </w:rPr>
        <w:t>care</w:t>
      </w:r>
      <w:r>
        <w:rPr>
          <w:spacing w:val="-11"/>
          <w:sz w:val="20"/>
        </w:rPr>
        <w:t> </w:t>
      </w:r>
      <w:r>
        <w:rPr>
          <w:sz w:val="20"/>
        </w:rPr>
        <w:t>providers</w:t>
      </w:r>
      <w:r>
        <w:rPr>
          <w:spacing w:val="-10"/>
          <w:sz w:val="20"/>
        </w:rPr>
        <w:t> </w:t>
      </w:r>
      <w:r>
        <w:rPr>
          <w:sz w:val="20"/>
        </w:rPr>
        <w:t>emergency</w:t>
      </w:r>
      <w:r>
        <w:rPr>
          <w:spacing w:val="-10"/>
          <w:sz w:val="20"/>
        </w:rPr>
        <w:t> </w:t>
      </w:r>
      <w:r>
        <w:rPr>
          <w:sz w:val="20"/>
        </w:rPr>
        <w:t>use</w:t>
      </w:r>
      <w:r>
        <w:rPr>
          <w:spacing w:val="-9"/>
          <w:sz w:val="20"/>
        </w:rPr>
        <w:t> </w:t>
      </w:r>
      <w:r>
        <w:rPr>
          <w:sz w:val="20"/>
        </w:rPr>
        <w:t>authorization</w:t>
      </w:r>
      <w:r>
        <w:rPr>
          <w:spacing w:val="-8"/>
          <w:sz w:val="20"/>
        </w:rPr>
        <w:t> </w:t>
      </w:r>
      <w:r>
        <w:rPr>
          <w:sz w:val="20"/>
        </w:rPr>
        <w:t>(EUA)</w:t>
      </w:r>
      <w:r>
        <w:rPr>
          <w:spacing w:val="-10"/>
          <w:sz w:val="20"/>
        </w:rPr>
        <w:t> </w:t>
      </w:r>
      <w:r>
        <w:rPr>
          <w:sz w:val="20"/>
        </w:rPr>
        <w:t>of</w:t>
      </w:r>
      <w:r>
        <w:rPr>
          <w:spacing w:val="-11"/>
          <w:sz w:val="20"/>
        </w:rPr>
        <w:t> </w:t>
      </w:r>
      <w:r>
        <w:rPr>
          <w:sz w:val="20"/>
        </w:rPr>
        <w:t>casirivimab</w:t>
      </w:r>
      <w:r>
        <w:rPr>
          <w:spacing w:val="-10"/>
          <w:sz w:val="20"/>
        </w:rPr>
        <w:t> </w:t>
      </w:r>
      <w:r>
        <w:rPr>
          <w:sz w:val="20"/>
        </w:rPr>
        <w:t>and</w:t>
      </w:r>
      <w:r>
        <w:rPr>
          <w:spacing w:val="-12"/>
          <w:sz w:val="20"/>
        </w:rPr>
        <w:t> </w:t>
      </w:r>
      <w:r>
        <w:rPr>
          <w:sz w:val="20"/>
        </w:rPr>
        <w:t>imdevimab. URL: </w:t>
      </w:r>
      <w:r>
        <w:rPr>
          <w:color w:val="0462C1"/>
          <w:sz w:val="20"/>
          <w:u w:val="single" w:color="0462C1"/>
        </w:rPr>
        <w:t>https</w:t>
      </w:r>
      <w:hyperlink r:id="rId33">
        <w:r>
          <w:rPr>
            <w:color w:val="0462C1"/>
            <w:sz w:val="20"/>
            <w:u w:val="single" w:color="0462C1"/>
          </w:rPr>
          <w:t>://www.fda.gov/media/143892/download</w:t>
        </w:r>
      </w:hyperlink>
    </w:p>
    <w:p>
      <w:pPr>
        <w:pStyle w:val="ListParagraph"/>
        <w:numPr>
          <w:ilvl w:val="0"/>
          <w:numId w:val="67"/>
        </w:numPr>
        <w:tabs>
          <w:tab w:pos="2405" w:val="left" w:leader="none"/>
          <w:tab w:pos="2407" w:val="left" w:leader="none"/>
        </w:tabs>
        <w:spacing w:line="240" w:lineRule="auto" w:before="0" w:after="0"/>
        <w:ind w:left="2407" w:right="1284" w:hanging="566"/>
        <w:jc w:val="both"/>
        <w:rPr>
          <w:sz w:val="20"/>
        </w:rPr>
      </w:pPr>
      <w:r>
        <w:rPr>
          <w:sz w:val="20"/>
        </w:rPr>
        <w:t>Fan</w:t>
      </w:r>
      <w:r>
        <w:rPr>
          <w:spacing w:val="-2"/>
          <w:sz w:val="20"/>
        </w:rPr>
        <w:t> </w:t>
      </w:r>
      <w:r>
        <w:rPr>
          <w:sz w:val="20"/>
        </w:rPr>
        <w:t>HH.</w:t>
      </w:r>
      <w:r>
        <w:rPr>
          <w:spacing w:val="-3"/>
          <w:sz w:val="20"/>
        </w:rPr>
        <w:t> </w:t>
      </w:r>
      <w:r>
        <w:rPr>
          <w:sz w:val="20"/>
        </w:rPr>
        <w:t>et</w:t>
      </w:r>
      <w:r>
        <w:rPr>
          <w:spacing w:val="-3"/>
          <w:sz w:val="20"/>
        </w:rPr>
        <w:t> </w:t>
      </w:r>
      <w:r>
        <w:rPr>
          <w:sz w:val="20"/>
        </w:rPr>
        <w:t>al.</w:t>
      </w:r>
      <w:r>
        <w:rPr>
          <w:spacing w:val="-3"/>
          <w:sz w:val="20"/>
        </w:rPr>
        <w:t> </w:t>
      </w:r>
      <w:r>
        <w:rPr>
          <w:sz w:val="20"/>
        </w:rPr>
        <w:t>Repurposing</w:t>
      </w:r>
      <w:r>
        <w:rPr>
          <w:spacing w:val="-5"/>
          <w:sz w:val="20"/>
        </w:rPr>
        <w:t> </w:t>
      </w:r>
      <w:r>
        <w:rPr>
          <w:sz w:val="20"/>
        </w:rPr>
        <w:t>of</w:t>
      </w:r>
      <w:r>
        <w:rPr>
          <w:spacing w:val="-5"/>
          <w:sz w:val="20"/>
        </w:rPr>
        <w:t> </w:t>
      </w:r>
      <w:r>
        <w:rPr>
          <w:sz w:val="20"/>
        </w:rPr>
        <w:t>clinically</w:t>
      </w:r>
      <w:r>
        <w:rPr>
          <w:spacing w:val="-2"/>
          <w:sz w:val="20"/>
        </w:rPr>
        <w:t> </w:t>
      </w:r>
      <w:r>
        <w:rPr>
          <w:sz w:val="20"/>
        </w:rPr>
        <w:t>approved</w:t>
      </w:r>
      <w:r>
        <w:rPr>
          <w:spacing w:val="-4"/>
          <w:sz w:val="20"/>
        </w:rPr>
        <w:t> </w:t>
      </w:r>
      <w:r>
        <w:rPr>
          <w:sz w:val="20"/>
        </w:rPr>
        <w:t>drugs</w:t>
      </w:r>
      <w:r>
        <w:rPr>
          <w:spacing w:val="-4"/>
          <w:sz w:val="20"/>
        </w:rPr>
        <w:t> </w:t>
      </w:r>
      <w:r>
        <w:rPr>
          <w:sz w:val="20"/>
        </w:rPr>
        <w:t>for</w:t>
      </w:r>
      <w:r>
        <w:rPr>
          <w:spacing w:val="-5"/>
          <w:sz w:val="20"/>
        </w:rPr>
        <w:t> </w:t>
      </w:r>
      <w:r>
        <w:rPr>
          <w:sz w:val="20"/>
        </w:rPr>
        <w:t>treatment</w:t>
      </w:r>
      <w:r>
        <w:rPr>
          <w:spacing w:val="-4"/>
          <w:sz w:val="20"/>
        </w:rPr>
        <w:t> </w:t>
      </w:r>
      <w:r>
        <w:rPr>
          <w:sz w:val="20"/>
        </w:rPr>
        <w:t>of</w:t>
      </w:r>
      <w:r>
        <w:rPr>
          <w:spacing w:val="-3"/>
          <w:sz w:val="20"/>
        </w:rPr>
        <w:t> </w:t>
      </w:r>
      <w:r>
        <w:rPr>
          <w:sz w:val="20"/>
        </w:rPr>
        <w:t>coronavirus</w:t>
      </w:r>
      <w:r>
        <w:rPr>
          <w:spacing w:val="-4"/>
          <w:sz w:val="20"/>
        </w:rPr>
        <w:t> </w:t>
      </w:r>
      <w:r>
        <w:rPr>
          <w:sz w:val="20"/>
        </w:rPr>
        <w:t>disease</w:t>
      </w:r>
      <w:r>
        <w:rPr>
          <w:spacing w:val="-3"/>
          <w:sz w:val="20"/>
        </w:rPr>
        <w:t> </w:t>
      </w:r>
      <w:r>
        <w:rPr>
          <w:sz w:val="20"/>
        </w:rPr>
        <w:t>2019</w:t>
      </w:r>
      <w:r>
        <w:rPr>
          <w:spacing w:val="-2"/>
          <w:sz w:val="20"/>
        </w:rPr>
        <w:t> </w:t>
      </w:r>
      <w:r>
        <w:rPr>
          <w:sz w:val="20"/>
        </w:rPr>
        <w:t>in</w:t>
      </w:r>
      <w:r>
        <w:rPr>
          <w:spacing w:val="-3"/>
          <w:sz w:val="20"/>
        </w:rPr>
        <w:t> </w:t>
      </w:r>
      <w:r>
        <w:rPr>
          <w:sz w:val="20"/>
        </w:rPr>
        <w:t>a 2019-novel</w:t>
      </w:r>
      <w:r>
        <w:rPr>
          <w:spacing w:val="-3"/>
          <w:sz w:val="20"/>
        </w:rPr>
        <w:t> </w:t>
      </w:r>
      <w:r>
        <w:rPr>
          <w:sz w:val="20"/>
        </w:rPr>
        <w:t>coronavirus</w:t>
      </w:r>
      <w:r>
        <w:rPr>
          <w:spacing w:val="-4"/>
          <w:sz w:val="20"/>
        </w:rPr>
        <w:t> </w:t>
      </w:r>
      <w:r>
        <w:rPr>
          <w:sz w:val="20"/>
        </w:rPr>
        <w:t>(2019-nCoV)</w:t>
      </w:r>
      <w:r>
        <w:rPr>
          <w:spacing w:val="-3"/>
          <w:sz w:val="20"/>
        </w:rPr>
        <w:t> </w:t>
      </w:r>
      <w:r>
        <w:rPr>
          <w:sz w:val="20"/>
        </w:rPr>
        <w:t>related</w:t>
      </w:r>
      <w:r>
        <w:rPr>
          <w:spacing w:val="-2"/>
          <w:sz w:val="20"/>
        </w:rPr>
        <w:t> </w:t>
      </w:r>
      <w:r>
        <w:rPr>
          <w:sz w:val="20"/>
        </w:rPr>
        <w:t>coronavirus</w:t>
      </w:r>
      <w:r>
        <w:rPr>
          <w:spacing w:val="-4"/>
          <w:sz w:val="20"/>
        </w:rPr>
        <w:t> </w:t>
      </w:r>
      <w:r>
        <w:rPr>
          <w:sz w:val="20"/>
        </w:rPr>
        <w:t>model.</w:t>
      </w:r>
      <w:r>
        <w:rPr>
          <w:spacing w:val="-3"/>
          <w:sz w:val="20"/>
        </w:rPr>
        <w:t> </w:t>
      </w:r>
      <w:r>
        <w:rPr>
          <w:sz w:val="20"/>
        </w:rPr>
        <w:t>Chin</w:t>
      </w:r>
      <w:r>
        <w:rPr>
          <w:spacing w:val="-3"/>
          <w:sz w:val="20"/>
        </w:rPr>
        <w:t> </w:t>
      </w:r>
      <w:r>
        <w:rPr>
          <w:sz w:val="20"/>
        </w:rPr>
        <w:t>Med</w:t>
      </w:r>
      <w:r>
        <w:rPr>
          <w:spacing w:val="-2"/>
          <w:sz w:val="20"/>
        </w:rPr>
        <w:t> </w:t>
      </w:r>
      <w:r>
        <w:rPr>
          <w:sz w:val="20"/>
        </w:rPr>
        <w:t>J</w:t>
      </w:r>
      <w:r>
        <w:rPr>
          <w:spacing w:val="-4"/>
          <w:sz w:val="20"/>
        </w:rPr>
        <w:t> </w:t>
      </w:r>
      <w:r>
        <w:rPr>
          <w:sz w:val="20"/>
        </w:rPr>
        <w:t>(Engl).</w:t>
      </w:r>
      <w:r>
        <w:rPr>
          <w:spacing w:val="-3"/>
          <w:sz w:val="20"/>
        </w:rPr>
        <w:t> </w:t>
      </w:r>
      <w:r>
        <w:rPr>
          <w:sz w:val="20"/>
        </w:rPr>
        <w:t>2020</w:t>
      </w:r>
      <w:r>
        <w:rPr>
          <w:spacing w:val="-5"/>
          <w:sz w:val="20"/>
        </w:rPr>
        <w:t> </w:t>
      </w:r>
      <w:r>
        <w:rPr>
          <w:sz w:val="20"/>
        </w:rPr>
        <w:t>Mar</w:t>
      </w:r>
      <w:r>
        <w:rPr>
          <w:spacing w:val="-3"/>
          <w:sz w:val="20"/>
        </w:rPr>
        <w:t> </w:t>
      </w:r>
      <w:r>
        <w:rPr>
          <w:sz w:val="20"/>
        </w:rPr>
        <w:t>6.</w:t>
      </w:r>
      <w:r>
        <w:rPr>
          <w:spacing w:val="-3"/>
          <w:sz w:val="20"/>
        </w:rPr>
        <w:t> </w:t>
      </w:r>
      <w:r>
        <w:rPr>
          <w:sz w:val="20"/>
        </w:rPr>
        <w:t>doi: </w:t>
      </w:r>
      <w:r>
        <w:rPr>
          <w:spacing w:val="-2"/>
          <w:sz w:val="20"/>
        </w:rPr>
        <w:t>10.1097/CM9.0000000000000797.</w:t>
      </w:r>
    </w:p>
    <w:p>
      <w:pPr>
        <w:pStyle w:val="ListParagraph"/>
        <w:numPr>
          <w:ilvl w:val="0"/>
          <w:numId w:val="67"/>
        </w:numPr>
        <w:tabs>
          <w:tab w:pos="2405" w:val="left" w:leader="none"/>
          <w:tab w:pos="2407" w:val="left" w:leader="none"/>
        </w:tabs>
        <w:spacing w:line="240" w:lineRule="auto" w:before="0" w:after="0"/>
        <w:ind w:left="2407" w:right="1275" w:hanging="566"/>
        <w:jc w:val="both"/>
        <w:rPr>
          <w:sz w:val="20"/>
        </w:rPr>
      </w:pPr>
      <w:r>
        <w:rPr>
          <w:sz w:val="20"/>
        </w:rPr>
        <w:t>Fang</w:t>
      </w:r>
      <w:r>
        <w:rPr>
          <w:spacing w:val="-5"/>
          <w:sz w:val="20"/>
        </w:rPr>
        <w:t> </w:t>
      </w:r>
      <w:r>
        <w:rPr>
          <w:sz w:val="20"/>
        </w:rPr>
        <w:t>Y.</w:t>
      </w:r>
      <w:r>
        <w:rPr>
          <w:spacing w:val="-5"/>
          <w:sz w:val="20"/>
        </w:rPr>
        <w:t> </w:t>
      </w:r>
      <w:r>
        <w:rPr>
          <w:sz w:val="20"/>
        </w:rPr>
        <w:t>et</w:t>
      </w:r>
      <w:r>
        <w:rPr>
          <w:spacing w:val="-5"/>
          <w:sz w:val="20"/>
        </w:rPr>
        <w:t> </w:t>
      </w:r>
      <w:r>
        <w:rPr>
          <w:sz w:val="20"/>
        </w:rPr>
        <w:t>al.</w:t>
      </w:r>
      <w:r>
        <w:rPr>
          <w:spacing w:val="-5"/>
          <w:sz w:val="20"/>
        </w:rPr>
        <w:t> </w:t>
      </w:r>
      <w:r>
        <w:rPr>
          <w:sz w:val="20"/>
        </w:rPr>
        <w:t>Sensitivity</w:t>
      </w:r>
      <w:r>
        <w:rPr>
          <w:spacing w:val="-5"/>
          <w:sz w:val="20"/>
        </w:rPr>
        <w:t> </w:t>
      </w:r>
      <w:r>
        <w:rPr>
          <w:sz w:val="20"/>
        </w:rPr>
        <w:t>of</w:t>
      </w:r>
      <w:r>
        <w:rPr>
          <w:spacing w:val="-5"/>
          <w:sz w:val="20"/>
        </w:rPr>
        <w:t> </w:t>
      </w:r>
      <w:r>
        <w:rPr>
          <w:sz w:val="20"/>
        </w:rPr>
        <w:t>Chest</w:t>
      </w:r>
      <w:r>
        <w:rPr>
          <w:spacing w:val="-6"/>
          <w:sz w:val="20"/>
        </w:rPr>
        <w:t> </w:t>
      </w:r>
      <w:r>
        <w:rPr>
          <w:sz w:val="20"/>
        </w:rPr>
        <w:t>CT</w:t>
      </w:r>
      <w:r>
        <w:rPr>
          <w:spacing w:val="-5"/>
          <w:sz w:val="20"/>
        </w:rPr>
        <w:t> </w:t>
      </w:r>
      <w:r>
        <w:rPr>
          <w:sz w:val="20"/>
        </w:rPr>
        <w:t>for</w:t>
      </w:r>
      <w:r>
        <w:rPr>
          <w:spacing w:val="-5"/>
          <w:sz w:val="20"/>
        </w:rPr>
        <w:t> </w:t>
      </w:r>
      <w:r>
        <w:rPr>
          <w:sz w:val="20"/>
        </w:rPr>
        <w:t>COVID-19:</w:t>
      </w:r>
      <w:r>
        <w:rPr>
          <w:spacing w:val="-6"/>
          <w:sz w:val="20"/>
        </w:rPr>
        <w:t> </w:t>
      </w:r>
      <w:r>
        <w:rPr>
          <w:sz w:val="20"/>
        </w:rPr>
        <w:t>Comparison</w:t>
      </w:r>
      <w:r>
        <w:rPr>
          <w:spacing w:val="-5"/>
          <w:sz w:val="20"/>
        </w:rPr>
        <w:t> </w:t>
      </w:r>
      <w:r>
        <w:rPr>
          <w:sz w:val="20"/>
        </w:rPr>
        <w:t>to</w:t>
      </w:r>
      <w:r>
        <w:rPr>
          <w:spacing w:val="-5"/>
          <w:sz w:val="20"/>
        </w:rPr>
        <w:t> </w:t>
      </w:r>
      <w:r>
        <w:rPr>
          <w:sz w:val="20"/>
        </w:rPr>
        <w:t>RT-PCR</w:t>
      </w:r>
      <w:r>
        <w:rPr>
          <w:spacing w:val="-4"/>
          <w:sz w:val="20"/>
        </w:rPr>
        <w:t> </w:t>
      </w:r>
      <w:r>
        <w:rPr>
          <w:sz w:val="20"/>
        </w:rPr>
        <w:t>[published</w:t>
      </w:r>
      <w:r>
        <w:rPr>
          <w:spacing w:val="-7"/>
          <w:sz w:val="20"/>
        </w:rPr>
        <w:t> </w:t>
      </w:r>
      <w:r>
        <w:rPr>
          <w:sz w:val="20"/>
        </w:rPr>
        <w:t>online</w:t>
      </w:r>
      <w:r>
        <w:rPr>
          <w:spacing w:val="-5"/>
          <w:sz w:val="20"/>
        </w:rPr>
        <w:t> </w:t>
      </w:r>
      <w:r>
        <w:rPr>
          <w:sz w:val="20"/>
        </w:rPr>
        <w:t>ahead of print, 2020 Feb 19] // Radiology. 2020. 200432. Doi: 10.1148/radiol.2020200432.</w:t>
      </w:r>
    </w:p>
    <w:p>
      <w:pPr>
        <w:pStyle w:val="ListParagraph"/>
        <w:numPr>
          <w:ilvl w:val="0"/>
          <w:numId w:val="67"/>
        </w:numPr>
        <w:tabs>
          <w:tab w:pos="2405" w:val="left" w:leader="none"/>
          <w:tab w:pos="2407" w:val="left" w:leader="none"/>
        </w:tabs>
        <w:spacing w:line="240" w:lineRule="auto" w:before="0" w:after="0"/>
        <w:ind w:left="2407" w:right="1278" w:hanging="566"/>
        <w:jc w:val="both"/>
        <w:rPr>
          <w:sz w:val="20"/>
        </w:rPr>
      </w:pPr>
      <w:r>
        <w:rPr>
          <w:sz w:val="20"/>
        </w:rPr>
        <w:t>Favipiravir versus Arbidol for COVID-19: A Randomized Clinical Trial. </w:t>
      </w:r>
      <w:r>
        <w:rPr>
          <w:spacing w:val="-2"/>
          <w:sz w:val="20"/>
        </w:rPr>
        <w:t>https://doi.org/10.1101/2020.03.17.20037432.</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FDA. Novel coronavirus (2019-nCoV) URL: </w:t>
      </w:r>
      <w:r>
        <w:rPr>
          <w:color w:val="0462C1"/>
          <w:sz w:val="20"/>
          <w:u w:val="single" w:color="0462C1"/>
        </w:rPr>
        <w:t>https</w:t>
      </w:r>
      <w:hyperlink r:id="rId34">
        <w:r>
          <w:rPr>
            <w:color w:val="0462C1"/>
            <w:sz w:val="20"/>
            <w:u w:val="single" w:color="0462C1"/>
          </w:rPr>
          <w:t>://www.fda.gov/emergency-preparedness-</w:t>
        </w:r>
      </w:hyperlink>
      <w:r>
        <w:rPr>
          <w:color w:val="0462C1"/>
          <w:sz w:val="20"/>
        </w:rPr>
        <w:t> </w:t>
      </w:r>
      <w:r>
        <w:rPr>
          <w:color w:val="0462C1"/>
          <w:spacing w:val="-2"/>
          <w:sz w:val="20"/>
          <w:u w:val="single" w:color="0462C1"/>
        </w:rPr>
        <w:t>andresponse/mcm-issues/novel-coronavirus-2019-ncov</w:t>
      </w:r>
    </w:p>
    <w:p>
      <w:pPr>
        <w:pStyle w:val="ListParagraph"/>
        <w:numPr>
          <w:ilvl w:val="0"/>
          <w:numId w:val="67"/>
        </w:numPr>
        <w:tabs>
          <w:tab w:pos="2405" w:val="left" w:leader="none"/>
          <w:tab w:pos="2407" w:val="left" w:leader="none"/>
        </w:tabs>
        <w:spacing w:line="240" w:lineRule="auto" w:before="0" w:after="0"/>
        <w:ind w:left="2407" w:right="1273" w:hanging="566"/>
        <w:jc w:val="both"/>
        <w:rPr>
          <w:sz w:val="20"/>
        </w:rPr>
      </w:pPr>
      <w:r>
        <w:rPr>
          <w:sz w:val="20"/>
        </w:rPr>
        <w:t>Federal Ministry of Health. Current information on the coronavirus. URL: </w:t>
      </w:r>
      <w:r>
        <w:rPr>
          <w:spacing w:val="-2"/>
          <w:sz w:val="20"/>
        </w:rPr>
        <w:t>https</w:t>
      </w:r>
      <w:hyperlink r:id="rId35">
        <w:r>
          <w:rPr>
            <w:spacing w:val="-2"/>
            <w:sz w:val="20"/>
          </w:rPr>
          <w:t>://www.bundesgesundheitsministerium.de/en/en/press/2020/coronavirus.html</w:t>
        </w:r>
      </w:hyperlink>
    </w:p>
    <w:p>
      <w:pPr>
        <w:pStyle w:val="ListParagraph"/>
        <w:numPr>
          <w:ilvl w:val="0"/>
          <w:numId w:val="67"/>
        </w:numPr>
        <w:tabs>
          <w:tab w:pos="2405" w:val="left" w:leader="none"/>
          <w:tab w:pos="2407" w:val="left" w:leader="none"/>
        </w:tabs>
        <w:spacing w:line="237" w:lineRule="auto" w:before="0" w:after="0"/>
        <w:ind w:left="2407" w:right="1278" w:hanging="566"/>
        <w:jc w:val="both"/>
        <w:rPr>
          <w:sz w:val="20"/>
        </w:rPr>
      </w:pPr>
      <w:r>
        <w:rPr>
          <w:sz w:val="20"/>
        </w:rPr>
        <w:t>Fossat</w:t>
      </w:r>
      <w:r>
        <w:rPr>
          <w:spacing w:val="-8"/>
          <w:sz w:val="20"/>
        </w:rPr>
        <w:t> </w:t>
      </w:r>
      <w:r>
        <w:rPr>
          <w:sz w:val="20"/>
        </w:rPr>
        <w:t>G</w:t>
      </w:r>
      <w:r>
        <w:rPr>
          <w:spacing w:val="-8"/>
          <w:sz w:val="20"/>
        </w:rPr>
        <w:t> </w:t>
      </w:r>
      <w:r>
        <w:rPr>
          <w:sz w:val="20"/>
        </w:rPr>
        <w:t>et</w:t>
      </w:r>
      <w:r>
        <w:rPr>
          <w:spacing w:val="-8"/>
          <w:sz w:val="20"/>
        </w:rPr>
        <w:t> </w:t>
      </w:r>
      <w:r>
        <w:rPr>
          <w:sz w:val="20"/>
        </w:rPr>
        <w:t>al.</w:t>
      </w:r>
      <w:r>
        <w:rPr>
          <w:spacing w:val="-7"/>
          <w:sz w:val="20"/>
        </w:rPr>
        <w:t> </w:t>
      </w:r>
      <w:r>
        <w:rPr>
          <w:sz w:val="20"/>
        </w:rPr>
        <w:t>Effect</w:t>
      </w:r>
      <w:r>
        <w:rPr>
          <w:spacing w:val="-8"/>
          <w:sz w:val="20"/>
        </w:rPr>
        <w:t> </w:t>
      </w:r>
      <w:r>
        <w:rPr>
          <w:sz w:val="20"/>
        </w:rPr>
        <w:t>of</w:t>
      </w:r>
      <w:r>
        <w:rPr>
          <w:spacing w:val="-7"/>
          <w:sz w:val="20"/>
        </w:rPr>
        <w:t> </w:t>
      </w:r>
      <w:r>
        <w:rPr>
          <w:sz w:val="20"/>
        </w:rPr>
        <w:t>in-bed</w:t>
      </w:r>
      <w:r>
        <w:rPr>
          <w:spacing w:val="-9"/>
          <w:sz w:val="20"/>
        </w:rPr>
        <w:t> </w:t>
      </w:r>
      <w:r>
        <w:rPr>
          <w:sz w:val="20"/>
        </w:rPr>
        <w:t>leg</w:t>
      </w:r>
      <w:r>
        <w:rPr>
          <w:spacing w:val="-7"/>
          <w:sz w:val="20"/>
        </w:rPr>
        <w:t> </w:t>
      </w:r>
      <w:r>
        <w:rPr>
          <w:sz w:val="20"/>
        </w:rPr>
        <w:t>cycling</w:t>
      </w:r>
      <w:r>
        <w:rPr>
          <w:spacing w:val="-9"/>
          <w:sz w:val="20"/>
        </w:rPr>
        <w:t> </w:t>
      </w:r>
      <w:r>
        <w:rPr>
          <w:sz w:val="20"/>
        </w:rPr>
        <w:t>and</w:t>
      </w:r>
      <w:r>
        <w:rPr>
          <w:spacing w:val="-9"/>
          <w:sz w:val="20"/>
        </w:rPr>
        <w:t> </w:t>
      </w:r>
      <w:r>
        <w:rPr>
          <w:sz w:val="20"/>
        </w:rPr>
        <w:t>electrical</w:t>
      </w:r>
      <w:r>
        <w:rPr>
          <w:spacing w:val="-8"/>
          <w:sz w:val="20"/>
        </w:rPr>
        <w:t> </w:t>
      </w:r>
      <w:r>
        <w:rPr>
          <w:sz w:val="20"/>
        </w:rPr>
        <w:t>stimulation</w:t>
      </w:r>
      <w:r>
        <w:rPr>
          <w:spacing w:val="-7"/>
          <w:sz w:val="20"/>
        </w:rPr>
        <w:t> </w:t>
      </w:r>
      <w:r>
        <w:rPr>
          <w:sz w:val="20"/>
        </w:rPr>
        <w:t>of</w:t>
      </w:r>
      <w:r>
        <w:rPr>
          <w:spacing w:val="-10"/>
          <w:sz w:val="20"/>
        </w:rPr>
        <w:t> </w:t>
      </w:r>
      <w:r>
        <w:rPr>
          <w:sz w:val="20"/>
        </w:rPr>
        <w:t>the</w:t>
      </w:r>
      <w:r>
        <w:rPr>
          <w:spacing w:val="-8"/>
          <w:sz w:val="20"/>
        </w:rPr>
        <w:t> </w:t>
      </w:r>
      <w:r>
        <w:rPr>
          <w:sz w:val="20"/>
        </w:rPr>
        <w:t>quadriceps</w:t>
      </w:r>
      <w:r>
        <w:rPr>
          <w:spacing w:val="-9"/>
          <w:sz w:val="20"/>
        </w:rPr>
        <w:t> </w:t>
      </w:r>
      <w:r>
        <w:rPr>
          <w:sz w:val="20"/>
        </w:rPr>
        <w:t>on</w:t>
      </w:r>
      <w:r>
        <w:rPr>
          <w:spacing w:val="-9"/>
          <w:sz w:val="20"/>
        </w:rPr>
        <w:t> </w:t>
      </w:r>
      <w:r>
        <w:rPr>
          <w:sz w:val="20"/>
        </w:rPr>
        <w:t>global</w:t>
      </w:r>
      <w:r>
        <w:rPr>
          <w:spacing w:val="-8"/>
          <w:sz w:val="20"/>
        </w:rPr>
        <w:t> </w:t>
      </w:r>
      <w:r>
        <w:rPr>
          <w:sz w:val="20"/>
        </w:rPr>
        <w:t>muscle strength in critically ill adults: A Randomized Clinical Trial. JAMA. 2018; 320 (4): 368–378.</w:t>
      </w:r>
    </w:p>
    <w:p>
      <w:pPr>
        <w:pStyle w:val="ListParagraph"/>
        <w:numPr>
          <w:ilvl w:val="0"/>
          <w:numId w:val="67"/>
        </w:numPr>
        <w:tabs>
          <w:tab w:pos="2405" w:val="left" w:leader="none"/>
          <w:tab w:pos="2407" w:val="left" w:leader="none"/>
        </w:tabs>
        <w:spacing w:line="324" w:lineRule="auto" w:before="1" w:after="0"/>
        <w:ind w:left="2407" w:right="1272" w:hanging="566"/>
        <w:jc w:val="both"/>
        <w:rPr>
          <w:sz w:val="20"/>
        </w:rPr>
      </w:pPr>
      <w:r>
        <w:rPr>
          <w:sz w:val="20"/>
        </w:rPr>
        <w:t>Francica</w:t>
      </w:r>
      <w:r>
        <w:rPr>
          <w:spacing w:val="-11"/>
          <w:sz w:val="20"/>
        </w:rPr>
        <w:t> </w:t>
      </w:r>
      <w:r>
        <w:rPr>
          <w:sz w:val="20"/>
        </w:rPr>
        <w:t>J</w:t>
      </w:r>
      <w:r>
        <w:rPr>
          <w:spacing w:val="-12"/>
          <w:sz w:val="20"/>
        </w:rPr>
        <w:t> </w:t>
      </w:r>
      <w:r>
        <w:rPr>
          <w:sz w:val="20"/>
        </w:rPr>
        <w:t>et</w:t>
      </w:r>
      <w:r>
        <w:rPr>
          <w:spacing w:val="-11"/>
          <w:sz w:val="20"/>
        </w:rPr>
        <w:t> </w:t>
      </w:r>
      <w:r>
        <w:rPr>
          <w:sz w:val="20"/>
        </w:rPr>
        <w:t>al.</w:t>
      </w:r>
      <w:r>
        <w:rPr>
          <w:spacing w:val="-11"/>
          <w:sz w:val="20"/>
        </w:rPr>
        <w:t> </w:t>
      </w:r>
      <w:r>
        <w:rPr>
          <w:sz w:val="20"/>
        </w:rPr>
        <w:t>The</w:t>
      </w:r>
      <w:r>
        <w:rPr>
          <w:spacing w:val="-11"/>
          <w:sz w:val="20"/>
        </w:rPr>
        <w:t> </w:t>
      </w:r>
      <w:r>
        <w:rPr>
          <w:sz w:val="20"/>
        </w:rPr>
        <w:t>SARS-CoV-2</w:t>
      </w:r>
      <w:r>
        <w:rPr>
          <w:spacing w:val="-11"/>
          <w:sz w:val="20"/>
        </w:rPr>
        <w:t> </w:t>
      </w:r>
      <w:r>
        <w:rPr>
          <w:sz w:val="20"/>
        </w:rPr>
        <w:t>Monoclonal</w:t>
      </w:r>
      <w:r>
        <w:rPr>
          <w:spacing w:val="-11"/>
          <w:sz w:val="20"/>
        </w:rPr>
        <w:t> </w:t>
      </w:r>
      <w:r>
        <w:rPr>
          <w:sz w:val="20"/>
        </w:rPr>
        <w:t>Antibody</w:t>
      </w:r>
      <w:r>
        <w:rPr>
          <w:spacing w:val="-11"/>
          <w:sz w:val="20"/>
        </w:rPr>
        <w:t> </w:t>
      </w:r>
      <w:r>
        <w:rPr>
          <w:sz w:val="20"/>
        </w:rPr>
        <w:t>AZD3152</w:t>
      </w:r>
      <w:r>
        <w:rPr>
          <w:spacing w:val="-12"/>
          <w:sz w:val="20"/>
        </w:rPr>
        <w:t> </w:t>
      </w:r>
      <w:r>
        <w:rPr>
          <w:sz w:val="20"/>
        </w:rPr>
        <w:t>Potently</w:t>
      </w:r>
      <w:r>
        <w:rPr>
          <w:spacing w:val="-11"/>
          <w:sz w:val="20"/>
        </w:rPr>
        <w:t> </w:t>
      </w:r>
      <w:r>
        <w:rPr>
          <w:sz w:val="20"/>
        </w:rPr>
        <w:t>Neutralizes</w:t>
      </w:r>
      <w:r>
        <w:rPr>
          <w:spacing w:val="-12"/>
          <w:sz w:val="20"/>
        </w:rPr>
        <w:t> </w:t>
      </w:r>
      <w:r>
        <w:rPr>
          <w:sz w:val="20"/>
        </w:rPr>
        <w:t>Historical</w:t>
      </w:r>
      <w:r>
        <w:rPr>
          <w:spacing w:val="-11"/>
          <w:sz w:val="20"/>
        </w:rPr>
        <w:t> </w:t>
      </w:r>
      <w:r>
        <w:rPr>
          <w:sz w:val="20"/>
        </w:rPr>
        <w:t>and Emerging Variants and is Being Developed for the Prevention and Treatment of COVID-19 in High- Risk Individuals. Poster 1355. 12th Annual IDWeek Conference</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Franquet T. Imaging of pulmonary viral pneumonia // Radiology. 2011. V. 260. No. 1. P. 18–39. Doi: </w:t>
      </w:r>
      <w:r>
        <w:rPr>
          <w:spacing w:val="-2"/>
          <w:sz w:val="20"/>
        </w:rPr>
        <w:t>10.1148/radiol.11092149.</w:t>
      </w:r>
    </w:p>
    <w:p>
      <w:pPr>
        <w:pStyle w:val="ListParagraph"/>
        <w:numPr>
          <w:ilvl w:val="0"/>
          <w:numId w:val="67"/>
        </w:numPr>
        <w:tabs>
          <w:tab w:pos="2405" w:val="left" w:leader="none"/>
          <w:tab w:pos="2407" w:val="left" w:leader="none"/>
        </w:tabs>
        <w:spacing w:line="240" w:lineRule="auto" w:before="0" w:after="0"/>
        <w:ind w:left="2407" w:right="1281" w:hanging="566"/>
        <w:jc w:val="both"/>
        <w:rPr>
          <w:sz w:val="20"/>
        </w:rPr>
      </w:pPr>
      <w:r>
        <w:rPr>
          <w:sz w:val="20"/>
        </w:rPr>
        <w:t>Furuta Y, et al. : Favipiravir (T-705), a broad spectrum inhibitor of viral RNA polymerase. Proc Jpn Acad Ser B Phys Biol Sci. 2017;93(7):449-463. doi: 10.2183/pjab.93.027.</w:t>
      </w:r>
    </w:p>
    <w:p>
      <w:pPr>
        <w:pStyle w:val="ListParagraph"/>
        <w:numPr>
          <w:ilvl w:val="0"/>
          <w:numId w:val="67"/>
        </w:numPr>
        <w:tabs>
          <w:tab w:pos="2405" w:val="left" w:leader="none"/>
          <w:tab w:pos="2407" w:val="left" w:leader="none"/>
        </w:tabs>
        <w:spacing w:line="240" w:lineRule="auto" w:before="0" w:after="0"/>
        <w:ind w:left="2407" w:right="1277" w:hanging="566"/>
        <w:jc w:val="both"/>
        <w:rPr>
          <w:sz w:val="20"/>
        </w:rPr>
      </w:pPr>
      <w:r>
        <w:rPr>
          <w:sz w:val="20"/>
        </w:rPr>
        <w:t>Gorbalenya A.E.et al. Severe acute respiratory syndrome-related coronavirus: The species and its viruses – a statement of the Coronavirus Study Group, 2020. doi: </w:t>
      </w:r>
      <w:r>
        <w:rPr>
          <w:spacing w:val="-2"/>
          <w:sz w:val="20"/>
        </w:rPr>
        <w:t>https://doi.org/10.1101/2020.02.07.937862.</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Guarner F., e.a. World Gastroenterology Organisation Global Guidelines. Probiotics and prebiotics. February 2017. Available at: </w:t>
      </w:r>
      <w:hyperlink r:id="rId36">
        <w:r>
          <w:rPr>
            <w:color w:val="0462C1"/>
            <w:sz w:val="20"/>
            <w:u w:val="single" w:color="0462C1"/>
          </w:rPr>
          <w:t>http://www.worldgastroenterology.org/guidelines/global-</w:t>
        </w:r>
      </w:hyperlink>
      <w:r>
        <w:rPr>
          <w:color w:val="0462C1"/>
          <w:sz w:val="20"/>
        </w:rPr>
        <w:t> </w:t>
      </w:r>
      <w:r>
        <w:rPr>
          <w:color w:val="0462C1"/>
          <w:spacing w:val="-2"/>
          <w:sz w:val="20"/>
          <w:u w:val="single" w:color="0462C1"/>
        </w:rPr>
        <w:t>guidelines/probiotics-and-prebiotics/probiotics-and-prebiotics-english</w:t>
      </w:r>
    </w:p>
    <w:p>
      <w:pPr>
        <w:pStyle w:val="ListParagraph"/>
        <w:numPr>
          <w:ilvl w:val="0"/>
          <w:numId w:val="67"/>
        </w:numPr>
        <w:tabs>
          <w:tab w:pos="2405" w:val="left" w:leader="none"/>
          <w:tab w:pos="2407" w:val="left" w:leader="none"/>
        </w:tabs>
        <w:spacing w:line="237" w:lineRule="auto" w:before="1" w:after="0"/>
        <w:ind w:left="2407" w:right="1275" w:hanging="566"/>
        <w:jc w:val="both"/>
        <w:rPr>
          <w:sz w:val="20"/>
        </w:rPr>
      </w:pPr>
      <w:r>
        <w:rPr>
          <w:sz w:val="20"/>
        </w:rPr>
        <w:t>Hammond J, et al. Oral nirmatrelvir for high-risk, nonhospitalized adults with COVID-19. N Engl J Med 2022</w:t>
      </w:r>
    </w:p>
    <w:p>
      <w:pPr>
        <w:pStyle w:val="ListParagraph"/>
        <w:numPr>
          <w:ilvl w:val="0"/>
          <w:numId w:val="67"/>
        </w:numPr>
        <w:tabs>
          <w:tab w:pos="2405" w:val="left" w:leader="none"/>
          <w:tab w:pos="2407" w:val="left" w:leader="none"/>
        </w:tabs>
        <w:spacing w:line="240" w:lineRule="auto" w:before="0" w:after="0"/>
        <w:ind w:left="2407" w:right="1274" w:hanging="566"/>
        <w:jc w:val="both"/>
        <w:rPr>
          <w:sz w:val="20"/>
        </w:rPr>
      </w:pPr>
      <w:r>
        <w:rPr>
          <w:sz w:val="20"/>
        </w:rPr>
        <w:t>Halyabar O. et al. </w:t>
      </w:r>
      <w:r>
        <w:rPr>
          <w:color w:val="1B2F51"/>
          <w:sz w:val="20"/>
        </w:rPr>
        <w:t>Calm in the midst of cytokine storm: a collaborative approach to the diagnosis and treatment of hemophagocytic lymphohistiocytosis and macrophage activation syndrome, </w:t>
      </w:r>
      <w:r>
        <w:rPr>
          <w:sz w:val="20"/>
        </w:rPr>
        <w:t>Pediatric Rheumatology. URL: </w:t>
      </w:r>
      <w:r>
        <w:rPr>
          <w:color w:val="0462C1"/>
          <w:sz w:val="20"/>
          <w:u w:val="single" w:color="0462C1"/>
        </w:rPr>
        <w:t>https://ped-rheum.biomedcentral.com/articles/10.1186/s12969-019-0309-6</w:t>
      </w:r>
    </w:p>
    <w:p>
      <w:pPr>
        <w:pStyle w:val="ListParagraph"/>
        <w:numPr>
          <w:ilvl w:val="0"/>
          <w:numId w:val="67"/>
        </w:numPr>
        <w:tabs>
          <w:tab w:pos="2405" w:val="left" w:leader="none"/>
          <w:tab w:pos="2407" w:val="left" w:leader="none"/>
        </w:tabs>
        <w:spacing w:line="240" w:lineRule="auto" w:before="2" w:after="0"/>
        <w:ind w:left="2407" w:right="1272" w:hanging="566"/>
        <w:jc w:val="both"/>
        <w:rPr>
          <w:sz w:val="20"/>
        </w:rPr>
      </w:pPr>
      <w:r>
        <w:rPr>
          <w:sz w:val="20"/>
        </w:rPr>
        <w:t>Hartl L, Haslinger K, Angerer M, Semmler G, Schneeweiss-Gleixner M, Jachs M, et al. Progressive cholestasis and associated sclerosing cholangitis are frequent complications of COVID-19 in patients with chronic liver disease. Hepatology 2022</w:t>
      </w:r>
    </w:p>
    <w:p>
      <w:pPr>
        <w:pStyle w:val="ListParagraph"/>
        <w:numPr>
          <w:ilvl w:val="0"/>
          <w:numId w:val="67"/>
        </w:numPr>
        <w:tabs>
          <w:tab w:pos="2407" w:val="left" w:leader="none"/>
        </w:tabs>
        <w:spacing w:line="240" w:lineRule="auto" w:before="0" w:after="0"/>
        <w:ind w:left="2407" w:right="1272" w:hanging="566"/>
        <w:jc w:val="left"/>
        <w:rPr>
          <w:sz w:val="20"/>
        </w:rPr>
      </w:pPr>
      <w:r>
        <w:rPr>
          <w:sz w:val="20"/>
        </w:rPr>
        <w:t>Heching</w:t>
      </w:r>
      <w:r>
        <w:rPr>
          <w:spacing w:val="-13"/>
          <w:sz w:val="20"/>
        </w:rPr>
        <w:t> </w:t>
      </w:r>
      <w:r>
        <w:rPr>
          <w:sz w:val="20"/>
        </w:rPr>
        <w:t>M,</w:t>
      </w:r>
      <w:r>
        <w:rPr>
          <w:spacing w:val="-12"/>
          <w:sz w:val="20"/>
        </w:rPr>
        <w:t> </w:t>
      </w:r>
      <w:r>
        <w:rPr>
          <w:sz w:val="20"/>
        </w:rPr>
        <w:t>Lev</w:t>
      </w:r>
      <w:r>
        <w:rPr>
          <w:spacing w:val="-13"/>
          <w:sz w:val="20"/>
        </w:rPr>
        <w:t> </w:t>
      </w:r>
      <w:r>
        <w:rPr>
          <w:sz w:val="20"/>
        </w:rPr>
        <w:t>S,</w:t>
      </w:r>
      <w:r>
        <w:rPr>
          <w:spacing w:val="-12"/>
          <w:sz w:val="20"/>
        </w:rPr>
        <w:t> </w:t>
      </w:r>
      <w:r>
        <w:rPr>
          <w:sz w:val="20"/>
        </w:rPr>
        <w:t>Shitenberg</w:t>
      </w:r>
      <w:r>
        <w:rPr>
          <w:spacing w:val="-13"/>
          <w:sz w:val="20"/>
        </w:rPr>
        <w:t> </w:t>
      </w:r>
      <w:r>
        <w:rPr>
          <w:sz w:val="20"/>
        </w:rPr>
        <w:t>D,</w:t>
      </w:r>
      <w:r>
        <w:rPr>
          <w:spacing w:val="-12"/>
          <w:sz w:val="20"/>
        </w:rPr>
        <w:t> </w:t>
      </w:r>
      <w:r>
        <w:rPr>
          <w:sz w:val="20"/>
        </w:rPr>
        <w:t>Dicker</w:t>
      </w:r>
      <w:r>
        <w:rPr>
          <w:spacing w:val="-13"/>
          <w:sz w:val="20"/>
        </w:rPr>
        <w:t> </w:t>
      </w:r>
      <w:r>
        <w:rPr>
          <w:sz w:val="20"/>
        </w:rPr>
        <w:t>D,</w:t>
      </w:r>
      <w:r>
        <w:rPr>
          <w:spacing w:val="-12"/>
          <w:sz w:val="20"/>
        </w:rPr>
        <w:t> </w:t>
      </w:r>
      <w:r>
        <w:rPr>
          <w:sz w:val="20"/>
        </w:rPr>
        <w:t>Kramer</w:t>
      </w:r>
      <w:r>
        <w:rPr>
          <w:spacing w:val="-13"/>
          <w:sz w:val="20"/>
        </w:rPr>
        <w:t> </w:t>
      </w:r>
      <w:r>
        <w:rPr>
          <w:sz w:val="20"/>
        </w:rPr>
        <w:t>MR,</w:t>
      </w:r>
      <w:r>
        <w:rPr>
          <w:spacing w:val="-12"/>
          <w:sz w:val="20"/>
        </w:rPr>
        <w:t> </w:t>
      </w:r>
      <w:r>
        <w:rPr>
          <w:sz w:val="20"/>
        </w:rPr>
        <w:t>Surfactant</w:t>
      </w:r>
      <w:r>
        <w:rPr>
          <w:spacing w:val="-13"/>
          <w:sz w:val="20"/>
        </w:rPr>
        <w:t> </w:t>
      </w:r>
      <w:r>
        <w:rPr>
          <w:sz w:val="20"/>
        </w:rPr>
        <w:t>for</w:t>
      </w:r>
      <w:r>
        <w:rPr>
          <w:spacing w:val="-12"/>
          <w:sz w:val="20"/>
        </w:rPr>
        <w:t> </w:t>
      </w:r>
      <w:r>
        <w:rPr>
          <w:sz w:val="20"/>
        </w:rPr>
        <w:t>Treatment</w:t>
      </w:r>
      <w:r>
        <w:rPr>
          <w:spacing w:val="-13"/>
          <w:sz w:val="20"/>
        </w:rPr>
        <w:t> </w:t>
      </w:r>
      <w:r>
        <w:rPr>
          <w:sz w:val="20"/>
        </w:rPr>
        <w:t>of</w:t>
      </w:r>
      <w:r>
        <w:rPr>
          <w:spacing w:val="-12"/>
          <w:sz w:val="20"/>
        </w:rPr>
        <w:t> </w:t>
      </w:r>
      <w:r>
        <w:rPr>
          <w:sz w:val="20"/>
        </w:rPr>
        <w:t>ARDS</w:t>
      </w:r>
      <w:r>
        <w:rPr>
          <w:spacing w:val="-13"/>
          <w:sz w:val="20"/>
        </w:rPr>
        <w:t> </w:t>
      </w:r>
      <w:r>
        <w:rPr>
          <w:sz w:val="20"/>
        </w:rPr>
        <w:t>in</w:t>
      </w:r>
      <w:r>
        <w:rPr>
          <w:spacing w:val="-12"/>
          <w:sz w:val="20"/>
        </w:rPr>
        <w:t> </w:t>
      </w:r>
      <w:r>
        <w:rPr>
          <w:sz w:val="20"/>
        </w:rPr>
        <w:t>COVID- 19 Patient. Chest 2021: doi: </w:t>
      </w:r>
      <w:r>
        <w:rPr>
          <w:color w:val="0462C1"/>
          <w:sz w:val="20"/>
          <w:u w:val="single" w:color="0462C1"/>
        </w:rPr>
        <w:t>https://doi.org/10.1016/j.chest.2021.01.028</w:t>
      </w:r>
    </w:p>
    <w:p>
      <w:pPr>
        <w:pStyle w:val="ListParagraph"/>
        <w:numPr>
          <w:ilvl w:val="0"/>
          <w:numId w:val="67"/>
        </w:numPr>
        <w:tabs>
          <w:tab w:pos="2407" w:val="left" w:leader="none"/>
        </w:tabs>
        <w:spacing w:line="240" w:lineRule="auto" w:before="0" w:after="0"/>
        <w:ind w:left="2407" w:right="1276" w:hanging="566"/>
        <w:jc w:val="left"/>
        <w:rPr>
          <w:sz w:val="20"/>
        </w:rPr>
      </w:pPr>
      <w:r>
        <w:rPr>
          <w:sz w:val="20"/>
        </w:rPr>
        <w:t>Henderson L.A. et al. On the Alert for Cytokine Storm: Immunopathology in COVID</w:t>
      </w:r>
      <w:r>
        <w:rPr>
          <w:rFonts w:ascii="Cambria Math" w:hAnsi="Cambria Math"/>
          <w:sz w:val="20"/>
        </w:rPr>
        <w:t>‐</w:t>
      </w:r>
      <w:r>
        <w:rPr>
          <w:sz w:val="20"/>
        </w:rPr>
        <w:t>19 Arthritis &amp; Rheumatology Vol. 0, No. 0, Month 2020, pp 1–5. DOI: 10.1002/art.41285.</w:t>
      </w:r>
    </w:p>
    <w:p>
      <w:pPr>
        <w:pStyle w:val="ListParagraph"/>
        <w:numPr>
          <w:ilvl w:val="0"/>
          <w:numId w:val="67"/>
        </w:numPr>
        <w:tabs>
          <w:tab w:pos="2407" w:val="left" w:leader="none"/>
        </w:tabs>
        <w:spacing w:line="240" w:lineRule="auto" w:before="0" w:after="0"/>
        <w:ind w:left="2407" w:right="1278" w:hanging="566"/>
        <w:jc w:val="left"/>
        <w:rPr>
          <w:sz w:val="20"/>
        </w:rPr>
      </w:pPr>
      <w:r>
        <w:rPr>
          <w:sz w:val="20"/>
        </w:rPr>
        <w:t>Henk</w:t>
      </w:r>
      <w:r>
        <w:rPr>
          <w:spacing w:val="-7"/>
          <w:sz w:val="20"/>
        </w:rPr>
        <w:t> </w:t>
      </w:r>
      <w:r>
        <w:rPr>
          <w:sz w:val="20"/>
        </w:rPr>
        <w:t>J</w:t>
      </w:r>
      <w:r>
        <w:rPr>
          <w:spacing w:val="-9"/>
          <w:sz w:val="20"/>
        </w:rPr>
        <w:t> </w:t>
      </w:r>
      <w:r>
        <w:rPr>
          <w:sz w:val="20"/>
        </w:rPr>
        <w:t>Stam</w:t>
      </w:r>
      <w:r>
        <w:rPr>
          <w:spacing w:val="-7"/>
          <w:sz w:val="20"/>
        </w:rPr>
        <w:t> </w:t>
      </w:r>
      <w:r>
        <w:rPr>
          <w:sz w:val="20"/>
        </w:rPr>
        <w:t>et</w:t>
      </w:r>
      <w:r>
        <w:rPr>
          <w:spacing w:val="-8"/>
          <w:sz w:val="20"/>
        </w:rPr>
        <w:t> </w:t>
      </w:r>
      <w:r>
        <w:rPr>
          <w:sz w:val="20"/>
        </w:rPr>
        <w:t>al.</w:t>
      </w:r>
      <w:r>
        <w:rPr>
          <w:spacing w:val="-7"/>
          <w:sz w:val="20"/>
        </w:rPr>
        <w:t> </w:t>
      </w:r>
      <w:r>
        <w:rPr>
          <w:sz w:val="20"/>
        </w:rPr>
        <w:t>Covid-19</w:t>
      </w:r>
      <w:r>
        <w:rPr>
          <w:spacing w:val="-7"/>
          <w:sz w:val="20"/>
        </w:rPr>
        <w:t> </w:t>
      </w:r>
      <w:r>
        <w:rPr>
          <w:sz w:val="20"/>
        </w:rPr>
        <w:t>and</w:t>
      </w:r>
      <w:r>
        <w:rPr>
          <w:spacing w:val="-7"/>
          <w:sz w:val="20"/>
        </w:rPr>
        <w:t> </w:t>
      </w:r>
      <w:r>
        <w:rPr>
          <w:sz w:val="20"/>
        </w:rPr>
        <w:t>Post</w:t>
      </w:r>
      <w:r>
        <w:rPr>
          <w:spacing w:val="-8"/>
          <w:sz w:val="20"/>
        </w:rPr>
        <w:t> </w:t>
      </w:r>
      <w:r>
        <w:rPr>
          <w:sz w:val="20"/>
        </w:rPr>
        <w:t>Intensive</w:t>
      </w:r>
      <w:r>
        <w:rPr>
          <w:spacing w:val="-8"/>
          <w:sz w:val="20"/>
        </w:rPr>
        <w:t> </w:t>
      </w:r>
      <w:r>
        <w:rPr>
          <w:sz w:val="20"/>
        </w:rPr>
        <w:t>Care</w:t>
      </w:r>
      <w:r>
        <w:rPr>
          <w:spacing w:val="-8"/>
          <w:sz w:val="20"/>
        </w:rPr>
        <w:t> </w:t>
      </w:r>
      <w:r>
        <w:rPr>
          <w:sz w:val="20"/>
        </w:rPr>
        <w:t>Syndrome:</w:t>
      </w:r>
      <w:r>
        <w:rPr>
          <w:spacing w:val="-8"/>
          <w:sz w:val="20"/>
        </w:rPr>
        <w:t> </w:t>
      </w:r>
      <w:r>
        <w:rPr>
          <w:sz w:val="20"/>
        </w:rPr>
        <w:t>A</w:t>
      </w:r>
      <w:r>
        <w:rPr>
          <w:spacing w:val="-8"/>
          <w:sz w:val="20"/>
        </w:rPr>
        <w:t> </w:t>
      </w:r>
      <w:r>
        <w:rPr>
          <w:sz w:val="20"/>
        </w:rPr>
        <w:t>Call</w:t>
      </w:r>
      <w:r>
        <w:rPr>
          <w:spacing w:val="-8"/>
          <w:sz w:val="20"/>
        </w:rPr>
        <w:t> </w:t>
      </w:r>
      <w:r>
        <w:rPr>
          <w:sz w:val="20"/>
        </w:rPr>
        <w:t>for</w:t>
      </w:r>
      <w:r>
        <w:rPr>
          <w:spacing w:val="-7"/>
          <w:sz w:val="20"/>
        </w:rPr>
        <w:t> </w:t>
      </w:r>
      <w:r>
        <w:rPr>
          <w:sz w:val="20"/>
        </w:rPr>
        <w:t>Action.</w:t>
      </w:r>
      <w:r>
        <w:rPr>
          <w:spacing w:val="-8"/>
          <w:sz w:val="20"/>
        </w:rPr>
        <w:t> </w:t>
      </w:r>
      <w:r>
        <w:rPr>
          <w:sz w:val="20"/>
        </w:rPr>
        <w:t>J</w:t>
      </w:r>
      <w:r>
        <w:rPr>
          <w:spacing w:val="-9"/>
          <w:sz w:val="20"/>
        </w:rPr>
        <w:t> </w:t>
      </w:r>
      <w:r>
        <w:rPr>
          <w:sz w:val="20"/>
        </w:rPr>
        <w:t>Rehabil</w:t>
      </w:r>
      <w:r>
        <w:rPr>
          <w:spacing w:val="-8"/>
          <w:sz w:val="20"/>
        </w:rPr>
        <w:t> </w:t>
      </w:r>
      <w:r>
        <w:rPr>
          <w:sz w:val="20"/>
        </w:rPr>
        <w:t>Med</w:t>
      </w:r>
      <w:r>
        <w:rPr>
          <w:spacing w:val="-7"/>
          <w:sz w:val="20"/>
        </w:rPr>
        <w:t> </w:t>
      </w:r>
      <w:r>
        <w:rPr>
          <w:sz w:val="20"/>
        </w:rPr>
        <w:t>2020 Apr 15;52(4):jrm00044. doi: 10.2340/16501977-2677.</w:t>
      </w:r>
    </w:p>
    <w:p>
      <w:pPr>
        <w:pStyle w:val="ListParagraph"/>
        <w:numPr>
          <w:ilvl w:val="0"/>
          <w:numId w:val="67"/>
        </w:numPr>
        <w:tabs>
          <w:tab w:pos="2407" w:val="left" w:leader="none"/>
        </w:tabs>
        <w:spacing w:line="240" w:lineRule="auto" w:before="0" w:after="0"/>
        <w:ind w:left="2407" w:right="2365" w:hanging="566"/>
        <w:jc w:val="left"/>
        <w:rPr>
          <w:sz w:val="20"/>
        </w:rPr>
      </w:pPr>
      <w:r>
        <w:rPr>
          <w:color w:val="0462C1"/>
          <w:spacing w:val="-2"/>
          <w:sz w:val="20"/>
          <w:u w:val="single" w:color="0462C1"/>
        </w:rPr>
        <w:t>https://grls.rosminzdrav.ru/Grls_View_v2.aspx?routingGuid=4a3c02bc-a256-48f2-90a8-</w:t>
      </w:r>
      <w:r>
        <w:rPr>
          <w:color w:val="0462C1"/>
          <w:spacing w:val="-2"/>
          <w:sz w:val="20"/>
        </w:rPr>
        <w:t> </w:t>
      </w:r>
      <w:r>
        <w:rPr>
          <w:color w:val="0462C1"/>
          <w:spacing w:val="-2"/>
          <w:sz w:val="20"/>
          <w:u w:val="single" w:color="0462C1"/>
        </w:rPr>
        <w:t>14b48b7d197c&amp;t</w:t>
      </w:r>
      <w:r>
        <w:rPr>
          <w:spacing w:val="-2"/>
          <w:sz w:val="20"/>
        </w:rPr>
        <w:t>=</w:t>
      </w:r>
    </w:p>
    <w:p>
      <w:pPr>
        <w:pStyle w:val="ListParagraph"/>
        <w:numPr>
          <w:ilvl w:val="0"/>
          <w:numId w:val="67"/>
        </w:numPr>
        <w:tabs>
          <w:tab w:pos="2407" w:val="left" w:leader="none"/>
        </w:tabs>
        <w:spacing w:line="240" w:lineRule="auto" w:before="0" w:after="0"/>
        <w:ind w:left="2407" w:right="1272" w:hanging="566"/>
        <w:jc w:val="left"/>
        <w:rPr>
          <w:sz w:val="20"/>
        </w:rPr>
      </w:pPr>
      <w:r>
        <w:rPr>
          <w:sz w:val="20"/>
        </w:rPr>
        <w:t>Iavarone M, D’Ambrosio R, Soria A, Triolo M, Pugliese N, Del Poggio P, et al. High rates of 30-day mortality in patients with cirrhosis and COVID-19. J Hepatol 2020;73:1063–1071</w:t>
      </w:r>
    </w:p>
    <w:p>
      <w:pPr>
        <w:pStyle w:val="ListParagraph"/>
        <w:spacing w:after="0" w:line="240" w:lineRule="auto"/>
        <w:jc w:val="left"/>
        <w:rPr>
          <w:sz w:val="20"/>
        </w:rPr>
        <w:sectPr>
          <w:pgSz w:w="11900" w:h="16840"/>
          <w:pgMar w:header="0" w:footer="697" w:top="1080" w:bottom="880" w:left="0" w:right="0"/>
        </w:sectPr>
      </w:pPr>
    </w:p>
    <w:p>
      <w:pPr>
        <w:pStyle w:val="ListParagraph"/>
        <w:numPr>
          <w:ilvl w:val="0"/>
          <w:numId w:val="67"/>
        </w:numPr>
        <w:tabs>
          <w:tab w:pos="2405" w:val="left" w:leader="none"/>
          <w:tab w:pos="2407" w:val="left" w:leader="none"/>
        </w:tabs>
        <w:spacing w:line="240" w:lineRule="auto" w:before="74" w:after="0"/>
        <w:ind w:left="2407" w:right="1269" w:hanging="566"/>
        <w:jc w:val="both"/>
        <w:rPr>
          <w:sz w:val="20"/>
        </w:rPr>
      </w:pPr>
      <w:bookmarkStart w:name="150" w:id="178"/>
      <w:bookmarkEnd w:id="178"/>
      <w:r>
        <w:rPr/>
      </w:r>
      <w:r>
        <w:rPr>
          <w:color w:val="1F365C"/>
          <w:sz w:val="20"/>
        </w:rPr>
        <w:t>Infectious</w:t>
      </w:r>
      <w:r>
        <w:rPr>
          <w:color w:val="1F365C"/>
          <w:spacing w:val="-4"/>
          <w:sz w:val="20"/>
        </w:rPr>
        <w:t> </w:t>
      </w:r>
      <w:r>
        <w:rPr>
          <w:color w:val="1F365C"/>
          <w:sz w:val="20"/>
        </w:rPr>
        <w:t>Diseases</w:t>
      </w:r>
      <w:r>
        <w:rPr>
          <w:color w:val="1F365C"/>
          <w:spacing w:val="-4"/>
          <w:sz w:val="20"/>
        </w:rPr>
        <w:t> </w:t>
      </w:r>
      <w:r>
        <w:rPr>
          <w:color w:val="1F365C"/>
          <w:sz w:val="20"/>
        </w:rPr>
        <w:t>Society</w:t>
      </w:r>
      <w:r>
        <w:rPr>
          <w:color w:val="1F365C"/>
          <w:spacing w:val="-2"/>
          <w:sz w:val="20"/>
        </w:rPr>
        <w:t> </w:t>
      </w:r>
      <w:r>
        <w:rPr>
          <w:color w:val="1F365C"/>
          <w:sz w:val="20"/>
        </w:rPr>
        <w:t>of</w:t>
      </w:r>
      <w:r>
        <w:rPr>
          <w:color w:val="1F365C"/>
          <w:spacing w:val="-5"/>
          <w:sz w:val="20"/>
        </w:rPr>
        <w:t> </w:t>
      </w:r>
      <w:r>
        <w:rPr>
          <w:color w:val="1F365C"/>
          <w:sz w:val="20"/>
        </w:rPr>
        <w:t>America</w:t>
      </w:r>
      <w:r>
        <w:rPr>
          <w:color w:val="1F365C"/>
          <w:spacing w:val="-3"/>
          <w:sz w:val="20"/>
        </w:rPr>
        <w:t> </w:t>
      </w:r>
      <w:r>
        <w:rPr>
          <w:color w:val="1F365C"/>
          <w:sz w:val="20"/>
        </w:rPr>
        <w:t>Guidelines</w:t>
      </w:r>
      <w:r>
        <w:rPr>
          <w:color w:val="1F365C"/>
          <w:spacing w:val="-4"/>
          <w:sz w:val="20"/>
        </w:rPr>
        <w:t> </w:t>
      </w:r>
      <w:r>
        <w:rPr>
          <w:color w:val="1F365C"/>
          <w:sz w:val="20"/>
        </w:rPr>
        <w:t>on</w:t>
      </w:r>
      <w:r>
        <w:rPr>
          <w:color w:val="1F365C"/>
          <w:spacing w:val="-2"/>
          <w:sz w:val="20"/>
        </w:rPr>
        <w:t> </w:t>
      </w:r>
      <w:r>
        <w:rPr>
          <w:color w:val="1F365C"/>
          <w:sz w:val="20"/>
        </w:rPr>
        <w:t>the</w:t>
      </w:r>
      <w:r>
        <w:rPr>
          <w:color w:val="1F365C"/>
          <w:spacing w:val="-3"/>
          <w:sz w:val="20"/>
        </w:rPr>
        <w:t> </w:t>
      </w:r>
      <w:r>
        <w:rPr>
          <w:color w:val="1F365C"/>
          <w:sz w:val="20"/>
        </w:rPr>
        <w:t>Treatment</w:t>
      </w:r>
      <w:r>
        <w:rPr>
          <w:color w:val="1F365C"/>
          <w:spacing w:val="-4"/>
          <w:sz w:val="20"/>
        </w:rPr>
        <w:t> </w:t>
      </w:r>
      <w:r>
        <w:rPr>
          <w:color w:val="1F365C"/>
          <w:sz w:val="20"/>
        </w:rPr>
        <w:t>and</w:t>
      </w:r>
      <w:r>
        <w:rPr>
          <w:color w:val="1F365C"/>
          <w:spacing w:val="-2"/>
          <w:sz w:val="20"/>
        </w:rPr>
        <w:t> </w:t>
      </w:r>
      <w:r>
        <w:rPr>
          <w:color w:val="1F365C"/>
          <w:sz w:val="20"/>
        </w:rPr>
        <w:t>Management</w:t>
      </w:r>
      <w:r>
        <w:rPr>
          <w:color w:val="1F365C"/>
          <w:spacing w:val="-4"/>
          <w:sz w:val="20"/>
        </w:rPr>
        <w:t> </w:t>
      </w:r>
      <w:r>
        <w:rPr>
          <w:color w:val="1F365C"/>
          <w:sz w:val="20"/>
        </w:rPr>
        <w:t>of</w:t>
      </w:r>
      <w:r>
        <w:rPr>
          <w:color w:val="1F365C"/>
          <w:spacing w:val="-5"/>
          <w:sz w:val="20"/>
        </w:rPr>
        <w:t> </w:t>
      </w:r>
      <w:r>
        <w:rPr>
          <w:color w:val="1F365C"/>
          <w:sz w:val="20"/>
        </w:rPr>
        <w:t>Patients</w:t>
      </w:r>
      <w:r>
        <w:rPr>
          <w:color w:val="1F365C"/>
          <w:spacing w:val="-4"/>
          <w:sz w:val="20"/>
        </w:rPr>
        <w:t> </w:t>
      </w:r>
      <w:r>
        <w:rPr>
          <w:color w:val="1F365C"/>
          <w:sz w:val="20"/>
        </w:rPr>
        <w:t>with COVID-19</w:t>
      </w:r>
      <w:r>
        <w:rPr>
          <w:sz w:val="20"/>
        </w:rPr>
        <w:t>. Published by IDSA. </w:t>
      </w:r>
      <w:r>
        <w:rPr>
          <w:color w:val="0462C1"/>
          <w:sz w:val="20"/>
          <w:u w:val="single" w:color="0462C1"/>
        </w:rPr>
        <w:t>URL:https://</w:t>
      </w:r>
      <w:hyperlink r:id="rId37">
        <w:r>
          <w:rPr>
            <w:color w:val="0462C1"/>
            <w:sz w:val="20"/>
            <w:u w:val="single" w:color="0462C1"/>
          </w:rPr>
          <w:t>www.idsociety.org/practice-guideline/covid-19-</w:t>
        </w:r>
      </w:hyperlink>
      <w:r>
        <w:rPr>
          <w:color w:val="0462C1"/>
          <w:sz w:val="20"/>
        </w:rPr>
        <w:t> </w:t>
      </w:r>
      <w:r>
        <w:rPr>
          <w:color w:val="0462C1"/>
          <w:sz w:val="20"/>
          <w:u w:val="single" w:color="0462C1"/>
        </w:rPr>
        <w:t>guideline-treatment-and-management/</w:t>
      </w:r>
      <w:r>
        <w:rPr>
          <w:color w:val="0462C1"/>
          <w:spacing w:val="40"/>
          <w:sz w:val="20"/>
        </w:rPr>
        <w:t> </w:t>
      </w:r>
      <w:r>
        <w:rPr>
          <w:sz w:val="20"/>
        </w:rPr>
        <w:t>, [COVID-19 Guideline, Part 1: Treatment and Management].</w:t>
      </w:r>
    </w:p>
    <w:p>
      <w:pPr>
        <w:pStyle w:val="ListParagraph"/>
        <w:numPr>
          <w:ilvl w:val="0"/>
          <w:numId w:val="67"/>
        </w:numPr>
        <w:tabs>
          <w:tab w:pos="2405" w:val="left" w:leader="none"/>
          <w:tab w:pos="2407" w:val="left" w:leader="none"/>
        </w:tabs>
        <w:spacing w:line="240" w:lineRule="auto" w:before="0" w:after="0"/>
        <w:ind w:left="2407" w:right="1280" w:hanging="566"/>
        <w:jc w:val="both"/>
        <w:rPr>
          <w:sz w:val="20"/>
        </w:rPr>
      </w:pPr>
      <w:r>
        <w:rPr>
          <w:sz w:val="20"/>
        </w:rPr>
        <w:t>Inui S. et al. Chest CT Findings in Cases from the Cruise Ship “Diamond Princess” with Coronavirus Disease 2019 (COVID-19). Radiology: Cardiothoracic Imaging. 2020;2:e200110. </w:t>
      </w:r>
      <w:r>
        <w:rPr>
          <w:spacing w:val="-2"/>
          <w:sz w:val="20"/>
        </w:rPr>
        <w:t>doi:10.1148/ryct.2020200110.</w:t>
      </w:r>
    </w:p>
    <w:p>
      <w:pPr>
        <w:pStyle w:val="ListParagraph"/>
        <w:numPr>
          <w:ilvl w:val="0"/>
          <w:numId w:val="67"/>
        </w:numPr>
        <w:tabs>
          <w:tab w:pos="2405" w:val="left" w:leader="none"/>
          <w:tab w:pos="2407" w:val="left" w:leader="none"/>
        </w:tabs>
        <w:spacing w:line="240" w:lineRule="auto" w:before="0" w:after="0"/>
        <w:ind w:left="2407" w:right="1276" w:hanging="566"/>
        <w:jc w:val="both"/>
        <w:rPr>
          <w:sz w:val="20"/>
        </w:rPr>
      </w:pPr>
      <w:r>
        <w:rPr>
          <w:sz w:val="20"/>
        </w:rPr>
        <w:t>Jayk</w:t>
      </w:r>
      <w:r>
        <w:rPr>
          <w:spacing w:val="-3"/>
          <w:sz w:val="20"/>
        </w:rPr>
        <w:t> </w:t>
      </w:r>
      <w:r>
        <w:rPr>
          <w:sz w:val="20"/>
        </w:rPr>
        <w:t>Bernal</w:t>
      </w:r>
      <w:r>
        <w:rPr>
          <w:spacing w:val="-4"/>
          <w:sz w:val="20"/>
        </w:rPr>
        <w:t> </w:t>
      </w:r>
      <w:r>
        <w:rPr>
          <w:sz w:val="20"/>
        </w:rPr>
        <w:t>A,</w:t>
      </w:r>
      <w:r>
        <w:rPr>
          <w:spacing w:val="-4"/>
          <w:sz w:val="20"/>
        </w:rPr>
        <w:t> </w:t>
      </w:r>
      <w:r>
        <w:rPr>
          <w:sz w:val="20"/>
        </w:rPr>
        <w:t>et</w:t>
      </w:r>
      <w:r>
        <w:rPr>
          <w:spacing w:val="-7"/>
          <w:sz w:val="20"/>
        </w:rPr>
        <w:t> </w:t>
      </w:r>
      <w:r>
        <w:rPr>
          <w:sz w:val="20"/>
        </w:rPr>
        <w:t>al.</w:t>
      </w:r>
      <w:r>
        <w:rPr>
          <w:spacing w:val="-4"/>
          <w:sz w:val="20"/>
        </w:rPr>
        <w:t> </w:t>
      </w:r>
      <w:r>
        <w:rPr>
          <w:sz w:val="20"/>
        </w:rPr>
        <w:t>Molnupiravir</w:t>
      </w:r>
      <w:r>
        <w:rPr>
          <w:spacing w:val="-4"/>
          <w:sz w:val="20"/>
        </w:rPr>
        <w:t> </w:t>
      </w:r>
      <w:r>
        <w:rPr>
          <w:sz w:val="20"/>
        </w:rPr>
        <w:t>for</w:t>
      </w:r>
      <w:r>
        <w:rPr>
          <w:spacing w:val="-4"/>
          <w:sz w:val="20"/>
        </w:rPr>
        <w:t> </w:t>
      </w:r>
      <w:r>
        <w:rPr>
          <w:sz w:val="20"/>
        </w:rPr>
        <w:t>oral</w:t>
      </w:r>
      <w:r>
        <w:rPr>
          <w:spacing w:val="-4"/>
          <w:sz w:val="20"/>
        </w:rPr>
        <w:t> </w:t>
      </w:r>
      <w:r>
        <w:rPr>
          <w:sz w:val="20"/>
        </w:rPr>
        <w:t>treatment</w:t>
      </w:r>
      <w:r>
        <w:rPr>
          <w:spacing w:val="-7"/>
          <w:sz w:val="20"/>
        </w:rPr>
        <w:t> </w:t>
      </w:r>
      <w:r>
        <w:rPr>
          <w:sz w:val="20"/>
        </w:rPr>
        <w:t>of</w:t>
      </w:r>
      <w:r>
        <w:rPr>
          <w:spacing w:val="-6"/>
          <w:sz w:val="20"/>
        </w:rPr>
        <w:t> </w:t>
      </w:r>
      <w:r>
        <w:rPr>
          <w:sz w:val="20"/>
        </w:rPr>
        <w:t>COVID-19</w:t>
      </w:r>
      <w:r>
        <w:rPr>
          <w:spacing w:val="-3"/>
          <w:sz w:val="20"/>
        </w:rPr>
        <w:t> </w:t>
      </w:r>
      <w:r>
        <w:rPr>
          <w:sz w:val="20"/>
        </w:rPr>
        <w:t>in</w:t>
      </w:r>
      <w:r>
        <w:rPr>
          <w:spacing w:val="-3"/>
          <w:sz w:val="20"/>
        </w:rPr>
        <w:t> </w:t>
      </w:r>
      <w:r>
        <w:rPr>
          <w:sz w:val="20"/>
        </w:rPr>
        <w:t>nonhospitalized</w:t>
      </w:r>
      <w:r>
        <w:rPr>
          <w:spacing w:val="-3"/>
          <w:sz w:val="20"/>
        </w:rPr>
        <w:t> </w:t>
      </w:r>
      <w:r>
        <w:rPr>
          <w:sz w:val="20"/>
        </w:rPr>
        <w:t>patients.</w:t>
      </w:r>
      <w:r>
        <w:rPr>
          <w:spacing w:val="-4"/>
          <w:sz w:val="20"/>
        </w:rPr>
        <w:t> </w:t>
      </w:r>
      <w:r>
        <w:rPr>
          <w:sz w:val="20"/>
        </w:rPr>
        <w:t>N</w:t>
      </w:r>
      <w:r>
        <w:rPr>
          <w:spacing w:val="-4"/>
          <w:sz w:val="20"/>
        </w:rPr>
        <w:t> </w:t>
      </w:r>
      <w:r>
        <w:rPr>
          <w:sz w:val="20"/>
        </w:rPr>
        <w:t>Engl J Med 2022;386:509–520</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Jesú V. et al. Rationale for Prolonged Corticosteroid Treatment in the Acute Respiratory Distress Syndrome</w:t>
      </w:r>
      <w:r>
        <w:rPr>
          <w:spacing w:val="-4"/>
          <w:sz w:val="20"/>
        </w:rPr>
        <w:t> </w:t>
      </w:r>
      <w:r>
        <w:rPr>
          <w:sz w:val="20"/>
        </w:rPr>
        <w:t>Caused by</w:t>
      </w:r>
      <w:r>
        <w:rPr>
          <w:spacing w:val="-3"/>
          <w:sz w:val="20"/>
        </w:rPr>
        <w:t> </w:t>
      </w:r>
      <w:r>
        <w:rPr>
          <w:sz w:val="20"/>
        </w:rPr>
        <w:t>Coronavirus Disease 2019. ritical Care Explorations: April 2020 - Volume 2 - Issue 4 - p e0111 doi: 10.1097/CCE.0000000000000111.</w:t>
      </w:r>
    </w:p>
    <w:p>
      <w:pPr>
        <w:pStyle w:val="ListParagraph"/>
        <w:numPr>
          <w:ilvl w:val="0"/>
          <w:numId w:val="67"/>
        </w:numPr>
        <w:tabs>
          <w:tab w:pos="2405" w:val="left" w:leader="none"/>
          <w:tab w:pos="2407" w:val="left" w:leader="none"/>
        </w:tabs>
        <w:spacing w:line="259" w:lineRule="auto" w:before="0" w:after="0"/>
        <w:ind w:left="2407" w:right="1280" w:hanging="566"/>
        <w:jc w:val="both"/>
        <w:rPr>
          <w:sz w:val="20"/>
        </w:rPr>
      </w:pPr>
      <w:r>
        <w:rPr>
          <w:sz w:val="20"/>
        </w:rPr>
        <w:t>Ji W. et al. Homologous recombination within the spike glycoprotein of the newly identified coronavirus</w:t>
      </w:r>
      <w:r>
        <w:rPr>
          <w:spacing w:val="-6"/>
          <w:sz w:val="20"/>
        </w:rPr>
        <w:t> </w:t>
      </w:r>
      <w:r>
        <w:rPr>
          <w:sz w:val="20"/>
        </w:rPr>
        <w:t>may</w:t>
      </w:r>
      <w:r>
        <w:rPr>
          <w:spacing w:val="-6"/>
          <w:sz w:val="20"/>
        </w:rPr>
        <w:t> </w:t>
      </w:r>
      <w:r>
        <w:rPr>
          <w:sz w:val="20"/>
        </w:rPr>
        <w:t>boost</w:t>
      </w:r>
      <w:r>
        <w:rPr>
          <w:spacing w:val="-6"/>
          <w:sz w:val="20"/>
        </w:rPr>
        <w:t> </w:t>
      </w:r>
      <w:r>
        <w:rPr>
          <w:sz w:val="20"/>
        </w:rPr>
        <w:t>cross</w:t>
      </w:r>
      <w:r>
        <w:rPr>
          <w:rFonts w:ascii="Cambria Math" w:hAnsi="Cambria Math"/>
          <w:sz w:val="20"/>
        </w:rPr>
        <w:t>‐</w:t>
      </w:r>
      <w:r>
        <w:rPr>
          <w:sz w:val="20"/>
        </w:rPr>
        <w:t>species</w:t>
      </w:r>
      <w:r>
        <w:rPr>
          <w:spacing w:val="-6"/>
          <w:sz w:val="20"/>
        </w:rPr>
        <w:t> </w:t>
      </w:r>
      <w:r>
        <w:rPr>
          <w:sz w:val="20"/>
        </w:rPr>
        <w:t>transmission</w:t>
      </w:r>
      <w:r>
        <w:rPr>
          <w:spacing w:val="-4"/>
          <w:sz w:val="20"/>
        </w:rPr>
        <w:t> </w:t>
      </w:r>
      <w:r>
        <w:rPr>
          <w:sz w:val="20"/>
        </w:rPr>
        <w:t>from</w:t>
      </w:r>
      <w:r>
        <w:rPr>
          <w:spacing w:val="-5"/>
          <w:sz w:val="20"/>
        </w:rPr>
        <w:t> </w:t>
      </w:r>
      <w:r>
        <w:rPr>
          <w:sz w:val="20"/>
        </w:rPr>
        <w:t>snake</w:t>
      </w:r>
      <w:r>
        <w:rPr>
          <w:spacing w:val="-5"/>
          <w:sz w:val="20"/>
        </w:rPr>
        <w:t> </w:t>
      </w:r>
      <w:r>
        <w:rPr>
          <w:sz w:val="20"/>
        </w:rPr>
        <w:t>to</w:t>
      </w:r>
      <w:r>
        <w:rPr>
          <w:spacing w:val="-5"/>
          <w:sz w:val="20"/>
        </w:rPr>
        <w:t> </w:t>
      </w:r>
      <w:r>
        <w:rPr>
          <w:sz w:val="20"/>
        </w:rPr>
        <w:t>human</w:t>
      </w:r>
      <w:r>
        <w:rPr>
          <w:spacing w:val="-4"/>
          <w:sz w:val="20"/>
        </w:rPr>
        <w:t> </w:t>
      </w:r>
      <w:r>
        <w:rPr>
          <w:sz w:val="20"/>
        </w:rPr>
        <w:t>//Journal</w:t>
      </w:r>
      <w:r>
        <w:rPr>
          <w:spacing w:val="-5"/>
          <w:sz w:val="20"/>
        </w:rPr>
        <w:t> </w:t>
      </w:r>
      <w:r>
        <w:rPr>
          <w:sz w:val="20"/>
        </w:rPr>
        <w:t>of</w:t>
      </w:r>
      <w:r>
        <w:rPr>
          <w:spacing w:val="-5"/>
          <w:sz w:val="20"/>
        </w:rPr>
        <w:t> </w:t>
      </w:r>
      <w:r>
        <w:rPr>
          <w:sz w:val="20"/>
        </w:rPr>
        <w:t>Medical</w:t>
      </w:r>
      <w:r>
        <w:rPr>
          <w:spacing w:val="-5"/>
          <w:sz w:val="20"/>
        </w:rPr>
        <w:t> </w:t>
      </w:r>
      <w:r>
        <w:rPr>
          <w:sz w:val="20"/>
        </w:rPr>
        <w:t>Virology. – 2020.</w:t>
      </w:r>
    </w:p>
    <w:p>
      <w:pPr>
        <w:pStyle w:val="ListParagraph"/>
        <w:numPr>
          <w:ilvl w:val="0"/>
          <w:numId w:val="67"/>
        </w:numPr>
        <w:tabs>
          <w:tab w:pos="2405" w:val="left" w:leader="none"/>
        </w:tabs>
        <w:spacing w:line="228" w:lineRule="exact" w:before="0" w:after="0"/>
        <w:ind w:left="2405" w:right="0" w:hanging="564"/>
        <w:jc w:val="both"/>
        <w:rPr>
          <w:sz w:val="20"/>
        </w:rPr>
      </w:pPr>
      <w:r>
        <w:rPr>
          <w:sz w:val="20"/>
        </w:rPr>
        <w:t>Julie</w:t>
      </w:r>
      <w:r>
        <w:rPr>
          <w:spacing w:val="-5"/>
          <w:sz w:val="20"/>
        </w:rPr>
        <w:t> </w:t>
      </w:r>
      <w:r>
        <w:rPr>
          <w:sz w:val="20"/>
        </w:rPr>
        <w:t>K.</w:t>
      </w:r>
      <w:r>
        <w:rPr>
          <w:spacing w:val="-4"/>
          <w:sz w:val="20"/>
        </w:rPr>
        <w:t> </w:t>
      </w:r>
      <w:r>
        <w:rPr>
          <w:sz w:val="20"/>
        </w:rPr>
        <w:t>Silver:</w:t>
      </w:r>
      <w:r>
        <w:rPr>
          <w:spacing w:val="-5"/>
          <w:sz w:val="20"/>
        </w:rPr>
        <w:t> </w:t>
      </w:r>
      <w:r>
        <w:rPr>
          <w:sz w:val="20"/>
        </w:rPr>
        <w:t>Prehabilitation</w:t>
      </w:r>
      <w:r>
        <w:rPr>
          <w:spacing w:val="-3"/>
          <w:sz w:val="20"/>
        </w:rPr>
        <w:t> </w:t>
      </w:r>
      <w:r>
        <w:rPr>
          <w:sz w:val="20"/>
        </w:rPr>
        <w:t>could</w:t>
      </w:r>
      <w:r>
        <w:rPr>
          <w:spacing w:val="-4"/>
          <w:sz w:val="20"/>
        </w:rPr>
        <w:t> </w:t>
      </w:r>
      <w:r>
        <w:rPr>
          <w:sz w:val="20"/>
        </w:rPr>
        <w:t>save</w:t>
      </w:r>
      <w:r>
        <w:rPr>
          <w:spacing w:val="-4"/>
          <w:sz w:val="20"/>
        </w:rPr>
        <w:t> </w:t>
      </w:r>
      <w:r>
        <w:rPr>
          <w:sz w:val="20"/>
        </w:rPr>
        <w:t>lives</w:t>
      </w:r>
      <w:r>
        <w:rPr>
          <w:spacing w:val="-5"/>
          <w:sz w:val="20"/>
        </w:rPr>
        <w:t> </w:t>
      </w:r>
      <w:r>
        <w:rPr>
          <w:sz w:val="20"/>
        </w:rPr>
        <w:t>in</w:t>
      </w:r>
      <w:r>
        <w:rPr>
          <w:spacing w:val="-4"/>
          <w:sz w:val="20"/>
        </w:rPr>
        <w:t> </w:t>
      </w:r>
      <w:r>
        <w:rPr>
          <w:sz w:val="20"/>
        </w:rPr>
        <w:t>a</w:t>
      </w:r>
      <w:r>
        <w:rPr>
          <w:spacing w:val="-5"/>
          <w:sz w:val="20"/>
        </w:rPr>
        <w:t> </w:t>
      </w:r>
      <w:r>
        <w:rPr>
          <w:sz w:val="20"/>
        </w:rPr>
        <w:t>pandemic.</w:t>
      </w:r>
      <w:r>
        <w:rPr>
          <w:spacing w:val="2"/>
          <w:sz w:val="20"/>
        </w:rPr>
        <w:t> </w:t>
      </w:r>
      <w:r>
        <w:rPr>
          <w:sz w:val="20"/>
        </w:rPr>
        <w:t>March</w:t>
      </w:r>
      <w:r>
        <w:rPr>
          <w:spacing w:val="-3"/>
          <w:sz w:val="20"/>
        </w:rPr>
        <w:t> </w:t>
      </w:r>
      <w:r>
        <w:rPr>
          <w:sz w:val="20"/>
        </w:rPr>
        <w:t>19,</w:t>
      </w:r>
      <w:r>
        <w:rPr>
          <w:spacing w:val="-5"/>
          <w:sz w:val="20"/>
        </w:rPr>
        <w:t> </w:t>
      </w:r>
      <w:r>
        <w:rPr>
          <w:spacing w:val="-2"/>
          <w:sz w:val="20"/>
        </w:rPr>
        <w:t>2020.</w:t>
      </w:r>
    </w:p>
    <w:p>
      <w:pPr>
        <w:pStyle w:val="ListParagraph"/>
        <w:numPr>
          <w:ilvl w:val="0"/>
          <w:numId w:val="67"/>
        </w:numPr>
        <w:tabs>
          <w:tab w:pos="2405" w:val="left" w:leader="none"/>
          <w:tab w:pos="2407" w:val="left" w:leader="none"/>
        </w:tabs>
        <w:spacing w:line="259" w:lineRule="auto" w:before="17" w:after="0"/>
        <w:ind w:left="2407" w:right="1273" w:hanging="566"/>
        <w:jc w:val="both"/>
        <w:rPr>
          <w:sz w:val="20"/>
        </w:rPr>
      </w:pPr>
      <w:r>
        <w:rPr>
          <w:sz w:val="20"/>
        </w:rPr>
        <w:t>Junqiang L. et al. CT Imaging of the 2019 Novel Coronavirus (2019-nCoV) Pneumonia https://doi.org/10.1148/radiol.2020200236.</w:t>
      </w:r>
      <w:r>
        <w:rPr>
          <w:spacing w:val="-13"/>
          <w:sz w:val="20"/>
        </w:rPr>
        <w:t> </w:t>
      </w:r>
      <w:r>
        <w:rPr>
          <w:sz w:val="20"/>
        </w:rPr>
        <w:t>URL:</w:t>
      </w:r>
      <w:r>
        <w:rPr>
          <w:spacing w:val="-12"/>
          <w:sz w:val="20"/>
        </w:rPr>
        <w:t> </w:t>
      </w:r>
      <w:r>
        <w:rPr>
          <w:color w:val="0462C1"/>
          <w:sz w:val="20"/>
          <w:u w:val="single" w:color="0462C1"/>
        </w:rPr>
        <w:t>https://pubs.rsna.org/doi/10.1148/radiol.2020200236</w:t>
      </w:r>
    </w:p>
    <w:p>
      <w:pPr>
        <w:pStyle w:val="ListParagraph"/>
        <w:numPr>
          <w:ilvl w:val="0"/>
          <w:numId w:val="67"/>
        </w:numPr>
        <w:tabs>
          <w:tab w:pos="2405" w:val="left" w:leader="none"/>
          <w:tab w:pos="2407" w:val="left" w:leader="none"/>
        </w:tabs>
        <w:spacing w:line="256" w:lineRule="auto" w:before="0" w:after="0"/>
        <w:ind w:left="2407" w:right="1272" w:hanging="566"/>
        <w:jc w:val="both"/>
        <w:rPr>
          <w:sz w:val="20"/>
        </w:rPr>
      </w:pPr>
      <w:r>
        <w:rPr>
          <w:sz w:val="20"/>
        </w:rPr>
        <w:t>Kimberly Showalter, et al. Advice on Treating Rheumatic Diseases From a COVID-19 Epicenter - Medscape - May 11, 2020.</w:t>
      </w:r>
    </w:p>
    <w:p>
      <w:pPr>
        <w:pStyle w:val="ListParagraph"/>
        <w:numPr>
          <w:ilvl w:val="0"/>
          <w:numId w:val="67"/>
        </w:numPr>
        <w:tabs>
          <w:tab w:pos="2405" w:val="left" w:leader="none"/>
          <w:tab w:pos="2407" w:val="left" w:leader="none"/>
        </w:tabs>
        <w:spacing w:line="259" w:lineRule="auto" w:before="2" w:after="0"/>
        <w:ind w:left="2407" w:right="1272" w:hanging="566"/>
        <w:jc w:val="both"/>
        <w:rPr>
          <w:sz w:val="20"/>
        </w:rPr>
      </w:pPr>
      <w:r>
        <w:rPr>
          <w:sz w:val="20"/>
        </w:rPr>
        <w:t>Kligerman S.J., Franks T.J., Galvin J.R. From the radiologic pathology archives: organization and fibrosis as a response to lung injury in diffuse alveolar damage, organizing pneumonia, and acute fibrinous and organizing pneumonia // Radiographics. 2013. V. 33. No. 7. P. 1951–1975. Doi: </w:t>
      </w:r>
      <w:r>
        <w:rPr>
          <w:spacing w:val="-2"/>
          <w:sz w:val="20"/>
        </w:rPr>
        <w:t>10.1148/rg.337130057.</w:t>
      </w:r>
    </w:p>
    <w:p>
      <w:pPr>
        <w:pStyle w:val="ListParagraph"/>
        <w:numPr>
          <w:ilvl w:val="0"/>
          <w:numId w:val="67"/>
        </w:numPr>
        <w:tabs>
          <w:tab w:pos="2405" w:val="left" w:leader="none"/>
          <w:tab w:pos="2407" w:val="left" w:leader="none"/>
        </w:tabs>
        <w:spacing w:line="256" w:lineRule="auto" w:before="0" w:after="0"/>
        <w:ind w:left="2407" w:right="1271" w:hanging="566"/>
        <w:jc w:val="both"/>
        <w:rPr>
          <w:sz w:val="20"/>
        </w:rPr>
      </w:pPr>
      <w:r>
        <w:rPr>
          <w:sz w:val="20"/>
        </w:rPr>
        <w:t>Kress, J.P. and J.B. Hall, ICU-acquired weakness and recovery from critical illness. N Engl J Med, 2014. 370(17): p. 1626-35.</w:t>
      </w:r>
    </w:p>
    <w:p>
      <w:pPr>
        <w:pStyle w:val="ListParagraph"/>
        <w:numPr>
          <w:ilvl w:val="0"/>
          <w:numId w:val="67"/>
        </w:numPr>
        <w:tabs>
          <w:tab w:pos="2405" w:val="left" w:leader="none"/>
          <w:tab w:pos="2407" w:val="left" w:leader="none"/>
        </w:tabs>
        <w:spacing w:line="259" w:lineRule="auto" w:before="3" w:after="0"/>
        <w:ind w:left="2407" w:right="1269" w:hanging="566"/>
        <w:jc w:val="both"/>
        <w:rPr>
          <w:sz w:val="20"/>
        </w:rPr>
      </w:pPr>
      <w:r>
        <w:rPr>
          <w:sz w:val="20"/>
        </w:rPr>
        <w:t>Kuderer N.M. Chouein T.K., Shah D.P. et al. Clinical impact of COVID-19 jn patients with cancer (CCC19): A COHORT STUDY. Lncet 2020; S0140-6736(20)31187-9. Doi; 10.1016.S0140- </w:t>
      </w:r>
      <w:r>
        <w:rPr>
          <w:spacing w:val="-2"/>
          <w:sz w:val="20"/>
        </w:rPr>
        <w:t>6736(20)311197-9.</w:t>
      </w:r>
    </w:p>
    <w:p>
      <w:pPr>
        <w:pStyle w:val="ListParagraph"/>
        <w:numPr>
          <w:ilvl w:val="0"/>
          <w:numId w:val="67"/>
        </w:numPr>
        <w:tabs>
          <w:tab w:pos="2405" w:val="left" w:leader="none"/>
          <w:tab w:pos="2407" w:val="left" w:leader="none"/>
          <w:tab w:pos="4820" w:val="left" w:leader="none"/>
          <w:tab w:pos="7556" w:val="left" w:leader="none"/>
          <w:tab w:pos="10171" w:val="left" w:leader="none"/>
        </w:tabs>
        <w:spacing w:line="259" w:lineRule="auto" w:before="0" w:after="0"/>
        <w:ind w:left="2407" w:right="1273" w:hanging="566"/>
        <w:jc w:val="both"/>
        <w:rPr>
          <w:sz w:val="20"/>
        </w:rPr>
      </w:pPr>
      <w:r>
        <w:rPr>
          <w:sz w:val="20"/>
        </w:rPr>
        <w:t>Kumar B. et al. A Personalized Diagnostic and Treatment Approach for Macrophage Activation Syndrome and Secondary Hemophagocytic Lymphohistiocytosis in Adults. Journal of Clinical </w:t>
      </w:r>
      <w:r>
        <w:rPr>
          <w:spacing w:val="-2"/>
          <w:sz w:val="20"/>
        </w:rPr>
        <w:t>Immunology,</w:t>
      </w:r>
      <w:r>
        <w:rPr>
          <w:sz w:val="20"/>
        </w:rPr>
        <w:tab/>
        <w:t>volume 37, pages</w:t>
        <w:tab/>
      </w:r>
      <w:r>
        <w:rPr>
          <w:spacing w:val="-2"/>
          <w:sz w:val="20"/>
        </w:rPr>
        <w:t>638–643(2017).</w:t>
      </w:r>
      <w:r>
        <w:rPr>
          <w:sz w:val="20"/>
        </w:rPr>
        <w:tab/>
      </w:r>
      <w:r>
        <w:rPr>
          <w:spacing w:val="-4"/>
          <w:sz w:val="20"/>
        </w:rPr>
        <w:t>URL: </w:t>
      </w:r>
      <w:r>
        <w:rPr>
          <w:spacing w:val="-2"/>
          <w:sz w:val="20"/>
        </w:rPr>
        <w:t>https://link.springer.com/article/10.1007/s10875-017-0439-x</w:t>
      </w:r>
    </w:p>
    <w:p>
      <w:pPr>
        <w:pStyle w:val="ListParagraph"/>
        <w:numPr>
          <w:ilvl w:val="0"/>
          <w:numId w:val="67"/>
        </w:numPr>
        <w:tabs>
          <w:tab w:pos="2405" w:val="left" w:leader="none"/>
          <w:tab w:pos="2407" w:val="left" w:leader="none"/>
        </w:tabs>
        <w:spacing w:line="237" w:lineRule="auto" w:before="0" w:after="0"/>
        <w:ind w:left="2407" w:right="1284" w:hanging="566"/>
        <w:jc w:val="both"/>
        <w:rPr>
          <w:sz w:val="20"/>
        </w:rPr>
      </w:pPr>
      <w:r>
        <w:rPr>
          <w:sz w:val="20"/>
        </w:rPr>
        <w:t>Le Chang et al. Coronavirus Disease 2019: Coronaviruses and Blood Safety. Transfusion Medicine Reviews 2020. doi:10.1016/j.tmrv.2020.02.003.</w:t>
      </w:r>
    </w:p>
    <w:p>
      <w:pPr>
        <w:pStyle w:val="ListParagraph"/>
        <w:numPr>
          <w:ilvl w:val="0"/>
          <w:numId w:val="67"/>
        </w:numPr>
        <w:tabs>
          <w:tab w:pos="2405" w:val="left" w:leader="none"/>
          <w:tab w:pos="2407" w:val="left" w:leader="none"/>
        </w:tabs>
        <w:spacing w:line="240" w:lineRule="auto" w:before="1" w:after="0"/>
        <w:ind w:left="2407" w:right="1271" w:hanging="566"/>
        <w:jc w:val="both"/>
        <w:rPr>
          <w:sz w:val="20"/>
        </w:rPr>
      </w:pPr>
      <w:r>
        <w:rPr>
          <w:sz w:val="20"/>
        </w:rPr>
        <w:t>Lee</w:t>
      </w:r>
      <w:r>
        <w:rPr>
          <w:spacing w:val="-3"/>
          <w:sz w:val="20"/>
        </w:rPr>
        <w:t> </w:t>
      </w:r>
      <w:r>
        <w:rPr>
          <w:sz w:val="20"/>
        </w:rPr>
        <w:t>BP,</w:t>
      </w:r>
      <w:r>
        <w:rPr>
          <w:spacing w:val="-3"/>
          <w:sz w:val="20"/>
        </w:rPr>
        <w:t> </w:t>
      </w:r>
      <w:r>
        <w:rPr>
          <w:sz w:val="20"/>
        </w:rPr>
        <w:t>Dodge</w:t>
      </w:r>
      <w:r>
        <w:rPr>
          <w:spacing w:val="-5"/>
          <w:sz w:val="20"/>
        </w:rPr>
        <w:t> </w:t>
      </w:r>
      <w:r>
        <w:rPr>
          <w:sz w:val="20"/>
        </w:rPr>
        <w:t>JL,</w:t>
      </w:r>
      <w:r>
        <w:rPr>
          <w:spacing w:val="-3"/>
          <w:sz w:val="20"/>
        </w:rPr>
        <w:t> </w:t>
      </w:r>
      <w:r>
        <w:rPr>
          <w:sz w:val="20"/>
        </w:rPr>
        <w:t>Leventhal</w:t>
      </w:r>
      <w:r>
        <w:rPr>
          <w:spacing w:val="-8"/>
          <w:sz w:val="20"/>
        </w:rPr>
        <w:t> </w:t>
      </w:r>
      <w:r>
        <w:rPr>
          <w:sz w:val="20"/>
        </w:rPr>
        <w:t>A,</w:t>
      </w:r>
      <w:r>
        <w:rPr>
          <w:spacing w:val="-3"/>
          <w:sz w:val="20"/>
        </w:rPr>
        <w:t> </w:t>
      </w:r>
      <w:r>
        <w:rPr>
          <w:sz w:val="20"/>
        </w:rPr>
        <w:t>Terrault</w:t>
      </w:r>
      <w:r>
        <w:rPr>
          <w:spacing w:val="-4"/>
          <w:sz w:val="20"/>
        </w:rPr>
        <w:t> </w:t>
      </w:r>
      <w:r>
        <w:rPr>
          <w:sz w:val="20"/>
        </w:rPr>
        <w:t>NA.</w:t>
      </w:r>
      <w:r>
        <w:rPr>
          <w:spacing w:val="-3"/>
          <w:sz w:val="20"/>
        </w:rPr>
        <w:t> </w:t>
      </w:r>
      <w:r>
        <w:rPr>
          <w:sz w:val="20"/>
        </w:rPr>
        <w:t>Retail</w:t>
      </w:r>
      <w:r>
        <w:rPr>
          <w:spacing w:val="-3"/>
          <w:sz w:val="20"/>
        </w:rPr>
        <w:t> </w:t>
      </w:r>
      <w:r>
        <w:rPr>
          <w:sz w:val="20"/>
        </w:rPr>
        <w:t>alcohol</w:t>
      </w:r>
      <w:r>
        <w:rPr>
          <w:spacing w:val="-4"/>
          <w:sz w:val="20"/>
        </w:rPr>
        <w:t> </w:t>
      </w:r>
      <w:r>
        <w:rPr>
          <w:sz w:val="20"/>
        </w:rPr>
        <w:t>and</w:t>
      </w:r>
      <w:r>
        <w:rPr>
          <w:spacing w:val="-5"/>
          <w:sz w:val="20"/>
        </w:rPr>
        <w:t> </w:t>
      </w:r>
      <w:r>
        <w:rPr>
          <w:sz w:val="20"/>
        </w:rPr>
        <w:t>tobacco</w:t>
      </w:r>
      <w:r>
        <w:rPr>
          <w:spacing w:val="-2"/>
          <w:sz w:val="20"/>
        </w:rPr>
        <w:t> </w:t>
      </w:r>
      <w:r>
        <w:rPr>
          <w:sz w:val="20"/>
        </w:rPr>
        <w:t>sales</w:t>
      </w:r>
      <w:r>
        <w:rPr>
          <w:spacing w:val="-4"/>
          <w:sz w:val="20"/>
        </w:rPr>
        <w:t> </w:t>
      </w:r>
      <w:r>
        <w:rPr>
          <w:sz w:val="20"/>
        </w:rPr>
        <w:t>during</w:t>
      </w:r>
      <w:r>
        <w:rPr>
          <w:spacing w:val="-5"/>
          <w:sz w:val="20"/>
        </w:rPr>
        <w:t> </w:t>
      </w:r>
      <w:r>
        <w:rPr>
          <w:sz w:val="20"/>
        </w:rPr>
        <w:t>COVID-19.Ann Intern Med 2021;174:1027–1029</w:t>
      </w:r>
    </w:p>
    <w:p>
      <w:pPr>
        <w:pStyle w:val="ListParagraph"/>
        <w:numPr>
          <w:ilvl w:val="0"/>
          <w:numId w:val="67"/>
        </w:numPr>
        <w:tabs>
          <w:tab w:pos="2405" w:val="left" w:leader="none"/>
          <w:tab w:pos="2407" w:val="left" w:leader="none"/>
        </w:tabs>
        <w:spacing w:line="240" w:lineRule="auto" w:before="0" w:after="0"/>
        <w:ind w:left="2407" w:right="1285" w:hanging="566"/>
        <w:jc w:val="both"/>
        <w:rPr>
          <w:sz w:val="20"/>
        </w:rPr>
      </w:pPr>
      <w:r>
        <w:rPr>
          <w:sz w:val="20"/>
        </w:rPr>
        <w:t>Lee Kyung Soo. Pneumonia Associated with 2019 Novel Coronavirus: Can Computed Tomographic Findings Help Predict the Prognosis of the Disease? Korean Journal of Radiology(2020), 21 (3):257.</w:t>
      </w:r>
    </w:p>
    <w:p>
      <w:pPr>
        <w:pStyle w:val="ListParagraph"/>
        <w:numPr>
          <w:ilvl w:val="0"/>
          <w:numId w:val="67"/>
        </w:numPr>
        <w:tabs>
          <w:tab w:pos="2405" w:val="left" w:leader="none"/>
          <w:tab w:pos="2407" w:val="left" w:leader="none"/>
        </w:tabs>
        <w:spacing w:line="237" w:lineRule="auto" w:before="2" w:after="0"/>
        <w:ind w:left="2407" w:right="1274" w:hanging="566"/>
        <w:jc w:val="both"/>
        <w:rPr>
          <w:sz w:val="20"/>
        </w:rPr>
      </w:pPr>
      <w:r>
        <w:rPr>
          <w:sz w:val="20"/>
        </w:rPr>
        <w:t>Li</w:t>
      </w:r>
      <w:r>
        <w:rPr>
          <w:spacing w:val="-4"/>
          <w:sz w:val="20"/>
        </w:rPr>
        <w:t> </w:t>
      </w:r>
      <w:r>
        <w:rPr>
          <w:sz w:val="20"/>
        </w:rPr>
        <w:t>Q</w:t>
      </w:r>
      <w:r>
        <w:rPr>
          <w:spacing w:val="-3"/>
          <w:sz w:val="20"/>
        </w:rPr>
        <w:t> </w:t>
      </w:r>
      <w:r>
        <w:rPr>
          <w:sz w:val="20"/>
        </w:rPr>
        <w:t>et</w:t>
      </w:r>
      <w:r>
        <w:rPr>
          <w:spacing w:val="-3"/>
          <w:sz w:val="20"/>
        </w:rPr>
        <w:t> </w:t>
      </w:r>
      <w:r>
        <w:rPr>
          <w:sz w:val="20"/>
        </w:rPr>
        <w:t>al.</w:t>
      </w:r>
      <w:r>
        <w:rPr>
          <w:spacing w:val="-3"/>
          <w:sz w:val="20"/>
        </w:rPr>
        <w:t> </w:t>
      </w:r>
      <w:r>
        <w:rPr>
          <w:sz w:val="20"/>
        </w:rPr>
        <w:t>Early</w:t>
      </w:r>
      <w:r>
        <w:rPr>
          <w:spacing w:val="-3"/>
          <w:sz w:val="20"/>
        </w:rPr>
        <w:t> </w:t>
      </w:r>
      <w:r>
        <w:rPr>
          <w:sz w:val="20"/>
        </w:rPr>
        <w:t>Transmission</w:t>
      </w:r>
      <w:r>
        <w:rPr>
          <w:spacing w:val="-2"/>
          <w:sz w:val="20"/>
        </w:rPr>
        <w:t> </w:t>
      </w:r>
      <w:r>
        <w:rPr>
          <w:sz w:val="20"/>
        </w:rPr>
        <w:t>Dynamics</w:t>
      </w:r>
      <w:r>
        <w:rPr>
          <w:spacing w:val="-4"/>
          <w:sz w:val="20"/>
        </w:rPr>
        <w:t> </w:t>
      </w:r>
      <w:r>
        <w:rPr>
          <w:sz w:val="20"/>
        </w:rPr>
        <w:t>in</w:t>
      </w:r>
      <w:r>
        <w:rPr>
          <w:spacing w:val="-2"/>
          <w:sz w:val="20"/>
        </w:rPr>
        <w:t> </w:t>
      </w:r>
      <w:r>
        <w:rPr>
          <w:sz w:val="20"/>
        </w:rPr>
        <w:t>Wuhan,</w:t>
      </w:r>
      <w:r>
        <w:rPr>
          <w:spacing w:val="-3"/>
          <w:sz w:val="20"/>
        </w:rPr>
        <w:t> </w:t>
      </w:r>
      <w:r>
        <w:rPr>
          <w:sz w:val="20"/>
        </w:rPr>
        <w:t>China,</w:t>
      </w:r>
      <w:r>
        <w:rPr>
          <w:spacing w:val="-3"/>
          <w:sz w:val="20"/>
        </w:rPr>
        <w:t> </w:t>
      </w:r>
      <w:r>
        <w:rPr>
          <w:sz w:val="20"/>
        </w:rPr>
        <w:t>of</w:t>
      </w:r>
      <w:r>
        <w:rPr>
          <w:spacing w:val="-3"/>
          <w:sz w:val="20"/>
        </w:rPr>
        <w:t> </w:t>
      </w:r>
      <w:r>
        <w:rPr>
          <w:sz w:val="20"/>
        </w:rPr>
        <w:t>Novel</w:t>
      </w:r>
      <w:r>
        <w:rPr>
          <w:spacing w:val="-3"/>
          <w:sz w:val="20"/>
        </w:rPr>
        <w:t> </w:t>
      </w:r>
      <w:r>
        <w:rPr>
          <w:sz w:val="20"/>
        </w:rPr>
        <w:t>Coronavirus-Infected</w:t>
      </w:r>
      <w:r>
        <w:rPr>
          <w:spacing w:val="-2"/>
          <w:sz w:val="20"/>
        </w:rPr>
        <w:t> </w:t>
      </w:r>
      <w:r>
        <w:rPr>
          <w:sz w:val="20"/>
        </w:rPr>
        <w:t>Pneumonia N Engl J Med. 2020 Jan 29. doi: 10.1056/NEJMoa2001316.</w:t>
      </w:r>
    </w:p>
    <w:p>
      <w:pPr>
        <w:pStyle w:val="ListParagraph"/>
        <w:numPr>
          <w:ilvl w:val="0"/>
          <w:numId w:val="67"/>
        </w:numPr>
        <w:tabs>
          <w:tab w:pos="2405" w:val="left" w:leader="none"/>
          <w:tab w:pos="2407" w:val="left" w:leader="none"/>
        </w:tabs>
        <w:spacing w:line="240" w:lineRule="auto" w:before="1" w:after="0"/>
        <w:ind w:left="2407" w:right="1275" w:hanging="566"/>
        <w:jc w:val="both"/>
        <w:rPr>
          <w:sz w:val="20"/>
        </w:rPr>
      </w:pPr>
      <w:r>
        <w:rPr>
          <w:sz w:val="20"/>
        </w:rPr>
        <w:t>Li</w:t>
      </w:r>
      <w:r>
        <w:rPr>
          <w:spacing w:val="-13"/>
          <w:sz w:val="20"/>
        </w:rPr>
        <w:t> </w:t>
      </w:r>
      <w:r>
        <w:rPr>
          <w:sz w:val="20"/>
        </w:rPr>
        <w:t>X</w:t>
      </w:r>
      <w:r>
        <w:rPr>
          <w:spacing w:val="-12"/>
          <w:sz w:val="20"/>
        </w:rPr>
        <w:t> </w:t>
      </w:r>
      <w:r>
        <w:rPr>
          <w:sz w:val="20"/>
        </w:rPr>
        <w:t>et</w:t>
      </w:r>
      <w:r>
        <w:rPr>
          <w:spacing w:val="-13"/>
          <w:sz w:val="20"/>
        </w:rPr>
        <w:t> </w:t>
      </w:r>
      <w:r>
        <w:rPr>
          <w:sz w:val="20"/>
        </w:rPr>
        <w:t>al.</w:t>
      </w:r>
      <w:r>
        <w:rPr>
          <w:spacing w:val="-12"/>
          <w:sz w:val="20"/>
        </w:rPr>
        <w:t> </w:t>
      </w:r>
      <w:r>
        <w:rPr>
          <w:sz w:val="20"/>
        </w:rPr>
        <w:t>Potential</w:t>
      </w:r>
      <w:r>
        <w:rPr>
          <w:spacing w:val="-13"/>
          <w:sz w:val="20"/>
        </w:rPr>
        <w:t> </w:t>
      </w:r>
      <w:r>
        <w:rPr>
          <w:sz w:val="20"/>
        </w:rPr>
        <w:t>of</w:t>
      </w:r>
      <w:r>
        <w:rPr>
          <w:spacing w:val="-12"/>
          <w:sz w:val="20"/>
        </w:rPr>
        <w:t> </w:t>
      </w:r>
      <w:r>
        <w:rPr>
          <w:sz w:val="20"/>
        </w:rPr>
        <w:t>large</w:t>
      </w:r>
      <w:r>
        <w:rPr>
          <w:spacing w:val="-13"/>
          <w:sz w:val="20"/>
        </w:rPr>
        <w:t> </w:t>
      </w:r>
      <w:r>
        <w:rPr>
          <w:sz w:val="20"/>
        </w:rPr>
        <w:t>'first</w:t>
      </w:r>
      <w:r>
        <w:rPr>
          <w:spacing w:val="-12"/>
          <w:sz w:val="20"/>
        </w:rPr>
        <w:t> </w:t>
      </w:r>
      <w:r>
        <w:rPr>
          <w:sz w:val="20"/>
        </w:rPr>
        <w:t>generation'</w:t>
      </w:r>
      <w:r>
        <w:rPr>
          <w:spacing w:val="-13"/>
          <w:sz w:val="20"/>
        </w:rPr>
        <w:t> </w:t>
      </w:r>
      <w:r>
        <w:rPr>
          <w:sz w:val="20"/>
        </w:rPr>
        <w:t>human-to-human</w:t>
      </w:r>
      <w:r>
        <w:rPr>
          <w:spacing w:val="-12"/>
          <w:sz w:val="20"/>
        </w:rPr>
        <w:t> </w:t>
      </w:r>
      <w:r>
        <w:rPr>
          <w:sz w:val="20"/>
        </w:rPr>
        <w:t>transmission</w:t>
      </w:r>
      <w:r>
        <w:rPr>
          <w:spacing w:val="-13"/>
          <w:sz w:val="20"/>
        </w:rPr>
        <w:t> </w:t>
      </w:r>
      <w:r>
        <w:rPr>
          <w:sz w:val="20"/>
        </w:rPr>
        <w:t>of</w:t>
      </w:r>
      <w:r>
        <w:rPr>
          <w:spacing w:val="-12"/>
          <w:sz w:val="20"/>
        </w:rPr>
        <w:t> </w:t>
      </w:r>
      <w:r>
        <w:rPr>
          <w:sz w:val="20"/>
        </w:rPr>
        <w:t>2019-nCoV.</w:t>
      </w:r>
      <w:r>
        <w:rPr>
          <w:spacing w:val="-13"/>
          <w:sz w:val="20"/>
        </w:rPr>
        <w:t> </w:t>
      </w:r>
      <w:r>
        <w:rPr>
          <w:sz w:val="20"/>
        </w:rPr>
        <w:t>J</w:t>
      </w:r>
      <w:r>
        <w:rPr>
          <w:spacing w:val="-12"/>
          <w:sz w:val="20"/>
        </w:rPr>
        <w:t> </w:t>
      </w:r>
      <w:r>
        <w:rPr>
          <w:sz w:val="20"/>
        </w:rPr>
        <w:t>Med</w:t>
      </w:r>
      <w:r>
        <w:rPr>
          <w:spacing w:val="-13"/>
          <w:sz w:val="20"/>
        </w:rPr>
        <w:t> </w:t>
      </w:r>
      <w:r>
        <w:rPr>
          <w:sz w:val="20"/>
        </w:rPr>
        <w:t>Virol. 2020 Jan 30. doi: 10.1002/jmv.25693. [Epub ahead of print]</w:t>
      </w:r>
    </w:p>
    <w:p>
      <w:pPr>
        <w:pStyle w:val="ListParagraph"/>
        <w:numPr>
          <w:ilvl w:val="0"/>
          <w:numId w:val="67"/>
        </w:numPr>
        <w:tabs>
          <w:tab w:pos="2405" w:val="left" w:leader="none"/>
          <w:tab w:pos="2407" w:val="left" w:leader="none"/>
        </w:tabs>
        <w:spacing w:line="240" w:lineRule="auto" w:before="1" w:after="0"/>
        <w:ind w:left="2407" w:right="1275" w:hanging="566"/>
        <w:jc w:val="both"/>
        <w:rPr>
          <w:sz w:val="20"/>
        </w:rPr>
      </w:pPr>
      <w:r>
        <w:rPr>
          <w:sz w:val="20"/>
        </w:rPr>
        <w:t>Lu</w:t>
      </w:r>
      <w:r>
        <w:rPr>
          <w:spacing w:val="-5"/>
          <w:sz w:val="20"/>
        </w:rPr>
        <w:t> </w:t>
      </w:r>
      <w:r>
        <w:rPr>
          <w:sz w:val="20"/>
        </w:rPr>
        <w:t>H.</w:t>
      </w:r>
      <w:r>
        <w:rPr>
          <w:spacing w:val="-5"/>
          <w:sz w:val="20"/>
        </w:rPr>
        <w:t> </w:t>
      </w:r>
      <w:r>
        <w:rPr>
          <w:sz w:val="20"/>
        </w:rPr>
        <w:t>Drug</w:t>
      </w:r>
      <w:r>
        <w:rPr>
          <w:spacing w:val="-5"/>
          <w:sz w:val="20"/>
        </w:rPr>
        <w:t> </w:t>
      </w:r>
      <w:r>
        <w:rPr>
          <w:sz w:val="20"/>
        </w:rPr>
        <w:t>treatment</w:t>
      </w:r>
      <w:r>
        <w:rPr>
          <w:spacing w:val="-6"/>
          <w:sz w:val="20"/>
        </w:rPr>
        <w:t> </w:t>
      </w:r>
      <w:r>
        <w:rPr>
          <w:sz w:val="20"/>
        </w:rPr>
        <w:t>options</w:t>
      </w:r>
      <w:r>
        <w:rPr>
          <w:spacing w:val="-8"/>
          <w:sz w:val="20"/>
        </w:rPr>
        <w:t> </w:t>
      </w:r>
      <w:r>
        <w:rPr>
          <w:sz w:val="20"/>
        </w:rPr>
        <w:t>for</w:t>
      </w:r>
      <w:r>
        <w:rPr>
          <w:spacing w:val="-5"/>
          <w:sz w:val="20"/>
        </w:rPr>
        <w:t> </w:t>
      </w:r>
      <w:r>
        <w:rPr>
          <w:sz w:val="20"/>
        </w:rPr>
        <w:t>the</w:t>
      </w:r>
      <w:r>
        <w:rPr>
          <w:spacing w:val="-7"/>
          <w:sz w:val="20"/>
        </w:rPr>
        <w:t> </w:t>
      </w:r>
      <w:r>
        <w:rPr>
          <w:sz w:val="20"/>
        </w:rPr>
        <w:t>2019-new</w:t>
      </w:r>
      <w:r>
        <w:rPr>
          <w:spacing w:val="-5"/>
          <w:sz w:val="20"/>
        </w:rPr>
        <w:t> </w:t>
      </w:r>
      <w:r>
        <w:rPr>
          <w:sz w:val="20"/>
        </w:rPr>
        <w:t>coronavirus</w:t>
      </w:r>
      <w:r>
        <w:rPr>
          <w:spacing w:val="-8"/>
          <w:sz w:val="20"/>
        </w:rPr>
        <w:t> </w:t>
      </w:r>
      <w:r>
        <w:rPr>
          <w:sz w:val="20"/>
        </w:rPr>
        <w:t>(2019-nCoV).</w:t>
      </w:r>
      <w:r>
        <w:rPr>
          <w:spacing w:val="-5"/>
          <w:sz w:val="20"/>
        </w:rPr>
        <w:t> </w:t>
      </w:r>
      <w:r>
        <w:rPr>
          <w:sz w:val="20"/>
        </w:rPr>
        <w:t>Biosci</w:t>
      </w:r>
      <w:r>
        <w:rPr>
          <w:spacing w:val="-5"/>
          <w:sz w:val="20"/>
        </w:rPr>
        <w:t> </w:t>
      </w:r>
      <w:r>
        <w:rPr>
          <w:sz w:val="20"/>
        </w:rPr>
        <w:t>Trends.</w:t>
      </w:r>
      <w:r>
        <w:rPr>
          <w:spacing w:val="-7"/>
          <w:sz w:val="20"/>
        </w:rPr>
        <w:t> </w:t>
      </w:r>
      <w:r>
        <w:rPr>
          <w:sz w:val="20"/>
        </w:rPr>
        <w:t>2020</w:t>
      </w:r>
      <w:r>
        <w:rPr>
          <w:spacing w:val="-5"/>
          <w:sz w:val="20"/>
        </w:rPr>
        <w:t> </w:t>
      </w:r>
      <w:r>
        <w:rPr>
          <w:sz w:val="20"/>
        </w:rPr>
        <w:t>Jan</w:t>
      </w:r>
      <w:r>
        <w:rPr>
          <w:spacing w:val="-7"/>
          <w:sz w:val="20"/>
        </w:rPr>
        <w:t> </w:t>
      </w:r>
      <w:r>
        <w:rPr>
          <w:sz w:val="20"/>
        </w:rPr>
        <w:t>28. doi: 10.5582/bst.2020.01020. [Epub ahead of print]</w:t>
      </w:r>
    </w:p>
    <w:p>
      <w:pPr>
        <w:pStyle w:val="ListParagraph"/>
        <w:numPr>
          <w:ilvl w:val="0"/>
          <w:numId w:val="67"/>
        </w:numPr>
        <w:tabs>
          <w:tab w:pos="2405" w:val="left" w:leader="none"/>
          <w:tab w:pos="2407" w:val="left" w:leader="none"/>
        </w:tabs>
        <w:spacing w:line="240" w:lineRule="auto" w:before="0" w:after="0"/>
        <w:ind w:left="2407" w:right="1280" w:hanging="566"/>
        <w:jc w:val="both"/>
        <w:rPr>
          <w:sz w:val="20"/>
        </w:rPr>
      </w:pPr>
      <w:r>
        <w:rPr>
          <w:spacing w:val="-2"/>
          <w:sz w:val="20"/>
        </w:rPr>
        <w:t>Lu</w:t>
      </w:r>
      <w:r>
        <w:rPr>
          <w:spacing w:val="-5"/>
          <w:sz w:val="20"/>
        </w:rPr>
        <w:t> </w:t>
      </w:r>
      <w:r>
        <w:rPr>
          <w:spacing w:val="-2"/>
          <w:sz w:val="20"/>
        </w:rPr>
        <w:t>W.,</w:t>
      </w:r>
      <w:r>
        <w:rPr>
          <w:spacing w:val="-6"/>
          <w:sz w:val="20"/>
        </w:rPr>
        <w:t> </w:t>
      </w:r>
      <w:r>
        <w:rPr>
          <w:spacing w:val="-2"/>
          <w:sz w:val="20"/>
        </w:rPr>
        <w:t>Zhang</w:t>
      </w:r>
      <w:r>
        <w:rPr>
          <w:spacing w:val="-5"/>
          <w:sz w:val="20"/>
        </w:rPr>
        <w:t> </w:t>
      </w:r>
      <w:r>
        <w:rPr>
          <w:spacing w:val="-2"/>
          <w:sz w:val="20"/>
        </w:rPr>
        <w:t>S.,</w:t>
      </w:r>
      <w:r>
        <w:rPr>
          <w:spacing w:val="-5"/>
          <w:sz w:val="20"/>
        </w:rPr>
        <w:t> </w:t>
      </w:r>
      <w:r>
        <w:rPr>
          <w:spacing w:val="-2"/>
          <w:sz w:val="20"/>
        </w:rPr>
        <w:t>Chen</w:t>
      </w:r>
      <w:r>
        <w:rPr>
          <w:spacing w:val="-7"/>
          <w:sz w:val="20"/>
        </w:rPr>
        <w:t> </w:t>
      </w:r>
      <w:r>
        <w:rPr>
          <w:spacing w:val="-2"/>
          <w:sz w:val="20"/>
        </w:rPr>
        <w:t>B.</w:t>
      </w:r>
      <w:r>
        <w:rPr>
          <w:spacing w:val="-6"/>
          <w:sz w:val="20"/>
        </w:rPr>
        <w:t> </w:t>
      </w:r>
      <w:r>
        <w:rPr>
          <w:spacing w:val="-2"/>
          <w:sz w:val="20"/>
        </w:rPr>
        <w:t>et</w:t>
      </w:r>
      <w:r>
        <w:rPr>
          <w:spacing w:val="-6"/>
          <w:sz w:val="20"/>
        </w:rPr>
        <w:t> </w:t>
      </w:r>
      <w:r>
        <w:rPr>
          <w:spacing w:val="-2"/>
          <w:sz w:val="20"/>
        </w:rPr>
        <w:t>al.</w:t>
      </w:r>
      <w:r>
        <w:rPr>
          <w:spacing w:val="-9"/>
          <w:sz w:val="20"/>
        </w:rPr>
        <w:t> </w:t>
      </w:r>
      <w:r>
        <w:rPr>
          <w:spacing w:val="-2"/>
          <w:sz w:val="20"/>
        </w:rPr>
        <w:t>A</w:t>
      </w:r>
      <w:r>
        <w:rPr>
          <w:spacing w:val="-6"/>
          <w:sz w:val="20"/>
        </w:rPr>
        <w:t> </w:t>
      </w:r>
      <w:r>
        <w:rPr>
          <w:spacing w:val="-2"/>
          <w:sz w:val="20"/>
        </w:rPr>
        <w:t>Clinical</w:t>
      </w:r>
      <w:r>
        <w:rPr>
          <w:spacing w:val="-6"/>
          <w:sz w:val="20"/>
        </w:rPr>
        <w:t> </w:t>
      </w:r>
      <w:r>
        <w:rPr>
          <w:spacing w:val="-2"/>
          <w:sz w:val="20"/>
        </w:rPr>
        <w:t>Study</w:t>
      </w:r>
      <w:r>
        <w:rPr>
          <w:spacing w:val="-5"/>
          <w:sz w:val="20"/>
        </w:rPr>
        <w:t> </w:t>
      </w:r>
      <w:r>
        <w:rPr>
          <w:spacing w:val="-2"/>
          <w:sz w:val="20"/>
        </w:rPr>
        <w:t>of</w:t>
      </w:r>
      <w:r>
        <w:rPr>
          <w:spacing w:val="-5"/>
          <w:sz w:val="20"/>
        </w:rPr>
        <w:t> </w:t>
      </w:r>
      <w:r>
        <w:rPr>
          <w:spacing w:val="-2"/>
          <w:sz w:val="20"/>
        </w:rPr>
        <w:t>Noninvasive</w:t>
      </w:r>
      <w:r>
        <w:rPr>
          <w:spacing w:val="-6"/>
          <w:sz w:val="20"/>
        </w:rPr>
        <w:t> </w:t>
      </w:r>
      <w:r>
        <w:rPr>
          <w:spacing w:val="-2"/>
          <w:sz w:val="20"/>
        </w:rPr>
        <w:t>Assessment</w:t>
      </w:r>
      <w:r>
        <w:rPr>
          <w:spacing w:val="-6"/>
          <w:sz w:val="20"/>
        </w:rPr>
        <w:t> </w:t>
      </w:r>
      <w:r>
        <w:rPr>
          <w:spacing w:val="-2"/>
          <w:sz w:val="20"/>
        </w:rPr>
        <w:t>of</w:t>
      </w:r>
      <w:r>
        <w:rPr>
          <w:spacing w:val="-5"/>
          <w:sz w:val="20"/>
        </w:rPr>
        <w:t> </w:t>
      </w:r>
      <w:r>
        <w:rPr>
          <w:spacing w:val="-2"/>
          <w:sz w:val="20"/>
        </w:rPr>
        <w:t>Lung</w:t>
      </w:r>
      <w:r>
        <w:rPr>
          <w:spacing w:val="-7"/>
          <w:sz w:val="20"/>
        </w:rPr>
        <w:t> </w:t>
      </w:r>
      <w:r>
        <w:rPr>
          <w:spacing w:val="-2"/>
          <w:sz w:val="20"/>
        </w:rPr>
        <w:t>Lesions</w:t>
      </w:r>
      <w:r>
        <w:rPr>
          <w:spacing w:val="-7"/>
          <w:sz w:val="20"/>
        </w:rPr>
        <w:t> </w:t>
      </w:r>
      <w:r>
        <w:rPr>
          <w:spacing w:val="-2"/>
          <w:sz w:val="20"/>
        </w:rPr>
        <w:t>in</w:t>
      </w:r>
      <w:r>
        <w:rPr>
          <w:spacing w:val="-5"/>
          <w:sz w:val="20"/>
        </w:rPr>
        <w:t> </w:t>
      </w:r>
      <w:r>
        <w:rPr>
          <w:spacing w:val="-2"/>
          <w:sz w:val="20"/>
        </w:rPr>
        <w:t>Patients </w:t>
      </w:r>
      <w:r>
        <w:rPr>
          <w:sz w:val="20"/>
        </w:rPr>
        <w:t>with Coronavirus Disease-19 (COVID-19) by Bedside Ultrasound [published online ahead of print, 2020 Apr 15] // Ultraschall Med. 2020;10.1055/a-1154-8795. Doi: 10.1055/a-1154-8795.</w:t>
      </w:r>
    </w:p>
    <w:p>
      <w:pPr>
        <w:pStyle w:val="ListParagraph"/>
        <w:numPr>
          <w:ilvl w:val="0"/>
          <w:numId w:val="67"/>
        </w:numPr>
        <w:tabs>
          <w:tab w:pos="2405" w:val="left" w:leader="none"/>
          <w:tab w:pos="2407" w:val="left" w:leader="none"/>
        </w:tabs>
        <w:spacing w:line="240" w:lineRule="auto" w:before="0" w:after="0"/>
        <w:ind w:left="2407" w:right="1280" w:hanging="566"/>
        <w:jc w:val="both"/>
        <w:rPr>
          <w:sz w:val="20"/>
        </w:rPr>
      </w:pPr>
      <w:r>
        <w:rPr>
          <w:sz w:val="20"/>
        </w:rPr>
        <w:t>Ludvigsson JF. Systematic review of COVID</w:t>
      </w:r>
      <w:r>
        <w:rPr>
          <w:rFonts w:ascii="Cambria Math" w:hAnsi="Cambria Math"/>
          <w:sz w:val="20"/>
        </w:rPr>
        <w:t>‐</w:t>
      </w:r>
      <w:r>
        <w:rPr>
          <w:sz w:val="20"/>
        </w:rPr>
        <w:t>19 in children show milder cases and a better prognosis than adults. URL: </w:t>
      </w:r>
      <w:r>
        <w:rPr>
          <w:color w:val="0462C1"/>
          <w:sz w:val="20"/>
          <w:u w:val="single" w:color="0462C1"/>
        </w:rPr>
        <w:t>https://doi.org/10.1111/apa.15270</w:t>
      </w:r>
    </w:p>
    <w:p>
      <w:pPr>
        <w:pStyle w:val="ListParagraph"/>
        <w:numPr>
          <w:ilvl w:val="0"/>
          <w:numId w:val="67"/>
        </w:numPr>
        <w:tabs>
          <w:tab w:pos="2405" w:val="left" w:leader="none"/>
          <w:tab w:pos="2407" w:val="left" w:leader="none"/>
        </w:tabs>
        <w:spacing w:line="240" w:lineRule="auto" w:before="0" w:after="0"/>
        <w:ind w:left="2407" w:right="1269" w:hanging="566"/>
        <w:jc w:val="both"/>
        <w:rPr>
          <w:sz w:val="20"/>
        </w:rPr>
      </w:pPr>
      <w:r>
        <w:rPr>
          <w:sz w:val="20"/>
        </w:rPr>
        <w:t>Lupia</w:t>
      </w:r>
      <w:r>
        <w:rPr>
          <w:spacing w:val="-9"/>
          <w:sz w:val="20"/>
        </w:rPr>
        <w:t> </w:t>
      </w:r>
      <w:r>
        <w:rPr>
          <w:sz w:val="20"/>
        </w:rPr>
        <w:t>T.,</w:t>
      </w:r>
      <w:r>
        <w:rPr>
          <w:spacing w:val="-9"/>
          <w:sz w:val="20"/>
        </w:rPr>
        <w:t> </w:t>
      </w:r>
      <w:r>
        <w:rPr>
          <w:sz w:val="20"/>
        </w:rPr>
        <w:t>Scabini</w:t>
      </w:r>
      <w:r>
        <w:rPr>
          <w:spacing w:val="-10"/>
          <w:sz w:val="20"/>
        </w:rPr>
        <w:t> </w:t>
      </w:r>
      <w:r>
        <w:rPr>
          <w:sz w:val="20"/>
        </w:rPr>
        <w:t>S.,</w:t>
      </w:r>
      <w:r>
        <w:rPr>
          <w:spacing w:val="-9"/>
          <w:sz w:val="20"/>
        </w:rPr>
        <w:t> </w:t>
      </w:r>
      <w:r>
        <w:rPr>
          <w:sz w:val="20"/>
        </w:rPr>
        <w:t>Pinna</w:t>
      </w:r>
      <w:r>
        <w:rPr>
          <w:spacing w:val="-9"/>
          <w:sz w:val="20"/>
        </w:rPr>
        <w:t> </w:t>
      </w:r>
      <w:r>
        <w:rPr>
          <w:sz w:val="20"/>
        </w:rPr>
        <w:t>S.M.,</w:t>
      </w:r>
      <w:r>
        <w:rPr>
          <w:spacing w:val="-9"/>
          <w:sz w:val="20"/>
        </w:rPr>
        <w:t> </w:t>
      </w:r>
      <w:r>
        <w:rPr>
          <w:sz w:val="20"/>
        </w:rPr>
        <w:t>Di</w:t>
      </w:r>
      <w:r>
        <w:rPr>
          <w:spacing w:val="-9"/>
          <w:sz w:val="20"/>
        </w:rPr>
        <w:t> </w:t>
      </w:r>
      <w:r>
        <w:rPr>
          <w:sz w:val="20"/>
        </w:rPr>
        <w:t>Perri</w:t>
      </w:r>
      <w:r>
        <w:rPr>
          <w:spacing w:val="-10"/>
          <w:sz w:val="20"/>
        </w:rPr>
        <w:t> </w:t>
      </w:r>
      <w:r>
        <w:rPr>
          <w:sz w:val="20"/>
        </w:rPr>
        <w:t>G.,</w:t>
      </w:r>
      <w:r>
        <w:rPr>
          <w:spacing w:val="-9"/>
          <w:sz w:val="20"/>
        </w:rPr>
        <w:t> </w:t>
      </w:r>
      <w:r>
        <w:rPr>
          <w:sz w:val="20"/>
        </w:rPr>
        <w:t>De</w:t>
      </w:r>
      <w:r>
        <w:rPr>
          <w:spacing w:val="-9"/>
          <w:sz w:val="20"/>
        </w:rPr>
        <w:t> </w:t>
      </w:r>
      <w:r>
        <w:rPr>
          <w:sz w:val="20"/>
        </w:rPr>
        <w:t>Rosa</w:t>
      </w:r>
      <w:r>
        <w:rPr>
          <w:spacing w:val="-7"/>
          <w:sz w:val="20"/>
        </w:rPr>
        <w:t> </w:t>
      </w:r>
      <w:r>
        <w:rPr>
          <w:sz w:val="20"/>
        </w:rPr>
        <w:t>F.G.,</w:t>
      </w:r>
      <w:r>
        <w:rPr>
          <w:spacing w:val="-7"/>
          <w:sz w:val="20"/>
        </w:rPr>
        <w:t> </w:t>
      </w:r>
      <w:r>
        <w:rPr>
          <w:sz w:val="20"/>
        </w:rPr>
        <w:t>Corcione</w:t>
      </w:r>
      <w:r>
        <w:rPr>
          <w:spacing w:val="-9"/>
          <w:sz w:val="20"/>
        </w:rPr>
        <w:t> </w:t>
      </w:r>
      <w:r>
        <w:rPr>
          <w:sz w:val="20"/>
        </w:rPr>
        <w:t>S.</w:t>
      </w:r>
      <w:r>
        <w:rPr>
          <w:spacing w:val="-9"/>
          <w:sz w:val="20"/>
        </w:rPr>
        <w:t> </w:t>
      </w:r>
      <w:r>
        <w:rPr>
          <w:sz w:val="20"/>
        </w:rPr>
        <w:t>2019</w:t>
      </w:r>
      <w:r>
        <w:rPr>
          <w:spacing w:val="-11"/>
          <w:sz w:val="20"/>
        </w:rPr>
        <w:t> </w:t>
      </w:r>
      <w:r>
        <w:rPr>
          <w:sz w:val="20"/>
        </w:rPr>
        <w:t>novel</w:t>
      </w:r>
      <w:r>
        <w:rPr>
          <w:spacing w:val="-9"/>
          <w:sz w:val="20"/>
        </w:rPr>
        <w:t> </w:t>
      </w:r>
      <w:r>
        <w:rPr>
          <w:sz w:val="20"/>
        </w:rPr>
        <w:t>coronavirus</w:t>
      </w:r>
      <w:r>
        <w:rPr>
          <w:spacing w:val="-10"/>
          <w:sz w:val="20"/>
        </w:rPr>
        <w:t> </w:t>
      </w:r>
      <w:r>
        <w:rPr>
          <w:sz w:val="20"/>
        </w:rPr>
        <w:t>(2019- nCoV) outbreak: A new challenge, Journal of Global Antimicrobial Resistance 21 (2020) 22–27.</w:t>
      </w:r>
    </w:p>
    <w:p>
      <w:pPr>
        <w:pStyle w:val="ListParagraph"/>
        <w:numPr>
          <w:ilvl w:val="0"/>
          <w:numId w:val="67"/>
        </w:numPr>
        <w:tabs>
          <w:tab w:pos="2405" w:val="left" w:leader="none"/>
          <w:tab w:pos="2407" w:val="left" w:leader="none"/>
        </w:tabs>
        <w:spacing w:line="240" w:lineRule="auto" w:before="0" w:after="0"/>
        <w:ind w:left="2407" w:right="1276" w:hanging="566"/>
        <w:jc w:val="both"/>
        <w:rPr>
          <w:sz w:val="20"/>
        </w:rPr>
      </w:pPr>
      <w:r>
        <w:rPr>
          <w:sz w:val="20"/>
        </w:rPr>
        <w:t>Ly-Mee</w:t>
      </w:r>
      <w:r>
        <w:rPr>
          <w:spacing w:val="-8"/>
          <w:sz w:val="20"/>
        </w:rPr>
        <w:t> </w:t>
      </w:r>
      <w:r>
        <w:rPr>
          <w:sz w:val="20"/>
        </w:rPr>
        <w:t>Yu</w:t>
      </w:r>
      <w:r>
        <w:rPr>
          <w:spacing w:val="-8"/>
          <w:sz w:val="20"/>
        </w:rPr>
        <w:t> </w:t>
      </w:r>
      <w:r>
        <w:rPr>
          <w:sz w:val="20"/>
        </w:rPr>
        <w:t>et</w:t>
      </w:r>
      <w:r>
        <w:rPr>
          <w:spacing w:val="-8"/>
          <w:sz w:val="20"/>
        </w:rPr>
        <w:t> </w:t>
      </w:r>
      <w:r>
        <w:rPr>
          <w:sz w:val="20"/>
        </w:rPr>
        <w:t>al.</w:t>
      </w:r>
      <w:r>
        <w:rPr>
          <w:spacing w:val="-10"/>
          <w:sz w:val="20"/>
        </w:rPr>
        <w:t> </w:t>
      </w:r>
      <w:r>
        <w:rPr>
          <w:sz w:val="20"/>
        </w:rPr>
        <w:t>Inhaled</w:t>
      </w:r>
      <w:r>
        <w:rPr>
          <w:spacing w:val="-7"/>
          <w:sz w:val="20"/>
        </w:rPr>
        <w:t> </w:t>
      </w:r>
      <w:r>
        <w:rPr>
          <w:sz w:val="20"/>
        </w:rPr>
        <w:t>budesonide</w:t>
      </w:r>
      <w:r>
        <w:rPr>
          <w:spacing w:val="-8"/>
          <w:sz w:val="20"/>
        </w:rPr>
        <w:t> </w:t>
      </w:r>
      <w:r>
        <w:rPr>
          <w:sz w:val="20"/>
        </w:rPr>
        <w:t>for</w:t>
      </w:r>
      <w:r>
        <w:rPr>
          <w:spacing w:val="-8"/>
          <w:sz w:val="20"/>
        </w:rPr>
        <w:t> </w:t>
      </w:r>
      <w:r>
        <w:rPr>
          <w:sz w:val="20"/>
        </w:rPr>
        <w:t>COVID-19</w:t>
      </w:r>
      <w:r>
        <w:rPr>
          <w:spacing w:val="-8"/>
          <w:sz w:val="20"/>
        </w:rPr>
        <w:t> </w:t>
      </w:r>
      <w:r>
        <w:rPr>
          <w:sz w:val="20"/>
        </w:rPr>
        <w:t>in</w:t>
      </w:r>
      <w:r>
        <w:rPr>
          <w:spacing w:val="-9"/>
          <w:sz w:val="20"/>
        </w:rPr>
        <w:t> </w:t>
      </w:r>
      <w:r>
        <w:rPr>
          <w:sz w:val="20"/>
        </w:rPr>
        <w:t>people</w:t>
      </w:r>
      <w:r>
        <w:rPr>
          <w:spacing w:val="-8"/>
          <w:sz w:val="20"/>
        </w:rPr>
        <w:t> </w:t>
      </w:r>
      <w:r>
        <w:rPr>
          <w:sz w:val="20"/>
        </w:rPr>
        <w:t>at</w:t>
      </w:r>
      <w:r>
        <w:rPr>
          <w:spacing w:val="-8"/>
          <w:sz w:val="20"/>
        </w:rPr>
        <w:t> </w:t>
      </w:r>
      <w:r>
        <w:rPr>
          <w:sz w:val="20"/>
        </w:rPr>
        <w:t>higher</w:t>
      </w:r>
      <w:r>
        <w:rPr>
          <w:spacing w:val="-8"/>
          <w:sz w:val="20"/>
        </w:rPr>
        <w:t> </w:t>
      </w:r>
      <w:r>
        <w:rPr>
          <w:sz w:val="20"/>
        </w:rPr>
        <w:t>risk</w:t>
      </w:r>
      <w:r>
        <w:rPr>
          <w:spacing w:val="-8"/>
          <w:sz w:val="20"/>
        </w:rPr>
        <w:t> </w:t>
      </w:r>
      <w:r>
        <w:rPr>
          <w:sz w:val="20"/>
        </w:rPr>
        <w:t>of</w:t>
      </w:r>
      <w:r>
        <w:rPr>
          <w:spacing w:val="-8"/>
          <w:sz w:val="20"/>
        </w:rPr>
        <w:t> </w:t>
      </w:r>
      <w:r>
        <w:rPr>
          <w:sz w:val="20"/>
        </w:rPr>
        <w:t>adverse</w:t>
      </w:r>
      <w:r>
        <w:rPr>
          <w:spacing w:val="-8"/>
          <w:sz w:val="20"/>
        </w:rPr>
        <w:t> </w:t>
      </w:r>
      <w:r>
        <w:rPr>
          <w:sz w:val="20"/>
        </w:rPr>
        <w:t>outcomes</w:t>
      </w:r>
      <w:r>
        <w:rPr>
          <w:spacing w:val="-8"/>
          <w:sz w:val="20"/>
        </w:rPr>
        <w:t> </w:t>
      </w:r>
      <w:r>
        <w:rPr>
          <w:sz w:val="20"/>
        </w:rPr>
        <w:t>in</w:t>
      </w:r>
      <w:r>
        <w:rPr>
          <w:spacing w:val="-8"/>
          <w:sz w:val="20"/>
        </w:rPr>
        <w:t> </w:t>
      </w:r>
      <w:r>
        <w:rPr>
          <w:sz w:val="20"/>
        </w:rPr>
        <w:t>the community: interim analyses from the PRINCIPLE trial. 2021. URL: </w:t>
      </w:r>
      <w:r>
        <w:rPr>
          <w:color w:val="0462C1"/>
          <w:spacing w:val="-2"/>
          <w:sz w:val="20"/>
          <w:u w:val="single" w:color="0462C1"/>
        </w:rPr>
        <w:t>https</w:t>
      </w:r>
      <w:hyperlink r:id="rId38">
        <w:r>
          <w:rPr>
            <w:color w:val="0462C1"/>
            <w:spacing w:val="-2"/>
            <w:sz w:val="20"/>
            <w:u w:val="single" w:color="0462C1"/>
          </w:rPr>
          <w:t>://www.medrxiv.org/content/10.1101/2021.04.10.21254672v1</w:t>
        </w:r>
      </w:hyperlink>
    </w:p>
    <w:p>
      <w:pPr>
        <w:pStyle w:val="ListParagraph"/>
        <w:numPr>
          <w:ilvl w:val="0"/>
          <w:numId w:val="67"/>
        </w:numPr>
        <w:tabs>
          <w:tab w:pos="2405" w:val="left" w:leader="none"/>
          <w:tab w:pos="2407" w:val="left" w:leader="none"/>
        </w:tabs>
        <w:spacing w:line="237" w:lineRule="auto" w:before="0" w:after="0"/>
        <w:ind w:left="2407" w:right="1287" w:hanging="566"/>
        <w:jc w:val="both"/>
        <w:rPr>
          <w:sz w:val="20"/>
        </w:rPr>
      </w:pPr>
      <w:r>
        <w:rPr>
          <w:sz w:val="20"/>
        </w:rPr>
        <w:t>M.Ackermann, S. Verleden, M.Kuehnel, et al. Pulmonary Vascular Endothelialitis, Thrombosis, and Angiogenesis in Covid-19. DOI: 10.1056/NEJMoa2015432.</w:t>
      </w:r>
    </w:p>
    <w:p>
      <w:pPr>
        <w:pStyle w:val="ListParagraph"/>
        <w:numPr>
          <w:ilvl w:val="0"/>
          <w:numId w:val="67"/>
        </w:numPr>
        <w:tabs>
          <w:tab w:pos="2405" w:val="left" w:leader="none"/>
          <w:tab w:pos="2407" w:val="left" w:leader="none"/>
        </w:tabs>
        <w:spacing w:line="240" w:lineRule="auto" w:before="1" w:after="0"/>
        <w:ind w:left="2407" w:right="1278" w:hanging="566"/>
        <w:jc w:val="both"/>
        <w:rPr>
          <w:sz w:val="20"/>
        </w:rPr>
      </w:pPr>
      <w:r>
        <w:rPr>
          <w:sz w:val="20"/>
        </w:rPr>
        <w:t>Mandell L.A. et al. Infectious Diseases Society of America/American Thoracic Society consensus guidelines on the management of community-acquired pneumonia in adults //Clinical infectious diseases. – 2007. – Т. 44. – №. Supplement_2. – pp. S27-S72.</w:t>
      </w:r>
    </w:p>
    <w:p>
      <w:pPr>
        <w:pStyle w:val="ListParagraph"/>
        <w:spacing w:after="0" w:line="240" w:lineRule="auto"/>
        <w:jc w:val="both"/>
        <w:rPr>
          <w:sz w:val="20"/>
        </w:rPr>
        <w:sectPr>
          <w:pgSz w:w="11900" w:h="16840"/>
          <w:pgMar w:header="0" w:footer="697" w:top="1080" w:bottom="880" w:left="0" w:right="0"/>
        </w:sectPr>
      </w:pPr>
    </w:p>
    <w:p>
      <w:pPr>
        <w:pStyle w:val="ListParagraph"/>
        <w:numPr>
          <w:ilvl w:val="0"/>
          <w:numId w:val="67"/>
        </w:numPr>
        <w:tabs>
          <w:tab w:pos="2405" w:val="left" w:leader="none"/>
          <w:tab w:pos="2407" w:val="left" w:leader="none"/>
        </w:tabs>
        <w:spacing w:line="240" w:lineRule="auto" w:before="74" w:after="0"/>
        <w:ind w:left="2407" w:right="1274" w:hanging="566"/>
        <w:jc w:val="both"/>
        <w:rPr>
          <w:sz w:val="20"/>
        </w:rPr>
      </w:pPr>
      <w:bookmarkStart w:name="151" w:id="179"/>
      <w:bookmarkEnd w:id="179"/>
      <w:r>
        <w:rPr/>
      </w:r>
      <w:r>
        <w:rPr>
          <w:sz w:val="20"/>
        </w:rPr>
        <w:t>Mao L. et al. Neurological Manifestations of Hospitalized Patients with COVID-19 in</w:t>
      </w:r>
      <w:r>
        <w:rPr>
          <w:spacing w:val="-1"/>
          <w:sz w:val="20"/>
        </w:rPr>
        <w:t> </w:t>
      </w:r>
      <w:r>
        <w:rPr>
          <w:sz w:val="20"/>
        </w:rPr>
        <w:t>Wuhan, China: A retrospective case series study; 2020. doi: https://doi.org/10.1101/2020.02.22.20026500.</w:t>
      </w:r>
    </w:p>
    <w:p>
      <w:pPr>
        <w:pStyle w:val="ListParagraph"/>
        <w:numPr>
          <w:ilvl w:val="0"/>
          <w:numId w:val="67"/>
        </w:numPr>
        <w:tabs>
          <w:tab w:pos="2405" w:val="left" w:leader="none"/>
          <w:tab w:pos="2407" w:val="left" w:leader="none"/>
        </w:tabs>
        <w:spacing w:line="240" w:lineRule="auto" w:before="0" w:after="0"/>
        <w:ind w:left="2407" w:right="1279" w:hanging="566"/>
        <w:jc w:val="both"/>
        <w:rPr>
          <w:sz w:val="20"/>
        </w:rPr>
      </w:pPr>
      <w:r>
        <w:rPr>
          <w:sz w:val="20"/>
        </w:rPr>
        <w:t>Marjot T, Eberhardt CS, Boettler T, Belli LS, Berenguer M, Buti M, Jalann R, Mondelli MU, Moreau R, Shouval D, Berg T, Cornberg M et al. Impact of COVID-19 on the liver and on the care</w:t>
      </w:r>
      <w:r>
        <w:rPr>
          <w:spacing w:val="-2"/>
          <w:sz w:val="20"/>
        </w:rPr>
        <w:t> </w:t>
      </w:r>
      <w:r>
        <w:rPr>
          <w:sz w:val="20"/>
        </w:rPr>
        <w:t>of patients with chronic liver disease, hepatobiliary cancer, and liver transplantation: An updated EASL position paper. Journal of Hepatology 2022;77:1161–1197</w:t>
      </w:r>
    </w:p>
    <w:p>
      <w:pPr>
        <w:pStyle w:val="ListParagraph"/>
        <w:numPr>
          <w:ilvl w:val="0"/>
          <w:numId w:val="67"/>
        </w:numPr>
        <w:tabs>
          <w:tab w:pos="2405" w:val="left" w:leader="none"/>
          <w:tab w:pos="2407" w:val="left" w:leader="none"/>
        </w:tabs>
        <w:spacing w:line="240" w:lineRule="auto" w:before="0" w:after="0"/>
        <w:ind w:left="2407" w:right="1275" w:hanging="566"/>
        <w:jc w:val="both"/>
        <w:rPr>
          <w:sz w:val="20"/>
        </w:rPr>
      </w:pPr>
      <w:r>
        <w:rPr>
          <w:sz w:val="20"/>
        </w:rPr>
        <w:t>Marjot</w:t>
      </w:r>
      <w:r>
        <w:rPr>
          <w:spacing w:val="-11"/>
          <w:sz w:val="20"/>
        </w:rPr>
        <w:t> </w:t>
      </w:r>
      <w:r>
        <w:rPr>
          <w:sz w:val="20"/>
        </w:rPr>
        <w:t>T,</w:t>
      </w:r>
      <w:r>
        <w:rPr>
          <w:spacing w:val="-12"/>
          <w:sz w:val="20"/>
        </w:rPr>
        <w:t> </w:t>
      </w:r>
      <w:r>
        <w:rPr>
          <w:sz w:val="20"/>
        </w:rPr>
        <w:t>Webb</w:t>
      </w:r>
      <w:r>
        <w:rPr>
          <w:spacing w:val="-11"/>
          <w:sz w:val="20"/>
        </w:rPr>
        <w:t> </w:t>
      </w:r>
      <w:r>
        <w:rPr>
          <w:sz w:val="20"/>
        </w:rPr>
        <w:t>GJ,</w:t>
      </w:r>
      <w:r>
        <w:rPr>
          <w:spacing w:val="-10"/>
          <w:sz w:val="20"/>
        </w:rPr>
        <w:t> </w:t>
      </w:r>
      <w:r>
        <w:rPr>
          <w:sz w:val="20"/>
        </w:rPr>
        <w:t>Barritt</w:t>
      </w:r>
      <w:r>
        <w:rPr>
          <w:spacing w:val="-12"/>
          <w:sz w:val="20"/>
        </w:rPr>
        <w:t> </w:t>
      </w:r>
      <w:r>
        <w:rPr>
          <w:sz w:val="20"/>
        </w:rPr>
        <w:t>AS,</w:t>
      </w:r>
      <w:r>
        <w:rPr>
          <w:spacing w:val="-11"/>
          <w:sz w:val="20"/>
        </w:rPr>
        <w:t> </w:t>
      </w:r>
      <w:r>
        <w:rPr>
          <w:sz w:val="20"/>
        </w:rPr>
        <w:t>Moon</w:t>
      </w:r>
      <w:r>
        <w:rPr>
          <w:spacing w:val="-12"/>
          <w:sz w:val="20"/>
        </w:rPr>
        <w:t> </w:t>
      </w:r>
      <w:r>
        <w:rPr>
          <w:sz w:val="20"/>
        </w:rPr>
        <w:t>AM,</w:t>
      </w:r>
      <w:r>
        <w:rPr>
          <w:spacing w:val="-11"/>
          <w:sz w:val="20"/>
        </w:rPr>
        <w:t> </w:t>
      </w:r>
      <w:r>
        <w:rPr>
          <w:sz w:val="20"/>
        </w:rPr>
        <w:t>Stamataki</w:t>
      </w:r>
      <w:r>
        <w:rPr>
          <w:spacing w:val="-12"/>
          <w:sz w:val="20"/>
        </w:rPr>
        <w:t> </w:t>
      </w:r>
      <w:r>
        <w:rPr>
          <w:sz w:val="20"/>
        </w:rPr>
        <w:t>Z,</w:t>
      </w:r>
      <w:r>
        <w:rPr>
          <w:spacing w:val="-11"/>
          <w:sz w:val="20"/>
        </w:rPr>
        <w:t> </w:t>
      </w:r>
      <w:r>
        <w:rPr>
          <w:sz w:val="20"/>
        </w:rPr>
        <w:t>Wong</w:t>
      </w:r>
      <w:r>
        <w:rPr>
          <w:spacing w:val="-12"/>
          <w:sz w:val="20"/>
        </w:rPr>
        <w:t> </w:t>
      </w:r>
      <w:r>
        <w:rPr>
          <w:sz w:val="20"/>
        </w:rPr>
        <w:t>VW,</w:t>
      </w:r>
      <w:r>
        <w:rPr>
          <w:spacing w:val="-11"/>
          <w:sz w:val="20"/>
        </w:rPr>
        <w:t> </w:t>
      </w:r>
      <w:r>
        <w:rPr>
          <w:sz w:val="20"/>
        </w:rPr>
        <w:t>et</w:t>
      </w:r>
      <w:r>
        <w:rPr>
          <w:spacing w:val="-12"/>
          <w:sz w:val="20"/>
        </w:rPr>
        <w:t> </w:t>
      </w:r>
      <w:r>
        <w:rPr>
          <w:sz w:val="20"/>
        </w:rPr>
        <w:t>al.</w:t>
      </w:r>
      <w:r>
        <w:rPr>
          <w:spacing w:val="-10"/>
          <w:sz w:val="20"/>
        </w:rPr>
        <w:t> </w:t>
      </w:r>
      <w:r>
        <w:rPr>
          <w:sz w:val="20"/>
        </w:rPr>
        <w:t>COVID-19</w:t>
      </w:r>
      <w:r>
        <w:rPr>
          <w:spacing w:val="-11"/>
          <w:sz w:val="20"/>
        </w:rPr>
        <w:t> </w:t>
      </w:r>
      <w:r>
        <w:rPr>
          <w:sz w:val="20"/>
        </w:rPr>
        <w:t>and</w:t>
      </w:r>
      <w:r>
        <w:rPr>
          <w:spacing w:val="-12"/>
          <w:sz w:val="20"/>
        </w:rPr>
        <w:t> </w:t>
      </w:r>
      <w:r>
        <w:rPr>
          <w:sz w:val="20"/>
        </w:rPr>
        <w:t>liver</w:t>
      </w:r>
      <w:r>
        <w:rPr>
          <w:spacing w:val="-11"/>
          <w:sz w:val="20"/>
        </w:rPr>
        <w:t> </w:t>
      </w:r>
      <w:r>
        <w:rPr>
          <w:sz w:val="20"/>
        </w:rPr>
        <w:t>disease: mechanistic and clinical perspectives. Nat</w:t>
      </w:r>
      <w:r>
        <w:rPr>
          <w:spacing w:val="40"/>
          <w:sz w:val="20"/>
        </w:rPr>
        <w:t> </w:t>
      </w:r>
      <w:r>
        <w:rPr>
          <w:sz w:val="20"/>
        </w:rPr>
        <w:t>Rev Gastroenterol Hepatol 2021;18:348–364</w:t>
      </w:r>
    </w:p>
    <w:p>
      <w:pPr>
        <w:pStyle w:val="ListParagraph"/>
        <w:numPr>
          <w:ilvl w:val="0"/>
          <w:numId w:val="67"/>
        </w:numPr>
        <w:tabs>
          <w:tab w:pos="2405" w:val="left" w:leader="none"/>
          <w:tab w:pos="2407" w:val="left" w:leader="none"/>
        </w:tabs>
        <w:spacing w:line="240" w:lineRule="auto" w:before="0" w:after="0"/>
        <w:ind w:left="2407" w:right="1273" w:hanging="566"/>
        <w:jc w:val="both"/>
        <w:rPr>
          <w:sz w:val="20"/>
        </w:rPr>
      </w:pPr>
      <w:r>
        <w:rPr>
          <w:sz w:val="20"/>
        </w:rPr>
        <w:t>Maude S.L. et al. Managing Cytokine Release Syndrome Associated With Novel T Cell-Engaging Therapies Cancer J. 2014 Mar-Apr; 20(2): 119–122. doi: 10.1097/PPO.0000000000000035.</w:t>
      </w:r>
    </w:p>
    <w:p>
      <w:pPr>
        <w:pStyle w:val="ListParagraph"/>
        <w:numPr>
          <w:ilvl w:val="0"/>
          <w:numId w:val="67"/>
        </w:numPr>
        <w:tabs>
          <w:tab w:pos="2405" w:val="left" w:leader="none"/>
          <w:tab w:pos="2407" w:val="left" w:leader="none"/>
        </w:tabs>
        <w:spacing w:line="240" w:lineRule="auto" w:before="0" w:after="0"/>
        <w:ind w:left="2407" w:right="1276" w:hanging="566"/>
        <w:jc w:val="both"/>
        <w:rPr>
          <w:sz w:val="20"/>
        </w:rPr>
      </w:pPr>
      <w:r>
        <w:rPr>
          <w:sz w:val="20"/>
        </w:rPr>
        <w:t>Medrinal</w:t>
      </w:r>
      <w:r>
        <w:rPr>
          <w:spacing w:val="-11"/>
          <w:sz w:val="20"/>
        </w:rPr>
        <w:t> </w:t>
      </w:r>
      <w:r>
        <w:rPr>
          <w:sz w:val="20"/>
        </w:rPr>
        <w:t>C</w:t>
      </w:r>
      <w:r>
        <w:rPr>
          <w:spacing w:val="-11"/>
          <w:sz w:val="20"/>
        </w:rPr>
        <w:t> </w:t>
      </w:r>
      <w:r>
        <w:rPr>
          <w:sz w:val="20"/>
        </w:rPr>
        <w:t>et</w:t>
      </w:r>
      <w:r>
        <w:rPr>
          <w:spacing w:val="-10"/>
          <w:sz w:val="20"/>
        </w:rPr>
        <w:t> </w:t>
      </w:r>
      <w:r>
        <w:rPr>
          <w:sz w:val="20"/>
        </w:rPr>
        <w:t>al.</w:t>
      </w:r>
      <w:r>
        <w:rPr>
          <w:spacing w:val="-10"/>
          <w:sz w:val="20"/>
        </w:rPr>
        <w:t> </w:t>
      </w:r>
      <w:r>
        <w:rPr>
          <w:sz w:val="20"/>
        </w:rPr>
        <w:t>Comparison</w:t>
      </w:r>
      <w:r>
        <w:rPr>
          <w:spacing w:val="-13"/>
          <w:sz w:val="20"/>
        </w:rPr>
        <w:t> </w:t>
      </w:r>
      <w:r>
        <w:rPr>
          <w:sz w:val="20"/>
        </w:rPr>
        <w:t>of</w:t>
      </w:r>
      <w:r>
        <w:rPr>
          <w:spacing w:val="-10"/>
          <w:sz w:val="20"/>
        </w:rPr>
        <w:t> </w:t>
      </w:r>
      <w:r>
        <w:rPr>
          <w:sz w:val="20"/>
        </w:rPr>
        <w:t>exercise</w:t>
      </w:r>
      <w:r>
        <w:rPr>
          <w:spacing w:val="-11"/>
          <w:sz w:val="20"/>
        </w:rPr>
        <w:t> </w:t>
      </w:r>
      <w:r>
        <w:rPr>
          <w:sz w:val="20"/>
        </w:rPr>
        <w:t>intensity</w:t>
      </w:r>
      <w:r>
        <w:rPr>
          <w:spacing w:val="-12"/>
          <w:sz w:val="20"/>
        </w:rPr>
        <w:t> </w:t>
      </w:r>
      <w:r>
        <w:rPr>
          <w:sz w:val="20"/>
        </w:rPr>
        <w:t>during</w:t>
      </w:r>
      <w:r>
        <w:rPr>
          <w:spacing w:val="-9"/>
          <w:sz w:val="20"/>
        </w:rPr>
        <w:t> </w:t>
      </w:r>
      <w:r>
        <w:rPr>
          <w:sz w:val="20"/>
        </w:rPr>
        <w:t>four</w:t>
      </w:r>
      <w:r>
        <w:rPr>
          <w:spacing w:val="-10"/>
          <w:sz w:val="20"/>
        </w:rPr>
        <w:t> </w:t>
      </w:r>
      <w:r>
        <w:rPr>
          <w:sz w:val="20"/>
        </w:rPr>
        <w:t>early</w:t>
      </w:r>
      <w:r>
        <w:rPr>
          <w:spacing w:val="-12"/>
          <w:sz w:val="20"/>
        </w:rPr>
        <w:t> </w:t>
      </w:r>
      <w:r>
        <w:rPr>
          <w:sz w:val="20"/>
        </w:rPr>
        <w:t>rehabilitation</w:t>
      </w:r>
      <w:r>
        <w:rPr>
          <w:spacing w:val="-9"/>
          <w:sz w:val="20"/>
        </w:rPr>
        <w:t> </w:t>
      </w:r>
      <w:r>
        <w:rPr>
          <w:sz w:val="20"/>
        </w:rPr>
        <w:t>techniques</w:t>
      </w:r>
      <w:r>
        <w:rPr>
          <w:spacing w:val="-11"/>
          <w:sz w:val="20"/>
        </w:rPr>
        <w:t> </w:t>
      </w:r>
      <w:r>
        <w:rPr>
          <w:sz w:val="20"/>
        </w:rPr>
        <w:t>in</w:t>
      </w:r>
      <w:r>
        <w:rPr>
          <w:spacing w:val="-10"/>
          <w:sz w:val="20"/>
        </w:rPr>
        <w:t> </w:t>
      </w:r>
      <w:r>
        <w:rPr>
          <w:sz w:val="20"/>
        </w:rPr>
        <w:t>sedated and ventilated patients in ICU: A randomised cross-over trial. Crit Care. 2018; 22 (1):110.</w:t>
      </w:r>
    </w:p>
    <w:p>
      <w:pPr>
        <w:pStyle w:val="ListParagraph"/>
        <w:numPr>
          <w:ilvl w:val="0"/>
          <w:numId w:val="67"/>
        </w:numPr>
        <w:tabs>
          <w:tab w:pos="2405" w:val="left" w:leader="none"/>
          <w:tab w:pos="2407" w:val="left" w:leader="none"/>
        </w:tabs>
        <w:spacing w:line="259" w:lineRule="auto" w:before="0" w:after="0"/>
        <w:ind w:left="2407" w:right="1272" w:hanging="566"/>
        <w:jc w:val="both"/>
        <w:rPr>
          <w:sz w:val="20"/>
        </w:rPr>
      </w:pPr>
      <w:r>
        <w:rPr>
          <w:sz w:val="20"/>
        </w:rPr>
        <w:t>Mascherini G, Catelan D, Pellegrini-Giampietro DE, Petri C, Scaletti</w:t>
      </w:r>
      <w:r>
        <w:rPr>
          <w:spacing w:val="40"/>
          <w:sz w:val="20"/>
        </w:rPr>
        <w:t> </w:t>
      </w:r>
      <w:r>
        <w:rPr>
          <w:sz w:val="20"/>
        </w:rPr>
        <w:t>C, Gulisano M. Changes in physical activity levels, eating habits and psychological well-being during the Italian COVID-19 pandemic</w:t>
      </w:r>
      <w:r>
        <w:rPr>
          <w:spacing w:val="-13"/>
          <w:sz w:val="20"/>
        </w:rPr>
        <w:t> </w:t>
      </w:r>
      <w:r>
        <w:rPr>
          <w:sz w:val="20"/>
        </w:rPr>
        <w:t>lockdown:</w:t>
      </w:r>
      <w:r>
        <w:rPr>
          <w:spacing w:val="-12"/>
          <w:sz w:val="20"/>
        </w:rPr>
        <w:t> </w:t>
      </w:r>
      <w:r>
        <w:rPr>
          <w:sz w:val="20"/>
        </w:rPr>
        <w:t>impact</w:t>
      </w:r>
      <w:r>
        <w:rPr>
          <w:spacing w:val="-13"/>
          <w:sz w:val="20"/>
        </w:rPr>
        <w:t> </w:t>
      </w:r>
      <w:r>
        <w:rPr>
          <w:sz w:val="20"/>
        </w:rPr>
        <w:t>of</w:t>
      </w:r>
      <w:r>
        <w:rPr>
          <w:spacing w:val="-12"/>
          <w:sz w:val="20"/>
        </w:rPr>
        <w:t> </w:t>
      </w:r>
      <w:r>
        <w:rPr>
          <w:sz w:val="20"/>
        </w:rPr>
        <w:t>socio-demographic</w:t>
      </w:r>
      <w:r>
        <w:rPr>
          <w:spacing w:val="-13"/>
          <w:sz w:val="20"/>
        </w:rPr>
        <w:t> </w:t>
      </w:r>
      <w:r>
        <w:rPr>
          <w:sz w:val="20"/>
        </w:rPr>
        <w:t>factors</w:t>
      </w:r>
      <w:r>
        <w:rPr>
          <w:spacing w:val="-12"/>
          <w:sz w:val="20"/>
        </w:rPr>
        <w:t> </w:t>
      </w:r>
      <w:r>
        <w:rPr>
          <w:sz w:val="20"/>
        </w:rPr>
        <w:t>on</w:t>
      </w:r>
      <w:r>
        <w:rPr>
          <w:spacing w:val="-13"/>
          <w:sz w:val="20"/>
        </w:rPr>
        <w:t> </w:t>
      </w:r>
      <w:r>
        <w:rPr>
          <w:sz w:val="20"/>
        </w:rPr>
        <w:t>the</w:t>
      </w:r>
      <w:r>
        <w:rPr>
          <w:spacing w:val="-12"/>
          <w:sz w:val="20"/>
        </w:rPr>
        <w:t> </w:t>
      </w:r>
      <w:r>
        <w:rPr>
          <w:sz w:val="20"/>
        </w:rPr>
        <w:t>Florentine</w:t>
      </w:r>
      <w:r>
        <w:rPr>
          <w:spacing w:val="-13"/>
          <w:sz w:val="20"/>
        </w:rPr>
        <w:t> </w:t>
      </w:r>
      <w:r>
        <w:rPr>
          <w:sz w:val="20"/>
        </w:rPr>
        <w:t>academic</w:t>
      </w:r>
      <w:r>
        <w:rPr>
          <w:spacing w:val="-12"/>
          <w:sz w:val="20"/>
        </w:rPr>
        <w:t> </w:t>
      </w:r>
      <w:r>
        <w:rPr>
          <w:sz w:val="20"/>
        </w:rPr>
        <w:t>population.</w:t>
      </w:r>
      <w:r>
        <w:rPr>
          <w:spacing w:val="-13"/>
          <w:sz w:val="20"/>
        </w:rPr>
        <w:t> </w:t>
      </w:r>
      <w:r>
        <w:rPr>
          <w:sz w:val="20"/>
        </w:rPr>
        <w:t>PLoS One 2021;16:e0252395</w:t>
      </w:r>
    </w:p>
    <w:p>
      <w:pPr>
        <w:pStyle w:val="ListParagraph"/>
        <w:numPr>
          <w:ilvl w:val="0"/>
          <w:numId w:val="67"/>
        </w:numPr>
        <w:tabs>
          <w:tab w:pos="2405" w:val="left" w:leader="none"/>
          <w:tab w:pos="2407" w:val="left" w:leader="none"/>
        </w:tabs>
        <w:spacing w:line="256" w:lineRule="auto" w:before="0" w:after="0"/>
        <w:ind w:left="2407" w:right="1282" w:hanging="566"/>
        <w:jc w:val="both"/>
        <w:rPr>
          <w:sz w:val="20"/>
        </w:rPr>
      </w:pPr>
      <w:r>
        <w:rPr>
          <w:sz w:val="20"/>
        </w:rPr>
        <w:t>Mehta</w:t>
      </w:r>
      <w:r>
        <w:rPr>
          <w:spacing w:val="-3"/>
          <w:sz w:val="20"/>
        </w:rPr>
        <w:t> </w:t>
      </w:r>
      <w:r>
        <w:rPr>
          <w:sz w:val="20"/>
        </w:rPr>
        <w:t>P,</w:t>
      </w:r>
      <w:r>
        <w:rPr>
          <w:spacing w:val="-3"/>
          <w:sz w:val="20"/>
        </w:rPr>
        <w:t> </w:t>
      </w:r>
      <w:r>
        <w:rPr>
          <w:sz w:val="20"/>
        </w:rPr>
        <w:t>et</w:t>
      </w:r>
      <w:r>
        <w:rPr>
          <w:spacing w:val="-3"/>
          <w:sz w:val="20"/>
        </w:rPr>
        <w:t> </w:t>
      </w:r>
      <w:r>
        <w:rPr>
          <w:sz w:val="20"/>
        </w:rPr>
        <w:t>al.</w:t>
      </w:r>
      <w:r>
        <w:rPr>
          <w:spacing w:val="-2"/>
          <w:sz w:val="20"/>
        </w:rPr>
        <w:t> </w:t>
      </w:r>
      <w:r>
        <w:rPr>
          <w:sz w:val="20"/>
        </w:rPr>
        <w:t>COVID-19:</w:t>
      </w:r>
      <w:r>
        <w:rPr>
          <w:spacing w:val="-3"/>
          <w:sz w:val="20"/>
        </w:rPr>
        <w:t> </w:t>
      </w:r>
      <w:r>
        <w:rPr>
          <w:sz w:val="20"/>
        </w:rPr>
        <w:t>consider</w:t>
      </w:r>
      <w:r>
        <w:rPr>
          <w:spacing w:val="-2"/>
          <w:sz w:val="20"/>
        </w:rPr>
        <w:t> </w:t>
      </w:r>
      <w:r>
        <w:rPr>
          <w:sz w:val="20"/>
        </w:rPr>
        <w:t>cytokine</w:t>
      </w:r>
      <w:r>
        <w:rPr>
          <w:spacing w:val="-3"/>
          <w:sz w:val="20"/>
        </w:rPr>
        <w:t> </w:t>
      </w:r>
      <w:r>
        <w:rPr>
          <w:sz w:val="20"/>
        </w:rPr>
        <w:t>storm</w:t>
      </w:r>
      <w:r>
        <w:rPr>
          <w:spacing w:val="-4"/>
          <w:sz w:val="20"/>
        </w:rPr>
        <w:t> </w:t>
      </w:r>
      <w:r>
        <w:rPr>
          <w:sz w:val="20"/>
        </w:rPr>
        <w:t>syndromes</w:t>
      </w:r>
      <w:r>
        <w:rPr>
          <w:spacing w:val="-3"/>
          <w:sz w:val="20"/>
        </w:rPr>
        <w:t> </w:t>
      </w:r>
      <w:r>
        <w:rPr>
          <w:sz w:val="20"/>
        </w:rPr>
        <w:t>and</w:t>
      </w:r>
      <w:r>
        <w:rPr>
          <w:spacing w:val="-2"/>
          <w:sz w:val="20"/>
        </w:rPr>
        <w:t> </w:t>
      </w:r>
      <w:r>
        <w:rPr>
          <w:sz w:val="20"/>
        </w:rPr>
        <w:t>immunosuppression.</w:t>
      </w:r>
      <w:r>
        <w:rPr>
          <w:spacing w:val="-4"/>
          <w:sz w:val="20"/>
        </w:rPr>
        <w:t> </w:t>
      </w:r>
      <w:r>
        <w:rPr>
          <w:sz w:val="20"/>
        </w:rPr>
        <w:t>Lancet.</w:t>
      </w:r>
      <w:r>
        <w:rPr>
          <w:spacing w:val="-3"/>
          <w:sz w:val="20"/>
        </w:rPr>
        <w:t> </w:t>
      </w:r>
      <w:r>
        <w:rPr>
          <w:sz w:val="20"/>
        </w:rPr>
        <w:t>2020 Mar 28;395(10229):1033-1034. doi: 10.1016/S0140-6736(20)30628-0. Epub 2020 Mar 16.</w:t>
      </w:r>
    </w:p>
    <w:p>
      <w:pPr>
        <w:pStyle w:val="ListParagraph"/>
        <w:numPr>
          <w:ilvl w:val="0"/>
          <w:numId w:val="67"/>
        </w:numPr>
        <w:tabs>
          <w:tab w:pos="2405" w:val="left" w:leader="none"/>
          <w:tab w:pos="2407" w:val="left" w:leader="none"/>
        </w:tabs>
        <w:spacing w:line="259" w:lineRule="auto" w:before="0" w:after="0"/>
        <w:ind w:left="2407" w:right="1275" w:hanging="566"/>
        <w:jc w:val="both"/>
        <w:rPr>
          <w:sz w:val="20"/>
        </w:rPr>
      </w:pPr>
      <w:r>
        <w:rPr>
          <w:sz w:val="20"/>
        </w:rPr>
        <w:t>Mikuls TR, et al. American College of Rheumatology guidance for the management of adult patients with rheumatic disease during the COVID-19 pandemic. Arthritis Rheumatol. doi: </w:t>
      </w:r>
      <w:r>
        <w:rPr>
          <w:spacing w:val="-2"/>
          <w:sz w:val="20"/>
        </w:rPr>
        <w:t>https://onlinelibrary.wiley.com/doi/abs/10.1002/art.41301.</w:t>
      </w:r>
    </w:p>
    <w:p>
      <w:pPr>
        <w:pStyle w:val="ListParagraph"/>
        <w:numPr>
          <w:ilvl w:val="0"/>
          <w:numId w:val="67"/>
        </w:numPr>
        <w:tabs>
          <w:tab w:pos="2405" w:val="left" w:leader="none"/>
          <w:tab w:pos="2407" w:val="left" w:leader="none"/>
        </w:tabs>
        <w:spacing w:line="256" w:lineRule="auto" w:before="0" w:after="0"/>
        <w:ind w:left="2407" w:right="1278" w:hanging="566"/>
        <w:jc w:val="both"/>
        <w:rPr>
          <w:sz w:val="20"/>
        </w:rPr>
      </w:pPr>
      <w:r>
        <w:rPr>
          <w:spacing w:val="-2"/>
          <w:sz w:val="20"/>
        </w:rPr>
        <w:t>Moores</w:t>
      </w:r>
      <w:r>
        <w:rPr>
          <w:spacing w:val="-4"/>
          <w:sz w:val="20"/>
        </w:rPr>
        <w:t> </w:t>
      </w:r>
      <w:r>
        <w:rPr>
          <w:spacing w:val="-2"/>
          <w:sz w:val="20"/>
        </w:rPr>
        <w:t>L.K.,</w:t>
      </w:r>
      <w:r>
        <w:rPr>
          <w:spacing w:val="-4"/>
          <w:sz w:val="20"/>
        </w:rPr>
        <w:t> </w:t>
      </w:r>
      <w:r>
        <w:rPr>
          <w:spacing w:val="-2"/>
          <w:sz w:val="20"/>
        </w:rPr>
        <w:t>Tritschler</w:t>
      </w:r>
      <w:r>
        <w:rPr>
          <w:spacing w:val="-3"/>
          <w:sz w:val="20"/>
        </w:rPr>
        <w:t> </w:t>
      </w:r>
      <w:r>
        <w:rPr>
          <w:spacing w:val="-2"/>
          <w:sz w:val="20"/>
        </w:rPr>
        <w:t>T.,</w:t>
      </w:r>
      <w:r>
        <w:rPr>
          <w:spacing w:val="-4"/>
          <w:sz w:val="20"/>
        </w:rPr>
        <w:t> </w:t>
      </w:r>
      <w:r>
        <w:rPr>
          <w:spacing w:val="-2"/>
          <w:sz w:val="20"/>
        </w:rPr>
        <w:t>Brosnahan</w:t>
      </w:r>
      <w:r>
        <w:rPr>
          <w:spacing w:val="-3"/>
          <w:sz w:val="20"/>
        </w:rPr>
        <w:t> </w:t>
      </w:r>
      <w:r>
        <w:rPr>
          <w:spacing w:val="-2"/>
          <w:sz w:val="20"/>
        </w:rPr>
        <w:t>S.,</w:t>
      </w:r>
      <w:r>
        <w:rPr>
          <w:spacing w:val="-3"/>
          <w:sz w:val="20"/>
        </w:rPr>
        <w:t> </w:t>
      </w:r>
      <w:r>
        <w:rPr>
          <w:spacing w:val="-2"/>
          <w:sz w:val="20"/>
        </w:rPr>
        <w:t>et</w:t>
      </w:r>
      <w:r>
        <w:rPr>
          <w:spacing w:val="-4"/>
          <w:sz w:val="20"/>
        </w:rPr>
        <w:t> </w:t>
      </w:r>
      <w:r>
        <w:rPr>
          <w:spacing w:val="-2"/>
          <w:sz w:val="20"/>
        </w:rPr>
        <w:t>al.</w:t>
      </w:r>
      <w:r>
        <w:rPr>
          <w:spacing w:val="-6"/>
          <w:sz w:val="20"/>
        </w:rPr>
        <w:t> </w:t>
      </w:r>
      <w:r>
        <w:rPr>
          <w:spacing w:val="-2"/>
          <w:sz w:val="20"/>
        </w:rPr>
        <w:t>Prevention,</w:t>
      </w:r>
      <w:r>
        <w:rPr>
          <w:spacing w:val="-4"/>
          <w:sz w:val="20"/>
        </w:rPr>
        <w:t> </w:t>
      </w:r>
      <w:r>
        <w:rPr>
          <w:spacing w:val="-2"/>
          <w:sz w:val="20"/>
        </w:rPr>
        <w:t>Diagnosis,</w:t>
      </w:r>
      <w:r>
        <w:rPr>
          <w:spacing w:val="-4"/>
          <w:sz w:val="20"/>
        </w:rPr>
        <w:t> </w:t>
      </w:r>
      <w:r>
        <w:rPr>
          <w:spacing w:val="-2"/>
          <w:sz w:val="20"/>
        </w:rPr>
        <w:t>and</w:t>
      </w:r>
      <w:r>
        <w:rPr>
          <w:spacing w:val="-3"/>
          <w:sz w:val="20"/>
        </w:rPr>
        <w:t> </w:t>
      </w:r>
      <w:r>
        <w:rPr>
          <w:spacing w:val="-2"/>
          <w:sz w:val="20"/>
        </w:rPr>
        <w:t>Treatment</w:t>
      </w:r>
      <w:r>
        <w:rPr>
          <w:spacing w:val="-4"/>
          <w:sz w:val="20"/>
        </w:rPr>
        <w:t> </w:t>
      </w:r>
      <w:r>
        <w:rPr>
          <w:spacing w:val="-2"/>
          <w:sz w:val="20"/>
        </w:rPr>
        <w:t>of</w:t>
      </w:r>
      <w:r>
        <w:rPr>
          <w:spacing w:val="-6"/>
          <w:sz w:val="20"/>
        </w:rPr>
        <w:t> </w:t>
      </w:r>
      <w:r>
        <w:rPr>
          <w:spacing w:val="-2"/>
          <w:sz w:val="20"/>
        </w:rPr>
        <w:t>VTE</w:t>
      </w:r>
      <w:r>
        <w:rPr>
          <w:spacing w:val="-4"/>
          <w:sz w:val="20"/>
        </w:rPr>
        <w:t> </w:t>
      </w:r>
      <w:r>
        <w:rPr>
          <w:spacing w:val="-2"/>
          <w:sz w:val="20"/>
        </w:rPr>
        <w:t>in</w:t>
      </w:r>
      <w:r>
        <w:rPr>
          <w:spacing w:val="-3"/>
          <w:sz w:val="20"/>
        </w:rPr>
        <w:t> </w:t>
      </w:r>
      <w:r>
        <w:rPr>
          <w:spacing w:val="-2"/>
          <w:sz w:val="20"/>
        </w:rPr>
        <w:t>Patients </w:t>
      </w:r>
      <w:r>
        <w:rPr>
          <w:sz w:val="20"/>
        </w:rPr>
        <w:t>With COVID-19. CHEST Guideline and Expert Panel Report. Chest 2020; DOI: </w:t>
      </w:r>
      <w:r>
        <w:rPr>
          <w:spacing w:val="-2"/>
          <w:sz w:val="20"/>
        </w:rPr>
        <w:t>10.1016/j.chest.2020.05.559.</w:t>
      </w:r>
    </w:p>
    <w:p>
      <w:pPr>
        <w:pStyle w:val="ListParagraph"/>
        <w:numPr>
          <w:ilvl w:val="0"/>
          <w:numId w:val="67"/>
        </w:numPr>
        <w:tabs>
          <w:tab w:pos="2405" w:val="left" w:leader="none"/>
        </w:tabs>
        <w:spacing w:line="229" w:lineRule="exact" w:before="5" w:after="0"/>
        <w:ind w:left="2405" w:right="0" w:hanging="564"/>
        <w:jc w:val="both"/>
        <w:rPr>
          <w:sz w:val="20"/>
        </w:rPr>
      </w:pPr>
      <w:r>
        <w:rPr>
          <w:sz w:val="20"/>
        </w:rPr>
        <w:t>National</w:t>
      </w:r>
      <w:r>
        <w:rPr>
          <w:spacing w:val="-6"/>
          <w:sz w:val="20"/>
        </w:rPr>
        <w:t> </w:t>
      </w:r>
      <w:r>
        <w:rPr>
          <w:sz w:val="20"/>
        </w:rPr>
        <w:t>Health</w:t>
      </w:r>
      <w:r>
        <w:rPr>
          <w:spacing w:val="-5"/>
          <w:sz w:val="20"/>
        </w:rPr>
        <w:t> </w:t>
      </w:r>
      <w:r>
        <w:rPr>
          <w:sz w:val="20"/>
        </w:rPr>
        <w:t>Commission</w:t>
      </w:r>
      <w:r>
        <w:rPr>
          <w:spacing w:val="-4"/>
          <w:sz w:val="20"/>
        </w:rPr>
        <w:t> </w:t>
      </w:r>
      <w:r>
        <w:rPr>
          <w:sz w:val="20"/>
        </w:rPr>
        <w:t>of</w:t>
      </w:r>
      <w:r>
        <w:rPr>
          <w:spacing w:val="-5"/>
          <w:sz w:val="20"/>
        </w:rPr>
        <w:t> </w:t>
      </w:r>
      <w:r>
        <w:rPr>
          <w:sz w:val="20"/>
        </w:rPr>
        <w:t>the</w:t>
      </w:r>
      <w:r>
        <w:rPr>
          <w:spacing w:val="-5"/>
          <w:sz w:val="20"/>
        </w:rPr>
        <w:t> </w:t>
      </w:r>
      <w:r>
        <w:rPr>
          <w:sz w:val="20"/>
        </w:rPr>
        <w:t>People's</w:t>
      </w:r>
      <w:r>
        <w:rPr>
          <w:spacing w:val="-6"/>
          <w:sz w:val="20"/>
        </w:rPr>
        <w:t> </w:t>
      </w:r>
      <w:r>
        <w:rPr>
          <w:sz w:val="20"/>
        </w:rPr>
        <w:t>Republic</w:t>
      </w:r>
      <w:r>
        <w:rPr>
          <w:spacing w:val="-5"/>
          <w:sz w:val="20"/>
        </w:rPr>
        <w:t> </w:t>
      </w:r>
      <w:r>
        <w:rPr>
          <w:sz w:val="20"/>
        </w:rPr>
        <w:t>of</w:t>
      </w:r>
      <w:r>
        <w:rPr>
          <w:spacing w:val="-5"/>
          <w:sz w:val="20"/>
        </w:rPr>
        <w:t> </w:t>
      </w:r>
      <w:r>
        <w:rPr>
          <w:sz w:val="20"/>
        </w:rPr>
        <w:t>China.</w:t>
      </w:r>
      <w:r>
        <w:rPr>
          <w:spacing w:val="-5"/>
          <w:sz w:val="20"/>
        </w:rPr>
        <w:t> </w:t>
      </w:r>
      <w:r>
        <w:rPr>
          <w:sz w:val="20"/>
        </w:rPr>
        <w:t>URL:</w:t>
      </w:r>
      <w:r>
        <w:rPr>
          <w:spacing w:val="2"/>
          <w:sz w:val="20"/>
        </w:rPr>
        <w:t> </w:t>
      </w:r>
      <w:hyperlink r:id="rId39">
        <w:r>
          <w:rPr>
            <w:color w:val="0462C1"/>
            <w:spacing w:val="-2"/>
            <w:sz w:val="20"/>
            <w:u w:val="single" w:color="0462C1"/>
          </w:rPr>
          <w:t>http://en.nhc.gov.cn</w:t>
        </w:r>
      </w:hyperlink>
    </w:p>
    <w:p>
      <w:pPr>
        <w:pStyle w:val="ListParagraph"/>
        <w:numPr>
          <w:ilvl w:val="0"/>
          <w:numId w:val="67"/>
        </w:numPr>
        <w:tabs>
          <w:tab w:pos="2405" w:val="left" w:leader="none"/>
          <w:tab w:pos="2407" w:val="left" w:leader="none"/>
        </w:tabs>
        <w:spacing w:line="240" w:lineRule="auto" w:before="0" w:after="0"/>
        <w:ind w:left="2407" w:right="1278" w:hanging="566"/>
        <w:jc w:val="both"/>
        <w:rPr>
          <w:sz w:val="20"/>
        </w:rPr>
      </w:pPr>
      <w:r>
        <w:rPr>
          <w:sz w:val="20"/>
        </w:rPr>
        <w:t>Niedzwiedz</w:t>
      </w:r>
      <w:r>
        <w:rPr>
          <w:spacing w:val="-13"/>
          <w:sz w:val="20"/>
        </w:rPr>
        <w:t> </w:t>
      </w:r>
      <w:r>
        <w:rPr>
          <w:sz w:val="20"/>
        </w:rPr>
        <w:t>CL,</w:t>
      </w:r>
      <w:r>
        <w:rPr>
          <w:spacing w:val="-12"/>
          <w:sz w:val="20"/>
        </w:rPr>
        <w:t> </w:t>
      </w:r>
      <w:r>
        <w:rPr>
          <w:sz w:val="20"/>
        </w:rPr>
        <w:t>Green</w:t>
      </w:r>
      <w:r>
        <w:rPr>
          <w:spacing w:val="-13"/>
          <w:sz w:val="20"/>
        </w:rPr>
        <w:t> </w:t>
      </w:r>
      <w:r>
        <w:rPr>
          <w:sz w:val="20"/>
        </w:rPr>
        <w:t>MJ,</w:t>
      </w:r>
      <w:r>
        <w:rPr>
          <w:spacing w:val="-12"/>
          <w:sz w:val="20"/>
        </w:rPr>
        <w:t> </w:t>
      </w:r>
      <w:r>
        <w:rPr>
          <w:sz w:val="20"/>
        </w:rPr>
        <w:t>Benzeval</w:t>
      </w:r>
      <w:r>
        <w:rPr>
          <w:spacing w:val="-13"/>
          <w:sz w:val="20"/>
        </w:rPr>
        <w:t> </w:t>
      </w:r>
      <w:r>
        <w:rPr>
          <w:sz w:val="20"/>
        </w:rPr>
        <w:t>M,</w:t>
      </w:r>
      <w:r>
        <w:rPr>
          <w:spacing w:val="-12"/>
          <w:sz w:val="20"/>
        </w:rPr>
        <w:t> </w:t>
      </w:r>
      <w:r>
        <w:rPr>
          <w:sz w:val="20"/>
        </w:rPr>
        <w:t>Campbell</w:t>
      </w:r>
      <w:r>
        <w:rPr>
          <w:spacing w:val="-13"/>
          <w:sz w:val="20"/>
        </w:rPr>
        <w:t> </w:t>
      </w:r>
      <w:r>
        <w:rPr>
          <w:sz w:val="20"/>
        </w:rPr>
        <w:t>D,</w:t>
      </w:r>
      <w:r>
        <w:rPr>
          <w:spacing w:val="-12"/>
          <w:sz w:val="20"/>
        </w:rPr>
        <w:t> </w:t>
      </w:r>
      <w:r>
        <w:rPr>
          <w:sz w:val="20"/>
        </w:rPr>
        <w:t>Craig</w:t>
      </w:r>
      <w:r>
        <w:rPr>
          <w:spacing w:val="-13"/>
          <w:sz w:val="20"/>
        </w:rPr>
        <w:t> </w:t>
      </w:r>
      <w:r>
        <w:rPr>
          <w:sz w:val="20"/>
        </w:rPr>
        <w:t>P,</w:t>
      </w:r>
      <w:r>
        <w:rPr>
          <w:spacing w:val="-12"/>
          <w:sz w:val="20"/>
        </w:rPr>
        <w:t> </w:t>
      </w:r>
      <w:r>
        <w:rPr>
          <w:sz w:val="20"/>
        </w:rPr>
        <w:t>Demou</w:t>
      </w:r>
      <w:r>
        <w:rPr>
          <w:spacing w:val="-12"/>
          <w:sz w:val="20"/>
        </w:rPr>
        <w:t> </w:t>
      </w:r>
      <w:r>
        <w:rPr>
          <w:sz w:val="20"/>
        </w:rPr>
        <w:t>E,</w:t>
      </w:r>
      <w:r>
        <w:rPr>
          <w:spacing w:val="-12"/>
          <w:sz w:val="20"/>
        </w:rPr>
        <w:t> </w:t>
      </w:r>
      <w:r>
        <w:rPr>
          <w:sz w:val="20"/>
        </w:rPr>
        <w:t>et</w:t>
      </w:r>
      <w:r>
        <w:rPr>
          <w:spacing w:val="-12"/>
          <w:sz w:val="20"/>
        </w:rPr>
        <w:t> </w:t>
      </w:r>
      <w:r>
        <w:rPr>
          <w:sz w:val="20"/>
        </w:rPr>
        <w:t>al.</w:t>
      </w:r>
      <w:r>
        <w:rPr>
          <w:spacing w:val="-13"/>
          <w:sz w:val="20"/>
        </w:rPr>
        <w:t> </w:t>
      </w:r>
      <w:r>
        <w:rPr>
          <w:sz w:val="20"/>
        </w:rPr>
        <w:t>Mental</w:t>
      </w:r>
      <w:r>
        <w:rPr>
          <w:spacing w:val="-12"/>
          <w:sz w:val="20"/>
        </w:rPr>
        <w:t> </w:t>
      </w:r>
      <w:r>
        <w:rPr>
          <w:sz w:val="20"/>
        </w:rPr>
        <w:t>health</w:t>
      </w:r>
      <w:r>
        <w:rPr>
          <w:spacing w:val="-12"/>
          <w:sz w:val="20"/>
        </w:rPr>
        <w:t> </w:t>
      </w:r>
      <w:r>
        <w:rPr>
          <w:sz w:val="20"/>
        </w:rPr>
        <w:t>and</w:t>
      </w:r>
      <w:r>
        <w:rPr>
          <w:spacing w:val="-13"/>
          <w:sz w:val="20"/>
        </w:rPr>
        <w:t> </w:t>
      </w:r>
      <w:r>
        <w:rPr>
          <w:sz w:val="20"/>
        </w:rPr>
        <w:t>health behaviours</w:t>
      </w:r>
      <w:r>
        <w:rPr>
          <w:spacing w:val="-9"/>
          <w:sz w:val="20"/>
        </w:rPr>
        <w:t> </w:t>
      </w:r>
      <w:r>
        <w:rPr>
          <w:sz w:val="20"/>
        </w:rPr>
        <w:t>before</w:t>
      </w:r>
      <w:r>
        <w:rPr>
          <w:spacing w:val="-8"/>
          <w:sz w:val="20"/>
        </w:rPr>
        <w:t> </w:t>
      </w:r>
      <w:r>
        <w:rPr>
          <w:sz w:val="20"/>
        </w:rPr>
        <w:t>and</w:t>
      </w:r>
      <w:r>
        <w:rPr>
          <w:spacing w:val="-7"/>
          <w:sz w:val="20"/>
        </w:rPr>
        <w:t> </w:t>
      </w:r>
      <w:r>
        <w:rPr>
          <w:sz w:val="20"/>
        </w:rPr>
        <w:t>during</w:t>
      </w:r>
      <w:r>
        <w:rPr>
          <w:spacing w:val="-7"/>
          <w:sz w:val="20"/>
        </w:rPr>
        <w:t> </w:t>
      </w:r>
      <w:r>
        <w:rPr>
          <w:sz w:val="20"/>
        </w:rPr>
        <w:t>the</w:t>
      </w:r>
      <w:r>
        <w:rPr>
          <w:spacing w:val="-8"/>
          <w:sz w:val="20"/>
        </w:rPr>
        <w:t> </w:t>
      </w:r>
      <w:r>
        <w:rPr>
          <w:sz w:val="20"/>
        </w:rPr>
        <w:t>initial</w:t>
      </w:r>
      <w:r>
        <w:rPr>
          <w:spacing w:val="-8"/>
          <w:sz w:val="20"/>
        </w:rPr>
        <w:t> </w:t>
      </w:r>
      <w:r>
        <w:rPr>
          <w:sz w:val="20"/>
        </w:rPr>
        <w:t>phase</w:t>
      </w:r>
      <w:r>
        <w:rPr>
          <w:spacing w:val="-8"/>
          <w:sz w:val="20"/>
        </w:rPr>
        <w:t> </w:t>
      </w:r>
      <w:r>
        <w:rPr>
          <w:sz w:val="20"/>
        </w:rPr>
        <w:t>of</w:t>
      </w:r>
      <w:r>
        <w:rPr>
          <w:spacing w:val="-7"/>
          <w:sz w:val="20"/>
        </w:rPr>
        <w:t> </w:t>
      </w:r>
      <w:r>
        <w:rPr>
          <w:sz w:val="20"/>
        </w:rPr>
        <w:t>the</w:t>
      </w:r>
      <w:r>
        <w:rPr>
          <w:spacing w:val="-8"/>
          <w:sz w:val="20"/>
        </w:rPr>
        <w:t> </w:t>
      </w:r>
      <w:r>
        <w:rPr>
          <w:sz w:val="20"/>
        </w:rPr>
        <w:t>COVID-19</w:t>
      </w:r>
      <w:r>
        <w:rPr>
          <w:spacing w:val="-7"/>
          <w:sz w:val="20"/>
        </w:rPr>
        <w:t> </w:t>
      </w:r>
      <w:r>
        <w:rPr>
          <w:sz w:val="20"/>
        </w:rPr>
        <w:t>lockdown:</w:t>
      </w:r>
      <w:r>
        <w:rPr>
          <w:spacing w:val="-8"/>
          <w:sz w:val="20"/>
        </w:rPr>
        <w:t> </w:t>
      </w:r>
      <w:r>
        <w:rPr>
          <w:sz w:val="20"/>
        </w:rPr>
        <w:t>longitudinal</w:t>
      </w:r>
      <w:r>
        <w:rPr>
          <w:spacing w:val="-8"/>
          <w:sz w:val="20"/>
        </w:rPr>
        <w:t> </w:t>
      </w:r>
      <w:r>
        <w:rPr>
          <w:sz w:val="20"/>
        </w:rPr>
        <w:t>analyses</w:t>
      </w:r>
      <w:r>
        <w:rPr>
          <w:spacing w:val="-8"/>
          <w:sz w:val="20"/>
        </w:rPr>
        <w:t> </w:t>
      </w:r>
      <w:r>
        <w:rPr>
          <w:sz w:val="20"/>
        </w:rPr>
        <w:t>of</w:t>
      </w:r>
      <w:r>
        <w:rPr>
          <w:spacing w:val="-7"/>
          <w:sz w:val="20"/>
        </w:rPr>
        <w:t> </w:t>
      </w:r>
      <w:r>
        <w:rPr>
          <w:sz w:val="20"/>
        </w:rPr>
        <w:t>the UK Household Longitudinal Study. J Epidemiol Community Health 2021;75:224–231</w:t>
      </w:r>
    </w:p>
    <w:p>
      <w:pPr>
        <w:pStyle w:val="ListParagraph"/>
        <w:numPr>
          <w:ilvl w:val="0"/>
          <w:numId w:val="67"/>
        </w:numPr>
        <w:tabs>
          <w:tab w:pos="2405" w:val="left" w:leader="none"/>
          <w:tab w:pos="2407" w:val="left" w:leader="none"/>
        </w:tabs>
        <w:spacing w:line="240" w:lineRule="auto" w:before="0" w:after="0"/>
        <w:ind w:left="2407" w:right="1273" w:hanging="566"/>
        <w:jc w:val="both"/>
        <w:rPr>
          <w:sz w:val="20"/>
        </w:rPr>
      </w:pPr>
      <w:r>
        <w:rPr>
          <w:sz w:val="20"/>
        </w:rPr>
        <w:t>Netland J. Severe Acute Respiratory Syndrome Coronavirus Infection Causes Neuronal Death in the Absence of Encephalitis in Mice Transgenic for Human ACE2. J Virol. 2008;82:7264–75. </w:t>
      </w:r>
      <w:r>
        <w:rPr>
          <w:spacing w:val="-2"/>
          <w:sz w:val="20"/>
        </w:rPr>
        <w:t>doi:10.1128/JVI.00737-08.</w:t>
      </w:r>
    </w:p>
    <w:p>
      <w:pPr>
        <w:pStyle w:val="ListParagraph"/>
        <w:numPr>
          <w:ilvl w:val="0"/>
          <w:numId w:val="67"/>
        </w:numPr>
        <w:tabs>
          <w:tab w:pos="2405" w:val="left" w:leader="none"/>
        </w:tabs>
        <w:spacing w:line="229" w:lineRule="exact" w:before="0" w:after="0"/>
        <w:ind w:left="2405" w:right="0" w:hanging="564"/>
        <w:jc w:val="both"/>
        <w:rPr>
          <w:sz w:val="20"/>
        </w:rPr>
      </w:pPr>
      <w:r>
        <w:rPr>
          <w:spacing w:val="-2"/>
          <w:sz w:val="20"/>
        </w:rPr>
        <w:t>NHS.</w:t>
      </w:r>
      <w:r>
        <w:rPr>
          <w:spacing w:val="23"/>
          <w:sz w:val="20"/>
        </w:rPr>
        <w:t> </w:t>
      </w:r>
      <w:r>
        <w:rPr>
          <w:spacing w:val="-2"/>
          <w:sz w:val="20"/>
        </w:rPr>
        <w:t>Coronavirus</w:t>
      </w:r>
      <w:r>
        <w:rPr>
          <w:spacing w:val="22"/>
          <w:sz w:val="20"/>
        </w:rPr>
        <w:t> </w:t>
      </w:r>
      <w:r>
        <w:rPr>
          <w:spacing w:val="-2"/>
          <w:sz w:val="20"/>
        </w:rPr>
        <w:t>(2019-nCoV).</w:t>
      </w:r>
      <w:r>
        <w:rPr>
          <w:spacing w:val="23"/>
          <w:sz w:val="20"/>
        </w:rPr>
        <w:t> </w:t>
      </w:r>
      <w:r>
        <w:rPr>
          <w:spacing w:val="-2"/>
          <w:sz w:val="20"/>
        </w:rPr>
        <w:t>URL:</w:t>
      </w:r>
      <w:r>
        <w:rPr>
          <w:spacing w:val="23"/>
          <w:sz w:val="20"/>
        </w:rPr>
        <w:t> </w:t>
      </w:r>
      <w:r>
        <w:rPr>
          <w:color w:val="0462C1"/>
          <w:spacing w:val="-2"/>
          <w:sz w:val="20"/>
          <w:u w:val="single" w:color="0462C1"/>
        </w:rPr>
        <w:t>https</w:t>
      </w:r>
      <w:hyperlink r:id="rId40">
        <w:r>
          <w:rPr>
            <w:color w:val="0462C1"/>
            <w:spacing w:val="-2"/>
            <w:sz w:val="20"/>
            <w:u w:val="single" w:color="0462C1"/>
          </w:rPr>
          <w:t>://www.nhs.uk/conditions/wuhan-novel-coronavirus/</w:t>
        </w:r>
      </w:hyperlink>
    </w:p>
    <w:p>
      <w:pPr>
        <w:pStyle w:val="ListParagraph"/>
        <w:numPr>
          <w:ilvl w:val="0"/>
          <w:numId w:val="67"/>
        </w:numPr>
        <w:tabs>
          <w:tab w:pos="2407" w:val="left" w:leader="none"/>
        </w:tabs>
        <w:spacing w:line="240" w:lineRule="auto" w:before="0" w:after="0"/>
        <w:ind w:left="2407" w:right="1273" w:hanging="566"/>
        <w:jc w:val="left"/>
        <w:rPr>
          <w:sz w:val="20"/>
        </w:rPr>
      </w:pPr>
      <w:r>
        <w:rPr>
          <w:sz w:val="20"/>
        </w:rPr>
        <w:t>Omrani</w:t>
      </w:r>
      <w:r>
        <w:rPr>
          <w:spacing w:val="39"/>
          <w:sz w:val="20"/>
        </w:rPr>
        <w:t> </w:t>
      </w:r>
      <w:r>
        <w:rPr>
          <w:sz w:val="20"/>
        </w:rPr>
        <w:t>A.S.</w:t>
      </w:r>
      <w:r>
        <w:rPr>
          <w:spacing w:val="39"/>
          <w:sz w:val="20"/>
        </w:rPr>
        <w:t> </w:t>
      </w:r>
      <w:r>
        <w:rPr>
          <w:sz w:val="20"/>
        </w:rPr>
        <w:t>et</w:t>
      </w:r>
      <w:r>
        <w:rPr>
          <w:spacing w:val="39"/>
          <w:sz w:val="20"/>
        </w:rPr>
        <w:t> </w:t>
      </w:r>
      <w:r>
        <w:rPr>
          <w:sz w:val="20"/>
        </w:rPr>
        <w:t>al.</w:t>
      </w:r>
      <w:r>
        <w:rPr>
          <w:spacing w:val="39"/>
          <w:sz w:val="20"/>
        </w:rPr>
        <w:t> </w:t>
      </w:r>
      <w:r>
        <w:rPr>
          <w:sz w:val="20"/>
        </w:rPr>
        <w:t>Ribavirin</w:t>
      </w:r>
      <w:r>
        <w:rPr>
          <w:spacing w:val="37"/>
          <w:sz w:val="20"/>
        </w:rPr>
        <w:t> </w:t>
      </w:r>
      <w:r>
        <w:rPr>
          <w:sz w:val="20"/>
        </w:rPr>
        <w:t>and</w:t>
      </w:r>
      <w:r>
        <w:rPr>
          <w:spacing w:val="40"/>
          <w:sz w:val="20"/>
        </w:rPr>
        <w:t> </w:t>
      </w:r>
      <w:r>
        <w:rPr>
          <w:sz w:val="20"/>
        </w:rPr>
        <w:t>interferon</w:t>
      </w:r>
      <w:r>
        <w:rPr>
          <w:spacing w:val="40"/>
          <w:sz w:val="20"/>
        </w:rPr>
        <w:t> </w:t>
      </w:r>
      <w:r>
        <w:rPr>
          <w:sz w:val="20"/>
        </w:rPr>
        <w:t>alfa-2a</w:t>
      </w:r>
      <w:r>
        <w:rPr>
          <w:spacing w:val="39"/>
          <w:sz w:val="20"/>
        </w:rPr>
        <w:t> </w:t>
      </w:r>
      <w:r>
        <w:rPr>
          <w:sz w:val="20"/>
        </w:rPr>
        <w:t>for</w:t>
      </w:r>
      <w:r>
        <w:rPr>
          <w:spacing w:val="39"/>
          <w:sz w:val="20"/>
        </w:rPr>
        <w:t> </w:t>
      </w:r>
      <w:r>
        <w:rPr>
          <w:sz w:val="20"/>
        </w:rPr>
        <w:t>severe</w:t>
      </w:r>
      <w:r>
        <w:rPr>
          <w:spacing w:val="39"/>
          <w:sz w:val="20"/>
        </w:rPr>
        <w:t> </w:t>
      </w:r>
      <w:r>
        <w:rPr>
          <w:sz w:val="20"/>
        </w:rPr>
        <w:t>Middle</w:t>
      </w:r>
      <w:r>
        <w:rPr>
          <w:spacing w:val="37"/>
          <w:sz w:val="20"/>
        </w:rPr>
        <w:t> </w:t>
      </w:r>
      <w:r>
        <w:rPr>
          <w:sz w:val="20"/>
        </w:rPr>
        <w:t>East</w:t>
      </w:r>
      <w:r>
        <w:rPr>
          <w:spacing w:val="38"/>
          <w:sz w:val="20"/>
        </w:rPr>
        <w:t> </w:t>
      </w:r>
      <w:r>
        <w:rPr>
          <w:sz w:val="20"/>
        </w:rPr>
        <w:t>respiratory</w:t>
      </w:r>
      <w:r>
        <w:rPr>
          <w:spacing w:val="40"/>
          <w:sz w:val="20"/>
        </w:rPr>
        <w:t> </w:t>
      </w:r>
      <w:r>
        <w:rPr>
          <w:sz w:val="20"/>
        </w:rPr>
        <w:t>syndrome coronavirus infection: a retrospective cohort study //The Lancet Infectious Diseases. 2014.</w:t>
      </w:r>
      <w:r>
        <w:rPr>
          <w:spacing w:val="21"/>
          <w:sz w:val="20"/>
        </w:rPr>
        <w:t> </w:t>
      </w:r>
      <w:r>
        <w:rPr>
          <w:sz w:val="20"/>
        </w:rPr>
        <w:t>Т. 14. №.</w:t>
      </w:r>
    </w:p>
    <w:p>
      <w:pPr>
        <w:spacing w:before="0"/>
        <w:ind w:left="2407" w:right="0" w:firstLine="0"/>
        <w:jc w:val="left"/>
        <w:rPr>
          <w:sz w:val="20"/>
        </w:rPr>
      </w:pPr>
      <w:r>
        <w:rPr>
          <w:sz w:val="20"/>
        </w:rPr>
        <w:t>11.</w:t>
      </w:r>
      <w:r>
        <w:rPr>
          <w:spacing w:val="-4"/>
          <w:sz w:val="20"/>
        </w:rPr>
        <w:t> </w:t>
      </w:r>
      <w:r>
        <w:rPr>
          <w:sz w:val="20"/>
        </w:rPr>
        <w:t>pp.</w:t>
      </w:r>
      <w:r>
        <w:rPr>
          <w:spacing w:val="-4"/>
          <w:sz w:val="20"/>
        </w:rPr>
        <w:t> </w:t>
      </w:r>
      <w:r>
        <w:rPr>
          <w:sz w:val="20"/>
        </w:rPr>
        <w:t>1090-</w:t>
      </w:r>
      <w:r>
        <w:rPr>
          <w:spacing w:val="-4"/>
          <w:sz w:val="20"/>
        </w:rPr>
        <w:t>1095.</w:t>
      </w:r>
    </w:p>
    <w:p>
      <w:pPr>
        <w:pStyle w:val="ListParagraph"/>
        <w:numPr>
          <w:ilvl w:val="0"/>
          <w:numId w:val="67"/>
        </w:numPr>
        <w:tabs>
          <w:tab w:pos="2407" w:val="left" w:leader="none"/>
          <w:tab w:pos="4068" w:val="left" w:leader="none"/>
          <w:tab w:pos="4875" w:val="left" w:leader="none"/>
          <w:tab w:pos="5771" w:val="left" w:leader="none"/>
          <w:tab w:pos="7132" w:val="left" w:leader="none"/>
          <w:tab w:pos="7897" w:val="left" w:leader="none"/>
          <w:tab w:pos="8927" w:val="left" w:leader="none"/>
          <w:tab w:pos="10171" w:val="left" w:leader="none"/>
        </w:tabs>
        <w:spacing w:line="240" w:lineRule="auto" w:before="0" w:after="0"/>
        <w:ind w:left="2407" w:right="1273" w:hanging="566"/>
        <w:jc w:val="left"/>
        <w:rPr>
          <w:sz w:val="20"/>
        </w:rPr>
      </w:pPr>
      <w:r>
        <w:rPr>
          <w:sz w:val="20"/>
        </w:rPr>
        <w:t>Outbreak</w:t>
      </w:r>
      <w:r>
        <w:rPr>
          <w:spacing w:val="40"/>
          <w:sz w:val="20"/>
        </w:rPr>
        <w:t> </w:t>
      </w:r>
      <w:r>
        <w:rPr>
          <w:sz w:val="20"/>
        </w:rPr>
        <w:t>of</w:t>
      </w:r>
      <w:r>
        <w:rPr>
          <w:spacing w:val="40"/>
          <w:sz w:val="20"/>
        </w:rPr>
        <w:t> </w:t>
      </w:r>
      <w:r>
        <w:rPr>
          <w:sz w:val="20"/>
        </w:rPr>
        <w:t>acute</w:t>
      </w:r>
      <w:r>
        <w:rPr>
          <w:spacing w:val="40"/>
          <w:sz w:val="20"/>
        </w:rPr>
        <w:t> </w:t>
      </w:r>
      <w:r>
        <w:rPr>
          <w:sz w:val="20"/>
        </w:rPr>
        <w:t>respiratory</w:t>
      </w:r>
      <w:r>
        <w:rPr>
          <w:spacing w:val="40"/>
          <w:sz w:val="20"/>
        </w:rPr>
        <w:t> </w:t>
      </w:r>
      <w:r>
        <w:rPr>
          <w:sz w:val="20"/>
        </w:rPr>
        <w:t>syndrome</w:t>
      </w:r>
      <w:r>
        <w:rPr>
          <w:spacing w:val="40"/>
          <w:sz w:val="20"/>
        </w:rPr>
        <w:t> </w:t>
      </w:r>
      <w:r>
        <w:rPr>
          <w:sz w:val="20"/>
        </w:rPr>
        <w:t>associated</w:t>
      </w:r>
      <w:r>
        <w:rPr>
          <w:spacing w:val="40"/>
          <w:sz w:val="20"/>
        </w:rPr>
        <w:t> </w:t>
      </w:r>
      <w:r>
        <w:rPr>
          <w:sz w:val="20"/>
        </w:rPr>
        <w:t>with</w:t>
      </w:r>
      <w:r>
        <w:rPr>
          <w:spacing w:val="40"/>
          <w:sz w:val="20"/>
        </w:rPr>
        <w:t> </w:t>
      </w:r>
      <w:r>
        <w:rPr>
          <w:sz w:val="20"/>
        </w:rPr>
        <w:t>a</w:t>
      </w:r>
      <w:r>
        <w:rPr>
          <w:spacing w:val="40"/>
          <w:sz w:val="20"/>
        </w:rPr>
        <w:t> </w:t>
      </w:r>
      <w:r>
        <w:rPr>
          <w:sz w:val="20"/>
        </w:rPr>
        <w:t>novel</w:t>
      </w:r>
      <w:r>
        <w:rPr>
          <w:spacing w:val="40"/>
          <w:sz w:val="20"/>
        </w:rPr>
        <w:t> </w:t>
      </w:r>
      <w:r>
        <w:rPr>
          <w:sz w:val="20"/>
        </w:rPr>
        <w:t>coronavirus,</w:t>
      </w:r>
      <w:r>
        <w:rPr>
          <w:spacing w:val="40"/>
          <w:sz w:val="20"/>
        </w:rPr>
        <w:t> </w:t>
      </w:r>
      <w:r>
        <w:rPr>
          <w:sz w:val="20"/>
        </w:rPr>
        <w:t>China:</w:t>
      </w:r>
      <w:r>
        <w:rPr>
          <w:spacing w:val="40"/>
          <w:sz w:val="20"/>
        </w:rPr>
        <w:t> </w:t>
      </w:r>
      <w:r>
        <w:rPr>
          <w:sz w:val="20"/>
        </w:rPr>
        <w:t>first</w:t>
      </w:r>
      <w:r>
        <w:rPr>
          <w:spacing w:val="40"/>
          <w:sz w:val="20"/>
        </w:rPr>
        <w:t> </w:t>
      </w:r>
      <w:r>
        <w:rPr>
          <w:sz w:val="20"/>
        </w:rPr>
        <w:t>local </w:t>
      </w:r>
      <w:r>
        <w:rPr>
          <w:spacing w:val="-2"/>
          <w:sz w:val="20"/>
        </w:rPr>
        <w:t>transmission</w:t>
      </w:r>
      <w:r>
        <w:rPr>
          <w:sz w:val="20"/>
        </w:rPr>
        <w:tab/>
      </w:r>
      <w:r>
        <w:rPr>
          <w:spacing w:val="-6"/>
          <w:sz w:val="20"/>
        </w:rPr>
        <w:t>in</w:t>
      </w:r>
      <w:r>
        <w:rPr>
          <w:sz w:val="20"/>
        </w:rPr>
        <w:tab/>
      </w:r>
      <w:r>
        <w:rPr>
          <w:spacing w:val="-4"/>
          <w:sz w:val="20"/>
        </w:rPr>
        <w:t>the</w:t>
      </w:r>
      <w:r>
        <w:rPr>
          <w:sz w:val="20"/>
        </w:rPr>
        <w:tab/>
      </w:r>
      <w:r>
        <w:rPr>
          <w:spacing w:val="-2"/>
          <w:sz w:val="20"/>
        </w:rPr>
        <w:t>EU/EEA</w:t>
      </w:r>
      <w:r>
        <w:rPr>
          <w:sz w:val="20"/>
        </w:rPr>
        <w:tab/>
      </w:r>
      <w:r>
        <w:rPr>
          <w:spacing w:val="-10"/>
          <w:sz w:val="20"/>
        </w:rPr>
        <w:t>−</w:t>
      </w:r>
      <w:r>
        <w:rPr>
          <w:sz w:val="20"/>
        </w:rPr>
        <w:tab/>
      </w:r>
      <w:r>
        <w:rPr>
          <w:spacing w:val="-2"/>
          <w:sz w:val="20"/>
        </w:rPr>
        <w:t>third</w:t>
      </w:r>
      <w:r>
        <w:rPr>
          <w:sz w:val="20"/>
        </w:rPr>
        <w:tab/>
      </w:r>
      <w:r>
        <w:rPr>
          <w:spacing w:val="-2"/>
          <w:sz w:val="20"/>
        </w:rPr>
        <w:t>update.</w:t>
      </w:r>
      <w:r>
        <w:rPr>
          <w:sz w:val="20"/>
        </w:rPr>
        <w:tab/>
      </w:r>
      <w:r>
        <w:rPr>
          <w:spacing w:val="-4"/>
          <w:sz w:val="20"/>
        </w:rPr>
        <w:t>URL: </w:t>
      </w:r>
      <w:r>
        <w:rPr>
          <w:color w:val="0462C1"/>
          <w:spacing w:val="-2"/>
          <w:sz w:val="20"/>
          <w:u w:val="single" w:color="0462C1"/>
        </w:rPr>
        <w:t>https</w:t>
      </w:r>
      <w:hyperlink r:id="rId41">
        <w:r>
          <w:rPr>
            <w:color w:val="0462C1"/>
            <w:spacing w:val="-2"/>
            <w:sz w:val="20"/>
            <w:u w:val="single" w:color="0462C1"/>
          </w:rPr>
          <w:t>://www.ecdc.europa.eu/sites/default/files/documents/novel-coronavirus-risk-assessment-china-</w:t>
        </w:r>
      </w:hyperlink>
      <w:r>
        <w:rPr>
          <w:color w:val="0462C1"/>
          <w:spacing w:val="-2"/>
          <w:sz w:val="20"/>
        </w:rPr>
        <w:t> </w:t>
      </w:r>
      <w:r>
        <w:rPr>
          <w:color w:val="0462C1"/>
          <w:spacing w:val="-2"/>
          <w:sz w:val="20"/>
          <w:u w:val="single" w:color="0462C1"/>
        </w:rPr>
        <w:t>31january-2020_0.pdf</w:t>
      </w:r>
    </w:p>
    <w:p>
      <w:pPr>
        <w:pStyle w:val="ListParagraph"/>
        <w:numPr>
          <w:ilvl w:val="0"/>
          <w:numId w:val="67"/>
        </w:numPr>
        <w:tabs>
          <w:tab w:pos="2405" w:val="left" w:leader="none"/>
          <w:tab w:pos="2407" w:val="left" w:leader="none"/>
        </w:tabs>
        <w:spacing w:line="240" w:lineRule="auto" w:before="0" w:after="0"/>
        <w:ind w:left="2407" w:right="1281" w:hanging="566"/>
        <w:jc w:val="both"/>
        <w:rPr>
          <w:sz w:val="20"/>
        </w:rPr>
      </w:pPr>
      <w:r>
        <w:rPr>
          <w:sz w:val="20"/>
        </w:rPr>
        <w:t>Pan F. et al. Time Course of Lung Changes On Chest CT During Recovery From 2019 Novel Coronavirus (COVID-19) Pneumonia [published online ahead of print, 2020 Feb 13] // Radiology. 2020. 200370. Doi: 10.1148/radiol.2020200370.</w:t>
      </w:r>
    </w:p>
    <w:p>
      <w:pPr>
        <w:pStyle w:val="ListParagraph"/>
        <w:numPr>
          <w:ilvl w:val="0"/>
          <w:numId w:val="67"/>
        </w:numPr>
        <w:tabs>
          <w:tab w:pos="2405" w:val="left" w:leader="none"/>
          <w:tab w:pos="2407" w:val="left" w:leader="none"/>
        </w:tabs>
        <w:spacing w:line="324" w:lineRule="auto" w:before="0" w:after="0"/>
        <w:ind w:left="2407" w:right="1275" w:hanging="566"/>
        <w:jc w:val="both"/>
        <w:rPr>
          <w:sz w:val="20"/>
        </w:rPr>
      </w:pPr>
      <w:r>
        <w:rPr>
          <w:sz w:val="20"/>
        </w:rPr>
        <w:t>INSPIRATION Investigators. Effect of Intermediate-Dose vs Standard-Dose Prophylactic Anticoagulation on Thrombotic Events, Extracorporeal Membrane Oxygenation Treatment, or Mortality Among Patients With COVID-19 Admitted to the Intensive Care Unit. The INSPIRATION Randomized Clinical Trial JAMA. 2021;325(16):1620-1630. doi:10.1001/jama.2021.4152</w:t>
      </w:r>
    </w:p>
    <w:p>
      <w:pPr>
        <w:pStyle w:val="ListParagraph"/>
        <w:numPr>
          <w:ilvl w:val="0"/>
          <w:numId w:val="67"/>
        </w:numPr>
        <w:tabs>
          <w:tab w:pos="2405" w:val="left" w:leader="none"/>
          <w:tab w:pos="2407" w:val="left" w:leader="none"/>
        </w:tabs>
        <w:spacing w:line="240" w:lineRule="auto" w:before="0" w:after="0"/>
        <w:ind w:left="2407" w:right="1286" w:hanging="566"/>
        <w:jc w:val="both"/>
        <w:rPr>
          <w:sz w:val="20"/>
        </w:rPr>
      </w:pPr>
      <w:r>
        <w:rPr>
          <w:sz w:val="20"/>
        </w:rPr>
        <w:t>Paul</w:t>
      </w:r>
      <w:r>
        <w:rPr>
          <w:spacing w:val="-7"/>
          <w:sz w:val="20"/>
        </w:rPr>
        <w:t> </w:t>
      </w:r>
      <w:r>
        <w:rPr>
          <w:sz w:val="20"/>
        </w:rPr>
        <w:t>La</w:t>
      </w:r>
      <w:r>
        <w:rPr>
          <w:spacing w:val="-6"/>
          <w:sz w:val="20"/>
        </w:rPr>
        <w:t> </w:t>
      </w:r>
      <w:r>
        <w:rPr>
          <w:sz w:val="20"/>
        </w:rPr>
        <w:t>Rosée</w:t>
      </w:r>
      <w:r>
        <w:rPr>
          <w:spacing w:val="-2"/>
          <w:sz w:val="20"/>
        </w:rPr>
        <w:t> </w:t>
      </w:r>
      <w:r>
        <w:rPr>
          <w:sz w:val="20"/>
        </w:rPr>
        <w:t>et</w:t>
      </w:r>
      <w:r>
        <w:rPr>
          <w:spacing w:val="-6"/>
          <w:sz w:val="20"/>
        </w:rPr>
        <w:t> </w:t>
      </w:r>
      <w:r>
        <w:rPr>
          <w:sz w:val="20"/>
        </w:rPr>
        <w:t>al.</w:t>
      </w:r>
      <w:r>
        <w:rPr>
          <w:spacing w:val="-4"/>
          <w:sz w:val="20"/>
        </w:rPr>
        <w:t> </w:t>
      </w:r>
      <w:r>
        <w:rPr>
          <w:sz w:val="20"/>
        </w:rPr>
        <w:t>Recommendations</w:t>
      </w:r>
      <w:r>
        <w:rPr>
          <w:spacing w:val="-7"/>
          <w:sz w:val="20"/>
        </w:rPr>
        <w:t> </w:t>
      </w:r>
      <w:r>
        <w:rPr>
          <w:sz w:val="20"/>
        </w:rPr>
        <w:t>for</w:t>
      </w:r>
      <w:r>
        <w:rPr>
          <w:spacing w:val="-6"/>
          <w:sz w:val="20"/>
        </w:rPr>
        <w:t> </w:t>
      </w:r>
      <w:r>
        <w:rPr>
          <w:sz w:val="20"/>
        </w:rPr>
        <w:t>the</w:t>
      </w:r>
      <w:r>
        <w:rPr>
          <w:spacing w:val="-6"/>
          <w:sz w:val="20"/>
        </w:rPr>
        <w:t> </w:t>
      </w:r>
      <w:r>
        <w:rPr>
          <w:sz w:val="20"/>
        </w:rPr>
        <w:t>management</w:t>
      </w:r>
      <w:r>
        <w:rPr>
          <w:spacing w:val="-9"/>
          <w:sz w:val="20"/>
        </w:rPr>
        <w:t> </w:t>
      </w:r>
      <w:r>
        <w:rPr>
          <w:sz w:val="20"/>
        </w:rPr>
        <w:t>of</w:t>
      </w:r>
      <w:r>
        <w:rPr>
          <w:spacing w:val="-6"/>
          <w:sz w:val="20"/>
        </w:rPr>
        <w:t> </w:t>
      </w:r>
      <w:r>
        <w:rPr>
          <w:sz w:val="20"/>
        </w:rPr>
        <w:t>hemophagocytic</w:t>
      </w:r>
      <w:r>
        <w:rPr>
          <w:spacing w:val="-7"/>
          <w:sz w:val="20"/>
        </w:rPr>
        <w:t> </w:t>
      </w:r>
      <w:r>
        <w:rPr>
          <w:sz w:val="20"/>
        </w:rPr>
        <w:t>lymphohistiocytosis</w:t>
      </w:r>
      <w:r>
        <w:rPr>
          <w:spacing w:val="-7"/>
          <w:sz w:val="20"/>
        </w:rPr>
        <w:t> </w:t>
      </w:r>
      <w:r>
        <w:rPr>
          <w:sz w:val="20"/>
        </w:rPr>
        <w:t>in adults. Blood (2019) 133 (23): 2465–2477. https://doi.org/10.1182/blood.2018894618</w:t>
      </w:r>
    </w:p>
    <w:p>
      <w:pPr>
        <w:pStyle w:val="ListParagraph"/>
        <w:numPr>
          <w:ilvl w:val="0"/>
          <w:numId w:val="67"/>
        </w:numPr>
        <w:tabs>
          <w:tab w:pos="2405" w:val="left" w:leader="none"/>
          <w:tab w:pos="2407" w:val="left" w:leader="none"/>
        </w:tabs>
        <w:spacing w:line="240" w:lineRule="auto" w:before="0" w:after="0"/>
        <w:ind w:left="2407" w:right="1276" w:hanging="566"/>
        <w:jc w:val="both"/>
        <w:rPr>
          <w:sz w:val="20"/>
        </w:rPr>
      </w:pPr>
      <w:r>
        <w:rPr>
          <w:sz w:val="20"/>
        </w:rPr>
        <w:t>Pellegrini</w:t>
      </w:r>
      <w:r>
        <w:rPr>
          <w:spacing w:val="-11"/>
          <w:sz w:val="20"/>
        </w:rPr>
        <w:t> </w:t>
      </w:r>
      <w:r>
        <w:rPr>
          <w:sz w:val="20"/>
        </w:rPr>
        <w:t>M,</w:t>
      </w:r>
      <w:r>
        <w:rPr>
          <w:spacing w:val="-9"/>
          <w:sz w:val="20"/>
        </w:rPr>
        <w:t> </w:t>
      </w:r>
      <w:r>
        <w:rPr>
          <w:sz w:val="20"/>
        </w:rPr>
        <w:t>Ponzo</w:t>
      </w:r>
      <w:r>
        <w:rPr>
          <w:spacing w:val="-11"/>
          <w:sz w:val="20"/>
        </w:rPr>
        <w:t> </w:t>
      </w:r>
      <w:r>
        <w:rPr>
          <w:sz w:val="20"/>
        </w:rPr>
        <w:t>V,</w:t>
      </w:r>
      <w:r>
        <w:rPr>
          <w:spacing w:val="-10"/>
          <w:sz w:val="20"/>
        </w:rPr>
        <w:t> </w:t>
      </w:r>
      <w:r>
        <w:rPr>
          <w:sz w:val="20"/>
        </w:rPr>
        <w:t>Rosato</w:t>
      </w:r>
      <w:r>
        <w:rPr>
          <w:spacing w:val="-11"/>
          <w:sz w:val="20"/>
        </w:rPr>
        <w:t> </w:t>
      </w:r>
      <w:r>
        <w:rPr>
          <w:sz w:val="20"/>
        </w:rPr>
        <w:t>R,</w:t>
      </w:r>
      <w:r>
        <w:rPr>
          <w:spacing w:val="-10"/>
          <w:sz w:val="20"/>
        </w:rPr>
        <w:t> </w:t>
      </w:r>
      <w:r>
        <w:rPr>
          <w:sz w:val="20"/>
        </w:rPr>
        <w:t>Scumaci</w:t>
      </w:r>
      <w:r>
        <w:rPr>
          <w:spacing w:val="-13"/>
          <w:sz w:val="20"/>
        </w:rPr>
        <w:t> </w:t>
      </w:r>
      <w:r>
        <w:rPr>
          <w:sz w:val="20"/>
        </w:rPr>
        <w:t>E,</w:t>
      </w:r>
      <w:r>
        <w:rPr>
          <w:spacing w:val="-10"/>
          <w:sz w:val="20"/>
        </w:rPr>
        <w:t> </w:t>
      </w:r>
      <w:r>
        <w:rPr>
          <w:sz w:val="20"/>
        </w:rPr>
        <w:t>Goitre</w:t>
      </w:r>
      <w:r>
        <w:rPr>
          <w:spacing w:val="-12"/>
          <w:sz w:val="20"/>
        </w:rPr>
        <w:t> </w:t>
      </w:r>
      <w:r>
        <w:rPr>
          <w:sz w:val="20"/>
        </w:rPr>
        <w:t>I,</w:t>
      </w:r>
      <w:r>
        <w:rPr>
          <w:spacing w:val="-12"/>
          <w:sz w:val="20"/>
        </w:rPr>
        <w:t> </w:t>
      </w:r>
      <w:r>
        <w:rPr>
          <w:sz w:val="20"/>
        </w:rPr>
        <w:t>Benso</w:t>
      </w:r>
      <w:r>
        <w:rPr>
          <w:spacing w:val="-11"/>
          <w:sz w:val="20"/>
        </w:rPr>
        <w:t> </w:t>
      </w:r>
      <w:r>
        <w:rPr>
          <w:sz w:val="20"/>
        </w:rPr>
        <w:t>A,</w:t>
      </w:r>
      <w:r>
        <w:rPr>
          <w:spacing w:val="-10"/>
          <w:sz w:val="20"/>
        </w:rPr>
        <w:t> </w:t>
      </w:r>
      <w:r>
        <w:rPr>
          <w:sz w:val="20"/>
        </w:rPr>
        <w:t>et</w:t>
      </w:r>
      <w:r>
        <w:rPr>
          <w:spacing w:val="-12"/>
          <w:sz w:val="20"/>
        </w:rPr>
        <w:t> </w:t>
      </w:r>
      <w:r>
        <w:rPr>
          <w:sz w:val="20"/>
        </w:rPr>
        <w:t>al.</w:t>
      </w:r>
      <w:r>
        <w:rPr>
          <w:spacing w:val="-10"/>
          <w:sz w:val="20"/>
        </w:rPr>
        <w:t> </w:t>
      </w:r>
      <w:r>
        <w:rPr>
          <w:sz w:val="20"/>
        </w:rPr>
        <w:t>Changes</w:t>
      </w:r>
      <w:r>
        <w:rPr>
          <w:spacing w:val="-11"/>
          <w:sz w:val="20"/>
        </w:rPr>
        <w:t> </w:t>
      </w:r>
      <w:r>
        <w:rPr>
          <w:sz w:val="20"/>
        </w:rPr>
        <w:t>in</w:t>
      </w:r>
      <w:r>
        <w:rPr>
          <w:spacing w:val="-12"/>
          <w:sz w:val="20"/>
        </w:rPr>
        <w:t> </w:t>
      </w:r>
      <w:r>
        <w:rPr>
          <w:sz w:val="20"/>
        </w:rPr>
        <w:t>weight</w:t>
      </w:r>
      <w:r>
        <w:rPr>
          <w:spacing w:val="-13"/>
          <w:sz w:val="20"/>
        </w:rPr>
        <w:t> </w:t>
      </w:r>
      <w:r>
        <w:rPr>
          <w:sz w:val="20"/>
        </w:rPr>
        <w:t>and</w:t>
      </w:r>
      <w:r>
        <w:rPr>
          <w:spacing w:val="-9"/>
          <w:sz w:val="20"/>
        </w:rPr>
        <w:t> </w:t>
      </w:r>
      <w:r>
        <w:rPr>
          <w:sz w:val="20"/>
        </w:rPr>
        <w:t>nutritional habits</w:t>
      </w:r>
      <w:r>
        <w:rPr>
          <w:spacing w:val="-3"/>
          <w:sz w:val="20"/>
        </w:rPr>
        <w:t> </w:t>
      </w:r>
      <w:r>
        <w:rPr>
          <w:sz w:val="20"/>
        </w:rPr>
        <w:t>in</w:t>
      </w:r>
      <w:r>
        <w:rPr>
          <w:spacing w:val="-1"/>
          <w:sz w:val="20"/>
        </w:rPr>
        <w:t> </w:t>
      </w:r>
      <w:r>
        <w:rPr>
          <w:sz w:val="20"/>
        </w:rPr>
        <w:t>adults</w:t>
      </w:r>
      <w:r>
        <w:rPr>
          <w:spacing w:val="-3"/>
          <w:sz w:val="20"/>
        </w:rPr>
        <w:t> </w:t>
      </w:r>
      <w:r>
        <w:rPr>
          <w:sz w:val="20"/>
        </w:rPr>
        <w:t>with</w:t>
      </w:r>
      <w:r>
        <w:rPr>
          <w:spacing w:val="-4"/>
          <w:sz w:val="20"/>
        </w:rPr>
        <w:t> </w:t>
      </w:r>
      <w:r>
        <w:rPr>
          <w:sz w:val="20"/>
        </w:rPr>
        <w:t>obesity</w:t>
      </w:r>
      <w:r>
        <w:rPr>
          <w:spacing w:val="-3"/>
          <w:sz w:val="20"/>
        </w:rPr>
        <w:t> </w:t>
      </w:r>
      <w:r>
        <w:rPr>
          <w:sz w:val="20"/>
        </w:rPr>
        <w:t>during</w:t>
      </w:r>
      <w:r>
        <w:rPr>
          <w:spacing w:val="-3"/>
          <w:sz w:val="20"/>
        </w:rPr>
        <w:t> </w:t>
      </w:r>
      <w:r>
        <w:rPr>
          <w:sz w:val="20"/>
        </w:rPr>
        <w:t>the</w:t>
      </w:r>
      <w:r>
        <w:rPr>
          <w:spacing w:val="-4"/>
          <w:sz w:val="20"/>
        </w:rPr>
        <w:t> </w:t>
      </w:r>
      <w:r>
        <w:rPr>
          <w:sz w:val="20"/>
        </w:rPr>
        <w:t>“lockdown”</w:t>
      </w:r>
      <w:r>
        <w:rPr>
          <w:spacing w:val="-4"/>
          <w:sz w:val="20"/>
        </w:rPr>
        <w:t> </w:t>
      </w:r>
      <w:r>
        <w:rPr>
          <w:sz w:val="20"/>
        </w:rPr>
        <w:t>period</w:t>
      </w:r>
      <w:r>
        <w:rPr>
          <w:spacing w:val="-1"/>
          <w:sz w:val="20"/>
        </w:rPr>
        <w:t> </w:t>
      </w:r>
      <w:r>
        <w:rPr>
          <w:sz w:val="20"/>
        </w:rPr>
        <w:t>caused</w:t>
      </w:r>
      <w:r>
        <w:rPr>
          <w:spacing w:val="-1"/>
          <w:sz w:val="20"/>
        </w:rPr>
        <w:t> </w:t>
      </w:r>
      <w:r>
        <w:rPr>
          <w:sz w:val="20"/>
        </w:rPr>
        <w:t>by</w:t>
      </w:r>
      <w:r>
        <w:rPr>
          <w:spacing w:val="-1"/>
          <w:sz w:val="20"/>
        </w:rPr>
        <w:t> </w:t>
      </w:r>
      <w:r>
        <w:rPr>
          <w:sz w:val="20"/>
        </w:rPr>
        <w:t>the</w:t>
      </w:r>
      <w:r>
        <w:rPr>
          <w:spacing w:val="-4"/>
          <w:sz w:val="20"/>
        </w:rPr>
        <w:t> </w:t>
      </w:r>
      <w:r>
        <w:rPr>
          <w:sz w:val="20"/>
        </w:rPr>
        <w:t>COVID-19</w:t>
      </w:r>
      <w:r>
        <w:rPr>
          <w:spacing w:val="40"/>
          <w:sz w:val="20"/>
        </w:rPr>
        <w:t> </w:t>
      </w:r>
      <w:r>
        <w:rPr>
          <w:sz w:val="20"/>
        </w:rPr>
        <w:t>virusemergency. Nutrients 2020;12:E2016</w:t>
      </w:r>
    </w:p>
    <w:p>
      <w:pPr>
        <w:pStyle w:val="ListParagraph"/>
        <w:numPr>
          <w:ilvl w:val="0"/>
          <w:numId w:val="67"/>
        </w:numPr>
        <w:tabs>
          <w:tab w:pos="2405" w:val="left" w:leader="none"/>
          <w:tab w:pos="2407" w:val="left" w:leader="none"/>
        </w:tabs>
        <w:spacing w:line="240" w:lineRule="auto" w:before="0" w:after="0"/>
        <w:ind w:left="2407" w:right="1274" w:hanging="566"/>
        <w:jc w:val="both"/>
        <w:rPr>
          <w:sz w:val="20"/>
        </w:rPr>
      </w:pPr>
      <w:r>
        <w:rPr>
          <w:sz w:val="20"/>
        </w:rPr>
        <w:t>Pollard</w:t>
      </w:r>
      <w:r>
        <w:rPr>
          <w:spacing w:val="-5"/>
          <w:sz w:val="20"/>
        </w:rPr>
        <w:t> </w:t>
      </w:r>
      <w:r>
        <w:rPr>
          <w:sz w:val="20"/>
        </w:rPr>
        <w:t>MS,</w:t>
      </w:r>
      <w:r>
        <w:rPr>
          <w:spacing w:val="-5"/>
          <w:sz w:val="20"/>
        </w:rPr>
        <w:t> </w:t>
      </w:r>
      <w:r>
        <w:rPr>
          <w:sz w:val="20"/>
        </w:rPr>
        <w:t>Tucker</w:t>
      </w:r>
      <w:r>
        <w:rPr>
          <w:spacing w:val="-5"/>
          <w:sz w:val="20"/>
        </w:rPr>
        <w:t> </w:t>
      </w:r>
      <w:r>
        <w:rPr>
          <w:sz w:val="20"/>
        </w:rPr>
        <w:t>JS,</w:t>
      </w:r>
      <w:r>
        <w:rPr>
          <w:spacing w:val="-5"/>
          <w:sz w:val="20"/>
        </w:rPr>
        <w:t> </w:t>
      </w:r>
      <w:r>
        <w:rPr>
          <w:sz w:val="20"/>
        </w:rPr>
        <w:t>Green</w:t>
      </w:r>
      <w:r>
        <w:rPr>
          <w:spacing w:val="-7"/>
          <w:sz w:val="20"/>
        </w:rPr>
        <w:t> </w:t>
      </w:r>
      <w:r>
        <w:rPr>
          <w:sz w:val="20"/>
        </w:rPr>
        <w:t>HD.</w:t>
      </w:r>
      <w:r>
        <w:rPr>
          <w:spacing w:val="-5"/>
          <w:sz w:val="20"/>
        </w:rPr>
        <w:t> </w:t>
      </w:r>
      <w:r>
        <w:rPr>
          <w:sz w:val="20"/>
        </w:rPr>
        <w:t>Changes</w:t>
      </w:r>
      <w:r>
        <w:rPr>
          <w:spacing w:val="-6"/>
          <w:sz w:val="20"/>
        </w:rPr>
        <w:t> </w:t>
      </w:r>
      <w:r>
        <w:rPr>
          <w:sz w:val="20"/>
        </w:rPr>
        <w:t>in</w:t>
      </w:r>
      <w:r>
        <w:rPr>
          <w:spacing w:val="-5"/>
          <w:sz w:val="20"/>
        </w:rPr>
        <w:t> </w:t>
      </w:r>
      <w:r>
        <w:rPr>
          <w:sz w:val="20"/>
        </w:rPr>
        <w:t>adult</w:t>
      </w:r>
      <w:r>
        <w:rPr>
          <w:spacing w:val="-6"/>
          <w:sz w:val="20"/>
        </w:rPr>
        <w:t> </w:t>
      </w:r>
      <w:r>
        <w:rPr>
          <w:sz w:val="20"/>
        </w:rPr>
        <w:t>alcohol</w:t>
      </w:r>
      <w:r>
        <w:rPr>
          <w:spacing w:val="-8"/>
          <w:sz w:val="20"/>
        </w:rPr>
        <w:t> </w:t>
      </w:r>
      <w:r>
        <w:rPr>
          <w:sz w:val="20"/>
        </w:rPr>
        <w:t>use</w:t>
      </w:r>
      <w:r>
        <w:rPr>
          <w:spacing w:val="-5"/>
          <w:sz w:val="20"/>
        </w:rPr>
        <w:t> </w:t>
      </w:r>
      <w:r>
        <w:rPr>
          <w:sz w:val="20"/>
        </w:rPr>
        <w:t>and</w:t>
      </w:r>
      <w:r>
        <w:rPr>
          <w:spacing w:val="-5"/>
          <w:sz w:val="20"/>
        </w:rPr>
        <w:t> </w:t>
      </w:r>
      <w:r>
        <w:rPr>
          <w:sz w:val="20"/>
        </w:rPr>
        <w:t>consequences</w:t>
      </w:r>
      <w:r>
        <w:rPr>
          <w:spacing w:val="-6"/>
          <w:sz w:val="20"/>
        </w:rPr>
        <w:t> </w:t>
      </w:r>
      <w:r>
        <w:rPr>
          <w:sz w:val="20"/>
        </w:rPr>
        <w:t>during</w:t>
      </w:r>
      <w:r>
        <w:rPr>
          <w:spacing w:val="-5"/>
          <w:sz w:val="20"/>
        </w:rPr>
        <w:t> </w:t>
      </w:r>
      <w:r>
        <w:rPr>
          <w:sz w:val="20"/>
        </w:rPr>
        <w:t>the</w:t>
      </w:r>
      <w:r>
        <w:rPr>
          <w:spacing w:val="-5"/>
          <w:sz w:val="20"/>
        </w:rPr>
        <w:t> </w:t>
      </w:r>
      <w:r>
        <w:rPr>
          <w:sz w:val="20"/>
        </w:rPr>
        <w:t>COVID- 19 pandemic in the US. JAMA Netw Open 2020;3:e2022942</w:t>
      </w:r>
    </w:p>
    <w:p>
      <w:pPr>
        <w:pStyle w:val="ListParagraph"/>
        <w:numPr>
          <w:ilvl w:val="0"/>
          <w:numId w:val="67"/>
        </w:numPr>
        <w:tabs>
          <w:tab w:pos="2405" w:val="left" w:leader="none"/>
        </w:tabs>
        <w:spacing w:line="240" w:lineRule="auto" w:before="0" w:after="0"/>
        <w:ind w:left="2405" w:right="0" w:hanging="564"/>
        <w:jc w:val="both"/>
        <w:rPr>
          <w:sz w:val="20"/>
        </w:rPr>
      </w:pPr>
      <w:r>
        <w:rPr>
          <w:sz w:val="20"/>
        </w:rPr>
        <w:t>Phan</w:t>
      </w:r>
      <w:r>
        <w:rPr>
          <w:spacing w:val="2"/>
          <w:sz w:val="20"/>
        </w:rPr>
        <w:t> </w:t>
      </w:r>
      <w:r>
        <w:rPr>
          <w:sz w:val="20"/>
        </w:rPr>
        <w:t>L.</w:t>
      </w:r>
      <w:r>
        <w:rPr>
          <w:spacing w:val="1"/>
          <w:sz w:val="20"/>
        </w:rPr>
        <w:t> </w:t>
      </w:r>
      <w:r>
        <w:rPr>
          <w:sz w:val="20"/>
        </w:rPr>
        <w:t>T. et</w:t>
      </w:r>
      <w:r>
        <w:rPr>
          <w:spacing w:val="2"/>
          <w:sz w:val="20"/>
        </w:rPr>
        <w:t> </w:t>
      </w:r>
      <w:r>
        <w:rPr>
          <w:sz w:val="20"/>
        </w:rPr>
        <w:t>al. Importation</w:t>
      </w:r>
      <w:r>
        <w:rPr>
          <w:spacing w:val="1"/>
          <w:sz w:val="20"/>
        </w:rPr>
        <w:t> </w:t>
      </w:r>
      <w:r>
        <w:rPr>
          <w:sz w:val="20"/>
        </w:rPr>
        <w:t>and</w:t>
      </w:r>
      <w:r>
        <w:rPr>
          <w:spacing w:val="3"/>
          <w:sz w:val="20"/>
        </w:rPr>
        <w:t> </w:t>
      </w:r>
      <w:r>
        <w:rPr>
          <w:sz w:val="20"/>
        </w:rPr>
        <w:t>Human-to-Human</w:t>
      </w:r>
      <w:r>
        <w:rPr>
          <w:spacing w:val="1"/>
          <w:sz w:val="20"/>
        </w:rPr>
        <w:t> </w:t>
      </w:r>
      <w:r>
        <w:rPr>
          <w:sz w:val="20"/>
        </w:rPr>
        <w:t>Transmission</w:t>
      </w:r>
      <w:r>
        <w:rPr>
          <w:spacing w:val="3"/>
          <w:sz w:val="20"/>
        </w:rPr>
        <w:t> </w:t>
      </w:r>
      <w:r>
        <w:rPr>
          <w:sz w:val="20"/>
        </w:rPr>
        <w:t>of</w:t>
      </w:r>
      <w:r>
        <w:rPr>
          <w:spacing w:val="1"/>
          <w:sz w:val="20"/>
        </w:rPr>
        <w:t> </w:t>
      </w:r>
      <w:r>
        <w:rPr>
          <w:sz w:val="20"/>
        </w:rPr>
        <w:t>a</w:t>
      </w:r>
      <w:r>
        <w:rPr>
          <w:spacing w:val="2"/>
          <w:sz w:val="20"/>
        </w:rPr>
        <w:t> </w:t>
      </w:r>
      <w:r>
        <w:rPr>
          <w:sz w:val="20"/>
        </w:rPr>
        <w:t>Novel</w:t>
      </w:r>
      <w:r>
        <w:rPr>
          <w:spacing w:val="2"/>
          <w:sz w:val="20"/>
        </w:rPr>
        <w:t> </w:t>
      </w:r>
      <w:r>
        <w:rPr>
          <w:sz w:val="20"/>
        </w:rPr>
        <w:t>Coronavirus</w:t>
      </w:r>
      <w:r>
        <w:rPr>
          <w:spacing w:val="-1"/>
          <w:sz w:val="20"/>
        </w:rPr>
        <w:t> </w:t>
      </w:r>
      <w:r>
        <w:rPr>
          <w:sz w:val="20"/>
        </w:rPr>
        <w:t>in</w:t>
      </w:r>
      <w:r>
        <w:rPr>
          <w:spacing w:val="3"/>
          <w:sz w:val="20"/>
        </w:rPr>
        <w:t> </w:t>
      </w:r>
      <w:r>
        <w:rPr>
          <w:spacing w:val="-2"/>
          <w:sz w:val="20"/>
        </w:rPr>
        <w:t>Vietnam</w:t>
      </w:r>
    </w:p>
    <w:p>
      <w:pPr>
        <w:spacing w:line="229" w:lineRule="exact" w:before="0"/>
        <w:ind w:left="2407" w:right="0" w:firstLine="0"/>
        <w:jc w:val="both"/>
        <w:rPr>
          <w:sz w:val="20"/>
        </w:rPr>
      </w:pPr>
      <w:r>
        <w:rPr>
          <w:sz w:val="20"/>
        </w:rPr>
        <w:t>//New</w:t>
      </w:r>
      <w:r>
        <w:rPr>
          <w:spacing w:val="-5"/>
          <w:sz w:val="20"/>
        </w:rPr>
        <w:t> </w:t>
      </w:r>
      <w:r>
        <w:rPr>
          <w:sz w:val="20"/>
        </w:rPr>
        <w:t>England</w:t>
      </w:r>
      <w:r>
        <w:rPr>
          <w:spacing w:val="-4"/>
          <w:sz w:val="20"/>
        </w:rPr>
        <w:t> </w:t>
      </w:r>
      <w:r>
        <w:rPr>
          <w:sz w:val="20"/>
        </w:rPr>
        <w:t>Journal</w:t>
      </w:r>
      <w:r>
        <w:rPr>
          <w:spacing w:val="-4"/>
          <w:sz w:val="20"/>
        </w:rPr>
        <w:t> </w:t>
      </w:r>
      <w:r>
        <w:rPr>
          <w:sz w:val="20"/>
        </w:rPr>
        <w:t>of</w:t>
      </w:r>
      <w:r>
        <w:rPr>
          <w:spacing w:val="-5"/>
          <w:sz w:val="20"/>
        </w:rPr>
        <w:t> </w:t>
      </w:r>
      <w:r>
        <w:rPr>
          <w:sz w:val="20"/>
        </w:rPr>
        <w:t>Medicine.</w:t>
      </w:r>
      <w:r>
        <w:rPr>
          <w:spacing w:val="-5"/>
          <w:sz w:val="20"/>
        </w:rPr>
        <w:t> </w:t>
      </w:r>
      <w:r>
        <w:rPr>
          <w:spacing w:val="-4"/>
          <w:sz w:val="20"/>
        </w:rPr>
        <w:t>2020.</w:t>
      </w:r>
    </w:p>
    <w:p>
      <w:pPr>
        <w:pStyle w:val="ListParagraph"/>
        <w:numPr>
          <w:ilvl w:val="0"/>
          <w:numId w:val="67"/>
        </w:numPr>
        <w:tabs>
          <w:tab w:pos="2405" w:val="left" w:leader="none"/>
          <w:tab w:pos="2407" w:val="left" w:leader="none"/>
        </w:tabs>
        <w:spacing w:line="240" w:lineRule="auto" w:before="0" w:after="0"/>
        <w:ind w:left="2407" w:right="1282" w:hanging="566"/>
        <w:jc w:val="both"/>
        <w:rPr>
          <w:sz w:val="20"/>
        </w:rPr>
      </w:pPr>
      <w:r>
        <w:rPr>
          <w:sz w:val="20"/>
        </w:rPr>
        <w:t>Phylogeny of SARS-like betacoronaviruses including novel coronavirus (nCoV). URL: </w:t>
      </w:r>
      <w:r>
        <w:rPr>
          <w:color w:val="0462C1"/>
          <w:spacing w:val="-2"/>
          <w:sz w:val="20"/>
          <w:u w:val="single" w:color="0462C1"/>
        </w:rPr>
        <w:t>https://nextstrain.org/groups/blab/sars-like-cov</w:t>
      </w:r>
    </w:p>
    <w:p>
      <w:pPr>
        <w:pStyle w:val="ListParagraph"/>
        <w:spacing w:after="0" w:line="240" w:lineRule="auto"/>
        <w:jc w:val="both"/>
        <w:rPr>
          <w:sz w:val="20"/>
        </w:rPr>
        <w:sectPr>
          <w:pgSz w:w="11900" w:h="16840"/>
          <w:pgMar w:header="0" w:footer="697" w:top="1080" w:bottom="880" w:left="0" w:right="0"/>
        </w:sectPr>
      </w:pPr>
    </w:p>
    <w:p>
      <w:pPr>
        <w:pStyle w:val="ListParagraph"/>
        <w:numPr>
          <w:ilvl w:val="0"/>
          <w:numId w:val="67"/>
        </w:numPr>
        <w:tabs>
          <w:tab w:pos="2405" w:val="left" w:leader="none"/>
          <w:tab w:pos="2407" w:val="left" w:leader="none"/>
        </w:tabs>
        <w:spacing w:line="240" w:lineRule="auto" w:before="74" w:after="0"/>
        <w:ind w:left="2407" w:right="1273" w:hanging="566"/>
        <w:jc w:val="both"/>
        <w:rPr>
          <w:sz w:val="20"/>
        </w:rPr>
      </w:pPr>
      <w:bookmarkStart w:name="152" w:id="180"/>
      <w:bookmarkEnd w:id="180"/>
      <w:r>
        <w:rPr/>
      </w:r>
      <w:r>
        <w:rPr>
          <w:sz w:val="20"/>
        </w:rPr>
        <w:t>Piva S, DiBlasi RM, Slee AE, Jobe AH, Roccaro AM, Filippini M, Latronico N, Bertoni M, Marshall JC, Portman MA. Surfactant therapy for COVID‑19 related ARDS: a retrospective case–control pilot study. Respir Res 2021; 22: 20. URL: </w:t>
      </w:r>
      <w:r>
        <w:rPr>
          <w:color w:val="0462C1"/>
          <w:sz w:val="20"/>
          <w:u w:val="single" w:color="0462C1"/>
        </w:rPr>
        <w:t>https://doi.org/10.1186/s12931-020-01603-w</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P.Masi, G.Hékimian, M.Lejeune, et al. Systemic Inflammatory Response Syndrome is a Major Contributor</w:t>
      </w:r>
      <w:r>
        <w:rPr>
          <w:spacing w:val="-13"/>
          <w:sz w:val="20"/>
        </w:rPr>
        <w:t> </w:t>
      </w:r>
      <w:r>
        <w:rPr>
          <w:sz w:val="20"/>
        </w:rPr>
        <w:t>to</w:t>
      </w:r>
      <w:r>
        <w:rPr>
          <w:spacing w:val="-12"/>
          <w:sz w:val="20"/>
        </w:rPr>
        <w:t> </w:t>
      </w:r>
      <w:r>
        <w:rPr>
          <w:sz w:val="20"/>
        </w:rPr>
        <w:t>COVID-19-Associated</w:t>
      </w:r>
      <w:r>
        <w:rPr>
          <w:spacing w:val="-13"/>
          <w:sz w:val="20"/>
        </w:rPr>
        <w:t> </w:t>
      </w:r>
      <w:r>
        <w:rPr>
          <w:sz w:val="20"/>
        </w:rPr>
        <w:t>Coagulopathy:</w:t>
      </w:r>
      <w:r>
        <w:rPr>
          <w:spacing w:val="-12"/>
          <w:sz w:val="20"/>
        </w:rPr>
        <w:t> </w:t>
      </w:r>
      <w:r>
        <w:rPr>
          <w:sz w:val="20"/>
        </w:rPr>
        <w:t>Insights</w:t>
      </w:r>
      <w:r>
        <w:rPr>
          <w:spacing w:val="-13"/>
          <w:sz w:val="20"/>
        </w:rPr>
        <w:t> </w:t>
      </w:r>
      <w:r>
        <w:rPr>
          <w:sz w:val="20"/>
        </w:rPr>
        <w:t>from</w:t>
      </w:r>
      <w:r>
        <w:rPr>
          <w:spacing w:val="-12"/>
          <w:sz w:val="20"/>
        </w:rPr>
        <w:t> </w:t>
      </w:r>
      <w:r>
        <w:rPr>
          <w:sz w:val="20"/>
        </w:rPr>
        <w:t>a</w:t>
      </w:r>
      <w:r>
        <w:rPr>
          <w:spacing w:val="-13"/>
          <w:sz w:val="20"/>
        </w:rPr>
        <w:t> </w:t>
      </w:r>
      <w:r>
        <w:rPr>
          <w:sz w:val="20"/>
        </w:rPr>
        <w:t>Prospective</w:t>
      </w:r>
      <w:r>
        <w:rPr>
          <w:spacing w:val="-12"/>
          <w:sz w:val="20"/>
        </w:rPr>
        <w:t> </w:t>
      </w:r>
      <w:r>
        <w:rPr>
          <w:sz w:val="20"/>
        </w:rPr>
        <w:t>Single-</w:t>
      </w:r>
      <w:r>
        <w:rPr>
          <w:spacing w:val="-13"/>
          <w:sz w:val="20"/>
        </w:rPr>
        <w:t> </w:t>
      </w:r>
      <w:r>
        <w:rPr>
          <w:sz w:val="20"/>
        </w:rPr>
        <w:t>Center</w:t>
      </w:r>
      <w:r>
        <w:rPr>
          <w:spacing w:val="-12"/>
          <w:sz w:val="20"/>
        </w:rPr>
        <w:t> </w:t>
      </w:r>
      <w:r>
        <w:rPr>
          <w:sz w:val="20"/>
        </w:rPr>
        <w:t>Cohort Study. DOI: 10.1161/CIRCULATIONAHA.120.048925.</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Pogue</w:t>
      </w:r>
      <w:r>
        <w:rPr>
          <w:spacing w:val="-13"/>
          <w:sz w:val="20"/>
        </w:rPr>
        <w:t> </w:t>
      </w:r>
      <w:r>
        <w:rPr>
          <w:sz w:val="20"/>
        </w:rPr>
        <w:t>J.,</w:t>
      </w:r>
      <w:r>
        <w:rPr>
          <w:spacing w:val="-12"/>
          <w:sz w:val="20"/>
        </w:rPr>
        <w:t> </w:t>
      </w:r>
      <w:r>
        <w:rPr>
          <w:sz w:val="20"/>
        </w:rPr>
        <w:t>Kaye</w:t>
      </w:r>
      <w:r>
        <w:rPr>
          <w:spacing w:val="-13"/>
          <w:sz w:val="20"/>
        </w:rPr>
        <w:t> </w:t>
      </w:r>
      <w:r>
        <w:rPr>
          <w:sz w:val="20"/>
        </w:rPr>
        <w:t>K.,</w:t>
      </w:r>
      <w:r>
        <w:rPr>
          <w:spacing w:val="-12"/>
          <w:sz w:val="20"/>
        </w:rPr>
        <w:t> </w:t>
      </w:r>
      <w:r>
        <w:rPr>
          <w:sz w:val="20"/>
        </w:rPr>
        <w:t>Veve</w:t>
      </w:r>
      <w:r>
        <w:rPr>
          <w:spacing w:val="-13"/>
          <w:sz w:val="20"/>
        </w:rPr>
        <w:t> </w:t>
      </w:r>
      <w:r>
        <w:rPr>
          <w:sz w:val="20"/>
        </w:rPr>
        <w:t>M.,</w:t>
      </w:r>
      <w:r>
        <w:rPr>
          <w:spacing w:val="-12"/>
          <w:sz w:val="20"/>
        </w:rPr>
        <w:t> </w:t>
      </w:r>
      <w:r>
        <w:rPr>
          <w:sz w:val="20"/>
        </w:rPr>
        <w:t>et</w:t>
      </w:r>
      <w:r>
        <w:rPr>
          <w:spacing w:val="-13"/>
          <w:sz w:val="20"/>
        </w:rPr>
        <w:t> </w:t>
      </w:r>
      <w:r>
        <w:rPr>
          <w:sz w:val="20"/>
        </w:rPr>
        <w:t>al.</w:t>
      </w:r>
      <w:r>
        <w:rPr>
          <w:spacing w:val="-12"/>
          <w:sz w:val="20"/>
        </w:rPr>
        <w:t> </w:t>
      </w:r>
      <w:r>
        <w:rPr>
          <w:sz w:val="20"/>
        </w:rPr>
        <w:t>"Real</w:t>
      </w:r>
      <w:r>
        <w:rPr>
          <w:spacing w:val="-13"/>
          <w:sz w:val="20"/>
        </w:rPr>
        <w:t> </w:t>
      </w:r>
      <w:r>
        <w:rPr>
          <w:sz w:val="20"/>
        </w:rPr>
        <w:t>World"</w:t>
      </w:r>
      <w:r>
        <w:rPr>
          <w:spacing w:val="-12"/>
          <w:sz w:val="20"/>
        </w:rPr>
        <w:t> </w:t>
      </w:r>
      <w:r>
        <w:rPr>
          <w:sz w:val="20"/>
        </w:rPr>
        <w:t>treatment</w:t>
      </w:r>
      <w:r>
        <w:rPr>
          <w:spacing w:val="-13"/>
          <w:sz w:val="20"/>
        </w:rPr>
        <w:t> </w:t>
      </w:r>
      <w:r>
        <w:rPr>
          <w:sz w:val="20"/>
        </w:rPr>
        <w:t>of</w:t>
      </w:r>
      <w:r>
        <w:rPr>
          <w:spacing w:val="-12"/>
          <w:sz w:val="20"/>
        </w:rPr>
        <w:t> </w:t>
      </w:r>
      <w:r>
        <w:rPr>
          <w:sz w:val="20"/>
        </w:rPr>
        <w:t>multi-drug</w:t>
      </w:r>
      <w:r>
        <w:rPr>
          <w:spacing w:val="-13"/>
          <w:sz w:val="20"/>
        </w:rPr>
        <w:t> </w:t>
      </w:r>
      <w:r>
        <w:rPr>
          <w:sz w:val="20"/>
        </w:rPr>
        <w:t>resistant</w:t>
      </w:r>
      <w:r>
        <w:rPr>
          <w:spacing w:val="-12"/>
          <w:sz w:val="20"/>
        </w:rPr>
        <w:t> </w:t>
      </w:r>
      <w:r>
        <w:rPr>
          <w:sz w:val="20"/>
        </w:rPr>
        <w:t>(MDR)</w:t>
      </w:r>
      <w:r>
        <w:rPr>
          <w:spacing w:val="-13"/>
          <w:sz w:val="20"/>
        </w:rPr>
        <w:t> </w:t>
      </w:r>
      <w:r>
        <w:rPr>
          <w:sz w:val="20"/>
        </w:rPr>
        <w:t>or</w:t>
      </w:r>
      <w:r>
        <w:rPr>
          <w:spacing w:val="-12"/>
          <w:sz w:val="20"/>
        </w:rPr>
        <w:t> </w:t>
      </w:r>
      <w:r>
        <w:rPr>
          <w:sz w:val="20"/>
        </w:rPr>
        <w:t>extensively- drug resistant (XDR) P. aeruginosa infections with ceftolozane/tazobactam (C/T) versus a polymyxin or aminoglycoside (Poly/AG) based regimen: a multicenter comparative effectiveness study. Proceedings of the IDweek 2018, October 3-7, San Francisco, USA. Poster/Abstract 2406.</w:t>
      </w:r>
    </w:p>
    <w:p>
      <w:pPr>
        <w:pStyle w:val="ListParagraph"/>
        <w:numPr>
          <w:ilvl w:val="0"/>
          <w:numId w:val="67"/>
        </w:numPr>
        <w:tabs>
          <w:tab w:pos="2407" w:val="left" w:leader="none"/>
        </w:tabs>
        <w:spacing w:line="240" w:lineRule="auto" w:before="0" w:after="0"/>
        <w:ind w:left="2407" w:right="2777" w:hanging="566"/>
        <w:jc w:val="left"/>
        <w:rPr>
          <w:sz w:val="20"/>
        </w:rPr>
      </w:pPr>
      <w:r>
        <w:rPr>
          <w:sz w:val="20"/>
        </w:rPr>
        <w:t>Poortmans H.M., Gardoso M.J. Cancer and COVID-19: what do we really know? URL:</w:t>
      </w:r>
      <w:r>
        <w:rPr>
          <w:spacing w:val="-11"/>
          <w:sz w:val="20"/>
        </w:rPr>
        <w:t> </w:t>
      </w:r>
      <w:hyperlink r:id="rId42">
        <w:r>
          <w:rPr>
            <w:color w:val="0462C1"/>
            <w:sz w:val="20"/>
            <w:u w:val="single" w:color="0462C1"/>
          </w:rPr>
          <w:t>www.thelancet.com.2020</w:t>
        </w:r>
      </w:hyperlink>
      <w:r>
        <w:rPr>
          <w:color w:val="0462C1"/>
          <w:spacing w:val="-8"/>
          <w:sz w:val="20"/>
        </w:rPr>
        <w:t> </w:t>
      </w:r>
      <w:r>
        <w:rPr>
          <w:sz w:val="20"/>
        </w:rPr>
        <w:t>.</w:t>
      </w:r>
      <w:r>
        <w:rPr>
          <w:spacing w:val="-11"/>
          <w:sz w:val="20"/>
        </w:rPr>
        <w:t> </w:t>
      </w:r>
      <w:r>
        <w:rPr>
          <w:sz w:val="20"/>
        </w:rPr>
        <w:t>https:</w:t>
      </w:r>
      <w:r>
        <w:rPr>
          <w:spacing w:val="-12"/>
          <w:sz w:val="20"/>
        </w:rPr>
        <w:t> </w:t>
      </w:r>
      <w:r>
        <w:rPr>
          <w:sz w:val="20"/>
        </w:rPr>
        <w:t>//doi.org/10.1016/S0140-6736(20)31240-X.</w:t>
      </w:r>
    </w:p>
    <w:p>
      <w:pPr>
        <w:pStyle w:val="ListParagraph"/>
        <w:numPr>
          <w:ilvl w:val="0"/>
          <w:numId w:val="67"/>
        </w:numPr>
        <w:tabs>
          <w:tab w:pos="2407" w:val="left" w:leader="none"/>
        </w:tabs>
        <w:spacing w:line="240" w:lineRule="auto" w:before="15" w:after="0"/>
        <w:ind w:left="2407" w:right="1269" w:hanging="566"/>
        <w:jc w:val="left"/>
        <w:rPr>
          <w:sz w:val="20"/>
        </w:rPr>
      </w:pPr>
      <w:r>
        <w:rPr>
          <w:sz w:val="20"/>
        </w:rPr>
        <w:t>Public</w:t>
      </w:r>
      <w:r>
        <w:rPr>
          <w:spacing w:val="40"/>
          <w:sz w:val="20"/>
        </w:rPr>
        <w:t> </w:t>
      </w:r>
      <w:r>
        <w:rPr>
          <w:sz w:val="20"/>
        </w:rPr>
        <w:t>Health</w:t>
      </w:r>
      <w:r>
        <w:rPr>
          <w:spacing w:val="40"/>
          <w:sz w:val="20"/>
        </w:rPr>
        <w:t> </w:t>
      </w:r>
      <w:r>
        <w:rPr>
          <w:sz w:val="20"/>
        </w:rPr>
        <w:t>England.</w:t>
      </w:r>
      <w:r>
        <w:rPr>
          <w:spacing w:val="40"/>
          <w:sz w:val="20"/>
        </w:rPr>
        <w:t> </w:t>
      </w:r>
      <w:r>
        <w:rPr>
          <w:sz w:val="20"/>
        </w:rPr>
        <w:t>Investigation</w:t>
      </w:r>
      <w:r>
        <w:rPr>
          <w:spacing w:val="40"/>
          <w:sz w:val="20"/>
        </w:rPr>
        <w:t> </w:t>
      </w:r>
      <w:r>
        <w:rPr>
          <w:sz w:val="20"/>
        </w:rPr>
        <w:t>and</w:t>
      </w:r>
      <w:r>
        <w:rPr>
          <w:spacing w:val="40"/>
          <w:sz w:val="20"/>
        </w:rPr>
        <w:t> </w:t>
      </w:r>
      <w:r>
        <w:rPr>
          <w:sz w:val="20"/>
        </w:rPr>
        <w:t>initial</w:t>
      </w:r>
      <w:r>
        <w:rPr>
          <w:spacing w:val="40"/>
          <w:sz w:val="20"/>
        </w:rPr>
        <w:t> </w:t>
      </w:r>
      <w:r>
        <w:rPr>
          <w:sz w:val="20"/>
        </w:rPr>
        <w:t>clinical</w:t>
      </w:r>
      <w:r>
        <w:rPr>
          <w:spacing w:val="40"/>
          <w:sz w:val="20"/>
        </w:rPr>
        <w:t> </w:t>
      </w:r>
      <w:r>
        <w:rPr>
          <w:sz w:val="20"/>
        </w:rPr>
        <w:t>management</w:t>
      </w:r>
      <w:r>
        <w:rPr>
          <w:spacing w:val="40"/>
          <w:sz w:val="20"/>
        </w:rPr>
        <w:t> </w:t>
      </w:r>
      <w:r>
        <w:rPr>
          <w:sz w:val="20"/>
        </w:rPr>
        <w:t>of</w:t>
      </w:r>
      <w:r>
        <w:rPr>
          <w:spacing w:val="40"/>
          <w:sz w:val="20"/>
        </w:rPr>
        <w:t> </w:t>
      </w:r>
      <w:r>
        <w:rPr>
          <w:sz w:val="20"/>
        </w:rPr>
        <w:t>possible</w:t>
      </w:r>
      <w:r>
        <w:rPr>
          <w:spacing w:val="40"/>
          <w:sz w:val="20"/>
        </w:rPr>
        <w:t> </w:t>
      </w:r>
      <w:r>
        <w:rPr>
          <w:sz w:val="20"/>
        </w:rPr>
        <w:t>cases</w:t>
      </w:r>
      <w:r>
        <w:rPr>
          <w:spacing w:val="40"/>
          <w:sz w:val="20"/>
        </w:rPr>
        <w:t> </w:t>
      </w:r>
      <w:r>
        <w:rPr>
          <w:sz w:val="20"/>
        </w:rPr>
        <w:t>of</w:t>
      </w:r>
      <w:r>
        <w:rPr>
          <w:spacing w:val="40"/>
          <w:sz w:val="20"/>
        </w:rPr>
        <w:t> </w:t>
      </w:r>
      <w:r>
        <w:rPr>
          <w:sz w:val="20"/>
        </w:rPr>
        <w:t>novel coronavirus</w:t>
      </w:r>
      <w:r>
        <w:rPr>
          <w:spacing w:val="80"/>
          <w:sz w:val="20"/>
        </w:rPr>
        <w:t> </w:t>
      </w:r>
      <w:r>
        <w:rPr>
          <w:sz w:val="20"/>
        </w:rPr>
        <w:t>(2019-nCoV)</w:t>
      </w:r>
      <w:r>
        <w:rPr>
          <w:spacing w:val="80"/>
          <w:sz w:val="20"/>
        </w:rPr>
        <w:t> </w:t>
      </w:r>
      <w:r>
        <w:rPr>
          <w:sz w:val="20"/>
        </w:rPr>
        <w:t>infection.</w:t>
      </w:r>
      <w:r>
        <w:rPr>
          <w:spacing w:val="80"/>
          <w:sz w:val="20"/>
        </w:rPr>
        <w:t> </w:t>
      </w:r>
      <w:r>
        <w:rPr>
          <w:sz w:val="20"/>
        </w:rPr>
        <w:t>URL:</w:t>
      </w:r>
      <w:r>
        <w:rPr>
          <w:spacing w:val="80"/>
          <w:sz w:val="20"/>
        </w:rPr>
        <w:t> </w:t>
      </w:r>
      <w:r>
        <w:rPr>
          <w:color w:val="0462C1"/>
          <w:sz w:val="20"/>
          <w:u w:val="single" w:color="0462C1"/>
        </w:rPr>
        <w:t>https</w:t>
      </w:r>
      <w:hyperlink r:id="rId43">
        <w:r>
          <w:rPr>
            <w:color w:val="0462C1"/>
            <w:sz w:val="20"/>
            <w:u w:val="single" w:color="0462C1"/>
          </w:rPr>
          <w:t>://www.gov.uk/government/publications/wuhan-</w:t>
        </w:r>
      </w:hyperlink>
      <w:r>
        <w:rPr>
          <w:color w:val="0462C1"/>
          <w:sz w:val="20"/>
        </w:rPr>
        <w:t> </w:t>
      </w:r>
      <w:r>
        <w:rPr>
          <w:color w:val="0462C1"/>
          <w:spacing w:val="-2"/>
          <w:sz w:val="20"/>
          <w:u w:val="single" w:color="0462C1"/>
        </w:rPr>
        <w:t>novelcoronavirus-initial-investigation-of-possible-cases/investigation-and-initial-clinical-</w:t>
      </w:r>
      <w:r>
        <w:rPr>
          <w:color w:val="0462C1"/>
          <w:spacing w:val="80"/>
          <w:sz w:val="20"/>
        </w:rPr>
        <w:t>  </w:t>
      </w:r>
      <w:r>
        <w:rPr>
          <w:color w:val="0462C1"/>
          <w:spacing w:val="-2"/>
          <w:sz w:val="20"/>
          <w:u w:val="single" w:color="0462C1"/>
        </w:rPr>
        <w:t>management-ofpossible-cases-of-wuhan-novel-coronavirus-wn-cov-infection</w:t>
      </w:r>
    </w:p>
    <w:p>
      <w:pPr>
        <w:pStyle w:val="ListParagraph"/>
        <w:numPr>
          <w:ilvl w:val="0"/>
          <w:numId w:val="67"/>
        </w:numPr>
        <w:tabs>
          <w:tab w:pos="2407" w:val="left" w:leader="none"/>
        </w:tabs>
        <w:spacing w:line="237" w:lineRule="auto" w:before="3" w:after="0"/>
        <w:ind w:left="2407" w:right="1274" w:hanging="566"/>
        <w:jc w:val="left"/>
        <w:rPr>
          <w:sz w:val="20"/>
        </w:rPr>
      </w:pPr>
      <w:r>
        <w:rPr>
          <w:sz w:val="20"/>
        </w:rPr>
        <w:t>Q. Cai, et al. Experimental Treatment with Favipiravir</w:t>
      </w:r>
      <w:r>
        <w:rPr>
          <w:spacing w:val="-2"/>
          <w:sz w:val="20"/>
        </w:rPr>
        <w:t> </w:t>
      </w:r>
      <w:r>
        <w:rPr>
          <w:sz w:val="20"/>
        </w:rPr>
        <w:t>for</w:t>
      </w:r>
      <w:r>
        <w:rPr>
          <w:spacing w:val="-4"/>
          <w:sz w:val="20"/>
        </w:rPr>
        <w:t> </w:t>
      </w:r>
      <w:r>
        <w:rPr>
          <w:sz w:val="20"/>
        </w:rPr>
        <w:t>COVID-19: An Open-Label</w:t>
      </w:r>
      <w:r>
        <w:rPr>
          <w:spacing w:val="-2"/>
          <w:sz w:val="20"/>
        </w:rPr>
        <w:t> </w:t>
      </w:r>
      <w:r>
        <w:rPr>
          <w:sz w:val="20"/>
        </w:rPr>
        <w:t>Control Study, Engineering (2020), doi: </w:t>
      </w:r>
      <w:r>
        <w:rPr>
          <w:color w:val="0462C1"/>
          <w:sz w:val="20"/>
          <w:u w:val="single" w:color="0462C1"/>
        </w:rPr>
        <w:t>https://doi.org/10.1016/j.eng.2020.03.007</w:t>
      </w:r>
      <w:r>
        <w:rPr>
          <w:sz w:val="20"/>
        </w:rPr>
        <w:t>.</w:t>
      </w:r>
    </w:p>
    <w:p>
      <w:pPr>
        <w:pStyle w:val="ListParagraph"/>
        <w:numPr>
          <w:ilvl w:val="0"/>
          <w:numId w:val="67"/>
        </w:numPr>
        <w:tabs>
          <w:tab w:pos="2407" w:val="left" w:leader="none"/>
          <w:tab w:pos="2508" w:val="left" w:leader="none"/>
        </w:tabs>
        <w:spacing w:line="240" w:lineRule="auto" w:before="1" w:after="0"/>
        <w:ind w:left="2407" w:right="1275" w:hanging="566"/>
        <w:jc w:val="left"/>
        <w:rPr>
          <w:sz w:val="20"/>
        </w:rPr>
      </w:pPr>
      <w:r>
        <w:rPr>
          <w:sz w:val="20"/>
        </w:rPr>
        <w:tab/>
        <w:t>Ramakrishnan S. et al. Inhaled budesonide in the treatment of early COVID-19 (STOIC): a phase 2, open-label, randomised controlled trial. Lancet Respir Med. 2021 Apr 9:S2213-2600(21)00160-0.</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Ramacciotti</w:t>
      </w:r>
      <w:r>
        <w:rPr>
          <w:spacing w:val="-11"/>
          <w:sz w:val="20"/>
        </w:rPr>
        <w:t> </w:t>
      </w:r>
      <w:r>
        <w:rPr>
          <w:sz w:val="20"/>
        </w:rPr>
        <w:t>E.,</w:t>
      </w:r>
      <w:r>
        <w:rPr>
          <w:spacing w:val="-10"/>
          <w:sz w:val="20"/>
        </w:rPr>
        <w:t> </w:t>
      </w:r>
      <w:r>
        <w:rPr>
          <w:sz w:val="20"/>
        </w:rPr>
        <w:t>Agati</w:t>
      </w:r>
      <w:r>
        <w:rPr>
          <w:spacing w:val="-10"/>
          <w:sz w:val="20"/>
        </w:rPr>
        <w:t> </w:t>
      </w:r>
      <w:r>
        <w:rPr>
          <w:sz w:val="20"/>
        </w:rPr>
        <w:t>L.B.,</w:t>
      </w:r>
      <w:r>
        <w:rPr>
          <w:spacing w:val="-10"/>
          <w:sz w:val="20"/>
        </w:rPr>
        <w:t> </w:t>
      </w:r>
      <w:r>
        <w:rPr>
          <w:sz w:val="20"/>
        </w:rPr>
        <w:t>Calderaro</w:t>
      </w:r>
      <w:r>
        <w:rPr>
          <w:spacing w:val="-10"/>
          <w:sz w:val="20"/>
        </w:rPr>
        <w:t> </w:t>
      </w:r>
      <w:r>
        <w:rPr>
          <w:sz w:val="20"/>
        </w:rPr>
        <w:t>D.,</w:t>
      </w:r>
      <w:r>
        <w:rPr>
          <w:spacing w:val="-12"/>
          <w:sz w:val="20"/>
        </w:rPr>
        <w:t> </w:t>
      </w:r>
      <w:r>
        <w:rPr>
          <w:sz w:val="20"/>
        </w:rPr>
        <w:t>et</w:t>
      </w:r>
      <w:r>
        <w:rPr>
          <w:spacing w:val="-10"/>
          <w:sz w:val="20"/>
        </w:rPr>
        <w:t> </w:t>
      </w:r>
      <w:r>
        <w:rPr>
          <w:sz w:val="20"/>
        </w:rPr>
        <w:t>al.</w:t>
      </w:r>
      <w:r>
        <w:rPr>
          <w:spacing w:val="-10"/>
          <w:sz w:val="20"/>
        </w:rPr>
        <w:t> </w:t>
      </w:r>
      <w:r>
        <w:rPr>
          <w:sz w:val="20"/>
        </w:rPr>
        <w:t>on</w:t>
      </w:r>
      <w:r>
        <w:rPr>
          <w:spacing w:val="-10"/>
          <w:sz w:val="20"/>
        </w:rPr>
        <w:t> </w:t>
      </w:r>
      <w:r>
        <w:rPr>
          <w:sz w:val="20"/>
        </w:rPr>
        <w:t>behalf</w:t>
      </w:r>
      <w:r>
        <w:rPr>
          <w:spacing w:val="-10"/>
          <w:sz w:val="20"/>
        </w:rPr>
        <w:t> </w:t>
      </w:r>
      <w:r>
        <w:rPr>
          <w:sz w:val="20"/>
        </w:rPr>
        <w:t>of</w:t>
      </w:r>
      <w:r>
        <w:rPr>
          <w:spacing w:val="-10"/>
          <w:sz w:val="20"/>
        </w:rPr>
        <w:t> </w:t>
      </w:r>
      <w:r>
        <w:rPr>
          <w:sz w:val="20"/>
        </w:rPr>
        <w:t>the</w:t>
      </w:r>
      <w:r>
        <w:rPr>
          <w:spacing w:val="-10"/>
          <w:sz w:val="20"/>
        </w:rPr>
        <w:t> </w:t>
      </w:r>
      <w:r>
        <w:rPr>
          <w:sz w:val="20"/>
        </w:rPr>
        <w:t>MICHELLE</w:t>
      </w:r>
      <w:r>
        <w:rPr>
          <w:spacing w:val="-10"/>
          <w:sz w:val="20"/>
        </w:rPr>
        <w:t> </w:t>
      </w:r>
      <w:r>
        <w:rPr>
          <w:sz w:val="20"/>
        </w:rPr>
        <w:t>investigators.</w:t>
      </w:r>
      <w:r>
        <w:rPr>
          <w:spacing w:val="-12"/>
          <w:sz w:val="20"/>
        </w:rPr>
        <w:t> </w:t>
      </w:r>
      <w:r>
        <w:rPr>
          <w:sz w:val="20"/>
        </w:rPr>
        <w:t>Rivaroxaban versus no anticoagulation for post-discharge thromboprophylaxis after hospitalisation for COVID-19 (MICHELLE):</w:t>
      </w:r>
      <w:r>
        <w:rPr>
          <w:spacing w:val="-4"/>
          <w:sz w:val="20"/>
        </w:rPr>
        <w:t> </w:t>
      </w:r>
      <w:r>
        <w:rPr>
          <w:sz w:val="20"/>
        </w:rPr>
        <w:t>an</w:t>
      </w:r>
      <w:r>
        <w:rPr>
          <w:spacing w:val="-3"/>
          <w:sz w:val="20"/>
        </w:rPr>
        <w:t> </w:t>
      </w:r>
      <w:r>
        <w:rPr>
          <w:sz w:val="20"/>
        </w:rPr>
        <w:t>open-label,</w:t>
      </w:r>
      <w:r>
        <w:rPr>
          <w:spacing w:val="-5"/>
          <w:sz w:val="20"/>
        </w:rPr>
        <w:t> </w:t>
      </w:r>
      <w:r>
        <w:rPr>
          <w:sz w:val="20"/>
        </w:rPr>
        <w:t>multicentre,</w:t>
      </w:r>
      <w:r>
        <w:rPr>
          <w:spacing w:val="-4"/>
          <w:sz w:val="20"/>
        </w:rPr>
        <w:t> </w:t>
      </w:r>
      <w:r>
        <w:rPr>
          <w:sz w:val="20"/>
        </w:rPr>
        <w:t>randomised,</w:t>
      </w:r>
      <w:r>
        <w:rPr>
          <w:spacing w:val="-4"/>
          <w:sz w:val="20"/>
        </w:rPr>
        <w:t> </w:t>
      </w:r>
      <w:r>
        <w:rPr>
          <w:sz w:val="20"/>
        </w:rPr>
        <w:t>controlled</w:t>
      </w:r>
      <w:r>
        <w:rPr>
          <w:spacing w:val="-3"/>
          <w:sz w:val="20"/>
        </w:rPr>
        <w:t> </w:t>
      </w:r>
      <w:r>
        <w:rPr>
          <w:sz w:val="20"/>
        </w:rPr>
        <w:t>trial.</w:t>
      </w:r>
      <w:r>
        <w:rPr>
          <w:spacing w:val="-4"/>
          <w:sz w:val="20"/>
        </w:rPr>
        <w:t> </w:t>
      </w:r>
      <w:r>
        <w:rPr>
          <w:sz w:val="20"/>
        </w:rPr>
        <w:t>Lancet</w:t>
      </w:r>
      <w:r>
        <w:rPr>
          <w:spacing w:val="-4"/>
          <w:sz w:val="20"/>
        </w:rPr>
        <w:t> </w:t>
      </w:r>
      <w:r>
        <w:rPr>
          <w:sz w:val="20"/>
        </w:rPr>
        <w:t>2022;</w:t>
      </w:r>
      <w:r>
        <w:rPr>
          <w:spacing w:val="-4"/>
          <w:sz w:val="20"/>
        </w:rPr>
        <w:t> </w:t>
      </w:r>
      <w:r>
        <w:rPr>
          <w:sz w:val="20"/>
        </w:rPr>
        <w:t>399:</w:t>
      </w:r>
      <w:r>
        <w:rPr>
          <w:spacing w:val="-6"/>
          <w:sz w:val="20"/>
        </w:rPr>
        <w:t> </w:t>
      </w:r>
      <w:r>
        <w:rPr>
          <w:sz w:val="20"/>
        </w:rPr>
        <w:t>50–59.</w:t>
      </w:r>
      <w:r>
        <w:rPr>
          <w:spacing w:val="-4"/>
          <w:sz w:val="20"/>
        </w:rPr>
        <w:t> </w:t>
      </w:r>
      <w:r>
        <w:rPr>
          <w:sz w:val="20"/>
        </w:rPr>
        <w:t>Doi: 10.1016/ S0140-6736(21)02392-8.</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Revel M.-P., Parkar A.P., Prosch H. et al. COVID-19 patients and the Radiology department – advice from</w:t>
      </w:r>
      <w:r>
        <w:rPr>
          <w:spacing w:val="-1"/>
          <w:sz w:val="20"/>
        </w:rPr>
        <w:t> </w:t>
      </w:r>
      <w:r>
        <w:rPr>
          <w:sz w:val="20"/>
        </w:rPr>
        <w:t>the</w:t>
      </w:r>
      <w:r>
        <w:rPr>
          <w:spacing w:val="-1"/>
          <w:sz w:val="20"/>
        </w:rPr>
        <w:t> </w:t>
      </w:r>
      <w:r>
        <w:rPr>
          <w:sz w:val="20"/>
        </w:rPr>
        <w:t>European</w:t>
      </w:r>
      <w:r>
        <w:rPr>
          <w:spacing w:val="-1"/>
          <w:sz w:val="20"/>
        </w:rPr>
        <w:t> </w:t>
      </w:r>
      <w:r>
        <w:rPr>
          <w:sz w:val="20"/>
        </w:rPr>
        <w:t>Society</w:t>
      </w:r>
      <w:r>
        <w:rPr>
          <w:spacing w:val="-2"/>
          <w:sz w:val="20"/>
        </w:rPr>
        <w:t> </w:t>
      </w:r>
      <w:r>
        <w:rPr>
          <w:sz w:val="20"/>
        </w:rPr>
        <w:t>of</w:t>
      </w:r>
      <w:r>
        <w:rPr>
          <w:spacing w:val="-5"/>
          <w:sz w:val="20"/>
        </w:rPr>
        <w:t> </w:t>
      </w:r>
      <w:r>
        <w:rPr>
          <w:sz w:val="20"/>
        </w:rPr>
        <w:t>Radiology</w:t>
      </w:r>
      <w:r>
        <w:rPr>
          <w:spacing w:val="-1"/>
          <w:sz w:val="20"/>
        </w:rPr>
        <w:t> </w:t>
      </w:r>
      <w:r>
        <w:rPr>
          <w:sz w:val="20"/>
        </w:rPr>
        <w:t>(ESR)</w:t>
      </w:r>
      <w:r>
        <w:rPr>
          <w:spacing w:val="-1"/>
          <w:sz w:val="20"/>
        </w:rPr>
        <w:t> </w:t>
      </w:r>
      <w:r>
        <w:rPr>
          <w:sz w:val="20"/>
        </w:rPr>
        <w:t>and</w:t>
      </w:r>
      <w:r>
        <w:rPr>
          <w:spacing w:val="-1"/>
          <w:sz w:val="20"/>
        </w:rPr>
        <w:t> </w:t>
      </w:r>
      <w:r>
        <w:rPr>
          <w:sz w:val="20"/>
        </w:rPr>
        <w:t>the</w:t>
      </w:r>
      <w:r>
        <w:rPr>
          <w:spacing w:val="-1"/>
          <w:sz w:val="20"/>
        </w:rPr>
        <w:t> </w:t>
      </w:r>
      <w:r>
        <w:rPr>
          <w:sz w:val="20"/>
        </w:rPr>
        <w:t>European</w:t>
      </w:r>
      <w:r>
        <w:rPr>
          <w:spacing w:val="-1"/>
          <w:sz w:val="20"/>
        </w:rPr>
        <w:t> </w:t>
      </w:r>
      <w:r>
        <w:rPr>
          <w:sz w:val="20"/>
        </w:rPr>
        <w:t>Society</w:t>
      </w:r>
      <w:r>
        <w:rPr>
          <w:spacing w:val="-2"/>
          <w:sz w:val="20"/>
        </w:rPr>
        <w:t> </w:t>
      </w:r>
      <w:r>
        <w:rPr>
          <w:sz w:val="20"/>
        </w:rPr>
        <w:t>of</w:t>
      </w:r>
      <w:r>
        <w:rPr>
          <w:spacing w:val="-3"/>
          <w:sz w:val="20"/>
        </w:rPr>
        <w:t> </w:t>
      </w:r>
      <w:r>
        <w:rPr>
          <w:sz w:val="20"/>
        </w:rPr>
        <w:t>Thoracic</w:t>
      </w:r>
      <w:r>
        <w:rPr>
          <w:spacing w:val="-1"/>
          <w:sz w:val="20"/>
        </w:rPr>
        <w:t> </w:t>
      </w:r>
      <w:r>
        <w:rPr>
          <w:sz w:val="20"/>
        </w:rPr>
        <w:t>Imaging</w:t>
      </w:r>
      <w:r>
        <w:rPr>
          <w:spacing w:val="-2"/>
          <w:sz w:val="20"/>
        </w:rPr>
        <w:t> </w:t>
      </w:r>
      <w:r>
        <w:rPr>
          <w:sz w:val="20"/>
        </w:rPr>
        <w:t>(ESTI)</w:t>
      </w:r>
    </w:p>
    <w:p>
      <w:pPr>
        <w:spacing w:before="0"/>
        <w:ind w:left="2407" w:right="0" w:firstLine="0"/>
        <w:jc w:val="both"/>
        <w:rPr>
          <w:sz w:val="20"/>
        </w:rPr>
      </w:pPr>
      <w:r>
        <w:rPr>
          <w:sz w:val="20"/>
        </w:rPr>
        <w:t>//</w:t>
      </w:r>
      <w:r>
        <w:rPr>
          <w:spacing w:val="-5"/>
          <w:sz w:val="20"/>
        </w:rPr>
        <w:t> </w:t>
      </w:r>
      <w:r>
        <w:rPr>
          <w:sz w:val="20"/>
        </w:rPr>
        <w:t>Eur.</w:t>
      </w:r>
      <w:r>
        <w:rPr>
          <w:spacing w:val="-3"/>
          <w:sz w:val="20"/>
        </w:rPr>
        <w:t> </w:t>
      </w:r>
      <w:r>
        <w:rPr>
          <w:sz w:val="20"/>
        </w:rPr>
        <w:t>Radio.</w:t>
      </w:r>
      <w:r>
        <w:rPr>
          <w:spacing w:val="-4"/>
          <w:sz w:val="20"/>
        </w:rPr>
        <w:t> </w:t>
      </w:r>
      <w:r>
        <w:rPr>
          <w:sz w:val="20"/>
        </w:rPr>
        <w:t>Accepted</w:t>
      </w:r>
      <w:r>
        <w:rPr>
          <w:spacing w:val="-4"/>
          <w:sz w:val="20"/>
        </w:rPr>
        <w:t> </w:t>
      </w:r>
      <w:r>
        <w:rPr>
          <w:sz w:val="20"/>
        </w:rPr>
        <w:t>on</w:t>
      </w:r>
      <w:r>
        <w:rPr>
          <w:spacing w:val="-3"/>
          <w:sz w:val="20"/>
        </w:rPr>
        <w:t> </w:t>
      </w:r>
      <w:r>
        <w:rPr>
          <w:sz w:val="20"/>
        </w:rPr>
        <w:t>April</w:t>
      </w:r>
      <w:r>
        <w:rPr>
          <w:spacing w:val="-3"/>
          <w:sz w:val="20"/>
        </w:rPr>
        <w:t> </w:t>
      </w:r>
      <w:r>
        <w:rPr>
          <w:sz w:val="20"/>
        </w:rPr>
        <w:t>2,</w:t>
      </w:r>
      <w:r>
        <w:rPr>
          <w:spacing w:val="-4"/>
          <w:sz w:val="20"/>
        </w:rPr>
        <w:t> 2020.</w:t>
      </w:r>
    </w:p>
    <w:p>
      <w:pPr>
        <w:pStyle w:val="ListParagraph"/>
        <w:numPr>
          <w:ilvl w:val="0"/>
          <w:numId w:val="67"/>
        </w:numPr>
        <w:tabs>
          <w:tab w:pos="2407" w:val="left" w:leader="none"/>
        </w:tabs>
        <w:spacing w:line="259" w:lineRule="auto" w:before="0" w:after="0"/>
        <w:ind w:left="2407" w:right="1454" w:hanging="566"/>
        <w:jc w:val="left"/>
        <w:rPr>
          <w:sz w:val="20"/>
        </w:rPr>
      </w:pPr>
      <w:r>
        <w:rPr>
          <w:sz w:val="20"/>
        </w:rPr>
        <w:t>Richardson</w:t>
      </w:r>
      <w:r>
        <w:rPr>
          <w:spacing w:val="-3"/>
          <w:sz w:val="20"/>
        </w:rPr>
        <w:t> </w:t>
      </w:r>
      <w:r>
        <w:rPr>
          <w:sz w:val="20"/>
        </w:rPr>
        <w:t>P,</w:t>
      </w:r>
      <w:r>
        <w:rPr>
          <w:spacing w:val="-4"/>
          <w:sz w:val="20"/>
        </w:rPr>
        <w:t> </w:t>
      </w:r>
      <w:r>
        <w:rPr>
          <w:sz w:val="20"/>
        </w:rPr>
        <w:t>Griffin</w:t>
      </w:r>
      <w:r>
        <w:rPr>
          <w:spacing w:val="-6"/>
          <w:sz w:val="20"/>
        </w:rPr>
        <w:t> </w:t>
      </w:r>
      <w:r>
        <w:rPr>
          <w:sz w:val="20"/>
        </w:rPr>
        <w:t>I,</w:t>
      </w:r>
      <w:r>
        <w:rPr>
          <w:spacing w:val="-4"/>
          <w:sz w:val="20"/>
        </w:rPr>
        <w:t> </w:t>
      </w:r>
      <w:r>
        <w:rPr>
          <w:sz w:val="20"/>
        </w:rPr>
        <w:t>Tucker</w:t>
      </w:r>
      <w:r>
        <w:rPr>
          <w:spacing w:val="-4"/>
          <w:sz w:val="20"/>
        </w:rPr>
        <w:t> </w:t>
      </w:r>
      <w:r>
        <w:rPr>
          <w:sz w:val="20"/>
        </w:rPr>
        <w:t>C,</w:t>
      </w:r>
      <w:r>
        <w:rPr>
          <w:spacing w:val="-4"/>
          <w:sz w:val="20"/>
        </w:rPr>
        <w:t> </w:t>
      </w:r>
      <w:r>
        <w:rPr>
          <w:sz w:val="20"/>
        </w:rPr>
        <w:t>Smith</w:t>
      </w:r>
      <w:r>
        <w:rPr>
          <w:spacing w:val="-4"/>
          <w:sz w:val="20"/>
        </w:rPr>
        <w:t> </w:t>
      </w:r>
      <w:r>
        <w:rPr>
          <w:sz w:val="20"/>
        </w:rPr>
        <w:t>D,</w:t>
      </w:r>
      <w:r>
        <w:rPr>
          <w:spacing w:val="-4"/>
          <w:sz w:val="20"/>
        </w:rPr>
        <w:t> </w:t>
      </w:r>
      <w:r>
        <w:rPr>
          <w:sz w:val="20"/>
        </w:rPr>
        <w:t>Oechsle</w:t>
      </w:r>
      <w:r>
        <w:rPr>
          <w:spacing w:val="-4"/>
          <w:sz w:val="20"/>
        </w:rPr>
        <w:t> </w:t>
      </w:r>
      <w:r>
        <w:rPr>
          <w:sz w:val="20"/>
        </w:rPr>
        <w:t>O,</w:t>
      </w:r>
      <w:r>
        <w:rPr>
          <w:spacing w:val="-4"/>
          <w:sz w:val="20"/>
        </w:rPr>
        <w:t> </w:t>
      </w:r>
      <w:r>
        <w:rPr>
          <w:sz w:val="20"/>
        </w:rPr>
        <w:t>Phelan</w:t>
      </w:r>
      <w:r>
        <w:rPr>
          <w:spacing w:val="-3"/>
          <w:sz w:val="20"/>
        </w:rPr>
        <w:t> </w:t>
      </w:r>
      <w:r>
        <w:rPr>
          <w:sz w:val="20"/>
        </w:rPr>
        <w:t>A,</w:t>
      </w:r>
      <w:r>
        <w:rPr>
          <w:spacing w:val="-4"/>
          <w:sz w:val="20"/>
        </w:rPr>
        <w:t> </w:t>
      </w:r>
      <w:r>
        <w:rPr>
          <w:sz w:val="20"/>
        </w:rPr>
        <w:t>Stebbing</w:t>
      </w:r>
      <w:r>
        <w:rPr>
          <w:spacing w:val="-3"/>
          <w:sz w:val="20"/>
        </w:rPr>
        <w:t> </w:t>
      </w:r>
      <w:r>
        <w:rPr>
          <w:sz w:val="20"/>
        </w:rPr>
        <w:t>J.Baricitinib</w:t>
      </w:r>
      <w:r>
        <w:rPr>
          <w:spacing w:val="-4"/>
          <w:sz w:val="20"/>
        </w:rPr>
        <w:t> </w:t>
      </w:r>
      <w:r>
        <w:rPr>
          <w:sz w:val="20"/>
        </w:rPr>
        <w:t>as</w:t>
      </w:r>
      <w:r>
        <w:rPr>
          <w:spacing w:val="-7"/>
          <w:sz w:val="20"/>
        </w:rPr>
        <w:t> </w:t>
      </w:r>
      <w:r>
        <w:rPr>
          <w:sz w:val="20"/>
        </w:rPr>
        <w:t>potential treatment for 2019-nCoV acute respiratory disease. Lancet. 2020 Feb 15;395(10223):e30-e31. doi: </w:t>
      </w:r>
      <w:r>
        <w:rPr>
          <w:spacing w:val="-2"/>
          <w:sz w:val="20"/>
        </w:rPr>
        <w:t>10.1016/S0140-6736(20)30304-4.</w:t>
      </w:r>
    </w:p>
    <w:p>
      <w:pPr>
        <w:pStyle w:val="ListParagraph"/>
        <w:numPr>
          <w:ilvl w:val="0"/>
          <w:numId w:val="67"/>
        </w:numPr>
        <w:tabs>
          <w:tab w:pos="2407" w:val="left" w:leader="none"/>
        </w:tabs>
        <w:spacing w:line="261" w:lineRule="auto" w:before="0" w:after="0"/>
        <w:ind w:left="2407" w:right="1483" w:hanging="566"/>
        <w:jc w:val="left"/>
        <w:rPr>
          <w:sz w:val="20"/>
        </w:rPr>
      </w:pPr>
      <w:r>
        <w:rPr>
          <w:sz w:val="20"/>
        </w:rPr>
        <w:t>Robert</w:t>
      </w:r>
      <w:r>
        <w:rPr>
          <w:spacing w:val="-3"/>
          <w:sz w:val="20"/>
        </w:rPr>
        <w:t> </w:t>
      </w:r>
      <w:r>
        <w:rPr>
          <w:sz w:val="20"/>
        </w:rPr>
        <w:t>Simpson</w:t>
      </w:r>
      <w:r>
        <w:rPr>
          <w:spacing w:val="-1"/>
          <w:sz w:val="20"/>
        </w:rPr>
        <w:t> </w:t>
      </w:r>
      <w:r>
        <w:rPr>
          <w:sz w:val="20"/>
        </w:rPr>
        <w:t>et</w:t>
      </w:r>
      <w:r>
        <w:rPr>
          <w:spacing w:val="-2"/>
          <w:sz w:val="20"/>
        </w:rPr>
        <w:t> </w:t>
      </w:r>
      <w:r>
        <w:rPr>
          <w:sz w:val="20"/>
        </w:rPr>
        <w:t>al.</w:t>
      </w:r>
      <w:r>
        <w:rPr>
          <w:spacing w:val="-2"/>
          <w:sz w:val="20"/>
        </w:rPr>
        <w:t> </w:t>
      </w:r>
      <w:r>
        <w:rPr>
          <w:sz w:val="20"/>
        </w:rPr>
        <w:t>Rehabilitation</w:t>
      </w:r>
      <w:r>
        <w:rPr>
          <w:spacing w:val="-1"/>
          <w:sz w:val="20"/>
        </w:rPr>
        <w:t> </w:t>
      </w:r>
      <w:r>
        <w:rPr>
          <w:sz w:val="20"/>
        </w:rPr>
        <w:t>Following</w:t>
      </w:r>
      <w:r>
        <w:rPr>
          <w:spacing w:val="-1"/>
          <w:sz w:val="20"/>
        </w:rPr>
        <w:t> </w:t>
      </w:r>
      <w:r>
        <w:rPr>
          <w:sz w:val="20"/>
        </w:rPr>
        <w:t>Critical</w:t>
      </w:r>
      <w:r>
        <w:rPr>
          <w:spacing w:val="-2"/>
          <w:sz w:val="20"/>
        </w:rPr>
        <w:t> </w:t>
      </w:r>
      <w:r>
        <w:rPr>
          <w:sz w:val="20"/>
        </w:rPr>
        <w:t>Illness</w:t>
      </w:r>
      <w:r>
        <w:rPr>
          <w:spacing w:val="-3"/>
          <w:sz w:val="20"/>
        </w:rPr>
        <w:t> </w:t>
      </w:r>
      <w:r>
        <w:rPr>
          <w:sz w:val="20"/>
        </w:rPr>
        <w:t>in</w:t>
      </w:r>
      <w:r>
        <w:rPr>
          <w:spacing w:val="-2"/>
          <w:sz w:val="20"/>
        </w:rPr>
        <w:t> </w:t>
      </w:r>
      <w:r>
        <w:rPr>
          <w:sz w:val="20"/>
        </w:rPr>
        <w:t>People</w:t>
      </w:r>
      <w:r>
        <w:rPr>
          <w:spacing w:val="-2"/>
          <w:sz w:val="20"/>
        </w:rPr>
        <w:t> </w:t>
      </w:r>
      <w:r>
        <w:rPr>
          <w:sz w:val="20"/>
        </w:rPr>
        <w:t>With</w:t>
      </w:r>
      <w:r>
        <w:rPr>
          <w:spacing w:val="-2"/>
          <w:sz w:val="20"/>
        </w:rPr>
        <w:t> </w:t>
      </w:r>
      <w:r>
        <w:rPr>
          <w:sz w:val="20"/>
        </w:rPr>
        <w:t>COVID-19</w:t>
      </w:r>
      <w:r>
        <w:rPr>
          <w:spacing w:val="-1"/>
          <w:sz w:val="20"/>
        </w:rPr>
        <w:t> </w:t>
      </w:r>
      <w:r>
        <w:rPr>
          <w:sz w:val="20"/>
        </w:rPr>
        <w:t>Infection Am</w:t>
      </w:r>
      <w:r>
        <w:rPr>
          <w:spacing w:val="-4"/>
          <w:sz w:val="20"/>
        </w:rPr>
        <w:t> </w:t>
      </w:r>
      <w:r>
        <w:rPr>
          <w:sz w:val="20"/>
        </w:rPr>
        <w:t>J</w:t>
      </w:r>
      <w:r>
        <w:rPr>
          <w:spacing w:val="-5"/>
          <w:sz w:val="20"/>
        </w:rPr>
        <w:t> </w:t>
      </w:r>
      <w:r>
        <w:rPr>
          <w:sz w:val="20"/>
        </w:rPr>
        <w:t>Phys</w:t>
      </w:r>
      <w:r>
        <w:rPr>
          <w:spacing w:val="-5"/>
          <w:sz w:val="20"/>
        </w:rPr>
        <w:t> </w:t>
      </w:r>
      <w:r>
        <w:rPr>
          <w:sz w:val="20"/>
        </w:rPr>
        <w:t>Med</w:t>
      </w:r>
      <w:r>
        <w:rPr>
          <w:spacing w:val="-4"/>
          <w:sz w:val="20"/>
        </w:rPr>
        <w:t> </w:t>
      </w:r>
      <w:r>
        <w:rPr>
          <w:sz w:val="20"/>
        </w:rPr>
        <w:t>Rehabil2020</w:t>
      </w:r>
      <w:r>
        <w:rPr>
          <w:spacing w:val="-8"/>
          <w:sz w:val="20"/>
        </w:rPr>
        <w:t> </w:t>
      </w:r>
      <w:r>
        <w:rPr>
          <w:sz w:val="20"/>
        </w:rPr>
        <w:t>Apr</w:t>
      </w:r>
      <w:r>
        <w:rPr>
          <w:spacing w:val="-5"/>
          <w:sz w:val="20"/>
        </w:rPr>
        <w:t> </w:t>
      </w:r>
      <w:r>
        <w:rPr>
          <w:sz w:val="20"/>
        </w:rPr>
        <w:t>10.</w:t>
      </w:r>
      <w:r>
        <w:rPr>
          <w:spacing w:val="-6"/>
          <w:sz w:val="20"/>
        </w:rPr>
        <w:t> </w:t>
      </w:r>
      <w:r>
        <w:rPr>
          <w:sz w:val="20"/>
        </w:rPr>
        <w:t>doi:</w:t>
      </w:r>
      <w:r>
        <w:rPr>
          <w:spacing w:val="-5"/>
          <w:sz w:val="20"/>
        </w:rPr>
        <w:t> </w:t>
      </w:r>
      <w:r>
        <w:rPr>
          <w:sz w:val="20"/>
        </w:rPr>
        <w:t>10.1097/PHM.0000000000001443.Online</w:t>
      </w:r>
      <w:r>
        <w:rPr>
          <w:spacing w:val="-5"/>
          <w:sz w:val="20"/>
        </w:rPr>
        <w:t> </w:t>
      </w:r>
      <w:r>
        <w:rPr>
          <w:sz w:val="20"/>
        </w:rPr>
        <w:t>ahead</w:t>
      </w:r>
      <w:r>
        <w:rPr>
          <w:spacing w:val="-4"/>
          <w:sz w:val="20"/>
        </w:rPr>
        <w:t> </w:t>
      </w:r>
      <w:r>
        <w:rPr>
          <w:sz w:val="20"/>
        </w:rPr>
        <w:t>of</w:t>
      </w:r>
      <w:r>
        <w:rPr>
          <w:spacing w:val="-6"/>
          <w:sz w:val="20"/>
        </w:rPr>
        <w:t> </w:t>
      </w:r>
      <w:r>
        <w:rPr>
          <w:sz w:val="20"/>
        </w:rPr>
        <w:t>print.</w:t>
      </w:r>
    </w:p>
    <w:p>
      <w:pPr>
        <w:pStyle w:val="ListParagraph"/>
        <w:numPr>
          <w:ilvl w:val="0"/>
          <w:numId w:val="67"/>
        </w:numPr>
        <w:tabs>
          <w:tab w:pos="2405" w:val="left" w:leader="none"/>
          <w:tab w:pos="2407" w:val="left" w:leader="none"/>
        </w:tabs>
        <w:spacing w:line="259" w:lineRule="auto" w:before="0" w:after="0"/>
        <w:ind w:left="2407" w:right="1273" w:hanging="566"/>
        <w:jc w:val="both"/>
        <w:rPr>
          <w:sz w:val="20"/>
        </w:rPr>
      </w:pPr>
      <w:r>
        <w:rPr>
          <w:sz w:val="20"/>
        </w:rPr>
        <w:t>Rodriguez-Morales A. et al. Clinical, laboratory and imaging features of COVID-19: A systematic review and meta-analysis. Travel Medicine and Infectious Disease, Volume 34,</w:t>
      </w:r>
      <w:r>
        <w:rPr>
          <w:spacing w:val="-3"/>
          <w:sz w:val="20"/>
        </w:rPr>
        <w:t> </w:t>
      </w:r>
      <w:r>
        <w:rPr>
          <w:sz w:val="20"/>
        </w:rPr>
        <w:t>March–April 2020, 101623 https://doi.org/10.1016/j.tmaid.2020.101623</w:t>
      </w:r>
    </w:p>
    <w:p>
      <w:pPr>
        <w:pStyle w:val="ListParagraph"/>
        <w:numPr>
          <w:ilvl w:val="0"/>
          <w:numId w:val="67"/>
        </w:numPr>
        <w:tabs>
          <w:tab w:pos="2405" w:val="left" w:leader="none"/>
          <w:tab w:pos="2407" w:val="left" w:leader="none"/>
        </w:tabs>
        <w:spacing w:line="240" w:lineRule="auto" w:before="0" w:after="0"/>
        <w:ind w:left="2407" w:right="1282" w:hanging="566"/>
        <w:jc w:val="both"/>
        <w:rPr>
          <w:sz w:val="20"/>
        </w:rPr>
      </w:pPr>
      <w:r>
        <w:rPr>
          <w:sz w:val="20"/>
        </w:rPr>
        <w:t>Royal</w:t>
      </w:r>
      <w:r>
        <w:rPr>
          <w:spacing w:val="-7"/>
          <w:sz w:val="20"/>
        </w:rPr>
        <w:t> </w:t>
      </w:r>
      <w:r>
        <w:rPr>
          <w:sz w:val="20"/>
        </w:rPr>
        <w:t>Pharmaceutical</w:t>
      </w:r>
      <w:r>
        <w:rPr>
          <w:spacing w:val="-7"/>
          <w:sz w:val="20"/>
        </w:rPr>
        <w:t> </w:t>
      </w:r>
      <w:r>
        <w:rPr>
          <w:sz w:val="20"/>
        </w:rPr>
        <w:t>Society</w:t>
      </w:r>
      <w:r>
        <w:rPr>
          <w:spacing w:val="-11"/>
          <w:sz w:val="20"/>
        </w:rPr>
        <w:t> </w:t>
      </w:r>
      <w:r>
        <w:rPr>
          <w:sz w:val="20"/>
        </w:rPr>
        <w:t>of</w:t>
      </w:r>
      <w:r>
        <w:rPr>
          <w:spacing w:val="-7"/>
          <w:sz w:val="20"/>
        </w:rPr>
        <w:t> </w:t>
      </w:r>
      <w:r>
        <w:rPr>
          <w:sz w:val="20"/>
        </w:rPr>
        <w:t>Great</w:t>
      </w:r>
      <w:r>
        <w:rPr>
          <w:spacing w:val="-8"/>
          <w:sz w:val="20"/>
        </w:rPr>
        <w:t> </w:t>
      </w:r>
      <w:r>
        <w:rPr>
          <w:sz w:val="20"/>
        </w:rPr>
        <w:t>Britain</w:t>
      </w:r>
      <w:r>
        <w:rPr>
          <w:spacing w:val="-7"/>
          <w:sz w:val="20"/>
        </w:rPr>
        <w:t> </w:t>
      </w:r>
      <w:r>
        <w:rPr>
          <w:sz w:val="20"/>
        </w:rPr>
        <w:t>Trading</w:t>
      </w:r>
      <w:r>
        <w:rPr>
          <w:spacing w:val="-7"/>
          <w:sz w:val="20"/>
        </w:rPr>
        <w:t> </w:t>
      </w:r>
      <w:r>
        <w:rPr>
          <w:sz w:val="20"/>
        </w:rPr>
        <w:t>as</w:t>
      </w:r>
      <w:r>
        <w:rPr>
          <w:spacing w:val="-8"/>
          <w:sz w:val="20"/>
        </w:rPr>
        <w:t> </w:t>
      </w:r>
      <w:r>
        <w:rPr>
          <w:sz w:val="20"/>
        </w:rPr>
        <w:t>Royal</w:t>
      </w:r>
      <w:r>
        <w:rPr>
          <w:spacing w:val="-7"/>
          <w:sz w:val="20"/>
        </w:rPr>
        <w:t> </w:t>
      </w:r>
      <w:r>
        <w:rPr>
          <w:sz w:val="20"/>
        </w:rPr>
        <w:t>Pharmaceutical</w:t>
      </w:r>
      <w:r>
        <w:rPr>
          <w:spacing w:val="-7"/>
          <w:sz w:val="20"/>
        </w:rPr>
        <w:t> </w:t>
      </w:r>
      <w:r>
        <w:rPr>
          <w:sz w:val="20"/>
        </w:rPr>
        <w:t>Society.</w:t>
      </w:r>
      <w:r>
        <w:rPr>
          <w:spacing w:val="-10"/>
          <w:sz w:val="20"/>
        </w:rPr>
        <w:t> </w:t>
      </w:r>
      <w:r>
        <w:rPr>
          <w:sz w:val="20"/>
        </w:rPr>
        <w:t>Wuhan</w:t>
      </w:r>
      <w:r>
        <w:rPr>
          <w:spacing w:val="-6"/>
          <w:sz w:val="20"/>
        </w:rPr>
        <w:t> </w:t>
      </w:r>
      <w:r>
        <w:rPr>
          <w:sz w:val="20"/>
        </w:rPr>
        <w:t>novel coronavirus. URL: </w:t>
      </w:r>
      <w:r>
        <w:rPr>
          <w:color w:val="0462C1"/>
          <w:sz w:val="20"/>
          <w:u w:val="single" w:color="0462C1"/>
        </w:rPr>
        <w:t>https</w:t>
      </w:r>
      <w:hyperlink r:id="rId44">
        <w:r>
          <w:rPr>
            <w:color w:val="0462C1"/>
            <w:sz w:val="20"/>
            <w:u w:val="single" w:color="0462C1"/>
          </w:rPr>
          <w:t>://www.rpharms.com/resources/pharmacy-guides/wuhan-novel-coronavirus</w:t>
        </w:r>
      </w:hyperlink>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Rubin G.D., Ryerson C.J., Haramati L.B. et al. The Role of Chest Imaging in Patient Management during the COVID-19 Pandemic: A Multinational Consensus Statement from the Fleischner Society [published online ahead of print, 2020 Apr 7] // Radiology. 2020;201365. Doi: </w:t>
      </w:r>
      <w:r>
        <w:rPr>
          <w:spacing w:val="-2"/>
          <w:sz w:val="20"/>
        </w:rPr>
        <w:t>10.1148/radiol.2020201365.</w:t>
      </w:r>
    </w:p>
    <w:p>
      <w:pPr>
        <w:pStyle w:val="ListParagraph"/>
        <w:numPr>
          <w:ilvl w:val="0"/>
          <w:numId w:val="67"/>
        </w:numPr>
        <w:tabs>
          <w:tab w:pos="2405" w:val="left" w:leader="none"/>
          <w:tab w:pos="2407" w:val="left" w:leader="none"/>
        </w:tabs>
        <w:spacing w:line="240" w:lineRule="auto" w:before="0" w:after="0"/>
        <w:ind w:left="2407" w:right="1270" w:hanging="566"/>
        <w:jc w:val="both"/>
        <w:rPr>
          <w:sz w:val="20"/>
        </w:rPr>
      </w:pPr>
      <w:r>
        <w:rPr>
          <w:sz w:val="20"/>
        </w:rPr>
        <w:t>Sánchez-Sánchez E, Ramírez-Vargas G, Avellaneda-López Y, Orellana-Pecino JI, García-Marín E, Díaz-Jimenez J. Eating habits and physical activity of the Spanish population during the COVID-19 pandemic period. Nutrients 2020;12:E2826</w:t>
      </w:r>
    </w:p>
    <w:p>
      <w:pPr>
        <w:pStyle w:val="ListParagraph"/>
        <w:numPr>
          <w:ilvl w:val="0"/>
          <w:numId w:val="67"/>
        </w:numPr>
        <w:tabs>
          <w:tab w:pos="2405" w:val="left" w:leader="none"/>
          <w:tab w:pos="2407" w:val="left" w:leader="none"/>
        </w:tabs>
        <w:spacing w:line="240" w:lineRule="auto" w:before="0" w:after="0"/>
        <w:ind w:left="2407" w:right="1275" w:hanging="566"/>
        <w:jc w:val="both"/>
        <w:rPr>
          <w:sz w:val="20"/>
        </w:rPr>
      </w:pPr>
      <w:r>
        <w:rPr>
          <w:sz w:val="20"/>
        </w:rPr>
        <w:t>Schulze-Koops</w:t>
      </w:r>
      <w:r>
        <w:rPr>
          <w:spacing w:val="-12"/>
          <w:sz w:val="20"/>
        </w:rPr>
        <w:t> </w:t>
      </w:r>
      <w:r>
        <w:rPr>
          <w:sz w:val="20"/>
        </w:rPr>
        <w:t>H,</w:t>
      </w:r>
      <w:r>
        <w:rPr>
          <w:spacing w:val="-11"/>
          <w:sz w:val="20"/>
        </w:rPr>
        <w:t> </w:t>
      </w:r>
      <w:r>
        <w:rPr>
          <w:sz w:val="20"/>
        </w:rPr>
        <w:t>et</w:t>
      </w:r>
      <w:r>
        <w:rPr>
          <w:spacing w:val="-11"/>
          <w:sz w:val="20"/>
        </w:rPr>
        <w:t> </w:t>
      </w:r>
      <w:r>
        <w:rPr>
          <w:sz w:val="20"/>
        </w:rPr>
        <w:t>al.</w:t>
      </w:r>
      <w:r>
        <w:rPr>
          <w:spacing w:val="-11"/>
          <w:sz w:val="20"/>
        </w:rPr>
        <w:t> </w:t>
      </w:r>
      <w:r>
        <w:rPr>
          <w:sz w:val="20"/>
        </w:rPr>
        <w:t>Preliminary</w:t>
      </w:r>
      <w:r>
        <w:rPr>
          <w:spacing w:val="-10"/>
          <w:sz w:val="20"/>
        </w:rPr>
        <w:t> </w:t>
      </w:r>
      <w:r>
        <w:rPr>
          <w:sz w:val="20"/>
        </w:rPr>
        <w:t>recommendations</w:t>
      </w:r>
      <w:r>
        <w:rPr>
          <w:spacing w:val="-12"/>
          <w:sz w:val="20"/>
        </w:rPr>
        <w:t> </w:t>
      </w:r>
      <w:r>
        <w:rPr>
          <w:sz w:val="20"/>
        </w:rPr>
        <w:t>of</w:t>
      </w:r>
      <w:r>
        <w:rPr>
          <w:spacing w:val="-13"/>
          <w:sz w:val="20"/>
        </w:rPr>
        <w:t> </w:t>
      </w:r>
      <w:r>
        <w:rPr>
          <w:sz w:val="20"/>
        </w:rPr>
        <w:t>the</w:t>
      </w:r>
      <w:r>
        <w:rPr>
          <w:spacing w:val="-10"/>
          <w:sz w:val="20"/>
        </w:rPr>
        <w:t> </w:t>
      </w:r>
      <w:r>
        <w:rPr>
          <w:sz w:val="20"/>
        </w:rPr>
        <w:t>German</w:t>
      </w:r>
      <w:r>
        <w:rPr>
          <w:spacing w:val="-10"/>
          <w:sz w:val="20"/>
        </w:rPr>
        <w:t> </w:t>
      </w:r>
      <w:r>
        <w:rPr>
          <w:sz w:val="20"/>
        </w:rPr>
        <w:t>Society</w:t>
      </w:r>
      <w:r>
        <w:rPr>
          <w:spacing w:val="-12"/>
          <w:sz w:val="20"/>
        </w:rPr>
        <w:t> </w:t>
      </w:r>
      <w:r>
        <w:rPr>
          <w:sz w:val="20"/>
        </w:rPr>
        <w:t>of</w:t>
      </w:r>
      <w:r>
        <w:rPr>
          <w:spacing w:val="-11"/>
          <w:sz w:val="20"/>
        </w:rPr>
        <w:t> </w:t>
      </w:r>
      <w:r>
        <w:rPr>
          <w:sz w:val="20"/>
        </w:rPr>
        <w:t>Rheumatology</w:t>
      </w:r>
      <w:r>
        <w:rPr>
          <w:spacing w:val="-13"/>
          <w:sz w:val="20"/>
        </w:rPr>
        <w:t> </w:t>
      </w:r>
      <w:r>
        <w:rPr>
          <w:sz w:val="20"/>
        </w:rPr>
        <w:t>(DGRh eV) for the management of patients with inflammatory rheumatic diseases during the SARS-CoV- 2/Covid-19 pandemic. Ann Rheum Dis. 2020 Apr 28. pii: annrheumdis-2020-217628. doi: </w:t>
      </w:r>
      <w:r>
        <w:rPr>
          <w:spacing w:val="-2"/>
          <w:sz w:val="20"/>
        </w:rPr>
        <w:t>10.1136/annrheumdis-2020-217628.</w:t>
      </w:r>
    </w:p>
    <w:p>
      <w:pPr>
        <w:pStyle w:val="ListParagraph"/>
        <w:numPr>
          <w:ilvl w:val="0"/>
          <w:numId w:val="67"/>
        </w:numPr>
        <w:tabs>
          <w:tab w:pos="2405" w:val="left" w:leader="none"/>
          <w:tab w:pos="2407" w:val="left" w:leader="none"/>
        </w:tabs>
        <w:spacing w:line="240" w:lineRule="auto" w:before="0" w:after="0"/>
        <w:ind w:left="2407" w:right="1280" w:hanging="566"/>
        <w:jc w:val="both"/>
        <w:rPr>
          <w:sz w:val="20"/>
        </w:rPr>
      </w:pPr>
      <w:r>
        <w:rPr>
          <w:sz w:val="20"/>
        </w:rPr>
        <w:t>S.E. Fox, A. Akmatbekov, J.L Harbert, et al. Pulmonary and cardiac pathology in African American patients with COVID-19: an autopsy series from New Orleans. Lancet Respir Med 2020. </w:t>
      </w:r>
      <w:r>
        <w:rPr>
          <w:spacing w:val="-2"/>
          <w:sz w:val="20"/>
        </w:rPr>
        <w:t>doi:10.1016/S2213-2600(20)30244-7.</w:t>
      </w:r>
    </w:p>
    <w:p>
      <w:pPr>
        <w:pStyle w:val="ListParagraph"/>
        <w:numPr>
          <w:ilvl w:val="0"/>
          <w:numId w:val="67"/>
        </w:numPr>
        <w:tabs>
          <w:tab w:pos="2407" w:val="left" w:leader="none"/>
        </w:tabs>
        <w:spacing w:line="240" w:lineRule="auto" w:before="0" w:after="0"/>
        <w:ind w:left="2407" w:right="1300" w:hanging="566"/>
        <w:jc w:val="left"/>
        <w:rPr>
          <w:sz w:val="20"/>
        </w:rPr>
      </w:pPr>
      <w:r>
        <w:rPr>
          <w:sz w:val="20"/>
        </w:rPr>
        <w:t>Seif F, Aazami H, Khoshmirsafa M, Kamali M, Mohsenzadegan M, Pornour M, Mansouri D. JAK Inhibition</w:t>
      </w:r>
      <w:r>
        <w:rPr>
          <w:spacing w:val="-2"/>
          <w:sz w:val="20"/>
        </w:rPr>
        <w:t> </w:t>
      </w:r>
      <w:r>
        <w:rPr>
          <w:sz w:val="20"/>
        </w:rPr>
        <w:t>as</w:t>
      </w:r>
      <w:r>
        <w:rPr>
          <w:spacing w:val="-4"/>
          <w:sz w:val="20"/>
        </w:rPr>
        <w:t> </w:t>
      </w:r>
      <w:r>
        <w:rPr>
          <w:sz w:val="20"/>
        </w:rPr>
        <w:t>a</w:t>
      </w:r>
      <w:r>
        <w:rPr>
          <w:spacing w:val="-3"/>
          <w:sz w:val="20"/>
        </w:rPr>
        <w:t> </w:t>
      </w:r>
      <w:r>
        <w:rPr>
          <w:sz w:val="20"/>
        </w:rPr>
        <w:t>New</w:t>
      </w:r>
      <w:r>
        <w:rPr>
          <w:spacing w:val="-3"/>
          <w:sz w:val="20"/>
        </w:rPr>
        <w:t> </w:t>
      </w:r>
      <w:r>
        <w:rPr>
          <w:sz w:val="20"/>
        </w:rPr>
        <w:t>Treatment</w:t>
      </w:r>
      <w:r>
        <w:rPr>
          <w:spacing w:val="-6"/>
          <w:sz w:val="20"/>
        </w:rPr>
        <w:t> </w:t>
      </w:r>
      <w:r>
        <w:rPr>
          <w:sz w:val="20"/>
        </w:rPr>
        <w:t>Strategy</w:t>
      </w:r>
      <w:r>
        <w:rPr>
          <w:spacing w:val="-2"/>
          <w:sz w:val="20"/>
        </w:rPr>
        <w:t> </w:t>
      </w:r>
      <w:r>
        <w:rPr>
          <w:sz w:val="20"/>
        </w:rPr>
        <w:t>for</w:t>
      </w:r>
      <w:r>
        <w:rPr>
          <w:spacing w:val="-5"/>
          <w:sz w:val="20"/>
        </w:rPr>
        <w:t> </w:t>
      </w:r>
      <w:r>
        <w:rPr>
          <w:sz w:val="20"/>
        </w:rPr>
        <w:t>Patients</w:t>
      </w:r>
      <w:r>
        <w:rPr>
          <w:spacing w:val="-4"/>
          <w:sz w:val="20"/>
        </w:rPr>
        <w:t> </w:t>
      </w:r>
      <w:r>
        <w:rPr>
          <w:sz w:val="20"/>
        </w:rPr>
        <w:t>with</w:t>
      </w:r>
      <w:r>
        <w:rPr>
          <w:spacing w:val="-3"/>
          <w:sz w:val="20"/>
        </w:rPr>
        <w:t> </w:t>
      </w:r>
      <w:r>
        <w:rPr>
          <w:sz w:val="20"/>
        </w:rPr>
        <w:t>COVID-19.</w:t>
      </w:r>
      <w:r>
        <w:rPr>
          <w:spacing w:val="-2"/>
          <w:sz w:val="20"/>
        </w:rPr>
        <w:t> </w:t>
      </w:r>
      <w:r>
        <w:rPr>
          <w:sz w:val="20"/>
        </w:rPr>
        <w:t>Int</w:t>
      </w:r>
      <w:r>
        <w:rPr>
          <w:spacing w:val="-4"/>
          <w:sz w:val="20"/>
        </w:rPr>
        <w:t> </w:t>
      </w:r>
      <w:r>
        <w:rPr>
          <w:sz w:val="20"/>
        </w:rPr>
        <w:t>Arch</w:t>
      </w:r>
      <w:r>
        <w:rPr>
          <w:spacing w:val="-2"/>
          <w:sz w:val="20"/>
        </w:rPr>
        <w:t> </w:t>
      </w:r>
      <w:r>
        <w:rPr>
          <w:sz w:val="20"/>
        </w:rPr>
        <w:t>Allergy</w:t>
      </w:r>
      <w:r>
        <w:rPr>
          <w:spacing w:val="-2"/>
          <w:sz w:val="20"/>
        </w:rPr>
        <w:t> </w:t>
      </w:r>
      <w:r>
        <w:rPr>
          <w:sz w:val="20"/>
        </w:rPr>
        <w:t>Immunol.</w:t>
      </w:r>
      <w:r>
        <w:rPr>
          <w:spacing w:val="-5"/>
          <w:sz w:val="20"/>
        </w:rPr>
        <w:t> </w:t>
      </w:r>
      <w:r>
        <w:rPr>
          <w:sz w:val="20"/>
        </w:rPr>
        <w:t>2020 May 11:1-9. doi: 10.1159/000508247.</w:t>
      </w:r>
    </w:p>
    <w:p>
      <w:pPr>
        <w:pStyle w:val="ListParagraph"/>
        <w:numPr>
          <w:ilvl w:val="0"/>
          <w:numId w:val="67"/>
        </w:numPr>
        <w:tabs>
          <w:tab w:pos="2405" w:val="left" w:leader="none"/>
          <w:tab w:pos="2407" w:val="left" w:leader="none"/>
        </w:tabs>
        <w:spacing w:line="237" w:lineRule="auto" w:before="0" w:after="0"/>
        <w:ind w:left="2407" w:right="1284" w:hanging="566"/>
        <w:jc w:val="both"/>
        <w:rPr>
          <w:sz w:val="20"/>
        </w:rPr>
      </w:pPr>
      <w:r>
        <w:rPr>
          <w:sz w:val="20"/>
        </w:rPr>
        <w:t>Shannon</w:t>
      </w:r>
      <w:r>
        <w:rPr>
          <w:spacing w:val="-6"/>
          <w:sz w:val="20"/>
        </w:rPr>
        <w:t> </w:t>
      </w:r>
      <w:r>
        <w:rPr>
          <w:sz w:val="20"/>
        </w:rPr>
        <w:t>L.</w:t>
      </w:r>
      <w:r>
        <w:rPr>
          <w:spacing w:val="-6"/>
          <w:sz w:val="20"/>
        </w:rPr>
        <w:t> </w:t>
      </w:r>
      <w:r>
        <w:rPr>
          <w:sz w:val="20"/>
        </w:rPr>
        <w:t>Maude</w:t>
      </w:r>
      <w:r>
        <w:rPr>
          <w:spacing w:val="-6"/>
          <w:sz w:val="20"/>
        </w:rPr>
        <w:t> </w:t>
      </w:r>
      <w:r>
        <w:rPr>
          <w:sz w:val="20"/>
        </w:rPr>
        <w:t>et</w:t>
      </w:r>
      <w:r>
        <w:rPr>
          <w:spacing w:val="-6"/>
          <w:sz w:val="20"/>
        </w:rPr>
        <w:t> </w:t>
      </w:r>
      <w:r>
        <w:rPr>
          <w:sz w:val="20"/>
        </w:rPr>
        <w:t>al.</w:t>
      </w:r>
      <w:r>
        <w:rPr>
          <w:spacing w:val="-6"/>
          <w:sz w:val="20"/>
        </w:rPr>
        <w:t> </w:t>
      </w:r>
      <w:r>
        <w:rPr>
          <w:sz w:val="20"/>
        </w:rPr>
        <w:t>Chimeric</w:t>
      </w:r>
      <w:r>
        <w:rPr>
          <w:spacing w:val="-6"/>
          <w:sz w:val="20"/>
        </w:rPr>
        <w:t> </w:t>
      </w:r>
      <w:r>
        <w:rPr>
          <w:sz w:val="20"/>
        </w:rPr>
        <w:t>Antigen</w:t>
      </w:r>
      <w:r>
        <w:rPr>
          <w:spacing w:val="-5"/>
          <w:sz w:val="20"/>
        </w:rPr>
        <w:t> </w:t>
      </w:r>
      <w:r>
        <w:rPr>
          <w:sz w:val="20"/>
        </w:rPr>
        <w:t>Receptor</w:t>
      </w:r>
      <w:r>
        <w:rPr>
          <w:spacing w:val="-6"/>
          <w:sz w:val="20"/>
        </w:rPr>
        <w:t> </w:t>
      </w:r>
      <w:r>
        <w:rPr>
          <w:sz w:val="20"/>
        </w:rPr>
        <w:t>T</w:t>
      </w:r>
      <w:r>
        <w:rPr>
          <w:spacing w:val="-6"/>
          <w:sz w:val="20"/>
        </w:rPr>
        <w:t> </w:t>
      </w:r>
      <w:r>
        <w:rPr>
          <w:sz w:val="20"/>
        </w:rPr>
        <w:t>Cells</w:t>
      </w:r>
      <w:r>
        <w:rPr>
          <w:spacing w:val="-3"/>
          <w:sz w:val="20"/>
        </w:rPr>
        <w:t> </w:t>
      </w:r>
      <w:r>
        <w:rPr>
          <w:sz w:val="20"/>
        </w:rPr>
        <w:t>for</w:t>
      </w:r>
      <w:r>
        <w:rPr>
          <w:spacing w:val="-6"/>
          <w:sz w:val="20"/>
        </w:rPr>
        <w:t> </w:t>
      </w:r>
      <w:r>
        <w:rPr>
          <w:sz w:val="20"/>
        </w:rPr>
        <w:t>Sustained</w:t>
      </w:r>
      <w:r>
        <w:rPr>
          <w:spacing w:val="-5"/>
          <w:sz w:val="20"/>
        </w:rPr>
        <w:t> </w:t>
      </w:r>
      <w:r>
        <w:rPr>
          <w:sz w:val="20"/>
        </w:rPr>
        <w:t>Remissions</w:t>
      </w:r>
      <w:r>
        <w:rPr>
          <w:spacing w:val="-5"/>
          <w:sz w:val="20"/>
        </w:rPr>
        <w:t> </w:t>
      </w:r>
      <w:r>
        <w:rPr>
          <w:sz w:val="20"/>
        </w:rPr>
        <w:t>in</w:t>
      </w:r>
      <w:r>
        <w:rPr>
          <w:spacing w:val="-6"/>
          <w:sz w:val="20"/>
        </w:rPr>
        <w:t> </w:t>
      </w:r>
      <w:r>
        <w:rPr>
          <w:sz w:val="20"/>
        </w:rPr>
        <w:t>Leukemia.</w:t>
      </w:r>
      <w:r>
        <w:rPr>
          <w:spacing w:val="-6"/>
          <w:sz w:val="20"/>
        </w:rPr>
        <w:t> </w:t>
      </w:r>
      <w:r>
        <w:rPr>
          <w:sz w:val="20"/>
        </w:rPr>
        <w:t>N Engl J Med 2014;371:1507-17. DOI: 10.1056/NEJMoa1407222.</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Shen N.T., e. a. Timely Use of Probiotics in Hospitalized Adults Prevents Clostridium difficile Infection:</w:t>
      </w:r>
      <w:r>
        <w:rPr>
          <w:spacing w:val="-13"/>
          <w:sz w:val="20"/>
        </w:rPr>
        <w:t> </w:t>
      </w:r>
      <w:r>
        <w:rPr>
          <w:sz w:val="20"/>
        </w:rPr>
        <w:t>A</w:t>
      </w:r>
      <w:r>
        <w:rPr>
          <w:spacing w:val="-12"/>
          <w:sz w:val="20"/>
        </w:rPr>
        <w:t> </w:t>
      </w:r>
      <w:r>
        <w:rPr>
          <w:sz w:val="20"/>
        </w:rPr>
        <w:t>Systematic</w:t>
      </w:r>
      <w:r>
        <w:rPr>
          <w:spacing w:val="-13"/>
          <w:sz w:val="20"/>
        </w:rPr>
        <w:t> </w:t>
      </w:r>
      <w:r>
        <w:rPr>
          <w:sz w:val="20"/>
        </w:rPr>
        <w:t>Review</w:t>
      </w:r>
      <w:r>
        <w:rPr>
          <w:spacing w:val="-12"/>
          <w:sz w:val="20"/>
        </w:rPr>
        <w:t> </w:t>
      </w:r>
      <w:r>
        <w:rPr>
          <w:sz w:val="20"/>
        </w:rPr>
        <w:t>With</w:t>
      </w:r>
      <w:r>
        <w:rPr>
          <w:spacing w:val="-13"/>
          <w:sz w:val="20"/>
        </w:rPr>
        <w:t> </w:t>
      </w:r>
      <w:r>
        <w:rPr>
          <w:sz w:val="20"/>
        </w:rPr>
        <w:t>MetaRegression</w:t>
      </w:r>
      <w:r>
        <w:rPr>
          <w:spacing w:val="-12"/>
          <w:sz w:val="20"/>
        </w:rPr>
        <w:t> </w:t>
      </w:r>
      <w:r>
        <w:rPr>
          <w:sz w:val="20"/>
        </w:rPr>
        <w:t>Analysis.</w:t>
      </w:r>
      <w:r>
        <w:rPr>
          <w:spacing w:val="-13"/>
          <w:sz w:val="20"/>
        </w:rPr>
        <w:t> </w:t>
      </w:r>
      <w:r>
        <w:rPr>
          <w:sz w:val="20"/>
        </w:rPr>
        <w:t>Gastroenterology.</w:t>
      </w:r>
      <w:r>
        <w:rPr>
          <w:spacing w:val="-12"/>
          <w:sz w:val="20"/>
        </w:rPr>
        <w:t> </w:t>
      </w:r>
      <w:r>
        <w:rPr>
          <w:sz w:val="20"/>
        </w:rPr>
        <w:t>2017;</w:t>
      </w:r>
      <w:r>
        <w:rPr>
          <w:spacing w:val="-13"/>
          <w:sz w:val="20"/>
        </w:rPr>
        <w:t> </w:t>
      </w:r>
      <w:r>
        <w:rPr>
          <w:sz w:val="20"/>
        </w:rPr>
        <w:t>152(8):</w:t>
      </w:r>
      <w:r>
        <w:rPr>
          <w:spacing w:val="-12"/>
          <w:sz w:val="20"/>
        </w:rPr>
        <w:t> </w:t>
      </w:r>
      <w:r>
        <w:rPr>
          <w:sz w:val="20"/>
        </w:rPr>
        <w:t>1889- 1900. doi: 10.1053/j.gastro.2017.02.003.</w:t>
      </w:r>
    </w:p>
    <w:p>
      <w:pPr>
        <w:pStyle w:val="ListParagraph"/>
        <w:spacing w:after="0" w:line="240" w:lineRule="auto"/>
        <w:jc w:val="both"/>
        <w:rPr>
          <w:sz w:val="20"/>
        </w:rPr>
        <w:sectPr>
          <w:pgSz w:w="11900" w:h="16840"/>
          <w:pgMar w:header="0" w:footer="697" w:top="1080" w:bottom="880" w:left="0" w:right="0"/>
        </w:sectPr>
      </w:pPr>
    </w:p>
    <w:p>
      <w:pPr>
        <w:pStyle w:val="ListParagraph"/>
        <w:numPr>
          <w:ilvl w:val="0"/>
          <w:numId w:val="67"/>
        </w:numPr>
        <w:tabs>
          <w:tab w:pos="2405" w:val="left" w:leader="none"/>
          <w:tab w:pos="2407" w:val="left" w:leader="none"/>
        </w:tabs>
        <w:spacing w:line="324" w:lineRule="auto" w:before="74" w:after="0"/>
        <w:ind w:left="2407" w:right="1278" w:hanging="566"/>
        <w:jc w:val="both"/>
        <w:rPr>
          <w:sz w:val="20"/>
        </w:rPr>
      </w:pPr>
      <w:bookmarkStart w:name="153" w:id="181"/>
      <w:bookmarkEnd w:id="181"/>
      <w:r>
        <w:rPr/>
      </w:r>
      <w:r>
        <w:rPr>
          <w:sz w:val="20"/>
        </w:rPr>
        <w:t>Sholzberg</w:t>
      </w:r>
      <w:r>
        <w:rPr>
          <w:spacing w:val="-6"/>
          <w:sz w:val="20"/>
        </w:rPr>
        <w:t> </w:t>
      </w:r>
      <w:r>
        <w:rPr>
          <w:sz w:val="20"/>
        </w:rPr>
        <w:t>M.,</w:t>
      </w:r>
      <w:r>
        <w:rPr>
          <w:spacing w:val="-8"/>
          <w:sz w:val="20"/>
        </w:rPr>
        <w:t> </w:t>
      </w:r>
      <w:r>
        <w:rPr>
          <w:sz w:val="20"/>
        </w:rPr>
        <w:t>Tang</w:t>
      </w:r>
      <w:r>
        <w:rPr>
          <w:spacing w:val="-7"/>
          <w:sz w:val="20"/>
        </w:rPr>
        <w:t> </w:t>
      </w:r>
      <w:r>
        <w:rPr>
          <w:sz w:val="20"/>
        </w:rPr>
        <w:t>G.H.,</w:t>
      </w:r>
      <w:r>
        <w:rPr>
          <w:spacing w:val="-8"/>
          <w:sz w:val="20"/>
        </w:rPr>
        <w:t> </w:t>
      </w:r>
      <w:r>
        <w:rPr>
          <w:sz w:val="20"/>
        </w:rPr>
        <w:t>Rahhal</w:t>
      </w:r>
      <w:r>
        <w:rPr>
          <w:spacing w:val="-8"/>
          <w:sz w:val="20"/>
        </w:rPr>
        <w:t> </w:t>
      </w:r>
      <w:r>
        <w:rPr>
          <w:sz w:val="20"/>
        </w:rPr>
        <w:t>H.,</w:t>
      </w:r>
      <w:r>
        <w:rPr>
          <w:spacing w:val="-8"/>
          <w:sz w:val="20"/>
        </w:rPr>
        <w:t> </w:t>
      </w:r>
      <w:r>
        <w:rPr>
          <w:sz w:val="20"/>
        </w:rPr>
        <w:t>et</w:t>
      </w:r>
      <w:r>
        <w:rPr>
          <w:spacing w:val="-8"/>
          <w:sz w:val="20"/>
        </w:rPr>
        <w:t> </w:t>
      </w:r>
      <w:r>
        <w:rPr>
          <w:sz w:val="20"/>
        </w:rPr>
        <w:t>al.,</w:t>
      </w:r>
      <w:r>
        <w:rPr>
          <w:spacing w:val="-8"/>
          <w:sz w:val="20"/>
        </w:rPr>
        <w:t> </w:t>
      </w:r>
      <w:r>
        <w:rPr>
          <w:sz w:val="20"/>
        </w:rPr>
        <w:t>on</w:t>
      </w:r>
      <w:r>
        <w:rPr>
          <w:spacing w:val="-7"/>
          <w:sz w:val="20"/>
        </w:rPr>
        <w:t> </w:t>
      </w:r>
      <w:r>
        <w:rPr>
          <w:sz w:val="20"/>
        </w:rPr>
        <w:t>behalf</w:t>
      </w:r>
      <w:r>
        <w:rPr>
          <w:spacing w:val="-7"/>
          <w:sz w:val="20"/>
        </w:rPr>
        <w:t> </w:t>
      </w:r>
      <w:r>
        <w:rPr>
          <w:sz w:val="20"/>
        </w:rPr>
        <w:t>of</w:t>
      </w:r>
      <w:r>
        <w:rPr>
          <w:spacing w:val="-7"/>
          <w:sz w:val="20"/>
        </w:rPr>
        <w:t> </w:t>
      </w:r>
      <w:r>
        <w:rPr>
          <w:sz w:val="20"/>
        </w:rPr>
        <w:t>the</w:t>
      </w:r>
      <w:r>
        <w:rPr>
          <w:spacing w:val="-8"/>
          <w:sz w:val="20"/>
        </w:rPr>
        <w:t> </w:t>
      </w:r>
      <w:r>
        <w:rPr>
          <w:sz w:val="20"/>
        </w:rPr>
        <w:t>RAPID</w:t>
      </w:r>
      <w:r>
        <w:rPr>
          <w:spacing w:val="-8"/>
          <w:sz w:val="20"/>
        </w:rPr>
        <w:t> </w:t>
      </w:r>
      <w:r>
        <w:rPr>
          <w:sz w:val="20"/>
        </w:rPr>
        <w:t>trial</w:t>
      </w:r>
      <w:r>
        <w:rPr>
          <w:spacing w:val="-6"/>
          <w:sz w:val="20"/>
        </w:rPr>
        <w:t> </w:t>
      </w:r>
      <w:r>
        <w:rPr>
          <w:sz w:val="20"/>
        </w:rPr>
        <w:t>investigators.</w:t>
      </w:r>
      <w:r>
        <w:rPr>
          <w:spacing w:val="-8"/>
          <w:sz w:val="20"/>
        </w:rPr>
        <w:t> </w:t>
      </w:r>
      <w:r>
        <w:rPr>
          <w:sz w:val="20"/>
        </w:rPr>
        <w:t>Effectiveness</w:t>
      </w:r>
      <w:r>
        <w:rPr>
          <w:spacing w:val="-9"/>
          <w:sz w:val="20"/>
        </w:rPr>
        <w:t> </w:t>
      </w:r>
      <w:r>
        <w:rPr>
          <w:sz w:val="20"/>
        </w:rPr>
        <w:t>of therapeutic</w:t>
      </w:r>
      <w:r>
        <w:rPr>
          <w:spacing w:val="-7"/>
          <w:sz w:val="20"/>
        </w:rPr>
        <w:t> </w:t>
      </w:r>
      <w:r>
        <w:rPr>
          <w:sz w:val="20"/>
        </w:rPr>
        <w:t>heparin</w:t>
      </w:r>
      <w:r>
        <w:rPr>
          <w:spacing w:val="-6"/>
          <w:sz w:val="20"/>
        </w:rPr>
        <w:t> </w:t>
      </w:r>
      <w:r>
        <w:rPr>
          <w:sz w:val="20"/>
        </w:rPr>
        <w:t>versus</w:t>
      </w:r>
      <w:r>
        <w:rPr>
          <w:spacing w:val="-7"/>
          <w:sz w:val="20"/>
        </w:rPr>
        <w:t> </w:t>
      </w:r>
      <w:r>
        <w:rPr>
          <w:sz w:val="20"/>
        </w:rPr>
        <w:t>prophylactic</w:t>
      </w:r>
      <w:r>
        <w:rPr>
          <w:spacing w:val="-4"/>
          <w:sz w:val="20"/>
        </w:rPr>
        <w:t> </w:t>
      </w:r>
      <w:r>
        <w:rPr>
          <w:sz w:val="20"/>
        </w:rPr>
        <w:t>heparin</w:t>
      </w:r>
      <w:r>
        <w:rPr>
          <w:spacing w:val="-6"/>
          <w:sz w:val="20"/>
        </w:rPr>
        <w:t> </w:t>
      </w:r>
      <w:r>
        <w:rPr>
          <w:sz w:val="20"/>
        </w:rPr>
        <w:t>on</w:t>
      </w:r>
      <w:r>
        <w:rPr>
          <w:spacing w:val="-6"/>
          <w:sz w:val="20"/>
        </w:rPr>
        <w:t> </w:t>
      </w:r>
      <w:r>
        <w:rPr>
          <w:sz w:val="20"/>
        </w:rPr>
        <w:t>death,</w:t>
      </w:r>
      <w:r>
        <w:rPr>
          <w:spacing w:val="-6"/>
          <w:sz w:val="20"/>
        </w:rPr>
        <w:t> </w:t>
      </w:r>
      <w:r>
        <w:rPr>
          <w:sz w:val="20"/>
        </w:rPr>
        <w:t>mechanical</w:t>
      </w:r>
      <w:r>
        <w:rPr>
          <w:spacing w:val="-4"/>
          <w:sz w:val="20"/>
        </w:rPr>
        <w:t> </w:t>
      </w:r>
      <w:r>
        <w:rPr>
          <w:sz w:val="20"/>
        </w:rPr>
        <w:t>ventilation,</w:t>
      </w:r>
      <w:r>
        <w:rPr>
          <w:spacing w:val="-4"/>
          <w:sz w:val="20"/>
        </w:rPr>
        <w:t> </w:t>
      </w:r>
      <w:r>
        <w:rPr>
          <w:sz w:val="20"/>
        </w:rPr>
        <w:t>or</w:t>
      </w:r>
      <w:r>
        <w:rPr>
          <w:spacing w:val="-4"/>
          <w:sz w:val="20"/>
        </w:rPr>
        <w:t> </w:t>
      </w:r>
      <w:r>
        <w:rPr>
          <w:sz w:val="20"/>
        </w:rPr>
        <w:t>intensive</w:t>
      </w:r>
      <w:r>
        <w:rPr>
          <w:spacing w:val="-4"/>
          <w:sz w:val="20"/>
        </w:rPr>
        <w:t> </w:t>
      </w:r>
      <w:r>
        <w:rPr>
          <w:sz w:val="20"/>
        </w:rPr>
        <w:t>care</w:t>
      </w:r>
      <w:r>
        <w:rPr>
          <w:spacing w:val="-6"/>
          <w:sz w:val="20"/>
        </w:rPr>
        <w:t> </w:t>
      </w:r>
      <w:r>
        <w:rPr>
          <w:sz w:val="20"/>
        </w:rPr>
        <w:t>unit admission in moderately ill patients with covid-19 admitted to hospital: RAPID randomised clinical trial. BMJ 2021;375:n2400. </w:t>
      </w:r>
      <w:hyperlink r:id="rId45">
        <w:r>
          <w:rPr>
            <w:sz w:val="20"/>
          </w:rPr>
          <w:t>http://dx.doi.org/10.1136/bmj.n2400</w:t>
        </w:r>
      </w:hyperlink>
    </w:p>
    <w:p>
      <w:pPr>
        <w:pStyle w:val="ListParagraph"/>
        <w:numPr>
          <w:ilvl w:val="0"/>
          <w:numId w:val="67"/>
        </w:numPr>
        <w:tabs>
          <w:tab w:pos="2405" w:val="left" w:leader="none"/>
          <w:tab w:pos="2407" w:val="left" w:leader="none"/>
        </w:tabs>
        <w:spacing w:line="240" w:lineRule="auto" w:before="0" w:after="0"/>
        <w:ind w:left="2407" w:right="1278" w:hanging="566"/>
        <w:jc w:val="both"/>
        <w:rPr>
          <w:sz w:val="20"/>
        </w:rPr>
      </w:pPr>
      <w:r>
        <w:rPr>
          <w:sz w:val="20"/>
        </w:rPr>
        <w:t>Simone S. et al. Acute myocarditis presenting as a reverse Tako-Tsubo syndrome in a patient with SARS-CoV-2</w:t>
      </w:r>
      <w:r>
        <w:rPr>
          <w:spacing w:val="-7"/>
          <w:sz w:val="20"/>
        </w:rPr>
        <w:t> </w:t>
      </w:r>
      <w:r>
        <w:rPr>
          <w:sz w:val="20"/>
        </w:rPr>
        <w:t>respiratory</w:t>
      </w:r>
      <w:r>
        <w:rPr>
          <w:spacing w:val="-7"/>
          <w:sz w:val="20"/>
        </w:rPr>
        <w:t> </w:t>
      </w:r>
      <w:r>
        <w:rPr>
          <w:sz w:val="20"/>
        </w:rPr>
        <w:t>infection.</w:t>
      </w:r>
      <w:r>
        <w:rPr>
          <w:spacing w:val="-8"/>
          <w:sz w:val="20"/>
        </w:rPr>
        <w:t> </w:t>
      </w:r>
      <w:r>
        <w:rPr>
          <w:sz w:val="20"/>
        </w:rPr>
        <w:t>European</w:t>
      </w:r>
      <w:r>
        <w:rPr>
          <w:spacing w:val="-7"/>
          <w:sz w:val="20"/>
        </w:rPr>
        <w:t> </w:t>
      </w:r>
      <w:r>
        <w:rPr>
          <w:sz w:val="20"/>
        </w:rPr>
        <w:t>Heart</w:t>
      </w:r>
      <w:r>
        <w:rPr>
          <w:spacing w:val="-8"/>
          <w:sz w:val="20"/>
        </w:rPr>
        <w:t> </w:t>
      </w:r>
      <w:r>
        <w:rPr>
          <w:sz w:val="20"/>
        </w:rPr>
        <w:t>Journal,</w:t>
      </w:r>
      <w:r>
        <w:rPr>
          <w:spacing w:val="-10"/>
          <w:sz w:val="20"/>
        </w:rPr>
        <w:t> </w:t>
      </w:r>
      <w:r>
        <w:rPr>
          <w:sz w:val="20"/>
        </w:rPr>
        <w:t>Volume</w:t>
      </w:r>
      <w:r>
        <w:rPr>
          <w:spacing w:val="-8"/>
          <w:sz w:val="20"/>
        </w:rPr>
        <w:t> </w:t>
      </w:r>
      <w:r>
        <w:rPr>
          <w:sz w:val="20"/>
        </w:rPr>
        <w:t>41,</w:t>
      </w:r>
      <w:r>
        <w:rPr>
          <w:spacing w:val="-8"/>
          <w:sz w:val="20"/>
        </w:rPr>
        <w:t> </w:t>
      </w:r>
      <w:r>
        <w:rPr>
          <w:sz w:val="20"/>
        </w:rPr>
        <w:t>Issue</w:t>
      </w:r>
      <w:r>
        <w:rPr>
          <w:spacing w:val="-8"/>
          <w:sz w:val="20"/>
        </w:rPr>
        <w:t> </w:t>
      </w:r>
      <w:r>
        <w:rPr>
          <w:sz w:val="20"/>
        </w:rPr>
        <w:t>19,</w:t>
      </w:r>
      <w:r>
        <w:rPr>
          <w:spacing w:val="-10"/>
          <w:sz w:val="20"/>
        </w:rPr>
        <w:t> </w:t>
      </w:r>
      <w:r>
        <w:rPr>
          <w:sz w:val="20"/>
        </w:rPr>
        <w:t>14</w:t>
      </w:r>
      <w:r>
        <w:rPr>
          <w:spacing w:val="-7"/>
          <w:sz w:val="20"/>
        </w:rPr>
        <w:t> </w:t>
      </w:r>
      <w:r>
        <w:rPr>
          <w:sz w:val="20"/>
        </w:rPr>
        <w:t>May</w:t>
      </w:r>
      <w:r>
        <w:rPr>
          <w:spacing w:val="-9"/>
          <w:sz w:val="20"/>
        </w:rPr>
        <w:t> </w:t>
      </w:r>
      <w:r>
        <w:rPr>
          <w:sz w:val="20"/>
        </w:rPr>
        <w:t>2020,</w:t>
      </w:r>
      <w:r>
        <w:rPr>
          <w:spacing w:val="-8"/>
          <w:sz w:val="20"/>
        </w:rPr>
        <w:t> </w:t>
      </w:r>
      <w:r>
        <w:rPr>
          <w:sz w:val="20"/>
        </w:rPr>
        <w:t>Pages 1861–1862, https://doi.org/10.1093/eurheartj/ehaa286</w:t>
      </w:r>
    </w:p>
    <w:p>
      <w:pPr>
        <w:pStyle w:val="ListParagraph"/>
        <w:numPr>
          <w:ilvl w:val="0"/>
          <w:numId w:val="67"/>
        </w:numPr>
        <w:tabs>
          <w:tab w:pos="2405" w:val="left" w:leader="none"/>
          <w:tab w:pos="2407" w:val="left" w:leader="none"/>
        </w:tabs>
        <w:spacing w:line="240" w:lineRule="auto" w:before="0" w:after="0"/>
        <w:ind w:left="2407" w:right="1276" w:hanging="566"/>
        <w:jc w:val="both"/>
        <w:rPr>
          <w:sz w:val="20"/>
        </w:rPr>
      </w:pPr>
      <w:r>
        <w:rPr>
          <w:sz w:val="20"/>
        </w:rPr>
        <w:t>Soldati G., Smargiassi A., Inchingolo R. et al. Proposal for International Standardization of the Use of Lung Ultrasound for Patients With COVID-19: A Simple, Quantitative, Reproducible Method [published online ahead of print, 2020 Mar 30] // J. Ultrasound Med. 2020;10.1002/jum.15285. Doi: </w:t>
      </w:r>
      <w:r>
        <w:rPr>
          <w:spacing w:val="-2"/>
          <w:sz w:val="20"/>
        </w:rPr>
        <w:t>10.1002/jum.15285.</w:t>
      </w:r>
    </w:p>
    <w:p>
      <w:pPr>
        <w:pStyle w:val="ListParagraph"/>
        <w:numPr>
          <w:ilvl w:val="0"/>
          <w:numId w:val="67"/>
        </w:numPr>
        <w:tabs>
          <w:tab w:pos="2407" w:val="left" w:leader="none"/>
        </w:tabs>
        <w:spacing w:line="240" w:lineRule="auto" w:before="0" w:after="0"/>
        <w:ind w:left="2407" w:right="1378" w:hanging="566"/>
        <w:jc w:val="left"/>
        <w:rPr>
          <w:sz w:val="20"/>
        </w:rPr>
      </w:pPr>
      <w:r>
        <w:rPr>
          <w:sz w:val="20"/>
        </w:rPr>
        <w:t>Spinelli</w:t>
      </w:r>
      <w:r>
        <w:rPr>
          <w:spacing w:val="-4"/>
          <w:sz w:val="20"/>
        </w:rPr>
        <w:t> </w:t>
      </w:r>
      <w:r>
        <w:rPr>
          <w:sz w:val="20"/>
        </w:rPr>
        <w:t>FR,</w:t>
      </w:r>
      <w:r>
        <w:rPr>
          <w:spacing w:val="-4"/>
          <w:sz w:val="20"/>
        </w:rPr>
        <w:t> </w:t>
      </w:r>
      <w:r>
        <w:rPr>
          <w:sz w:val="20"/>
        </w:rPr>
        <w:t>Conti</w:t>
      </w:r>
      <w:r>
        <w:rPr>
          <w:spacing w:val="-4"/>
          <w:sz w:val="20"/>
        </w:rPr>
        <w:t> </w:t>
      </w:r>
      <w:r>
        <w:rPr>
          <w:sz w:val="20"/>
        </w:rPr>
        <w:t>F,</w:t>
      </w:r>
      <w:r>
        <w:rPr>
          <w:spacing w:val="-4"/>
          <w:sz w:val="20"/>
        </w:rPr>
        <w:t> </w:t>
      </w:r>
      <w:r>
        <w:rPr>
          <w:sz w:val="20"/>
        </w:rPr>
        <w:t>Gadina</w:t>
      </w:r>
      <w:r>
        <w:rPr>
          <w:spacing w:val="-4"/>
          <w:sz w:val="20"/>
        </w:rPr>
        <w:t> </w:t>
      </w:r>
      <w:r>
        <w:rPr>
          <w:sz w:val="20"/>
        </w:rPr>
        <w:t>M.</w:t>
      </w:r>
      <w:r>
        <w:rPr>
          <w:spacing w:val="-3"/>
          <w:sz w:val="20"/>
        </w:rPr>
        <w:t> </w:t>
      </w:r>
      <w:r>
        <w:rPr>
          <w:sz w:val="20"/>
        </w:rPr>
        <w:t>HiJAKing</w:t>
      </w:r>
      <w:r>
        <w:rPr>
          <w:spacing w:val="-3"/>
          <w:sz w:val="20"/>
        </w:rPr>
        <w:t> </w:t>
      </w:r>
      <w:r>
        <w:rPr>
          <w:sz w:val="20"/>
        </w:rPr>
        <w:t>SARS-CoV-2?</w:t>
      </w:r>
      <w:r>
        <w:rPr>
          <w:spacing w:val="-4"/>
          <w:sz w:val="20"/>
        </w:rPr>
        <w:t> </w:t>
      </w:r>
      <w:r>
        <w:rPr>
          <w:sz w:val="20"/>
        </w:rPr>
        <w:t>The</w:t>
      </w:r>
      <w:r>
        <w:rPr>
          <w:spacing w:val="-4"/>
          <w:sz w:val="20"/>
        </w:rPr>
        <w:t> </w:t>
      </w:r>
      <w:r>
        <w:rPr>
          <w:sz w:val="20"/>
        </w:rPr>
        <w:t>potential</w:t>
      </w:r>
      <w:r>
        <w:rPr>
          <w:spacing w:val="-4"/>
          <w:sz w:val="20"/>
        </w:rPr>
        <w:t> </w:t>
      </w:r>
      <w:r>
        <w:rPr>
          <w:sz w:val="20"/>
        </w:rPr>
        <w:t>role</w:t>
      </w:r>
      <w:r>
        <w:rPr>
          <w:spacing w:val="-4"/>
          <w:sz w:val="20"/>
        </w:rPr>
        <w:t> </w:t>
      </w:r>
      <w:r>
        <w:rPr>
          <w:sz w:val="20"/>
        </w:rPr>
        <w:t>of</w:t>
      </w:r>
      <w:r>
        <w:rPr>
          <w:spacing w:val="-4"/>
          <w:sz w:val="20"/>
        </w:rPr>
        <w:t> </w:t>
      </w:r>
      <w:r>
        <w:rPr>
          <w:sz w:val="20"/>
        </w:rPr>
        <w:t>JAK</w:t>
      </w:r>
      <w:r>
        <w:rPr>
          <w:spacing w:val="-4"/>
          <w:sz w:val="20"/>
        </w:rPr>
        <w:t> </w:t>
      </w:r>
      <w:r>
        <w:rPr>
          <w:sz w:val="20"/>
        </w:rPr>
        <w:t>inhibitors</w:t>
      </w:r>
      <w:r>
        <w:rPr>
          <w:spacing w:val="-4"/>
          <w:sz w:val="20"/>
        </w:rPr>
        <w:t> </w:t>
      </w:r>
      <w:r>
        <w:rPr>
          <w:sz w:val="20"/>
        </w:rPr>
        <w:t>in</w:t>
      </w:r>
      <w:r>
        <w:rPr>
          <w:spacing w:val="-4"/>
          <w:sz w:val="20"/>
        </w:rPr>
        <w:t> </w:t>
      </w:r>
      <w:r>
        <w:rPr>
          <w:sz w:val="20"/>
        </w:rPr>
        <w:t>the management of COVID-19. Sci Immunol. 2020 May 8;5(47). piieabc5367. doi: </w:t>
      </w:r>
      <w:r>
        <w:rPr>
          <w:spacing w:val="-2"/>
          <w:sz w:val="20"/>
        </w:rPr>
        <w:t>10.1126/sciimmunol.abc5367.</w:t>
      </w:r>
    </w:p>
    <w:p>
      <w:pPr>
        <w:pStyle w:val="ListParagraph"/>
        <w:numPr>
          <w:ilvl w:val="0"/>
          <w:numId w:val="67"/>
        </w:numPr>
        <w:tabs>
          <w:tab w:pos="2407" w:val="left" w:leader="none"/>
        </w:tabs>
        <w:spacing w:line="240" w:lineRule="auto" w:before="0" w:after="0"/>
        <w:ind w:left="2407" w:right="1279" w:hanging="566"/>
        <w:jc w:val="left"/>
        <w:rPr>
          <w:sz w:val="20"/>
        </w:rPr>
      </w:pPr>
      <w:r>
        <w:rPr>
          <w:sz w:val="20"/>
        </w:rPr>
        <w:t>Spruit</w:t>
      </w:r>
      <w:r>
        <w:rPr>
          <w:spacing w:val="26"/>
          <w:sz w:val="20"/>
        </w:rPr>
        <w:t> </w:t>
      </w:r>
      <w:r>
        <w:rPr>
          <w:sz w:val="20"/>
        </w:rPr>
        <w:t>MA</w:t>
      </w:r>
      <w:r>
        <w:rPr>
          <w:spacing w:val="26"/>
          <w:sz w:val="20"/>
        </w:rPr>
        <w:t> </w:t>
      </w:r>
      <w:r>
        <w:rPr>
          <w:sz w:val="20"/>
        </w:rPr>
        <w:t>et</w:t>
      </w:r>
      <w:r>
        <w:rPr>
          <w:spacing w:val="26"/>
          <w:sz w:val="20"/>
        </w:rPr>
        <w:t> </w:t>
      </w:r>
      <w:r>
        <w:rPr>
          <w:sz w:val="20"/>
        </w:rPr>
        <w:t>al.</w:t>
      </w:r>
      <w:r>
        <w:rPr>
          <w:spacing w:val="27"/>
          <w:sz w:val="20"/>
        </w:rPr>
        <w:t> </w:t>
      </w:r>
      <w:r>
        <w:rPr>
          <w:sz w:val="20"/>
        </w:rPr>
        <w:t>An</w:t>
      </w:r>
      <w:r>
        <w:rPr>
          <w:spacing w:val="27"/>
          <w:sz w:val="20"/>
        </w:rPr>
        <w:t> </w:t>
      </w:r>
      <w:r>
        <w:rPr>
          <w:sz w:val="20"/>
        </w:rPr>
        <w:t>official</w:t>
      </w:r>
      <w:r>
        <w:rPr>
          <w:spacing w:val="26"/>
          <w:sz w:val="20"/>
        </w:rPr>
        <w:t> </w:t>
      </w:r>
      <w:r>
        <w:rPr>
          <w:sz w:val="20"/>
        </w:rPr>
        <w:t>american</w:t>
      </w:r>
      <w:r>
        <w:rPr>
          <w:spacing w:val="32"/>
          <w:sz w:val="20"/>
        </w:rPr>
        <w:t> </w:t>
      </w:r>
      <w:r>
        <w:rPr>
          <w:sz w:val="20"/>
        </w:rPr>
        <w:t>thoracic</w:t>
      </w:r>
      <w:r>
        <w:rPr>
          <w:spacing w:val="26"/>
          <w:sz w:val="20"/>
        </w:rPr>
        <w:t> </w:t>
      </w:r>
      <w:r>
        <w:rPr>
          <w:sz w:val="20"/>
        </w:rPr>
        <w:t>society/european</w:t>
      </w:r>
      <w:r>
        <w:rPr>
          <w:spacing w:val="25"/>
          <w:sz w:val="20"/>
        </w:rPr>
        <w:t> </w:t>
      </w:r>
      <w:r>
        <w:rPr>
          <w:sz w:val="20"/>
        </w:rPr>
        <w:t>respiratory</w:t>
      </w:r>
      <w:r>
        <w:rPr>
          <w:spacing w:val="25"/>
          <w:sz w:val="20"/>
        </w:rPr>
        <w:t> </w:t>
      </w:r>
      <w:r>
        <w:rPr>
          <w:sz w:val="20"/>
        </w:rPr>
        <w:t>society</w:t>
      </w:r>
      <w:r>
        <w:rPr>
          <w:spacing w:val="27"/>
          <w:sz w:val="20"/>
        </w:rPr>
        <w:t> </w:t>
      </w:r>
      <w:r>
        <w:rPr>
          <w:sz w:val="20"/>
        </w:rPr>
        <w:t>statement:</w:t>
      </w:r>
      <w:r>
        <w:rPr>
          <w:spacing w:val="26"/>
          <w:sz w:val="20"/>
        </w:rPr>
        <w:t> </w:t>
      </w:r>
      <w:r>
        <w:rPr>
          <w:sz w:val="20"/>
        </w:rPr>
        <w:t>key concepts and advances in pulmonary rehabilitation. Am J RespirCrit Care Med. 2013;188(8):e13–64.</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Spyropoulos A.C, Goldin M., Giannis D., et al. for the HEP-COVID Investigators Heparins for Thromboprophylaxis in High-risk Hospitalized Patients With COVID-19: The HEP-COVID Randomized Clinical Trial. JAMA Intern Med 2021; 181: 1612-1620. doi: </w:t>
      </w:r>
      <w:r>
        <w:rPr>
          <w:spacing w:val="-2"/>
          <w:sz w:val="20"/>
        </w:rPr>
        <w:t>10.1001/jamainternmed.2021.6203.</w:t>
      </w:r>
    </w:p>
    <w:p>
      <w:pPr>
        <w:pStyle w:val="ListParagraph"/>
        <w:numPr>
          <w:ilvl w:val="0"/>
          <w:numId w:val="67"/>
        </w:numPr>
        <w:tabs>
          <w:tab w:pos="2405" w:val="left" w:leader="none"/>
          <w:tab w:pos="2407" w:val="left" w:leader="none"/>
        </w:tabs>
        <w:spacing w:line="240" w:lineRule="auto" w:before="0" w:after="0"/>
        <w:ind w:left="2407" w:right="1278" w:hanging="566"/>
        <w:jc w:val="both"/>
        <w:rPr>
          <w:sz w:val="20"/>
        </w:rPr>
      </w:pPr>
      <w:r>
        <w:rPr>
          <w:sz w:val="20"/>
        </w:rPr>
        <w:t>Spyropoulos A.C., Levy J.H., Ageno W., et al. Scientific and Standardization Committee Communication: Clinical Guidance on the Diagnosis, Prevention and Treatment of Venous Thromboembolism in Hospitalized Patients with COVID-19. J Thromb Haemost 2020; DOI: </w:t>
      </w:r>
      <w:r>
        <w:rPr>
          <w:spacing w:val="-2"/>
          <w:sz w:val="20"/>
        </w:rPr>
        <w:t>10.1111/jth.14929.</w:t>
      </w:r>
    </w:p>
    <w:p>
      <w:pPr>
        <w:pStyle w:val="ListParagraph"/>
        <w:numPr>
          <w:ilvl w:val="0"/>
          <w:numId w:val="67"/>
        </w:numPr>
        <w:tabs>
          <w:tab w:pos="2405" w:val="left" w:leader="none"/>
          <w:tab w:pos="2407" w:val="left" w:leader="none"/>
        </w:tabs>
        <w:spacing w:line="240" w:lineRule="auto" w:before="0" w:after="0"/>
        <w:ind w:left="2407" w:right="1281" w:hanging="566"/>
        <w:jc w:val="both"/>
        <w:rPr>
          <w:sz w:val="20"/>
        </w:rPr>
      </w:pPr>
      <w:r>
        <w:rPr>
          <w:sz w:val="20"/>
        </w:rPr>
        <w:t>Study Understanding Pre-Exposure pRophylaxis of NOVel Antibodies (SUPERNOVA) https://classic.clinicaltrials.gov/ct2/show/NCT05648110 дата доступа 17.10.2023.</w:t>
      </w:r>
    </w:p>
    <w:p>
      <w:pPr>
        <w:pStyle w:val="ListParagraph"/>
        <w:numPr>
          <w:ilvl w:val="0"/>
          <w:numId w:val="67"/>
        </w:numPr>
        <w:tabs>
          <w:tab w:pos="2405" w:val="left" w:leader="none"/>
          <w:tab w:pos="2407" w:val="left" w:leader="none"/>
          <w:tab w:pos="3078" w:val="left" w:leader="none"/>
          <w:tab w:pos="4006" w:val="left" w:leader="none"/>
          <w:tab w:pos="4897" w:val="left" w:leader="none"/>
          <w:tab w:pos="5592" w:val="left" w:leader="none"/>
          <w:tab w:pos="7049" w:val="left" w:leader="none"/>
          <w:tab w:pos="8120" w:val="left" w:leader="none"/>
          <w:tab w:pos="9549" w:val="left" w:leader="none"/>
        </w:tabs>
        <w:spacing w:line="324" w:lineRule="auto" w:before="0" w:after="0"/>
        <w:ind w:left="2407" w:right="1275" w:hanging="566"/>
        <w:jc w:val="both"/>
        <w:rPr>
          <w:sz w:val="20"/>
        </w:rPr>
      </w:pPr>
      <w:r>
        <w:rPr>
          <w:sz w:val="20"/>
        </w:rPr>
        <w:t>Study Will Assess the Safety, Neutralizing Activity and Efficacy of AZD3152 in Adults With Conditions</w:t>
      </w:r>
      <w:r>
        <w:rPr>
          <w:spacing w:val="-13"/>
          <w:sz w:val="20"/>
        </w:rPr>
        <w:t> </w:t>
      </w:r>
      <w:r>
        <w:rPr>
          <w:sz w:val="20"/>
        </w:rPr>
        <w:t>Increasing</w:t>
      </w:r>
      <w:r>
        <w:rPr>
          <w:spacing w:val="-12"/>
          <w:sz w:val="20"/>
        </w:rPr>
        <w:t> </w:t>
      </w:r>
      <w:r>
        <w:rPr>
          <w:sz w:val="20"/>
        </w:rPr>
        <w:t>Risk</w:t>
      </w:r>
      <w:r>
        <w:rPr>
          <w:spacing w:val="-13"/>
          <w:sz w:val="20"/>
        </w:rPr>
        <w:t> </w:t>
      </w:r>
      <w:r>
        <w:rPr>
          <w:sz w:val="20"/>
        </w:rPr>
        <w:t>of</w:t>
      </w:r>
      <w:r>
        <w:rPr>
          <w:spacing w:val="-12"/>
          <w:sz w:val="20"/>
        </w:rPr>
        <w:t> </w:t>
      </w:r>
      <w:r>
        <w:rPr>
          <w:sz w:val="20"/>
        </w:rPr>
        <w:t>Inadequate</w:t>
      </w:r>
      <w:r>
        <w:rPr>
          <w:spacing w:val="-13"/>
          <w:sz w:val="20"/>
        </w:rPr>
        <w:t> </w:t>
      </w:r>
      <w:r>
        <w:rPr>
          <w:sz w:val="20"/>
        </w:rPr>
        <w:t>Protective</w:t>
      </w:r>
      <w:r>
        <w:rPr>
          <w:spacing w:val="-12"/>
          <w:sz w:val="20"/>
        </w:rPr>
        <w:t> </w:t>
      </w:r>
      <w:r>
        <w:rPr>
          <w:sz w:val="20"/>
        </w:rPr>
        <w:t>Immune</w:t>
      </w:r>
      <w:r>
        <w:rPr>
          <w:spacing w:val="-13"/>
          <w:sz w:val="20"/>
        </w:rPr>
        <w:t> </w:t>
      </w:r>
      <w:r>
        <w:rPr>
          <w:sz w:val="20"/>
        </w:rPr>
        <w:t>Response</w:t>
      </w:r>
      <w:r>
        <w:rPr>
          <w:spacing w:val="-12"/>
          <w:sz w:val="20"/>
        </w:rPr>
        <w:t> </w:t>
      </w:r>
      <w:r>
        <w:rPr>
          <w:sz w:val="20"/>
        </w:rPr>
        <w:t>After</w:t>
      </w:r>
      <w:r>
        <w:rPr>
          <w:spacing w:val="-13"/>
          <w:sz w:val="20"/>
        </w:rPr>
        <w:t> </w:t>
      </w:r>
      <w:r>
        <w:rPr>
          <w:sz w:val="20"/>
        </w:rPr>
        <w:t>Vaccination</w:t>
      </w:r>
      <w:r>
        <w:rPr>
          <w:spacing w:val="-12"/>
          <w:sz w:val="20"/>
        </w:rPr>
        <w:t> </w:t>
      </w:r>
      <w:r>
        <w:rPr>
          <w:sz w:val="20"/>
        </w:rPr>
        <w:t>and</w:t>
      </w:r>
      <w:r>
        <w:rPr>
          <w:spacing w:val="-13"/>
          <w:sz w:val="20"/>
        </w:rPr>
        <w:t> </w:t>
      </w:r>
      <w:r>
        <w:rPr>
          <w:sz w:val="20"/>
        </w:rPr>
        <w:t>Thus</w:t>
      </w:r>
      <w:r>
        <w:rPr>
          <w:spacing w:val="-12"/>
          <w:sz w:val="20"/>
        </w:rPr>
        <w:t> </w:t>
      </w:r>
      <w:r>
        <w:rPr>
          <w:sz w:val="20"/>
        </w:rPr>
        <w:t>Are </w:t>
      </w:r>
      <w:r>
        <w:rPr>
          <w:spacing w:val="-6"/>
          <w:sz w:val="20"/>
        </w:rPr>
        <w:t>at</w:t>
      </w:r>
      <w:r>
        <w:rPr>
          <w:sz w:val="20"/>
        </w:rPr>
        <w:tab/>
      </w:r>
      <w:r>
        <w:rPr>
          <w:spacing w:val="-4"/>
          <w:sz w:val="20"/>
        </w:rPr>
        <w:t>High</w:t>
      </w:r>
      <w:r>
        <w:rPr>
          <w:sz w:val="20"/>
        </w:rPr>
        <w:tab/>
      </w:r>
      <w:r>
        <w:rPr>
          <w:spacing w:val="-4"/>
          <w:sz w:val="20"/>
        </w:rPr>
        <w:t>Risk</w:t>
      </w:r>
      <w:r>
        <w:rPr>
          <w:sz w:val="20"/>
        </w:rPr>
        <w:tab/>
      </w:r>
      <w:r>
        <w:rPr>
          <w:spacing w:val="-6"/>
          <w:sz w:val="20"/>
        </w:rPr>
        <w:t>of</w:t>
      </w:r>
      <w:r>
        <w:rPr>
          <w:sz w:val="20"/>
        </w:rPr>
        <w:tab/>
      </w:r>
      <w:r>
        <w:rPr>
          <w:spacing w:val="-2"/>
          <w:sz w:val="20"/>
        </w:rPr>
        <w:t>Developing</w:t>
      </w:r>
      <w:r>
        <w:rPr>
          <w:sz w:val="20"/>
        </w:rPr>
        <w:tab/>
      </w:r>
      <w:r>
        <w:rPr>
          <w:spacing w:val="-2"/>
          <w:sz w:val="20"/>
        </w:rPr>
        <w:t>Severe</w:t>
      </w:r>
      <w:r>
        <w:rPr>
          <w:sz w:val="20"/>
        </w:rPr>
        <w:tab/>
      </w:r>
      <w:r>
        <w:rPr>
          <w:spacing w:val="-2"/>
          <w:sz w:val="20"/>
        </w:rPr>
        <w:t>COVID-19</w:t>
      </w:r>
      <w:r>
        <w:rPr>
          <w:sz w:val="20"/>
        </w:rPr>
        <w:tab/>
      </w:r>
      <w:r>
        <w:rPr>
          <w:spacing w:val="-2"/>
          <w:sz w:val="20"/>
        </w:rPr>
        <w:t>(NOVELLA) </w:t>
      </w:r>
      <w:r>
        <w:rPr>
          <w:sz w:val="20"/>
        </w:rPr>
        <w:t>https://classic.clinicaltrials.gov/ct2/show/NCT06057064 дата доступа 17.10.2023</w:t>
      </w:r>
    </w:p>
    <w:p>
      <w:pPr>
        <w:pStyle w:val="ListParagraph"/>
        <w:numPr>
          <w:ilvl w:val="0"/>
          <w:numId w:val="67"/>
        </w:numPr>
        <w:tabs>
          <w:tab w:pos="2407" w:val="left" w:leader="none"/>
        </w:tabs>
        <w:spacing w:line="240" w:lineRule="auto" w:before="0" w:after="0"/>
        <w:ind w:left="2407" w:right="1773" w:hanging="566"/>
        <w:jc w:val="left"/>
        <w:rPr>
          <w:sz w:val="20"/>
        </w:rPr>
      </w:pPr>
      <w:r>
        <w:rPr>
          <w:sz w:val="20"/>
        </w:rPr>
        <w:t>Szajewska</w:t>
      </w:r>
      <w:r>
        <w:rPr>
          <w:spacing w:val="-4"/>
          <w:sz w:val="20"/>
        </w:rPr>
        <w:t> </w:t>
      </w:r>
      <w:r>
        <w:rPr>
          <w:sz w:val="20"/>
        </w:rPr>
        <w:t>H.,</w:t>
      </w:r>
      <w:r>
        <w:rPr>
          <w:spacing w:val="-4"/>
          <w:sz w:val="20"/>
        </w:rPr>
        <w:t> </w:t>
      </w:r>
      <w:r>
        <w:rPr>
          <w:sz w:val="20"/>
        </w:rPr>
        <w:t>e.a.</w:t>
      </w:r>
      <w:r>
        <w:rPr>
          <w:spacing w:val="-4"/>
          <w:sz w:val="20"/>
        </w:rPr>
        <w:t> </w:t>
      </w:r>
      <w:r>
        <w:rPr>
          <w:sz w:val="20"/>
        </w:rPr>
        <w:t>Probiotics</w:t>
      </w:r>
      <w:r>
        <w:rPr>
          <w:spacing w:val="-5"/>
          <w:sz w:val="20"/>
        </w:rPr>
        <w:t> </w:t>
      </w:r>
      <w:r>
        <w:rPr>
          <w:sz w:val="20"/>
        </w:rPr>
        <w:t>for</w:t>
      </w:r>
      <w:r>
        <w:rPr>
          <w:spacing w:val="-4"/>
          <w:sz w:val="20"/>
        </w:rPr>
        <w:t> </w:t>
      </w:r>
      <w:r>
        <w:rPr>
          <w:sz w:val="20"/>
        </w:rPr>
        <w:t>the</w:t>
      </w:r>
      <w:r>
        <w:rPr>
          <w:spacing w:val="-4"/>
          <w:sz w:val="20"/>
        </w:rPr>
        <w:t> </w:t>
      </w:r>
      <w:r>
        <w:rPr>
          <w:sz w:val="20"/>
        </w:rPr>
        <w:t>Prevention</w:t>
      </w:r>
      <w:r>
        <w:rPr>
          <w:spacing w:val="-6"/>
          <w:sz w:val="20"/>
        </w:rPr>
        <w:t> </w:t>
      </w:r>
      <w:r>
        <w:rPr>
          <w:sz w:val="20"/>
        </w:rPr>
        <w:t>of</w:t>
      </w:r>
      <w:r>
        <w:rPr>
          <w:spacing w:val="-4"/>
          <w:sz w:val="20"/>
        </w:rPr>
        <w:t> </w:t>
      </w:r>
      <w:r>
        <w:rPr>
          <w:sz w:val="20"/>
        </w:rPr>
        <w:t>Antibiotic-Associated</w:t>
      </w:r>
      <w:r>
        <w:rPr>
          <w:spacing w:val="-3"/>
          <w:sz w:val="20"/>
        </w:rPr>
        <w:t> </w:t>
      </w:r>
      <w:r>
        <w:rPr>
          <w:sz w:val="20"/>
        </w:rPr>
        <w:t>Diarrhea</w:t>
      </w:r>
      <w:r>
        <w:rPr>
          <w:spacing w:val="-4"/>
          <w:sz w:val="20"/>
        </w:rPr>
        <w:t> </w:t>
      </w:r>
      <w:r>
        <w:rPr>
          <w:sz w:val="20"/>
        </w:rPr>
        <w:t>in</w:t>
      </w:r>
      <w:r>
        <w:rPr>
          <w:spacing w:val="-4"/>
          <w:sz w:val="20"/>
        </w:rPr>
        <w:t> </w:t>
      </w:r>
      <w:r>
        <w:rPr>
          <w:sz w:val="20"/>
        </w:rPr>
        <w:t>Children.</w:t>
      </w:r>
      <w:r>
        <w:rPr>
          <w:spacing w:val="-4"/>
          <w:sz w:val="20"/>
        </w:rPr>
        <w:t> </w:t>
      </w:r>
      <w:r>
        <w:rPr>
          <w:sz w:val="20"/>
        </w:rPr>
        <w:t>J Pediatr Gastroenterol Nutr. 2016; 62(3): 495-506.</w:t>
      </w:r>
    </w:p>
    <w:p>
      <w:pPr>
        <w:pStyle w:val="ListParagraph"/>
        <w:numPr>
          <w:ilvl w:val="0"/>
          <w:numId w:val="67"/>
        </w:numPr>
        <w:tabs>
          <w:tab w:pos="2407" w:val="left" w:leader="none"/>
        </w:tabs>
        <w:spacing w:line="237" w:lineRule="auto" w:before="0" w:after="0"/>
        <w:ind w:left="2407" w:right="1891" w:hanging="566"/>
        <w:jc w:val="left"/>
        <w:rPr>
          <w:sz w:val="20"/>
        </w:rPr>
      </w:pPr>
      <w:r>
        <w:rPr>
          <w:sz w:val="20"/>
        </w:rPr>
        <w:t>Taito</w:t>
      </w:r>
      <w:r>
        <w:rPr>
          <w:spacing w:val="-2"/>
          <w:sz w:val="20"/>
        </w:rPr>
        <w:t> </w:t>
      </w:r>
      <w:r>
        <w:rPr>
          <w:sz w:val="20"/>
        </w:rPr>
        <w:t>S</w:t>
      </w:r>
      <w:r>
        <w:rPr>
          <w:spacing w:val="-4"/>
          <w:sz w:val="20"/>
        </w:rPr>
        <w:t> </w:t>
      </w:r>
      <w:r>
        <w:rPr>
          <w:sz w:val="20"/>
        </w:rPr>
        <w:t>et</w:t>
      </w:r>
      <w:r>
        <w:rPr>
          <w:spacing w:val="-4"/>
          <w:sz w:val="20"/>
        </w:rPr>
        <w:t> </w:t>
      </w:r>
      <w:r>
        <w:rPr>
          <w:sz w:val="20"/>
        </w:rPr>
        <w:t>al.</w:t>
      </w:r>
      <w:r>
        <w:rPr>
          <w:spacing w:val="-3"/>
          <w:sz w:val="20"/>
        </w:rPr>
        <w:t> </w:t>
      </w:r>
      <w:r>
        <w:rPr>
          <w:sz w:val="20"/>
        </w:rPr>
        <w:t>Early</w:t>
      </w:r>
      <w:r>
        <w:rPr>
          <w:spacing w:val="-3"/>
          <w:sz w:val="20"/>
        </w:rPr>
        <w:t> </w:t>
      </w:r>
      <w:r>
        <w:rPr>
          <w:sz w:val="20"/>
        </w:rPr>
        <w:t>mobilization</w:t>
      </w:r>
      <w:r>
        <w:rPr>
          <w:spacing w:val="-2"/>
          <w:sz w:val="20"/>
        </w:rPr>
        <w:t> </w:t>
      </w:r>
      <w:r>
        <w:rPr>
          <w:sz w:val="20"/>
        </w:rPr>
        <w:t>of</w:t>
      </w:r>
      <w:r>
        <w:rPr>
          <w:spacing w:val="-5"/>
          <w:sz w:val="20"/>
        </w:rPr>
        <w:t> </w:t>
      </w:r>
      <w:r>
        <w:rPr>
          <w:sz w:val="20"/>
        </w:rPr>
        <w:t>mechanically</w:t>
      </w:r>
      <w:r>
        <w:rPr>
          <w:spacing w:val="-4"/>
          <w:sz w:val="20"/>
        </w:rPr>
        <w:t> </w:t>
      </w:r>
      <w:r>
        <w:rPr>
          <w:sz w:val="20"/>
        </w:rPr>
        <w:t>ventilated</w:t>
      </w:r>
      <w:r>
        <w:rPr>
          <w:spacing w:val="-5"/>
          <w:sz w:val="20"/>
        </w:rPr>
        <w:t> </w:t>
      </w:r>
      <w:r>
        <w:rPr>
          <w:sz w:val="20"/>
        </w:rPr>
        <w:t>patients</w:t>
      </w:r>
      <w:r>
        <w:rPr>
          <w:spacing w:val="-4"/>
          <w:sz w:val="20"/>
        </w:rPr>
        <w:t> </w:t>
      </w:r>
      <w:r>
        <w:rPr>
          <w:sz w:val="20"/>
        </w:rPr>
        <w:t>in</w:t>
      </w:r>
      <w:r>
        <w:rPr>
          <w:spacing w:val="-3"/>
          <w:sz w:val="20"/>
        </w:rPr>
        <w:t> </w:t>
      </w:r>
      <w:r>
        <w:rPr>
          <w:sz w:val="20"/>
        </w:rPr>
        <w:t>the</w:t>
      </w:r>
      <w:r>
        <w:rPr>
          <w:spacing w:val="-3"/>
          <w:sz w:val="20"/>
        </w:rPr>
        <w:t> </w:t>
      </w:r>
      <w:r>
        <w:rPr>
          <w:sz w:val="20"/>
        </w:rPr>
        <w:t>intensive</w:t>
      </w:r>
      <w:r>
        <w:rPr>
          <w:spacing w:val="-3"/>
          <w:sz w:val="20"/>
        </w:rPr>
        <w:t> </w:t>
      </w:r>
      <w:r>
        <w:rPr>
          <w:sz w:val="20"/>
        </w:rPr>
        <w:t>care</w:t>
      </w:r>
      <w:r>
        <w:rPr>
          <w:spacing w:val="-5"/>
          <w:sz w:val="20"/>
        </w:rPr>
        <w:t> </w:t>
      </w:r>
      <w:r>
        <w:rPr>
          <w:sz w:val="20"/>
        </w:rPr>
        <w:t>unit. J Intensive Care. 2016;4(1):50. doi:10.1186/s40560-016-0179-7.</w:t>
      </w:r>
    </w:p>
    <w:p>
      <w:pPr>
        <w:pStyle w:val="ListParagraph"/>
        <w:numPr>
          <w:ilvl w:val="0"/>
          <w:numId w:val="67"/>
        </w:numPr>
        <w:tabs>
          <w:tab w:pos="2407" w:val="left" w:leader="none"/>
        </w:tabs>
        <w:spacing w:line="240" w:lineRule="auto" w:before="0" w:after="0"/>
        <w:ind w:left="2407" w:right="1279" w:hanging="566"/>
        <w:jc w:val="left"/>
        <w:rPr>
          <w:sz w:val="20"/>
        </w:rPr>
      </w:pPr>
      <w:r>
        <w:rPr>
          <w:sz w:val="20"/>
        </w:rPr>
        <w:t>Tang N, Bai H, Chen X, Gong J, Li D, Sun Z. Anticoagulant treatment is associated with decreased</w:t>
      </w:r>
      <w:r>
        <w:rPr>
          <w:spacing w:val="40"/>
          <w:sz w:val="20"/>
        </w:rPr>
        <w:t> </w:t>
      </w:r>
      <w:r>
        <w:rPr>
          <w:sz w:val="20"/>
        </w:rPr>
        <w:t>mortality</w:t>
      </w:r>
      <w:r>
        <w:rPr>
          <w:spacing w:val="-9"/>
          <w:sz w:val="20"/>
        </w:rPr>
        <w:t> </w:t>
      </w:r>
      <w:r>
        <w:rPr>
          <w:sz w:val="20"/>
        </w:rPr>
        <w:t>in</w:t>
      </w:r>
      <w:r>
        <w:rPr>
          <w:spacing w:val="-10"/>
          <w:sz w:val="20"/>
        </w:rPr>
        <w:t> </w:t>
      </w:r>
      <w:r>
        <w:rPr>
          <w:sz w:val="20"/>
        </w:rPr>
        <w:t>severe</w:t>
      </w:r>
      <w:r>
        <w:rPr>
          <w:spacing w:val="-10"/>
          <w:sz w:val="20"/>
        </w:rPr>
        <w:t> </w:t>
      </w:r>
      <w:r>
        <w:rPr>
          <w:sz w:val="20"/>
        </w:rPr>
        <w:t>coronavirus</w:t>
      </w:r>
      <w:r>
        <w:rPr>
          <w:spacing w:val="-10"/>
          <w:sz w:val="20"/>
        </w:rPr>
        <w:t> </w:t>
      </w:r>
      <w:r>
        <w:rPr>
          <w:sz w:val="20"/>
        </w:rPr>
        <w:t>disease</w:t>
      </w:r>
      <w:r>
        <w:rPr>
          <w:spacing w:val="-10"/>
          <w:sz w:val="20"/>
        </w:rPr>
        <w:t> </w:t>
      </w:r>
      <w:r>
        <w:rPr>
          <w:sz w:val="20"/>
        </w:rPr>
        <w:t>2019</w:t>
      </w:r>
      <w:r>
        <w:rPr>
          <w:spacing w:val="-10"/>
          <w:sz w:val="20"/>
        </w:rPr>
        <w:t> </w:t>
      </w:r>
      <w:r>
        <w:rPr>
          <w:sz w:val="20"/>
        </w:rPr>
        <w:t>patients</w:t>
      </w:r>
      <w:r>
        <w:rPr>
          <w:spacing w:val="-10"/>
          <w:sz w:val="20"/>
        </w:rPr>
        <w:t> </w:t>
      </w:r>
      <w:r>
        <w:rPr>
          <w:sz w:val="20"/>
        </w:rPr>
        <w:t>with</w:t>
      </w:r>
      <w:r>
        <w:rPr>
          <w:spacing w:val="-9"/>
          <w:sz w:val="20"/>
        </w:rPr>
        <w:t> </w:t>
      </w:r>
      <w:r>
        <w:rPr>
          <w:sz w:val="20"/>
        </w:rPr>
        <w:t>coagulopathy.</w:t>
      </w:r>
      <w:r>
        <w:rPr>
          <w:spacing w:val="-10"/>
          <w:sz w:val="20"/>
        </w:rPr>
        <w:t> </w:t>
      </w:r>
      <w:r>
        <w:rPr>
          <w:sz w:val="20"/>
        </w:rPr>
        <w:t>J</w:t>
      </w:r>
      <w:r>
        <w:rPr>
          <w:spacing w:val="-10"/>
          <w:sz w:val="20"/>
        </w:rPr>
        <w:t> </w:t>
      </w:r>
      <w:r>
        <w:rPr>
          <w:sz w:val="20"/>
        </w:rPr>
        <w:t>Thromb</w:t>
      </w:r>
      <w:r>
        <w:rPr>
          <w:spacing w:val="-9"/>
          <w:sz w:val="20"/>
        </w:rPr>
        <w:t> </w:t>
      </w:r>
      <w:r>
        <w:rPr>
          <w:sz w:val="20"/>
        </w:rPr>
        <w:t>Haemost.</w:t>
      </w:r>
      <w:r>
        <w:rPr>
          <w:spacing w:val="-10"/>
          <w:sz w:val="20"/>
        </w:rPr>
        <w:t> </w:t>
      </w:r>
      <w:r>
        <w:rPr>
          <w:sz w:val="20"/>
        </w:rPr>
        <w:t>2020</w:t>
      </w:r>
      <w:r>
        <w:rPr>
          <w:spacing w:val="-9"/>
          <w:sz w:val="20"/>
        </w:rPr>
        <w:t> </w:t>
      </w:r>
      <w:r>
        <w:rPr>
          <w:sz w:val="20"/>
        </w:rPr>
        <w:t>Mar</w:t>
      </w:r>
    </w:p>
    <w:p>
      <w:pPr>
        <w:spacing w:before="0"/>
        <w:ind w:left="2407" w:right="0" w:firstLine="0"/>
        <w:jc w:val="left"/>
        <w:rPr>
          <w:sz w:val="20"/>
        </w:rPr>
      </w:pPr>
      <w:r>
        <w:rPr>
          <w:sz w:val="20"/>
        </w:rPr>
        <w:t>27.</w:t>
      </w:r>
      <w:r>
        <w:rPr>
          <w:spacing w:val="-3"/>
          <w:sz w:val="20"/>
        </w:rPr>
        <w:t> </w:t>
      </w:r>
      <w:r>
        <w:rPr>
          <w:sz w:val="20"/>
        </w:rPr>
        <w:t>doi:</w:t>
      </w:r>
      <w:r>
        <w:rPr>
          <w:spacing w:val="-3"/>
          <w:sz w:val="20"/>
        </w:rPr>
        <w:t> </w:t>
      </w:r>
      <w:r>
        <w:rPr>
          <w:spacing w:val="-2"/>
          <w:sz w:val="20"/>
        </w:rPr>
        <w:t>10.1111/jth.14817.</w:t>
      </w:r>
    </w:p>
    <w:p>
      <w:pPr>
        <w:pStyle w:val="ListParagraph"/>
        <w:numPr>
          <w:ilvl w:val="0"/>
          <w:numId w:val="67"/>
        </w:numPr>
        <w:tabs>
          <w:tab w:pos="2407" w:val="left" w:leader="none"/>
        </w:tabs>
        <w:spacing w:line="237" w:lineRule="auto" w:before="0" w:after="0"/>
        <w:ind w:left="2407" w:right="1288" w:hanging="566"/>
        <w:jc w:val="left"/>
        <w:rPr>
          <w:sz w:val="20"/>
        </w:rPr>
      </w:pPr>
      <w:r>
        <w:rPr>
          <w:sz w:val="20"/>
        </w:rPr>
        <w:t>Tang</w:t>
      </w:r>
      <w:r>
        <w:rPr>
          <w:spacing w:val="-3"/>
          <w:sz w:val="20"/>
        </w:rPr>
        <w:t> </w:t>
      </w:r>
      <w:r>
        <w:rPr>
          <w:sz w:val="20"/>
        </w:rPr>
        <w:t>N.,</w:t>
      </w:r>
      <w:r>
        <w:rPr>
          <w:spacing w:val="-4"/>
          <w:sz w:val="20"/>
        </w:rPr>
        <w:t> </w:t>
      </w:r>
      <w:r>
        <w:rPr>
          <w:sz w:val="20"/>
        </w:rPr>
        <w:t>Li</w:t>
      </w:r>
      <w:r>
        <w:rPr>
          <w:spacing w:val="-5"/>
          <w:sz w:val="20"/>
        </w:rPr>
        <w:t> </w:t>
      </w:r>
      <w:r>
        <w:rPr>
          <w:sz w:val="20"/>
        </w:rPr>
        <w:t>D.,</w:t>
      </w:r>
      <w:r>
        <w:rPr>
          <w:spacing w:val="-4"/>
          <w:sz w:val="20"/>
        </w:rPr>
        <w:t> </w:t>
      </w:r>
      <w:r>
        <w:rPr>
          <w:sz w:val="20"/>
        </w:rPr>
        <w:t>Wang</w:t>
      </w:r>
      <w:r>
        <w:rPr>
          <w:spacing w:val="-6"/>
          <w:sz w:val="20"/>
        </w:rPr>
        <w:t> </w:t>
      </w:r>
      <w:r>
        <w:rPr>
          <w:sz w:val="20"/>
        </w:rPr>
        <w:t>X.,</w:t>
      </w:r>
      <w:r>
        <w:rPr>
          <w:spacing w:val="-4"/>
          <w:sz w:val="20"/>
        </w:rPr>
        <w:t> </w:t>
      </w:r>
      <w:r>
        <w:rPr>
          <w:sz w:val="20"/>
        </w:rPr>
        <w:t>Sun</w:t>
      </w:r>
      <w:r>
        <w:rPr>
          <w:spacing w:val="-6"/>
          <w:sz w:val="20"/>
        </w:rPr>
        <w:t> </w:t>
      </w:r>
      <w:r>
        <w:rPr>
          <w:sz w:val="20"/>
        </w:rPr>
        <w:t>Z.</w:t>
      </w:r>
      <w:r>
        <w:rPr>
          <w:spacing w:val="-4"/>
          <w:sz w:val="20"/>
        </w:rPr>
        <w:t> </w:t>
      </w:r>
      <w:r>
        <w:rPr>
          <w:sz w:val="20"/>
        </w:rPr>
        <w:t>Abnormal</w:t>
      </w:r>
      <w:r>
        <w:rPr>
          <w:spacing w:val="-4"/>
          <w:sz w:val="20"/>
        </w:rPr>
        <w:t> </w:t>
      </w:r>
      <w:r>
        <w:rPr>
          <w:sz w:val="20"/>
        </w:rPr>
        <w:t>coagulation</w:t>
      </w:r>
      <w:r>
        <w:rPr>
          <w:spacing w:val="-3"/>
          <w:sz w:val="20"/>
        </w:rPr>
        <w:t> </w:t>
      </w:r>
      <w:r>
        <w:rPr>
          <w:sz w:val="20"/>
        </w:rPr>
        <w:t>parameters</w:t>
      </w:r>
      <w:r>
        <w:rPr>
          <w:spacing w:val="-5"/>
          <w:sz w:val="20"/>
        </w:rPr>
        <w:t> </w:t>
      </w:r>
      <w:r>
        <w:rPr>
          <w:sz w:val="20"/>
        </w:rPr>
        <w:t>are</w:t>
      </w:r>
      <w:r>
        <w:rPr>
          <w:spacing w:val="-4"/>
          <w:sz w:val="20"/>
        </w:rPr>
        <w:t> </w:t>
      </w:r>
      <w:r>
        <w:rPr>
          <w:sz w:val="20"/>
        </w:rPr>
        <w:t>associated</w:t>
      </w:r>
      <w:r>
        <w:rPr>
          <w:spacing w:val="-3"/>
          <w:sz w:val="20"/>
        </w:rPr>
        <w:t> </w:t>
      </w:r>
      <w:r>
        <w:rPr>
          <w:sz w:val="20"/>
        </w:rPr>
        <w:t>with</w:t>
      </w:r>
      <w:r>
        <w:rPr>
          <w:spacing w:val="-4"/>
          <w:sz w:val="20"/>
        </w:rPr>
        <w:t> </w:t>
      </w:r>
      <w:r>
        <w:rPr>
          <w:sz w:val="20"/>
        </w:rPr>
        <w:t>poor</w:t>
      </w:r>
      <w:r>
        <w:rPr>
          <w:spacing w:val="-4"/>
          <w:sz w:val="20"/>
        </w:rPr>
        <w:t> </w:t>
      </w:r>
      <w:r>
        <w:rPr>
          <w:sz w:val="20"/>
        </w:rPr>
        <w:t>prognosis in patients with novel coronavirus pneumonia. J Thromb Haemost 2020; 18: 844–47.</w:t>
      </w:r>
    </w:p>
    <w:p>
      <w:pPr>
        <w:pStyle w:val="ListParagraph"/>
        <w:numPr>
          <w:ilvl w:val="0"/>
          <w:numId w:val="67"/>
        </w:numPr>
        <w:tabs>
          <w:tab w:pos="2405" w:val="left" w:leader="none"/>
          <w:tab w:pos="2407" w:val="left" w:leader="none"/>
        </w:tabs>
        <w:spacing w:line="240" w:lineRule="auto" w:before="0" w:after="0"/>
        <w:ind w:left="2407" w:right="1284" w:hanging="566"/>
        <w:jc w:val="both"/>
        <w:rPr>
          <w:sz w:val="20"/>
        </w:rPr>
      </w:pPr>
      <w:r>
        <w:rPr>
          <w:sz w:val="20"/>
        </w:rPr>
        <w:t>Thachil J., Wada H., Gando S., et al. ISTH interim guidance on recognition and management of coagulopathy in COVID-19. J Thromb Haemost 2020; DOI:10.1111/jth.14810.</w:t>
      </w:r>
    </w:p>
    <w:p>
      <w:pPr>
        <w:pStyle w:val="ListParagraph"/>
        <w:numPr>
          <w:ilvl w:val="0"/>
          <w:numId w:val="67"/>
        </w:numPr>
        <w:tabs>
          <w:tab w:pos="2407" w:val="left" w:leader="none"/>
          <w:tab w:pos="2506" w:val="left" w:leader="none"/>
        </w:tabs>
        <w:spacing w:line="240" w:lineRule="auto" w:before="1" w:after="0"/>
        <w:ind w:left="2407" w:right="1272" w:hanging="566"/>
        <w:jc w:val="both"/>
        <w:rPr>
          <w:sz w:val="20"/>
        </w:rPr>
      </w:pPr>
      <w:r>
        <w:rPr>
          <w:sz w:val="20"/>
        </w:rPr>
        <w:tab/>
        <w:t>The</w:t>
      </w:r>
      <w:r>
        <w:rPr>
          <w:spacing w:val="-13"/>
          <w:sz w:val="20"/>
        </w:rPr>
        <w:t> </w:t>
      </w:r>
      <w:r>
        <w:rPr>
          <w:sz w:val="20"/>
        </w:rPr>
        <w:t>ATTACC,</w:t>
      </w:r>
      <w:r>
        <w:rPr>
          <w:spacing w:val="-12"/>
          <w:sz w:val="20"/>
        </w:rPr>
        <w:t> </w:t>
      </w:r>
      <w:r>
        <w:rPr>
          <w:sz w:val="20"/>
        </w:rPr>
        <w:t>ACTIV-4a,</w:t>
      </w:r>
      <w:r>
        <w:rPr>
          <w:spacing w:val="-13"/>
          <w:sz w:val="20"/>
        </w:rPr>
        <w:t> </w:t>
      </w:r>
      <w:r>
        <w:rPr>
          <w:sz w:val="20"/>
        </w:rPr>
        <w:t>and</w:t>
      </w:r>
      <w:r>
        <w:rPr>
          <w:spacing w:val="-12"/>
          <w:sz w:val="20"/>
        </w:rPr>
        <w:t> </w:t>
      </w:r>
      <w:r>
        <w:rPr>
          <w:sz w:val="20"/>
        </w:rPr>
        <w:t>REMAP-CAP</w:t>
      </w:r>
      <w:r>
        <w:rPr>
          <w:spacing w:val="-13"/>
          <w:sz w:val="20"/>
        </w:rPr>
        <w:t> </w:t>
      </w:r>
      <w:r>
        <w:rPr>
          <w:sz w:val="20"/>
        </w:rPr>
        <w:t>Investigators.</w:t>
      </w:r>
      <w:r>
        <w:rPr>
          <w:spacing w:val="-5"/>
          <w:sz w:val="20"/>
        </w:rPr>
        <w:t> </w:t>
      </w:r>
      <w:r>
        <w:rPr>
          <w:sz w:val="20"/>
        </w:rPr>
        <w:t>Therapeutic</w:t>
      </w:r>
      <w:r>
        <w:rPr>
          <w:spacing w:val="-13"/>
          <w:sz w:val="20"/>
        </w:rPr>
        <w:t> </w:t>
      </w:r>
      <w:r>
        <w:rPr>
          <w:sz w:val="20"/>
        </w:rPr>
        <w:t>anticoagulation</w:t>
      </w:r>
      <w:r>
        <w:rPr>
          <w:spacing w:val="-12"/>
          <w:sz w:val="20"/>
        </w:rPr>
        <w:t> </w:t>
      </w:r>
      <w:r>
        <w:rPr>
          <w:sz w:val="20"/>
        </w:rPr>
        <w:t>with</w:t>
      </w:r>
      <w:r>
        <w:rPr>
          <w:spacing w:val="-13"/>
          <w:sz w:val="20"/>
        </w:rPr>
        <w:t> </w:t>
      </w:r>
      <w:r>
        <w:rPr>
          <w:sz w:val="20"/>
        </w:rPr>
        <w:t>heparin in noncritically ill patients with Covid-19. New Engl J Med 2021;385:790-802. DOI: </w:t>
      </w:r>
      <w:r>
        <w:rPr>
          <w:spacing w:val="-2"/>
          <w:sz w:val="20"/>
        </w:rPr>
        <w:t>10.1056/NEJMoa2105911</w:t>
      </w:r>
    </w:p>
    <w:p>
      <w:pPr>
        <w:pStyle w:val="ListParagraph"/>
        <w:numPr>
          <w:ilvl w:val="0"/>
          <w:numId w:val="67"/>
        </w:numPr>
        <w:tabs>
          <w:tab w:pos="2405" w:val="left" w:leader="none"/>
          <w:tab w:pos="2407" w:val="left" w:leader="none"/>
        </w:tabs>
        <w:spacing w:line="256" w:lineRule="auto" w:before="1" w:after="0"/>
        <w:ind w:left="2407" w:right="1275" w:hanging="566"/>
        <w:jc w:val="both"/>
        <w:rPr>
          <w:sz w:val="20"/>
        </w:rPr>
      </w:pPr>
      <w:r>
        <w:rPr>
          <w:sz w:val="20"/>
        </w:rPr>
        <w:t>The Centers for Disease Control and Prevention (CDC). Interim guidance</w:t>
      </w:r>
      <w:r>
        <w:rPr>
          <w:spacing w:val="-1"/>
          <w:sz w:val="20"/>
        </w:rPr>
        <w:t> </w:t>
      </w:r>
      <w:r>
        <w:rPr>
          <w:sz w:val="20"/>
        </w:rPr>
        <w:t>for healthcare professionals on human infections with 2019 novel coronavirus (2019-nCoV). URL: </w:t>
      </w:r>
      <w:r>
        <w:rPr>
          <w:spacing w:val="-2"/>
          <w:sz w:val="20"/>
        </w:rPr>
        <w:t>https</w:t>
      </w:r>
      <w:hyperlink r:id="rId46">
        <w:r>
          <w:rPr>
            <w:spacing w:val="-2"/>
            <w:sz w:val="20"/>
          </w:rPr>
          <w:t>://www.cdc.gov/coronavirus/2019-nCoV/hcp/index.html</w:t>
        </w:r>
      </w:hyperlink>
    </w:p>
    <w:p>
      <w:pPr>
        <w:pStyle w:val="ListParagraph"/>
        <w:numPr>
          <w:ilvl w:val="0"/>
          <w:numId w:val="67"/>
        </w:numPr>
        <w:tabs>
          <w:tab w:pos="2405" w:val="left" w:leader="none"/>
          <w:tab w:pos="2407" w:val="left" w:leader="none"/>
        </w:tabs>
        <w:spacing w:line="259" w:lineRule="auto" w:before="5" w:after="0"/>
        <w:ind w:left="2407" w:right="1272" w:hanging="566"/>
        <w:jc w:val="both"/>
        <w:rPr>
          <w:sz w:val="20"/>
        </w:rPr>
      </w:pPr>
      <w:r>
        <w:rPr>
          <w:sz w:val="20"/>
        </w:rPr>
        <w:t>The REMAP-CAP, ACTIV-4a, and</w:t>
      </w:r>
      <w:r>
        <w:rPr>
          <w:spacing w:val="-2"/>
          <w:sz w:val="20"/>
        </w:rPr>
        <w:t> </w:t>
      </w:r>
      <w:r>
        <w:rPr>
          <w:sz w:val="20"/>
        </w:rPr>
        <w:t>ATTACC</w:t>
      </w:r>
      <w:r>
        <w:rPr>
          <w:spacing w:val="-1"/>
          <w:sz w:val="20"/>
        </w:rPr>
        <w:t> </w:t>
      </w:r>
      <w:r>
        <w:rPr>
          <w:sz w:val="20"/>
        </w:rPr>
        <w:t>Investigators. Therapeutic</w:t>
      </w:r>
      <w:r>
        <w:rPr>
          <w:spacing w:val="-1"/>
          <w:sz w:val="20"/>
        </w:rPr>
        <w:t> </w:t>
      </w:r>
      <w:r>
        <w:rPr>
          <w:sz w:val="20"/>
        </w:rPr>
        <w:t>anticoagulation</w:t>
      </w:r>
      <w:r>
        <w:rPr>
          <w:spacing w:val="-2"/>
          <w:sz w:val="20"/>
        </w:rPr>
        <w:t> </w:t>
      </w:r>
      <w:r>
        <w:rPr>
          <w:sz w:val="20"/>
        </w:rPr>
        <w:t>with heparin in critically ill patients with Covid-19. N Engl J Med 2021;385:777-89. DOI: </w:t>
      </w:r>
      <w:r>
        <w:rPr>
          <w:spacing w:val="-2"/>
          <w:sz w:val="20"/>
        </w:rPr>
        <w:t>10.1056/NEJMoa2103417.</w:t>
      </w:r>
    </w:p>
    <w:p>
      <w:pPr>
        <w:pStyle w:val="ListParagraph"/>
        <w:numPr>
          <w:ilvl w:val="0"/>
          <w:numId w:val="67"/>
        </w:numPr>
        <w:tabs>
          <w:tab w:pos="2405" w:val="left" w:leader="none"/>
        </w:tabs>
        <w:spacing w:line="228" w:lineRule="exact" w:before="0" w:after="0"/>
        <w:ind w:left="2405" w:right="0" w:hanging="564"/>
        <w:jc w:val="both"/>
        <w:rPr>
          <w:sz w:val="20"/>
        </w:rPr>
      </w:pPr>
      <w:r>
        <w:rPr>
          <w:sz w:val="20"/>
        </w:rPr>
        <w:t>The</w:t>
      </w:r>
      <w:r>
        <w:rPr>
          <w:spacing w:val="-4"/>
          <w:sz w:val="20"/>
        </w:rPr>
        <w:t> </w:t>
      </w:r>
      <w:r>
        <w:rPr>
          <w:sz w:val="20"/>
        </w:rPr>
        <w:t>State</w:t>
      </w:r>
      <w:r>
        <w:rPr>
          <w:spacing w:val="-3"/>
          <w:sz w:val="20"/>
        </w:rPr>
        <w:t> </w:t>
      </w:r>
      <w:r>
        <w:rPr>
          <w:sz w:val="20"/>
        </w:rPr>
        <w:t>Council</w:t>
      </w:r>
      <w:r>
        <w:rPr>
          <w:spacing w:val="-4"/>
          <w:sz w:val="20"/>
        </w:rPr>
        <w:t> </w:t>
      </w:r>
      <w:r>
        <w:rPr>
          <w:sz w:val="20"/>
        </w:rPr>
        <w:t>The</w:t>
      </w:r>
      <w:r>
        <w:rPr>
          <w:spacing w:val="-3"/>
          <w:sz w:val="20"/>
        </w:rPr>
        <w:t> </w:t>
      </w:r>
      <w:r>
        <w:rPr>
          <w:sz w:val="20"/>
        </w:rPr>
        <w:t>People's</w:t>
      </w:r>
      <w:r>
        <w:rPr>
          <w:spacing w:val="-5"/>
          <w:sz w:val="20"/>
        </w:rPr>
        <w:t> </w:t>
      </w:r>
      <w:r>
        <w:rPr>
          <w:sz w:val="20"/>
        </w:rPr>
        <w:t>Republic</w:t>
      </w:r>
      <w:r>
        <w:rPr>
          <w:spacing w:val="-3"/>
          <w:sz w:val="20"/>
        </w:rPr>
        <w:t> </w:t>
      </w:r>
      <w:r>
        <w:rPr>
          <w:sz w:val="20"/>
        </w:rPr>
        <w:t>Of</w:t>
      </w:r>
      <w:r>
        <w:rPr>
          <w:spacing w:val="-4"/>
          <w:sz w:val="20"/>
        </w:rPr>
        <w:t> </w:t>
      </w:r>
      <w:r>
        <w:rPr>
          <w:sz w:val="20"/>
        </w:rPr>
        <w:t>China.</w:t>
      </w:r>
      <w:r>
        <w:rPr>
          <w:spacing w:val="-3"/>
          <w:sz w:val="20"/>
        </w:rPr>
        <w:t> </w:t>
      </w:r>
      <w:r>
        <w:rPr>
          <w:sz w:val="20"/>
        </w:rPr>
        <w:t>URL:</w:t>
      </w:r>
      <w:r>
        <w:rPr>
          <w:spacing w:val="-4"/>
          <w:sz w:val="20"/>
        </w:rPr>
        <w:t> </w:t>
      </w:r>
      <w:hyperlink r:id="rId47">
        <w:r>
          <w:rPr>
            <w:color w:val="0462C1"/>
            <w:spacing w:val="-2"/>
            <w:sz w:val="20"/>
            <w:u w:val="single" w:color="0462C1"/>
          </w:rPr>
          <w:t>http://english.www.gov.cn/</w:t>
        </w:r>
      </w:hyperlink>
    </w:p>
    <w:p>
      <w:pPr>
        <w:pStyle w:val="ListParagraph"/>
        <w:numPr>
          <w:ilvl w:val="0"/>
          <w:numId w:val="67"/>
        </w:numPr>
        <w:tabs>
          <w:tab w:pos="2405" w:val="left" w:leader="none"/>
          <w:tab w:pos="2407" w:val="left" w:leader="none"/>
        </w:tabs>
        <w:spacing w:line="256" w:lineRule="auto" w:before="19" w:after="0"/>
        <w:ind w:left="2407" w:right="1275" w:hanging="566"/>
        <w:jc w:val="both"/>
        <w:rPr>
          <w:sz w:val="20"/>
        </w:rPr>
      </w:pPr>
      <w:r>
        <w:rPr>
          <w:sz w:val="20"/>
        </w:rPr>
        <w:t>Thomas</w:t>
      </w:r>
      <w:r>
        <w:rPr>
          <w:spacing w:val="-13"/>
          <w:sz w:val="20"/>
        </w:rPr>
        <w:t> </w:t>
      </w:r>
      <w:r>
        <w:rPr>
          <w:sz w:val="20"/>
        </w:rPr>
        <w:t>P</w:t>
      </w:r>
      <w:r>
        <w:rPr>
          <w:spacing w:val="-12"/>
          <w:sz w:val="20"/>
        </w:rPr>
        <w:t> </w:t>
      </w:r>
      <w:r>
        <w:rPr>
          <w:sz w:val="20"/>
        </w:rPr>
        <w:t>et</w:t>
      </w:r>
      <w:r>
        <w:rPr>
          <w:spacing w:val="-13"/>
          <w:sz w:val="20"/>
        </w:rPr>
        <w:t> </w:t>
      </w:r>
      <w:r>
        <w:rPr>
          <w:sz w:val="20"/>
        </w:rPr>
        <w:t>al.</w:t>
      </w:r>
      <w:r>
        <w:rPr>
          <w:spacing w:val="-12"/>
          <w:sz w:val="20"/>
        </w:rPr>
        <w:t> </w:t>
      </w:r>
      <w:r>
        <w:rPr>
          <w:sz w:val="20"/>
        </w:rPr>
        <w:t>Physiotherapy</w:t>
      </w:r>
      <w:r>
        <w:rPr>
          <w:spacing w:val="-13"/>
          <w:sz w:val="20"/>
        </w:rPr>
        <w:t> </w:t>
      </w:r>
      <w:r>
        <w:rPr>
          <w:sz w:val="20"/>
        </w:rPr>
        <w:t>management</w:t>
      </w:r>
      <w:r>
        <w:rPr>
          <w:spacing w:val="-12"/>
          <w:sz w:val="20"/>
        </w:rPr>
        <w:t> </w:t>
      </w:r>
      <w:r>
        <w:rPr>
          <w:sz w:val="20"/>
        </w:rPr>
        <w:t>for</w:t>
      </w:r>
      <w:r>
        <w:rPr>
          <w:spacing w:val="-13"/>
          <w:sz w:val="20"/>
        </w:rPr>
        <w:t> </w:t>
      </w:r>
      <w:r>
        <w:rPr>
          <w:sz w:val="20"/>
        </w:rPr>
        <w:t>COVID-19</w:t>
      </w:r>
      <w:r>
        <w:rPr>
          <w:spacing w:val="-12"/>
          <w:sz w:val="20"/>
        </w:rPr>
        <w:t> </w:t>
      </w:r>
      <w:r>
        <w:rPr>
          <w:sz w:val="20"/>
        </w:rPr>
        <w:t>in</w:t>
      </w:r>
      <w:r>
        <w:rPr>
          <w:spacing w:val="-13"/>
          <w:sz w:val="20"/>
        </w:rPr>
        <w:t> </w:t>
      </w:r>
      <w:r>
        <w:rPr>
          <w:sz w:val="20"/>
        </w:rPr>
        <w:t>the</w:t>
      </w:r>
      <w:r>
        <w:rPr>
          <w:spacing w:val="-12"/>
          <w:sz w:val="20"/>
        </w:rPr>
        <w:t> </w:t>
      </w:r>
      <w:r>
        <w:rPr>
          <w:sz w:val="20"/>
        </w:rPr>
        <w:t>acute</w:t>
      </w:r>
      <w:r>
        <w:rPr>
          <w:spacing w:val="-13"/>
          <w:sz w:val="20"/>
        </w:rPr>
        <w:t> </w:t>
      </w:r>
      <w:r>
        <w:rPr>
          <w:sz w:val="20"/>
        </w:rPr>
        <w:t>hospital</w:t>
      </w:r>
      <w:r>
        <w:rPr>
          <w:spacing w:val="-12"/>
          <w:sz w:val="20"/>
        </w:rPr>
        <w:t> </w:t>
      </w:r>
      <w:r>
        <w:rPr>
          <w:sz w:val="20"/>
        </w:rPr>
        <w:t>setting:</w:t>
      </w:r>
      <w:r>
        <w:rPr>
          <w:spacing w:val="-13"/>
          <w:sz w:val="20"/>
        </w:rPr>
        <w:t> </w:t>
      </w:r>
      <w:r>
        <w:rPr>
          <w:sz w:val="20"/>
        </w:rPr>
        <w:t>clinical</w:t>
      </w:r>
      <w:r>
        <w:rPr>
          <w:spacing w:val="-12"/>
          <w:sz w:val="20"/>
        </w:rPr>
        <w:t> </w:t>
      </w:r>
      <w:r>
        <w:rPr>
          <w:sz w:val="20"/>
        </w:rPr>
        <w:t>practice recommendations, Journal of Physiotherapy (2020), doi: https://doi.org/10.1016/j.jphys.2020.03.011.</w:t>
      </w:r>
    </w:p>
    <w:p>
      <w:pPr>
        <w:pStyle w:val="ListParagraph"/>
        <w:numPr>
          <w:ilvl w:val="0"/>
          <w:numId w:val="67"/>
        </w:numPr>
        <w:tabs>
          <w:tab w:pos="2405" w:val="left" w:leader="none"/>
        </w:tabs>
        <w:spacing w:line="240" w:lineRule="auto" w:before="2" w:after="0"/>
        <w:ind w:left="2405" w:right="0" w:hanging="564"/>
        <w:jc w:val="both"/>
        <w:rPr>
          <w:sz w:val="20"/>
        </w:rPr>
      </w:pPr>
      <w:r>
        <w:rPr>
          <w:sz w:val="20"/>
        </w:rPr>
        <w:t>Touret,</w:t>
      </w:r>
      <w:r>
        <w:rPr>
          <w:spacing w:val="-5"/>
          <w:sz w:val="20"/>
        </w:rPr>
        <w:t> </w:t>
      </w:r>
      <w:r>
        <w:rPr>
          <w:sz w:val="20"/>
        </w:rPr>
        <w:t>F.,</w:t>
      </w:r>
      <w:r>
        <w:rPr>
          <w:spacing w:val="-6"/>
          <w:sz w:val="20"/>
        </w:rPr>
        <w:t> </w:t>
      </w:r>
      <w:r>
        <w:rPr>
          <w:sz w:val="20"/>
        </w:rPr>
        <w:t>de</w:t>
      </w:r>
      <w:r>
        <w:rPr>
          <w:spacing w:val="-4"/>
          <w:sz w:val="20"/>
        </w:rPr>
        <w:t> </w:t>
      </w:r>
      <w:r>
        <w:rPr>
          <w:sz w:val="20"/>
        </w:rPr>
        <w:t>Lamballerie,</w:t>
      </w:r>
      <w:r>
        <w:rPr>
          <w:spacing w:val="-6"/>
          <w:sz w:val="20"/>
        </w:rPr>
        <w:t> </w:t>
      </w:r>
      <w:r>
        <w:rPr>
          <w:sz w:val="20"/>
        </w:rPr>
        <w:t>X.</w:t>
      </w:r>
      <w:r>
        <w:rPr>
          <w:spacing w:val="-7"/>
          <w:sz w:val="20"/>
        </w:rPr>
        <w:t> </w:t>
      </w:r>
      <w:r>
        <w:rPr>
          <w:sz w:val="20"/>
        </w:rPr>
        <w:t>Of</w:t>
      </w:r>
      <w:r>
        <w:rPr>
          <w:spacing w:val="-4"/>
          <w:sz w:val="20"/>
        </w:rPr>
        <w:t> </w:t>
      </w:r>
      <w:r>
        <w:rPr>
          <w:sz w:val="20"/>
        </w:rPr>
        <w:t>chloroquine</w:t>
      </w:r>
      <w:r>
        <w:rPr>
          <w:spacing w:val="-4"/>
          <w:sz w:val="20"/>
        </w:rPr>
        <w:t> </w:t>
      </w:r>
      <w:r>
        <w:rPr>
          <w:sz w:val="20"/>
        </w:rPr>
        <w:t>and</w:t>
      </w:r>
      <w:r>
        <w:rPr>
          <w:spacing w:val="-4"/>
          <w:sz w:val="20"/>
        </w:rPr>
        <w:t> </w:t>
      </w:r>
      <w:r>
        <w:rPr>
          <w:sz w:val="20"/>
        </w:rPr>
        <w:t>COVID-19.</w:t>
      </w:r>
      <w:r>
        <w:rPr>
          <w:spacing w:val="-4"/>
          <w:sz w:val="20"/>
        </w:rPr>
        <w:t> </w:t>
      </w:r>
      <w:r>
        <w:rPr>
          <w:sz w:val="20"/>
        </w:rPr>
        <w:t>Antiviral</w:t>
      </w:r>
      <w:r>
        <w:rPr>
          <w:spacing w:val="-4"/>
          <w:sz w:val="20"/>
        </w:rPr>
        <w:t> </w:t>
      </w:r>
      <w:r>
        <w:rPr>
          <w:sz w:val="20"/>
        </w:rPr>
        <w:t>Research,</w:t>
      </w:r>
      <w:r>
        <w:rPr>
          <w:spacing w:val="-5"/>
          <w:sz w:val="20"/>
        </w:rPr>
        <w:t> </w:t>
      </w:r>
      <w:r>
        <w:rPr>
          <w:spacing w:val="-2"/>
          <w:sz w:val="20"/>
        </w:rPr>
        <w:t>104762.</w:t>
      </w:r>
    </w:p>
    <w:p>
      <w:pPr>
        <w:pStyle w:val="ListParagraph"/>
        <w:numPr>
          <w:ilvl w:val="0"/>
          <w:numId w:val="67"/>
        </w:numPr>
        <w:tabs>
          <w:tab w:pos="2405" w:val="left" w:leader="none"/>
          <w:tab w:pos="2407" w:val="left" w:leader="none"/>
        </w:tabs>
        <w:spacing w:line="259" w:lineRule="auto" w:before="20" w:after="0"/>
        <w:ind w:left="2407" w:right="1272" w:hanging="566"/>
        <w:jc w:val="both"/>
        <w:rPr>
          <w:sz w:val="20"/>
        </w:rPr>
      </w:pPr>
      <w:r>
        <w:rPr>
          <w:sz w:val="20"/>
        </w:rPr>
        <w:t>Tuccori M, Ferraro S, Convertino I, Cappello E, Valdiserra</w:t>
      </w:r>
      <w:r>
        <w:rPr>
          <w:spacing w:val="-1"/>
          <w:sz w:val="20"/>
        </w:rPr>
        <w:t> </w:t>
      </w:r>
      <w:r>
        <w:rPr>
          <w:sz w:val="20"/>
        </w:rPr>
        <w:t>G, Blandizzi C, Maggi F, Focosi D. Anti- SARS-CoV-2 neutralizing monoclonal antibodies: clinical pipeline. MAbs. 2020 Jan- </w:t>
      </w:r>
      <w:r>
        <w:rPr>
          <w:spacing w:val="-2"/>
          <w:sz w:val="20"/>
        </w:rPr>
        <w:t>Dec;12(1):1854149.</w:t>
      </w:r>
    </w:p>
    <w:p>
      <w:pPr>
        <w:pStyle w:val="ListParagraph"/>
        <w:spacing w:after="0" w:line="259" w:lineRule="auto"/>
        <w:jc w:val="both"/>
        <w:rPr>
          <w:sz w:val="20"/>
        </w:rPr>
        <w:sectPr>
          <w:pgSz w:w="11900" w:h="16840"/>
          <w:pgMar w:header="0" w:footer="697" w:top="1080" w:bottom="880" w:left="0" w:right="0"/>
        </w:sectPr>
      </w:pPr>
    </w:p>
    <w:p>
      <w:pPr>
        <w:pStyle w:val="ListParagraph"/>
        <w:numPr>
          <w:ilvl w:val="0"/>
          <w:numId w:val="67"/>
        </w:numPr>
        <w:tabs>
          <w:tab w:pos="2405" w:val="left" w:leader="none"/>
          <w:tab w:pos="2407" w:val="left" w:leader="none"/>
        </w:tabs>
        <w:spacing w:line="256" w:lineRule="auto" w:before="74" w:after="0"/>
        <w:ind w:left="2407" w:right="1278" w:hanging="566"/>
        <w:jc w:val="both"/>
        <w:rPr>
          <w:sz w:val="20"/>
        </w:rPr>
      </w:pPr>
      <w:bookmarkStart w:name="154" w:id="182"/>
      <w:bookmarkEnd w:id="182"/>
      <w:r>
        <w:rPr/>
      </w:r>
      <w:r>
        <w:rPr>
          <w:sz w:val="20"/>
        </w:rPr>
        <w:t>Upchurch</w:t>
      </w:r>
      <w:r>
        <w:rPr>
          <w:spacing w:val="-13"/>
          <w:sz w:val="20"/>
        </w:rPr>
        <w:t> </w:t>
      </w:r>
      <w:r>
        <w:rPr>
          <w:sz w:val="20"/>
        </w:rPr>
        <w:t>C.P.</w:t>
      </w:r>
      <w:r>
        <w:rPr>
          <w:spacing w:val="-12"/>
          <w:sz w:val="20"/>
        </w:rPr>
        <w:t> </w:t>
      </w:r>
      <w:r>
        <w:rPr>
          <w:sz w:val="20"/>
        </w:rPr>
        <w:t>et</w:t>
      </w:r>
      <w:r>
        <w:rPr>
          <w:spacing w:val="-13"/>
          <w:sz w:val="20"/>
        </w:rPr>
        <w:t> </w:t>
      </w:r>
      <w:r>
        <w:rPr>
          <w:sz w:val="20"/>
        </w:rPr>
        <w:t>al.</w:t>
      </w:r>
      <w:r>
        <w:rPr>
          <w:spacing w:val="-12"/>
          <w:sz w:val="20"/>
        </w:rPr>
        <w:t> </w:t>
      </w:r>
      <w:r>
        <w:rPr>
          <w:sz w:val="20"/>
        </w:rPr>
        <w:t>Community-acquired</w:t>
      </w:r>
      <w:r>
        <w:rPr>
          <w:spacing w:val="-13"/>
          <w:sz w:val="20"/>
        </w:rPr>
        <w:t> </w:t>
      </w:r>
      <w:r>
        <w:rPr>
          <w:sz w:val="20"/>
        </w:rPr>
        <w:t>pneumonia</w:t>
      </w:r>
      <w:r>
        <w:rPr>
          <w:spacing w:val="-12"/>
          <w:sz w:val="20"/>
        </w:rPr>
        <w:t> </w:t>
      </w:r>
      <w:r>
        <w:rPr>
          <w:sz w:val="20"/>
        </w:rPr>
        <w:t>visualized</w:t>
      </w:r>
      <w:r>
        <w:rPr>
          <w:spacing w:val="-13"/>
          <w:sz w:val="20"/>
        </w:rPr>
        <w:t> </w:t>
      </w:r>
      <w:r>
        <w:rPr>
          <w:sz w:val="20"/>
        </w:rPr>
        <w:t>on</w:t>
      </w:r>
      <w:r>
        <w:rPr>
          <w:spacing w:val="-12"/>
          <w:sz w:val="20"/>
        </w:rPr>
        <w:t> </w:t>
      </w:r>
      <w:r>
        <w:rPr>
          <w:sz w:val="20"/>
        </w:rPr>
        <w:t>CT</w:t>
      </w:r>
      <w:r>
        <w:rPr>
          <w:spacing w:val="-13"/>
          <w:sz w:val="20"/>
        </w:rPr>
        <w:t> </w:t>
      </w:r>
      <w:r>
        <w:rPr>
          <w:sz w:val="20"/>
        </w:rPr>
        <w:t>scans</w:t>
      </w:r>
      <w:r>
        <w:rPr>
          <w:spacing w:val="-12"/>
          <w:sz w:val="20"/>
        </w:rPr>
        <w:t> </w:t>
      </w:r>
      <w:r>
        <w:rPr>
          <w:sz w:val="20"/>
        </w:rPr>
        <w:t>but</w:t>
      </w:r>
      <w:r>
        <w:rPr>
          <w:spacing w:val="-13"/>
          <w:sz w:val="20"/>
        </w:rPr>
        <w:t> </w:t>
      </w:r>
      <w:r>
        <w:rPr>
          <w:sz w:val="20"/>
        </w:rPr>
        <w:t>not</w:t>
      </w:r>
      <w:r>
        <w:rPr>
          <w:spacing w:val="-12"/>
          <w:sz w:val="20"/>
        </w:rPr>
        <w:t> </w:t>
      </w:r>
      <w:r>
        <w:rPr>
          <w:sz w:val="20"/>
        </w:rPr>
        <w:t>chest</w:t>
      </w:r>
      <w:r>
        <w:rPr>
          <w:spacing w:val="-13"/>
          <w:sz w:val="20"/>
        </w:rPr>
        <w:t> </w:t>
      </w:r>
      <w:r>
        <w:rPr>
          <w:sz w:val="20"/>
        </w:rPr>
        <w:t>radiographs: pathogens, severity, and clinical outcomes //Chest. – 2018. – Т. 153. – №. 3. – pp. 601-610.</w:t>
      </w:r>
    </w:p>
    <w:p>
      <w:pPr>
        <w:pStyle w:val="ListParagraph"/>
        <w:numPr>
          <w:ilvl w:val="0"/>
          <w:numId w:val="67"/>
        </w:numPr>
        <w:tabs>
          <w:tab w:pos="2405" w:val="left" w:leader="none"/>
          <w:tab w:pos="2407" w:val="left" w:leader="none"/>
        </w:tabs>
        <w:spacing w:line="237" w:lineRule="auto" w:before="6" w:after="0"/>
        <w:ind w:left="2407" w:right="1287" w:hanging="566"/>
        <w:jc w:val="both"/>
        <w:rPr>
          <w:sz w:val="20"/>
        </w:rPr>
      </w:pPr>
      <w:r>
        <w:rPr>
          <w:sz w:val="20"/>
        </w:rPr>
        <w:t>Villar J,,et al.; Dexamethasone treatment for the acute respiratory distress syndrome: a multicentre, randomised controlled trial. Lancet Respir Med. 2020 Feb 7.</w:t>
      </w:r>
    </w:p>
    <w:p>
      <w:pPr>
        <w:pStyle w:val="ListParagraph"/>
        <w:numPr>
          <w:ilvl w:val="0"/>
          <w:numId w:val="67"/>
        </w:numPr>
        <w:tabs>
          <w:tab w:pos="2405" w:val="left" w:leader="none"/>
          <w:tab w:pos="2407" w:val="left" w:leader="none"/>
        </w:tabs>
        <w:spacing w:line="240" w:lineRule="auto" w:before="1" w:after="0"/>
        <w:ind w:left="2407" w:right="1276" w:hanging="566"/>
        <w:jc w:val="both"/>
        <w:rPr>
          <w:sz w:val="20"/>
        </w:rPr>
      </w:pPr>
      <w:r>
        <w:rPr>
          <w:sz w:val="20"/>
        </w:rPr>
        <w:t>Wang L C-reactive Protein Levels in the Early Stage of COVID-19 Med Mal Infect. 2020 Mar 31;S0399-077X(20)30086-X. doi: 10.1016/j.medmal.2020.03.007. Online ahead of print.</w:t>
      </w:r>
    </w:p>
    <w:p>
      <w:pPr>
        <w:pStyle w:val="ListParagraph"/>
        <w:numPr>
          <w:ilvl w:val="0"/>
          <w:numId w:val="67"/>
        </w:numPr>
        <w:tabs>
          <w:tab w:pos="2405" w:val="left" w:leader="none"/>
          <w:tab w:pos="2407" w:val="left" w:leader="none"/>
        </w:tabs>
        <w:spacing w:line="240" w:lineRule="auto" w:before="1" w:after="0"/>
        <w:ind w:left="2407" w:right="1282" w:hanging="566"/>
        <w:jc w:val="both"/>
        <w:rPr>
          <w:sz w:val="20"/>
        </w:rPr>
      </w:pPr>
      <w:r>
        <w:rPr>
          <w:sz w:val="20"/>
        </w:rPr>
        <w:t>Wang Z. et al. Clinical characteristics and therapeutic procedure for four cases with 2019 novel coronavirus pneumonia receiving combined Chinese and Western medicine treatment. Biosci Trends 2020. doi:10.5582/bst.2020.01030.</w:t>
      </w:r>
    </w:p>
    <w:p>
      <w:pPr>
        <w:pStyle w:val="ListParagraph"/>
        <w:numPr>
          <w:ilvl w:val="0"/>
          <w:numId w:val="67"/>
        </w:numPr>
        <w:tabs>
          <w:tab w:pos="2405" w:val="left" w:leader="none"/>
          <w:tab w:pos="2407" w:val="left" w:leader="none"/>
        </w:tabs>
        <w:spacing w:line="240" w:lineRule="auto" w:before="0" w:after="0"/>
        <w:ind w:left="2407" w:right="1274" w:hanging="566"/>
        <w:jc w:val="both"/>
        <w:rPr>
          <w:sz w:val="20"/>
        </w:rPr>
      </w:pPr>
      <w:r>
        <w:rPr>
          <w:sz w:val="20"/>
        </w:rPr>
        <w:t>World Health Organization. COVID-19 Clinical management: living guidance. 25 January 2021. URL: </w:t>
      </w:r>
      <w:r>
        <w:rPr>
          <w:color w:val="0462C1"/>
          <w:sz w:val="20"/>
          <w:u w:val="single" w:color="0462C1"/>
        </w:rPr>
        <w:t>https</w:t>
      </w:r>
      <w:hyperlink r:id="rId48">
        <w:r>
          <w:rPr>
            <w:color w:val="0462C1"/>
            <w:sz w:val="20"/>
            <w:u w:val="single" w:color="0462C1"/>
          </w:rPr>
          <w:t>://www.who.int/publications/i/item/WHO-2019-nCoV-clinical-2021-1</w:t>
        </w:r>
      </w:hyperlink>
    </w:p>
    <w:p>
      <w:pPr>
        <w:pStyle w:val="ListParagraph"/>
        <w:numPr>
          <w:ilvl w:val="0"/>
          <w:numId w:val="67"/>
        </w:numPr>
        <w:tabs>
          <w:tab w:pos="2405" w:val="left" w:leader="none"/>
          <w:tab w:pos="2407" w:val="left" w:leader="none"/>
        </w:tabs>
        <w:spacing w:line="240" w:lineRule="auto" w:before="0" w:after="0"/>
        <w:ind w:left="2407" w:right="1274" w:hanging="566"/>
        <w:jc w:val="both"/>
        <w:rPr>
          <w:sz w:val="20"/>
        </w:rPr>
      </w:pPr>
      <w:r>
        <w:rPr>
          <w:sz w:val="20"/>
        </w:rPr>
        <w:t>World Health Organization. Infection prevention and control guidance for long-term care facilities in the context of COVID-19: interim guidance, 21 March 2020. World Health Organization; 2020.</w:t>
      </w:r>
    </w:p>
    <w:p>
      <w:pPr>
        <w:pStyle w:val="ListParagraph"/>
        <w:numPr>
          <w:ilvl w:val="0"/>
          <w:numId w:val="67"/>
        </w:numPr>
        <w:tabs>
          <w:tab w:pos="2405" w:val="left" w:leader="none"/>
          <w:tab w:pos="2407" w:val="left" w:leader="none"/>
        </w:tabs>
        <w:spacing w:line="240" w:lineRule="auto" w:before="0" w:after="0"/>
        <w:ind w:left="2407" w:right="1273" w:hanging="566"/>
        <w:jc w:val="both"/>
        <w:rPr>
          <w:sz w:val="20"/>
        </w:rPr>
      </w:pPr>
      <w:r>
        <w:rPr>
          <w:sz w:val="20"/>
        </w:rPr>
        <w:t>World</w:t>
      </w:r>
      <w:r>
        <w:rPr>
          <w:spacing w:val="-13"/>
          <w:sz w:val="20"/>
        </w:rPr>
        <w:t> </w:t>
      </w:r>
      <w:r>
        <w:rPr>
          <w:sz w:val="20"/>
        </w:rPr>
        <w:t>Health</w:t>
      </w:r>
      <w:r>
        <w:rPr>
          <w:spacing w:val="-11"/>
          <w:sz w:val="20"/>
        </w:rPr>
        <w:t> </w:t>
      </w:r>
      <w:r>
        <w:rPr>
          <w:sz w:val="20"/>
        </w:rPr>
        <w:t>Organization.</w:t>
      </w:r>
      <w:r>
        <w:rPr>
          <w:spacing w:val="-12"/>
          <w:sz w:val="20"/>
        </w:rPr>
        <w:t> </w:t>
      </w:r>
      <w:r>
        <w:rPr>
          <w:sz w:val="20"/>
        </w:rPr>
        <w:t>Managing</w:t>
      </w:r>
      <w:r>
        <w:rPr>
          <w:spacing w:val="-13"/>
          <w:sz w:val="20"/>
        </w:rPr>
        <w:t> </w:t>
      </w:r>
      <w:r>
        <w:rPr>
          <w:sz w:val="20"/>
        </w:rPr>
        <w:t>Ethical</w:t>
      </w:r>
      <w:r>
        <w:rPr>
          <w:spacing w:val="-11"/>
          <w:sz w:val="20"/>
        </w:rPr>
        <w:t> </w:t>
      </w:r>
      <w:r>
        <w:rPr>
          <w:sz w:val="20"/>
        </w:rPr>
        <w:t>Issues</w:t>
      </w:r>
      <w:r>
        <w:rPr>
          <w:spacing w:val="-13"/>
          <w:sz w:val="20"/>
        </w:rPr>
        <w:t> </w:t>
      </w:r>
      <w:r>
        <w:rPr>
          <w:sz w:val="20"/>
        </w:rPr>
        <w:t>in</w:t>
      </w:r>
      <w:r>
        <w:rPr>
          <w:spacing w:val="-11"/>
          <w:sz w:val="20"/>
        </w:rPr>
        <w:t> </w:t>
      </w:r>
      <w:r>
        <w:rPr>
          <w:sz w:val="20"/>
        </w:rPr>
        <w:t>Infectious</w:t>
      </w:r>
      <w:r>
        <w:rPr>
          <w:spacing w:val="-13"/>
          <w:sz w:val="20"/>
        </w:rPr>
        <w:t> </w:t>
      </w:r>
      <w:r>
        <w:rPr>
          <w:sz w:val="20"/>
        </w:rPr>
        <w:t>Disease</w:t>
      </w:r>
      <w:r>
        <w:rPr>
          <w:spacing w:val="-11"/>
          <w:sz w:val="20"/>
        </w:rPr>
        <w:t> </w:t>
      </w:r>
      <w:r>
        <w:rPr>
          <w:sz w:val="20"/>
        </w:rPr>
        <w:t>Outbreaks.</w:t>
      </w:r>
      <w:r>
        <w:rPr>
          <w:spacing w:val="-5"/>
          <w:sz w:val="20"/>
        </w:rPr>
        <w:t> </w:t>
      </w:r>
      <w:r>
        <w:rPr>
          <w:sz w:val="20"/>
        </w:rPr>
        <w:t>Publication</w:t>
      </w:r>
      <w:r>
        <w:rPr>
          <w:spacing w:val="-11"/>
          <w:sz w:val="20"/>
        </w:rPr>
        <w:t> </w:t>
      </w:r>
      <w:r>
        <w:rPr>
          <w:sz w:val="20"/>
        </w:rPr>
        <w:t>date: 2016. URL: https</w:t>
      </w:r>
      <w:hyperlink r:id="rId49">
        <w:r>
          <w:rPr>
            <w:sz w:val="20"/>
          </w:rPr>
          <w:t>://www.who.int/ethics/publications/infectious-disease-outbreaks/en/</w:t>
        </w:r>
      </w:hyperlink>
    </w:p>
    <w:p>
      <w:pPr>
        <w:pStyle w:val="ListParagraph"/>
        <w:numPr>
          <w:ilvl w:val="0"/>
          <w:numId w:val="67"/>
        </w:numPr>
        <w:tabs>
          <w:tab w:pos="2405" w:val="left" w:leader="none"/>
          <w:tab w:pos="2407" w:val="left" w:leader="none"/>
        </w:tabs>
        <w:spacing w:line="240" w:lineRule="auto" w:before="0" w:after="0"/>
        <w:ind w:left="2407" w:right="1281" w:hanging="566"/>
        <w:jc w:val="both"/>
        <w:rPr>
          <w:sz w:val="20"/>
        </w:rPr>
      </w:pPr>
      <w:r>
        <w:rPr>
          <w:sz w:val="20"/>
        </w:rPr>
        <w:t>World Health Organization. WHO Blood Regulators Network (BRN) Position Paper on Use of Convalescent Plasma, Serum or Immune Globulin Concentrates as an Element in Response to an Emerging Virus* September 2017.</w:t>
      </w:r>
    </w:p>
    <w:p>
      <w:pPr>
        <w:spacing w:before="0"/>
        <w:ind w:left="2407" w:right="0" w:firstLine="0"/>
        <w:jc w:val="both"/>
        <w:rPr>
          <w:sz w:val="20"/>
        </w:rPr>
      </w:pPr>
      <w:r>
        <w:rPr>
          <w:sz w:val="20"/>
        </w:rPr>
        <w:t>URL:</w:t>
      </w:r>
      <w:r>
        <w:rPr>
          <w:spacing w:val="44"/>
          <w:sz w:val="20"/>
        </w:rPr>
        <w:t> </w:t>
      </w:r>
      <w:r>
        <w:rPr>
          <w:color w:val="0462C1"/>
          <w:spacing w:val="-2"/>
          <w:sz w:val="20"/>
          <w:u w:val="single" w:color="0462C1"/>
        </w:rPr>
        <w:t>https</w:t>
      </w:r>
      <w:hyperlink r:id="rId50">
        <w:r>
          <w:rPr>
            <w:color w:val="0462C1"/>
            <w:spacing w:val="-2"/>
            <w:sz w:val="20"/>
            <w:u w:val="single" w:color="0462C1"/>
          </w:rPr>
          <w:t>://www.who.int/bloodproducts/brn/2017_BRN_PositionPaper_ConvalescentPlasma.pdf</w:t>
        </w:r>
      </w:hyperlink>
    </w:p>
    <w:p>
      <w:pPr>
        <w:pStyle w:val="ListParagraph"/>
        <w:numPr>
          <w:ilvl w:val="0"/>
          <w:numId w:val="67"/>
        </w:numPr>
        <w:tabs>
          <w:tab w:pos="2405" w:val="left" w:leader="none"/>
          <w:tab w:pos="2407" w:val="left" w:leader="none"/>
        </w:tabs>
        <w:spacing w:line="240" w:lineRule="auto" w:before="0" w:after="0"/>
        <w:ind w:left="2407" w:right="1273" w:hanging="566"/>
        <w:jc w:val="both"/>
        <w:rPr>
          <w:sz w:val="20"/>
        </w:rPr>
      </w:pPr>
      <w:r>
        <w:rPr>
          <w:sz w:val="20"/>
        </w:rPr>
        <w:t>Wu</w:t>
      </w:r>
      <w:r>
        <w:rPr>
          <w:spacing w:val="-1"/>
          <w:sz w:val="20"/>
        </w:rPr>
        <w:t> </w:t>
      </w:r>
      <w:r>
        <w:rPr>
          <w:sz w:val="20"/>
        </w:rPr>
        <w:t>P.</w:t>
      </w:r>
      <w:r>
        <w:rPr>
          <w:spacing w:val="-2"/>
          <w:sz w:val="20"/>
        </w:rPr>
        <w:t> </w:t>
      </w:r>
      <w:r>
        <w:rPr>
          <w:sz w:val="20"/>
        </w:rPr>
        <w:t>et</w:t>
      </w:r>
      <w:r>
        <w:rPr>
          <w:spacing w:val="-2"/>
          <w:sz w:val="20"/>
        </w:rPr>
        <w:t> </w:t>
      </w:r>
      <w:r>
        <w:rPr>
          <w:sz w:val="20"/>
        </w:rPr>
        <w:t>al.</w:t>
      </w:r>
      <w:r>
        <w:rPr>
          <w:spacing w:val="-4"/>
          <w:sz w:val="20"/>
        </w:rPr>
        <w:t> </w:t>
      </w:r>
      <w:r>
        <w:rPr>
          <w:sz w:val="20"/>
        </w:rPr>
        <w:t>Real-time</w:t>
      </w:r>
      <w:r>
        <w:rPr>
          <w:spacing w:val="-2"/>
          <w:sz w:val="20"/>
        </w:rPr>
        <w:t> </w:t>
      </w:r>
      <w:r>
        <w:rPr>
          <w:sz w:val="20"/>
        </w:rPr>
        <w:t>tentative</w:t>
      </w:r>
      <w:r>
        <w:rPr>
          <w:spacing w:val="-2"/>
          <w:sz w:val="20"/>
        </w:rPr>
        <w:t> </w:t>
      </w:r>
      <w:r>
        <w:rPr>
          <w:sz w:val="20"/>
        </w:rPr>
        <w:t>assessment</w:t>
      </w:r>
      <w:r>
        <w:rPr>
          <w:spacing w:val="-2"/>
          <w:sz w:val="20"/>
        </w:rPr>
        <w:t> </w:t>
      </w:r>
      <w:r>
        <w:rPr>
          <w:sz w:val="20"/>
        </w:rPr>
        <w:t>of</w:t>
      </w:r>
      <w:r>
        <w:rPr>
          <w:spacing w:val="-1"/>
          <w:sz w:val="20"/>
        </w:rPr>
        <w:t> </w:t>
      </w:r>
      <w:r>
        <w:rPr>
          <w:sz w:val="20"/>
        </w:rPr>
        <w:t>the</w:t>
      </w:r>
      <w:r>
        <w:rPr>
          <w:spacing w:val="-4"/>
          <w:sz w:val="20"/>
        </w:rPr>
        <w:t> </w:t>
      </w:r>
      <w:r>
        <w:rPr>
          <w:sz w:val="20"/>
        </w:rPr>
        <w:t>epidemiological</w:t>
      </w:r>
      <w:r>
        <w:rPr>
          <w:spacing w:val="-2"/>
          <w:sz w:val="20"/>
        </w:rPr>
        <w:t> </w:t>
      </w:r>
      <w:r>
        <w:rPr>
          <w:sz w:val="20"/>
        </w:rPr>
        <w:t>characteristics</w:t>
      </w:r>
      <w:r>
        <w:rPr>
          <w:spacing w:val="-3"/>
          <w:sz w:val="20"/>
        </w:rPr>
        <w:t> </w:t>
      </w:r>
      <w:r>
        <w:rPr>
          <w:sz w:val="20"/>
        </w:rPr>
        <w:t>of</w:t>
      </w:r>
      <w:r>
        <w:rPr>
          <w:spacing w:val="-1"/>
          <w:sz w:val="20"/>
        </w:rPr>
        <w:t> </w:t>
      </w:r>
      <w:r>
        <w:rPr>
          <w:sz w:val="20"/>
        </w:rPr>
        <w:t>novel</w:t>
      </w:r>
      <w:r>
        <w:rPr>
          <w:spacing w:val="-4"/>
          <w:sz w:val="20"/>
        </w:rPr>
        <w:t> </w:t>
      </w:r>
      <w:r>
        <w:rPr>
          <w:sz w:val="20"/>
        </w:rPr>
        <w:t>coronavirus infections in Wuhan, China, as at 22 January 2020 //Eurosurveillance. 2020. Т. 25. №.3. doi: </w:t>
      </w:r>
      <w:r>
        <w:rPr>
          <w:spacing w:val="-2"/>
          <w:sz w:val="20"/>
        </w:rPr>
        <w:t>10.2807/1560-7917.ES.2020.25.3.2000044.</w:t>
      </w:r>
    </w:p>
    <w:p>
      <w:pPr>
        <w:pStyle w:val="ListParagraph"/>
        <w:numPr>
          <w:ilvl w:val="0"/>
          <w:numId w:val="67"/>
        </w:numPr>
        <w:tabs>
          <w:tab w:pos="2405" w:val="left" w:leader="none"/>
          <w:tab w:pos="2407" w:val="left" w:leader="none"/>
        </w:tabs>
        <w:spacing w:line="240" w:lineRule="auto" w:before="0" w:after="0"/>
        <w:ind w:left="2407" w:right="1271" w:hanging="566"/>
        <w:jc w:val="both"/>
        <w:rPr>
          <w:sz w:val="20"/>
        </w:rPr>
      </w:pPr>
      <w:r>
        <w:rPr>
          <w:sz w:val="20"/>
        </w:rPr>
        <w:t>Xiao A., et al J Clin Pharm. 2016; 56(1): 56-66; Luzelena Caro, David P. Nicolau, Jan J. De Waele et al. Lung penetration, bronchopulmonary pharmacokinetic/ pharmacodynamic profile and</w:t>
      </w:r>
      <w:r>
        <w:rPr>
          <w:spacing w:val="-1"/>
          <w:sz w:val="20"/>
        </w:rPr>
        <w:t> </w:t>
      </w:r>
      <w:r>
        <w:rPr>
          <w:sz w:val="20"/>
        </w:rPr>
        <w:t>safety of 3 g of ceftolozane/tazobactam administered to</w:t>
      </w:r>
      <w:r>
        <w:rPr>
          <w:spacing w:val="-1"/>
          <w:sz w:val="20"/>
        </w:rPr>
        <w:t> </w:t>
      </w:r>
      <w:r>
        <w:rPr>
          <w:sz w:val="20"/>
        </w:rPr>
        <w:t>ventilated,</w:t>
      </w:r>
      <w:r>
        <w:rPr>
          <w:spacing w:val="-1"/>
          <w:sz w:val="20"/>
        </w:rPr>
        <w:t> </w:t>
      </w:r>
      <w:r>
        <w:rPr>
          <w:sz w:val="20"/>
        </w:rPr>
        <w:t>critically ill patients with</w:t>
      </w:r>
      <w:r>
        <w:rPr>
          <w:spacing w:val="-1"/>
          <w:sz w:val="20"/>
        </w:rPr>
        <w:t> </w:t>
      </w:r>
      <w:r>
        <w:rPr>
          <w:sz w:val="20"/>
        </w:rPr>
        <w:t>pneumonia. Journal</w:t>
      </w:r>
      <w:r>
        <w:rPr>
          <w:spacing w:val="-2"/>
          <w:sz w:val="20"/>
        </w:rPr>
        <w:t> </w:t>
      </w:r>
      <w:r>
        <w:rPr>
          <w:sz w:val="20"/>
        </w:rPr>
        <w:t>of Antimicrobial</w:t>
      </w:r>
      <w:r>
        <w:rPr>
          <w:spacing w:val="-13"/>
          <w:sz w:val="20"/>
        </w:rPr>
        <w:t> </w:t>
      </w:r>
      <w:r>
        <w:rPr>
          <w:sz w:val="20"/>
        </w:rPr>
        <w:t>Chemotherapy,</w:t>
      </w:r>
      <w:r>
        <w:rPr>
          <w:spacing w:val="-12"/>
          <w:sz w:val="20"/>
        </w:rPr>
        <w:t> </w:t>
      </w:r>
      <w:r>
        <w:rPr>
          <w:sz w:val="20"/>
        </w:rPr>
        <w:t>dkaa049.</w:t>
      </w:r>
      <w:r>
        <w:rPr>
          <w:spacing w:val="-13"/>
          <w:sz w:val="20"/>
        </w:rPr>
        <w:t> </w:t>
      </w:r>
      <w:r>
        <w:rPr>
          <w:sz w:val="20"/>
        </w:rPr>
        <w:t>https://doi.org/10.1093/jac/dkaa049</w:t>
      </w:r>
      <w:r>
        <w:rPr>
          <w:spacing w:val="-12"/>
          <w:sz w:val="20"/>
        </w:rPr>
        <w:t> </w:t>
      </w:r>
      <w:r>
        <w:rPr>
          <w:sz w:val="20"/>
        </w:rPr>
        <w:t>Published:</w:t>
      </w:r>
      <w:r>
        <w:rPr>
          <w:spacing w:val="-13"/>
          <w:sz w:val="20"/>
        </w:rPr>
        <w:t> </w:t>
      </w:r>
      <w:r>
        <w:rPr>
          <w:sz w:val="20"/>
        </w:rPr>
        <w:t>24</w:t>
      </w:r>
      <w:r>
        <w:rPr>
          <w:spacing w:val="-13"/>
          <w:sz w:val="20"/>
        </w:rPr>
        <w:t> </w:t>
      </w:r>
      <w:r>
        <w:rPr>
          <w:sz w:val="20"/>
        </w:rPr>
        <w:t>March</w:t>
      </w:r>
      <w:r>
        <w:rPr>
          <w:spacing w:val="-12"/>
          <w:sz w:val="20"/>
        </w:rPr>
        <w:t> </w:t>
      </w:r>
      <w:r>
        <w:rPr>
          <w:sz w:val="20"/>
        </w:rPr>
        <w:t>2020.</w:t>
      </w:r>
    </w:p>
    <w:p>
      <w:pPr>
        <w:pStyle w:val="ListParagraph"/>
        <w:numPr>
          <w:ilvl w:val="0"/>
          <w:numId w:val="67"/>
        </w:numPr>
        <w:tabs>
          <w:tab w:pos="2405" w:val="left" w:leader="none"/>
          <w:tab w:pos="2407" w:val="left" w:leader="none"/>
        </w:tabs>
        <w:spacing w:line="240" w:lineRule="auto" w:before="0" w:after="0"/>
        <w:ind w:left="2407" w:right="1280" w:hanging="566"/>
        <w:jc w:val="both"/>
        <w:rPr>
          <w:sz w:val="20"/>
        </w:rPr>
      </w:pPr>
      <w:r>
        <w:rPr>
          <w:sz w:val="20"/>
        </w:rPr>
        <w:t>Xu L, Liu J, Lu M, Yang D, Zheng X. Liver injury during highly pathogenic human coronavirus infections. Liver Int. 2020 May;40(5):998-1004. doi: 10.1111/liv.14435. Epub 2020 Mar 30. Review. PubMed PMID: 32170806.</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Yang Feng et al. Pulmonary rehabilitation guidelines in the principle of 4S for patients infected with 2019</w:t>
      </w:r>
      <w:r>
        <w:rPr>
          <w:spacing w:val="-1"/>
          <w:sz w:val="20"/>
        </w:rPr>
        <w:t> </w:t>
      </w:r>
      <w:r>
        <w:rPr>
          <w:sz w:val="20"/>
        </w:rPr>
        <w:t>novel coronavirus</w:t>
      </w:r>
      <w:r>
        <w:rPr>
          <w:spacing w:val="-2"/>
          <w:sz w:val="20"/>
        </w:rPr>
        <w:t> </w:t>
      </w:r>
      <w:r>
        <w:rPr>
          <w:sz w:val="20"/>
        </w:rPr>
        <w:t>(2019-nCoV). Cite as Chin</w:t>
      </w:r>
      <w:r>
        <w:rPr>
          <w:spacing w:val="-1"/>
          <w:sz w:val="20"/>
        </w:rPr>
        <w:t> </w:t>
      </w:r>
      <w:r>
        <w:rPr>
          <w:sz w:val="20"/>
        </w:rPr>
        <w:t>J TubercRespir Dis. 2020:</w:t>
      </w:r>
      <w:r>
        <w:rPr>
          <w:spacing w:val="-1"/>
          <w:sz w:val="20"/>
        </w:rPr>
        <w:t> </w:t>
      </w:r>
      <w:r>
        <w:rPr>
          <w:sz w:val="20"/>
        </w:rPr>
        <w:t>43 (03):</w:t>
      </w:r>
      <w:r>
        <w:rPr>
          <w:spacing w:val="-1"/>
          <w:sz w:val="20"/>
        </w:rPr>
        <w:t> </w:t>
      </w:r>
      <w:r>
        <w:rPr>
          <w:sz w:val="20"/>
        </w:rPr>
        <w:t>180-182. DOI: </w:t>
      </w:r>
      <w:r>
        <w:rPr>
          <w:spacing w:val="-2"/>
          <w:sz w:val="20"/>
        </w:rPr>
        <w:t>10.3760/cma.j.issn.1001-0939.2020.03.007.</w:t>
      </w:r>
    </w:p>
    <w:p>
      <w:pPr>
        <w:pStyle w:val="ListParagraph"/>
        <w:numPr>
          <w:ilvl w:val="0"/>
          <w:numId w:val="67"/>
        </w:numPr>
        <w:tabs>
          <w:tab w:pos="2405" w:val="left" w:leader="none"/>
          <w:tab w:pos="2407" w:val="left" w:leader="none"/>
        </w:tabs>
        <w:spacing w:line="240" w:lineRule="auto" w:before="0" w:after="0"/>
        <w:ind w:left="2407" w:right="1284" w:hanging="566"/>
        <w:jc w:val="both"/>
        <w:rPr>
          <w:sz w:val="20"/>
        </w:rPr>
      </w:pPr>
      <w:r>
        <w:rPr>
          <w:sz w:val="20"/>
        </w:rPr>
        <w:t>Yuan M. et al. Association of radiologic findings with mortality of patients infected with 2019 novel coronavirus in Wuhan, China. PLoS ONE. 2020;15:e0230548. doi:10.1371/journal.pone.0230548.</w:t>
      </w:r>
    </w:p>
    <w:p>
      <w:pPr>
        <w:pStyle w:val="ListParagraph"/>
        <w:numPr>
          <w:ilvl w:val="0"/>
          <w:numId w:val="67"/>
        </w:numPr>
        <w:tabs>
          <w:tab w:pos="2405" w:val="left" w:leader="none"/>
          <w:tab w:pos="2407" w:val="left" w:leader="none"/>
        </w:tabs>
        <w:spacing w:line="240" w:lineRule="auto" w:before="0" w:after="0"/>
        <w:ind w:left="2407" w:right="1288" w:hanging="566"/>
        <w:jc w:val="both"/>
        <w:rPr>
          <w:sz w:val="20"/>
        </w:rPr>
      </w:pPr>
      <w:r>
        <w:rPr>
          <w:sz w:val="20"/>
        </w:rPr>
        <w:t>Zhang J. et al. Therapeutic and triage strategies for 2019 novel coronavirus disease in fever clinics. Lancet Respir Med 2020. doi:10.1016/S2213-2600(20)30071-0.</w:t>
      </w:r>
    </w:p>
    <w:p>
      <w:pPr>
        <w:pStyle w:val="ListParagraph"/>
        <w:numPr>
          <w:ilvl w:val="0"/>
          <w:numId w:val="67"/>
        </w:numPr>
        <w:tabs>
          <w:tab w:pos="2405" w:val="left" w:leader="none"/>
          <w:tab w:pos="2407" w:val="left" w:leader="none"/>
        </w:tabs>
        <w:spacing w:line="240" w:lineRule="auto" w:before="0" w:after="0"/>
        <w:ind w:left="2407" w:right="1286" w:hanging="566"/>
        <w:jc w:val="both"/>
        <w:rPr>
          <w:sz w:val="20"/>
        </w:rPr>
      </w:pPr>
      <w:r>
        <w:rPr>
          <w:sz w:val="20"/>
        </w:rPr>
        <w:t>Zhang L, Liu Y. Potential Interventions for Novel Coronavirus in China: J Med Virol 2020. </w:t>
      </w:r>
      <w:r>
        <w:rPr>
          <w:spacing w:val="-2"/>
          <w:sz w:val="20"/>
        </w:rPr>
        <w:t>doi:10.1002/jmv.25707.</w:t>
      </w:r>
    </w:p>
    <w:p>
      <w:pPr>
        <w:pStyle w:val="ListParagraph"/>
        <w:numPr>
          <w:ilvl w:val="0"/>
          <w:numId w:val="67"/>
        </w:numPr>
        <w:tabs>
          <w:tab w:pos="2405" w:val="left" w:leader="none"/>
          <w:tab w:pos="2407" w:val="left" w:leader="none"/>
        </w:tabs>
        <w:spacing w:line="240" w:lineRule="auto" w:before="0" w:after="0"/>
        <w:ind w:left="2407" w:right="1279" w:hanging="566"/>
        <w:jc w:val="both"/>
        <w:rPr>
          <w:sz w:val="20"/>
        </w:rPr>
      </w:pPr>
      <w:r>
        <w:rPr>
          <w:sz w:val="20"/>
        </w:rPr>
        <w:t>Wu X, et al. 3-month, 6-month, 9-month, and 12-month respiratory outcomes in patients following COVID- 19-related hospitalisation: a prospective study. Lancet Respir Med 2021 volume 9, issue 7, </w:t>
      </w:r>
      <w:r>
        <w:rPr>
          <w:spacing w:val="-2"/>
          <w:sz w:val="20"/>
        </w:rPr>
        <w:t>p747-754</w:t>
      </w:r>
    </w:p>
    <w:p>
      <w:pPr>
        <w:pStyle w:val="ListParagraph"/>
        <w:numPr>
          <w:ilvl w:val="0"/>
          <w:numId w:val="67"/>
        </w:numPr>
        <w:tabs>
          <w:tab w:pos="2405" w:val="left" w:leader="none"/>
        </w:tabs>
        <w:spacing w:line="240" w:lineRule="auto" w:before="0" w:after="0"/>
        <w:ind w:left="2405" w:right="0" w:hanging="564"/>
        <w:jc w:val="both"/>
        <w:rPr>
          <w:sz w:val="20"/>
        </w:rPr>
      </w:pPr>
      <w:r>
        <w:rPr>
          <w:sz w:val="20"/>
        </w:rPr>
        <w:t>Xiaoyu,</w:t>
      </w:r>
      <w:r>
        <w:rPr>
          <w:spacing w:val="-6"/>
          <w:sz w:val="20"/>
        </w:rPr>
        <w:t> </w:t>
      </w:r>
      <w:r>
        <w:rPr>
          <w:sz w:val="20"/>
        </w:rPr>
        <w:t>H,</w:t>
      </w:r>
      <w:r>
        <w:rPr>
          <w:spacing w:val="-6"/>
          <w:sz w:val="20"/>
        </w:rPr>
        <w:t> </w:t>
      </w:r>
      <w:r>
        <w:rPr>
          <w:sz w:val="20"/>
        </w:rPr>
        <w:t>et</w:t>
      </w:r>
      <w:r>
        <w:rPr>
          <w:spacing w:val="-6"/>
          <w:sz w:val="20"/>
        </w:rPr>
        <w:t> </w:t>
      </w:r>
      <w:r>
        <w:rPr>
          <w:sz w:val="20"/>
        </w:rPr>
        <w:t>al.</w:t>
      </w:r>
      <w:r>
        <w:rPr>
          <w:spacing w:val="-6"/>
          <w:sz w:val="20"/>
        </w:rPr>
        <w:t> </w:t>
      </w:r>
      <w:r>
        <w:rPr>
          <w:sz w:val="20"/>
        </w:rPr>
        <w:t>Fibrotic</w:t>
      </w:r>
      <w:r>
        <w:rPr>
          <w:spacing w:val="-7"/>
          <w:sz w:val="20"/>
        </w:rPr>
        <w:t> </w:t>
      </w:r>
      <w:r>
        <w:rPr>
          <w:sz w:val="20"/>
        </w:rPr>
        <w:t>Interstitial</w:t>
      </w:r>
      <w:r>
        <w:rPr>
          <w:spacing w:val="-5"/>
          <w:sz w:val="20"/>
        </w:rPr>
        <w:t> </w:t>
      </w:r>
      <w:r>
        <w:rPr>
          <w:sz w:val="20"/>
        </w:rPr>
        <w:t>Lung</w:t>
      </w:r>
      <w:r>
        <w:rPr>
          <w:spacing w:val="-6"/>
          <w:sz w:val="20"/>
        </w:rPr>
        <w:t> </w:t>
      </w:r>
      <w:r>
        <w:rPr>
          <w:sz w:val="20"/>
        </w:rPr>
        <w:t>Abnormalities</w:t>
      </w:r>
      <w:r>
        <w:rPr>
          <w:spacing w:val="-7"/>
          <w:sz w:val="20"/>
        </w:rPr>
        <w:t> </w:t>
      </w:r>
      <w:r>
        <w:rPr>
          <w:sz w:val="20"/>
        </w:rPr>
        <w:t>at</w:t>
      </w:r>
      <w:r>
        <w:rPr>
          <w:spacing w:val="-6"/>
          <w:sz w:val="20"/>
        </w:rPr>
        <w:t> </w:t>
      </w:r>
      <w:r>
        <w:rPr>
          <w:sz w:val="20"/>
        </w:rPr>
        <w:t>1-year</w:t>
      </w:r>
      <w:r>
        <w:rPr>
          <w:spacing w:val="-6"/>
          <w:sz w:val="20"/>
        </w:rPr>
        <w:t> </w:t>
      </w:r>
      <w:r>
        <w:rPr>
          <w:sz w:val="20"/>
        </w:rPr>
        <w:t>Follow-up</w:t>
      </w:r>
      <w:r>
        <w:rPr>
          <w:spacing w:val="-5"/>
          <w:sz w:val="20"/>
        </w:rPr>
        <w:t> </w:t>
      </w:r>
      <w:r>
        <w:rPr>
          <w:sz w:val="20"/>
        </w:rPr>
        <w:t>CT</w:t>
      </w:r>
      <w:r>
        <w:rPr>
          <w:spacing w:val="-6"/>
          <w:sz w:val="20"/>
        </w:rPr>
        <w:t> </w:t>
      </w:r>
      <w:r>
        <w:rPr>
          <w:sz w:val="20"/>
        </w:rPr>
        <w:t>after</w:t>
      </w:r>
      <w:r>
        <w:rPr>
          <w:spacing w:val="-6"/>
          <w:sz w:val="20"/>
        </w:rPr>
        <w:t> </w:t>
      </w:r>
      <w:r>
        <w:rPr>
          <w:sz w:val="20"/>
        </w:rPr>
        <w:t>Severe</w:t>
      </w:r>
      <w:r>
        <w:rPr>
          <w:spacing w:val="-6"/>
          <w:sz w:val="20"/>
        </w:rPr>
        <w:t> </w:t>
      </w:r>
      <w:r>
        <w:rPr>
          <w:spacing w:val="-2"/>
          <w:sz w:val="20"/>
        </w:rPr>
        <w:t>COVID-</w:t>
      </w:r>
    </w:p>
    <w:p>
      <w:pPr>
        <w:spacing w:line="229" w:lineRule="exact" w:before="0"/>
        <w:ind w:left="2407" w:right="0" w:firstLine="0"/>
        <w:jc w:val="both"/>
        <w:rPr>
          <w:sz w:val="20"/>
        </w:rPr>
      </w:pPr>
      <w:r>
        <w:rPr>
          <w:sz w:val="20"/>
        </w:rPr>
        <w:t>19.</w:t>
      </w:r>
      <w:r>
        <w:rPr>
          <w:spacing w:val="-5"/>
          <w:sz w:val="20"/>
        </w:rPr>
        <w:t> </w:t>
      </w:r>
      <w:r>
        <w:rPr>
          <w:sz w:val="20"/>
        </w:rPr>
        <w:t>Radiology</w:t>
      </w:r>
      <w:r>
        <w:rPr>
          <w:spacing w:val="-4"/>
          <w:sz w:val="20"/>
        </w:rPr>
        <w:t> </w:t>
      </w:r>
      <w:r>
        <w:rPr>
          <w:sz w:val="20"/>
        </w:rPr>
        <w:t>2021.</w:t>
      </w:r>
      <w:r>
        <w:rPr>
          <w:spacing w:val="-6"/>
          <w:sz w:val="20"/>
        </w:rPr>
        <w:t> </w:t>
      </w:r>
      <w:r>
        <w:rPr>
          <w:sz w:val="20"/>
        </w:rPr>
        <w:t>301:3,</w:t>
      </w:r>
      <w:r>
        <w:rPr>
          <w:spacing w:val="-5"/>
          <w:sz w:val="20"/>
        </w:rPr>
        <w:t> </w:t>
      </w:r>
      <w:r>
        <w:rPr>
          <w:sz w:val="20"/>
        </w:rPr>
        <w:t>E438-</w:t>
      </w:r>
      <w:r>
        <w:rPr>
          <w:spacing w:val="-4"/>
          <w:sz w:val="20"/>
        </w:rPr>
        <w:t>E440</w:t>
      </w:r>
    </w:p>
    <w:p>
      <w:pPr>
        <w:pStyle w:val="ListParagraph"/>
        <w:numPr>
          <w:ilvl w:val="0"/>
          <w:numId w:val="67"/>
        </w:numPr>
        <w:tabs>
          <w:tab w:pos="2405" w:val="left" w:leader="none"/>
          <w:tab w:pos="2407" w:val="left" w:leader="none"/>
        </w:tabs>
        <w:spacing w:line="240" w:lineRule="auto" w:before="0" w:after="0"/>
        <w:ind w:left="2407" w:right="1276" w:hanging="566"/>
        <w:jc w:val="both"/>
        <w:rPr>
          <w:sz w:val="20"/>
        </w:rPr>
      </w:pPr>
      <w:r>
        <w:rPr>
          <w:sz w:val="20"/>
        </w:rPr>
        <w:t>Martini,</w:t>
      </w:r>
      <w:r>
        <w:rPr>
          <w:spacing w:val="-5"/>
          <w:sz w:val="20"/>
        </w:rPr>
        <w:t> </w:t>
      </w:r>
      <w:r>
        <w:rPr>
          <w:sz w:val="20"/>
        </w:rPr>
        <w:t>K.,</w:t>
      </w:r>
      <w:r>
        <w:rPr>
          <w:spacing w:val="-5"/>
          <w:sz w:val="20"/>
        </w:rPr>
        <w:t> </w:t>
      </w:r>
      <w:r>
        <w:rPr>
          <w:sz w:val="20"/>
        </w:rPr>
        <w:t>et</w:t>
      </w:r>
      <w:r>
        <w:rPr>
          <w:spacing w:val="-5"/>
          <w:sz w:val="20"/>
        </w:rPr>
        <w:t> </w:t>
      </w:r>
      <w:r>
        <w:rPr>
          <w:sz w:val="20"/>
        </w:rPr>
        <w:t>al.</w:t>
      </w:r>
      <w:r>
        <w:rPr>
          <w:spacing w:val="-5"/>
          <w:sz w:val="20"/>
        </w:rPr>
        <w:t> </w:t>
      </w:r>
      <w:r>
        <w:rPr>
          <w:sz w:val="20"/>
        </w:rPr>
        <w:t>COVID-19</w:t>
      </w:r>
      <w:r>
        <w:rPr>
          <w:spacing w:val="-5"/>
          <w:sz w:val="20"/>
        </w:rPr>
        <w:t> </w:t>
      </w:r>
      <w:r>
        <w:rPr>
          <w:sz w:val="20"/>
        </w:rPr>
        <w:t>pneumonia</w:t>
      </w:r>
      <w:r>
        <w:rPr>
          <w:spacing w:val="-5"/>
          <w:sz w:val="20"/>
        </w:rPr>
        <w:t> </w:t>
      </w:r>
      <w:r>
        <w:rPr>
          <w:sz w:val="20"/>
        </w:rPr>
        <w:t>imaging</w:t>
      </w:r>
      <w:r>
        <w:rPr>
          <w:spacing w:val="-5"/>
          <w:sz w:val="20"/>
        </w:rPr>
        <w:t> </w:t>
      </w:r>
      <w:r>
        <w:rPr>
          <w:sz w:val="20"/>
        </w:rPr>
        <w:t>follow-up:</w:t>
      </w:r>
      <w:r>
        <w:rPr>
          <w:spacing w:val="-6"/>
          <w:sz w:val="20"/>
        </w:rPr>
        <w:t> </w:t>
      </w:r>
      <w:r>
        <w:rPr>
          <w:sz w:val="20"/>
        </w:rPr>
        <w:t>when</w:t>
      </w:r>
      <w:r>
        <w:rPr>
          <w:spacing w:val="-4"/>
          <w:sz w:val="20"/>
        </w:rPr>
        <w:t> </w:t>
      </w:r>
      <w:r>
        <w:rPr>
          <w:sz w:val="20"/>
        </w:rPr>
        <w:t>and</w:t>
      </w:r>
      <w:r>
        <w:rPr>
          <w:spacing w:val="-5"/>
          <w:sz w:val="20"/>
        </w:rPr>
        <w:t> </w:t>
      </w:r>
      <w:r>
        <w:rPr>
          <w:sz w:val="20"/>
        </w:rPr>
        <w:t>how?</w:t>
      </w:r>
      <w:r>
        <w:rPr>
          <w:spacing w:val="-5"/>
          <w:sz w:val="20"/>
        </w:rPr>
        <w:t> </w:t>
      </w:r>
      <w:r>
        <w:rPr>
          <w:sz w:val="20"/>
        </w:rPr>
        <w:t>A</w:t>
      </w:r>
      <w:r>
        <w:rPr>
          <w:spacing w:val="-5"/>
          <w:sz w:val="20"/>
        </w:rPr>
        <w:t> </w:t>
      </w:r>
      <w:r>
        <w:rPr>
          <w:sz w:val="20"/>
        </w:rPr>
        <w:t>proposition</w:t>
      </w:r>
      <w:r>
        <w:rPr>
          <w:spacing w:val="-5"/>
          <w:sz w:val="20"/>
        </w:rPr>
        <w:t> </w:t>
      </w:r>
      <w:r>
        <w:rPr>
          <w:sz w:val="20"/>
        </w:rPr>
        <w:t>from</w:t>
      </w:r>
      <w:r>
        <w:rPr>
          <w:spacing w:val="-5"/>
          <w:sz w:val="20"/>
        </w:rPr>
        <w:t> </w:t>
      </w:r>
      <w:r>
        <w:rPr>
          <w:sz w:val="20"/>
        </w:rPr>
        <w:t>ESTI and ESR. Eur Radiol (2021).</w:t>
      </w:r>
    </w:p>
    <w:p>
      <w:pPr>
        <w:pStyle w:val="ListParagraph"/>
        <w:numPr>
          <w:ilvl w:val="0"/>
          <w:numId w:val="67"/>
        </w:numPr>
        <w:tabs>
          <w:tab w:pos="2405" w:val="left" w:leader="none"/>
          <w:tab w:pos="2407" w:val="left" w:leader="none"/>
        </w:tabs>
        <w:spacing w:line="240" w:lineRule="auto" w:before="0" w:after="0"/>
        <w:ind w:left="2407" w:right="1274" w:hanging="566"/>
        <w:jc w:val="both"/>
        <w:rPr>
          <w:sz w:val="20"/>
        </w:rPr>
      </w:pPr>
      <w:r>
        <w:rPr>
          <w:sz w:val="20"/>
        </w:rPr>
        <w:t>RECOVERY Collaborative Group. Aspirin in patients admitted to hospital with COVID-19 (RECOVERY): a randomized, controlled, open-label, platform trial. Lancet 2022; 399: 143-151. doi: </w:t>
      </w:r>
      <w:r>
        <w:rPr>
          <w:spacing w:val="-2"/>
          <w:sz w:val="20"/>
        </w:rPr>
        <w:t>10.1016/S0140-6736(21)01825-0</w:t>
      </w:r>
    </w:p>
    <w:p>
      <w:pPr>
        <w:pStyle w:val="ListParagraph"/>
        <w:numPr>
          <w:ilvl w:val="0"/>
          <w:numId w:val="67"/>
        </w:numPr>
        <w:tabs>
          <w:tab w:pos="2405" w:val="left" w:leader="none"/>
          <w:tab w:pos="2407" w:val="left" w:leader="none"/>
        </w:tabs>
        <w:spacing w:line="240" w:lineRule="auto" w:before="0" w:after="0"/>
        <w:ind w:left="2407" w:right="1276" w:hanging="566"/>
        <w:jc w:val="both"/>
        <w:rPr>
          <w:sz w:val="20"/>
        </w:rPr>
      </w:pPr>
      <w:r>
        <w:rPr>
          <w:sz w:val="20"/>
        </w:rPr>
        <w:t>Berger J.S., Kornblith L.Z., Gong M.N., et al., for the ACTIV-4a Investigators. Effect of P2Y12 Inhibitors on Survival Free of Organ Support Among Non–Critically Ill Hospitalized Patients With COVID-19.</w:t>
      </w:r>
      <w:r>
        <w:rPr>
          <w:spacing w:val="-3"/>
          <w:sz w:val="20"/>
        </w:rPr>
        <w:t> </w:t>
      </w:r>
      <w:r>
        <w:rPr>
          <w:sz w:val="20"/>
        </w:rPr>
        <w:t>A</w:t>
      </w:r>
      <w:r>
        <w:rPr>
          <w:spacing w:val="-3"/>
          <w:sz w:val="20"/>
        </w:rPr>
        <w:t> </w:t>
      </w:r>
      <w:r>
        <w:rPr>
          <w:sz w:val="20"/>
        </w:rPr>
        <w:t>Randomized</w:t>
      </w:r>
      <w:r>
        <w:rPr>
          <w:spacing w:val="-2"/>
          <w:sz w:val="20"/>
        </w:rPr>
        <w:t> </w:t>
      </w:r>
      <w:r>
        <w:rPr>
          <w:sz w:val="20"/>
        </w:rPr>
        <w:t>Clinical</w:t>
      </w:r>
      <w:r>
        <w:rPr>
          <w:spacing w:val="-3"/>
          <w:sz w:val="20"/>
        </w:rPr>
        <w:t> </w:t>
      </w:r>
      <w:r>
        <w:rPr>
          <w:sz w:val="20"/>
        </w:rPr>
        <w:t>Trial.</w:t>
      </w:r>
      <w:r>
        <w:rPr>
          <w:spacing w:val="-3"/>
          <w:sz w:val="20"/>
        </w:rPr>
        <w:t> </w:t>
      </w:r>
      <w:r>
        <w:rPr>
          <w:sz w:val="20"/>
        </w:rPr>
        <w:t>JAMA</w:t>
      </w:r>
      <w:r>
        <w:rPr>
          <w:spacing w:val="-3"/>
          <w:sz w:val="20"/>
        </w:rPr>
        <w:t> </w:t>
      </w:r>
      <w:r>
        <w:rPr>
          <w:sz w:val="20"/>
        </w:rPr>
        <w:t>2022;</w:t>
      </w:r>
      <w:r>
        <w:rPr>
          <w:spacing w:val="-4"/>
          <w:sz w:val="20"/>
        </w:rPr>
        <w:t> </w:t>
      </w:r>
      <w:r>
        <w:rPr>
          <w:sz w:val="20"/>
        </w:rPr>
        <w:t>327:</w:t>
      </w:r>
      <w:r>
        <w:rPr>
          <w:spacing w:val="-6"/>
          <w:sz w:val="20"/>
        </w:rPr>
        <w:t> </w:t>
      </w:r>
      <w:r>
        <w:rPr>
          <w:sz w:val="20"/>
        </w:rPr>
        <w:t>227-236.</w:t>
      </w:r>
      <w:r>
        <w:rPr>
          <w:spacing w:val="-2"/>
          <w:sz w:val="20"/>
        </w:rPr>
        <w:t> </w:t>
      </w:r>
      <w:r>
        <w:rPr>
          <w:sz w:val="20"/>
        </w:rPr>
        <w:t>doi:</w:t>
      </w:r>
      <w:r>
        <w:rPr>
          <w:spacing w:val="-6"/>
          <w:sz w:val="20"/>
        </w:rPr>
        <w:t> </w:t>
      </w:r>
      <w:r>
        <w:rPr>
          <w:sz w:val="20"/>
        </w:rPr>
        <w:t>10.1001/jama.2021.23605.</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Reis</w:t>
      </w:r>
      <w:r>
        <w:rPr>
          <w:spacing w:val="-3"/>
          <w:sz w:val="20"/>
        </w:rPr>
        <w:t> </w:t>
      </w:r>
      <w:r>
        <w:rPr>
          <w:sz w:val="20"/>
        </w:rPr>
        <w:t>G,</w:t>
      </w:r>
      <w:r>
        <w:rPr>
          <w:spacing w:val="-3"/>
          <w:sz w:val="20"/>
        </w:rPr>
        <w:t> </w:t>
      </w:r>
      <w:r>
        <w:rPr>
          <w:sz w:val="20"/>
        </w:rPr>
        <w:t>Dos</w:t>
      </w:r>
      <w:r>
        <w:rPr>
          <w:spacing w:val="-3"/>
          <w:sz w:val="20"/>
        </w:rPr>
        <w:t> </w:t>
      </w:r>
      <w:r>
        <w:rPr>
          <w:sz w:val="20"/>
        </w:rPr>
        <w:t>Santos</w:t>
      </w:r>
      <w:r>
        <w:rPr>
          <w:spacing w:val="-3"/>
          <w:sz w:val="20"/>
        </w:rPr>
        <w:t> </w:t>
      </w:r>
      <w:r>
        <w:rPr>
          <w:sz w:val="20"/>
        </w:rPr>
        <w:t>Moreira-Silva</w:t>
      </w:r>
      <w:r>
        <w:rPr>
          <w:spacing w:val="-3"/>
          <w:sz w:val="20"/>
        </w:rPr>
        <w:t> </w:t>
      </w:r>
      <w:r>
        <w:rPr>
          <w:sz w:val="20"/>
        </w:rPr>
        <w:t>EA,</w:t>
      </w:r>
      <w:r>
        <w:rPr>
          <w:spacing w:val="-3"/>
          <w:sz w:val="20"/>
        </w:rPr>
        <w:t> </w:t>
      </w:r>
      <w:r>
        <w:rPr>
          <w:sz w:val="20"/>
        </w:rPr>
        <w:t>Silva</w:t>
      </w:r>
      <w:r>
        <w:rPr>
          <w:spacing w:val="-3"/>
          <w:sz w:val="20"/>
        </w:rPr>
        <w:t> </w:t>
      </w:r>
      <w:r>
        <w:rPr>
          <w:sz w:val="20"/>
        </w:rPr>
        <w:t>DCM</w:t>
      </w:r>
      <w:r>
        <w:rPr>
          <w:spacing w:val="-3"/>
          <w:sz w:val="20"/>
        </w:rPr>
        <w:t> </w:t>
      </w:r>
      <w:r>
        <w:rPr>
          <w:sz w:val="20"/>
        </w:rPr>
        <w:t>et</w:t>
      </w:r>
      <w:r>
        <w:rPr>
          <w:spacing w:val="-3"/>
          <w:sz w:val="20"/>
        </w:rPr>
        <w:t> </w:t>
      </w:r>
      <w:r>
        <w:rPr>
          <w:sz w:val="20"/>
        </w:rPr>
        <w:t>al.</w:t>
      </w:r>
      <w:r>
        <w:rPr>
          <w:spacing w:val="-3"/>
          <w:sz w:val="20"/>
        </w:rPr>
        <w:t> </w:t>
      </w:r>
      <w:r>
        <w:rPr>
          <w:sz w:val="20"/>
        </w:rPr>
        <w:t>Effect</w:t>
      </w:r>
      <w:r>
        <w:rPr>
          <w:spacing w:val="-3"/>
          <w:sz w:val="20"/>
        </w:rPr>
        <w:t> </w:t>
      </w:r>
      <w:r>
        <w:rPr>
          <w:sz w:val="20"/>
        </w:rPr>
        <w:t>of</w:t>
      </w:r>
      <w:r>
        <w:rPr>
          <w:spacing w:val="-3"/>
          <w:sz w:val="20"/>
        </w:rPr>
        <w:t> </w:t>
      </w:r>
      <w:r>
        <w:rPr>
          <w:sz w:val="20"/>
        </w:rPr>
        <w:t>early</w:t>
      </w:r>
      <w:r>
        <w:rPr>
          <w:spacing w:val="-4"/>
          <w:sz w:val="20"/>
        </w:rPr>
        <w:t> </w:t>
      </w:r>
      <w:r>
        <w:rPr>
          <w:sz w:val="20"/>
        </w:rPr>
        <w:t>treatment</w:t>
      </w:r>
      <w:r>
        <w:rPr>
          <w:spacing w:val="-3"/>
          <w:sz w:val="20"/>
        </w:rPr>
        <w:t> </w:t>
      </w:r>
      <w:r>
        <w:rPr>
          <w:sz w:val="20"/>
        </w:rPr>
        <w:t>with</w:t>
      </w:r>
      <w:r>
        <w:rPr>
          <w:spacing w:val="-4"/>
          <w:sz w:val="20"/>
        </w:rPr>
        <w:t> </w:t>
      </w:r>
      <w:r>
        <w:rPr>
          <w:sz w:val="20"/>
        </w:rPr>
        <w:t>fluvoxamine</w:t>
      </w:r>
      <w:r>
        <w:rPr>
          <w:spacing w:val="-4"/>
          <w:sz w:val="20"/>
        </w:rPr>
        <w:t> </w:t>
      </w:r>
      <w:r>
        <w:rPr>
          <w:sz w:val="20"/>
        </w:rPr>
        <w:t>on risk of emergency care and hospitalisation among patients with COVID-19: the TOGETHER randomised, platform clinical trial. Lancet Glob Health. 2021 Oct 27:S2214-109X(21)00448-4. doi: 10.1016/S2214-109X(21)00448-4. Epub ahead of print. PMID: 34717820; PMCID: PMC8550952.</w:t>
      </w:r>
    </w:p>
    <w:p>
      <w:pPr>
        <w:pStyle w:val="ListParagraph"/>
        <w:numPr>
          <w:ilvl w:val="0"/>
          <w:numId w:val="67"/>
        </w:numPr>
        <w:tabs>
          <w:tab w:pos="2405" w:val="left" w:leader="none"/>
          <w:tab w:pos="2407" w:val="left" w:leader="none"/>
        </w:tabs>
        <w:spacing w:line="240" w:lineRule="auto" w:before="0" w:after="0"/>
        <w:ind w:left="2407" w:right="1277" w:hanging="566"/>
        <w:jc w:val="both"/>
        <w:rPr>
          <w:sz w:val="20"/>
        </w:rPr>
      </w:pPr>
      <w:r>
        <w:rPr>
          <w:sz w:val="20"/>
        </w:rPr>
        <w:t>Wu PE, Austin E, Leong D. Fluvoxamine for symptomatic outpatients with COVID-19. CMAJ. 2022 Jan 19:cmaj.220011. doi: 10.1503/cmaj.220011. Epub ahead of print. PMID: 35045990.</w:t>
      </w:r>
    </w:p>
    <w:p>
      <w:pPr>
        <w:pStyle w:val="ListParagraph"/>
        <w:numPr>
          <w:ilvl w:val="0"/>
          <w:numId w:val="67"/>
        </w:numPr>
        <w:tabs>
          <w:tab w:pos="2405" w:val="left" w:leader="none"/>
          <w:tab w:pos="2407" w:val="left" w:leader="none"/>
        </w:tabs>
        <w:spacing w:line="240" w:lineRule="auto" w:before="0" w:after="0"/>
        <w:ind w:left="2407" w:right="1275" w:hanging="566"/>
        <w:jc w:val="both"/>
        <w:rPr>
          <w:sz w:val="20"/>
        </w:rPr>
      </w:pPr>
      <w:r>
        <w:rPr>
          <w:sz w:val="20"/>
        </w:rPr>
        <w:t>REMAP-CAP Writing Committee for the REMAP-CAP Investigators. Effect of Antiplatelet Therapy on Survival and Organ Support-Free Days in Critically Ill Patients With COVID-19: A Randomized Clinical Trial. JAMA 2022; 327:1247-1259. doi: 10.1001/jama.2022.2910.</w:t>
      </w:r>
    </w:p>
    <w:p>
      <w:pPr>
        <w:pStyle w:val="ListParagraph"/>
        <w:spacing w:after="0" w:line="240" w:lineRule="auto"/>
        <w:jc w:val="both"/>
        <w:rPr>
          <w:sz w:val="20"/>
        </w:rPr>
        <w:sectPr>
          <w:pgSz w:w="11900" w:h="16840"/>
          <w:pgMar w:header="0" w:footer="697" w:top="1080" w:bottom="880" w:left="0" w:right="0"/>
        </w:sectPr>
      </w:pPr>
    </w:p>
    <w:p>
      <w:pPr>
        <w:pStyle w:val="ListParagraph"/>
        <w:numPr>
          <w:ilvl w:val="0"/>
          <w:numId w:val="67"/>
        </w:numPr>
        <w:tabs>
          <w:tab w:pos="2405" w:val="left" w:leader="none"/>
          <w:tab w:pos="2407" w:val="left" w:leader="none"/>
        </w:tabs>
        <w:spacing w:line="240" w:lineRule="auto" w:before="74" w:after="0"/>
        <w:ind w:left="2407" w:right="1272" w:hanging="566"/>
        <w:jc w:val="both"/>
        <w:rPr>
          <w:sz w:val="20"/>
        </w:rPr>
      </w:pPr>
      <w:bookmarkStart w:name="155" w:id="183"/>
      <w:bookmarkEnd w:id="183"/>
      <w:r>
        <w:rPr/>
      </w:r>
      <w:r>
        <w:rPr>
          <w:sz w:val="20"/>
        </w:rPr>
        <w:t>Jeffrey S.B., Lucy Z.K., Michelle N.G., et al., ACTIV-4a Investigators. Effect of P2Y12 Inhibitors on Survival Free of Organ Support Among Non-Critically Ill Hospitalized Patients With COVID-19: A Randomized Clinical Trial. JAMA 2022; 327: 227-236. doi: 10.1001/jama.2021.23605.</w:t>
      </w:r>
    </w:p>
    <w:p>
      <w:pPr>
        <w:pStyle w:val="ListParagraph"/>
        <w:numPr>
          <w:ilvl w:val="0"/>
          <w:numId w:val="67"/>
        </w:numPr>
        <w:tabs>
          <w:tab w:pos="2405" w:val="left" w:leader="none"/>
          <w:tab w:pos="2407" w:val="left" w:leader="none"/>
        </w:tabs>
        <w:spacing w:line="240" w:lineRule="auto" w:before="0" w:after="0"/>
        <w:ind w:left="2407" w:right="1274" w:hanging="566"/>
        <w:jc w:val="both"/>
        <w:rPr>
          <w:sz w:val="20"/>
        </w:rPr>
      </w:pPr>
      <w:r>
        <w:rPr>
          <w:sz w:val="20"/>
        </w:rPr>
        <w:t>Yaroshetskiy</w:t>
      </w:r>
      <w:r>
        <w:rPr>
          <w:spacing w:val="-9"/>
          <w:sz w:val="20"/>
        </w:rPr>
        <w:t> </w:t>
      </w:r>
      <w:r>
        <w:rPr>
          <w:sz w:val="20"/>
        </w:rPr>
        <w:t>AI,</w:t>
      </w:r>
      <w:r>
        <w:rPr>
          <w:spacing w:val="-10"/>
          <w:sz w:val="20"/>
        </w:rPr>
        <w:t> </w:t>
      </w:r>
      <w:r>
        <w:rPr>
          <w:sz w:val="20"/>
        </w:rPr>
        <w:t>Nuralieva</w:t>
      </w:r>
      <w:r>
        <w:rPr>
          <w:spacing w:val="-10"/>
          <w:sz w:val="20"/>
        </w:rPr>
        <w:t> </w:t>
      </w:r>
      <w:r>
        <w:rPr>
          <w:sz w:val="20"/>
        </w:rPr>
        <w:t>GS,</w:t>
      </w:r>
      <w:r>
        <w:rPr>
          <w:spacing w:val="-10"/>
          <w:sz w:val="20"/>
        </w:rPr>
        <w:t> </w:t>
      </w:r>
      <w:r>
        <w:rPr>
          <w:sz w:val="20"/>
        </w:rPr>
        <w:t>Krasnoshchekova</w:t>
      </w:r>
      <w:r>
        <w:rPr>
          <w:spacing w:val="-10"/>
          <w:sz w:val="20"/>
        </w:rPr>
        <w:t> </w:t>
      </w:r>
      <w:r>
        <w:rPr>
          <w:sz w:val="20"/>
        </w:rPr>
        <w:t>AP,</w:t>
      </w:r>
      <w:r>
        <w:rPr>
          <w:spacing w:val="-10"/>
          <w:sz w:val="20"/>
        </w:rPr>
        <w:t> </w:t>
      </w:r>
      <w:r>
        <w:rPr>
          <w:sz w:val="20"/>
        </w:rPr>
        <w:t>Avdeev</w:t>
      </w:r>
      <w:r>
        <w:rPr>
          <w:spacing w:val="-9"/>
          <w:sz w:val="20"/>
        </w:rPr>
        <w:t> </w:t>
      </w:r>
      <w:r>
        <w:rPr>
          <w:sz w:val="20"/>
        </w:rPr>
        <w:t>SN.</w:t>
      </w:r>
      <w:r>
        <w:rPr>
          <w:spacing w:val="-10"/>
          <w:sz w:val="20"/>
        </w:rPr>
        <w:t> </w:t>
      </w:r>
      <w:r>
        <w:rPr>
          <w:sz w:val="20"/>
        </w:rPr>
        <w:t>Higher</w:t>
      </w:r>
      <w:r>
        <w:rPr>
          <w:spacing w:val="-11"/>
          <w:sz w:val="20"/>
        </w:rPr>
        <w:t> </w:t>
      </w:r>
      <w:r>
        <w:rPr>
          <w:sz w:val="20"/>
        </w:rPr>
        <w:t>PEEP</w:t>
      </w:r>
      <w:r>
        <w:rPr>
          <w:spacing w:val="-10"/>
          <w:sz w:val="20"/>
        </w:rPr>
        <w:t> </w:t>
      </w:r>
      <w:r>
        <w:rPr>
          <w:sz w:val="20"/>
        </w:rPr>
        <w:t>in</w:t>
      </w:r>
      <w:r>
        <w:rPr>
          <w:spacing w:val="-9"/>
          <w:sz w:val="20"/>
        </w:rPr>
        <w:t> </w:t>
      </w:r>
      <w:r>
        <w:rPr>
          <w:sz w:val="20"/>
        </w:rPr>
        <w:t>intubated</w:t>
      </w:r>
      <w:r>
        <w:rPr>
          <w:spacing w:val="-9"/>
          <w:sz w:val="20"/>
        </w:rPr>
        <w:t> </w:t>
      </w:r>
      <w:r>
        <w:rPr>
          <w:sz w:val="20"/>
        </w:rPr>
        <w:t>COVID- 19-associated ARDS patients? We are not sure. Crit Care 2022; 26: 325. doi</w:t>
      </w:r>
      <w:r>
        <w:rPr>
          <w:spacing w:val="40"/>
          <w:sz w:val="20"/>
        </w:rPr>
        <w:t> </w:t>
      </w:r>
      <w:r>
        <w:rPr>
          <w:sz w:val="20"/>
        </w:rPr>
        <w:t>: 10.1186/s13054-022- </w:t>
      </w:r>
      <w:r>
        <w:rPr>
          <w:spacing w:val="-2"/>
          <w:sz w:val="20"/>
        </w:rPr>
        <w:t>04207-6</w:t>
      </w:r>
    </w:p>
    <w:p>
      <w:pPr>
        <w:pStyle w:val="ListParagraph"/>
        <w:numPr>
          <w:ilvl w:val="0"/>
          <w:numId w:val="67"/>
        </w:numPr>
        <w:tabs>
          <w:tab w:pos="2405" w:val="left" w:leader="none"/>
          <w:tab w:pos="2407" w:val="left" w:leader="none"/>
        </w:tabs>
        <w:spacing w:line="240" w:lineRule="auto" w:before="0" w:after="0"/>
        <w:ind w:left="2407" w:right="1273" w:hanging="566"/>
        <w:jc w:val="both"/>
        <w:rPr>
          <w:sz w:val="20"/>
        </w:rPr>
      </w:pPr>
      <w:r>
        <w:rPr>
          <w:sz w:val="20"/>
        </w:rPr>
        <w:t>Yaroshetskiy AI, Merzhoeva ZM, Tsareva NA, et al. Breathing pattern, accessory respiratory muscles work, and gas exchange evaluation for prediction of NIV failure in moderate-to-severe COVID-19- associated</w:t>
      </w:r>
      <w:r>
        <w:rPr>
          <w:spacing w:val="-2"/>
          <w:sz w:val="20"/>
        </w:rPr>
        <w:t> </w:t>
      </w:r>
      <w:r>
        <w:rPr>
          <w:sz w:val="20"/>
        </w:rPr>
        <w:t>ARDS</w:t>
      </w:r>
      <w:r>
        <w:rPr>
          <w:spacing w:val="-3"/>
          <w:sz w:val="20"/>
        </w:rPr>
        <w:t> </w:t>
      </w:r>
      <w:r>
        <w:rPr>
          <w:sz w:val="20"/>
        </w:rPr>
        <w:t>after</w:t>
      </w:r>
      <w:r>
        <w:rPr>
          <w:spacing w:val="-2"/>
          <w:sz w:val="20"/>
        </w:rPr>
        <w:t> </w:t>
      </w:r>
      <w:r>
        <w:rPr>
          <w:sz w:val="20"/>
        </w:rPr>
        <w:t>deterioration</w:t>
      </w:r>
      <w:r>
        <w:rPr>
          <w:spacing w:val="-2"/>
          <w:sz w:val="20"/>
        </w:rPr>
        <w:t> </w:t>
      </w:r>
      <w:r>
        <w:rPr>
          <w:sz w:val="20"/>
        </w:rPr>
        <w:t>of</w:t>
      </w:r>
      <w:r>
        <w:rPr>
          <w:spacing w:val="-2"/>
          <w:sz w:val="20"/>
        </w:rPr>
        <w:t> </w:t>
      </w:r>
      <w:r>
        <w:rPr>
          <w:sz w:val="20"/>
        </w:rPr>
        <w:t>respiratory</w:t>
      </w:r>
      <w:r>
        <w:rPr>
          <w:spacing w:val="-4"/>
          <w:sz w:val="20"/>
        </w:rPr>
        <w:t> </w:t>
      </w:r>
      <w:r>
        <w:rPr>
          <w:sz w:val="20"/>
        </w:rPr>
        <w:t>failure</w:t>
      </w:r>
      <w:r>
        <w:rPr>
          <w:spacing w:val="-5"/>
          <w:sz w:val="20"/>
        </w:rPr>
        <w:t> </w:t>
      </w:r>
      <w:r>
        <w:rPr>
          <w:sz w:val="20"/>
        </w:rPr>
        <w:t>outside</w:t>
      </w:r>
      <w:r>
        <w:rPr>
          <w:spacing w:val="-3"/>
          <w:sz w:val="20"/>
        </w:rPr>
        <w:t> </w:t>
      </w:r>
      <w:r>
        <w:rPr>
          <w:sz w:val="20"/>
        </w:rPr>
        <w:t>ICU:</w:t>
      </w:r>
      <w:r>
        <w:rPr>
          <w:spacing w:val="-3"/>
          <w:sz w:val="20"/>
        </w:rPr>
        <w:t> </w:t>
      </w:r>
      <w:r>
        <w:rPr>
          <w:sz w:val="20"/>
        </w:rPr>
        <w:t>the</w:t>
      </w:r>
      <w:r>
        <w:rPr>
          <w:spacing w:val="-3"/>
          <w:sz w:val="20"/>
        </w:rPr>
        <w:t> </w:t>
      </w:r>
      <w:r>
        <w:rPr>
          <w:sz w:val="20"/>
        </w:rPr>
        <w:t>COVID-NIV</w:t>
      </w:r>
      <w:r>
        <w:rPr>
          <w:spacing w:val="-3"/>
          <w:sz w:val="20"/>
        </w:rPr>
        <w:t> </w:t>
      </w:r>
      <w:r>
        <w:rPr>
          <w:sz w:val="20"/>
        </w:rPr>
        <w:t>observational study. BMC Anesthesiol. 2022; 22: 307. doi: 10.1186/s12871-022-01847-7</w:t>
      </w:r>
    </w:p>
    <w:p>
      <w:pPr>
        <w:pStyle w:val="ListParagraph"/>
        <w:numPr>
          <w:ilvl w:val="0"/>
          <w:numId w:val="67"/>
        </w:numPr>
        <w:tabs>
          <w:tab w:pos="2407" w:val="left" w:leader="none"/>
          <w:tab w:pos="2456" w:val="left" w:leader="none"/>
        </w:tabs>
        <w:spacing w:line="240" w:lineRule="auto" w:before="0" w:after="0"/>
        <w:ind w:left="2407" w:right="1274" w:hanging="566"/>
        <w:jc w:val="both"/>
        <w:rPr>
          <w:sz w:val="20"/>
        </w:rPr>
      </w:pPr>
      <w:r>
        <w:rPr>
          <w:sz w:val="20"/>
        </w:rPr>
        <w:t>Yaroshetskiy</w:t>
      </w:r>
      <w:r>
        <w:rPr>
          <w:spacing w:val="40"/>
          <w:sz w:val="20"/>
        </w:rPr>
        <w:t> </w:t>
      </w:r>
      <w:r>
        <w:rPr>
          <w:sz w:val="20"/>
        </w:rPr>
        <w:t>AI,</w:t>
      </w:r>
      <w:r>
        <w:rPr>
          <w:spacing w:val="-3"/>
          <w:sz w:val="20"/>
        </w:rPr>
        <w:t> </w:t>
      </w:r>
      <w:r>
        <w:rPr>
          <w:sz w:val="20"/>
        </w:rPr>
        <w:t>Avdeev</w:t>
      </w:r>
      <w:r>
        <w:rPr>
          <w:spacing w:val="-5"/>
          <w:sz w:val="20"/>
        </w:rPr>
        <w:t> </w:t>
      </w:r>
      <w:r>
        <w:rPr>
          <w:sz w:val="20"/>
        </w:rPr>
        <w:t>SN,</w:t>
      </w:r>
      <w:r>
        <w:rPr>
          <w:spacing w:val="-3"/>
          <w:sz w:val="20"/>
        </w:rPr>
        <w:t> </w:t>
      </w:r>
      <w:r>
        <w:rPr>
          <w:sz w:val="20"/>
        </w:rPr>
        <w:t>Politov</w:t>
      </w:r>
      <w:r>
        <w:rPr>
          <w:spacing w:val="-2"/>
          <w:sz w:val="20"/>
        </w:rPr>
        <w:t> </w:t>
      </w:r>
      <w:r>
        <w:rPr>
          <w:sz w:val="20"/>
        </w:rPr>
        <w:t>ME,</w:t>
      </w:r>
      <w:r>
        <w:rPr>
          <w:spacing w:val="-5"/>
          <w:sz w:val="20"/>
        </w:rPr>
        <w:t> </w:t>
      </w:r>
      <w:r>
        <w:rPr>
          <w:sz w:val="20"/>
        </w:rPr>
        <w:t>et</w:t>
      </w:r>
      <w:r>
        <w:rPr>
          <w:spacing w:val="-3"/>
          <w:sz w:val="20"/>
        </w:rPr>
        <w:t> </w:t>
      </w:r>
      <w:r>
        <w:rPr>
          <w:sz w:val="20"/>
        </w:rPr>
        <w:t>al.</w:t>
      </w:r>
      <w:r>
        <w:rPr>
          <w:spacing w:val="-3"/>
          <w:sz w:val="20"/>
        </w:rPr>
        <w:t> </w:t>
      </w:r>
      <w:r>
        <w:rPr>
          <w:sz w:val="20"/>
        </w:rPr>
        <w:t>Potential</w:t>
      </w:r>
      <w:r>
        <w:rPr>
          <w:spacing w:val="-6"/>
          <w:sz w:val="20"/>
        </w:rPr>
        <w:t> </w:t>
      </w:r>
      <w:r>
        <w:rPr>
          <w:sz w:val="20"/>
        </w:rPr>
        <w:t>for</w:t>
      </w:r>
      <w:r>
        <w:rPr>
          <w:spacing w:val="-3"/>
          <w:sz w:val="20"/>
        </w:rPr>
        <w:t> </w:t>
      </w:r>
      <w:r>
        <w:rPr>
          <w:sz w:val="20"/>
        </w:rPr>
        <w:t>the</w:t>
      </w:r>
      <w:r>
        <w:rPr>
          <w:spacing w:val="-3"/>
          <w:sz w:val="20"/>
        </w:rPr>
        <w:t> </w:t>
      </w:r>
      <w:r>
        <w:rPr>
          <w:sz w:val="20"/>
        </w:rPr>
        <w:t>lung</w:t>
      </w:r>
      <w:r>
        <w:rPr>
          <w:spacing w:val="-5"/>
          <w:sz w:val="20"/>
        </w:rPr>
        <w:t> </w:t>
      </w:r>
      <w:r>
        <w:rPr>
          <w:sz w:val="20"/>
        </w:rPr>
        <w:t>recruitment</w:t>
      </w:r>
      <w:r>
        <w:rPr>
          <w:spacing w:val="-4"/>
          <w:sz w:val="20"/>
        </w:rPr>
        <w:t> </w:t>
      </w:r>
      <w:r>
        <w:rPr>
          <w:sz w:val="20"/>
        </w:rPr>
        <w:t>and</w:t>
      </w:r>
      <w:r>
        <w:rPr>
          <w:spacing w:val="-5"/>
          <w:sz w:val="20"/>
        </w:rPr>
        <w:t> </w:t>
      </w:r>
      <w:r>
        <w:rPr>
          <w:sz w:val="20"/>
        </w:rPr>
        <w:t>the</w:t>
      </w:r>
      <w:r>
        <w:rPr>
          <w:spacing w:val="-5"/>
          <w:sz w:val="20"/>
        </w:rPr>
        <w:t> </w:t>
      </w:r>
      <w:r>
        <w:rPr>
          <w:sz w:val="20"/>
        </w:rPr>
        <w:t>risk</w:t>
      </w:r>
      <w:r>
        <w:rPr>
          <w:spacing w:val="-2"/>
          <w:sz w:val="20"/>
        </w:rPr>
        <w:t> </w:t>
      </w:r>
      <w:r>
        <w:rPr>
          <w:sz w:val="20"/>
        </w:rPr>
        <w:t>of</w:t>
      </w:r>
      <w:r>
        <w:rPr>
          <w:spacing w:val="-3"/>
          <w:sz w:val="20"/>
        </w:rPr>
        <w:t> </w:t>
      </w:r>
      <w:r>
        <w:rPr>
          <w:sz w:val="20"/>
        </w:rPr>
        <w:t>lung overdistension during 21 days</w:t>
      </w:r>
      <w:r>
        <w:rPr>
          <w:spacing w:val="-2"/>
          <w:sz w:val="20"/>
        </w:rPr>
        <w:t> </w:t>
      </w:r>
      <w:r>
        <w:rPr>
          <w:sz w:val="20"/>
        </w:rPr>
        <w:t>of mechanical ventilation in patients with COVID-19 after noninvasive ventilation</w:t>
      </w:r>
      <w:r>
        <w:rPr>
          <w:spacing w:val="-9"/>
          <w:sz w:val="20"/>
        </w:rPr>
        <w:t> </w:t>
      </w:r>
      <w:r>
        <w:rPr>
          <w:sz w:val="20"/>
        </w:rPr>
        <w:t>failure:</w:t>
      </w:r>
      <w:r>
        <w:rPr>
          <w:spacing w:val="-10"/>
          <w:sz w:val="20"/>
        </w:rPr>
        <w:t> </w:t>
      </w:r>
      <w:r>
        <w:rPr>
          <w:sz w:val="20"/>
        </w:rPr>
        <w:t>the</w:t>
      </w:r>
      <w:r>
        <w:rPr>
          <w:spacing w:val="-12"/>
          <w:sz w:val="20"/>
        </w:rPr>
        <w:t> </w:t>
      </w:r>
      <w:r>
        <w:rPr>
          <w:sz w:val="20"/>
        </w:rPr>
        <w:t>COVID-VENT</w:t>
      </w:r>
      <w:r>
        <w:rPr>
          <w:spacing w:val="-9"/>
          <w:sz w:val="20"/>
        </w:rPr>
        <w:t> </w:t>
      </w:r>
      <w:r>
        <w:rPr>
          <w:sz w:val="20"/>
        </w:rPr>
        <w:t>observational</w:t>
      </w:r>
      <w:r>
        <w:rPr>
          <w:spacing w:val="-10"/>
          <w:sz w:val="20"/>
        </w:rPr>
        <w:t> </w:t>
      </w:r>
      <w:r>
        <w:rPr>
          <w:sz w:val="20"/>
        </w:rPr>
        <w:t>trial.</w:t>
      </w:r>
      <w:r>
        <w:rPr>
          <w:spacing w:val="-12"/>
          <w:sz w:val="20"/>
        </w:rPr>
        <w:t> </w:t>
      </w:r>
      <w:r>
        <w:rPr>
          <w:sz w:val="20"/>
        </w:rPr>
        <w:t>BMC</w:t>
      </w:r>
      <w:r>
        <w:rPr>
          <w:spacing w:val="-10"/>
          <w:sz w:val="20"/>
        </w:rPr>
        <w:t> </w:t>
      </w:r>
      <w:r>
        <w:rPr>
          <w:sz w:val="20"/>
        </w:rPr>
        <w:t>Anesthesiol.</w:t>
      </w:r>
      <w:r>
        <w:rPr>
          <w:spacing w:val="-10"/>
          <w:sz w:val="20"/>
        </w:rPr>
        <w:t> </w:t>
      </w:r>
      <w:r>
        <w:rPr>
          <w:sz w:val="20"/>
        </w:rPr>
        <w:t>2022</w:t>
      </w:r>
      <w:r>
        <w:rPr>
          <w:spacing w:val="-9"/>
          <w:sz w:val="20"/>
        </w:rPr>
        <w:t> </w:t>
      </w:r>
      <w:r>
        <w:rPr>
          <w:sz w:val="20"/>
        </w:rPr>
        <w:t>Mar</w:t>
      </w:r>
      <w:r>
        <w:rPr>
          <w:spacing w:val="-12"/>
          <w:sz w:val="20"/>
        </w:rPr>
        <w:t> </w:t>
      </w:r>
      <w:r>
        <w:rPr>
          <w:sz w:val="20"/>
        </w:rPr>
        <w:t>4;22(1):59.</w:t>
      </w:r>
      <w:r>
        <w:rPr>
          <w:spacing w:val="-12"/>
          <w:sz w:val="20"/>
        </w:rPr>
        <w:t> </w:t>
      </w:r>
      <w:r>
        <w:rPr>
          <w:sz w:val="20"/>
        </w:rPr>
        <w:t>doi: </w:t>
      </w:r>
      <w:r>
        <w:rPr>
          <w:spacing w:val="-2"/>
          <w:sz w:val="20"/>
        </w:rPr>
        <w:t>10.1186/s12871-022-01600-0.</w:t>
      </w:r>
    </w:p>
    <w:p>
      <w:pPr>
        <w:pStyle w:val="ListParagraph"/>
        <w:numPr>
          <w:ilvl w:val="0"/>
          <w:numId w:val="67"/>
        </w:numPr>
        <w:tabs>
          <w:tab w:pos="2405" w:val="left" w:leader="none"/>
          <w:tab w:pos="2407" w:val="left" w:leader="none"/>
        </w:tabs>
        <w:spacing w:line="240" w:lineRule="auto" w:before="0" w:after="0"/>
        <w:ind w:left="2407" w:right="1276" w:hanging="566"/>
        <w:jc w:val="both"/>
        <w:rPr>
          <w:sz w:val="20"/>
        </w:rPr>
      </w:pPr>
      <w:r>
        <w:rPr>
          <w:sz w:val="20"/>
        </w:rPr>
        <w:t>Avdeev SN, Trushenko NV, Chikina SY, Tsareva NA, Merzhoeva ZM, Yaroshetskiy AI. et al. Beneficial</w:t>
      </w:r>
      <w:r>
        <w:rPr>
          <w:spacing w:val="-7"/>
          <w:sz w:val="20"/>
        </w:rPr>
        <w:t> </w:t>
      </w:r>
      <w:r>
        <w:rPr>
          <w:sz w:val="20"/>
        </w:rPr>
        <w:t>effects</w:t>
      </w:r>
      <w:r>
        <w:rPr>
          <w:spacing w:val="-8"/>
          <w:sz w:val="20"/>
        </w:rPr>
        <w:t> </w:t>
      </w:r>
      <w:r>
        <w:rPr>
          <w:sz w:val="20"/>
        </w:rPr>
        <w:t>of</w:t>
      </w:r>
      <w:r>
        <w:rPr>
          <w:spacing w:val="-9"/>
          <w:sz w:val="20"/>
        </w:rPr>
        <w:t> </w:t>
      </w:r>
      <w:r>
        <w:rPr>
          <w:sz w:val="20"/>
        </w:rPr>
        <w:t>inhaled</w:t>
      </w:r>
      <w:r>
        <w:rPr>
          <w:spacing w:val="-8"/>
          <w:sz w:val="20"/>
        </w:rPr>
        <w:t> </w:t>
      </w:r>
      <w:r>
        <w:rPr>
          <w:sz w:val="20"/>
        </w:rPr>
        <w:t>surfactant</w:t>
      </w:r>
      <w:r>
        <w:rPr>
          <w:spacing w:val="-8"/>
          <w:sz w:val="20"/>
        </w:rPr>
        <w:t> </w:t>
      </w:r>
      <w:r>
        <w:rPr>
          <w:sz w:val="20"/>
        </w:rPr>
        <w:t>in</w:t>
      </w:r>
      <w:r>
        <w:rPr>
          <w:spacing w:val="-7"/>
          <w:sz w:val="20"/>
        </w:rPr>
        <w:t> </w:t>
      </w:r>
      <w:r>
        <w:rPr>
          <w:sz w:val="20"/>
        </w:rPr>
        <w:t>patients</w:t>
      </w:r>
      <w:r>
        <w:rPr>
          <w:spacing w:val="-8"/>
          <w:sz w:val="20"/>
        </w:rPr>
        <w:t> </w:t>
      </w:r>
      <w:r>
        <w:rPr>
          <w:sz w:val="20"/>
        </w:rPr>
        <w:t>with</w:t>
      </w:r>
      <w:r>
        <w:rPr>
          <w:spacing w:val="-9"/>
          <w:sz w:val="20"/>
        </w:rPr>
        <w:t> </w:t>
      </w:r>
      <w:r>
        <w:rPr>
          <w:sz w:val="20"/>
        </w:rPr>
        <w:t>COVID-19-associated</w:t>
      </w:r>
      <w:r>
        <w:rPr>
          <w:spacing w:val="-7"/>
          <w:sz w:val="20"/>
        </w:rPr>
        <w:t> </w:t>
      </w:r>
      <w:r>
        <w:rPr>
          <w:sz w:val="20"/>
        </w:rPr>
        <w:t>acute</w:t>
      </w:r>
      <w:r>
        <w:rPr>
          <w:spacing w:val="-7"/>
          <w:sz w:val="20"/>
        </w:rPr>
        <w:t> </w:t>
      </w:r>
      <w:r>
        <w:rPr>
          <w:sz w:val="20"/>
        </w:rPr>
        <w:t>respiratory</w:t>
      </w:r>
      <w:r>
        <w:rPr>
          <w:spacing w:val="-9"/>
          <w:sz w:val="20"/>
        </w:rPr>
        <w:t> </w:t>
      </w:r>
      <w:r>
        <w:rPr>
          <w:sz w:val="20"/>
        </w:rPr>
        <w:t>distress syndrome. Respir Med. 2021 Aug-Sep;185:106489. doi: 10.1016/j.rmed.2021.106489</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Avdeev SN, Yaroshetskiy AI, Tsareva NA, Merzhoeva ZM, Trushenko NV, Nekludova GV, Chikina SY.</w:t>
      </w:r>
      <w:r>
        <w:rPr>
          <w:spacing w:val="-3"/>
          <w:sz w:val="20"/>
        </w:rPr>
        <w:t> </w:t>
      </w:r>
      <w:r>
        <w:rPr>
          <w:sz w:val="20"/>
        </w:rPr>
        <w:t>Noninvasive</w:t>
      </w:r>
      <w:r>
        <w:rPr>
          <w:spacing w:val="-3"/>
          <w:sz w:val="20"/>
        </w:rPr>
        <w:t> </w:t>
      </w:r>
      <w:r>
        <w:rPr>
          <w:sz w:val="20"/>
        </w:rPr>
        <w:t>ventilation</w:t>
      </w:r>
      <w:r>
        <w:rPr>
          <w:spacing w:val="-2"/>
          <w:sz w:val="20"/>
        </w:rPr>
        <w:t> </w:t>
      </w:r>
      <w:r>
        <w:rPr>
          <w:sz w:val="20"/>
        </w:rPr>
        <w:t>for</w:t>
      </w:r>
      <w:r>
        <w:rPr>
          <w:spacing w:val="-3"/>
          <w:sz w:val="20"/>
        </w:rPr>
        <w:t> </w:t>
      </w:r>
      <w:r>
        <w:rPr>
          <w:sz w:val="20"/>
        </w:rPr>
        <w:t>acute</w:t>
      </w:r>
      <w:r>
        <w:rPr>
          <w:spacing w:val="-3"/>
          <w:sz w:val="20"/>
        </w:rPr>
        <w:t> </w:t>
      </w:r>
      <w:r>
        <w:rPr>
          <w:sz w:val="20"/>
        </w:rPr>
        <w:t>hypoxemic</w:t>
      </w:r>
      <w:r>
        <w:rPr>
          <w:spacing w:val="-5"/>
          <w:sz w:val="20"/>
        </w:rPr>
        <w:t> </w:t>
      </w:r>
      <w:r>
        <w:rPr>
          <w:sz w:val="20"/>
        </w:rPr>
        <w:t>respiratory</w:t>
      </w:r>
      <w:r>
        <w:rPr>
          <w:spacing w:val="-2"/>
          <w:sz w:val="20"/>
        </w:rPr>
        <w:t> </w:t>
      </w:r>
      <w:r>
        <w:rPr>
          <w:sz w:val="20"/>
        </w:rPr>
        <w:t>failure</w:t>
      </w:r>
      <w:r>
        <w:rPr>
          <w:spacing w:val="-3"/>
          <w:sz w:val="20"/>
        </w:rPr>
        <w:t> </w:t>
      </w:r>
      <w:r>
        <w:rPr>
          <w:sz w:val="20"/>
        </w:rPr>
        <w:t>in</w:t>
      </w:r>
      <w:r>
        <w:rPr>
          <w:spacing w:val="-3"/>
          <w:sz w:val="20"/>
        </w:rPr>
        <w:t> </w:t>
      </w:r>
      <w:r>
        <w:rPr>
          <w:sz w:val="20"/>
        </w:rPr>
        <w:t>patients</w:t>
      </w:r>
      <w:r>
        <w:rPr>
          <w:spacing w:val="-4"/>
          <w:sz w:val="20"/>
        </w:rPr>
        <w:t> </w:t>
      </w:r>
      <w:r>
        <w:rPr>
          <w:sz w:val="20"/>
        </w:rPr>
        <w:t>with</w:t>
      </w:r>
      <w:r>
        <w:rPr>
          <w:spacing w:val="-3"/>
          <w:sz w:val="20"/>
        </w:rPr>
        <w:t> </w:t>
      </w:r>
      <w:r>
        <w:rPr>
          <w:sz w:val="20"/>
        </w:rPr>
        <w:t>COVID-19.</w:t>
      </w:r>
      <w:r>
        <w:rPr>
          <w:spacing w:val="-3"/>
          <w:sz w:val="20"/>
        </w:rPr>
        <w:t> </w:t>
      </w:r>
      <w:r>
        <w:rPr>
          <w:sz w:val="20"/>
        </w:rPr>
        <w:t>Am</w:t>
      </w:r>
      <w:r>
        <w:rPr>
          <w:spacing w:val="-2"/>
          <w:sz w:val="20"/>
        </w:rPr>
        <w:t> </w:t>
      </w:r>
      <w:r>
        <w:rPr>
          <w:sz w:val="20"/>
        </w:rPr>
        <w:t>J Emerg Med. 2021 Jan;39:154-157. doi: 10.1016/j.ajem.2020.09.075.</w:t>
      </w:r>
    </w:p>
    <w:p>
      <w:pPr>
        <w:pStyle w:val="ListParagraph"/>
        <w:numPr>
          <w:ilvl w:val="0"/>
          <w:numId w:val="67"/>
        </w:numPr>
        <w:tabs>
          <w:tab w:pos="2407" w:val="left" w:leader="none"/>
          <w:tab w:pos="2456" w:val="left" w:leader="none"/>
        </w:tabs>
        <w:spacing w:line="240" w:lineRule="auto" w:before="0" w:after="0"/>
        <w:ind w:left="2407" w:right="1276" w:hanging="566"/>
        <w:jc w:val="both"/>
        <w:rPr>
          <w:sz w:val="20"/>
        </w:rPr>
      </w:pPr>
      <w:r>
        <w:rPr>
          <w:sz w:val="20"/>
        </w:rPr>
        <w:t>Avdeev</w:t>
      </w:r>
      <w:r>
        <w:rPr>
          <w:spacing w:val="40"/>
          <w:sz w:val="20"/>
        </w:rPr>
        <w:t> </w:t>
      </w:r>
      <w:r>
        <w:rPr>
          <w:sz w:val="20"/>
        </w:rPr>
        <w:t>SN,</w:t>
      </w:r>
      <w:r>
        <w:rPr>
          <w:spacing w:val="-4"/>
          <w:sz w:val="20"/>
        </w:rPr>
        <w:t> </w:t>
      </w:r>
      <w:r>
        <w:rPr>
          <w:sz w:val="20"/>
        </w:rPr>
        <w:t>Yaroshetskiy</w:t>
      </w:r>
      <w:r>
        <w:rPr>
          <w:spacing w:val="-4"/>
          <w:sz w:val="20"/>
        </w:rPr>
        <w:t> </w:t>
      </w:r>
      <w:r>
        <w:rPr>
          <w:sz w:val="20"/>
        </w:rPr>
        <w:t>AI,</w:t>
      </w:r>
      <w:r>
        <w:rPr>
          <w:spacing w:val="-6"/>
          <w:sz w:val="20"/>
        </w:rPr>
        <w:t> </w:t>
      </w:r>
      <w:r>
        <w:rPr>
          <w:sz w:val="20"/>
        </w:rPr>
        <w:t>Nuralieva</w:t>
      </w:r>
      <w:r>
        <w:rPr>
          <w:spacing w:val="-4"/>
          <w:sz w:val="20"/>
        </w:rPr>
        <w:t> </w:t>
      </w:r>
      <w:r>
        <w:rPr>
          <w:sz w:val="20"/>
        </w:rPr>
        <w:t>GS,</w:t>
      </w:r>
      <w:r>
        <w:rPr>
          <w:spacing w:val="-4"/>
          <w:sz w:val="20"/>
        </w:rPr>
        <w:t> </w:t>
      </w:r>
      <w:r>
        <w:rPr>
          <w:sz w:val="20"/>
        </w:rPr>
        <w:t>Merzhoeva</w:t>
      </w:r>
      <w:r>
        <w:rPr>
          <w:spacing w:val="-4"/>
          <w:sz w:val="20"/>
        </w:rPr>
        <w:t> </w:t>
      </w:r>
      <w:r>
        <w:rPr>
          <w:sz w:val="20"/>
        </w:rPr>
        <w:t>ZM,</w:t>
      </w:r>
      <w:r>
        <w:rPr>
          <w:spacing w:val="-3"/>
          <w:sz w:val="20"/>
        </w:rPr>
        <w:t> </w:t>
      </w:r>
      <w:r>
        <w:rPr>
          <w:sz w:val="20"/>
        </w:rPr>
        <w:t>Trushenko</w:t>
      </w:r>
      <w:r>
        <w:rPr>
          <w:spacing w:val="-6"/>
          <w:sz w:val="20"/>
        </w:rPr>
        <w:t> </w:t>
      </w:r>
      <w:r>
        <w:rPr>
          <w:sz w:val="20"/>
        </w:rPr>
        <w:t>NV.</w:t>
      </w:r>
      <w:r>
        <w:rPr>
          <w:spacing w:val="-4"/>
          <w:sz w:val="20"/>
        </w:rPr>
        <w:t> </w:t>
      </w:r>
      <w:r>
        <w:rPr>
          <w:sz w:val="20"/>
        </w:rPr>
        <w:t>How</w:t>
      </w:r>
      <w:r>
        <w:rPr>
          <w:spacing w:val="-4"/>
          <w:sz w:val="20"/>
        </w:rPr>
        <w:t> </w:t>
      </w:r>
      <w:r>
        <w:rPr>
          <w:sz w:val="20"/>
        </w:rPr>
        <w:t>can</w:t>
      </w:r>
      <w:r>
        <w:rPr>
          <w:spacing w:val="-7"/>
          <w:sz w:val="20"/>
        </w:rPr>
        <w:t> </w:t>
      </w:r>
      <w:r>
        <w:rPr>
          <w:sz w:val="20"/>
        </w:rPr>
        <w:t>we</w:t>
      </w:r>
      <w:r>
        <w:rPr>
          <w:spacing w:val="-4"/>
          <w:sz w:val="20"/>
        </w:rPr>
        <w:t> </w:t>
      </w:r>
      <w:r>
        <w:rPr>
          <w:sz w:val="20"/>
        </w:rPr>
        <w:t>predict</w:t>
      </w:r>
      <w:r>
        <w:rPr>
          <w:spacing w:val="-4"/>
          <w:sz w:val="20"/>
        </w:rPr>
        <w:t> </w:t>
      </w:r>
      <w:r>
        <w:rPr>
          <w:sz w:val="20"/>
        </w:rPr>
        <w:t>the failure of awake proning in acute hypoxemic respiratory failure associated with COVID-19? Am J Emerg Med. 2021 Jul 28:S0735-6757(21)00621-5. doi: 10.1016/j.ajem.2021.07.047.</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Avdeev SN, Nekludova, GV, Trushenko, NV, Tsareva NA, Yaroshetskiy AI,</w:t>
      </w:r>
      <w:r>
        <w:rPr>
          <w:spacing w:val="40"/>
          <w:sz w:val="20"/>
        </w:rPr>
        <w:t> </w:t>
      </w:r>
      <w:r>
        <w:rPr>
          <w:sz w:val="20"/>
        </w:rPr>
        <w:t>Kosanovic D. Lung ultrasound can</w:t>
      </w:r>
      <w:r>
        <w:rPr>
          <w:spacing w:val="-2"/>
          <w:sz w:val="20"/>
        </w:rPr>
        <w:t> </w:t>
      </w:r>
      <w:r>
        <w:rPr>
          <w:sz w:val="20"/>
        </w:rPr>
        <w:t>predict</w:t>
      </w:r>
      <w:r>
        <w:rPr>
          <w:spacing w:val="-1"/>
          <w:sz w:val="20"/>
        </w:rPr>
        <w:t> </w:t>
      </w:r>
      <w:r>
        <w:rPr>
          <w:sz w:val="20"/>
        </w:rPr>
        <w:t>response</w:t>
      </w:r>
      <w:r>
        <w:rPr>
          <w:spacing w:val="-1"/>
          <w:sz w:val="20"/>
        </w:rPr>
        <w:t> </w:t>
      </w:r>
      <w:r>
        <w:rPr>
          <w:sz w:val="20"/>
        </w:rPr>
        <w:t>to the</w:t>
      </w:r>
      <w:r>
        <w:rPr>
          <w:spacing w:val="-1"/>
          <w:sz w:val="20"/>
        </w:rPr>
        <w:t> </w:t>
      </w:r>
      <w:r>
        <w:rPr>
          <w:sz w:val="20"/>
        </w:rPr>
        <w:t>prone</w:t>
      </w:r>
      <w:r>
        <w:rPr>
          <w:spacing w:val="-1"/>
          <w:sz w:val="20"/>
        </w:rPr>
        <w:t> </w:t>
      </w:r>
      <w:r>
        <w:rPr>
          <w:sz w:val="20"/>
        </w:rPr>
        <w:t>position in awake</w:t>
      </w:r>
      <w:r>
        <w:rPr>
          <w:spacing w:val="-1"/>
          <w:sz w:val="20"/>
        </w:rPr>
        <w:t> </w:t>
      </w:r>
      <w:r>
        <w:rPr>
          <w:sz w:val="20"/>
        </w:rPr>
        <w:t>non-intubated</w:t>
      </w:r>
      <w:r>
        <w:rPr>
          <w:spacing w:val="-2"/>
          <w:sz w:val="20"/>
        </w:rPr>
        <w:t> </w:t>
      </w:r>
      <w:r>
        <w:rPr>
          <w:sz w:val="20"/>
        </w:rPr>
        <w:t>patients</w:t>
      </w:r>
      <w:r>
        <w:rPr>
          <w:spacing w:val="-2"/>
          <w:sz w:val="20"/>
        </w:rPr>
        <w:t> </w:t>
      </w:r>
      <w:r>
        <w:rPr>
          <w:sz w:val="20"/>
        </w:rPr>
        <w:t>with COVID‑19 associated</w:t>
      </w:r>
      <w:r>
        <w:rPr>
          <w:spacing w:val="-13"/>
          <w:sz w:val="20"/>
        </w:rPr>
        <w:t> </w:t>
      </w:r>
      <w:r>
        <w:rPr>
          <w:sz w:val="20"/>
        </w:rPr>
        <w:t>acute</w:t>
      </w:r>
      <w:r>
        <w:rPr>
          <w:spacing w:val="-12"/>
          <w:sz w:val="20"/>
        </w:rPr>
        <w:t> </w:t>
      </w:r>
      <w:r>
        <w:rPr>
          <w:sz w:val="20"/>
        </w:rPr>
        <w:t>respiratory</w:t>
      </w:r>
      <w:r>
        <w:rPr>
          <w:spacing w:val="-13"/>
          <w:sz w:val="20"/>
        </w:rPr>
        <w:t> </w:t>
      </w:r>
      <w:r>
        <w:rPr>
          <w:sz w:val="20"/>
        </w:rPr>
        <w:t>distress</w:t>
      </w:r>
      <w:r>
        <w:rPr>
          <w:spacing w:val="-12"/>
          <w:sz w:val="20"/>
        </w:rPr>
        <w:t> </w:t>
      </w:r>
      <w:r>
        <w:rPr>
          <w:sz w:val="20"/>
        </w:rPr>
        <w:t>syndrome.</w:t>
      </w:r>
      <w:r>
        <w:rPr>
          <w:spacing w:val="-13"/>
          <w:sz w:val="20"/>
        </w:rPr>
        <w:t> </w:t>
      </w:r>
      <w:r>
        <w:rPr>
          <w:sz w:val="20"/>
        </w:rPr>
        <w:t>Crit</w:t>
      </w:r>
      <w:r>
        <w:rPr>
          <w:spacing w:val="-12"/>
          <w:sz w:val="20"/>
        </w:rPr>
        <w:t> </w:t>
      </w:r>
      <w:r>
        <w:rPr>
          <w:sz w:val="20"/>
        </w:rPr>
        <w:t>Care</w:t>
      </w:r>
      <w:r>
        <w:rPr>
          <w:spacing w:val="-13"/>
          <w:sz w:val="20"/>
        </w:rPr>
        <w:t> </w:t>
      </w:r>
      <w:r>
        <w:rPr>
          <w:sz w:val="20"/>
        </w:rPr>
        <w:t>25,</w:t>
      </w:r>
      <w:r>
        <w:rPr>
          <w:spacing w:val="-12"/>
          <w:sz w:val="20"/>
        </w:rPr>
        <w:t> </w:t>
      </w:r>
      <w:r>
        <w:rPr>
          <w:sz w:val="20"/>
        </w:rPr>
        <w:t>35</w:t>
      </w:r>
      <w:r>
        <w:rPr>
          <w:spacing w:val="-11"/>
          <w:sz w:val="20"/>
        </w:rPr>
        <w:t> </w:t>
      </w:r>
      <w:r>
        <w:rPr>
          <w:sz w:val="20"/>
        </w:rPr>
        <w:t>(2021).</w:t>
      </w:r>
      <w:r>
        <w:rPr>
          <w:spacing w:val="-13"/>
          <w:sz w:val="20"/>
        </w:rPr>
        <w:t> </w:t>
      </w:r>
      <w:r>
        <w:rPr>
          <w:sz w:val="20"/>
        </w:rPr>
        <w:t>https://doi.org/10.1186/s13054- </w:t>
      </w:r>
      <w:r>
        <w:rPr>
          <w:spacing w:val="-2"/>
          <w:sz w:val="20"/>
        </w:rPr>
        <w:t>021-03472-1</w:t>
      </w:r>
    </w:p>
    <w:p>
      <w:pPr>
        <w:pStyle w:val="ListParagraph"/>
        <w:numPr>
          <w:ilvl w:val="0"/>
          <w:numId w:val="67"/>
        </w:numPr>
        <w:tabs>
          <w:tab w:pos="2405" w:val="left" w:leader="none"/>
          <w:tab w:pos="2407" w:val="left" w:leader="none"/>
        </w:tabs>
        <w:spacing w:line="240" w:lineRule="auto" w:before="0" w:after="0"/>
        <w:ind w:left="2407" w:right="1279" w:hanging="566"/>
        <w:jc w:val="both"/>
        <w:rPr>
          <w:sz w:val="20"/>
        </w:rPr>
      </w:pPr>
      <w:r>
        <w:rPr>
          <w:sz w:val="20"/>
        </w:rPr>
        <w:t>Avdeev SN, Yaroshetskiy AI, Nuralieva GS. Can We Reliably Predict the Failure of Noninvasive </w:t>
      </w:r>
      <w:r>
        <w:rPr>
          <w:spacing w:val="-2"/>
          <w:sz w:val="20"/>
        </w:rPr>
        <w:t>Ventilation in COVID-19-associated Acute</w:t>
      </w:r>
      <w:r>
        <w:rPr>
          <w:spacing w:val="-3"/>
          <w:sz w:val="20"/>
        </w:rPr>
        <w:t> </w:t>
      </w:r>
      <w:r>
        <w:rPr>
          <w:spacing w:val="-2"/>
          <w:sz w:val="20"/>
        </w:rPr>
        <w:t>Hypoxemic</w:t>
      </w:r>
      <w:r>
        <w:rPr>
          <w:spacing w:val="-3"/>
          <w:sz w:val="20"/>
        </w:rPr>
        <w:t> </w:t>
      </w:r>
      <w:r>
        <w:rPr>
          <w:spacing w:val="-2"/>
          <w:sz w:val="20"/>
        </w:rPr>
        <w:t>Respiratory Failure? Ann Am Thorac Soc. 2021 </w:t>
      </w:r>
      <w:r>
        <w:rPr>
          <w:sz w:val="20"/>
        </w:rPr>
        <w:t>Sep;18(9):1595. doi: 10.1513/AnnalsATS.202101-047LE</w:t>
      </w:r>
    </w:p>
    <w:p>
      <w:pPr>
        <w:pStyle w:val="ListParagraph"/>
        <w:numPr>
          <w:ilvl w:val="0"/>
          <w:numId w:val="67"/>
        </w:numPr>
        <w:tabs>
          <w:tab w:pos="2407" w:val="left" w:leader="none"/>
          <w:tab w:pos="2456" w:val="left" w:leader="none"/>
        </w:tabs>
        <w:spacing w:line="240" w:lineRule="auto" w:before="0" w:after="0"/>
        <w:ind w:left="2407" w:right="1284" w:hanging="566"/>
        <w:jc w:val="both"/>
        <w:rPr>
          <w:sz w:val="20"/>
        </w:rPr>
      </w:pPr>
      <w:r>
        <w:rPr>
          <w:sz w:val="20"/>
        </w:rPr>
        <w:t>Avdeev</w:t>
      </w:r>
      <w:r>
        <w:rPr>
          <w:spacing w:val="40"/>
          <w:sz w:val="20"/>
        </w:rPr>
        <w:t> </w:t>
      </w:r>
      <w:r>
        <w:rPr>
          <w:sz w:val="20"/>
        </w:rPr>
        <w:t>SN, Nekludova GV, Trushenko NV, Yaroshetskiy AI, Nuralieva GS. Can lung ultrasound predict histologic pattern of lung injury in critically ill patients with COVID‑19? Intensive Care Med. 2021 May;47(5):629-630. doi: 10.1007/s00134-021-06372-8.</w:t>
      </w:r>
    </w:p>
    <w:p>
      <w:pPr>
        <w:pStyle w:val="ListParagraph"/>
        <w:numPr>
          <w:ilvl w:val="0"/>
          <w:numId w:val="67"/>
        </w:numPr>
        <w:tabs>
          <w:tab w:pos="2405" w:val="left" w:leader="none"/>
          <w:tab w:pos="2407" w:val="left" w:leader="none"/>
        </w:tabs>
        <w:spacing w:line="240" w:lineRule="auto" w:before="0" w:after="0"/>
        <w:ind w:left="2407" w:right="1275" w:hanging="566"/>
        <w:jc w:val="both"/>
        <w:rPr>
          <w:sz w:val="20"/>
        </w:rPr>
      </w:pPr>
      <w:r>
        <w:rPr>
          <w:sz w:val="20"/>
        </w:rPr>
        <w:t>Avdeev</w:t>
      </w:r>
      <w:r>
        <w:rPr>
          <w:spacing w:val="-3"/>
          <w:sz w:val="20"/>
        </w:rPr>
        <w:t> </w:t>
      </w:r>
      <w:r>
        <w:rPr>
          <w:sz w:val="20"/>
        </w:rPr>
        <w:t>SN,</w:t>
      </w:r>
      <w:r>
        <w:rPr>
          <w:spacing w:val="-6"/>
          <w:sz w:val="20"/>
        </w:rPr>
        <w:t> </w:t>
      </w:r>
      <w:r>
        <w:rPr>
          <w:sz w:val="20"/>
        </w:rPr>
        <w:t>Trushenko</w:t>
      </w:r>
      <w:r>
        <w:rPr>
          <w:spacing w:val="-3"/>
          <w:sz w:val="20"/>
        </w:rPr>
        <w:t> </w:t>
      </w:r>
      <w:r>
        <w:rPr>
          <w:sz w:val="20"/>
        </w:rPr>
        <w:t>NV,</w:t>
      </w:r>
      <w:r>
        <w:rPr>
          <w:spacing w:val="-6"/>
          <w:sz w:val="20"/>
        </w:rPr>
        <w:t> </w:t>
      </w:r>
      <w:r>
        <w:rPr>
          <w:sz w:val="20"/>
        </w:rPr>
        <w:t>Tsareva</w:t>
      </w:r>
      <w:r>
        <w:rPr>
          <w:spacing w:val="-4"/>
          <w:sz w:val="20"/>
        </w:rPr>
        <w:t> </w:t>
      </w:r>
      <w:r>
        <w:rPr>
          <w:sz w:val="20"/>
        </w:rPr>
        <w:t>NA,</w:t>
      </w:r>
      <w:r>
        <w:rPr>
          <w:spacing w:val="-4"/>
          <w:sz w:val="20"/>
        </w:rPr>
        <w:t> </w:t>
      </w:r>
      <w:r>
        <w:rPr>
          <w:sz w:val="20"/>
        </w:rPr>
        <w:t>Yaroshetskiy</w:t>
      </w:r>
      <w:r>
        <w:rPr>
          <w:spacing w:val="-6"/>
          <w:sz w:val="20"/>
        </w:rPr>
        <w:t> </w:t>
      </w:r>
      <w:r>
        <w:rPr>
          <w:sz w:val="20"/>
        </w:rPr>
        <w:t>AI,</w:t>
      </w:r>
      <w:r>
        <w:rPr>
          <w:spacing w:val="-6"/>
          <w:sz w:val="20"/>
        </w:rPr>
        <w:t> </w:t>
      </w:r>
      <w:r>
        <w:rPr>
          <w:sz w:val="20"/>
        </w:rPr>
        <w:t>Merzhoeva</w:t>
      </w:r>
      <w:r>
        <w:rPr>
          <w:spacing w:val="-6"/>
          <w:sz w:val="20"/>
        </w:rPr>
        <w:t> </w:t>
      </w:r>
      <w:r>
        <w:rPr>
          <w:sz w:val="20"/>
        </w:rPr>
        <w:t>ZM,</w:t>
      </w:r>
      <w:r>
        <w:rPr>
          <w:spacing w:val="-3"/>
          <w:sz w:val="20"/>
        </w:rPr>
        <w:t> </w:t>
      </w:r>
      <w:r>
        <w:rPr>
          <w:sz w:val="20"/>
        </w:rPr>
        <w:t>Nuralieva</w:t>
      </w:r>
      <w:r>
        <w:rPr>
          <w:spacing w:val="-4"/>
          <w:sz w:val="20"/>
        </w:rPr>
        <w:t> </w:t>
      </w:r>
      <w:r>
        <w:rPr>
          <w:sz w:val="20"/>
        </w:rPr>
        <w:t>GS,</w:t>
      </w:r>
      <w:r>
        <w:rPr>
          <w:spacing w:val="-4"/>
          <w:sz w:val="20"/>
        </w:rPr>
        <w:t> </w:t>
      </w:r>
      <w:r>
        <w:rPr>
          <w:sz w:val="20"/>
        </w:rPr>
        <w:t>Nekludova GV, Chikina SY, Gneusheva TY, Suvorova OA, Shmidt AE. Anti-IL-17 monoclonal antibodies in hospitalized patients with severe COVID-19: A pilot study. Cytokine. 2021 Oct;146:155627. doi: </w:t>
      </w:r>
      <w:r>
        <w:rPr>
          <w:spacing w:val="-2"/>
          <w:sz w:val="20"/>
        </w:rPr>
        <w:t>10.1016/j.cyto.2021.155627.</w:t>
      </w:r>
    </w:p>
    <w:p>
      <w:pPr>
        <w:pStyle w:val="ListParagraph"/>
        <w:numPr>
          <w:ilvl w:val="0"/>
          <w:numId w:val="67"/>
        </w:numPr>
        <w:tabs>
          <w:tab w:pos="2407" w:val="left" w:leader="none"/>
          <w:tab w:pos="2456" w:val="left" w:leader="none"/>
        </w:tabs>
        <w:spacing w:line="240" w:lineRule="auto" w:before="0" w:after="0"/>
        <w:ind w:left="2407" w:right="1273" w:hanging="566"/>
        <w:jc w:val="both"/>
        <w:rPr>
          <w:sz w:val="20"/>
        </w:rPr>
      </w:pPr>
      <w:r>
        <w:rPr>
          <w:sz w:val="20"/>
        </w:rPr>
        <w:t>Yaroshetskiy</w:t>
      </w:r>
      <w:r>
        <w:rPr>
          <w:spacing w:val="40"/>
          <w:sz w:val="20"/>
        </w:rPr>
        <w:t> </w:t>
      </w:r>
      <w:r>
        <w:rPr>
          <w:sz w:val="20"/>
        </w:rPr>
        <w:t>AI, Avdeev SN, Konanykhin VD. Acute Respiratory Distress Syndrome in COVID-19: Do All These Patients Definitely Require Intubation and Mechanical Ventilation? Am J Respir Crit Care Med. 2020 Nov 15;202(10):1480-1481. doi: 10.1164/rccm.202007-2713LE</w:t>
      </w:r>
    </w:p>
    <w:p>
      <w:pPr>
        <w:pStyle w:val="ListParagraph"/>
        <w:numPr>
          <w:ilvl w:val="0"/>
          <w:numId w:val="67"/>
        </w:numPr>
        <w:tabs>
          <w:tab w:pos="2405" w:val="left" w:leader="none"/>
          <w:tab w:pos="2407" w:val="left" w:leader="none"/>
        </w:tabs>
        <w:spacing w:line="240" w:lineRule="auto" w:before="0" w:after="0"/>
        <w:ind w:left="2407" w:right="1274" w:hanging="566"/>
        <w:jc w:val="both"/>
        <w:rPr>
          <w:sz w:val="20"/>
        </w:rPr>
      </w:pPr>
      <w:r>
        <w:rPr>
          <w:sz w:val="20"/>
        </w:rPr>
        <w:t>Grieco DL, Menga LS, Cesarano M, Rosà T, Spadaro S, Bitondo MM. et al. Effect of Helmet Noninvasive</w:t>
      </w:r>
      <w:r>
        <w:rPr>
          <w:spacing w:val="-1"/>
          <w:sz w:val="20"/>
        </w:rPr>
        <w:t> </w:t>
      </w:r>
      <w:r>
        <w:rPr>
          <w:sz w:val="20"/>
        </w:rPr>
        <w:t>Ventilation</w:t>
      </w:r>
      <w:r>
        <w:rPr>
          <w:spacing w:val="-2"/>
          <w:sz w:val="20"/>
        </w:rPr>
        <w:t> </w:t>
      </w:r>
      <w:r>
        <w:rPr>
          <w:sz w:val="20"/>
        </w:rPr>
        <w:t>vs</w:t>
      </w:r>
      <w:r>
        <w:rPr>
          <w:spacing w:val="-2"/>
          <w:sz w:val="20"/>
        </w:rPr>
        <w:t> </w:t>
      </w:r>
      <w:r>
        <w:rPr>
          <w:sz w:val="20"/>
        </w:rPr>
        <w:t>High-Flow</w:t>
      </w:r>
      <w:r>
        <w:rPr>
          <w:spacing w:val="-1"/>
          <w:sz w:val="20"/>
        </w:rPr>
        <w:t> </w:t>
      </w:r>
      <w:r>
        <w:rPr>
          <w:sz w:val="20"/>
        </w:rPr>
        <w:t>Nasal</w:t>
      </w:r>
      <w:r>
        <w:rPr>
          <w:spacing w:val="-1"/>
          <w:sz w:val="20"/>
        </w:rPr>
        <w:t> </w:t>
      </w:r>
      <w:r>
        <w:rPr>
          <w:sz w:val="20"/>
        </w:rPr>
        <w:t>Oxygen</w:t>
      </w:r>
      <w:r>
        <w:rPr>
          <w:spacing w:val="-2"/>
          <w:sz w:val="20"/>
        </w:rPr>
        <w:t> </w:t>
      </w:r>
      <w:r>
        <w:rPr>
          <w:sz w:val="20"/>
        </w:rPr>
        <w:t>on</w:t>
      </w:r>
      <w:r>
        <w:rPr>
          <w:spacing w:val="-2"/>
          <w:sz w:val="20"/>
        </w:rPr>
        <w:t> </w:t>
      </w:r>
      <w:r>
        <w:rPr>
          <w:sz w:val="20"/>
        </w:rPr>
        <w:t>Days</w:t>
      </w:r>
      <w:r>
        <w:rPr>
          <w:spacing w:val="-2"/>
          <w:sz w:val="20"/>
        </w:rPr>
        <w:t> </w:t>
      </w:r>
      <w:r>
        <w:rPr>
          <w:sz w:val="20"/>
        </w:rPr>
        <w:t>Free</w:t>
      </w:r>
      <w:r>
        <w:rPr>
          <w:spacing w:val="-1"/>
          <w:sz w:val="20"/>
        </w:rPr>
        <w:t> </w:t>
      </w:r>
      <w:r>
        <w:rPr>
          <w:sz w:val="20"/>
        </w:rPr>
        <w:t>of Respiratory</w:t>
      </w:r>
      <w:r>
        <w:rPr>
          <w:spacing w:val="-2"/>
          <w:sz w:val="20"/>
        </w:rPr>
        <w:t> </w:t>
      </w:r>
      <w:r>
        <w:rPr>
          <w:sz w:val="20"/>
        </w:rPr>
        <w:t>Support</w:t>
      </w:r>
      <w:r>
        <w:rPr>
          <w:spacing w:val="-1"/>
          <w:sz w:val="20"/>
        </w:rPr>
        <w:t> </w:t>
      </w:r>
      <w:r>
        <w:rPr>
          <w:sz w:val="20"/>
        </w:rPr>
        <w:t>in Patients With</w:t>
      </w:r>
      <w:r>
        <w:rPr>
          <w:spacing w:val="-13"/>
          <w:sz w:val="20"/>
        </w:rPr>
        <w:t> </w:t>
      </w:r>
      <w:r>
        <w:rPr>
          <w:sz w:val="20"/>
        </w:rPr>
        <w:t>COVID-19</w:t>
      </w:r>
      <w:r>
        <w:rPr>
          <w:spacing w:val="-10"/>
          <w:sz w:val="20"/>
        </w:rPr>
        <w:t> </w:t>
      </w:r>
      <w:r>
        <w:rPr>
          <w:sz w:val="20"/>
        </w:rPr>
        <w:t>and</w:t>
      </w:r>
      <w:r>
        <w:rPr>
          <w:spacing w:val="-11"/>
          <w:sz w:val="20"/>
        </w:rPr>
        <w:t> </w:t>
      </w:r>
      <w:r>
        <w:rPr>
          <w:sz w:val="20"/>
        </w:rPr>
        <w:t>Moderate</w:t>
      </w:r>
      <w:r>
        <w:rPr>
          <w:spacing w:val="-12"/>
          <w:sz w:val="20"/>
        </w:rPr>
        <w:t> </w:t>
      </w:r>
      <w:r>
        <w:rPr>
          <w:sz w:val="20"/>
        </w:rPr>
        <w:t>to</w:t>
      </w:r>
      <w:r>
        <w:rPr>
          <w:spacing w:val="-12"/>
          <w:sz w:val="20"/>
        </w:rPr>
        <w:t> </w:t>
      </w:r>
      <w:r>
        <w:rPr>
          <w:sz w:val="20"/>
        </w:rPr>
        <w:t>Severe</w:t>
      </w:r>
      <w:r>
        <w:rPr>
          <w:spacing w:val="-12"/>
          <w:sz w:val="20"/>
        </w:rPr>
        <w:t> </w:t>
      </w:r>
      <w:r>
        <w:rPr>
          <w:sz w:val="20"/>
        </w:rPr>
        <w:t>Hypoxemic</w:t>
      </w:r>
      <w:r>
        <w:rPr>
          <w:spacing w:val="-13"/>
          <w:sz w:val="20"/>
        </w:rPr>
        <w:t> </w:t>
      </w:r>
      <w:r>
        <w:rPr>
          <w:sz w:val="20"/>
        </w:rPr>
        <w:t>Respiratory</w:t>
      </w:r>
      <w:r>
        <w:rPr>
          <w:spacing w:val="-10"/>
          <w:sz w:val="20"/>
        </w:rPr>
        <w:t> </w:t>
      </w:r>
      <w:r>
        <w:rPr>
          <w:sz w:val="20"/>
        </w:rPr>
        <w:t>Failure:</w:t>
      </w:r>
      <w:r>
        <w:rPr>
          <w:spacing w:val="-12"/>
          <w:sz w:val="20"/>
        </w:rPr>
        <w:t> </w:t>
      </w:r>
      <w:r>
        <w:rPr>
          <w:sz w:val="20"/>
        </w:rPr>
        <w:t>The</w:t>
      </w:r>
      <w:r>
        <w:rPr>
          <w:spacing w:val="-13"/>
          <w:sz w:val="20"/>
        </w:rPr>
        <w:t> </w:t>
      </w:r>
      <w:r>
        <w:rPr>
          <w:sz w:val="20"/>
        </w:rPr>
        <w:t>HENIVOT</w:t>
      </w:r>
      <w:r>
        <w:rPr>
          <w:spacing w:val="-12"/>
          <w:sz w:val="20"/>
        </w:rPr>
        <w:t> </w:t>
      </w:r>
      <w:r>
        <w:rPr>
          <w:sz w:val="20"/>
        </w:rPr>
        <w:t>Randomized Clinical Trial. JAMA. 2021 May 4;325(17):1731-1743. doi: 10.1001/jama.2021.4682</w:t>
      </w:r>
    </w:p>
    <w:p>
      <w:pPr>
        <w:pStyle w:val="ListParagraph"/>
        <w:numPr>
          <w:ilvl w:val="0"/>
          <w:numId w:val="67"/>
        </w:numPr>
        <w:tabs>
          <w:tab w:pos="2405" w:val="left" w:leader="none"/>
          <w:tab w:pos="2407" w:val="left" w:leader="none"/>
        </w:tabs>
        <w:spacing w:line="240" w:lineRule="auto" w:before="0" w:after="0"/>
        <w:ind w:left="2407" w:right="1275" w:hanging="566"/>
        <w:jc w:val="both"/>
        <w:rPr>
          <w:sz w:val="20"/>
        </w:rPr>
      </w:pPr>
      <w:r>
        <w:rPr>
          <w:sz w:val="20"/>
        </w:rPr>
        <w:t>Perkins</w:t>
      </w:r>
      <w:r>
        <w:rPr>
          <w:spacing w:val="-6"/>
          <w:sz w:val="20"/>
        </w:rPr>
        <w:t> </w:t>
      </w:r>
      <w:r>
        <w:rPr>
          <w:sz w:val="20"/>
        </w:rPr>
        <w:t>GD,</w:t>
      </w:r>
      <w:r>
        <w:rPr>
          <w:spacing w:val="-5"/>
          <w:sz w:val="20"/>
        </w:rPr>
        <w:t> </w:t>
      </w:r>
      <w:r>
        <w:rPr>
          <w:sz w:val="20"/>
        </w:rPr>
        <w:t>Ji</w:t>
      </w:r>
      <w:r>
        <w:rPr>
          <w:spacing w:val="-6"/>
          <w:sz w:val="20"/>
        </w:rPr>
        <w:t> </w:t>
      </w:r>
      <w:r>
        <w:rPr>
          <w:sz w:val="20"/>
        </w:rPr>
        <w:t>C,</w:t>
      </w:r>
      <w:r>
        <w:rPr>
          <w:spacing w:val="-5"/>
          <w:sz w:val="20"/>
        </w:rPr>
        <w:t> </w:t>
      </w:r>
      <w:r>
        <w:rPr>
          <w:sz w:val="20"/>
        </w:rPr>
        <w:t>Connolly</w:t>
      </w:r>
      <w:r>
        <w:rPr>
          <w:spacing w:val="-5"/>
          <w:sz w:val="20"/>
        </w:rPr>
        <w:t> </w:t>
      </w:r>
      <w:r>
        <w:rPr>
          <w:sz w:val="20"/>
        </w:rPr>
        <w:t>BA,</w:t>
      </w:r>
      <w:r>
        <w:rPr>
          <w:spacing w:val="-5"/>
          <w:sz w:val="20"/>
        </w:rPr>
        <w:t> </w:t>
      </w:r>
      <w:r>
        <w:rPr>
          <w:sz w:val="20"/>
        </w:rPr>
        <w:t>Couper</w:t>
      </w:r>
      <w:r>
        <w:rPr>
          <w:spacing w:val="-5"/>
          <w:sz w:val="20"/>
        </w:rPr>
        <w:t> </w:t>
      </w:r>
      <w:r>
        <w:rPr>
          <w:sz w:val="20"/>
        </w:rPr>
        <w:t>K,</w:t>
      </w:r>
      <w:r>
        <w:rPr>
          <w:spacing w:val="-5"/>
          <w:sz w:val="20"/>
        </w:rPr>
        <w:t> </w:t>
      </w:r>
      <w:r>
        <w:rPr>
          <w:sz w:val="20"/>
        </w:rPr>
        <w:t>Lall</w:t>
      </w:r>
      <w:r>
        <w:rPr>
          <w:spacing w:val="-6"/>
          <w:sz w:val="20"/>
        </w:rPr>
        <w:t> </w:t>
      </w:r>
      <w:r>
        <w:rPr>
          <w:sz w:val="20"/>
        </w:rPr>
        <w:t>R,</w:t>
      </w:r>
      <w:r>
        <w:rPr>
          <w:spacing w:val="-5"/>
          <w:sz w:val="20"/>
        </w:rPr>
        <w:t> </w:t>
      </w:r>
      <w:r>
        <w:rPr>
          <w:sz w:val="20"/>
        </w:rPr>
        <w:t>Baillie</w:t>
      </w:r>
      <w:r>
        <w:rPr>
          <w:spacing w:val="-6"/>
          <w:sz w:val="20"/>
        </w:rPr>
        <w:t> </w:t>
      </w:r>
      <w:r>
        <w:rPr>
          <w:sz w:val="20"/>
        </w:rPr>
        <w:t>JK,</w:t>
      </w:r>
      <w:r>
        <w:rPr>
          <w:spacing w:val="-5"/>
          <w:sz w:val="20"/>
        </w:rPr>
        <w:t> </w:t>
      </w:r>
      <w:r>
        <w:rPr>
          <w:sz w:val="20"/>
        </w:rPr>
        <w:t>Bradley</w:t>
      </w:r>
      <w:r>
        <w:rPr>
          <w:spacing w:val="-4"/>
          <w:sz w:val="20"/>
        </w:rPr>
        <w:t> </w:t>
      </w:r>
      <w:r>
        <w:rPr>
          <w:sz w:val="20"/>
        </w:rPr>
        <w:t>JM.</w:t>
      </w:r>
      <w:r>
        <w:rPr>
          <w:spacing w:val="-5"/>
          <w:sz w:val="20"/>
        </w:rPr>
        <w:t> </w:t>
      </w:r>
      <w:r>
        <w:rPr>
          <w:sz w:val="20"/>
        </w:rPr>
        <w:t>et</w:t>
      </w:r>
      <w:r>
        <w:rPr>
          <w:spacing w:val="-5"/>
          <w:sz w:val="20"/>
        </w:rPr>
        <w:t> </w:t>
      </w:r>
      <w:r>
        <w:rPr>
          <w:sz w:val="20"/>
        </w:rPr>
        <w:t>al.</w:t>
      </w:r>
      <w:r>
        <w:rPr>
          <w:spacing w:val="-5"/>
          <w:sz w:val="20"/>
        </w:rPr>
        <w:t> </w:t>
      </w:r>
      <w:r>
        <w:rPr>
          <w:sz w:val="20"/>
        </w:rPr>
        <w:t>Effect</w:t>
      </w:r>
      <w:r>
        <w:rPr>
          <w:spacing w:val="-8"/>
          <w:sz w:val="20"/>
        </w:rPr>
        <w:t> </w:t>
      </w:r>
      <w:r>
        <w:rPr>
          <w:sz w:val="20"/>
        </w:rPr>
        <w:t>of</w:t>
      </w:r>
      <w:r>
        <w:rPr>
          <w:spacing w:val="-7"/>
          <w:sz w:val="20"/>
        </w:rPr>
        <w:t> </w:t>
      </w:r>
      <w:r>
        <w:rPr>
          <w:sz w:val="20"/>
        </w:rPr>
        <w:t>Noninvasive Respiratory</w:t>
      </w:r>
      <w:r>
        <w:rPr>
          <w:spacing w:val="-1"/>
          <w:sz w:val="20"/>
        </w:rPr>
        <w:t> </w:t>
      </w:r>
      <w:r>
        <w:rPr>
          <w:sz w:val="20"/>
        </w:rPr>
        <w:t>Strategies</w:t>
      </w:r>
      <w:r>
        <w:rPr>
          <w:spacing w:val="-3"/>
          <w:sz w:val="20"/>
        </w:rPr>
        <w:t> </w:t>
      </w:r>
      <w:r>
        <w:rPr>
          <w:sz w:val="20"/>
        </w:rPr>
        <w:t>on</w:t>
      </w:r>
      <w:r>
        <w:rPr>
          <w:spacing w:val="-1"/>
          <w:sz w:val="20"/>
        </w:rPr>
        <w:t> </w:t>
      </w:r>
      <w:r>
        <w:rPr>
          <w:sz w:val="20"/>
        </w:rPr>
        <w:t>Intubation</w:t>
      </w:r>
      <w:r>
        <w:rPr>
          <w:spacing w:val="-1"/>
          <w:sz w:val="20"/>
        </w:rPr>
        <w:t> </w:t>
      </w:r>
      <w:r>
        <w:rPr>
          <w:sz w:val="20"/>
        </w:rPr>
        <w:t>or</w:t>
      </w:r>
      <w:r>
        <w:rPr>
          <w:spacing w:val="-1"/>
          <w:sz w:val="20"/>
        </w:rPr>
        <w:t> </w:t>
      </w:r>
      <w:r>
        <w:rPr>
          <w:sz w:val="20"/>
        </w:rPr>
        <w:t>Mortality</w:t>
      </w:r>
      <w:r>
        <w:rPr>
          <w:spacing w:val="-1"/>
          <w:sz w:val="20"/>
        </w:rPr>
        <w:t> </w:t>
      </w:r>
      <w:r>
        <w:rPr>
          <w:sz w:val="20"/>
        </w:rPr>
        <w:t>Among</w:t>
      </w:r>
      <w:r>
        <w:rPr>
          <w:spacing w:val="-1"/>
          <w:sz w:val="20"/>
        </w:rPr>
        <w:t> </w:t>
      </w:r>
      <w:r>
        <w:rPr>
          <w:sz w:val="20"/>
        </w:rPr>
        <w:t>Patients</w:t>
      </w:r>
      <w:r>
        <w:rPr>
          <w:spacing w:val="-3"/>
          <w:sz w:val="20"/>
        </w:rPr>
        <w:t> </w:t>
      </w:r>
      <w:r>
        <w:rPr>
          <w:sz w:val="20"/>
        </w:rPr>
        <w:t>With</w:t>
      </w:r>
      <w:r>
        <w:rPr>
          <w:spacing w:val="-1"/>
          <w:sz w:val="20"/>
        </w:rPr>
        <w:t> </w:t>
      </w:r>
      <w:r>
        <w:rPr>
          <w:sz w:val="20"/>
        </w:rPr>
        <w:t>Acute</w:t>
      </w:r>
      <w:r>
        <w:rPr>
          <w:spacing w:val="-2"/>
          <w:sz w:val="20"/>
        </w:rPr>
        <w:t> </w:t>
      </w:r>
      <w:r>
        <w:rPr>
          <w:sz w:val="20"/>
        </w:rPr>
        <w:t>Hypoxemic</w:t>
      </w:r>
      <w:r>
        <w:rPr>
          <w:spacing w:val="-2"/>
          <w:sz w:val="20"/>
        </w:rPr>
        <w:t> </w:t>
      </w:r>
      <w:r>
        <w:rPr>
          <w:sz w:val="20"/>
        </w:rPr>
        <w:t>Respiratory Failure and COVID-19: The RECOVERY-RS Randomized Clinical Trial. JAMA. 2022 Feb 8;327(6):546-558. doi: 10.1001/jama.2022.0028.</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Cammarota G, Esposito T, Azzolina D, Cosentini R, Menzella F, Aliberti S. et al.. Noninvasive respiratory</w:t>
      </w:r>
      <w:r>
        <w:rPr>
          <w:spacing w:val="-6"/>
          <w:sz w:val="20"/>
        </w:rPr>
        <w:t> </w:t>
      </w:r>
      <w:r>
        <w:rPr>
          <w:sz w:val="20"/>
        </w:rPr>
        <w:t>support</w:t>
      </w:r>
      <w:r>
        <w:rPr>
          <w:spacing w:val="-8"/>
          <w:sz w:val="20"/>
        </w:rPr>
        <w:t> </w:t>
      </w:r>
      <w:r>
        <w:rPr>
          <w:sz w:val="20"/>
        </w:rPr>
        <w:t>outside</w:t>
      </w:r>
      <w:r>
        <w:rPr>
          <w:spacing w:val="-6"/>
          <w:sz w:val="20"/>
        </w:rPr>
        <w:t> </w:t>
      </w:r>
      <w:r>
        <w:rPr>
          <w:sz w:val="20"/>
        </w:rPr>
        <w:t>the</w:t>
      </w:r>
      <w:r>
        <w:rPr>
          <w:spacing w:val="-8"/>
          <w:sz w:val="20"/>
        </w:rPr>
        <w:t> </w:t>
      </w:r>
      <w:r>
        <w:rPr>
          <w:sz w:val="20"/>
        </w:rPr>
        <w:t>intensive</w:t>
      </w:r>
      <w:r>
        <w:rPr>
          <w:spacing w:val="-6"/>
          <w:sz w:val="20"/>
        </w:rPr>
        <w:t> </w:t>
      </w:r>
      <w:r>
        <w:rPr>
          <w:sz w:val="20"/>
        </w:rPr>
        <w:t>care</w:t>
      </w:r>
      <w:r>
        <w:rPr>
          <w:spacing w:val="-8"/>
          <w:sz w:val="20"/>
        </w:rPr>
        <w:t> </w:t>
      </w:r>
      <w:r>
        <w:rPr>
          <w:sz w:val="20"/>
        </w:rPr>
        <w:t>unit</w:t>
      </w:r>
      <w:r>
        <w:rPr>
          <w:spacing w:val="-7"/>
          <w:sz w:val="20"/>
        </w:rPr>
        <w:t> </w:t>
      </w:r>
      <w:r>
        <w:rPr>
          <w:sz w:val="20"/>
        </w:rPr>
        <w:t>for</w:t>
      </w:r>
      <w:r>
        <w:rPr>
          <w:spacing w:val="-6"/>
          <w:sz w:val="20"/>
        </w:rPr>
        <w:t> </w:t>
      </w:r>
      <w:r>
        <w:rPr>
          <w:sz w:val="20"/>
        </w:rPr>
        <w:t>acute</w:t>
      </w:r>
      <w:r>
        <w:rPr>
          <w:spacing w:val="-6"/>
          <w:sz w:val="20"/>
        </w:rPr>
        <w:t> </w:t>
      </w:r>
      <w:r>
        <w:rPr>
          <w:sz w:val="20"/>
        </w:rPr>
        <w:t>respiratory</w:t>
      </w:r>
      <w:r>
        <w:rPr>
          <w:spacing w:val="-6"/>
          <w:sz w:val="20"/>
        </w:rPr>
        <w:t> </w:t>
      </w:r>
      <w:r>
        <w:rPr>
          <w:sz w:val="20"/>
        </w:rPr>
        <w:t>failure</w:t>
      </w:r>
      <w:r>
        <w:rPr>
          <w:spacing w:val="-6"/>
          <w:sz w:val="20"/>
        </w:rPr>
        <w:t> </w:t>
      </w:r>
      <w:r>
        <w:rPr>
          <w:sz w:val="20"/>
        </w:rPr>
        <w:t>related</w:t>
      </w:r>
      <w:r>
        <w:rPr>
          <w:spacing w:val="-7"/>
          <w:sz w:val="20"/>
        </w:rPr>
        <w:t> </w:t>
      </w:r>
      <w:r>
        <w:rPr>
          <w:sz w:val="20"/>
        </w:rPr>
        <w:t>to</w:t>
      </w:r>
      <w:r>
        <w:rPr>
          <w:spacing w:val="-6"/>
          <w:sz w:val="20"/>
        </w:rPr>
        <w:t> </w:t>
      </w:r>
      <w:r>
        <w:rPr>
          <w:sz w:val="20"/>
        </w:rPr>
        <w:t>coronavirus-19 disease:</w:t>
      </w:r>
      <w:r>
        <w:rPr>
          <w:spacing w:val="-9"/>
          <w:sz w:val="20"/>
        </w:rPr>
        <w:t> </w:t>
      </w:r>
      <w:r>
        <w:rPr>
          <w:sz w:val="20"/>
        </w:rPr>
        <w:t>a</w:t>
      </w:r>
      <w:r>
        <w:rPr>
          <w:spacing w:val="-9"/>
          <w:sz w:val="20"/>
        </w:rPr>
        <w:t> </w:t>
      </w:r>
      <w:r>
        <w:rPr>
          <w:sz w:val="20"/>
        </w:rPr>
        <w:t>systematic</w:t>
      </w:r>
      <w:r>
        <w:rPr>
          <w:spacing w:val="-9"/>
          <w:sz w:val="20"/>
        </w:rPr>
        <w:t> </w:t>
      </w:r>
      <w:r>
        <w:rPr>
          <w:sz w:val="20"/>
        </w:rPr>
        <w:t>review</w:t>
      </w:r>
      <w:r>
        <w:rPr>
          <w:spacing w:val="-9"/>
          <w:sz w:val="20"/>
        </w:rPr>
        <w:t> </w:t>
      </w:r>
      <w:r>
        <w:rPr>
          <w:sz w:val="20"/>
        </w:rPr>
        <w:t>and</w:t>
      </w:r>
      <w:r>
        <w:rPr>
          <w:spacing w:val="-8"/>
          <w:sz w:val="20"/>
        </w:rPr>
        <w:t> </w:t>
      </w:r>
      <w:r>
        <w:rPr>
          <w:sz w:val="20"/>
        </w:rPr>
        <w:t>meta-analysis.</w:t>
      </w:r>
      <w:r>
        <w:rPr>
          <w:spacing w:val="-9"/>
          <w:sz w:val="20"/>
        </w:rPr>
        <w:t> </w:t>
      </w:r>
      <w:r>
        <w:rPr>
          <w:sz w:val="20"/>
        </w:rPr>
        <w:t>Crit</w:t>
      </w:r>
      <w:r>
        <w:rPr>
          <w:spacing w:val="-9"/>
          <w:sz w:val="20"/>
        </w:rPr>
        <w:t> </w:t>
      </w:r>
      <w:r>
        <w:rPr>
          <w:sz w:val="20"/>
        </w:rPr>
        <w:t>Care.</w:t>
      </w:r>
      <w:r>
        <w:rPr>
          <w:spacing w:val="-8"/>
          <w:sz w:val="20"/>
        </w:rPr>
        <w:t> </w:t>
      </w:r>
      <w:r>
        <w:rPr>
          <w:sz w:val="20"/>
        </w:rPr>
        <w:t>2021</w:t>
      </w:r>
      <w:r>
        <w:rPr>
          <w:spacing w:val="-8"/>
          <w:sz w:val="20"/>
        </w:rPr>
        <w:t> </w:t>
      </w:r>
      <w:r>
        <w:rPr>
          <w:sz w:val="20"/>
        </w:rPr>
        <w:t>Jul</w:t>
      </w:r>
      <w:r>
        <w:rPr>
          <w:spacing w:val="-9"/>
          <w:sz w:val="20"/>
        </w:rPr>
        <w:t> </w:t>
      </w:r>
      <w:r>
        <w:rPr>
          <w:sz w:val="20"/>
        </w:rPr>
        <w:t>30;25(1):268.</w:t>
      </w:r>
      <w:r>
        <w:rPr>
          <w:spacing w:val="-9"/>
          <w:sz w:val="20"/>
        </w:rPr>
        <w:t> </w:t>
      </w:r>
      <w:r>
        <w:rPr>
          <w:sz w:val="20"/>
        </w:rPr>
        <w:t>doi:</w:t>
      </w:r>
      <w:r>
        <w:rPr>
          <w:spacing w:val="-9"/>
          <w:sz w:val="20"/>
        </w:rPr>
        <w:t> </w:t>
      </w:r>
      <w:r>
        <w:rPr>
          <w:sz w:val="20"/>
        </w:rPr>
        <w:t>10.1186/s13054- </w:t>
      </w:r>
      <w:r>
        <w:rPr>
          <w:spacing w:val="-2"/>
          <w:sz w:val="20"/>
        </w:rPr>
        <w:t>021-03697-0.</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Papoutsi E, Giannakoulis VG, Xourgia E, Routsi C, Kotanidou A, Siempos II. Effect of timing of intubation</w:t>
      </w:r>
      <w:r>
        <w:rPr>
          <w:spacing w:val="-7"/>
          <w:sz w:val="20"/>
        </w:rPr>
        <w:t> </w:t>
      </w:r>
      <w:r>
        <w:rPr>
          <w:sz w:val="20"/>
        </w:rPr>
        <w:t>on</w:t>
      </w:r>
      <w:r>
        <w:rPr>
          <w:spacing w:val="-7"/>
          <w:sz w:val="20"/>
        </w:rPr>
        <w:t> </w:t>
      </w:r>
      <w:r>
        <w:rPr>
          <w:sz w:val="20"/>
        </w:rPr>
        <w:t>clinical</w:t>
      </w:r>
      <w:r>
        <w:rPr>
          <w:spacing w:val="-5"/>
          <w:sz w:val="20"/>
        </w:rPr>
        <w:t> </w:t>
      </w:r>
      <w:r>
        <w:rPr>
          <w:sz w:val="20"/>
        </w:rPr>
        <w:t>outcomes</w:t>
      </w:r>
      <w:r>
        <w:rPr>
          <w:spacing w:val="-6"/>
          <w:sz w:val="20"/>
        </w:rPr>
        <w:t> </w:t>
      </w:r>
      <w:r>
        <w:rPr>
          <w:sz w:val="20"/>
        </w:rPr>
        <w:t>of</w:t>
      </w:r>
      <w:r>
        <w:rPr>
          <w:spacing w:val="-5"/>
          <w:sz w:val="20"/>
        </w:rPr>
        <w:t> </w:t>
      </w:r>
      <w:r>
        <w:rPr>
          <w:sz w:val="20"/>
        </w:rPr>
        <w:t>critically</w:t>
      </w:r>
      <w:r>
        <w:rPr>
          <w:spacing w:val="-5"/>
          <w:sz w:val="20"/>
        </w:rPr>
        <w:t> </w:t>
      </w:r>
      <w:r>
        <w:rPr>
          <w:sz w:val="20"/>
        </w:rPr>
        <w:t>ill</w:t>
      </w:r>
      <w:r>
        <w:rPr>
          <w:spacing w:val="-9"/>
          <w:sz w:val="20"/>
        </w:rPr>
        <w:t> </w:t>
      </w:r>
      <w:r>
        <w:rPr>
          <w:sz w:val="20"/>
        </w:rPr>
        <w:t>patients</w:t>
      </w:r>
      <w:r>
        <w:rPr>
          <w:spacing w:val="-6"/>
          <w:sz w:val="20"/>
        </w:rPr>
        <w:t> </w:t>
      </w:r>
      <w:r>
        <w:rPr>
          <w:sz w:val="20"/>
        </w:rPr>
        <w:t>with</w:t>
      </w:r>
      <w:r>
        <w:rPr>
          <w:spacing w:val="-7"/>
          <w:sz w:val="20"/>
        </w:rPr>
        <w:t> </w:t>
      </w:r>
      <w:r>
        <w:rPr>
          <w:sz w:val="20"/>
        </w:rPr>
        <w:t>COVID-19:</w:t>
      </w:r>
      <w:r>
        <w:rPr>
          <w:spacing w:val="-6"/>
          <w:sz w:val="20"/>
        </w:rPr>
        <w:t> </w:t>
      </w:r>
      <w:r>
        <w:rPr>
          <w:sz w:val="20"/>
        </w:rPr>
        <w:t>a</w:t>
      </w:r>
      <w:r>
        <w:rPr>
          <w:spacing w:val="-5"/>
          <w:sz w:val="20"/>
        </w:rPr>
        <w:t> </w:t>
      </w:r>
      <w:r>
        <w:rPr>
          <w:sz w:val="20"/>
        </w:rPr>
        <w:t>systematic</w:t>
      </w:r>
      <w:r>
        <w:rPr>
          <w:spacing w:val="-5"/>
          <w:sz w:val="20"/>
        </w:rPr>
        <w:t> </w:t>
      </w:r>
      <w:r>
        <w:rPr>
          <w:sz w:val="20"/>
        </w:rPr>
        <w:t>review</w:t>
      </w:r>
      <w:r>
        <w:rPr>
          <w:spacing w:val="-5"/>
          <w:sz w:val="20"/>
        </w:rPr>
        <w:t> </w:t>
      </w:r>
      <w:r>
        <w:rPr>
          <w:sz w:val="20"/>
        </w:rPr>
        <w:t>and</w:t>
      </w:r>
      <w:r>
        <w:rPr>
          <w:spacing w:val="-7"/>
          <w:sz w:val="20"/>
        </w:rPr>
        <w:t> </w:t>
      </w:r>
      <w:r>
        <w:rPr>
          <w:sz w:val="20"/>
        </w:rPr>
        <w:t>meta- analysis of non-randomized cohort studies. Crit Care. 2021 Mar 25;25(1):121. doi: 10.1186/s13054- </w:t>
      </w:r>
      <w:r>
        <w:rPr>
          <w:spacing w:val="-2"/>
          <w:sz w:val="20"/>
        </w:rPr>
        <w:t>021-03540-6.</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Li J, Luo J, Pavlov I, Perez Y, Tan W, Roca O, Tavernier E. et al.</w:t>
      </w:r>
      <w:r>
        <w:rPr>
          <w:spacing w:val="40"/>
          <w:sz w:val="20"/>
        </w:rPr>
        <w:t> </w:t>
      </w:r>
      <w:r>
        <w:rPr>
          <w:sz w:val="20"/>
        </w:rPr>
        <w:t>Awake Prone Positioning Meta- Analysis Group. Awake prone positioning for non-intubated patients with COVID-19-related acute hypoxaemic respiratory failure: a systematic review and meta-analysis. Lancet Respir Med. 2022 Jun;10(6):573-583. doi: 10.1016/S2213-2600(22)00043-1.</w:t>
      </w:r>
    </w:p>
    <w:p>
      <w:pPr>
        <w:pStyle w:val="ListParagraph"/>
        <w:spacing w:after="0" w:line="240" w:lineRule="auto"/>
        <w:jc w:val="both"/>
        <w:rPr>
          <w:sz w:val="20"/>
        </w:rPr>
        <w:sectPr>
          <w:pgSz w:w="11900" w:h="16840"/>
          <w:pgMar w:header="0" w:footer="697" w:top="1080" w:bottom="880" w:left="0" w:right="0"/>
        </w:sectPr>
      </w:pPr>
    </w:p>
    <w:p>
      <w:pPr>
        <w:pStyle w:val="ListParagraph"/>
        <w:numPr>
          <w:ilvl w:val="0"/>
          <w:numId w:val="67"/>
        </w:numPr>
        <w:tabs>
          <w:tab w:pos="2405" w:val="left" w:leader="none"/>
          <w:tab w:pos="2407" w:val="left" w:leader="none"/>
        </w:tabs>
        <w:spacing w:line="240" w:lineRule="auto" w:before="74" w:after="0"/>
        <w:ind w:left="2407" w:right="1274" w:hanging="566"/>
        <w:jc w:val="both"/>
        <w:rPr>
          <w:sz w:val="20"/>
        </w:rPr>
      </w:pPr>
      <w:bookmarkStart w:name="156" w:id="184"/>
      <w:bookmarkEnd w:id="184"/>
      <w:r>
        <w:rPr/>
      </w:r>
      <w:r>
        <w:rPr>
          <w:sz w:val="20"/>
        </w:rPr>
        <w:t>Connors J.M., Brooks M.M.,</w:t>
      </w:r>
      <w:r>
        <w:rPr>
          <w:spacing w:val="40"/>
          <w:sz w:val="20"/>
        </w:rPr>
        <w:t> </w:t>
      </w:r>
      <w:r>
        <w:rPr>
          <w:sz w:val="20"/>
        </w:rPr>
        <w:t>Sciurba F.C., et al. Effect of Antithrombotic Therapy on Clinical Outcomes</w:t>
      </w:r>
      <w:r>
        <w:rPr>
          <w:spacing w:val="-13"/>
          <w:sz w:val="20"/>
        </w:rPr>
        <w:t> </w:t>
      </w:r>
      <w:r>
        <w:rPr>
          <w:sz w:val="20"/>
        </w:rPr>
        <w:t>in</w:t>
      </w:r>
      <w:r>
        <w:rPr>
          <w:spacing w:val="-12"/>
          <w:sz w:val="20"/>
        </w:rPr>
        <w:t> </w:t>
      </w:r>
      <w:r>
        <w:rPr>
          <w:sz w:val="20"/>
        </w:rPr>
        <w:t>Outpatients</w:t>
      </w:r>
      <w:r>
        <w:rPr>
          <w:spacing w:val="-13"/>
          <w:sz w:val="20"/>
        </w:rPr>
        <w:t> </w:t>
      </w:r>
      <w:r>
        <w:rPr>
          <w:sz w:val="20"/>
        </w:rPr>
        <w:t>With</w:t>
      </w:r>
      <w:r>
        <w:rPr>
          <w:spacing w:val="-12"/>
          <w:sz w:val="20"/>
        </w:rPr>
        <w:t> </w:t>
      </w:r>
      <w:r>
        <w:rPr>
          <w:sz w:val="20"/>
        </w:rPr>
        <w:t>Clinically</w:t>
      </w:r>
      <w:r>
        <w:rPr>
          <w:spacing w:val="-13"/>
          <w:sz w:val="20"/>
        </w:rPr>
        <w:t> </w:t>
      </w:r>
      <w:r>
        <w:rPr>
          <w:sz w:val="20"/>
        </w:rPr>
        <w:t>Stable</w:t>
      </w:r>
      <w:r>
        <w:rPr>
          <w:spacing w:val="-12"/>
          <w:sz w:val="20"/>
        </w:rPr>
        <w:t> </w:t>
      </w:r>
      <w:r>
        <w:rPr>
          <w:sz w:val="20"/>
        </w:rPr>
        <w:t>Symptomatic</w:t>
      </w:r>
      <w:r>
        <w:rPr>
          <w:spacing w:val="-13"/>
          <w:sz w:val="20"/>
        </w:rPr>
        <w:t> </w:t>
      </w:r>
      <w:r>
        <w:rPr>
          <w:sz w:val="20"/>
        </w:rPr>
        <w:t>COVID-19:</w:t>
      </w:r>
      <w:r>
        <w:rPr>
          <w:spacing w:val="-12"/>
          <w:sz w:val="20"/>
        </w:rPr>
        <w:t> </w:t>
      </w:r>
      <w:r>
        <w:rPr>
          <w:sz w:val="20"/>
        </w:rPr>
        <w:t>The</w:t>
      </w:r>
      <w:r>
        <w:rPr>
          <w:spacing w:val="-13"/>
          <w:sz w:val="20"/>
        </w:rPr>
        <w:t> </w:t>
      </w:r>
      <w:r>
        <w:rPr>
          <w:sz w:val="20"/>
        </w:rPr>
        <w:t>ACTIV-4B</w:t>
      </w:r>
      <w:r>
        <w:rPr>
          <w:spacing w:val="-12"/>
          <w:sz w:val="20"/>
        </w:rPr>
        <w:t> </w:t>
      </w:r>
      <w:r>
        <w:rPr>
          <w:sz w:val="20"/>
        </w:rPr>
        <w:t>Randomized Clinical Trial. JAMA 2021; 326: 1703-1712. doi: 10.1001/jama.2021.17272.</w:t>
      </w:r>
    </w:p>
    <w:p>
      <w:pPr>
        <w:pStyle w:val="ListParagraph"/>
        <w:numPr>
          <w:ilvl w:val="0"/>
          <w:numId w:val="67"/>
        </w:numPr>
        <w:tabs>
          <w:tab w:pos="2405" w:val="left" w:leader="none"/>
          <w:tab w:pos="2407" w:val="left" w:leader="none"/>
        </w:tabs>
        <w:spacing w:line="240" w:lineRule="auto" w:before="0" w:after="0"/>
        <w:ind w:left="2407" w:right="1275" w:hanging="566"/>
        <w:jc w:val="both"/>
        <w:rPr>
          <w:sz w:val="20"/>
        </w:rPr>
      </w:pPr>
      <w:r>
        <w:rPr>
          <w:sz w:val="20"/>
        </w:rPr>
        <w:t>Ananworanich J.,</w:t>
      </w:r>
      <w:r>
        <w:rPr>
          <w:spacing w:val="40"/>
          <w:sz w:val="20"/>
        </w:rPr>
        <w:t> </w:t>
      </w:r>
      <w:r>
        <w:rPr>
          <w:sz w:val="20"/>
        </w:rPr>
        <w:t>Mogg R.,</w:t>
      </w:r>
      <w:r>
        <w:rPr>
          <w:spacing w:val="40"/>
          <w:sz w:val="20"/>
        </w:rPr>
        <w:t> </w:t>
      </w:r>
      <w:r>
        <w:rPr>
          <w:sz w:val="20"/>
        </w:rPr>
        <w:t>Dunne M.W., et al. Randomized Study of Rivaroxaban vs Placebo on Disease Progression and Symptoms Resolution in High-Risk Adults With Mild Coronavirus Disease 2019.</w:t>
      </w:r>
      <w:r>
        <w:rPr>
          <w:spacing w:val="-5"/>
          <w:sz w:val="20"/>
        </w:rPr>
        <w:t> </w:t>
      </w:r>
      <w:r>
        <w:rPr>
          <w:sz w:val="20"/>
        </w:rPr>
        <w:t>Clin</w:t>
      </w:r>
      <w:r>
        <w:rPr>
          <w:spacing w:val="-3"/>
          <w:sz w:val="20"/>
        </w:rPr>
        <w:t> </w:t>
      </w:r>
      <w:r>
        <w:rPr>
          <w:sz w:val="20"/>
        </w:rPr>
        <w:t>Infect</w:t>
      </w:r>
      <w:r>
        <w:rPr>
          <w:spacing w:val="-4"/>
          <w:sz w:val="20"/>
        </w:rPr>
        <w:t> </w:t>
      </w:r>
      <w:r>
        <w:rPr>
          <w:sz w:val="20"/>
        </w:rPr>
        <w:t>Dis</w:t>
      </w:r>
      <w:r>
        <w:rPr>
          <w:spacing w:val="-4"/>
          <w:sz w:val="20"/>
        </w:rPr>
        <w:t> </w:t>
      </w:r>
      <w:r>
        <w:rPr>
          <w:sz w:val="20"/>
        </w:rPr>
        <w:t>2022;</w:t>
      </w:r>
      <w:r>
        <w:rPr>
          <w:spacing w:val="-4"/>
          <w:sz w:val="20"/>
        </w:rPr>
        <w:t> </w:t>
      </w:r>
      <w:r>
        <w:rPr>
          <w:sz w:val="20"/>
        </w:rPr>
        <w:t>75:</w:t>
      </w:r>
      <w:r>
        <w:rPr>
          <w:spacing w:val="-4"/>
          <w:sz w:val="20"/>
        </w:rPr>
        <w:t> </w:t>
      </w:r>
      <w:r>
        <w:rPr>
          <w:sz w:val="20"/>
        </w:rPr>
        <w:t>e473–e481.</w:t>
      </w:r>
      <w:r>
        <w:rPr>
          <w:spacing w:val="-5"/>
          <w:sz w:val="20"/>
        </w:rPr>
        <w:t> </w:t>
      </w:r>
      <w:r>
        <w:rPr>
          <w:sz w:val="20"/>
        </w:rPr>
        <w:t>doi:10.1093/cid/ciab813.Barco</w:t>
      </w:r>
      <w:r>
        <w:rPr>
          <w:spacing w:val="-2"/>
          <w:sz w:val="20"/>
        </w:rPr>
        <w:t> </w:t>
      </w:r>
      <w:r>
        <w:rPr>
          <w:sz w:val="20"/>
        </w:rPr>
        <w:t>S.,</w:t>
      </w:r>
      <w:r>
        <w:rPr>
          <w:spacing w:val="-5"/>
          <w:sz w:val="20"/>
        </w:rPr>
        <w:t> </w:t>
      </w:r>
      <w:r>
        <w:rPr>
          <w:sz w:val="20"/>
        </w:rPr>
        <w:t>Voci</w:t>
      </w:r>
      <w:r>
        <w:rPr>
          <w:spacing w:val="-3"/>
          <w:sz w:val="20"/>
        </w:rPr>
        <w:t> </w:t>
      </w:r>
      <w:r>
        <w:rPr>
          <w:sz w:val="20"/>
        </w:rPr>
        <w:t>D.,</w:t>
      </w:r>
      <w:r>
        <w:rPr>
          <w:spacing w:val="-3"/>
          <w:sz w:val="20"/>
        </w:rPr>
        <w:t> </w:t>
      </w:r>
      <w:r>
        <w:rPr>
          <w:sz w:val="20"/>
        </w:rPr>
        <w:t>Held</w:t>
      </w:r>
      <w:r>
        <w:rPr>
          <w:spacing w:val="-3"/>
          <w:sz w:val="20"/>
        </w:rPr>
        <w:t> </w:t>
      </w:r>
      <w:r>
        <w:rPr>
          <w:sz w:val="20"/>
        </w:rPr>
        <w:t>U.,</w:t>
      </w:r>
      <w:r>
        <w:rPr>
          <w:spacing w:val="-3"/>
          <w:sz w:val="20"/>
        </w:rPr>
        <w:t> </w:t>
      </w:r>
      <w:r>
        <w:rPr>
          <w:sz w:val="20"/>
        </w:rPr>
        <w:t>et</w:t>
      </w:r>
      <w:r>
        <w:rPr>
          <w:spacing w:val="-3"/>
          <w:sz w:val="20"/>
        </w:rPr>
        <w:t> </w:t>
      </w:r>
      <w:r>
        <w:rPr>
          <w:sz w:val="20"/>
        </w:rPr>
        <w:t>al., on behalf of the OVID investigators.</w:t>
      </w:r>
      <w:r>
        <w:rPr>
          <w:spacing w:val="40"/>
          <w:sz w:val="20"/>
        </w:rPr>
        <w:t> </w:t>
      </w:r>
      <w:r>
        <w:rPr>
          <w:sz w:val="20"/>
        </w:rPr>
        <w:t>Enoxaparin for primary thromboprophylaxis in symptomatic outpatients with COVID-19 (OVID): a randomised, open-label, parallel-group, multicentre, phase 3 trial. Lancet Haematol 2022; 9: e585-593. doi:10.1016/ S2352-3026(22)00175-2.</w:t>
      </w:r>
    </w:p>
    <w:p>
      <w:pPr>
        <w:pStyle w:val="ListParagraph"/>
        <w:numPr>
          <w:ilvl w:val="0"/>
          <w:numId w:val="67"/>
        </w:numPr>
        <w:tabs>
          <w:tab w:pos="2405" w:val="left" w:leader="none"/>
          <w:tab w:pos="2407" w:val="left" w:leader="none"/>
        </w:tabs>
        <w:spacing w:line="240" w:lineRule="auto" w:before="0" w:after="0"/>
        <w:ind w:left="2407" w:right="1273" w:hanging="566"/>
        <w:jc w:val="both"/>
        <w:rPr>
          <w:sz w:val="20"/>
        </w:rPr>
      </w:pPr>
      <w:r>
        <w:rPr>
          <w:sz w:val="20"/>
        </w:rPr>
        <w:t>Cools F., Virdone S., Sawhney J., et al., for the ETHIC investigators. Thromboprophylactic low- molecular-weight heparin versus standard of care in unvaccinated, at-risk outpatients with COVID-19 (ETHIC):</w:t>
      </w:r>
      <w:r>
        <w:rPr>
          <w:spacing w:val="-5"/>
          <w:sz w:val="20"/>
        </w:rPr>
        <w:t> </w:t>
      </w:r>
      <w:r>
        <w:rPr>
          <w:sz w:val="20"/>
        </w:rPr>
        <w:t>an</w:t>
      </w:r>
      <w:r>
        <w:rPr>
          <w:spacing w:val="-3"/>
          <w:sz w:val="20"/>
        </w:rPr>
        <w:t> </w:t>
      </w:r>
      <w:r>
        <w:rPr>
          <w:sz w:val="20"/>
        </w:rPr>
        <w:t>open-label,</w:t>
      </w:r>
      <w:r>
        <w:rPr>
          <w:spacing w:val="-6"/>
          <w:sz w:val="20"/>
        </w:rPr>
        <w:t> </w:t>
      </w:r>
      <w:r>
        <w:rPr>
          <w:sz w:val="20"/>
        </w:rPr>
        <w:t>multicentre,</w:t>
      </w:r>
      <w:r>
        <w:rPr>
          <w:spacing w:val="-4"/>
          <w:sz w:val="20"/>
        </w:rPr>
        <w:t> </w:t>
      </w:r>
      <w:r>
        <w:rPr>
          <w:sz w:val="20"/>
        </w:rPr>
        <w:t>randomised,</w:t>
      </w:r>
      <w:r>
        <w:rPr>
          <w:spacing w:val="-6"/>
          <w:sz w:val="20"/>
        </w:rPr>
        <w:t> </w:t>
      </w:r>
      <w:r>
        <w:rPr>
          <w:sz w:val="20"/>
        </w:rPr>
        <w:t>controlled, phase</w:t>
      </w:r>
      <w:r>
        <w:rPr>
          <w:spacing w:val="-4"/>
          <w:sz w:val="20"/>
        </w:rPr>
        <w:t> </w:t>
      </w:r>
      <w:r>
        <w:rPr>
          <w:sz w:val="20"/>
        </w:rPr>
        <w:t>3b</w:t>
      </w:r>
      <w:r>
        <w:rPr>
          <w:spacing w:val="-3"/>
          <w:sz w:val="20"/>
        </w:rPr>
        <w:t> </w:t>
      </w:r>
      <w:r>
        <w:rPr>
          <w:sz w:val="20"/>
        </w:rPr>
        <w:t>trial.</w:t>
      </w:r>
      <w:r>
        <w:rPr>
          <w:spacing w:val="-4"/>
          <w:sz w:val="20"/>
        </w:rPr>
        <w:t> </w:t>
      </w:r>
      <w:r>
        <w:rPr>
          <w:sz w:val="20"/>
        </w:rPr>
        <w:t>Lancet</w:t>
      </w:r>
      <w:r>
        <w:rPr>
          <w:spacing w:val="-5"/>
          <w:sz w:val="20"/>
        </w:rPr>
        <w:t> </w:t>
      </w:r>
      <w:r>
        <w:rPr>
          <w:sz w:val="20"/>
        </w:rPr>
        <w:t>Haematol</w:t>
      </w:r>
      <w:r>
        <w:rPr>
          <w:spacing w:val="-5"/>
          <w:sz w:val="20"/>
        </w:rPr>
        <w:t> </w:t>
      </w:r>
      <w:r>
        <w:rPr>
          <w:sz w:val="20"/>
        </w:rPr>
        <w:t>2022;</w:t>
      </w:r>
      <w:r>
        <w:rPr>
          <w:spacing w:val="-5"/>
          <w:sz w:val="20"/>
        </w:rPr>
        <w:t> </w:t>
      </w:r>
      <w:r>
        <w:rPr>
          <w:sz w:val="20"/>
        </w:rPr>
        <w:t>9: e594–604. doi:10.1016/ S2352-3026(22)00173-9.</w:t>
      </w:r>
    </w:p>
    <w:p>
      <w:pPr>
        <w:pStyle w:val="ListParagraph"/>
        <w:numPr>
          <w:ilvl w:val="0"/>
          <w:numId w:val="67"/>
        </w:numPr>
        <w:tabs>
          <w:tab w:pos="2405" w:val="left" w:leader="none"/>
          <w:tab w:pos="2407" w:val="left" w:leader="none"/>
        </w:tabs>
        <w:spacing w:line="237" w:lineRule="auto" w:before="0" w:after="0"/>
        <w:ind w:left="2407" w:right="1276" w:hanging="566"/>
        <w:jc w:val="both"/>
        <w:rPr>
          <w:sz w:val="20"/>
        </w:rPr>
      </w:pPr>
      <w:r>
        <w:rPr>
          <w:sz w:val="20"/>
        </w:rPr>
        <w:t>Hughes S. No Benefit of Rivaroxaban in COVID Outpatients: PREVENT-HD. </w:t>
      </w:r>
      <w:r>
        <w:rPr>
          <w:spacing w:val="-2"/>
          <w:sz w:val="20"/>
        </w:rPr>
        <w:t>https</w:t>
      </w:r>
      <w:hyperlink r:id="rId51">
        <w:r>
          <w:rPr>
            <w:spacing w:val="-2"/>
            <w:sz w:val="20"/>
          </w:rPr>
          <w:t>://www.medscape.com/viewarticle/983877#vp_2.</w:t>
        </w:r>
      </w:hyperlink>
    </w:p>
    <w:p>
      <w:pPr>
        <w:pStyle w:val="ListParagraph"/>
        <w:numPr>
          <w:ilvl w:val="0"/>
          <w:numId w:val="67"/>
        </w:numPr>
        <w:tabs>
          <w:tab w:pos="2405" w:val="left" w:leader="none"/>
          <w:tab w:pos="2407" w:val="left" w:leader="none"/>
        </w:tabs>
        <w:spacing w:line="240" w:lineRule="auto" w:before="1" w:after="0"/>
        <w:ind w:left="2407" w:right="1275" w:hanging="566"/>
        <w:jc w:val="both"/>
        <w:rPr>
          <w:sz w:val="20"/>
        </w:rPr>
      </w:pPr>
      <w:r>
        <w:rPr>
          <w:sz w:val="20"/>
        </w:rPr>
        <w:t>Bavry A.A. Apixaban for Prophylaxis of Thromboembolic Outcomes in COVID-19 – APOLLO. </w:t>
      </w:r>
      <w:r>
        <w:rPr>
          <w:spacing w:val="-2"/>
          <w:sz w:val="20"/>
        </w:rPr>
        <w:t>https</w:t>
      </w:r>
      <w:hyperlink r:id="rId52">
        <w:r>
          <w:rPr>
            <w:spacing w:val="-2"/>
            <w:sz w:val="20"/>
          </w:rPr>
          <w:t>://www.acc.org/latest-in-cardiology/clinical-trials/2022/08/27/04/14/apollo.</w:t>
        </w:r>
      </w:hyperlink>
    </w:p>
    <w:p>
      <w:pPr>
        <w:pStyle w:val="ListParagraph"/>
        <w:numPr>
          <w:ilvl w:val="0"/>
          <w:numId w:val="67"/>
        </w:numPr>
        <w:tabs>
          <w:tab w:pos="2405" w:val="left" w:leader="none"/>
          <w:tab w:pos="2407" w:val="left" w:leader="none"/>
        </w:tabs>
        <w:spacing w:line="240" w:lineRule="auto" w:before="1" w:after="0"/>
        <w:ind w:left="2407" w:right="1280" w:hanging="566"/>
        <w:jc w:val="both"/>
        <w:rPr>
          <w:sz w:val="20"/>
        </w:rPr>
      </w:pPr>
      <w:r>
        <w:rPr>
          <w:sz w:val="20"/>
        </w:rPr>
        <w:t>Eikelboom</w:t>
      </w:r>
      <w:r>
        <w:rPr>
          <w:spacing w:val="-1"/>
          <w:sz w:val="20"/>
        </w:rPr>
        <w:t> </w:t>
      </w:r>
      <w:r>
        <w:rPr>
          <w:sz w:val="20"/>
        </w:rPr>
        <w:t>J.W.,</w:t>
      </w:r>
      <w:r>
        <w:rPr>
          <w:spacing w:val="-2"/>
          <w:sz w:val="20"/>
        </w:rPr>
        <w:t> </w:t>
      </w:r>
      <w:r>
        <w:rPr>
          <w:sz w:val="20"/>
        </w:rPr>
        <w:t>Jolly</w:t>
      </w:r>
      <w:r>
        <w:rPr>
          <w:spacing w:val="-1"/>
          <w:sz w:val="20"/>
        </w:rPr>
        <w:t> </w:t>
      </w:r>
      <w:r>
        <w:rPr>
          <w:sz w:val="20"/>
        </w:rPr>
        <w:t>S.S.,</w:t>
      </w:r>
      <w:r>
        <w:rPr>
          <w:spacing w:val="-1"/>
          <w:sz w:val="20"/>
        </w:rPr>
        <w:t> </w:t>
      </w:r>
      <w:r>
        <w:rPr>
          <w:sz w:val="20"/>
        </w:rPr>
        <w:t>Belley-Cote</w:t>
      </w:r>
      <w:r>
        <w:rPr>
          <w:spacing w:val="-2"/>
          <w:sz w:val="20"/>
        </w:rPr>
        <w:t> </w:t>
      </w:r>
      <w:r>
        <w:rPr>
          <w:sz w:val="20"/>
        </w:rPr>
        <w:t>E.P.,</w:t>
      </w:r>
      <w:r>
        <w:rPr>
          <w:spacing w:val="-1"/>
          <w:sz w:val="20"/>
        </w:rPr>
        <w:t> </w:t>
      </w:r>
      <w:r>
        <w:rPr>
          <w:sz w:val="20"/>
        </w:rPr>
        <w:t>et</w:t>
      </w:r>
      <w:r>
        <w:rPr>
          <w:spacing w:val="-2"/>
          <w:sz w:val="20"/>
        </w:rPr>
        <w:t> </w:t>
      </w:r>
      <w:r>
        <w:rPr>
          <w:sz w:val="20"/>
        </w:rPr>
        <w:t>al.</w:t>
      </w:r>
      <w:r>
        <w:rPr>
          <w:spacing w:val="-1"/>
          <w:sz w:val="20"/>
        </w:rPr>
        <w:t> </w:t>
      </w:r>
      <w:r>
        <w:rPr>
          <w:sz w:val="20"/>
        </w:rPr>
        <w:t>Colchicine</w:t>
      </w:r>
      <w:r>
        <w:rPr>
          <w:spacing w:val="-2"/>
          <w:sz w:val="20"/>
        </w:rPr>
        <w:t> </w:t>
      </w:r>
      <w:r>
        <w:rPr>
          <w:sz w:val="20"/>
        </w:rPr>
        <w:t>and</w:t>
      </w:r>
      <w:r>
        <w:rPr>
          <w:spacing w:val="-1"/>
          <w:sz w:val="20"/>
        </w:rPr>
        <w:t> </w:t>
      </w:r>
      <w:r>
        <w:rPr>
          <w:sz w:val="20"/>
        </w:rPr>
        <w:t>aspirin</w:t>
      </w:r>
      <w:r>
        <w:rPr>
          <w:spacing w:val="-3"/>
          <w:sz w:val="20"/>
        </w:rPr>
        <w:t> </w:t>
      </w:r>
      <w:r>
        <w:rPr>
          <w:sz w:val="20"/>
        </w:rPr>
        <w:t>in</w:t>
      </w:r>
      <w:r>
        <w:rPr>
          <w:spacing w:val="-1"/>
          <w:sz w:val="20"/>
        </w:rPr>
        <w:t> </w:t>
      </w:r>
      <w:r>
        <w:rPr>
          <w:sz w:val="20"/>
        </w:rPr>
        <w:t>community</w:t>
      </w:r>
      <w:r>
        <w:rPr>
          <w:spacing w:val="-4"/>
          <w:sz w:val="20"/>
        </w:rPr>
        <w:t> </w:t>
      </w:r>
      <w:r>
        <w:rPr>
          <w:sz w:val="20"/>
        </w:rPr>
        <w:t>patients</w:t>
      </w:r>
      <w:r>
        <w:rPr>
          <w:spacing w:val="-3"/>
          <w:sz w:val="20"/>
        </w:rPr>
        <w:t> </w:t>
      </w:r>
      <w:r>
        <w:rPr>
          <w:sz w:val="20"/>
        </w:rPr>
        <w:t>with COVID-19 (ACT): an open-label, factorial, randomised, controlled trial. Lancet Respir Med 2022; doi:10.1016/ S2213-2600(22)00299-5.</w:t>
      </w:r>
    </w:p>
    <w:p>
      <w:pPr>
        <w:pStyle w:val="ListParagraph"/>
        <w:numPr>
          <w:ilvl w:val="0"/>
          <w:numId w:val="67"/>
        </w:numPr>
        <w:tabs>
          <w:tab w:pos="2405" w:val="left" w:leader="none"/>
          <w:tab w:pos="2407" w:val="left" w:leader="none"/>
        </w:tabs>
        <w:spacing w:line="240" w:lineRule="auto" w:before="0" w:after="0"/>
        <w:ind w:left="2407" w:right="1271" w:hanging="566"/>
        <w:jc w:val="both"/>
        <w:rPr>
          <w:sz w:val="20"/>
        </w:rPr>
      </w:pPr>
      <w:r>
        <w:rPr>
          <w:sz w:val="20"/>
        </w:rPr>
        <w:t>Bohula E.A., Berg D.D., Lopes M.S., et al., COVID-PACT Investigators. Anticoagulation and Antiplatelet</w:t>
      </w:r>
      <w:r>
        <w:rPr>
          <w:spacing w:val="-5"/>
          <w:sz w:val="20"/>
        </w:rPr>
        <w:t> </w:t>
      </w:r>
      <w:r>
        <w:rPr>
          <w:sz w:val="20"/>
        </w:rPr>
        <w:t>Therapy</w:t>
      </w:r>
      <w:r>
        <w:rPr>
          <w:spacing w:val="-7"/>
          <w:sz w:val="20"/>
        </w:rPr>
        <w:t> </w:t>
      </w:r>
      <w:r>
        <w:rPr>
          <w:sz w:val="20"/>
        </w:rPr>
        <w:t>for</w:t>
      </w:r>
      <w:r>
        <w:rPr>
          <w:spacing w:val="-7"/>
          <w:sz w:val="20"/>
        </w:rPr>
        <w:t> </w:t>
      </w:r>
      <w:r>
        <w:rPr>
          <w:sz w:val="20"/>
        </w:rPr>
        <w:t>Prevention</w:t>
      </w:r>
      <w:r>
        <w:rPr>
          <w:spacing w:val="-5"/>
          <w:sz w:val="20"/>
        </w:rPr>
        <w:t> </w:t>
      </w:r>
      <w:r>
        <w:rPr>
          <w:sz w:val="20"/>
        </w:rPr>
        <w:t>of</w:t>
      </w:r>
      <w:r>
        <w:rPr>
          <w:spacing w:val="-5"/>
          <w:sz w:val="20"/>
        </w:rPr>
        <w:t> </w:t>
      </w:r>
      <w:r>
        <w:rPr>
          <w:sz w:val="20"/>
        </w:rPr>
        <w:t>Venous</w:t>
      </w:r>
      <w:r>
        <w:rPr>
          <w:spacing w:val="-6"/>
          <w:sz w:val="20"/>
        </w:rPr>
        <w:t> </w:t>
      </w:r>
      <w:r>
        <w:rPr>
          <w:sz w:val="20"/>
        </w:rPr>
        <w:t>and</w:t>
      </w:r>
      <w:r>
        <w:rPr>
          <w:spacing w:val="-7"/>
          <w:sz w:val="20"/>
        </w:rPr>
        <w:t> </w:t>
      </w:r>
      <w:r>
        <w:rPr>
          <w:sz w:val="20"/>
        </w:rPr>
        <w:t>Arterial</w:t>
      </w:r>
      <w:r>
        <w:rPr>
          <w:spacing w:val="-8"/>
          <w:sz w:val="20"/>
        </w:rPr>
        <w:t> </w:t>
      </w:r>
      <w:r>
        <w:rPr>
          <w:sz w:val="20"/>
        </w:rPr>
        <w:t>Thrombotic</w:t>
      </w:r>
      <w:r>
        <w:rPr>
          <w:spacing w:val="-6"/>
          <w:sz w:val="20"/>
        </w:rPr>
        <w:t> </w:t>
      </w:r>
      <w:r>
        <w:rPr>
          <w:sz w:val="20"/>
        </w:rPr>
        <w:t>Events</w:t>
      </w:r>
      <w:r>
        <w:rPr>
          <w:spacing w:val="-6"/>
          <w:sz w:val="20"/>
        </w:rPr>
        <w:t> </w:t>
      </w:r>
      <w:r>
        <w:rPr>
          <w:sz w:val="20"/>
        </w:rPr>
        <w:t>in</w:t>
      </w:r>
      <w:r>
        <w:rPr>
          <w:spacing w:val="-5"/>
          <w:sz w:val="20"/>
        </w:rPr>
        <w:t> </w:t>
      </w:r>
      <w:r>
        <w:rPr>
          <w:sz w:val="20"/>
        </w:rPr>
        <w:t>Critically</w:t>
      </w:r>
      <w:r>
        <w:rPr>
          <w:spacing w:val="-5"/>
          <w:sz w:val="20"/>
        </w:rPr>
        <w:t> </w:t>
      </w:r>
      <w:r>
        <w:rPr>
          <w:sz w:val="20"/>
        </w:rPr>
        <w:t>Ill</w:t>
      </w:r>
      <w:r>
        <w:rPr>
          <w:spacing w:val="-6"/>
          <w:sz w:val="20"/>
        </w:rPr>
        <w:t> </w:t>
      </w:r>
      <w:r>
        <w:rPr>
          <w:sz w:val="20"/>
        </w:rPr>
        <w:t>Patients With COVID-19: COVID-PACT. Circulation 2022; 146: 1344-1356. doi: </w:t>
      </w:r>
      <w:r>
        <w:rPr>
          <w:spacing w:val="-2"/>
          <w:sz w:val="20"/>
        </w:rPr>
        <w:t>10.1161/CIRCULATIONAHA.122.061533.</w:t>
      </w:r>
    </w:p>
    <w:p>
      <w:pPr>
        <w:pStyle w:val="ListParagraph"/>
        <w:numPr>
          <w:ilvl w:val="0"/>
          <w:numId w:val="67"/>
        </w:numPr>
        <w:tabs>
          <w:tab w:pos="2405" w:val="left" w:leader="none"/>
          <w:tab w:pos="2407" w:val="left" w:leader="none"/>
        </w:tabs>
        <w:spacing w:line="240" w:lineRule="auto" w:before="0" w:after="0"/>
        <w:ind w:left="2407" w:right="1282" w:hanging="566"/>
        <w:jc w:val="both"/>
        <w:rPr>
          <w:sz w:val="20"/>
        </w:rPr>
      </w:pPr>
      <w:r>
        <w:rPr>
          <w:sz w:val="20"/>
        </w:rPr>
        <w:t>Zhang</w:t>
      </w:r>
      <w:r>
        <w:rPr>
          <w:spacing w:val="-2"/>
          <w:sz w:val="20"/>
        </w:rPr>
        <w:t> </w:t>
      </w:r>
      <w:r>
        <w:rPr>
          <w:sz w:val="20"/>
        </w:rPr>
        <w:t>W.</w:t>
      </w:r>
      <w:r>
        <w:rPr>
          <w:spacing w:val="-1"/>
          <w:sz w:val="20"/>
        </w:rPr>
        <w:t> </w:t>
      </w:r>
      <w:r>
        <w:rPr>
          <w:sz w:val="20"/>
        </w:rPr>
        <w:t>et</w:t>
      </w:r>
      <w:r>
        <w:rPr>
          <w:spacing w:val="-1"/>
          <w:sz w:val="20"/>
        </w:rPr>
        <w:t> </w:t>
      </w:r>
      <w:r>
        <w:rPr>
          <w:sz w:val="20"/>
        </w:rPr>
        <w:t>al.</w:t>
      </w:r>
      <w:r>
        <w:rPr>
          <w:spacing w:val="-3"/>
          <w:sz w:val="20"/>
        </w:rPr>
        <w:t> </w:t>
      </w:r>
      <w:r>
        <w:rPr>
          <w:sz w:val="20"/>
        </w:rPr>
        <w:t>The</w:t>
      </w:r>
      <w:r>
        <w:rPr>
          <w:spacing w:val="-3"/>
          <w:sz w:val="20"/>
        </w:rPr>
        <w:t> </w:t>
      </w:r>
      <w:r>
        <w:rPr>
          <w:sz w:val="20"/>
        </w:rPr>
        <w:t>use</w:t>
      </w:r>
      <w:r>
        <w:rPr>
          <w:spacing w:val="-1"/>
          <w:sz w:val="20"/>
        </w:rPr>
        <w:t> </w:t>
      </w:r>
      <w:r>
        <w:rPr>
          <w:sz w:val="20"/>
        </w:rPr>
        <w:t>of anti-inflammatory</w:t>
      </w:r>
      <w:r>
        <w:rPr>
          <w:spacing w:val="-2"/>
          <w:sz w:val="20"/>
        </w:rPr>
        <w:t> </w:t>
      </w:r>
      <w:r>
        <w:rPr>
          <w:sz w:val="20"/>
        </w:rPr>
        <w:t>drugs</w:t>
      </w:r>
      <w:r>
        <w:rPr>
          <w:spacing w:val="-2"/>
          <w:sz w:val="20"/>
        </w:rPr>
        <w:t> </w:t>
      </w:r>
      <w:r>
        <w:rPr>
          <w:sz w:val="20"/>
        </w:rPr>
        <w:t>in the</w:t>
      </w:r>
      <w:r>
        <w:rPr>
          <w:spacing w:val="-3"/>
          <w:sz w:val="20"/>
        </w:rPr>
        <w:t> </w:t>
      </w:r>
      <w:r>
        <w:rPr>
          <w:sz w:val="20"/>
        </w:rPr>
        <w:t>treatment</w:t>
      </w:r>
      <w:r>
        <w:rPr>
          <w:spacing w:val="-1"/>
          <w:sz w:val="20"/>
        </w:rPr>
        <w:t> </w:t>
      </w:r>
      <w:r>
        <w:rPr>
          <w:sz w:val="20"/>
        </w:rPr>
        <w:t>of</w:t>
      </w:r>
      <w:r>
        <w:rPr>
          <w:spacing w:val="-3"/>
          <w:sz w:val="20"/>
        </w:rPr>
        <w:t> </w:t>
      </w:r>
      <w:r>
        <w:rPr>
          <w:sz w:val="20"/>
        </w:rPr>
        <w:t>people</w:t>
      </w:r>
      <w:r>
        <w:rPr>
          <w:spacing w:val="-1"/>
          <w:sz w:val="20"/>
        </w:rPr>
        <w:t> </w:t>
      </w:r>
      <w:r>
        <w:rPr>
          <w:sz w:val="20"/>
        </w:rPr>
        <w:t>with</w:t>
      </w:r>
      <w:r>
        <w:rPr>
          <w:spacing w:val="-2"/>
          <w:sz w:val="20"/>
        </w:rPr>
        <w:t> </w:t>
      </w:r>
      <w:r>
        <w:rPr>
          <w:sz w:val="20"/>
        </w:rPr>
        <w:t>severe</w:t>
      </w:r>
      <w:r>
        <w:rPr>
          <w:spacing w:val="-3"/>
          <w:sz w:val="20"/>
        </w:rPr>
        <w:t> </w:t>
      </w:r>
      <w:r>
        <w:rPr>
          <w:sz w:val="20"/>
        </w:rPr>
        <w:t>coronavirus </w:t>
      </w:r>
      <w:r>
        <w:rPr>
          <w:spacing w:val="-2"/>
          <w:sz w:val="20"/>
        </w:rPr>
        <w:t>disease 2019 (COVID-19):</w:t>
      </w:r>
      <w:r>
        <w:rPr>
          <w:spacing w:val="-6"/>
          <w:sz w:val="20"/>
        </w:rPr>
        <w:t> </w:t>
      </w:r>
      <w:r>
        <w:rPr>
          <w:spacing w:val="-2"/>
          <w:sz w:val="20"/>
        </w:rPr>
        <w:t>The Perspectives of clinical immunologists</w:t>
      </w:r>
      <w:r>
        <w:rPr>
          <w:spacing w:val="-3"/>
          <w:sz w:val="20"/>
        </w:rPr>
        <w:t> </w:t>
      </w:r>
      <w:r>
        <w:rPr>
          <w:spacing w:val="-2"/>
          <w:sz w:val="20"/>
        </w:rPr>
        <w:t>from</w:t>
      </w:r>
      <w:r>
        <w:rPr>
          <w:spacing w:val="-3"/>
          <w:sz w:val="20"/>
        </w:rPr>
        <w:t> </w:t>
      </w:r>
      <w:r>
        <w:rPr>
          <w:spacing w:val="-2"/>
          <w:sz w:val="20"/>
        </w:rPr>
        <w:t>China. Clin Immunol.</w:t>
      </w:r>
      <w:r>
        <w:rPr>
          <w:spacing w:val="-5"/>
          <w:sz w:val="20"/>
        </w:rPr>
        <w:t> </w:t>
      </w:r>
      <w:r>
        <w:rPr>
          <w:spacing w:val="-2"/>
          <w:sz w:val="20"/>
        </w:rPr>
        <w:t>2020 </w:t>
      </w:r>
      <w:r>
        <w:rPr>
          <w:sz w:val="20"/>
        </w:rPr>
        <w:t>Mar 25;214:108393. doi: 10.1016/j.clim.2020.108393. [Epub ahead of print]</w:t>
      </w:r>
    </w:p>
    <w:p>
      <w:pPr>
        <w:pStyle w:val="ListParagraph"/>
        <w:numPr>
          <w:ilvl w:val="0"/>
          <w:numId w:val="67"/>
        </w:numPr>
        <w:tabs>
          <w:tab w:pos="2405" w:val="left" w:leader="none"/>
          <w:tab w:pos="2407" w:val="left" w:leader="none"/>
        </w:tabs>
        <w:spacing w:line="259" w:lineRule="auto" w:before="0" w:after="0"/>
        <w:ind w:left="2407" w:right="1273" w:hanging="566"/>
        <w:jc w:val="both"/>
        <w:rPr>
          <w:sz w:val="20"/>
        </w:rPr>
      </w:pPr>
      <w:r>
        <w:rPr>
          <w:sz w:val="20"/>
        </w:rPr>
        <w:t>Zumla A. et al. Coronaviruses - drug discoverцy and therapeutic options // Nature reviews. Drug discovery. 2016. 15. № 5. С. 327–347.</w:t>
      </w:r>
    </w:p>
    <w:p>
      <w:pPr>
        <w:pStyle w:val="ListParagraph"/>
        <w:numPr>
          <w:ilvl w:val="0"/>
          <w:numId w:val="67"/>
        </w:numPr>
        <w:tabs>
          <w:tab w:pos="2405" w:val="left" w:leader="none"/>
          <w:tab w:pos="2407" w:val="left" w:leader="none"/>
        </w:tabs>
        <w:spacing w:line="259" w:lineRule="auto" w:before="0" w:after="0"/>
        <w:ind w:left="2407" w:right="1269" w:hanging="566"/>
        <w:jc w:val="both"/>
        <w:rPr>
          <w:sz w:val="20"/>
        </w:rPr>
      </w:pPr>
      <w:r>
        <w:rPr>
          <w:sz w:val="20"/>
        </w:rPr>
        <w:t>Аверьянов А.В, Клыпа Т.В., Балионис О.И., Бычинин М.В., Черняк А.В., Троицкий А.В. Ингаляционный сурфактант при высокопоточной кислородотерапии у больных COVID-19: результаты</w:t>
      </w:r>
      <w:r>
        <w:rPr>
          <w:spacing w:val="-12"/>
          <w:sz w:val="20"/>
        </w:rPr>
        <w:t> </w:t>
      </w:r>
      <w:r>
        <w:rPr>
          <w:sz w:val="20"/>
        </w:rPr>
        <w:t>ретроспективного</w:t>
      </w:r>
      <w:r>
        <w:rPr>
          <w:spacing w:val="-11"/>
          <w:sz w:val="20"/>
        </w:rPr>
        <w:t> </w:t>
      </w:r>
      <w:r>
        <w:rPr>
          <w:sz w:val="20"/>
        </w:rPr>
        <w:t>анализа</w:t>
      </w:r>
      <w:r>
        <w:rPr>
          <w:spacing w:val="-12"/>
          <w:sz w:val="20"/>
        </w:rPr>
        <w:t> </w:t>
      </w:r>
      <w:r>
        <w:rPr>
          <w:sz w:val="20"/>
        </w:rPr>
        <w:t>//</w:t>
      </w:r>
      <w:r>
        <w:rPr>
          <w:spacing w:val="-9"/>
          <w:sz w:val="20"/>
        </w:rPr>
        <w:t> </w:t>
      </w:r>
      <w:r>
        <w:rPr>
          <w:sz w:val="20"/>
        </w:rPr>
        <w:t>Ремедиум</w:t>
      </w:r>
      <w:r>
        <w:rPr>
          <w:spacing w:val="-11"/>
          <w:sz w:val="20"/>
        </w:rPr>
        <w:t> </w:t>
      </w:r>
      <w:r>
        <w:rPr>
          <w:sz w:val="20"/>
        </w:rPr>
        <w:t>2020;</w:t>
      </w:r>
      <w:r>
        <w:rPr>
          <w:spacing w:val="-12"/>
          <w:sz w:val="20"/>
        </w:rPr>
        <w:t> </w:t>
      </w:r>
      <w:r>
        <w:rPr>
          <w:sz w:val="20"/>
        </w:rPr>
        <w:t>(7-8):</w:t>
      </w:r>
      <w:r>
        <w:rPr>
          <w:spacing w:val="-13"/>
          <w:sz w:val="20"/>
        </w:rPr>
        <w:t> </w:t>
      </w:r>
      <w:r>
        <w:rPr>
          <w:sz w:val="20"/>
        </w:rPr>
        <w:t>doi:</w:t>
      </w:r>
      <w:r>
        <w:rPr>
          <w:spacing w:val="-12"/>
          <w:sz w:val="20"/>
        </w:rPr>
        <w:t> </w:t>
      </w:r>
      <w:r>
        <w:rPr>
          <w:sz w:val="20"/>
        </w:rPr>
        <w:t>10.21518/1561-5936-2020-7-8- </w:t>
      </w:r>
      <w:r>
        <w:rPr>
          <w:spacing w:val="-2"/>
          <w:sz w:val="20"/>
        </w:rPr>
        <w:t>84-88.</w:t>
      </w:r>
    </w:p>
    <w:p>
      <w:pPr>
        <w:pStyle w:val="ListParagraph"/>
        <w:numPr>
          <w:ilvl w:val="0"/>
          <w:numId w:val="67"/>
        </w:numPr>
        <w:tabs>
          <w:tab w:pos="2405" w:val="left" w:leader="none"/>
          <w:tab w:pos="2407" w:val="left" w:leader="none"/>
        </w:tabs>
        <w:spacing w:line="259" w:lineRule="auto" w:before="0" w:after="0"/>
        <w:ind w:left="2407" w:right="1272" w:hanging="566"/>
        <w:jc w:val="both"/>
        <w:rPr>
          <w:sz w:val="20"/>
        </w:rPr>
      </w:pPr>
      <w:r>
        <w:rPr>
          <w:sz w:val="20"/>
        </w:rPr>
        <w:t>Балыкова Л.А., Заславская К.Я., Павелкина В.Ф. и соавт. Эффективность и безопасность инфузионного введения фавипиравира у пациентов, госпитализированных с COVID-19. Фармация и фармакология. 2022;10(1):113-126.Баутин А.Е., Авдеев С.Н., Сейлиев А.А., Швечкова М.В., Мержоева З.М., Трушенко Н.В., Семенов А.П., Лапшин К.Б., Розенберг О.А. Ингаляционная терапия сурфактантом в комплексном лечении тяжелой формы COVID-19- пневмонии</w:t>
      </w:r>
      <w:r>
        <w:rPr>
          <w:spacing w:val="-13"/>
          <w:sz w:val="20"/>
        </w:rPr>
        <w:t> </w:t>
      </w:r>
      <w:r>
        <w:rPr>
          <w:sz w:val="20"/>
        </w:rPr>
        <w:t>//</w:t>
      </w:r>
      <w:r>
        <w:rPr>
          <w:spacing w:val="-12"/>
          <w:sz w:val="20"/>
        </w:rPr>
        <w:t> </w:t>
      </w:r>
      <w:r>
        <w:rPr>
          <w:sz w:val="20"/>
        </w:rPr>
        <w:t>Туберкулёз</w:t>
      </w:r>
      <w:r>
        <w:rPr>
          <w:spacing w:val="-13"/>
          <w:sz w:val="20"/>
        </w:rPr>
        <w:t> </w:t>
      </w:r>
      <w:r>
        <w:rPr>
          <w:sz w:val="20"/>
        </w:rPr>
        <w:t>и</w:t>
      </w:r>
      <w:r>
        <w:rPr>
          <w:spacing w:val="-12"/>
          <w:sz w:val="20"/>
        </w:rPr>
        <w:t> </w:t>
      </w:r>
      <w:r>
        <w:rPr>
          <w:sz w:val="20"/>
        </w:rPr>
        <w:t>болезни</w:t>
      </w:r>
      <w:r>
        <w:rPr>
          <w:spacing w:val="-13"/>
          <w:sz w:val="20"/>
        </w:rPr>
        <w:t> </w:t>
      </w:r>
      <w:r>
        <w:rPr>
          <w:sz w:val="20"/>
        </w:rPr>
        <w:t>лёгких</w:t>
      </w:r>
      <w:r>
        <w:rPr>
          <w:spacing w:val="-12"/>
          <w:sz w:val="20"/>
        </w:rPr>
        <w:t> </w:t>
      </w:r>
      <w:r>
        <w:rPr>
          <w:sz w:val="20"/>
        </w:rPr>
        <w:t>2020;</w:t>
      </w:r>
      <w:r>
        <w:rPr>
          <w:spacing w:val="-13"/>
          <w:sz w:val="20"/>
        </w:rPr>
        <w:t> </w:t>
      </w:r>
      <w:r>
        <w:rPr>
          <w:sz w:val="20"/>
        </w:rPr>
        <w:t>98(№9):</w:t>
      </w:r>
      <w:r>
        <w:rPr>
          <w:spacing w:val="-12"/>
          <w:sz w:val="20"/>
        </w:rPr>
        <w:t> </w:t>
      </w:r>
      <w:r>
        <w:rPr>
          <w:sz w:val="20"/>
        </w:rPr>
        <w:t>6-12.</w:t>
      </w:r>
      <w:r>
        <w:rPr>
          <w:spacing w:val="-13"/>
          <w:sz w:val="20"/>
        </w:rPr>
        <w:t> </w:t>
      </w:r>
      <w:r>
        <w:rPr>
          <w:sz w:val="20"/>
        </w:rPr>
        <w:t>URL:</w:t>
      </w:r>
      <w:r>
        <w:rPr>
          <w:spacing w:val="10"/>
          <w:sz w:val="20"/>
        </w:rPr>
        <w:t> </w:t>
      </w:r>
      <w:hyperlink r:id="rId53">
        <w:r>
          <w:rPr>
            <w:color w:val="0462C1"/>
            <w:sz w:val="20"/>
            <w:u w:val="single" w:color="0462C1"/>
          </w:rPr>
          <w:t>http://doi.org/10.21292/2075-</w:t>
        </w:r>
      </w:hyperlink>
      <w:r>
        <w:rPr>
          <w:color w:val="0462C1"/>
          <w:sz w:val="20"/>
        </w:rPr>
        <w:t> </w:t>
      </w:r>
      <w:r>
        <w:rPr>
          <w:color w:val="0462C1"/>
          <w:spacing w:val="-2"/>
          <w:sz w:val="20"/>
          <w:u w:val="single" w:color="0462C1"/>
        </w:rPr>
        <w:t>1230-2020-98-9-6-12</w:t>
      </w:r>
    </w:p>
    <w:p>
      <w:pPr>
        <w:pStyle w:val="ListParagraph"/>
        <w:numPr>
          <w:ilvl w:val="0"/>
          <w:numId w:val="67"/>
        </w:numPr>
        <w:tabs>
          <w:tab w:pos="2405" w:val="left" w:leader="none"/>
          <w:tab w:pos="2407" w:val="left" w:leader="none"/>
        </w:tabs>
        <w:spacing w:line="321" w:lineRule="auto" w:before="0" w:after="0"/>
        <w:ind w:left="2407" w:right="1272" w:hanging="566"/>
        <w:jc w:val="both"/>
        <w:rPr>
          <w:sz w:val="20"/>
        </w:rPr>
      </w:pPr>
      <w:r>
        <w:rPr>
          <w:sz w:val="20"/>
        </w:rPr>
        <w:t>Балыкова Л. А., Радаева О. А., Заславская К. Я и соавт. Эффективность и безопасность оригинального</w:t>
      </w:r>
      <w:r>
        <w:rPr>
          <w:spacing w:val="25"/>
          <w:sz w:val="20"/>
        </w:rPr>
        <w:t> </w:t>
      </w:r>
      <w:r>
        <w:rPr>
          <w:sz w:val="20"/>
        </w:rPr>
        <w:t>препарата</w:t>
      </w:r>
      <w:r>
        <w:rPr>
          <w:spacing w:val="24"/>
          <w:sz w:val="20"/>
        </w:rPr>
        <w:t> </w:t>
      </w:r>
      <w:r>
        <w:rPr>
          <w:sz w:val="20"/>
        </w:rPr>
        <w:t>на</w:t>
      </w:r>
      <w:r>
        <w:rPr>
          <w:spacing w:val="24"/>
          <w:sz w:val="20"/>
        </w:rPr>
        <w:t> </w:t>
      </w:r>
      <w:r>
        <w:rPr>
          <w:sz w:val="20"/>
        </w:rPr>
        <w:t>основе</w:t>
      </w:r>
      <w:r>
        <w:rPr>
          <w:spacing w:val="23"/>
          <w:sz w:val="20"/>
        </w:rPr>
        <w:t> </w:t>
      </w:r>
      <w:r>
        <w:rPr>
          <w:sz w:val="20"/>
        </w:rPr>
        <w:t>сукцината</w:t>
      </w:r>
      <w:r>
        <w:rPr>
          <w:spacing w:val="24"/>
          <w:sz w:val="20"/>
        </w:rPr>
        <w:t> </w:t>
      </w:r>
      <w:r>
        <w:rPr>
          <w:sz w:val="20"/>
        </w:rPr>
        <w:t>гексапептида</w:t>
      </w:r>
      <w:r>
        <w:rPr>
          <w:spacing w:val="23"/>
          <w:sz w:val="20"/>
        </w:rPr>
        <w:t> </w:t>
      </w:r>
      <w:r>
        <w:rPr>
          <w:sz w:val="20"/>
        </w:rPr>
        <w:t>в</w:t>
      </w:r>
      <w:r>
        <w:rPr>
          <w:spacing w:val="23"/>
          <w:sz w:val="20"/>
        </w:rPr>
        <w:t> </w:t>
      </w:r>
      <w:r>
        <w:rPr>
          <w:sz w:val="20"/>
        </w:rPr>
        <w:t>комплексной</w:t>
      </w:r>
      <w:r>
        <w:rPr>
          <w:spacing w:val="22"/>
          <w:sz w:val="20"/>
        </w:rPr>
        <w:t> </w:t>
      </w:r>
      <w:r>
        <w:rPr>
          <w:sz w:val="20"/>
        </w:rPr>
        <w:t>терапии</w:t>
      </w:r>
      <w:r>
        <w:rPr>
          <w:spacing w:val="22"/>
          <w:sz w:val="20"/>
        </w:rPr>
        <w:t> </w:t>
      </w:r>
      <w:r>
        <w:rPr>
          <w:sz w:val="20"/>
        </w:rPr>
        <w:t>covid-19 у взрослых госпитализированных пациентов // Фармация и фармакология. 2022. №6.</w:t>
      </w:r>
    </w:p>
    <w:p>
      <w:pPr>
        <w:pStyle w:val="ListParagraph"/>
        <w:numPr>
          <w:ilvl w:val="0"/>
          <w:numId w:val="67"/>
        </w:numPr>
        <w:tabs>
          <w:tab w:pos="2405" w:val="left" w:leader="none"/>
          <w:tab w:pos="2407" w:val="left" w:leader="none"/>
        </w:tabs>
        <w:spacing w:line="256" w:lineRule="auto" w:before="0" w:after="0"/>
        <w:ind w:left="2407" w:right="1282" w:hanging="566"/>
        <w:jc w:val="both"/>
        <w:rPr>
          <w:sz w:val="20"/>
        </w:rPr>
      </w:pPr>
      <w:r>
        <w:rPr>
          <w:sz w:val="20"/>
        </w:rPr>
        <w:t>Белкин А.А. и соавт. Реабилитация в интенсивной терапии. Клинические рекомендации, 2017, 56 с.</w:t>
      </w:r>
    </w:p>
    <w:p>
      <w:pPr>
        <w:pStyle w:val="ListParagraph"/>
        <w:numPr>
          <w:ilvl w:val="0"/>
          <w:numId w:val="67"/>
        </w:numPr>
        <w:tabs>
          <w:tab w:pos="2405" w:val="left" w:leader="none"/>
          <w:tab w:pos="2407" w:val="left" w:leader="none"/>
        </w:tabs>
        <w:spacing w:line="256" w:lineRule="auto" w:before="4" w:after="0"/>
        <w:ind w:left="2407" w:right="1274" w:hanging="566"/>
        <w:jc w:val="both"/>
        <w:rPr>
          <w:sz w:val="20"/>
        </w:rPr>
      </w:pPr>
      <w:r>
        <w:rPr>
          <w:sz w:val="20"/>
        </w:rPr>
        <w:t>Бомштейн Н.Г., Болотов Ю.В., Ким И.А., Д. В. Трухин Д.В. Эффективность сорбированных пробиотиков в комплексном лечении новой коронавирусной инфекции COVID-19 в условиях стационара</w:t>
      </w:r>
      <w:r>
        <w:rPr>
          <w:spacing w:val="-13"/>
          <w:sz w:val="20"/>
        </w:rPr>
        <w:t> </w:t>
      </w:r>
      <w:r>
        <w:rPr>
          <w:sz w:val="20"/>
        </w:rPr>
        <w:t>//</w:t>
      </w:r>
      <w:r>
        <w:rPr>
          <w:spacing w:val="-12"/>
          <w:sz w:val="20"/>
        </w:rPr>
        <w:t> </w:t>
      </w:r>
      <w:r>
        <w:rPr>
          <w:sz w:val="20"/>
        </w:rPr>
        <w:t>Медицина</w:t>
      </w:r>
      <w:r>
        <w:rPr>
          <w:spacing w:val="-13"/>
          <w:sz w:val="20"/>
        </w:rPr>
        <w:t> </w:t>
      </w:r>
      <w:r>
        <w:rPr>
          <w:sz w:val="20"/>
        </w:rPr>
        <w:t>экстремальных</w:t>
      </w:r>
      <w:r>
        <w:rPr>
          <w:spacing w:val="-12"/>
          <w:sz w:val="20"/>
        </w:rPr>
        <w:t> </w:t>
      </w:r>
      <w:r>
        <w:rPr>
          <w:sz w:val="20"/>
        </w:rPr>
        <w:t>ситуаций.</w:t>
      </w:r>
      <w:r>
        <w:rPr>
          <w:spacing w:val="-13"/>
          <w:sz w:val="20"/>
        </w:rPr>
        <w:t> </w:t>
      </w:r>
      <w:r>
        <w:rPr>
          <w:sz w:val="20"/>
        </w:rPr>
        <w:t>2020;</w:t>
      </w:r>
      <w:r>
        <w:rPr>
          <w:spacing w:val="-12"/>
          <w:sz w:val="20"/>
        </w:rPr>
        <w:t> </w:t>
      </w:r>
      <w:r>
        <w:rPr>
          <w:sz w:val="20"/>
        </w:rPr>
        <w:t>4</w:t>
      </w:r>
      <w:r>
        <w:rPr>
          <w:spacing w:val="-13"/>
          <w:sz w:val="20"/>
        </w:rPr>
        <w:t> </w:t>
      </w:r>
      <w:r>
        <w:rPr>
          <w:sz w:val="20"/>
        </w:rPr>
        <w:t>(22):31–35.</w:t>
      </w:r>
      <w:r>
        <w:rPr>
          <w:spacing w:val="-12"/>
          <w:sz w:val="20"/>
        </w:rPr>
        <w:t> </w:t>
      </w:r>
      <w:r>
        <w:rPr>
          <w:sz w:val="20"/>
        </w:rPr>
        <w:t>DOI:</w:t>
      </w:r>
      <w:r>
        <w:rPr>
          <w:spacing w:val="-13"/>
          <w:sz w:val="20"/>
        </w:rPr>
        <w:t> </w:t>
      </w:r>
      <w:r>
        <w:rPr>
          <w:sz w:val="20"/>
        </w:rPr>
        <w:t>10.4</w:t>
      </w:r>
      <w:r>
        <w:rPr>
          <w:spacing w:val="-12"/>
          <w:sz w:val="20"/>
        </w:rPr>
        <w:t> </w:t>
      </w:r>
      <w:r>
        <w:rPr>
          <w:sz w:val="20"/>
        </w:rPr>
        <w:t>183/mes.2020.021</w:t>
      </w:r>
    </w:p>
    <w:p>
      <w:pPr>
        <w:pStyle w:val="ListParagraph"/>
        <w:numPr>
          <w:ilvl w:val="0"/>
          <w:numId w:val="67"/>
        </w:numPr>
        <w:tabs>
          <w:tab w:pos="2405" w:val="left" w:leader="none"/>
          <w:tab w:pos="2407" w:val="left" w:leader="none"/>
        </w:tabs>
        <w:spacing w:line="259" w:lineRule="auto" w:before="5" w:after="0"/>
        <w:ind w:left="2407" w:right="1282" w:hanging="566"/>
        <w:jc w:val="both"/>
        <w:rPr>
          <w:sz w:val="20"/>
        </w:rPr>
      </w:pPr>
      <w:r>
        <w:rPr>
          <w:sz w:val="20"/>
        </w:rPr>
        <w:t>Борях</w:t>
      </w:r>
      <w:r>
        <w:rPr>
          <w:spacing w:val="29"/>
          <w:sz w:val="20"/>
        </w:rPr>
        <w:t> </w:t>
      </w:r>
      <w:r>
        <w:rPr>
          <w:sz w:val="20"/>
        </w:rPr>
        <w:t>Е.А.,</w:t>
      </w:r>
      <w:r>
        <w:rPr>
          <w:spacing w:val="28"/>
          <w:sz w:val="20"/>
        </w:rPr>
        <w:t> </w:t>
      </w:r>
      <w:r>
        <w:rPr>
          <w:sz w:val="20"/>
        </w:rPr>
        <w:t>Кочнева</w:t>
      </w:r>
      <w:r>
        <w:rPr>
          <w:spacing w:val="28"/>
          <w:sz w:val="20"/>
        </w:rPr>
        <w:t> </w:t>
      </w:r>
      <w:r>
        <w:rPr>
          <w:sz w:val="20"/>
        </w:rPr>
        <w:t>О.Л.,</w:t>
      </w:r>
      <w:r>
        <w:rPr>
          <w:spacing w:val="30"/>
          <w:sz w:val="20"/>
        </w:rPr>
        <w:t> </w:t>
      </w:r>
      <w:r>
        <w:rPr>
          <w:sz w:val="20"/>
        </w:rPr>
        <w:t>Мисюрина</w:t>
      </w:r>
      <w:r>
        <w:rPr>
          <w:spacing w:val="29"/>
          <w:sz w:val="20"/>
        </w:rPr>
        <w:t> </w:t>
      </w:r>
      <w:r>
        <w:rPr>
          <w:sz w:val="20"/>
        </w:rPr>
        <w:t>Е.Н.</w:t>
      </w:r>
      <w:r>
        <w:rPr>
          <w:spacing w:val="31"/>
          <w:sz w:val="20"/>
        </w:rPr>
        <w:t> </w:t>
      </w:r>
      <w:r>
        <w:rPr>
          <w:sz w:val="20"/>
        </w:rPr>
        <w:t>и</w:t>
      </w:r>
      <w:r>
        <w:rPr>
          <w:spacing w:val="27"/>
          <w:sz w:val="20"/>
        </w:rPr>
        <w:t> </w:t>
      </w:r>
      <w:r>
        <w:rPr>
          <w:sz w:val="20"/>
        </w:rPr>
        <w:t>соавт.</w:t>
      </w:r>
      <w:r>
        <w:rPr>
          <w:spacing w:val="30"/>
          <w:sz w:val="20"/>
        </w:rPr>
        <w:t> </w:t>
      </w:r>
      <w:r>
        <w:rPr>
          <w:sz w:val="20"/>
        </w:rPr>
        <w:t>Ведение</w:t>
      </w:r>
      <w:r>
        <w:rPr>
          <w:spacing w:val="28"/>
          <w:sz w:val="20"/>
        </w:rPr>
        <w:t> </w:t>
      </w:r>
      <w:r>
        <w:rPr>
          <w:sz w:val="20"/>
        </w:rPr>
        <w:t>онкогематологических</w:t>
      </w:r>
      <w:r>
        <w:rPr>
          <w:spacing w:val="31"/>
          <w:sz w:val="20"/>
        </w:rPr>
        <w:t> </w:t>
      </w:r>
      <w:r>
        <w:rPr>
          <w:sz w:val="20"/>
        </w:rPr>
        <w:t>больных с новой коронавирусной инфекцией: опыт Городской клинической больницы №52 // Современная онкология. 2020. Том 22. №2, с. 28-32.</w:t>
      </w:r>
    </w:p>
    <w:p>
      <w:pPr>
        <w:pStyle w:val="ListParagraph"/>
        <w:numPr>
          <w:ilvl w:val="0"/>
          <w:numId w:val="67"/>
        </w:numPr>
        <w:tabs>
          <w:tab w:pos="2405" w:val="left" w:leader="none"/>
          <w:tab w:pos="2407" w:val="left" w:leader="none"/>
        </w:tabs>
        <w:spacing w:line="259" w:lineRule="auto" w:before="0" w:after="0"/>
        <w:ind w:left="2407" w:right="1279" w:hanging="566"/>
        <w:jc w:val="both"/>
        <w:rPr>
          <w:sz w:val="20"/>
        </w:rPr>
      </w:pPr>
      <w:r>
        <w:rPr>
          <w:sz w:val="20"/>
        </w:rPr>
        <w:t>Вашукова М.А, Цинзерлинг В.А., Семенова Н.Ю., Луговская Н.А., Наркевич Т.А., Суханова </w:t>
      </w:r>
      <w:r>
        <w:rPr>
          <w:spacing w:val="-2"/>
          <w:sz w:val="20"/>
        </w:rPr>
        <w:t>Ю.В. Возможна ли перинатальная COVID 19: первые результаты // Журнал</w:t>
      </w:r>
      <w:r>
        <w:rPr>
          <w:spacing w:val="-3"/>
          <w:sz w:val="20"/>
        </w:rPr>
        <w:t> </w:t>
      </w:r>
      <w:r>
        <w:rPr>
          <w:spacing w:val="-2"/>
          <w:sz w:val="20"/>
        </w:rPr>
        <w:t>инфектологии.2020;3 (12):51-55.</w:t>
      </w:r>
    </w:p>
    <w:p>
      <w:pPr>
        <w:pStyle w:val="ListParagraph"/>
        <w:numPr>
          <w:ilvl w:val="0"/>
          <w:numId w:val="67"/>
        </w:numPr>
        <w:tabs>
          <w:tab w:pos="2405" w:val="left" w:leader="none"/>
          <w:tab w:pos="2407" w:val="left" w:leader="none"/>
        </w:tabs>
        <w:spacing w:line="259" w:lineRule="auto" w:before="0" w:after="0"/>
        <w:ind w:left="2407" w:right="1284" w:hanging="566"/>
        <w:jc w:val="both"/>
        <w:rPr>
          <w:sz w:val="20"/>
        </w:rPr>
      </w:pPr>
      <w:r>
        <w:rPr>
          <w:sz w:val="20"/>
        </w:rPr>
        <w:t>Вертикализация пациентов в процессе реабилитации. Клинические рекомендации. Москва, 2014, 63 с.</w:t>
      </w:r>
    </w:p>
    <w:p>
      <w:pPr>
        <w:pStyle w:val="ListParagraph"/>
        <w:numPr>
          <w:ilvl w:val="0"/>
          <w:numId w:val="67"/>
        </w:numPr>
        <w:tabs>
          <w:tab w:pos="2405" w:val="left" w:leader="none"/>
          <w:tab w:pos="2407" w:val="left" w:leader="none"/>
        </w:tabs>
        <w:spacing w:line="259" w:lineRule="auto" w:before="0" w:after="0"/>
        <w:ind w:left="2407" w:right="1270" w:hanging="566"/>
        <w:jc w:val="both"/>
        <w:rPr>
          <w:sz w:val="20"/>
        </w:rPr>
      </w:pPr>
      <w:r>
        <w:rPr>
          <w:sz w:val="20"/>
        </w:rPr>
        <w:t>Всемирная организация здравоохранения. Временное руководство по рациональному использованию</w:t>
      </w:r>
      <w:r>
        <w:rPr>
          <w:spacing w:val="70"/>
          <w:sz w:val="20"/>
        </w:rPr>
        <w:t> </w:t>
      </w:r>
      <w:r>
        <w:rPr>
          <w:sz w:val="20"/>
        </w:rPr>
        <w:t>средств</w:t>
      </w:r>
      <w:r>
        <w:rPr>
          <w:spacing w:val="69"/>
          <w:sz w:val="20"/>
        </w:rPr>
        <w:t> </w:t>
      </w:r>
      <w:r>
        <w:rPr>
          <w:sz w:val="20"/>
        </w:rPr>
        <w:t>индивидуальной</w:t>
      </w:r>
      <w:r>
        <w:rPr>
          <w:spacing w:val="69"/>
          <w:sz w:val="20"/>
        </w:rPr>
        <w:t> </w:t>
      </w:r>
      <w:r>
        <w:rPr>
          <w:sz w:val="20"/>
        </w:rPr>
        <w:t>защиты</w:t>
      </w:r>
      <w:r>
        <w:rPr>
          <w:spacing w:val="71"/>
          <w:sz w:val="20"/>
        </w:rPr>
        <w:t> </w:t>
      </w:r>
      <w:r>
        <w:rPr>
          <w:sz w:val="20"/>
        </w:rPr>
        <w:t>от</w:t>
      </w:r>
      <w:r>
        <w:rPr>
          <w:spacing w:val="70"/>
          <w:sz w:val="20"/>
        </w:rPr>
        <w:t> </w:t>
      </w:r>
      <w:r>
        <w:rPr>
          <w:sz w:val="20"/>
        </w:rPr>
        <w:t>коронавирусной</w:t>
      </w:r>
      <w:r>
        <w:rPr>
          <w:spacing w:val="69"/>
          <w:sz w:val="20"/>
        </w:rPr>
        <w:t> </w:t>
      </w:r>
      <w:r>
        <w:rPr>
          <w:sz w:val="20"/>
        </w:rPr>
        <w:t>болезни</w:t>
      </w:r>
      <w:r>
        <w:rPr>
          <w:spacing w:val="69"/>
          <w:sz w:val="20"/>
        </w:rPr>
        <w:t> </w:t>
      </w:r>
      <w:r>
        <w:rPr>
          <w:sz w:val="20"/>
        </w:rPr>
        <w:t>(COVID-19)</w:t>
      </w:r>
    </w:p>
    <w:p>
      <w:pPr>
        <w:pStyle w:val="ListParagraph"/>
        <w:spacing w:after="0" w:line="259" w:lineRule="auto"/>
        <w:jc w:val="both"/>
        <w:rPr>
          <w:sz w:val="20"/>
        </w:rPr>
        <w:sectPr>
          <w:pgSz w:w="11900" w:h="16840"/>
          <w:pgMar w:header="0" w:footer="697" w:top="1080" w:bottom="880" w:left="0" w:right="0"/>
        </w:sectPr>
      </w:pPr>
    </w:p>
    <w:p>
      <w:pPr>
        <w:spacing w:line="259" w:lineRule="auto" w:before="74"/>
        <w:ind w:left="2407" w:right="1273" w:firstLine="0"/>
        <w:jc w:val="left"/>
        <w:rPr>
          <w:sz w:val="20"/>
        </w:rPr>
      </w:pPr>
      <w:bookmarkStart w:name="157" w:id="185"/>
      <w:bookmarkEnd w:id="185"/>
      <w:r>
        <w:rPr/>
      </w:r>
      <w:r>
        <w:rPr>
          <w:sz w:val="20"/>
        </w:rPr>
        <w:t>и</w:t>
      </w:r>
      <w:r>
        <w:rPr>
          <w:spacing w:val="-3"/>
          <w:sz w:val="20"/>
        </w:rPr>
        <w:t> </w:t>
      </w:r>
      <w:r>
        <w:rPr>
          <w:sz w:val="20"/>
        </w:rPr>
        <w:t>соображения</w:t>
      </w:r>
      <w:r>
        <w:rPr>
          <w:spacing w:val="78"/>
          <w:sz w:val="20"/>
        </w:rPr>
        <w:t> </w:t>
      </w:r>
      <w:r>
        <w:rPr>
          <w:sz w:val="20"/>
        </w:rPr>
        <w:t>применительно</w:t>
      </w:r>
      <w:r>
        <w:rPr>
          <w:spacing w:val="80"/>
          <w:sz w:val="20"/>
        </w:rPr>
        <w:t> </w:t>
      </w:r>
      <w:r>
        <w:rPr>
          <w:sz w:val="20"/>
        </w:rPr>
        <w:t>к</w:t>
      </w:r>
      <w:r>
        <w:rPr>
          <w:spacing w:val="78"/>
          <w:sz w:val="20"/>
        </w:rPr>
        <w:t> </w:t>
      </w:r>
      <w:r>
        <w:rPr>
          <w:sz w:val="20"/>
        </w:rPr>
        <w:t>ситуации</w:t>
      </w:r>
      <w:r>
        <w:rPr>
          <w:spacing w:val="78"/>
          <w:sz w:val="20"/>
        </w:rPr>
        <w:t> </w:t>
      </w:r>
      <w:r>
        <w:rPr>
          <w:sz w:val="20"/>
        </w:rPr>
        <w:t>их</w:t>
      </w:r>
      <w:r>
        <w:rPr>
          <w:spacing w:val="80"/>
          <w:sz w:val="20"/>
        </w:rPr>
        <w:t> </w:t>
      </w:r>
      <w:r>
        <w:rPr>
          <w:sz w:val="20"/>
        </w:rPr>
        <w:t>острой</w:t>
      </w:r>
      <w:r>
        <w:rPr>
          <w:spacing w:val="78"/>
          <w:sz w:val="20"/>
        </w:rPr>
        <w:t> </w:t>
      </w:r>
      <w:r>
        <w:rPr>
          <w:sz w:val="20"/>
        </w:rPr>
        <w:t>нехватки.</w:t>
      </w:r>
      <w:r>
        <w:rPr>
          <w:spacing w:val="80"/>
          <w:sz w:val="20"/>
        </w:rPr>
        <w:t> </w:t>
      </w:r>
      <w:r>
        <w:rPr>
          <w:sz w:val="20"/>
        </w:rPr>
        <w:t>6</w:t>
      </w:r>
      <w:r>
        <w:rPr>
          <w:spacing w:val="80"/>
          <w:sz w:val="20"/>
        </w:rPr>
        <w:t> </w:t>
      </w:r>
      <w:r>
        <w:rPr>
          <w:sz w:val="20"/>
        </w:rPr>
        <w:t>апреля</w:t>
      </w:r>
      <w:r>
        <w:rPr>
          <w:spacing w:val="79"/>
          <w:sz w:val="20"/>
        </w:rPr>
        <w:t> </w:t>
      </w:r>
      <w:r>
        <w:rPr>
          <w:sz w:val="20"/>
        </w:rPr>
        <w:t>2020</w:t>
      </w:r>
      <w:r>
        <w:rPr>
          <w:spacing w:val="80"/>
          <w:sz w:val="20"/>
        </w:rPr>
        <w:t> </w:t>
      </w:r>
      <w:r>
        <w:rPr>
          <w:sz w:val="20"/>
        </w:rPr>
        <w:t>г.</w:t>
      </w:r>
      <w:r>
        <w:rPr>
          <w:spacing w:val="80"/>
          <w:sz w:val="20"/>
        </w:rPr>
        <w:t> </w:t>
      </w:r>
      <w:r>
        <w:rPr>
          <w:sz w:val="20"/>
        </w:rPr>
        <w:t>URL: </w:t>
      </w:r>
      <w:r>
        <w:rPr>
          <w:color w:val="0462C1"/>
          <w:spacing w:val="-2"/>
          <w:sz w:val="20"/>
          <w:u w:val="single" w:color="0462C1"/>
        </w:rPr>
        <w:t>https://apps.who.int/iris/bitstream/handle/10665/331695/WHO-2019-nCov-IPC_PPE_use-2020.3-</w:t>
      </w:r>
      <w:r>
        <w:rPr>
          <w:color w:val="0462C1"/>
          <w:spacing w:val="-2"/>
          <w:sz w:val="20"/>
        </w:rPr>
        <w:t> </w:t>
      </w:r>
      <w:r>
        <w:rPr>
          <w:color w:val="0462C1"/>
          <w:sz w:val="20"/>
          <w:u w:val="single" w:color="0462C1"/>
        </w:rPr>
        <w:t>rus.pdf https://apps.who.int/iris/handle/10665/331498</w:t>
      </w:r>
    </w:p>
    <w:p>
      <w:pPr>
        <w:pStyle w:val="ListParagraph"/>
        <w:numPr>
          <w:ilvl w:val="0"/>
          <w:numId w:val="67"/>
        </w:numPr>
        <w:tabs>
          <w:tab w:pos="2405" w:val="left" w:leader="none"/>
          <w:tab w:pos="2407" w:val="left" w:leader="none"/>
        </w:tabs>
        <w:spacing w:line="240" w:lineRule="auto" w:before="0" w:after="0"/>
        <w:ind w:left="2407" w:right="1276" w:hanging="566"/>
        <w:jc w:val="both"/>
        <w:rPr>
          <w:sz w:val="20"/>
        </w:rPr>
      </w:pPr>
      <w:r>
        <w:rPr>
          <w:sz w:val="20"/>
        </w:rPr>
        <w:t>Всемирная</w:t>
      </w:r>
      <w:r>
        <w:rPr>
          <w:spacing w:val="40"/>
          <w:sz w:val="20"/>
        </w:rPr>
        <w:t> </w:t>
      </w:r>
      <w:r>
        <w:rPr>
          <w:sz w:val="20"/>
        </w:rPr>
        <w:t>организация</w:t>
      </w:r>
      <w:r>
        <w:rPr>
          <w:spacing w:val="40"/>
          <w:sz w:val="20"/>
        </w:rPr>
        <w:t> </w:t>
      </w:r>
      <w:r>
        <w:rPr>
          <w:sz w:val="20"/>
        </w:rPr>
        <w:t>здравоохранения.</w:t>
      </w:r>
      <w:r>
        <w:rPr>
          <w:spacing w:val="40"/>
          <w:sz w:val="20"/>
        </w:rPr>
        <w:t> </w:t>
      </w:r>
      <w:r>
        <w:rPr>
          <w:sz w:val="20"/>
        </w:rPr>
        <w:t>Клиническое</w:t>
      </w:r>
      <w:r>
        <w:rPr>
          <w:spacing w:val="40"/>
          <w:sz w:val="20"/>
        </w:rPr>
        <w:t> </w:t>
      </w:r>
      <w:r>
        <w:rPr>
          <w:sz w:val="20"/>
        </w:rPr>
        <w:t>руководство</w:t>
      </w:r>
      <w:r>
        <w:rPr>
          <w:spacing w:val="40"/>
          <w:sz w:val="20"/>
        </w:rPr>
        <w:t> </w:t>
      </w:r>
      <w:r>
        <w:rPr>
          <w:sz w:val="20"/>
        </w:rPr>
        <w:t>по</w:t>
      </w:r>
      <w:r>
        <w:rPr>
          <w:spacing w:val="40"/>
          <w:sz w:val="20"/>
        </w:rPr>
        <w:t> </w:t>
      </w:r>
      <w:r>
        <w:rPr>
          <w:sz w:val="20"/>
        </w:rPr>
        <w:t>ведению</w:t>
      </w:r>
      <w:r>
        <w:rPr>
          <w:spacing w:val="40"/>
          <w:sz w:val="20"/>
        </w:rPr>
        <w:t> </w:t>
      </w:r>
      <w:r>
        <w:rPr>
          <w:sz w:val="20"/>
        </w:rPr>
        <w:t>пациентов с тяжелыми острыми респираторными инфекциями при подозрении на инфицирование БВРС- КоВ. Временные рекомендации. Дата публикации: Июль 2015</w:t>
      </w:r>
      <w:r>
        <w:rPr>
          <w:spacing w:val="80"/>
          <w:sz w:val="20"/>
        </w:rPr>
        <w:t>   </w:t>
      </w:r>
      <w:r>
        <w:rPr>
          <w:sz w:val="20"/>
        </w:rPr>
        <w:t>г.</w:t>
      </w:r>
    </w:p>
    <w:p>
      <w:pPr>
        <w:spacing w:line="229" w:lineRule="exact" w:before="0"/>
        <w:ind w:left="2407" w:right="0" w:firstLine="0"/>
        <w:jc w:val="both"/>
        <w:rPr>
          <w:sz w:val="20"/>
        </w:rPr>
      </w:pPr>
      <w:r>
        <w:rPr>
          <w:spacing w:val="-2"/>
          <w:sz w:val="20"/>
        </w:rPr>
        <w:t>URL:</w:t>
      </w:r>
      <w:r>
        <w:rPr>
          <w:spacing w:val="63"/>
          <w:w w:val="150"/>
          <w:sz w:val="20"/>
        </w:rPr>
        <w:t> </w:t>
      </w:r>
      <w:r>
        <w:rPr>
          <w:color w:val="0462C1"/>
          <w:spacing w:val="-2"/>
          <w:sz w:val="20"/>
          <w:u w:val="single" w:color="0462C1"/>
        </w:rPr>
        <w:t>https://</w:t>
      </w:r>
      <w:hyperlink r:id="rId54">
        <w:r>
          <w:rPr>
            <w:color w:val="0462C1"/>
            <w:spacing w:val="-2"/>
            <w:sz w:val="20"/>
            <w:u w:val="single" w:color="0462C1"/>
          </w:rPr>
          <w:t>www.who.int/csr/disease/coronavirus_infections/case-management-ipc/ru/</w:t>
        </w:r>
      </w:hyperlink>
    </w:p>
    <w:p>
      <w:pPr>
        <w:pStyle w:val="ListParagraph"/>
        <w:numPr>
          <w:ilvl w:val="0"/>
          <w:numId w:val="67"/>
        </w:numPr>
        <w:tabs>
          <w:tab w:pos="2405" w:val="left" w:leader="none"/>
          <w:tab w:pos="2407" w:val="left" w:leader="none"/>
        </w:tabs>
        <w:spacing w:line="240" w:lineRule="auto" w:before="0" w:after="0"/>
        <w:ind w:left="2407" w:right="1275" w:hanging="566"/>
        <w:jc w:val="both"/>
        <w:rPr>
          <w:sz w:val="20"/>
        </w:rPr>
      </w:pPr>
      <w:r>
        <w:rPr>
          <w:sz w:val="20"/>
        </w:rPr>
        <w:t>Горелов А.В., Плоскирева А.А., Понежева Ж.Б и др.</w:t>
      </w:r>
      <w:r>
        <w:rPr>
          <w:spacing w:val="40"/>
          <w:sz w:val="20"/>
        </w:rPr>
        <w:t> </w:t>
      </w:r>
      <w:r>
        <w:rPr>
          <w:sz w:val="20"/>
        </w:rPr>
        <w:t>COVID-19 - многоликий Янус. К вопросу о</w:t>
      </w:r>
      <w:r>
        <w:rPr>
          <w:spacing w:val="-1"/>
          <w:sz w:val="20"/>
        </w:rPr>
        <w:t> </w:t>
      </w:r>
      <w:r>
        <w:rPr>
          <w:sz w:val="20"/>
        </w:rPr>
        <w:t>классификации</w:t>
      </w:r>
      <w:r>
        <w:rPr>
          <w:spacing w:val="-3"/>
          <w:sz w:val="20"/>
        </w:rPr>
        <w:t> </w:t>
      </w:r>
      <w:r>
        <w:rPr>
          <w:sz w:val="20"/>
        </w:rPr>
        <w:t>новой</w:t>
      </w:r>
      <w:r>
        <w:rPr>
          <w:spacing w:val="-3"/>
          <w:sz w:val="20"/>
        </w:rPr>
        <w:t> </w:t>
      </w:r>
      <w:r>
        <w:rPr>
          <w:sz w:val="20"/>
        </w:rPr>
        <w:t>коронавирусной</w:t>
      </w:r>
      <w:r>
        <w:rPr>
          <w:spacing w:val="-1"/>
          <w:sz w:val="20"/>
        </w:rPr>
        <w:t> </w:t>
      </w:r>
      <w:r>
        <w:rPr>
          <w:sz w:val="20"/>
        </w:rPr>
        <w:t>инфекции</w:t>
      </w:r>
      <w:r>
        <w:rPr>
          <w:spacing w:val="-3"/>
          <w:sz w:val="20"/>
        </w:rPr>
        <w:t> </w:t>
      </w:r>
      <w:r>
        <w:rPr>
          <w:sz w:val="20"/>
        </w:rPr>
        <w:t>/</w:t>
      </w:r>
      <w:r>
        <w:rPr>
          <w:spacing w:val="-2"/>
          <w:sz w:val="20"/>
        </w:rPr>
        <w:t> </w:t>
      </w:r>
      <w:r>
        <w:rPr>
          <w:sz w:val="20"/>
        </w:rPr>
        <w:t>Инфекционные</w:t>
      </w:r>
      <w:r>
        <w:rPr>
          <w:spacing w:val="-1"/>
          <w:sz w:val="20"/>
        </w:rPr>
        <w:t> </w:t>
      </w:r>
      <w:r>
        <w:rPr>
          <w:sz w:val="20"/>
        </w:rPr>
        <w:t>болезни. –</w:t>
      </w:r>
      <w:r>
        <w:rPr>
          <w:spacing w:val="-1"/>
          <w:sz w:val="20"/>
        </w:rPr>
        <w:t> </w:t>
      </w:r>
      <w:r>
        <w:rPr>
          <w:sz w:val="20"/>
        </w:rPr>
        <w:t>2021.</w:t>
      </w:r>
      <w:r>
        <w:rPr>
          <w:spacing w:val="-1"/>
          <w:sz w:val="20"/>
        </w:rPr>
        <w:t> </w:t>
      </w:r>
      <w:r>
        <w:rPr>
          <w:sz w:val="20"/>
        </w:rPr>
        <w:t>–</w:t>
      </w:r>
      <w:r>
        <w:rPr>
          <w:spacing w:val="-1"/>
          <w:sz w:val="20"/>
        </w:rPr>
        <w:t> </w:t>
      </w:r>
      <w:r>
        <w:rPr>
          <w:sz w:val="20"/>
        </w:rPr>
        <w:t>Т.</w:t>
      </w:r>
      <w:r>
        <w:rPr>
          <w:spacing w:val="-4"/>
          <w:sz w:val="20"/>
        </w:rPr>
        <w:t> </w:t>
      </w:r>
      <w:r>
        <w:rPr>
          <w:sz w:val="20"/>
        </w:rPr>
        <w:t>19,</w:t>
      </w:r>
      <w:r>
        <w:rPr>
          <w:spacing w:val="-4"/>
          <w:sz w:val="20"/>
        </w:rPr>
        <w:t> </w:t>
      </w:r>
      <w:r>
        <w:rPr>
          <w:sz w:val="20"/>
        </w:rPr>
        <w:t>№</w:t>
      </w:r>
    </w:p>
    <w:p>
      <w:pPr>
        <w:spacing w:before="0"/>
        <w:ind w:left="2407" w:right="0" w:firstLine="0"/>
        <w:jc w:val="both"/>
        <w:rPr>
          <w:sz w:val="20"/>
        </w:rPr>
      </w:pPr>
      <w:r>
        <w:rPr>
          <w:sz w:val="20"/>
        </w:rPr>
        <w:t>4.</w:t>
      </w:r>
      <w:r>
        <w:rPr>
          <w:spacing w:val="-7"/>
          <w:sz w:val="20"/>
        </w:rPr>
        <w:t> </w:t>
      </w:r>
      <w:r>
        <w:rPr>
          <w:sz w:val="20"/>
        </w:rPr>
        <w:t>–</w:t>
      </w:r>
      <w:r>
        <w:rPr>
          <w:spacing w:val="-6"/>
          <w:sz w:val="20"/>
        </w:rPr>
        <w:t> </w:t>
      </w:r>
      <w:r>
        <w:rPr>
          <w:sz w:val="20"/>
        </w:rPr>
        <w:t>С.</w:t>
      </w:r>
      <w:r>
        <w:rPr>
          <w:spacing w:val="-7"/>
          <w:sz w:val="20"/>
        </w:rPr>
        <w:t> </w:t>
      </w:r>
      <w:r>
        <w:rPr>
          <w:sz w:val="20"/>
        </w:rPr>
        <w:t>103-111.</w:t>
      </w:r>
      <w:r>
        <w:rPr>
          <w:spacing w:val="-9"/>
          <w:sz w:val="20"/>
        </w:rPr>
        <w:t> </w:t>
      </w:r>
      <w:r>
        <w:rPr>
          <w:sz w:val="20"/>
        </w:rPr>
        <w:t>–</w:t>
      </w:r>
      <w:r>
        <w:rPr>
          <w:spacing w:val="-7"/>
          <w:sz w:val="20"/>
        </w:rPr>
        <w:t> </w:t>
      </w:r>
      <w:r>
        <w:rPr>
          <w:sz w:val="20"/>
        </w:rPr>
        <w:t>DOI</w:t>
      </w:r>
      <w:r>
        <w:rPr>
          <w:spacing w:val="-6"/>
          <w:sz w:val="20"/>
        </w:rPr>
        <w:t> </w:t>
      </w:r>
      <w:r>
        <w:rPr>
          <w:sz w:val="20"/>
        </w:rPr>
        <w:t>10.20953/1729-9225-2021-4-103-</w:t>
      </w:r>
      <w:r>
        <w:rPr>
          <w:spacing w:val="-4"/>
          <w:sz w:val="20"/>
        </w:rPr>
        <w:t>111.</w:t>
      </w:r>
    </w:p>
    <w:p>
      <w:pPr>
        <w:pStyle w:val="ListParagraph"/>
        <w:numPr>
          <w:ilvl w:val="0"/>
          <w:numId w:val="67"/>
        </w:numPr>
        <w:tabs>
          <w:tab w:pos="2407" w:val="left" w:leader="none"/>
          <w:tab w:pos="2456" w:val="left" w:leader="none"/>
        </w:tabs>
        <w:spacing w:line="240" w:lineRule="auto" w:before="0" w:after="0"/>
        <w:ind w:left="2407" w:right="1273" w:hanging="566"/>
        <w:jc w:val="both"/>
        <w:rPr>
          <w:sz w:val="20"/>
        </w:rPr>
      </w:pPr>
      <w:r>
        <w:rPr>
          <w:sz w:val="20"/>
        </w:rPr>
        <w:t>Готье</w:t>
      </w:r>
      <w:r>
        <w:rPr>
          <w:spacing w:val="40"/>
          <w:sz w:val="20"/>
        </w:rPr>
        <w:t> </w:t>
      </w:r>
      <w:r>
        <w:rPr>
          <w:sz w:val="20"/>
        </w:rPr>
        <w:t>С.В. и соавт. Особенности клинического течения коронавирусной инфекции COVID-19</w:t>
      </w:r>
      <w:r>
        <w:rPr>
          <w:spacing w:val="40"/>
          <w:sz w:val="20"/>
        </w:rPr>
        <w:t> </w:t>
      </w:r>
      <w:r>
        <w:rPr>
          <w:sz w:val="20"/>
        </w:rPr>
        <w:t>у реципиентов сердца, почки, печени: первые результаты национального многоцентрового наблюдательного</w:t>
      </w:r>
      <w:r>
        <w:rPr>
          <w:spacing w:val="70"/>
          <w:sz w:val="20"/>
        </w:rPr>
        <w:t>  </w:t>
      </w:r>
      <w:r>
        <w:rPr>
          <w:sz w:val="20"/>
        </w:rPr>
        <w:t>исследования</w:t>
      </w:r>
      <w:r>
        <w:rPr>
          <w:spacing w:val="69"/>
          <w:sz w:val="20"/>
        </w:rPr>
        <w:t>  </w:t>
      </w:r>
      <w:r>
        <w:rPr>
          <w:sz w:val="20"/>
        </w:rPr>
        <w:t>«РОККОР-реципиент»</w:t>
      </w:r>
      <w:r>
        <w:rPr>
          <w:spacing w:val="70"/>
          <w:sz w:val="20"/>
        </w:rPr>
        <w:t>  </w:t>
      </w:r>
      <w:r>
        <w:rPr>
          <w:sz w:val="20"/>
        </w:rPr>
        <w:t>//</w:t>
      </w:r>
      <w:r>
        <w:rPr>
          <w:spacing w:val="69"/>
          <w:sz w:val="20"/>
        </w:rPr>
        <w:t>  </w:t>
      </w:r>
      <w:r>
        <w:rPr>
          <w:sz w:val="20"/>
        </w:rPr>
        <w:t>Вестник</w:t>
      </w:r>
      <w:r>
        <w:rPr>
          <w:spacing w:val="69"/>
          <w:sz w:val="20"/>
        </w:rPr>
        <w:t>  </w:t>
      </w:r>
      <w:r>
        <w:rPr>
          <w:sz w:val="20"/>
        </w:rPr>
        <w:t>трансплантологии и искусственных органов. 2020; 22(3):8-17. URL: </w:t>
      </w:r>
      <w:r>
        <w:rPr>
          <w:color w:val="0462C1"/>
          <w:sz w:val="20"/>
          <w:u w:val="single" w:color="0462C1"/>
        </w:rPr>
        <w:t>https://doi.org/10.15825/1995-1191-2020-3-8-17</w:t>
      </w:r>
    </w:p>
    <w:p>
      <w:pPr>
        <w:pStyle w:val="ListParagraph"/>
        <w:numPr>
          <w:ilvl w:val="0"/>
          <w:numId w:val="67"/>
        </w:numPr>
        <w:tabs>
          <w:tab w:pos="2405" w:val="left" w:leader="none"/>
          <w:tab w:pos="2407" w:val="left" w:leader="none"/>
        </w:tabs>
        <w:spacing w:line="240" w:lineRule="auto" w:before="0" w:after="0"/>
        <w:ind w:left="2407" w:right="1273" w:hanging="566"/>
        <w:jc w:val="both"/>
        <w:rPr>
          <w:sz w:val="20"/>
        </w:rPr>
      </w:pPr>
      <w:r>
        <w:rPr>
          <w:sz w:val="20"/>
        </w:rPr>
        <w:t>Дедов И.И., Мокрышева Н.Г., Шестакова М.В. и соавт. Контроль гликемии и выбор антигипергликемической терапии у пациентов с сахарным диабетом 2 типа и COVID-19: консенсусное решение совета экспертов Российской ассоциации эндокринологов //Сахарный диабет. 2022. 25(1): 27-49.</w:t>
      </w:r>
    </w:p>
    <w:p>
      <w:pPr>
        <w:pStyle w:val="ListParagraph"/>
        <w:numPr>
          <w:ilvl w:val="0"/>
          <w:numId w:val="67"/>
        </w:numPr>
        <w:tabs>
          <w:tab w:pos="2405" w:val="left" w:leader="none"/>
          <w:tab w:pos="2407" w:val="left" w:leader="none"/>
        </w:tabs>
        <w:spacing w:line="240" w:lineRule="auto" w:before="0" w:after="0"/>
        <w:ind w:left="2407" w:right="1274" w:hanging="566"/>
        <w:jc w:val="both"/>
        <w:rPr>
          <w:sz w:val="20"/>
        </w:rPr>
      </w:pPr>
      <w:r>
        <w:rPr>
          <w:sz w:val="20"/>
        </w:rPr>
        <w:t>Дондурей Е.А., Исанкина Л.Н., Афанасьева О.И., Титева А.В., Вишневская Т.В., Кондратьев В.А. и др.</w:t>
      </w:r>
      <w:r>
        <w:rPr>
          <w:spacing w:val="40"/>
          <w:sz w:val="20"/>
        </w:rPr>
        <w:t> </w:t>
      </w:r>
      <w:r>
        <w:rPr>
          <w:sz w:val="20"/>
        </w:rPr>
        <w:t>Характеристика COVID-19 у детей: первый опыт работы в стационаре Санкт- Петербурга // Журнал инфектологии.2020;3 (12):56-63.</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Заболотских И.Б. и соавт. Анестезиолого-реанимационное обеспечение пациентов с новой коронавирусной инфекцией COVID-19. Методические рекомендации Общероссийской общественной</w:t>
      </w:r>
      <w:r>
        <w:rPr>
          <w:spacing w:val="-3"/>
          <w:sz w:val="20"/>
        </w:rPr>
        <w:t> </w:t>
      </w:r>
      <w:r>
        <w:rPr>
          <w:sz w:val="20"/>
        </w:rPr>
        <w:t>организации</w:t>
      </w:r>
      <w:r>
        <w:rPr>
          <w:spacing w:val="-3"/>
          <w:sz w:val="20"/>
        </w:rPr>
        <w:t> </w:t>
      </w:r>
      <w:r>
        <w:rPr>
          <w:sz w:val="20"/>
        </w:rPr>
        <w:t>«Федерация</w:t>
      </w:r>
      <w:r>
        <w:rPr>
          <w:spacing w:val="-2"/>
          <w:sz w:val="20"/>
        </w:rPr>
        <w:t> </w:t>
      </w:r>
      <w:r>
        <w:rPr>
          <w:sz w:val="20"/>
        </w:rPr>
        <w:t>анестезиологов</w:t>
      </w:r>
      <w:r>
        <w:rPr>
          <w:spacing w:val="-2"/>
          <w:sz w:val="20"/>
        </w:rPr>
        <w:t> </w:t>
      </w:r>
      <w:r>
        <w:rPr>
          <w:sz w:val="20"/>
        </w:rPr>
        <w:t>и</w:t>
      </w:r>
      <w:r>
        <w:rPr>
          <w:spacing w:val="-3"/>
          <w:sz w:val="20"/>
        </w:rPr>
        <w:t> </w:t>
      </w:r>
      <w:r>
        <w:rPr>
          <w:sz w:val="20"/>
        </w:rPr>
        <w:t>реаниматологов» (версия 6).</w:t>
      </w:r>
      <w:r>
        <w:rPr>
          <w:spacing w:val="-1"/>
          <w:sz w:val="20"/>
        </w:rPr>
        <w:t> </w:t>
      </w:r>
      <w:r>
        <w:rPr>
          <w:sz w:val="20"/>
        </w:rPr>
        <w:t>Вестник интенсивной терапии им. А.И. Салтанова. 2021;S1:9–143. https://doi.org/10.21320/1818-474X- </w:t>
      </w:r>
      <w:r>
        <w:rPr>
          <w:spacing w:val="-2"/>
          <w:sz w:val="20"/>
        </w:rPr>
        <w:t>2021-S1-9-143</w:t>
      </w:r>
    </w:p>
    <w:p>
      <w:pPr>
        <w:pStyle w:val="ListParagraph"/>
        <w:numPr>
          <w:ilvl w:val="0"/>
          <w:numId w:val="67"/>
        </w:numPr>
        <w:tabs>
          <w:tab w:pos="2405" w:val="left" w:leader="none"/>
          <w:tab w:pos="2407" w:val="left" w:leader="none"/>
        </w:tabs>
        <w:spacing w:line="240" w:lineRule="auto" w:before="0" w:after="0"/>
        <w:ind w:left="2407" w:right="1281" w:hanging="566"/>
        <w:jc w:val="both"/>
        <w:rPr>
          <w:sz w:val="20"/>
        </w:rPr>
      </w:pPr>
      <w:r>
        <w:rPr>
          <w:sz w:val="20"/>
        </w:rPr>
        <w:t>Захаренко</w:t>
      </w:r>
      <w:r>
        <w:rPr>
          <w:spacing w:val="38"/>
          <w:sz w:val="20"/>
        </w:rPr>
        <w:t>  </w:t>
      </w:r>
      <w:r>
        <w:rPr>
          <w:sz w:val="20"/>
        </w:rPr>
        <w:t>С.М.,</w:t>
      </w:r>
      <w:r>
        <w:rPr>
          <w:spacing w:val="39"/>
          <w:sz w:val="20"/>
        </w:rPr>
        <w:t>  </w:t>
      </w:r>
      <w:r>
        <w:rPr>
          <w:sz w:val="20"/>
        </w:rPr>
        <w:t>c</w:t>
      </w:r>
      <w:r>
        <w:rPr>
          <w:spacing w:val="38"/>
          <w:sz w:val="20"/>
        </w:rPr>
        <w:t>  </w:t>
      </w:r>
      <w:r>
        <w:rPr>
          <w:sz w:val="20"/>
        </w:rPr>
        <w:t>соавт.</w:t>
      </w:r>
      <w:r>
        <w:rPr>
          <w:spacing w:val="38"/>
          <w:sz w:val="20"/>
        </w:rPr>
        <w:t>  </w:t>
      </w:r>
      <w:r>
        <w:rPr>
          <w:sz w:val="20"/>
        </w:rPr>
        <w:t>Нежелательные</w:t>
      </w:r>
      <w:r>
        <w:rPr>
          <w:spacing w:val="38"/>
          <w:sz w:val="20"/>
        </w:rPr>
        <w:t>  </w:t>
      </w:r>
      <w:r>
        <w:rPr>
          <w:sz w:val="20"/>
        </w:rPr>
        <w:t>лекарственные</w:t>
      </w:r>
      <w:r>
        <w:rPr>
          <w:spacing w:val="38"/>
          <w:sz w:val="20"/>
        </w:rPr>
        <w:t>  </w:t>
      </w:r>
      <w:r>
        <w:rPr>
          <w:sz w:val="20"/>
        </w:rPr>
        <w:t>реакции</w:t>
      </w:r>
      <w:r>
        <w:rPr>
          <w:spacing w:val="37"/>
          <w:sz w:val="20"/>
        </w:rPr>
        <w:t>  </w:t>
      </w:r>
      <w:r>
        <w:rPr>
          <w:sz w:val="20"/>
        </w:rPr>
        <w:t>со</w:t>
      </w:r>
      <w:r>
        <w:rPr>
          <w:spacing w:val="38"/>
          <w:sz w:val="20"/>
        </w:rPr>
        <w:t>  </w:t>
      </w:r>
      <w:r>
        <w:rPr>
          <w:sz w:val="20"/>
        </w:rPr>
        <w:t>стороны</w:t>
      </w:r>
      <w:r>
        <w:rPr>
          <w:spacing w:val="38"/>
          <w:sz w:val="20"/>
        </w:rPr>
        <w:t>  </w:t>
      </w:r>
      <w:r>
        <w:rPr>
          <w:sz w:val="20"/>
        </w:rPr>
        <w:t>ЖКТ </w:t>
      </w:r>
      <w:r>
        <w:rPr>
          <w:spacing w:val="-2"/>
          <w:sz w:val="20"/>
        </w:rPr>
        <w:t>и антибиотикоассоциированная диарея при применении антибиотиков в амбулаторной практике: </w:t>
      </w:r>
      <w:r>
        <w:rPr>
          <w:sz w:val="20"/>
        </w:rPr>
        <w:t>профилактика и лечение // Клиническая микробиология и антимикробная химиотерапия, 2019; 3: 196-206.</w:t>
      </w:r>
    </w:p>
    <w:p>
      <w:pPr>
        <w:pStyle w:val="ListParagraph"/>
        <w:numPr>
          <w:ilvl w:val="0"/>
          <w:numId w:val="67"/>
        </w:numPr>
        <w:tabs>
          <w:tab w:pos="2405" w:val="left" w:leader="none"/>
          <w:tab w:pos="2407" w:val="left" w:leader="none"/>
        </w:tabs>
        <w:spacing w:line="240" w:lineRule="auto" w:before="0" w:after="0"/>
        <w:ind w:left="2407" w:right="1279" w:hanging="566"/>
        <w:jc w:val="both"/>
        <w:rPr>
          <w:sz w:val="20"/>
        </w:rPr>
      </w:pPr>
      <w:r>
        <w:rPr>
          <w:sz w:val="20"/>
        </w:rPr>
        <w:t>Зелтынь-Абрамов</w:t>
      </w:r>
      <w:r>
        <w:rPr>
          <w:spacing w:val="-3"/>
          <w:sz w:val="20"/>
        </w:rPr>
        <w:t> </w:t>
      </w:r>
      <w:r>
        <w:rPr>
          <w:sz w:val="20"/>
        </w:rPr>
        <w:t>Е.М.</w:t>
      </w:r>
      <w:r>
        <w:rPr>
          <w:spacing w:val="-2"/>
          <w:sz w:val="20"/>
        </w:rPr>
        <w:t> </w:t>
      </w:r>
      <w:r>
        <w:rPr>
          <w:sz w:val="20"/>
        </w:rPr>
        <w:t>и</w:t>
      </w:r>
      <w:r>
        <w:rPr>
          <w:spacing w:val="-4"/>
          <w:sz w:val="20"/>
        </w:rPr>
        <w:t> </w:t>
      </w:r>
      <w:r>
        <w:rPr>
          <w:sz w:val="20"/>
        </w:rPr>
        <w:t>соавт.</w:t>
      </w:r>
      <w:r>
        <w:rPr>
          <w:spacing w:val="-3"/>
          <w:sz w:val="20"/>
        </w:rPr>
        <w:t> </w:t>
      </w:r>
      <w:r>
        <w:rPr>
          <w:sz w:val="20"/>
        </w:rPr>
        <w:t>COVID19 -</w:t>
      </w:r>
      <w:r>
        <w:rPr>
          <w:spacing w:val="-2"/>
          <w:sz w:val="20"/>
        </w:rPr>
        <w:t> </w:t>
      </w:r>
      <w:r>
        <w:rPr>
          <w:sz w:val="20"/>
        </w:rPr>
        <w:t>ассоциированные поражения</w:t>
      </w:r>
      <w:r>
        <w:rPr>
          <w:spacing w:val="-3"/>
          <w:sz w:val="20"/>
        </w:rPr>
        <w:t> </w:t>
      </w:r>
      <w:r>
        <w:rPr>
          <w:sz w:val="20"/>
        </w:rPr>
        <w:t>сердца</w:t>
      </w:r>
      <w:r>
        <w:rPr>
          <w:spacing w:val="-3"/>
          <w:sz w:val="20"/>
        </w:rPr>
        <w:t> </w:t>
      </w:r>
      <w:r>
        <w:rPr>
          <w:sz w:val="20"/>
        </w:rPr>
        <w:t>у</w:t>
      </w:r>
      <w:r>
        <w:rPr>
          <w:spacing w:val="-2"/>
          <w:sz w:val="20"/>
        </w:rPr>
        <w:t> </w:t>
      </w:r>
      <w:r>
        <w:rPr>
          <w:sz w:val="20"/>
        </w:rPr>
        <w:t>пациентов</w:t>
      </w:r>
      <w:r>
        <w:rPr>
          <w:spacing w:val="-1"/>
          <w:sz w:val="20"/>
        </w:rPr>
        <w:t> </w:t>
      </w:r>
      <w:r>
        <w:rPr>
          <w:sz w:val="20"/>
        </w:rPr>
        <w:t>на программном гемодиализе (Серия клинических наблюдений и краткий обзор литературы) // Нефрология и диализ. 2020; 22:9-20. DOI: 10.28996/2618-9801-2020-Special_Issue-21-32.</w:t>
      </w:r>
    </w:p>
    <w:p>
      <w:pPr>
        <w:pStyle w:val="ListParagraph"/>
        <w:numPr>
          <w:ilvl w:val="0"/>
          <w:numId w:val="67"/>
        </w:numPr>
        <w:tabs>
          <w:tab w:pos="2405" w:val="left" w:leader="none"/>
          <w:tab w:pos="2407" w:val="left" w:leader="none"/>
        </w:tabs>
        <w:spacing w:line="240" w:lineRule="auto" w:before="0" w:after="0"/>
        <w:ind w:left="2407" w:right="1280" w:hanging="566"/>
        <w:jc w:val="both"/>
        <w:rPr>
          <w:sz w:val="20"/>
        </w:rPr>
      </w:pPr>
      <w:r>
        <w:rPr>
          <w:sz w:val="20"/>
        </w:rPr>
        <w:t>Зелтынь-Абрамов</w:t>
      </w:r>
      <w:r>
        <w:rPr>
          <w:spacing w:val="80"/>
          <w:w w:val="150"/>
          <w:sz w:val="20"/>
        </w:rPr>
        <w:t> </w:t>
      </w:r>
      <w:r>
        <w:rPr>
          <w:sz w:val="20"/>
        </w:rPr>
        <w:t>Е.М.</w:t>
      </w:r>
      <w:r>
        <w:rPr>
          <w:spacing w:val="80"/>
          <w:w w:val="150"/>
          <w:sz w:val="20"/>
        </w:rPr>
        <w:t> </w:t>
      </w:r>
      <w:r>
        <w:rPr>
          <w:sz w:val="20"/>
        </w:rPr>
        <w:t>и</w:t>
      </w:r>
      <w:r>
        <w:rPr>
          <w:spacing w:val="80"/>
          <w:w w:val="150"/>
          <w:sz w:val="20"/>
        </w:rPr>
        <w:t> </w:t>
      </w:r>
      <w:r>
        <w:rPr>
          <w:sz w:val="20"/>
        </w:rPr>
        <w:t>соавт.</w:t>
      </w:r>
      <w:r>
        <w:rPr>
          <w:spacing w:val="80"/>
          <w:w w:val="150"/>
          <w:sz w:val="20"/>
        </w:rPr>
        <w:t> </w:t>
      </w:r>
      <w:r>
        <w:rPr>
          <w:sz w:val="20"/>
        </w:rPr>
        <w:t>Стресс-индуцированная</w:t>
      </w:r>
      <w:r>
        <w:rPr>
          <w:spacing w:val="80"/>
          <w:w w:val="150"/>
          <w:sz w:val="20"/>
        </w:rPr>
        <w:t> </w:t>
      </w:r>
      <w:r>
        <w:rPr>
          <w:sz w:val="20"/>
        </w:rPr>
        <w:t>кардиомиопатия</w:t>
      </w:r>
      <w:r>
        <w:rPr>
          <w:spacing w:val="80"/>
          <w:w w:val="150"/>
          <w:sz w:val="20"/>
        </w:rPr>
        <w:t> </w:t>
      </w:r>
      <w:r>
        <w:rPr>
          <w:sz w:val="20"/>
        </w:rPr>
        <w:t>у</w:t>
      </w:r>
      <w:r>
        <w:rPr>
          <w:spacing w:val="80"/>
          <w:w w:val="150"/>
          <w:sz w:val="20"/>
        </w:rPr>
        <w:t> </w:t>
      </w:r>
      <w:r>
        <w:rPr>
          <w:sz w:val="20"/>
        </w:rPr>
        <w:t>пациентки</w:t>
      </w:r>
      <w:r>
        <w:rPr>
          <w:spacing w:val="40"/>
          <w:sz w:val="20"/>
        </w:rPr>
        <w:t> </w:t>
      </w:r>
      <w:r>
        <w:rPr>
          <w:sz w:val="20"/>
        </w:rPr>
        <w:t>с фульминантным течением COVID-19 в ранние сроки после аллотрансплантации почки (Наблюдение из практики и краткий обзор литературы) // Клиническая нефрология. 2020; (2): 10-15. DOI: </w:t>
      </w:r>
      <w:r>
        <w:rPr>
          <w:color w:val="0462C1"/>
          <w:sz w:val="20"/>
          <w:u w:val="single" w:color="0462C1"/>
        </w:rPr>
        <w:t>https://dx.doi.org/10.18565/nephrology.2020.2.10-15</w:t>
      </w:r>
      <w:r>
        <w:rPr>
          <w:sz w:val="20"/>
        </w:rPr>
        <w:t>.</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Зелтынь-Абрамов</w:t>
      </w:r>
      <w:r>
        <w:rPr>
          <w:spacing w:val="68"/>
          <w:sz w:val="20"/>
        </w:rPr>
        <w:t> </w:t>
      </w:r>
      <w:r>
        <w:rPr>
          <w:sz w:val="20"/>
        </w:rPr>
        <w:t>Е.М.</w:t>
      </w:r>
      <w:r>
        <w:rPr>
          <w:spacing w:val="70"/>
          <w:sz w:val="20"/>
        </w:rPr>
        <w:t> </w:t>
      </w:r>
      <w:r>
        <w:rPr>
          <w:sz w:val="20"/>
        </w:rPr>
        <w:t>и</w:t>
      </w:r>
      <w:r>
        <w:rPr>
          <w:spacing w:val="70"/>
          <w:sz w:val="20"/>
        </w:rPr>
        <w:t> </w:t>
      </w:r>
      <w:r>
        <w:rPr>
          <w:sz w:val="20"/>
        </w:rPr>
        <w:t>соавт.</w:t>
      </w:r>
      <w:r>
        <w:rPr>
          <w:spacing w:val="69"/>
          <w:sz w:val="20"/>
        </w:rPr>
        <w:t> </w:t>
      </w:r>
      <w:r>
        <w:rPr>
          <w:sz w:val="20"/>
        </w:rPr>
        <w:t>Факторы</w:t>
      </w:r>
      <w:r>
        <w:rPr>
          <w:spacing w:val="70"/>
          <w:sz w:val="20"/>
        </w:rPr>
        <w:t> </w:t>
      </w:r>
      <w:r>
        <w:rPr>
          <w:sz w:val="20"/>
        </w:rPr>
        <w:t>риска</w:t>
      </w:r>
      <w:r>
        <w:rPr>
          <w:spacing w:val="71"/>
          <w:sz w:val="20"/>
        </w:rPr>
        <w:t> </w:t>
      </w:r>
      <w:r>
        <w:rPr>
          <w:sz w:val="20"/>
        </w:rPr>
        <w:t>неблагоприятного</w:t>
      </w:r>
      <w:r>
        <w:rPr>
          <w:spacing w:val="70"/>
          <w:sz w:val="20"/>
        </w:rPr>
        <w:t> </w:t>
      </w:r>
      <w:r>
        <w:rPr>
          <w:sz w:val="20"/>
        </w:rPr>
        <w:t>прогноза</w:t>
      </w:r>
      <w:r>
        <w:rPr>
          <w:spacing w:val="70"/>
          <w:sz w:val="20"/>
        </w:rPr>
        <w:t> </w:t>
      </w:r>
      <w:r>
        <w:rPr>
          <w:sz w:val="20"/>
        </w:rPr>
        <w:t>у</w:t>
      </w:r>
      <w:r>
        <w:rPr>
          <w:spacing w:val="70"/>
          <w:sz w:val="20"/>
        </w:rPr>
        <w:t> </w:t>
      </w:r>
      <w:r>
        <w:rPr>
          <w:sz w:val="20"/>
        </w:rPr>
        <w:t>пациентов на</w:t>
      </w:r>
      <w:r>
        <w:rPr>
          <w:spacing w:val="-4"/>
          <w:sz w:val="20"/>
        </w:rPr>
        <w:t> </w:t>
      </w:r>
      <w:r>
        <w:rPr>
          <w:sz w:val="20"/>
        </w:rPr>
        <w:t>программном гемодиализе с COVID-19. Акцент на сердечно-сосудистую коморбидность (Опыт одного центра) // Нефрология и диализ. 2020. 22:21-32. DOI: 10.28996/2618-9801-2020- </w:t>
      </w:r>
      <w:r>
        <w:rPr>
          <w:spacing w:val="-2"/>
          <w:sz w:val="20"/>
        </w:rPr>
        <w:t>Special_Issue-21-32.</w:t>
      </w:r>
    </w:p>
    <w:p>
      <w:pPr>
        <w:pStyle w:val="ListParagraph"/>
        <w:numPr>
          <w:ilvl w:val="0"/>
          <w:numId w:val="67"/>
        </w:numPr>
        <w:tabs>
          <w:tab w:pos="2405" w:val="left" w:leader="none"/>
          <w:tab w:pos="2407" w:val="left" w:leader="none"/>
        </w:tabs>
        <w:spacing w:line="240" w:lineRule="auto" w:before="0" w:after="0"/>
        <w:ind w:left="2407" w:right="1272" w:hanging="566"/>
        <w:jc w:val="both"/>
        <w:rPr>
          <w:sz w:val="20"/>
        </w:rPr>
      </w:pPr>
      <w:r>
        <w:rPr>
          <w:sz w:val="20"/>
        </w:rPr>
        <w:t>Каприн</w:t>
      </w:r>
      <w:r>
        <w:rPr>
          <w:spacing w:val="80"/>
          <w:w w:val="150"/>
          <w:sz w:val="20"/>
        </w:rPr>
        <w:t> </w:t>
      </w:r>
      <w:r>
        <w:rPr>
          <w:sz w:val="20"/>
        </w:rPr>
        <w:t>А.Д.,</w:t>
      </w:r>
      <w:r>
        <w:rPr>
          <w:spacing w:val="80"/>
          <w:w w:val="150"/>
          <w:sz w:val="20"/>
        </w:rPr>
        <w:t> </w:t>
      </w:r>
      <w:r>
        <w:rPr>
          <w:sz w:val="20"/>
        </w:rPr>
        <w:t>Гамеева</w:t>
      </w:r>
      <w:r>
        <w:rPr>
          <w:spacing w:val="80"/>
          <w:w w:val="150"/>
          <w:sz w:val="20"/>
        </w:rPr>
        <w:t> </w:t>
      </w:r>
      <w:r>
        <w:rPr>
          <w:sz w:val="20"/>
        </w:rPr>
        <w:t>Е.В.,</w:t>
      </w:r>
      <w:r>
        <w:rPr>
          <w:spacing w:val="80"/>
          <w:w w:val="150"/>
          <w:sz w:val="20"/>
        </w:rPr>
        <w:t> </w:t>
      </w:r>
      <w:r>
        <w:rPr>
          <w:sz w:val="20"/>
        </w:rPr>
        <w:t>Поляков</w:t>
      </w:r>
      <w:r>
        <w:rPr>
          <w:spacing w:val="40"/>
          <w:sz w:val="20"/>
        </w:rPr>
        <w:t>  </w:t>
      </w:r>
      <w:r>
        <w:rPr>
          <w:sz w:val="20"/>
        </w:rPr>
        <w:t>А.А.</w:t>
      </w:r>
      <w:r>
        <w:rPr>
          <w:spacing w:val="80"/>
          <w:w w:val="150"/>
          <w:sz w:val="20"/>
        </w:rPr>
        <w:t> </w:t>
      </w:r>
      <w:r>
        <w:rPr>
          <w:sz w:val="20"/>
        </w:rPr>
        <w:t>и</w:t>
      </w:r>
      <w:r>
        <w:rPr>
          <w:spacing w:val="80"/>
          <w:w w:val="150"/>
          <w:sz w:val="20"/>
        </w:rPr>
        <w:t> </w:t>
      </w:r>
      <w:r>
        <w:rPr>
          <w:sz w:val="20"/>
        </w:rPr>
        <w:t>соавт.</w:t>
      </w:r>
      <w:r>
        <w:rPr>
          <w:spacing w:val="80"/>
          <w:w w:val="150"/>
          <w:sz w:val="20"/>
        </w:rPr>
        <w:t> </w:t>
      </w:r>
      <w:r>
        <w:rPr>
          <w:sz w:val="20"/>
        </w:rPr>
        <w:t>Влияние</w:t>
      </w:r>
      <w:r>
        <w:rPr>
          <w:spacing w:val="40"/>
          <w:sz w:val="20"/>
        </w:rPr>
        <w:t>  </w:t>
      </w:r>
      <w:r>
        <w:rPr>
          <w:sz w:val="20"/>
        </w:rPr>
        <w:t>пандемии</w:t>
      </w:r>
      <w:r>
        <w:rPr>
          <w:spacing w:val="40"/>
          <w:sz w:val="20"/>
        </w:rPr>
        <w:t>  </w:t>
      </w:r>
      <w:r>
        <w:rPr>
          <w:sz w:val="20"/>
        </w:rPr>
        <w:t>COVID-19</w:t>
      </w:r>
      <w:r>
        <w:rPr>
          <w:spacing w:val="40"/>
          <w:sz w:val="20"/>
        </w:rPr>
        <w:t> </w:t>
      </w:r>
      <w:r>
        <w:rPr>
          <w:sz w:val="20"/>
        </w:rPr>
        <w:t>на</w:t>
      </w:r>
      <w:r>
        <w:rPr>
          <w:spacing w:val="80"/>
          <w:sz w:val="20"/>
        </w:rPr>
        <w:t> </w:t>
      </w:r>
      <w:r>
        <w:rPr>
          <w:sz w:val="20"/>
        </w:rPr>
        <w:t>онкологическую</w:t>
      </w:r>
      <w:r>
        <w:rPr>
          <w:spacing w:val="80"/>
          <w:sz w:val="20"/>
        </w:rPr>
        <w:t> </w:t>
      </w:r>
      <w:r>
        <w:rPr>
          <w:sz w:val="20"/>
        </w:rPr>
        <w:t>практику</w:t>
      </w:r>
      <w:r>
        <w:rPr>
          <w:spacing w:val="80"/>
          <w:sz w:val="20"/>
        </w:rPr>
        <w:t> </w:t>
      </w:r>
      <w:r>
        <w:rPr>
          <w:sz w:val="20"/>
        </w:rPr>
        <w:t>//</w:t>
      </w:r>
      <w:r>
        <w:rPr>
          <w:spacing w:val="80"/>
          <w:sz w:val="20"/>
        </w:rPr>
        <w:t> </w:t>
      </w:r>
      <w:r>
        <w:rPr>
          <w:sz w:val="20"/>
        </w:rPr>
        <w:t>Сибирский</w:t>
      </w:r>
      <w:r>
        <w:rPr>
          <w:spacing w:val="80"/>
          <w:sz w:val="20"/>
        </w:rPr>
        <w:t> </w:t>
      </w:r>
      <w:r>
        <w:rPr>
          <w:sz w:val="20"/>
        </w:rPr>
        <w:t>онкологический</w:t>
      </w:r>
      <w:r>
        <w:rPr>
          <w:spacing w:val="80"/>
          <w:sz w:val="20"/>
        </w:rPr>
        <w:t> </w:t>
      </w:r>
      <w:r>
        <w:rPr>
          <w:sz w:val="20"/>
        </w:rPr>
        <w:t>журнал.</w:t>
      </w:r>
      <w:r>
        <w:rPr>
          <w:spacing w:val="80"/>
          <w:sz w:val="20"/>
        </w:rPr>
        <w:t> </w:t>
      </w:r>
      <w:r>
        <w:rPr>
          <w:sz w:val="20"/>
        </w:rPr>
        <w:t>2020;19(3):5-22. URL: </w:t>
      </w:r>
      <w:r>
        <w:rPr>
          <w:color w:val="0462C1"/>
          <w:sz w:val="20"/>
          <w:u w:val="single" w:color="0462C1"/>
        </w:rPr>
        <w:t>https://doi.org/10.21294/1814-4861-2020-19-3-5-22</w:t>
      </w:r>
    </w:p>
    <w:p>
      <w:pPr>
        <w:pStyle w:val="ListParagraph"/>
        <w:numPr>
          <w:ilvl w:val="0"/>
          <w:numId w:val="67"/>
        </w:numPr>
        <w:tabs>
          <w:tab w:pos="2405" w:val="left" w:leader="none"/>
          <w:tab w:pos="2407" w:val="left" w:leader="none"/>
        </w:tabs>
        <w:spacing w:line="240" w:lineRule="auto" w:before="0" w:after="0"/>
        <w:ind w:left="2407" w:right="1275" w:hanging="566"/>
        <w:jc w:val="both"/>
        <w:rPr>
          <w:sz w:val="20"/>
        </w:rPr>
      </w:pPr>
      <w:r>
        <w:rPr>
          <w:sz w:val="20"/>
        </w:rPr>
        <w:t>Касьяненко</w:t>
      </w:r>
      <w:r>
        <w:rPr>
          <w:spacing w:val="-9"/>
          <w:sz w:val="20"/>
        </w:rPr>
        <w:t> </w:t>
      </w:r>
      <w:r>
        <w:rPr>
          <w:sz w:val="20"/>
        </w:rPr>
        <w:t>К.В.,</w:t>
      </w:r>
      <w:r>
        <w:rPr>
          <w:spacing w:val="-10"/>
          <w:sz w:val="20"/>
        </w:rPr>
        <w:t> </w:t>
      </w:r>
      <w:r>
        <w:rPr>
          <w:sz w:val="20"/>
        </w:rPr>
        <w:t>Мальцев</w:t>
      </w:r>
      <w:r>
        <w:rPr>
          <w:spacing w:val="-10"/>
          <w:sz w:val="20"/>
        </w:rPr>
        <w:t> </w:t>
      </w:r>
      <w:r>
        <w:rPr>
          <w:sz w:val="20"/>
        </w:rPr>
        <w:t>О.В.,</w:t>
      </w:r>
      <w:r>
        <w:rPr>
          <w:spacing w:val="-10"/>
          <w:sz w:val="20"/>
        </w:rPr>
        <w:t> </w:t>
      </w:r>
      <w:r>
        <w:rPr>
          <w:sz w:val="20"/>
        </w:rPr>
        <w:t>Козлов</w:t>
      </w:r>
      <w:r>
        <w:rPr>
          <w:spacing w:val="-10"/>
          <w:sz w:val="20"/>
        </w:rPr>
        <w:t> </w:t>
      </w:r>
      <w:r>
        <w:rPr>
          <w:sz w:val="20"/>
        </w:rPr>
        <w:t>К.В.,</w:t>
      </w:r>
      <w:r>
        <w:rPr>
          <w:spacing w:val="-10"/>
          <w:sz w:val="20"/>
        </w:rPr>
        <w:t> </w:t>
      </w:r>
      <w:r>
        <w:rPr>
          <w:sz w:val="20"/>
        </w:rPr>
        <w:t>и</w:t>
      </w:r>
      <w:r>
        <w:rPr>
          <w:spacing w:val="-11"/>
          <w:sz w:val="20"/>
        </w:rPr>
        <w:t> </w:t>
      </w:r>
      <w:r>
        <w:rPr>
          <w:sz w:val="20"/>
        </w:rPr>
        <w:t>соавт.</w:t>
      </w:r>
      <w:r>
        <w:rPr>
          <w:spacing w:val="-10"/>
          <w:sz w:val="20"/>
        </w:rPr>
        <w:t> </w:t>
      </w:r>
      <w:r>
        <w:rPr>
          <w:sz w:val="20"/>
        </w:rPr>
        <w:t>Оценка</w:t>
      </w:r>
      <w:r>
        <w:rPr>
          <w:spacing w:val="-9"/>
          <w:sz w:val="20"/>
        </w:rPr>
        <w:t> </w:t>
      </w:r>
      <w:r>
        <w:rPr>
          <w:sz w:val="20"/>
        </w:rPr>
        <w:t>профилактической</w:t>
      </w:r>
      <w:r>
        <w:rPr>
          <w:spacing w:val="-11"/>
          <w:sz w:val="20"/>
        </w:rPr>
        <w:t> </w:t>
      </w:r>
      <w:r>
        <w:rPr>
          <w:sz w:val="20"/>
        </w:rPr>
        <w:t>эффективности и</w:t>
      </w:r>
      <w:r>
        <w:rPr>
          <w:spacing w:val="58"/>
          <w:sz w:val="20"/>
        </w:rPr>
        <w:t> </w:t>
      </w:r>
      <w:r>
        <w:rPr>
          <w:sz w:val="20"/>
        </w:rPr>
        <w:t>безопасности</w:t>
      </w:r>
      <w:r>
        <w:rPr>
          <w:spacing w:val="58"/>
          <w:sz w:val="20"/>
        </w:rPr>
        <w:t> </w:t>
      </w:r>
      <w:r>
        <w:rPr>
          <w:sz w:val="20"/>
        </w:rPr>
        <w:t>азоксимера</w:t>
      </w:r>
      <w:r>
        <w:rPr>
          <w:spacing w:val="61"/>
          <w:sz w:val="20"/>
        </w:rPr>
        <w:t> </w:t>
      </w:r>
      <w:r>
        <w:rPr>
          <w:sz w:val="20"/>
        </w:rPr>
        <w:t>бромида</w:t>
      </w:r>
      <w:r>
        <w:rPr>
          <w:spacing w:val="58"/>
          <w:sz w:val="20"/>
        </w:rPr>
        <w:t> </w:t>
      </w:r>
      <w:r>
        <w:rPr>
          <w:sz w:val="20"/>
        </w:rPr>
        <w:t>у</w:t>
      </w:r>
      <w:r>
        <w:rPr>
          <w:spacing w:val="59"/>
          <w:sz w:val="20"/>
        </w:rPr>
        <w:t> </w:t>
      </w:r>
      <w:r>
        <w:rPr>
          <w:sz w:val="20"/>
        </w:rPr>
        <w:t>медицинских</w:t>
      </w:r>
      <w:r>
        <w:rPr>
          <w:spacing w:val="59"/>
          <w:sz w:val="20"/>
        </w:rPr>
        <w:t> </w:t>
      </w:r>
      <w:r>
        <w:rPr>
          <w:sz w:val="20"/>
        </w:rPr>
        <w:t>работников,</w:t>
      </w:r>
      <w:r>
        <w:rPr>
          <w:spacing w:val="59"/>
          <w:sz w:val="20"/>
        </w:rPr>
        <w:t> </w:t>
      </w:r>
      <w:r>
        <w:rPr>
          <w:sz w:val="20"/>
        </w:rPr>
        <w:t>находящихся</w:t>
      </w:r>
      <w:r>
        <w:rPr>
          <w:spacing w:val="58"/>
          <w:sz w:val="20"/>
        </w:rPr>
        <w:t> </w:t>
      </w:r>
      <w:r>
        <w:rPr>
          <w:sz w:val="20"/>
        </w:rPr>
        <w:t>в</w:t>
      </w:r>
      <w:r>
        <w:rPr>
          <w:spacing w:val="58"/>
          <w:sz w:val="20"/>
        </w:rPr>
        <w:t> </w:t>
      </w:r>
      <w:r>
        <w:rPr>
          <w:sz w:val="20"/>
        </w:rPr>
        <w:t>контакте с</w:t>
      </w:r>
      <w:r>
        <w:rPr>
          <w:spacing w:val="80"/>
          <w:w w:val="150"/>
          <w:sz w:val="20"/>
        </w:rPr>
        <w:t>  </w:t>
      </w:r>
      <w:r>
        <w:rPr>
          <w:sz w:val="20"/>
        </w:rPr>
        <w:t>пациентами,</w:t>
      </w:r>
      <w:r>
        <w:rPr>
          <w:spacing w:val="80"/>
          <w:w w:val="150"/>
          <w:sz w:val="20"/>
        </w:rPr>
        <w:t>  </w:t>
      </w:r>
      <w:r>
        <w:rPr>
          <w:sz w:val="20"/>
        </w:rPr>
        <w:t>госпитализированными</w:t>
      </w:r>
      <w:r>
        <w:rPr>
          <w:spacing w:val="80"/>
          <w:w w:val="150"/>
          <w:sz w:val="20"/>
        </w:rPr>
        <w:t>  </w:t>
      </w:r>
      <w:r>
        <w:rPr>
          <w:sz w:val="20"/>
        </w:rPr>
        <w:t>по</w:t>
      </w:r>
      <w:r>
        <w:rPr>
          <w:spacing w:val="80"/>
          <w:w w:val="150"/>
          <w:sz w:val="20"/>
        </w:rPr>
        <w:t>  </w:t>
      </w:r>
      <w:r>
        <w:rPr>
          <w:sz w:val="20"/>
        </w:rPr>
        <w:t>поводу</w:t>
      </w:r>
      <w:r>
        <w:rPr>
          <w:spacing w:val="80"/>
          <w:w w:val="150"/>
          <w:sz w:val="20"/>
        </w:rPr>
        <w:t>  </w:t>
      </w:r>
      <w:r>
        <w:rPr>
          <w:sz w:val="20"/>
        </w:rPr>
        <w:t>COVID-19.</w:t>
      </w:r>
      <w:r>
        <w:rPr>
          <w:spacing w:val="80"/>
          <w:w w:val="150"/>
          <w:sz w:val="20"/>
        </w:rPr>
        <w:t>  </w:t>
      </w:r>
      <w:r>
        <w:rPr>
          <w:sz w:val="20"/>
        </w:rPr>
        <w:t>Эпидемиология и Вакцинопрофилактика. 2022;21(1):67-73.</w:t>
      </w:r>
    </w:p>
    <w:p>
      <w:pPr>
        <w:pStyle w:val="ListParagraph"/>
        <w:numPr>
          <w:ilvl w:val="0"/>
          <w:numId w:val="67"/>
        </w:numPr>
        <w:tabs>
          <w:tab w:pos="2405" w:val="left" w:leader="none"/>
          <w:tab w:pos="2407" w:val="left" w:leader="none"/>
        </w:tabs>
        <w:spacing w:line="240" w:lineRule="auto" w:before="0" w:after="0"/>
        <w:ind w:left="2407" w:right="1283" w:hanging="566"/>
        <w:jc w:val="both"/>
        <w:rPr>
          <w:sz w:val="20"/>
        </w:rPr>
      </w:pPr>
      <w:r>
        <w:rPr>
          <w:sz w:val="20"/>
        </w:rPr>
        <w:t>Кузьков</w:t>
      </w:r>
      <w:r>
        <w:rPr>
          <w:spacing w:val="40"/>
          <w:sz w:val="20"/>
        </w:rPr>
        <w:t> </w:t>
      </w:r>
      <w:r>
        <w:rPr>
          <w:sz w:val="20"/>
        </w:rPr>
        <w:t>В.В.,</w:t>
      </w:r>
      <w:r>
        <w:rPr>
          <w:spacing w:val="40"/>
          <w:sz w:val="20"/>
        </w:rPr>
        <w:t> </w:t>
      </w:r>
      <w:r>
        <w:rPr>
          <w:sz w:val="20"/>
        </w:rPr>
        <w:t>Киров</w:t>
      </w:r>
      <w:r>
        <w:rPr>
          <w:spacing w:val="40"/>
          <w:sz w:val="20"/>
        </w:rPr>
        <w:t> </w:t>
      </w:r>
      <w:r>
        <w:rPr>
          <w:sz w:val="20"/>
        </w:rPr>
        <w:t>М.Ю.</w:t>
      </w:r>
      <w:r>
        <w:rPr>
          <w:spacing w:val="40"/>
          <w:sz w:val="20"/>
        </w:rPr>
        <w:t> </w:t>
      </w:r>
      <w:r>
        <w:rPr>
          <w:sz w:val="20"/>
        </w:rPr>
        <w:t>Инвазивный</w:t>
      </w:r>
      <w:r>
        <w:rPr>
          <w:spacing w:val="40"/>
          <w:sz w:val="20"/>
        </w:rPr>
        <w:t> </w:t>
      </w:r>
      <w:r>
        <w:rPr>
          <w:sz w:val="20"/>
        </w:rPr>
        <w:t>мониторинг</w:t>
      </w:r>
      <w:r>
        <w:rPr>
          <w:spacing w:val="40"/>
          <w:sz w:val="20"/>
        </w:rPr>
        <w:t> </w:t>
      </w:r>
      <w:r>
        <w:rPr>
          <w:sz w:val="20"/>
        </w:rPr>
        <w:t>гемодинамики</w:t>
      </w:r>
      <w:r>
        <w:rPr>
          <w:spacing w:val="40"/>
          <w:sz w:val="20"/>
        </w:rPr>
        <w:t> </w:t>
      </w:r>
      <w:r>
        <w:rPr>
          <w:sz w:val="20"/>
        </w:rPr>
        <w:t>в</w:t>
      </w:r>
      <w:r>
        <w:rPr>
          <w:spacing w:val="40"/>
          <w:sz w:val="20"/>
        </w:rPr>
        <w:t> </w:t>
      </w:r>
      <w:r>
        <w:rPr>
          <w:sz w:val="20"/>
        </w:rPr>
        <w:t>интенсивной</w:t>
      </w:r>
      <w:r>
        <w:rPr>
          <w:spacing w:val="40"/>
          <w:sz w:val="20"/>
        </w:rPr>
        <w:t> </w:t>
      </w:r>
      <w:r>
        <w:rPr>
          <w:sz w:val="20"/>
        </w:rPr>
        <w:t>терапии и анестезиологии. Архангельск, 2015. 392 с.</w:t>
      </w:r>
    </w:p>
    <w:p>
      <w:pPr>
        <w:pStyle w:val="ListParagraph"/>
        <w:numPr>
          <w:ilvl w:val="0"/>
          <w:numId w:val="67"/>
        </w:numPr>
        <w:tabs>
          <w:tab w:pos="2405" w:val="left" w:leader="none"/>
          <w:tab w:pos="2407" w:val="left" w:leader="none"/>
        </w:tabs>
        <w:spacing w:line="240" w:lineRule="auto" w:before="0" w:after="0"/>
        <w:ind w:left="2407" w:right="1274" w:hanging="566"/>
        <w:jc w:val="both"/>
        <w:rPr>
          <w:sz w:val="20"/>
        </w:rPr>
      </w:pPr>
      <w:r>
        <w:rPr>
          <w:sz w:val="20"/>
        </w:rPr>
        <w:t>Кузьменков</w:t>
      </w:r>
      <w:r>
        <w:rPr>
          <w:spacing w:val="-4"/>
          <w:sz w:val="20"/>
        </w:rPr>
        <w:t> </w:t>
      </w:r>
      <w:r>
        <w:rPr>
          <w:sz w:val="20"/>
        </w:rPr>
        <w:t>А.Ю.,</w:t>
      </w:r>
      <w:r>
        <w:rPr>
          <w:spacing w:val="-5"/>
          <w:sz w:val="20"/>
        </w:rPr>
        <w:t> </w:t>
      </w:r>
      <w:r>
        <w:rPr>
          <w:sz w:val="20"/>
        </w:rPr>
        <w:t>Трушин</w:t>
      </w:r>
      <w:r>
        <w:rPr>
          <w:spacing w:val="-3"/>
          <w:sz w:val="20"/>
        </w:rPr>
        <w:t> </w:t>
      </w:r>
      <w:r>
        <w:rPr>
          <w:sz w:val="20"/>
        </w:rPr>
        <w:t>И.В.,</w:t>
      </w:r>
      <w:r>
        <w:rPr>
          <w:spacing w:val="-5"/>
          <w:sz w:val="20"/>
        </w:rPr>
        <w:t> </w:t>
      </w:r>
      <w:r>
        <w:rPr>
          <w:sz w:val="20"/>
        </w:rPr>
        <w:t>Авраменко</w:t>
      </w:r>
      <w:r>
        <w:rPr>
          <w:spacing w:val="-3"/>
          <w:sz w:val="20"/>
        </w:rPr>
        <w:t> </w:t>
      </w:r>
      <w:r>
        <w:rPr>
          <w:sz w:val="20"/>
        </w:rPr>
        <w:t>А.А.,</w:t>
      </w:r>
      <w:r>
        <w:rPr>
          <w:spacing w:val="-5"/>
          <w:sz w:val="20"/>
        </w:rPr>
        <w:t> </w:t>
      </w:r>
      <w:r>
        <w:rPr>
          <w:sz w:val="20"/>
        </w:rPr>
        <w:t>Эйдельштейн</w:t>
      </w:r>
      <w:r>
        <w:rPr>
          <w:spacing w:val="-3"/>
          <w:sz w:val="20"/>
        </w:rPr>
        <w:t> </w:t>
      </w:r>
      <w:r>
        <w:rPr>
          <w:sz w:val="20"/>
        </w:rPr>
        <w:t>М.В.,</w:t>
      </w:r>
      <w:r>
        <w:rPr>
          <w:spacing w:val="-5"/>
          <w:sz w:val="20"/>
        </w:rPr>
        <w:t> </w:t>
      </w:r>
      <w:r>
        <w:rPr>
          <w:sz w:val="20"/>
        </w:rPr>
        <w:t>Дехнич</w:t>
      </w:r>
      <w:r>
        <w:rPr>
          <w:spacing w:val="-4"/>
          <w:sz w:val="20"/>
        </w:rPr>
        <w:t> </w:t>
      </w:r>
      <w:r>
        <w:rPr>
          <w:sz w:val="20"/>
        </w:rPr>
        <w:t>А.В.,</w:t>
      </w:r>
      <w:r>
        <w:rPr>
          <w:spacing w:val="-2"/>
          <w:sz w:val="20"/>
        </w:rPr>
        <w:t> </w:t>
      </w:r>
      <w:r>
        <w:rPr>
          <w:sz w:val="20"/>
        </w:rPr>
        <w:t>Козлов</w:t>
      </w:r>
      <w:r>
        <w:rPr>
          <w:spacing w:val="-5"/>
          <w:sz w:val="20"/>
        </w:rPr>
        <w:t> </w:t>
      </w:r>
      <w:r>
        <w:rPr>
          <w:sz w:val="20"/>
        </w:rPr>
        <w:t>Р.С. AMRmap: Интернет-платформа мониторинга антибиотикорезистентности // Клиническая микробиология и антимикробная химиотерапия. 2017;19(2):84-90.</w:t>
      </w:r>
    </w:p>
    <w:p>
      <w:pPr>
        <w:pStyle w:val="ListParagraph"/>
        <w:numPr>
          <w:ilvl w:val="0"/>
          <w:numId w:val="67"/>
        </w:numPr>
        <w:tabs>
          <w:tab w:pos="2405" w:val="left" w:leader="none"/>
          <w:tab w:pos="2407" w:val="left" w:leader="none"/>
        </w:tabs>
        <w:spacing w:line="240" w:lineRule="auto" w:before="0" w:after="0"/>
        <w:ind w:left="2407" w:right="1277" w:hanging="566"/>
        <w:jc w:val="both"/>
        <w:rPr>
          <w:sz w:val="20"/>
        </w:rPr>
      </w:pPr>
      <w:r>
        <w:rPr>
          <w:sz w:val="20"/>
        </w:rPr>
        <w:t>Комаров Т. Н., Багаева Н. С., Карнакова К. К., и соавт. Изучение фармакокинетики препарата Арепливир</w:t>
      </w:r>
      <w:r>
        <w:rPr>
          <w:spacing w:val="-4"/>
          <w:sz w:val="20"/>
        </w:rPr>
        <w:t> </w:t>
      </w:r>
      <w:r>
        <w:rPr>
          <w:sz w:val="20"/>
        </w:rPr>
        <w:t>Цинк</w:t>
      </w:r>
      <w:r>
        <w:rPr>
          <w:spacing w:val="-7"/>
          <w:sz w:val="20"/>
        </w:rPr>
        <w:t> </w:t>
      </w:r>
      <w:r>
        <w:rPr>
          <w:sz w:val="20"/>
        </w:rPr>
        <w:t>(МНН:</w:t>
      </w:r>
      <w:r>
        <w:rPr>
          <w:spacing w:val="-6"/>
          <w:sz w:val="20"/>
        </w:rPr>
        <w:t> </w:t>
      </w:r>
      <w:r>
        <w:rPr>
          <w:sz w:val="20"/>
        </w:rPr>
        <w:t>фавипиравир</w:t>
      </w:r>
      <w:r>
        <w:rPr>
          <w:spacing w:val="-5"/>
          <w:sz w:val="20"/>
        </w:rPr>
        <w:t> </w:t>
      </w:r>
      <w:r>
        <w:rPr>
          <w:sz w:val="20"/>
        </w:rPr>
        <w:t>+</w:t>
      </w:r>
      <w:r>
        <w:rPr>
          <w:spacing w:val="-6"/>
          <w:sz w:val="20"/>
        </w:rPr>
        <w:t> </w:t>
      </w:r>
      <w:r>
        <w:rPr>
          <w:sz w:val="20"/>
        </w:rPr>
        <w:t>цинка</w:t>
      </w:r>
      <w:r>
        <w:rPr>
          <w:spacing w:val="-4"/>
          <w:sz w:val="20"/>
        </w:rPr>
        <w:t> </w:t>
      </w:r>
      <w:r>
        <w:rPr>
          <w:sz w:val="20"/>
        </w:rPr>
        <w:t>глюконат)</w:t>
      </w:r>
      <w:r>
        <w:rPr>
          <w:spacing w:val="-6"/>
          <w:sz w:val="20"/>
        </w:rPr>
        <w:t> </w:t>
      </w:r>
      <w:r>
        <w:rPr>
          <w:sz w:val="20"/>
        </w:rPr>
        <w:t>(ООО</w:t>
      </w:r>
      <w:r>
        <w:rPr>
          <w:spacing w:val="-1"/>
          <w:sz w:val="20"/>
        </w:rPr>
        <w:t> </w:t>
      </w:r>
      <w:r>
        <w:rPr>
          <w:rFonts w:ascii="Cambria Math" w:hAnsi="Cambria Math"/>
          <w:sz w:val="20"/>
        </w:rPr>
        <w:t>≪</w:t>
      </w:r>
      <w:r>
        <w:rPr>
          <w:sz w:val="20"/>
        </w:rPr>
        <w:t>ПРОМОМЕД</w:t>
      </w:r>
      <w:r>
        <w:rPr>
          <w:spacing w:val="-6"/>
          <w:sz w:val="20"/>
        </w:rPr>
        <w:t> </w:t>
      </w:r>
      <w:r>
        <w:rPr>
          <w:sz w:val="20"/>
        </w:rPr>
        <w:t>РУС</w:t>
      </w:r>
      <w:r>
        <w:rPr>
          <w:rFonts w:ascii="Cambria Math" w:hAnsi="Cambria Math"/>
          <w:sz w:val="20"/>
        </w:rPr>
        <w:t>≫</w:t>
      </w:r>
      <w:r>
        <w:rPr>
          <w:sz w:val="20"/>
        </w:rPr>
        <w:t>,</w:t>
      </w:r>
      <w:r>
        <w:rPr>
          <w:spacing w:val="-6"/>
          <w:sz w:val="20"/>
        </w:rPr>
        <w:t> </w:t>
      </w:r>
      <w:r>
        <w:rPr>
          <w:sz w:val="20"/>
        </w:rPr>
        <w:t>Россия) в</w:t>
      </w:r>
      <w:r>
        <w:rPr>
          <w:spacing w:val="-10"/>
          <w:sz w:val="20"/>
        </w:rPr>
        <w:t> </w:t>
      </w:r>
      <w:r>
        <w:rPr>
          <w:sz w:val="20"/>
        </w:rPr>
        <w:t>рамках</w:t>
      </w:r>
      <w:r>
        <w:rPr>
          <w:spacing w:val="-9"/>
          <w:sz w:val="20"/>
        </w:rPr>
        <w:t> </w:t>
      </w:r>
      <w:r>
        <w:rPr>
          <w:sz w:val="20"/>
        </w:rPr>
        <w:t>фазы</w:t>
      </w:r>
      <w:r>
        <w:rPr>
          <w:spacing w:val="-9"/>
          <w:sz w:val="20"/>
        </w:rPr>
        <w:t> </w:t>
      </w:r>
      <w:r>
        <w:rPr>
          <w:sz w:val="20"/>
        </w:rPr>
        <w:t>I</w:t>
      </w:r>
      <w:r>
        <w:rPr>
          <w:spacing w:val="-9"/>
          <w:sz w:val="20"/>
        </w:rPr>
        <w:t> </w:t>
      </w:r>
      <w:r>
        <w:rPr>
          <w:sz w:val="20"/>
        </w:rPr>
        <w:t>клинического</w:t>
      </w:r>
      <w:r>
        <w:rPr>
          <w:spacing w:val="-9"/>
          <w:sz w:val="20"/>
        </w:rPr>
        <w:t> </w:t>
      </w:r>
      <w:r>
        <w:rPr>
          <w:sz w:val="20"/>
        </w:rPr>
        <w:t>исследования</w:t>
      </w:r>
      <w:r>
        <w:rPr>
          <w:spacing w:val="-10"/>
          <w:sz w:val="20"/>
        </w:rPr>
        <w:t> </w:t>
      </w:r>
      <w:r>
        <w:rPr>
          <w:sz w:val="20"/>
        </w:rPr>
        <w:t>//</w:t>
      </w:r>
      <w:r>
        <w:rPr>
          <w:spacing w:val="-10"/>
          <w:sz w:val="20"/>
        </w:rPr>
        <w:t> </w:t>
      </w:r>
      <w:r>
        <w:rPr>
          <w:sz w:val="20"/>
        </w:rPr>
        <w:t>Разработка</w:t>
      </w:r>
      <w:r>
        <w:rPr>
          <w:spacing w:val="-8"/>
          <w:sz w:val="20"/>
        </w:rPr>
        <w:t> </w:t>
      </w:r>
      <w:r>
        <w:rPr>
          <w:sz w:val="20"/>
        </w:rPr>
        <w:t>и</w:t>
      </w:r>
      <w:r>
        <w:rPr>
          <w:spacing w:val="-11"/>
          <w:sz w:val="20"/>
        </w:rPr>
        <w:t> </w:t>
      </w:r>
      <w:r>
        <w:rPr>
          <w:sz w:val="20"/>
        </w:rPr>
        <w:t>регистрация</w:t>
      </w:r>
      <w:r>
        <w:rPr>
          <w:spacing w:val="-9"/>
          <w:sz w:val="20"/>
        </w:rPr>
        <w:t> </w:t>
      </w:r>
      <w:r>
        <w:rPr>
          <w:sz w:val="20"/>
        </w:rPr>
        <w:t>лекарственных</w:t>
      </w:r>
      <w:r>
        <w:rPr>
          <w:spacing w:val="-9"/>
          <w:sz w:val="20"/>
        </w:rPr>
        <w:t> </w:t>
      </w:r>
      <w:r>
        <w:rPr>
          <w:sz w:val="20"/>
        </w:rPr>
        <w:t>средств. 2024. Т. 13, № 1</w:t>
      </w:r>
    </w:p>
    <w:p>
      <w:pPr>
        <w:pStyle w:val="ListParagraph"/>
        <w:numPr>
          <w:ilvl w:val="0"/>
          <w:numId w:val="67"/>
        </w:numPr>
        <w:tabs>
          <w:tab w:pos="2405" w:val="left" w:leader="none"/>
          <w:tab w:pos="2407" w:val="left" w:leader="none"/>
        </w:tabs>
        <w:spacing w:line="240" w:lineRule="auto" w:before="0" w:after="0"/>
        <w:ind w:left="2407" w:right="1273" w:hanging="566"/>
        <w:jc w:val="both"/>
        <w:rPr>
          <w:sz w:val="20"/>
        </w:rPr>
      </w:pPr>
      <w:r>
        <w:rPr>
          <w:sz w:val="20"/>
        </w:rPr>
        <w:t>Левшин Н.Ю., Баранов А.А., Аршинов А.В. Низкомолекулярный гепарин второго поколения: эффективность,</w:t>
      </w:r>
      <w:r>
        <w:rPr>
          <w:spacing w:val="-5"/>
          <w:sz w:val="20"/>
        </w:rPr>
        <w:t> </w:t>
      </w:r>
      <w:r>
        <w:rPr>
          <w:sz w:val="20"/>
        </w:rPr>
        <w:t>безопасность,</w:t>
      </w:r>
      <w:r>
        <w:rPr>
          <w:spacing w:val="-7"/>
          <w:sz w:val="20"/>
        </w:rPr>
        <w:t> </w:t>
      </w:r>
      <w:r>
        <w:rPr>
          <w:sz w:val="20"/>
        </w:rPr>
        <w:t>мотивация</w:t>
      </w:r>
      <w:r>
        <w:rPr>
          <w:spacing w:val="-5"/>
          <w:sz w:val="20"/>
        </w:rPr>
        <w:t> </w:t>
      </w:r>
      <w:r>
        <w:rPr>
          <w:sz w:val="20"/>
        </w:rPr>
        <w:t>приоритетного</w:t>
      </w:r>
      <w:r>
        <w:rPr>
          <w:spacing w:val="-6"/>
          <w:sz w:val="20"/>
        </w:rPr>
        <w:t> </w:t>
      </w:r>
      <w:r>
        <w:rPr>
          <w:sz w:val="20"/>
        </w:rPr>
        <w:t>применения</w:t>
      </w:r>
      <w:r>
        <w:rPr>
          <w:spacing w:val="-8"/>
          <w:sz w:val="20"/>
        </w:rPr>
        <w:t> </w:t>
      </w:r>
      <w:r>
        <w:rPr>
          <w:sz w:val="20"/>
        </w:rPr>
        <w:t>в</w:t>
      </w:r>
      <w:r>
        <w:rPr>
          <w:spacing w:val="-5"/>
          <w:sz w:val="20"/>
        </w:rPr>
        <w:t> </w:t>
      </w:r>
      <w:r>
        <w:rPr>
          <w:sz w:val="20"/>
        </w:rPr>
        <w:t>клинической</w:t>
      </w:r>
      <w:r>
        <w:rPr>
          <w:spacing w:val="-6"/>
          <w:sz w:val="20"/>
        </w:rPr>
        <w:t> </w:t>
      </w:r>
      <w:r>
        <w:rPr>
          <w:sz w:val="20"/>
        </w:rPr>
        <w:t>практике // Трудный пациент. 2014. - № 6. С. 7-14.</w:t>
      </w:r>
    </w:p>
    <w:p>
      <w:pPr>
        <w:pStyle w:val="ListParagraph"/>
        <w:spacing w:after="0" w:line="240" w:lineRule="auto"/>
        <w:jc w:val="both"/>
        <w:rPr>
          <w:sz w:val="20"/>
        </w:rPr>
        <w:sectPr>
          <w:pgSz w:w="11900" w:h="16840"/>
          <w:pgMar w:header="0" w:footer="697" w:top="1080" w:bottom="880" w:left="0" w:right="0"/>
        </w:sectPr>
      </w:pPr>
    </w:p>
    <w:p>
      <w:pPr>
        <w:pStyle w:val="ListParagraph"/>
        <w:numPr>
          <w:ilvl w:val="0"/>
          <w:numId w:val="67"/>
        </w:numPr>
        <w:tabs>
          <w:tab w:pos="2405" w:val="left" w:leader="none"/>
          <w:tab w:pos="2407" w:val="left" w:leader="none"/>
        </w:tabs>
        <w:spacing w:line="240" w:lineRule="auto" w:before="74" w:after="0"/>
        <w:ind w:left="2407" w:right="1285" w:hanging="566"/>
        <w:jc w:val="both"/>
        <w:rPr>
          <w:sz w:val="20"/>
        </w:rPr>
      </w:pPr>
      <w:bookmarkStart w:name="158" w:id="186"/>
      <w:bookmarkEnd w:id="186"/>
      <w:r>
        <w:rPr/>
      </w:r>
      <w:r>
        <w:rPr>
          <w:sz w:val="20"/>
        </w:rPr>
        <w:t>Лобзин Ю.В., Черкашина И.В., Самойлова И.Г. Медицинская реабилитация детей, перенесших COVID -19 // Журнал инфектологии.2020;3 (12):64-74.</w:t>
      </w:r>
    </w:p>
    <w:p>
      <w:pPr>
        <w:pStyle w:val="ListParagraph"/>
        <w:numPr>
          <w:ilvl w:val="0"/>
          <w:numId w:val="67"/>
        </w:numPr>
        <w:tabs>
          <w:tab w:pos="2405" w:val="left" w:leader="none"/>
          <w:tab w:pos="2407" w:val="left" w:leader="none"/>
        </w:tabs>
        <w:spacing w:line="240" w:lineRule="auto" w:before="0" w:after="0"/>
        <w:ind w:left="2407" w:right="1277" w:hanging="566"/>
        <w:jc w:val="both"/>
        <w:rPr>
          <w:sz w:val="20"/>
        </w:rPr>
      </w:pPr>
      <w:r>
        <w:rPr>
          <w:sz w:val="20"/>
        </w:rPr>
        <w:t>Лучевая диагностика коронавирусной болезни (COVID-19): организация, методология, интерпретация результатов : препринт № ЦДТ – 2020 – I. Версия 2 от 17.04.2020 / сост. С. П. Морозов,</w:t>
      </w:r>
      <w:r>
        <w:rPr>
          <w:spacing w:val="56"/>
          <w:sz w:val="20"/>
        </w:rPr>
        <w:t> </w:t>
      </w:r>
      <w:r>
        <w:rPr>
          <w:sz w:val="20"/>
        </w:rPr>
        <w:t>Д.</w:t>
      </w:r>
      <w:r>
        <w:rPr>
          <w:spacing w:val="58"/>
          <w:sz w:val="20"/>
        </w:rPr>
        <w:t> </w:t>
      </w:r>
      <w:r>
        <w:rPr>
          <w:sz w:val="20"/>
        </w:rPr>
        <w:t>Н.</w:t>
      </w:r>
      <w:r>
        <w:rPr>
          <w:spacing w:val="56"/>
          <w:sz w:val="20"/>
        </w:rPr>
        <w:t> </w:t>
      </w:r>
      <w:r>
        <w:rPr>
          <w:sz w:val="20"/>
        </w:rPr>
        <w:t>Проценко,</w:t>
      </w:r>
      <w:r>
        <w:rPr>
          <w:spacing w:val="58"/>
          <w:sz w:val="20"/>
        </w:rPr>
        <w:t> </w:t>
      </w:r>
      <w:r>
        <w:rPr>
          <w:sz w:val="20"/>
        </w:rPr>
        <w:t>С.</w:t>
      </w:r>
      <w:r>
        <w:rPr>
          <w:spacing w:val="58"/>
          <w:sz w:val="20"/>
        </w:rPr>
        <w:t> </w:t>
      </w:r>
      <w:r>
        <w:rPr>
          <w:sz w:val="20"/>
        </w:rPr>
        <w:t>В.</w:t>
      </w:r>
      <w:r>
        <w:rPr>
          <w:spacing w:val="58"/>
          <w:sz w:val="20"/>
        </w:rPr>
        <w:t> </w:t>
      </w:r>
      <w:r>
        <w:rPr>
          <w:sz w:val="20"/>
        </w:rPr>
        <w:t>Сметанина</w:t>
      </w:r>
      <w:r>
        <w:rPr>
          <w:spacing w:val="58"/>
          <w:sz w:val="20"/>
        </w:rPr>
        <w:t> </w:t>
      </w:r>
      <w:r>
        <w:rPr>
          <w:sz w:val="20"/>
        </w:rPr>
        <w:t>[и</w:t>
      </w:r>
      <w:r>
        <w:rPr>
          <w:spacing w:val="57"/>
          <w:sz w:val="20"/>
        </w:rPr>
        <w:t> </w:t>
      </w:r>
      <w:r>
        <w:rPr>
          <w:sz w:val="20"/>
        </w:rPr>
        <w:t>др.]</w:t>
      </w:r>
      <w:r>
        <w:rPr>
          <w:spacing w:val="59"/>
          <w:sz w:val="20"/>
        </w:rPr>
        <w:t> </w:t>
      </w:r>
      <w:r>
        <w:rPr>
          <w:sz w:val="20"/>
        </w:rPr>
        <w:t>//</w:t>
      </w:r>
      <w:r>
        <w:rPr>
          <w:spacing w:val="58"/>
          <w:sz w:val="20"/>
        </w:rPr>
        <w:t> </w:t>
      </w:r>
      <w:r>
        <w:rPr>
          <w:sz w:val="20"/>
        </w:rPr>
        <w:t>Серия</w:t>
      </w:r>
      <w:r>
        <w:rPr>
          <w:spacing w:val="58"/>
          <w:sz w:val="20"/>
        </w:rPr>
        <w:t> </w:t>
      </w:r>
      <w:r>
        <w:rPr>
          <w:sz w:val="20"/>
        </w:rPr>
        <w:t>«Лучшие</w:t>
      </w:r>
      <w:r>
        <w:rPr>
          <w:spacing w:val="58"/>
          <w:sz w:val="20"/>
        </w:rPr>
        <w:t> </w:t>
      </w:r>
      <w:r>
        <w:rPr>
          <w:sz w:val="20"/>
        </w:rPr>
        <w:t>практики</w:t>
      </w:r>
      <w:r>
        <w:rPr>
          <w:spacing w:val="57"/>
          <w:sz w:val="20"/>
        </w:rPr>
        <w:t> </w:t>
      </w:r>
      <w:r>
        <w:rPr>
          <w:sz w:val="20"/>
        </w:rPr>
        <w:t>лучевой и инструментальной диагностики». – Вып. 65. – М. : ГБУЗ «НПКЦ ДиТ ДЗМ», 2020. – 78 с.</w:t>
      </w:r>
    </w:p>
    <w:p>
      <w:pPr>
        <w:pStyle w:val="ListParagraph"/>
        <w:numPr>
          <w:ilvl w:val="0"/>
          <w:numId w:val="67"/>
        </w:numPr>
        <w:tabs>
          <w:tab w:pos="2405" w:val="left" w:leader="none"/>
        </w:tabs>
        <w:spacing w:line="240" w:lineRule="auto" w:before="0" w:after="0"/>
        <w:ind w:left="2405" w:right="0" w:hanging="564"/>
        <w:jc w:val="both"/>
        <w:rPr>
          <w:sz w:val="20"/>
        </w:rPr>
      </w:pPr>
      <w:r>
        <w:rPr>
          <w:sz w:val="20"/>
        </w:rPr>
        <w:t>Материалы</w:t>
      </w:r>
      <w:r>
        <w:rPr>
          <w:spacing w:val="-10"/>
          <w:sz w:val="20"/>
        </w:rPr>
        <w:t> </w:t>
      </w:r>
      <w:r>
        <w:rPr>
          <w:sz w:val="20"/>
        </w:rPr>
        <w:t>анализа</w:t>
      </w:r>
      <w:r>
        <w:rPr>
          <w:spacing w:val="-9"/>
          <w:sz w:val="20"/>
        </w:rPr>
        <w:t> </w:t>
      </w:r>
      <w:r>
        <w:rPr>
          <w:sz w:val="20"/>
        </w:rPr>
        <w:t>телеконсультаций</w:t>
      </w:r>
      <w:r>
        <w:rPr>
          <w:spacing w:val="-11"/>
          <w:sz w:val="20"/>
        </w:rPr>
        <w:t> </w:t>
      </w:r>
      <w:r>
        <w:rPr>
          <w:sz w:val="20"/>
        </w:rPr>
        <w:t>НМИЦ</w:t>
      </w:r>
      <w:r>
        <w:rPr>
          <w:spacing w:val="-9"/>
          <w:sz w:val="20"/>
        </w:rPr>
        <w:t> </w:t>
      </w:r>
      <w:r>
        <w:rPr>
          <w:sz w:val="20"/>
        </w:rPr>
        <w:t>ФПИ</w:t>
      </w:r>
      <w:r>
        <w:rPr>
          <w:spacing w:val="-10"/>
          <w:sz w:val="20"/>
        </w:rPr>
        <w:t> </w:t>
      </w:r>
      <w:r>
        <w:rPr>
          <w:sz w:val="20"/>
        </w:rPr>
        <w:t>Минздрава</w:t>
      </w:r>
      <w:r>
        <w:rPr>
          <w:spacing w:val="-9"/>
          <w:sz w:val="20"/>
        </w:rPr>
        <w:t> </w:t>
      </w:r>
      <w:r>
        <w:rPr>
          <w:spacing w:val="-2"/>
          <w:sz w:val="20"/>
        </w:rPr>
        <w:t>России.</w:t>
      </w:r>
    </w:p>
    <w:p>
      <w:pPr>
        <w:pStyle w:val="ListParagraph"/>
        <w:numPr>
          <w:ilvl w:val="0"/>
          <w:numId w:val="67"/>
        </w:numPr>
        <w:tabs>
          <w:tab w:pos="2407" w:val="left" w:leader="none"/>
        </w:tabs>
        <w:spacing w:line="237" w:lineRule="auto" w:before="1" w:after="0"/>
        <w:ind w:left="2407" w:right="1277" w:hanging="566"/>
        <w:jc w:val="left"/>
        <w:rPr>
          <w:sz w:val="20"/>
        </w:rPr>
      </w:pPr>
      <w:r>
        <w:rPr>
          <w:sz w:val="20"/>
        </w:rPr>
        <w:t>Митьков</w:t>
      </w:r>
      <w:r>
        <w:rPr>
          <w:spacing w:val="35"/>
          <w:sz w:val="20"/>
        </w:rPr>
        <w:t> </w:t>
      </w:r>
      <w:r>
        <w:rPr>
          <w:sz w:val="20"/>
        </w:rPr>
        <w:t>В.В.,</w:t>
      </w:r>
      <w:r>
        <w:rPr>
          <w:spacing w:val="35"/>
          <w:sz w:val="20"/>
        </w:rPr>
        <w:t> </w:t>
      </w:r>
      <w:r>
        <w:rPr>
          <w:sz w:val="20"/>
        </w:rPr>
        <w:t>и</w:t>
      </w:r>
      <w:r>
        <w:rPr>
          <w:spacing w:val="34"/>
          <w:sz w:val="20"/>
        </w:rPr>
        <w:t> </w:t>
      </w:r>
      <w:r>
        <w:rPr>
          <w:sz w:val="20"/>
        </w:rPr>
        <w:t>соавт.</w:t>
      </w:r>
      <w:r>
        <w:rPr>
          <w:spacing w:val="36"/>
          <w:sz w:val="20"/>
        </w:rPr>
        <w:t> </w:t>
      </w:r>
      <w:r>
        <w:rPr>
          <w:sz w:val="20"/>
        </w:rPr>
        <w:t>Консенсусное</w:t>
      </w:r>
      <w:r>
        <w:rPr>
          <w:spacing w:val="33"/>
          <w:sz w:val="20"/>
        </w:rPr>
        <w:t> </w:t>
      </w:r>
      <w:r>
        <w:rPr>
          <w:sz w:val="20"/>
        </w:rPr>
        <w:t>заявление</w:t>
      </w:r>
      <w:r>
        <w:rPr>
          <w:spacing w:val="33"/>
          <w:sz w:val="20"/>
        </w:rPr>
        <w:t> </w:t>
      </w:r>
      <w:r>
        <w:rPr>
          <w:sz w:val="20"/>
        </w:rPr>
        <w:t>РАСУДМ</w:t>
      </w:r>
      <w:r>
        <w:rPr>
          <w:spacing w:val="33"/>
          <w:sz w:val="20"/>
        </w:rPr>
        <w:t> </w:t>
      </w:r>
      <w:r>
        <w:rPr>
          <w:sz w:val="20"/>
        </w:rPr>
        <w:t>об</w:t>
      </w:r>
      <w:r>
        <w:rPr>
          <w:spacing w:val="33"/>
          <w:sz w:val="20"/>
        </w:rPr>
        <w:t> </w:t>
      </w:r>
      <w:r>
        <w:rPr>
          <w:sz w:val="20"/>
        </w:rPr>
        <w:t>ультразвуковом</w:t>
      </w:r>
      <w:r>
        <w:rPr>
          <w:spacing w:val="36"/>
          <w:sz w:val="20"/>
        </w:rPr>
        <w:t> </w:t>
      </w:r>
      <w:r>
        <w:rPr>
          <w:sz w:val="20"/>
        </w:rPr>
        <w:t>исследовании легких</w:t>
      </w:r>
      <w:r>
        <w:rPr>
          <w:spacing w:val="-7"/>
          <w:sz w:val="20"/>
        </w:rPr>
        <w:t> </w:t>
      </w:r>
      <w:r>
        <w:rPr>
          <w:sz w:val="20"/>
        </w:rPr>
        <w:t>в</w:t>
      </w:r>
      <w:r>
        <w:rPr>
          <w:spacing w:val="-8"/>
          <w:sz w:val="20"/>
        </w:rPr>
        <w:t> </w:t>
      </w:r>
      <w:r>
        <w:rPr>
          <w:sz w:val="20"/>
        </w:rPr>
        <w:t>условиях</w:t>
      </w:r>
      <w:r>
        <w:rPr>
          <w:spacing w:val="-5"/>
          <w:sz w:val="20"/>
        </w:rPr>
        <w:t> </w:t>
      </w:r>
      <w:r>
        <w:rPr>
          <w:sz w:val="20"/>
        </w:rPr>
        <w:t>COVID-19</w:t>
      </w:r>
      <w:r>
        <w:rPr>
          <w:spacing w:val="-7"/>
          <w:sz w:val="20"/>
        </w:rPr>
        <w:t> </w:t>
      </w:r>
      <w:r>
        <w:rPr>
          <w:sz w:val="20"/>
        </w:rPr>
        <w:t>(версия</w:t>
      </w:r>
      <w:r>
        <w:rPr>
          <w:spacing w:val="-8"/>
          <w:sz w:val="20"/>
        </w:rPr>
        <w:t> </w:t>
      </w:r>
      <w:r>
        <w:rPr>
          <w:sz w:val="20"/>
        </w:rPr>
        <w:t>1)</w:t>
      </w:r>
      <w:r>
        <w:rPr>
          <w:spacing w:val="-9"/>
          <w:sz w:val="20"/>
        </w:rPr>
        <w:t> </w:t>
      </w:r>
      <w:r>
        <w:rPr>
          <w:sz w:val="20"/>
        </w:rPr>
        <w:t>//</w:t>
      </w:r>
      <w:r>
        <w:rPr>
          <w:spacing w:val="-8"/>
          <w:sz w:val="20"/>
        </w:rPr>
        <w:t> </w:t>
      </w:r>
      <w:r>
        <w:rPr>
          <w:sz w:val="20"/>
        </w:rPr>
        <w:t>Ультразвуковая</w:t>
      </w:r>
      <w:r>
        <w:rPr>
          <w:spacing w:val="-8"/>
          <w:sz w:val="20"/>
        </w:rPr>
        <w:t> </w:t>
      </w:r>
      <w:r>
        <w:rPr>
          <w:sz w:val="20"/>
        </w:rPr>
        <w:t>и</w:t>
      </w:r>
      <w:r>
        <w:rPr>
          <w:spacing w:val="-9"/>
          <w:sz w:val="20"/>
        </w:rPr>
        <w:t> </w:t>
      </w:r>
      <w:r>
        <w:rPr>
          <w:sz w:val="20"/>
        </w:rPr>
        <w:t>функциональная</w:t>
      </w:r>
      <w:r>
        <w:rPr>
          <w:spacing w:val="-8"/>
          <w:sz w:val="20"/>
        </w:rPr>
        <w:t> </w:t>
      </w:r>
      <w:r>
        <w:rPr>
          <w:sz w:val="20"/>
        </w:rPr>
        <w:t>диагностика.</w:t>
      </w:r>
      <w:r>
        <w:rPr>
          <w:spacing w:val="-7"/>
          <w:sz w:val="20"/>
        </w:rPr>
        <w:t> </w:t>
      </w:r>
      <w:r>
        <w:rPr>
          <w:sz w:val="20"/>
        </w:rPr>
        <w:t>2020.</w:t>
      </w:r>
    </w:p>
    <w:p>
      <w:pPr>
        <w:spacing w:before="1"/>
        <w:ind w:left="2407" w:right="0" w:firstLine="0"/>
        <w:jc w:val="left"/>
        <w:rPr>
          <w:sz w:val="20"/>
        </w:rPr>
      </w:pPr>
      <w:r>
        <w:rPr>
          <w:sz w:val="20"/>
        </w:rPr>
        <w:t>№</w:t>
      </w:r>
      <w:r>
        <w:rPr>
          <w:spacing w:val="-6"/>
          <w:sz w:val="20"/>
        </w:rPr>
        <w:t> </w:t>
      </w:r>
      <w:r>
        <w:rPr>
          <w:sz w:val="20"/>
        </w:rPr>
        <w:t>1.</w:t>
      </w:r>
      <w:r>
        <w:rPr>
          <w:spacing w:val="-6"/>
          <w:sz w:val="20"/>
        </w:rPr>
        <w:t> </w:t>
      </w:r>
      <w:r>
        <w:rPr>
          <w:sz w:val="20"/>
        </w:rPr>
        <w:t>С.</w:t>
      </w:r>
      <w:r>
        <w:rPr>
          <w:spacing w:val="-5"/>
          <w:sz w:val="20"/>
        </w:rPr>
        <w:t> </w:t>
      </w:r>
      <w:r>
        <w:rPr>
          <w:sz w:val="20"/>
        </w:rPr>
        <w:t>24–45.</w:t>
      </w:r>
      <w:r>
        <w:rPr>
          <w:spacing w:val="-5"/>
          <w:sz w:val="20"/>
        </w:rPr>
        <w:t> </w:t>
      </w:r>
      <w:r>
        <w:rPr>
          <w:sz w:val="20"/>
        </w:rPr>
        <w:t>Doi:</w:t>
      </w:r>
      <w:r>
        <w:rPr>
          <w:spacing w:val="-5"/>
          <w:sz w:val="20"/>
        </w:rPr>
        <w:t> </w:t>
      </w:r>
      <w:r>
        <w:rPr>
          <w:sz w:val="20"/>
        </w:rPr>
        <w:t>10.24835/1607-0771-2020-1-24-45.</w:t>
      </w:r>
      <w:r>
        <w:rPr>
          <w:spacing w:val="-6"/>
          <w:sz w:val="20"/>
        </w:rPr>
        <w:t> </w:t>
      </w:r>
      <w:r>
        <w:rPr>
          <w:sz w:val="20"/>
        </w:rPr>
        <w:t>Опубликовано</w:t>
      </w:r>
      <w:r>
        <w:rPr>
          <w:spacing w:val="-4"/>
          <w:sz w:val="20"/>
        </w:rPr>
        <w:t> </w:t>
      </w:r>
      <w:r>
        <w:rPr>
          <w:sz w:val="20"/>
        </w:rPr>
        <w:t>до</w:t>
      </w:r>
      <w:r>
        <w:rPr>
          <w:spacing w:val="-6"/>
          <w:sz w:val="20"/>
        </w:rPr>
        <w:t> </w:t>
      </w:r>
      <w:r>
        <w:rPr>
          <w:sz w:val="20"/>
        </w:rPr>
        <w:t>печати.</w:t>
      </w:r>
      <w:r>
        <w:rPr>
          <w:spacing w:val="-6"/>
          <w:sz w:val="20"/>
        </w:rPr>
        <w:t> </w:t>
      </w:r>
      <w:r>
        <w:rPr>
          <w:sz w:val="20"/>
        </w:rPr>
        <w:t>Режим</w:t>
      </w:r>
      <w:r>
        <w:rPr>
          <w:spacing w:val="-4"/>
          <w:sz w:val="20"/>
        </w:rPr>
        <w:t> </w:t>
      </w:r>
      <w:r>
        <w:rPr>
          <w:spacing w:val="-2"/>
          <w:sz w:val="20"/>
        </w:rPr>
        <w:t>доступа:</w:t>
      </w:r>
    </w:p>
    <w:p>
      <w:pPr>
        <w:spacing w:before="0"/>
        <w:ind w:left="2407" w:right="1334" w:firstLine="0"/>
        <w:jc w:val="left"/>
        <w:rPr>
          <w:sz w:val="20"/>
        </w:rPr>
      </w:pPr>
      <w:r>
        <w:rPr>
          <w:sz w:val="20"/>
        </w:rPr>
        <w:t>//</w:t>
      </w:r>
      <w:r>
        <w:rPr>
          <w:spacing w:val="80"/>
          <w:sz w:val="20"/>
        </w:rPr>
        <w:t> </w:t>
      </w:r>
      <w:hyperlink r:id="rId55">
        <w:r>
          <w:rPr>
            <w:color w:val="0462C1"/>
            <w:sz w:val="20"/>
            <w:u w:val="single" w:color="0462C1"/>
          </w:rPr>
          <w:t>http://www.rasudm.org/files/RASUDM-Consensus-Statement-COVID.pdf</w:t>
        </w:r>
      </w:hyperlink>
      <w:r>
        <w:rPr>
          <w:color w:val="0462C1"/>
          <w:spacing w:val="80"/>
          <w:sz w:val="20"/>
        </w:rPr>
        <w:t> </w:t>
      </w:r>
      <w:r>
        <w:rPr>
          <w:sz w:val="20"/>
        </w:rPr>
        <w:t>,</w:t>
      </w:r>
      <w:r>
        <w:rPr>
          <w:spacing w:val="80"/>
          <w:sz w:val="20"/>
        </w:rPr>
        <w:t> </w:t>
      </w:r>
      <w:r>
        <w:rPr>
          <w:sz w:val="20"/>
        </w:rPr>
        <w:t>свободный.</w:t>
      </w:r>
      <w:r>
        <w:rPr>
          <w:spacing w:val="80"/>
          <w:sz w:val="20"/>
        </w:rPr>
        <w:t> </w:t>
      </w:r>
      <w:r>
        <w:rPr>
          <w:sz w:val="20"/>
        </w:rPr>
        <w:t>Загл.</w:t>
      </w:r>
      <w:r>
        <w:rPr>
          <w:spacing w:val="80"/>
          <w:sz w:val="20"/>
        </w:rPr>
        <w:t> </w:t>
      </w:r>
      <w:r>
        <w:rPr>
          <w:sz w:val="20"/>
        </w:rPr>
        <w:t>с экрана. 16.04.2020.</w:t>
      </w:r>
    </w:p>
    <w:p>
      <w:pPr>
        <w:pStyle w:val="ListParagraph"/>
        <w:numPr>
          <w:ilvl w:val="0"/>
          <w:numId w:val="67"/>
        </w:numPr>
        <w:tabs>
          <w:tab w:pos="2407" w:val="left" w:leader="none"/>
        </w:tabs>
        <w:spacing w:line="240" w:lineRule="auto" w:before="1" w:after="0"/>
        <w:ind w:left="2407" w:right="0" w:hanging="566"/>
        <w:jc w:val="left"/>
        <w:rPr>
          <w:sz w:val="20"/>
        </w:rPr>
      </w:pPr>
      <w:r>
        <w:rPr>
          <w:sz w:val="20"/>
        </w:rPr>
        <w:t>Насонов</w:t>
      </w:r>
      <w:r>
        <w:rPr>
          <w:spacing w:val="39"/>
          <w:sz w:val="20"/>
        </w:rPr>
        <w:t> </w:t>
      </w:r>
      <w:r>
        <w:rPr>
          <w:sz w:val="20"/>
        </w:rPr>
        <w:t>ЕЛ</w:t>
      </w:r>
      <w:r>
        <w:rPr>
          <w:spacing w:val="39"/>
          <w:sz w:val="20"/>
        </w:rPr>
        <w:t> </w:t>
      </w:r>
      <w:r>
        <w:rPr>
          <w:sz w:val="20"/>
        </w:rPr>
        <w:t>и</w:t>
      </w:r>
      <w:r>
        <w:rPr>
          <w:spacing w:val="40"/>
          <w:sz w:val="20"/>
        </w:rPr>
        <w:t> </w:t>
      </w:r>
      <w:r>
        <w:rPr>
          <w:sz w:val="20"/>
        </w:rPr>
        <w:t>др.;</w:t>
      </w:r>
      <w:r>
        <w:rPr>
          <w:spacing w:val="39"/>
          <w:sz w:val="20"/>
        </w:rPr>
        <w:t> </w:t>
      </w:r>
      <w:r>
        <w:rPr>
          <w:sz w:val="20"/>
        </w:rPr>
        <w:t>по</w:t>
      </w:r>
      <w:r>
        <w:rPr>
          <w:spacing w:val="41"/>
          <w:sz w:val="20"/>
        </w:rPr>
        <w:t> </w:t>
      </w:r>
      <w:r>
        <w:rPr>
          <w:sz w:val="20"/>
        </w:rPr>
        <w:t>поручению</w:t>
      </w:r>
      <w:r>
        <w:rPr>
          <w:spacing w:val="41"/>
          <w:sz w:val="20"/>
        </w:rPr>
        <w:t> </w:t>
      </w:r>
      <w:r>
        <w:rPr>
          <w:sz w:val="20"/>
        </w:rPr>
        <w:t>президиума</w:t>
      </w:r>
      <w:r>
        <w:rPr>
          <w:spacing w:val="40"/>
          <w:sz w:val="20"/>
        </w:rPr>
        <w:t> </w:t>
      </w:r>
      <w:r>
        <w:rPr>
          <w:sz w:val="20"/>
        </w:rPr>
        <w:t>Общероссийской</w:t>
      </w:r>
      <w:r>
        <w:rPr>
          <w:spacing w:val="39"/>
          <w:sz w:val="20"/>
        </w:rPr>
        <w:t> </w:t>
      </w:r>
      <w:r>
        <w:rPr>
          <w:sz w:val="20"/>
        </w:rPr>
        <w:t>общественной</w:t>
      </w:r>
      <w:r>
        <w:rPr>
          <w:spacing w:val="40"/>
          <w:sz w:val="20"/>
        </w:rPr>
        <w:t> </w:t>
      </w:r>
      <w:r>
        <w:rPr>
          <w:spacing w:val="-2"/>
          <w:sz w:val="20"/>
        </w:rPr>
        <w:t>организации</w:t>
      </w:r>
    </w:p>
    <w:p>
      <w:pPr>
        <w:spacing w:line="240" w:lineRule="auto" w:before="0"/>
        <w:ind w:left="2407" w:right="1271" w:firstLine="0"/>
        <w:jc w:val="both"/>
        <w:rPr>
          <w:sz w:val="20"/>
        </w:rPr>
      </w:pPr>
      <w:r>
        <w:rPr>
          <w:sz w:val="20"/>
        </w:rPr>
        <w:t>«Ассоциация ревматологов России». Проект рекомендаций Общероссийской общественной организации «Ассоциация ревматологов России». Коронавирусная болезнь 2019 (COVID-19) и иммуновоспалительные (аутоиммунные) ревматические заболевания. Доступно по ссылке: </w:t>
      </w:r>
      <w:r>
        <w:rPr>
          <w:color w:val="0462C1"/>
          <w:spacing w:val="-2"/>
          <w:sz w:val="20"/>
          <w:u w:val="single" w:color="0462C1"/>
        </w:rPr>
        <w:t>https://rheumatolog.ru</w:t>
      </w:r>
    </w:p>
    <w:p>
      <w:pPr>
        <w:pStyle w:val="ListParagraph"/>
        <w:numPr>
          <w:ilvl w:val="0"/>
          <w:numId w:val="67"/>
        </w:numPr>
        <w:tabs>
          <w:tab w:pos="2405" w:val="left" w:leader="none"/>
          <w:tab w:pos="2407" w:val="left" w:leader="none"/>
        </w:tabs>
        <w:spacing w:line="240" w:lineRule="auto" w:before="0" w:after="0"/>
        <w:ind w:left="2407" w:right="1278" w:hanging="566"/>
        <w:jc w:val="both"/>
        <w:rPr>
          <w:sz w:val="20"/>
        </w:rPr>
      </w:pPr>
      <w:r>
        <w:rPr>
          <w:sz w:val="20"/>
        </w:rPr>
        <w:t>Оленская</w:t>
      </w:r>
      <w:r>
        <w:rPr>
          <w:spacing w:val="-11"/>
          <w:sz w:val="20"/>
        </w:rPr>
        <w:t> </w:t>
      </w:r>
      <w:r>
        <w:rPr>
          <w:sz w:val="20"/>
        </w:rPr>
        <w:t>Т.Л.</w:t>
      </w:r>
      <w:r>
        <w:rPr>
          <w:spacing w:val="-11"/>
          <w:sz w:val="20"/>
        </w:rPr>
        <w:t> </w:t>
      </w:r>
      <w:r>
        <w:rPr>
          <w:sz w:val="20"/>
        </w:rPr>
        <w:t>и</w:t>
      </w:r>
      <w:r>
        <w:rPr>
          <w:spacing w:val="-12"/>
          <w:sz w:val="20"/>
        </w:rPr>
        <w:t> </w:t>
      </w:r>
      <w:r>
        <w:rPr>
          <w:sz w:val="20"/>
        </w:rPr>
        <w:t>соавт.</w:t>
      </w:r>
      <w:r>
        <w:rPr>
          <w:spacing w:val="-11"/>
          <w:sz w:val="20"/>
        </w:rPr>
        <w:t> </w:t>
      </w:r>
      <w:r>
        <w:rPr>
          <w:sz w:val="20"/>
        </w:rPr>
        <w:t>Реабилитация</w:t>
      </w:r>
      <w:r>
        <w:rPr>
          <w:spacing w:val="-11"/>
          <w:sz w:val="20"/>
        </w:rPr>
        <w:t> </w:t>
      </w:r>
      <w:r>
        <w:rPr>
          <w:sz w:val="20"/>
        </w:rPr>
        <w:t>в</w:t>
      </w:r>
      <w:r>
        <w:rPr>
          <w:spacing w:val="-11"/>
          <w:sz w:val="20"/>
        </w:rPr>
        <w:t> </w:t>
      </w:r>
      <w:r>
        <w:rPr>
          <w:sz w:val="20"/>
        </w:rPr>
        <w:t>пульмонологии.</w:t>
      </w:r>
      <w:r>
        <w:rPr>
          <w:spacing w:val="-11"/>
          <w:sz w:val="20"/>
        </w:rPr>
        <w:t> </w:t>
      </w:r>
      <w:r>
        <w:rPr>
          <w:sz w:val="20"/>
        </w:rPr>
        <w:t>Учебно-методическое</w:t>
      </w:r>
      <w:r>
        <w:rPr>
          <w:spacing w:val="-10"/>
          <w:sz w:val="20"/>
        </w:rPr>
        <w:t> </w:t>
      </w:r>
      <w:r>
        <w:rPr>
          <w:sz w:val="20"/>
        </w:rPr>
        <w:t>пособие.</w:t>
      </w:r>
      <w:r>
        <w:rPr>
          <w:spacing w:val="-10"/>
          <w:sz w:val="20"/>
        </w:rPr>
        <w:t> </w:t>
      </w:r>
      <w:r>
        <w:rPr>
          <w:sz w:val="20"/>
        </w:rPr>
        <w:t>Витебск, 2016. C. 90-104.</w:t>
      </w:r>
    </w:p>
    <w:p>
      <w:pPr>
        <w:pStyle w:val="ListParagraph"/>
        <w:numPr>
          <w:ilvl w:val="0"/>
          <w:numId w:val="67"/>
        </w:numPr>
        <w:tabs>
          <w:tab w:pos="2405" w:val="left" w:leader="none"/>
          <w:tab w:pos="2407" w:val="left" w:leader="none"/>
        </w:tabs>
        <w:spacing w:line="237" w:lineRule="auto" w:before="1" w:after="0"/>
        <w:ind w:left="2407" w:right="1272" w:hanging="566"/>
        <w:jc w:val="both"/>
        <w:rPr>
          <w:sz w:val="20"/>
        </w:rPr>
      </w:pPr>
      <w:r>
        <w:rPr>
          <w:sz w:val="20"/>
        </w:rPr>
        <w:t>Особенности</w:t>
      </w:r>
      <w:r>
        <w:rPr>
          <w:spacing w:val="-13"/>
          <w:sz w:val="20"/>
        </w:rPr>
        <w:t> </w:t>
      </w:r>
      <w:r>
        <w:rPr>
          <w:sz w:val="20"/>
        </w:rPr>
        <w:t>ведения</w:t>
      </w:r>
      <w:r>
        <w:rPr>
          <w:spacing w:val="-12"/>
          <w:sz w:val="20"/>
        </w:rPr>
        <w:t> </w:t>
      </w:r>
      <w:r>
        <w:rPr>
          <w:sz w:val="20"/>
        </w:rPr>
        <w:t>онкогематологических</w:t>
      </w:r>
      <w:r>
        <w:rPr>
          <w:spacing w:val="-13"/>
          <w:sz w:val="20"/>
        </w:rPr>
        <w:t> </w:t>
      </w:r>
      <w:r>
        <w:rPr>
          <w:sz w:val="20"/>
        </w:rPr>
        <w:t>больных</w:t>
      </w:r>
      <w:r>
        <w:rPr>
          <w:spacing w:val="-11"/>
          <w:sz w:val="20"/>
        </w:rPr>
        <w:t> </w:t>
      </w:r>
      <w:r>
        <w:rPr>
          <w:sz w:val="20"/>
        </w:rPr>
        <w:t>в</w:t>
      </w:r>
      <w:r>
        <w:rPr>
          <w:spacing w:val="-13"/>
          <w:sz w:val="20"/>
        </w:rPr>
        <w:t> </w:t>
      </w:r>
      <w:r>
        <w:rPr>
          <w:sz w:val="20"/>
        </w:rPr>
        <w:t>условиях</w:t>
      </w:r>
      <w:r>
        <w:rPr>
          <w:spacing w:val="-12"/>
          <w:sz w:val="20"/>
        </w:rPr>
        <w:t> </w:t>
      </w:r>
      <w:r>
        <w:rPr>
          <w:sz w:val="20"/>
        </w:rPr>
        <w:t>пандемии</w:t>
      </w:r>
      <w:r>
        <w:rPr>
          <w:spacing w:val="-6"/>
          <w:sz w:val="20"/>
        </w:rPr>
        <w:t> </w:t>
      </w:r>
      <w:r>
        <w:rPr>
          <w:sz w:val="20"/>
        </w:rPr>
        <w:t>COVID-19/</w:t>
      </w:r>
      <w:r>
        <w:rPr>
          <w:spacing w:val="-13"/>
          <w:sz w:val="20"/>
        </w:rPr>
        <w:t> </w:t>
      </w:r>
      <w:r>
        <w:rPr>
          <w:sz w:val="20"/>
        </w:rPr>
        <w:t>Под</w:t>
      </w:r>
      <w:r>
        <w:rPr>
          <w:spacing w:val="-12"/>
          <w:sz w:val="20"/>
        </w:rPr>
        <w:t> </w:t>
      </w:r>
      <w:r>
        <w:rPr>
          <w:sz w:val="20"/>
        </w:rPr>
        <w:t>ред. И.В. Поддубной. М.: Экон-Информ, 2020.</w:t>
      </w:r>
    </w:p>
    <w:p>
      <w:pPr>
        <w:pStyle w:val="ListParagraph"/>
        <w:numPr>
          <w:ilvl w:val="0"/>
          <w:numId w:val="67"/>
        </w:numPr>
        <w:tabs>
          <w:tab w:pos="2405" w:val="left" w:leader="none"/>
          <w:tab w:pos="2407" w:val="left" w:leader="none"/>
        </w:tabs>
        <w:spacing w:line="240" w:lineRule="auto" w:before="1" w:after="0"/>
        <w:ind w:left="2407" w:right="1282" w:hanging="566"/>
        <w:jc w:val="both"/>
        <w:rPr>
          <w:sz w:val="20"/>
        </w:rPr>
      </w:pPr>
      <w:r>
        <w:rPr>
          <w:sz w:val="20"/>
        </w:rPr>
        <w:t>Патологическая анатомия COVID-19: Атлас / Зайратьянц О. В., Cамсонова М. В., Михалева Л. М., Черняев А. Л., Мишнев О. Д., Крупнов Н. М., Калинин Д. В. Под общей ред. О. В. Зайратьянца. – Москва, ГБУ «НИИОЗММ ДЗМ», 2020. – 140 с., ил.</w:t>
      </w:r>
    </w:p>
    <w:p>
      <w:pPr>
        <w:pStyle w:val="ListParagraph"/>
        <w:numPr>
          <w:ilvl w:val="0"/>
          <w:numId w:val="67"/>
        </w:numPr>
        <w:tabs>
          <w:tab w:pos="2405" w:val="left" w:leader="none"/>
          <w:tab w:pos="2407" w:val="left" w:leader="none"/>
        </w:tabs>
        <w:spacing w:line="256" w:lineRule="auto" w:before="0" w:after="0"/>
        <w:ind w:left="2407" w:right="1274" w:hanging="566"/>
        <w:jc w:val="both"/>
        <w:rPr>
          <w:sz w:val="20"/>
        </w:rPr>
      </w:pPr>
      <w:r>
        <w:rPr>
          <w:sz w:val="20"/>
        </w:rPr>
        <w:t>Портал непрерывного медицинского и фармацевтического образования Минздрава России. URL: https://nmfo-vo.edu.rosminzdrav.ru/#/user-account/view-iom/e8b1f2ca-6be5-9125-4a1e</w:t>
      </w:r>
    </w:p>
    <w:p>
      <w:pPr>
        <w:pStyle w:val="ListParagraph"/>
        <w:numPr>
          <w:ilvl w:val="0"/>
          <w:numId w:val="67"/>
        </w:numPr>
        <w:tabs>
          <w:tab w:pos="2405" w:val="left" w:leader="none"/>
          <w:tab w:pos="2407" w:val="left" w:leader="none"/>
        </w:tabs>
        <w:spacing w:line="256" w:lineRule="auto" w:before="5" w:after="0"/>
        <w:ind w:left="2407" w:right="1285" w:hanging="566"/>
        <w:jc w:val="both"/>
        <w:rPr>
          <w:sz w:val="20"/>
        </w:rPr>
      </w:pPr>
      <w:r>
        <w:rPr>
          <w:sz w:val="20"/>
        </w:rPr>
        <w:t>Практические рекомендации Российского общества клинической онкологии по оказанию онкологической помощи в условиях пандемии COVID-19.</w:t>
      </w:r>
    </w:p>
    <w:p>
      <w:pPr>
        <w:spacing w:before="1"/>
        <w:ind w:left="2407" w:right="0" w:firstLine="0"/>
        <w:jc w:val="both"/>
        <w:rPr>
          <w:sz w:val="20"/>
        </w:rPr>
      </w:pPr>
      <w:r>
        <w:rPr>
          <w:spacing w:val="-2"/>
          <w:sz w:val="20"/>
        </w:rPr>
        <w:t>URL:</w:t>
      </w:r>
      <w:r>
        <w:rPr>
          <w:spacing w:val="48"/>
          <w:sz w:val="20"/>
        </w:rPr>
        <w:t> </w:t>
      </w:r>
      <w:r>
        <w:rPr>
          <w:color w:val="0462C1"/>
          <w:spacing w:val="-2"/>
          <w:sz w:val="20"/>
          <w:u w:val="single" w:color="0462C1"/>
        </w:rPr>
        <w:t>https://rosoncoweb.ru/standarts/COVID-</w:t>
      </w:r>
      <w:r>
        <w:rPr>
          <w:color w:val="0462C1"/>
          <w:spacing w:val="-5"/>
          <w:sz w:val="20"/>
          <w:u w:val="single" w:color="0462C1"/>
        </w:rPr>
        <w:t>19/</w:t>
      </w:r>
    </w:p>
    <w:p>
      <w:pPr>
        <w:pStyle w:val="ListParagraph"/>
        <w:numPr>
          <w:ilvl w:val="0"/>
          <w:numId w:val="67"/>
        </w:numPr>
        <w:tabs>
          <w:tab w:pos="2405" w:val="left" w:leader="none"/>
          <w:tab w:pos="2407" w:val="left" w:leader="none"/>
        </w:tabs>
        <w:spacing w:line="259" w:lineRule="auto" w:before="20" w:after="0"/>
        <w:ind w:left="2407" w:right="1279" w:hanging="566"/>
        <w:jc w:val="both"/>
        <w:rPr>
          <w:sz w:val="20"/>
        </w:rPr>
      </w:pPr>
      <w:r>
        <w:rPr>
          <w:sz w:val="20"/>
        </w:rPr>
        <w:t>Пшенисов К.В., Александрович Ю.С., Казиахмедов В.А., Костик М.М., Кондрашов И.А. Новая коронавирусная инфекция у детей с сопутствующими заболеваниями: шанс на выздоровление есть всегда (клинические случаи) // Журнал инфектологии. 2020; 3 (12):80-89.</w:t>
      </w:r>
    </w:p>
    <w:p>
      <w:pPr>
        <w:pStyle w:val="ListParagraph"/>
        <w:numPr>
          <w:ilvl w:val="0"/>
          <w:numId w:val="67"/>
        </w:numPr>
        <w:tabs>
          <w:tab w:pos="2405" w:val="left" w:leader="none"/>
          <w:tab w:pos="2407" w:val="left" w:leader="none"/>
        </w:tabs>
        <w:spacing w:line="259" w:lineRule="auto" w:before="0" w:after="0"/>
        <w:ind w:left="2407" w:right="1278" w:hanging="566"/>
        <w:jc w:val="both"/>
        <w:rPr>
          <w:sz w:val="20"/>
        </w:rPr>
      </w:pPr>
      <w:r>
        <w:rPr>
          <w:sz w:val="20"/>
        </w:rPr>
        <w:t>Руженцова Т.А., Чухляев П.В., Хавкина Д.А. и др. Возможности этиотропной терапии коронавирусной</w:t>
      </w:r>
      <w:r>
        <w:rPr>
          <w:spacing w:val="-13"/>
          <w:sz w:val="20"/>
        </w:rPr>
        <w:t> </w:t>
      </w:r>
      <w:r>
        <w:rPr>
          <w:sz w:val="20"/>
        </w:rPr>
        <w:t>инфекции,</w:t>
      </w:r>
      <w:r>
        <w:rPr>
          <w:spacing w:val="-12"/>
          <w:sz w:val="20"/>
        </w:rPr>
        <w:t> </w:t>
      </w:r>
      <w:r>
        <w:rPr>
          <w:sz w:val="20"/>
        </w:rPr>
        <w:t>вызванной</w:t>
      </w:r>
      <w:r>
        <w:rPr>
          <w:spacing w:val="-13"/>
          <w:sz w:val="20"/>
        </w:rPr>
        <w:t> </w:t>
      </w:r>
      <w:r>
        <w:rPr>
          <w:sz w:val="20"/>
        </w:rPr>
        <w:t>SARS-CoV-2,</w:t>
      </w:r>
      <w:r>
        <w:rPr>
          <w:spacing w:val="-12"/>
          <w:sz w:val="20"/>
        </w:rPr>
        <w:t> </w:t>
      </w:r>
      <w:r>
        <w:rPr>
          <w:sz w:val="20"/>
        </w:rPr>
        <w:t>у</w:t>
      </w:r>
      <w:r>
        <w:rPr>
          <w:spacing w:val="-13"/>
          <w:sz w:val="20"/>
        </w:rPr>
        <w:t> </w:t>
      </w:r>
      <w:r>
        <w:rPr>
          <w:sz w:val="20"/>
        </w:rPr>
        <w:t>амбулаторных</w:t>
      </w:r>
      <w:r>
        <w:rPr>
          <w:spacing w:val="-12"/>
          <w:sz w:val="20"/>
        </w:rPr>
        <w:t> </w:t>
      </w:r>
      <w:r>
        <w:rPr>
          <w:sz w:val="20"/>
        </w:rPr>
        <w:t>пациентов</w:t>
      </w:r>
      <w:r>
        <w:rPr>
          <w:spacing w:val="-13"/>
          <w:sz w:val="20"/>
        </w:rPr>
        <w:t> </w:t>
      </w:r>
      <w:r>
        <w:rPr>
          <w:sz w:val="20"/>
        </w:rPr>
        <w:t>//</w:t>
      </w:r>
      <w:r>
        <w:rPr>
          <w:spacing w:val="-12"/>
          <w:sz w:val="20"/>
        </w:rPr>
        <w:t> </w:t>
      </w:r>
      <w:r>
        <w:rPr>
          <w:sz w:val="20"/>
        </w:rPr>
        <w:t>Медицинский оппонент, №1(9), 2020: с. 48-58.</w:t>
      </w:r>
    </w:p>
    <w:p>
      <w:pPr>
        <w:tabs>
          <w:tab w:pos="2477" w:val="left" w:leader="none"/>
        </w:tabs>
        <w:spacing w:line="259" w:lineRule="auto" w:before="0"/>
        <w:ind w:left="2407" w:right="1277" w:hanging="566"/>
        <w:jc w:val="both"/>
        <w:rPr>
          <w:sz w:val="20"/>
        </w:rPr>
      </w:pPr>
      <w:r>
        <w:rPr>
          <w:spacing w:val="-4"/>
          <w:sz w:val="14"/>
        </w:rPr>
        <w:t>225.</w:t>
      </w:r>
      <w:r>
        <w:rPr>
          <w:sz w:val="14"/>
        </w:rPr>
        <w:tab/>
        <w:tab/>
      </w:r>
      <w:r>
        <w:rPr>
          <w:sz w:val="20"/>
        </w:rPr>
        <w:t>Сабитов А.У., Лиознов Д.А., Жданов К.В., Тихонова Е.П., Эсауленко Е.В., Ковтун О.П., Кузнецов П.Л., Сорокин П.В. Результаты рандомизированного двойного слепого многоцентрового клинического исследования эффективности и безопасности препарата риамиловира в терапии COVID-19. Терапевтический архив. 2024;96(5): . DOI: </w:t>
      </w:r>
      <w:r>
        <w:rPr>
          <w:spacing w:val="-2"/>
          <w:sz w:val="20"/>
        </w:rPr>
        <w:t>10.26442/00403660.2024.05.202770</w:t>
      </w:r>
    </w:p>
    <w:p>
      <w:pPr>
        <w:pStyle w:val="ListParagraph"/>
        <w:numPr>
          <w:ilvl w:val="0"/>
          <w:numId w:val="68"/>
        </w:numPr>
        <w:tabs>
          <w:tab w:pos="2405" w:val="left" w:leader="none"/>
          <w:tab w:pos="2407" w:val="left" w:leader="none"/>
        </w:tabs>
        <w:spacing w:line="259" w:lineRule="auto" w:before="0" w:after="0"/>
        <w:ind w:left="2407" w:right="1272" w:hanging="566"/>
        <w:jc w:val="both"/>
        <w:rPr>
          <w:sz w:val="20"/>
        </w:rPr>
      </w:pPr>
      <w:r>
        <w:rPr>
          <w:sz w:val="20"/>
        </w:rPr>
        <w:t>Синицын В.Е., Тюрин И.Е., Митьков В.В. Временные согласительные методические рекомендации Российского общества рентгенологов и радиологов (РОРР) и Российской ассоциации специалистов ультразвуковой диагностики в медицине (РАСУДМ) «Методы лучевой</w:t>
      </w:r>
      <w:r>
        <w:rPr>
          <w:spacing w:val="-4"/>
          <w:sz w:val="20"/>
        </w:rPr>
        <w:t> </w:t>
      </w:r>
      <w:r>
        <w:rPr>
          <w:sz w:val="20"/>
        </w:rPr>
        <w:t>диагностики пневмонии</w:t>
      </w:r>
      <w:r>
        <w:rPr>
          <w:spacing w:val="-2"/>
          <w:sz w:val="20"/>
        </w:rPr>
        <w:t> </w:t>
      </w:r>
      <w:r>
        <w:rPr>
          <w:sz w:val="20"/>
        </w:rPr>
        <w:t>при</w:t>
      </w:r>
      <w:r>
        <w:rPr>
          <w:spacing w:val="-2"/>
          <w:sz w:val="20"/>
        </w:rPr>
        <w:t> </w:t>
      </w:r>
      <w:r>
        <w:rPr>
          <w:sz w:val="20"/>
        </w:rPr>
        <w:t>новой</w:t>
      </w:r>
      <w:r>
        <w:rPr>
          <w:spacing w:val="-2"/>
          <w:sz w:val="20"/>
        </w:rPr>
        <w:t> </w:t>
      </w:r>
      <w:r>
        <w:rPr>
          <w:sz w:val="20"/>
        </w:rPr>
        <w:t>коронавирусной</w:t>
      </w:r>
      <w:r>
        <w:rPr>
          <w:spacing w:val="-4"/>
          <w:sz w:val="20"/>
        </w:rPr>
        <w:t> </w:t>
      </w:r>
      <w:r>
        <w:rPr>
          <w:sz w:val="20"/>
        </w:rPr>
        <w:t>инфекции</w:t>
      </w:r>
      <w:r>
        <w:rPr>
          <w:spacing w:val="-2"/>
          <w:sz w:val="20"/>
        </w:rPr>
        <w:t> </w:t>
      </w:r>
      <w:r>
        <w:rPr>
          <w:sz w:val="20"/>
        </w:rPr>
        <w:t>COVID-19»</w:t>
      </w:r>
      <w:r>
        <w:rPr>
          <w:spacing w:val="-2"/>
          <w:sz w:val="20"/>
        </w:rPr>
        <w:t> </w:t>
      </w:r>
      <w:r>
        <w:rPr>
          <w:sz w:val="20"/>
        </w:rPr>
        <w:t>(версия</w:t>
      </w:r>
      <w:r>
        <w:rPr>
          <w:spacing w:val="-3"/>
          <w:sz w:val="20"/>
        </w:rPr>
        <w:t> </w:t>
      </w:r>
      <w:r>
        <w:rPr>
          <w:sz w:val="20"/>
        </w:rPr>
        <w:t>2) // Вестник рентгенологии и радиологии. 2020; 101 (2): 72–89. URL: </w:t>
      </w:r>
      <w:r>
        <w:rPr>
          <w:color w:val="0462C1"/>
          <w:sz w:val="20"/>
          <w:u w:val="single" w:color="0462C1"/>
        </w:rPr>
        <w:t>https://doi.org/10.20862/0042-</w:t>
      </w:r>
    </w:p>
    <w:p>
      <w:pPr>
        <w:spacing w:line="228" w:lineRule="exact" w:before="0"/>
        <w:ind w:left="2407" w:right="0" w:firstLine="0"/>
        <w:jc w:val="left"/>
        <w:rPr>
          <w:sz w:val="20"/>
        </w:rPr>
      </w:pPr>
      <w:r>
        <w:rPr>
          <w:color w:val="0462C1"/>
          <w:spacing w:val="-2"/>
          <w:sz w:val="20"/>
          <w:u w:val="single" w:color="0462C1"/>
        </w:rPr>
        <w:t>4676-2020-101-</w:t>
      </w:r>
      <w:r>
        <w:rPr>
          <w:color w:val="0462C1"/>
          <w:spacing w:val="-5"/>
          <w:sz w:val="20"/>
          <w:u w:val="single" w:color="0462C1"/>
        </w:rPr>
        <w:t>2-</w:t>
      </w:r>
    </w:p>
    <w:p>
      <w:pPr>
        <w:pStyle w:val="ListParagraph"/>
        <w:numPr>
          <w:ilvl w:val="0"/>
          <w:numId w:val="68"/>
        </w:numPr>
        <w:tabs>
          <w:tab w:pos="2405" w:val="left" w:leader="none"/>
          <w:tab w:pos="2407" w:val="left" w:leader="none"/>
        </w:tabs>
        <w:spacing w:line="259" w:lineRule="auto" w:before="14" w:after="0"/>
        <w:ind w:left="2407" w:right="1272" w:hanging="566"/>
        <w:jc w:val="both"/>
        <w:rPr>
          <w:sz w:val="20"/>
        </w:rPr>
      </w:pPr>
      <w:r>
        <w:rPr>
          <w:sz w:val="20"/>
        </w:rPr>
        <w:t>Столяревич Е.С., Фролова Н.Ф., Артюхина Л.Ю., Варясин В.В. Поражение почек при COVID- 19:</w:t>
      </w:r>
      <w:r>
        <w:rPr>
          <w:spacing w:val="28"/>
          <w:sz w:val="20"/>
        </w:rPr>
        <w:t> </w:t>
      </w:r>
      <w:r>
        <w:rPr>
          <w:sz w:val="20"/>
        </w:rPr>
        <w:t>клинические</w:t>
      </w:r>
      <w:r>
        <w:rPr>
          <w:spacing w:val="31"/>
          <w:sz w:val="20"/>
        </w:rPr>
        <w:t> </w:t>
      </w:r>
      <w:r>
        <w:rPr>
          <w:sz w:val="20"/>
        </w:rPr>
        <w:t>и</w:t>
      </w:r>
      <w:r>
        <w:rPr>
          <w:spacing w:val="27"/>
          <w:sz w:val="20"/>
        </w:rPr>
        <w:t> </w:t>
      </w:r>
      <w:r>
        <w:rPr>
          <w:sz w:val="20"/>
        </w:rPr>
        <w:t>морфологические</w:t>
      </w:r>
      <w:r>
        <w:rPr>
          <w:spacing w:val="31"/>
          <w:sz w:val="20"/>
        </w:rPr>
        <w:t> </w:t>
      </w:r>
      <w:r>
        <w:rPr>
          <w:sz w:val="20"/>
        </w:rPr>
        <w:t>проявления</w:t>
      </w:r>
      <w:r>
        <w:rPr>
          <w:spacing w:val="30"/>
          <w:sz w:val="20"/>
        </w:rPr>
        <w:t> </w:t>
      </w:r>
      <w:r>
        <w:rPr>
          <w:sz w:val="20"/>
        </w:rPr>
        <w:t>почечной</w:t>
      </w:r>
      <w:r>
        <w:rPr>
          <w:spacing w:val="30"/>
          <w:sz w:val="20"/>
        </w:rPr>
        <w:t> </w:t>
      </w:r>
      <w:r>
        <w:rPr>
          <w:sz w:val="20"/>
        </w:rPr>
        <w:t>патологии</w:t>
      </w:r>
      <w:r>
        <w:rPr>
          <w:spacing w:val="29"/>
          <w:sz w:val="20"/>
        </w:rPr>
        <w:t> </w:t>
      </w:r>
      <w:r>
        <w:rPr>
          <w:sz w:val="20"/>
        </w:rPr>
        <w:t>у</w:t>
      </w:r>
      <w:r>
        <w:rPr>
          <w:spacing w:val="29"/>
          <w:sz w:val="20"/>
        </w:rPr>
        <w:t> </w:t>
      </w:r>
      <w:r>
        <w:rPr>
          <w:sz w:val="20"/>
        </w:rPr>
        <w:t>пациентов,</w:t>
      </w:r>
      <w:r>
        <w:rPr>
          <w:spacing w:val="28"/>
          <w:sz w:val="20"/>
        </w:rPr>
        <w:t> </w:t>
      </w:r>
      <w:r>
        <w:rPr>
          <w:sz w:val="20"/>
        </w:rPr>
        <w:t>умерших от</w:t>
      </w:r>
      <w:r>
        <w:rPr>
          <w:spacing w:val="-3"/>
          <w:sz w:val="20"/>
        </w:rPr>
        <w:t> </w:t>
      </w:r>
      <w:r>
        <w:rPr>
          <w:sz w:val="20"/>
        </w:rPr>
        <w:t>COVID-19</w:t>
      </w:r>
      <w:r>
        <w:rPr>
          <w:spacing w:val="80"/>
          <w:sz w:val="20"/>
        </w:rPr>
        <w:t> </w:t>
      </w:r>
      <w:r>
        <w:rPr>
          <w:sz w:val="20"/>
        </w:rPr>
        <w:t>//</w:t>
      </w:r>
      <w:r>
        <w:rPr>
          <w:spacing w:val="80"/>
          <w:sz w:val="20"/>
        </w:rPr>
        <w:t> </w:t>
      </w:r>
      <w:r>
        <w:rPr>
          <w:sz w:val="20"/>
        </w:rPr>
        <w:t>Нефрология</w:t>
      </w:r>
      <w:r>
        <w:rPr>
          <w:spacing w:val="80"/>
          <w:sz w:val="20"/>
        </w:rPr>
        <w:t> </w:t>
      </w:r>
      <w:r>
        <w:rPr>
          <w:sz w:val="20"/>
        </w:rPr>
        <w:t>и</w:t>
      </w:r>
      <w:r>
        <w:rPr>
          <w:spacing w:val="80"/>
          <w:sz w:val="20"/>
        </w:rPr>
        <w:t> </w:t>
      </w:r>
      <w:r>
        <w:rPr>
          <w:sz w:val="20"/>
        </w:rPr>
        <w:t>диализ.</w:t>
      </w:r>
      <w:r>
        <w:rPr>
          <w:spacing w:val="80"/>
          <w:sz w:val="20"/>
        </w:rPr>
        <w:t> </w:t>
      </w:r>
      <w:r>
        <w:rPr>
          <w:sz w:val="20"/>
        </w:rPr>
        <w:t>2020;</w:t>
      </w:r>
      <w:r>
        <w:rPr>
          <w:spacing w:val="80"/>
          <w:sz w:val="20"/>
        </w:rPr>
        <w:t> </w:t>
      </w:r>
      <w:r>
        <w:rPr>
          <w:sz w:val="20"/>
        </w:rPr>
        <w:t>22:</w:t>
      </w:r>
      <w:r>
        <w:rPr>
          <w:spacing w:val="80"/>
          <w:sz w:val="20"/>
        </w:rPr>
        <w:t> </w:t>
      </w:r>
      <w:r>
        <w:rPr>
          <w:sz w:val="20"/>
        </w:rPr>
        <w:t>46-55.</w:t>
      </w:r>
      <w:r>
        <w:rPr>
          <w:spacing w:val="80"/>
          <w:sz w:val="20"/>
        </w:rPr>
        <w:t> </w:t>
      </w:r>
      <w:r>
        <w:rPr>
          <w:sz w:val="20"/>
        </w:rPr>
        <w:t>DOI:</w:t>
      </w:r>
      <w:r>
        <w:rPr>
          <w:spacing w:val="80"/>
          <w:sz w:val="20"/>
        </w:rPr>
        <w:t> </w:t>
      </w:r>
      <w:r>
        <w:rPr>
          <w:sz w:val="20"/>
        </w:rPr>
        <w:t>10.28996/2618-9801-2020-</w:t>
      </w:r>
    </w:p>
    <w:p>
      <w:pPr>
        <w:spacing w:line="228" w:lineRule="exact" w:before="0"/>
        <w:ind w:left="2407" w:right="0" w:firstLine="0"/>
        <w:jc w:val="left"/>
        <w:rPr>
          <w:sz w:val="20"/>
        </w:rPr>
      </w:pPr>
      <w:r>
        <w:rPr>
          <w:spacing w:val="-2"/>
          <w:sz w:val="20"/>
        </w:rPr>
        <w:t>Special_Issue-46-</w:t>
      </w:r>
      <w:r>
        <w:rPr>
          <w:spacing w:val="-5"/>
          <w:sz w:val="20"/>
        </w:rPr>
        <w:t>55.</w:t>
      </w:r>
    </w:p>
    <w:p>
      <w:pPr>
        <w:pStyle w:val="ListParagraph"/>
        <w:numPr>
          <w:ilvl w:val="0"/>
          <w:numId w:val="68"/>
        </w:numPr>
        <w:tabs>
          <w:tab w:pos="2407" w:val="left" w:leader="none"/>
          <w:tab w:pos="2453" w:val="left" w:leader="none"/>
          <w:tab w:pos="8525" w:val="left" w:leader="none"/>
        </w:tabs>
        <w:spacing w:line="259" w:lineRule="auto" w:before="19" w:after="0"/>
        <w:ind w:left="2407" w:right="1274" w:hanging="566"/>
        <w:jc w:val="both"/>
        <w:rPr>
          <w:sz w:val="28"/>
        </w:rPr>
      </w:pPr>
      <w:r>
        <w:rPr>
          <w:sz w:val="28"/>
        </w:rPr>
        <w:t>Сучков</w:t>
      </w:r>
      <w:r>
        <w:rPr>
          <w:sz w:val="28"/>
        </w:rPr>
        <w:t> И.А., МжаванадзеН.Д., ШульдяковА.А. и соавт. Эффективность и безопасность нового селективного перорального ингибитора фактора Ха амидинагидрохлорида в профилактике тромбоэмболических осложнений у госпитализированных пациентов с COVID-19: результаты многоцентрового </w:t>
      </w:r>
      <w:r>
        <w:rPr>
          <w:spacing w:val="-2"/>
          <w:sz w:val="28"/>
        </w:rPr>
        <w:t>проспективногорандомизированного</w:t>
      </w:r>
      <w:r>
        <w:rPr>
          <w:sz w:val="28"/>
        </w:rPr>
        <w:tab/>
      </w:r>
      <w:r>
        <w:rPr>
          <w:spacing w:val="-2"/>
          <w:sz w:val="28"/>
        </w:rPr>
        <w:t>контролируемого</w:t>
      </w:r>
    </w:p>
    <w:p>
      <w:pPr>
        <w:pStyle w:val="ListParagraph"/>
        <w:spacing w:after="0" w:line="259" w:lineRule="auto"/>
        <w:jc w:val="both"/>
        <w:rPr>
          <w:sz w:val="28"/>
        </w:rPr>
        <w:sectPr>
          <w:pgSz w:w="11900" w:h="16840"/>
          <w:pgMar w:header="0" w:footer="697" w:top="1080" w:bottom="880" w:left="0" w:right="0"/>
        </w:sectPr>
      </w:pPr>
    </w:p>
    <w:p>
      <w:pPr>
        <w:tabs>
          <w:tab w:pos="6741" w:val="left" w:leader="none"/>
        </w:tabs>
        <w:spacing w:line="259" w:lineRule="auto" w:before="74"/>
        <w:ind w:left="2407" w:right="1283" w:firstLine="0"/>
        <w:jc w:val="left"/>
        <w:rPr>
          <w:sz w:val="28"/>
        </w:rPr>
      </w:pPr>
      <w:bookmarkStart w:name="159" w:id="187"/>
      <w:bookmarkEnd w:id="187"/>
      <w:r>
        <w:rPr/>
      </w:r>
      <w:r>
        <w:rPr>
          <w:spacing w:val="-2"/>
          <w:sz w:val="28"/>
        </w:rPr>
        <w:t>исследования.</w:t>
      </w:r>
      <w:r>
        <w:rPr>
          <w:sz w:val="28"/>
        </w:rPr>
        <w:tab/>
      </w:r>
      <w:r>
        <w:rPr>
          <w:spacing w:val="-2"/>
          <w:sz w:val="28"/>
        </w:rPr>
        <w:t>Флебология.2024;18(2):154–162. https://doi.org/10.17116/flebo202418021154</w:t>
      </w:r>
    </w:p>
    <w:p>
      <w:pPr>
        <w:pStyle w:val="ListParagraph"/>
        <w:numPr>
          <w:ilvl w:val="0"/>
          <w:numId w:val="68"/>
        </w:numPr>
        <w:tabs>
          <w:tab w:pos="2405" w:val="left" w:leader="none"/>
          <w:tab w:pos="2407" w:val="left" w:leader="none"/>
        </w:tabs>
        <w:spacing w:line="256" w:lineRule="auto" w:before="0" w:after="0"/>
        <w:ind w:left="2407" w:right="1281" w:hanging="566"/>
        <w:jc w:val="both"/>
        <w:rPr>
          <w:sz w:val="20"/>
        </w:rPr>
      </w:pPr>
      <w:r>
        <w:rPr>
          <w:sz w:val="20"/>
        </w:rPr>
        <w:t>Усков А.Н, Лобзин Ю.В., Рычкова С.В., Бабаченко И.В., Федоров В.В., Улуханова Л.У., Починяева Л.М. Течение новой коронавирусной инфекции у детей: некоторые аспекты мониторинга и анализа летальности // Журнал инфектологии. 2020; 3 (12):12-21.</w:t>
      </w:r>
    </w:p>
    <w:p>
      <w:pPr>
        <w:pStyle w:val="ListParagraph"/>
        <w:numPr>
          <w:ilvl w:val="0"/>
          <w:numId w:val="68"/>
        </w:numPr>
        <w:tabs>
          <w:tab w:pos="2405" w:val="left" w:leader="none"/>
          <w:tab w:pos="2407" w:val="left" w:leader="none"/>
        </w:tabs>
        <w:spacing w:line="259" w:lineRule="auto" w:before="5" w:after="0"/>
        <w:ind w:left="2407" w:right="1281" w:hanging="566"/>
        <w:jc w:val="both"/>
        <w:rPr>
          <w:sz w:val="20"/>
        </w:rPr>
      </w:pPr>
      <w:r>
        <w:rPr>
          <w:sz w:val="20"/>
        </w:rPr>
        <w:t>Федеральная служба по надзору в сфере защиты прав потребителей и благополучия человека. Методические</w:t>
      </w:r>
      <w:r>
        <w:rPr>
          <w:spacing w:val="-9"/>
          <w:sz w:val="20"/>
        </w:rPr>
        <w:t> </w:t>
      </w:r>
      <w:r>
        <w:rPr>
          <w:sz w:val="20"/>
        </w:rPr>
        <w:t>рекомендации</w:t>
      </w:r>
      <w:r>
        <w:rPr>
          <w:spacing w:val="-10"/>
          <w:sz w:val="20"/>
        </w:rPr>
        <w:t> </w:t>
      </w:r>
      <w:r>
        <w:rPr>
          <w:sz w:val="20"/>
        </w:rPr>
        <w:t>МР</w:t>
      </w:r>
      <w:r>
        <w:rPr>
          <w:spacing w:val="-7"/>
          <w:sz w:val="20"/>
        </w:rPr>
        <w:t> </w:t>
      </w:r>
      <w:r>
        <w:rPr>
          <w:sz w:val="20"/>
        </w:rPr>
        <w:t>3.1.0140-18</w:t>
      </w:r>
      <w:r>
        <w:rPr>
          <w:spacing w:val="-9"/>
          <w:sz w:val="20"/>
        </w:rPr>
        <w:t> </w:t>
      </w:r>
      <w:r>
        <w:rPr>
          <w:sz w:val="20"/>
        </w:rPr>
        <w:t>«Неспецифическая</w:t>
      </w:r>
      <w:r>
        <w:rPr>
          <w:spacing w:val="-7"/>
          <w:sz w:val="20"/>
        </w:rPr>
        <w:t> </w:t>
      </w:r>
      <w:r>
        <w:rPr>
          <w:sz w:val="20"/>
        </w:rPr>
        <w:t>профилактика</w:t>
      </w:r>
      <w:r>
        <w:rPr>
          <w:spacing w:val="-9"/>
          <w:sz w:val="20"/>
        </w:rPr>
        <w:t> </w:t>
      </w:r>
      <w:r>
        <w:rPr>
          <w:sz w:val="20"/>
        </w:rPr>
        <w:t>гриппа</w:t>
      </w:r>
      <w:r>
        <w:rPr>
          <w:spacing w:val="-7"/>
          <w:sz w:val="20"/>
        </w:rPr>
        <w:t> </w:t>
      </w:r>
      <w:r>
        <w:rPr>
          <w:sz w:val="20"/>
        </w:rPr>
        <w:t>и</w:t>
      </w:r>
      <w:r>
        <w:rPr>
          <w:spacing w:val="-8"/>
          <w:sz w:val="20"/>
        </w:rPr>
        <w:t> </w:t>
      </w:r>
      <w:r>
        <w:rPr>
          <w:sz w:val="20"/>
        </w:rPr>
        <w:t>других острых респираторных инфекций».</w:t>
      </w:r>
    </w:p>
    <w:p>
      <w:pPr>
        <w:pStyle w:val="ListParagraph"/>
        <w:numPr>
          <w:ilvl w:val="0"/>
          <w:numId w:val="68"/>
        </w:numPr>
        <w:tabs>
          <w:tab w:pos="2405" w:val="left" w:leader="none"/>
          <w:tab w:pos="2407" w:val="left" w:leader="none"/>
        </w:tabs>
        <w:spacing w:line="259" w:lineRule="auto" w:before="0" w:after="0"/>
        <w:ind w:left="2407" w:right="1273" w:hanging="566"/>
        <w:jc w:val="both"/>
        <w:rPr>
          <w:sz w:val="20"/>
        </w:rPr>
      </w:pPr>
      <w:r>
        <w:rPr>
          <w:sz w:val="20"/>
        </w:rPr>
        <w:t>Фролова Н.Ф. и соавт. Новая коронавирусная инфекция COVID-19 у пациентки после аллотрансплантации почки // Клиническая нефрология. 2020; 2:16-20.DOI: </w:t>
      </w:r>
      <w:r>
        <w:rPr>
          <w:color w:val="0462C1"/>
          <w:spacing w:val="-2"/>
          <w:sz w:val="20"/>
          <w:u w:val="single" w:color="0462C1"/>
        </w:rPr>
        <w:t>https://dx.doi.org/10.18565/nephrology.2020.2.16-20</w:t>
      </w:r>
      <w:r>
        <w:rPr>
          <w:spacing w:val="-2"/>
          <w:sz w:val="20"/>
        </w:rPr>
        <w:t>.</w:t>
      </w:r>
    </w:p>
    <w:p>
      <w:pPr>
        <w:pStyle w:val="ListParagraph"/>
        <w:numPr>
          <w:ilvl w:val="0"/>
          <w:numId w:val="68"/>
        </w:numPr>
        <w:tabs>
          <w:tab w:pos="2405" w:val="left" w:leader="none"/>
          <w:tab w:pos="2407" w:val="left" w:leader="none"/>
        </w:tabs>
        <w:spacing w:line="259" w:lineRule="auto" w:before="0" w:after="0"/>
        <w:ind w:left="2407" w:right="1273" w:hanging="566"/>
        <w:jc w:val="both"/>
        <w:rPr>
          <w:sz w:val="20"/>
        </w:rPr>
      </w:pPr>
      <w:r>
        <w:rPr>
          <w:sz w:val="20"/>
        </w:rPr>
        <w:t>Фролова Н.Ф. и соавт. Экулизумаб в лечении АНЦА-ассоциированного васкулита, осложненного COVID-19. Клинические наблюдения // Нефрология и диализ. 2020; 22:33-45. DOI: 10.28996/2618-9801-2020-Special_Issue-33-45.</w:t>
      </w:r>
    </w:p>
    <w:p>
      <w:pPr>
        <w:pStyle w:val="ListParagraph"/>
        <w:numPr>
          <w:ilvl w:val="0"/>
          <w:numId w:val="68"/>
        </w:numPr>
        <w:tabs>
          <w:tab w:pos="2405" w:val="left" w:leader="none"/>
          <w:tab w:pos="2407" w:val="left" w:leader="none"/>
        </w:tabs>
        <w:spacing w:line="259" w:lineRule="auto" w:before="0" w:after="0"/>
        <w:ind w:left="2407" w:right="1272" w:hanging="566"/>
        <w:jc w:val="both"/>
        <w:rPr>
          <w:sz w:val="20"/>
        </w:rPr>
      </w:pPr>
      <w:r>
        <w:rPr>
          <w:sz w:val="20"/>
        </w:rPr>
        <w:t>Христенко Е.А. и соавт. КТ-паттерны при COVID-19 ассоциированных пневмониях – стандартизация</w:t>
      </w:r>
      <w:r>
        <w:rPr>
          <w:spacing w:val="-13"/>
          <w:sz w:val="20"/>
        </w:rPr>
        <w:t> </w:t>
      </w:r>
      <w:r>
        <w:rPr>
          <w:sz w:val="20"/>
        </w:rPr>
        <w:t>описаний</w:t>
      </w:r>
      <w:r>
        <w:rPr>
          <w:spacing w:val="-12"/>
          <w:sz w:val="20"/>
        </w:rPr>
        <w:t> </w:t>
      </w:r>
      <w:r>
        <w:rPr>
          <w:sz w:val="20"/>
        </w:rPr>
        <w:t>исследований</w:t>
      </w:r>
      <w:r>
        <w:rPr>
          <w:spacing w:val="-13"/>
          <w:sz w:val="20"/>
        </w:rPr>
        <w:t> </w:t>
      </w:r>
      <w:r>
        <w:rPr>
          <w:sz w:val="20"/>
        </w:rPr>
        <w:t>на</w:t>
      </w:r>
      <w:r>
        <w:rPr>
          <w:spacing w:val="-12"/>
          <w:sz w:val="20"/>
        </w:rPr>
        <w:t> </w:t>
      </w:r>
      <w:r>
        <w:rPr>
          <w:sz w:val="20"/>
        </w:rPr>
        <w:t>основе</w:t>
      </w:r>
      <w:r>
        <w:rPr>
          <w:spacing w:val="-13"/>
          <w:sz w:val="20"/>
        </w:rPr>
        <w:t> </w:t>
      </w:r>
      <w:r>
        <w:rPr>
          <w:sz w:val="20"/>
        </w:rPr>
        <w:t>глоссария</w:t>
      </w:r>
      <w:r>
        <w:rPr>
          <w:spacing w:val="-12"/>
          <w:sz w:val="20"/>
        </w:rPr>
        <w:t> </w:t>
      </w:r>
      <w:r>
        <w:rPr>
          <w:sz w:val="20"/>
        </w:rPr>
        <w:t>общества</w:t>
      </w:r>
      <w:r>
        <w:rPr>
          <w:spacing w:val="-13"/>
          <w:sz w:val="20"/>
        </w:rPr>
        <w:t> </w:t>
      </w:r>
      <w:r>
        <w:rPr>
          <w:sz w:val="20"/>
        </w:rPr>
        <w:t>Флейшнера</w:t>
      </w:r>
      <w:r>
        <w:rPr>
          <w:spacing w:val="-12"/>
          <w:sz w:val="20"/>
        </w:rPr>
        <w:t> </w:t>
      </w:r>
      <w:r>
        <w:rPr>
          <w:sz w:val="20"/>
        </w:rPr>
        <w:t>//</w:t>
      </w:r>
      <w:r>
        <w:rPr>
          <w:spacing w:val="-13"/>
          <w:sz w:val="20"/>
        </w:rPr>
        <w:t> </w:t>
      </w:r>
      <w:r>
        <w:rPr>
          <w:sz w:val="20"/>
        </w:rPr>
        <w:t>REJR.</w:t>
      </w:r>
      <w:r>
        <w:rPr>
          <w:spacing w:val="-12"/>
          <w:sz w:val="20"/>
        </w:rPr>
        <w:t> </w:t>
      </w:r>
      <w:r>
        <w:rPr>
          <w:sz w:val="20"/>
        </w:rPr>
        <w:t>2020. Т. 10. № 1. С. 16–26</w:t>
      </w:r>
    </w:p>
    <w:p>
      <w:pPr>
        <w:pStyle w:val="BodyText"/>
        <w:spacing w:before="133"/>
        <w:ind w:left="0"/>
        <w:jc w:val="left"/>
        <w:rPr>
          <w:sz w:val="20"/>
        </w:rPr>
      </w:pPr>
    </w:p>
    <w:p>
      <w:pPr>
        <w:spacing w:before="0"/>
        <w:ind w:left="1841" w:right="0" w:firstLine="0"/>
        <w:jc w:val="left"/>
        <w:rPr>
          <w:sz w:val="20"/>
        </w:rPr>
      </w:pPr>
      <w:r>
        <w:rPr>
          <w:spacing w:val="-10"/>
          <w:sz w:val="20"/>
        </w:rPr>
        <w:t>.</w:t>
      </w:r>
    </w:p>
    <w:p>
      <w:pPr>
        <w:spacing w:after="0"/>
        <w:jc w:val="left"/>
        <w:rPr>
          <w:sz w:val="20"/>
        </w:rPr>
        <w:sectPr>
          <w:pgSz w:w="11900" w:h="16840"/>
          <w:pgMar w:header="0" w:footer="697" w:top="1080" w:bottom="880" w:left="0" w:right="0"/>
        </w:sectPr>
      </w:pPr>
    </w:p>
    <w:p>
      <w:pPr>
        <w:pStyle w:val="Heading3"/>
        <w:spacing w:before="73"/>
        <w:ind w:left="1841" w:right="1273"/>
        <w:jc w:val="right"/>
      </w:pPr>
      <w:bookmarkStart w:name="_TOC_250018" w:id="188"/>
      <w:bookmarkStart w:name="160" w:id="189"/>
      <w:r>
        <w:rPr>
          <w:b w:val="0"/>
        </w:rPr>
      </w:r>
      <w:r>
        <w:rPr>
          <w:color w:val="1F487C"/>
          <w:spacing w:val="-2"/>
        </w:rPr>
        <w:t>Приложение</w:t>
      </w:r>
      <w:r>
        <w:rPr>
          <w:color w:val="1F487C"/>
          <w:spacing w:val="1"/>
        </w:rPr>
        <w:t> </w:t>
      </w:r>
      <w:bookmarkEnd w:id="188"/>
      <w:r>
        <w:rPr>
          <w:color w:val="1F487C"/>
          <w:spacing w:val="-10"/>
        </w:rPr>
        <w:t>1</w:t>
      </w:r>
    </w:p>
    <w:p>
      <w:pPr>
        <w:pStyle w:val="BodyText"/>
        <w:spacing w:before="182"/>
        <w:ind w:left="0"/>
        <w:jc w:val="left"/>
        <w:rPr>
          <w:b/>
        </w:rPr>
      </w:pPr>
    </w:p>
    <w:p>
      <w:pPr>
        <w:spacing w:before="0"/>
        <w:ind w:left="2549" w:right="0" w:firstLine="0"/>
        <w:jc w:val="both"/>
        <w:rPr>
          <w:b/>
          <w:sz w:val="24"/>
        </w:rPr>
      </w:pPr>
      <w:r>
        <w:rPr>
          <w:b/>
          <w:sz w:val="24"/>
        </w:rPr>
        <w:t>А.</w:t>
      </w:r>
      <w:r>
        <w:rPr>
          <w:b/>
          <w:spacing w:val="-9"/>
          <w:sz w:val="24"/>
        </w:rPr>
        <w:t> </w:t>
      </w:r>
      <w:r>
        <w:rPr>
          <w:b/>
          <w:sz w:val="24"/>
        </w:rPr>
        <w:t>Рекомендации</w:t>
      </w:r>
      <w:r>
        <w:rPr>
          <w:b/>
          <w:spacing w:val="-6"/>
          <w:sz w:val="24"/>
        </w:rPr>
        <w:t> </w:t>
      </w:r>
      <w:r>
        <w:rPr>
          <w:b/>
          <w:sz w:val="24"/>
        </w:rPr>
        <w:t>по</w:t>
      </w:r>
      <w:r>
        <w:rPr>
          <w:b/>
          <w:spacing w:val="-9"/>
          <w:sz w:val="24"/>
        </w:rPr>
        <w:t> </w:t>
      </w:r>
      <w:r>
        <w:rPr>
          <w:b/>
          <w:sz w:val="24"/>
        </w:rPr>
        <w:t>описанию</w:t>
      </w:r>
      <w:r>
        <w:rPr>
          <w:b/>
          <w:spacing w:val="-8"/>
          <w:sz w:val="24"/>
        </w:rPr>
        <w:t> </w:t>
      </w:r>
      <w:r>
        <w:rPr>
          <w:b/>
          <w:sz w:val="24"/>
        </w:rPr>
        <w:t>данных</w:t>
      </w:r>
      <w:r>
        <w:rPr>
          <w:b/>
          <w:spacing w:val="-7"/>
          <w:sz w:val="24"/>
        </w:rPr>
        <w:t> </w:t>
      </w:r>
      <w:r>
        <w:rPr>
          <w:b/>
          <w:sz w:val="24"/>
        </w:rPr>
        <w:t>РГ</w:t>
      </w:r>
      <w:r>
        <w:rPr>
          <w:b/>
          <w:spacing w:val="-8"/>
          <w:sz w:val="24"/>
        </w:rPr>
        <w:t> </w:t>
      </w:r>
      <w:r>
        <w:rPr>
          <w:b/>
          <w:sz w:val="24"/>
        </w:rPr>
        <w:t>И</w:t>
      </w:r>
      <w:r>
        <w:rPr>
          <w:b/>
          <w:spacing w:val="-10"/>
          <w:sz w:val="24"/>
        </w:rPr>
        <w:t> </w:t>
      </w:r>
      <w:r>
        <w:rPr>
          <w:b/>
          <w:sz w:val="24"/>
        </w:rPr>
        <w:t>КТ</w:t>
      </w:r>
      <w:r>
        <w:rPr>
          <w:b/>
          <w:spacing w:val="-6"/>
          <w:sz w:val="24"/>
        </w:rPr>
        <w:t> </w:t>
      </w:r>
      <w:r>
        <w:rPr>
          <w:b/>
          <w:spacing w:val="-5"/>
          <w:sz w:val="24"/>
        </w:rPr>
        <w:t>ОГК</w:t>
      </w:r>
    </w:p>
    <w:p>
      <w:pPr>
        <w:pStyle w:val="ListParagraph"/>
        <w:numPr>
          <w:ilvl w:val="0"/>
          <w:numId w:val="69"/>
        </w:numPr>
        <w:tabs>
          <w:tab w:pos="2907" w:val="left" w:leader="none"/>
        </w:tabs>
        <w:spacing w:line="240" w:lineRule="auto" w:before="275" w:after="0"/>
        <w:ind w:left="2549" w:right="6637" w:firstLine="0"/>
        <w:jc w:val="both"/>
        <w:rPr>
          <w:b/>
          <w:sz w:val="24"/>
        </w:rPr>
      </w:pPr>
      <w:r>
        <w:rPr>
          <w:b/>
          <w:sz w:val="24"/>
        </w:rPr>
        <w:t>Рентгенография</w:t>
      </w:r>
      <w:r>
        <w:rPr>
          <w:b/>
          <w:spacing w:val="-15"/>
          <w:sz w:val="24"/>
        </w:rPr>
        <w:t> </w:t>
      </w:r>
      <w:r>
        <w:rPr>
          <w:b/>
          <w:sz w:val="24"/>
        </w:rPr>
        <w:t>ОГК Методика выполнения</w:t>
      </w:r>
    </w:p>
    <w:p>
      <w:pPr>
        <w:pStyle w:val="BodyText"/>
        <w:ind w:right="1275" w:firstLine="707"/>
      </w:pPr>
      <w:r>
        <w:rPr/>
        <w:t>Рентгенография в рентгеновском кабинете проводится с использованием стационарного (или передвижного) рентгеновского аппарата в двух стандартных проекциях: прямой передней и правой боковой.</w:t>
      </w:r>
    </w:p>
    <w:p>
      <w:pPr>
        <w:pStyle w:val="BodyText"/>
        <w:ind w:right="1273" w:firstLine="707"/>
      </w:pPr>
      <w:r>
        <w:rPr/>
        <w:t>Рентгенография в ОРИТ проводится с использованием передвижного рентгенодиагностического аппарата в одной стандартной проекции: прямой задней при положении пациента на спине или в прямой передней при положении пациента на</w:t>
      </w:r>
      <w:r>
        <w:rPr>
          <w:spacing w:val="-5"/>
        </w:rPr>
        <w:t> </w:t>
      </w:r>
      <w:r>
        <w:rPr/>
        <w:t>животе. При необходимости может быть выполнен снимок в боковой проекции горизонтально</w:t>
      </w:r>
      <w:r>
        <w:rPr>
          <w:spacing w:val="40"/>
        </w:rPr>
        <w:t> </w:t>
      </w:r>
      <w:r>
        <w:rPr/>
        <w:t>направленным</w:t>
      </w:r>
      <w:r>
        <w:rPr>
          <w:spacing w:val="40"/>
        </w:rPr>
        <w:t> </w:t>
      </w:r>
      <w:r>
        <w:rPr/>
        <w:t>пучком</w:t>
      </w:r>
      <w:r>
        <w:rPr>
          <w:spacing w:val="40"/>
        </w:rPr>
        <w:t> </w:t>
      </w:r>
      <w:r>
        <w:rPr/>
        <w:t>рентгеновского</w:t>
      </w:r>
      <w:r>
        <w:rPr>
          <w:spacing w:val="40"/>
        </w:rPr>
        <w:t> </w:t>
      </w:r>
      <w:r>
        <w:rPr/>
        <w:t>излучения</w:t>
      </w:r>
      <w:r>
        <w:rPr>
          <w:spacing w:val="40"/>
        </w:rPr>
        <w:t> </w:t>
      </w:r>
      <w:r>
        <w:rPr/>
        <w:t>(латерограмма). На</w:t>
      </w:r>
      <w:r>
        <w:rPr>
          <w:spacing w:val="-4"/>
        </w:rPr>
        <w:t> </w:t>
      </w:r>
      <w:r>
        <w:rPr/>
        <w:t>рентгеновском</w:t>
      </w:r>
      <w:r>
        <w:rPr>
          <w:spacing w:val="75"/>
        </w:rPr>
        <w:t>  </w:t>
      </w:r>
      <w:r>
        <w:rPr/>
        <w:t>снимке</w:t>
      </w:r>
      <w:r>
        <w:rPr>
          <w:spacing w:val="74"/>
        </w:rPr>
        <w:t>  </w:t>
      </w:r>
      <w:r>
        <w:rPr/>
        <w:t>должна</w:t>
      </w:r>
      <w:r>
        <w:rPr>
          <w:spacing w:val="74"/>
        </w:rPr>
        <w:t>  </w:t>
      </w:r>
      <w:r>
        <w:rPr/>
        <w:t>присутствовать</w:t>
      </w:r>
      <w:r>
        <w:rPr>
          <w:spacing w:val="76"/>
        </w:rPr>
        <w:t>  </w:t>
      </w:r>
      <w:r>
        <w:rPr/>
        <w:t>стандартная</w:t>
      </w:r>
      <w:r>
        <w:rPr>
          <w:spacing w:val="75"/>
        </w:rPr>
        <w:t>  </w:t>
      </w:r>
      <w:r>
        <w:rPr/>
        <w:t>маркировка и</w:t>
      </w:r>
      <w:r>
        <w:rPr>
          <w:spacing w:val="-4"/>
        </w:rPr>
        <w:t> </w:t>
      </w:r>
      <w:r>
        <w:rPr/>
        <w:t>дополнительная</w:t>
      </w:r>
      <w:r>
        <w:rPr>
          <w:spacing w:val="-13"/>
        </w:rPr>
        <w:t> </w:t>
      </w:r>
      <w:r>
        <w:rPr/>
        <w:t>информация</w:t>
      </w:r>
      <w:r>
        <w:rPr>
          <w:spacing w:val="-13"/>
        </w:rPr>
        <w:t> </w:t>
      </w:r>
      <w:r>
        <w:rPr/>
        <w:t>(время</w:t>
      </w:r>
      <w:r>
        <w:rPr>
          <w:spacing w:val="-13"/>
        </w:rPr>
        <w:t> </w:t>
      </w:r>
      <w:r>
        <w:rPr/>
        <w:t>проведения</w:t>
      </w:r>
      <w:r>
        <w:rPr>
          <w:spacing w:val="-13"/>
        </w:rPr>
        <w:t> </w:t>
      </w:r>
      <w:r>
        <w:rPr/>
        <w:t>рентгенографии</w:t>
      </w:r>
      <w:r>
        <w:rPr>
          <w:spacing w:val="-12"/>
        </w:rPr>
        <w:t> </w:t>
      </w:r>
      <w:r>
        <w:rPr/>
        <w:t>в</w:t>
      </w:r>
      <w:r>
        <w:rPr>
          <w:spacing w:val="-13"/>
        </w:rPr>
        <w:t> </w:t>
      </w:r>
      <w:r>
        <w:rPr/>
        <w:t>часах</w:t>
      </w:r>
      <w:r>
        <w:rPr>
          <w:spacing w:val="-13"/>
        </w:rPr>
        <w:t> </w:t>
      </w:r>
      <w:r>
        <w:rPr/>
        <w:t>и</w:t>
      </w:r>
      <w:r>
        <w:rPr>
          <w:spacing w:val="-12"/>
        </w:rPr>
        <w:t> </w:t>
      </w:r>
      <w:r>
        <w:rPr/>
        <w:t>минутах; положение пациента в момент рентгенографии – на спине или на животе).</w:t>
      </w:r>
    </w:p>
    <w:p>
      <w:pPr>
        <w:pStyle w:val="BodyText"/>
        <w:ind w:right="1273" w:firstLine="707"/>
      </w:pPr>
      <w:r>
        <w:rPr/>
        <w:t>Для оценки пациентов с предполагаемой/известной пневмонией COVID-19 другие рентгенодиагностические методики (рентгеноскопия, линейная томография</w:t>
      </w:r>
      <w:r>
        <w:rPr>
          <w:spacing w:val="80"/>
          <w:w w:val="150"/>
        </w:rPr>
        <w:t> </w:t>
      </w:r>
      <w:r>
        <w:rPr/>
        <w:t>и проч.) не используются.</w:t>
      </w:r>
    </w:p>
    <w:p>
      <w:pPr>
        <w:pStyle w:val="Heading3"/>
        <w:spacing w:line="275" w:lineRule="exact"/>
      </w:pPr>
      <w:r>
        <w:rPr/>
        <w:t>Протокол</w:t>
      </w:r>
      <w:r>
        <w:rPr>
          <w:spacing w:val="-9"/>
        </w:rPr>
        <w:t> </w:t>
      </w:r>
      <w:r>
        <w:rPr/>
        <w:t>РГ</w:t>
      </w:r>
      <w:r>
        <w:rPr>
          <w:spacing w:val="-9"/>
        </w:rPr>
        <w:t> </w:t>
      </w:r>
      <w:r>
        <w:rPr>
          <w:spacing w:val="-2"/>
        </w:rPr>
        <w:t>исследования</w:t>
      </w:r>
    </w:p>
    <w:p>
      <w:pPr>
        <w:pStyle w:val="BodyText"/>
        <w:ind w:right="1275" w:firstLine="707"/>
      </w:pPr>
      <w:r>
        <w:rPr/>
        <w:t>Протокол по результатам проведенной РГ формируется по стандартным </w:t>
      </w:r>
      <w:r>
        <w:rPr>
          <w:spacing w:val="-2"/>
        </w:rPr>
        <w:t>правилам:</w:t>
      </w:r>
    </w:p>
    <w:p>
      <w:pPr>
        <w:pStyle w:val="ListParagraph"/>
        <w:numPr>
          <w:ilvl w:val="0"/>
          <w:numId w:val="70"/>
        </w:numPr>
        <w:tabs>
          <w:tab w:pos="2268" w:val="left" w:leader="none"/>
        </w:tabs>
        <w:spacing w:line="240" w:lineRule="auto" w:before="0" w:after="0"/>
        <w:ind w:left="2268" w:right="0" w:hanging="359"/>
        <w:jc w:val="both"/>
        <w:rPr>
          <w:sz w:val="24"/>
        </w:rPr>
      </w:pPr>
      <w:r>
        <w:rPr>
          <w:sz w:val="24"/>
        </w:rPr>
        <w:t>Вид</w:t>
      </w:r>
      <w:r>
        <w:rPr>
          <w:spacing w:val="-11"/>
          <w:sz w:val="24"/>
        </w:rPr>
        <w:t> </w:t>
      </w:r>
      <w:r>
        <w:rPr>
          <w:sz w:val="24"/>
        </w:rPr>
        <w:t>исследования,</w:t>
      </w:r>
      <w:r>
        <w:rPr>
          <w:spacing w:val="-12"/>
          <w:sz w:val="24"/>
        </w:rPr>
        <w:t> </w:t>
      </w:r>
      <w:r>
        <w:rPr>
          <w:sz w:val="24"/>
        </w:rPr>
        <w:t>проекции,</w:t>
      </w:r>
      <w:r>
        <w:rPr>
          <w:spacing w:val="-14"/>
          <w:sz w:val="24"/>
        </w:rPr>
        <w:t> </w:t>
      </w:r>
      <w:r>
        <w:rPr>
          <w:sz w:val="24"/>
        </w:rPr>
        <w:t>положение</w:t>
      </w:r>
      <w:r>
        <w:rPr>
          <w:spacing w:val="-11"/>
          <w:sz w:val="24"/>
        </w:rPr>
        <w:t> </w:t>
      </w:r>
      <w:r>
        <w:rPr>
          <w:sz w:val="24"/>
        </w:rPr>
        <w:t>пациента</w:t>
      </w:r>
      <w:r>
        <w:rPr>
          <w:spacing w:val="-12"/>
          <w:sz w:val="24"/>
        </w:rPr>
        <w:t> </w:t>
      </w:r>
      <w:r>
        <w:rPr>
          <w:sz w:val="24"/>
        </w:rPr>
        <w:t>в</w:t>
      </w:r>
      <w:r>
        <w:rPr>
          <w:spacing w:val="-12"/>
          <w:sz w:val="24"/>
        </w:rPr>
        <w:t> </w:t>
      </w:r>
      <w:r>
        <w:rPr>
          <w:sz w:val="24"/>
        </w:rPr>
        <w:t>момент</w:t>
      </w:r>
      <w:r>
        <w:rPr>
          <w:spacing w:val="-7"/>
          <w:sz w:val="24"/>
        </w:rPr>
        <w:t> </w:t>
      </w:r>
      <w:r>
        <w:rPr>
          <w:spacing w:val="-5"/>
          <w:sz w:val="24"/>
        </w:rPr>
        <w:t>РГ.</w:t>
      </w:r>
    </w:p>
    <w:p>
      <w:pPr>
        <w:pStyle w:val="ListParagraph"/>
        <w:numPr>
          <w:ilvl w:val="0"/>
          <w:numId w:val="70"/>
        </w:numPr>
        <w:tabs>
          <w:tab w:pos="2268" w:val="left" w:leader="none"/>
        </w:tabs>
        <w:spacing w:line="268" w:lineRule="auto" w:before="31" w:after="0"/>
        <w:ind w:left="2268" w:right="1279" w:hanging="360"/>
        <w:jc w:val="both"/>
        <w:rPr>
          <w:sz w:val="24"/>
        </w:rPr>
      </w:pPr>
      <w:r>
        <w:rPr>
          <w:sz w:val="24"/>
        </w:rPr>
        <w:t>Все медицинские устройства и иные предметы, видимые на снимках (интубационная трубка, катетеры, дренажи, зонды, искусственные водители ритма, инородные тела и проч.), их расположение и правильность установки.</w:t>
      </w:r>
    </w:p>
    <w:p>
      <w:pPr>
        <w:pStyle w:val="ListParagraph"/>
        <w:numPr>
          <w:ilvl w:val="0"/>
          <w:numId w:val="70"/>
        </w:numPr>
        <w:tabs>
          <w:tab w:pos="2268" w:val="left" w:leader="none"/>
        </w:tabs>
        <w:spacing w:line="240" w:lineRule="auto" w:before="10" w:after="0"/>
        <w:ind w:left="2268" w:right="0" w:hanging="359"/>
        <w:jc w:val="both"/>
        <w:rPr>
          <w:sz w:val="24"/>
        </w:rPr>
      </w:pPr>
      <w:r>
        <w:rPr>
          <w:spacing w:val="-2"/>
          <w:sz w:val="24"/>
        </w:rPr>
        <w:t>Видимые</w:t>
      </w:r>
      <w:r>
        <w:rPr>
          <w:spacing w:val="1"/>
          <w:sz w:val="24"/>
        </w:rPr>
        <w:t> </w:t>
      </w:r>
      <w:r>
        <w:rPr>
          <w:spacing w:val="-2"/>
          <w:sz w:val="24"/>
        </w:rPr>
        <w:t>патологические</w:t>
      </w:r>
      <w:r>
        <w:rPr>
          <w:spacing w:val="3"/>
          <w:sz w:val="24"/>
        </w:rPr>
        <w:t> </w:t>
      </w:r>
      <w:r>
        <w:rPr>
          <w:spacing w:val="-2"/>
          <w:sz w:val="24"/>
        </w:rPr>
        <w:t>изменения.</w:t>
      </w:r>
    </w:p>
    <w:p>
      <w:pPr>
        <w:pStyle w:val="ListParagraph"/>
        <w:numPr>
          <w:ilvl w:val="0"/>
          <w:numId w:val="70"/>
        </w:numPr>
        <w:tabs>
          <w:tab w:pos="2268" w:val="left" w:leader="none"/>
        </w:tabs>
        <w:spacing w:line="273" w:lineRule="auto" w:before="32" w:after="0"/>
        <w:ind w:left="2268" w:right="1273" w:hanging="360"/>
        <w:jc w:val="both"/>
        <w:rPr>
          <w:sz w:val="24"/>
        </w:rPr>
      </w:pPr>
      <w:r>
        <w:rPr>
          <w:sz w:val="24"/>
        </w:rPr>
        <w:t>Наличие участков уплотнения легочной ткани, их расположение (периферическое, центральное, диффузное, нарастание в направлении диафрагмы/верхушек). Локальные изменения соотносятся с отдельными долями и/или</w:t>
      </w:r>
      <w:r>
        <w:rPr>
          <w:spacing w:val="80"/>
          <w:sz w:val="24"/>
        </w:rPr>
        <w:t>  </w:t>
      </w:r>
      <w:r>
        <w:rPr>
          <w:sz w:val="24"/>
        </w:rPr>
        <w:t>сегментами.</w:t>
      </w:r>
      <w:r>
        <w:rPr>
          <w:spacing w:val="80"/>
          <w:sz w:val="24"/>
        </w:rPr>
        <w:t>  </w:t>
      </w:r>
      <w:r>
        <w:rPr>
          <w:sz w:val="24"/>
        </w:rPr>
        <w:t>Участки</w:t>
      </w:r>
      <w:r>
        <w:rPr>
          <w:spacing w:val="80"/>
          <w:sz w:val="24"/>
        </w:rPr>
        <w:t>  </w:t>
      </w:r>
      <w:r>
        <w:rPr>
          <w:sz w:val="24"/>
        </w:rPr>
        <w:t>уплотнения</w:t>
      </w:r>
      <w:r>
        <w:rPr>
          <w:spacing w:val="80"/>
          <w:sz w:val="24"/>
        </w:rPr>
        <w:t>  </w:t>
      </w:r>
      <w:r>
        <w:rPr>
          <w:sz w:val="24"/>
        </w:rPr>
        <w:t>легочной</w:t>
      </w:r>
      <w:r>
        <w:rPr>
          <w:spacing w:val="80"/>
          <w:sz w:val="24"/>
        </w:rPr>
        <w:t>  </w:t>
      </w:r>
      <w:r>
        <w:rPr>
          <w:sz w:val="24"/>
        </w:rPr>
        <w:t>ткани</w:t>
      </w:r>
      <w:r>
        <w:rPr>
          <w:spacing w:val="80"/>
          <w:sz w:val="24"/>
        </w:rPr>
        <w:t>  </w:t>
      </w:r>
      <w:r>
        <w:rPr>
          <w:sz w:val="24"/>
        </w:rPr>
        <w:t>при</w:t>
      </w:r>
      <w:r>
        <w:rPr>
          <w:spacing w:val="80"/>
          <w:sz w:val="24"/>
        </w:rPr>
        <w:t>  </w:t>
      </w:r>
      <w:r>
        <w:rPr>
          <w:sz w:val="24"/>
        </w:rPr>
        <w:t>РГ обычно не разделяют на матовое стекло и консолидацию.</w:t>
      </w:r>
    </w:p>
    <w:p>
      <w:pPr>
        <w:pStyle w:val="ListParagraph"/>
        <w:numPr>
          <w:ilvl w:val="0"/>
          <w:numId w:val="70"/>
        </w:numPr>
        <w:tabs>
          <w:tab w:pos="2268" w:val="left" w:leader="none"/>
        </w:tabs>
        <w:spacing w:line="320" w:lineRule="exact" w:before="0" w:after="0"/>
        <w:ind w:left="2268" w:right="0" w:hanging="359"/>
        <w:jc w:val="both"/>
        <w:rPr>
          <w:sz w:val="24"/>
        </w:rPr>
      </w:pPr>
      <w:r>
        <w:rPr>
          <w:sz w:val="24"/>
        </w:rPr>
        <w:t>Форма</w:t>
      </w:r>
      <w:r>
        <w:rPr>
          <w:spacing w:val="-13"/>
          <w:sz w:val="24"/>
        </w:rPr>
        <w:t> </w:t>
      </w:r>
      <w:r>
        <w:rPr>
          <w:sz w:val="24"/>
        </w:rPr>
        <w:t>участков</w:t>
      </w:r>
      <w:r>
        <w:rPr>
          <w:spacing w:val="-11"/>
          <w:sz w:val="24"/>
        </w:rPr>
        <w:t> </w:t>
      </w:r>
      <w:r>
        <w:rPr>
          <w:sz w:val="24"/>
        </w:rPr>
        <w:t>уплотнения:</w:t>
      </w:r>
      <w:r>
        <w:rPr>
          <w:spacing w:val="-11"/>
          <w:sz w:val="24"/>
        </w:rPr>
        <w:t> </w:t>
      </w:r>
      <w:r>
        <w:rPr>
          <w:sz w:val="24"/>
        </w:rPr>
        <w:t>округлая,</w:t>
      </w:r>
      <w:r>
        <w:rPr>
          <w:spacing w:val="-12"/>
          <w:sz w:val="24"/>
        </w:rPr>
        <w:t> </w:t>
      </w:r>
      <w:r>
        <w:rPr>
          <w:sz w:val="24"/>
        </w:rPr>
        <w:t>любая</w:t>
      </w:r>
      <w:r>
        <w:rPr>
          <w:spacing w:val="-11"/>
          <w:sz w:val="24"/>
        </w:rPr>
        <w:t> </w:t>
      </w:r>
      <w:r>
        <w:rPr>
          <w:spacing w:val="-2"/>
          <w:sz w:val="24"/>
        </w:rPr>
        <w:t>другая.</w:t>
      </w:r>
    </w:p>
    <w:p>
      <w:pPr>
        <w:pStyle w:val="ListParagraph"/>
        <w:numPr>
          <w:ilvl w:val="0"/>
          <w:numId w:val="70"/>
        </w:numPr>
        <w:tabs>
          <w:tab w:pos="2268" w:val="left" w:leader="none"/>
        </w:tabs>
        <w:spacing w:line="271" w:lineRule="auto" w:before="33" w:after="0"/>
        <w:ind w:left="2268" w:right="1279" w:hanging="360"/>
        <w:jc w:val="both"/>
        <w:rPr>
          <w:sz w:val="24"/>
        </w:rPr>
      </w:pPr>
      <w:r>
        <w:rPr>
          <w:sz w:val="24"/>
        </w:rPr>
        <w:t>Интенсивность тени уплотнений в легких: низкая (обычно соответствует симптому</w:t>
      </w:r>
      <w:r>
        <w:rPr>
          <w:spacing w:val="80"/>
          <w:sz w:val="24"/>
        </w:rPr>
        <w:t>  </w:t>
      </w:r>
      <w:r>
        <w:rPr>
          <w:sz w:val="24"/>
        </w:rPr>
        <w:t>«матового</w:t>
      </w:r>
      <w:r>
        <w:rPr>
          <w:spacing w:val="80"/>
          <w:sz w:val="24"/>
        </w:rPr>
        <w:t>  </w:t>
      </w:r>
      <w:r>
        <w:rPr>
          <w:sz w:val="24"/>
        </w:rPr>
        <w:t>стекла»</w:t>
      </w:r>
      <w:r>
        <w:rPr>
          <w:spacing w:val="80"/>
          <w:sz w:val="24"/>
        </w:rPr>
        <w:t>  </w:t>
      </w:r>
      <w:r>
        <w:rPr>
          <w:sz w:val="24"/>
        </w:rPr>
        <w:t>при</w:t>
      </w:r>
      <w:r>
        <w:rPr>
          <w:spacing w:val="80"/>
          <w:sz w:val="24"/>
        </w:rPr>
        <w:t>  </w:t>
      </w:r>
      <w:r>
        <w:rPr>
          <w:sz w:val="24"/>
        </w:rPr>
        <w:t>КТ),</w:t>
      </w:r>
      <w:r>
        <w:rPr>
          <w:spacing w:val="80"/>
          <w:sz w:val="24"/>
        </w:rPr>
        <w:t>  </w:t>
      </w:r>
      <w:r>
        <w:rPr>
          <w:sz w:val="24"/>
        </w:rPr>
        <w:t>средней</w:t>
      </w:r>
      <w:r>
        <w:rPr>
          <w:spacing w:val="80"/>
          <w:sz w:val="24"/>
        </w:rPr>
        <w:t>  </w:t>
      </w:r>
      <w:r>
        <w:rPr>
          <w:sz w:val="24"/>
        </w:rPr>
        <w:t>интенсивности (обычно соответствует консолидации при КТ), высокая (может наблюдаться при тотальном или субтотальном поражении легких) или их сочетание.</w:t>
      </w:r>
    </w:p>
    <w:p>
      <w:pPr>
        <w:pStyle w:val="ListParagraph"/>
        <w:numPr>
          <w:ilvl w:val="0"/>
          <w:numId w:val="70"/>
        </w:numPr>
        <w:tabs>
          <w:tab w:pos="2268" w:val="left" w:leader="none"/>
        </w:tabs>
        <w:spacing w:line="271" w:lineRule="auto" w:before="6" w:after="0"/>
        <w:ind w:left="2268" w:right="1275" w:hanging="360"/>
        <w:jc w:val="both"/>
        <w:rPr>
          <w:sz w:val="24"/>
        </w:rPr>
      </w:pPr>
      <w:r>
        <w:rPr>
          <w:sz w:val="24"/>
        </w:rPr>
        <w:t>Признаки</w:t>
      </w:r>
      <w:r>
        <w:rPr>
          <w:spacing w:val="80"/>
          <w:sz w:val="24"/>
        </w:rPr>
        <w:t>    </w:t>
      </w:r>
      <w:r>
        <w:rPr>
          <w:sz w:val="24"/>
        </w:rPr>
        <w:t>нарушения</w:t>
      </w:r>
      <w:r>
        <w:rPr>
          <w:spacing w:val="80"/>
          <w:sz w:val="24"/>
        </w:rPr>
        <w:t>    </w:t>
      </w:r>
      <w:r>
        <w:rPr>
          <w:sz w:val="24"/>
        </w:rPr>
        <w:t>легочного</w:t>
      </w:r>
      <w:r>
        <w:rPr>
          <w:spacing w:val="80"/>
          <w:sz w:val="24"/>
        </w:rPr>
        <w:t>    </w:t>
      </w:r>
      <w:r>
        <w:rPr>
          <w:sz w:val="24"/>
        </w:rPr>
        <w:t>кровообращения:</w:t>
      </w:r>
      <w:r>
        <w:rPr>
          <w:spacing w:val="80"/>
          <w:sz w:val="24"/>
        </w:rPr>
        <w:t>    </w:t>
      </w:r>
      <w:r>
        <w:rPr>
          <w:sz w:val="24"/>
        </w:rPr>
        <w:t>усиление</w:t>
      </w:r>
      <w:r>
        <w:rPr>
          <w:spacing w:val="40"/>
          <w:sz w:val="24"/>
        </w:rPr>
        <w:t> </w:t>
      </w:r>
      <w:r>
        <w:rPr>
          <w:sz w:val="24"/>
        </w:rPr>
        <w:t>(в</w:t>
      </w:r>
      <w:r>
        <w:rPr>
          <w:spacing w:val="-13"/>
          <w:sz w:val="24"/>
        </w:rPr>
        <w:t> </w:t>
      </w:r>
      <w:r>
        <w:rPr>
          <w:sz w:val="24"/>
        </w:rPr>
        <w:t>т.ч.</w:t>
      </w:r>
      <w:r>
        <w:rPr>
          <w:spacing w:val="-12"/>
          <w:sz w:val="24"/>
        </w:rPr>
        <w:t> </w:t>
      </w:r>
      <w:r>
        <w:rPr>
          <w:sz w:val="24"/>
        </w:rPr>
        <w:t>перераспределение</w:t>
      </w:r>
      <w:r>
        <w:rPr>
          <w:spacing w:val="-13"/>
          <w:sz w:val="24"/>
        </w:rPr>
        <w:t> </w:t>
      </w:r>
      <w:r>
        <w:rPr>
          <w:sz w:val="24"/>
        </w:rPr>
        <w:t>в</w:t>
      </w:r>
      <w:r>
        <w:rPr>
          <w:spacing w:val="-12"/>
          <w:sz w:val="24"/>
        </w:rPr>
        <w:t> </w:t>
      </w:r>
      <w:r>
        <w:rPr>
          <w:sz w:val="24"/>
        </w:rPr>
        <w:t>верхние</w:t>
      </w:r>
      <w:r>
        <w:rPr>
          <w:spacing w:val="-13"/>
          <w:sz w:val="24"/>
        </w:rPr>
        <w:t> </w:t>
      </w:r>
      <w:r>
        <w:rPr>
          <w:sz w:val="24"/>
        </w:rPr>
        <w:t>доли)</w:t>
      </w:r>
      <w:r>
        <w:rPr>
          <w:spacing w:val="-12"/>
          <w:sz w:val="24"/>
        </w:rPr>
        <w:t> </w:t>
      </w:r>
      <w:r>
        <w:rPr>
          <w:sz w:val="24"/>
        </w:rPr>
        <w:t>легочного</w:t>
      </w:r>
      <w:r>
        <w:rPr>
          <w:spacing w:val="-12"/>
          <w:sz w:val="24"/>
        </w:rPr>
        <w:t> </w:t>
      </w:r>
      <w:r>
        <w:rPr>
          <w:sz w:val="24"/>
        </w:rPr>
        <w:t>рисунка,</w:t>
      </w:r>
      <w:r>
        <w:rPr>
          <w:spacing w:val="-12"/>
          <w:sz w:val="24"/>
        </w:rPr>
        <w:t> </w:t>
      </w:r>
      <w:r>
        <w:rPr>
          <w:sz w:val="24"/>
        </w:rPr>
        <w:t>расширение</w:t>
      </w:r>
      <w:r>
        <w:rPr>
          <w:spacing w:val="-13"/>
          <w:sz w:val="24"/>
        </w:rPr>
        <w:t> </w:t>
      </w:r>
      <w:r>
        <w:rPr>
          <w:sz w:val="24"/>
        </w:rPr>
        <w:t>корней легких, перибронхиальные муфты, линии Керли, расширение камер сердца, расширение сосудистой ножки сердца.</w:t>
      </w:r>
    </w:p>
    <w:p>
      <w:pPr>
        <w:pStyle w:val="ListParagraph"/>
        <w:numPr>
          <w:ilvl w:val="0"/>
          <w:numId w:val="70"/>
        </w:numPr>
        <w:tabs>
          <w:tab w:pos="2268" w:val="left" w:leader="none"/>
        </w:tabs>
        <w:spacing w:line="261" w:lineRule="auto" w:before="7" w:after="0"/>
        <w:ind w:left="2268" w:right="1277" w:hanging="360"/>
        <w:jc w:val="both"/>
        <w:rPr>
          <w:sz w:val="24"/>
        </w:rPr>
      </w:pPr>
      <w:r>
        <w:rPr>
          <w:sz w:val="24"/>
        </w:rPr>
        <w:t>Другие</w:t>
      </w:r>
      <w:r>
        <w:rPr>
          <w:spacing w:val="-9"/>
          <w:sz w:val="24"/>
        </w:rPr>
        <w:t> </w:t>
      </w:r>
      <w:r>
        <w:rPr>
          <w:sz w:val="24"/>
        </w:rPr>
        <w:t>признаки</w:t>
      </w:r>
      <w:r>
        <w:rPr>
          <w:spacing w:val="-8"/>
          <w:sz w:val="24"/>
        </w:rPr>
        <w:t> </w:t>
      </w:r>
      <w:r>
        <w:rPr>
          <w:sz w:val="24"/>
        </w:rPr>
        <w:t>патологии</w:t>
      </w:r>
      <w:r>
        <w:rPr>
          <w:spacing w:val="-8"/>
          <w:sz w:val="24"/>
        </w:rPr>
        <w:t> </w:t>
      </w:r>
      <w:r>
        <w:rPr>
          <w:sz w:val="24"/>
        </w:rPr>
        <w:t>легких:</w:t>
      </w:r>
      <w:r>
        <w:rPr>
          <w:spacing w:val="-10"/>
          <w:sz w:val="24"/>
        </w:rPr>
        <w:t> </w:t>
      </w:r>
      <w:r>
        <w:rPr>
          <w:sz w:val="24"/>
        </w:rPr>
        <w:t>полости,</w:t>
      </w:r>
      <w:r>
        <w:rPr>
          <w:spacing w:val="-8"/>
          <w:sz w:val="24"/>
        </w:rPr>
        <w:t> </w:t>
      </w:r>
      <w:r>
        <w:rPr>
          <w:sz w:val="24"/>
        </w:rPr>
        <w:t>очаговые</w:t>
      </w:r>
      <w:r>
        <w:rPr>
          <w:spacing w:val="-9"/>
          <w:sz w:val="24"/>
        </w:rPr>
        <w:t> </w:t>
      </w:r>
      <w:r>
        <w:rPr>
          <w:sz w:val="24"/>
        </w:rPr>
        <w:t>диссеминации,</w:t>
      </w:r>
      <w:r>
        <w:rPr>
          <w:spacing w:val="-10"/>
          <w:sz w:val="24"/>
        </w:rPr>
        <w:t> </w:t>
      </w:r>
      <w:r>
        <w:rPr>
          <w:sz w:val="24"/>
        </w:rPr>
        <w:t>локальные долевые и сегментарные уплотнения и проч.</w:t>
      </w:r>
    </w:p>
    <w:p>
      <w:pPr>
        <w:pStyle w:val="ListParagraph"/>
        <w:numPr>
          <w:ilvl w:val="0"/>
          <w:numId w:val="70"/>
        </w:numPr>
        <w:tabs>
          <w:tab w:pos="2268" w:val="left" w:leader="none"/>
        </w:tabs>
        <w:spacing w:line="240" w:lineRule="auto" w:before="20" w:after="0"/>
        <w:ind w:left="2268" w:right="0" w:hanging="359"/>
        <w:jc w:val="both"/>
        <w:rPr>
          <w:sz w:val="24"/>
        </w:rPr>
      </w:pPr>
      <w:r>
        <w:rPr>
          <w:spacing w:val="-2"/>
          <w:sz w:val="24"/>
        </w:rPr>
        <w:t>Плевральные</w:t>
      </w:r>
      <w:r>
        <w:rPr>
          <w:spacing w:val="1"/>
          <w:sz w:val="24"/>
        </w:rPr>
        <w:t> </w:t>
      </w:r>
      <w:r>
        <w:rPr>
          <w:spacing w:val="-2"/>
          <w:sz w:val="24"/>
        </w:rPr>
        <w:t>синусы:</w:t>
      </w:r>
      <w:r>
        <w:rPr>
          <w:spacing w:val="2"/>
          <w:sz w:val="24"/>
        </w:rPr>
        <w:t> </w:t>
      </w:r>
      <w:r>
        <w:rPr>
          <w:spacing w:val="-2"/>
          <w:sz w:val="24"/>
        </w:rPr>
        <w:t>признаки</w:t>
      </w:r>
      <w:r>
        <w:rPr>
          <w:spacing w:val="4"/>
          <w:sz w:val="24"/>
        </w:rPr>
        <w:t> </w:t>
      </w:r>
      <w:r>
        <w:rPr>
          <w:spacing w:val="-2"/>
          <w:sz w:val="24"/>
        </w:rPr>
        <w:t>плеврального</w:t>
      </w:r>
      <w:r>
        <w:rPr>
          <w:spacing w:val="2"/>
          <w:sz w:val="24"/>
        </w:rPr>
        <w:t> </w:t>
      </w:r>
      <w:r>
        <w:rPr>
          <w:spacing w:val="-2"/>
          <w:sz w:val="24"/>
        </w:rPr>
        <w:t>выпота.</w:t>
      </w:r>
    </w:p>
    <w:p>
      <w:pPr>
        <w:pStyle w:val="ListParagraph"/>
        <w:numPr>
          <w:ilvl w:val="0"/>
          <w:numId w:val="70"/>
        </w:numPr>
        <w:tabs>
          <w:tab w:pos="2268" w:val="left" w:leader="none"/>
        </w:tabs>
        <w:spacing w:line="240" w:lineRule="auto" w:before="31" w:after="0"/>
        <w:ind w:left="2268" w:right="0" w:hanging="359"/>
        <w:jc w:val="both"/>
        <w:rPr>
          <w:sz w:val="24"/>
        </w:rPr>
      </w:pPr>
      <w:r>
        <w:rPr>
          <w:spacing w:val="-2"/>
          <w:sz w:val="24"/>
        </w:rPr>
        <w:t>Признаки</w:t>
      </w:r>
      <w:r>
        <w:rPr>
          <w:spacing w:val="3"/>
          <w:sz w:val="24"/>
        </w:rPr>
        <w:t> </w:t>
      </w:r>
      <w:r>
        <w:rPr>
          <w:spacing w:val="-2"/>
          <w:sz w:val="24"/>
        </w:rPr>
        <w:t>пневмоторакса</w:t>
      </w:r>
      <w:r>
        <w:rPr>
          <w:spacing w:val="1"/>
          <w:sz w:val="24"/>
        </w:rPr>
        <w:t> </w:t>
      </w:r>
      <w:r>
        <w:rPr>
          <w:spacing w:val="-2"/>
          <w:sz w:val="24"/>
        </w:rPr>
        <w:t>и/или</w:t>
      </w:r>
      <w:r>
        <w:rPr>
          <w:spacing w:val="5"/>
          <w:sz w:val="24"/>
        </w:rPr>
        <w:t> </w:t>
      </w:r>
      <w:r>
        <w:rPr>
          <w:spacing w:val="-2"/>
          <w:sz w:val="24"/>
        </w:rPr>
        <w:t>пневмомедиастинума</w:t>
      </w:r>
      <w:r>
        <w:rPr>
          <w:spacing w:val="2"/>
          <w:sz w:val="24"/>
        </w:rPr>
        <w:t> </w:t>
      </w:r>
      <w:r>
        <w:rPr>
          <w:spacing w:val="-2"/>
          <w:sz w:val="24"/>
        </w:rPr>
        <w:t>и/или</w:t>
      </w:r>
      <w:r>
        <w:rPr>
          <w:spacing w:val="2"/>
          <w:sz w:val="24"/>
        </w:rPr>
        <w:t> </w:t>
      </w:r>
      <w:r>
        <w:rPr>
          <w:spacing w:val="-2"/>
          <w:sz w:val="24"/>
        </w:rPr>
        <w:t>пневмоперитонеума.</w:t>
      </w:r>
    </w:p>
    <w:p>
      <w:pPr>
        <w:pStyle w:val="ListParagraph"/>
        <w:spacing w:after="0" w:line="240" w:lineRule="auto"/>
        <w:jc w:val="both"/>
        <w:rPr>
          <w:sz w:val="24"/>
        </w:rPr>
        <w:sectPr>
          <w:pgSz w:w="11900" w:h="16840"/>
          <w:pgMar w:header="0" w:footer="697" w:top="1080" w:bottom="880" w:left="0" w:right="0"/>
        </w:sectPr>
      </w:pPr>
    </w:p>
    <w:p>
      <w:pPr>
        <w:pStyle w:val="BodyText"/>
        <w:spacing w:before="64"/>
        <w:ind w:right="1279" w:firstLine="707"/>
      </w:pPr>
      <w:bookmarkStart w:name="161" w:id="190"/>
      <w:bookmarkEnd w:id="190"/>
      <w:r>
        <w:rPr/>
      </w:r>
      <w:r>
        <w:rPr>
          <w:b/>
        </w:rPr>
        <w:t>В</w:t>
      </w:r>
      <w:r>
        <w:rPr>
          <w:b/>
          <w:spacing w:val="80"/>
        </w:rPr>
        <w:t> </w:t>
      </w:r>
      <w:r>
        <w:rPr>
          <w:b/>
        </w:rPr>
        <w:t>заключении</w:t>
      </w:r>
      <w:r>
        <w:rPr>
          <w:b/>
          <w:spacing w:val="80"/>
        </w:rPr>
        <w:t> </w:t>
      </w:r>
      <w:r>
        <w:rPr/>
        <w:t>необходимо</w:t>
      </w:r>
      <w:r>
        <w:rPr>
          <w:spacing w:val="80"/>
        </w:rPr>
        <w:t> </w:t>
      </w:r>
      <w:r>
        <w:rPr/>
        <w:t>указать</w:t>
      </w:r>
      <w:r>
        <w:rPr>
          <w:spacing w:val="80"/>
        </w:rPr>
        <w:t> </w:t>
      </w:r>
      <w:r>
        <w:rPr/>
        <w:t>наличие</w:t>
      </w:r>
      <w:r>
        <w:rPr>
          <w:spacing w:val="80"/>
        </w:rPr>
        <w:t> </w:t>
      </w:r>
      <w:r>
        <w:rPr/>
        <w:t>патологических</w:t>
      </w:r>
      <w:r>
        <w:rPr>
          <w:spacing w:val="80"/>
        </w:rPr>
        <w:t> </w:t>
      </w:r>
      <w:r>
        <w:rPr/>
        <w:t>изменений</w:t>
      </w:r>
      <w:r>
        <w:rPr>
          <w:spacing w:val="40"/>
        </w:rPr>
        <w:t> </w:t>
      </w:r>
      <w:r>
        <w:rPr/>
        <w:t>и их распространенность.</w:t>
      </w:r>
    </w:p>
    <w:p>
      <w:pPr>
        <w:spacing w:before="0"/>
        <w:ind w:left="1841" w:right="1272" w:firstLine="707"/>
        <w:jc w:val="both"/>
        <w:rPr>
          <w:i/>
          <w:sz w:val="24"/>
        </w:rPr>
      </w:pPr>
      <w:r>
        <w:rPr>
          <w:sz w:val="24"/>
        </w:rPr>
        <w:t>В случае первичного исследования рекомендуется указать вероятность соответствия выявленных изменений пневмонии COVID-19 – </w:t>
      </w:r>
      <w:r>
        <w:rPr>
          <w:b/>
          <w:sz w:val="24"/>
        </w:rPr>
        <w:t>высокая/типичная картина, средняя/неопределенная картина, низкая/нетипичная картина, норма </w:t>
      </w:r>
      <w:r>
        <w:rPr>
          <w:sz w:val="24"/>
        </w:rPr>
        <w:t>(для</w:t>
      </w:r>
      <w:r>
        <w:rPr>
          <w:spacing w:val="-12"/>
          <w:sz w:val="24"/>
        </w:rPr>
        <w:t> </w:t>
      </w:r>
      <w:r>
        <w:rPr>
          <w:sz w:val="24"/>
        </w:rPr>
        <w:t>оценки</w:t>
      </w:r>
      <w:r>
        <w:rPr>
          <w:spacing w:val="-11"/>
          <w:sz w:val="24"/>
        </w:rPr>
        <w:t> </w:t>
      </w:r>
      <w:r>
        <w:rPr>
          <w:sz w:val="24"/>
        </w:rPr>
        <w:t>степени</w:t>
      </w:r>
      <w:r>
        <w:rPr>
          <w:spacing w:val="-11"/>
          <w:sz w:val="24"/>
        </w:rPr>
        <w:t> </w:t>
      </w:r>
      <w:r>
        <w:rPr>
          <w:sz w:val="24"/>
        </w:rPr>
        <w:t>вероятности</w:t>
      </w:r>
      <w:r>
        <w:rPr>
          <w:spacing w:val="-10"/>
          <w:sz w:val="24"/>
        </w:rPr>
        <w:t> </w:t>
      </w:r>
      <w:r>
        <w:rPr>
          <w:sz w:val="24"/>
        </w:rPr>
        <w:t>можно</w:t>
      </w:r>
      <w:r>
        <w:rPr>
          <w:spacing w:val="-12"/>
          <w:sz w:val="24"/>
        </w:rPr>
        <w:t> </w:t>
      </w:r>
      <w:r>
        <w:rPr>
          <w:sz w:val="24"/>
        </w:rPr>
        <w:t>использовать</w:t>
      </w:r>
      <w:r>
        <w:rPr>
          <w:spacing w:val="-10"/>
          <w:sz w:val="24"/>
        </w:rPr>
        <w:t> </w:t>
      </w:r>
      <w:r>
        <w:rPr>
          <w:sz w:val="24"/>
        </w:rPr>
        <w:t>приводимую</w:t>
      </w:r>
      <w:r>
        <w:rPr>
          <w:spacing w:val="-11"/>
          <w:sz w:val="24"/>
        </w:rPr>
        <w:t> </w:t>
      </w:r>
      <w:r>
        <w:rPr>
          <w:sz w:val="24"/>
        </w:rPr>
        <w:t>ниже</w:t>
      </w:r>
      <w:r>
        <w:rPr>
          <w:spacing w:val="-13"/>
          <w:sz w:val="24"/>
        </w:rPr>
        <w:t> </w:t>
      </w:r>
      <w:r>
        <w:rPr>
          <w:sz w:val="24"/>
        </w:rPr>
        <w:t>таблицу</w:t>
      </w:r>
      <w:r>
        <w:rPr>
          <w:spacing w:val="-12"/>
          <w:sz w:val="24"/>
        </w:rPr>
        <w:t> </w:t>
      </w:r>
      <w:r>
        <w:rPr>
          <w:sz w:val="24"/>
        </w:rPr>
        <w:t>для формулировки заключений КТ). </w:t>
      </w:r>
      <w:r>
        <w:rPr>
          <w:i/>
          <w:sz w:val="24"/>
        </w:rPr>
        <w:t>Например, вероятная рентгенологическая картина пневмонии COVID-19; или картина усиления легочного рисунка без характерных рентгенографических признаков пневмонии COVID-19; или рентгенологическая картина отека легких; или рентгенологическая картина абсцесса верхней доли правого легкого.</w:t>
      </w:r>
    </w:p>
    <w:p>
      <w:pPr>
        <w:pStyle w:val="BodyText"/>
        <w:ind w:right="1280" w:firstLine="707"/>
      </w:pPr>
      <w:r>
        <w:rPr/>
        <w:t>При повторных исследованиях обязательно указывается динамика изменений в грудной полости.</w:t>
      </w:r>
    </w:p>
    <w:p>
      <w:pPr>
        <w:pStyle w:val="BodyText"/>
        <w:ind w:right="1277" w:firstLine="707"/>
      </w:pPr>
      <w:r>
        <w:rPr/>
        <w:t>При</w:t>
      </w:r>
      <w:r>
        <w:rPr>
          <w:spacing w:val="40"/>
        </w:rPr>
        <w:t> </w:t>
      </w:r>
      <w:r>
        <w:rPr/>
        <w:t>необходимости</w:t>
      </w:r>
      <w:r>
        <w:rPr>
          <w:spacing w:val="40"/>
        </w:rPr>
        <w:t> </w:t>
      </w:r>
      <w:r>
        <w:rPr/>
        <w:t>указываются</w:t>
      </w:r>
      <w:r>
        <w:rPr>
          <w:spacing w:val="40"/>
        </w:rPr>
        <w:t> </w:t>
      </w:r>
      <w:r>
        <w:rPr/>
        <w:t>дополнительные</w:t>
      </w:r>
      <w:r>
        <w:rPr>
          <w:spacing w:val="40"/>
        </w:rPr>
        <w:t> </w:t>
      </w:r>
      <w:r>
        <w:rPr/>
        <w:t>исследования,</w:t>
      </w:r>
      <w:r>
        <w:rPr>
          <w:spacing w:val="40"/>
        </w:rPr>
        <w:t> </w:t>
      </w:r>
      <w:r>
        <w:rPr/>
        <w:t>которые по</w:t>
      </w:r>
      <w:r>
        <w:rPr>
          <w:spacing w:val="-3"/>
        </w:rPr>
        <w:t> </w:t>
      </w:r>
      <w:r>
        <w:rPr/>
        <w:t>мнению рентгенолога могут помочь в оценке изменений: КТ, УЗИ, фибробронхоскопия и др.</w:t>
      </w:r>
    </w:p>
    <w:p>
      <w:pPr>
        <w:pStyle w:val="Heading3"/>
        <w:numPr>
          <w:ilvl w:val="0"/>
          <w:numId w:val="69"/>
        </w:numPr>
        <w:tabs>
          <w:tab w:pos="2907" w:val="left" w:leader="none"/>
        </w:tabs>
        <w:spacing w:line="240" w:lineRule="auto" w:before="272" w:after="0"/>
        <w:ind w:left="2549" w:right="5566" w:firstLine="0"/>
        <w:jc w:val="left"/>
      </w:pPr>
      <w:r>
        <w:rPr/>
        <w:t>Описание</w:t>
      </w:r>
      <w:r>
        <w:rPr>
          <w:spacing w:val="-14"/>
        </w:rPr>
        <w:t> </w:t>
      </w:r>
      <w:r>
        <w:rPr/>
        <w:t>результатов</w:t>
      </w:r>
      <w:r>
        <w:rPr>
          <w:spacing w:val="-12"/>
        </w:rPr>
        <w:t> </w:t>
      </w:r>
      <w:r>
        <w:rPr/>
        <w:t>КТ</w:t>
      </w:r>
      <w:r>
        <w:rPr>
          <w:spacing w:val="-13"/>
        </w:rPr>
        <w:t> </w:t>
      </w:r>
      <w:r>
        <w:rPr/>
        <w:t>ОГК Методика выполнения</w:t>
      </w:r>
    </w:p>
    <w:p>
      <w:pPr>
        <w:pStyle w:val="BodyText"/>
        <w:ind w:right="1273" w:firstLine="707"/>
        <w:jc w:val="right"/>
      </w:pPr>
      <w:r>
        <w:rPr/>
        <w:t>Сканирование</w:t>
      </w:r>
      <w:r>
        <w:rPr>
          <w:spacing w:val="40"/>
        </w:rPr>
        <w:t> </w:t>
      </w:r>
      <w:r>
        <w:rPr/>
        <w:t>грудной</w:t>
      </w:r>
      <w:r>
        <w:rPr>
          <w:spacing w:val="40"/>
        </w:rPr>
        <w:t> </w:t>
      </w:r>
      <w:r>
        <w:rPr/>
        <w:t>клетки</w:t>
      </w:r>
      <w:r>
        <w:rPr>
          <w:spacing w:val="40"/>
        </w:rPr>
        <w:t> </w:t>
      </w:r>
      <w:r>
        <w:rPr/>
        <w:t>осуществляется</w:t>
      </w:r>
      <w:r>
        <w:rPr>
          <w:spacing w:val="40"/>
        </w:rPr>
        <w:t> </w:t>
      </w:r>
      <w:r>
        <w:rPr/>
        <w:t>по</w:t>
      </w:r>
      <w:r>
        <w:rPr>
          <w:spacing w:val="40"/>
        </w:rPr>
        <w:t> </w:t>
      </w:r>
      <w:r>
        <w:rPr/>
        <w:t>стандартной</w:t>
      </w:r>
      <w:r>
        <w:rPr>
          <w:spacing w:val="40"/>
        </w:rPr>
        <w:t> </w:t>
      </w:r>
      <w:r>
        <w:rPr/>
        <w:t>программе, установленной</w:t>
      </w:r>
      <w:r>
        <w:rPr>
          <w:spacing w:val="80"/>
          <w:w w:val="150"/>
        </w:rPr>
        <w:t> </w:t>
      </w:r>
      <w:r>
        <w:rPr/>
        <w:t>компанией</w:t>
      </w:r>
      <w:r>
        <w:rPr>
          <w:spacing w:val="80"/>
          <w:w w:val="150"/>
        </w:rPr>
        <w:t> </w:t>
      </w:r>
      <w:r>
        <w:rPr/>
        <w:t>производителем,</w:t>
      </w:r>
      <w:r>
        <w:rPr>
          <w:spacing w:val="80"/>
          <w:w w:val="150"/>
        </w:rPr>
        <w:t> </w:t>
      </w:r>
      <w:r>
        <w:rPr/>
        <w:t>в</w:t>
      </w:r>
      <w:r>
        <w:rPr>
          <w:spacing w:val="80"/>
          <w:w w:val="150"/>
        </w:rPr>
        <w:t> </w:t>
      </w:r>
      <w:r>
        <w:rPr/>
        <w:t>положении</w:t>
      </w:r>
      <w:r>
        <w:rPr>
          <w:spacing w:val="80"/>
          <w:w w:val="150"/>
        </w:rPr>
        <w:t> </w:t>
      </w:r>
      <w:r>
        <w:rPr/>
        <w:t>пациента</w:t>
      </w:r>
      <w:r>
        <w:rPr>
          <w:spacing w:val="80"/>
          <w:w w:val="150"/>
        </w:rPr>
        <w:t> </w:t>
      </w:r>
      <w:r>
        <w:rPr/>
        <w:t>на</w:t>
      </w:r>
      <w:r>
        <w:rPr>
          <w:spacing w:val="80"/>
          <w:w w:val="150"/>
        </w:rPr>
        <w:t> </w:t>
      </w:r>
      <w:r>
        <w:rPr/>
        <w:t>спине,</w:t>
      </w:r>
      <w:r>
        <w:rPr>
          <w:spacing w:val="40"/>
        </w:rPr>
        <w:t> </w:t>
      </w:r>
      <w:r>
        <w:rPr/>
        <w:t>с</w:t>
      </w:r>
      <w:r>
        <w:rPr>
          <w:spacing w:val="-5"/>
        </w:rPr>
        <w:t> </w:t>
      </w:r>
      <w:r>
        <w:rPr/>
        <w:t>заведенными</w:t>
      </w:r>
      <w:r>
        <w:rPr>
          <w:spacing w:val="-10"/>
        </w:rPr>
        <w:t> </w:t>
      </w:r>
      <w:r>
        <w:rPr/>
        <w:t>за</w:t>
      </w:r>
      <w:r>
        <w:rPr>
          <w:spacing w:val="-12"/>
        </w:rPr>
        <w:t> </w:t>
      </w:r>
      <w:r>
        <w:rPr/>
        <w:t>голову</w:t>
      </w:r>
      <w:r>
        <w:rPr>
          <w:spacing w:val="-11"/>
        </w:rPr>
        <w:t> </w:t>
      </w:r>
      <w:r>
        <w:rPr/>
        <w:t>руками,</w:t>
      </w:r>
      <w:r>
        <w:rPr>
          <w:spacing w:val="-11"/>
        </w:rPr>
        <w:t> </w:t>
      </w:r>
      <w:r>
        <w:rPr/>
        <w:t>по</w:t>
      </w:r>
      <w:r>
        <w:rPr>
          <w:spacing w:val="-11"/>
        </w:rPr>
        <w:t> </w:t>
      </w:r>
      <w:r>
        <w:rPr/>
        <w:t>возможности</w:t>
      </w:r>
      <w:r>
        <w:rPr>
          <w:spacing w:val="-9"/>
        </w:rPr>
        <w:t> </w:t>
      </w:r>
      <w:r>
        <w:rPr/>
        <w:t>при</w:t>
      </w:r>
      <w:r>
        <w:rPr>
          <w:spacing w:val="-10"/>
        </w:rPr>
        <w:t> </w:t>
      </w:r>
      <w:r>
        <w:rPr/>
        <w:t>спокойном</w:t>
      </w:r>
      <w:r>
        <w:rPr>
          <w:spacing w:val="-11"/>
        </w:rPr>
        <w:t> </w:t>
      </w:r>
      <w:r>
        <w:rPr/>
        <w:t>задержанном</w:t>
      </w:r>
      <w:r>
        <w:rPr>
          <w:spacing w:val="-11"/>
        </w:rPr>
        <w:t> </w:t>
      </w:r>
      <w:r>
        <w:rPr/>
        <w:t>вдохе. При</w:t>
      </w:r>
      <w:r>
        <w:rPr>
          <w:spacing w:val="40"/>
        </w:rPr>
        <w:t> </w:t>
      </w:r>
      <w:r>
        <w:rPr/>
        <w:t>исследовании</w:t>
      </w:r>
      <w:r>
        <w:rPr>
          <w:spacing w:val="40"/>
        </w:rPr>
        <w:t> </w:t>
      </w:r>
      <w:r>
        <w:rPr/>
        <w:t>пациентов</w:t>
      </w:r>
      <w:r>
        <w:rPr>
          <w:spacing w:val="40"/>
        </w:rPr>
        <w:t> </w:t>
      </w:r>
      <w:r>
        <w:rPr/>
        <w:t>на</w:t>
      </w:r>
      <w:r>
        <w:rPr>
          <w:spacing w:val="40"/>
        </w:rPr>
        <w:t> </w:t>
      </w:r>
      <w:r>
        <w:rPr/>
        <w:t>ИВЛ</w:t>
      </w:r>
      <w:r>
        <w:rPr>
          <w:spacing w:val="40"/>
        </w:rPr>
        <w:t> </w:t>
      </w:r>
      <w:r>
        <w:rPr/>
        <w:t>задержка</w:t>
      </w:r>
      <w:r>
        <w:rPr>
          <w:spacing w:val="40"/>
        </w:rPr>
        <w:t> </w:t>
      </w:r>
      <w:r>
        <w:rPr/>
        <w:t>дыхания</w:t>
      </w:r>
      <w:r>
        <w:rPr>
          <w:spacing w:val="40"/>
        </w:rPr>
        <w:t> </w:t>
      </w:r>
      <w:r>
        <w:rPr/>
        <w:t>осуществится</w:t>
      </w:r>
      <w:r>
        <w:rPr>
          <w:spacing w:val="40"/>
        </w:rPr>
        <w:t> </w:t>
      </w:r>
      <w:r>
        <w:rPr/>
        <w:t>при короткой</w:t>
      </w:r>
      <w:r>
        <w:rPr>
          <w:spacing w:val="40"/>
        </w:rPr>
        <w:t> </w:t>
      </w:r>
      <w:r>
        <w:rPr/>
        <w:t>остановке</w:t>
      </w:r>
      <w:r>
        <w:rPr>
          <w:spacing w:val="40"/>
        </w:rPr>
        <w:t> </w:t>
      </w:r>
      <w:r>
        <w:rPr/>
        <w:t>дыхательных</w:t>
      </w:r>
      <w:r>
        <w:rPr>
          <w:spacing w:val="40"/>
        </w:rPr>
        <w:t> </w:t>
      </w:r>
      <w:r>
        <w:rPr/>
        <w:t>движений.</w:t>
      </w:r>
      <w:r>
        <w:rPr>
          <w:spacing w:val="40"/>
        </w:rPr>
        <w:t> </w:t>
      </w:r>
      <w:r>
        <w:rPr/>
        <w:t>Проведение</w:t>
      </w:r>
      <w:r>
        <w:rPr>
          <w:spacing w:val="40"/>
        </w:rPr>
        <w:t> </w:t>
      </w:r>
      <w:r>
        <w:rPr/>
        <w:t>КТ</w:t>
      </w:r>
      <w:r>
        <w:rPr>
          <w:spacing w:val="40"/>
        </w:rPr>
        <w:t> </w:t>
      </w:r>
      <w:r>
        <w:rPr/>
        <w:t>пациентам</w:t>
      </w:r>
      <w:r>
        <w:rPr>
          <w:spacing w:val="40"/>
        </w:rPr>
        <w:t> </w:t>
      </w:r>
      <w:r>
        <w:rPr/>
        <w:t>на</w:t>
      </w:r>
      <w:r>
        <w:rPr>
          <w:spacing w:val="40"/>
        </w:rPr>
        <w:t> </w:t>
      </w:r>
      <w:r>
        <w:rPr/>
        <w:t>ИВЛ возможно</w:t>
      </w:r>
      <w:r>
        <w:rPr>
          <w:spacing w:val="63"/>
          <w:w w:val="150"/>
        </w:rPr>
        <w:t> </w:t>
      </w:r>
      <w:r>
        <w:rPr/>
        <w:t>только</w:t>
      </w:r>
      <w:r>
        <w:rPr>
          <w:spacing w:val="64"/>
          <w:w w:val="150"/>
        </w:rPr>
        <w:t> </w:t>
      </w:r>
      <w:r>
        <w:rPr/>
        <w:t>при</w:t>
      </w:r>
      <w:r>
        <w:rPr>
          <w:spacing w:val="62"/>
          <w:w w:val="150"/>
        </w:rPr>
        <w:t> </w:t>
      </w:r>
      <w:r>
        <w:rPr/>
        <w:t>наличии</w:t>
      </w:r>
      <w:r>
        <w:rPr>
          <w:spacing w:val="63"/>
          <w:w w:val="150"/>
        </w:rPr>
        <w:t> </w:t>
      </w:r>
      <w:r>
        <w:rPr/>
        <w:t>технических</w:t>
      </w:r>
      <w:r>
        <w:rPr>
          <w:spacing w:val="63"/>
          <w:w w:val="150"/>
        </w:rPr>
        <w:t> </w:t>
      </w:r>
      <w:r>
        <w:rPr/>
        <w:t>условий</w:t>
      </w:r>
      <w:r>
        <w:rPr>
          <w:spacing w:val="65"/>
          <w:w w:val="150"/>
        </w:rPr>
        <w:t> </w:t>
      </w:r>
      <w:r>
        <w:rPr/>
        <w:t>и</w:t>
      </w:r>
      <w:r>
        <w:rPr>
          <w:spacing w:val="65"/>
          <w:w w:val="150"/>
        </w:rPr>
        <w:t> </w:t>
      </w:r>
      <w:r>
        <w:rPr/>
        <w:t>возможности</w:t>
      </w:r>
      <w:r>
        <w:rPr>
          <w:spacing w:val="65"/>
          <w:w w:val="150"/>
        </w:rPr>
        <w:t> </w:t>
      </w:r>
      <w:r>
        <w:rPr>
          <w:spacing w:val="-2"/>
        </w:rPr>
        <w:t>доставки</w:t>
      </w:r>
    </w:p>
    <w:p>
      <w:pPr>
        <w:pStyle w:val="BodyText"/>
        <w:spacing w:line="275" w:lineRule="exact"/>
      </w:pPr>
      <w:r>
        <w:rPr/>
        <w:t>пациента</w:t>
      </w:r>
      <w:r>
        <w:rPr>
          <w:spacing w:val="-10"/>
        </w:rPr>
        <w:t> </w:t>
      </w:r>
      <w:r>
        <w:rPr/>
        <w:t>в</w:t>
      </w:r>
      <w:r>
        <w:rPr>
          <w:spacing w:val="-10"/>
        </w:rPr>
        <w:t> </w:t>
      </w:r>
      <w:r>
        <w:rPr/>
        <w:t>кабинет</w:t>
      </w:r>
      <w:r>
        <w:rPr>
          <w:spacing w:val="-9"/>
        </w:rPr>
        <w:t> </w:t>
      </w:r>
      <w:r>
        <w:rPr/>
        <w:t>или</w:t>
      </w:r>
      <w:r>
        <w:rPr>
          <w:spacing w:val="-11"/>
        </w:rPr>
        <w:t> </w:t>
      </w:r>
      <w:r>
        <w:rPr/>
        <w:t>на</w:t>
      </w:r>
      <w:r>
        <w:rPr>
          <w:spacing w:val="-10"/>
        </w:rPr>
        <w:t> </w:t>
      </w:r>
      <w:r>
        <w:rPr/>
        <w:t>передвижном</w:t>
      </w:r>
      <w:r>
        <w:rPr>
          <w:spacing w:val="-9"/>
        </w:rPr>
        <w:t> </w:t>
      </w:r>
      <w:r>
        <w:rPr>
          <w:spacing w:val="-2"/>
        </w:rPr>
        <w:t>аппарате.</w:t>
      </w:r>
    </w:p>
    <w:p>
      <w:pPr>
        <w:pStyle w:val="BodyText"/>
        <w:ind w:right="1273" w:firstLine="707"/>
      </w:pPr>
      <w:r>
        <w:rPr/>
        <w:t>Внутривенное контрастирование не требуется, но может применяться при подозрении на другие патологические состояния, например, ТЭЛА, а также онкологические заболевания и проч.</w:t>
      </w:r>
    </w:p>
    <w:p>
      <w:pPr>
        <w:pStyle w:val="BodyText"/>
        <w:ind w:right="1278" w:firstLine="707"/>
      </w:pPr>
      <w:r>
        <w:rPr/>
        <w:t>Протокол КТ формируется по стандартным правилам, аналогичным рентгенографическому исследованию. Однако при этом используется терминология, принятая при описании данных КТ.</w:t>
      </w:r>
    </w:p>
    <w:p>
      <w:pPr>
        <w:pStyle w:val="BodyText"/>
        <w:ind w:right="1273" w:firstLine="707"/>
      </w:pPr>
      <w:r>
        <w:rPr/>
        <w:t>Для ускорения получения наиболее важных для врачей результатов КТ</w:t>
      </w:r>
      <w:r>
        <w:rPr>
          <w:spacing w:val="26"/>
        </w:rPr>
        <w:t> </w:t>
      </w:r>
      <w:r>
        <w:rPr/>
        <w:t>ОГК</w:t>
      </w:r>
      <w:r>
        <w:rPr>
          <w:spacing w:val="80"/>
        </w:rPr>
        <w:t> </w:t>
      </w:r>
      <w:r>
        <w:rPr/>
        <w:t>и</w:t>
      </w:r>
      <w:r>
        <w:rPr>
          <w:spacing w:val="-3"/>
        </w:rPr>
        <w:t> </w:t>
      </w:r>
      <w:r>
        <w:rPr/>
        <w:t>определения тактики ведения пациента возможно применение предварительных стандартизованных</w:t>
      </w:r>
      <w:r>
        <w:rPr>
          <w:spacing w:val="80"/>
        </w:rPr>
        <w:t> </w:t>
      </w:r>
      <w:r>
        <w:rPr/>
        <w:t>экспресс-форм</w:t>
      </w:r>
      <w:r>
        <w:rPr>
          <w:spacing w:val="80"/>
        </w:rPr>
        <w:t> </w:t>
      </w:r>
      <w:r>
        <w:rPr/>
        <w:t>протоколов,</w:t>
      </w:r>
      <w:r>
        <w:rPr>
          <w:spacing w:val="80"/>
        </w:rPr>
        <w:t> </w:t>
      </w:r>
      <w:r>
        <w:rPr/>
        <w:t>а</w:t>
      </w:r>
      <w:r>
        <w:rPr>
          <w:spacing w:val="80"/>
        </w:rPr>
        <w:t> </w:t>
      </w:r>
      <w:r>
        <w:rPr/>
        <w:t>само</w:t>
      </w:r>
      <w:r>
        <w:rPr>
          <w:spacing w:val="80"/>
        </w:rPr>
        <w:t> </w:t>
      </w:r>
      <w:r>
        <w:rPr/>
        <w:t>заключение</w:t>
      </w:r>
      <w:r>
        <w:rPr>
          <w:spacing w:val="80"/>
        </w:rPr>
        <w:t> </w:t>
      </w:r>
      <w:r>
        <w:rPr/>
        <w:t>оформляется в установленные сроки.</w:t>
      </w:r>
    </w:p>
    <w:p>
      <w:pPr>
        <w:pStyle w:val="BodyText"/>
        <w:ind w:right="1279" w:firstLine="707"/>
      </w:pPr>
      <w:r>
        <w:rPr/>
        <w:t>Примерная</w:t>
      </w:r>
      <w:r>
        <w:rPr>
          <w:spacing w:val="40"/>
        </w:rPr>
        <w:t> </w:t>
      </w:r>
      <w:r>
        <w:rPr/>
        <w:t>экспресс-форма</w:t>
      </w:r>
      <w:r>
        <w:rPr>
          <w:spacing w:val="40"/>
        </w:rPr>
        <w:t> </w:t>
      </w:r>
      <w:r>
        <w:rPr/>
        <w:t>приводится</w:t>
      </w:r>
      <w:r>
        <w:rPr>
          <w:spacing w:val="40"/>
        </w:rPr>
        <w:t> </w:t>
      </w:r>
      <w:r>
        <w:rPr/>
        <w:t>ниже,</w:t>
      </w:r>
      <w:r>
        <w:rPr>
          <w:spacing w:val="40"/>
        </w:rPr>
        <w:t> </w:t>
      </w:r>
      <w:r>
        <w:rPr/>
        <w:t>возможна</w:t>
      </w:r>
      <w:r>
        <w:rPr>
          <w:spacing w:val="40"/>
        </w:rPr>
        <w:t> </w:t>
      </w:r>
      <w:r>
        <w:rPr/>
        <w:t>ее</w:t>
      </w:r>
      <w:r>
        <w:rPr>
          <w:spacing w:val="40"/>
        </w:rPr>
        <w:t> </w:t>
      </w:r>
      <w:r>
        <w:rPr/>
        <w:t>модификация или коррекция – согласно потребностям конкретной медицинской организации.</w:t>
      </w:r>
    </w:p>
    <w:p>
      <w:pPr>
        <w:pStyle w:val="BodyText"/>
        <w:spacing w:after="0"/>
        <w:sectPr>
          <w:pgSz w:w="11900" w:h="16840"/>
          <w:pgMar w:header="0" w:footer="697" w:top="1420" w:bottom="880" w:left="0" w:right="0"/>
        </w:sectPr>
      </w:pPr>
    </w:p>
    <w:p>
      <w:pPr>
        <w:spacing w:before="73"/>
        <w:ind w:left="4856" w:right="0" w:firstLine="0"/>
        <w:jc w:val="left"/>
        <w:rPr>
          <w:b/>
          <w:sz w:val="24"/>
        </w:rPr>
      </w:pPr>
      <w:bookmarkStart w:name="162" w:id="191"/>
      <w:bookmarkEnd w:id="191"/>
      <w:r>
        <w:rPr/>
      </w:r>
      <w:r>
        <w:rPr>
          <w:b/>
          <w:spacing w:val="-2"/>
          <w:sz w:val="24"/>
        </w:rPr>
        <w:t>Рекомендуемая</w:t>
      </w:r>
      <w:r>
        <w:rPr>
          <w:b/>
          <w:spacing w:val="6"/>
          <w:sz w:val="24"/>
        </w:rPr>
        <w:t> </w:t>
      </w:r>
      <w:r>
        <w:rPr>
          <w:b/>
          <w:spacing w:val="-2"/>
          <w:sz w:val="24"/>
        </w:rPr>
        <w:t>экспресс-форма</w:t>
      </w:r>
    </w:p>
    <w:p>
      <w:pPr>
        <w:spacing w:before="0"/>
        <w:ind w:left="5005" w:right="1490" w:hanging="2051"/>
        <w:jc w:val="left"/>
        <w:rPr>
          <w:b/>
          <w:sz w:val="24"/>
        </w:rPr>
      </w:pPr>
      <w:r>
        <w:rPr>
          <w:b/>
          <w:sz w:val="24"/>
        </w:rPr>
        <w:t>описания</w:t>
      </w:r>
      <w:r>
        <w:rPr>
          <w:b/>
          <w:spacing w:val="-7"/>
          <w:sz w:val="24"/>
        </w:rPr>
        <w:t> </w:t>
      </w:r>
      <w:r>
        <w:rPr>
          <w:b/>
          <w:sz w:val="24"/>
        </w:rPr>
        <w:t>результатов</w:t>
      </w:r>
      <w:r>
        <w:rPr>
          <w:b/>
          <w:spacing w:val="-9"/>
          <w:sz w:val="24"/>
        </w:rPr>
        <w:t> </w:t>
      </w:r>
      <w:r>
        <w:rPr>
          <w:b/>
          <w:sz w:val="24"/>
        </w:rPr>
        <w:t>КТ</w:t>
      </w:r>
      <w:r>
        <w:rPr>
          <w:b/>
          <w:spacing w:val="-6"/>
          <w:sz w:val="24"/>
        </w:rPr>
        <w:t> </w:t>
      </w:r>
      <w:r>
        <w:rPr>
          <w:b/>
          <w:sz w:val="24"/>
        </w:rPr>
        <w:t>грудной</w:t>
      </w:r>
      <w:r>
        <w:rPr>
          <w:b/>
          <w:spacing w:val="-6"/>
          <w:sz w:val="24"/>
        </w:rPr>
        <w:t> </w:t>
      </w:r>
      <w:r>
        <w:rPr>
          <w:b/>
          <w:sz w:val="24"/>
        </w:rPr>
        <w:t>клетки</w:t>
      </w:r>
      <w:r>
        <w:rPr>
          <w:b/>
          <w:spacing w:val="-8"/>
          <w:sz w:val="24"/>
        </w:rPr>
        <w:t> </w:t>
      </w:r>
      <w:r>
        <w:rPr>
          <w:b/>
          <w:sz w:val="24"/>
        </w:rPr>
        <w:t>пациента</w:t>
      </w:r>
      <w:r>
        <w:rPr>
          <w:b/>
          <w:spacing w:val="-7"/>
          <w:sz w:val="24"/>
        </w:rPr>
        <w:t> </w:t>
      </w:r>
      <w:r>
        <w:rPr>
          <w:b/>
          <w:sz w:val="24"/>
        </w:rPr>
        <w:t>с</w:t>
      </w:r>
      <w:r>
        <w:rPr>
          <w:b/>
          <w:spacing w:val="-8"/>
          <w:sz w:val="24"/>
        </w:rPr>
        <w:t> </w:t>
      </w:r>
      <w:r>
        <w:rPr>
          <w:b/>
          <w:sz w:val="24"/>
        </w:rPr>
        <w:t>подозрением на COVID-пневмонию</w:t>
      </w:r>
    </w:p>
    <w:p>
      <w:pPr>
        <w:pStyle w:val="BodyText"/>
        <w:spacing w:before="31"/>
        <w:ind w:left="0"/>
        <w:jc w:val="left"/>
        <w:rPr>
          <w:b/>
          <w:sz w:val="20"/>
        </w:rPr>
      </w:pPr>
    </w:p>
    <w:tbl>
      <w:tblPr>
        <w:tblW w:w="0" w:type="auto"/>
        <w:jc w:val="left"/>
        <w:tblInd w:w="15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830"/>
        <w:gridCol w:w="4537"/>
        <w:gridCol w:w="1990"/>
      </w:tblGrid>
      <w:tr>
        <w:trPr>
          <w:trHeight w:val="408" w:hRule="atLeast"/>
        </w:trPr>
        <w:tc>
          <w:tcPr>
            <w:tcW w:w="2830" w:type="dxa"/>
            <w:tcBorders>
              <w:bottom w:val="single" w:sz="6" w:space="0" w:color="000000"/>
            </w:tcBorders>
          </w:tcPr>
          <w:p>
            <w:pPr>
              <w:pStyle w:val="TableParagraph"/>
              <w:spacing w:before="91"/>
              <w:ind w:left="77"/>
              <w:rPr>
                <w:sz w:val="22"/>
              </w:rPr>
            </w:pPr>
            <w:r>
              <w:rPr>
                <w:sz w:val="22"/>
              </w:rPr>
              <w:t>Дата</w:t>
            </w:r>
            <w:r>
              <w:rPr>
                <w:spacing w:val="-1"/>
                <w:sz w:val="22"/>
              </w:rPr>
              <w:t> </w:t>
            </w:r>
            <w:r>
              <w:rPr>
                <w:sz w:val="22"/>
              </w:rPr>
              <w:t>и</w:t>
            </w:r>
            <w:r>
              <w:rPr>
                <w:spacing w:val="-2"/>
                <w:sz w:val="22"/>
              </w:rPr>
              <w:t> </w:t>
            </w:r>
            <w:r>
              <w:rPr>
                <w:sz w:val="22"/>
              </w:rPr>
              <w:t>время</w:t>
            </w:r>
            <w:r>
              <w:rPr>
                <w:spacing w:val="-1"/>
                <w:sz w:val="22"/>
              </w:rPr>
              <w:t> </w:t>
            </w:r>
            <w:r>
              <w:rPr>
                <w:spacing w:val="-2"/>
                <w:sz w:val="22"/>
              </w:rPr>
              <w:t>исследования</w:t>
            </w:r>
          </w:p>
        </w:tc>
        <w:tc>
          <w:tcPr>
            <w:tcW w:w="6527" w:type="dxa"/>
            <w:gridSpan w:val="2"/>
            <w:tcBorders>
              <w:bottom w:val="single" w:sz="6" w:space="0" w:color="000000"/>
            </w:tcBorders>
          </w:tcPr>
          <w:p>
            <w:pPr>
              <w:pStyle w:val="TableParagraph"/>
              <w:rPr>
                <w:sz w:val="20"/>
              </w:rPr>
            </w:pPr>
          </w:p>
        </w:tc>
      </w:tr>
      <w:tr>
        <w:trPr>
          <w:trHeight w:val="407" w:hRule="atLeast"/>
        </w:trPr>
        <w:tc>
          <w:tcPr>
            <w:tcW w:w="2830" w:type="dxa"/>
            <w:tcBorders>
              <w:top w:val="single" w:sz="6" w:space="0" w:color="000000"/>
              <w:bottom w:val="single" w:sz="6" w:space="0" w:color="000000"/>
            </w:tcBorders>
          </w:tcPr>
          <w:p>
            <w:pPr>
              <w:pStyle w:val="TableParagraph"/>
              <w:spacing w:before="91"/>
              <w:ind w:left="77"/>
              <w:rPr>
                <w:sz w:val="22"/>
              </w:rPr>
            </w:pPr>
            <w:r>
              <w:rPr>
                <w:sz w:val="22"/>
              </w:rPr>
              <w:t>Паспортные</w:t>
            </w:r>
            <w:r>
              <w:rPr>
                <w:spacing w:val="-8"/>
                <w:sz w:val="22"/>
              </w:rPr>
              <w:t> </w:t>
            </w:r>
            <w:r>
              <w:rPr>
                <w:spacing w:val="-2"/>
                <w:sz w:val="22"/>
              </w:rPr>
              <w:t>данные</w:t>
            </w:r>
          </w:p>
        </w:tc>
        <w:tc>
          <w:tcPr>
            <w:tcW w:w="6527" w:type="dxa"/>
            <w:gridSpan w:val="2"/>
            <w:tcBorders>
              <w:top w:val="single" w:sz="6" w:space="0" w:color="000000"/>
              <w:bottom w:val="single" w:sz="6" w:space="0" w:color="000000"/>
            </w:tcBorders>
          </w:tcPr>
          <w:p>
            <w:pPr>
              <w:pStyle w:val="TableParagraph"/>
              <w:rPr>
                <w:sz w:val="20"/>
              </w:rPr>
            </w:pPr>
          </w:p>
        </w:tc>
      </w:tr>
      <w:tr>
        <w:trPr>
          <w:trHeight w:val="409" w:hRule="atLeast"/>
        </w:trPr>
        <w:tc>
          <w:tcPr>
            <w:tcW w:w="2830" w:type="dxa"/>
            <w:tcBorders>
              <w:top w:val="single" w:sz="6" w:space="0" w:color="000000"/>
              <w:bottom w:val="single" w:sz="6" w:space="0" w:color="000000"/>
            </w:tcBorders>
          </w:tcPr>
          <w:p>
            <w:pPr>
              <w:pStyle w:val="TableParagraph"/>
              <w:spacing w:before="91"/>
              <w:ind w:left="77"/>
              <w:rPr>
                <w:sz w:val="22"/>
              </w:rPr>
            </w:pPr>
            <w:r>
              <w:rPr>
                <w:sz w:val="22"/>
              </w:rPr>
              <w:t>Регистрационные</w:t>
            </w:r>
            <w:r>
              <w:rPr>
                <w:spacing w:val="-13"/>
                <w:sz w:val="22"/>
              </w:rPr>
              <w:t> </w:t>
            </w:r>
            <w:r>
              <w:rPr>
                <w:spacing w:val="-2"/>
                <w:sz w:val="22"/>
              </w:rPr>
              <w:t>данные</w:t>
            </w:r>
          </w:p>
        </w:tc>
        <w:tc>
          <w:tcPr>
            <w:tcW w:w="6527" w:type="dxa"/>
            <w:gridSpan w:val="2"/>
            <w:tcBorders>
              <w:top w:val="single" w:sz="6" w:space="0" w:color="000000"/>
              <w:bottom w:val="single" w:sz="6" w:space="0" w:color="000000"/>
            </w:tcBorders>
          </w:tcPr>
          <w:p>
            <w:pPr>
              <w:pStyle w:val="TableParagraph"/>
              <w:rPr>
                <w:sz w:val="20"/>
              </w:rPr>
            </w:pPr>
          </w:p>
        </w:tc>
      </w:tr>
      <w:tr>
        <w:trPr>
          <w:trHeight w:val="407" w:hRule="atLeast"/>
        </w:trPr>
        <w:tc>
          <w:tcPr>
            <w:tcW w:w="2830" w:type="dxa"/>
            <w:tcBorders>
              <w:top w:val="single" w:sz="6" w:space="0" w:color="000000"/>
              <w:bottom w:val="single" w:sz="6" w:space="0" w:color="000000"/>
            </w:tcBorders>
          </w:tcPr>
          <w:p>
            <w:pPr>
              <w:pStyle w:val="TableParagraph"/>
              <w:spacing w:before="88"/>
              <w:ind w:left="77"/>
              <w:rPr>
                <w:sz w:val="22"/>
              </w:rPr>
            </w:pPr>
            <w:r>
              <w:rPr>
                <w:sz w:val="22"/>
              </w:rPr>
              <w:t>Вид</w:t>
            </w:r>
            <w:r>
              <w:rPr>
                <w:spacing w:val="-2"/>
                <w:sz w:val="22"/>
              </w:rPr>
              <w:t> исследования</w:t>
            </w:r>
          </w:p>
        </w:tc>
        <w:tc>
          <w:tcPr>
            <w:tcW w:w="6527" w:type="dxa"/>
            <w:gridSpan w:val="2"/>
            <w:tcBorders>
              <w:top w:val="single" w:sz="6" w:space="0" w:color="000000"/>
              <w:bottom w:val="single" w:sz="6" w:space="0" w:color="000000"/>
            </w:tcBorders>
          </w:tcPr>
          <w:p>
            <w:pPr>
              <w:pStyle w:val="TableParagraph"/>
              <w:spacing w:before="88"/>
              <w:ind w:left="74"/>
              <w:rPr>
                <w:sz w:val="22"/>
              </w:rPr>
            </w:pPr>
            <w:r>
              <w:rPr>
                <w:sz w:val="22"/>
              </w:rPr>
              <w:t>КТ</w:t>
            </w:r>
            <w:r>
              <w:rPr>
                <w:spacing w:val="-6"/>
                <w:sz w:val="22"/>
              </w:rPr>
              <w:t> </w:t>
            </w:r>
            <w:r>
              <w:rPr>
                <w:sz w:val="22"/>
              </w:rPr>
              <w:t>грудной</w:t>
            </w:r>
            <w:r>
              <w:rPr>
                <w:spacing w:val="-8"/>
                <w:sz w:val="22"/>
              </w:rPr>
              <w:t> </w:t>
            </w:r>
            <w:r>
              <w:rPr>
                <w:sz w:val="22"/>
              </w:rPr>
              <w:t>клетки</w:t>
            </w:r>
            <w:r>
              <w:rPr>
                <w:spacing w:val="-5"/>
                <w:sz w:val="22"/>
              </w:rPr>
              <w:t> </w:t>
            </w:r>
            <w:r>
              <w:rPr>
                <w:sz w:val="22"/>
              </w:rPr>
              <w:t>без</w:t>
            </w:r>
            <w:r>
              <w:rPr>
                <w:spacing w:val="-6"/>
                <w:sz w:val="22"/>
              </w:rPr>
              <w:t> </w:t>
            </w:r>
            <w:r>
              <w:rPr>
                <w:sz w:val="22"/>
              </w:rPr>
              <w:t>внутривенного</w:t>
            </w:r>
            <w:r>
              <w:rPr>
                <w:spacing w:val="-4"/>
                <w:sz w:val="22"/>
              </w:rPr>
              <w:t> </w:t>
            </w:r>
            <w:r>
              <w:rPr>
                <w:spacing w:val="-2"/>
                <w:sz w:val="22"/>
              </w:rPr>
              <w:t>контрастирования</w:t>
            </w:r>
          </w:p>
        </w:tc>
      </w:tr>
      <w:tr>
        <w:trPr>
          <w:trHeight w:val="407" w:hRule="atLeast"/>
        </w:trPr>
        <w:tc>
          <w:tcPr>
            <w:tcW w:w="2830" w:type="dxa"/>
            <w:tcBorders>
              <w:top w:val="single" w:sz="6" w:space="0" w:color="000000"/>
              <w:bottom w:val="single" w:sz="6" w:space="0" w:color="000000"/>
            </w:tcBorders>
          </w:tcPr>
          <w:p>
            <w:pPr>
              <w:pStyle w:val="TableParagraph"/>
              <w:spacing w:before="88"/>
              <w:ind w:left="77"/>
              <w:rPr>
                <w:sz w:val="22"/>
              </w:rPr>
            </w:pPr>
            <w:r>
              <w:rPr>
                <w:sz w:val="22"/>
              </w:rPr>
              <w:t>Другое</w:t>
            </w:r>
            <w:r>
              <w:rPr>
                <w:spacing w:val="-5"/>
                <w:sz w:val="22"/>
              </w:rPr>
              <w:t> </w:t>
            </w:r>
            <w:r>
              <w:rPr>
                <w:spacing w:val="-2"/>
                <w:sz w:val="22"/>
              </w:rPr>
              <w:t>исследование</w:t>
            </w:r>
          </w:p>
        </w:tc>
        <w:tc>
          <w:tcPr>
            <w:tcW w:w="6527" w:type="dxa"/>
            <w:gridSpan w:val="2"/>
            <w:tcBorders>
              <w:top w:val="single" w:sz="6" w:space="0" w:color="000000"/>
              <w:bottom w:val="single" w:sz="6" w:space="0" w:color="000000"/>
            </w:tcBorders>
          </w:tcPr>
          <w:p>
            <w:pPr>
              <w:pStyle w:val="TableParagraph"/>
              <w:rPr>
                <w:sz w:val="20"/>
              </w:rPr>
            </w:pPr>
          </w:p>
        </w:tc>
      </w:tr>
      <w:tr>
        <w:trPr>
          <w:trHeight w:val="407" w:hRule="atLeast"/>
        </w:trPr>
        <w:tc>
          <w:tcPr>
            <w:tcW w:w="9357" w:type="dxa"/>
            <w:gridSpan w:val="3"/>
            <w:tcBorders>
              <w:top w:val="single" w:sz="6" w:space="0" w:color="000000"/>
              <w:bottom w:val="single" w:sz="6" w:space="0" w:color="000000"/>
            </w:tcBorders>
            <w:shd w:val="clear" w:color="auto" w:fill="D9D9D9"/>
          </w:tcPr>
          <w:p>
            <w:pPr>
              <w:pStyle w:val="TableParagraph"/>
              <w:spacing w:before="90"/>
              <w:ind w:left="1" w:right="3"/>
              <w:jc w:val="center"/>
              <w:rPr>
                <w:b/>
                <w:sz w:val="22"/>
              </w:rPr>
            </w:pPr>
            <w:r>
              <w:rPr>
                <w:b/>
                <w:sz w:val="22"/>
              </w:rPr>
              <w:t>Изменения</w:t>
            </w:r>
            <w:r>
              <w:rPr>
                <w:b/>
                <w:spacing w:val="-8"/>
                <w:sz w:val="22"/>
              </w:rPr>
              <w:t> </w:t>
            </w:r>
            <w:r>
              <w:rPr>
                <w:b/>
                <w:sz w:val="22"/>
              </w:rPr>
              <w:t>легочной</w:t>
            </w:r>
            <w:r>
              <w:rPr>
                <w:b/>
                <w:spacing w:val="-4"/>
                <w:sz w:val="22"/>
              </w:rPr>
              <w:t> </w:t>
            </w:r>
            <w:r>
              <w:rPr>
                <w:b/>
                <w:sz w:val="22"/>
              </w:rPr>
              <w:t>ткани</w:t>
            </w:r>
            <w:r>
              <w:rPr>
                <w:b/>
                <w:spacing w:val="-5"/>
                <w:sz w:val="22"/>
              </w:rPr>
              <w:t> </w:t>
            </w:r>
            <w:r>
              <w:rPr>
                <w:b/>
                <w:sz w:val="22"/>
              </w:rPr>
              <w:t>(матовое</w:t>
            </w:r>
            <w:r>
              <w:rPr>
                <w:b/>
                <w:spacing w:val="-4"/>
                <w:sz w:val="22"/>
              </w:rPr>
              <w:t> </w:t>
            </w:r>
            <w:r>
              <w:rPr>
                <w:b/>
                <w:sz w:val="22"/>
              </w:rPr>
              <w:t>стекло</w:t>
            </w:r>
            <w:r>
              <w:rPr>
                <w:b/>
                <w:spacing w:val="-7"/>
                <w:sz w:val="22"/>
              </w:rPr>
              <w:t> </w:t>
            </w:r>
            <w:r>
              <w:rPr>
                <w:sz w:val="22"/>
              </w:rPr>
              <w:t>±</w:t>
            </w:r>
            <w:r>
              <w:rPr>
                <w:spacing w:val="-6"/>
                <w:sz w:val="22"/>
              </w:rPr>
              <w:t> </w:t>
            </w:r>
            <w:r>
              <w:rPr>
                <w:b/>
                <w:spacing w:val="-2"/>
                <w:sz w:val="22"/>
              </w:rPr>
              <w:t>консолидация)</w:t>
            </w:r>
          </w:p>
        </w:tc>
      </w:tr>
      <w:tr>
        <w:trPr>
          <w:trHeight w:val="410" w:hRule="atLeast"/>
        </w:trPr>
        <w:tc>
          <w:tcPr>
            <w:tcW w:w="7367" w:type="dxa"/>
            <w:gridSpan w:val="2"/>
            <w:tcBorders>
              <w:top w:val="single" w:sz="6" w:space="0" w:color="000000"/>
              <w:bottom w:val="single" w:sz="6" w:space="0" w:color="000000"/>
            </w:tcBorders>
          </w:tcPr>
          <w:p>
            <w:pPr>
              <w:pStyle w:val="TableParagraph"/>
              <w:spacing w:before="90"/>
              <w:ind w:left="77"/>
              <w:rPr>
                <w:sz w:val="22"/>
              </w:rPr>
            </w:pPr>
            <w:r>
              <w:rPr>
                <w:sz w:val="22"/>
              </w:rPr>
              <w:t>Левое</w:t>
            </w:r>
            <w:r>
              <w:rPr>
                <w:spacing w:val="-2"/>
                <w:sz w:val="22"/>
              </w:rPr>
              <w:t> легкое</w:t>
            </w:r>
          </w:p>
        </w:tc>
        <w:tc>
          <w:tcPr>
            <w:tcW w:w="1990" w:type="dxa"/>
            <w:tcBorders>
              <w:top w:val="single" w:sz="6" w:space="0" w:color="000000"/>
              <w:bottom w:val="single" w:sz="6" w:space="0" w:color="000000"/>
            </w:tcBorders>
          </w:tcPr>
          <w:p>
            <w:pPr>
              <w:pStyle w:val="TableParagraph"/>
              <w:spacing w:before="90"/>
              <w:ind w:left="70"/>
              <w:rPr>
                <w:sz w:val="22"/>
              </w:rPr>
            </w:pPr>
            <w:r>
              <w:rPr>
                <w:spacing w:val="-2"/>
                <w:sz w:val="22"/>
              </w:rPr>
              <w:t>Есть/нет</w:t>
            </w:r>
          </w:p>
        </w:tc>
      </w:tr>
      <w:tr>
        <w:trPr>
          <w:trHeight w:val="407" w:hRule="atLeast"/>
        </w:trPr>
        <w:tc>
          <w:tcPr>
            <w:tcW w:w="7367" w:type="dxa"/>
            <w:gridSpan w:val="2"/>
            <w:tcBorders>
              <w:top w:val="single" w:sz="6" w:space="0" w:color="000000"/>
              <w:bottom w:val="single" w:sz="6" w:space="0" w:color="000000"/>
            </w:tcBorders>
          </w:tcPr>
          <w:p>
            <w:pPr>
              <w:pStyle w:val="TableParagraph"/>
              <w:spacing w:before="87"/>
              <w:ind w:left="77"/>
              <w:rPr>
                <w:sz w:val="22"/>
              </w:rPr>
            </w:pPr>
            <w:r>
              <w:rPr>
                <w:sz w:val="22"/>
              </w:rPr>
              <w:t>Правое</w:t>
            </w:r>
            <w:r>
              <w:rPr>
                <w:spacing w:val="-3"/>
                <w:sz w:val="22"/>
              </w:rPr>
              <w:t> </w:t>
            </w:r>
            <w:r>
              <w:rPr>
                <w:spacing w:val="-2"/>
                <w:sz w:val="22"/>
              </w:rPr>
              <w:t>легкое</w:t>
            </w:r>
          </w:p>
        </w:tc>
        <w:tc>
          <w:tcPr>
            <w:tcW w:w="1990" w:type="dxa"/>
            <w:tcBorders>
              <w:top w:val="single" w:sz="6" w:space="0" w:color="000000"/>
              <w:bottom w:val="single" w:sz="6" w:space="0" w:color="000000"/>
            </w:tcBorders>
          </w:tcPr>
          <w:p>
            <w:pPr>
              <w:pStyle w:val="TableParagraph"/>
              <w:spacing w:before="87"/>
              <w:ind w:left="70"/>
              <w:rPr>
                <w:sz w:val="22"/>
              </w:rPr>
            </w:pPr>
            <w:r>
              <w:rPr>
                <w:spacing w:val="-2"/>
                <w:sz w:val="22"/>
              </w:rPr>
              <w:t>Есть/нет</w:t>
            </w:r>
          </w:p>
        </w:tc>
      </w:tr>
      <w:tr>
        <w:trPr>
          <w:trHeight w:val="407" w:hRule="atLeast"/>
        </w:trPr>
        <w:tc>
          <w:tcPr>
            <w:tcW w:w="2830" w:type="dxa"/>
            <w:vMerge w:val="restart"/>
            <w:tcBorders>
              <w:top w:val="single" w:sz="6" w:space="0" w:color="000000"/>
              <w:bottom w:val="single" w:sz="6" w:space="0" w:color="000000"/>
            </w:tcBorders>
          </w:tcPr>
          <w:p>
            <w:pPr>
              <w:pStyle w:val="TableParagraph"/>
              <w:spacing w:before="86"/>
              <w:ind w:left="77" w:right="514"/>
              <w:rPr>
                <w:sz w:val="22"/>
              </w:rPr>
            </w:pPr>
            <w:r>
              <w:rPr>
                <w:sz w:val="22"/>
              </w:rPr>
              <w:t>Примерный объем выявленных</w:t>
            </w:r>
            <w:r>
              <w:rPr>
                <w:spacing w:val="-14"/>
                <w:sz w:val="22"/>
              </w:rPr>
              <w:t> </w:t>
            </w:r>
            <w:r>
              <w:rPr>
                <w:sz w:val="22"/>
              </w:rPr>
              <w:t>изменений легких (визуально)</w:t>
            </w:r>
          </w:p>
        </w:tc>
        <w:tc>
          <w:tcPr>
            <w:tcW w:w="4537" w:type="dxa"/>
            <w:tcBorders>
              <w:top w:val="single" w:sz="6" w:space="0" w:color="000000"/>
              <w:bottom w:val="single" w:sz="6" w:space="0" w:color="000000"/>
            </w:tcBorders>
          </w:tcPr>
          <w:p>
            <w:pPr>
              <w:pStyle w:val="TableParagraph"/>
              <w:spacing w:before="86"/>
              <w:ind w:left="74"/>
              <w:rPr>
                <w:sz w:val="22"/>
              </w:rPr>
            </w:pPr>
            <w:r>
              <w:rPr>
                <w:color w:val="000000"/>
                <w:sz w:val="22"/>
                <w:shd w:fill="C0C0C0" w:color="auto" w:val="clear"/>
              </w:rPr>
              <w:t>КТ-1</w:t>
            </w:r>
            <w:r>
              <w:rPr>
                <w:color w:val="000000"/>
                <w:spacing w:val="-4"/>
                <w:sz w:val="22"/>
              </w:rPr>
              <w:t> </w:t>
            </w:r>
            <w:r>
              <w:rPr>
                <w:color w:val="000000"/>
                <w:spacing w:val="-2"/>
                <w:sz w:val="22"/>
              </w:rPr>
              <w:t>Минимальный</w:t>
            </w:r>
          </w:p>
        </w:tc>
        <w:tc>
          <w:tcPr>
            <w:tcW w:w="1990" w:type="dxa"/>
            <w:tcBorders>
              <w:top w:val="single" w:sz="6" w:space="0" w:color="000000"/>
              <w:bottom w:val="single" w:sz="6" w:space="0" w:color="000000"/>
            </w:tcBorders>
          </w:tcPr>
          <w:p>
            <w:pPr>
              <w:pStyle w:val="TableParagraph"/>
              <w:spacing w:before="86"/>
              <w:ind w:left="70"/>
              <w:rPr>
                <w:sz w:val="22"/>
              </w:rPr>
            </w:pPr>
            <w:r>
              <w:rPr>
                <w:sz w:val="22"/>
              </w:rPr>
              <w:t>&lt;</w:t>
            </w:r>
            <w:r>
              <w:rPr>
                <w:spacing w:val="-2"/>
                <w:sz w:val="22"/>
              </w:rPr>
              <w:t> </w:t>
            </w:r>
            <w:r>
              <w:rPr>
                <w:sz w:val="22"/>
              </w:rPr>
              <w:t>25%</w:t>
            </w:r>
            <w:r>
              <w:rPr>
                <w:spacing w:val="-2"/>
                <w:sz w:val="22"/>
              </w:rPr>
              <w:t> объема</w:t>
            </w:r>
          </w:p>
        </w:tc>
      </w:tr>
      <w:tr>
        <w:trPr>
          <w:trHeight w:val="407" w:hRule="atLeast"/>
        </w:trPr>
        <w:tc>
          <w:tcPr>
            <w:tcW w:w="2830" w:type="dxa"/>
            <w:vMerge/>
            <w:tcBorders>
              <w:top w:val="nil"/>
              <w:bottom w:val="single" w:sz="6" w:space="0" w:color="000000"/>
            </w:tcBorders>
          </w:tcPr>
          <w:p>
            <w:pPr>
              <w:rPr>
                <w:sz w:val="2"/>
                <w:szCs w:val="2"/>
              </w:rPr>
            </w:pPr>
          </w:p>
        </w:tc>
        <w:tc>
          <w:tcPr>
            <w:tcW w:w="4537" w:type="dxa"/>
            <w:tcBorders>
              <w:top w:val="single" w:sz="6" w:space="0" w:color="000000"/>
              <w:bottom w:val="single" w:sz="6" w:space="0" w:color="000000"/>
            </w:tcBorders>
          </w:tcPr>
          <w:p>
            <w:pPr>
              <w:pStyle w:val="TableParagraph"/>
              <w:spacing w:before="88"/>
              <w:ind w:left="74"/>
              <w:rPr>
                <w:sz w:val="22"/>
              </w:rPr>
            </w:pPr>
            <w:r>
              <w:rPr>
                <w:color w:val="000000"/>
                <w:sz w:val="22"/>
                <w:shd w:fill="C0C0C0" w:color="auto" w:val="clear"/>
              </w:rPr>
              <w:t>КТ-2</w:t>
            </w:r>
            <w:r>
              <w:rPr>
                <w:color w:val="000000"/>
                <w:spacing w:val="-4"/>
                <w:sz w:val="22"/>
              </w:rPr>
              <w:t> </w:t>
            </w:r>
            <w:r>
              <w:rPr>
                <w:color w:val="000000"/>
                <w:spacing w:val="-2"/>
                <w:sz w:val="22"/>
              </w:rPr>
              <w:t>Средний</w:t>
            </w:r>
          </w:p>
        </w:tc>
        <w:tc>
          <w:tcPr>
            <w:tcW w:w="1990" w:type="dxa"/>
            <w:tcBorders>
              <w:top w:val="single" w:sz="6" w:space="0" w:color="000000"/>
              <w:bottom w:val="single" w:sz="6" w:space="0" w:color="000000"/>
            </w:tcBorders>
          </w:tcPr>
          <w:p>
            <w:pPr>
              <w:pStyle w:val="TableParagraph"/>
              <w:spacing w:before="88"/>
              <w:ind w:left="70"/>
              <w:rPr>
                <w:sz w:val="22"/>
              </w:rPr>
            </w:pPr>
            <w:r>
              <w:rPr>
                <w:sz w:val="22"/>
              </w:rPr>
              <w:t>25</w:t>
            </w:r>
            <w:r>
              <w:rPr>
                <w:spacing w:val="-1"/>
                <w:sz w:val="22"/>
              </w:rPr>
              <w:t> </w:t>
            </w:r>
            <w:r>
              <w:rPr>
                <w:sz w:val="22"/>
              </w:rPr>
              <w:t>–</w:t>
            </w:r>
            <w:r>
              <w:rPr>
                <w:spacing w:val="-1"/>
                <w:sz w:val="22"/>
              </w:rPr>
              <w:t> </w:t>
            </w:r>
            <w:r>
              <w:rPr>
                <w:sz w:val="22"/>
              </w:rPr>
              <w:t>50% </w:t>
            </w:r>
            <w:r>
              <w:rPr>
                <w:spacing w:val="-2"/>
                <w:sz w:val="22"/>
              </w:rPr>
              <w:t>объема</w:t>
            </w:r>
          </w:p>
        </w:tc>
      </w:tr>
      <w:tr>
        <w:trPr>
          <w:trHeight w:val="409" w:hRule="atLeast"/>
        </w:trPr>
        <w:tc>
          <w:tcPr>
            <w:tcW w:w="2830" w:type="dxa"/>
            <w:vMerge/>
            <w:tcBorders>
              <w:top w:val="nil"/>
              <w:bottom w:val="single" w:sz="6" w:space="0" w:color="000000"/>
            </w:tcBorders>
          </w:tcPr>
          <w:p>
            <w:pPr>
              <w:rPr>
                <w:sz w:val="2"/>
                <w:szCs w:val="2"/>
              </w:rPr>
            </w:pPr>
          </w:p>
        </w:tc>
        <w:tc>
          <w:tcPr>
            <w:tcW w:w="4537" w:type="dxa"/>
            <w:tcBorders>
              <w:top w:val="single" w:sz="6" w:space="0" w:color="000000"/>
              <w:bottom w:val="single" w:sz="6" w:space="0" w:color="000000"/>
            </w:tcBorders>
          </w:tcPr>
          <w:p>
            <w:pPr>
              <w:pStyle w:val="TableParagraph"/>
              <w:spacing w:before="88"/>
              <w:ind w:left="74"/>
              <w:rPr>
                <w:sz w:val="22"/>
              </w:rPr>
            </w:pPr>
            <w:r>
              <w:rPr>
                <w:color w:val="000000"/>
                <w:sz w:val="22"/>
                <w:shd w:fill="C0C0C0" w:color="auto" w:val="clear"/>
              </w:rPr>
              <w:t>КТ-3</w:t>
            </w:r>
            <w:r>
              <w:rPr>
                <w:color w:val="000000"/>
                <w:spacing w:val="-4"/>
                <w:sz w:val="22"/>
              </w:rPr>
              <w:t> </w:t>
            </w:r>
            <w:r>
              <w:rPr>
                <w:color w:val="000000"/>
                <w:spacing w:val="-2"/>
                <w:sz w:val="22"/>
              </w:rPr>
              <w:t>Значительный</w:t>
            </w:r>
          </w:p>
        </w:tc>
        <w:tc>
          <w:tcPr>
            <w:tcW w:w="1990" w:type="dxa"/>
            <w:tcBorders>
              <w:top w:val="single" w:sz="6" w:space="0" w:color="000000"/>
              <w:bottom w:val="single" w:sz="6" w:space="0" w:color="000000"/>
            </w:tcBorders>
          </w:tcPr>
          <w:p>
            <w:pPr>
              <w:pStyle w:val="TableParagraph"/>
              <w:spacing w:before="88"/>
              <w:ind w:left="70"/>
              <w:rPr>
                <w:sz w:val="22"/>
              </w:rPr>
            </w:pPr>
            <w:r>
              <w:rPr>
                <w:sz w:val="22"/>
              </w:rPr>
              <w:t>50</w:t>
            </w:r>
            <w:r>
              <w:rPr>
                <w:spacing w:val="-1"/>
                <w:sz w:val="22"/>
              </w:rPr>
              <w:t> </w:t>
            </w:r>
            <w:r>
              <w:rPr>
                <w:sz w:val="22"/>
              </w:rPr>
              <w:t>–</w:t>
            </w:r>
            <w:r>
              <w:rPr>
                <w:spacing w:val="-1"/>
                <w:sz w:val="22"/>
              </w:rPr>
              <w:t> </w:t>
            </w:r>
            <w:r>
              <w:rPr>
                <w:sz w:val="22"/>
              </w:rPr>
              <w:t>75% </w:t>
            </w:r>
            <w:r>
              <w:rPr>
                <w:spacing w:val="-2"/>
                <w:sz w:val="22"/>
              </w:rPr>
              <w:t>объема</w:t>
            </w:r>
          </w:p>
        </w:tc>
      </w:tr>
      <w:tr>
        <w:trPr>
          <w:trHeight w:val="2431" w:hRule="atLeast"/>
        </w:trPr>
        <w:tc>
          <w:tcPr>
            <w:tcW w:w="2830" w:type="dxa"/>
            <w:vMerge/>
            <w:tcBorders>
              <w:top w:val="nil"/>
              <w:bottom w:val="single" w:sz="6" w:space="0" w:color="000000"/>
            </w:tcBorders>
          </w:tcPr>
          <w:p>
            <w:pPr>
              <w:rPr>
                <w:sz w:val="2"/>
                <w:szCs w:val="2"/>
              </w:rPr>
            </w:pPr>
          </w:p>
        </w:tc>
        <w:tc>
          <w:tcPr>
            <w:tcW w:w="4537" w:type="dxa"/>
            <w:tcBorders>
              <w:top w:val="single" w:sz="6" w:space="0" w:color="000000"/>
              <w:bottom w:val="single" w:sz="6" w:space="0" w:color="000000"/>
            </w:tcBorders>
          </w:tcPr>
          <w:p>
            <w:pPr>
              <w:pStyle w:val="TableParagraph"/>
              <w:spacing w:before="85"/>
              <w:ind w:left="74"/>
              <w:rPr>
                <w:sz w:val="22"/>
              </w:rPr>
            </w:pPr>
            <w:r>
              <w:rPr>
                <w:color w:val="000000"/>
                <w:sz w:val="22"/>
                <w:shd w:fill="C0C0C0" w:color="auto" w:val="clear"/>
              </w:rPr>
              <w:t>КТ-4</w:t>
            </w:r>
            <w:r>
              <w:rPr>
                <w:color w:val="000000"/>
                <w:spacing w:val="-4"/>
                <w:sz w:val="22"/>
              </w:rPr>
              <w:t> </w:t>
            </w:r>
            <w:r>
              <w:rPr>
                <w:color w:val="000000"/>
                <w:spacing w:val="-2"/>
                <w:sz w:val="22"/>
              </w:rPr>
              <w:t>Субтотальный</w:t>
            </w:r>
          </w:p>
        </w:tc>
        <w:tc>
          <w:tcPr>
            <w:tcW w:w="1990" w:type="dxa"/>
            <w:tcBorders>
              <w:top w:val="single" w:sz="6" w:space="0" w:color="000000"/>
              <w:bottom w:val="single" w:sz="6" w:space="0" w:color="000000"/>
            </w:tcBorders>
          </w:tcPr>
          <w:p>
            <w:pPr>
              <w:pStyle w:val="TableParagraph"/>
              <w:rPr>
                <w:sz w:val="20"/>
              </w:rPr>
            </w:pPr>
          </w:p>
        </w:tc>
      </w:tr>
      <w:tr>
        <w:trPr>
          <w:trHeight w:val="661" w:hRule="atLeast"/>
        </w:trPr>
        <w:tc>
          <w:tcPr>
            <w:tcW w:w="2830" w:type="dxa"/>
            <w:tcBorders>
              <w:top w:val="single" w:sz="6" w:space="0" w:color="000000"/>
              <w:bottom w:val="single" w:sz="6" w:space="0" w:color="000000"/>
            </w:tcBorders>
          </w:tcPr>
          <w:p>
            <w:pPr>
              <w:pStyle w:val="TableParagraph"/>
              <w:spacing w:before="85"/>
              <w:ind w:left="77" w:right="395"/>
              <w:rPr>
                <w:sz w:val="22"/>
              </w:rPr>
            </w:pPr>
            <w:r>
              <w:rPr>
                <w:sz w:val="22"/>
              </w:rPr>
              <w:t>Другие</w:t>
            </w:r>
            <w:r>
              <w:rPr>
                <w:spacing w:val="-14"/>
                <w:sz w:val="22"/>
              </w:rPr>
              <w:t> </w:t>
            </w:r>
            <w:r>
              <w:rPr>
                <w:sz w:val="22"/>
              </w:rPr>
              <w:t>важные</w:t>
            </w:r>
            <w:r>
              <w:rPr>
                <w:spacing w:val="-14"/>
                <w:sz w:val="22"/>
              </w:rPr>
              <w:t> </w:t>
            </w:r>
            <w:r>
              <w:rPr>
                <w:sz w:val="22"/>
              </w:rPr>
              <w:t>находки (если есть)</w:t>
            </w:r>
          </w:p>
        </w:tc>
        <w:tc>
          <w:tcPr>
            <w:tcW w:w="6527" w:type="dxa"/>
            <w:gridSpan w:val="2"/>
            <w:tcBorders>
              <w:top w:val="single" w:sz="6" w:space="0" w:color="000000"/>
              <w:bottom w:val="single" w:sz="6" w:space="0" w:color="000000"/>
            </w:tcBorders>
          </w:tcPr>
          <w:p>
            <w:pPr>
              <w:pStyle w:val="TableParagraph"/>
              <w:rPr>
                <w:sz w:val="20"/>
              </w:rPr>
            </w:pPr>
          </w:p>
        </w:tc>
      </w:tr>
      <w:tr>
        <w:trPr>
          <w:trHeight w:val="407" w:hRule="atLeast"/>
        </w:trPr>
        <w:tc>
          <w:tcPr>
            <w:tcW w:w="9357" w:type="dxa"/>
            <w:gridSpan w:val="3"/>
            <w:tcBorders>
              <w:top w:val="single" w:sz="6" w:space="0" w:color="000000"/>
              <w:bottom w:val="single" w:sz="6" w:space="0" w:color="000000"/>
            </w:tcBorders>
            <w:shd w:val="clear" w:color="auto" w:fill="D9D9D9"/>
          </w:tcPr>
          <w:p>
            <w:pPr>
              <w:pStyle w:val="TableParagraph"/>
              <w:spacing w:before="82"/>
              <w:ind w:right="3"/>
              <w:jc w:val="center"/>
              <w:rPr>
                <w:b/>
                <w:sz w:val="22"/>
              </w:rPr>
            </w:pPr>
            <w:r>
              <w:rPr>
                <w:b/>
                <w:sz w:val="22"/>
              </w:rPr>
              <w:t>Жидкость</w:t>
            </w:r>
            <w:r>
              <w:rPr>
                <w:b/>
                <w:spacing w:val="-6"/>
                <w:sz w:val="22"/>
              </w:rPr>
              <w:t> </w:t>
            </w:r>
            <w:r>
              <w:rPr>
                <w:b/>
                <w:sz w:val="22"/>
              </w:rPr>
              <w:t>в</w:t>
            </w:r>
            <w:r>
              <w:rPr>
                <w:b/>
                <w:spacing w:val="-4"/>
                <w:sz w:val="22"/>
              </w:rPr>
              <w:t> </w:t>
            </w:r>
            <w:r>
              <w:rPr>
                <w:b/>
                <w:sz w:val="22"/>
              </w:rPr>
              <w:t>плевральной</w:t>
            </w:r>
            <w:r>
              <w:rPr>
                <w:b/>
                <w:spacing w:val="-4"/>
                <w:sz w:val="22"/>
              </w:rPr>
              <w:t> </w:t>
            </w:r>
            <w:r>
              <w:rPr>
                <w:b/>
                <w:spacing w:val="-2"/>
                <w:sz w:val="22"/>
              </w:rPr>
              <w:t>полости</w:t>
            </w:r>
          </w:p>
        </w:tc>
      </w:tr>
      <w:tr>
        <w:trPr>
          <w:trHeight w:val="407" w:hRule="atLeast"/>
        </w:trPr>
        <w:tc>
          <w:tcPr>
            <w:tcW w:w="7367" w:type="dxa"/>
            <w:gridSpan w:val="2"/>
            <w:tcBorders>
              <w:top w:val="single" w:sz="6" w:space="0" w:color="000000"/>
              <w:bottom w:val="single" w:sz="6" w:space="0" w:color="000000"/>
            </w:tcBorders>
          </w:tcPr>
          <w:p>
            <w:pPr>
              <w:pStyle w:val="TableParagraph"/>
              <w:spacing w:before="84"/>
              <w:ind w:left="77"/>
              <w:rPr>
                <w:sz w:val="22"/>
              </w:rPr>
            </w:pPr>
            <w:r>
              <w:rPr>
                <w:spacing w:val="-2"/>
                <w:sz w:val="22"/>
              </w:rPr>
              <w:t>Справа</w:t>
            </w:r>
          </w:p>
        </w:tc>
        <w:tc>
          <w:tcPr>
            <w:tcW w:w="1990" w:type="dxa"/>
            <w:tcBorders>
              <w:top w:val="single" w:sz="6" w:space="0" w:color="000000"/>
              <w:bottom w:val="single" w:sz="6" w:space="0" w:color="000000"/>
            </w:tcBorders>
          </w:tcPr>
          <w:p>
            <w:pPr>
              <w:pStyle w:val="TableParagraph"/>
              <w:spacing w:before="84"/>
              <w:ind w:left="583"/>
              <w:rPr>
                <w:sz w:val="22"/>
              </w:rPr>
            </w:pPr>
            <w:r>
              <w:rPr>
                <w:spacing w:val="-2"/>
                <w:sz w:val="22"/>
              </w:rPr>
              <w:t>Есть/нет</w:t>
            </w:r>
          </w:p>
        </w:tc>
      </w:tr>
      <w:tr>
        <w:trPr>
          <w:trHeight w:val="407" w:hRule="atLeast"/>
        </w:trPr>
        <w:tc>
          <w:tcPr>
            <w:tcW w:w="7367" w:type="dxa"/>
            <w:gridSpan w:val="2"/>
            <w:tcBorders>
              <w:top w:val="single" w:sz="6" w:space="0" w:color="000000"/>
              <w:bottom w:val="single" w:sz="6" w:space="0" w:color="000000"/>
            </w:tcBorders>
          </w:tcPr>
          <w:p>
            <w:pPr>
              <w:pStyle w:val="TableParagraph"/>
              <w:spacing w:before="84"/>
              <w:ind w:left="77"/>
              <w:rPr>
                <w:sz w:val="22"/>
              </w:rPr>
            </w:pPr>
            <w:r>
              <w:rPr>
                <w:spacing w:val="-2"/>
                <w:sz w:val="22"/>
              </w:rPr>
              <w:t>Слева</w:t>
            </w:r>
          </w:p>
        </w:tc>
        <w:tc>
          <w:tcPr>
            <w:tcW w:w="1990" w:type="dxa"/>
            <w:tcBorders>
              <w:top w:val="single" w:sz="6" w:space="0" w:color="000000"/>
              <w:bottom w:val="single" w:sz="6" w:space="0" w:color="000000"/>
            </w:tcBorders>
          </w:tcPr>
          <w:p>
            <w:pPr>
              <w:pStyle w:val="TableParagraph"/>
              <w:spacing w:before="84"/>
              <w:ind w:left="583"/>
              <w:rPr>
                <w:sz w:val="22"/>
              </w:rPr>
            </w:pPr>
            <w:r>
              <w:rPr>
                <w:spacing w:val="-2"/>
                <w:sz w:val="22"/>
              </w:rPr>
              <w:t>Есть/нет</w:t>
            </w:r>
          </w:p>
        </w:tc>
      </w:tr>
      <w:tr>
        <w:trPr>
          <w:trHeight w:val="410" w:hRule="atLeast"/>
        </w:trPr>
        <w:tc>
          <w:tcPr>
            <w:tcW w:w="2830" w:type="dxa"/>
            <w:vMerge w:val="restart"/>
            <w:tcBorders>
              <w:top w:val="single" w:sz="6" w:space="0" w:color="000000"/>
              <w:bottom w:val="single" w:sz="6" w:space="0" w:color="000000"/>
            </w:tcBorders>
          </w:tcPr>
          <w:p>
            <w:pPr>
              <w:pStyle w:val="TableParagraph"/>
              <w:spacing w:before="83"/>
              <w:ind w:left="77"/>
              <w:rPr>
                <w:sz w:val="22"/>
              </w:rPr>
            </w:pPr>
            <w:r>
              <w:rPr>
                <w:sz w:val="22"/>
              </w:rPr>
              <w:t>Вероятность связи выявленных в легких изменений</w:t>
            </w:r>
            <w:r>
              <w:rPr>
                <w:spacing w:val="-14"/>
                <w:sz w:val="22"/>
              </w:rPr>
              <w:t> </w:t>
            </w:r>
            <w:r>
              <w:rPr>
                <w:sz w:val="22"/>
              </w:rPr>
              <w:t>с</w:t>
            </w:r>
            <w:r>
              <w:rPr>
                <w:spacing w:val="-14"/>
                <w:sz w:val="22"/>
              </w:rPr>
              <w:t> </w:t>
            </w:r>
            <w:r>
              <w:rPr>
                <w:sz w:val="22"/>
              </w:rPr>
              <w:t>вирусной</w:t>
            </w:r>
          </w:p>
          <w:p>
            <w:pPr>
              <w:pStyle w:val="TableParagraph"/>
              <w:ind w:left="77" w:right="395"/>
              <w:rPr>
                <w:sz w:val="22"/>
              </w:rPr>
            </w:pPr>
            <w:r>
              <w:rPr>
                <w:sz w:val="22"/>
              </w:rPr>
              <w:t>(в</w:t>
            </w:r>
            <w:r>
              <w:rPr>
                <w:spacing w:val="-14"/>
                <w:sz w:val="22"/>
              </w:rPr>
              <w:t> </w:t>
            </w:r>
            <w:r>
              <w:rPr>
                <w:sz w:val="22"/>
              </w:rPr>
              <w:t>частности,</w:t>
            </w:r>
            <w:r>
              <w:rPr>
                <w:spacing w:val="-14"/>
                <w:sz w:val="22"/>
              </w:rPr>
              <w:t> </w:t>
            </w:r>
            <w:r>
              <w:rPr>
                <w:sz w:val="22"/>
              </w:rPr>
              <w:t>COVID-19) пневмонией по </w:t>
            </w:r>
            <w:r>
              <w:rPr>
                <w:spacing w:val="-2"/>
                <w:sz w:val="22"/>
              </w:rPr>
              <w:t>рекомендациям ACR/RSNA/ESR-ESTI</w:t>
            </w:r>
          </w:p>
        </w:tc>
        <w:tc>
          <w:tcPr>
            <w:tcW w:w="4537" w:type="dxa"/>
            <w:tcBorders>
              <w:top w:val="single" w:sz="6" w:space="0" w:color="000000"/>
              <w:bottom w:val="single" w:sz="6" w:space="0" w:color="000000"/>
            </w:tcBorders>
          </w:tcPr>
          <w:p>
            <w:pPr>
              <w:pStyle w:val="TableParagraph"/>
              <w:spacing w:before="83"/>
              <w:ind w:left="74"/>
              <w:rPr>
                <w:sz w:val="22"/>
              </w:rPr>
            </w:pPr>
            <w:r>
              <w:rPr>
                <w:sz w:val="22"/>
              </w:rPr>
              <w:t>Типичная</w:t>
            </w:r>
            <w:r>
              <w:rPr>
                <w:spacing w:val="-6"/>
                <w:sz w:val="22"/>
              </w:rPr>
              <w:t> </w:t>
            </w:r>
            <w:r>
              <w:rPr>
                <w:sz w:val="22"/>
              </w:rPr>
              <w:t>картина</w:t>
            </w:r>
            <w:r>
              <w:rPr>
                <w:spacing w:val="-6"/>
                <w:sz w:val="22"/>
              </w:rPr>
              <w:t> </w:t>
            </w:r>
            <w:r>
              <w:rPr>
                <w:sz w:val="22"/>
              </w:rPr>
              <w:t>/</w:t>
            </w:r>
            <w:r>
              <w:rPr>
                <w:spacing w:val="-3"/>
                <w:sz w:val="22"/>
              </w:rPr>
              <w:t> </w:t>
            </w:r>
            <w:r>
              <w:rPr>
                <w:sz w:val="22"/>
              </w:rPr>
              <w:t>Высокая</w:t>
            </w:r>
            <w:r>
              <w:rPr>
                <w:spacing w:val="-4"/>
                <w:sz w:val="22"/>
              </w:rPr>
              <w:t> </w:t>
            </w:r>
            <w:r>
              <w:rPr>
                <w:spacing w:val="-2"/>
                <w:sz w:val="22"/>
              </w:rPr>
              <w:t>вероятность</w:t>
            </w:r>
          </w:p>
        </w:tc>
        <w:tc>
          <w:tcPr>
            <w:tcW w:w="1990" w:type="dxa"/>
            <w:tcBorders>
              <w:top w:val="single" w:sz="6" w:space="0" w:color="000000"/>
              <w:bottom w:val="single" w:sz="6" w:space="0" w:color="000000"/>
            </w:tcBorders>
          </w:tcPr>
          <w:p>
            <w:pPr>
              <w:pStyle w:val="TableParagraph"/>
              <w:rPr>
                <w:sz w:val="20"/>
              </w:rPr>
            </w:pPr>
          </w:p>
        </w:tc>
      </w:tr>
      <w:tr>
        <w:trPr>
          <w:trHeight w:val="407" w:hRule="atLeast"/>
        </w:trPr>
        <w:tc>
          <w:tcPr>
            <w:tcW w:w="2830" w:type="dxa"/>
            <w:vMerge/>
            <w:tcBorders>
              <w:top w:val="nil"/>
              <w:bottom w:val="single" w:sz="6" w:space="0" w:color="000000"/>
            </w:tcBorders>
          </w:tcPr>
          <w:p>
            <w:pPr>
              <w:rPr>
                <w:sz w:val="2"/>
                <w:szCs w:val="2"/>
              </w:rPr>
            </w:pPr>
          </w:p>
        </w:tc>
        <w:tc>
          <w:tcPr>
            <w:tcW w:w="4537" w:type="dxa"/>
            <w:tcBorders>
              <w:top w:val="single" w:sz="6" w:space="0" w:color="000000"/>
              <w:bottom w:val="single" w:sz="6" w:space="0" w:color="000000"/>
            </w:tcBorders>
          </w:tcPr>
          <w:p>
            <w:pPr>
              <w:pStyle w:val="TableParagraph"/>
              <w:spacing w:before="81"/>
              <w:ind w:left="74"/>
              <w:rPr>
                <w:sz w:val="22"/>
              </w:rPr>
            </w:pPr>
            <w:r>
              <w:rPr>
                <w:sz w:val="22"/>
              </w:rPr>
              <w:t>Неопределенная</w:t>
            </w:r>
            <w:r>
              <w:rPr>
                <w:spacing w:val="-5"/>
                <w:sz w:val="22"/>
              </w:rPr>
              <w:t> </w:t>
            </w:r>
            <w:r>
              <w:rPr>
                <w:spacing w:val="-2"/>
                <w:sz w:val="22"/>
              </w:rPr>
              <w:t>картина</w:t>
            </w:r>
          </w:p>
        </w:tc>
        <w:tc>
          <w:tcPr>
            <w:tcW w:w="1990" w:type="dxa"/>
            <w:tcBorders>
              <w:top w:val="single" w:sz="6" w:space="0" w:color="000000"/>
              <w:bottom w:val="single" w:sz="6" w:space="0" w:color="000000"/>
            </w:tcBorders>
          </w:tcPr>
          <w:p>
            <w:pPr>
              <w:pStyle w:val="TableParagraph"/>
              <w:rPr>
                <w:sz w:val="20"/>
              </w:rPr>
            </w:pPr>
          </w:p>
        </w:tc>
      </w:tr>
      <w:tr>
        <w:trPr>
          <w:trHeight w:val="407" w:hRule="atLeast"/>
        </w:trPr>
        <w:tc>
          <w:tcPr>
            <w:tcW w:w="2830" w:type="dxa"/>
            <w:vMerge/>
            <w:tcBorders>
              <w:top w:val="nil"/>
              <w:bottom w:val="single" w:sz="6" w:space="0" w:color="000000"/>
            </w:tcBorders>
          </w:tcPr>
          <w:p>
            <w:pPr>
              <w:rPr>
                <w:sz w:val="2"/>
                <w:szCs w:val="2"/>
              </w:rPr>
            </w:pPr>
          </w:p>
        </w:tc>
        <w:tc>
          <w:tcPr>
            <w:tcW w:w="4537" w:type="dxa"/>
            <w:tcBorders>
              <w:top w:val="single" w:sz="6" w:space="0" w:color="000000"/>
              <w:bottom w:val="single" w:sz="6" w:space="0" w:color="000000"/>
            </w:tcBorders>
          </w:tcPr>
          <w:p>
            <w:pPr>
              <w:pStyle w:val="TableParagraph"/>
              <w:spacing w:before="80"/>
              <w:ind w:left="74"/>
              <w:rPr>
                <w:sz w:val="22"/>
              </w:rPr>
            </w:pPr>
            <w:r>
              <w:rPr>
                <w:sz w:val="22"/>
              </w:rPr>
              <w:t>Другой</w:t>
            </w:r>
            <w:r>
              <w:rPr>
                <w:spacing w:val="-6"/>
                <w:sz w:val="22"/>
              </w:rPr>
              <w:t> </w:t>
            </w:r>
            <w:r>
              <w:rPr>
                <w:spacing w:val="-2"/>
                <w:sz w:val="22"/>
              </w:rPr>
              <w:t>диагноз</w:t>
            </w:r>
          </w:p>
        </w:tc>
        <w:tc>
          <w:tcPr>
            <w:tcW w:w="1990" w:type="dxa"/>
            <w:tcBorders>
              <w:top w:val="single" w:sz="6" w:space="0" w:color="000000"/>
              <w:bottom w:val="single" w:sz="6" w:space="0" w:color="000000"/>
            </w:tcBorders>
          </w:tcPr>
          <w:p>
            <w:pPr>
              <w:pStyle w:val="TableParagraph"/>
              <w:rPr>
                <w:sz w:val="20"/>
              </w:rPr>
            </w:pPr>
          </w:p>
        </w:tc>
      </w:tr>
      <w:tr>
        <w:trPr>
          <w:trHeight w:val="657" w:hRule="atLeast"/>
        </w:trPr>
        <w:tc>
          <w:tcPr>
            <w:tcW w:w="2830" w:type="dxa"/>
            <w:vMerge/>
            <w:tcBorders>
              <w:top w:val="nil"/>
              <w:bottom w:val="single" w:sz="6" w:space="0" w:color="000000"/>
            </w:tcBorders>
          </w:tcPr>
          <w:p>
            <w:pPr>
              <w:rPr>
                <w:sz w:val="2"/>
                <w:szCs w:val="2"/>
              </w:rPr>
            </w:pPr>
          </w:p>
        </w:tc>
        <w:tc>
          <w:tcPr>
            <w:tcW w:w="4537" w:type="dxa"/>
            <w:tcBorders>
              <w:top w:val="single" w:sz="6" w:space="0" w:color="000000"/>
              <w:bottom w:val="single" w:sz="6" w:space="0" w:color="000000"/>
            </w:tcBorders>
          </w:tcPr>
          <w:p>
            <w:pPr>
              <w:pStyle w:val="TableParagraph"/>
              <w:spacing w:before="82"/>
              <w:ind w:left="74"/>
              <w:rPr>
                <w:sz w:val="22"/>
              </w:rPr>
            </w:pPr>
            <w:r>
              <w:rPr>
                <w:sz w:val="22"/>
              </w:rPr>
              <w:t>Норма</w:t>
            </w:r>
            <w:r>
              <w:rPr>
                <w:spacing w:val="-2"/>
                <w:sz w:val="22"/>
              </w:rPr>
              <w:t> </w:t>
            </w:r>
            <w:r>
              <w:rPr>
                <w:sz w:val="22"/>
              </w:rPr>
              <w:t>/ Нет</w:t>
            </w:r>
            <w:r>
              <w:rPr>
                <w:spacing w:val="-1"/>
                <w:sz w:val="22"/>
              </w:rPr>
              <w:t> </w:t>
            </w:r>
            <w:r>
              <w:rPr>
                <w:spacing w:val="-2"/>
                <w:sz w:val="22"/>
              </w:rPr>
              <w:t>изменений</w:t>
            </w:r>
          </w:p>
        </w:tc>
        <w:tc>
          <w:tcPr>
            <w:tcW w:w="1990" w:type="dxa"/>
            <w:tcBorders>
              <w:top w:val="single" w:sz="6" w:space="0" w:color="000000"/>
              <w:bottom w:val="single" w:sz="6" w:space="0" w:color="000000"/>
            </w:tcBorders>
          </w:tcPr>
          <w:p>
            <w:pPr>
              <w:pStyle w:val="TableParagraph"/>
              <w:rPr>
                <w:sz w:val="20"/>
              </w:rPr>
            </w:pPr>
          </w:p>
        </w:tc>
      </w:tr>
    </w:tbl>
    <w:p>
      <w:pPr>
        <w:pStyle w:val="TableParagraph"/>
        <w:spacing w:after="0"/>
        <w:rPr>
          <w:sz w:val="20"/>
        </w:rPr>
        <w:sectPr>
          <w:pgSz w:w="11900" w:h="16840"/>
          <w:pgMar w:header="0" w:footer="697" w:top="1080" w:bottom="880" w:left="0" w:right="0"/>
        </w:sectPr>
      </w:pPr>
    </w:p>
    <w:p>
      <w:pPr>
        <w:pStyle w:val="ListParagraph"/>
        <w:numPr>
          <w:ilvl w:val="0"/>
          <w:numId w:val="69"/>
        </w:numPr>
        <w:tabs>
          <w:tab w:pos="3254" w:val="left" w:leader="none"/>
        </w:tabs>
        <w:spacing w:line="312" w:lineRule="auto" w:before="73" w:after="0"/>
        <w:ind w:left="1841" w:right="1993" w:firstLine="707"/>
        <w:jc w:val="both"/>
        <w:rPr>
          <w:b/>
          <w:sz w:val="24"/>
        </w:rPr>
      </w:pPr>
      <w:bookmarkStart w:name="163" w:id="192"/>
      <w:bookmarkEnd w:id="192"/>
      <w:r>
        <w:rPr/>
      </w:r>
      <w:r>
        <w:rPr>
          <w:b/>
          <w:sz w:val="24"/>
        </w:rPr>
        <w:t>Общие</w:t>
      </w:r>
      <w:r>
        <w:rPr>
          <w:b/>
          <w:spacing w:val="-9"/>
          <w:sz w:val="24"/>
        </w:rPr>
        <w:t> </w:t>
      </w:r>
      <w:r>
        <w:rPr>
          <w:b/>
          <w:sz w:val="24"/>
        </w:rPr>
        <w:t>рекомендации</w:t>
      </w:r>
      <w:r>
        <w:rPr>
          <w:b/>
          <w:spacing w:val="-10"/>
          <w:sz w:val="24"/>
        </w:rPr>
        <w:t> </w:t>
      </w:r>
      <w:r>
        <w:rPr>
          <w:b/>
          <w:sz w:val="24"/>
        </w:rPr>
        <w:t>по</w:t>
      </w:r>
      <w:r>
        <w:rPr>
          <w:b/>
          <w:spacing w:val="-9"/>
          <w:sz w:val="24"/>
        </w:rPr>
        <w:t> </w:t>
      </w:r>
      <w:r>
        <w:rPr>
          <w:b/>
          <w:sz w:val="24"/>
        </w:rPr>
        <w:t>протоколированию</w:t>
      </w:r>
      <w:r>
        <w:rPr>
          <w:b/>
          <w:spacing w:val="-10"/>
          <w:sz w:val="24"/>
        </w:rPr>
        <w:t> </w:t>
      </w:r>
      <w:r>
        <w:rPr>
          <w:b/>
          <w:sz w:val="24"/>
        </w:rPr>
        <w:t>результатов</w:t>
      </w:r>
      <w:r>
        <w:rPr>
          <w:b/>
          <w:spacing w:val="-9"/>
          <w:sz w:val="24"/>
        </w:rPr>
        <w:t> </w:t>
      </w:r>
      <w:r>
        <w:rPr>
          <w:b/>
          <w:sz w:val="24"/>
        </w:rPr>
        <w:t>КТ легких у пациентов с предполагаемой пневмонией COVID-19</w:t>
      </w:r>
    </w:p>
    <w:p>
      <w:pPr>
        <w:pStyle w:val="BodyText"/>
        <w:spacing w:line="312" w:lineRule="auto"/>
        <w:ind w:right="1271" w:firstLine="707"/>
      </w:pPr>
      <w:r>
        <w:rPr/>
        <w:t>Для правильной трактовки полученных данных </w:t>
      </w:r>
      <w:r>
        <w:rPr>
          <w:b/>
        </w:rPr>
        <w:t>до начала описания </w:t>
      </w:r>
      <w:r>
        <w:rPr/>
        <w:t>крайне важно</w:t>
      </w:r>
      <w:r>
        <w:rPr>
          <w:spacing w:val="-7"/>
        </w:rPr>
        <w:t> </w:t>
      </w:r>
      <w:r>
        <w:rPr/>
        <w:t>получение</w:t>
      </w:r>
      <w:r>
        <w:rPr>
          <w:spacing w:val="-6"/>
        </w:rPr>
        <w:t> </w:t>
      </w:r>
      <w:r>
        <w:rPr/>
        <w:t>лечащим</w:t>
      </w:r>
      <w:r>
        <w:rPr>
          <w:spacing w:val="-7"/>
        </w:rPr>
        <w:t> </w:t>
      </w:r>
      <w:r>
        <w:rPr/>
        <w:t>врачом</w:t>
      </w:r>
      <w:r>
        <w:rPr>
          <w:spacing w:val="-7"/>
        </w:rPr>
        <w:t> </w:t>
      </w:r>
      <w:r>
        <w:rPr/>
        <w:t>клинической</w:t>
      </w:r>
      <w:r>
        <w:rPr>
          <w:spacing w:val="-6"/>
        </w:rPr>
        <w:t> </w:t>
      </w:r>
      <w:r>
        <w:rPr/>
        <w:t>информации</w:t>
      </w:r>
      <w:r>
        <w:rPr>
          <w:spacing w:val="-6"/>
        </w:rPr>
        <w:t> </w:t>
      </w:r>
      <w:r>
        <w:rPr/>
        <w:t>об</w:t>
      </w:r>
      <w:r>
        <w:rPr>
          <w:spacing w:val="-9"/>
        </w:rPr>
        <w:t> </w:t>
      </w:r>
      <w:r>
        <w:rPr/>
        <w:t>истории</w:t>
      </w:r>
      <w:r>
        <w:rPr>
          <w:spacing w:val="-4"/>
        </w:rPr>
        <w:t> </w:t>
      </w:r>
      <w:r>
        <w:rPr/>
        <w:t>заболевания и состоянии пациента (желательно дистанционно, без прямого контакта).</w:t>
      </w:r>
    </w:p>
    <w:p>
      <w:pPr>
        <w:pStyle w:val="BodyText"/>
        <w:spacing w:line="274" w:lineRule="exact"/>
        <w:ind w:left="2549"/>
      </w:pPr>
      <w:r>
        <w:rPr/>
        <w:t>В</w:t>
      </w:r>
      <w:r>
        <w:rPr>
          <w:spacing w:val="-10"/>
        </w:rPr>
        <w:t> </w:t>
      </w:r>
      <w:r>
        <w:rPr/>
        <w:t>протоколе</w:t>
      </w:r>
      <w:r>
        <w:rPr>
          <w:spacing w:val="-10"/>
        </w:rPr>
        <w:t> </w:t>
      </w:r>
      <w:r>
        <w:rPr/>
        <w:t>КТ</w:t>
      </w:r>
      <w:r>
        <w:rPr>
          <w:spacing w:val="-10"/>
        </w:rPr>
        <w:t> </w:t>
      </w:r>
      <w:r>
        <w:rPr/>
        <w:t>исследования</w:t>
      </w:r>
      <w:r>
        <w:rPr>
          <w:spacing w:val="-10"/>
        </w:rPr>
        <w:t> </w:t>
      </w:r>
      <w:r>
        <w:rPr/>
        <w:t>должны</w:t>
      </w:r>
      <w:r>
        <w:rPr>
          <w:spacing w:val="-11"/>
        </w:rPr>
        <w:t> </w:t>
      </w:r>
      <w:r>
        <w:rPr/>
        <w:t>быть</w:t>
      </w:r>
      <w:r>
        <w:rPr>
          <w:spacing w:val="-9"/>
        </w:rPr>
        <w:t> </w:t>
      </w:r>
      <w:r>
        <w:rPr>
          <w:spacing w:val="-2"/>
        </w:rPr>
        <w:t>указаны:</w:t>
      </w:r>
    </w:p>
    <w:p>
      <w:pPr>
        <w:pStyle w:val="BodyText"/>
        <w:spacing w:before="84"/>
        <w:ind w:left="0"/>
        <w:jc w:val="left"/>
      </w:pPr>
    </w:p>
    <w:p>
      <w:pPr>
        <w:pStyle w:val="ListParagraph"/>
        <w:numPr>
          <w:ilvl w:val="0"/>
          <w:numId w:val="70"/>
        </w:numPr>
        <w:tabs>
          <w:tab w:pos="2268" w:val="left" w:leader="none"/>
        </w:tabs>
        <w:spacing w:line="240" w:lineRule="auto" w:before="0" w:after="0"/>
        <w:ind w:left="2268" w:right="0" w:hanging="359"/>
        <w:jc w:val="both"/>
        <w:rPr>
          <w:sz w:val="24"/>
        </w:rPr>
      </w:pPr>
      <w:r>
        <w:rPr>
          <w:sz w:val="24"/>
        </w:rPr>
        <w:t>Дата</w:t>
      </w:r>
      <w:r>
        <w:rPr>
          <w:spacing w:val="-11"/>
          <w:sz w:val="24"/>
        </w:rPr>
        <w:t> </w:t>
      </w:r>
      <w:r>
        <w:rPr>
          <w:sz w:val="24"/>
        </w:rPr>
        <w:t>появления</w:t>
      </w:r>
      <w:r>
        <w:rPr>
          <w:spacing w:val="-11"/>
          <w:sz w:val="24"/>
        </w:rPr>
        <w:t> </w:t>
      </w:r>
      <w:r>
        <w:rPr>
          <w:sz w:val="24"/>
        </w:rPr>
        <w:t>симптомов</w:t>
      </w:r>
      <w:r>
        <w:rPr>
          <w:spacing w:val="-10"/>
          <w:sz w:val="24"/>
        </w:rPr>
        <w:t> </w:t>
      </w:r>
      <w:r>
        <w:rPr>
          <w:sz w:val="24"/>
        </w:rPr>
        <w:t>болезни</w:t>
      </w:r>
      <w:r>
        <w:rPr>
          <w:spacing w:val="-10"/>
          <w:sz w:val="24"/>
        </w:rPr>
        <w:t> </w:t>
      </w:r>
      <w:r>
        <w:rPr>
          <w:sz w:val="24"/>
        </w:rPr>
        <w:t>на</w:t>
      </w:r>
      <w:r>
        <w:rPr>
          <w:spacing w:val="-11"/>
          <w:sz w:val="24"/>
        </w:rPr>
        <w:t> </w:t>
      </w:r>
      <w:r>
        <w:rPr>
          <w:sz w:val="24"/>
        </w:rPr>
        <w:t>день</w:t>
      </w:r>
      <w:r>
        <w:rPr>
          <w:spacing w:val="-9"/>
          <w:sz w:val="24"/>
        </w:rPr>
        <w:t> </w:t>
      </w:r>
      <w:r>
        <w:rPr>
          <w:sz w:val="24"/>
        </w:rPr>
        <w:t>выполнения</w:t>
      </w:r>
      <w:r>
        <w:rPr>
          <w:spacing w:val="-11"/>
          <w:sz w:val="24"/>
        </w:rPr>
        <w:t> </w:t>
      </w:r>
      <w:r>
        <w:rPr>
          <w:sz w:val="24"/>
        </w:rPr>
        <w:t>КТ</w:t>
      </w:r>
      <w:r>
        <w:rPr>
          <w:spacing w:val="-10"/>
          <w:sz w:val="24"/>
        </w:rPr>
        <w:t> </w:t>
      </w:r>
      <w:r>
        <w:rPr>
          <w:sz w:val="24"/>
        </w:rPr>
        <w:t>(если</w:t>
      </w:r>
      <w:r>
        <w:rPr>
          <w:spacing w:val="-9"/>
          <w:sz w:val="24"/>
        </w:rPr>
        <w:t> </w:t>
      </w:r>
      <w:r>
        <w:rPr>
          <w:spacing w:val="-2"/>
          <w:sz w:val="24"/>
        </w:rPr>
        <w:t>известна);</w:t>
      </w:r>
    </w:p>
    <w:p>
      <w:pPr>
        <w:pStyle w:val="ListParagraph"/>
        <w:numPr>
          <w:ilvl w:val="0"/>
          <w:numId w:val="70"/>
        </w:numPr>
        <w:tabs>
          <w:tab w:pos="2268" w:val="left" w:leader="none"/>
        </w:tabs>
        <w:spacing w:line="240" w:lineRule="auto" w:before="33" w:after="0"/>
        <w:ind w:left="2268" w:right="0" w:hanging="359"/>
        <w:jc w:val="both"/>
        <w:rPr>
          <w:sz w:val="24"/>
        </w:rPr>
      </w:pPr>
      <w:r>
        <w:rPr>
          <w:spacing w:val="-2"/>
          <w:sz w:val="24"/>
        </w:rPr>
        <w:t>Методика</w:t>
      </w:r>
      <w:r>
        <w:rPr>
          <w:spacing w:val="3"/>
          <w:sz w:val="24"/>
        </w:rPr>
        <w:t> </w:t>
      </w:r>
      <w:r>
        <w:rPr>
          <w:spacing w:val="-2"/>
          <w:sz w:val="24"/>
        </w:rPr>
        <w:t>сканирования,</w:t>
      </w:r>
      <w:r>
        <w:rPr>
          <w:spacing w:val="3"/>
          <w:sz w:val="24"/>
        </w:rPr>
        <w:t> </w:t>
      </w:r>
      <w:r>
        <w:rPr>
          <w:spacing w:val="-2"/>
          <w:sz w:val="24"/>
        </w:rPr>
        <w:t>использование</w:t>
      </w:r>
      <w:r>
        <w:rPr>
          <w:spacing w:val="4"/>
          <w:sz w:val="24"/>
        </w:rPr>
        <w:t> </w:t>
      </w:r>
      <w:r>
        <w:rPr>
          <w:spacing w:val="-2"/>
          <w:sz w:val="24"/>
        </w:rPr>
        <w:t>внутривенного</w:t>
      </w:r>
      <w:r>
        <w:rPr>
          <w:spacing w:val="3"/>
          <w:sz w:val="24"/>
        </w:rPr>
        <w:t> </w:t>
      </w:r>
      <w:r>
        <w:rPr>
          <w:spacing w:val="-2"/>
          <w:sz w:val="24"/>
        </w:rPr>
        <w:t>контрастирования;</w:t>
      </w:r>
    </w:p>
    <w:p>
      <w:pPr>
        <w:pStyle w:val="ListParagraph"/>
        <w:numPr>
          <w:ilvl w:val="0"/>
          <w:numId w:val="70"/>
        </w:numPr>
        <w:tabs>
          <w:tab w:pos="2268" w:val="left" w:leader="none"/>
        </w:tabs>
        <w:spacing w:line="268" w:lineRule="auto" w:before="33" w:after="0"/>
        <w:ind w:left="2268" w:right="1276" w:hanging="360"/>
        <w:jc w:val="both"/>
        <w:rPr>
          <w:sz w:val="24"/>
        </w:rPr>
      </w:pPr>
      <w:r>
        <w:rPr>
          <w:sz w:val="24"/>
        </w:rPr>
        <w:t>Медицинские устройства и иные предметы в зоне сканирования (интубационная трубка, катетеры, дренажи, зонды, искусственные водители ритма, инородные тела и проч.), их расположение и правильность установки;</w:t>
      </w:r>
    </w:p>
    <w:p>
      <w:pPr>
        <w:pStyle w:val="ListParagraph"/>
        <w:numPr>
          <w:ilvl w:val="0"/>
          <w:numId w:val="70"/>
        </w:numPr>
        <w:tabs>
          <w:tab w:pos="2268" w:val="left" w:leader="none"/>
        </w:tabs>
        <w:spacing w:line="264" w:lineRule="auto" w:before="9" w:after="0"/>
        <w:ind w:left="2268" w:right="1274" w:hanging="360"/>
        <w:jc w:val="both"/>
        <w:rPr>
          <w:sz w:val="24"/>
        </w:rPr>
      </w:pPr>
      <w:r>
        <w:rPr>
          <w:sz w:val="24"/>
        </w:rPr>
        <w:t>Наличие изменений в легких по типу «матового стекла», консолидации, симптомов</w:t>
      </w:r>
      <w:r>
        <w:rPr>
          <w:spacing w:val="80"/>
          <w:w w:val="150"/>
          <w:sz w:val="24"/>
        </w:rPr>
        <w:t> </w:t>
      </w:r>
      <w:r>
        <w:rPr>
          <w:sz w:val="24"/>
        </w:rPr>
        <w:t>«булыжной</w:t>
      </w:r>
      <w:r>
        <w:rPr>
          <w:spacing w:val="80"/>
          <w:w w:val="150"/>
          <w:sz w:val="24"/>
        </w:rPr>
        <w:t> </w:t>
      </w:r>
      <w:r>
        <w:rPr>
          <w:sz w:val="24"/>
        </w:rPr>
        <w:t>мостовой»,</w:t>
      </w:r>
      <w:r>
        <w:rPr>
          <w:spacing w:val="80"/>
          <w:w w:val="150"/>
          <w:sz w:val="24"/>
        </w:rPr>
        <w:t> </w:t>
      </w:r>
      <w:r>
        <w:rPr>
          <w:sz w:val="24"/>
        </w:rPr>
        <w:t>«воздушной</w:t>
      </w:r>
      <w:r>
        <w:rPr>
          <w:spacing w:val="80"/>
          <w:w w:val="150"/>
          <w:sz w:val="24"/>
        </w:rPr>
        <w:t> </w:t>
      </w:r>
      <w:r>
        <w:rPr>
          <w:sz w:val="24"/>
        </w:rPr>
        <w:t>бронхографии»,</w:t>
      </w:r>
      <w:r>
        <w:rPr>
          <w:spacing w:val="80"/>
          <w:w w:val="150"/>
          <w:sz w:val="24"/>
        </w:rPr>
        <w:t> </w:t>
      </w:r>
      <w:r>
        <w:rPr>
          <w:sz w:val="24"/>
        </w:rPr>
        <w:t>обратного</w:t>
      </w:r>
    </w:p>
    <w:p>
      <w:pPr>
        <w:pStyle w:val="BodyText"/>
        <w:spacing w:before="13"/>
        <w:ind w:left="2268"/>
        <w:jc w:val="left"/>
      </w:pPr>
      <w:r>
        <w:rPr>
          <w:spacing w:val="-2"/>
        </w:rPr>
        <w:t>«ореола»;</w:t>
      </w:r>
    </w:p>
    <w:p>
      <w:pPr>
        <w:pStyle w:val="ListParagraph"/>
        <w:numPr>
          <w:ilvl w:val="0"/>
          <w:numId w:val="70"/>
        </w:numPr>
        <w:tabs>
          <w:tab w:pos="2268" w:val="left" w:leader="none"/>
        </w:tabs>
        <w:spacing w:line="268" w:lineRule="auto" w:before="41" w:after="0"/>
        <w:ind w:left="2268" w:right="1275" w:hanging="360"/>
        <w:jc w:val="both"/>
        <w:rPr>
          <w:sz w:val="24"/>
        </w:rPr>
      </w:pPr>
      <w:r>
        <w:rPr>
          <w:sz w:val="24"/>
        </w:rPr>
        <w:t>Локализация изменений по долям и сегментам легких, а также преобладающее пространственное распределение (периферическое, центральное, диффузное; преимущественное заднее или переднее, верхнее или нижнее);</w:t>
      </w:r>
    </w:p>
    <w:p>
      <w:pPr>
        <w:pStyle w:val="ListParagraph"/>
        <w:numPr>
          <w:ilvl w:val="0"/>
          <w:numId w:val="70"/>
        </w:numPr>
        <w:tabs>
          <w:tab w:pos="2268" w:val="left" w:leader="none"/>
        </w:tabs>
        <w:spacing w:line="264" w:lineRule="auto" w:before="10" w:after="0"/>
        <w:ind w:left="2268" w:right="1279" w:hanging="360"/>
        <w:jc w:val="both"/>
        <w:rPr>
          <w:sz w:val="24"/>
        </w:rPr>
      </w:pPr>
      <w:r>
        <w:rPr>
          <w:sz w:val="24"/>
        </w:rPr>
        <w:t>Наличие</w:t>
      </w:r>
      <w:r>
        <w:rPr>
          <w:spacing w:val="80"/>
          <w:sz w:val="24"/>
        </w:rPr>
        <w:t>  </w:t>
      </w:r>
      <w:r>
        <w:rPr>
          <w:sz w:val="24"/>
        </w:rPr>
        <w:t>и</w:t>
      </w:r>
      <w:r>
        <w:rPr>
          <w:spacing w:val="80"/>
          <w:sz w:val="24"/>
        </w:rPr>
        <w:t>  </w:t>
      </w:r>
      <w:r>
        <w:rPr>
          <w:sz w:val="24"/>
        </w:rPr>
        <w:t>примерный</w:t>
      </w:r>
      <w:r>
        <w:rPr>
          <w:spacing w:val="80"/>
          <w:sz w:val="24"/>
        </w:rPr>
        <w:t>  </w:t>
      </w:r>
      <w:r>
        <w:rPr>
          <w:sz w:val="24"/>
        </w:rPr>
        <w:t>объем</w:t>
      </w:r>
      <w:r>
        <w:rPr>
          <w:spacing w:val="80"/>
          <w:sz w:val="24"/>
        </w:rPr>
        <w:t>  </w:t>
      </w:r>
      <w:r>
        <w:rPr>
          <w:sz w:val="24"/>
        </w:rPr>
        <w:t>жидкости</w:t>
      </w:r>
      <w:r>
        <w:rPr>
          <w:spacing w:val="80"/>
          <w:sz w:val="24"/>
        </w:rPr>
        <w:t>  </w:t>
      </w:r>
      <w:r>
        <w:rPr>
          <w:sz w:val="24"/>
        </w:rPr>
        <w:t>в</w:t>
      </w:r>
      <w:r>
        <w:rPr>
          <w:spacing w:val="80"/>
          <w:sz w:val="24"/>
        </w:rPr>
        <w:t>  </w:t>
      </w:r>
      <w:r>
        <w:rPr>
          <w:sz w:val="24"/>
        </w:rPr>
        <w:t>плевральной</w:t>
      </w:r>
      <w:r>
        <w:rPr>
          <w:spacing w:val="80"/>
          <w:sz w:val="24"/>
        </w:rPr>
        <w:t>  </w:t>
      </w:r>
      <w:r>
        <w:rPr>
          <w:sz w:val="24"/>
        </w:rPr>
        <w:t>полости и/или перикарде;</w:t>
      </w:r>
    </w:p>
    <w:p>
      <w:pPr>
        <w:pStyle w:val="ListParagraph"/>
        <w:numPr>
          <w:ilvl w:val="0"/>
          <w:numId w:val="70"/>
        </w:numPr>
        <w:tabs>
          <w:tab w:pos="2268" w:val="left" w:leader="none"/>
        </w:tabs>
        <w:spacing w:line="273" w:lineRule="auto" w:before="13" w:after="0"/>
        <w:ind w:left="2268" w:right="1271" w:hanging="360"/>
        <w:jc w:val="both"/>
        <w:rPr>
          <w:sz w:val="24"/>
        </w:rPr>
      </w:pPr>
      <w:r>
        <w:rPr>
          <w:sz w:val="24"/>
        </w:rPr>
        <w:t>Указываются</w:t>
      </w:r>
      <w:r>
        <w:rPr>
          <w:spacing w:val="-15"/>
          <w:sz w:val="24"/>
        </w:rPr>
        <w:t> </w:t>
      </w:r>
      <w:r>
        <w:rPr>
          <w:sz w:val="24"/>
        </w:rPr>
        <w:t>все</w:t>
      </w:r>
      <w:r>
        <w:rPr>
          <w:spacing w:val="-15"/>
          <w:sz w:val="24"/>
        </w:rPr>
        <w:t> </w:t>
      </w:r>
      <w:r>
        <w:rPr>
          <w:sz w:val="24"/>
        </w:rPr>
        <w:t>другие</w:t>
      </w:r>
      <w:r>
        <w:rPr>
          <w:spacing w:val="-15"/>
          <w:sz w:val="24"/>
        </w:rPr>
        <w:t> </w:t>
      </w:r>
      <w:r>
        <w:rPr>
          <w:sz w:val="24"/>
        </w:rPr>
        <w:t>находки</w:t>
      </w:r>
      <w:r>
        <w:rPr>
          <w:spacing w:val="-15"/>
          <w:sz w:val="24"/>
        </w:rPr>
        <w:t> </w:t>
      </w:r>
      <w:r>
        <w:rPr>
          <w:sz w:val="24"/>
        </w:rPr>
        <w:t>(согласно</w:t>
      </w:r>
      <w:r>
        <w:rPr>
          <w:spacing w:val="-15"/>
          <w:sz w:val="24"/>
        </w:rPr>
        <w:t> </w:t>
      </w:r>
      <w:r>
        <w:rPr>
          <w:sz w:val="24"/>
        </w:rPr>
        <w:t>стандартному</w:t>
      </w:r>
      <w:r>
        <w:rPr>
          <w:spacing w:val="-15"/>
          <w:sz w:val="24"/>
        </w:rPr>
        <w:t> </w:t>
      </w:r>
      <w:r>
        <w:rPr>
          <w:sz w:val="24"/>
        </w:rPr>
        <w:t>протоколу</w:t>
      </w:r>
      <w:r>
        <w:rPr>
          <w:spacing w:val="-15"/>
          <w:sz w:val="24"/>
        </w:rPr>
        <w:t> </w:t>
      </w:r>
      <w:r>
        <w:rPr>
          <w:sz w:val="24"/>
        </w:rPr>
        <w:t>описания</w:t>
      </w:r>
      <w:r>
        <w:rPr>
          <w:spacing w:val="-15"/>
          <w:sz w:val="24"/>
        </w:rPr>
        <w:t> </w:t>
      </w:r>
      <w:r>
        <w:rPr>
          <w:sz w:val="24"/>
        </w:rPr>
        <w:t>КТ ОГК):</w:t>
      </w:r>
      <w:r>
        <w:rPr>
          <w:spacing w:val="40"/>
          <w:sz w:val="24"/>
        </w:rPr>
        <w:t> </w:t>
      </w:r>
      <w:r>
        <w:rPr>
          <w:sz w:val="24"/>
        </w:rPr>
        <w:t>находки</w:t>
      </w:r>
      <w:r>
        <w:rPr>
          <w:spacing w:val="40"/>
          <w:sz w:val="24"/>
        </w:rPr>
        <w:t> </w:t>
      </w:r>
      <w:r>
        <w:rPr>
          <w:sz w:val="24"/>
        </w:rPr>
        <w:t>в</w:t>
      </w:r>
      <w:r>
        <w:rPr>
          <w:spacing w:val="40"/>
          <w:sz w:val="24"/>
        </w:rPr>
        <w:t> </w:t>
      </w:r>
      <w:r>
        <w:rPr>
          <w:sz w:val="24"/>
        </w:rPr>
        <w:t>легочной</w:t>
      </w:r>
      <w:r>
        <w:rPr>
          <w:spacing w:val="40"/>
          <w:sz w:val="24"/>
        </w:rPr>
        <w:t> </w:t>
      </w:r>
      <w:r>
        <w:rPr>
          <w:sz w:val="24"/>
        </w:rPr>
        <w:t>ткани</w:t>
      </w:r>
      <w:r>
        <w:rPr>
          <w:spacing w:val="40"/>
          <w:sz w:val="24"/>
        </w:rPr>
        <w:t> </w:t>
      </w:r>
      <w:r>
        <w:rPr>
          <w:sz w:val="24"/>
        </w:rPr>
        <w:t>(очаги,</w:t>
      </w:r>
      <w:r>
        <w:rPr>
          <w:spacing w:val="40"/>
          <w:sz w:val="24"/>
        </w:rPr>
        <w:t> </w:t>
      </w:r>
      <w:r>
        <w:rPr>
          <w:sz w:val="24"/>
        </w:rPr>
        <w:t>полости,</w:t>
      </w:r>
      <w:r>
        <w:rPr>
          <w:spacing w:val="40"/>
          <w:sz w:val="24"/>
        </w:rPr>
        <w:t> </w:t>
      </w:r>
      <w:r>
        <w:rPr>
          <w:sz w:val="24"/>
        </w:rPr>
        <w:t>симптом</w:t>
      </w:r>
      <w:r>
        <w:rPr>
          <w:spacing w:val="40"/>
          <w:sz w:val="24"/>
        </w:rPr>
        <w:t> </w:t>
      </w:r>
      <w:r>
        <w:rPr>
          <w:sz w:val="24"/>
        </w:rPr>
        <w:t>«дерева</w:t>
      </w:r>
      <w:r>
        <w:rPr>
          <w:spacing w:val="40"/>
          <w:sz w:val="24"/>
        </w:rPr>
        <w:t> </w:t>
      </w:r>
      <w:r>
        <w:rPr>
          <w:sz w:val="24"/>
        </w:rPr>
        <w:t>в почках» и другие), состояние и ход трахеи и бронхов, состояние отдельных групп лимфоузлов, размеры и контуры магистральных сосудов и камер сердца; состояние позвоночника и других костей в пределах зоны сканирования;</w:t>
      </w:r>
    </w:p>
    <w:p>
      <w:pPr>
        <w:pStyle w:val="ListParagraph"/>
        <w:numPr>
          <w:ilvl w:val="0"/>
          <w:numId w:val="70"/>
        </w:numPr>
        <w:tabs>
          <w:tab w:pos="2268" w:val="left" w:leader="none"/>
        </w:tabs>
        <w:spacing w:line="264" w:lineRule="auto" w:before="0" w:after="0"/>
        <w:ind w:left="2268" w:right="1270" w:hanging="360"/>
        <w:jc w:val="both"/>
        <w:rPr>
          <w:sz w:val="24"/>
        </w:rPr>
      </w:pPr>
      <w:r>
        <w:rPr>
          <w:sz w:val="24"/>
        </w:rPr>
        <w:t>Обязательным</w:t>
      </w:r>
      <w:r>
        <w:rPr>
          <w:spacing w:val="40"/>
          <w:sz w:val="24"/>
        </w:rPr>
        <w:t> </w:t>
      </w:r>
      <w:r>
        <w:rPr>
          <w:sz w:val="24"/>
        </w:rPr>
        <w:t>является</w:t>
      </w:r>
      <w:r>
        <w:rPr>
          <w:spacing w:val="40"/>
          <w:sz w:val="24"/>
        </w:rPr>
        <w:t> </w:t>
      </w:r>
      <w:r>
        <w:rPr>
          <w:sz w:val="24"/>
        </w:rPr>
        <w:t>описание</w:t>
      </w:r>
      <w:r>
        <w:rPr>
          <w:spacing w:val="40"/>
          <w:sz w:val="24"/>
        </w:rPr>
        <w:t> </w:t>
      </w:r>
      <w:r>
        <w:rPr>
          <w:sz w:val="24"/>
        </w:rPr>
        <w:t>динамики,</w:t>
      </w:r>
      <w:r>
        <w:rPr>
          <w:spacing w:val="40"/>
          <w:sz w:val="24"/>
        </w:rPr>
        <w:t> </w:t>
      </w:r>
      <w:r>
        <w:rPr>
          <w:sz w:val="24"/>
        </w:rPr>
        <w:t>если</w:t>
      </w:r>
      <w:r>
        <w:rPr>
          <w:spacing w:val="40"/>
          <w:sz w:val="24"/>
        </w:rPr>
        <w:t> </w:t>
      </w:r>
      <w:r>
        <w:rPr>
          <w:sz w:val="24"/>
        </w:rPr>
        <w:t>имеются</w:t>
      </w:r>
      <w:r>
        <w:rPr>
          <w:spacing w:val="40"/>
          <w:sz w:val="24"/>
        </w:rPr>
        <w:t> </w:t>
      </w:r>
      <w:r>
        <w:rPr>
          <w:sz w:val="24"/>
        </w:rPr>
        <w:t>данные предыдущих КТ;</w:t>
      </w:r>
    </w:p>
    <w:p>
      <w:pPr>
        <w:pStyle w:val="ListParagraph"/>
        <w:numPr>
          <w:ilvl w:val="0"/>
          <w:numId w:val="70"/>
        </w:numPr>
        <w:tabs>
          <w:tab w:pos="2268" w:val="left" w:leader="none"/>
        </w:tabs>
        <w:spacing w:line="268" w:lineRule="auto" w:before="12" w:after="0"/>
        <w:ind w:left="2268" w:right="1278" w:hanging="360"/>
        <w:jc w:val="both"/>
        <w:rPr>
          <w:sz w:val="24"/>
        </w:rPr>
      </w:pPr>
      <w:r>
        <w:rPr>
          <w:sz w:val="24"/>
        </w:rPr>
        <w:t>В </w:t>
      </w:r>
      <w:r>
        <w:rPr>
          <w:b/>
          <w:sz w:val="24"/>
        </w:rPr>
        <w:t>заключении </w:t>
      </w:r>
      <w:r>
        <w:rPr>
          <w:sz w:val="24"/>
        </w:rPr>
        <w:t>приводится вероятностная оценка связи выявленных изменений</w:t>
      </w:r>
      <w:r>
        <w:rPr>
          <w:spacing w:val="40"/>
          <w:sz w:val="24"/>
        </w:rPr>
        <w:t> </w:t>
      </w:r>
      <w:r>
        <w:rPr>
          <w:sz w:val="24"/>
        </w:rPr>
        <w:t>с COVID-19 согласно международным рекомендациям и примерный объем поражения легких (см. ниже).</w:t>
      </w:r>
    </w:p>
    <w:p>
      <w:pPr>
        <w:pStyle w:val="BodyText"/>
        <w:spacing w:before="23"/>
        <w:ind w:left="0"/>
        <w:jc w:val="left"/>
      </w:pPr>
    </w:p>
    <w:p>
      <w:pPr>
        <w:pStyle w:val="Heading3"/>
        <w:spacing w:line="312" w:lineRule="auto"/>
        <w:ind w:left="1841" w:right="1282" w:firstLine="707"/>
      </w:pPr>
      <w:r>
        <w:rPr/>
        <w:t>Всегда следует помнить о том, что исследование может быть проведено пациенту с любой патологией легких, сердца, средостения и других органов!</w:t>
      </w:r>
    </w:p>
    <w:p>
      <w:pPr>
        <w:pStyle w:val="BodyText"/>
        <w:spacing w:before="83"/>
        <w:ind w:left="0"/>
        <w:jc w:val="left"/>
        <w:rPr>
          <w:b/>
        </w:rPr>
      </w:pPr>
    </w:p>
    <w:p>
      <w:pPr>
        <w:pStyle w:val="BodyText"/>
        <w:spacing w:line="312" w:lineRule="auto"/>
        <w:ind w:right="1273" w:firstLine="707"/>
      </w:pPr>
      <w:r>
        <w:rPr/>
        <w:t>Принципы оценки изменений легочной ткани при COVID-19 по данным КТ ОГК</w:t>
      </w:r>
      <w:r>
        <w:rPr>
          <w:spacing w:val="-2"/>
        </w:rPr>
        <w:t> </w:t>
      </w:r>
      <w:r>
        <w:rPr/>
        <w:t>представлены</w:t>
      </w:r>
      <w:r>
        <w:rPr>
          <w:spacing w:val="-3"/>
        </w:rPr>
        <w:t> </w:t>
      </w:r>
      <w:r>
        <w:rPr/>
        <w:t>в</w:t>
      </w:r>
      <w:r>
        <w:rPr>
          <w:spacing w:val="-3"/>
        </w:rPr>
        <w:t> </w:t>
      </w:r>
      <w:r>
        <w:rPr/>
        <w:t>таблице.</w:t>
      </w:r>
      <w:r>
        <w:rPr>
          <w:spacing w:val="-2"/>
        </w:rPr>
        <w:t> </w:t>
      </w:r>
      <w:r>
        <w:rPr/>
        <w:t>Процент</w:t>
      </w:r>
      <w:r>
        <w:rPr>
          <w:spacing w:val="-5"/>
        </w:rPr>
        <w:t> </w:t>
      </w:r>
      <w:r>
        <w:rPr/>
        <w:t>поражения</w:t>
      </w:r>
      <w:r>
        <w:rPr>
          <w:spacing w:val="-2"/>
        </w:rPr>
        <w:t> </w:t>
      </w:r>
      <w:r>
        <w:rPr/>
        <w:t>оценивается</w:t>
      </w:r>
      <w:r>
        <w:rPr>
          <w:spacing w:val="-3"/>
        </w:rPr>
        <w:t> </w:t>
      </w:r>
      <w:r>
        <w:rPr/>
        <w:t>отдельно</w:t>
      </w:r>
      <w:r>
        <w:rPr>
          <w:spacing w:val="-2"/>
        </w:rPr>
        <w:t> </w:t>
      </w:r>
      <w:r>
        <w:rPr/>
        <w:t>по</w:t>
      </w:r>
      <w:r>
        <w:rPr>
          <w:spacing w:val="-2"/>
        </w:rPr>
        <w:t> </w:t>
      </w:r>
      <w:r>
        <w:rPr/>
        <w:t>каждому легкому. Степень изменений оценивается по легкому с наибольшим поражением</w:t>
      </w:r>
      <w:r>
        <w:rPr>
          <w:spacing w:val="40"/>
        </w:rPr>
        <w:t> </w:t>
      </w:r>
      <w:r>
        <w:rPr/>
        <w:t>(вне зависимости от наличия постоперационных изменений).</w:t>
      </w:r>
    </w:p>
    <w:p>
      <w:pPr>
        <w:pStyle w:val="BodyText"/>
        <w:spacing w:after="0" w:line="312" w:lineRule="auto"/>
        <w:sectPr>
          <w:pgSz w:w="11900" w:h="16840"/>
          <w:pgMar w:header="0" w:footer="697" w:top="1080" w:bottom="880" w:left="0" w:right="0"/>
        </w:sectPr>
      </w:pPr>
    </w:p>
    <w:p>
      <w:pPr>
        <w:pStyle w:val="Heading3"/>
        <w:spacing w:before="73"/>
        <w:ind w:left="562"/>
        <w:jc w:val="center"/>
      </w:pPr>
      <w:bookmarkStart w:name="164" w:id="193"/>
      <w:bookmarkEnd w:id="193"/>
      <w:r>
        <w:rPr>
          <w:b w:val="0"/>
        </w:rPr>
      </w:r>
      <w:r>
        <w:rPr>
          <w:spacing w:val="-2"/>
        </w:rPr>
        <w:t>Рекомендации по</w:t>
      </w:r>
      <w:r>
        <w:rPr/>
        <w:t> </w:t>
      </w:r>
      <w:r>
        <w:rPr>
          <w:spacing w:val="-2"/>
        </w:rPr>
        <w:t>формулировке</w:t>
      </w:r>
      <w:r>
        <w:rPr/>
        <w:t> </w:t>
      </w:r>
      <w:r>
        <w:rPr>
          <w:spacing w:val="-2"/>
        </w:rPr>
        <w:t>заключения</w:t>
      </w:r>
      <w:r>
        <w:rPr/>
        <w:t> </w:t>
      </w:r>
      <w:r>
        <w:rPr>
          <w:spacing w:val="-5"/>
        </w:rPr>
        <w:t>КТ:</w:t>
      </w:r>
    </w:p>
    <w:p>
      <w:pPr>
        <w:spacing w:line="276" w:lineRule="exact" w:before="0"/>
        <w:ind w:left="563" w:right="0" w:firstLine="0"/>
        <w:jc w:val="center"/>
        <w:rPr>
          <w:b/>
          <w:sz w:val="24"/>
        </w:rPr>
      </w:pPr>
      <w:r>
        <w:rPr>
          <w:b/>
          <w:sz w:val="24"/>
        </w:rPr>
        <w:t>вероятность</w:t>
      </w:r>
      <w:r>
        <w:rPr>
          <w:b/>
          <w:spacing w:val="-15"/>
          <w:sz w:val="24"/>
        </w:rPr>
        <w:t> </w:t>
      </w:r>
      <w:r>
        <w:rPr>
          <w:b/>
          <w:sz w:val="24"/>
        </w:rPr>
        <w:t>связи</w:t>
      </w:r>
      <w:r>
        <w:rPr>
          <w:b/>
          <w:spacing w:val="-15"/>
          <w:sz w:val="24"/>
        </w:rPr>
        <w:t> </w:t>
      </w:r>
      <w:r>
        <w:rPr>
          <w:b/>
          <w:sz w:val="24"/>
        </w:rPr>
        <w:t>выявленных</w:t>
      </w:r>
      <w:r>
        <w:rPr>
          <w:b/>
          <w:spacing w:val="-15"/>
          <w:sz w:val="24"/>
        </w:rPr>
        <w:t> </w:t>
      </w:r>
      <w:r>
        <w:rPr>
          <w:b/>
          <w:sz w:val="24"/>
        </w:rPr>
        <w:t>изменений</w:t>
      </w:r>
      <w:r>
        <w:rPr>
          <w:b/>
          <w:spacing w:val="-15"/>
          <w:sz w:val="24"/>
        </w:rPr>
        <w:t> </w:t>
      </w:r>
      <w:r>
        <w:rPr>
          <w:b/>
          <w:sz w:val="24"/>
        </w:rPr>
        <w:t>с</w:t>
      </w:r>
      <w:r>
        <w:rPr>
          <w:b/>
          <w:spacing w:val="-15"/>
          <w:sz w:val="24"/>
        </w:rPr>
        <w:t> </w:t>
      </w:r>
      <w:r>
        <w:rPr>
          <w:b/>
          <w:sz w:val="24"/>
        </w:rPr>
        <w:t>пневмонией</w:t>
      </w:r>
      <w:r>
        <w:rPr>
          <w:b/>
          <w:spacing w:val="-15"/>
          <w:sz w:val="24"/>
        </w:rPr>
        <w:t> </w:t>
      </w:r>
      <w:r>
        <w:rPr>
          <w:b/>
          <w:sz w:val="24"/>
        </w:rPr>
        <w:t>COVID-</w:t>
      </w:r>
      <w:r>
        <w:rPr>
          <w:b/>
          <w:spacing w:val="-5"/>
          <w:sz w:val="24"/>
        </w:rPr>
        <w:t>19</w:t>
      </w:r>
    </w:p>
    <w:p>
      <w:pPr>
        <w:pStyle w:val="BodyText"/>
        <w:ind w:left="564"/>
        <w:jc w:val="center"/>
      </w:pPr>
      <w:r>
        <w:rPr>
          <w:spacing w:val="-2"/>
        </w:rPr>
        <w:t>(рекомендации</w:t>
      </w:r>
      <w:r>
        <w:rPr>
          <w:spacing w:val="12"/>
        </w:rPr>
        <w:t> </w:t>
      </w:r>
      <w:r>
        <w:rPr>
          <w:spacing w:val="-2"/>
        </w:rPr>
        <w:t>RSNA/ACR/BSTI/ESR-ESTI)</w:t>
      </w:r>
    </w:p>
    <w:tbl>
      <w:tblPr>
        <w:tblW w:w="0" w:type="auto"/>
        <w:jc w:val="left"/>
        <w:tblInd w:w="1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5099"/>
        <w:gridCol w:w="4823"/>
      </w:tblGrid>
      <w:tr>
        <w:trPr>
          <w:trHeight w:val="408" w:hRule="atLeast"/>
        </w:trPr>
        <w:tc>
          <w:tcPr>
            <w:tcW w:w="5099" w:type="dxa"/>
            <w:tcBorders>
              <w:bottom w:val="single" w:sz="6" w:space="0" w:color="000000"/>
            </w:tcBorders>
            <w:shd w:val="clear" w:color="auto" w:fill="F1F1F1"/>
          </w:tcPr>
          <w:p>
            <w:pPr>
              <w:pStyle w:val="TableParagraph"/>
              <w:spacing w:before="77"/>
              <w:ind w:left="784"/>
              <w:rPr>
                <w:b/>
                <w:sz w:val="22"/>
              </w:rPr>
            </w:pPr>
            <w:r>
              <w:rPr>
                <w:b/>
                <w:sz w:val="22"/>
              </w:rPr>
              <w:t>Признаки</w:t>
            </w:r>
            <w:r>
              <w:rPr>
                <w:b/>
                <w:spacing w:val="-5"/>
                <w:sz w:val="22"/>
              </w:rPr>
              <w:t> </w:t>
            </w:r>
            <w:r>
              <w:rPr>
                <w:b/>
                <w:sz w:val="22"/>
              </w:rPr>
              <w:t>патологии</w:t>
            </w:r>
            <w:r>
              <w:rPr>
                <w:b/>
                <w:spacing w:val="-5"/>
                <w:sz w:val="22"/>
              </w:rPr>
              <w:t> </w:t>
            </w:r>
            <w:r>
              <w:rPr>
                <w:b/>
                <w:sz w:val="22"/>
              </w:rPr>
              <w:t>при</w:t>
            </w:r>
            <w:r>
              <w:rPr>
                <w:b/>
                <w:spacing w:val="-5"/>
                <w:sz w:val="22"/>
              </w:rPr>
              <w:t> КТ</w:t>
            </w:r>
          </w:p>
        </w:tc>
        <w:tc>
          <w:tcPr>
            <w:tcW w:w="4823" w:type="dxa"/>
            <w:tcBorders>
              <w:bottom w:val="single" w:sz="6" w:space="0" w:color="000000"/>
            </w:tcBorders>
            <w:shd w:val="clear" w:color="auto" w:fill="F1F1F1"/>
          </w:tcPr>
          <w:p>
            <w:pPr>
              <w:pStyle w:val="TableParagraph"/>
              <w:spacing w:before="77"/>
              <w:ind w:left="72"/>
              <w:rPr>
                <w:b/>
                <w:sz w:val="22"/>
              </w:rPr>
            </w:pPr>
            <w:r>
              <w:rPr>
                <w:b/>
                <w:sz w:val="22"/>
              </w:rPr>
              <w:t>Возможная</w:t>
            </w:r>
            <w:r>
              <w:rPr>
                <w:b/>
                <w:spacing w:val="-6"/>
                <w:sz w:val="22"/>
              </w:rPr>
              <w:t> </w:t>
            </w:r>
            <w:r>
              <w:rPr>
                <w:b/>
                <w:sz w:val="22"/>
              </w:rPr>
              <w:t>формулировка</w:t>
            </w:r>
            <w:r>
              <w:rPr>
                <w:b/>
                <w:spacing w:val="-5"/>
                <w:sz w:val="22"/>
              </w:rPr>
              <w:t> </w:t>
            </w:r>
            <w:r>
              <w:rPr>
                <w:b/>
                <w:sz w:val="22"/>
              </w:rPr>
              <w:t>в</w:t>
            </w:r>
            <w:r>
              <w:rPr>
                <w:b/>
                <w:spacing w:val="-5"/>
                <w:sz w:val="22"/>
              </w:rPr>
              <w:t> </w:t>
            </w:r>
            <w:r>
              <w:rPr>
                <w:b/>
                <w:spacing w:val="-2"/>
                <w:sz w:val="22"/>
              </w:rPr>
              <w:t>заключении:</w:t>
            </w:r>
          </w:p>
        </w:tc>
      </w:tr>
      <w:tr>
        <w:trPr>
          <w:trHeight w:val="3998" w:hRule="atLeast"/>
        </w:trPr>
        <w:tc>
          <w:tcPr>
            <w:tcW w:w="5099" w:type="dxa"/>
            <w:tcBorders>
              <w:top w:val="single" w:sz="6" w:space="0" w:color="000000"/>
              <w:bottom w:val="single" w:sz="6" w:space="0" w:color="000000"/>
            </w:tcBorders>
            <w:shd w:val="clear" w:color="auto" w:fill="F1F1F1"/>
          </w:tcPr>
          <w:p>
            <w:pPr>
              <w:pStyle w:val="TableParagraph"/>
              <w:spacing w:line="253" w:lineRule="exact" w:before="77"/>
              <w:ind w:left="77"/>
              <w:rPr>
                <w:b/>
                <w:sz w:val="22"/>
              </w:rPr>
            </w:pPr>
            <w:r>
              <w:rPr>
                <w:b/>
                <w:sz w:val="22"/>
              </w:rPr>
              <w:t>Типичная</w:t>
            </w:r>
            <w:r>
              <w:rPr>
                <w:b/>
                <w:spacing w:val="-3"/>
                <w:sz w:val="22"/>
              </w:rPr>
              <w:t> </w:t>
            </w:r>
            <w:r>
              <w:rPr>
                <w:b/>
                <w:spacing w:val="-2"/>
                <w:sz w:val="22"/>
              </w:rPr>
              <w:t>картина</w:t>
            </w:r>
          </w:p>
          <w:p>
            <w:pPr>
              <w:pStyle w:val="TableParagraph"/>
              <w:numPr>
                <w:ilvl w:val="0"/>
                <w:numId w:val="71"/>
              </w:numPr>
              <w:tabs>
                <w:tab w:pos="434" w:val="left" w:leader="none"/>
              </w:tabs>
              <w:spacing w:line="240" w:lineRule="auto" w:before="0" w:after="0"/>
              <w:ind w:left="434" w:right="75" w:hanging="358"/>
              <w:jc w:val="left"/>
              <w:rPr>
                <w:sz w:val="22"/>
              </w:rPr>
            </w:pPr>
            <w:r>
              <w:rPr>
                <w:sz w:val="22"/>
              </w:rPr>
              <w:t>Многочисленные</w:t>
            </w:r>
            <w:r>
              <w:rPr>
                <w:spacing w:val="-14"/>
                <w:sz w:val="22"/>
              </w:rPr>
              <w:t> </w:t>
            </w:r>
            <w:r>
              <w:rPr>
                <w:sz w:val="22"/>
              </w:rPr>
              <w:t>двусторонние</w:t>
            </w:r>
            <w:r>
              <w:rPr>
                <w:spacing w:val="-14"/>
                <w:sz w:val="22"/>
              </w:rPr>
              <w:t> </w:t>
            </w:r>
            <w:r>
              <w:rPr>
                <w:sz w:val="22"/>
              </w:rPr>
              <w:t>субплевральные уплотнения легочной ткани по типу «матового </w:t>
            </w:r>
            <w:r>
              <w:rPr>
                <w:spacing w:val="-2"/>
                <w:sz w:val="22"/>
              </w:rPr>
              <w:t>стекла»,</w:t>
            </w:r>
          </w:p>
          <w:p>
            <w:pPr>
              <w:pStyle w:val="TableParagraph"/>
              <w:numPr>
                <w:ilvl w:val="1"/>
                <w:numId w:val="71"/>
              </w:numPr>
              <w:tabs>
                <w:tab w:pos="836" w:val="left" w:leader="none"/>
              </w:tabs>
              <w:spacing w:line="260" w:lineRule="exact" w:before="0" w:after="0"/>
              <w:ind w:left="836" w:right="0" w:hanging="282"/>
              <w:jc w:val="left"/>
              <w:rPr>
                <w:sz w:val="22"/>
              </w:rPr>
            </w:pPr>
            <w:r>
              <w:rPr>
                <w:sz w:val="22"/>
              </w:rPr>
              <w:t>в</w:t>
            </w:r>
            <w:r>
              <w:rPr>
                <w:spacing w:val="-4"/>
                <w:sz w:val="22"/>
              </w:rPr>
              <w:t> </w:t>
            </w:r>
            <w:r>
              <w:rPr>
                <w:sz w:val="22"/>
              </w:rPr>
              <w:t>том</w:t>
            </w:r>
            <w:r>
              <w:rPr>
                <w:spacing w:val="-4"/>
                <w:sz w:val="22"/>
              </w:rPr>
              <w:t> </w:t>
            </w:r>
            <w:r>
              <w:rPr>
                <w:sz w:val="22"/>
              </w:rPr>
              <w:t>числе</w:t>
            </w:r>
            <w:r>
              <w:rPr>
                <w:spacing w:val="-3"/>
                <w:sz w:val="22"/>
              </w:rPr>
              <w:t> </w:t>
            </w:r>
            <w:r>
              <w:rPr>
                <w:sz w:val="22"/>
              </w:rPr>
              <w:t>с</w:t>
            </w:r>
            <w:r>
              <w:rPr>
                <w:spacing w:val="-5"/>
                <w:sz w:val="22"/>
              </w:rPr>
              <w:t> </w:t>
            </w:r>
            <w:r>
              <w:rPr>
                <w:sz w:val="22"/>
              </w:rPr>
              <w:t>консолидацией</w:t>
            </w:r>
            <w:r>
              <w:rPr>
                <w:spacing w:val="-3"/>
                <w:sz w:val="22"/>
              </w:rPr>
              <w:t> </w:t>
            </w:r>
            <w:r>
              <w:rPr>
                <w:spacing w:val="-2"/>
                <w:sz w:val="22"/>
              </w:rPr>
              <w:t>и/или</w:t>
            </w:r>
          </w:p>
          <w:p>
            <w:pPr>
              <w:pStyle w:val="TableParagraph"/>
              <w:spacing w:line="243" w:lineRule="exact"/>
              <w:ind w:left="837"/>
              <w:rPr>
                <w:sz w:val="22"/>
              </w:rPr>
            </w:pPr>
            <w:r>
              <w:rPr>
                <w:sz w:val="22"/>
              </w:rPr>
              <w:t>с</w:t>
            </w:r>
            <w:r>
              <w:rPr>
                <w:spacing w:val="-4"/>
                <w:sz w:val="22"/>
              </w:rPr>
              <w:t> </w:t>
            </w:r>
            <w:r>
              <w:rPr>
                <w:sz w:val="22"/>
              </w:rPr>
              <w:t>симптомом</w:t>
            </w:r>
            <w:r>
              <w:rPr>
                <w:spacing w:val="-4"/>
                <w:sz w:val="22"/>
              </w:rPr>
              <w:t> </w:t>
            </w:r>
            <w:r>
              <w:rPr>
                <w:sz w:val="22"/>
              </w:rPr>
              <w:t>«булыжной</w:t>
            </w:r>
            <w:r>
              <w:rPr>
                <w:spacing w:val="-6"/>
                <w:sz w:val="22"/>
              </w:rPr>
              <w:t> </w:t>
            </w:r>
            <w:r>
              <w:rPr>
                <w:spacing w:val="-2"/>
                <w:sz w:val="22"/>
              </w:rPr>
              <w:t>мостовой»;</w:t>
            </w:r>
          </w:p>
          <w:p>
            <w:pPr>
              <w:pStyle w:val="TableParagraph"/>
              <w:numPr>
                <w:ilvl w:val="0"/>
                <w:numId w:val="71"/>
              </w:numPr>
              <w:tabs>
                <w:tab w:pos="434" w:val="left" w:leader="none"/>
              </w:tabs>
              <w:spacing w:line="240" w:lineRule="auto" w:before="2" w:after="0"/>
              <w:ind w:left="434" w:right="194" w:hanging="358"/>
              <w:jc w:val="left"/>
              <w:rPr>
                <w:sz w:val="22"/>
              </w:rPr>
            </w:pPr>
            <w:r>
              <w:rPr>
                <w:sz w:val="22"/>
              </w:rPr>
              <w:t>Многочисленные двусторонние округлые участки</w:t>
            </w:r>
            <w:r>
              <w:rPr>
                <w:spacing w:val="-8"/>
                <w:sz w:val="22"/>
              </w:rPr>
              <w:t> </w:t>
            </w:r>
            <w:r>
              <w:rPr>
                <w:sz w:val="22"/>
              </w:rPr>
              <w:t>уплотнения</w:t>
            </w:r>
            <w:r>
              <w:rPr>
                <w:spacing w:val="-8"/>
                <w:sz w:val="22"/>
              </w:rPr>
              <w:t> </w:t>
            </w:r>
            <w:r>
              <w:rPr>
                <w:sz w:val="22"/>
              </w:rPr>
              <w:t>по</w:t>
            </w:r>
            <w:r>
              <w:rPr>
                <w:spacing w:val="-8"/>
                <w:sz w:val="22"/>
              </w:rPr>
              <w:t> </w:t>
            </w:r>
            <w:r>
              <w:rPr>
                <w:sz w:val="22"/>
              </w:rPr>
              <w:t>типу</w:t>
            </w:r>
            <w:r>
              <w:rPr>
                <w:spacing w:val="-9"/>
                <w:sz w:val="22"/>
              </w:rPr>
              <w:t> </w:t>
            </w:r>
            <w:r>
              <w:rPr>
                <w:sz w:val="22"/>
              </w:rPr>
              <w:t>«матового</w:t>
            </w:r>
            <w:r>
              <w:rPr>
                <w:spacing w:val="-9"/>
                <w:sz w:val="22"/>
              </w:rPr>
              <w:t> </w:t>
            </w:r>
            <w:r>
              <w:rPr>
                <w:sz w:val="22"/>
              </w:rPr>
              <w:t>стекла» в глубине легочной ткани,</w:t>
            </w:r>
          </w:p>
          <w:p>
            <w:pPr>
              <w:pStyle w:val="TableParagraph"/>
              <w:numPr>
                <w:ilvl w:val="1"/>
                <w:numId w:val="71"/>
              </w:numPr>
              <w:tabs>
                <w:tab w:pos="837" w:val="left" w:leader="none"/>
              </w:tabs>
              <w:spacing w:line="223" w:lineRule="auto" w:before="12" w:after="0"/>
              <w:ind w:left="837" w:right="343" w:hanging="283"/>
              <w:jc w:val="left"/>
              <w:rPr>
                <w:sz w:val="22"/>
              </w:rPr>
            </w:pPr>
            <w:r>
              <w:rPr>
                <w:sz w:val="22"/>
              </w:rPr>
              <w:t>в</w:t>
            </w:r>
            <w:r>
              <w:rPr>
                <w:spacing w:val="-7"/>
                <w:sz w:val="22"/>
              </w:rPr>
              <w:t> </w:t>
            </w:r>
            <w:r>
              <w:rPr>
                <w:sz w:val="22"/>
              </w:rPr>
              <w:t>том</w:t>
            </w:r>
            <w:r>
              <w:rPr>
                <w:spacing w:val="-7"/>
                <w:sz w:val="22"/>
              </w:rPr>
              <w:t> </w:t>
            </w:r>
            <w:r>
              <w:rPr>
                <w:sz w:val="22"/>
              </w:rPr>
              <w:t>числе</w:t>
            </w:r>
            <w:r>
              <w:rPr>
                <w:spacing w:val="-6"/>
                <w:sz w:val="22"/>
              </w:rPr>
              <w:t> </w:t>
            </w:r>
            <w:r>
              <w:rPr>
                <w:sz w:val="22"/>
              </w:rPr>
              <w:t>в</w:t>
            </w:r>
            <w:r>
              <w:rPr>
                <w:spacing w:val="-7"/>
                <w:sz w:val="22"/>
              </w:rPr>
              <w:t> </w:t>
            </w:r>
            <w:r>
              <w:rPr>
                <w:sz w:val="22"/>
              </w:rPr>
              <w:t>сочетании</w:t>
            </w:r>
            <w:r>
              <w:rPr>
                <w:spacing w:val="-8"/>
                <w:sz w:val="22"/>
              </w:rPr>
              <w:t> </w:t>
            </w:r>
            <w:r>
              <w:rPr>
                <w:sz w:val="22"/>
              </w:rPr>
              <w:t>с</w:t>
            </w:r>
            <w:r>
              <w:rPr>
                <w:spacing w:val="-8"/>
                <w:sz w:val="22"/>
              </w:rPr>
              <w:t> </w:t>
            </w:r>
            <w:r>
              <w:rPr>
                <w:sz w:val="22"/>
              </w:rPr>
              <w:t>консолидацией и/или</w:t>
            </w:r>
            <w:r>
              <w:rPr>
                <w:spacing w:val="-10"/>
                <w:sz w:val="22"/>
              </w:rPr>
              <w:t> </w:t>
            </w:r>
            <w:r>
              <w:rPr>
                <w:sz w:val="22"/>
              </w:rPr>
              <w:t>симптомом</w:t>
            </w:r>
            <w:r>
              <w:rPr>
                <w:spacing w:val="-10"/>
                <w:sz w:val="22"/>
              </w:rPr>
              <w:t> </w:t>
            </w:r>
            <w:r>
              <w:rPr>
                <w:sz w:val="22"/>
              </w:rPr>
              <w:t>«булыжной</w:t>
            </w:r>
            <w:r>
              <w:rPr>
                <w:spacing w:val="-10"/>
                <w:sz w:val="22"/>
              </w:rPr>
              <w:t> </w:t>
            </w:r>
            <w:r>
              <w:rPr>
                <w:sz w:val="22"/>
              </w:rPr>
              <w:t>мостовой»;</w:t>
            </w:r>
          </w:p>
          <w:p>
            <w:pPr>
              <w:pStyle w:val="TableParagraph"/>
              <w:numPr>
                <w:ilvl w:val="0"/>
                <w:numId w:val="71"/>
              </w:numPr>
              <w:tabs>
                <w:tab w:pos="437" w:val="left" w:leader="none"/>
              </w:tabs>
              <w:spacing w:line="240" w:lineRule="auto" w:before="2" w:after="0"/>
              <w:ind w:left="437" w:right="351" w:hanging="360"/>
              <w:jc w:val="left"/>
              <w:rPr>
                <w:sz w:val="22"/>
              </w:rPr>
            </w:pPr>
            <w:r>
              <w:rPr>
                <w:sz w:val="22"/>
              </w:rPr>
              <w:t>Участки уплотнения легочной ткани в виде сочетания</w:t>
            </w:r>
            <w:r>
              <w:rPr>
                <w:spacing w:val="-11"/>
                <w:sz w:val="22"/>
              </w:rPr>
              <w:t> </w:t>
            </w:r>
            <w:r>
              <w:rPr>
                <w:sz w:val="22"/>
              </w:rPr>
              <w:t>«матового</w:t>
            </w:r>
            <w:r>
              <w:rPr>
                <w:spacing w:val="-9"/>
                <w:sz w:val="22"/>
              </w:rPr>
              <w:t> </w:t>
            </w:r>
            <w:r>
              <w:rPr>
                <w:sz w:val="22"/>
              </w:rPr>
              <w:t>стекла»</w:t>
            </w:r>
            <w:r>
              <w:rPr>
                <w:spacing w:val="-10"/>
                <w:sz w:val="22"/>
              </w:rPr>
              <w:t> </w:t>
            </w:r>
            <w:r>
              <w:rPr>
                <w:sz w:val="22"/>
              </w:rPr>
              <w:t>и</w:t>
            </w:r>
            <w:r>
              <w:rPr>
                <w:spacing w:val="-11"/>
                <w:sz w:val="22"/>
              </w:rPr>
              <w:t> </w:t>
            </w:r>
            <w:r>
              <w:rPr>
                <w:sz w:val="22"/>
              </w:rPr>
              <w:t>консолидации с симптом «обратного ореола» как признаки организующейся пневмонии.</w:t>
            </w:r>
          </w:p>
        </w:tc>
        <w:tc>
          <w:tcPr>
            <w:tcW w:w="4823" w:type="dxa"/>
            <w:tcBorders>
              <w:top w:val="single" w:sz="6" w:space="0" w:color="000000"/>
              <w:bottom w:val="single" w:sz="6" w:space="0" w:color="000000"/>
            </w:tcBorders>
            <w:shd w:val="clear" w:color="auto" w:fill="F1F1F1"/>
          </w:tcPr>
          <w:p>
            <w:pPr>
              <w:pStyle w:val="TableParagraph"/>
              <w:spacing w:before="77"/>
              <w:ind w:left="72" w:right="616"/>
              <w:rPr>
                <w:sz w:val="22"/>
              </w:rPr>
            </w:pPr>
            <w:r>
              <w:rPr>
                <w:b/>
                <w:sz w:val="22"/>
              </w:rPr>
              <w:t>Высокая вероятность пневмонии</w:t>
            </w:r>
            <w:r>
              <w:rPr>
                <w:b/>
                <w:spacing w:val="80"/>
                <w:sz w:val="22"/>
              </w:rPr>
              <w:t> </w:t>
            </w:r>
            <w:r>
              <w:rPr>
                <w:b/>
                <w:sz w:val="22"/>
              </w:rPr>
              <w:t>COVID</w:t>
            </w:r>
            <w:r>
              <w:rPr>
                <w:b/>
                <w:spacing w:val="-7"/>
                <w:sz w:val="22"/>
              </w:rPr>
              <w:t> </w:t>
            </w:r>
            <w:r>
              <w:rPr>
                <w:b/>
                <w:sz w:val="22"/>
              </w:rPr>
              <w:t>-19,</w:t>
            </w:r>
            <w:r>
              <w:rPr>
                <w:b/>
                <w:spacing w:val="-9"/>
                <w:sz w:val="22"/>
              </w:rPr>
              <w:t> </w:t>
            </w:r>
            <w:r>
              <w:rPr>
                <w:sz w:val="22"/>
              </w:rPr>
              <w:t>с</w:t>
            </w:r>
            <w:r>
              <w:rPr>
                <w:spacing w:val="-6"/>
                <w:sz w:val="22"/>
              </w:rPr>
              <w:t> </w:t>
            </w:r>
            <w:r>
              <w:rPr>
                <w:sz w:val="22"/>
              </w:rPr>
              <w:t>учетом</w:t>
            </w:r>
            <w:r>
              <w:rPr>
                <w:spacing w:val="-9"/>
                <w:sz w:val="22"/>
              </w:rPr>
              <w:t> </w:t>
            </w:r>
            <w:r>
              <w:rPr>
                <w:sz w:val="22"/>
              </w:rPr>
              <w:t>клинической</w:t>
            </w:r>
            <w:r>
              <w:rPr>
                <w:spacing w:val="-8"/>
                <w:sz w:val="22"/>
              </w:rPr>
              <w:t> </w:t>
            </w:r>
            <w:r>
              <w:rPr>
                <w:sz w:val="22"/>
              </w:rPr>
              <w:t>картины</w:t>
            </w:r>
          </w:p>
          <w:p>
            <w:pPr>
              <w:pStyle w:val="TableParagraph"/>
              <w:ind w:left="72"/>
              <w:rPr>
                <w:sz w:val="22"/>
              </w:rPr>
            </w:pPr>
            <w:r>
              <w:rPr>
                <w:sz w:val="22"/>
              </w:rPr>
              <w:t>имеются</w:t>
            </w:r>
            <w:r>
              <w:rPr>
                <w:spacing w:val="-9"/>
                <w:sz w:val="22"/>
              </w:rPr>
              <w:t> </w:t>
            </w:r>
            <w:r>
              <w:rPr>
                <w:sz w:val="22"/>
              </w:rPr>
              <w:t>типичные</w:t>
            </w:r>
            <w:r>
              <w:rPr>
                <w:spacing w:val="-6"/>
                <w:sz w:val="22"/>
              </w:rPr>
              <w:t> </w:t>
            </w:r>
            <w:r>
              <w:rPr>
                <w:sz w:val="22"/>
              </w:rPr>
              <w:t>КТ-признаки</w:t>
            </w:r>
            <w:r>
              <w:rPr>
                <w:spacing w:val="-7"/>
                <w:sz w:val="22"/>
              </w:rPr>
              <w:t> </w:t>
            </w:r>
            <w:r>
              <w:rPr>
                <w:spacing w:val="-2"/>
                <w:sz w:val="22"/>
              </w:rPr>
              <w:t>заболевания.</w:t>
            </w:r>
          </w:p>
          <w:p>
            <w:pPr>
              <w:pStyle w:val="TableParagraph"/>
              <w:spacing w:before="251"/>
              <w:ind w:left="72"/>
              <w:jc w:val="both"/>
              <w:rPr>
                <w:sz w:val="22"/>
              </w:rPr>
            </w:pPr>
            <w:r>
              <w:rPr>
                <w:sz w:val="22"/>
              </w:rPr>
              <w:t>Схожие</w:t>
            </w:r>
            <w:r>
              <w:rPr>
                <w:spacing w:val="-5"/>
                <w:sz w:val="22"/>
              </w:rPr>
              <w:t> </w:t>
            </w:r>
            <w:r>
              <w:rPr>
                <w:sz w:val="22"/>
              </w:rPr>
              <w:t>изменения</w:t>
            </w:r>
            <w:r>
              <w:rPr>
                <w:spacing w:val="-4"/>
                <w:sz w:val="22"/>
              </w:rPr>
              <w:t> </w:t>
            </w:r>
            <w:r>
              <w:rPr>
                <w:sz w:val="22"/>
              </w:rPr>
              <w:t>могут</w:t>
            </w:r>
            <w:r>
              <w:rPr>
                <w:spacing w:val="-6"/>
                <w:sz w:val="22"/>
              </w:rPr>
              <w:t> </w:t>
            </w:r>
            <w:r>
              <w:rPr>
                <w:spacing w:val="-2"/>
                <w:sz w:val="22"/>
              </w:rPr>
              <w:t>встречаться</w:t>
            </w:r>
          </w:p>
          <w:p>
            <w:pPr>
              <w:pStyle w:val="TableParagraph"/>
              <w:spacing w:before="1"/>
              <w:ind w:left="72" w:right="658"/>
              <w:jc w:val="both"/>
              <w:rPr>
                <w:sz w:val="22"/>
              </w:rPr>
            </w:pPr>
            <w:r>
              <w:rPr>
                <w:sz w:val="22"/>
              </w:rPr>
              <w:t>при других вирусных пневмониях, а также при</w:t>
            </w:r>
            <w:r>
              <w:rPr>
                <w:spacing w:val="-7"/>
                <w:sz w:val="22"/>
              </w:rPr>
              <w:t> </w:t>
            </w:r>
            <w:r>
              <w:rPr>
                <w:sz w:val="22"/>
              </w:rPr>
              <w:t>болезнях</w:t>
            </w:r>
            <w:r>
              <w:rPr>
                <w:spacing w:val="-6"/>
                <w:sz w:val="22"/>
              </w:rPr>
              <w:t> </w:t>
            </w:r>
            <w:r>
              <w:rPr>
                <w:sz w:val="22"/>
              </w:rPr>
              <w:t>соединительной</w:t>
            </w:r>
            <w:r>
              <w:rPr>
                <w:spacing w:val="-6"/>
                <w:sz w:val="22"/>
              </w:rPr>
              <w:t> </w:t>
            </w:r>
            <w:r>
              <w:rPr>
                <w:sz w:val="22"/>
              </w:rPr>
              <w:t>ткани,</w:t>
            </w:r>
            <w:r>
              <w:rPr>
                <w:spacing w:val="-7"/>
                <w:sz w:val="22"/>
              </w:rPr>
              <w:t> </w:t>
            </w:r>
            <w:r>
              <w:rPr>
                <w:sz w:val="22"/>
              </w:rPr>
              <w:t>могут быть</w:t>
            </w:r>
            <w:r>
              <w:rPr>
                <w:spacing w:val="-9"/>
                <w:sz w:val="22"/>
              </w:rPr>
              <w:t> </w:t>
            </w:r>
            <w:r>
              <w:rPr>
                <w:sz w:val="22"/>
              </w:rPr>
              <w:t>связанными</w:t>
            </w:r>
            <w:r>
              <w:rPr>
                <w:spacing w:val="-11"/>
                <w:sz w:val="22"/>
              </w:rPr>
              <w:t> </w:t>
            </w:r>
            <w:r>
              <w:rPr>
                <w:sz w:val="22"/>
              </w:rPr>
              <w:t>с</w:t>
            </w:r>
            <w:r>
              <w:rPr>
                <w:spacing w:val="-9"/>
                <w:sz w:val="22"/>
              </w:rPr>
              <w:t> </w:t>
            </w:r>
            <w:r>
              <w:rPr>
                <w:sz w:val="22"/>
              </w:rPr>
              <w:t>токсическим</w:t>
            </w:r>
            <w:r>
              <w:rPr>
                <w:spacing w:val="-9"/>
                <w:sz w:val="22"/>
              </w:rPr>
              <w:t> </w:t>
            </w:r>
            <w:r>
              <w:rPr>
                <w:sz w:val="22"/>
              </w:rPr>
              <w:t>действием лекарств или иметь другую этиологию.</w:t>
            </w:r>
          </w:p>
        </w:tc>
      </w:tr>
      <w:tr>
        <w:trPr>
          <w:trHeight w:val="3695" w:hRule="atLeast"/>
        </w:trPr>
        <w:tc>
          <w:tcPr>
            <w:tcW w:w="5099" w:type="dxa"/>
            <w:tcBorders>
              <w:top w:val="single" w:sz="6" w:space="0" w:color="000000"/>
              <w:bottom w:val="single" w:sz="6" w:space="0" w:color="000000"/>
            </w:tcBorders>
          </w:tcPr>
          <w:p>
            <w:pPr>
              <w:pStyle w:val="TableParagraph"/>
              <w:spacing w:before="71"/>
              <w:ind w:left="77"/>
              <w:rPr>
                <w:sz w:val="22"/>
              </w:rPr>
            </w:pPr>
            <w:r>
              <w:rPr>
                <w:b/>
                <w:sz w:val="22"/>
              </w:rPr>
              <w:t>Неопределенная</w:t>
            </w:r>
            <w:r>
              <w:rPr>
                <w:b/>
                <w:spacing w:val="-11"/>
                <w:sz w:val="22"/>
              </w:rPr>
              <w:t> </w:t>
            </w:r>
            <w:r>
              <w:rPr>
                <w:b/>
                <w:sz w:val="22"/>
              </w:rPr>
              <w:t>картина</w:t>
            </w:r>
            <w:r>
              <w:rPr>
                <w:b/>
                <w:spacing w:val="-9"/>
                <w:sz w:val="22"/>
              </w:rPr>
              <w:t> </w:t>
            </w:r>
            <w:r>
              <w:rPr>
                <w:b/>
                <w:sz w:val="22"/>
              </w:rPr>
              <w:t>–</w:t>
            </w:r>
            <w:r>
              <w:rPr>
                <w:b/>
                <w:spacing w:val="-9"/>
                <w:sz w:val="22"/>
              </w:rPr>
              <w:t> </w:t>
            </w:r>
            <w:r>
              <w:rPr>
                <w:sz w:val="22"/>
              </w:rPr>
              <w:t>отсутствие</w:t>
            </w:r>
            <w:r>
              <w:rPr>
                <w:spacing w:val="-9"/>
                <w:sz w:val="22"/>
              </w:rPr>
              <w:t> </w:t>
            </w:r>
            <w:r>
              <w:rPr>
                <w:sz w:val="22"/>
              </w:rPr>
              <w:t>типичной картины и</w:t>
            </w:r>
          </w:p>
          <w:p>
            <w:pPr>
              <w:pStyle w:val="TableParagraph"/>
              <w:numPr>
                <w:ilvl w:val="0"/>
                <w:numId w:val="72"/>
              </w:numPr>
              <w:tabs>
                <w:tab w:pos="437" w:val="left" w:leader="none"/>
              </w:tabs>
              <w:spacing w:line="240" w:lineRule="auto" w:before="1" w:after="0"/>
              <w:ind w:left="437" w:right="319" w:hanging="360"/>
              <w:jc w:val="left"/>
              <w:rPr>
                <w:sz w:val="22"/>
              </w:rPr>
            </w:pPr>
            <w:r>
              <w:rPr>
                <w:sz w:val="22"/>
              </w:rPr>
              <w:t>Участки</w:t>
            </w:r>
            <w:r>
              <w:rPr>
                <w:spacing w:val="-14"/>
                <w:sz w:val="22"/>
              </w:rPr>
              <w:t> </w:t>
            </w:r>
            <w:r>
              <w:rPr>
                <w:sz w:val="22"/>
              </w:rPr>
              <w:t>«матового</w:t>
            </w:r>
            <w:r>
              <w:rPr>
                <w:spacing w:val="-12"/>
                <w:sz w:val="22"/>
              </w:rPr>
              <w:t> </w:t>
            </w:r>
            <w:r>
              <w:rPr>
                <w:sz w:val="22"/>
              </w:rPr>
              <w:t>стекла»</w:t>
            </w:r>
            <w:r>
              <w:rPr>
                <w:spacing w:val="-13"/>
                <w:sz w:val="22"/>
              </w:rPr>
              <w:t> </w:t>
            </w:r>
            <w:r>
              <w:rPr>
                <w:sz w:val="22"/>
              </w:rPr>
              <w:t>преимущественно прикорневой локализации;</w:t>
            </w:r>
          </w:p>
          <w:p>
            <w:pPr>
              <w:pStyle w:val="TableParagraph"/>
              <w:numPr>
                <w:ilvl w:val="0"/>
                <w:numId w:val="72"/>
              </w:numPr>
              <w:tabs>
                <w:tab w:pos="437" w:val="left" w:leader="none"/>
              </w:tabs>
              <w:spacing w:line="240" w:lineRule="auto" w:before="0" w:after="0"/>
              <w:ind w:left="437" w:right="1254" w:hanging="360"/>
              <w:jc w:val="left"/>
              <w:rPr>
                <w:sz w:val="22"/>
              </w:rPr>
            </w:pPr>
            <w:r>
              <w:rPr>
                <w:sz w:val="22"/>
              </w:rPr>
              <w:t>Мелкие участки «матового стекла» без типичного (периферического) распределения,</w:t>
            </w:r>
            <w:r>
              <w:rPr>
                <w:spacing w:val="-13"/>
                <w:sz w:val="22"/>
              </w:rPr>
              <w:t> </w:t>
            </w:r>
            <w:r>
              <w:rPr>
                <w:sz w:val="22"/>
              </w:rPr>
              <w:t>не</w:t>
            </w:r>
            <w:r>
              <w:rPr>
                <w:spacing w:val="-12"/>
                <w:sz w:val="22"/>
              </w:rPr>
              <w:t> </w:t>
            </w:r>
            <w:r>
              <w:rPr>
                <w:sz w:val="22"/>
              </w:rPr>
              <w:t>округлой</w:t>
            </w:r>
            <w:r>
              <w:rPr>
                <w:spacing w:val="-13"/>
                <w:sz w:val="22"/>
              </w:rPr>
              <w:t> </w:t>
            </w:r>
            <w:r>
              <w:rPr>
                <w:sz w:val="22"/>
              </w:rPr>
              <w:t>формы;</w:t>
            </w:r>
          </w:p>
          <w:p>
            <w:pPr>
              <w:pStyle w:val="TableParagraph"/>
              <w:numPr>
                <w:ilvl w:val="0"/>
                <w:numId w:val="72"/>
              </w:numPr>
              <w:tabs>
                <w:tab w:pos="437" w:val="left" w:leader="none"/>
              </w:tabs>
              <w:spacing w:line="237" w:lineRule="auto" w:before="0" w:after="0"/>
              <w:ind w:left="437" w:right="592" w:hanging="360"/>
              <w:jc w:val="left"/>
              <w:rPr>
                <w:sz w:val="22"/>
              </w:rPr>
            </w:pPr>
            <w:r>
              <w:rPr>
                <w:sz w:val="22"/>
              </w:rPr>
              <w:t>Односторонние</w:t>
            </w:r>
            <w:r>
              <w:rPr>
                <w:spacing w:val="-13"/>
                <w:sz w:val="22"/>
              </w:rPr>
              <w:t> </w:t>
            </w:r>
            <w:r>
              <w:rPr>
                <w:sz w:val="22"/>
              </w:rPr>
              <w:t>участки</w:t>
            </w:r>
            <w:r>
              <w:rPr>
                <w:spacing w:val="-13"/>
                <w:sz w:val="22"/>
              </w:rPr>
              <w:t> </w:t>
            </w:r>
            <w:r>
              <w:rPr>
                <w:sz w:val="22"/>
              </w:rPr>
              <w:t>«матового</w:t>
            </w:r>
            <w:r>
              <w:rPr>
                <w:spacing w:val="-13"/>
                <w:sz w:val="22"/>
              </w:rPr>
              <w:t> </w:t>
            </w:r>
            <w:r>
              <w:rPr>
                <w:sz w:val="22"/>
              </w:rPr>
              <w:t>стекла» в пределах одной доли, в сочетании</w:t>
            </w:r>
          </w:p>
          <w:p>
            <w:pPr>
              <w:pStyle w:val="TableParagraph"/>
              <w:spacing w:before="2"/>
              <w:ind w:left="437"/>
              <w:rPr>
                <w:sz w:val="22"/>
              </w:rPr>
            </w:pPr>
            <w:r>
              <w:rPr>
                <w:sz w:val="22"/>
              </w:rPr>
              <w:t>с</w:t>
            </w:r>
            <w:r>
              <w:rPr>
                <w:spacing w:val="-4"/>
                <w:sz w:val="22"/>
              </w:rPr>
              <w:t> </w:t>
            </w:r>
            <w:r>
              <w:rPr>
                <w:sz w:val="22"/>
              </w:rPr>
              <w:t>консолидацией</w:t>
            </w:r>
            <w:r>
              <w:rPr>
                <w:spacing w:val="-5"/>
                <w:sz w:val="22"/>
              </w:rPr>
              <w:t> </w:t>
            </w:r>
            <w:r>
              <w:rPr>
                <w:sz w:val="22"/>
              </w:rPr>
              <w:t>или</w:t>
            </w:r>
            <w:r>
              <w:rPr>
                <w:spacing w:val="-4"/>
                <w:sz w:val="22"/>
              </w:rPr>
              <w:t> </w:t>
            </w:r>
            <w:r>
              <w:rPr>
                <w:sz w:val="22"/>
              </w:rPr>
              <w:t>без</w:t>
            </w:r>
            <w:r>
              <w:rPr>
                <w:spacing w:val="-6"/>
                <w:sz w:val="22"/>
              </w:rPr>
              <w:t> </w:t>
            </w:r>
            <w:r>
              <w:rPr>
                <w:spacing w:val="-4"/>
                <w:sz w:val="22"/>
              </w:rPr>
              <w:t>нее.</w:t>
            </w:r>
          </w:p>
        </w:tc>
        <w:tc>
          <w:tcPr>
            <w:tcW w:w="4823" w:type="dxa"/>
            <w:tcBorders>
              <w:top w:val="single" w:sz="6" w:space="0" w:color="F1F1F1"/>
              <w:bottom w:val="single" w:sz="6" w:space="0" w:color="000000"/>
            </w:tcBorders>
          </w:tcPr>
          <w:p>
            <w:pPr>
              <w:pStyle w:val="TableParagraph"/>
              <w:spacing w:before="71"/>
              <w:ind w:left="72"/>
              <w:rPr>
                <w:b/>
                <w:sz w:val="22"/>
              </w:rPr>
            </w:pPr>
            <w:r>
              <w:rPr>
                <w:b/>
                <w:sz w:val="22"/>
              </w:rPr>
              <w:t>Средняя</w:t>
            </w:r>
            <w:r>
              <w:rPr>
                <w:b/>
                <w:spacing w:val="-14"/>
                <w:sz w:val="22"/>
              </w:rPr>
              <w:t> </w:t>
            </w:r>
            <w:r>
              <w:rPr>
                <w:b/>
                <w:sz w:val="22"/>
              </w:rPr>
              <w:t>(неопределенная)</w:t>
            </w:r>
            <w:r>
              <w:rPr>
                <w:b/>
                <w:spacing w:val="-14"/>
                <w:sz w:val="22"/>
              </w:rPr>
              <w:t> </w:t>
            </w:r>
            <w:r>
              <w:rPr>
                <w:b/>
                <w:sz w:val="22"/>
              </w:rPr>
              <w:t>вероятность пневмонии COVID -19</w:t>
            </w:r>
          </w:p>
          <w:p>
            <w:pPr>
              <w:pStyle w:val="TableParagraph"/>
              <w:ind w:left="72" w:right="111"/>
              <w:rPr>
                <w:sz w:val="22"/>
              </w:rPr>
            </w:pPr>
            <w:r>
              <w:rPr>
                <w:sz w:val="22"/>
              </w:rPr>
              <w:t>Выявленные</w:t>
            </w:r>
            <w:r>
              <w:rPr>
                <w:spacing w:val="-9"/>
                <w:sz w:val="22"/>
              </w:rPr>
              <w:t> </w:t>
            </w:r>
            <w:r>
              <w:rPr>
                <w:sz w:val="22"/>
              </w:rPr>
              <w:t>изменения</w:t>
            </w:r>
            <w:r>
              <w:rPr>
                <w:spacing w:val="-9"/>
                <w:sz w:val="22"/>
              </w:rPr>
              <w:t> </w:t>
            </w:r>
            <w:r>
              <w:rPr>
                <w:sz w:val="22"/>
              </w:rPr>
              <w:t>могут</w:t>
            </w:r>
            <w:r>
              <w:rPr>
                <w:spacing w:val="-10"/>
                <w:sz w:val="22"/>
              </w:rPr>
              <w:t> </w:t>
            </w:r>
            <w:r>
              <w:rPr>
                <w:sz w:val="22"/>
              </w:rPr>
              <w:t>быть</w:t>
            </w:r>
            <w:r>
              <w:rPr>
                <w:spacing w:val="-9"/>
                <w:sz w:val="22"/>
              </w:rPr>
              <w:t> </w:t>
            </w:r>
            <w:r>
              <w:rPr>
                <w:sz w:val="22"/>
              </w:rPr>
              <w:t>проявлением COVID-19 пневмонии, но они неспецифичны</w:t>
            </w:r>
          </w:p>
          <w:p>
            <w:pPr>
              <w:pStyle w:val="TableParagraph"/>
              <w:ind w:left="72"/>
              <w:rPr>
                <w:sz w:val="22"/>
              </w:rPr>
            </w:pPr>
            <w:r>
              <w:rPr>
                <w:sz w:val="22"/>
              </w:rPr>
              <w:t>и могут встречаться при других заболеваниях легких</w:t>
            </w:r>
            <w:r>
              <w:rPr>
                <w:spacing w:val="-7"/>
                <w:sz w:val="22"/>
              </w:rPr>
              <w:t> </w:t>
            </w:r>
            <w:r>
              <w:rPr>
                <w:sz w:val="22"/>
              </w:rPr>
              <w:t>(указать</w:t>
            </w:r>
            <w:r>
              <w:rPr>
                <w:spacing w:val="-9"/>
                <w:sz w:val="22"/>
              </w:rPr>
              <w:t> </w:t>
            </w:r>
            <w:r>
              <w:rPr>
                <w:sz w:val="22"/>
              </w:rPr>
              <w:t>каких,</w:t>
            </w:r>
            <w:r>
              <w:rPr>
                <w:spacing w:val="-7"/>
                <w:sz w:val="22"/>
              </w:rPr>
              <w:t> </w:t>
            </w:r>
            <w:r>
              <w:rPr>
                <w:sz w:val="22"/>
              </w:rPr>
              <w:t>если</w:t>
            </w:r>
            <w:r>
              <w:rPr>
                <w:spacing w:val="-8"/>
                <w:sz w:val="22"/>
              </w:rPr>
              <w:t> </w:t>
            </w:r>
            <w:r>
              <w:rPr>
                <w:sz w:val="22"/>
              </w:rPr>
              <w:t>возможно;</w:t>
            </w:r>
            <w:r>
              <w:rPr>
                <w:spacing w:val="-6"/>
                <w:sz w:val="22"/>
              </w:rPr>
              <w:t> </w:t>
            </w:r>
            <w:r>
              <w:rPr>
                <w:sz w:val="22"/>
              </w:rPr>
              <w:t>например, сердечная недостаточность, бактериальная пневмония и др.).</w:t>
            </w:r>
          </w:p>
          <w:p>
            <w:pPr>
              <w:pStyle w:val="TableParagraph"/>
              <w:ind w:left="72" w:right="118"/>
              <w:rPr>
                <w:sz w:val="22"/>
              </w:rPr>
            </w:pPr>
            <w:r>
              <w:rPr>
                <w:sz w:val="22"/>
              </w:rPr>
              <w:t>Следует осторожно интерпретировать результаты КТ у пациентов с хроническими сопутствующими</w:t>
            </w:r>
            <w:r>
              <w:rPr>
                <w:spacing w:val="-13"/>
                <w:sz w:val="22"/>
              </w:rPr>
              <w:t> </w:t>
            </w:r>
            <w:r>
              <w:rPr>
                <w:sz w:val="22"/>
              </w:rPr>
              <w:t>заболеваниями,</w:t>
            </w:r>
            <w:r>
              <w:rPr>
                <w:spacing w:val="-13"/>
                <w:sz w:val="22"/>
              </w:rPr>
              <w:t> </w:t>
            </w:r>
            <w:r>
              <w:rPr>
                <w:sz w:val="22"/>
              </w:rPr>
              <w:t>при</w:t>
            </w:r>
            <w:r>
              <w:rPr>
                <w:spacing w:val="-14"/>
                <w:sz w:val="22"/>
              </w:rPr>
              <w:t> </w:t>
            </w:r>
            <w:r>
              <w:rPr>
                <w:sz w:val="22"/>
              </w:rPr>
              <w:t>которых высока вероятность появления изменений</w:t>
            </w:r>
          </w:p>
          <w:p>
            <w:pPr>
              <w:pStyle w:val="TableParagraph"/>
              <w:ind w:left="72"/>
              <w:rPr>
                <w:sz w:val="22"/>
              </w:rPr>
            </w:pPr>
            <w:r>
              <w:rPr>
                <w:sz w:val="22"/>
              </w:rPr>
              <w:t>в</w:t>
            </w:r>
            <w:r>
              <w:rPr>
                <w:spacing w:val="-10"/>
                <w:sz w:val="22"/>
              </w:rPr>
              <w:t> </w:t>
            </w:r>
            <w:r>
              <w:rPr>
                <w:sz w:val="22"/>
              </w:rPr>
              <w:t>грудной</w:t>
            </w:r>
            <w:r>
              <w:rPr>
                <w:spacing w:val="-10"/>
                <w:sz w:val="22"/>
              </w:rPr>
              <w:t> </w:t>
            </w:r>
            <w:r>
              <w:rPr>
                <w:sz w:val="22"/>
              </w:rPr>
              <w:t>полости</w:t>
            </w:r>
            <w:r>
              <w:rPr>
                <w:spacing w:val="-9"/>
                <w:sz w:val="22"/>
              </w:rPr>
              <w:t> </w:t>
            </w:r>
            <w:r>
              <w:rPr>
                <w:sz w:val="22"/>
              </w:rPr>
              <w:t>(ИБС,</w:t>
            </w:r>
            <w:r>
              <w:rPr>
                <w:spacing w:val="-12"/>
                <w:sz w:val="22"/>
              </w:rPr>
              <w:t> </w:t>
            </w:r>
            <w:r>
              <w:rPr>
                <w:sz w:val="22"/>
              </w:rPr>
              <w:t>онкологические заболевания, патология почек и др.).</w:t>
            </w:r>
          </w:p>
        </w:tc>
      </w:tr>
      <w:tr>
        <w:trPr>
          <w:trHeight w:val="3302" w:hRule="atLeast"/>
        </w:trPr>
        <w:tc>
          <w:tcPr>
            <w:tcW w:w="5099" w:type="dxa"/>
            <w:tcBorders>
              <w:top w:val="single" w:sz="6" w:space="0" w:color="000000"/>
              <w:bottom w:val="single" w:sz="6" w:space="0" w:color="000000"/>
            </w:tcBorders>
            <w:shd w:val="clear" w:color="auto" w:fill="F1F1F1"/>
          </w:tcPr>
          <w:p>
            <w:pPr>
              <w:pStyle w:val="TableParagraph"/>
              <w:spacing w:before="70"/>
              <w:ind w:left="77" w:right="664"/>
              <w:rPr>
                <w:sz w:val="22"/>
              </w:rPr>
            </w:pPr>
            <w:r>
              <w:rPr>
                <w:b/>
                <w:sz w:val="22"/>
              </w:rPr>
              <w:t>Нетипичная</w:t>
            </w:r>
            <w:r>
              <w:rPr>
                <w:b/>
                <w:spacing w:val="-10"/>
                <w:sz w:val="22"/>
              </w:rPr>
              <w:t> </w:t>
            </w:r>
            <w:r>
              <w:rPr>
                <w:b/>
                <w:sz w:val="22"/>
              </w:rPr>
              <w:t>картина</w:t>
            </w:r>
            <w:r>
              <w:rPr>
                <w:b/>
                <w:spacing w:val="-11"/>
                <w:sz w:val="22"/>
              </w:rPr>
              <w:t> </w:t>
            </w:r>
            <w:r>
              <w:rPr>
                <w:b/>
                <w:sz w:val="22"/>
              </w:rPr>
              <w:t>-</w:t>
            </w:r>
            <w:r>
              <w:rPr>
                <w:b/>
                <w:spacing w:val="-9"/>
                <w:sz w:val="22"/>
              </w:rPr>
              <w:t> </w:t>
            </w:r>
            <w:r>
              <w:rPr>
                <w:sz w:val="22"/>
              </w:rPr>
              <w:t>отсутствие</w:t>
            </w:r>
            <w:r>
              <w:rPr>
                <w:spacing w:val="-10"/>
                <w:sz w:val="22"/>
              </w:rPr>
              <w:t> </w:t>
            </w:r>
            <w:r>
              <w:rPr>
                <w:sz w:val="22"/>
              </w:rPr>
              <w:t>типичной и неопределённой картины и</w:t>
            </w:r>
          </w:p>
          <w:p>
            <w:pPr>
              <w:pStyle w:val="TableParagraph"/>
              <w:numPr>
                <w:ilvl w:val="0"/>
                <w:numId w:val="73"/>
              </w:numPr>
              <w:tabs>
                <w:tab w:pos="437" w:val="left" w:leader="none"/>
              </w:tabs>
              <w:spacing w:line="269" w:lineRule="exact" w:before="1" w:after="0"/>
              <w:ind w:left="437" w:right="0" w:hanging="360"/>
              <w:jc w:val="left"/>
              <w:rPr>
                <w:sz w:val="22"/>
              </w:rPr>
            </w:pPr>
            <w:r>
              <w:rPr>
                <w:sz w:val="22"/>
              </w:rPr>
              <w:t>Консолидация</w:t>
            </w:r>
            <w:r>
              <w:rPr>
                <w:spacing w:val="-9"/>
                <w:sz w:val="22"/>
              </w:rPr>
              <w:t> </w:t>
            </w:r>
            <w:r>
              <w:rPr>
                <w:sz w:val="22"/>
              </w:rPr>
              <w:t>доли</w:t>
            </w:r>
            <w:r>
              <w:rPr>
                <w:spacing w:val="-7"/>
                <w:sz w:val="22"/>
              </w:rPr>
              <w:t> </w:t>
            </w:r>
            <w:r>
              <w:rPr>
                <w:spacing w:val="-2"/>
                <w:sz w:val="22"/>
              </w:rPr>
              <w:t>(сегмента);</w:t>
            </w:r>
          </w:p>
          <w:p>
            <w:pPr>
              <w:pStyle w:val="TableParagraph"/>
              <w:numPr>
                <w:ilvl w:val="0"/>
                <w:numId w:val="73"/>
              </w:numPr>
              <w:tabs>
                <w:tab w:pos="437" w:val="left" w:leader="none"/>
              </w:tabs>
              <w:spacing w:line="269" w:lineRule="exact" w:before="0" w:after="0"/>
              <w:ind w:left="437" w:right="0" w:hanging="360"/>
              <w:jc w:val="left"/>
              <w:rPr>
                <w:sz w:val="22"/>
              </w:rPr>
            </w:pPr>
            <w:r>
              <w:rPr>
                <w:sz w:val="22"/>
              </w:rPr>
              <w:t>Очаги</w:t>
            </w:r>
            <w:r>
              <w:rPr>
                <w:spacing w:val="-4"/>
                <w:sz w:val="22"/>
              </w:rPr>
              <w:t> </w:t>
            </w:r>
            <w:r>
              <w:rPr>
                <w:sz w:val="22"/>
              </w:rPr>
              <w:t>(в</w:t>
            </w:r>
            <w:r>
              <w:rPr>
                <w:spacing w:val="-3"/>
                <w:sz w:val="22"/>
              </w:rPr>
              <w:t> </w:t>
            </w:r>
            <w:r>
              <w:rPr>
                <w:sz w:val="22"/>
              </w:rPr>
              <w:t>том</w:t>
            </w:r>
            <w:r>
              <w:rPr>
                <w:spacing w:val="-3"/>
                <w:sz w:val="22"/>
              </w:rPr>
              <w:t> </w:t>
            </w:r>
            <w:r>
              <w:rPr>
                <w:sz w:val="22"/>
              </w:rPr>
              <w:t>числе</w:t>
            </w:r>
            <w:r>
              <w:rPr>
                <w:spacing w:val="-2"/>
                <w:sz w:val="22"/>
              </w:rPr>
              <w:t> </w:t>
            </w:r>
            <w:r>
              <w:rPr>
                <w:sz w:val="22"/>
              </w:rPr>
              <w:t>симптом</w:t>
            </w:r>
            <w:r>
              <w:rPr>
                <w:spacing w:val="-3"/>
                <w:sz w:val="22"/>
              </w:rPr>
              <w:t> </w:t>
            </w:r>
            <w:r>
              <w:rPr>
                <w:sz w:val="22"/>
              </w:rPr>
              <w:t>«дерево</w:t>
            </w:r>
            <w:r>
              <w:rPr>
                <w:spacing w:val="-3"/>
                <w:sz w:val="22"/>
              </w:rPr>
              <w:t> </w:t>
            </w:r>
            <w:r>
              <w:rPr>
                <w:sz w:val="22"/>
              </w:rPr>
              <w:t>в</w:t>
            </w:r>
            <w:r>
              <w:rPr>
                <w:spacing w:val="-3"/>
                <w:sz w:val="22"/>
              </w:rPr>
              <w:t> </w:t>
            </w:r>
            <w:r>
              <w:rPr>
                <w:spacing w:val="-2"/>
                <w:sz w:val="22"/>
              </w:rPr>
              <w:t>почках»);</w:t>
            </w:r>
          </w:p>
          <w:p>
            <w:pPr>
              <w:pStyle w:val="TableParagraph"/>
              <w:numPr>
                <w:ilvl w:val="0"/>
                <w:numId w:val="73"/>
              </w:numPr>
              <w:tabs>
                <w:tab w:pos="437" w:val="left" w:leader="none"/>
              </w:tabs>
              <w:spacing w:line="269" w:lineRule="exact" w:before="0" w:after="0"/>
              <w:ind w:left="437" w:right="0" w:hanging="360"/>
              <w:jc w:val="left"/>
              <w:rPr>
                <w:sz w:val="22"/>
              </w:rPr>
            </w:pPr>
            <w:r>
              <w:rPr>
                <w:sz w:val="22"/>
              </w:rPr>
              <w:t>Объемные</w:t>
            </w:r>
            <w:r>
              <w:rPr>
                <w:spacing w:val="-7"/>
                <w:sz w:val="22"/>
              </w:rPr>
              <w:t> </w:t>
            </w:r>
            <w:r>
              <w:rPr>
                <w:spacing w:val="-2"/>
                <w:sz w:val="22"/>
              </w:rPr>
              <w:t>образования;</w:t>
            </w:r>
          </w:p>
          <w:p>
            <w:pPr>
              <w:pStyle w:val="TableParagraph"/>
              <w:numPr>
                <w:ilvl w:val="0"/>
                <w:numId w:val="73"/>
              </w:numPr>
              <w:tabs>
                <w:tab w:pos="437" w:val="left" w:leader="none"/>
              </w:tabs>
              <w:spacing w:line="269" w:lineRule="exact" w:before="0" w:after="0"/>
              <w:ind w:left="437" w:right="0" w:hanging="360"/>
              <w:jc w:val="left"/>
              <w:rPr>
                <w:sz w:val="22"/>
              </w:rPr>
            </w:pPr>
            <w:r>
              <w:rPr>
                <w:sz w:val="22"/>
              </w:rPr>
              <w:t>Полости</w:t>
            </w:r>
            <w:r>
              <w:rPr>
                <w:spacing w:val="-4"/>
                <w:sz w:val="22"/>
              </w:rPr>
              <w:t> </w:t>
            </w:r>
            <w:r>
              <w:rPr>
                <w:sz w:val="22"/>
              </w:rPr>
              <w:t>в</w:t>
            </w:r>
            <w:r>
              <w:rPr>
                <w:spacing w:val="-4"/>
                <w:sz w:val="22"/>
              </w:rPr>
              <w:t> </w:t>
            </w:r>
            <w:r>
              <w:rPr>
                <w:sz w:val="22"/>
              </w:rPr>
              <w:t>легких</w:t>
            </w:r>
            <w:r>
              <w:rPr>
                <w:spacing w:val="-2"/>
                <w:sz w:val="22"/>
              </w:rPr>
              <w:t> </w:t>
            </w:r>
            <w:r>
              <w:rPr>
                <w:sz w:val="22"/>
              </w:rPr>
              <w:t>и</w:t>
            </w:r>
            <w:r>
              <w:rPr>
                <w:spacing w:val="-4"/>
                <w:sz w:val="22"/>
              </w:rPr>
              <w:t> </w:t>
            </w:r>
            <w:r>
              <w:rPr>
                <w:sz w:val="22"/>
              </w:rPr>
              <w:t>в</w:t>
            </w:r>
            <w:r>
              <w:rPr>
                <w:spacing w:val="-4"/>
                <w:sz w:val="22"/>
              </w:rPr>
              <w:t> </w:t>
            </w:r>
            <w:r>
              <w:rPr>
                <w:sz w:val="22"/>
              </w:rPr>
              <w:t>участках</w:t>
            </w:r>
            <w:r>
              <w:rPr>
                <w:spacing w:val="-2"/>
                <w:sz w:val="22"/>
              </w:rPr>
              <w:t> консолидации;</w:t>
            </w:r>
          </w:p>
          <w:p>
            <w:pPr>
              <w:pStyle w:val="TableParagraph"/>
              <w:numPr>
                <w:ilvl w:val="0"/>
                <w:numId w:val="73"/>
              </w:numPr>
              <w:tabs>
                <w:tab w:pos="437" w:val="left" w:leader="none"/>
              </w:tabs>
              <w:spacing w:line="240" w:lineRule="auto" w:before="0" w:after="0"/>
              <w:ind w:left="437" w:right="779" w:hanging="360"/>
              <w:jc w:val="left"/>
              <w:rPr>
                <w:sz w:val="22"/>
              </w:rPr>
            </w:pPr>
            <w:r>
              <w:rPr>
                <w:sz w:val="22"/>
              </w:rPr>
              <w:t>Равномерное утолщение междольковых перегородок</w:t>
            </w:r>
            <w:r>
              <w:rPr>
                <w:spacing w:val="-9"/>
                <w:sz w:val="22"/>
              </w:rPr>
              <w:t> </w:t>
            </w:r>
            <w:r>
              <w:rPr>
                <w:sz w:val="22"/>
              </w:rPr>
              <w:t>с</w:t>
            </w:r>
            <w:r>
              <w:rPr>
                <w:spacing w:val="-12"/>
                <w:sz w:val="22"/>
              </w:rPr>
              <w:t> </w:t>
            </w:r>
            <w:r>
              <w:rPr>
                <w:sz w:val="22"/>
              </w:rPr>
              <w:t>жидкостью</w:t>
            </w:r>
            <w:r>
              <w:rPr>
                <w:spacing w:val="-11"/>
                <w:sz w:val="22"/>
              </w:rPr>
              <w:t> </w:t>
            </w:r>
            <w:r>
              <w:rPr>
                <w:sz w:val="22"/>
              </w:rPr>
              <w:t>в</w:t>
            </w:r>
            <w:r>
              <w:rPr>
                <w:spacing w:val="-11"/>
                <w:sz w:val="22"/>
              </w:rPr>
              <w:t> </w:t>
            </w:r>
            <w:r>
              <w:rPr>
                <w:sz w:val="22"/>
              </w:rPr>
              <w:t>плевральных полостях (картина отека легких);</w:t>
            </w:r>
          </w:p>
          <w:p>
            <w:pPr>
              <w:pStyle w:val="TableParagraph"/>
              <w:numPr>
                <w:ilvl w:val="0"/>
                <w:numId w:val="73"/>
              </w:numPr>
              <w:tabs>
                <w:tab w:pos="437" w:val="left" w:leader="none"/>
              </w:tabs>
              <w:spacing w:line="237" w:lineRule="auto" w:before="0" w:after="0"/>
              <w:ind w:left="437" w:right="651" w:hanging="360"/>
              <w:jc w:val="left"/>
              <w:rPr>
                <w:sz w:val="22"/>
              </w:rPr>
            </w:pPr>
            <w:r>
              <w:rPr>
                <w:sz w:val="22"/>
              </w:rPr>
              <w:t>Субплевральные</w:t>
            </w:r>
            <w:r>
              <w:rPr>
                <w:spacing w:val="-14"/>
                <w:sz w:val="22"/>
              </w:rPr>
              <w:t> </w:t>
            </w:r>
            <w:r>
              <w:rPr>
                <w:sz w:val="22"/>
              </w:rPr>
              <w:t>ретикулярные</w:t>
            </w:r>
            <w:r>
              <w:rPr>
                <w:spacing w:val="-14"/>
                <w:sz w:val="22"/>
              </w:rPr>
              <w:t> </w:t>
            </w:r>
            <w:r>
              <w:rPr>
                <w:sz w:val="22"/>
              </w:rPr>
              <w:t>(сетчатые) </w:t>
            </w:r>
            <w:r>
              <w:rPr>
                <w:spacing w:val="-2"/>
                <w:sz w:val="22"/>
              </w:rPr>
              <w:t>изменения;</w:t>
            </w:r>
          </w:p>
          <w:p>
            <w:pPr>
              <w:pStyle w:val="TableParagraph"/>
              <w:numPr>
                <w:ilvl w:val="0"/>
                <w:numId w:val="73"/>
              </w:numPr>
              <w:tabs>
                <w:tab w:pos="437" w:val="left" w:leader="none"/>
              </w:tabs>
              <w:spacing w:line="240" w:lineRule="auto" w:before="2" w:after="0"/>
              <w:ind w:left="437" w:right="0" w:hanging="360"/>
              <w:jc w:val="left"/>
              <w:rPr>
                <w:sz w:val="22"/>
              </w:rPr>
            </w:pPr>
            <w:r>
              <w:rPr>
                <w:sz w:val="22"/>
              </w:rPr>
              <w:t>Лимфаденопатия</w:t>
            </w:r>
            <w:r>
              <w:rPr>
                <w:spacing w:val="-6"/>
                <w:sz w:val="22"/>
              </w:rPr>
              <w:t> </w:t>
            </w:r>
            <w:r>
              <w:rPr>
                <w:sz w:val="22"/>
              </w:rPr>
              <w:t>без</w:t>
            </w:r>
            <w:r>
              <w:rPr>
                <w:spacing w:val="-6"/>
                <w:sz w:val="22"/>
              </w:rPr>
              <w:t> </w:t>
            </w:r>
            <w:r>
              <w:rPr>
                <w:sz w:val="22"/>
              </w:rPr>
              <w:t>изменений</w:t>
            </w:r>
            <w:r>
              <w:rPr>
                <w:spacing w:val="-6"/>
                <w:sz w:val="22"/>
              </w:rPr>
              <w:t> </w:t>
            </w:r>
            <w:r>
              <w:rPr>
                <w:sz w:val="22"/>
              </w:rPr>
              <w:t>в</w:t>
            </w:r>
            <w:r>
              <w:rPr>
                <w:spacing w:val="-6"/>
                <w:sz w:val="22"/>
              </w:rPr>
              <w:t> </w:t>
            </w:r>
            <w:r>
              <w:rPr>
                <w:spacing w:val="-2"/>
                <w:sz w:val="22"/>
              </w:rPr>
              <w:t>легких.</w:t>
            </w:r>
          </w:p>
        </w:tc>
        <w:tc>
          <w:tcPr>
            <w:tcW w:w="4823" w:type="dxa"/>
            <w:tcBorders>
              <w:top w:val="single" w:sz="6" w:space="0" w:color="000000"/>
              <w:bottom w:val="single" w:sz="6" w:space="0" w:color="000000"/>
            </w:tcBorders>
            <w:shd w:val="clear" w:color="auto" w:fill="F1F1F1"/>
          </w:tcPr>
          <w:p>
            <w:pPr>
              <w:pStyle w:val="TableParagraph"/>
              <w:spacing w:line="252" w:lineRule="exact" w:before="70"/>
              <w:ind w:left="72"/>
              <w:rPr>
                <w:b/>
                <w:sz w:val="22"/>
              </w:rPr>
            </w:pPr>
            <w:r>
              <w:rPr>
                <w:b/>
                <w:spacing w:val="-2"/>
                <w:sz w:val="22"/>
              </w:rPr>
              <w:t>Альтернативный</w:t>
            </w:r>
            <w:r>
              <w:rPr>
                <w:b/>
                <w:spacing w:val="11"/>
                <w:sz w:val="22"/>
              </w:rPr>
              <w:t> </w:t>
            </w:r>
            <w:r>
              <w:rPr>
                <w:b/>
                <w:spacing w:val="-2"/>
                <w:sz w:val="22"/>
              </w:rPr>
              <w:t>диагноз</w:t>
            </w:r>
          </w:p>
          <w:p>
            <w:pPr>
              <w:pStyle w:val="TableParagraph"/>
              <w:ind w:left="72" w:right="568"/>
              <w:rPr>
                <w:sz w:val="22"/>
              </w:rPr>
            </w:pPr>
            <w:r>
              <w:rPr>
                <w:sz w:val="22"/>
              </w:rPr>
              <w:t>Выявленные изменения не характерны для COVID-19</w:t>
            </w:r>
            <w:r>
              <w:rPr>
                <w:spacing w:val="-13"/>
                <w:sz w:val="22"/>
              </w:rPr>
              <w:t> </w:t>
            </w:r>
            <w:r>
              <w:rPr>
                <w:sz w:val="22"/>
              </w:rPr>
              <w:t>пневмонии.</w:t>
            </w:r>
            <w:r>
              <w:rPr>
                <w:spacing w:val="-13"/>
                <w:sz w:val="22"/>
              </w:rPr>
              <w:t> </w:t>
            </w:r>
            <w:r>
              <w:rPr>
                <w:sz w:val="22"/>
              </w:rPr>
              <w:t>Следует</w:t>
            </w:r>
            <w:r>
              <w:rPr>
                <w:spacing w:val="-13"/>
                <w:sz w:val="22"/>
              </w:rPr>
              <w:t> </w:t>
            </w:r>
            <w:r>
              <w:rPr>
                <w:sz w:val="22"/>
              </w:rPr>
              <w:t>рассмотреть возможность других заболеваний</w:t>
            </w:r>
          </w:p>
          <w:p>
            <w:pPr>
              <w:pStyle w:val="TableParagraph"/>
              <w:spacing w:line="252" w:lineRule="exact" w:before="1"/>
              <w:ind w:left="72"/>
              <w:rPr>
                <w:sz w:val="22"/>
              </w:rPr>
            </w:pPr>
            <w:r>
              <w:rPr>
                <w:sz w:val="22"/>
              </w:rPr>
              <w:t>и</w:t>
            </w:r>
            <w:r>
              <w:rPr>
                <w:spacing w:val="-3"/>
                <w:sz w:val="22"/>
              </w:rPr>
              <w:t> </w:t>
            </w:r>
            <w:r>
              <w:rPr>
                <w:sz w:val="22"/>
              </w:rPr>
              <w:t>патологических</w:t>
            </w:r>
            <w:r>
              <w:rPr>
                <w:spacing w:val="-4"/>
                <w:sz w:val="22"/>
              </w:rPr>
              <w:t> </w:t>
            </w:r>
            <w:r>
              <w:rPr>
                <w:spacing w:val="-2"/>
                <w:sz w:val="22"/>
              </w:rPr>
              <w:t>состояний</w:t>
            </w:r>
          </w:p>
          <w:p>
            <w:pPr>
              <w:pStyle w:val="TableParagraph"/>
              <w:ind w:left="72" w:right="779"/>
              <w:rPr>
                <w:sz w:val="22"/>
              </w:rPr>
            </w:pPr>
            <w:r>
              <w:rPr>
                <w:sz w:val="22"/>
              </w:rPr>
              <w:t>(указать</w:t>
            </w:r>
            <w:r>
              <w:rPr>
                <w:spacing w:val="-9"/>
                <w:sz w:val="22"/>
              </w:rPr>
              <w:t> </w:t>
            </w:r>
            <w:r>
              <w:rPr>
                <w:sz w:val="22"/>
              </w:rPr>
              <w:t>каких,</w:t>
            </w:r>
            <w:r>
              <w:rPr>
                <w:spacing w:val="-11"/>
                <w:sz w:val="22"/>
              </w:rPr>
              <w:t> </w:t>
            </w:r>
            <w:r>
              <w:rPr>
                <w:sz w:val="22"/>
              </w:rPr>
              <w:t>если</w:t>
            </w:r>
            <w:r>
              <w:rPr>
                <w:spacing w:val="-10"/>
                <w:sz w:val="22"/>
              </w:rPr>
              <w:t> </w:t>
            </w:r>
            <w:r>
              <w:rPr>
                <w:sz w:val="22"/>
              </w:rPr>
              <w:t>возможно;</w:t>
            </w:r>
            <w:r>
              <w:rPr>
                <w:spacing w:val="-11"/>
                <w:sz w:val="22"/>
              </w:rPr>
              <w:t> </w:t>
            </w:r>
            <w:r>
              <w:rPr>
                <w:sz w:val="22"/>
              </w:rPr>
              <w:t>например, туберкулез, рак легкого, бактериальная пневмония и др.).</w:t>
            </w:r>
          </w:p>
        </w:tc>
      </w:tr>
      <w:tr>
        <w:trPr>
          <w:trHeight w:val="661" w:hRule="atLeast"/>
        </w:trPr>
        <w:tc>
          <w:tcPr>
            <w:tcW w:w="5099" w:type="dxa"/>
            <w:tcBorders>
              <w:top w:val="single" w:sz="6" w:space="0" w:color="000000"/>
              <w:bottom w:val="single" w:sz="6" w:space="0" w:color="000000"/>
            </w:tcBorders>
          </w:tcPr>
          <w:p>
            <w:pPr>
              <w:pStyle w:val="TableParagraph"/>
              <w:spacing w:before="67"/>
              <w:ind w:left="77"/>
              <w:rPr>
                <w:b/>
                <w:sz w:val="22"/>
              </w:rPr>
            </w:pPr>
            <w:r>
              <w:rPr>
                <w:b/>
                <w:sz w:val="22"/>
              </w:rPr>
              <w:t>Нормальная</w:t>
            </w:r>
            <w:r>
              <w:rPr>
                <w:b/>
                <w:spacing w:val="-9"/>
                <w:sz w:val="22"/>
              </w:rPr>
              <w:t> </w:t>
            </w:r>
            <w:r>
              <w:rPr>
                <w:b/>
                <w:spacing w:val="-2"/>
                <w:sz w:val="22"/>
              </w:rPr>
              <w:t>картина</w:t>
            </w:r>
          </w:p>
        </w:tc>
        <w:tc>
          <w:tcPr>
            <w:tcW w:w="4823" w:type="dxa"/>
            <w:tcBorders>
              <w:top w:val="single" w:sz="6" w:space="0" w:color="000000"/>
              <w:bottom w:val="single" w:sz="6" w:space="0" w:color="000000"/>
            </w:tcBorders>
          </w:tcPr>
          <w:p>
            <w:pPr>
              <w:pStyle w:val="TableParagraph"/>
              <w:spacing w:before="67"/>
              <w:ind w:left="72"/>
              <w:rPr>
                <w:sz w:val="22"/>
              </w:rPr>
            </w:pPr>
            <w:r>
              <w:rPr>
                <w:sz w:val="22"/>
              </w:rPr>
              <w:t>Нет</w:t>
            </w:r>
            <w:r>
              <w:rPr>
                <w:spacing w:val="-9"/>
                <w:sz w:val="22"/>
              </w:rPr>
              <w:t> </w:t>
            </w:r>
            <w:r>
              <w:rPr>
                <w:sz w:val="22"/>
              </w:rPr>
              <w:t>признаков</w:t>
            </w:r>
            <w:r>
              <w:rPr>
                <w:spacing w:val="-9"/>
                <w:sz w:val="22"/>
              </w:rPr>
              <w:t> </w:t>
            </w:r>
            <w:r>
              <w:rPr>
                <w:sz w:val="22"/>
              </w:rPr>
              <w:t>пневмонии</w:t>
            </w:r>
            <w:r>
              <w:rPr>
                <w:spacing w:val="-10"/>
                <w:sz w:val="22"/>
              </w:rPr>
              <w:t> </w:t>
            </w:r>
            <w:r>
              <w:rPr>
                <w:sz w:val="22"/>
              </w:rPr>
              <w:t>или</w:t>
            </w:r>
            <w:r>
              <w:rPr>
                <w:spacing w:val="-10"/>
                <w:sz w:val="22"/>
              </w:rPr>
              <w:t> </w:t>
            </w:r>
            <w:r>
              <w:rPr>
                <w:sz w:val="22"/>
              </w:rPr>
              <w:t>других патологических изменений*</w:t>
            </w:r>
          </w:p>
        </w:tc>
      </w:tr>
    </w:tbl>
    <w:p>
      <w:pPr>
        <w:spacing w:before="0"/>
        <w:ind w:left="1841" w:right="1276" w:firstLine="0"/>
        <w:jc w:val="both"/>
        <w:rPr>
          <w:sz w:val="20"/>
        </w:rPr>
      </w:pPr>
      <w:r>
        <w:rPr>
          <w:sz w:val="20"/>
        </w:rPr>
        <w:t>*Следует иметь в виду, что на начальных стадиях болезни (1-5 дни) результаты КТ могут быть негативными.</w:t>
      </w:r>
      <w:r>
        <w:rPr>
          <w:spacing w:val="80"/>
          <w:sz w:val="20"/>
        </w:rPr>
        <w:t> </w:t>
      </w:r>
      <w:r>
        <w:rPr>
          <w:sz w:val="20"/>
        </w:rPr>
        <w:t>Нормальная</w:t>
      </w:r>
      <w:r>
        <w:rPr>
          <w:spacing w:val="80"/>
          <w:sz w:val="20"/>
        </w:rPr>
        <w:t> </w:t>
      </w:r>
      <w:r>
        <w:rPr>
          <w:sz w:val="20"/>
        </w:rPr>
        <w:t>КТ-картина</w:t>
      </w:r>
      <w:r>
        <w:rPr>
          <w:spacing w:val="80"/>
          <w:sz w:val="20"/>
        </w:rPr>
        <w:t> </w:t>
      </w:r>
      <w:r>
        <w:rPr>
          <w:sz w:val="20"/>
        </w:rPr>
        <w:t>не</w:t>
      </w:r>
      <w:r>
        <w:rPr>
          <w:spacing w:val="80"/>
          <w:sz w:val="20"/>
        </w:rPr>
        <w:t> </w:t>
      </w:r>
      <w:r>
        <w:rPr>
          <w:sz w:val="20"/>
        </w:rPr>
        <w:t>исключает</w:t>
      </w:r>
      <w:r>
        <w:rPr>
          <w:spacing w:val="80"/>
          <w:sz w:val="20"/>
        </w:rPr>
        <w:t> </w:t>
      </w:r>
      <w:r>
        <w:rPr>
          <w:sz w:val="20"/>
        </w:rPr>
        <w:t>COVID-19</w:t>
      </w:r>
      <w:r>
        <w:rPr>
          <w:spacing w:val="80"/>
          <w:sz w:val="20"/>
        </w:rPr>
        <w:t> </w:t>
      </w:r>
      <w:r>
        <w:rPr>
          <w:sz w:val="20"/>
        </w:rPr>
        <w:t>и</w:t>
      </w:r>
      <w:r>
        <w:rPr>
          <w:spacing w:val="80"/>
          <w:sz w:val="20"/>
        </w:rPr>
        <w:t> </w:t>
      </w:r>
      <w:r>
        <w:rPr>
          <w:sz w:val="20"/>
        </w:rPr>
        <w:t>не</w:t>
      </w:r>
      <w:r>
        <w:rPr>
          <w:spacing w:val="80"/>
          <w:sz w:val="20"/>
        </w:rPr>
        <w:t> </w:t>
      </w:r>
      <w:r>
        <w:rPr>
          <w:sz w:val="20"/>
        </w:rPr>
        <w:t>является</w:t>
      </w:r>
      <w:r>
        <w:rPr>
          <w:spacing w:val="80"/>
          <w:sz w:val="20"/>
        </w:rPr>
        <w:t> </w:t>
      </w:r>
      <w:r>
        <w:rPr>
          <w:sz w:val="20"/>
        </w:rPr>
        <w:t>ограничением</w:t>
      </w:r>
      <w:r>
        <w:rPr>
          <w:spacing w:val="80"/>
          <w:sz w:val="20"/>
        </w:rPr>
        <w:t> </w:t>
      </w:r>
      <w:r>
        <w:rPr>
          <w:sz w:val="20"/>
        </w:rPr>
        <w:t>в проведении иммунологических (ПЦР) тестов.</w:t>
      </w:r>
    </w:p>
    <w:p>
      <w:pPr>
        <w:spacing w:after="0"/>
        <w:jc w:val="both"/>
        <w:rPr>
          <w:sz w:val="20"/>
        </w:rPr>
        <w:sectPr>
          <w:pgSz w:w="11900" w:h="16840"/>
          <w:pgMar w:header="0" w:footer="697" w:top="1080" w:bottom="880" w:left="0" w:right="0"/>
        </w:sectPr>
      </w:pPr>
    </w:p>
    <w:p>
      <w:pPr>
        <w:pStyle w:val="Heading3"/>
        <w:numPr>
          <w:ilvl w:val="0"/>
          <w:numId w:val="69"/>
        </w:numPr>
        <w:tabs>
          <w:tab w:pos="2907" w:val="left" w:leader="none"/>
        </w:tabs>
        <w:spacing w:line="240" w:lineRule="auto" w:before="73" w:after="0"/>
        <w:ind w:left="2907" w:right="0" w:hanging="358"/>
        <w:jc w:val="both"/>
      </w:pPr>
      <w:bookmarkStart w:name="165" w:id="194"/>
      <w:bookmarkEnd w:id="194"/>
      <w:r>
        <w:rPr>
          <w:b w:val="0"/>
        </w:rPr>
      </w:r>
      <w:r>
        <w:rPr/>
        <w:t>Оценка</w:t>
      </w:r>
      <w:r>
        <w:rPr>
          <w:spacing w:val="-12"/>
        </w:rPr>
        <w:t> </w:t>
      </w:r>
      <w:r>
        <w:rPr/>
        <w:t>выраженности</w:t>
      </w:r>
      <w:r>
        <w:rPr>
          <w:spacing w:val="-10"/>
        </w:rPr>
        <w:t> </w:t>
      </w:r>
      <w:r>
        <w:rPr/>
        <w:t>изменений</w:t>
      </w:r>
      <w:r>
        <w:rPr>
          <w:spacing w:val="-11"/>
        </w:rPr>
        <w:t> </w:t>
      </w:r>
      <w:r>
        <w:rPr/>
        <w:t>в</w:t>
      </w:r>
      <w:r>
        <w:rPr>
          <w:spacing w:val="-11"/>
        </w:rPr>
        <w:t> </w:t>
      </w:r>
      <w:r>
        <w:rPr/>
        <w:t>легких</w:t>
      </w:r>
      <w:r>
        <w:rPr>
          <w:spacing w:val="-13"/>
        </w:rPr>
        <w:t> </w:t>
      </w:r>
      <w:r>
        <w:rPr/>
        <w:t>при</w:t>
      </w:r>
      <w:r>
        <w:rPr>
          <w:spacing w:val="-12"/>
        </w:rPr>
        <w:t> </w:t>
      </w:r>
      <w:r>
        <w:rPr>
          <w:spacing w:val="-5"/>
        </w:rPr>
        <w:t>КТ</w:t>
      </w:r>
    </w:p>
    <w:p>
      <w:pPr>
        <w:pStyle w:val="BodyText"/>
        <w:spacing w:line="276" w:lineRule="auto" w:before="81"/>
        <w:ind w:right="1273" w:firstLine="707"/>
      </w:pPr>
      <w:r>
        <w:rPr/>
        <w:t>Оценка</w:t>
      </w:r>
      <w:r>
        <w:rPr>
          <w:spacing w:val="-5"/>
        </w:rPr>
        <w:t> </w:t>
      </w:r>
      <w:r>
        <w:rPr/>
        <w:t>выраженности</w:t>
      </w:r>
      <w:r>
        <w:rPr>
          <w:spacing w:val="-3"/>
        </w:rPr>
        <w:t> </w:t>
      </w:r>
      <w:r>
        <w:rPr/>
        <w:t>(объема,</w:t>
      </w:r>
      <w:r>
        <w:rPr>
          <w:spacing w:val="-4"/>
        </w:rPr>
        <w:t> </w:t>
      </w:r>
      <w:r>
        <w:rPr/>
        <w:t>площади,</w:t>
      </w:r>
      <w:r>
        <w:rPr>
          <w:spacing w:val="-4"/>
        </w:rPr>
        <w:t> </w:t>
      </w:r>
      <w:r>
        <w:rPr/>
        <w:t>протяженности)</w:t>
      </w:r>
      <w:r>
        <w:rPr>
          <w:spacing w:val="-5"/>
        </w:rPr>
        <w:t> </w:t>
      </w:r>
      <w:r>
        <w:rPr/>
        <w:t>изменений</w:t>
      </w:r>
      <w:r>
        <w:rPr>
          <w:spacing w:val="-6"/>
        </w:rPr>
        <w:t> </w:t>
      </w:r>
      <w:r>
        <w:rPr/>
        <w:t>в</w:t>
      </w:r>
      <w:r>
        <w:rPr>
          <w:spacing w:val="-5"/>
        </w:rPr>
        <w:t> </w:t>
      </w:r>
      <w:r>
        <w:rPr/>
        <w:t>легких у</w:t>
      </w:r>
      <w:r>
        <w:rPr>
          <w:spacing w:val="-6"/>
        </w:rPr>
        <w:t> </w:t>
      </w:r>
      <w:r>
        <w:rPr/>
        <w:t>пациентов с предполагаемой/известной пневмонией COVID-19 может проводиться несколькими способами:</w:t>
      </w:r>
    </w:p>
    <w:p>
      <w:pPr>
        <w:pStyle w:val="ListParagraph"/>
        <w:numPr>
          <w:ilvl w:val="0"/>
          <w:numId w:val="70"/>
        </w:numPr>
        <w:tabs>
          <w:tab w:pos="2268" w:val="left" w:leader="none"/>
        </w:tabs>
        <w:spacing w:line="240" w:lineRule="auto" w:before="1" w:after="0"/>
        <w:ind w:left="2268" w:right="0" w:hanging="359"/>
        <w:jc w:val="both"/>
        <w:rPr>
          <w:sz w:val="24"/>
        </w:rPr>
      </w:pPr>
      <w:r>
        <w:rPr>
          <w:sz w:val="24"/>
        </w:rPr>
        <w:t>С</w:t>
      </w:r>
      <w:r>
        <w:rPr>
          <w:spacing w:val="-12"/>
          <w:sz w:val="24"/>
        </w:rPr>
        <w:t> </w:t>
      </w:r>
      <w:r>
        <w:rPr>
          <w:sz w:val="24"/>
        </w:rPr>
        <w:t>помощью</w:t>
      </w:r>
      <w:r>
        <w:rPr>
          <w:spacing w:val="-12"/>
          <w:sz w:val="24"/>
        </w:rPr>
        <w:t> </w:t>
      </w:r>
      <w:r>
        <w:rPr>
          <w:sz w:val="24"/>
        </w:rPr>
        <w:t>визуальной</w:t>
      </w:r>
      <w:r>
        <w:rPr>
          <w:spacing w:val="-13"/>
          <w:sz w:val="24"/>
        </w:rPr>
        <w:t> </w:t>
      </w:r>
      <w:r>
        <w:rPr>
          <w:spacing w:val="-2"/>
          <w:sz w:val="24"/>
        </w:rPr>
        <w:t>оценки;</w:t>
      </w:r>
    </w:p>
    <w:p>
      <w:pPr>
        <w:pStyle w:val="ListParagraph"/>
        <w:numPr>
          <w:ilvl w:val="0"/>
          <w:numId w:val="70"/>
        </w:numPr>
        <w:tabs>
          <w:tab w:pos="2268" w:val="left" w:leader="none"/>
        </w:tabs>
        <w:spacing w:line="264" w:lineRule="auto" w:before="33" w:after="0"/>
        <w:ind w:left="2268" w:right="1274" w:hanging="360"/>
        <w:jc w:val="both"/>
        <w:rPr>
          <w:sz w:val="24"/>
        </w:rPr>
      </w:pPr>
      <w:r>
        <w:rPr>
          <w:sz w:val="24"/>
        </w:rPr>
        <w:t>С помощью применения полуколичественных шкал, предложенных рядом </w:t>
      </w:r>
      <w:r>
        <w:rPr>
          <w:spacing w:val="-2"/>
          <w:sz w:val="24"/>
        </w:rPr>
        <w:t>авторов;</w:t>
      </w:r>
    </w:p>
    <w:p>
      <w:pPr>
        <w:pStyle w:val="ListParagraph"/>
        <w:numPr>
          <w:ilvl w:val="0"/>
          <w:numId w:val="70"/>
        </w:numPr>
        <w:tabs>
          <w:tab w:pos="2268" w:val="left" w:leader="none"/>
        </w:tabs>
        <w:spacing w:line="264" w:lineRule="auto" w:before="14" w:after="0"/>
        <w:ind w:left="2268" w:right="1279" w:hanging="360"/>
        <w:jc w:val="both"/>
        <w:rPr>
          <w:sz w:val="24"/>
        </w:rPr>
      </w:pPr>
      <w:r>
        <w:rPr>
          <w:sz w:val="24"/>
        </w:rPr>
        <w:t>На основании программ компьютерной оценки плотности легких и составления карт плотности легочной паренхимы.</w:t>
      </w:r>
    </w:p>
    <w:p>
      <w:pPr>
        <w:pStyle w:val="BodyText"/>
        <w:spacing w:line="276" w:lineRule="auto" w:before="27"/>
        <w:ind w:right="1277" w:firstLine="707"/>
      </w:pPr>
      <w:r>
        <w:rPr/>
        <w:t>В</w:t>
      </w:r>
      <w:r>
        <w:rPr>
          <w:spacing w:val="74"/>
        </w:rPr>
        <w:t> </w:t>
      </w:r>
      <w:r>
        <w:rPr/>
        <w:t>условиях</w:t>
      </w:r>
      <w:r>
        <w:rPr>
          <w:spacing w:val="73"/>
        </w:rPr>
        <w:t> </w:t>
      </w:r>
      <w:r>
        <w:rPr/>
        <w:t>большого</w:t>
      </w:r>
      <w:r>
        <w:rPr>
          <w:spacing w:val="73"/>
        </w:rPr>
        <w:t> </w:t>
      </w:r>
      <w:r>
        <w:rPr/>
        <w:t>потока</w:t>
      </w:r>
      <w:r>
        <w:rPr>
          <w:spacing w:val="72"/>
        </w:rPr>
        <w:t> </w:t>
      </w:r>
      <w:r>
        <w:rPr/>
        <w:t>пациентов,</w:t>
      </w:r>
      <w:r>
        <w:rPr>
          <w:spacing w:val="74"/>
        </w:rPr>
        <w:t> </w:t>
      </w:r>
      <w:r>
        <w:rPr/>
        <w:t>для</w:t>
      </w:r>
      <w:r>
        <w:rPr>
          <w:spacing w:val="74"/>
        </w:rPr>
        <w:t> </w:t>
      </w:r>
      <w:r>
        <w:rPr/>
        <w:t>быстрой</w:t>
      </w:r>
      <w:r>
        <w:rPr>
          <w:spacing w:val="75"/>
        </w:rPr>
        <w:t> </w:t>
      </w:r>
      <w:r>
        <w:rPr/>
        <w:t>оценки</w:t>
      </w:r>
      <w:r>
        <w:rPr>
          <w:spacing w:val="74"/>
        </w:rPr>
        <w:t> </w:t>
      </w:r>
      <w:r>
        <w:rPr/>
        <w:t>изменений в легких после проведения РГ и КТ, рекомендована так называемая «эмпирическая» визуальная шкала. Она основана на визуальной оценке примерного объема уплотненной легочной ткани в легком с наибольшим поражением.</w:t>
      </w:r>
    </w:p>
    <w:p>
      <w:pPr>
        <w:pStyle w:val="BodyText"/>
        <w:spacing w:before="34"/>
        <w:ind w:left="0"/>
        <w:jc w:val="left"/>
      </w:pPr>
    </w:p>
    <w:p>
      <w:pPr>
        <w:pStyle w:val="Heading3"/>
        <w:jc w:val="left"/>
        <w:rPr>
          <w:position w:val="8"/>
          <w:sz w:val="16"/>
        </w:rPr>
      </w:pPr>
      <w:r>
        <w:rPr>
          <w:spacing w:val="-2"/>
        </w:rPr>
        <w:t>Адаптированная</w:t>
      </w:r>
      <w:r>
        <w:rPr>
          <w:spacing w:val="2"/>
        </w:rPr>
        <w:t> </w:t>
      </w:r>
      <w:r>
        <w:rPr>
          <w:spacing w:val="-2"/>
        </w:rPr>
        <w:t>«эмпирическая»</w:t>
      </w:r>
      <w:r>
        <w:rPr/>
        <w:t> </w:t>
      </w:r>
      <w:r>
        <w:rPr>
          <w:spacing w:val="-2"/>
        </w:rPr>
        <w:t>визуальная</w:t>
      </w:r>
      <w:r>
        <w:rPr>
          <w:spacing w:val="1"/>
        </w:rPr>
        <w:t> </w:t>
      </w:r>
      <w:r>
        <w:rPr>
          <w:spacing w:val="-2"/>
        </w:rPr>
        <w:t>шкала</w:t>
      </w:r>
      <w:r>
        <w:rPr>
          <w:spacing w:val="-2"/>
          <w:position w:val="8"/>
          <w:sz w:val="16"/>
        </w:rPr>
        <w:t>1</w:t>
      </w:r>
    </w:p>
    <w:p>
      <w:pPr>
        <w:pStyle w:val="BodyText"/>
        <w:spacing w:line="278" w:lineRule="auto" w:before="41"/>
        <w:ind w:right="1283" w:firstLine="707"/>
        <w:jc w:val="left"/>
      </w:pPr>
      <w:r>
        <w:rPr/>
        <w:t>Основана</w:t>
      </w:r>
      <w:r>
        <w:rPr>
          <w:spacing w:val="40"/>
        </w:rPr>
        <w:t> </w:t>
      </w:r>
      <w:r>
        <w:rPr/>
        <w:t>на</w:t>
      </w:r>
      <w:r>
        <w:rPr>
          <w:spacing w:val="40"/>
        </w:rPr>
        <w:t> </w:t>
      </w:r>
      <w:r>
        <w:rPr/>
        <w:t>визуальной</w:t>
      </w:r>
      <w:r>
        <w:rPr>
          <w:spacing w:val="40"/>
        </w:rPr>
        <w:t> </w:t>
      </w:r>
      <w:r>
        <w:rPr/>
        <w:t>оценке</w:t>
      </w:r>
      <w:r>
        <w:rPr>
          <w:spacing w:val="40"/>
        </w:rPr>
        <w:t> </w:t>
      </w:r>
      <w:r>
        <w:rPr/>
        <w:t>примерного</w:t>
      </w:r>
      <w:r>
        <w:rPr>
          <w:spacing w:val="39"/>
        </w:rPr>
        <w:t> </w:t>
      </w:r>
      <w:r>
        <w:rPr/>
        <w:t>объема</w:t>
      </w:r>
      <w:r>
        <w:rPr>
          <w:spacing w:val="40"/>
        </w:rPr>
        <w:t> </w:t>
      </w:r>
      <w:r>
        <w:rPr/>
        <w:t>уплотненной</w:t>
      </w:r>
      <w:r>
        <w:rPr>
          <w:spacing w:val="40"/>
        </w:rPr>
        <w:t> </w:t>
      </w:r>
      <w:r>
        <w:rPr/>
        <w:t>легочной ткани в легком с наибольшим поражением:</w:t>
      </w:r>
    </w:p>
    <w:p>
      <w:pPr>
        <w:pStyle w:val="ListParagraph"/>
        <w:numPr>
          <w:ilvl w:val="0"/>
          <w:numId w:val="74"/>
        </w:numPr>
        <w:tabs>
          <w:tab w:pos="2919" w:val="left" w:leader="none"/>
        </w:tabs>
        <w:spacing w:line="271" w:lineRule="exact" w:before="0" w:after="0"/>
        <w:ind w:left="2919" w:right="0" w:hanging="358"/>
        <w:jc w:val="left"/>
        <w:rPr>
          <w:sz w:val="24"/>
        </w:rPr>
      </w:pPr>
      <w:r>
        <w:rPr>
          <w:spacing w:val="-2"/>
          <w:sz w:val="24"/>
        </w:rPr>
        <w:t>Отсутствие</w:t>
      </w:r>
      <w:r>
        <w:rPr>
          <w:spacing w:val="4"/>
          <w:sz w:val="24"/>
        </w:rPr>
        <w:t> </w:t>
      </w:r>
      <w:r>
        <w:rPr>
          <w:spacing w:val="-2"/>
          <w:sz w:val="24"/>
        </w:rPr>
        <w:t>характерных</w:t>
      </w:r>
      <w:r>
        <w:rPr>
          <w:spacing w:val="4"/>
          <w:sz w:val="24"/>
        </w:rPr>
        <w:t> </w:t>
      </w:r>
      <w:r>
        <w:rPr>
          <w:spacing w:val="-2"/>
          <w:sz w:val="24"/>
        </w:rPr>
        <w:t>проявлений</w:t>
      </w:r>
      <w:r>
        <w:rPr>
          <w:spacing w:val="6"/>
          <w:sz w:val="24"/>
        </w:rPr>
        <w:t> </w:t>
      </w:r>
      <w:r>
        <w:rPr>
          <w:spacing w:val="-2"/>
          <w:sz w:val="24"/>
        </w:rPr>
        <w:t>(КТ-</w:t>
      </w:r>
      <w:r>
        <w:rPr>
          <w:spacing w:val="-5"/>
          <w:sz w:val="24"/>
        </w:rPr>
        <w:t>0);</w:t>
      </w:r>
    </w:p>
    <w:p>
      <w:pPr>
        <w:pStyle w:val="ListParagraph"/>
        <w:numPr>
          <w:ilvl w:val="0"/>
          <w:numId w:val="74"/>
        </w:numPr>
        <w:tabs>
          <w:tab w:pos="2919" w:val="left" w:leader="none"/>
        </w:tabs>
        <w:spacing w:line="240" w:lineRule="auto" w:before="40" w:after="0"/>
        <w:ind w:left="2919" w:right="0" w:hanging="358"/>
        <w:jc w:val="left"/>
        <w:rPr>
          <w:sz w:val="24"/>
        </w:rPr>
      </w:pPr>
      <w:r>
        <w:rPr>
          <w:spacing w:val="-2"/>
          <w:sz w:val="24"/>
        </w:rPr>
        <w:t>Минимальный</w:t>
      </w:r>
      <w:r>
        <w:rPr>
          <w:spacing w:val="3"/>
          <w:sz w:val="24"/>
        </w:rPr>
        <w:t> </w:t>
      </w:r>
      <w:r>
        <w:rPr>
          <w:spacing w:val="-2"/>
          <w:sz w:val="24"/>
        </w:rPr>
        <w:t>объем/распространенность</w:t>
      </w:r>
      <w:r>
        <w:rPr>
          <w:spacing w:val="7"/>
          <w:sz w:val="24"/>
        </w:rPr>
        <w:t> </w:t>
      </w:r>
      <w:r>
        <w:rPr>
          <w:spacing w:val="-2"/>
          <w:sz w:val="24"/>
        </w:rPr>
        <w:t>&lt;25%</w:t>
      </w:r>
      <w:r>
        <w:rPr>
          <w:spacing w:val="3"/>
          <w:sz w:val="24"/>
        </w:rPr>
        <w:t> </w:t>
      </w:r>
      <w:r>
        <w:rPr>
          <w:spacing w:val="-2"/>
          <w:sz w:val="24"/>
        </w:rPr>
        <w:t>объема</w:t>
      </w:r>
      <w:r>
        <w:rPr>
          <w:spacing w:val="2"/>
          <w:sz w:val="24"/>
        </w:rPr>
        <w:t> </w:t>
      </w:r>
      <w:r>
        <w:rPr>
          <w:spacing w:val="-2"/>
          <w:sz w:val="24"/>
        </w:rPr>
        <w:t>легких</w:t>
      </w:r>
      <w:r>
        <w:rPr>
          <w:spacing w:val="2"/>
          <w:sz w:val="24"/>
        </w:rPr>
        <w:t> </w:t>
      </w:r>
      <w:r>
        <w:rPr>
          <w:spacing w:val="-2"/>
          <w:sz w:val="24"/>
        </w:rPr>
        <w:t>(КТ-</w:t>
      </w:r>
      <w:r>
        <w:rPr>
          <w:spacing w:val="-5"/>
          <w:sz w:val="24"/>
        </w:rPr>
        <w:t>1);</w:t>
      </w:r>
    </w:p>
    <w:p>
      <w:pPr>
        <w:pStyle w:val="ListParagraph"/>
        <w:numPr>
          <w:ilvl w:val="0"/>
          <w:numId w:val="74"/>
        </w:numPr>
        <w:tabs>
          <w:tab w:pos="2919" w:val="left" w:leader="none"/>
        </w:tabs>
        <w:spacing w:line="240" w:lineRule="auto" w:before="41" w:after="0"/>
        <w:ind w:left="2919" w:right="0" w:hanging="358"/>
        <w:jc w:val="left"/>
        <w:rPr>
          <w:sz w:val="24"/>
        </w:rPr>
      </w:pPr>
      <w:r>
        <w:rPr>
          <w:sz w:val="24"/>
        </w:rPr>
        <w:t>Средний</w:t>
      </w:r>
      <w:r>
        <w:rPr>
          <w:spacing w:val="-13"/>
          <w:sz w:val="24"/>
        </w:rPr>
        <w:t> </w:t>
      </w:r>
      <w:r>
        <w:rPr>
          <w:sz w:val="24"/>
        </w:rPr>
        <w:t>объем/распространенность</w:t>
      </w:r>
      <w:r>
        <w:rPr>
          <w:spacing w:val="-11"/>
          <w:sz w:val="24"/>
        </w:rPr>
        <w:t> </w:t>
      </w:r>
      <w:r>
        <w:rPr>
          <w:sz w:val="24"/>
        </w:rPr>
        <w:t>25</w:t>
      </w:r>
      <w:r>
        <w:rPr>
          <w:spacing w:val="-10"/>
          <w:sz w:val="24"/>
        </w:rPr>
        <w:t> </w:t>
      </w:r>
      <w:r>
        <w:rPr>
          <w:sz w:val="24"/>
        </w:rPr>
        <w:t>–</w:t>
      </w:r>
      <w:r>
        <w:rPr>
          <w:spacing w:val="-14"/>
          <w:sz w:val="24"/>
        </w:rPr>
        <w:t> </w:t>
      </w:r>
      <w:r>
        <w:rPr>
          <w:sz w:val="24"/>
        </w:rPr>
        <w:t>50%</w:t>
      </w:r>
      <w:r>
        <w:rPr>
          <w:spacing w:val="-13"/>
          <w:sz w:val="24"/>
        </w:rPr>
        <w:t> </w:t>
      </w:r>
      <w:r>
        <w:rPr>
          <w:sz w:val="24"/>
        </w:rPr>
        <w:t>объема</w:t>
      </w:r>
      <w:r>
        <w:rPr>
          <w:spacing w:val="-13"/>
          <w:sz w:val="24"/>
        </w:rPr>
        <w:t> </w:t>
      </w:r>
      <w:r>
        <w:rPr>
          <w:sz w:val="24"/>
        </w:rPr>
        <w:t>легких</w:t>
      </w:r>
      <w:r>
        <w:rPr>
          <w:spacing w:val="-13"/>
          <w:sz w:val="24"/>
        </w:rPr>
        <w:t> </w:t>
      </w:r>
      <w:r>
        <w:rPr>
          <w:sz w:val="24"/>
        </w:rPr>
        <w:t>(КТ-</w:t>
      </w:r>
      <w:r>
        <w:rPr>
          <w:spacing w:val="-5"/>
          <w:sz w:val="24"/>
        </w:rPr>
        <w:t>2);</w:t>
      </w:r>
    </w:p>
    <w:p>
      <w:pPr>
        <w:pStyle w:val="ListParagraph"/>
        <w:numPr>
          <w:ilvl w:val="0"/>
          <w:numId w:val="74"/>
        </w:numPr>
        <w:tabs>
          <w:tab w:pos="2919" w:val="left" w:leader="none"/>
        </w:tabs>
        <w:spacing w:line="240" w:lineRule="auto" w:before="43" w:after="0"/>
        <w:ind w:left="2919" w:right="0" w:hanging="358"/>
        <w:jc w:val="left"/>
        <w:rPr>
          <w:sz w:val="24"/>
        </w:rPr>
      </w:pPr>
      <w:r>
        <w:rPr>
          <w:sz w:val="24"/>
        </w:rPr>
        <w:t>Значительный</w:t>
      </w:r>
      <w:r>
        <w:rPr>
          <w:spacing w:val="-14"/>
          <w:sz w:val="24"/>
        </w:rPr>
        <w:t> </w:t>
      </w:r>
      <w:r>
        <w:rPr>
          <w:sz w:val="24"/>
        </w:rPr>
        <w:t>объем/распространенность</w:t>
      </w:r>
      <w:r>
        <w:rPr>
          <w:spacing w:val="-12"/>
          <w:sz w:val="24"/>
        </w:rPr>
        <w:t> </w:t>
      </w:r>
      <w:r>
        <w:rPr>
          <w:sz w:val="24"/>
        </w:rPr>
        <w:t>50</w:t>
      </w:r>
      <w:r>
        <w:rPr>
          <w:spacing w:val="-13"/>
          <w:sz w:val="24"/>
        </w:rPr>
        <w:t> </w:t>
      </w:r>
      <w:r>
        <w:rPr>
          <w:sz w:val="24"/>
        </w:rPr>
        <w:t>–</w:t>
      </w:r>
      <w:r>
        <w:rPr>
          <w:spacing w:val="-15"/>
          <w:sz w:val="24"/>
        </w:rPr>
        <w:t> </w:t>
      </w:r>
      <w:r>
        <w:rPr>
          <w:sz w:val="24"/>
        </w:rPr>
        <w:t>75%</w:t>
      </w:r>
      <w:r>
        <w:rPr>
          <w:spacing w:val="-13"/>
          <w:sz w:val="24"/>
        </w:rPr>
        <w:t> </w:t>
      </w:r>
      <w:r>
        <w:rPr>
          <w:sz w:val="24"/>
        </w:rPr>
        <w:t>объема</w:t>
      </w:r>
      <w:r>
        <w:rPr>
          <w:spacing w:val="-14"/>
          <w:sz w:val="24"/>
        </w:rPr>
        <w:t> </w:t>
      </w:r>
      <w:r>
        <w:rPr>
          <w:sz w:val="24"/>
        </w:rPr>
        <w:t>легких</w:t>
      </w:r>
      <w:r>
        <w:rPr>
          <w:spacing w:val="-14"/>
          <w:sz w:val="24"/>
        </w:rPr>
        <w:t> </w:t>
      </w:r>
      <w:r>
        <w:rPr>
          <w:sz w:val="24"/>
        </w:rPr>
        <w:t>(КТ-</w:t>
      </w:r>
      <w:r>
        <w:rPr>
          <w:spacing w:val="-5"/>
          <w:sz w:val="24"/>
        </w:rPr>
        <w:t>3);</w:t>
      </w:r>
    </w:p>
    <w:p>
      <w:pPr>
        <w:pStyle w:val="ListParagraph"/>
        <w:numPr>
          <w:ilvl w:val="0"/>
          <w:numId w:val="74"/>
        </w:numPr>
        <w:tabs>
          <w:tab w:pos="2919" w:val="left" w:leader="none"/>
        </w:tabs>
        <w:spacing w:line="240" w:lineRule="auto" w:before="40" w:after="0"/>
        <w:ind w:left="2919" w:right="0" w:hanging="358"/>
        <w:jc w:val="left"/>
        <w:rPr>
          <w:i/>
          <w:sz w:val="24"/>
        </w:rPr>
      </w:pPr>
      <w:r>
        <w:rPr>
          <w:spacing w:val="-2"/>
          <w:sz w:val="24"/>
        </w:rPr>
        <w:t>Субтотальный</w:t>
      </w:r>
      <w:r>
        <w:rPr>
          <w:spacing w:val="5"/>
          <w:sz w:val="24"/>
        </w:rPr>
        <w:t> </w:t>
      </w:r>
      <w:r>
        <w:rPr>
          <w:spacing w:val="-2"/>
          <w:sz w:val="24"/>
        </w:rPr>
        <w:t>объем/распространенность</w:t>
      </w:r>
      <w:r>
        <w:rPr>
          <w:spacing w:val="5"/>
          <w:sz w:val="24"/>
        </w:rPr>
        <w:t> </w:t>
      </w:r>
      <w:r>
        <w:rPr>
          <w:spacing w:val="-2"/>
          <w:sz w:val="24"/>
        </w:rPr>
        <w:t>&gt;75%</w:t>
      </w:r>
      <w:r>
        <w:rPr>
          <w:spacing w:val="3"/>
          <w:sz w:val="24"/>
        </w:rPr>
        <w:t> </w:t>
      </w:r>
      <w:r>
        <w:rPr>
          <w:spacing w:val="-2"/>
          <w:sz w:val="24"/>
        </w:rPr>
        <w:t>объема</w:t>
      </w:r>
      <w:r>
        <w:rPr>
          <w:spacing w:val="3"/>
          <w:sz w:val="24"/>
        </w:rPr>
        <w:t> </w:t>
      </w:r>
      <w:r>
        <w:rPr>
          <w:spacing w:val="-2"/>
          <w:sz w:val="24"/>
        </w:rPr>
        <w:t>легких</w:t>
      </w:r>
      <w:r>
        <w:rPr>
          <w:spacing w:val="2"/>
          <w:sz w:val="24"/>
        </w:rPr>
        <w:t> </w:t>
      </w:r>
      <w:r>
        <w:rPr>
          <w:spacing w:val="-2"/>
          <w:sz w:val="24"/>
        </w:rPr>
        <w:t>(КТ-</w:t>
      </w:r>
      <w:r>
        <w:rPr>
          <w:spacing w:val="-5"/>
          <w:sz w:val="24"/>
        </w:rPr>
        <w:t>4)</w:t>
      </w:r>
      <w:r>
        <w:rPr>
          <w:i/>
          <w:spacing w:val="-5"/>
          <w:sz w:val="24"/>
        </w:rPr>
        <w:t>.</w:t>
      </w:r>
    </w:p>
    <w:p>
      <w:pPr>
        <w:pStyle w:val="BodyText"/>
        <w:spacing w:line="276" w:lineRule="auto" w:before="41"/>
        <w:ind w:right="1272" w:firstLine="707"/>
      </w:pPr>
      <w:r>
        <w:rPr/>
        <w:t>В первые месяцы пандемии для оценки тяжести поражений использовались полуколичественные</w:t>
      </w:r>
      <w:r>
        <w:rPr>
          <w:spacing w:val="80"/>
        </w:rPr>
        <w:t> </w:t>
      </w:r>
      <w:r>
        <w:rPr/>
        <w:t>шкалы</w:t>
      </w:r>
      <w:r>
        <w:rPr>
          <w:spacing w:val="80"/>
        </w:rPr>
        <w:t> </w:t>
      </w:r>
      <w:r>
        <w:rPr/>
        <w:t>с</w:t>
      </w:r>
      <w:r>
        <w:rPr>
          <w:spacing w:val="80"/>
        </w:rPr>
        <w:t> </w:t>
      </w:r>
      <w:r>
        <w:rPr/>
        <w:t>отдельным</w:t>
      </w:r>
      <w:r>
        <w:rPr>
          <w:spacing w:val="80"/>
        </w:rPr>
        <w:t> </w:t>
      </w:r>
      <w:r>
        <w:rPr/>
        <w:t>расчетом</w:t>
      </w:r>
      <w:r>
        <w:rPr>
          <w:spacing w:val="80"/>
        </w:rPr>
        <w:t> </w:t>
      </w:r>
      <w:r>
        <w:rPr/>
        <w:t>объема</w:t>
      </w:r>
      <w:r>
        <w:rPr>
          <w:spacing w:val="80"/>
        </w:rPr>
        <w:t> </w:t>
      </w:r>
      <w:r>
        <w:rPr/>
        <w:t>и</w:t>
      </w:r>
      <w:r>
        <w:rPr>
          <w:spacing w:val="80"/>
        </w:rPr>
        <w:t> </w:t>
      </w:r>
      <w:r>
        <w:rPr/>
        <w:t>вида</w:t>
      </w:r>
      <w:r>
        <w:rPr>
          <w:spacing w:val="80"/>
        </w:rPr>
        <w:t> </w:t>
      </w:r>
      <w:r>
        <w:rPr/>
        <w:t>поражений для</w:t>
      </w:r>
      <w:r>
        <w:rPr>
          <w:spacing w:val="80"/>
        </w:rPr>
        <w:t> </w:t>
      </w:r>
      <w:r>
        <w:rPr/>
        <w:t>долей</w:t>
      </w:r>
      <w:r>
        <w:rPr>
          <w:spacing w:val="80"/>
        </w:rPr>
        <w:t> </w:t>
      </w:r>
      <w:r>
        <w:rPr/>
        <w:t>и</w:t>
      </w:r>
      <w:r>
        <w:rPr>
          <w:spacing w:val="80"/>
        </w:rPr>
        <w:t> </w:t>
      </w:r>
      <w:r>
        <w:rPr/>
        <w:t>сегментов</w:t>
      </w:r>
      <w:r>
        <w:rPr>
          <w:spacing w:val="80"/>
        </w:rPr>
        <w:t> </w:t>
      </w:r>
      <w:r>
        <w:rPr/>
        <w:t>легких</w:t>
      </w:r>
      <w:r>
        <w:rPr>
          <w:spacing w:val="80"/>
        </w:rPr>
        <w:t> </w:t>
      </w:r>
      <w:r>
        <w:rPr/>
        <w:t>с</w:t>
      </w:r>
      <w:r>
        <w:rPr>
          <w:spacing w:val="80"/>
        </w:rPr>
        <w:t> </w:t>
      </w:r>
      <w:r>
        <w:rPr/>
        <w:t>последующим</w:t>
      </w:r>
      <w:r>
        <w:rPr>
          <w:spacing w:val="80"/>
        </w:rPr>
        <w:t> </w:t>
      </w:r>
      <w:r>
        <w:rPr/>
        <w:t>суммированием</w:t>
      </w:r>
      <w:r>
        <w:rPr>
          <w:spacing w:val="80"/>
        </w:rPr>
        <w:t> </w:t>
      </w:r>
      <w:r>
        <w:rPr/>
        <w:t>результатов. При возрастающей нагрузке на медицинские организации применение полуколичественных шкал затруднительно и неэффективно с точки зрения производительности труда. Была предложена визуальная оценка, основанная на определении</w:t>
      </w:r>
      <w:r>
        <w:rPr>
          <w:spacing w:val="69"/>
        </w:rPr>
        <w:t> </w:t>
      </w:r>
      <w:r>
        <w:rPr/>
        <w:t>примерного</w:t>
      </w:r>
      <w:r>
        <w:rPr>
          <w:spacing w:val="69"/>
        </w:rPr>
        <w:t> </w:t>
      </w:r>
      <w:r>
        <w:rPr/>
        <w:t>общего</w:t>
      </w:r>
      <w:r>
        <w:rPr>
          <w:spacing w:val="69"/>
        </w:rPr>
        <w:t> </w:t>
      </w:r>
      <w:r>
        <w:rPr/>
        <w:t>объема</w:t>
      </w:r>
      <w:r>
        <w:rPr>
          <w:spacing w:val="68"/>
        </w:rPr>
        <w:t> </w:t>
      </w:r>
      <w:r>
        <w:rPr/>
        <w:t>уплотненной</w:t>
      </w:r>
      <w:r>
        <w:rPr>
          <w:spacing w:val="76"/>
        </w:rPr>
        <w:t> </w:t>
      </w:r>
      <w:r>
        <w:rPr/>
        <w:t>легочной</w:t>
      </w:r>
      <w:r>
        <w:rPr>
          <w:spacing w:val="69"/>
        </w:rPr>
        <w:t> </w:t>
      </w:r>
      <w:r>
        <w:rPr/>
        <w:t>ткани</w:t>
      </w:r>
      <w:r>
        <w:rPr>
          <w:spacing w:val="69"/>
        </w:rPr>
        <w:t> </w:t>
      </w:r>
      <w:r>
        <w:rPr/>
        <w:t>в</w:t>
      </w:r>
      <w:r>
        <w:rPr>
          <w:spacing w:val="68"/>
        </w:rPr>
        <w:t> </w:t>
      </w:r>
      <w:r>
        <w:rPr/>
        <w:t>легком с наибольшим поражением. Адаптированная шкала валидирована путем доказательства наличия статистически значимой тенденции направленного изменения доли умерших пациентов среди различных категорий КТ0-КТ4</w:t>
      </w:r>
      <w:r>
        <w:rPr>
          <w:vertAlign w:val="superscript"/>
        </w:rPr>
        <w:t>2</w:t>
      </w:r>
      <w:r>
        <w:rPr>
          <w:vertAlign w:val="baseline"/>
        </w:rPr>
        <w:t>.</w:t>
      </w:r>
    </w:p>
    <w:p>
      <w:pPr>
        <w:pStyle w:val="BodyText"/>
        <w:spacing w:before="40"/>
        <w:ind w:left="0"/>
        <w:jc w:val="left"/>
      </w:pPr>
    </w:p>
    <w:p>
      <w:pPr>
        <w:pStyle w:val="Heading3"/>
      </w:pPr>
      <w:r>
        <w:rPr>
          <w:spacing w:val="-2"/>
        </w:rPr>
        <w:t>Компьютер-ассистированная</w:t>
      </w:r>
      <w:r>
        <w:rPr>
          <w:spacing w:val="4"/>
        </w:rPr>
        <w:t> </w:t>
      </w:r>
      <w:r>
        <w:rPr>
          <w:spacing w:val="-2"/>
        </w:rPr>
        <w:t>диагностика</w:t>
      </w:r>
    </w:p>
    <w:p>
      <w:pPr>
        <w:pStyle w:val="BodyText"/>
        <w:spacing w:line="276" w:lineRule="auto" w:before="40"/>
        <w:ind w:right="1279" w:firstLine="707"/>
      </w:pPr>
      <w:r>
        <w:rPr/>
        <w:t>Ряд</w:t>
      </w:r>
      <w:r>
        <w:rPr>
          <w:spacing w:val="-12"/>
        </w:rPr>
        <w:t> </w:t>
      </w:r>
      <w:r>
        <w:rPr/>
        <w:t>рабочих</w:t>
      </w:r>
      <w:r>
        <w:rPr>
          <w:spacing w:val="-12"/>
        </w:rPr>
        <w:t> </w:t>
      </w:r>
      <w:r>
        <w:rPr/>
        <w:t>станций</w:t>
      </w:r>
      <w:r>
        <w:rPr>
          <w:spacing w:val="-12"/>
        </w:rPr>
        <w:t> </w:t>
      </w:r>
      <w:r>
        <w:rPr/>
        <w:t>для</w:t>
      </w:r>
      <w:r>
        <w:rPr>
          <w:spacing w:val="-13"/>
        </w:rPr>
        <w:t> </w:t>
      </w:r>
      <w:r>
        <w:rPr/>
        <w:t>современных</w:t>
      </w:r>
      <w:r>
        <w:rPr>
          <w:spacing w:val="-13"/>
        </w:rPr>
        <w:t> </w:t>
      </w:r>
      <w:r>
        <w:rPr/>
        <w:t>аппаратов</w:t>
      </w:r>
      <w:r>
        <w:rPr>
          <w:spacing w:val="-13"/>
        </w:rPr>
        <w:t> </w:t>
      </w:r>
      <w:r>
        <w:rPr/>
        <w:t>КТ</w:t>
      </w:r>
      <w:r>
        <w:rPr>
          <w:spacing w:val="-13"/>
        </w:rPr>
        <w:t> </w:t>
      </w:r>
      <w:r>
        <w:rPr/>
        <w:t>и</w:t>
      </w:r>
      <w:r>
        <w:rPr>
          <w:spacing w:val="-12"/>
        </w:rPr>
        <w:t> </w:t>
      </w:r>
      <w:r>
        <w:rPr/>
        <w:t>цифровой</w:t>
      </w:r>
      <w:r>
        <w:rPr>
          <w:spacing w:val="-12"/>
        </w:rPr>
        <w:t> </w:t>
      </w:r>
      <w:r>
        <w:rPr/>
        <w:t>РГ</w:t>
      </w:r>
      <w:r>
        <w:rPr>
          <w:spacing w:val="-12"/>
        </w:rPr>
        <w:t> </w:t>
      </w:r>
      <w:r>
        <w:rPr/>
        <w:t>оснащены компьютерными программами, которые предназначены для автоматического или полуавтоматического</w:t>
      </w:r>
      <w:r>
        <w:rPr>
          <w:spacing w:val="31"/>
        </w:rPr>
        <w:t>  </w:t>
      </w:r>
      <w:r>
        <w:rPr/>
        <w:t>выделения</w:t>
      </w:r>
      <w:r>
        <w:rPr>
          <w:spacing w:val="31"/>
        </w:rPr>
        <w:t>  </w:t>
      </w:r>
      <w:r>
        <w:rPr/>
        <w:t>и</w:t>
      </w:r>
      <w:r>
        <w:rPr>
          <w:spacing w:val="31"/>
        </w:rPr>
        <w:t>  </w:t>
      </w:r>
      <w:r>
        <w:rPr/>
        <w:t>измерения</w:t>
      </w:r>
      <w:r>
        <w:rPr>
          <w:spacing w:val="30"/>
        </w:rPr>
        <w:t>  </w:t>
      </w:r>
      <w:r>
        <w:rPr/>
        <w:t>объема</w:t>
      </w:r>
      <w:r>
        <w:rPr>
          <w:spacing w:val="31"/>
        </w:rPr>
        <w:t>  </w:t>
      </w:r>
      <w:r>
        <w:rPr/>
        <w:t>зон</w:t>
      </w:r>
      <w:r>
        <w:rPr>
          <w:spacing w:val="30"/>
        </w:rPr>
        <w:t>  </w:t>
      </w:r>
      <w:r>
        <w:rPr/>
        <w:t>«матового</w:t>
      </w:r>
      <w:r>
        <w:rPr>
          <w:spacing w:val="31"/>
        </w:rPr>
        <w:t>  </w:t>
      </w:r>
      <w:r>
        <w:rPr>
          <w:spacing w:val="-2"/>
        </w:rPr>
        <w:t>стекла»</w:t>
      </w:r>
    </w:p>
    <w:p>
      <w:pPr>
        <w:pStyle w:val="BodyText"/>
        <w:spacing w:before="4"/>
        <w:ind w:left="0"/>
        <w:jc w:val="left"/>
        <w:rPr>
          <w:sz w:val="18"/>
        </w:rPr>
      </w:pPr>
      <w:r>
        <w:rPr>
          <w:sz w:val="18"/>
        </w:rPr>
        <mc:AlternateContent>
          <mc:Choice Requires="wps">
            <w:drawing>
              <wp:anchor distT="0" distB="0" distL="0" distR="0" allowOverlap="1" layoutInCell="1" locked="0" behindDoc="1" simplePos="0" relativeHeight="487603200">
                <wp:simplePos x="0" y="0"/>
                <wp:positionH relativeFrom="page">
                  <wp:posOffset>1170736</wp:posOffset>
                </wp:positionH>
                <wp:positionV relativeFrom="paragraph">
                  <wp:posOffset>149604</wp:posOffset>
                </wp:positionV>
                <wp:extent cx="1829435" cy="9525"/>
                <wp:effectExtent l="0" t="0" r="0" b="0"/>
                <wp:wrapTopAndBottom/>
                <wp:docPr id="72" name="Graphic 72"/>
                <wp:cNvGraphicFramePr>
                  <a:graphicFrameLocks/>
                </wp:cNvGraphicFramePr>
                <a:graphic>
                  <a:graphicData uri="http://schemas.microsoft.com/office/word/2010/wordprocessingShape">
                    <wps:wsp>
                      <wps:cNvPr id="72" name="Graphic 72"/>
                      <wps:cNvSpPr/>
                      <wps:spPr>
                        <a:xfrm>
                          <a:off x="0" y="0"/>
                          <a:ext cx="1829435" cy="9525"/>
                        </a:xfrm>
                        <a:custGeom>
                          <a:avLst/>
                          <a:gdLst/>
                          <a:ahLst/>
                          <a:cxnLst/>
                          <a:rect l="l" t="t" r="r" b="b"/>
                          <a:pathLst>
                            <a:path w="1829435" h="9525">
                              <a:moveTo>
                                <a:pt x="1826234" y="2119"/>
                              </a:moveTo>
                              <a:lnTo>
                                <a:pt x="-1100" y="2119"/>
                              </a:lnTo>
                              <a:lnTo>
                                <a:pt x="-1100" y="11254"/>
                              </a:lnTo>
                              <a:lnTo>
                                <a:pt x="1826234" y="11254"/>
                              </a:lnTo>
                              <a:lnTo>
                                <a:pt x="1826234" y="211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92.097343pt;margin-top:11.946773pt;width:143.884618pt;height:.719293pt;mso-position-horizontal-relative:page;mso-position-vertical-relative:paragraph;z-index:-15713280;mso-wrap-distance-left:0;mso-wrap-distance-right:0" id="docshape60" filled="true" fillcolor="#000000" stroked="false">
                <v:fill type="solid"/>
                <w10:wrap type="topAndBottom"/>
              </v:rect>
            </w:pict>
          </mc:Fallback>
        </mc:AlternateContent>
      </w:r>
    </w:p>
    <w:p>
      <w:pPr>
        <w:pStyle w:val="BodyText"/>
        <w:ind w:left="0"/>
        <w:jc w:val="left"/>
        <w:rPr>
          <w:sz w:val="18"/>
        </w:rPr>
      </w:pPr>
    </w:p>
    <w:p>
      <w:pPr>
        <w:pStyle w:val="BodyText"/>
        <w:ind w:left="0"/>
        <w:jc w:val="left"/>
        <w:rPr>
          <w:sz w:val="18"/>
        </w:rPr>
      </w:pPr>
    </w:p>
    <w:p>
      <w:pPr>
        <w:pStyle w:val="BodyText"/>
        <w:spacing w:before="27"/>
        <w:ind w:left="0"/>
        <w:jc w:val="left"/>
        <w:rPr>
          <w:sz w:val="18"/>
        </w:rPr>
      </w:pPr>
    </w:p>
    <w:p>
      <w:pPr>
        <w:spacing w:before="1"/>
        <w:ind w:left="1841" w:right="1271" w:firstLine="0"/>
        <w:jc w:val="both"/>
        <w:rPr>
          <w:sz w:val="18"/>
        </w:rPr>
      </w:pPr>
      <w:r>
        <w:rPr>
          <w:position w:val="6"/>
          <w:sz w:val="12"/>
        </w:rPr>
        <w:t>1 </w:t>
      </w:r>
      <w:r>
        <w:rPr>
          <w:sz w:val="18"/>
        </w:rPr>
        <w:t>Исходная шкала - Inui S, Fujikawa A, Jitsu M et al. Chest CT Findings in Cases from the Cruise Ship Diamond Princess</w:t>
      </w:r>
      <w:r>
        <w:rPr>
          <w:spacing w:val="-2"/>
          <w:sz w:val="18"/>
        </w:rPr>
        <w:t> </w:t>
      </w:r>
      <w:r>
        <w:rPr>
          <w:sz w:val="18"/>
        </w:rPr>
        <w:t>with Coronavirus Disease (COVID-19). Radiol Cardiothorac Imaging. 2020 Mar 17;2(2):e200110. doi: </w:t>
      </w:r>
      <w:r>
        <w:rPr>
          <w:spacing w:val="-2"/>
          <w:sz w:val="18"/>
        </w:rPr>
        <w:t>10.1148/ryct.2020200110.</w:t>
      </w:r>
    </w:p>
    <w:p>
      <w:pPr>
        <w:pStyle w:val="ListParagraph"/>
        <w:numPr>
          <w:ilvl w:val="0"/>
          <w:numId w:val="8"/>
        </w:numPr>
        <w:tabs>
          <w:tab w:pos="2109" w:val="left" w:leader="none"/>
        </w:tabs>
        <w:spacing w:line="240" w:lineRule="auto" w:before="0" w:after="0"/>
        <w:ind w:left="1841" w:right="1275" w:firstLine="0"/>
        <w:jc w:val="both"/>
        <w:rPr>
          <w:sz w:val="18"/>
        </w:rPr>
      </w:pPr>
      <w:r>
        <w:rPr>
          <w:sz w:val="18"/>
        </w:rPr>
        <w:t>Лучевая диагностика коронавирусной болезни (COVID-19): организация, методология, интерпретация результатов</w:t>
      </w:r>
      <w:r>
        <w:rPr>
          <w:spacing w:val="-2"/>
          <w:sz w:val="18"/>
        </w:rPr>
        <w:t> </w:t>
      </w:r>
      <w:r>
        <w:rPr>
          <w:sz w:val="18"/>
        </w:rPr>
        <w:t>:</w:t>
      </w:r>
      <w:r>
        <w:rPr>
          <w:spacing w:val="-3"/>
          <w:sz w:val="18"/>
        </w:rPr>
        <w:t> </w:t>
      </w:r>
      <w:r>
        <w:rPr>
          <w:sz w:val="18"/>
        </w:rPr>
        <w:t>методические</w:t>
      </w:r>
      <w:r>
        <w:rPr>
          <w:spacing w:val="-2"/>
          <w:sz w:val="18"/>
        </w:rPr>
        <w:t> </w:t>
      </w:r>
      <w:r>
        <w:rPr>
          <w:sz w:val="18"/>
        </w:rPr>
        <w:t>рекомендации / сост.</w:t>
      </w:r>
      <w:r>
        <w:rPr>
          <w:spacing w:val="-2"/>
          <w:sz w:val="18"/>
        </w:rPr>
        <w:t> </w:t>
      </w:r>
      <w:r>
        <w:rPr>
          <w:sz w:val="18"/>
        </w:rPr>
        <w:t>С. П.</w:t>
      </w:r>
      <w:r>
        <w:rPr>
          <w:spacing w:val="-3"/>
          <w:sz w:val="18"/>
        </w:rPr>
        <w:t> </w:t>
      </w:r>
      <w:r>
        <w:rPr>
          <w:sz w:val="18"/>
        </w:rPr>
        <w:t>Морозов, Д. Н. Проценко, С.</w:t>
      </w:r>
      <w:r>
        <w:rPr>
          <w:spacing w:val="-2"/>
          <w:sz w:val="18"/>
        </w:rPr>
        <w:t> </w:t>
      </w:r>
      <w:r>
        <w:rPr>
          <w:sz w:val="18"/>
        </w:rPr>
        <w:t>В.</w:t>
      </w:r>
      <w:r>
        <w:rPr>
          <w:spacing w:val="-2"/>
          <w:sz w:val="18"/>
        </w:rPr>
        <w:t> </w:t>
      </w:r>
      <w:r>
        <w:rPr>
          <w:sz w:val="18"/>
        </w:rPr>
        <w:t>Сметанина</w:t>
      </w:r>
      <w:r>
        <w:rPr>
          <w:spacing w:val="-2"/>
          <w:sz w:val="18"/>
        </w:rPr>
        <w:t> </w:t>
      </w:r>
      <w:r>
        <w:rPr>
          <w:sz w:val="18"/>
        </w:rPr>
        <w:t>[и</w:t>
      </w:r>
      <w:r>
        <w:rPr>
          <w:spacing w:val="-1"/>
          <w:sz w:val="18"/>
        </w:rPr>
        <w:t> </w:t>
      </w:r>
      <w:r>
        <w:rPr>
          <w:sz w:val="18"/>
        </w:rPr>
        <w:t>др.]</w:t>
      </w:r>
      <w:r>
        <w:rPr>
          <w:spacing w:val="-1"/>
          <w:sz w:val="18"/>
        </w:rPr>
        <w:t> </w:t>
      </w:r>
      <w:r>
        <w:rPr>
          <w:sz w:val="18"/>
        </w:rPr>
        <w:t>//</w:t>
      </w:r>
      <w:r>
        <w:rPr>
          <w:spacing w:val="-2"/>
          <w:sz w:val="18"/>
        </w:rPr>
        <w:t> </w:t>
      </w:r>
      <w:r>
        <w:rPr>
          <w:sz w:val="18"/>
        </w:rPr>
        <w:t>Серия</w:t>
      </w:r>
    </w:p>
    <w:p>
      <w:pPr>
        <w:spacing w:before="0"/>
        <w:ind w:left="1841" w:right="1272" w:firstLine="0"/>
        <w:jc w:val="both"/>
        <w:rPr>
          <w:sz w:val="18"/>
        </w:rPr>
      </w:pPr>
      <w:r>
        <w:rPr>
          <w:sz w:val="18"/>
        </w:rPr>
        <w:t>«Лучшие</w:t>
      </w:r>
      <w:r>
        <w:rPr>
          <w:spacing w:val="-2"/>
          <w:sz w:val="18"/>
        </w:rPr>
        <w:t> </w:t>
      </w:r>
      <w:r>
        <w:rPr>
          <w:sz w:val="18"/>
        </w:rPr>
        <w:t>практики</w:t>
      </w:r>
      <w:r>
        <w:rPr>
          <w:spacing w:val="-1"/>
          <w:sz w:val="18"/>
        </w:rPr>
        <w:t> </w:t>
      </w:r>
      <w:r>
        <w:rPr>
          <w:sz w:val="18"/>
        </w:rPr>
        <w:t>лучевой</w:t>
      </w:r>
      <w:r>
        <w:rPr>
          <w:spacing w:val="-1"/>
          <w:sz w:val="18"/>
        </w:rPr>
        <w:t> </w:t>
      </w:r>
      <w:r>
        <w:rPr>
          <w:sz w:val="18"/>
        </w:rPr>
        <w:t>и</w:t>
      </w:r>
      <w:r>
        <w:rPr>
          <w:spacing w:val="-1"/>
          <w:sz w:val="18"/>
        </w:rPr>
        <w:t> </w:t>
      </w:r>
      <w:r>
        <w:rPr>
          <w:sz w:val="18"/>
        </w:rPr>
        <w:t>инструментальной</w:t>
      </w:r>
      <w:r>
        <w:rPr>
          <w:spacing w:val="-1"/>
          <w:sz w:val="18"/>
        </w:rPr>
        <w:t> </w:t>
      </w:r>
      <w:r>
        <w:rPr>
          <w:sz w:val="18"/>
        </w:rPr>
        <w:t>диагностики». – Вып. 93.</w:t>
      </w:r>
      <w:r>
        <w:rPr>
          <w:spacing w:val="-2"/>
          <w:sz w:val="18"/>
        </w:rPr>
        <w:t> </w:t>
      </w:r>
      <w:r>
        <w:rPr>
          <w:sz w:val="18"/>
        </w:rPr>
        <w:t>–М.: ГБУЗ</w:t>
      </w:r>
      <w:r>
        <w:rPr>
          <w:spacing w:val="-3"/>
          <w:sz w:val="18"/>
        </w:rPr>
        <w:t> </w:t>
      </w:r>
      <w:r>
        <w:rPr>
          <w:sz w:val="18"/>
        </w:rPr>
        <w:t>«НПКЦ</w:t>
      </w:r>
      <w:r>
        <w:rPr>
          <w:spacing w:val="-4"/>
          <w:sz w:val="18"/>
        </w:rPr>
        <w:t> </w:t>
      </w:r>
      <w:r>
        <w:rPr>
          <w:sz w:val="18"/>
        </w:rPr>
        <w:t>ДиТ</w:t>
      </w:r>
      <w:r>
        <w:rPr>
          <w:spacing w:val="-1"/>
          <w:sz w:val="18"/>
        </w:rPr>
        <w:t> </w:t>
      </w:r>
      <w:r>
        <w:rPr>
          <w:sz w:val="18"/>
        </w:rPr>
        <w:t>ДЗМ»,</w:t>
      </w:r>
      <w:r>
        <w:rPr>
          <w:spacing w:val="-3"/>
          <w:sz w:val="18"/>
        </w:rPr>
        <w:t> </w:t>
      </w:r>
      <w:r>
        <w:rPr>
          <w:sz w:val="18"/>
        </w:rPr>
        <w:t>2020. – 102 с.</w:t>
      </w:r>
    </w:p>
    <w:p>
      <w:pPr>
        <w:spacing w:after="0"/>
        <w:jc w:val="both"/>
        <w:rPr>
          <w:sz w:val="18"/>
        </w:rPr>
        <w:sectPr>
          <w:pgSz w:w="11900" w:h="16840"/>
          <w:pgMar w:header="0" w:footer="697" w:top="1080" w:bottom="880" w:left="0" w:right="0"/>
        </w:sectPr>
      </w:pPr>
    </w:p>
    <w:p>
      <w:pPr>
        <w:pStyle w:val="BodyText"/>
        <w:spacing w:line="276" w:lineRule="auto" w:before="73"/>
        <w:ind w:right="1276"/>
      </w:pPr>
      <w:bookmarkStart w:name="166" w:id="195"/>
      <w:bookmarkEnd w:id="195"/>
      <w:r>
        <w:rPr/>
      </w:r>
      <w:r>
        <w:rPr/>
        <w:t>и</w:t>
      </w:r>
      <w:r>
        <w:rPr>
          <w:spacing w:val="-3"/>
        </w:rPr>
        <w:t> </w:t>
      </w:r>
      <w:r>
        <w:rPr/>
        <w:t>консолидации. Применение таких программ позволяет проводить оценку объема измененной легочной</w:t>
      </w:r>
      <w:r>
        <w:rPr>
          <w:spacing w:val="-2"/>
        </w:rPr>
        <w:t> </w:t>
      </w:r>
      <w:r>
        <w:rPr/>
        <w:t>ткани более</w:t>
      </w:r>
      <w:r>
        <w:rPr>
          <w:spacing w:val="-2"/>
        </w:rPr>
        <w:t> </w:t>
      </w:r>
      <w:r>
        <w:rPr/>
        <w:t>объективно,</w:t>
      </w:r>
      <w:r>
        <w:rPr>
          <w:spacing w:val="-3"/>
        </w:rPr>
        <w:t> </w:t>
      </w:r>
      <w:r>
        <w:rPr/>
        <w:t>чем</w:t>
      </w:r>
      <w:r>
        <w:rPr>
          <w:spacing w:val="-2"/>
        </w:rPr>
        <w:t> </w:t>
      </w:r>
      <w:r>
        <w:rPr/>
        <w:t>«эмпирический»</w:t>
      </w:r>
      <w:r>
        <w:rPr>
          <w:spacing w:val="-1"/>
        </w:rPr>
        <w:t> </w:t>
      </w:r>
      <w:r>
        <w:rPr/>
        <w:t>метод,</w:t>
      </w:r>
      <w:r>
        <w:rPr>
          <w:spacing w:val="-1"/>
        </w:rPr>
        <w:t> </w:t>
      </w:r>
      <w:r>
        <w:rPr/>
        <w:t>особенно при наблюдении в динамике. При использовании таких компьютерных программ врач-рентгенолог должен контролировать корректность выделения патологических участков</w:t>
      </w:r>
      <w:r>
        <w:rPr>
          <w:spacing w:val="-15"/>
        </w:rPr>
        <w:t> </w:t>
      </w:r>
      <w:r>
        <w:rPr/>
        <w:t>в</w:t>
      </w:r>
      <w:r>
        <w:rPr>
          <w:spacing w:val="-15"/>
        </w:rPr>
        <w:t> </w:t>
      </w:r>
      <w:r>
        <w:rPr/>
        <w:t>легких</w:t>
      </w:r>
      <w:r>
        <w:rPr>
          <w:spacing w:val="-15"/>
        </w:rPr>
        <w:t> </w:t>
      </w:r>
      <w:r>
        <w:rPr/>
        <w:t>и</w:t>
      </w:r>
      <w:r>
        <w:rPr>
          <w:spacing w:val="-13"/>
        </w:rPr>
        <w:t> </w:t>
      </w:r>
      <w:r>
        <w:rPr/>
        <w:t>принимать</w:t>
      </w:r>
      <w:r>
        <w:rPr>
          <w:spacing w:val="-13"/>
        </w:rPr>
        <w:t> </w:t>
      </w:r>
      <w:r>
        <w:rPr/>
        <w:t>решение,</w:t>
      </w:r>
      <w:r>
        <w:rPr>
          <w:spacing w:val="-15"/>
        </w:rPr>
        <w:t> </w:t>
      </w:r>
      <w:r>
        <w:rPr/>
        <w:t>пригодны</w:t>
      </w:r>
      <w:r>
        <w:rPr>
          <w:spacing w:val="-15"/>
        </w:rPr>
        <w:t> </w:t>
      </w:r>
      <w:r>
        <w:rPr/>
        <w:t>получаемые</w:t>
      </w:r>
      <w:r>
        <w:rPr>
          <w:spacing w:val="-15"/>
        </w:rPr>
        <w:t> </w:t>
      </w:r>
      <w:r>
        <w:rPr/>
        <w:t>с</w:t>
      </w:r>
      <w:r>
        <w:rPr>
          <w:spacing w:val="-15"/>
        </w:rPr>
        <w:t> </w:t>
      </w:r>
      <w:r>
        <w:rPr/>
        <w:t>их</w:t>
      </w:r>
      <w:r>
        <w:rPr>
          <w:spacing w:val="-14"/>
        </w:rPr>
        <w:t> </w:t>
      </w:r>
      <w:r>
        <w:rPr/>
        <w:t>помощью</w:t>
      </w:r>
      <w:r>
        <w:rPr>
          <w:spacing w:val="-14"/>
        </w:rPr>
        <w:t> </w:t>
      </w:r>
      <w:r>
        <w:rPr/>
        <w:t>данные для клинического применения или нет.</w:t>
      </w:r>
    </w:p>
    <w:p>
      <w:pPr>
        <w:pStyle w:val="BodyText"/>
        <w:spacing w:line="276" w:lineRule="auto"/>
        <w:ind w:right="1274" w:firstLine="707"/>
      </w:pPr>
      <w:r>
        <w:rPr/>
        <w:t>В целом, данные визуализации могут интерпретироваться только в контексте клинической картины и результатов лабораторно-инструментальных показателей. Рентгенография и КТ играют важную, но не определяющую роль в оценке тяжести течения заболевания и прогноза его развития. Эти ограничения связаны в том числе</w:t>
      </w:r>
      <w:r>
        <w:rPr>
          <w:spacing w:val="40"/>
        </w:rPr>
        <w:t> </w:t>
      </w:r>
      <w:r>
        <w:rPr/>
        <w:t>с</w:t>
      </w:r>
      <w:r>
        <w:rPr>
          <w:spacing w:val="-5"/>
        </w:rPr>
        <w:t> </w:t>
      </w:r>
      <w:r>
        <w:rPr/>
        <w:t>отсутствием характеристик поражения легочной ткани («матовое» стекло и/или консолидация)</w:t>
      </w:r>
      <w:r>
        <w:rPr>
          <w:spacing w:val="40"/>
        </w:rPr>
        <w:t> </w:t>
      </w:r>
      <w:r>
        <w:rPr/>
        <w:t>и</w:t>
      </w:r>
      <w:r>
        <w:rPr>
          <w:spacing w:val="40"/>
        </w:rPr>
        <w:t> </w:t>
      </w:r>
      <w:r>
        <w:rPr/>
        <w:t>других</w:t>
      </w:r>
      <w:r>
        <w:rPr>
          <w:spacing w:val="40"/>
        </w:rPr>
        <w:t> </w:t>
      </w:r>
      <w:r>
        <w:rPr/>
        <w:t>проявлений</w:t>
      </w:r>
      <w:r>
        <w:rPr>
          <w:spacing w:val="40"/>
        </w:rPr>
        <w:t> </w:t>
      </w:r>
      <w:r>
        <w:rPr/>
        <w:t>патологии</w:t>
      </w:r>
      <w:r>
        <w:rPr>
          <w:spacing w:val="40"/>
        </w:rPr>
        <w:t> </w:t>
      </w:r>
      <w:r>
        <w:rPr/>
        <w:t>(плевральный</w:t>
      </w:r>
      <w:r>
        <w:rPr>
          <w:spacing w:val="40"/>
        </w:rPr>
        <w:t> </w:t>
      </w:r>
      <w:r>
        <w:rPr/>
        <w:t>выпот,</w:t>
      </w:r>
      <w:r>
        <w:rPr>
          <w:spacing w:val="40"/>
        </w:rPr>
        <w:t> </w:t>
      </w:r>
      <w:r>
        <w:rPr/>
        <w:t>отек</w:t>
      </w:r>
      <w:r>
        <w:rPr>
          <w:spacing w:val="40"/>
        </w:rPr>
        <w:t> </w:t>
      </w:r>
      <w:r>
        <w:rPr/>
        <w:t>легких и др.). Поэтому </w:t>
      </w:r>
      <w:r>
        <w:rPr>
          <w:b/>
        </w:rPr>
        <w:t>объем поражения легких при РГ и КТ может не иметь прямой корреляции с клинической тяжестью заболевания</w:t>
      </w:r>
      <w:r>
        <w:rPr/>
        <w:t>.</w:t>
      </w:r>
    </w:p>
    <w:p>
      <w:pPr>
        <w:pStyle w:val="BodyText"/>
        <w:spacing w:before="79"/>
        <w:ind w:left="0"/>
        <w:jc w:val="left"/>
      </w:pPr>
    </w:p>
    <w:p>
      <w:pPr>
        <w:pStyle w:val="Heading3"/>
        <w:numPr>
          <w:ilvl w:val="0"/>
          <w:numId w:val="69"/>
        </w:numPr>
        <w:tabs>
          <w:tab w:pos="2907" w:val="left" w:leader="none"/>
        </w:tabs>
        <w:spacing w:line="240" w:lineRule="auto" w:before="0" w:after="0"/>
        <w:ind w:left="2907" w:right="0" w:hanging="358"/>
        <w:jc w:val="both"/>
      </w:pPr>
      <w:r>
        <w:rPr/>
        <w:t>Оценка</w:t>
      </w:r>
      <w:r>
        <w:rPr>
          <w:spacing w:val="-14"/>
        </w:rPr>
        <w:t> </w:t>
      </w:r>
      <w:r>
        <w:rPr/>
        <w:t>динамики</w:t>
      </w:r>
      <w:r>
        <w:rPr>
          <w:spacing w:val="-14"/>
        </w:rPr>
        <w:t> </w:t>
      </w:r>
      <w:r>
        <w:rPr/>
        <w:t>изменений</w:t>
      </w:r>
      <w:r>
        <w:rPr>
          <w:spacing w:val="-12"/>
        </w:rPr>
        <w:t> </w:t>
      </w:r>
      <w:r>
        <w:rPr/>
        <w:t>в</w:t>
      </w:r>
      <w:r>
        <w:rPr>
          <w:spacing w:val="-14"/>
        </w:rPr>
        <w:t> </w:t>
      </w:r>
      <w:r>
        <w:rPr/>
        <w:t>легких</w:t>
      </w:r>
      <w:r>
        <w:rPr>
          <w:spacing w:val="-13"/>
        </w:rPr>
        <w:t> </w:t>
      </w:r>
      <w:r>
        <w:rPr/>
        <w:t>при</w:t>
      </w:r>
      <w:r>
        <w:rPr>
          <w:spacing w:val="-8"/>
        </w:rPr>
        <w:t> </w:t>
      </w:r>
      <w:r>
        <w:rPr/>
        <w:t>пневмонии</w:t>
      </w:r>
      <w:r>
        <w:rPr>
          <w:spacing w:val="-11"/>
        </w:rPr>
        <w:t> </w:t>
      </w:r>
      <w:r>
        <w:rPr/>
        <w:t>COVID-</w:t>
      </w:r>
      <w:r>
        <w:rPr>
          <w:spacing w:val="-5"/>
        </w:rPr>
        <w:t>19</w:t>
      </w:r>
    </w:p>
    <w:p>
      <w:pPr>
        <w:pStyle w:val="BodyText"/>
        <w:spacing w:line="276" w:lineRule="auto" w:before="41"/>
        <w:ind w:right="1272" w:firstLine="707"/>
      </w:pPr>
      <w:r>
        <w:rPr/>
        <w:t>Основные</w:t>
      </w:r>
      <w:r>
        <w:rPr>
          <w:spacing w:val="80"/>
        </w:rPr>
        <w:t>  </w:t>
      </w:r>
      <w:r>
        <w:rPr/>
        <w:t>закономерности</w:t>
      </w:r>
      <w:r>
        <w:rPr>
          <w:spacing w:val="80"/>
        </w:rPr>
        <w:t>  </w:t>
      </w:r>
      <w:r>
        <w:rPr/>
        <w:t>развития</w:t>
      </w:r>
      <w:r>
        <w:rPr>
          <w:spacing w:val="79"/>
        </w:rPr>
        <w:t>  </w:t>
      </w:r>
      <w:r>
        <w:rPr/>
        <w:t>COVID-19</w:t>
      </w:r>
      <w:r>
        <w:rPr>
          <w:spacing w:val="80"/>
        </w:rPr>
        <w:t>  </w:t>
      </w:r>
      <w:r>
        <w:rPr/>
        <w:t>пневмонии</w:t>
      </w:r>
      <w:r>
        <w:rPr>
          <w:spacing w:val="80"/>
        </w:rPr>
        <w:t>  </w:t>
      </w:r>
      <w:r>
        <w:rPr/>
        <w:t>связаны с</w:t>
      </w:r>
      <w:r>
        <w:rPr>
          <w:spacing w:val="-6"/>
        </w:rPr>
        <w:t> </w:t>
      </w:r>
      <w:r>
        <w:rPr/>
        <w:t>трансформацией</w:t>
      </w:r>
      <w:r>
        <w:rPr>
          <w:spacing w:val="30"/>
        </w:rPr>
        <w:t> </w:t>
      </w:r>
      <w:r>
        <w:rPr/>
        <w:t>участков</w:t>
      </w:r>
      <w:r>
        <w:rPr>
          <w:spacing w:val="29"/>
        </w:rPr>
        <w:t> </w:t>
      </w:r>
      <w:r>
        <w:rPr/>
        <w:t>«матового</w:t>
      </w:r>
      <w:r>
        <w:rPr>
          <w:spacing w:val="29"/>
        </w:rPr>
        <w:t> </w:t>
      </w:r>
      <w:r>
        <w:rPr/>
        <w:t>стекла»</w:t>
      </w:r>
      <w:r>
        <w:rPr>
          <w:spacing w:val="40"/>
        </w:rPr>
        <w:t> </w:t>
      </w:r>
      <w:r>
        <w:rPr/>
        <w:t>и</w:t>
      </w:r>
      <w:r>
        <w:rPr>
          <w:spacing w:val="30"/>
        </w:rPr>
        <w:t> </w:t>
      </w:r>
      <w:r>
        <w:rPr/>
        <w:t>консолидацией</w:t>
      </w:r>
      <w:r>
        <w:rPr>
          <w:spacing w:val="31"/>
        </w:rPr>
        <w:t> </w:t>
      </w:r>
      <w:r>
        <w:rPr/>
        <w:t>в</w:t>
      </w:r>
      <w:r>
        <w:rPr>
          <w:spacing w:val="29"/>
        </w:rPr>
        <w:t> </w:t>
      </w:r>
      <w:r>
        <w:rPr/>
        <w:t>легочной</w:t>
      </w:r>
      <w:r>
        <w:rPr>
          <w:spacing w:val="30"/>
        </w:rPr>
        <w:t> </w:t>
      </w:r>
      <w:r>
        <w:rPr/>
        <w:t>ткани. В</w:t>
      </w:r>
      <w:r>
        <w:rPr>
          <w:spacing w:val="-15"/>
        </w:rPr>
        <w:t> </w:t>
      </w:r>
      <w:r>
        <w:rPr/>
        <w:t>связи</w:t>
      </w:r>
      <w:r>
        <w:rPr>
          <w:spacing w:val="-15"/>
        </w:rPr>
        <w:t> </w:t>
      </w:r>
      <w:r>
        <w:rPr/>
        <w:t>с</w:t>
      </w:r>
      <w:r>
        <w:rPr>
          <w:spacing w:val="-15"/>
        </w:rPr>
        <w:t> </w:t>
      </w:r>
      <w:r>
        <w:rPr/>
        <w:t>этим</w:t>
      </w:r>
      <w:r>
        <w:rPr>
          <w:spacing w:val="-15"/>
        </w:rPr>
        <w:t> </w:t>
      </w:r>
      <w:r>
        <w:rPr/>
        <w:t>КТ</w:t>
      </w:r>
      <w:r>
        <w:rPr>
          <w:spacing w:val="-15"/>
        </w:rPr>
        <w:t> </w:t>
      </w:r>
      <w:r>
        <w:rPr/>
        <w:t>является</w:t>
      </w:r>
      <w:r>
        <w:rPr>
          <w:spacing w:val="-15"/>
        </w:rPr>
        <w:t> </w:t>
      </w:r>
      <w:r>
        <w:rPr/>
        <w:t>предпочтительным</w:t>
      </w:r>
      <w:r>
        <w:rPr>
          <w:spacing w:val="-15"/>
        </w:rPr>
        <w:t> </w:t>
      </w:r>
      <w:r>
        <w:rPr/>
        <w:t>методом</w:t>
      </w:r>
      <w:r>
        <w:rPr>
          <w:spacing w:val="-15"/>
        </w:rPr>
        <w:t> </w:t>
      </w:r>
      <w:r>
        <w:rPr/>
        <w:t>оценки</w:t>
      </w:r>
      <w:r>
        <w:rPr>
          <w:spacing w:val="-15"/>
        </w:rPr>
        <w:t> </w:t>
      </w:r>
      <w:r>
        <w:rPr/>
        <w:t>динамики.</w:t>
      </w:r>
      <w:r>
        <w:rPr>
          <w:spacing w:val="-15"/>
        </w:rPr>
        <w:t> </w:t>
      </w:r>
      <w:r>
        <w:rPr/>
        <w:t>Однако</w:t>
      </w:r>
      <w:r>
        <w:rPr>
          <w:spacing w:val="-15"/>
        </w:rPr>
        <w:t> </w:t>
      </w:r>
      <w:r>
        <w:rPr/>
        <w:t>для этой</w:t>
      </w:r>
      <w:r>
        <w:rPr>
          <w:spacing w:val="26"/>
        </w:rPr>
        <w:t> </w:t>
      </w:r>
      <w:r>
        <w:rPr/>
        <w:t>цели</w:t>
      </w:r>
      <w:r>
        <w:rPr>
          <w:spacing w:val="26"/>
        </w:rPr>
        <w:t> </w:t>
      </w:r>
      <w:r>
        <w:rPr/>
        <w:t>может</w:t>
      </w:r>
      <w:r>
        <w:rPr>
          <w:spacing w:val="26"/>
        </w:rPr>
        <w:t> </w:t>
      </w:r>
      <w:r>
        <w:rPr/>
        <w:t>использоваться</w:t>
      </w:r>
      <w:r>
        <w:rPr>
          <w:spacing w:val="25"/>
        </w:rPr>
        <w:t> </w:t>
      </w:r>
      <w:r>
        <w:rPr/>
        <w:t>и</w:t>
      </w:r>
      <w:r>
        <w:rPr>
          <w:spacing w:val="30"/>
        </w:rPr>
        <w:t> </w:t>
      </w:r>
      <w:r>
        <w:rPr/>
        <w:t>РГ,</w:t>
      </w:r>
      <w:r>
        <w:rPr>
          <w:spacing w:val="25"/>
        </w:rPr>
        <w:t> </w:t>
      </w:r>
      <w:r>
        <w:rPr/>
        <w:t>в</w:t>
      </w:r>
      <w:r>
        <w:rPr>
          <w:spacing w:val="24"/>
        </w:rPr>
        <w:t> </w:t>
      </w:r>
      <w:r>
        <w:rPr/>
        <w:t>случае</w:t>
      </w:r>
      <w:r>
        <w:rPr>
          <w:spacing w:val="26"/>
        </w:rPr>
        <w:t> </w:t>
      </w:r>
      <w:r>
        <w:rPr/>
        <w:t>если</w:t>
      </w:r>
      <w:r>
        <w:rPr>
          <w:spacing w:val="26"/>
        </w:rPr>
        <w:t> </w:t>
      </w:r>
      <w:r>
        <w:rPr/>
        <w:t>изменения</w:t>
      </w:r>
      <w:r>
        <w:rPr>
          <w:spacing w:val="25"/>
        </w:rPr>
        <w:t> </w:t>
      </w:r>
      <w:r>
        <w:rPr/>
        <w:t>видны</w:t>
      </w:r>
      <w:r>
        <w:rPr>
          <w:spacing w:val="25"/>
        </w:rPr>
        <w:t> </w:t>
      </w:r>
      <w:r>
        <w:rPr/>
        <w:t>на</w:t>
      </w:r>
      <w:r>
        <w:rPr>
          <w:spacing w:val="24"/>
        </w:rPr>
        <w:t> </w:t>
      </w:r>
      <w:r>
        <w:rPr/>
        <w:t>снимках и</w:t>
      </w:r>
      <w:r>
        <w:rPr>
          <w:spacing w:val="-1"/>
        </w:rPr>
        <w:t> </w:t>
      </w:r>
      <w:r>
        <w:rPr/>
        <w:t>есть возможность оценить их динамику. Рентгенография с использованием передвижного аппарата также является основной методикой при наблюдении пациентов в ОРИТ.</w:t>
      </w:r>
    </w:p>
    <w:p>
      <w:pPr>
        <w:pStyle w:val="BodyText"/>
        <w:spacing w:line="276" w:lineRule="auto"/>
        <w:ind w:right="1271" w:firstLine="707"/>
      </w:pPr>
      <w:r>
        <w:rPr/>
        <w:t>Оценка динамики предполагает использование одной методики. Сравнение изменений</w:t>
      </w:r>
      <w:r>
        <w:rPr>
          <w:spacing w:val="80"/>
          <w:w w:val="150"/>
        </w:rPr>
        <w:t> </w:t>
      </w:r>
      <w:r>
        <w:rPr/>
        <w:t>по</w:t>
      </w:r>
      <w:r>
        <w:rPr>
          <w:spacing w:val="80"/>
          <w:w w:val="150"/>
        </w:rPr>
        <w:t> </w:t>
      </w:r>
      <w:r>
        <w:rPr/>
        <w:t>данным</w:t>
      </w:r>
      <w:r>
        <w:rPr>
          <w:spacing w:val="80"/>
          <w:w w:val="150"/>
        </w:rPr>
        <w:t> </w:t>
      </w:r>
      <w:r>
        <w:rPr/>
        <w:t>различных</w:t>
      </w:r>
      <w:r>
        <w:rPr>
          <w:spacing w:val="80"/>
          <w:w w:val="150"/>
        </w:rPr>
        <w:t> </w:t>
      </w:r>
      <w:r>
        <w:rPr/>
        <w:t>методов</w:t>
      </w:r>
      <w:r>
        <w:rPr>
          <w:spacing w:val="80"/>
          <w:w w:val="150"/>
        </w:rPr>
        <w:t> </w:t>
      </w:r>
      <w:r>
        <w:rPr/>
        <w:t>и</w:t>
      </w:r>
      <w:r>
        <w:rPr>
          <w:spacing w:val="80"/>
          <w:w w:val="150"/>
        </w:rPr>
        <w:t> </w:t>
      </w:r>
      <w:r>
        <w:rPr/>
        <w:t>методик</w:t>
      </w:r>
      <w:r>
        <w:rPr>
          <w:spacing w:val="80"/>
          <w:w w:val="150"/>
        </w:rPr>
        <w:t> </w:t>
      </w:r>
      <w:r>
        <w:rPr/>
        <w:t>(например,</w:t>
      </w:r>
      <w:r>
        <w:rPr>
          <w:spacing w:val="80"/>
          <w:w w:val="150"/>
        </w:rPr>
        <w:t> </w:t>
      </w:r>
      <w:r>
        <w:rPr/>
        <w:t>РГ</w:t>
      </w:r>
      <w:r>
        <w:rPr>
          <w:spacing w:val="80"/>
          <w:w w:val="150"/>
        </w:rPr>
        <w:t> </w:t>
      </w:r>
      <w:r>
        <w:rPr/>
        <w:t>и</w:t>
      </w:r>
      <w:r>
        <w:rPr>
          <w:spacing w:val="80"/>
          <w:w w:val="150"/>
        </w:rPr>
        <w:t> </w:t>
      </w:r>
      <w:r>
        <w:rPr/>
        <w:t>КТ) не корректно.</w:t>
      </w:r>
    </w:p>
    <w:p>
      <w:pPr>
        <w:pStyle w:val="BodyText"/>
        <w:spacing w:line="278" w:lineRule="auto"/>
        <w:ind w:right="1281" w:firstLine="707"/>
      </w:pPr>
      <w:r>
        <w:rPr/>
        <w:t>Все рентгенологические исследования проводятся только по клиническим </w:t>
      </w:r>
      <w:r>
        <w:rPr>
          <w:spacing w:val="-2"/>
        </w:rPr>
        <w:t>показаниям.</w:t>
      </w:r>
    </w:p>
    <w:p>
      <w:pPr>
        <w:spacing w:line="240" w:lineRule="auto" w:before="0"/>
        <w:ind w:left="1841" w:right="1279" w:firstLine="707"/>
        <w:jc w:val="both"/>
        <w:rPr>
          <w:b/>
          <w:sz w:val="24"/>
        </w:rPr>
      </w:pPr>
      <w:r>
        <w:rPr>
          <w:b/>
          <w:sz w:val="24"/>
        </w:rPr>
        <w:t>Кратность РГ и КТ исследований в динамике определяет лечащий врач (врач ОРИТ).</w:t>
      </w:r>
    </w:p>
    <w:p>
      <w:pPr>
        <w:spacing w:line="276" w:lineRule="exact" w:before="0"/>
        <w:ind w:left="3201" w:right="0" w:firstLine="0"/>
        <w:jc w:val="left"/>
        <w:rPr>
          <w:b/>
          <w:sz w:val="24"/>
        </w:rPr>
      </w:pPr>
      <w:r>
        <w:rPr>
          <w:b/>
          <w:sz w:val="24"/>
        </w:rPr>
        <w:t>Таблица</w:t>
      </w:r>
      <w:r>
        <w:rPr>
          <w:b/>
          <w:spacing w:val="-9"/>
          <w:sz w:val="24"/>
        </w:rPr>
        <w:t> </w:t>
      </w:r>
      <w:r>
        <w:rPr>
          <w:b/>
          <w:sz w:val="24"/>
        </w:rPr>
        <w:t>1.</w:t>
      </w:r>
      <w:r>
        <w:rPr>
          <w:b/>
          <w:spacing w:val="-9"/>
          <w:sz w:val="24"/>
        </w:rPr>
        <w:t> </w:t>
      </w:r>
      <w:r>
        <w:rPr>
          <w:b/>
          <w:sz w:val="24"/>
        </w:rPr>
        <w:t>Динамика</w:t>
      </w:r>
      <w:r>
        <w:rPr>
          <w:b/>
          <w:spacing w:val="-11"/>
          <w:sz w:val="24"/>
        </w:rPr>
        <w:t> </w:t>
      </w:r>
      <w:r>
        <w:rPr>
          <w:b/>
          <w:sz w:val="24"/>
        </w:rPr>
        <w:t>изменений</w:t>
      </w:r>
      <w:r>
        <w:rPr>
          <w:b/>
          <w:spacing w:val="-8"/>
          <w:sz w:val="24"/>
        </w:rPr>
        <w:t> </w:t>
      </w:r>
      <w:r>
        <w:rPr>
          <w:b/>
          <w:sz w:val="24"/>
        </w:rPr>
        <w:t>в</w:t>
      </w:r>
      <w:r>
        <w:rPr>
          <w:b/>
          <w:spacing w:val="-8"/>
          <w:sz w:val="24"/>
        </w:rPr>
        <w:t> </w:t>
      </w:r>
      <w:r>
        <w:rPr>
          <w:b/>
          <w:sz w:val="24"/>
        </w:rPr>
        <w:t>легких</w:t>
      </w:r>
      <w:r>
        <w:rPr>
          <w:b/>
          <w:spacing w:val="-9"/>
          <w:sz w:val="24"/>
        </w:rPr>
        <w:t> </w:t>
      </w:r>
      <w:r>
        <w:rPr>
          <w:b/>
          <w:sz w:val="24"/>
        </w:rPr>
        <w:t>по</w:t>
      </w:r>
      <w:r>
        <w:rPr>
          <w:b/>
          <w:spacing w:val="-9"/>
          <w:sz w:val="24"/>
        </w:rPr>
        <w:t> </w:t>
      </w:r>
      <w:r>
        <w:rPr>
          <w:b/>
          <w:sz w:val="24"/>
        </w:rPr>
        <w:t>данным</w:t>
      </w:r>
      <w:r>
        <w:rPr>
          <w:b/>
          <w:spacing w:val="-4"/>
          <w:sz w:val="24"/>
        </w:rPr>
        <w:t> </w:t>
      </w:r>
      <w:r>
        <w:rPr>
          <w:b/>
          <w:sz w:val="24"/>
        </w:rPr>
        <w:t>РГ</w:t>
      </w:r>
      <w:r>
        <w:rPr>
          <w:b/>
          <w:spacing w:val="-11"/>
          <w:sz w:val="24"/>
        </w:rPr>
        <w:t> </w:t>
      </w:r>
      <w:r>
        <w:rPr>
          <w:b/>
          <w:sz w:val="24"/>
        </w:rPr>
        <w:t>и</w:t>
      </w:r>
      <w:r>
        <w:rPr>
          <w:b/>
          <w:spacing w:val="-8"/>
          <w:sz w:val="24"/>
        </w:rPr>
        <w:t> </w:t>
      </w:r>
      <w:r>
        <w:rPr>
          <w:b/>
          <w:spacing w:val="-5"/>
          <w:sz w:val="24"/>
        </w:rPr>
        <w:t>КТ</w:t>
      </w:r>
    </w:p>
    <w:tbl>
      <w:tblPr>
        <w:tblW w:w="0" w:type="auto"/>
        <w:jc w:val="left"/>
        <w:tblInd w:w="1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39"/>
        <w:gridCol w:w="7309"/>
      </w:tblGrid>
      <w:tr>
        <w:trPr>
          <w:trHeight w:val="663" w:hRule="atLeast"/>
        </w:trPr>
        <w:tc>
          <w:tcPr>
            <w:tcW w:w="1839" w:type="dxa"/>
            <w:tcBorders>
              <w:bottom w:val="single" w:sz="6" w:space="0" w:color="000000"/>
            </w:tcBorders>
            <w:shd w:val="clear" w:color="auto" w:fill="F1F1F1"/>
          </w:tcPr>
          <w:p>
            <w:pPr>
              <w:pStyle w:val="TableParagraph"/>
              <w:spacing w:before="68"/>
              <w:ind w:left="79" w:right="717"/>
              <w:rPr>
                <w:b/>
                <w:sz w:val="22"/>
              </w:rPr>
            </w:pPr>
            <w:r>
              <w:rPr>
                <w:b/>
                <w:spacing w:val="-2"/>
                <w:sz w:val="22"/>
              </w:rPr>
              <w:t>Динамика процесса</w:t>
            </w:r>
          </w:p>
        </w:tc>
        <w:tc>
          <w:tcPr>
            <w:tcW w:w="7309" w:type="dxa"/>
            <w:tcBorders>
              <w:bottom w:val="single" w:sz="6" w:space="0" w:color="000000"/>
            </w:tcBorders>
            <w:shd w:val="clear" w:color="auto" w:fill="F1F1F1"/>
          </w:tcPr>
          <w:p>
            <w:pPr>
              <w:pStyle w:val="TableParagraph"/>
              <w:spacing w:before="68"/>
              <w:ind w:right="2"/>
              <w:jc w:val="center"/>
              <w:rPr>
                <w:b/>
                <w:sz w:val="22"/>
              </w:rPr>
            </w:pPr>
            <w:r>
              <w:rPr>
                <w:b/>
                <w:spacing w:val="-2"/>
                <w:sz w:val="22"/>
              </w:rPr>
              <w:t>Признаки</w:t>
            </w:r>
          </w:p>
        </w:tc>
      </w:tr>
      <w:tr>
        <w:trPr>
          <w:trHeight w:val="3254" w:hRule="atLeast"/>
        </w:trPr>
        <w:tc>
          <w:tcPr>
            <w:tcW w:w="1839" w:type="dxa"/>
            <w:tcBorders>
              <w:top w:val="single" w:sz="6" w:space="0" w:color="000000"/>
              <w:bottom w:val="single" w:sz="6" w:space="0" w:color="000000"/>
            </w:tcBorders>
          </w:tcPr>
          <w:p>
            <w:pPr>
              <w:pStyle w:val="TableParagraph"/>
              <w:spacing w:before="67"/>
              <w:ind w:left="79" w:right="416"/>
              <w:rPr>
                <w:b/>
                <w:sz w:val="22"/>
              </w:rPr>
            </w:pPr>
            <w:r>
              <w:rPr>
                <w:b/>
                <w:spacing w:val="-2"/>
                <w:sz w:val="22"/>
              </w:rPr>
              <w:t>Начальные проявления</w:t>
            </w:r>
            <w:r>
              <w:rPr>
                <w:b/>
                <w:spacing w:val="40"/>
                <w:sz w:val="22"/>
              </w:rPr>
              <w:t> </w:t>
            </w:r>
            <w:r>
              <w:rPr>
                <w:b/>
                <w:sz w:val="22"/>
              </w:rPr>
              <w:t>в</w:t>
            </w:r>
            <w:r>
              <w:rPr>
                <w:b/>
                <w:spacing w:val="-14"/>
                <w:sz w:val="22"/>
              </w:rPr>
              <w:t> </w:t>
            </w:r>
            <w:r>
              <w:rPr>
                <w:b/>
                <w:sz w:val="22"/>
              </w:rPr>
              <w:t>первые</w:t>
            </w:r>
            <w:r>
              <w:rPr>
                <w:b/>
                <w:spacing w:val="-14"/>
                <w:sz w:val="22"/>
              </w:rPr>
              <w:t> </w:t>
            </w:r>
            <w:r>
              <w:rPr>
                <w:b/>
                <w:sz w:val="22"/>
              </w:rPr>
              <w:t>дни </w:t>
            </w:r>
            <w:r>
              <w:rPr>
                <w:b/>
                <w:spacing w:val="-2"/>
                <w:sz w:val="22"/>
              </w:rPr>
              <w:t>заболевания</w:t>
            </w:r>
          </w:p>
        </w:tc>
        <w:tc>
          <w:tcPr>
            <w:tcW w:w="7309" w:type="dxa"/>
            <w:tcBorders>
              <w:top w:val="single" w:sz="6" w:space="0" w:color="000000"/>
              <w:bottom w:val="single" w:sz="6" w:space="0" w:color="000000"/>
            </w:tcBorders>
          </w:tcPr>
          <w:p>
            <w:pPr>
              <w:pStyle w:val="TableParagraph"/>
              <w:spacing w:line="253" w:lineRule="exact" w:before="67"/>
              <w:ind w:left="75"/>
              <w:jc w:val="both"/>
              <w:rPr>
                <w:b/>
                <w:sz w:val="22"/>
              </w:rPr>
            </w:pPr>
            <w:r>
              <w:rPr>
                <w:b/>
                <w:sz w:val="22"/>
              </w:rPr>
              <w:t>Типичная</w:t>
            </w:r>
            <w:r>
              <w:rPr>
                <w:b/>
                <w:spacing w:val="-3"/>
                <w:sz w:val="22"/>
              </w:rPr>
              <w:t> </w:t>
            </w:r>
            <w:r>
              <w:rPr>
                <w:b/>
                <w:spacing w:val="-2"/>
                <w:sz w:val="22"/>
              </w:rPr>
              <w:t>картина</w:t>
            </w:r>
          </w:p>
          <w:p>
            <w:pPr>
              <w:pStyle w:val="TableParagraph"/>
              <w:numPr>
                <w:ilvl w:val="0"/>
                <w:numId w:val="75"/>
              </w:numPr>
              <w:tabs>
                <w:tab w:pos="435" w:val="left" w:leader="none"/>
              </w:tabs>
              <w:spacing w:line="240" w:lineRule="auto" w:before="0" w:after="0"/>
              <w:ind w:left="435" w:right="211" w:hanging="360"/>
              <w:jc w:val="both"/>
              <w:rPr>
                <w:sz w:val="22"/>
              </w:rPr>
            </w:pPr>
            <w:r>
              <w:rPr>
                <w:sz w:val="22"/>
              </w:rPr>
              <w:t>Субплевральные</w:t>
            </w:r>
            <w:r>
              <w:rPr>
                <w:spacing w:val="80"/>
                <w:sz w:val="22"/>
              </w:rPr>
              <w:t> </w:t>
            </w:r>
            <w:r>
              <w:rPr>
                <w:sz w:val="22"/>
              </w:rPr>
              <w:t>участки</w:t>
            </w:r>
            <w:r>
              <w:rPr>
                <w:spacing w:val="80"/>
                <w:sz w:val="22"/>
              </w:rPr>
              <w:t> </w:t>
            </w:r>
            <w:r>
              <w:rPr>
                <w:sz w:val="22"/>
              </w:rPr>
              <w:t>уплотнения</w:t>
            </w:r>
            <w:r>
              <w:rPr>
                <w:spacing w:val="80"/>
                <w:sz w:val="22"/>
              </w:rPr>
              <w:t> </w:t>
            </w:r>
            <w:r>
              <w:rPr>
                <w:sz w:val="22"/>
              </w:rPr>
              <w:t>по</w:t>
            </w:r>
            <w:r>
              <w:rPr>
                <w:spacing w:val="80"/>
                <w:sz w:val="22"/>
              </w:rPr>
              <w:t> </w:t>
            </w:r>
            <w:r>
              <w:rPr>
                <w:sz w:val="22"/>
              </w:rPr>
              <w:t>типу</w:t>
            </w:r>
            <w:r>
              <w:rPr>
                <w:spacing w:val="80"/>
                <w:sz w:val="22"/>
              </w:rPr>
              <w:t> </w:t>
            </w:r>
            <w:r>
              <w:rPr>
                <w:sz w:val="22"/>
              </w:rPr>
              <w:t>«матового</w:t>
            </w:r>
            <w:r>
              <w:rPr>
                <w:spacing w:val="80"/>
                <w:sz w:val="22"/>
              </w:rPr>
              <w:t> </w:t>
            </w:r>
            <w:r>
              <w:rPr>
                <w:sz w:val="22"/>
              </w:rPr>
              <w:t>стекла» с</w:t>
            </w:r>
            <w:r>
              <w:rPr>
                <w:spacing w:val="-3"/>
                <w:sz w:val="22"/>
              </w:rPr>
              <w:t> </w:t>
            </w:r>
            <w:r>
              <w:rPr>
                <w:sz w:val="22"/>
              </w:rPr>
              <w:t>консолидацией</w:t>
            </w:r>
            <w:r>
              <w:rPr>
                <w:spacing w:val="40"/>
                <w:sz w:val="22"/>
              </w:rPr>
              <w:t> </w:t>
            </w:r>
            <w:r>
              <w:rPr>
                <w:sz w:val="22"/>
              </w:rPr>
              <w:t>или</w:t>
            </w:r>
            <w:r>
              <w:rPr>
                <w:spacing w:val="40"/>
                <w:sz w:val="22"/>
              </w:rPr>
              <w:t> </w:t>
            </w:r>
            <w:r>
              <w:rPr>
                <w:sz w:val="22"/>
              </w:rPr>
              <w:t>без</w:t>
            </w:r>
            <w:r>
              <w:rPr>
                <w:spacing w:val="40"/>
                <w:sz w:val="22"/>
              </w:rPr>
              <w:t> </w:t>
            </w:r>
            <w:r>
              <w:rPr>
                <w:sz w:val="22"/>
              </w:rPr>
              <w:t>нее,</w:t>
            </w:r>
            <w:r>
              <w:rPr>
                <w:spacing w:val="40"/>
                <w:sz w:val="22"/>
              </w:rPr>
              <w:t> </w:t>
            </w:r>
            <w:r>
              <w:rPr>
                <w:sz w:val="22"/>
              </w:rPr>
              <w:t>с</w:t>
            </w:r>
            <w:r>
              <w:rPr>
                <w:spacing w:val="40"/>
                <w:sz w:val="22"/>
              </w:rPr>
              <w:t> </w:t>
            </w:r>
            <w:r>
              <w:rPr>
                <w:sz w:val="22"/>
              </w:rPr>
              <w:t>утолщением</w:t>
            </w:r>
            <w:r>
              <w:rPr>
                <w:spacing w:val="40"/>
                <w:sz w:val="22"/>
              </w:rPr>
              <w:t> </w:t>
            </w:r>
            <w:r>
              <w:rPr>
                <w:sz w:val="22"/>
              </w:rPr>
              <w:t>перегородок</w:t>
            </w:r>
            <w:r>
              <w:rPr>
                <w:spacing w:val="40"/>
                <w:sz w:val="22"/>
              </w:rPr>
              <w:t> </w:t>
            </w:r>
            <w:r>
              <w:rPr>
                <w:sz w:val="22"/>
              </w:rPr>
              <w:t>(симптом</w:t>
            </w:r>
          </w:p>
          <w:p>
            <w:pPr>
              <w:pStyle w:val="TableParagraph"/>
              <w:spacing w:line="252" w:lineRule="exact"/>
              <w:ind w:left="435"/>
              <w:jc w:val="both"/>
              <w:rPr>
                <w:sz w:val="22"/>
              </w:rPr>
            </w:pPr>
            <w:r>
              <w:rPr>
                <w:sz w:val="22"/>
              </w:rPr>
              <w:t>«булыжной</w:t>
            </w:r>
            <w:r>
              <w:rPr>
                <w:spacing w:val="-7"/>
                <w:sz w:val="22"/>
              </w:rPr>
              <w:t> </w:t>
            </w:r>
            <w:r>
              <w:rPr>
                <w:sz w:val="22"/>
              </w:rPr>
              <w:t>мостовой»)</w:t>
            </w:r>
            <w:r>
              <w:rPr>
                <w:spacing w:val="-5"/>
                <w:sz w:val="22"/>
              </w:rPr>
              <w:t> </w:t>
            </w:r>
            <w:r>
              <w:rPr>
                <w:sz w:val="22"/>
              </w:rPr>
              <w:t>или</w:t>
            </w:r>
            <w:r>
              <w:rPr>
                <w:spacing w:val="-5"/>
                <w:sz w:val="22"/>
              </w:rPr>
              <w:t> </w:t>
            </w:r>
            <w:r>
              <w:rPr>
                <w:sz w:val="22"/>
              </w:rPr>
              <w:t>без</w:t>
            </w:r>
            <w:r>
              <w:rPr>
                <w:spacing w:val="-4"/>
                <w:sz w:val="22"/>
              </w:rPr>
              <w:t> них;</w:t>
            </w:r>
          </w:p>
          <w:p>
            <w:pPr>
              <w:pStyle w:val="TableParagraph"/>
              <w:numPr>
                <w:ilvl w:val="0"/>
                <w:numId w:val="75"/>
              </w:numPr>
              <w:tabs>
                <w:tab w:pos="435" w:val="left" w:leader="none"/>
              </w:tabs>
              <w:spacing w:line="240" w:lineRule="auto" w:before="0" w:after="0"/>
              <w:ind w:left="435" w:right="211" w:hanging="360"/>
              <w:jc w:val="both"/>
              <w:rPr>
                <w:sz w:val="22"/>
              </w:rPr>
            </w:pPr>
            <w:r>
              <w:rPr>
                <w:sz w:val="22"/>
              </w:rPr>
              <w:t>Участки уплотнения по типу «матового стекла» округлой формы перибронхиального</w:t>
            </w:r>
            <w:r>
              <w:rPr>
                <w:spacing w:val="80"/>
                <w:sz w:val="22"/>
              </w:rPr>
              <w:t> </w:t>
            </w:r>
            <w:r>
              <w:rPr>
                <w:sz w:val="22"/>
              </w:rPr>
              <w:t>расположения,</w:t>
            </w:r>
            <w:r>
              <w:rPr>
                <w:spacing w:val="80"/>
                <w:sz w:val="22"/>
              </w:rPr>
              <w:t> </w:t>
            </w:r>
            <w:r>
              <w:rPr>
                <w:sz w:val="22"/>
              </w:rPr>
              <w:t>с</w:t>
            </w:r>
            <w:r>
              <w:rPr>
                <w:spacing w:val="80"/>
                <w:sz w:val="22"/>
              </w:rPr>
              <w:t> </w:t>
            </w:r>
            <w:r>
              <w:rPr>
                <w:sz w:val="22"/>
              </w:rPr>
              <w:t>консолидацией</w:t>
            </w:r>
            <w:r>
              <w:rPr>
                <w:spacing w:val="80"/>
                <w:sz w:val="22"/>
              </w:rPr>
              <w:t> </w:t>
            </w:r>
            <w:r>
              <w:rPr>
                <w:sz w:val="22"/>
              </w:rPr>
              <w:t>или</w:t>
            </w:r>
            <w:r>
              <w:rPr>
                <w:spacing w:val="80"/>
                <w:sz w:val="22"/>
              </w:rPr>
              <w:t> </w:t>
            </w:r>
            <w:r>
              <w:rPr>
                <w:sz w:val="22"/>
              </w:rPr>
              <w:t>без</w:t>
            </w:r>
            <w:r>
              <w:rPr>
                <w:spacing w:val="80"/>
                <w:sz w:val="22"/>
              </w:rPr>
              <w:t> </w:t>
            </w:r>
            <w:r>
              <w:rPr>
                <w:sz w:val="22"/>
              </w:rPr>
              <w:t>нее, с утолщением перегородок (симптом «булыжной мостовой») или без </w:t>
            </w:r>
            <w:r>
              <w:rPr>
                <w:spacing w:val="-4"/>
                <w:sz w:val="22"/>
              </w:rPr>
              <w:t>них;</w:t>
            </w:r>
          </w:p>
          <w:p>
            <w:pPr>
              <w:pStyle w:val="TableParagraph"/>
              <w:numPr>
                <w:ilvl w:val="0"/>
                <w:numId w:val="75"/>
              </w:numPr>
              <w:tabs>
                <w:tab w:pos="434" w:val="left" w:leader="none"/>
              </w:tabs>
              <w:spacing w:line="266" w:lineRule="exact" w:before="0" w:after="0"/>
              <w:ind w:left="434" w:right="0" w:hanging="359"/>
              <w:jc w:val="both"/>
              <w:rPr>
                <w:sz w:val="22"/>
              </w:rPr>
            </w:pPr>
            <w:r>
              <w:rPr>
                <w:sz w:val="22"/>
              </w:rPr>
              <w:t>Сочетание</w:t>
            </w:r>
            <w:r>
              <w:rPr>
                <w:spacing w:val="14"/>
                <w:sz w:val="22"/>
              </w:rPr>
              <w:t> </w:t>
            </w:r>
            <w:r>
              <w:rPr>
                <w:sz w:val="22"/>
              </w:rPr>
              <w:t>участков</w:t>
            </w:r>
            <w:r>
              <w:rPr>
                <w:spacing w:val="14"/>
                <w:sz w:val="22"/>
              </w:rPr>
              <w:t> </w:t>
            </w:r>
            <w:r>
              <w:rPr>
                <w:sz w:val="22"/>
              </w:rPr>
              <w:t>«матового</w:t>
            </w:r>
            <w:r>
              <w:rPr>
                <w:spacing w:val="16"/>
                <w:sz w:val="22"/>
              </w:rPr>
              <w:t> </w:t>
            </w:r>
            <w:r>
              <w:rPr>
                <w:sz w:val="22"/>
              </w:rPr>
              <w:t>стекла»</w:t>
            </w:r>
            <w:r>
              <w:rPr>
                <w:spacing w:val="17"/>
                <w:sz w:val="22"/>
              </w:rPr>
              <w:t> </w:t>
            </w:r>
            <w:r>
              <w:rPr>
                <w:sz w:val="22"/>
              </w:rPr>
              <w:t>и</w:t>
            </w:r>
            <w:r>
              <w:rPr>
                <w:spacing w:val="13"/>
                <w:sz w:val="22"/>
              </w:rPr>
              <w:t> </w:t>
            </w:r>
            <w:r>
              <w:rPr>
                <w:sz w:val="22"/>
              </w:rPr>
              <w:t>консолидации</w:t>
            </w:r>
            <w:r>
              <w:rPr>
                <w:spacing w:val="16"/>
                <w:sz w:val="22"/>
              </w:rPr>
              <w:t> </w:t>
            </w:r>
            <w:r>
              <w:rPr>
                <w:sz w:val="22"/>
              </w:rPr>
              <w:t>с</w:t>
            </w:r>
            <w:r>
              <w:rPr>
                <w:spacing w:val="14"/>
                <w:sz w:val="22"/>
              </w:rPr>
              <w:t> </w:t>
            </w:r>
            <w:r>
              <w:rPr>
                <w:spacing w:val="-2"/>
                <w:sz w:val="22"/>
              </w:rPr>
              <w:t>симптомом</w:t>
            </w:r>
          </w:p>
          <w:p>
            <w:pPr>
              <w:pStyle w:val="TableParagraph"/>
              <w:spacing w:line="252" w:lineRule="exact"/>
              <w:ind w:left="435"/>
              <w:jc w:val="both"/>
              <w:rPr>
                <w:sz w:val="22"/>
              </w:rPr>
            </w:pPr>
            <w:r>
              <w:rPr>
                <w:sz w:val="22"/>
              </w:rPr>
              <w:t>«обратного</w:t>
            </w:r>
            <w:r>
              <w:rPr>
                <w:spacing w:val="-5"/>
                <w:sz w:val="22"/>
              </w:rPr>
              <w:t> </w:t>
            </w:r>
            <w:r>
              <w:rPr>
                <w:sz w:val="22"/>
              </w:rPr>
              <w:t>ореола»</w:t>
            </w:r>
            <w:r>
              <w:rPr>
                <w:spacing w:val="-4"/>
                <w:sz w:val="22"/>
              </w:rPr>
              <w:t> </w:t>
            </w:r>
            <w:r>
              <w:rPr>
                <w:sz w:val="22"/>
              </w:rPr>
              <w:t>и</w:t>
            </w:r>
            <w:r>
              <w:rPr>
                <w:spacing w:val="-8"/>
                <w:sz w:val="22"/>
              </w:rPr>
              <w:t> </w:t>
            </w:r>
            <w:r>
              <w:rPr>
                <w:sz w:val="22"/>
              </w:rPr>
              <w:t>других</w:t>
            </w:r>
            <w:r>
              <w:rPr>
                <w:spacing w:val="-6"/>
                <w:sz w:val="22"/>
              </w:rPr>
              <w:t> </w:t>
            </w:r>
            <w:r>
              <w:rPr>
                <w:sz w:val="22"/>
              </w:rPr>
              <w:t>признаков</w:t>
            </w:r>
            <w:r>
              <w:rPr>
                <w:spacing w:val="-6"/>
                <w:sz w:val="22"/>
              </w:rPr>
              <w:t> </w:t>
            </w:r>
            <w:r>
              <w:rPr>
                <w:sz w:val="22"/>
              </w:rPr>
              <w:t>организующейся</w:t>
            </w:r>
            <w:r>
              <w:rPr>
                <w:spacing w:val="-4"/>
                <w:sz w:val="22"/>
              </w:rPr>
              <w:t> </w:t>
            </w:r>
            <w:r>
              <w:rPr>
                <w:spacing w:val="-2"/>
                <w:sz w:val="22"/>
              </w:rPr>
              <w:t>пневмонии;</w:t>
            </w:r>
          </w:p>
          <w:p>
            <w:pPr>
              <w:pStyle w:val="TableParagraph"/>
              <w:numPr>
                <w:ilvl w:val="0"/>
                <w:numId w:val="75"/>
              </w:numPr>
              <w:tabs>
                <w:tab w:pos="435" w:val="left" w:leader="none"/>
              </w:tabs>
              <w:spacing w:line="240" w:lineRule="auto" w:before="2" w:after="0"/>
              <w:ind w:left="435" w:right="209" w:hanging="360"/>
              <w:jc w:val="both"/>
              <w:rPr>
                <w:sz w:val="22"/>
              </w:rPr>
            </w:pPr>
            <w:r>
              <w:rPr>
                <w:sz w:val="22"/>
              </w:rPr>
              <w:t>Расположение изменений двустороннее, преимущественно </w:t>
            </w:r>
            <w:r>
              <w:rPr>
                <w:spacing w:val="-2"/>
                <w:sz w:val="22"/>
              </w:rPr>
              <w:t>периферическое.</w:t>
            </w:r>
          </w:p>
        </w:tc>
      </w:tr>
    </w:tbl>
    <w:p>
      <w:pPr>
        <w:pStyle w:val="TableParagraph"/>
        <w:spacing w:after="0" w:line="240" w:lineRule="auto"/>
        <w:jc w:val="both"/>
        <w:rPr>
          <w:sz w:val="22"/>
        </w:rPr>
        <w:sectPr>
          <w:pgSz w:w="11900" w:h="16840"/>
          <w:pgMar w:header="0" w:footer="697" w:top="1080" w:bottom="880" w:left="0" w:right="0"/>
        </w:sectPr>
      </w:pPr>
    </w:p>
    <w:tbl>
      <w:tblPr>
        <w:tblW w:w="0" w:type="auto"/>
        <w:jc w:val="left"/>
        <w:tblInd w:w="1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39"/>
        <w:gridCol w:w="7309"/>
      </w:tblGrid>
      <w:tr>
        <w:trPr>
          <w:trHeight w:val="1721" w:hRule="atLeast"/>
        </w:trPr>
        <w:tc>
          <w:tcPr>
            <w:tcW w:w="1839" w:type="dxa"/>
            <w:tcBorders>
              <w:bottom w:val="single" w:sz="6" w:space="0" w:color="000000"/>
            </w:tcBorders>
            <w:shd w:val="clear" w:color="auto" w:fill="F1F1F1"/>
          </w:tcPr>
          <w:p>
            <w:pPr>
              <w:pStyle w:val="TableParagraph"/>
              <w:spacing w:before="94"/>
              <w:ind w:left="79" w:right="139"/>
              <w:rPr>
                <w:b/>
                <w:sz w:val="22"/>
              </w:rPr>
            </w:pPr>
            <w:bookmarkStart w:name="167" w:id="196"/>
            <w:bookmarkEnd w:id="196"/>
            <w:r>
              <w:rPr/>
            </w:r>
            <w:r>
              <w:rPr>
                <w:b/>
                <w:spacing w:val="-2"/>
                <w:sz w:val="22"/>
              </w:rPr>
              <w:t>Положительная динамика изменений (стабилизация)</w:t>
            </w:r>
          </w:p>
        </w:tc>
        <w:tc>
          <w:tcPr>
            <w:tcW w:w="7309" w:type="dxa"/>
            <w:tcBorders>
              <w:bottom w:val="single" w:sz="6" w:space="0" w:color="000000"/>
            </w:tcBorders>
            <w:shd w:val="clear" w:color="auto" w:fill="F1F1F1"/>
          </w:tcPr>
          <w:p>
            <w:pPr>
              <w:pStyle w:val="TableParagraph"/>
              <w:numPr>
                <w:ilvl w:val="0"/>
                <w:numId w:val="76"/>
              </w:numPr>
              <w:tabs>
                <w:tab w:pos="435" w:val="left" w:leader="none"/>
              </w:tabs>
              <w:spacing w:line="240" w:lineRule="auto" w:before="93" w:after="0"/>
              <w:ind w:left="435" w:right="211" w:hanging="360"/>
              <w:jc w:val="both"/>
              <w:rPr>
                <w:sz w:val="22"/>
              </w:rPr>
            </w:pPr>
            <w:r>
              <w:rPr>
                <w:sz w:val="22"/>
              </w:rPr>
              <w:t>Преобразование участков «матового стекла» в уплотнения по типу консолидации (нарастание плотности измененных участков легочной ткани) без видимого увеличения объема (протяженности) поражения </w:t>
            </w:r>
            <w:r>
              <w:rPr>
                <w:spacing w:val="-2"/>
                <w:sz w:val="22"/>
              </w:rPr>
              <w:t>легких;</w:t>
            </w:r>
          </w:p>
          <w:p>
            <w:pPr>
              <w:pStyle w:val="TableParagraph"/>
              <w:numPr>
                <w:ilvl w:val="0"/>
                <w:numId w:val="76"/>
              </w:numPr>
              <w:tabs>
                <w:tab w:pos="434" w:val="left" w:leader="none"/>
              </w:tabs>
              <w:spacing w:line="269" w:lineRule="exact" w:before="0" w:after="0"/>
              <w:ind w:left="434" w:right="0" w:hanging="359"/>
              <w:jc w:val="both"/>
              <w:rPr>
                <w:sz w:val="22"/>
              </w:rPr>
            </w:pPr>
            <w:r>
              <w:rPr>
                <w:sz w:val="22"/>
              </w:rPr>
              <w:t>Формирование</w:t>
            </w:r>
            <w:r>
              <w:rPr>
                <w:spacing w:val="-13"/>
                <w:sz w:val="22"/>
              </w:rPr>
              <w:t> </w:t>
            </w:r>
            <w:r>
              <w:rPr>
                <w:sz w:val="22"/>
              </w:rPr>
              <w:t>картины</w:t>
            </w:r>
            <w:r>
              <w:rPr>
                <w:spacing w:val="-9"/>
                <w:sz w:val="22"/>
              </w:rPr>
              <w:t> </w:t>
            </w:r>
            <w:r>
              <w:rPr>
                <w:sz w:val="22"/>
              </w:rPr>
              <w:t>организующейся</w:t>
            </w:r>
            <w:r>
              <w:rPr>
                <w:spacing w:val="-10"/>
                <w:sz w:val="22"/>
              </w:rPr>
              <w:t> </w:t>
            </w:r>
            <w:r>
              <w:rPr>
                <w:spacing w:val="-2"/>
                <w:sz w:val="22"/>
              </w:rPr>
              <w:t>пневмонии;</w:t>
            </w:r>
          </w:p>
          <w:p>
            <w:pPr>
              <w:pStyle w:val="TableParagraph"/>
              <w:numPr>
                <w:ilvl w:val="0"/>
                <w:numId w:val="76"/>
              </w:numPr>
              <w:tabs>
                <w:tab w:pos="434" w:val="left" w:leader="none"/>
              </w:tabs>
              <w:spacing w:line="269" w:lineRule="exact" w:before="0" w:after="0"/>
              <w:ind w:left="434" w:right="0" w:hanging="359"/>
              <w:jc w:val="both"/>
              <w:rPr>
                <w:sz w:val="22"/>
              </w:rPr>
            </w:pPr>
            <w:r>
              <w:rPr>
                <w:sz w:val="22"/>
              </w:rPr>
              <w:t>Уменьшение</w:t>
            </w:r>
            <w:r>
              <w:rPr>
                <w:spacing w:val="-10"/>
                <w:sz w:val="22"/>
              </w:rPr>
              <w:t> </w:t>
            </w:r>
            <w:r>
              <w:rPr>
                <w:sz w:val="22"/>
              </w:rPr>
              <w:t>размеров</w:t>
            </w:r>
            <w:r>
              <w:rPr>
                <w:spacing w:val="-7"/>
                <w:sz w:val="22"/>
              </w:rPr>
              <w:t> </w:t>
            </w:r>
            <w:r>
              <w:rPr>
                <w:sz w:val="22"/>
              </w:rPr>
              <w:t>уплотненных</w:t>
            </w:r>
            <w:r>
              <w:rPr>
                <w:spacing w:val="-8"/>
                <w:sz w:val="22"/>
              </w:rPr>
              <w:t> </w:t>
            </w:r>
            <w:r>
              <w:rPr>
                <w:sz w:val="22"/>
              </w:rPr>
              <w:t>участков</w:t>
            </w:r>
            <w:r>
              <w:rPr>
                <w:spacing w:val="-7"/>
                <w:sz w:val="22"/>
              </w:rPr>
              <w:t> </w:t>
            </w:r>
            <w:r>
              <w:rPr>
                <w:sz w:val="22"/>
              </w:rPr>
              <w:t>легочной</w:t>
            </w:r>
            <w:r>
              <w:rPr>
                <w:spacing w:val="-8"/>
                <w:sz w:val="22"/>
              </w:rPr>
              <w:t> </w:t>
            </w:r>
            <w:r>
              <w:rPr>
                <w:spacing w:val="-2"/>
                <w:sz w:val="22"/>
              </w:rPr>
              <w:t>ткани.</w:t>
            </w:r>
          </w:p>
        </w:tc>
      </w:tr>
      <w:tr>
        <w:trPr>
          <w:trHeight w:val="5387" w:hRule="atLeast"/>
        </w:trPr>
        <w:tc>
          <w:tcPr>
            <w:tcW w:w="1839" w:type="dxa"/>
            <w:tcBorders>
              <w:top w:val="single" w:sz="6" w:space="0" w:color="000000"/>
              <w:bottom w:val="single" w:sz="6" w:space="0" w:color="000000"/>
            </w:tcBorders>
          </w:tcPr>
          <w:p>
            <w:pPr>
              <w:pStyle w:val="TableParagraph"/>
              <w:spacing w:before="91"/>
              <w:ind w:left="79" w:right="139"/>
              <w:rPr>
                <w:b/>
                <w:sz w:val="22"/>
              </w:rPr>
            </w:pPr>
            <w:r>
              <w:rPr>
                <w:b/>
                <w:spacing w:val="-2"/>
                <w:sz w:val="22"/>
              </w:rPr>
              <w:t>Отрицательная динамика изменений (прогрессирова- </w:t>
            </w:r>
            <w:r>
              <w:rPr>
                <w:b/>
                <w:spacing w:val="-4"/>
                <w:sz w:val="22"/>
              </w:rPr>
              <w:t>ние)</w:t>
            </w:r>
          </w:p>
        </w:tc>
        <w:tc>
          <w:tcPr>
            <w:tcW w:w="7309" w:type="dxa"/>
            <w:tcBorders>
              <w:top w:val="single" w:sz="6" w:space="0" w:color="000000"/>
              <w:bottom w:val="single" w:sz="6" w:space="0" w:color="000000"/>
            </w:tcBorders>
          </w:tcPr>
          <w:p>
            <w:pPr>
              <w:pStyle w:val="TableParagraph"/>
              <w:spacing w:line="253" w:lineRule="exact" w:before="91"/>
              <w:ind w:left="75"/>
              <w:rPr>
                <w:sz w:val="22"/>
              </w:rPr>
            </w:pPr>
            <w:r>
              <w:rPr>
                <w:b/>
                <w:sz w:val="22"/>
              </w:rPr>
              <w:t>Нарастание</w:t>
            </w:r>
            <w:r>
              <w:rPr>
                <w:b/>
                <w:spacing w:val="-3"/>
                <w:sz w:val="22"/>
              </w:rPr>
              <w:t> </w:t>
            </w:r>
            <w:r>
              <w:rPr>
                <w:b/>
                <w:spacing w:val="-2"/>
                <w:sz w:val="22"/>
              </w:rPr>
              <w:t>изменений</w:t>
            </w:r>
            <w:r>
              <w:rPr>
                <w:spacing w:val="-2"/>
                <w:sz w:val="22"/>
              </w:rPr>
              <w:t>:</w:t>
            </w:r>
          </w:p>
          <w:p>
            <w:pPr>
              <w:pStyle w:val="TableParagraph"/>
              <w:numPr>
                <w:ilvl w:val="0"/>
                <w:numId w:val="77"/>
              </w:numPr>
              <w:tabs>
                <w:tab w:pos="435" w:val="left" w:leader="none"/>
              </w:tabs>
              <w:spacing w:line="240" w:lineRule="auto" w:before="0" w:after="0"/>
              <w:ind w:left="435" w:right="211" w:hanging="360"/>
              <w:jc w:val="left"/>
              <w:rPr>
                <w:sz w:val="22"/>
              </w:rPr>
            </w:pPr>
            <w:r>
              <w:rPr>
                <w:sz w:val="22"/>
              </w:rPr>
              <w:t>Увеличение</w:t>
            </w:r>
            <w:r>
              <w:rPr>
                <w:spacing w:val="30"/>
                <w:sz w:val="22"/>
              </w:rPr>
              <w:t> </w:t>
            </w:r>
            <w:r>
              <w:rPr>
                <w:sz w:val="22"/>
              </w:rPr>
              <w:t>размеров</w:t>
            </w:r>
            <w:r>
              <w:rPr>
                <w:spacing w:val="30"/>
                <w:sz w:val="22"/>
              </w:rPr>
              <w:t> </w:t>
            </w:r>
            <w:r>
              <w:rPr>
                <w:sz w:val="22"/>
              </w:rPr>
              <w:t>(протяженности,</w:t>
            </w:r>
            <w:r>
              <w:rPr>
                <w:spacing w:val="30"/>
                <w:sz w:val="22"/>
              </w:rPr>
              <w:t> </w:t>
            </w:r>
            <w:r>
              <w:rPr>
                <w:sz w:val="22"/>
              </w:rPr>
              <w:t>объема)</w:t>
            </w:r>
            <w:r>
              <w:rPr>
                <w:spacing w:val="32"/>
                <w:sz w:val="22"/>
              </w:rPr>
              <w:t> </w:t>
            </w:r>
            <w:r>
              <w:rPr>
                <w:sz w:val="22"/>
              </w:rPr>
              <w:t>имевшихся</w:t>
            </w:r>
            <w:r>
              <w:rPr>
                <w:spacing w:val="30"/>
                <w:sz w:val="22"/>
              </w:rPr>
              <w:t> </w:t>
            </w:r>
            <w:r>
              <w:rPr>
                <w:sz w:val="22"/>
              </w:rPr>
              <w:t>участков уплотнения по типу «матового стекла»;</w:t>
            </w:r>
          </w:p>
          <w:p>
            <w:pPr>
              <w:pStyle w:val="TableParagraph"/>
              <w:numPr>
                <w:ilvl w:val="0"/>
                <w:numId w:val="77"/>
              </w:numPr>
              <w:tabs>
                <w:tab w:pos="435" w:val="left" w:leader="none"/>
              </w:tabs>
              <w:spacing w:line="267" w:lineRule="exact" w:before="0" w:after="0"/>
              <w:ind w:left="435" w:right="0" w:hanging="360"/>
              <w:jc w:val="left"/>
              <w:rPr>
                <w:sz w:val="22"/>
              </w:rPr>
            </w:pPr>
            <w:r>
              <w:rPr>
                <w:sz w:val="22"/>
              </w:rPr>
              <w:t>Появление</w:t>
            </w:r>
            <w:r>
              <w:rPr>
                <w:spacing w:val="-7"/>
                <w:sz w:val="22"/>
              </w:rPr>
              <w:t> </w:t>
            </w:r>
            <w:r>
              <w:rPr>
                <w:sz w:val="22"/>
              </w:rPr>
              <w:t>новых</w:t>
            </w:r>
            <w:r>
              <w:rPr>
                <w:spacing w:val="-4"/>
                <w:sz w:val="22"/>
              </w:rPr>
              <w:t> </w:t>
            </w:r>
            <w:r>
              <w:rPr>
                <w:sz w:val="22"/>
              </w:rPr>
              <w:t>участков</w:t>
            </w:r>
            <w:r>
              <w:rPr>
                <w:spacing w:val="-6"/>
                <w:sz w:val="22"/>
              </w:rPr>
              <w:t> </w:t>
            </w:r>
            <w:r>
              <w:rPr>
                <w:sz w:val="22"/>
              </w:rPr>
              <w:t>«матового</w:t>
            </w:r>
            <w:r>
              <w:rPr>
                <w:spacing w:val="-5"/>
                <w:sz w:val="22"/>
              </w:rPr>
              <w:t> </w:t>
            </w:r>
            <w:r>
              <w:rPr>
                <w:spacing w:val="-2"/>
                <w:sz w:val="22"/>
              </w:rPr>
              <w:t>стекла»;</w:t>
            </w:r>
          </w:p>
          <w:p>
            <w:pPr>
              <w:pStyle w:val="TableParagraph"/>
              <w:numPr>
                <w:ilvl w:val="0"/>
                <w:numId w:val="77"/>
              </w:numPr>
              <w:tabs>
                <w:tab w:pos="435" w:val="left" w:leader="none"/>
              </w:tabs>
              <w:spacing w:line="240" w:lineRule="auto" w:before="0" w:after="0"/>
              <w:ind w:left="435" w:right="212" w:hanging="360"/>
              <w:jc w:val="left"/>
              <w:rPr>
                <w:sz w:val="22"/>
              </w:rPr>
            </w:pPr>
            <w:r>
              <w:rPr>
                <w:sz w:val="22"/>
              </w:rPr>
              <w:t>Слияние</w:t>
            </w:r>
            <w:r>
              <w:rPr>
                <w:spacing w:val="40"/>
                <w:sz w:val="22"/>
              </w:rPr>
              <w:t> </w:t>
            </w:r>
            <w:r>
              <w:rPr>
                <w:sz w:val="22"/>
              </w:rPr>
              <w:t>отдельных</w:t>
            </w:r>
            <w:r>
              <w:rPr>
                <w:spacing w:val="40"/>
                <w:sz w:val="22"/>
              </w:rPr>
              <w:t> </w:t>
            </w:r>
            <w:r>
              <w:rPr>
                <w:sz w:val="22"/>
              </w:rPr>
              <w:t>участков</w:t>
            </w:r>
            <w:r>
              <w:rPr>
                <w:spacing w:val="40"/>
                <w:sz w:val="22"/>
              </w:rPr>
              <w:t> </w:t>
            </w:r>
            <w:r>
              <w:rPr>
                <w:sz w:val="22"/>
              </w:rPr>
              <w:t>«матового</w:t>
            </w:r>
            <w:r>
              <w:rPr>
                <w:spacing w:val="40"/>
                <w:sz w:val="22"/>
              </w:rPr>
              <w:t> </w:t>
            </w:r>
            <w:r>
              <w:rPr>
                <w:sz w:val="22"/>
              </w:rPr>
              <w:t>стекла»</w:t>
            </w:r>
            <w:r>
              <w:rPr>
                <w:spacing w:val="40"/>
                <w:sz w:val="22"/>
              </w:rPr>
              <w:t> </w:t>
            </w:r>
            <w:r>
              <w:rPr>
                <w:sz w:val="22"/>
              </w:rPr>
              <w:t>в</w:t>
            </w:r>
            <w:r>
              <w:rPr>
                <w:spacing w:val="40"/>
                <w:sz w:val="22"/>
              </w:rPr>
              <w:t> </w:t>
            </w:r>
            <w:r>
              <w:rPr>
                <w:sz w:val="22"/>
              </w:rPr>
              <w:t>более</w:t>
            </w:r>
            <w:r>
              <w:rPr>
                <w:spacing w:val="40"/>
                <w:sz w:val="22"/>
              </w:rPr>
              <w:t> </w:t>
            </w:r>
            <w:r>
              <w:rPr>
                <w:sz w:val="22"/>
              </w:rPr>
              <w:t>крупные уплотнения вплоть до субтотального поражения легких;</w:t>
            </w:r>
          </w:p>
          <w:p>
            <w:pPr>
              <w:pStyle w:val="TableParagraph"/>
              <w:numPr>
                <w:ilvl w:val="0"/>
                <w:numId w:val="77"/>
              </w:numPr>
              <w:tabs>
                <w:tab w:pos="435" w:val="left" w:leader="none"/>
              </w:tabs>
              <w:spacing w:line="240" w:lineRule="auto" w:before="0" w:after="0"/>
              <w:ind w:left="435" w:right="212" w:hanging="360"/>
              <w:jc w:val="left"/>
              <w:rPr>
                <w:sz w:val="22"/>
              </w:rPr>
            </w:pPr>
            <w:r>
              <w:rPr>
                <w:sz w:val="22"/>
              </w:rPr>
              <w:t>Выраженность участков «матового стекла» по-прежнему значительно преобладает над консолидацией.</w:t>
            </w:r>
          </w:p>
          <w:p>
            <w:pPr>
              <w:pStyle w:val="TableParagraph"/>
              <w:spacing w:line="250" w:lineRule="exact"/>
              <w:ind w:left="75"/>
              <w:rPr>
                <w:sz w:val="22"/>
              </w:rPr>
            </w:pPr>
            <w:r>
              <w:rPr>
                <w:b/>
                <w:sz w:val="22"/>
              </w:rPr>
              <w:t>Появление</w:t>
            </w:r>
            <w:r>
              <w:rPr>
                <w:b/>
                <w:spacing w:val="-10"/>
                <w:sz w:val="22"/>
              </w:rPr>
              <w:t> </w:t>
            </w:r>
            <w:r>
              <w:rPr>
                <w:b/>
                <w:sz w:val="22"/>
              </w:rPr>
              <w:t>новых</w:t>
            </w:r>
            <w:r>
              <w:rPr>
                <w:b/>
                <w:spacing w:val="-5"/>
                <w:sz w:val="22"/>
              </w:rPr>
              <w:t> </w:t>
            </w:r>
            <w:r>
              <w:rPr>
                <w:b/>
                <w:sz w:val="22"/>
              </w:rPr>
              <w:t>признаков</w:t>
            </w:r>
            <w:r>
              <w:rPr>
                <w:b/>
                <w:spacing w:val="-4"/>
                <w:sz w:val="22"/>
              </w:rPr>
              <w:t> </w:t>
            </w:r>
            <w:r>
              <w:rPr>
                <w:sz w:val="22"/>
              </w:rPr>
              <w:t>других</w:t>
            </w:r>
            <w:r>
              <w:rPr>
                <w:spacing w:val="-6"/>
                <w:sz w:val="22"/>
              </w:rPr>
              <w:t> </w:t>
            </w:r>
            <w:r>
              <w:rPr>
                <w:sz w:val="22"/>
              </w:rPr>
              <w:t>патологических</w:t>
            </w:r>
            <w:r>
              <w:rPr>
                <w:spacing w:val="-5"/>
                <w:sz w:val="22"/>
              </w:rPr>
              <w:t> </w:t>
            </w:r>
            <w:r>
              <w:rPr>
                <w:spacing w:val="-2"/>
                <w:sz w:val="22"/>
              </w:rPr>
              <w:t>процессов:</w:t>
            </w:r>
          </w:p>
          <w:p>
            <w:pPr>
              <w:pStyle w:val="TableParagraph"/>
              <w:numPr>
                <w:ilvl w:val="0"/>
                <w:numId w:val="77"/>
              </w:numPr>
              <w:tabs>
                <w:tab w:pos="435" w:val="left" w:leader="none"/>
              </w:tabs>
              <w:spacing w:line="240" w:lineRule="auto" w:before="0" w:after="0"/>
              <w:ind w:left="435" w:right="211" w:hanging="360"/>
              <w:jc w:val="left"/>
              <w:rPr>
                <w:sz w:val="22"/>
              </w:rPr>
            </w:pPr>
            <w:r>
              <w:rPr>
                <w:sz w:val="22"/>
              </w:rPr>
              <w:t>Левожелудочковая</w:t>
            </w:r>
            <w:r>
              <w:rPr>
                <w:spacing w:val="-4"/>
                <w:sz w:val="22"/>
              </w:rPr>
              <w:t> </w:t>
            </w:r>
            <w:r>
              <w:rPr>
                <w:sz w:val="22"/>
              </w:rPr>
              <w:t>недостаточность</w:t>
            </w:r>
            <w:r>
              <w:rPr>
                <w:spacing w:val="-4"/>
                <w:sz w:val="22"/>
              </w:rPr>
              <w:t> </w:t>
            </w:r>
            <w:r>
              <w:rPr>
                <w:sz w:val="22"/>
              </w:rPr>
              <w:t>(гидростатический</w:t>
            </w:r>
            <w:r>
              <w:rPr>
                <w:spacing w:val="-4"/>
                <w:sz w:val="22"/>
              </w:rPr>
              <w:t> </w:t>
            </w:r>
            <w:r>
              <w:rPr>
                <w:sz w:val="22"/>
              </w:rPr>
              <w:t>кардиогенный отек легких, двухсторонний плевральный выпот);</w:t>
            </w:r>
          </w:p>
          <w:p>
            <w:pPr>
              <w:pStyle w:val="TableParagraph"/>
              <w:numPr>
                <w:ilvl w:val="0"/>
                <w:numId w:val="77"/>
              </w:numPr>
              <w:tabs>
                <w:tab w:pos="435" w:val="left" w:leader="none"/>
              </w:tabs>
              <w:spacing w:line="269" w:lineRule="exact" w:before="0" w:after="0"/>
              <w:ind w:left="435" w:right="0" w:hanging="360"/>
              <w:jc w:val="left"/>
              <w:rPr>
                <w:sz w:val="22"/>
              </w:rPr>
            </w:pPr>
            <w:r>
              <w:rPr>
                <w:sz w:val="22"/>
              </w:rPr>
              <w:t>Респираторный</w:t>
            </w:r>
            <w:r>
              <w:rPr>
                <w:spacing w:val="-9"/>
                <w:sz w:val="22"/>
              </w:rPr>
              <w:t> </w:t>
            </w:r>
            <w:r>
              <w:rPr>
                <w:sz w:val="22"/>
              </w:rPr>
              <w:t>дистресс-синдром</w:t>
            </w:r>
            <w:r>
              <w:rPr>
                <w:spacing w:val="-8"/>
                <w:sz w:val="22"/>
              </w:rPr>
              <w:t> </w:t>
            </w:r>
            <w:r>
              <w:rPr>
                <w:sz w:val="22"/>
              </w:rPr>
              <w:t>(отек</w:t>
            </w:r>
            <w:r>
              <w:rPr>
                <w:spacing w:val="-10"/>
                <w:sz w:val="22"/>
              </w:rPr>
              <w:t> </w:t>
            </w:r>
            <w:r>
              <w:rPr>
                <w:spacing w:val="-2"/>
                <w:sz w:val="22"/>
              </w:rPr>
              <w:t>легких);</w:t>
            </w:r>
          </w:p>
          <w:p>
            <w:pPr>
              <w:pStyle w:val="TableParagraph"/>
              <w:numPr>
                <w:ilvl w:val="0"/>
                <w:numId w:val="77"/>
              </w:numPr>
              <w:tabs>
                <w:tab w:pos="435" w:val="left" w:leader="none"/>
              </w:tabs>
              <w:spacing w:line="240" w:lineRule="auto" w:before="0" w:after="0"/>
              <w:ind w:left="435" w:right="212" w:hanging="360"/>
              <w:jc w:val="left"/>
              <w:rPr>
                <w:sz w:val="22"/>
              </w:rPr>
            </w:pPr>
            <w:r>
              <w:rPr>
                <w:sz w:val="22"/>
              </w:rPr>
              <w:t>Бактериальная</w:t>
            </w:r>
            <w:r>
              <w:rPr>
                <w:spacing w:val="32"/>
                <w:sz w:val="22"/>
              </w:rPr>
              <w:t> </w:t>
            </w:r>
            <w:r>
              <w:rPr>
                <w:sz w:val="22"/>
              </w:rPr>
              <w:t>пневмония</w:t>
            </w:r>
            <w:r>
              <w:rPr>
                <w:spacing w:val="32"/>
                <w:sz w:val="22"/>
              </w:rPr>
              <w:t> </w:t>
            </w:r>
            <w:r>
              <w:rPr>
                <w:sz w:val="22"/>
              </w:rPr>
              <w:t>(новые</w:t>
            </w:r>
            <w:r>
              <w:rPr>
                <w:spacing w:val="33"/>
                <w:sz w:val="22"/>
              </w:rPr>
              <w:t> </w:t>
            </w:r>
            <w:r>
              <w:rPr>
                <w:sz w:val="22"/>
              </w:rPr>
              <w:t>локальные</w:t>
            </w:r>
            <w:r>
              <w:rPr>
                <w:spacing w:val="34"/>
                <w:sz w:val="22"/>
              </w:rPr>
              <w:t> </w:t>
            </w:r>
            <w:r>
              <w:rPr>
                <w:sz w:val="22"/>
              </w:rPr>
              <w:t>участки</w:t>
            </w:r>
            <w:r>
              <w:rPr>
                <w:spacing w:val="32"/>
                <w:sz w:val="22"/>
              </w:rPr>
              <w:t> </w:t>
            </w:r>
            <w:r>
              <w:rPr>
                <w:sz w:val="22"/>
              </w:rPr>
              <w:t>консолидации, плевральный выпот);</w:t>
            </w:r>
          </w:p>
          <w:p>
            <w:pPr>
              <w:pStyle w:val="TableParagraph"/>
              <w:numPr>
                <w:ilvl w:val="0"/>
                <w:numId w:val="77"/>
              </w:numPr>
              <w:tabs>
                <w:tab w:pos="435" w:val="left" w:leader="none"/>
              </w:tabs>
              <w:spacing w:line="267" w:lineRule="exact" w:before="0" w:after="0"/>
              <w:ind w:left="435" w:right="0" w:hanging="360"/>
              <w:jc w:val="left"/>
              <w:rPr>
                <w:sz w:val="22"/>
              </w:rPr>
            </w:pPr>
            <w:r>
              <w:rPr>
                <w:sz w:val="22"/>
              </w:rPr>
              <w:t>Абсцесс</w:t>
            </w:r>
            <w:r>
              <w:rPr>
                <w:spacing w:val="-9"/>
                <w:sz w:val="22"/>
              </w:rPr>
              <w:t> </w:t>
            </w:r>
            <w:r>
              <w:rPr>
                <w:sz w:val="22"/>
              </w:rPr>
              <w:t>легкого</w:t>
            </w:r>
            <w:r>
              <w:rPr>
                <w:spacing w:val="-7"/>
                <w:sz w:val="22"/>
              </w:rPr>
              <w:t> </w:t>
            </w:r>
            <w:r>
              <w:rPr>
                <w:sz w:val="22"/>
              </w:rPr>
              <w:t>и</w:t>
            </w:r>
            <w:r>
              <w:rPr>
                <w:spacing w:val="-8"/>
                <w:sz w:val="22"/>
              </w:rPr>
              <w:t> </w:t>
            </w:r>
            <w:r>
              <w:rPr>
                <w:sz w:val="22"/>
              </w:rPr>
              <w:t>множественные</w:t>
            </w:r>
            <w:r>
              <w:rPr>
                <w:spacing w:val="-6"/>
                <w:sz w:val="22"/>
              </w:rPr>
              <w:t> </w:t>
            </w:r>
            <w:r>
              <w:rPr>
                <w:sz w:val="22"/>
              </w:rPr>
              <w:t>септические</w:t>
            </w:r>
            <w:r>
              <w:rPr>
                <w:spacing w:val="-5"/>
                <w:sz w:val="22"/>
              </w:rPr>
              <w:t> </w:t>
            </w:r>
            <w:r>
              <w:rPr>
                <w:spacing w:val="-2"/>
                <w:sz w:val="22"/>
              </w:rPr>
              <w:t>эмболии;</w:t>
            </w:r>
          </w:p>
          <w:p>
            <w:pPr>
              <w:pStyle w:val="TableParagraph"/>
              <w:numPr>
                <w:ilvl w:val="0"/>
                <w:numId w:val="77"/>
              </w:numPr>
              <w:tabs>
                <w:tab w:pos="435" w:val="left" w:leader="none"/>
              </w:tabs>
              <w:spacing w:line="269" w:lineRule="exact" w:before="0" w:after="0"/>
              <w:ind w:left="435" w:right="0" w:hanging="360"/>
              <w:jc w:val="left"/>
              <w:rPr>
                <w:sz w:val="22"/>
              </w:rPr>
            </w:pPr>
            <w:r>
              <w:rPr>
                <w:sz w:val="22"/>
              </w:rPr>
              <w:t>Пневмоторакс</w:t>
            </w:r>
            <w:r>
              <w:rPr>
                <w:spacing w:val="-5"/>
                <w:sz w:val="22"/>
              </w:rPr>
              <w:t> </w:t>
            </w:r>
            <w:r>
              <w:rPr>
                <w:sz w:val="22"/>
              </w:rPr>
              <w:t>и</w:t>
            </w:r>
            <w:r>
              <w:rPr>
                <w:spacing w:val="-4"/>
                <w:sz w:val="22"/>
              </w:rPr>
              <w:t> </w:t>
            </w:r>
            <w:r>
              <w:rPr>
                <w:spacing w:val="-2"/>
                <w:sz w:val="22"/>
              </w:rPr>
              <w:t>пневмомедиастинум;</w:t>
            </w:r>
          </w:p>
          <w:p>
            <w:pPr>
              <w:pStyle w:val="TableParagraph"/>
              <w:numPr>
                <w:ilvl w:val="0"/>
                <w:numId w:val="77"/>
              </w:numPr>
              <w:tabs>
                <w:tab w:pos="435" w:val="left" w:leader="none"/>
              </w:tabs>
              <w:spacing w:line="240" w:lineRule="auto" w:before="0" w:after="0"/>
              <w:ind w:left="435" w:right="211" w:hanging="360"/>
              <w:jc w:val="both"/>
              <w:rPr>
                <w:sz w:val="22"/>
              </w:rPr>
            </w:pPr>
            <w:r>
              <w:rPr>
                <w:sz w:val="22"/>
              </w:rPr>
              <w:t>Тромбоэмболия</w:t>
            </w:r>
            <w:r>
              <w:rPr>
                <w:spacing w:val="-3"/>
                <w:sz w:val="22"/>
              </w:rPr>
              <w:t> </w:t>
            </w:r>
            <w:r>
              <w:rPr>
                <w:sz w:val="22"/>
              </w:rPr>
              <w:t>мелких ветвей</w:t>
            </w:r>
            <w:r>
              <w:rPr>
                <w:spacing w:val="-1"/>
                <w:sz w:val="22"/>
              </w:rPr>
              <w:t> </w:t>
            </w:r>
            <w:r>
              <w:rPr>
                <w:sz w:val="22"/>
              </w:rPr>
              <w:t>легочной</w:t>
            </w:r>
            <w:r>
              <w:rPr>
                <w:spacing w:val="-3"/>
                <w:sz w:val="22"/>
              </w:rPr>
              <w:t> </w:t>
            </w:r>
            <w:r>
              <w:rPr>
                <w:sz w:val="22"/>
              </w:rPr>
              <w:t>артерии</w:t>
            </w:r>
            <w:r>
              <w:rPr>
                <w:spacing w:val="-4"/>
                <w:sz w:val="22"/>
              </w:rPr>
              <w:t> </w:t>
            </w:r>
            <w:r>
              <w:rPr>
                <w:sz w:val="22"/>
              </w:rPr>
              <w:t>(в</w:t>
            </w:r>
            <w:r>
              <w:rPr>
                <w:spacing w:val="-2"/>
                <w:sz w:val="22"/>
              </w:rPr>
              <w:t> </w:t>
            </w:r>
            <w:r>
              <w:rPr>
                <w:sz w:val="22"/>
              </w:rPr>
              <w:t>т.ч.</w:t>
            </w:r>
            <w:r>
              <w:rPr>
                <w:spacing w:val="-1"/>
                <w:sz w:val="22"/>
              </w:rPr>
              <w:t> </w:t>
            </w:r>
            <w:r>
              <w:rPr>
                <w:sz w:val="22"/>
              </w:rPr>
              <w:t>при</w:t>
            </w:r>
            <w:r>
              <w:rPr>
                <w:spacing w:val="-4"/>
                <w:sz w:val="22"/>
              </w:rPr>
              <w:t> </w:t>
            </w:r>
            <w:r>
              <w:rPr>
                <w:sz w:val="22"/>
              </w:rPr>
              <w:t>снижении сатурации на фоне стабильной рентгенологической картины – может потребоваться КТ ОГК с контрастированием);</w:t>
            </w:r>
          </w:p>
          <w:p>
            <w:pPr>
              <w:pStyle w:val="TableParagraph"/>
              <w:numPr>
                <w:ilvl w:val="0"/>
                <w:numId w:val="77"/>
              </w:numPr>
              <w:tabs>
                <w:tab w:pos="434" w:val="left" w:leader="none"/>
              </w:tabs>
              <w:spacing w:line="269" w:lineRule="exact" w:before="0" w:after="0"/>
              <w:ind w:left="434" w:right="0" w:hanging="359"/>
              <w:jc w:val="both"/>
              <w:rPr>
                <w:sz w:val="22"/>
              </w:rPr>
            </w:pPr>
            <w:r>
              <w:rPr>
                <w:spacing w:val="-2"/>
                <w:sz w:val="22"/>
              </w:rPr>
              <w:t>Другие.</w:t>
            </w:r>
          </w:p>
        </w:tc>
      </w:tr>
      <w:tr>
        <w:trPr>
          <w:trHeight w:val="4094" w:hRule="atLeast"/>
        </w:trPr>
        <w:tc>
          <w:tcPr>
            <w:tcW w:w="1839" w:type="dxa"/>
            <w:tcBorders>
              <w:top w:val="single" w:sz="6" w:space="0" w:color="000000"/>
              <w:bottom w:val="single" w:sz="6" w:space="0" w:color="000000"/>
            </w:tcBorders>
            <w:shd w:val="clear" w:color="auto" w:fill="F1F1F1"/>
          </w:tcPr>
          <w:p>
            <w:pPr>
              <w:pStyle w:val="TableParagraph"/>
              <w:spacing w:before="87"/>
              <w:ind w:left="79"/>
              <w:rPr>
                <w:b/>
                <w:sz w:val="22"/>
              </w:rPr>
            </w:pPr>
            <w:r>
              <w:rPr>
                <w:b/>
                <w:sz w:val="22"/>
              </w:rPr>
              <w:t>Картина</w:t>
            </w:r>
            <w:r>
              <w:rPr>
                <w:b/>
                <w:spacing w:val="-5"/>
                <w:sz w:val="22"/>
              </w:rPr>
              <w:t> </w:t>
            </w:r>
            <w:r>
              <w:rPr>
                <w:b/>
                <w:spacing w:val="-4"/>
                <w:sz w:val="22"/>
              </w:rPr>
              <w:t>ОРДС</w:t>
            </w:r>
          </w:p>
        </w:tc>
        <w:tc>
          <w:tcPr>
            <w:tcW w:w="7309" w:type="dxa"/>
            <w:tcBorders>
              <w:top w:val="single" w:sz="6" w:space="0" w:color="000000"/>
              <w:bottom w:val="single" w:sz="6" w:space="0" w:color="000000"/>
            </w:tcBorders>
            <w:shd w:val="clear" w:color="auto" w:fill="F1F1F1"/>
          </w:tcPr>
          <w:p>
            <w:pPr>
              <w:pStyle w:val="TableParagraph"/>
              <w:spacing w:line="253" w:lineRule="exact" w:before="87"/>
              <w:ind w:left="75"/>
              <w:rPr>
                <w:b/>
                <w:sz w:val="22"/>
              </w:rPr>
            </w:pPr>
            <w:r>
              <w:rPr>
                <w:b/>
                <w:sz w:val="22"/>
              </w:rPr>
              <w:t>Обычно</w:t>
            </w:r>
            <w:r>
              <w:rPr>
                <w:b/>
                <w:spacing w:val="-2"/>
                <w:sz w:val="22"/>
              </w:rPr>
              <w:t> характерны:</w:t>
            </w:r>
          </w:p>
          <w:p>
            <w:pPr>
              <w:pStyle w:val="TableParagraph"/>
              <w:numPr>
                <w:ilvl w:val="0"/>
                <w:numId w:val="78"/>
              </w:numPr>
              <w:tabs>
                <w:tab w:pos="435" w:val="left" w:leader="none"/>
              </w:tabs>
              <w:spacing w:line="240" w:lineRule="auto" w:before="0" w:after="0"/>
              <w:ind w:left="435" w:right="211" w:hanging="360"/>
              <w:jc w:val="left"/>
              <w:rPr>
                <w:sz w:val="22"/>
              </w:rPr>
            </w:pPr>
            <w:r>
              <w:rPr>
                <w:sz w:val="22"/>
              </w:rPr>
              <w:t>Двусторонние</w:t>
            </w:r>
            <w:r>
              <w:rPr>
                <w:spacing w:val="40"/>
                <w:sz w:val="22"/>
              </w:rPr>
              <w:t> </w:t>
            </w:r>
            <w:r>
              <w:rPr>
                <w:sz w:val="22"/>
              </w:rPr>
              <w:t>субтотальные</w:t>
            </w:r>
            <w:r>
              <w:rPr>
                <w:spacing w:val="40"/>
                <w:sz w:val="22"/>
              </w:rPr>
              <w:t> </w:t>
            </w:r>
            <w:r>
              <w:rPr>
                <w:sz w:val="22"/>
              </w:rPr>
              <w:t>уплотнения</w:t>
            </w:r>
            <w:r>
              <w:rPr>
                <w:spacing w:val="40"/>
                <w:sz w:val="22"/>
              </w:rPr>
              <w:t> </w:t>
            </w:r>
            <w:r>
              <w:rPr>
                <w:sz w:val="22"/>
              </w:rPr>
              <w:t>легочной</w:t>
            </w:r>
            <w:r>
              <w:rPr>
                <w:spacing w:val="40"/>
                <w:sz w:val="22"/>
              </w:rPr>
              <w:t> </w:t>
            </w:r>
            <w:r>
              <w:rPr>
                <w:sz w:val="22"/>
              </w:rPr>
              <w:t>ткани</w:t>
            </w:r>
            <w:r>
              <w:rPr>
                <w:spacing w:val="40"/>
                <w:sz w:val="22"/>
              </w:rPr>
              <w:t> </w:t>
            </w:r>
            <w:r>
              <w:rPr>
                <w:sz w:val="22"/>
              </w:rPr>
              <w:t>по</w:t>
            </w:r>
            <w:r>
              <w:rPr>
                <w:spacing w:val="40"/>
                <w:sz w:val="22"/>
              </w:rPr>
              <w:t> </w:t>
            </w:r>
            <w:r>
              <w:rPr>
                <w:sz w:val="22"/>
              </w:rPr>
              <w:t>типу</w:t>
            </w:r>
            <w:r>
              <w:rPr>
                <w:spacing w:val="40"/>
                <w:sz w:val="22"/>
              </w:rPr>
              <w:t> </w:t>
            </w:r>
            <w:r>
              <w:rPr>
                <w:sz w:val="22"/>
              </w:rPr>
              <w:t>консолидации и «матового стекла»;</w:t>
            </w:r>
          </w:p>
          <w:p>
            <w:pPr>
              <w:pStyle w:val="TableParagraph"/>
              <w:numPr>
                <w:ilvl w:val="0"/>
                <w:numId w:val="78"/>
              </w:numPr>
              <w:tabs>
                <w:tab w:pos="435" w:val="left" w:leader="none"/>
              </w:tabs>
              <w:spacing w:line="269" w:lineRule="exact" w:before="0" w:after="0"/>
              <w:ind w:left="435" w:right="0" w:hanging="360"/>
              <w:jc w:val="left"/>
              <w:rPr>
                <w:sz w:val="22"/>
              </w:rPr>
            </w:pPr>
            <w:r>
              <w:rPr>
                <w:sz w:val="22"/>
              </w:rPr>
              <w:t>Расположение</w:t>
            </w:r>
            <w:r>
              <w:rPr>
                <w:spacing w:val="-3"/>
                <w:sz w:val="22"/>
              </w:rPr>
              <w:t> </w:t>
            </w:r>
            <w:r>
              <w:rPr>
                <w:sz w:val="22"/>
              </w:rPr>
              <w:t>в</w:t>
            </w:r>
            <w:r>
              <w:rPr>
                <w:spacing w:val="-7"/>
                <w:sz w:val="22"/>
              </w:rPr>
              <w:t> </w:t>
            </w:r>
            <w:r>
              <w:rPr>
                <w:sz w:val="22"/>
              </w:rPr>
              <w:t>средних</w:t>
            </w:r>
            <w:r>
              <w:rPr>
                <w:spacing w:val="-5"/>
                <w:sz w:val="22"/>
              </w:rPr>
              <w:t> </w:t>
            </w:r>
            <w:r>
              <w:rPr>
                <w:sz w:val="22"/>
              </w:rPr>
              <w:t>и</w:t>
            </w:r>
            <w:r>
              <w:rPr>
                <w:spacing w:val="-4"/>
                <w:sz w:val="22"/>
              </w:rPr>
              <w:t> </w:t>
            </w:r>
            <w:r>
              <w:rPr>
                <w:sz w:val="22"/>
              </w:rPr>
              <w:t>верхних</w:t>
            </w:r>
            <w:r>
              <w:rPr>
                <w:spacing w:val="-3"/>
                <w:sz w:val="22"/>
              </w:rPr>
              <w:t> </w:t>
            </w:r>
            <w:r>
              <w:rPr>
                <w:sz w:val="22"/>
              </w:rPr>
              <w:t>отделах</w:t>
            </w:r>
            <w:r>
              <w:rPr>
                <w:spacing w:val="-1"/>
                <w:sz w:val="22"/>
              </w:rPr>
              <w:t> </w:t>
            </w:r>
            <w:r>
              <w:rPr>
                <w:spacing w:val="-2"/>
                <w:sz w:val="22"/>
              </w:rPr>
              <w:t>легких;</w:t>
            </w:r>
          </w:p>
          <w:p>
            <w:pPr>
              <w:pStyle w:val="TableParagraph"/>
              <w:numPr>
                <w:ilvl w:val="0"/>
                <w:numId w:val="78"/>
              </w:numPr>
              <w:tabs>
                <w:tab w:pos="435" w:val="left" w:leader="none"/>
              </w:tabs>
              <w:spacing w:line="269" w:lineRule="exact" w:before="0" w:after="0"/>
              <w:ind w:left="435" w:right="0" w:hanging="360"/>
              <w:jc w:val="left"/>
              <w:rPr>
                <w:sz w:val="22"/>
              </w:rPr>
            </w:pPr>
            <w:r>
              <w:rPr>
                <w:sz w:val="22"/>
              </w:rPr>
              <w:t>Вздутие</w:t>
            </w:r>
            <w:r>
              <w:rPr>
                <w:spacing w:val="-4"/>
                <w:sz w:val="22"/>
              </w:rPr>
              <w:t> </w:t>
            </w:r>
            <w:r>
              <w:rPr>
                <w:sz w:val="22"/>
              </w:rPr>
              <w:t>базальных</w:t>
            </w:r>
            <w:r>
              <w:rPr>
                <w:spacing w:val="-4"/>
                <w:sz w:val="22"/>
              </w:rPr>
              <w:t> </w:t>
            </w:r>
            <w:r>
              <w:rPr>
                <w:spacing w:val="-2"/>
                <w:sz w:val="22"/>
              </w:rPr>
              <w:t>сегментов;</w:t>
            </w:r>
          </w:p>
          <w:p>
            <w:pPr>
              <w:pStyle w:val="TableParagraph"/>
              <w:numPr>
                <w:ilvl w:val="0"/>
                <w:numId w:val="78"/>
              </w:numPr>
              <w:tabs>
                <w:tab w:pos="435" w:val="left" w:leader="none"/>
                <w:tab w:pos="1526" w:val="left" w:leader="none"/>
                <w:tab w:pos="2847" w:val="left" w:leader="none"/>
                <w:tab w:pos="3164" w:val="left" w:leader="none"/>
                <w:tab w:pos="4560" w:val="left" w:leader="none"/>
                <w:tab w:pos="4979" w:val="left" w:leader="none"/>
                <w:tab w:pos="6226" w:val="left" w:leader="none"/>
              </w:tabs>
              <w:spacing w:line="240" w:lineRule="auto" w:before="0" w:after="0"/>
              <w:ind w:left="435" w:right="211" w:hanging="360"/>
              <w:jc w:val="left"/>
              <w:rPr>
                <w:sz w:val="22"/>
              </w:rPr>
            </w:pPr>
            <w:r>
              <w:rPr>
                <w:spacing w:val="-2"/>
                <w:sz w:val="22"/>
              </w:rPr>
              <w:t>Градиент</w:t>
            </w:r>
            <w:r>
              <w:rPr>
                <w:sz w:val="22"/>
              </w:rPr>
              <w:tab/>
            </w:r>
            <w:r>
              <w:rPr>
                <w:spacing w:val="-2"/>
                <w:sz w:val="22"/>
              </w:rPr>
              <w:t>уплотнений</w:t>
            </w:r>
            <w:r>
              <w:rPr>
                <w:sz w:val="22"/>
              </w:rPr>
              <w:tab/>
            </w:r>
            <w:r>
              <w:rPr>
                <w:spacing w:val="-10"/>
                <w:sz w:val="22"/>
              </w:rPr>
              <w:t>в</w:t>
            </w:r>
            <w:r>
              <w:rPr>
                <w:sz w:val="22"/>
              </w:rPr>
              <w:tab/>
            </w:r>
            <w:r>
              <w:rPr>
                <w:spacing w:val="-2"/>
                <w:sz w:val="22"/>
              </w:rPr>
              <w:t>зависимости</w:t>
            </w:r>
            <w:r>
              <w:rPr>
                <w:sz w:val="22"/>
              </w:rPr>
              <w:tab/>
            </w:r>
            <w:r>
              <w:rPr>
                <w:spacing w:val="-6"/>
                <w:sz w:val="22"/>
              </w:rPr>
              <w:t>от</w:t>
            </w:r>
            <w:r>
              <w:rPr>
                <w:sz w:val="22"/>
              </w:rPr>
              <w:tab/>
            </w:r>
            <w:r>
              <w:rPr>
                <w:spacing w:val="-2"/>
                <w:sz w:val="22"/>
              </w:rPr>
              <w:t>положения</w:t>
            </w:r>
            <w:r>
              <w:rPr>
                <w:sz w:val="22"/>
              </w:rPr>
              <w:tab/>
            </w:r>
            <w:r>
              <w:rPr>
                <w:spacing w:val="-2"/>
                <w:sz w:val="22"/>
              </w:rPr>
              <w:t>пациента </w:t>
            </w:r>
            <w:r>
              <w:rPr>
                <w:sz w:val="22"/>
              </w:rPr>
              <w:t>(на спине, на животе);</w:t>
            </w:r>
          </w:p>
          <w:p>
            <w:pPr>
              <w:pStyle w:val="TableParagraph"/>
              <w:numPr>
                <w:ilvl w:val="0"/>
                <w:numId w:val="78"/>
              </w:numPr>
              <w:tabs>
                <w:tab w:pos="435" w:val="left" w:leader="none"/>
              </w:tabs>
              <w:spacing w:line="267" w:lineRule="exact" w:before="0" w:after="0"/>
              <w:ind w:left="435" w:right="0" w:hanging="360"/>
              <w:jc w:val="left"/>
              <w:rPr>
                <w:sz w:val="22"/>
              </w:rPr>
            </w:pPr>
            <w:r>
              <w:rPr>
                <w:sz w:val="22"/>
              </w:rPr>
              <w:t>Симптом</w:t>
            </w:r>
            <w:r>
              <w:rPr>
                <w:spacing w:val="-6"/>
                <w:sz w:val="22"/>
              </w:rPr>
              <w:t> </w:t>
            </w:r>
            <w:r>
              <w:rPr>
                <w:sz w:val="22"/>
              </w:rPr>
              <w:t>воздушной</w:t>
            </w:r>
            <w:r>
              <w:rPr>
                <w:spacing w:val="-6"/>
                <w:sz w:val="22"/>
              </w:rPr>
              <w:t> </w:t>
            </w:r>
            <w:r>
              <w:rPr>
                <w:spacing w:val="-2"/>
                <w:sz w:val="22"/>
              </w:rPr>
              <w:t>бронхографии;</w:t>
            </w:r>
          </w:p>
          <w:p>
            <w:pPr>
              <w:pStyle w:val="TableParagraph"/>
              <w:numPr>
                <w:ilvl w:val="0"/>
                <w:numId w:val="78"/>
              </w:numPr>
              <w:tabs>
                <w:tab w:pos="435" w:val="left" w:leader="none"/>
              </w:tabs>
              <w:spacing w:line="240" w:lineRule="auto" w:before="0" w:after="0"/>
              <w:ind w:left="435" w:right="212" w:hanging="360"/>
              <w:jc w:val="left"/>
              <w:rPr>
                <w:sz w:val="22"/>
              </w:rPr>
            </w:pPr>
            <w:r>
              <w:rPr>
                <w:sz w:val="22"/>
              </w:rPr>
              <w:t>Увеличение объема поражения 50% за 24–48 ч на фоне дыхательных </w:t>
            </w:r>
            <w:r>
              <w:rPr>
                <w:spacing w:val="-2"/>
                <w:sz w:val="22"/>
              </w:rPr>
              <w:t>нарушений;</w:t>
            </w:r>
          </w:p>
          <w:p>
            <w:pPr>
              <w:pStyle w:val="TableParagraph"/>
              <w:numPr>
                <w:ilvl w:val="0"/>
                <w:numId w:val="78"/>
              </w:numPr>
              <w:tabs>
                <w:tab w:pos="435" w:val="left" w:leader="none"/>
              </w:tabs>
              <w:spacing w:line="266" w:lineRule="exact" w:before="0" w:after="0"/>
              <w:ind w:left="435" w:right="0" w:hanging="360"/>
              <w:jc w:val="left"/>
              <w:rPr>
                <w:sz w:val="22"/>
              </w:rPr>
            </w:pPr>
            <w:r>
              <w:rPr>
                <w:sz w:val="22"/>
              </w:rPr>
              <w:t>Жидкость</w:t>
            </w:r>
            <w:r>
              <w:rPr>
                <w:spacing w:val="-5"/>
                <w:sz w:val="22"/>
              </w:rPr>
              <w:t> </w:t>
            </w:r>
            <w:r>
              <w:rPr>
                <w:sz w:val="22"/>
              </w:rPr>
              <w:t>в</w:t>
            </w:r>
            <w:r>
              <w:rPr>
                <w:spacing w:val="-5"/>
                <w:sz w:val="22"/>
              </w:rPr>
              <w:t> </w:t>
            </w:r>
            <w:r>
              <w:rPr>
                <w:sz w:val="22"/>
              </w:rPr>
              <w:t>плевральных</w:t>
            </w:r>
            <w:r>
              <w:rPr>
                <w:spacing w:val="-6"/>
                <w:sz w:val="22"/>
              </w:rPr>
              <w:t> </w:t>
            </w:r>
            <w:r>
              <w:rPr>
                <w:sz w:val="22"/>
              </w:rPr>
              <w:t>полостях</w:t>
            </w:r>
            <w:r>
              <w:rPr>
                <w:spacing w:val="-4"/>
                <w:sz w:val="22"/>
              </w:rPr>
              <w:t> </w:t>
            </w:r>
            <w:r>
              <w:rPr>
                <w:spacing w:val="-2"/>
                <w:sz w:val="22"/>
              </w:rPr>
              <w:t>(гидроторакс).</w:t>
            </w:r>
          </w:p>
          <w:p>
            <w:pPr>
              <w:pStyle w:val="TableParagraph"/>
              <w:tabs>
                <w:tab w:pos="1235" w:val="left" w:leader="none"/>
                <w:tab w:pos="1804" w:val="left" w:leader="none"/>
                <w:tab w:pos="3351" w:val="left" w:leader="none"/>
                <w:tab w:pos="4116" w:val="left" w:leader="none"/>
                <w:tab w:pos="5500" w:val="left" w:leader="none"/>
              </w:tabs>
              <w:ind w:left="75" w:right="210"/>
              <w:rPr>
                <w:sz w:val="22"/>
              </w:rPr>
            </w:pPr>
            <w:r>
              <w:rPr>
                <w:b/>
                <w:spacing w:val="-2"/>
                <w:sz w:val="22"/>
              </w:rPr>
              <w:t>Обычно</w:t>
            </w:r>
            <w:r>
              <w:rPr>
                <w:b/>
                <w:sz w:val="22"/>
              </w:rPr>
              <w:tab/>
            </w:r>
            <w:r>
              <w:rPr>
                <w:b/>
                <w:spacing w:val="-6"/>
                <w:sz w:val="22"/>
              </w:rPr>
              <w:t>не</w:t>
            </w:r>
            <w:r>
              <w:rPr>
                <w:b/>
                <w:sz w:val="22"/>
              </w:rPr>
              <w:tab/>
            </w:r>
            <w:r>
              <w:rPr>
                <w:b/>
                <w:spacing w:val="-2"/>
                <w:sz w:val="22"/>
              </w:rPr>
              <w:t>характерны</w:t>
            </w:r>
            <w:r>
              <w:rPr>
                <w:b/>
                <w:sz w:val="22"/>
              </w:rPr>
              <w:tab/>
            </w:r>
            <w:r>
              <w:rPr>
                <w:spacing w:val="-4"/>
                <w:sz w:val="22"/>
              </w:rPr>
              <w:t>(при</w:t>
            </w:r>
            <w:r>
              <w:rPr>
                <w:sz w:val="22"/>
              </w:rPr>
              <w:tab/>
            </w:r>
            <w:r>
              <w:rPr>
                <w:spacing w:val="-2"/>
                <w:sz w:val="22"/>
              </w:rPr>
              <w:t>отсутствии</w:t>
            </w:r>
            <w:r>
              <w:rPr>
                <w:sz w:val="22"/>
              </w:rPr>
              <w:tab/>
            </w:r>
            <w:r>
              <w:rPr>
                <w:spacing w:val="-2"/>
                <w:sz w:val="22"/>
              </w:rPr>
              <w:t>недостаточности кровообращения):</w:t>
            </w:r>
          </w:p>
          <w:p>
            <w:pPr>
              <w:pStyle w:val="TableParagraph"/>
              <w:numPr>
                <w:ilvl w:val="0"/>
                <w:numId w:val="78"/>
              </w:numPr>
              <w:tabs>
                <w:tab w:pos="435" w:val="left" w:leader="none"/>
              </w:tabs>
              <w:spacing w:line="269" w:lineRule="exact" w:before="0" w:after="0"/>
              <w:ind w:left="435" w:right="0" w:hanging="360"/>
              <w:jc w:val="left"/>
              <w:rPr>
                <w:sz w:val="22"/>
              </w:rPr>
            </w:pPr>
            <w:r>
              <w:rPr>
                <w:sz w:val="22"/>
              </w:rPr>
              <w:t>Линии</w:t>
            </w:r>
            <w:r>
              <w:rPr>
                <w:spacing w:val="-6"/>
                <w:sz w:val="22"/>
              </w:rPr>
              <w:t> </w:t>
            </w:r>
            <w:r>
              <w:rPr>
                <w:sz w:val="22"/>
              </w:rPr>
              <w:t>Керли,</w:t>
            </w:r>
            <w:r>
              <w:rPr>
                <w:spacing w:val="-4"/>
                <w:sz w:val="22"/>
              </w:rPr>
              <w:t> </w:t>
            </w:r>
            <w:r>
              <w:rPr>
                <w:sz w:val="22"/>
              </w:rPr>
              <w:t>перибронхиальные</w:t>
            </w:r>
            <w:r>
              <w:rPr>
                <w:spacing w:val="-4"/>
                <w:sz w:val="22"/>
              </w:rPr>
              <w:t> </w:t>
            </w:r>
            <w:r>
              <w:rPr>
                <w:spacing w:val="-2"/>
                <w:sz w:val="22"/>
              </w:rPr>
              <w:t>муфты;</w:t>
            </w:r>
          </w:p>
          <w:p>
            <w:pPr>
              <w:pStyle w:val="TableParagraph"/>
              <w:numPr>
                <w:ilvl w:val="0"/>
                <w:numId w:val="78"/>
              </w:numPr>
              <w:tabs>
                <w:tab w:pos="435" w:val="left" w:leader="none"/>
              </w:tabs>
              <w:spacing w:line="269" w:lineRule="exact" w:before="0" w:after="0"/>
              <w:ind w:left="435" w:right="0" w:hanging="360"/>
              <w:jc w:val="left"/>
              <w:rPr>
                <w:sz w:val="22"/>
              </w:rPr>
            </w:pPr>
            <w:r>
              <w:rPr>
                <w:sz w:val="22"/>
              </w:rPr>
              <w:t>Расширение</w:t>
            </w:r>
            <w:r>
              <w:rPr>
                <w:spacing w:val="-5"/>
                <w:sz w:val="22"/>
              </w:rPr>
              <w:t> </w:t>
            </w:r>
            <w:r>
              <w:rPr>
                <w:sz w:val="22"/>
              </w:rPr>
              <w:t>левых</w:t>
            </w:r>
            <w:r>
              <w:rPr>
                <w:spacing w:val="-4"/>
                <w:sz w:val="22"/>
              </w:rPr>
              <w:t> </w:t>
            </w:r>
            <w:r>
              <w:rPr>
                <w:sz w:val="22"/>
              </w:rPr>
              <w:t>камер</w:t>
            </w:r>
            <w:r>
              <w:rPr>
                <w:spacing w:val="-7"/>
                <w:sz w:val="22"/>
              </w:rPr>
              <w:t> </w:t>
            </w:r>
            <w:r>
              <w:rPr>
                <w:sz w:val="22"/>
              </w:rPr>
              <w:t>сердца,</w:t>
            </w:r>
            <w:r>
              <w:rPr>
                <w:spacing w:val="-6"/>
                <w:sz w:val="22"/>
              </w:rPr>
              <w:t> </w:t>
            </w:r>
            <w:r>
              <w:rPr>
                <w:sz w:val="22"/>
              </w:rPr>
              <w:t>сосудистой</w:t>
            </w:r>
            <w:r>
              <w:rPr>
                <w:spacing w:val="-4"/>
                <w:sz w:val="22"/>
              </w:rPr>
              <w:t> </w:t>
            </w:r>
            <w:r>
              <w:rPr>
                <w:sz w:val="22"/>
              </w:rPr>
              <w:t>ножки</w:t>
            </w:r>
            <w:r>
              <w:rPr>
                <w:spacing w:val="-5"/>
                <w:sz w:val="22"/>
              </w:rPr>
              <w:t> </w:t>
            </w:r>
            <w:r>
              <w:rPr>
                <w:spacing w:val="-2"/>
                <w:sz w:val="22"/>
              </w:rPr>
              <w:t>сердца.</w:t>
            </w:r>
          </w:p>
        </w:tc>
      </w:tr>
      <w:tr>
        <w:trPr>
          <w:trHeight w:val="2747" w:hRule="atLeast"/>
        </w:trPr>
        <w:tc>
          <w:tcPr>
            <w:tcW w:w="1839" w:type="dxa"/>
            <w:tcBorders>
              <w:top w:val="single" w:sz="6" w:space="0" w:color="000000"/>
              <w:bottom w:val="single" w:sz="6" w:space="0" w:color="000000"/>
            </w:tcBorders>
          </w:tcPr>
          <w:p>
            <w:pPr>
              <w:pStyle w:val="TableParagraph"/>
              <w:spacing w:before="80"/>
              <w:ind w:left="79"/>
              <w:rPr>
                <w:b/>
                <w:sz w:val="22"/>
              </w:rPr>
            </w:pPr>
            <w:r>
              <w:rPr>
                <w:b/>
                <w:spacing w:val="-2"/>
                <w:sz w:val="22"/>
              </w:rPr>
              <w:t>Разрешение</w:t>
            </w:r>
          </w:p>
        </w:tc>
        <w:tc>
          <w:tcPr>
            <w:tcW w:w="7309" w:type="dxa"/>
            <w:tcBorders>
              <w:top w:val="single" w:sz="6" w:space="0" w:color="000000"/>
              <w:bottom w:val="single" w:sz="6" w:space="0" w:color="000000"/>
            </w:tcBorders>
          </w:tcPr>
          <w:p>
            <w:pPr>
              <w:pStyle w:val="TableParagraph"/>
              <w:numPr>
                <w:ilvl w:val="0"/>
                <w:numId w:val="79"/>
              </w:numPr>
              <w:tabs>
                <w:tab w:pos="435" w:val="left" w:leader="none"/>
              </w:tabs>
              <w:spacing w:line="240" w:lineRule="auto" w:before="81" w:after="0"/>
              <w:ind w:left="435" w:right="212" w:hanging="360"/>
              <w:jc w:val="both"/>
              <w:rPr>
                <w:sz w:val="22"/>
              </w:rPr>
            </w:pPr>
            <w:r>
              <w:rPr>
                <w:sz w:val="22"/>
              </w:rPr>
              <w:t>Уменьшение размеров участков консолидации и «матового стекла» (картины организующейся пневмонии);</w:t>
            </w:r>
          </w:p>
          <w:p>
            <w:pPr>
              <w:pStyle w:val="TableParagraph"/>
              <w:numPr>
                <w:ilvl w:val="0"/>
                <w:numId w:val="79"/>
              </w:numPr>
              <w:tabs>
                <w:tab w:pos="435" w:val="left" w:leader="none"/>
              </w:tabs>
              <w:spacing w:line="237" w:lineRule="auto" w:before="0" w:after="0"/>
              <w:ind w:left="435" w:right="211" w:hanging="360"/>
              <w:jc w:val="both"/>
              <w:rPr>
                <w:sz w:val="22"/>
              </w:rPr>
            </w:pPr>
            <w:r>
              <w:rPr>
                <w:sz w:val="22"/>
              </w:rPr>
              <w:t>Длительность существования изменений в легких</w:t>
            </w:r>
            <w:r>
              <w:rPr>
                <w:spacing w:val="-2"/>
                <w:sz w:val="22"/>
              </w:rPr>
              <w:t> </w:t>
            </w:r>
            <w:r>
              <w:rPr>
                <w:sz w:val="22"/>
              </w:rPr>
              <w:t>может существенно превышать сроки клинических проявлений инфекции;</w:t>
            </w:r>
          </w:p>
          <w:p>
            <w:pPr>
              <w:pStyle w:val="TableParagraph"/>
              <w:numPr>
                <w:ilvl w:val="0"/>
                <w:numId w:val="79"/>
              </w:numPr>
              <w:tabs>
                <w:tab w:pos="435" w:val="left" w:leader="none"/>
              </w:tabs>
              <w:spacing w:line="240" w:lineRule="auto" w:before="3" w:after="0"/>
              <w:ind w:left="435" w:right="210" w:hanging="360"/>
              <w:jc w:val="both"/>
              <w:rPr>
                <w:sz w:val="22"/>
              </w:rPr>
            </w:pPr>
            <w:r>
              <w:rPr>
                <w:sz w:val="22"/>
              </w:rPr>
              <w:t>Наличие</w:t>
            </w:r>
            <w:r>
              <w:rPr>
                <w:spacing w:val="80"/>
                <w:w w:val="150"/>
                <w:sz w:val="22"/>
              </w:rPr>
              <w:t> </w:t>
            </w:r>
            <w:r>
              <w:rPr>
                <w:sz w:val="22"/>
              </w:rPr>
              <w:t>остаточных</w:t>
            </w:r>
            <w:r>
              <w:rPr>
                <w:spacing w:val="80"/>
                <w:w w:val="150"/>
                <w:sz w:val="22"/>
              </w:rPr>
              <w:t> </w:t>
            </w:r>
            <w:r>
              <w:rPr>
                <w:sz w:val="22"/>
              </w:rPr>
              <w:t>уплотнений</w:t>
            </w:r>
            <w:r>
              <w:rPr>
                <w:spacing w:val="80"/>
                <w:w w:val="150"/>
                <w:sz w:val="22"/>
              </w:rPr>
              <w:t> </w:t>
            </w:r>
            <w:r>
              <w:rPr>
                <w:sz w:val="22"/>
              </w:rPr>
              <w:t>в</w:t>
            </w:r>
            <w:r>
              <w:rPr>
                <w:spacing w:val="80"/>
                <w:w w:val="150"/>
                <w:sz w:val="22"/>
              </w:rPr>
              <w:t> </w:t>
            </w:r>
            <w:r>
              <w:rPr>
                <w:sz w:val="22"/>
              </w:rPr>
              <w:t>легочной</w:t>
            </w:r>
            <w:r>
              <w:rPr>
                <w:spacing w:val="80"/>
                <w:w w:val="150"/>
                <w:sz w:val="22"/>
              </w:rPr>
              <w:t> </w:t>
            </w:r>
            <w:r>
              <w:rPr>
                <w:sz w:val="22"/>
              </w:rPr>
              <w:t>ткани</w:t>
            </w:r>
            <w:r>
              <w:rPr>
                <w:spacing w:val="80"/>
                <w:w w:val="150"/>
                <w:sz w:val="22"/>
              </w:rPr>
              <w:t> </w:t>
            </w:r>
            <w:r>
              <w:rPr>
                <w:sz w:val="22"/>
              </w:rPr>
              <w:t>не</w:t>
            </w:r>
            <w:r>
              <w:rPr>
                <w:spacing w:val="80"/>
                <w:w w:val="150"/>
                <w:sz w:val="22"/>
              </w:rPr>
              <w:t> </w:t>
            </w:r>
            <w:r>
              <w:rPr>
                <w:sz w:val="22"/>
              </w:rPr>
              <w:t>влияет на длительность терапии инфекционного заболевания и не является показанием к ее продолжению в отсутствии клинических проявлений острого воспалительного процесса;</w:t>
            </w:r>
          </w:p>
          <w:p>
            <w:pPr>
              <w:pStyle w:val="TableParagraph"/>
              <w:numPr>
                <w:ilvl w:val="0"/>
                <w:numId w:val="79"/>
              </w:numPr>
              <w:tabs>
                <w:tab w:pos="435" w:val="left" w:leader="none"/>
              </w:tabs>
              <w:spacing w:line="237" w:lineRule="auto" w:before="0" w:after="0"/>
              <w:ind w:left="435" w:right="75" w:hanging="360"/>
              <w:jc w:val="both"/>
              <w:rPr>
                <w:sz w:val="22"/>
              </w:rPr>
            </w:pPr>
            <w:r>
              <w:rPr>
                <w:sz w:val="22"/>
              </w:rPr>
              <w:t>Допустимы новые зоны «матового стекла» не более 25% поперечного размера гемиторакса.</w:t>
            </w:r>
          </w:p>
        </w:tc>
      </w:tr>
    </w:tbl>
    <w:p>
      <w:pPr>
        <w:pStyle w:val="TableParagraph"/>
        <w:spacing w:after="0" w:line="237" w:lineRule="auto"/>
        <w:jc w:val="both"/>
        <w:rPr>
          <w:sz w:val="22"/>
        </w:rPr>
        <w:sectPr>
          <w:type w:val="continuous"/>
          <w:pgSz w:w="11900" w:h="16840"/>
          <w:pgMar w:header="0" w:footer="697" w:top="1120" w:bottom="880" w:left="0" w:right="0"/>
        </w:sectPr>
      </w:pPr>
    </w:p>
    <w:p>
      <w:pPr>
        <w:spacing w:before="73"/>
        <w:ind w:left="2549" w:right="0" w:firstLine="0"/>
        <w:jc w:val="both"/>
        <w:rPr>
          <w:b/>
          <w:sz w:val="24"/>
        </w:rPr>
      </w:pPr>
      <w:bookmarkStart w:name="168" w:id="197"/>
      <w:bookmarkEnd w:id="197"/>
      <w:r>
        <w:rPr/>
      </w:r>
      <w:r>
        <w:rPr>
          <w:b/>
          <w:sz w:val="24"/>
        </w:rPr>
        <w:t>Рекомендации</w:t>
      </w:r>
      <w:r>
        <w:rPr>
          <w:b/>
          <w:spacing w:val="-12"/>
          <w:sz w:val="24"/>
        </w:rPr>
        <w:t> </w:t>
      </w:r>
      <w:r>
        <w:rPr>
          <w:b/>
          <w:sz w:val="24"/>
        </w:rPr>
        <w:t>по</w:t>
      </w:r>
      <w:r>
        <w:rPr>
          <w:b/>
          <w:spacing w:val="-12"/>
          <w:sz w:val="24"/>
        </w:rPr>
        <w:t> </w:t>
      </w:r>
      <w:r>
        <w:rPr>
          <w:b/>
          <w:sz w:val="24"/>
        </w:rPr>
        <w:t>УЗИ</w:t>
      </w:r>
      <w:r>
        <w:rPr>
          <w:b/>
          <w:spacing w:val="-12"/>
          <w:sz w:val="24"/>
        </w:rPr>
        <w:t> </w:t>
      </w:r>
      <w:r>
        <w:rPr>
          <w:b/>
          <w:sz w:val="24"/>
        </w:rPr>
        <w:t>в</w:t>
      </w:r>
      <w:r>
        <w:rPr>
          <w:b/>
          <w:spacing w:val="-12"/>
          <w:sz w:val="24"/>
        </w:rPr>
        <w:t> </w:t>
      </w:r>
      <w:r>
        <w:rPr>
          <w:b/>
          <w:sz w:val="24"/>
        </w:rPr>
        <w:t>условиях</w:t>
      </w:r>
      <w:r>
        <w:rPr>
          <w:b/>
          <w:spacing w:val="-11"/>
          <w:sz w:val="24"/>
        </w:rPr>
        <w:t> </w:t>
      </w:r>
      <w:r>
        <w:rPr>
          <w:b/>
          <w:sz w:val="24"/>
        </w:rPr>
        <w:t>пандемии</w:t>
      </w:r>
      <w:r>
        <w:rPr>
          <w:b/>
          <w:spacing w:val="-12"/>
          <w:sz w:val="24"/>
        </w:rPr>
        <w:t> </w:t>
      </w:r>
      <w:r>
        <w:rPr>
          <w:b/>
          <w:sz w:val="24"/>
        </w:rPr>
        <w:t>COVID-</w:t>
      </w:r>
      <w:r>
        <w:rPr>
          <w:b/>
          <w:spacing w:val="-5"/>
          <w:sz w:val="24"/>
        </w:rPr>
        <w:t>19</w:t>
      </w:r>
    </w:p>
    <w:p>
      <w:pPr>
        <w:pStyle w:val="ListParagraph"/>
        <w:numPr>
          <w:ilvl w:val="0"/>
          <w:numId w:val="80"/>
        </w:numPr>
        <w:tabs>
          <w:tab w:pos="2844" w:val="left" w:leader="none"/>
        </w:tabs>
        <w:spacing w:line="276" w:lineRule="auto" w:before="41" w:after="0"/>
        <w:ind w:left="1841" w:right="1271" w:firstLine="707"/>
        <w:jc w:val="both"/>
        <w:rPr>
          <w:sz w:val="24"/>
        </w:rPr>
      </w:pPr>
      <w:r>
        <w:rPr>
          <w:sz w:val="24"/>
        </w:rPr>
        <w:t>УЗИ легких у пациентов с подозрением или подтвержденным диагнозом COVID-19 можно проводить на любых УЗ аппаратах с условием обязательного соблюдения всех правил безопасности работы персонала и дезинфекции помещений и</w:t>
      </w:r>
      <w:r>
        <w:rPr>
          <w:spacing w:val="-3"/>
          <w:sz w:val="24"/>
        </w:rPr>
        <w:t> </w:t>
      </w:r>
      <w:r>
        <w:rPr>
          <w:sz w:val="24"/>
        </w:rPr>
        <w:t>оборудования. Предпочтительно выделение одного или нескольких УЗ аппаратов для</w:t>
      </w:r>
      <w:r>
        <w:rPr>
          <w:spacing w:val="-1"/>
          <w:sz w:val="24"/>
        </w:rPr>
        <w:t> </w:t>
      </w:r>
      <w:r>
        <w:rPr>
          <w:sz w:val="24"/>
        </w:rPr>
        <w:t>работы</w:t>
      </w:r>
      <w:r>
        <w:rPr>
          <w:spacing w:val="-1"/>
          <w:sz w:val="24"/>
        </w:rPr>
        <w:t> </w:t>
      </w:r>
      <w:r>
        <w:rPr>
          <w:sz w:val="24"/>
        </w:rPr>
        <w:t>с</w:t>
      </w:r>
      <w:r>
        <w:rPr>
          <w:spacing w:val="-1"/>
          <w:sz w:val="24"/>
        </w:rPr>
        <w:t> </w:t>
      </w:r>
      <w:r>
        <w:rPr>
          <w:sz w:val="24"/>
        </w:rPr>
        <w:t>пациентами с</w:t>
      </w:r>
      <w:r>
        <w:rPr>
          <w:spacing w:val="-1"/>
          <w:sz w:val="24"/>
        </w:rPr>
        <w:t> </w:t>
      </w:r>
      <w:r>
        <w:rPr>
          <w:sz w:val="24"/>
        </w:rPr>
        <w:t>подозрением</w:t>
      </w:r>
      <w:r>
        <w:rPr>
          <w:spacing w:val="-1"/>
          <w:sz w:val="24"/>
        </w:rPr>
        <w:t> </w:t>
      </w:r>
      <w:r>
        <w:rPr>
          <w:sz w:val="24"/>
        </w:rPr>
        <w:t>или</w:t>
      </w:r>
      <w:r>
        <w:rPr>
          <w:spacing w:val="-1"/>
          <w:sz w:val="24"/>
        </w:rPr>
        <w:t> </w:t>
      </w:r>
      <w:r>
        <w:rPr>
          <w:sz w:val="24"/>
        </w:rPr>
        <w:t>подтвержденным</w:t>
      </w:r>
      <w:r>
        <w:rPr>
          <w:spacing w:val="-1"/>
          <w:sz w:val="24"/>
        </w:rPr>
        <w:t> </w:t>
      </w:r>
      <w:r>
        <w:rPr>
          <w:sz w:val="24"/>
        </w:rPr>
        <w:t>диагнозом</w:t>
      </w:r>
      <w:r>
        <w:rPr>
          <w:spacing w:val="-1"/>
          <w:sz w:val="24"/>
        </w:rPr>
        <w:t> </w:t>
      </w:r>
      <w:r>
        <w:rPr>
          <w:sz w:val="24"/>
        </w:rPr>
        <w:t>COVID-19. В</w:t>
      </w:r>
      <w:r>
        <w:rPr>
          <w:spacing w:val="-4"/>
          <w:sz w:val="24"/>
        </w:rPr>
        <w:t> </w:t>
      </w:r>
      <w:r>
        <w:rPr>
          <w:sz w:val="24"/>
        </w:rPr>
        <w:t>зависимости от контингента исследуемых и технического оснащения учреждения могут использоваться конвексные (предпочтительно для взрослых), линейные (предпочтительно для новорожденных и детей младшего возраста), секторные фазированные и микроконвексные датчики.</w:t>
      </w:r>
    </w:p>
    <w:p>
      <w:pPr>
        <w:pStyle w:val="ListParagraph"/>
        <w:numPr>
          <w:ilvl w:val="0"/>
          <w:numId w:val="80"/>
        </w:numPr>
        <w:tabs>
          <w:tab w:pos="2942" w:val="left" w:leader="none"/>
        </w:tabs>
        <w:spacing w:line="278" w:lineRule="auto" w:before="0" w:after="0"/>
        <w:ind w:left="1841" w:right="1271" w:firstLine="707"/>
        <w:jc w:val="both"/>
        <w:rPr>
          <w:sz w:val="24"/>
        </w:rPr>
      </w:pPr>
      <w:r>
        <w:rPr>
          <w:sz w:val="24"/>
        </w:rPr>
        <w:t>Рекомендуется использование стандартизированной технологии УЗИ </w:t>
      </w:r>
      <w:r>
        <w:rPr>
          <w:spacing w:val="-2"/>
          <w:sz w:val="24"/>
        </w:rPr>
        <w:t>легких.</w:t>
      </w:r>
    </w:p>
    <w:p>
      <w:pPr>
        <w:pStyle w:val="ListParagraph"/>
        <w:numPr>
          <w:ilvl w:val="0"/>
          <w:numId w:val="80"/>
        </w:numPr>
        <w:tabs>
          <w:tab w:pos="2808" w:val="left" w:leader="none"/>
        </w:tabs>
        <w:spacing w:line="276" w:lineRule="auto" w:before="0" w:after="0"/>
        <w:ind w:left="1841" w:right="1278" w:firstLine="707"/>
        <w:jc w:val="both"/>
        <w:rPr>
          <w:sz w:val="24"/>
        </w:rPr>
      </w:pPr>
      <w:r>
        <w:rPr>
          <w:sz w:val="24"/>
        </w:rPr>
        <w:t>Для</w:t>
      </w:r>
      <w:r>
        <w:rPr>
          <w:spacing w:val="-5"/>
          <w:sz w:val="24"/>
        </w:rPr>
        <w:t> </w:t>
      </w:r>
      <w:r>
        <w:rPr>
          <w:sz w:val="24"/>
        </w:rPr>
        <w:t>упрощения</w:t>
      </w:r>
      <w:r>
        <w:rPr>
          <w:spacing w:val="-7"/>
          <w:sz w:val="24"/>
        </w:rPr>
        <w:t> </w:t>
      </w:r>
      <w:r>
        <w:rPr>
          <w:sz w:val="24"/>
        </w:rPr>
        <w:t>интерпретации</w:t>
      </w:r>
      <w:r>
        <w:rPr>
          <w:spacing w:val="-6"/>
          <w:sz w:val="24"/>
        </w:rPr>
        <w:t> </w:t>
      </w:r>
      <w:r>
        <w:rPr>
          <w:sz w:val="24"/>
        </w:rPr>
        <w:t>данных</w:t>
      </w:r>
      <w:r>
        <w:rPr>
          <w:spacing w:val="-7"/>
          <w:sz w:val="24"/>
        </w:rPr>
        <w:t> </w:t>
      </w:r>
      <w:r>
        <w:rPr>
          <w:sz w:val="24"/>
        </w:rPr>
        <w:t>и</w:t>
      </w:r>
      <w:r>
        <w:rPr>
          <w:spacing w:val="-4"/>
          <w:sz w:val="24"/>
        </w:rPr>
        <w:t> </w:t>
      </w:r>
      <w:r>
        <w:rPr>
          <w:sz w:val="24"/>
        </w:rPr>
        <w:t>удобства</w:t>
      </w:r>
      <w:r>
        <w:rPr>
          <w:spacing w:val="-5"/>
          <w:sz w:val="24"/>
        </w:rPr>
        <w:t> </w:t>
      </w:r>
      <w:r>
        <w:rPr>
          <w:sz w:val="24"/>
        </w:rPr>
        <w:t>динамического</w:t>
      </w:r>
      <w:r>
        <w:rPr>
          <w:spacing w:val="-4"/>
          <w:sz w:val="24"/>
        </w:rPr>
        <w:t> </w:t>
      </w:r>
      <w:r>
        <w:rPr>
          <w:sz w:val="24"/>
        </w:rPr>
        <w:t>контроля рекомендуется оценка УЗ изменений в легких по градациям.</w:t>
      </w:r>
    </w:p>
    <w:p>
      <w:pPr>
        <w:pStyle w:val="ListParagraph"/>
        <w:numPr>
          <w:ilvl w:val="0"/>
          <w:numId w:val="80"/>
        </w:numPr>
        <w:tabs>
          <w:tab w:pos="2806" w:val="left" w:leader="none"/>
        </w:tabs>
        <w:spacing w:line="276" w:lineRule="auto" w:before="0" w:after="0"/>
        <w:ind w:left="1841" w:right="1272" w:firstLine="707"/>
        <w:jc w:val="both"/>
        <w:rPr>
          <w:b/>
          <w:sz w:val="24"/>
        </w:rPr>
      </w:pPr>
      <w:r>
        <w:rPr>
          <w:b/>
          <w:sz w:val="24"/>
        </w:rPr>
        <w:t>Нет</w:t>
      </w:r>
      <w:r>
        <w:rPr>
          <w:b/>
          <w:spacing w:val="-7"/>
          <w:sz w:val="24"/>
        </w:rPr>
        <w:t> </w:t>
      </w:r>
      <w:r>
        <w:rPr>
          <w:b/>
          <w:sz w:val="24"/>
        </w:rPr>
        <w:t>достаточного</w:t>
      </w:r>
      <w:r>
        <w:rPr>
          <w:b/>
          <w:spacing w:val="-7"/>
          <w:sz w:val="24"/>
        </w:rPr>
        <w:t> </w:t>
      </w:r>
      <w:r>
        <w:rPr>
          <w:b/>
          <w:sz w:val="24"/>
        </w:rPr>
        <w:t>количества</w:t>
      </w:r>
      <w:r>
        <w:rPr>
          <w:b/>
          <w:spacing w:val="-7"/>
          <w:sz w:val="24"/>
        </w:rPr>
        <w:t> </w:t>
      </w:r>
      <w:r>
        <w:rPr>
          <w:b/>
          <w:sz w:val="24"/>
        </w:rPr>
        <w:t>научных</w:t>
      </w:r>
      <w:r>
        <w:rPr>
          <w:b/>
          <w:spacing w:val="-7"/>
          <w:sz w:val="24"/>
        </w:rPr>
        <w:t> </w:t>
      </w:r>
      <w:r>
        <w:rPr>
          <w:b/>
          <w:sz w:val="24"/>
        </w:rPr>
        <w:t>данных</w:t>
      </w:r>
      <w:r>
        <w:rPr>
          <w:b/>
          <w:spacing w:val="-7"/>
          <w:sz w:val="24"/>
        </w:rPr>
        <w:t> </w:t>
      </w:r>
      <w:r>
        <w:rPr>
          <w:b/>
          <w:sz w:val="24"/>
        </w:rPr>
        <w:t>для</w:t>
      </w:r>
      <w:r>
        <w:rPr>
          <w:b/>
          <w:spacing w:val="-7"/>
          <w:sz w:val="24"/>
        </w:rPr>
        <w:t> </w:t>
      </w:r>
      <w:r>
        <w:rPr>
          <w:b/>
          <w:sz w:val="24"/>
        </w:rPr>
        <w:t>использования</w:t>
      </w:r>
      <w:r>
        <w:rPr>
          <w:b/>
          <w:spacing w:val="-2"/>
          <w:sz w:val="24"/>
        </w:rPr>
        <w:t> </w:t>
      </w:r>
      <w:r>
        <w:rPr>
          <w:b/>
          <w:sz w:val="24"/>
        </w:rPr>
        <w:t>УЗИ легких при сортировке пациентов с подозрением или подтвержденным диагнозом COVID-19.</w:t>
      </w:r>
    </w:p>
    <w:p>
      <w:pPr>
        <w:pStyle w:val="ListParagraph"/>
        <w:numPr>
          <w:ilvl w:val="0"/>
          <w:numId w:val="80"/>
        </w:numPr>
        <w:tabs>
          <w:tab w:pos="2807" w:val="left" w:leader="none"/>
        </w:tabs>
        <w:spacing w:line="276" w:lineRule="exact" w:before="0" w:after="0"/>
        <w:ind w:left="2807" w:right="0" w:hanging="258"/>
        <w:jc w:val="both"/>
        <w:rPr>
          <w:b/>
          <w:sz w:val="24"/>
        </w:rPr>
      </w:pPr>
      <w:r>
        <w:rPr>
          <w:b/>
          <w:sz w:val="24"/>
        </w:rPr>
        <w:t>С</w:t>
      </w:r>
      <w:r>
        <w:rPr>
          <w:b/>
          <w:spacing w:val="-13"/>
          <w:sz w:val="24"/>
        </w:rPr>
        <w:t> </w:t>
      </w:r>
      <w:r>
        <w:rPr>
          <w:b/>
          <w:sz w:val="24"/>
        </w:rPr>
        <w:t>помощью</w:t>
      </w:r>
      <w:r>
        <w:rPr>
          <w:b/>
          <w:spacing w:val="-11"/>
          <w:sz w:val="24"/>
        </w:rPr>
        <w:t> </w:t>
      </w:r>
      <w:r>
        <w:rPr>
          <w:b/>
          <w:sz w:val="24"/>
        </w:rPr>
        <w:t>УЗИ</w:t>
      </w:r>
      <w:r>
        <w:rPr>
          <w:b/>
          <w:spacing w:val="-11"/>
          <w:sz w:val="24"/>
        </w:rPr>
        <w:t> </w:t>
      </w:r>
      <w:r>
        <w:rPr>
          <w:b/>
          <w:sz w:val="24"/>
        </w:rPr>
        <w:t>легких</w:t>
      </w:r>
      <w:r>
        <w:rPr>
          <w:b/>
          <w:spacing w:val="-12"/>
          <w:sz w:val="24"/>
        </w:rPr>
        <w:t> </w:t>
      </w:r>
      <w:r>
        <w:rPr>
          <w:b/>
          <w:sz w:val="24"/>
        </w:rPr>
        <w:t>нельзя</w:t>
      </w:r>
      <w:r>
        <w:rPr>
          <w:b/>
          <w:spacing w:val="-12"/>
          <w:sz w:val="24"/>
        </w:rPr>
        <w:t> </w:t>
      </w:r>
      <w:r>
        <w:rPr>
          <w:b/>
          <w:sz w:val="24"/>
        </w:rPr>
        <w:t>поставить</w:t>
      </w:r>
      <w:r>
        <w:rPr>
          <w:b/>
          <w:spacing w:val="-11"/>
          <w:sz w:val="24"/>
        </w:rPr>
        <w:t> </w:t>
      </w:r>
      <w:r>
        <w:rPr>
          <w:b/>
          <w:sz w:val="24"/>
        </w:rPr>
        <w:t>диагноз</w:t>
      </w:r>
      <w:r>
        <w:rPr>
          <w:b/>
          <w:spacing w:val="-10"/>
          <w:sz w:val="24"/>
        </w:rPr>
        <w:t> </w:t>
      </w:r>
      <w:r>
        <w:rPr>
          <w:b/>
          <w:sz w:val="24"/>
        </w:rPr>
        <w:t>COVID-</w:t>
      </w:r>
      <w:r>
        <w:rPr>
          <w:b/>
          <w:spacing w:val="-5"/>
          <w:sz w:val="24"/>
        </w:rPr>
        <w:t>19.</w:t>
      </w:r>
    </w:p>
    <w:p>
      <w:pPr>
        <w:pStyle w:val="ListParagraph"/>
        <w:numPr>
          <w:ilvl w:val="0"/>
          <w:numId w:val="80"/>
        </w:numPr>
        <w:tabs>
          <w:tab w:pos="2807" w:val="left" w:leader="none"/>
        </w:tabs>
        <w:spacing w:line="240" w:lineRule="auto" w:before="31" w:after="0"/>
        <w:ind w:left="2807" w:right="0" w:hanging="258"/>
        <w:jc w:val="both"/>
        <w:rPr>
          <w:b/>
          <w:sz w:val="24"/>
        </w:rPr>
      </w:pPr>
      <w:r>
        <w:rPr>
          <w:b/>
          <w:sz w:val="24"/>
        </w:rPr>
        <w:t>С</w:t>
      </w:r>
      <w:r>
        <w:rPr>
          <w:b/>
          <w:spacing w:val="-13"/>
          <w:sz w:val="24"/>
        </w:rPr>
        <w:t> </w:t>
      </w:r>
      <w:r>
        <w:rPr>
          <w:b/>
          <w:sz w:val="24"/>
        </w:rPr>
        <w:t>помощью</w:t>
      </w:r>
      <w:r>
        <w:rPr>
          <w:b/>
          <w:spacing w:val="-12"/>
          <w:sz w:val="24"/>
        </w:rPr>
        <w:t> </w:t>
      </w:r>
      <w:r>
        <w:rPr>
          <w:b/>
          <w:sz w:val="24"/>
        </w:rPr>
        <w:t>УЗИ</w:t>
      </w:r>
      <w:r>
        <w:rPr>
          <w:b/>
          <w:spacing w:val="-11"/>
          <w:sz w:val="24"/>
        </w:rPr>
        <w:t> </w:t>
      </w:r>
      <w:r>
        <w:rPr>
          <w:b/>
          <w:sz w:val="24"/>
        </w:rPr>
        <w:t>легких</w:t>
      </w:r>
      <w:r>
        <w:rPr>
          <w:b/>
          <w:spacing w:val="-12"/>
          <w:sz w:val="24"/>
        </w:rPr>
        <w:t> </w:t>
      </w:r>
      <w:r>
        <w:rPr>
          <w:b/>
          <w:sz w:val="24"/>
        </w:rPr>
        <w:t>нельзя</w:t>
      </w:r>
      <w:r>
        <w:rPr>
          <w:b/>
          <w:spacing w:val="-12"/>
          <w:sz w:val="24"/>
        </w:rPr>
        <w:t> </w:t>
      </w:r>
      <w:r>
        <w:rPr>
          <w:b/>
          <w:sz w:val="24"/>
        </w:rPr>
        <w:t>исключить</w:t>
      </w:r>
      <w:r>
        <w:rPr>
          <w:b/>
          <w:spacing w:val="-12"/>
          <w:sz w:val="24"/>
        </w:rPr>
        <w:t> </w:t>
      </w:r>
      <w:r>
        <w:rPr>
          <w:b/>
          <w:sz w:val="24"/>
        </w:rPr>
        <w:t>диагноз</w:t>
      </w:r>
      <w:r>
        <w:rPr>
          <w:b/>
          <w:spacing w:val="-10"/>
          <w:sz w:val="24"/>
        </w:rPr>
        <w:t> </w:t>
      </w:r>
      <w:r>
        <w:rPr>
          <w:b/>
          <w:sz w:val="24"/>
        </w:rPr>
        <w:t>COVID-</w:t>
      </w:r>
      <w:r>
        <w:rPr>
          <w:b/>
          <w:spacing w:val="-5"/>
          <w:sz w:val="24"/>
        </w:rPr>
        <w:t>19.</w:t>
      </w:r>
    </w:p>
    <w:p>
      <w:pPr>
        <w:pStyle w:val="ListParagraph"/>
        <w:numPr>
          <w:ilvl w:val="0"/>
          <w:numId w:val="80"/>
        </w:numPr>
        <w:tabs>
          <w:tab w:pos="2863" w:val="left" w:leader="none"/>
        </w:tabs>
        <w:spacing w:line="276" w:lineRule="auto" w:before="43" w:after="0"/>
        <w:ind w:left="1841" w:right="1271" w:firstLine="707"/>
        <w:jc w:val="both"/>
        <w:rPr>
          <w:b/>
          <w:sz w:val="24"/>
        </w:rPr>
      </w:pPr>
      <w:r>
        <w:rPr>
          <w:b/>
          <w:sz w:val="24"/>
        </w:rPr>
        <w:t>Нет достаточного количества научных данных для оценки тяжести поражения легких с помощью УЗИ. Результаты УЗИ легких должны сопоставляться с клинико-лабораторной картиной и данными КТ. Самостоятельного значения при COVID-19 они не имеют.</w:t>
      </w:r>
    </w:p>
    <w:p>
      <w:pPr>
        <w:pStyle w:val="ListParagraph"/>
        <w:numPr>
          <w:ilvl w:val="0"/>
          <w:numId w:val="80"/>
        </w:numPr>
        <w:tabs>
          <w:tab w:pos="2849" w:val="left" w:leader="none"/>
        </w:tabs>
        <w:spacing w:line="276" w:lineRule="auto" w:before="0" w:after="0"/>
        <w:ind w:left="1841" w:right="1273" w:firstLine="707"/>
        <w:jc w:val="both"/>
        <w:rPr>
          <w:sz w:val="24"/>
        </w:rPr>
      </w:pPr>
      <w:r>
        <w:rPr>
          <w:sz w:val="24"/>
        </w:rPr>
        <w:t>УЗИ</w:t>
      </w:r>
      <w:r>
        <w:rPr>
          <w:spacing w:val="40"/>
          <w:sz w:val="24"/>
        </w:rPr>
        <w:t> </w:t>
      </w:r>
      <w:r>
        <w:rPr>
          <w:sz w:val="24"/>
        </w:rPr>
        <w:t>легких</w:t>
      </w:r>
      <w:r>
        <w:rPr>
          <w:spacing w:val="39"/>
          <w:sz w:val="24"/>
        </w:rPr>
        <w:t> </w:t>
      </w:r>
      <w:r>
        <w:rPr>
          <w:sz w:val="24"/>
        </w:rPr>
        <w:t>не</w:t>
      </w:r>
      <w:r>
        <w:rPr>
          <w:spacing w:val="38"/>
          <w:sz w:val="24"/>
        </w:rPr>
        <w:t> </w:t>
      </w:r>
      <w:r>
        <w:rPr>
          <w:sz w:val="24"/>
        </w:rPr>
        <w:t>может</w:t>
      </w:r>
      <w:r>
        <w:rPr>
          <w:spacing w:val="40"/>
          <w:sz w:val="24"/>
        </w:rPr>
        <w:t> </w:t>
      </w:r>
      <w:r>
        <w:rPr>
          <w:sz w:val="24"/>
        </w:rPr>
        <w:t>заменить</w:t>
      </w:r>
      <w:r>
        <w:rPr>
          <w:spacing w:val="40"/>
          <w:sz w:val="24"/>
        </w:rPr>
        <w:t> </w:t>
      </w:r>
      <w:r>
        <w:rPr>
          <w:sz w:val="24"/>
        </w:rPr>
        <w:t>РГ</w:t>
      </w:r>
      <w:r>
        <w:rPr>
          <w:spacing w:val="38"/>
          <w:sz w:val="24"/>
        </w:rPr>
        <w:t> </w:t>
      </w:r>
      <w:r>
        <w:rPr>
          <w:sz w:val="24"/>
        </w:rPr>
        <w:t>и</w:t>
      </w:r>
      <w:r>
        <w:rPr>
          <w:spacing w:val="40"/>
          <w:sz w:val="24"/>
        </w:rPr>
        <w:t> </w:t>
      </w:r>
      <w:r>
        <w:rPr>
          <w:sz w:val="24"/>
        </w:rPr>
        <w:t>КТ</w:t>
      </w:r>
      <w:r>
        <w:rPr>
          <w:spacing w:val="37"/>
          <w:sz w:val="24"/>
        </w:rPr>
        <w:t> </w:t>
      </w:r>
      <w:r>
        <w:rPr>
          <w:sz w:val="24"/>
        </w:rPr>
        <w:t>ОГК</w:t>
      </w:r>
      <w:r>
        <w:rPr>
          <w:spacing w:val="40"/>
          <w:sz w:val="24"/>
        </w:rPr>
        <w:t> </w:t>
      </w:r>
      <w:r>
        <w:rPr>
          <w:i/>
          <w:sz w:val="24"/>
        </w:rPr>
        <w:t>в</w:t>
      </w:r>
      <w:r>
        <w:rPr>
          <w:i/>
          <w:spacing w:val="38"/>
          <w:sz w:val="24"/>
        </w:rPr>
        <w:t> </w:t>
      </w:r>
      <w:r>
        <w:rPr>
          <w:i/>
          <w:sz w:val="24"/>
        </w:rPr>
        <w:t>диагностике</w:t>
      </w:r>
      <w:r>
        <w:rPr>
          <w:i/>
          <w:spacing w:val="38"/>
          <w:sz w:val="24"/>
        </w:rPr>
        <w:t> </w:t>
      </w:r>
      <w:r>
        <w:rPr>
          <w:i/>
          <w:sz w:val="24"/>
        </w:rPr>
        <w:t>пневмонии </w:t>
      </w:r>
      <w:r>
        <w:rPr>
          <w:sz w:val="24"/>
        </w:rPr>
        <w:t>у пациентов с подозрением или подтвержденным диагнозом COVID-19, но при увеличении потока больных может быть включено в рациональный алгоритм диагностики пневмонии для отдельных групп пациентов (например, беременные, новорожденные) </w:t>
      </w:r>
      <w:r>
        <w:rPr>
          <w:b/>
          <w:i/>
          <w:sz w:val="24"/>
        </w:rPr>
        <w:t>при условии наличия подготовленного врачебного персонала</w:t>
      </w:r>
      <w:r>
        <w:rPr>
          <w:sz w:val="24"/>
        </w:rPr>
        <w:t>.</w:t>
      </w:r>
    </w:p>
    <w:p>
      <w:pPr>
        <w:pStyle w:val="ListParagraph"/>
        <w:numPr>
          <w:ilvl w:val="0"/>
          <w:numId w:val="80"/>
        </w:numPr>
        <w:tabs>
          <w:tab w:pos="2825" w:val="left" w:leader="none"/>
        </w:tabs>
        <w:spacing w:line="276" w:lineRule="auto" w:before="0" w:after="0"/>
        <w:ind w:left="1841" w:right="1273" w:firstLine="707"/>
        <w:jc w:val="both"/>
        <w:rPr>
          <w:sz w:val="24"/>
        </w:rPr>
      </w:pPr>
      <w:r>
        <w:rPr>
          <w:sz w:val="24"/>
        </w:rPr>
        <w:t>УЗИ легких не может заменить РГ и КТ ОГК </w:t>
      </w:r>
      <w:r>
        <w:rPr>
          <w:i/>
          <w:sz w:val="24"/>
        </w:rPr>
        <w:t>в динамическом наблюдении пациентов</w:t>
      </w:r>
      <w:r>
        <w:rPr>
          <w:i/>
          <w:spacing w:val="-1"/>
          <w:sz w:val="24"/>
        </w:rPr>
        <w:t> </w:t>
      </w:r>
      <w:r>
        <w:rPr>
          <w:i/>
          <w:sz w:val="24"/>
        </w:rPr>
        <w:t>с</w:t>
      </w:r>
      <w:r>
        <w:rPr>
          <w:i/>
          <w:spacing w:val="-1"/>
          <w:sz w:val="24"/>
        </w:rPr>
        <w:t> </w:t>
      </w:r>
      <w:r>
        <w:rPr>
          <w:i/>
          <w:sz w:val="24"/>
        </w:rPr>
        <w:t>пневмонией </w:t>
      </w:r>
      <w:r>
        <w:rPr>
          <w:sz w:val="24"/>
        </w:rPr>
        <w:t>при</w:t>
      </w:r>
      <w:r>
        <w:rPr>
          <w:spacing w:val="-1"/>
          <w:sz w:val="24"/>
        </w:rPr>
        <w:t> </w:t>
      </w:r>
      <w:r>
        <w:rPr>
          <w:sz w:val="24"/>
        </w:rPr>
        <w:t>COVID-19, но при увеличении</w:t>
      </w:r>
      <w:r>
        <w:rPr>
          <w:spacing w:val="-1"/>
          <w:sz w:val="24"/>
        </w:rPr>
        <w:t> </w:t>
      </w:r>
      <w:r>
        <w:rPr>
          <w:sz w:val="24"/>
        </w:rPr>
        <w:t>потока</w:t>
      </w:r>
      <w:r>
        <w:rPr>
          <w:spacing w:val="-3"/>
          <w:sz w:val="24"/>
        </w:rPr>
        <w:t> </w:t>
      </w:r>
      <w:r>
        <w:rPr>
          <w:sz w:val="24"/>
        </w:rPr>
        <w:t>пациентов</w:t>
      </w:r>
      <w:r>
        <w:rPr>
          <w:spacing w:val="-2"/>
          <w:sz w:val="24"/>
        </w:rPr>
        <w:t> </w:t>
      </w:r>
      <w:r>
        <w:rPr>
          <w:sz w:val="24"/>
        </w:rPr>
        <w:t>может быть включено в рациональный алгоритм динамического наблюдения </w:t>
      </w:r>
      <w:r>
        <w:rPr>
          <w:b/>
          <w:i/>
          <w:sz w:val="24"/>
        </w:rPr>
        <w:t>при условии наличия (1) первоначальной информации об истинном объеме и причине поражения легких и (2) подготовленного врачебного персонала</w:t>
      </w:r>
      <w:r>
        <w:rPr>
          <w:sz w:val="24"/>
        </w:rPr>
        <w:t>.</w:t>
      </w:r>
    </w:p>
    <w:p>
      <w:pPr>
        <w:pStyle w:val="ListParagraph"/>
        <w:numPr>
          <w:ilvl w:val="0"/>
          <w:numId w:val="80"/>
        </w:numPr>
        <w:tabs>
          <w:tab w:pos="3043" w:val="left" w:leader="none"/>
        </w:tabs>
        <w:spacing w:line="276" w:lineRule="auto" w:before="0" w:after="0"/>
        <w:ind w:left="1841" w:right="1279" w:firstLine="707"/>
        <w:jc w:val="both"/>
        <w:rPr>
          <w:sz w:val="24"/>
        </w:rPr>
      </w:pPr>
      <w:r>
        <w:rPr>
          <w:sz w:val="24"/>
        </w:rPr>
        <w:t>Необходимо обязательное соблюдение правил безопасности работы персонала и дезинфекции помещений и оборудования независимо от того, по какой причине проводится УЗИ пациентам с подозрением или подтвержденным диагнозом </w:t>
      </w:r>
      <w:r>
        <w:rPr>
          <w:spacing w:val="-2"/>
          <w:sz w:val="24"/>
        </w:rPr>
        <w:t>COVID-19.</w:t>
      </w:r>
    </w:p>
    <w:p>
      <w:pPr>
        <w:pStyle w:val="ListParagraph"/>
        <w:numPr>
          <w:ilvl w:val="0"/>
          <w:numId w:val="80"/>
        </w:numPr>
        <w:tabs>
          <w:tab w:pos="2940" w:val="left" w:leader="none"/>
        </w:tabs>
        <w:spacing w:line="276" w:lineRule="auto" w:before="0" w:after="0"/>
        <w:ind w:left="1841" w:right="1271" w:firstLine="707"/>
        <w:jc w:val="both"/>
        <w:rPr>
          <w:sz w:val="24"/>
        </w:rPr>
      </w:pPr>
      <w:r>
        <w:rPr>
          <w:sz w:val="24"/>
        </w:rPr>
        <w:t>При наличии клинических показаний УЗ диагностика может применяться для оценки состояния других анатомических областей и отдельных органов с целью выявления патологических изменений и оценки их динамики, однако в приоритете должен быть принцип разумной достаточности. Обязательным является проведение УЗИ по экстренным показаниям. Обследования, не являющиеся необходимыми, следует отложить или отменить, чтобы свести к минимуму возможность контактов здоровых пациентов с пациентами группы риска по COVID-19 в условиях медицинской</w:t>
      </w:r>
      <w:r>
        <w:rPr>
          <w:spacing w:val="54"/>
          <w:w w:val="150"/>
          <w:sz w:val="24"/>
        </w:rPr>
        <w:t>  </w:t>
      </w:r>
      <w:r>
        <w:rPr>
          <w:sz w:val="24"/>
        </w:rPr>
        <w:t>организации.</w:t>
      </w:r>
      <w:r>
        <w:rPr>
          <w:spacing w:val="55"/>
          <w:w w:val="150"/>
          <w:sz w:val="24"/>
        </w:rPr>
        <w:t>  </w:t>
      </w:r>
      <w:r>
        <w:rPr>
          <w:sz w:val="24"/>
        </w:rPr>
        <w:t>При</w:t>
      </w:r>
      <w:r>
        <w:rPr>
          <w:spacing w:val="54"/>
          <w:w w:val="150"/>
          <w:sz w:val="24"/>
        </w:rPr>
        <w:t>  </w:t>
      </w:r>
      <w:r>
        <w:rPr>
          <w:sz w:val="24"/>
        </w:rPr>
        <w:t>невозможности</w:t>
      </w:r>
      <w:r>
        <w:rPr>
          <w:spacing w:val="55"/>
          <w:w w:val="150"/>
          <w:sz w:val="24"/>
        </w:rPr>
        <w:t>  </w:t>
      </w:r>
      <w:r>
        <w:rPr>
          <w:sz w:val="24"/>
        </w:rPr>
        <w:t>отмены</w:t>
      </w:r>
      <w:r>
        <w:rPr>
          <w:spacing w:val="53"/>
          <w:w w:val="150"/>
          <w:sz w:val="24"/>
        </w:rPr>
        <w:t>  </w:t>
      </w:r>
      <w:r>
        <w:rPr>
          <w:sz w:val="24"/>
        </w:rPr>
        <w:t>плановых</w:t>
      </w:r>
      <w:r>
        <w:rPr>
          <w:spacing w:val="58"/>
          <w:w w:val="150"/>
          <w:sz w:val="24"/>
        </w:rPr>
        <w:t>  </w:t>
      </w:r>
      <w:r>
        <w:rPr>
          <w:spacing w:val="-5"/>
          <w:sz w:val="24"/>
        </w:rPr>
        <w:t>УЗИ</w:t>
      </w:r>
    </w:p>
    <w:p>
      <w:pPr>
        <w:pStyle w:val="ListParagraph"/>
        <w:spacing w:after="0" w:line="276" w:lineRule="auto"/>
        <w:jc w:val="both"/>
        <w:rPr>
          <w:sz w:val="24"/>
        </w:rPr>
        <w:sectPr>
          <w:pgSz w:w="11900" w:h="16840"/>
          <w:pgMar w:header="0" w:footer="697" w:top="1080" w:bottom="880" w:left="0" w:right="0"/>
        </w:sectPr>
      </w:pPr>
    </w:p>
    <w:p>
      <w:pPr>
        <w:pStyle w:val="BodyText"/>
        <w:spacing w:line="276" w:lineRule="auto" w:before="73"/>
        <w:ind w:right="1276"/>
      </w:pPr>
      <w:bookmarkStart w:name="169" w:id="198"/>
      <w:bookmarkEnd w:id="198"/>
      <w:r>
        <w:rPr/>
      </w:r>
      <w:r>
        <w:rPr/>
        <w:t>для</w:t>
      </w:r>
      <w:r>
        <w:rPr>
          <w:spacing w:val="-15"/>
        </w:rPr>
        <w:t> </w:t>
      </w:r>
      <w:r>
        <w:rPr/>
        <w:t>уменьшения</w:t>
      </w:r>
      <w:r>
        <w:rPr>
          <w:spacing w:val="-15"/>
        </w:rPr>
        <w:t> </w:t>
      </w:r>
      <w:r>
        <w:rPr/>
        <w:t>риска</w:t>
      </w:r>
      <w:r>
        <w:rPr>
          <w:spacing w:val="-15"/>
        </w:rPr>
        <w:t> </w:t>
      </w:r>
      <w:r>
        <w:rPr/>
        <w:t>заражения</w:t>
      </w:r>
      <w:r>
        <w:rPr>
          <w:spacing w:val="-15"/>
        </w:rPr>
        <w:t> </w:t>
      </w:r>
      <w:r>
        <w:rPr/>
        <w:t>COVID-19</w:t>
      </w:r>
      <w:r>
        <w:rPr>
          <w:spacing w:val="-13"/>
        </w:rPr>
        <w:t> </w:t>
      </w:r>
      <w:r>
        <w:rPr/>
        <w:t>важно:</w:t>
      </w:r>
      <w:r>
        <w:rPr>
          <w:spacing w:val="-15"/>
        </w:rPr>
        <w:t> </w:t>
      </w:r>
      <w:r>
        <w:rPr/>
        <w:t>(1)</w:t>
      </w:r>
      <w:r>
        <w:rPr>
          <w:spacing w:val="-15"/>
        </w:rPr>
        <w:t> </w:t>
      </w:r>
      <w:r>
        <w:rPr/>
        <w:t>соблюдать</w:t>
      </w:r>
      <w:r>
        <w:rPr>
          <w:spacing w:val="-14"/>
        </w:rPr>
        <w:t> </w:t>
      </w:r>
      <w:r>
        <w:rPr/>
        <w:t>расписание</w:t>
      </w:r>
      <w:r>
        <w:rPr>
          <w:spacing w:val="-15"/>
        </w:rPr>
        <w:t> </w:t>
      </w:r>
      <w:r>
        <w:rPr/>
        <w:t>приема с</w:t>
      </w:r>
      <w:r>
        <w:rPr>
          <w:spacing w:val="-6"/>
        </w:rPr>
        <w:t> </w:t>
      </w:r>
      <w:r>
        <w:rPr/>
        <w:t>сохранением</w:t>
      </w:r>
      <w:r>
        <w:rPr>
          <w:spacing w:val="-6"/>
        </w:rPr>
        <w:t> </w:t>
      </w:r>
      <w:r>
        <w:rPr/>
        <w:t>необходимого</w:t>
      </w:r>
      <w:r>
        <w:rPr>
          <w:spacing w:val="-6"/>
        </w:rPr>
        <w:t> </w:t>
      </w:r>
      <w:r>
        <w:rPr/>
        <w:t>времени</w:t>
      </w:r>
      <w:r>
        <w:rPr>
          <w:spacing w:val="-5"/>
        </w:rPr>
        <w:t> </w:t>
      </w:r>
      <w:r>
        <w:rPr/>
        <w:t>на</w:t>
      </w:r>
      <w:r>
        <w:rPr>
          <w:spacing w:val="-6"/>
        </w:rPr>
        <w:t> </w:t>
      </w:r>
      <w:r>
        <w:rPr/>
        <w:t>каждого</w:t>
      </w:r>
      <w:r>
        <w:rPr>
          <w:spacing w:val="-6"/>
        </w:rPr>
        <w:t> </w:t>
      </w:r>
      <w:r>
        <w:rPr/>
        <w:t>пациента;</w:t>
      </w:r>
      <w:r>
        <w:rPr>
          <w:spacing w:val="-6"/>
        </w:rPr>
        <w:t> </w:t>
      </w:r>
      <w:r>
        <w:rPr/>
        <w:t>(2)</w:t>
      </w:r>
      <w:r>
        <w:rPr>
          <w:spacing w:val="-7"/>
        </w:rPr>
        <w:t> </w:t>
      </w:r>
      <w:r>
        <w:rPr/>
        <w:t>увеличить</w:t>
      </w:r>
      <w:r>
        <w:rPr>
          <w:spacing w:val="-7"/>
        </w:rPr>
        <w:t> </w:t>
      </w:r>
      <w:r>
        <w:rPr/>
        <w:t>интервалы между</w:t>
      </w:r>
      <w:r>
        <w:rPr>
          <w:spacing w:val="-15"/>
        </w:rPr>
        <w:t> </w:t>
      </w:r>
      <w:r>
        <w:rPr/>
        <w:t>пациентами,</w:t>
      </w:r>
      <w:r>
        <w:rPr>
          <w:spacing w:val="-15"/>
        </w:rPr>
        <w:t> </w:t>
      </w:r>
      <w:r>
        <w:rPr/>
        <w:t>чтобы</w:t>
      </w:r>
      <w:r>
        <w:rPr>
          <w:spacing w:val="-15"/>
        </w:rPr>
        <w:t> </w:t>
      </w:r>
      <w:r>
        <w:rPr/>
        <w:t>избежать</w:t>
      </w:r>
      <w:r>
        <w:rPr>
          <w:spacing w:val="-15"/>
        </w:rPr>
        <w:t> </w:t>
      </w:r>
      <w:r>
        <w:rPr/>
        <w:t>скопления</w:t>
      </w:r>
      <w:r>
        <w:rPr>
          <w:spacing w:val="-15"/>
        </w:rPr>
        <w:t> </w:t>
      </w:r>
      <w:r>
        <w:rPr/>
        <w:t>ожидающих</w:t>
      </w:r>
      <w:r>
        <w:rPr>
          <w:spacing w:val="-15"/>
        </w:rPr>
        <w:t> </w:t>
      </w:r>
      <w:r>
        <w:rPr/>
        <w:t>пациентов;</w:t>
      </w:r>
      <w:r>
        <w:rPr>
          <w:spacing w:val="-15"/>
        </w:rPr>
        <w:t> </w:t>
      </w:r>
      <w:r>
        <w:rPr/>
        <w:t>(3)</w:t>
      </w:r>
      <w:r>
        <w:rPr>
          <w:spacing w:val="-15"/>
        </w:rPr>
        <w:t> </w:t>
      </w:r>
      <w:r>
        <w:rPr/>
        <w:t>обеспечить расстояние между креслами для ожидания не менее 2 м друг от друга.</w:t>
      </w:r>
    </w:p>
    <w:p>
      <w:pPr>
        <w:pStyle w:val="BodyText"/>
        <w:spacing w:before="41"/>
        <w:ind w:left="0"/>
        <w:jc w:val="left"/>
      </w:pPr>
    </w:p>
    <w:p>
      <w:pPr>
        <w:spacing w:line="276" w:lineRule="auto" w:before="0"/>
        <w:ind w:left="1841" w:right="1277" w:firstLine="707"/>
        <w:jc w:val="both"/>
        <w:rPr>
          <w:sz w:val="20"/>
        </w:rPr>
      </w:pPr>
      <w:r>
        <w:rPr>
          <w:sz w:val="20"/>
        </w:rPr>
        <mc:AlternateContent>
          <mc:Choice Requires="wps">
            <w:drawing>
              <wp:anchor distT="0" distB="0" distL="0" distR="0" allowOverlap="1" layoutInCell="1" locked="0" behindDoc="0" simplePos="0" relativeHeight="15744512">
                <wp:simplePos x="0" y="0"/>
                <wp:positionH relativeFrom="page">
                  <wp:posOffset>6129273</wp:posOffset>
                </wp:positionH>
                <wp:positionV relativeFrom="paragraph">
                  <wp:posOffset>291675</wp:posOffset>
                </wp:positionV>
                <wp:extent cx="32384" cy="6350"/>
                <wp:effectExtent l="0" t="0" r="0" b="0"/>
                <wp:wrapNone/>
                <wp:docPr id="73" name="Graphic 73"/>
                <wp:cNvGraphicFramePr>
                  <a:graphicFrameLocks/>
                </wp:cNvGraphicFramePr>
                <a:graphic>
                  <a:graphicData uri="http://schemas.microsoft.com/office/word/2010/wordprocessingShape">
                    <wps:wsp>
                      <wps:cNvPr id="73" name="Graphic 73"/>
                      <wps:cNvSpPr/>
                      <wps:spPr>
                        <a:xfrm>
                          <a:off x="0" y="0"/>
                          <a:ext cx="32384" cy="6350"/>
                        </a:xfrm>
                        <a:custGeom>
                          <a:avLst/>
                          <a:gdLst/>
                          <a:ahLst/>
                          <a:cxnLst/>
                          <a:rect l="l" t="t" r="r" b="b"/>
                          <a:pathLst>
                            <a:path w="32384" h="6350">
                              <a:moveTo>
                                <a:pt x="26212" y="8142"/>
                              </a:moveTo>
                              <a:lnTo>
                                <a:pt x="-5761" y="8142"/>
                              </a:lnTo>
                              <a:lnTo>
                                <a:pt x="-5761" y="14232"/>
                              </a:lnTo>
                              <a:lnTo>
                                <a:pt x="26212" y="14232"/>
                              </a:lnTo>
                              <a:lnTo>
                                <a:pt x="26212" y="8142"/>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482.16632pt;margin-top:23.607716pt;width:2.517631pt;height:.479549pt;mso-position-horizontal-relative:page;mso-position-vertical-relative:paragraph;z-index:15744512" id="docshape61" filled="true" fillcolor="#000000" stroked="false">
                <v:fill type="solid"/>
                <w10:wrap type="none"/>
              </v:rect>
            </w:pict>
          </mc:Fallback>
        </mc:AlternateContent>
      </w:r>
      <w:r>
        <w:rPr>
          <w:sz w:val="20"/>
        </w:rPr>
        <mc:AlternateContent>
          <mc:Choice Requires="wps">
            <w:drawing>
              <wp:anchor distT="0" distB="0" distL="0" distR="0" allowOverlap="1" layoutInCell="1" locked="0" behindDoc="0" simplePos="0" relativeHeight="15745024">
                <wp:simplePos x="0" y="0"/>
                <wp:positionH relativeFrom="page">
                  <wp:posOffset>6542531</wp:posOffset>
                </wp:positionH>
                <wp:positionV relativeFrom="paragraph">
                  <wp:posOffset>291675</wp:posOffset>
                </wp:positionV>
                <wp:extent cx="32384" cy="6350"/>
                <wp:effectExtent l="0" t="0" r="0" b="0"/>
                <wp:wrapNone/>
                <wp:docPr id="74" name="Graphic 74"/>
                <wp:cNvGraphicFramePr>
                  <a:graphicFrameLocks/>
                </wp:cNvGraphicFramePr>
                <a:graphic>
                  <a:graphicData uri="http://schemas.microsoft.com/office/word/2010/wordprocessingShape">
                    <wps:wsp>
                      <wps:cNvPr id="74" name="Graphic 74"/>
                      <wps:cNvSpPr/>
                      <wps:spPr>
                        <a:xfrm>
                          <a:off x="0" y="0"/>
                          <a:ext cx="32384" cy="6350"/>
                        </a:xfrm>
                        <a:custGeom>
                          <a:avLst/>
                          <a:gdLst/>
                          <a:ahLst/>
                          <a:cxnLst/>
                          <a:rect l="l" t="t" r="r" b="b"/>
                          <a:pathLst>
                            <a:path w="32384" h="6350">
                              <a:moveTo>
                                <a:pt x="25823" y="8142"/>
                              </a:moveTo>
                              <a:lnTo>
                                <a:pt x="-6150" y="8142"/>
                              </a:lnTo>
                              <a:lnTo>
                                <a:pt x="-6150" y="14232"/>
                              </a:lnTo>
                              <a:lnTo>
                                <a:pt x="25823" y="14232"/>
                              </a:lnTo>
                              <a:lnTo>
                                <a:pt x="25823" y="8142"/>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514.67571pt;margin-top:23.607716pt;width:2.517631pt;height:.479549pt;mso-position-horizontal-relative:page;mso-position-vertical-relative:paragraph;z-index:15745024" id="docshape62" filled="true" fillcolor="#000000" stroked="false">
                <v:fill type="solid"/>
                <w10:wrap type="none"/>
              </v:rect>
            </w:pict>
          </mc:Fallback>
        </mc:AlternateContent>
      </w:r>
      <w:r>
        <w:rPr>
          <w:sz w:val="20"/>
        </w:rPr>
        <w:t>Более детально информация по ультразвуковому исследованию легких и безопасности ультразвуковых</w:t>
      </w:r>
      <w:r>
        <w:rPr>
          <w:spacing w:val="80"/>
          <w:w w:val="150"/>
          <w:sz w:val="20"/>
        </w:rPr>
        <w:t> </w:t>
      </w:r>
      <w:r>
        <w:rPr>
          <w:sz w:val="20"/>
        </w:rPr>
        <w:t>исследований</w:t>
      </w:r>
      <w:r>
        <w:rPr>
          <w:spacing w:val="78"/>
          <w:w w:val="150"/>
          <w:sz w:val="20"/>
        </w:rPr>
        <w:t> </w:t>
      </w:r>
      <w:r>
        <w:rPr>
          <w:sz w:val="20"/>
        </w:rPr>
        <w:t>в</w:t>
      </w:r>
      <w:r>
        <w:rPr>
          <w:spacing w:val="80"/>
          <w:w w:val="150"/>
          <w:sz w:val="20"/>
        </w:rPr>
        <w:t> </w:t>
      </w:r>
      <w:r>
        <w:rPr>
          <w:sz w:val="20"/>
        </w:rPr>
        <w:t>условиях</w:t>
      </w:r>
      <w:r>
        <w:rPr>
          <w:spacing w:val="80"/>
          <w:w w:val="150"/>
          <w:sz w:val="20"/>
        </w:rPr>
        <w:t> </w:t>
      </w:r>
      <w:r>
        <w:rPr>
          <w:sz w:val="20"/>
        </w:rPr>
        <w:t>COVID-19</w:t>
      </w:r>
      <w:r>
        <w:rPr>
          <w:spacing w:val="80"/>
          <w:w w:val="150"/>
          <w:sz w:val="20"/>
        </w:rPr>
        <w:t> </w:t>
      </w:r>
      <w:r>
        <w:rPr>
          <w:sz w:val="20"/>
        </w:rPr>
        <w:t>представлена</w:t>
      </w:r>
      <w:r>
        <w:rPr>
          <w:spacing w:val="80"/>
          <w:w w:val="150"/>
          <w:sz w:val="20"/>
        </w:rPr>
        <w:t> </w:t>
      </w:r>
      <w:r>
        <w:rPr>
          <w:sz w:val="20"/>
        </w:rPr>
        <w:t>на</w:t>
      </w:r>
      <w:r>
        <w:rPr>
          <w:spacing w:val="79"/>
          <w:w w:val="150"/>
          <w:sz w:val="20"/>
        </w:rPr>
        <w:t> </w:t>
      </w:r>
      <w:r>
        <w:rPr>
          <w:sz w:val="20"/>
        </w:rPr>
        <w:t>сайте</w:t>
      </w:r>
      <w:r>
        <w:rPr>
          <w:spacing w:val="80"/>
          <w:w w:val="150"/>
          <w:sz w:val="20"/>
        </w:rPr>
        <w:t> </w:t>
      </w:r>
      <w:hyperlink r:id="rId21">
        <w:r>
          <w:rPr>
            <w:i/>
            <w:sz w:val="20"/>
          </w:rPr>
          <w:t>www</w:t>
        </w:r>
        <w:r>
          <w:rPr>
            <w:sz w:val="20"/>
          </w:rPr>
          <w:t>.</w:t>
        </w:r>
        <w:r>
          <w:rPr>
            <w:i/>
            <w:sz w:val="20"/>
          </w:rPr>
          <w:t>rasudm</w:t>
        </w:r>
        <w:r>
          <w:rPr>
            <w:sz w:val="20"/>
          </w:rPr>
          <w:t>.</w:t>
        </w:r>
        <w:r>
          <w:rPr>
            <w:i/>
            <w:sz w:val="20"/>
          </w:rPr>
          <w:t>org</w:t>
        </w:r>
      </w:hyperlink>
      <w:r>
        <w:rPr>
          <w:i/>
          <w:sz w:val="20"/>
        </w:rPr>
        <w:t> </w:t>
      </w:r>
      <w:r>
        <w:rPr>
          <w:sz w:val="20"/>
        </w:rPr>
        <w:t>в следующих документах:</w:t>
      </w:r>
    </w:p>
    <w:p>
      <w:pPr>
        <w:pStyle w:val="ListParagraph"/>
        <w:numPr>
          <w:ilvl w:val="1"/>
          <w:numId w:val="80"/>
        </w:numPr>
        <w:tabs>
          <w:tab w:pos="2815" w:val="left" w:leader="none"/>
        </w:tabs>
        <w:spacing w:line="276" w:lineRule="auto" w:before="0" w:after="0"/>
        <w:ind w:left="1841" w:right="1271" w:firstLine="707"/>
        <w:jc w:val="both"/>
        <w:rPr>
          <w:sz w:val="20"/>
        </w:rPr>
      </w:pPr>
      <w:r>
        <w:rPr>
          <w:sz w:val="20"/>
        </w:rPr>
        <w:t>Abramowicz J.S., Basseal J. Заявление о позиции WFUMB: как безопасно проводить ультразвуковое</w:t>
      </w:r>
      <w:r>
        <w:rPr>
          <w:spacing w:val="-3"/>
          <w:sz w:val="20"/>
        </w:rPr>
        <w:t> </w:t>
      </w:r>
      <w:r>
        <w:rPr>
          <w:sz w:val="20"/>
        </w:rPr>
        <w:t>исследование</w:t>
      </w:r>
      <w:r>
        <w:rPr>
          <w:spacing w:val="-3"/>
          <w:sz w:val="20"/>
        </w:rPr>
        <w:t> </w:t>
      </w:r>
      <w:r>
        <w:rPr>
          <w:sz w:val="20"/>
        </w:rPr>
        <w:t>и</w:t>
      </w:r>
      <w:r>
        <w:rPr>
          <w:spacing w:val="-4"/>
          <w:sz w:val="20"/>
        </w:rPr>
        <w:t> </w:t>
      </w:r>
      <w:r>
        <w:rPr>
          <w:sz w:val="20"/>
        </w:rPr>
        <w:t>обеззараживать</w:t>
      </w:r>
      <w:r>
        <w:rPr>
          <w:spacing w:val="-3"/>
          <w:sz w:val="20"/>
        </w:rPr>
        <w:t> </w:t>
      </w:r>
      <w:r>
        <w:rPr>
          <w:sz w:val="20"/>
        </w:rPr>
        <w:t>ультразвуковое</w:t>
      </w:r>
      <w:r>
        <w:rPr>
          <w:spacing w:val="-3"/>
          <w:sz w:val="20"/>
        </w:rPr>
        <w:t> </w:t>
      </w:r>
      <w:r>
        <w:rPr>
          <w:sz w:val="20"/>
        </w:rPr>
        <w:t>оборудование</w:t>
      </w:r>
      <w:r>
        <w:rPr>
          <w:spacing w:val="-3"/>
          <w:sz w:val="20"/>
        </w:rPr>
        <w:t> </w:t>
      </w:r>
      <w:r>
        <w:rPr>
          <w:sz w:val="20"/>
        </w:rPr>
        <w:t>в</w:t>
      </w:r>
      <w:r>
        <w:rPr>
          <w:spacing w:val="-3"/>
          <w:sz w:val="20"/>
        </w:rPr>
        <w:t> </w:t>
      </w:r>
      <w:r>
        <w:rPr>
          <w:sz w:val="20"/>
        </w:rPr>
        <w:t>условиях</w:t>
      </w:r>
      <w:r>
        <w:rPr>
          <w:spacing w:val="-2"/>
          <w:sz w:val="20"/>
        </w:rPr>
        <w:t> </w:t>
      </w:r>
      <w:r>
        <w:rPr>
          <w:sz w:val="20"/>
        </w:rPr>
        <w:t>COVID-19</w:t>
      </w:r>
      <w:r>
        <w:rPr>
          <w:spacing w:val="-2"/>
          <w:sz w:val="20"/>
        </w:rPr>
        <w:t> </w:t>
      </w:r>
      <w:r>
        <w:rPr>
          <w:sz w:val="20"/>
        </w:rPr>
        <w:t>// Ультразвуковая и</w:t>
      </w:r>
      <w:r>
        <w:rPr>
          <w:spacing w:val="-1"/>
          <w:sz w:val="20"/>
        </w:rPr>
        <w:t> </w:t>
      </w:r>
      <w:r>
        <w:rPr>
          <w:sz w:val="20"/>
        </w:rPr>
        <w:t>функциональная диагностика. 2020.</w:t>
      </w:r>
      <w:r>
        <w:rPr>
          <w:spacing w:val="-2"/>
          <w:sz w:val="20"/>
        </w:rPr>
        <w:t> </w:t>
      </w:r>
      <w:r>
        <w:rPr>
          <w:sz w:val="20"/>
        </w:rPr>
        <w:t>№ 1. С. 12–23. Doi: 10.24835/1607-0771-2020-1- 12-23. Опубликовано до печати. Режим доступа: // </w:t>
      </w:r>
      <w:hyperlink r:id="rId56">
        <w:r>
          <w:rPr>
            <w:sz w:val="20"/>
          </w:rPr>
          <w:t>http://www.rasudm.org/files/WFUMB-Position-</w:t>
        </w:r>
      </w:hyperlink>
      <w:r>
        <w:rPr>
          <w:sz w:val="20"/>
        </w:rPr>
        <w:t> Statement-COVID.pdf, свободный. Загл. с экрана. 16.04.2020.</w:t>
      </w:r>
    </w:p>
    <w:p>
      <w:pPr>
        <w:pStyle w:val="ListParagraph"/>
        <w:numPr>
          <w:ilvl w:val="1"/>
          <w:numId w:val="80"/>
        </w:numPr>
        <w:tabs>
          <w:tab w:pos="2786" w:val="left" w:leader="none"/>
        </w:tabs>
        <w:spacing w:line="276" w:lineRule="auto" w:before="0" w:after="0"/>
        <w:ind w:left="1841" w:right="1272" w:firstLine="707"/>
        <w:jc w:val="both"/>
        <w:rPr>
          <w:sz w:val="20"/>
        </w:rPr>
      </w:pPr>
      <w:r>
        <w:rPr>
          <w:sz w:val="20"/>
        </w:rPr>
        <w:t>Митьков В.В., Сафонов Д.В., Митькова М.Д., Алехин М.Н., Катрич А.Н., Кабин Ю.В., Ветшева Н.Н., Худорожкова Е.Д., Лахин Р.Е., Кадрев А.В., Дорошенко Д.А., Гренкова Т.А. Консенсусное заявление РАСУДМ об ультразвуковом исследовании легких в условиях пандемии COVID-19 (версия 2) // Ультразвуковая и функциональная диагностика. 2020. № 1. С. 46–77. Doi: 10.24835/1607-0771-2020-1-46-77. Опубликовано до печати. Режим доступа: // </w:t>
      </w:r>
      <w:hyperlink r:id="rId57">
        <w:r>
          <w:rPr>
            <w:sz w:val="20"/>
          </w:rPr>
          <w:t>http://www.rasudm.org/files/RASUDM-Consensus-Statement-COVID-2.pdf,</w:t>
        </w:r>
      </w:hyperlink>
      <w:r>
        <w:rPr>
          <w:sz w:val="20"/>
        </w:rPr>
        <w:t> свободный. Загл. с экрана. </w:t>
      </w:r>
      <w:r>
        <w:rPr>
          <w:spacing w:val="-2"/>
          <w:sz w:val="20"/>
        </w:rPr>
        <w:t>30.04.2020.</w:t>
      </w:r>
    </w:p>
    <w:p>
      <w:pPr>
        <w:pStyle w:val="ListParagraph"/>
        <w:spacing w:after="0" w:line="276" w:lineRule="auto"/>
        <w:jc w:val="both"/>
        <w:rPr>
          <w:sz w:val="20"/>
        </w:rPr>
        <w:sectPr>
          <w:pgSz w:w="11900" w:h="16840"/>
          <w:pgMar w:header="0" w:footer="697" w:top="1080" w:bottom="880" w:left="0" w:right="0"/>
        </w:sectPr>
      </w:pPr>
    </w:p>
    <w:p>
      <w:pPr>
        <w:pStyle w:val="BodyText"/>
        <w:ind w:left="0"/>
        <w:jc w:val="left"/>
      </w:pPr>
    </w:p>
    <w:p>
      <w:pPr>
        <w:pStyle w:val="BodyText"/>
        <w:spacing w:before="47"/>
        <w:ind w:left="0"/>
        <w:jc w:val="left"/>
      </w:pPr>
    </w:p>
    <w:p>
      <w:pPr>
        <w:pStyle w:val="Heading3"/>
        <w:ind w:left="0" w:right="159"/>
        <w:jc w:val="right"/>
      </w:pPr>
      <w:bookmarkStart w:name="_TOC_250017" w:id="199"/>
      <w:bookmarkStart w:name="170" w:id="200"/>
      <w:r>
        <w:rPr>
          <w:b w:val="0"/>
        </w:rPr>
      </w:r>
      <w:r>
        <w:rPr>
          <w:color w:val="1F487C"/>
          <w:spacing w:val="-2"/>
        </w:rPr>
        <w:t>Приложение</w:t>
      </w:r>
      <w:r>
        <w:rPr>
          <w:color w:val="1F487C"/>
        </w:rPr>
        <w:t> </w:t>
      </w:r>
      <w:bookmarkEnd w:id="199"/>
      <w:r>
        <w:rPr>
          <w:color w:val="1F487C"/>
          <w:spacing w:val="-10"/>
        </w:rPr>
        <w:t>2</w:t>
      </w:r>
    </w:p>
    <w:p>
      <w:pPr>
        <w:spacing w:line="276" w:lineRule="exact" w:before="141"/>
        <w:ind w:left="6" w:right="145" w:firstLine="0"/>
        <w:jc w:val="center"/>
        <w:rPr>
          <w:b/>
          <w:sz w:val="24"/>
        </w:rPr>
      </w:pPr>
      <w:r>
        <w:rPr>
          <w:b/>
          <w:spacing w:val="-2"/>
          <w:sz w:val="24"/>
        </w:rPr>
        <w:t>Лабораторный</w:t>
      </w:r>
      <w:r>
        <w:rPr>
          <w:b/>
          <w:spacing w:val="1"/>
          <w:sz w:val="24"/>
        </w:rPr>
        <w:t> </w:t>
      </w:r>
      <w:r>
        <w:rPr>
          <w:b/>
          <w:spacing w:val="-2"/>
          <w:sz w:val="24"/>
        </w:rPr>
        <w:t>мониторинг</w:t>
      </w:r>
      <w:r>
        <w:rPr>
          <w:b/>
          <w:spacing w:val="-1"/>
          <w:sz w:val="24"/>
        </w:rPr>
        <w:t> </w:t>
      </w:r>
      <w:r>
        <w:rPr>
          <w:b/>
          <w:spacing w:val="-2"/>
          <w:sz w:val="24"/>
        </w:rPr>
        <w:t>пациентов</w:t>
      </w:r>
      <w:r>
        <w:rPr>
          <w:b/>
          <w:sz w:val="24"/>
        </w:rPr>
        <w:t> </w:t>
      </w:r>
      <w:r>
        <w:rPr>
          <w:b/>
          <w:spacing w:val="-2"/>
          <w:sz w:val="24"/>
        </w:rPr>
        <w:t>с</w:t>
      </w:r>
      <w:r>
        <w:rPr>
          <w:b/>
          <w:spacing w:val="-1"/>
          <w:sz w:val="24"/>
        </w:rPr>
        <w:t> </w:t>
      </w:r>
      <w:r>
        <w:rPr>
          <w:b/>
          <w:spacing w:val="-2"/>
          <w:sz w:val="24"/>
        </w:rPr>
        <w:t>COVID-19</w:t>
      </w:r>
      <w:r>
        <w:rPr>
          <w:b/>
          <w:sz w:val="24"/>
        </w:rPr>
        <w:t> </w:t>
      </w:r>
      <w:r>
        <w:rPr>
          <w:b/>
          <w:spacing w:val="-5"/>
          <w:sz w:val="24"/>
        </w:rPr>
        <w:t>или</w:t>
      </w:r>
    </w:p>
    <w:p>
      <w:pPr>
        <w:spacing w:before="0"/>
        <w:ind w:left="6" w:right="145" w:firstLine="0"/>
        <w:jc w:val="center"/>
        <w:rPr>
          <w:b/>
          <w:sz w:val="24"/>
        </w:rPr>
      </w:pPr>
      <w:r>
        <w:rPr>
          <w:b/>
          <w:sz w:val="24"/>
        </w:rPr>
        <w:t>с</w:t>
      </w:r>
      <w:r>
        <w:rPr>
          <w:b/>
          <w:spacing w:val="-11"/>
          <w:sz w:val="24"/>
        </w:rPr>
        <w:t> </w:t>
      </w:r>
      <w:r>
        <w:rPr>
          <w:b/>
          <w:sz w:val="24"/>
        </w:rPr>
        <w:t>подозрением</w:t>
      </w:r>
      <w:r>
        <w:rPr>
          <w:b/>
          <w:spacing w:val="-10"/>
          <w:sz w:val="24"/>
        </w:rPr>
        <w:t> </w:t>
      </w:r>
      <w:r>
        <w:rPr>
          <w:b/>
          <w:sz w:val="24"/>
        </w:rPr>
        <w:t>на</w:t>
      </w:r>
      <w:r>
        <w:rPr>
          <w:b/>
          <w:spacing w:val="-10"/>
          <w:sz w:val="24"/>
        </w:rPr>
        <w:t> </w:t>
      </w:r>
      <w:r>
        <w:rPr>
          <w:b/>
          <w:sz w:val="24"/>
        </w:rPr>
        <w:t>COVID-19</w:t>
      </w:r>
      <w:r>
        <w:rPr>
          <w:b/>
          <w:spacing w:val="-10"/>
          <w:sz w:val="24"/>
        </w:rPr>
        <w:t> </w:t>
      </w:r>
      <w:r>
        <w:rPr>
          <w:b/>
          <w:sz w:val="24"/>
        </w:rPr>
        <w:t>в</w:t>
      </w:r>
      <w:r>
        <w:rPr>
          <w:b/>
          <w:spacing w:val="-10"/>
          <w:sz w:val="24"/>
        </w:rPr>
        <w:t> </w:t>
      </w:r>
      <w:r>
        <w:rPr>
          <w:b/>
          <w:sz w:val="24"/>
        </w:rPr>
        <w:t>зависимости</w:t>
      </w:r>
      <w:r>
        <w:rPr>
          <w:b/>
          <w:spacing w:val="-8"/>
          <w:sz w:val="24"/>
        </w:rPr>
        <w:t> </w:t>
      </w:r>
      <w:r>
        <w:rPr>
          <w:b/>
          <w:sz w:val="24"/>
        </w:rPr>
        <w:t>от</w:t>
      </w:r>
      <w:r>
        <w:rPr>
          <w:b/>
          <w:spacing w:val="-10"/>
          <w:sz w:val="24"/>
        </w:rPr>
        <w:t> </w:t>
      </w:r>
      <w:r>
        <w:rPr>
          <w:b/>
          <w:sz w:val="24"/>
        </w:rPr>
        <w:t>тяжести</w:t>
      </w:r>
      <w:r>
        <w:rPr>
          <w:b/>
          <w:spacing w:val="-10"/>
          <w:sz w:val="24"/>
        </w:rPr>
        <w:t> </w:t>
      </w:r>
      <w:r>
        <w:rPr>
          <w:b/>
          <w:spacing w:val="-2"/>
          <w:sz w:val="24"/>
        </w:rPr>
        <w:t>состояния</w:t>
      </w:r>
    </w:p>
    <w:p>
      <w:pPr>
        <w:pStyle w:val="BodyText"/>
        <w:spacing w:before="2"/>
        <w:ind w:left="0"/>
        <w:jc w:val="left"/>
        <w:rPr>
          <w:b/>
          <w:sz w:val="20"/>
        </w:rPr>
      </w:pPr>
    </w:p>
    <w:tbl>
      <w:tblPr>
        <w:tblW w:w="0" w:type="auto"/>
        <w:jc w:val="left"/>
        <w:tblInd w:w="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830"/>
        <w:gridCol w:w="5955"/>
        <w:gridCol w:w="5528"/>
      </w:tblGrid>
      <w:tr>
        <w:trPr>
          <w:trHeight w:val="758" w:hRule="atLeast"/>
        </w:trPr>
        <w:tc>
          <w:tcPr>
            <w:tcW w:w="2830" w:type="dxa"/>
          </w:tcPr>
          <w:p>
            <w:pPr>
              <w:pStyle w:val="TableParagraph"/>
              <w:spacing w:before="7"/>
              <w:ind w:left="996" w:hanging="784"/>
              <w:rPr>
                <w:b/>
                <w:sz w:val="22"/>
              </w:rPr>
            </w:pPr>
            <w:r>
              <w:rPr>
                <w:b/>
                <w:sz w:val="22"/>
              </w:rPr>
              <w:t>Легкое</w:t>
            </w:r>
            <w:r>
              <w:rPr>
                <w:b/>
                <w:spacing w:val="-14"/>
                <w:sz w:val="22"/>
              </w:rPr>
              <w:t> </w:t>
            </w:r>
            <w:r>
              <w:rPr>
                <w:b/>
                <w:sz w:val="22"/>
              </w:rPr>
              <w:t>и</w:t>
            </w:r>
            <w:r>
              <w:rPr>
                <w:b/>
                <w:spacing w:val="-14"/>
                <w:sz w:val="22"/>
              </w:rPr>
              <w:t> </w:t>
            </w:r>
            <w:r>
              <w:rPr>
                <w:b/>
                <w:sz w:val="22"/>
              </w:rPr>
              <w:t>среднетяжелое </w:t>
            </w:r>
            <w:r>
              <w:rPr>
                <w:b/>
                <w:spacing w:val="-2"/>
                <w:sz w:val="22"/>
              </w:rPr>
              <w:t>течение.</w:t>
            </w:r>
          </w:p>
          <w:p>
            <w:pPr>
              <w:pStyle w:val="TableParagraph"/>
              <w:spacing w:line="226" w:lineRule="exact"/>
              <w:ind w:left="269"/>
              <w:rPr>
                <w:b/>
                <w:sz w:val="22"/>
              </w:rPr>
            </w:pPr>
            <w:r>
              <w:rPr>
                <w:b/>
                <w:sz w:val="22"/>
              </w:rPr>
              <w:t>Амбулаторное</w:t>
            </w:r>
            <w:r>
              <w:rPr>
                <w:b/>
                <w:spacing w:val="-9"/>
                <w:sz w:val="22"/>
              </w:rPr>
              <w:t> </w:t>
            </w:r>
            <w:r>
              <w:rPr>
                <w:b/>
                <w:spacing w:val="-2"/>
                <w:sz w:val="22"/>
              </w:rPr>
              <w:t>лечение</w:t>
            </w:r>
          </w:p>
        </w:tc>
        <w:tc>
          <w:tcPr>
            <w:tcW w:w="5955" w:type="dxa"/>
          </w:tcPr>
          <w:p>
            <w:pPr>
              <w:pStyle w:val="TableParagraph"/>
              <w:spacing w:line="252" w:lineRule="exact" w:before="7"/>
              <w:ind w:left="2" w:right="2"/>
              <w:jc w:val="center"/>
              <w:rPr>
                <w:b/>
                <w:sz w:val="22"/>
              </w:rPr>
            </w:pPr>
            <w:r>
              <w:rPr>
                <w:b/>
                <w:sz w:val="22"/>
              </w:rPr>
              <w:t>Легкое</w:t>
            </w:r>
            <w:r>
              <w:rPr>
                <w:b/>
                <w:spacing w:val="-4"/>
                <w:sz w:val="22"/>
              </w:rPr>
              <w:t> </w:t>
            </w:r>
            <w:r>
              <w:rPr>
                <w:b/>
                <w:sz w:val="22"/>
              </w:rPr>
              <w:t>и</w:t>
            </w:r>
            <w:r>
              <w:rPr>
                <w:b/>
                <w:spacing w:val="-6"/>
                <w:sz w:val="22"/>
              </w:rPr>
              <w:t> </w:t>
            </w:r>
            <w:r>
              <w:rPr>
                <w:b/>
                <w:sz w:val="22"/>
              </w:rPr>
              <w:t>среднетяжелое</w:t>
            </w:r>
            <w:r>
              <w:rPr>
                <w:b/>
                <w:spacing w:val="-5"/>
                <w:sz w:val="22"/>
              </w:rPr>
              <w:t> </w:t>
            </w:r>
            <w:r>
              <w:rPr>
                <w:b/>
                <w:spacing w:val="-2"/>
                <w:sz w:val="22"/>
              </w:rPr>
              <w:t>течение.</w:t>
            </w:r>
          </w:p>
          <w:p>
            <w:pPr>
              <w:pStyle w:val="TableParagraph"/>
              <w:spacing w:line="252" w:lineRule="exact"/>
              <w:ind w:right="2"/>
              <w:jc w:val="center"/>
              <w:rPr>
                <w:b/>
                <w:sz w:val="22"/>
              </w:rPr>
            </w:pPr>
            <w:r>
              <w:rPr>
                <w:b/>
                <w:spacing w:val="-2"/>
                <w:sz w:val="22"/>
              </w:rPr>
              <w:t>Госпитализация</w:t>
            </w:r>
          </w:p>
        </w:tc>
        <w:tc>
          <w:tcPr>
            <w:tcW w:w="5528" w:type="dxa"/>
          </w:tcPr>
          <w:p>
            <w:pPr>
              <w:pStyle w:val="TableParagraph"/>
              <w:spacing w:line="252" w:lineRule="exact" w:before="7"/>
              <w:ind w:right="11"/>
              <w:jc w:val="center"/>
              <w:rPr>
                <w:b/>
                <w:sz w:val="22"/>
              </w:rPr>
            </w:pPr>
            <w:r>
              <w:rPr>
                <w:b/>
                <w:sz w:val="22"/>
              </w:rPr>
              <w:t>Тяжелое</w:t>
            </w:r>
            <w:r>
              <w:rPr>
                <w:b/>
                <w:spacing w:val="-3"/>
                <w:sz w:val="22"/>
              </w:rPr>
              <w:t> </w:t>
            </w:r>
            <w:r>
              <w:rPr>
                <w:b/>
                <w:spacing w:val="-2"/>
                <w:sz w:val="22"/>
              </w:rPr>
              <w:t>течение.</w:t>
            </w:r>
          </w:p>
          <w:p>
            <w:pPr>
              <w:pStyle w:val="TableParagraph"/>
              <w:spacing w:line="252" w:lineRule="exact"/>
              <w:ind w:right="11"/>
              <w:jc w:val="center"/>
              <w:rPr>
                <w:b/>
                <w:sz w:val="22"/>
              </w:rPr>
            </w:pPr>
            <w:r>
              <w:rPr>
                <w:b/>
                <w:spacing w:val="-4"/>
                <w:sz w:val="22"/>
              </w:rPr>
              <w:t>ОРИТ</w:t>
            </w:r>
          </w:p>
        </w:tc>
      </w:tr>
      <w:tr>
        <w:trPr>
          <w:trHeight w:val="554" w:hRule="atLeast"/>
        </w:trPr>
        <w:tc>
          <w:tcPr>
            <w:tcW w:w="2830" w:type="dxa"/>
          </w:tcPr>
          <w:p>
            <w:pPr>
              <w:pStyle w:val="TableParagraph"/>
              <w:spacing w:before="5"/>
              <w:ind w:left="106"/>
              <w:rPr>
                <w:sz w:val="22"/>
              </w:rPr>
            </w:pPr>
            <w:r>
              <w:rPr>
                <w:sz w:val="22"/>
              </w:rPr>
              <w:t>Клинический</w:t>
            </w:r>
            <w:r>
              <w:rPr>
                <w:spacing w:val="-14"/>
                <w:sz w:val="22"/>
              </w:rPr>
              <w:t> </w:t>
            </w:r>
            <w:r>
              <w:rPr>
                <w:sz w:val="22"/>
              </w:rPr>
              <w:t>анализ</w:t>
            </w:r>
            <w:r>
              <w:rPr>
                <w:spacing w:val="-14"/>
                <w:sz w:val="22"/>
              </w:rPr>
              <w:t> </w:t>
            </w:r>
            <w:r>
              <w:rPr>
                <w:sz w:val="22"/>
              </w:rPr>
              <w:t>крови по показаниям</w:t>
            </w:r>
          </w:p>
        </w:tc>
        <w:tc>
          <w:tcPr>
            <w:tcW w:w="5955" w:type="dxa"/>
          </w:tcPr>
          <w:p>
            <w:pPr>
              <w:pStyle w:val="TableParagraph"/>
              <w:spacing w:before="5"/>
              <w:ind w:left="103" w:right="912"/>
              <w:rPr>
                <w:sz w:val="22"/>
              </w:rPr>
            </w:pPr>
            <w:r>
              <w:rPr>
                <w:sz w:val="22"/>
              </w:rPr>
              <w:t>Клинический</w:t>
            </w:r>
            <w:r>
              <w:rPr>
                <w:spacing w:val="-7"/>
                <w:sz w:val="22"/>
              </w:rPr>
              <w:t> </w:t>
            </w:r>
            <w:r>
              <w:rPr>
                <w:sz w:val="22"/>
              </w:rPr>
              <w:t>анализ</w:t>
            </w:r>
            <w:r>
              <w:rPr>
                <w:spacing w:val="-7"/>
                <w:sz w:val="22"/>
              </w:rPr>
              <w:t> </w:t>
            </w:r>
            <w:r>
              <w:rPr>
                <w:sz w:val="22"/>
              </w:rPr>
              <w:t>крови</w:t>
            </w:r>
            <w:r>
              <w:rPr>
                <w:spacing w:val="-7"/>
                <w:sz w:val="22"/>
              </w:rPr>
              <w:t> </w:t>
            </w:r>
            <w:r>
              <w:rPr>
                <w:sz w:val="22"/>
              </w:rPr>
              <w:t>не</w:t>
            </w:r>
            <w:r>
              <w:rPr>
                <w:spacing w:val="-7"/>
                <w:sz w:val="22"/>
              </w:rPr>
              <w:t> </w:t>
            </w:r>
            <w:r>
              <w:rPr>
                <w:sz w:val="22"/>
              </w:rPr>
              <w:t>позднее</w:t>
            </w:r>
            <w:r>
              <w:rPr>
                <w:spacing w:val="-7"/>
                <w:sz w:val="22"/>
              </w:rPr>
              <w:t> </w:t>
            </w:r>
            <w:r>
              <w:rPr>
                <w:sz w:val="22"/>
              </w:rPr>
              <w:t>12</w:t>
            </w:r>
            <w:r>
              <w:rPr>
                <w:spacing w:val="-7"/>
                <w:sz w:val="22"/>
              </w:rPr>
              <w:t> </w:t>
            </w:r>
            <w:r>
              <w:rPr>
                <w:sz w:val="22"/>
              </w:rPr>
              <w:t>часов после поступления х 1 раз в 2-3 дня</w:t>
            </w:r>
          </w:p>
        </w:tc>
        <w:tc>
          <w:tcPr>
            <w:tcW w:w="5528" w:type="dxa"/>
          </w:tcPr>
          <w:p>
            <w:pPr>
              <w:pStyle w:val="TableParagraph"/>
              <w:spacing w:before="5"/>
              <w:ind w:left="98" w:right="558"/>
              <w:rPr>
                <w:sz w:val="22"/>
              </w:rPr>
            </w:pPr>
            <w:r>
              <w:rPr>
                <w:sz w:val="22"/>
              </w:rPr>
              <w:t>Клинический анализ крови не позднее 3 часов после</w:t>
            </w:r>
            <w:r>
              <w:rPr>
                <w:spacing w:val="-8"/>
                <w:sz w:val="22"/>
              </w:rPr>
              <w:t> </w:t>
            </w:r>
            <w:r>
              <w:rPr>
                <w:sz w:val="22"/>
              </w:rPr>
              <w:t>поступления,</w:t>
            </w:r>
            <w:r>
              <w:rPr>
                <w:spacing w:val="-8"/>
                <w:sz w:val="22"/>
              </w:rPr>
              <w:t> </w:t>
            </w:r>
            <w:r>
              <w:rPr>
                <w:sz w:val="22"/>
              </w:rPr>
              <w:t>ежедневно</w:t>
            </w:r>
            <w:r>
              <w:rPr>
                <w:spacing w:val="-8"/>
                <w:sz w:val="22"/>
              </w:rPr>
              <w:t> </w:t>
            </w:r>
            <w:r>
              <w:rPr>
                <w:sz w:val="22"/>
              </w:rPr>
              <w:t>и</w:t>
            </w:r>
            <w:r>
              <w:rPr>
                <w:spacing w:val="-9"/>
                <w:sz w:val="22"/>
              </w:rPr>
              <w:t> </w:t>
            </w:r>
            <w:r>
              <w:rPr>
                <w:sz w:val="22"/>
              </w:rPr>
              <w:t>по</w:t>
            </w:r>
            <w:r>
              <w:rPr>
                <w:spacing w:val="-8"/>
                <w:sz w:val="22"/>
              </w:rPr>
              <w:t> </w:t>
            </w:r>
            <w:r>
              <w:rPr>
                <w:sz w:val="22"/>
              </w:rPr>
              <w:t>показаниям</w:t>
            </w:r>
          </w:p>
        </w:tc>
      </w:tr>
      <w:tr>
        <w:trPr>
          <w:trHeight w:val="757" w:hRule="atLeast"/>
        </w:trPr>
        <w:tc>
          <w:tcPr>
            <w:tcW w:w="2830" w:type="dxa"/>
          </w:tcPr>
          <w:p>
            <w:pPr>
              <w:pStyle w:val="TableParagraph"/>
              <w:spacing w:before="5"/>
              <w:ind w:left="106" w:right="514"/>
              <w:rPr>
                <w:sz w:val="22"/>
              </w:rPr>
            </w:pPr>
            <w:r>
              <w:rPr>
                <w:spacing w:val="-2"/>
                <w:sz w:val="22"/>
              </w:rPr>
              <w:t>Биохимические </w:t>
            </w:r>
            <w:r>
              <w:rPr>
                <w:sz w:val="22"/>
              </w:rPr>
              <w:t>исследования</w:t>
            </w:r>
            <w:r>
              <w:rPr>
                <w:spacing w:val="-9"/>
                <w:sz w:val="22"/>
              </w:rPr>
              <w:t> </w:t>
            </w:r>
            <w:r>
              <w:rPr>
                <w:spacing w:val="-5"/>
                <w:sz w:val="22"/>
              </w:rPr>
              <w:t>по</w:t>
            </w:r>
          </w:p>
          <w:p>
            <w:pPr>
              <w:pStyle w:val="TableParagraph"/>
              <w:spacing w:line="227" w:lineRule="exact"/>
              <w:ind w:left="106"/>
              <w:rPr>
                <w:sz w:val="22"/>
              </w:rPr>
            </w:pPr>
            <w:r>
              <w:rPr>
                <w:spacing w:val="-2"/>
                <w:sz w:val="22"/>
              </w:rPr>
              <w:t>показаниям</w:t>
            </w:r>
          </w:p>
        </w:tc>
        <w:tc>
          <w:tcPr>
            <w:tcW w:w="5955" w:type="dxa"/>
          </w:tcPr>
          <w:p>
            <w:pPr>
              <w:pStyle w:val="TableParagraph"/>
              <w:spacing w:before="5"/>
              <w:ind w:left="103" w:right="723"/>
              <w:rPr>
                <w:sz w:val="22"/>
              </w:rPr>
            </w:pPr>
            <w:r>
              <w:rPr>
                <w:sz w:val="22"/>
              </w:rPr>
              <w:t>Биохимические</w:t>
            </w:r>
            <w:r>
              <w:rPr>
                <w:spacing w:val="-13"/>
                <w:sz w:val="22"/>
              </w:rPr>
              <w:t> </w:t>
            </w:r>
            <w:r>
              <w:rPr>
                <w:sz w:val="22"/>
              </w:rPr>
              <w:t>исследования</w:t>
            </w:r>
            <w:r>
              <w:rPr>
                <w:spacing w:val="-14"/>
                <w:sz w:val="22"/>
              </w:rPr>
              <w:t> </w:t>
            </w:r>
            <w:r>
              <w:rPr>
                <w:sz w:val="22"/>
              </w:rPr>
              <w:t>(обязательный</w:t>
            </w:r>
            <w:r>
              <w:rPr>
                <w:spacing w:val="-13"/>
                <w:sz w:val="22"/>
              </w:rPr>
              <w:t> </w:t>
            </w:r>
            <w:r>
              <w:rPr>
                <w:sz w:val="22"/>
              </w:rPr>
              <w:t>список*) х 1 раз в 2-3 дня</w:t>
            </w:r>
          </w:p>
        </w:tc>
        <w:tc>
          <w:tcPr>
            <w:tcW w:w="5528" w:type="dxa"/>
          </w:tcPr>
          <w:p>
            <w:pPr>
              <w:pStyle w:val="TableParagraph"/>
              <w:spacing w:before="5"/>
              <w:ind w:left="98" w:right="558"/>
              <w:rPr>
                <w:sz w:val="22"/>
              </w:rPr>
            </w:pPr>
            <w:r>
              <w:rPr>
                <w:sz w:val="22"/>
              </w:rPr>
              <w:t>Обязательные</w:t>
            </w:r>
            <w:r>
              <w:rPr>
                <w:spacing w:val="-14"/>
                <w:sz w:val="22"/>
              </w:rPr>
              <w:t> </w:t>
            </w:r>
            <w:r>
              <w:rPr>
                <w:sz w:val="22"/>
              </w:rPr>
              <w:t>биохимические</w:t>
            </w:r>
            <w:r>
              <w:rPr>
                <w:spacing w:val="-14"/>
                <w:sz w:val="22"/>
              </w:rPr>
              <w:t> </w:t>
            </w:r>
            <w:r>
              <w:rPr>
                <w:sz w:val="22"/>
              </w:rPr>
              <w:t>исследования*, электролиты, альбумин, лактат – ежедневно</w:t>
            </w:r>
          </w:p>
          <w:p>
            <w:pPr>
              <w:pStyle w:val="TableParagraph"/>
              <w:spacing w:line="227" w:lineRule="exact"/>
              <w:ind w:left="98"/>
              <w:rPr>
                <w:sz w:val="22"/>
              </w:rPr>
            </w:pPr>
            <w:r>
              <w:rPr>
                <w:sz w:val="22"/>
              </w:rPr>
              <w:t>и</w:t>
            </w:r>
            <w:r>
              <w:rPr>
                <w:spacing w:val="-1"/>
                <w:sz w:val="22"/>
              </w:rPr>
              <w:t> </w:t>
            </w:r>
            <w:r>
              <w:rPr>
                <w:sz w:val="22"/>
              </w:rPr>
              <w:t>по</w:t>
            </w:r>
            <w:r>
              <w:rPr>
                <w:spacing w:val="-1"/>
                <w:sz w:val="22"/>
              </w:rPr>
              <w:t> </w:t>
            </w:r>
            <w:r>
              <w:rPr>
                <w:spacing w:val="-2"/>
                <w:sz w:val="22"/>
              </w:rPr>
              <w:t>показаниям</w:t>
            </w:r>
          </w:p>
        </w:tc>
      </w:tr>
      <w:tr>
        <w:trPr>
          <w:trHeight w:val="1264" w:hRule="atLeast"/>
        </w:trPr>
        <w:tc>
          <w:tcPr>
            <w:tcW w:w="2830" w:type="dxa"/>
          </w:tcPr>
          <w:p>
            <w:pPr>
              <w:pStyle w:val="TableParagraph"/>
              <w:rPr>
                <w:sz w:val="20"/>
              </w:rPr>
            </w:pPr>
          </w:p>
        </w:tc>
        <w:tc>
          <w:tcPr>
            <w:tcW w:w="5955" w:type="dxa"/>
          </w:tcPr>
          <w:p>
            <w:pPr>
              <w:pStyle w:val="TableParagraph"/>
              <w:spacing w:before="4"/>
              <w:ind w:left="103" w:right="912"/>
              <w:rPr>
                <w:sz w:val="22"/>
              </w:rPr>
            </w:pPr>
            <w:r>
              <w:rPr>
                <w:sz w:val="22"/>
              </w:rPr>
              <w:t>Коагулограмма</w:t>
            </w:r>
            <w:r>
              <w:rPr>
                <w:spacing w:val="-14"/>
                <w:sz w:val="22"/>
              </w:rPr>
              <w:t> </w:t>
            </w:r>
            <w:r>
              <w:rPr>
                <w:sz w:val="22"/>
              </w:rPr>
              <w:t>(АЧТВ,</w:t>
            </w:r>
            <w:r>
              <w:rPr>
                <w:spacing w:val="-12"/>
                <w:sz w:val="22"/>
              </w:rPr>
              <w:t> </w:t>
            </w:r>
            <w:r>
              <w:rPr>
                <w:sz w:val="22"/>
              </w:rPr>
              <w:t>протромбиновое</w:t>
            </w:r>
            <w:r>
              <w:rPr>
                <w:spacing w:val="-12"/>
                <w:sz w:val="22"/>
              </w:rPr>
              <w:t> </w:t>
            </w:r>
            <w:r>
              <w:rPr>
                <w:sz w:val="22"/>
              </w:rPr>
              <w:t>время, фибриноген) х 1 раз в 2-3 дня</w:t>
            </w:r>
          </w:p>
          <w:p>
            <w:pPr>
              <w:pStyle w:val="TableParagraph"/>
              <w:spacing w:before="1"/>
              <w:ind w:left="103"/>
              <w:rPr>
                <w:sz w:val="22"/>
              </w:rPr>
            </w:pPr>
            <w:r>
              <w:rPr>
                <w:sz w:val="22"/>
              </w:rPr>
              <w:t>D-димер</w:t>
            </w:r>
            <w:r>
              <w:rPr>
                <w:spacing w:val="12"/>
                <w:sz w:val="22"/>
              </w:rPr>
              <w:t> </w:t>
            </w:r>
            <w:r>
              <w:rPr>
                <w:sz w:val="22"/>
              </w:rPr>
              <w:t>по</w:t>
            </w:r>
            <w:r>
              <w:rPr>
                <w:spacing w:val="-2"/>
                <w:sz w:val="22"/>
              </w:rPr>
              <w:t> показаниям</w:t>
            </w:r>
          </w:p>
        </w:tc>
        <w:tc>
          <w:tcPr>
            <w:tcW w:w="5528" w:type="dxa"/>
          </w:tcPr>
          <w:p>
            <w:pPr>
              <w:pStyle w:val="TableParagraph"/>
              <w:spacing w:before="4"/>
              <w:ind w:left="98"/>
              <w:rPr>
                <w:sz w:val="22"/>
              </w:rPr>
            </w:pPr>
            <w:r>
              <w:rPr>
                <w:sz w:val="22"/>
              </w:rPr>
              <w:t>Контроль</w:t>
            </w:r>
            <w:r>
              <w:rPr>
                <w:spacing w:val="-7"/>
                <w:sz w:val="22"/>
              </w:rPr>
              <w:t> </w:t>
            </w:r>
            <w:r>
              <w:rPr>
                <w:sz w:val="22"/>
              </w:rPr>
              <w:t>гемостаза:</w:t>
            </w:r>
            <w:r>
              <w:rPr>
                <w:spacing w:val="-5"/>
                <w:sz w:val="22"/>
              </w:rPr>
              <w:t> </w:t>
            </w:r>
            <w:r>
              <w:rPr>
                <w:sz w:val="22"/>
              </w:rPr>
              <w:t>D-димер</w:t>
            </w:r>
            <w:r>
              <w:rPr>
                <w:spacing w:val="-7"/>
                <w:sz w:val="22"/>
              </w:rPr>
              <w:t> </w:t>
            </w:r>
            <w:r>
              <w:rPr>
                <w:sz w:val="22"/>
              </w:rPr>
              <w:t>при</w:t>
            </w:r>
            <w:r>
              <w:rPr>
                <w:spacing w:val="-8"/>
                <w:sz w:val="22"/>
              </w:rPr>
              <w:t> </w:t>
            </w:r>
            <w:r>
              <w:rPr>
                <w:sz w:val="22"/>
              </w:rPr>
              <w:t>поступлении</w:t>
            </w:r>
            <w:r>
              <w:rPr>
                <w:spacing w:val="-7"/>
                <w:sz w:val="22"/>
              </w:rPr>
              <w:t> </w:t>
            </w:r>
            <w:r>
              <w:rPr>
                <w:sz w:val="22"/>
              </w:rPr>
              <w:t>в</w:t>
            </w:r>
            <w:r>
              <w:rPr>
                <w:spacing w:val="-9"/>
                <w:sz w:val="22"/>
              </w:rPr>
              <w:t> </w:t>
            </w:r>
            <w:r>
              <w:rPr>
                <w:sz w:val="22"/>
              </w:rPr>
              <w:t>ОРИТ далее по показаниям</w:t>
            </w:r>
          </w:p>
          <w:p>
            <w:pPr>
              <w:pStyle w:val="TableParagraph"/>
              <w:spacing w:before="1"/>
              <w:ind w:left="98"/>
              <w:rPr>
                <w:sz w:val="22"/>
              </w:rPr>
            </w:pPr>
            <w:r>
              <w:rPr>
                <w:sz w:val="22"/>
              </w:rPr>
              <w:t>Коагулограмма</w:t>
            </w:r>
            <w:r>
              <w:rPr>
                <w:spacing w:val="-9"/>
                <w:sz w:val="22"/>
              </w:rPr>
              <w:t> </w:t>
            </w:r>
            <w:r>
              <w:rPr>
                <w:sz w:val="22"/>
              </w:rPr>
              <w:t>(АЧТВ,</w:t>
            </w:r>
            <w:r>
              <w:rPr>
                <w:spacing w:val="-7"/>
                <w:sz w:val="22"/>
              </w:rPr>
              <w:t> </w:t>
            </w:r>
            <w:r>
              <w:rPr>
                <w:sz w:val="22"/>
              </w:rPr>
              <w:t>протромбиновое</w:t>
            </w:r>
            <w:r>
              <w:rPr>
                <w:spacing w:val="-7"/>
                <w:sz w:val="22"/>
              </w:rPr>
              <w:t> </w:t>
            </w:r>
            <w:r>
              <w:rPr>
                <w:spacing w:val="-2"/>
                <w:sz w:val="22"/>
              </w:rPr>
              <w:t>время,</w:t>
            </w:r>
          </w:p>
          <w:p>
            <w:pPr>
              <w:pStyle w:val="TableParagraph"/>
              <w:spacing w:line="252" w:lineRule="exact"/>
              <w:ind w:left="98" w:right="275"/>
              <w:rPr>
                <w:sz w:val="22"/>
              </w:rPr>
            </w:pPr>
            <w:r>
              <w:rPr>
                <w:sz w:val="22"/>
              </w:rPr>
              <w:t>фибриноген)</w:t>
            </w:r>
            <w:r>
              <w:rPr>
                <w:spacing w:val="-8"/>
                <w:sz w:val="22"/>
              </w:rPr>
              <w:t> </w:t>
            </w:r>
            <w:r>
              <w:rPr>
                <w:sz w:val="22"/>
              </w:rPr>
              <w:t>при</w:t>
            </w:r>
            <w:r>
              <w:rPr>
                <w:spacing w:val="-10"/>
                <w:sz w:val="22"/>
              </w:rPr>
              <w:t> </w:t>
            </w:r>
            <w:r>
              <w:rPr>
                <w:sz w:val="22"/>
              </w:rPr>
              <w:t>поступлении,</w:t>
            </w:r>
            <w:r>
              <w:rPr>
                <w:spacing w:val="-9"/>
                <w:sz w:val="22"/>
              </w:rPr>
              <w:t> </w:t>
            </w:r>
            <w:r>
              <w:rPr>
                <w:sz w:val="22"/>
              </w:rPr>
              <w:t>далее</w:t>
            </w:r>
            <w:r>
              <w:rPr>
                <w:spacing w:val="-9"/>
                <w:sz w:val="22"/>
              </w:rPr>
              <w:t> </w:t>
            </w:r>
            <w:r>
              <w:rPr>
                <w:sz w:val="22"/>
              </w:rPr>
              <w:t>по</w:t>
            </w:r>
            <w:r>
              <w:rPr>
                <w:spacing w:val="-9"/>
                <w:sz w:val="22"/>
              </w:rPr>
              <w:t> </w:t>
            </w:r>
            <w:r>
              <w:rPr>
                <w:sz w:val="22"/>
              </w:rPr>
              <w:t>показаниям, но не реже 1 раза в 2-3 дня</w:t>
            </w:r>
          </w:p>
        </w:tc>
      </w:tr>
      <w:tr>
        <w:trPr>
          <w:trHeight w:val="1773" w:hRule="atLeast"/>
        </w:trPr>
        <w:tc>
          <w:tcPr>
            <w:tcW w:w="2830" w:type="dxa"/>
          </w:tcPr>
          <w:p>
            <w:pPr>
              <w:pStyle w:val="TableParagraph"/>
              <w:rPr>
                <w:sz w:val="20"/>
              </w:rPr>
            </w:pPr>
          </w:p>
        </w:tc>
        <w:tc>
          <w:tcPr>
            <w:tcW w:w="5955" w:type="dxa"/>
          </w:tcPr>
          <w:p>
            <w:pPr>
              <w:pStyle w:val="TableParagraph"/>
              <w:spacing w:line="257" w:lineRule="exact" w:before="3"/>
              <w:ind w:left="103"/>
              <w:rPr>
                <w:rFonts w:ascii="Cambria Math" w:hAnsi="Cambria Math"/>
                <w:sz w:val="22"/>
              </w:rPr>
            </w:pPr>
            <w:r>
              <w:rPr>
                <w:sz w:val="22"/>
              </w:rPr>
              <w:t>СРБ</w:t>
            </w:r>
            <w:r>
              <w:rPr>
                <w:spacing w:val="-4"/>
                <w:sz w:val="22"/>
              </w:rPr>
              <w:t> </w:t>
            </w:r>
            <w:r>
              <w:rPr>
                <w:sz w:val="22"/>
              </w:rPr>
              <w:t>не</w:t>
            </w:r>
            <w:r>
              <w:rPr>
                <w:spacing w:val="-3"/>
                <w:sz w:val="22"/>
              </w:rPr>
              <w:t> </w:t>
            </w:r>
            <w:r>
              <w:rPr>
                <w:sz w:val="22"/>
              </w:rPr>
              <w:t>позднее</w:t>
            </w:r>
            <w:r>
              <w:rPr>
                <w:spacing w:val="-5"/>
                <w:sz w:val="22"/>
              </w:rPr>
              <w:t> </w:t>
            </w:r>
            <w:r>
              <w:rPr>
                <w:sz w:val="22"/>
              </w:rPr>
              <w:t>24</w:t>
            </w:r>
            <w:r>
              <w:rPr>
                <w:spacing w:val="-3"/>
                <w:sz w:val="22"/>
              </w:rPr>
              <w:t> </w:t>
            </w:r>
            <w:r>
              <w:rPr>
                <w:sz w:val="22"/>
              </w:rPr>
              <w:t>часов</w:t>
            </w:r>
            <w:r>
              <w:rPr>
                <w:spacing w:val="-4"/>
                <w:sz w:val="22"/>
              </w:rPr>
              <w:t> </w:t>
            </w:r>
            <w:r>
              <w:rPr>
                <w:sz w:val="22"/>
              </w:rPr>
              <w:t>от</w:t>
            </w:r>
            <w:r>
              <w:rPr>
                <w:spacing w:val="-3"/>
                <w:sz w:val="22"/>
              </w:rPr>
              <w:t> </w:t>
            </w:r>
            <w:r>
              <w:rPr>
                <w:sz w:val="22"/>
              </w:rPr>
              <w:t>поступления,</w:t>
            </w:r>
            <w:r>
              <w:rPr>
                <w:spacing w:val="-3"/>
                <w:sz w:val="22"/>
              </w:rPr>
              <w:t> </w:t>
            </w:r>
            <w:r>
              <w:rPr>
                <w:sz w:val="22"/>
              </w:rPr>
              <w:t>далее</w:t>
            </w:r>
            <w:r>
              <w:rPr>
                <w:spacing w:val="-2"/>
                <w:sz w:val="22"/>
              </w:rPr>
              <w:t> </w:t>
            </w:r>
            <w:r>
              <w:rPr>
                <w:rFonts w:ascii="Cambria Math" w:hAnsi="Cambria Math"/>
                <w:spacing w:val="-10"/>
                <w:sz w:val="22"/>
              </w:rPr>
              <w:t>–</w:t>
            </w:r>
          </w:p>
          <w:p>
            <w:pPr>
              <w:pStyle w:val="TableParagraph"/>
              <w:ind w:left="103" w:right="723"/>
              <w:rPr>
                <w:sz w:val="22"/>
              </w:rPr>
            </w:pPr>
            <w:r>
              <w:rPr>
                <w:sz w:val="22"/>
              </w:rPr>
              <w:t>не</w:t>
            </w:r>
            <w:r>
              <w:rPr>
                <w:spacing w:val="-5"/>
                <w:sz w:val="22"/>
              </w:rPr>
              <w:t> </w:t>
            </w:r>
            <w:r>
              <w:rPr>
                <w:sz w:val="22"/>
              </w:rPr>
              <w:t>реже</w:t>
            </w:r>
            <w:r>
              <w:rPr>
                <w:spacing w:val="-5"/>
                <w:sz w:val="22"/>
              </w:rPr>
              <w:t> </w:t>
            </w:r>
            <w:r>
              <w:rPr>
                <w:sz w:val="22"/>
              </w:rPr>
              <w:t>2</w:t>
            </w:r>
            <w:r>
              <w:rPr>
                <w:spacing w:val="-5"/>
                <w:sz w:val="22"/>
              </w:rPr>
              <w:t> </w:t>
            </w:r>
            <w:r>
              <w:rPr>
                <w:sz w:val="22"/>
              </w:rPr>
              <w:t>раз</w:t>
            </w:r>
            <w:r>
              <w:rPr>
                <w:spacing w:val="-5"/>
                <w:sz w:val="22"/>
              </w:rPr>
              <w:t> </w:t>
            </w:r>
            <w:r>
              <w:rPr>
                <w:sz w:val="22"/>
              </w:rPr>
              <w:t>в</w:t>
            </w:r>
            <w:r>
              <w:rPr>
                <w:spacing w:val="-7"/>
                <w:sz w:val="22"/>
              </w:rPr>
              <w:t> </w:t>
            </w:r>
            <w:r>
              <w:rPr>
                <w:sz w:val="22"/>
              </w:rPr>
              <w:t>неделю;</w:t>
            </w:r>
            <w:r>
              <w:rPr>
                <w:spacing w:val="-7"/>
                <w:sz w:val="22"/>
              </w:rPr>
              <w:t> </w:t>
            </w:r>
            <w:r>
              <w:rPr>
                <w:sz w:val="22"/>
              </w:rPr>
              <w:t>прокальцитонин</w:t>
            </w:r>
            <w:r>
              <w:rPr>
                <w:spacing w:val="-6"/>
                <w:sz w:val="22"/>
              </w:rPr>
              <w:t> </w:t>
            </w:r>
            <w:r>
              <w:rPr>
                <w:sz w:val="22"/>
              </w:rPr>
              <w:t>и</w:t>
            </w:r>
            <w:r>
              <w:rPr>
                <w:spacing w:val="-5"/>
                <w:sz w:val="22"/>
              </w:rPr>
              <w:t> </w:t>
            </w:r>
            <w:r>
              <w:rPr>
                <w:sz w:val="22"/>
              </w:rPr>
              <w:t>ферритин по показаниям;</w:t>
            </w:r>
          </w:p>
          <w:p>
            <w:pPr>
              <w:pStyle w:val="TableParagraph"/>
              <w:ind w:left="103"/>
              <w:rPr>
                <w:sz w:val="22"/>
              </w:rPr>
            </w:pPr>
            <w:r>
              <w:rPr>
                <w:sz w:val="22"/>
              </w:rPr>
              <w:t>ИЛ-6</w:t>
            </w:r>
            <w:r>
              <w:rPr>
                <w:spacing w:val="-4"/>
                <w:sz w:val="22"/>
              </w:rPr>
              <w:t> </w:t>
            </w:r>
            <w:r>
              <w:rPr>
                <w:sz w:val="22"/>
              </w:rPr>
              <w:t>при</w:t>
            </w:r>
            <w:r>
              <w:rPr>
                <w:spacing w:val="-4"/>
                <w:sz w:val="22"/>
              </w:rPr>
              <w:t> </w:t>
            </w:r>
            <w:r>
              <w:rPr>
                <w:spacing w:val="-2"/>
                <w:sz w:val="22"/>
              </w:rPr>
              <w:t>доступности</w:t>
            </w:r>
          </w:p>
        </w:tc>
        <w:tc>
          <w:tcPr>
            <w:tcW w:w="5528" w:type="dxa"/>
          </w:tcPr>
          <w:p>
            <w:pPr>
              <w:pStyle w:val="TableParagraph"/>
              <w:spacing w:line="257" w:lineRule="exact" w:before="3"/>
              <w:ind w:left="98"/>
              <w:rPr>
                <w:sz w:val="22"/>
              </w:rPr>
            </w:pPr>
            <w:r>
              <w:rPr>
                <w:sz w:val="22"/>
              </w:rPr>
              <w:t>СРБ</w:t>
            </w:r>
            <w:r>
              <w:rPr>
                <w:spacing w:val="-2"/>
                <w:sz w:val="22"/>
              </w:rPr>
              <w:t> </w:t>
            </w:r>
            <w:r>
              <w:rPr>
                <w:rFonts w:ascii="Cambria Math" w:hAnsi="Cambria Math"/>
                <w:sz w:val="22"/>
              </w:rPr>
              <w:t>–</w:t>
            </w:r>
            <w:r>
              <w:rPr>
                <w:rFonts w:ascii="Cambria Math" w:hAnsi="Cambria Math"/>
                <w:spacing w:val="5"/>
                <w:sz w:val="22"/>
              </w:rPr>
              <w:t> </w:t>
            </w:r>
            <w:r>
              <w:rPr>
                <w:sz w:val="22"/>
              </w:rPr>
              <w:t>не</w:t>
            </w:r>
            <w:r>
              <w:rPr>
                <w:spacing w:val="-1"/>
                <w:sz w:val="22"/>
              </w:rPr>
              <w:t> </w:t>
            </w:r>
            <w:r>
              <w:rPr>
                <w:sz w:val="22"/>
              </w:rPr>
              <w:t>реже</w:t>
            </w:r>
            <w:r>
              <w:rPr>
                <w:spacing w:val="-2"/>
                <w:sz w:val="22"/>
              </w:rPr>
              <w:t> </w:t>
            </w:r>
            <w:r>
              <w:rPr>
                <w:sz w:val="22"/>
              </w:rPr>
              <w:t>1</w:t>
            </w:r>
            <w:r>
              <w:rPr>
                <w:spacing w:val="-2"/>
                <w:sz w:val="22"/>
              </w:rPr>
              <w:t> </w:t>
            </w:r>
            <w:r>
              <w:rPr>
                <w:sz w:val="22"/>
              </w:rPr>
              <w:t>раза</w:t>
            </w:r>
            <w:r>
              <w:rPr>
                <w:spacing w:val="-1"/>
                <w:sz w:val="22"/>
              </w:rPr>
              <w:t> </w:t>
            </w:r>
            <w:r>
              <w:rPr>
                <w:sz w:val="22"/>
              </w:rPr>
              <w:t>в</w:t>
            </w:r>
            <w:r>
              <w:rPr>
                <w:spacing w:val="-2"/>
                <w:sz w:val="22"/>
              </w:rPr>
              <w:t> </w:t>
            </w:r>
            <w:r>
              <w:rPr>
                <w:sz w:val="22"/>
              </w:rPr>
              <w:t>2</w:t>
            </w:r>
            <w:r>
              <w:rPr>
                <w:spacing w:val="-3"/>
                <w:sz w:val="22"/>
              </w:rPr>
              <w:t> </w:t>
            </w:r>
            <w:r>
              <w:rPr>
                <w:sz w:val="22"/>
              </w:rPr>
              <w:t>дня,</w:t>
            </w:r>
            <w:r>
              <w:rPr>
                <w:spacing w:val="-1"/>
                <w:sz w:val="22"/>
              </w:rPr>
              <w:t> </w:t>
            </w:r>
            <w:r>
              <w:rPr>
                <w:spacing w:val="-2"/>
                <w:sz w:val="22"/>
              </w:rPr>
              <w:t>прокальцитонин</w:t>
            </w:r>
          </w:p>
          <w:p>
            <w:pPr>
              <w:pStyle w:val="TableParagraph"/>
              <w:ind w:left="98" w:right="558"/>
              <w:rPr>
                <w:sz w:val="22"/>
              </w:rPr>
            </w:pPr>
            <w:r>
              <w:rPr>
                <w:sz w:val="22"/>
              </w:rPr>
              <w:t>по</w:t>
            </w:r>
            <w:r>
              <w:rPr>
                <w:spacing w:val="-8"/>
                <w:sz w:val="22"/>
              </w:rPr>
              <w:t> </w:t>
            </w:r>
            <w:r>
              <w:rPr>
                <w:sz w:val="22"/>
              </w:rPr>
              <w:t>показаниям</w:t>
            </w:r>
            <w:r>
              <w:rPr>
                <w:spacing w:val="-8"/>
                <w:sz w:val="22"/>
              </w:rPr>
              <w:t> </w:t>
            </w:r>
            <w:r>
              <w:rPr>
                <w:sz w:val="22"/>
              </w:rPr>
              <w:t>при</w:t>
            </w:r>
            <w:r>
              <w:rPr>
                <w:spacing w:val="-9"/>
                <w:sz w:val="22"/>
              </w:rPr>
              <w:t> </w:t>
            </w:r>
            <w:r>
              <w:rPr>
                <w:sz w:val="22"/>
              </w:rPr>
              <w:t>подозрении</w:t>
            </w:r>
            <w:r>
              <w:rPr>
                <w:spacing w:val="-8"/>
                <w:sz w:val="22"/>
              </w:rPr>
              <w:t> </w:t>
            </w:r>
            <w:r>
              <w:rPr>
                <w:sz w:val="22"/>
              </w:rPr>
              <w:t>на</w:t>
            </w:r>
            <w:r>
              <w:rPr>
                <w:spacing w:val="-8"/>
                <w:sz w:val="22"/>
              </w:rPr>
              <w:t> </w:t>
            </w:r>
            <w:r>
              <w:rPr>
                <w:sz w:val="22"/>
              </w:rPr>
              <w:t>бактериальную инфекцию и сепсис;</w:t>
            </w:r>
          </w:p>
          <w:p>
            <w:pPr>
              <w:pStyle w:val="TableParagraph"/>
              <w:ind w:left="98" w:right="1780"/>
              <w:rPr>
                <w:sz w:val="22"/>
              </w:rPr>
            </w:pPr>
            <w:r>
              <w:rPr>
                <w:sz w:val="22"/>
              </w:rPr>
              <w:t>ферритин,</w:t>
            </w:r>
            <w:r>
              <w:rPr>
                <w:spacing w:val="-14"/>
                <w:sz w:val="22"/>
              </w:rPr>
              <w:t> </w:t>
            </w:r>
            <w:r>
              <w:rPr>
                <w:sz w:val="22"/>
              </w:rPr>
              <w:t>тропонин</w:t>
            </w:r>
            <w:r>
              <w:rPr>
                <w:spacing w:val="-12"/>
                <w:sz w:val="22"/>
              </w:rPr>
              <w:t> </w:t>
            </w:r>
            <w:r>
              <w:rPr>
                <w:sz w:val="22"/>
              </w:rPr>
              <w:t>при</w:t>
            </w:r>
            <w:r>
              <w:rPr>
                <w:spacing w:val="-14"/>
                <w:sz w:val="22"/>
              </w:rPr>
              <w:t> </w:t>
            </w:r>
            <w:r>
              <w:rPr>
                <w:sz w:val="22"/>
              </w:rPr>
              <w:t>поступлении и в динамике по показаниям;</w:t>
            </w:r>
          </w:p>
          <w:p>
            <w:pPr>
              <w:pStyle w:val="TableParagraph"/>
              <w:spacing w:line="252" w:lineRule="exact"/>
              <w:ind w:left="98" w:right="558"/>
              <w:rPr>
                <w:sz w:val="22"/>
              </w:rPr>
            </w:pPr>
            <w:r>
              <w:rPr>
                <w:sz w:val="22"/>
              </w:rPr>
              <w:t>ИЛ-6,</w:t>
            </w:r>
            <w:r>
              <w:rPr>
                <w:spacing w:val="-8"/>
                <w:sz w:val="22"/>
              </w:rPr>
              <w:t> </w:t>
            </w:r>
            <w:r>
              <w:rPr>
                <w:sz w:val="22"/>
              </w:rPr>
              <w:t>NT-proBNP/BNP,</w:t>
            </w:r>
            <w:r>
              <w:rPr>
                <w:spacing w:val="-8"/>
                <w:sz w:val="22"/>
              </w:rPr>
              <w:t> </w:t>
            </w:r>
            <w:r>
              <w:rPr>
                <w:sz w:val="22"/>
              </w:rPr>
              <w:t>Т-</w:t>
            </w:r>
            <w:r>
              <w:rPr>
                <w:spacing w:val="-10"/>
                <w:sz w:val="22"/>
              </w:rPr>
              <w:t> </w:t>
            </w:r>
            <w:r>
              <w:rPr>
                <w:sz w:val="22"/>
              </w:rPr>
              <w:t>и</w:t>
            </w:r>
            <w:r>
              <w:rPr>
                <w:spacing w:val="-8"/>
                <w:sz w:val="22"/>
              </w:rPr>
              <w:t> </w:t>
            </w:r>
            <w:r>
              <w:rPr>
                <w:sz w:val="22"/>
              </w:rPr>
              <w:t>В-лимфоциты</w:t>
            </w:r>
            <w:r>
              <w:rPr>
                <w:spacing w:val="-8"/>
                <w:sz w:val="22"/>
              </w:rPr>
              <w:t> </w:t>
            </w:r>
            <w:r>
              <w:rPr>
                <w:sz w:val="22"/>
              </w:rPr>
              <w:t>при </w:t>
            </w:r>
            <w:r>
              <w:rPr>
                <w:spacing w:val="-2"/>
                <w:sz w:val="22"/>
              </w:rPr>
              <w:t>доступности</w:t>
            </w:r>
          </w:p>
        </w:tc>
      </w:tr>
      <w:tr>
        <w:trPr>
          <w:trHeight w:val="1770" w:hRule="atLeast"/>
        </w:trPr>
        <w:tc>
          <w:tcPr>
            <w:tcW w:w="2830" w:type="dxa"/>
          </w:tcPr>
          <w:p>
            <w:pPr>
              <w:pStyle w:val="TableParagraph"/>
              <w:spacing w:before="1"/>
              <w:ind w:left="106"/>
              <w:rPr>
                <w:sz w:val="22"/>
              </w:rPr>
            </w:pPr>
            <w:r>
              <w:rPr>
                <w:spacing w:val="-2"/>
                <w:sz w:val="22"/>
              </w:rPr>
              <w:t>Микробиологическое (культуральное) исследование</w:t>
            </w:r>
          </w:p>
        </w:tc>
        <w:tc>
          <w:tcPr>
            <w:tcW w:w="5955" w:type="dxa"/>
          </w:tcPr>
          <w:p>
            <w:pPr>
              <w:pStyle w:val="TableParagraph"/>
              <w:spacing w:before="1"/>
              <w:ind w:left="103" w:right="44"/>
              <w:rPr>
                <w:sz w:val="22"/>
              </w:rPr>
            </w:pPr>
            <w:r>
              <w:rPr>
                <w:sz w:val="22"/>
              </w:rPr>
              <w:t>Микробиологическое (культурального) исследование биологического материала (мокрота, жидкость бронхоальвеолярно лаважная, жидкость плевральной полости, кровь, моча и других локусов предполагаемого очага</w:t>
            </w:r>
            <w:r>
              <w:rPr>
                <w:spacing w:val="-9"/>
                <w:sz w:val="22"/>
              </w:rPr>
              <w:t> </w:t>
            </w:r>
            <w:r>
              <w:rPr>
                <w:sz w:val="22"/>
              </w:rPr>
              <w:t>инфекции)</w:t>
            </w:r>
            <w:r>
              <w:rPr>
                <w:spacing w:val="-7"/>
                <w:sz w:val="22"/>
              </w:rPr>
              <w:t> </w:t>
            </w:r>
            <w:r>
              <w:rPr>
                <w:sz w:val="22"/>
              </w:rPr>
              <w:t>на</w:t>
            </w:r>
            <w:r>
              <w:rPr>
                <w:spacing w:val="-9"/>
                <w:sz w:val="22"/>
              </w:rPr>
              <w:t> </w:t>
            </w:r>
            <w:r>
              <w:rPr>
                <w:sz w:val="22"/>
              </w:rPr>
              <w:t>аэробные</w:t>
            </w:r>
            <w:r>
              <w:rPr>
                <w:spacing w:val="-9"/>
                <w:sz w:val="22"/>
              </w:rPr>
              <w:t> </w:t>
            </w:r>
            <w:r>
              <w:rPr>
                <w:sz w:val="22"/>
              </w:rPr>
              <w:t>и</w:t>
            </w:r>
            <w:r>
              <w:rPr>
                <w:spacing w:val="-9"/>
                <w:sz w:val="22"/>
              </w:rPr>
              <w:t> </w:t>
            </w:r>
            <w:r>
              <w:rPr>
                <w:sz w:val="22"/>
              </w:rPr>
              <w:t>факультативно-анаэробные</w:t>
            </w:r>
          </w:p>
          <w:p>
            <w:pPr>
              <w:pStyle w:val="TableParagraph"/>
              <w:spacing w:line="252" w:lineRule="exact"/>
              <w:ind w:left="103" w:right="912"/>
              <w:rPr>
                <w:sz w:val="22"/>
              </w:rPr>
            </w:pPr>
            <w:r>
              <w:rPr>
                <w:sz w:val="22"/>
              </w:rPr>
              <w:t>микроорганизмы</w:t>
            </w:r>
            <w:r>
              <w:rPr>
                <w:spacing w:val="-7"/>
                <w:sz w:val="22"/>
              </w:rPr>
              <w:t> </w:t>
            </w:r>
            <w:r>
              <w:rPr>
                <w:sz w:val="22"/>
              </w:rPr>
              <w:t>–</w:t>
            </w:r>
            <w:r>
              <w:rPr>
                <w:spacing w:val="-7"/>
                <w:sz w:val="22"/>
              </w:rPr>
              <w:t> </w:t>
            </w:r>
            <w:r>
              <w:rPr>
                <w:sz w:val="22"/>
              </w:rPr>
              <w:t>при</w:t>
            </w:r>
            <w:r>
              <w:rPr>
                <w:spacing w:val="-11"/>
                <w:sz w:val="22"/>
              </w:rPr>
              <w:t> </w:t>
            </w:r>
            <w:r>
              <w:rPr>
                <w:sz w:val="22"/>
              </w:rPr>
              <w:t>госпитализации</w:t>
            </w:r>
            <w:r>
              <w:rPr>
                <w:spacing w:val="-7"/>
                <w:sz w:val="22"/>
              </w:rPr>
              <w:t> </w:t>
            </w:r>
            <w:r>
              <w:rPr>
                <w:sz w:val="22"/>
              </w:rPr>
              <w:t>и</w:t>
            </w:r>
            <w:r>
              <w:rPr>
                <w:spacing w:val="-8"/>
                <w:sz w:val="22"/>
              </w:rPr>
              <w:t> </w:t>
            </w:r>
            <w:r>
              <w:rPr>
                <w:sz w:val="22"/>
              </w:rPr>
              <w:t>наличии признаков инфекционных осложнений</w:t>
            </w:r>
          </w:p>
        </w:tc>
        <w:tc>
          <w:tcPr>
            <w:tcW w:w="5528" w:type="dxa"/>
          </w:tcPr>
          <w:p>
            <w:pPr>
              <w:pStyle w:val="TableParagraph"/>
              <w:spacing w:before="1"/>
              <w:ind w:left="98"/>
              <w:rPr>
                <w:sz w:val="22"/>
              </w:rPr>
            </w:pPr>
            <w:r>
              <w:rPr>
                <w:sz w:val="22"/>
              </w:rPr>
              <w:t>Микробиологический мониторинг - культуральное исследование биологического материала (мокрота, жидкость бронхоальвеолярно лаважная, жидкость плевральной</w:t>
            </w:r>
            <w:r>
              <w:rPr>
                <w:spacing w:val="-4"/>
                <w:sz w:val="22"/>
              </w:rPr>
              <w:t> </w:t>
            </w:r>
            <w:r>
              <w:rPr>
                <w:sz w:val="22"/>
              </w:rPr>
              <w:t>полости,</w:t>
            </w:r>
            <w:r>
              <w:rPr>
                <w:spacing w:val="-6"/>
                <w:sz w:val="22"/>
              </w:rPr>
              <w:t> </w:t>
            </w:r>
            <w:r>
              <w:rPr>
                <w:sz w:val="22"/>
              </w:rPr>
              <w:t>кровь,</w:t>
            </w:r>
            <w:r>
              <w:rPr>
                <w:spacing w:val="-3"/>
                <w:sz w:val="22"/>
              </w:rPr>
              <w:t> </w:t>
            </w:r>
            <w:r>
              <w:rPr>
                <w:sz w:val="22"/>
              </w:rPr>
              <w:t>моча</w:t>
            </w:r>
            <w:r>
              <w:rPr>
                <w:spacing w:val="-3"/>
                <w:sz w:val="22"/>
              </w:rPr>
              <w:t> </w:t>
            </w:r>
            <w:r>
              <w:rPr>
                <w:sz w:val="22"/>
              </w:rPr>
              <w:t>и</w:t>
            </w:r>
            <w:r>
              <w:rPr>
                <w:spacing w:val="-3"/>
                <w:sz w:val="22"/>
              </w:rPr>
              <w:t> </w:t>
            </w:r>
            <w:r>
              <w:rPr>
                <w:sz w:val="22"/>
              </w:rPr>
              <w:t>других</w:t>
            </w:r>
            <w:r>
              <w:rPr>
                <w:spacing w:val="-3"/>
                <w:sz w:val="22"/>
              </w:rPr>
              <w:t> </w:t>
            </w:r>
            <w:r>
              <w:rPr>
                <w:sz w:val="22"/>
              </w:rPr>
              <w:t>локусов предполагаемого очага инфекции) на аэробные и</w:t>
            </w:r>
          </w:p>
          <w:p>
            <w:pPr>
              <w:pStyle w:val="TableParagraph"/>
              <w:spacing w:line="252" w:lineRule="exact"/>
              <w:ind w:left="98" w:right="458"/>
              <w:rPr>
                <w:sz w:val="22"/>
              </w:rPr>
            </w:pPr>
            <w:r>
              <w:rPr>
                <w:sz w:val="22"/>
              </w:rPr>
              <w:t>факультативно-анаэробные</w:t>
            </w:r>
            <w:r>
              <w:rPr>
                <w:spacing w:val="-10"/>
                <w:sz w:val="22"/>
              </w:rPr>
              <w:t> </w:t>
            </w:r>
            <w:r>
              <w:rPr>
                <w:sz w:val="22"/>
              </w:rPr>
              <w:t>микроорганизмы</w:t>
            </w:r>
            <w:r>
              <w:rPr>
                <w:spacing w:val="-10"/>
                <w:sz w:val="22"/>
              </w:rPr>
              <w:t> </w:t>
            </w:r>
            <w:r>
              <w:rPr>
                <w:sz w:val="22"/>
              </w:rPr>
              <w:t>–</w:t>
            </w:r>
            <w:r>
              <w:rPr>
                <w:spacing w:val="-10"/>
                <w:sz w:val="22"/>
              </w:rPr>
              <w:t> </w:t>
            </w:r>
            <w:r>
              <w:rPr>
                <w:sz w:val="22"/>
              </w:rPr>
              <w:t>1</w:t>
            </w:r>
            <w:r>
              <w:rPr>
                <w:spacing w:val="-10"/>
                <w:sz w:val="22"/>
              </w:rPr>
              <w:t> </w:t>
            </w:r>
            <w:r>
              <w:rPr>
                <w:sz w:val="22"/>
              </w:rPr>
              <w:t>раз в неделю и при ухудшении состояния</w:t>
            </w:r>
          </w:p>
        </w:tc>
      </w:tr>
    </w:tbl>
    <w:p>
      <w:pPr>
        <w:pStyle w:val="BodyText"/>
        <w:ind w:left="0"/>
        <w:jc w:val="left"/>
        <w:rPr>
          <w:b/>
          <w:sz w:val="22"/>
        </w:rPr>
      </w:pPr>
    </w:p>
    <w:p>
      <w:pPr>
        <w:pStyle w:val="BodyText"/>
        <w:ind w:left="0"/>
        <w:jc w:val="left"/>
        <w:rPr>
          <w:b/>
          <w:sz w:val="22"/>
        </w:rPr>
      </w:pPr>
    </w:p>
    <w:p>
      <w:pPr>
        <w:pStyle w:val="BodyText"/>
        <w:spacing w:before="140"/>
        <w:ind w:left="0"/>
        <w:jc w:val="left"/>
        <w:rPr>
          <w:b/>
          <w:sz w:val="22"/>
        </w:rPr>
      </w:pPr>
    </w:p>
    <w:p>
      <w:pPr>
        <w:spacing w:before="0"/>
        <w:ind w:left="4314" w:right="0" w:firstLine="0"/>
        <w:jc w:val="left"/>
        <w:rPr>
          <w:sz w:val="22"/>
        </w:rPr>
      </w:pPr>
      <w:r>
        <w:rPr>
          <w:spacing w:val="-5"/>
          <w:sz w:val="22"/>
        </w:rPr>
        <w:t>169</w:t>
      </w:r>
    </w:p>
    <w:p>
      <w:pPr>
        <w:spacing w:after="0"/>
        <w:jc w:val="left"/>
        <w:rPr>
          <w:sz w:val="22"/>
        </w:rPr>
        <w:sectPr>
          <w:footerReference w:type="default" r:id="rId58"/>
          <w:pgSz w:w="16840" w:h="11900" w:orient="landscape"/>
          <w:pgMar w:header="0" w:footer="368" w:top="1340" w:bottom="560" w:left="1417" w:right="992"/>
          <w:pgNumType w:start="170"/>
        </w:sectPr>
      </w:pPr>
    </w:p>
    <w:p>
      <w:pPr>
        <w:pStyle w:val="BodyText"/>
        <w:spacing w:before="83"/>
        <w:ind w:left="0"/>
        <w:jc w:val="left"/>
      </w:pPr>
    </w:p>
    <w:p>
      <w:pPr>
        <w:pStyle w:val="BodyText"/>
        <w:spacing w:line="259" w:lineRule="auto"/>
        <w:ind w:left="21"/>
        <w:jc w:val="left"/>
      </w:pPr>
      <w:bookmarkStart w:name="171" w:id="201"/>
      <w:bookmarkEnd w:id="201"/>
      <w:r>
        <w:rPr/>
      </w:r>
      <w:r>
        <w:rPr/>
        <w:t>*</w:t>
      </w:r>
      <w:r>
        <w:rPr>
          <w:spacing w:val="-7"/>
        </w:rPr>
        <w:t> </w:t>
      </w:r>
      <w:r>
        <w:rPr/>
        <w:t>Перечень</w:t>
      </w:r>
      <w:r>
        <w:rPr>
          <w:spacing w:val="-7"/>
        </w:rPr>
        <w:t> </w:t>
      </w:r>
      <w:r>
        <w:rPr/>
        <w:t>обязательных</w:t>
      </w:r>
      <w:r>
        <w:rPr>
          <w:spacing w:val="-7"/>
        </w:rPr>
        <w:t> </w:t>
      </w:r>
      <w:r>
        <w:rPr/>
        <w:t>биохимических</w:t>
      </w:r>
      <w:r>
        <w:rPr>
          <w:spacing w:val="-8"/>
        </w:rPr>
        <w:t> </w:t>
      </w:r>
      <w:r>
        <w:rPr/>
        <w:t>исследований:</w:t>
      </w:r>
      <w:r>
        <w:rPr>
          <w:spacing w:val="-8"/>
        </w:rPr>
        <w:t> </w:t>
      </w:r>
      <w:r>
        <w:rPr/>
        <w:t>мочевина,</w:t>
      </w:r>
      <w:r>
        <w:rPr>
          <w:spacing w:val="-8"/>
        </w:rPr>
        <w:t> </w:t>
      </w:r>
      <w:r>
        <w:rPr/>
        <w:t>креатинин,</w:t>
      </w:r>
      <w:r>
        <w:rPr>
          <w:spacing w:val="-8"/>
        </w:rPr>
        <w:t> </w:t>
      </w:r>
      <w:r>
        <w:rPr/>
        <w:t>глюкоза,</w:t>
      </w:r>
      <w:r>
        <w:rPr>
          <w:spacing w:val="-8"/>
        </w:rPr>
        <w:t> </w:t>
      </w:r>
      <w:r>
        <w:rPr/>
        <w:t>аланинаминотрансфераза, аспартатаминотрансфераза, билирубин, лактатдегидрогеназа.</w:t>
      </w: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95"/>
        <w:ind w:left="0"/>
        <w:jc w:val="left"/>
        <w:rPr>
          <w:sz w:val="22"/>
        </w:rPr>
      </w:pPr>
    </w:p>
    <w:p>
      <w:pPr>
        <w:spacing w:before="0"/>
        <w:ind w:left="0" w:right="145" w:firstLine="0"/>
        <w:jc w:val="center"/>
        <w:rPr>
          <w:sz w:val="22"/>
        </w:rPr>
      </w:pPr>
      <w:r>
        <w:rPr>
          <w:spacing w:val="-5"/>
          <w:sz w:val="22"/>
        </w:rPr>
        <w:t>170</w:t>
      </w:r>
    </w:p>
    <w:p>
      <w:pPr>
        <w:spacing w:after="0"/>
        <w:jc w:val="center"/>
        <w:rPr>
          <w:sz w:val="22"/>
        </w:rPr>
        <w:sectPr>
          <w:pgSz w:w="16840" w:h="11900" w:orient="landscape"/>
          <w:pgMar w:header="0" w:footer="368" w:top="1340" w:bottom="560" w:left="1417" w:right="992"/>
        </w:sectPr>
      </w:pPr>
    </w:p>
    <w:p>
      <w:pPr>
        <w:pStyle w:val="Heading3"/>
        <w:spacing w:before="72"/>
        <w:ind w:left="7309"/>
        <w:jc w:val="left"/>
      </w:pPr>
      <w:bookmarkStart w:name="_TOC_250016" w:id="202"/>
      <w:bookmarkStart w:name="172" w:id="203"/>
      <w:r>
        <w:rPr>
          <w:b w:val="0"/>
        </w:rPr>
      </w:r>
      <w:r>
        <w:rPr>
          <w:color w:val="1F487C"/>
          <w:spacing w:val="-2"/>
        </w:rPr>
        <w:t>Приложение</w:t>
      </w:r>
      <w:r>
        <w:rPr>
          <w:color w:val="1F487C"/>
          <w:spacing w:val="2"/>
        </w:rPr>
        <w:t> </w:t>
      </w:r>
      <w:r>
        <w:rPr>
          <w:color w:val="1F487C"/>
          <w:spacing w:val="-2"/>
        </w:rPr>
        <w:t>3-</w:t>
      </w:r>
      <w:bookmarkEnd w:id="202"/>
      <w:r>
        <w:rPr>
          <w:color w:val="1F487C"/>
          <w:spacing w:val="-10"/>
        </w:rPr>
        <w:t>1</w:t>
      </w:r>
    </w:p>
    <w:p>
      <w:pPr>
        <w:spacing w:line="276" w:lineRule="auto" w:before="141"/>
        <w:ind w:left="2678" w:right="0" w:hanging="1778"/>
        <w:jc w:val="left"/>
        <w:rPr>
          <w:b/>
          <w:sz w:val="23"/>
        </w:rPr>
      </w:pPr>
      <w:r>
        <w:rPr>
          <w:b/>
          <w:sz w:val="23"/>
        </w:rPr>
        <w:t>Инструкция</w:t>
      </w:r>
      <w:r>
        <w:rPr>
          <w:b/>
          <w:spacing w:val="-6"/>
          <w:sz w:val="23"/>
        </w:rPr>
        <w:t> </w:t>
      </w:r>
      <w:r>
        <w:rPr>
          <w:b/>
          <w:sz w:val="23"/>
        </w:rPr>
        <w:t>по</w:t>
      </w:r>
      <w:r>
        <w:rPr>
          <w:b/>
          <w:spacing w:val="-6"/>
          <w:sz w:val="23"/>
        </w:rPr>
        <w:t> </w:t>
      </w:r>
      <w:r>
        <w:rPr>
          <w:b/>
          <w:sz w:val="23"/>
        </w:rPr>
        <w:t>проведению</w:t>
      </w:r>
      <w:r>
        <w:rPr>
          <w:b/>
          <w:spacing w:val="-6"/>
          <w:sz w:val="23"/>
        </w:rPr>
        <w:t> </w:t>
      </w:r>
      <w:r>
        <w:rPr>
          <w:b/>
          <w:sz w:val="23"/>
        </w:rPr>
        <w:t>диагностики</w:t>
      </w:r>
      <w:r>
        <w:rPr>
          <w:b/>
          <w:spacing w:val="-6"/>
          <w:sz w:val="23"/>
        </w:rPr>
        <w:t> </w:t>
      </w:r>
      <w:r>
        <w:rPr>
          <w:b/>
          <w:sz w:val="23"/>
        </w:rPr>
        <w:t>COVID-19 с</w:t>
      </w:r>
      <w:r>
        <w:rPr>
          <w:b/>
          <w:spacing w:val="-6"/>
          <w:sz w:val="23"/>
        </w:rPr>
        <w:t> </w:t>
      </w:r>
      <w:r>
        <w:rPr>
          <w:b/>
          <w:sz w:val="23"/>
        </w:rPr>
        <w:t>применением</w:t>
      </w:r>
      <w:r>
        <w:rPr>
          <w:b/>
          <w:spacing w:val="-6"/>
          <w:sz w:val="23"/>
        </w:rPr>
        <w:t> </w:t>
      </w:r>
      <w:r>
        <w:rPr>
          <w:b/>
          <w:sz w:val="23"/>
        </w:rPr>
        <w:t>методов амплификации нуклеиновых кислот</w:t>
      </w:r>
    </w:p>
    <w:p>
      <w:pPr>
        <w:pStyle w:val="BodyText"/>
        <w:spacing w:before="41"/>
        <w:ind w:left="0"/>
        <w:jc w:val="left"/>
        <w:rPr>
          <w:b/>
          <w:sz w:val="23"/>
        </w:rPr>
      </w:pPr>
    </w:p>
    <w:p>
      <w:pPr>
        <w:spacing w:before="0"/>
        <w:ind w:left="707" w:right="0" w:firstLine="0"/>
        <w:jc w:val="both"/>
        <w:rPr>
          <w:b/>
          <w:sz w:val="23"/>
        </w:rPr>
      </w:pPr>
      <w:r>
        <w:rPr>
          <w:b/>
          <w:sz w:val="23"/>
        </w:rPr>
        <w:t>Общие</w:t>
      </w:r>
      <w:r>
        <w:rPr>
          <w:b/>
          <w:spacing w:val="-3"/>
          <w:sz w:val="23"/>
        </w:rPr>
        <w:t> </w:t>
      </w:r>
      <w:r>
        <w:rPr>
          <w:b/>
          <w:spacing w:val="-2"/>
          <w:sz w:val="23"/>
        </w:rPr>
        <w:t>положения</w:t>
      </w:r>
    </w:p>
    <w:p>
      <w:pPr>
        <w:spacing w:line="276" w:lineRule="auto" w:before="37"/>
        <w:ind w:left="141" w:right="704" w:firstLine="565"/>
        <w:jc w:val="both"/>
        <w:rPr>
          <w:sz w:val="23"/>
        </w:rPr>
      </w:pPr>
      <w:r>
        <w:rPr>
          <w:sz w:val="23"/>
        </w:rPr>
        <w:t>Диагностика новой коронавирусной инфекции проводится в лабораториях Российской Федерации вне зависимости от их организационно-правовой формы (далее – Лаборатория), имеющих санитарно-эпидемиологическое заключение о возможности проведения работ с возбудителями инфекционных заболеваний человека III - IV патогенности и условия для исследований с применением МАНК.</w:t>
      </w:r>
    </w:p>
    <w:p>
      <w:pPr>
        <w:spacing w:line="276" w:lineRule="auto" w:before="0"/>
        <w:ind w:left="141" w:right="707" w:firstLine="623"/>
        <w:jc w:val="both"/>
        <w:rPr>
          <w:sz w:val="23"/>
        </w:rPr>
      </w:pPr>
      <w:r>
        <w:rPr>
          <w:sz w:val="23"/>
        </w:rPr>
        <w:t>Лабораторные исследлования проводятся в соответствии с приказом Министерства здравоохранения</w:t>
      </w:r>
      <w:r>
        <w:rPr>
          <w:spacing w:val="-15"/>
          <w:sz w:val="23"/>
        </w:rPr>
        <w:t> </w:t>
      </w:r>
      <w:r>
        <w:rPr>
          <w:sz w:val="23"/>
        </w:rPr>
        <w:t>Российской</w:t>
      </w:r>
      <w:r>
        <w:rPr>
          <w:spacing w:val="-14"/>
          <w:sz w:val="23"/>
        </w:rPr>
        <w:t> </w:t>
      </w:r>
      <w:r>
        <w:rPr>
          <w:sz w:val="23"/>
        </w:rPr>
        <w:t>Федерации</w:t>
      </w:r>
      <w:r>
        <w:rPr>
          <w:spacing w:val="-15"/>
          <w:sz w:val="23"/>
        </w:rPr>
        <w:t> </w:t>
      </w:r>
      <w:r>
        <w:rPr>
          <w:sz w:val="23"/>
        </w:rPr>
        <w:t>от</w:t>
      </w:r>
      <w:r>
        <w:rPr>
          <w:spacing w:val="-14"/>
          <w:sz w:val="23"/>
        </w:rPr>
        <w:t> </w:t>
      </w:r>
      <w:r>
        <w:rPr>
          <w:sz w:val="23"/>
        </w:rPr>
        <w:t>18</w:t>
      </w:r>
      <w:r>
        <w:rPr>
          <w:spacing w:val="-14"/>
          <w:sz w:val="23"/>
        </w:rPr>
        <w:t> </w:t>
      </w:r>
      <w:r>
        <w:rPr>
          <w:sz w:val="23"/>
        </w:rPr>
        <w:t>мая</w:t>
      </w:r>
      <w:r>
        <w:rPr>
          <w:spacing w:val="-15"/>
          <w:sz w:val="23"/>
        </w:rPr>
        <w:t> </w:t>
      </w:r>
      <w:r>
        <w:rPr>
          <w:sz w:val="23"/>
        </w:rPr>
        <w:t>2021</w:t>
      </w:r>
      <w:r>
        <w:rPr>
          <w:spacing w:val="-14"/>
          <w:sz w:val="23"/>
        </w:rPr>
        <w:t> </w:t>
      </w:r>
      <w:r>
        <w:rPr>
          <w:sz w:val="23"/>
        </w:rPr>
        <w:t>г.</w:t>
      </w:r>
      <w:r>
        <w:rPr>
          <w:spacing w:val="-14"/>
          <w:sz w:val="23"/>
        </w:rPr>
        <w:t> </w:t>
      </w:r>
      <w:r>
        <w:rPr>
          <w:sz w:val="23"/>
        </w:rPr>
        <w:t>№464н</w:t>
      </w:r>
      <w:r>
        <w:rPr>
          <w:spacing w:val="-15"/>
          <w:sz w:val="23"/>
        </w:rPr>
        <w:t> </w:t>
      </w:r>
      <w:r>
        <w:rPr>
          <w:sz w:val="23"/>
        </w:rPr>
        <w:t>«Об</w:t>
      </w:r>
      <w:r>
        <w:rPr>
          <w:spacing w:val="-14"/>
          <w:sz w:val="23"/>
        </w:rPr>
        <w:t> </w:t>
      </w:r>
      <w:r>
        <w:rPr>
          <w:sz w:val="23"/>
        </w:rPr>
        <w:t>утверждении</w:t>
      </w:r>
      <w:r>
        <w:rPr>
          <w:spacing w:val="-15"/>
          <w:sz w:val="23"/>
        </w:rPr>
        <w:t> </w:t>
      </w:r>
      <w:r>
        <w:rPr>
          <w:sz w:val="23"/>
        </w:rPr>
        <w:t>Правил проведения лабораторных исследований».</w:t>
      </w:r>
    </w:p>
    <w:p>
      <w:pPr>
        <w:spacing w:line="276" w:lineRule="auto" w:before="0"/>
        <w:ind w:left="141" w:right="706" w:firstLine="565"/>
        <w:jc w:val="both"/>
        <w:rPr>
          <w:sz w:val="23"/>
        </w:rPr>
      </w:pPr>
      <w:r>
        <w:rPr>
          <w:sz w:val="23"/>
        </w:rPr>
        <w:t>Для выявления возбудителя SARS-CoV-2 используются МАНК (без накопления возбудителя)</w:t>
      </w:r>
      <w:r>
        <w:rPr>
          <w:spacing w:val="-17"/>
          <w:sz w:val="23"/>
        </w:rPr>
        <w:t> </w:t>
      </w:r>
      <w:r>
        <w:rPr>
          <w:sz w:val="23"/>
        </w:rPr>
        <w:t>с</w:t>
      </w:r>
      <w:r>
        <w:rPr>
          <w:spacing w:val="-14"/>
          <w:sz w:val="23"/>
        </w:rPr>
        <w:t> </w:t>
      </w:r>
      <w:r>
        <w:rPr>
          <w:sz w:val="23"/>
        </w:rPr>
        <w:t>применением,</w:t>
      </w:r>
      <w:r>
        <w:rPr>
          <w:spacing w:val="-15"/>
          <w:sz w:val="23"/>
        </w:rPr>
        <w:t> </w:t>
      </w:r>
      <w:r>
        <w:rPr>
          <w:sz w:val="23"/>
        </w:rPr>
        <w:t>зарегистрированных</w:t>
      </w:r>
      <w:r>
        <w:rPr>
          <w:spacing w:val="-14"/>
          <w:sz w:val="23"/>
        </w:rPr>
        <w:t> </w:t>
      </w:r>
      <w:r>
        <w:rPr>
          <w:sz w:val="23"/>
        </w:rPr>
        <w:t>в</w:t>
      </w:r>
      <w:r>
        <w:rPr>
          <w:spacing w:val="-14"/>
          <w:sz w:val="23"/>
        </w:rPr>
        <w:t> </w:t>
      </w:r>
      <w:r>
        <w:rPr>
          <w:sz w:val="23"/>
        </w:rPr>
        <w:t>установленном</w:t>
      </w:r>
      <w:r>
        <w:rPr>
          <w:spacing w:val="-15"/>
          <w:sz w:val="23"/>
        </w:rPr>
        <w:t> </w:t>
      </w:r>
      <w:r>
        <w:rPr>
          <w:sz w:val="23"/>
        </w:rPr>
        <w:t>порядке</w:t>
      </w:r>
      <w:r>
        <w:rPr>
          <w:spacing w:val="-14"/>
          <w:sz w:val="23"/>
        </w:rPr>
        <w:t> </w:t>
      </w:r>
      <w:r>
        <w:rPr>
          <w:sz w:val="23"/>
        </w:rPr>
        <w:t>на</w:t>
      </w:r>
      <w:r>
        <w:rPr>
          <w:spacing w:val="-14"/>
          <w:sz w:val="23"/>
        </w:rPr>
        <w:t> </w:t>
      </w:r>
      <w:r>
        <w:rPr>
          <w:sz w:val="23"/>
        </w:rPr>
        <w:t>территории Российской Федерации тест-систем, в соответствии с инструкциями по их применению.</w:t>
      </w:r>
    </w:p>
    <w:p>
      <w:pPr>
        <w:spacing w:line="276" w:lineRule="auto" w:before="0"/>
        <w:ind w:left="141" w:right="705" w:firstLine="565"/>
        <w:jc w:val="both"/>
        <w:rPr>
          <w:sz w:val="23"/>
        </w:rPr>
      </w:pPr>
      <w:r>
        <w:rPr>
          <w:sz w:val="23"/>
        </w:rPr>
        <w:t>Этиологическая диагностика COVID-19 проводится с применением МАНК: полимеразной цепной реакции (ПЦР) и изотермальной амплификации (</w:t>
      </w:r>
      <w:r>
        <w:rPr>
          <w:sz w:val="24"/>
        </w:rPr>
        <w:t>LAMP)</w:t>
      </w:r>
      <w:r>
        <w:rPr>
          <w:sz w:val="23"/>
        </w:rPr>
        <w:t>.</w:t>
      </w:r>
    </w:p>
    <w:p>
      <w:pPr>
        <w:pStyle w:val="BodyText"/>
        <w:spacing w:line="276" w:lineRule="auto"/>
        <w:ind w:left="141" w:right="704" w:firstLine="565"/>
      </w:pPr>
      <w:r>
        <w:rPr/>
        <w:t>Основным</w:t>
      </w:r>
      <w:r>
        <w:rPr>
          <w:spacing w:val="40"/>
        </w:rPr>
        <w:t> </w:t>
      </w:r>
      <w:r>
        <w:rPr/>
        <w:t>видом</w:t>
      </w:r>
      <w:r>
        <w:rPr>
          <w:spacing w:val="40"/>
        </w:rPr>
        <w:t> </w:t>
      </w:r>
      <w:r>
        <w:rPr/>
        <w:t>биоматериала</w:t>
      </w:r>
      <w:r>
        <w:rPr>
          <w:spacing w:val="40"/>
        </w:rPr>
        <w:t> </w:t>
      </w:r>
      <w:r>
        <w:rPr/>
        <w:t>для</w:t>
      </w:r>
      <w:r>
        <w:rPr>
          <w:spacing w:val="40"/>
        </w:rPr>
        <w:t> </w:t>
      </w:r>
      <w:r>
        <w:rPr/>
        <w:t>лабораторного</w:t>
      </w:r>
      <w:r>
        <w:rPr>
          <w:spacing w:val="40"/>
        </w:rPr>
        <w:t> </w:t>
      </w:r>
      <w:r>
        <w:rPr/>
        <w:t>исследования</w:t>
      </w:r>
      <w:r>
        <w:rPr>
          <w:spacing w:val="40"/>
        </w:rPr>
        <w:t> </w:t>
      </w:r>
      <w:r>
        <w:rPr/>
        <w:t>на</w:t>
      </w:r>
      <w:r>
        <w:rPr>
          <w:spacing w:val="40"/>
        </w:rPr>
        <w:t> </w:t>
      </w:r>
      <w:r>
        <w:rPr/>
        <w:t>РНК SARS-CoV-2</w:t>
      </w:r>
      <w:r>
        <w:rPr>
          <w:spacing w:val="-1"/>
        </w:rPr>
        <w:t> </w:t>
      </w:r>
      <w:r>
        <w:rPr/>
        <w:t>является материал,</w:t>
      </w:r>
      <w:r>
        <w:rPr>
          <w:spacing w:val="-1"/>
        </w:rPr>
        <w:t> </w:t>
      </w:r>
      <w:r>
        <w:rPr/>
        <w:t>полученный</w:t>
      </w:r>
      <w:r>
        <w:rPr>
          <w:spacing w:val="-1"/>
        </w:rPr>
        <w:t> </w:t>
      </w:r>
      <w:r>
        <w:rPr/>
        <w:t>при взятии мазка</w:t>
      </w:r>
      <w:r>
        <w:rPr>
          <w:spacing w:val="-2"/>
        </w:rPr>
        <w:t> </w:t>
      </w:r>
      <w:r>
        <w:rPr/>
        <w:t>из носоглотки (из двух носовых ходов) и ротоглотки. Мазки со слизистой оболочки носоглотки и ротоглотки собираются в одну пробирку для большей концентрации вируса. При признаках заболевания нижних дыхательных путей в случае получения отрицательного результата в мазках со слизистой носо- и ротоглотки дополнительно исследуются мокрота (при наличии) или промывные воды бронхов, полученные при фибробронхоскопии (бронхоальвеолярный лаваж), (эндо)трахеальный, назофарингеальный аспират. У пациентов, находящихся на ИВЛ, с целью выявления SARS-CoV-2 рекомендуется получение</w:t>
      </w:r>
      <w:r>
        <w:rPr>
          <w:spacing w:val="-1"/>
        </w:rPr>
        <w:t> </w:t>
      </w:r>
      <w:r>
        <w:rPr/>
        <w:t>и</w:t>
      </w:r>
      <w:r>
        <w:rPr>
          <w:spacing w:val="-1"/>
        </w:rPr>
        <w:t> </w:t>
      </w:r>
      <w:r>
        <w:rPr/>
        <w:t>исследование</w:t>
      </w:r>
      <w:r>
        <w:rPr>
          <w:spacing w:val="-1"/>
        </w:rPr>
        <w:t> </w:t>
      </w:r>
      <w:r>
        <w:rPr/>
        <w:t>аспирата содержимого трахеи. В качестве дополнительного материала для исследования могут использоваться биопсийный или аутопсийный материал легких, цельная кровь, сыворотка, фекалии.</w:t>
      </w:r>
    </w:p>
    <w:p>
      <w:pPr>
        <w:pStyle w:val="BodyText"/>
        <w:spacing w:before="23"/>
        <w:ind w:left="0"/>
        <w:jc w:val="left"/>
      </w:pPr>
    </w:p>
    <w:p>
      <w:pPr>
        <w:spacing w:before="0"/>
        <w:ind w:left="707" w:right="0" w:firstLine="0"/>
        <w:jc w:val="both"/>
        <w:rPr>
          <w:b/>
          <w:sz w:val="23"/>
        </w:rPr>
      </w:pPr>
      <w:r>
        <w:rPr>
          <w:b/>
          <w:sz w:val="23"/>
        </w:rPr>
        <w:t>Сбор,</w:t>
      </w:r>
      <w:r>
        <w:rPr>
          <w:b/>
          <w:spacing w:val="-8"/>
          <w:sz w:val="23"/>
        </w:rPr>
        <w:t> </w:t>
      </w:r>
      <w:r>
        <w:rPr>
          <w:b/>
          <w:sz w:val="23"/>
        </w:rPr>
        <w:t>хранение</w:t>
      </w:r>
      <w:r>
        <w:rPr>
          <w:b/>
          <w:spacing w:val="-5"/>
          <w:sz w:val="23"/>
        </w:rPr>
        <w:t> </w:t>
      </w:r>
      <w:r>
        <w:rPr>
          <w:b/>
          <w:sz w:val="23"/>
        </w:rPr>
        <w:t>и</w:t>
      </w:r>
      <w:r>
        <w:rPr>
          <w:b/>
          <w:spacing w:val="-7"/>
          <w:sz w:val="23"/>
        </w:rPr>
        <w:t> </w:t>
      </w:r>
      <w:r>
        <w:rPr>
          <w:b/>
          <w:sz w:val="23"/>
        </w:rPr>
        <w:t>транспортировка</w:t>
      </w:r>
      <w:r>
        <w:rPr>
          <w:b/>
          <w:spacing w:val="-4"/>
          <w:sz w:val="23"/>
        </w:rPr>
        <w:t> </w:t>
      </w:r>
      <w:r>
        <w:rPr>
          <w:b/>
          <w:sz w:val="23"/>
        </w:rPr>
        <w:t>биологического</w:t>
      </w:r>
      <w:r>
        <w:rPr>
          <w:b/>
          <w:spacing w:val="-5"/>
          <w:sz w:val="23"/>
        </w:rPr>
        <w:t> </w:t>
      </w:r>
      <w:r>
        <w:rPr>
          <w:b/>
          <w:spacing w:val="-2"/>
          <w:sz w:val="23"/>
        </w:rPr>
        <w:t>материала</w:t>
      </w:r>
    </w:p>
    <w:p>
      <w:pPr>
        <w:spacing w:line="276" w:lineRule="auto" w:before="40"/>
        <w:ind w:left="141" w:right="704" w:firstLine="565"/>
        <w:jc w:val="both"/>
        <w:rPr>
          <w:sz w:val="23"/>
        </w:rPr>
      </w:pPr>
      <w:r>
        <w:rPr>
          <w:sz w:val="23"/>
        </w:rPr>
        <w:t>Сбор биологического материала, его упаковка, маркировка и транспортировка осуществляется в соответствии с требованиями и правилами по работе с материалами, потенциально</w:t>
      </w:r>
      <w:r>
        <w:rPr>
          <w:spacing w:val="40"/>
          <w:sz w:val="23"/>
        </w:rPr>
        <w:t> </w:t>
      </w:r>
      <w:r>
        <w:rPr>
          <w:sz w:val="23"/>
        </w:rPr>
        <w:t>инфицированными</w:t>
      </w:r>
      <w:r>
        <w:rPr>
          <w:spacing w:val="40"/>
          <w:sz w:val="23"/>
        </w:rPr>
        <w:t> </w:t>
      </w:r>
      <w:r>
        <w:rPr>
          <w:sz w:val="23"/>
        </w:rPr>
        <w:t>возбудителями</w:t>
      </w:r>
      <w:r>
        <w:rPr>
          <w:spacing w:val="40"/>
          <w:sz w:val="23"/>
        </w:rPr>
        <w:t> </w:t>
      </w:r>
      <w:r>
        <w:rPr>
          <w:sz w:val="23"/>
        </w:rPr>
        <w:t>II</w:t>
      </w:r>
      <w:r>
        <w:rPr>
          <w:spacing w:val="40"/>
          <w:sz w:val="23"/>
        </w:rPr>
        <w:t> </w:t>
      </w:r>
      <w:r>
        <w:rPr>
          <w:sz w:val="23"/>
        </w:rPr>
        <w:t>группы</w:t>
      </w:r>
      <w:r>
        <w:rPr>
          <w:spacing w:val="40"/>
          <w:sz w:val="23"/>
        </w:rPr>
        <w:t> </w:t>
      </w:r>
      <w:r>
        <w:rPr>
          <w:sz w:val="23"/>
        </w:rPr>
        <w:t>патогенности,</w:t>
      </w:r>
      <w:r>
        <w:rPr>
          <w:spacing w:val="40"/>
          <w:sz w:val="23"/>
        </w:rPr>
        <w:t> </w:t>
      </w:r>
      <w:r>
        <w:rPr>
          <w:sz w:val="23"/>
        </w:rPr>
        <w:t>их</w:t>
      </w:r>
      <w:r>
        <w:rPr>
          <w:spacing w:val="40"/>
          <w:sz w:val="23"/>
        </w:rPr>
        <w:t> </w:t>
      </w:r>
      <w:r>
        <w:rPr>
          <w:sz w:val="23"/>
        </w:rPr>
        <w:t>хранения и</w:t>
      </w:r>
      <w:r>
        <w:rPr>
          <w:spacing w:val="-3"/>
          <w:sz w:val="23"/>
        </w:rPr>
        <w:t> </w:t>
      </w:r>
      <w:r>
        <w:rPr>
          <w:sz w:val="23"/>
        </w:rPr>
        <w:t>транспортировки согласно МУ 1.3.2569-09 «Организация работы лабораторий, использующих</w:t>
      </w:r>
      <w:r>
        <w:rPr>
          <w:spacing w:val="-15"/>
          <w:sz w:val="23"/>
        </w:rPr>
        <w:t> </w:t>
      </w:r>
      <w:r>
        <w:rPr>
          <w:sz w:val="23"/>
        </w:rPr>
        <w:t>МАНК</w:t>
      </w:r>
      <w:r>
        <w:rPr>
          <w:spacing w:val="-14"/>
          <w:sz w:val="23"/>
        </w:rPr>
        <w:t> </w:t>
      </w:r>
      <w:r>
        <w:rPr>
          <w:sz w:val="23"/>
        </w:rPr>
        <w:t>при</w:t>
      </w:r>
      <w:r>
        <w:rPr>
          <w:spacing w:val="-15"/>
          <w:sz w:val="23"/>
        </w:rPr>
        <w:t> </w:t>
      </w:r>
      <w:r>
        <w:rPr>
          <w:sz w:val="23"/>
        </w:rPr>
        <w:t>работе</w:t>
      </w:r>
      <w:r>
        <w:rPr>
          <w:spacing w:val="-14"/>
          <w:sz w:val="23"/>
        </w:rPr>
        <w:t> </w:t>
      </w:r>
      <w:r>
        <w:rPr>
          <w:sz w:val="23"/>
        </w:rPr>
        <w:t>с</w:t>
      </w:r>
      <w:r>
        <w:rPr>
          <w:spacing w:val="-14"/>
          <w:sz w:val="23"/>
        </w:rPr>
        <w:t> </w:t>
      </w:r>
      <w:r>
        <w:rPr>
          <w:sz w:val="23"/>
        </w:rPr>
        <w:t>материалом,</w:t>
      </w:r>
      <w:r>
        <w:rPr>
          <w:spacing w:val="-15"/>
          <w:sz w:val="23"/>
        </w:rPr>
        <w:t> </w:t>
      </w:r>
      <w:r>
        <w:rPr>
          <w:sz w:val="23"/>
        </w:rPr>
        <w:t>содержащим</w:t>
      </w:r>
      <w:r>
        <w:rPr>
          <w:spacing w:val="-14"/>
          <w:sz w:val="23"/>
        </w:rPr>
        <w:t> </w:t>
      </w:r>
      <w:r>
        <w:rPr>
          <w:sz w:val="23"/>
        </w:rPr>
        <w:t>микроорганизмы</w:t>
      </w:r>
      <w:r>
        <w:rPr>
          <w:spacing w:val="-14"/>
          <w:sz w:val="23"/>
        </w:rPr>
        <w:t> </w:t>
      </w:r>
      <w:r>
        <w:rPr>
          <w:sz w:val="23"/>
        </w:rPr>
        <w:t>I</w:t>
      </w:r>
      <w:r>
        <w:rPr>
          <w:spacing w:val="-15"/>
          <w:sz w:val="23"/>
        </w:rPr>
        <w:t> </w:t>
      </w:r>
      <w:r>
        <w:rPr>
          <w:sz w:val="23"/>
        </w:rPr>
        <w:t>–</w:t>
      </w:r>
      <w:r>
        <w:rPr>
          <w:spacing w:val="-14"/>
          <w:sz w:val="23"/>
        </w:rPr>
        <w:t> </w:t>
      </w:r>
      <w:r>
        <w:rPr>
          <w:sz w:val="23"/>
        </w:rPr>
        <w:t>IV</w:t>
      </w:r>
      <w:r>
        <w:rPr>
          <w:spacing w:val="-15"/>
          <w:sz w:val="23"/>
        </w:rPr>
        <w:t> </w:t>
      </w:r>
      <w:r>
        <w:rPr>
          <w:sz w:val="23"/>
        </w:rPr>
        <w:t>групп патогенности»</w:t>
      </w:r>
      <w:r>
        <w:rPr>
          <w:spacing w:val="35"/>
          <w:sz w:val="23"/>
        </w:rPr>
        <w:t>  </w:t>
      </w:r>
      <w:r>
        <w:rPr>
          <w:sz w:val="23"/>
        </w:rPr>
        <w:t>и</w:t>
      </w:r>
      <w:r>
        <w:rPr>
          <w:spacing w:val="36"/>
          <w:sz w:val="23"/>
        </w:rPr>
        <w:t>  </w:t>
      </w:r>
      <w:r>
        <w:rPr>
          <w:sz w:val="23"/>
        </w:rPr>
        <w:t>Методическим</w:t>
      </w:r>
      <w:r>
        <w:rPr>
          <w:spacing w:val="35"/>
          <w:sz w:val="23"/>
        </w:rPr>
        <w:t>  </w:t>
      </w:r>
      <w:r>
        <w:rPr>
          <w:sz w:val="23"/>
        </w:rPr>
        <w:t>рекомендациям</w:t>
      </w:r>
      <w:r>
        <w:rPr>
          <w:spacing w:val="38"/>
          <w:sz w:val="23"/>
        </w:rPr>
        <w:t>  </w:t>
      </w:r>
      <w:r>
        <w:rPr>
          <w:sz w:val="23"/>
        </w:rPr>
        <w:t>Роспотребнадзора</w:t>
      </w:r>
      <w:r>
        <w:rPr>
          <w:spacing w:val="36"/>
          <w:sz w:val="23"/>
        </w:rPr>
        <w:t>  </w:t>
      </w:r>
      <w:r>
        <w:rPr>
          <w:sz w:val="23"/>
        </w:rPr>
        <w:t>MP</w:t>
      </w:r>
      <w:r>
        <w:rPr>
          <w:spacing w:val="35"/>
          <w:sz w:val="23"/>
        </w:rPr>
        <w:t>  </w:t>
      </w:r>
      <w:r>
        <w:rPr>
          <w:sz w:val="23"/>
        </w:rPr>
        <w:t>3.1.0169-</w:t>
      </w:r>
      <w:r>
        <w:rPr>
          <w:spacing w:val="-5"/>
          <w:sz w:val="23"/>
        </w:rPr>
        <w:t>20</w:t>
      </w:r>
    </w:p>
    <w:p>
      <w:pPr>
        <w:spacing w:line="262" w:lineRule="exact" w:before="0"/>
        <w:ind w:left="141" w:right="0" w:firstLine="0"/>
        <w:jc w:val="both"/>
        <w:rPr>
          <w:sz w:val="23"/>
        </w:rPr>
      </w:pPr>
      <w:r>
        <w:rPr>
          <w:sz w:val="23"/>
        </w:rPr>
        <w:t>«Лабораторная</w:t>
      </w:r>
      <w:r>
        <w:rPr>
          <w:spacing w:val="-9"/>
          <w:sz w:val="23"/>
        </w:rPr>
        <w:t> </w:t>
      </w:r>
      <w:r>
        <w:rPr>
          <w:sz w:val="23"/>
        </w:rPr>
        <w:t>диагностика</w:t>
      </w:r>
      <w:r>
        <w:rPr>
          <w:spacing w:val="-8"/>
          <w:sz w:val="23"/>
        </w:rPr>
        <w:t> </w:t>
      </w:r>
      <w:r>
        <w:rPr>
          <w:sz w:val="23"/>
        </w:rPr>
        <w:t>COVID-</w:t>
      </w:r>
      <w:r>
        <w:rPr>
          <w:spacing w:val="-4"/>
          <w:sz w:val="23"/>
        </w:rPr>
        <w:t>19».</w:t>
      </w:r>
    </w:p>
    <w:p>
      <w:pPr>
        <w:spacing w:line="276" w:lineRule="auto" w:before="40"/>
        <w:ind w:left="141" w:right="704" w:firstLine="565"/>
        <w:jc w:val="both"/>
        <w:rPr>
          <w:sz w:val="23"/>
        </w:rPr>
      </w:pPr>
      <w:r>
        <w:rPr>
          <w:sz w:val="23"/>
        </w:rPr>
        <w:t>Медицинский работник, выполняющий сбор биологического материала, его маркировку и упаковку, должен пройти инструктаж по санитарно-эпидемиологическим требованиям и правилам биологической безопасности при работе с пациентами, потенциально инфицированными микроорганизмами II группы патогенности. Биологический</w:t>
      </w:r>
      <w:r>
        <w:rPr>
          <w:spacing w:val="-3"/>
          <w:sz w:val="23"/>
        </w:rPr>
        <w:t> </w:t>
      </w:r>
      <w:r>
        <w:rPr>
          <w:sz w:val="23"/>
        </w:rPr>
        <w:t>материал</w:t>
      </w:r>
      <w:r>
        <w:rPr>
          <w:spacing w:val="-2"/>
          <w:sz w:val="23"/>
        </w:rPr>
        <w:t> </w:t>
      </w:r>
      <w:r>
        <w:rPr>
          <w:sz w:val="23"/>
        </w:rPr>
        <w:t>(мазки</w:t>
      </w:r>
      <w:r>
        <w:rPr>
          <w:spacing w:val="-3"/>
          <w:sz w:val="23"/>
        </w:rPr>
        <w:t> </w:t>
      </w:r>
      <w:r>
        <w:rPr>
          <w:sz w:val="23"/>
        </w:rPr>
        <w:t>из</w:t>
      </w:r>
      <w:r>
        <w:rPr>
          <w:spacing w:val="-2"/>
          <w:sz w:val="23"/>
        </w:rPr>
        <w:t> </w:t>
      </w:r>
      <w:r>
        <w:rPr>
          <w:sz w:val="23"/>
        </w:rPr>
        <w:t>носоглотки,</w:t>
      </w:r>
      <w:r>
        <w:rPr>
          <w:spacing w:val="-2"/>
          <w:sz w:val="23"/>
        </w:rPr>
        <w:t> </w:t>
      </w:r>
      <w:r>
        <w:rPr>
          <w:sz w:val="23"/>
        </w:rPr>
        <w:t>ротоглотки,</w:t>
      </w:r>
      <w:r>
        <w:rPr>
          <w:spacing w:val="-2"/>
          <w:sz w:val="23"/>
        </w:rPr>
        <w:t> </w:t>
      </w:r>
      <w:r>
        <w:rPr>
          <w:sz w:val="23"/>
        </w:rPr>
        <w:t>фекалии)</w:t>
      </w:r>
      <w:r>
        <w:rPr>
          <w:spacing w:val="-2"/>
          <w:sz w:val="23"/>
        </w:rPr>
        <w:t> </w:t>
      </w:r>
      <w:r>
        <w:rPr>
          <w:sz w:val="23"/>
        </w:rPr>
        <w:t>может</w:t>
      </w:r>
      <w:r>
        <w:rPr>
          <w:spacing w:val="-2"/>
          <w:sz w:val="23"/>
        </w:rPr>
        <w:t> </w:t>
      </w:r>
      <w:r>
        <w:rPr>
          <w:sz w:val="23"/>
        </w:rPr>
        <w:t>быть</w:t>
      </w:r>
      <w:r>
        <w:rPr>
          <w:spacing w:val="-2"/>
          <w:sz w:val="23"/>
        </w:rPr>
        <w:t> </w:t>
      </w:r>
      <w:r>
        <w:rPr>
          <w:sz w:val="23"/>
        </w:rPr>
        <w:t>отобран</w:t>
      </w:r>
    </w:p>
    <w:p>
      <w:pPr>
        <w:spacing w:after="0" w:line="276" w:lineRule="auto"/>
        <w:jc w:val="both"/>
        <w:rPr>
          <w:sz w:val="23"/>
        </w:rPr>
        <w:sectPr>
          <w:footerReference w:type="default" r:id="rId59"/>
          <w:pgSz w:w="11900" w:h="16840"/>
          <w:pgMar w:header="0" w:footer="697" w:top="1160" w:bottom="880" w:left="1559" w:right="566"/>
        </w:sectPr>
      </w:pPr>
    </w:p>
    <w:p>
      <w:pPr>
        <w:spacing w:line="276" w:lineRule="auto" w:before="72"/>
        <w:ind w:left="141" w:right="709" w:firstLine="0"/>
        <w:jc w:val="both"/>
        <w:rPr>
          <w:sz w:val="23"/>
        </w:rPr>
      </w:pPr>
      <w:bookmarkStart w:name="173" w:id="204"/>
      <w:bookmarkEnd w:id="204"/>
      <w:r>
        <w:rPr/>
      </w:r>
      <w:r>
        <w:rPr>
          <w:sz w:val="23"/>
        </w:rPr>
        <w:t>самостоятельно пациентом согласно инструкции. Медицинский работник должен быть обеспечен СИЗ</w:t>
      </w:r>
      <w:r>
        <w:rPr>
          <w:sz w:val="23"/>
          <w:vertAlign w:val="superscript"/>
        </w:rPr>
        <w:t>1</w:t>
      </w:r>
      <w:r>
        <w:rPr>
          <w:sz w:val="23"/>
          <w:vertAlign w:val="baseline"/>
        </w:rPr>
        <w:t>.</w:t>
      </w:r>
    </w:p>
    <w:p>
      <w:pPr>
        <w:spacing w:line="276" w:lineRule="auto" w:before="0"/>
        <w:ind w:left="141" w:right="705" w:firstLine="565"/>
        <w:jc w:val="both"/>
        <w:rPr>
          <w:sz w:val="23"/>
        </w:rPr>
      </w:pPr>
      <w:r>
        <w:rPr>
          <w:sz w:val="23"/>
        </w:rPr>
        <w:t>Мазок из носоглотки или ротоглотки (зева) берется стерильным тампоном, который после взятия материала помещается в стерильную пластиковую пробирку с транспортной средой (с учетом рекомендаций производителя применяемых наборов реагентов). Для повышения</w:t>
      </w:r>
      <w:r>
        <w:rPr>
          <w:spacing w:val="-7"/>
          <w:sz w:val="23"/>
        </w:rPr>
        <w:t> </w:t>
      </w:r>
      <w:r>
        <w:rPr>
          <w:sz w:val="23"/>
        </w:rPr>
        <w:t>концентрации</w:t>
      </w:r>
      <w:r>
        <w:rPr>
          <w:spacing w:val="-8"/>
          <w:sz w:val="23"/>
        </w:rPr>
        <w:t> </w:t>
      </w:r>
      <w:r>
        <w:rPr>
          <w:sz w:val="23"/>
        </w:rPr>
        <w:t>вируса</w:t>
      </w:r>
      <w:r>
        <w:rPr>
          <w:spacing w:val="-6"/>
          <w:sz w:val="23"/>
        </w:rPr>
        <w:t> </w:t>
      </w:r>
      <w:r>
        <w:rPr>
          <w:sz w:val="23"/>
        </w:rPr>
        <w:t>носоглоточные</w:t>
      </w:r>
      <w:r>
        <w:rPr>
          <w:spacing w:val="-9"/>
          <w:sz w:val="23"/>
        </w:rPr>
        <w:t> </w:t>
      </w:r>
      <w:r>
        <w:rPr>
          <w:sz w:val="23"/>
        </w:rPr>
        <w:t>и</w:t>
      </w:r>
      <w:r>
        <w:rPr>
          <w:spacing w:val="-8"/>
          <w:sz w:val="23"/>
        </w:rPr>
        <w:t> </w:t>
      </w:r>
      <w:r>
        <w:rPr>
          <w:sz w:val="23"/>
        </w:rPr>
        <w:t>орофарингеальные</w:t>
      </w:r>
      <w:r>
        <w:rPr>
          <w:spacing w:val="-9"/>
          <w:sz w:val="23"/>
        </w:rPr>
        <w:t> </w:t>
      </w:r>
      <w:r>
        <w:rPr>
          <w:sz w:val="23"/>
        </w:rPr>
        <w:t>мазки</w:t>
      </w:r>
      <w:r>
        <w:rPr>
          <w:spacing w:val="-8"/>
          <w:sz w:val="23"/>
        </w:rPr>
        <w:t> </w:t>
      </w:r>
      <w:r>
        <w:rPr>
          <w:sz w:val="23"/>
        </w:rPr>
        <w:t>должны</w:t>
      </w:r>
      <w:r>
        <w:rPr>
          <w:spacing w:val="-6"/>
          <w:sz w:val="23"/>
        </w:rPr>
        <w:t> </w:t>
      </w:r>
      <w:r>
        <w:rPr>
          <w:sz w:val="23"/>
        </w:rPr>
        <w:t>быть помещены в одну пробирку. Температура при транспортировке должна быть +2°-+8 °C. Время хранения образцов до исследования не должно превышать 5 дней при +2°-+8 °C, может быть больше - при -20 °С или -70 °С.</w:t>
      </w:r>
    </w:p>
    <w:p>
      <w:pPr>
        <w:spacing w:line="276" w:lineRule="auto" w:before="0"/>
        <w:ind w:left="141" w:right="706" w:firstLine="565"/>
        <w:jc w:val="both"/>
        <w:rPr>
          <w:sz w:val="23"/>
        </w:rPr>
      </w:pPr>
      <w:r>
        <w:rPr>
          <w:sz w:val="23"/>
        </w:rPr>
        <w:t>Мокрота собирается в одноразовый стерильный пластиковый контейнер объемом 30-50 мл, герметично закрывающийся завинчивающейся пробкой. Диаметр горлышка контейнера</w:t>
      </w:r>
      <w:r>
        <w:rPr>
          <w:spacing w:val="-4"/>
          <w:sz w:val="23"/>
        </w:rPr>
        <w:t> </w:t>
      </w:r>
      <w:r>
        <w:rPr>
          <w:sz w:val="23"/>
        </w:rPr>
        <w:t>должен</w:t>
      </w:r>
      <w:r>
        <w:rPr>
          <w:spacing w:val="-5"/>
          <w:sz w:val="23"/>
        </w:rPr>
        <w:t> </w:t>
      </w:r>
      <w:r>
        <w:rPr>
          <w:sz w:val="23"/>
        </w:rPr>
        <w:t>быть</w:t>
      </w:r>
      <w:r>
        <w:rPr>
          <w:spacing w:val="-6"/>
          <w:sz w:val="23"/>
        </w:rPr>
        <w:t> </w:t>
      </w:r>
      <w:r>
        <w:rPr>
          <w:sz w:val="23"/>
        </w:rPr>
        <w:t>не</w:t>
      </w:r>
      <w:r>
        <w:rPr>
          <w:spacing w:val="-4"/>
          <w:sz w:val="23"/>
        </w:rPr>
        <w:t> </w:t>
      </w:r>
      <w:r>
        <w:rPr>
          <w:sz w:val="23"/>
        </w:rPr>
        <w:t>менее</w:t>
      </w:r>
      <w:r>
        <w:rPr>
          <w:spacing w:val="-4"/>
          <w:sz w:val="23"/>
        </w:rPr>
        <w:t> </w:t>
      </w:r>
      <w:r>
        <w:rPr>
          <w:sz w:val="23"/>
        </w:rPr>
        <w:t>30</w:t>
      </w:r>
      <w:r>
        <w:rPr>
          <w:spacing w:val="-4"/>
          <w:sz w:val="23"/>
        </w:rPr>
        <w:t> </w:t>
      </w:r>
      <w:r>
        <w:rPr>
          <w:sz w:val="23"/>
        </w:rPr>
        <w:t>мм. Необходимо</w:t>
      </w:r>
      <w:r>
        <w:rPr>
          <w:spacing w:val="-4"/>
          <w:sz w:val="23"/>
        </w:rPr>
        <w:t> </w:t>
      </w:r>
      <w:r>
        <w:rPr>
          <w:sz w:val="23"/>
        </w:rPr>
        <w:t>убедиться,</w:t>
      </w:r>
      <w:r>
        <w:rPr>
          <w:spacing w:val="-4"/>
          <w:sz w:val="23"/>
        </w:rPr>
        <w:t> </w:t>
      </w:r>
      <w:r>
        <w:rPr>
          <w:sz w:val="23"/>
        </w:rPr>
        <w:t>что</w:t>
      </w:r>
      <w:r>
        <w:rPr>
          <w:spacing w:val="-4"/>
          <w:sz w:val="23"/>
        </w:rPr>
        <w:t> </w:t>
      </w:r>
      <w:r>
        <w:rPr>
          <w:sz w:val="23"/>
        </w:rPr>
        <w:t>собранный</w:t>
      </w:r>
      <w:r>
        <w:rPr>
          <w:spacing w:val="-5"/>
          <w:sz w:val="23"/>
        </w:rPr>
        <w:t> </w:t>
      </w:r>
      <w:r>
        <w:rPr>
          <w:sz w:val="23"/>
        </w:rPr>
        <w:t>материал представляет собой мокроту (отделяемое нижних дыхательных путей). Транспортировка образцов</w:t>
      </w:r>
      <w:r>
        <w:rPr>
          <w:spacing w:val="40"/>
          <w:sz w:val="23"/>
        </w:rPr>
        <w:t> </w:t>
      </w:r>
      <w:r>
        <w:rPr>
          <w:sz w:val="23"/>
        </w:rPr>
        <w:t>может</w:t>
      </w:r>
      <w:r>
        <w:rPr>
          <w:spacing w:val="74"/>
          <w:sz w:val="23"/>
        </w:rPr>
        <w:t> </w:t>
      </w:r>
      <w:r>
        <w:rPr>
          <w:sz w:val="23"/>
        </w:rPr>
        <w:t>проводиться</w:t>
      </w:r>
      <w:r>
        <w:rPr>
          <w:spacing w:val="74"/>
          <w:sz w:val="23"/>
        </w:rPr>
        <w:t> </w:t>
      </w:r>
      <w:r>
        <w:rPr>
          <w:sz w:val="23"/>
        </w:rPr>
        <w:t>при</w:t>
      </w:r>
      <w:r>
        <w:rPr>
          <w:spacing w:val="40"/>
          <w:sz w:val="23"/>
        </w:rPr>
        <w:t> </w:t>
      </w:r>
      <w:r>
        <w:rPr>
          <w:sz w:val="23"/>
        </w:rPr>
        <w:t>температуре</w:t>
      </w:r>
      <w:r>
        <w:rPr>
          <w:spacing w:val="75"/>
          <w:sz w:val="23"/>
        </w:rPr>
        <w:t> </w:t>
      </w:r>
      <w:r>
        <w:rPr>
          <w:sz w:val="23"/>
        </w:rPr>
        <w:t>+2°-+8</w:t>
      </w:r>
      <w:r>
        <w:rPr>
          <w:spacing w:val="74"/>
          <w:sz w:val="23"/>
        </w:rPr>
        <w:t> </w:t>
      </w:r>
      <w:r>
        <w:rPr>
          <w:sz w:val="23"/>
        </w:rPr>
        <w:t>°C.</w:t>
      </w:r>
      <w:r>
        <w:rPr>
          <w:spacing w:val="74"/>
          <w:sz w:val="23"/>
        </w:rPr>
        <w:t> </w:t>
      </w:r>
      <w:r>
        <w:rPr>
          <w:sz w:val="23"/>
        </w:rPr>
        <w:t>Время</w:t>
      </w:r>
      <w:r>
        <w:rPr>
          <w:spacing w:val="74"/>
          <w:sz w:val="23"/>
        </w:rPr>
        <w:t> </w:t>
      </w:r>
      <w:r>
        <w:rPr>
          <w:sz w:val="23"/>
        </w:rPr>
        <w:t>хранения</w:t>
      </w:r>
      <w:r>
        <w:rPr>
          <w:spacing w:val="74"/>
          <w:sz w:val="23"/>
        </w:rPr>
        <w:t> </w:t>
      </w:r>
      <w:r>
        <w:rPr>
          <w:sz w:val="23"/>
        </w:rPr>
        <w:t>образцов до</w:t>
      </w:r>
      <w:r>
        <w:rPr>
          <w:spacing w:val="80"/>
          <w:w w:val="150"/>
          <w:sz w:val="23"/>
        </w:rPr>
        <w:t> </w:t>
      </w:r>
      <w:r>
        <w:rPr>
          <w:sz w:val="23"/>
        </w:rPr>
        <w:t>исследования</w:t>
      </w:r>
      <w:r>
        <w:rPr>
          <w:spacing w:val="80"/>
          <w:w w:val="150"/>
          <w:sz w:val="23"/>
        </w:rPr>
        <w:t> </w:t>
      </w:r>
      <w:r>
        <w:rPr>
          <w:sz w:val="23"/>
        </w:rPr>
        <w:t>не</w:t>
      </w:r>
      <w:r>
        <w:rPr>
          <w:spacing w:val="80"/>
          <w:w w:val="150"/>
          <w:sz w:val="23"/>
        </w:rPr>
        <w:t> </w:t>
      </w:r>
      <w:r>
        <w:rPr>
          <w:sz w:val="23"/>
        </w:rPr>
        <w:t>должно</w:t>
      </w:r>
      <w:r>
        <w:rPr>
          <w:spacing w:val="80"/>
          <w:w w:val="150"/>
          <w:sz w:val="23"/>
        </w:rPr>
        <w:t> </w:t>
      </w:r>
      <w:r>
        <w:rPr>
          <w:sz w:val="23"/>
        </w:rPr>
        <w:t>превышать</w:t>
      </w:r>
      <w:r>
        <w:rPr>
          <w:spacing w:val="80"/>
          <w:w w:val="150"/>
          <w:sz w:val="23"/>
        </w:rPr>
        <w:t> </w:t>
      </w:r>
      <w:r>
        <w:rPr>
          <w:sz w:val="23"/>
        </w:rPr>
        <w:t>48</w:t>
      </w:r>
      <w:r>
        <w:rPr>
          <w:spacing w:val="80"/>
          <w:w w:val="150"/>
          <w:sz w:val="23"/>
        </w:rPr>
        <w:t> </w:t>
      </w:r>
      <w:r>
        <w:rPr>
          <w:sz w:val="23"/>
        </w:rPr>
        <w:t>часов</w:t>
      </w:r>
      <w:r>
        <w:rPr>
          <w:spacing w:val="80"/>
          <w:w w:val="150"/>
          <w:sz w:val="23"/>
        </w:rPr>
        <w:t> </w:t>
      </w:r>
      <w:r>
        <w:rPr>
          <w:sz w:val="23"/>
        </w:rPr>
        <w:t>при</w:t>
      </w:r>
      <w:r>
        <w:rPr>
          <w:spacing w:val="80"/>
          <w:w w:val="150"/>
          <w:sz w:val="23"/>
        </w:rPr>
        <w:t> </w:t>
      </w:r>
      <w:r>
        <w:rPr>
          <w:sz w:val="23"/>
        </w:rPr>
        <w:t>+2°-+8</w:t>
      </w:r>
      <w:r>
        <w:rPr>
          <w:spacing w:val="80"/>
          <w:w w:val="150"/>
          <w:sz w:val="23"/>
        </w:rPr>
        <w:t> </w:t>
      </w:r>
      <w:r>
        <w:rPr>
          <w:sz w:val="23"/>
        </w:rPr>
        <w:t>°C</w:t>
      </w:r>
      <w:r>
        <w:rPr>
          <w:spacing w:val="80"/>
          <w:w w:val="150"/>
          <w:sz w:val="23"/>
        </w:rPr>
        <w:t> </w:t>
      </w:r>
      <w:r>
        <w:rPr>
          <w:sz w:val="23"/>
        </w:rPr>
        <w:t>при</w:t>
      </w:r>
      <w:r>
        <w:rPr>
          <w:spacing w:val="80"/>
          <w:w w:val="150"/>
          <w:sz w:val="23"/>
        </w:rPr>
        <w:t> </w:t>
      </w:r>
      <w:r>
        <w:rPr>
          <w:sz w:val="23"/>
        </w:rPr>
        <w:t>хранении</w:t>
      </w:r>
      <w:r>
        <w:rPr>
          <w:spacing w:val="40"/>
          <w:sz w:val="23"/>
        </w:rPr>
        <w:t> </w:t>
      </w:r>
      <w:r>
        <w:rPr>
          <w:sz w:val="23"/>
        </w:rPr>
        <w:t>в</w:t>
      </w:r>
      <w:r>
        <w:rPr>
          <w:spacing w:val="-4"/>
          <w:sz w:val="23"/>
        </w:rPr>
        <w:t> </w:t>
      </w:r>
      <w:r>
        <w:rPr>
          <w:sz w:val="23"/>
        </w:rPr>
        <w:t>транспортной среде, содержащей противогрибковые и антибактериальные препараты, более - при -20 °C или -70 °C.</w:t>
      </w:r>
    </w:p>
    <w:p>
      <w:pPr>
        <w:spacing w:line="276" w:lineRule="auto" w:before="0"/>
        <w:ind w:left="141" w:right="706" w:firstLine="565"/>
        <w:jc w:val="both"/>
        <w:rPr>
          <w:sz w:val="23"/>
        </w:rPr>
      </w:pPr>
      <w:r>
        <w:rPr>
          <w:sz w:val="23"/>
        </w:rPr>
        <w:t>Эндотрахеальный</w:t>
      </w:r>
      <w:r>
        <w:rPr>
          <w:spacing w:val="80"/>
          <w:sz w:val="23"/>
        </w:rPr>
        <w:t> </w:t>
      </w:r>
      <w:r>
        <w:rPr>
          <w:sz w:val="23"/>
        </w:rPr>
        <w:t>аспират,</w:t>
      </w:r>
      <w:r>
        <w:rPr>
          <w:spacing w:val="80"/>
          <w:sz w:val="23"/>
        </w:rPr>
        <w:t> </w:t>
      </w:r>
      <w:r>
        <w:rPr>
          <w:sz w:val="23"/>
        </w:rPr>
        <w:t>аспират</w:t>
      </w:r>
      <w:r>
        <w:rPr>
          <w:spacing w:val="80"/>
          <w:sz w:val="23"/>
        </w:rPr>
        <w:t> </w:t>
      </w:r>
      <w:r>
        <w:rPr>
          <w:sz w:val="23"/>
        </w:rPr>
        <w:t>носоглотки</w:t>
      </w:r>
      <w:r>
        <w:rPr>
          <w:spacing w:val="80"/>
          <w:sz w:val="23"/>
        </w:rPr>
        <w:t> </w:t>
      </w:r>
      <w:r>
        <w:rPr>
          <w:sz w:val="23"/>
        </w:rPr>
        <w:t>или</w:t>
      </w:r>
      <w:r>
        <w:rPr>
          <w:spacing w:val="80"/>
          <w:sz w:val="23"/>
        </w:rPr>
        <w:t> </w:t>
      </w:r>
      <w:r>
        <w:rPr>
          <w:sz w:val="23"/>
        </w:rPr>
        <w:t>смыв</w:t>
      </w:r>
      <w:r>
        <w:rPr>
          <w:spacing w:val="80"/>
          <w:sz w:val="23"/>
        </w:rPr>
        <w:t> </w:t>
      </w:r>
      <w:r>
        <w:rPr>
          <w:sz w:val="23"/>
        </w:rPr>
        <w:t>из</w:t>
      </w:r>
      <w:r>
        <w:rPr>
          <w:spacing w:val="80"/>
          <w:sz w:val="23"/>
        </w:rPr>
        <w:t> </w:t>
      </w:r>
      <w:r>
        <w:rPr>
          <w:sz w:val="23"/>
        </w:rPr>
        <w:t>носа</w:t>
      </w:r>
      <w:r>
        <w:rPr>
          <w:spacing w:val="80"/>
          <w:sz w:val="23"/>
        </w:rPr>
        <w:t> </w:t>
      </w:r>
      <w:r>
        <w:rPr>
          <w:sz w:val="23"/>
        </w:rPr>
        <w:t>собирается</w:t>
      </w:r>
      <w:r>
        <w:rPr>
          <w:spacing w:val="80"/>
          <w:sz w:val="23"/>
        </w:rPr>
        <w:t> </w:t>
      </w:r>
      <w:r>
        <w:rPr>
          <w:sz w:val="23"/>
        </w:rPr>
        <w:t>в</w:t>
      </w:r>
      <w:r>
        <w:rPr>
          <w:spacing w:val="-6"/>
          <w:sz w:val="23"/>
        </w:rPr>
        <w:t> </w:t>
      </w:r>
      <w:r>
        <w:rPr>
          <w:sz w:val="23"/>
        </w:rPr>
        <w:t>стерильный</w:t>
      </w:r>
      <w:r>
        <w:rPr>
          <w:spacing w:val="-2"/>
          <w:sz w:val="23"/>
        </w:rPr>
        <w:t> </w:t>
      </w:r>
      <w:r>
        <w:rPr>
          <w:sz w:val="23"/>
        </w:rPr>
        <w:t>одноразовый</w:t>
      </w:r>
      <w:r>
        <w:rPr>
          <w:spacing w:val="-2"/>
          <w:sz w:val="23"/>
        </w:rPr>
        <w:t> </w:t>
      </w:r>
      <w:r>
        <w:rPr>
          <w:sz w:val="23"/>
        </w:rPr>
        <w:t>контейнер. Транспортировка образцов</w:t>
      </w:r>
      <w:r>
        <w:rPr>
          <w:spacing w:val="-2"/>
          <w:sz w:val="23"/>
        </w:rPr>
        <w:t> </w:t>
      </w:r>
      <w:r>
        <w:rPr>
          <w:sz w:val="23"/>
        </w:rPr>
        <w:t>может</w:t>
      </w:r>
      <w:r>
        <w:rPr>
          <w:spacing w:val="-2"/>
          <w:sz w:val="23"/>
        </w:rPr>
        <w:t> </w:t>
      </w:r>
      <w:r>
        <w:rPr>
          <w:sz w:val="23"/>
        </w:rPr>
        <w:t>проводиться</w:t>
      </w:r>
      <w:r>
        <w:rPr>
          <w:spacing w:val="-1"/>
          <w:sz w:val="23"/>
        </w:rPr>
        <w:t> </w:t>
      </w:r>
      <w:r>
        <w:rPr>
          <w:sz w:val="23"/>
        </w:rPr>
        <w:t>при температуре +2°-+8 °C. Время хранения образцов до исследования не должно превышать 48 ч при +2°-+8 °C, более – при -20 °C или -70 °C.</w:t>
      </w:r>
    </w:p>
    <w:p>
      <w:pPr>
        <w:spacing w:line="276" w:lineRule="auto" w:before="0"/>
        <w:ind w:left="141" w:right="706" w:firstLine="565"/>
        <w:jc w:val="both"/>
        <w:rPr>
          <w:sz w:val="23"/>
        </w:rPr>
      </w:pPr>
      <w:r>
        <w:rPr>
          <w:sz w:val="23"/>
        </w:rPr>
        <w:t>Бронхоальвеолярный лаваж собирается в стерильный одноразовый контейнер. Транспортировка</w:t>
      </w:r>
      <w:r>
        <w:rPr>
          <w:spacing w:val="-15"/>
          <w:sz w:val="23"/>
        </w:rPr>
        <w:t> </w:t>
      </w:r>
      <w:r>
        <w:rPr>
          <w:sz w:val="23"/>
        </w:rPr>
        <w:t>образцов</w:t>
      </w:r>
      <w:r>
        <w:rPr>
          <w:spacing w:val="-14"/>
          <w:sz w:val="23"/>
        </w:rPr>
        <w:t> </w:t>
      </w:r>
      <w:r>
        <w:rPr>
          <w:sz w:val="23"/>
        </w:rPr>
        <w:t>может</w:t>
      </w:r>
      <w:r>
        <w:rPr>
          <w:spacing w:val="-15"/>
          <w:sz w:val="23"/>
        </w:rPr>
        <w:t> </w:t>
      </w:r>
      <w:r>
        <w:rPr>
          <w:sz w:val="23"/>
        </w:rPr>
        <w:t>проводиться</w:t>
      </w:r>
      <w:r>
        <w:rPr>
          <w:spacing w:val="-14"/>
          <w:sz w:val="23"/>
        </w:rPr>
        <w:t> </w:t>
      </w:r>
      <w:r>
        <w:rPr>
          <w:sz w:val="23"/>
        </w:rPr>
        <w:t>при</w:t>
      </w:r>
      <w:r>
        <w:rPr>
          <w:spacing w:val="-14"/>
          <w:sz w:val="23"/>
        </w:rPr>
        <w:t> </w:t>
      </w:r>
      <w:r>
        <w:rPr>
          <w:sz w:val="23"/>
        </w:rPr>
        <w:t>температуре</w:t>
      </w:r>
      <w:r>
        <w:rPr>
          <w:spacing w:val="-15"/>
          <w:sz w:val="23"/>
        </w:rPr>
        <w:t> </w:t>
      </w:r>
      <w:r>
        <w:rPr>
          <w:sz w:val="23"/>
        </w:rPr>
        <w:t>+2°-+8</w:t>
      </w:r>
      <w:r>
        <w:rPr>
          <w:spacing w:val="-14"/>
          <w:sz w:val="23"/>
        </w:rPr>
        <w:t> </w:t>
      </w:r>
      <w:r>
        <w:rPr>
          <w:sz w:val="23"/>
        </w:rPr>
        <w:t>°C.</w:t>
      </w:r>
      <w:r>
        <w:rPr>
          <w:spacing w:val="-14"/>
          <w:sz w:val="23"/>
        </w:rPr>
        <w:t> </w:t>
      </w:r>
      <w:r>
        <w:rPr>
          <w:sz w:val="23"/>
        </w:rPr>
        <w:t>Время</w:t>
      </w:r>
      <w:r>
        <w:rPr>
          <w:spacing w:val="-15"/>
          <w:sz w:val="23"/>
        </w:rPr>
        <w:t> </w:t>
      </w:r>
      <w:r>
        <w:rPr>
          <w:sz w:val="23"/>
        </w:rPr>
        <w:t>хранения образцов до исследования не должно превышать 48 ч при +2°-+8 °C, более – при -20 °C или -70 °C.</w:t>
      </w:r>
    </w:p>
    <w:p>
      <w:pPr>
        <w:spacing w:line="276" w:lineRule="auto" w:before="0"/>
        <w:ind w:left="141" w:right="706" w:firstLine="565"/>
        <w:jc w:val="both"/>
        <w:rPr>
          <w:sz w:val="23"/>
        </w:rPr>
      </w:pPr>
      <w:r>
        <w:rPr>
          <w:sz w:val="23"/>
        </w:rPr>
        <w:t>Ткани биопсии или аутопсии, включая легкие, помещаются в одноразовые контейнеры</w:t>
      </w:r>
      <w:r>
        <w:rPr>
          <w:spacing w:val="80"/>
          <w:w w:val="150"/>
          <w:sz w:val="23"/>
        </w:rPr>
        <w:t>  </w:t>
      </w:r>
      <w:r>
        <w:rPr>
          <w:sz w:val="23"/>
        </w:rPr>
        <w:t>с</w:t>
      </w:r>
      <w:r>
        <w:rPr>
          <w:spacing w:val="80"/>
          <w:w w:val="150"/>
          <w:sz w:val="23"/>
        </w:rPr>
        <w:t>  </w:t>
      </w:r>
      <w:r>
        <w:rPr>
          <w:sz w:val="23"/>
        </w:rPr>
        <w:t>физиологическим</w:t>
      </w:r>
      <w:r>
        <w:rPr>
          <w:spacing w:val="80"/>
          <w:w w:val="150"/>
          <w:sz w:val="23"/>
        </w:rPr>
        <w:t>  </w:t>
      </w:r>
      <w:r>
        <w:rPr>
          <w:sz w:val="23"/>
        </w:rPr>
        <w:t>раствором,</w:t>
      </w:r>
      <w:r>
        <w:rPr>
          <w:spacing w:val="80"/>
          <w:w w:val="150"/>
          <w:sz w:val="23"/>
        </w:rPr>
        <w:t>  </w:t>
      </w:r>
      <w:r>
        <w:rPr>
          <w:sz w:val="23"/>
        </w:rPr>
        <w:t>содержащим</w:t>
      </w:r>
      <w:r>
        <w:rPr>
          <w:spacing w:val="80"/>
          <w:w w:val="150"/>
          <w:sz w:val="23"/>
        </w:rPr>
        <w:t>  </w:t>
      </w:r>
      <w:r>
        <w:rPr>
          <w:sz w:val="23"/>
        </w:rPr>
        <w:t>противогрибковые и</w:t>
      </w:r>
      <w:r>
        <w:rPr>
          <w:spacing w:val="-4"/>
          <w:sz w:val="23"/>
        </w:rPr>
        <w:t> </w:t>
      </w:r>
      <w:r>
        <w:rPr>
          <w:sz w:val="23"/>
        </w:rPr>
        <w:t>антибактериальные препараты (собираются в стерильный одноразовый контейнер). Транспортировка</w:t>
      </w:r>
      <w:r>
        <w:rPr>
          <w:spacing w:val="-15"/>
          <w:sz w:val="23"/>
        </w:rPr>
        <w:t> </w:t>
      </w:r>
      <w:r>
        <w:rPr>
          <w:sz w:val="23"/>
        </w:rPr>
        <w:t>образцов</w:t>
      </w:r>
      <w:r>
        <w:rPr>
          <w:spacing w:val="-14"/>
          <w:sz w:val="23"/>
        </w:rPr>
        <w:t> </w:t>
      </w:r>
      <w:r>
        <w:rPr>
          <w:sz w:val="23"/>
        </w:rPr>
        <w:t>может</w:t>
      </w:r>
      <w:r>
        <w:rPr>
          <w:spacing w:val="-15"/>
          <w:sz w:val="23"/>
        </w:rPr>
        <w:t> </w:t>
      </w:r>
      <w:r>
        <w:rPr>
          <w:sz w:val="23"/>
        </w:rPr>
        <w:t>проводиться</w:t>
      </w:r>
      <w:r>
        <w:rPr>
          <w:spacing w:val="-14"/>
          <w:sz w:val="23"/>
        </w:rPr>
        <w:t> </w:t>
      </w:r>
      <w:r>
        <w:rPr>
          <w:sz w:val="23"/>
        </w:rPr>
        <w:t>при</w:t>
      </w:r>
      <w:r>
        <w:rPr>
          <w:spacing w:val="-14"/>
          <w:sz w:val="23"/>
        </w:rPr>
        <w:t> </w:t>
      </w:r>
      <w:r>
        <w:rPr>
          <w:sz w:val="23"/>
        </w:rPr>
        <w:t>температуре</w:t>
      </w:r>
      <w:r>
        <w:rPr>
          <w:spacing w:val="-15"/>
          <w:sz w:val="23"/>
        </w:rPr>
        <w:t> </w:t>
      </w:r>
      <w:r>
        <w:rPr>
          <w:sz w:val="23"/>
        </w:rPr>
        <w:t>+2°-+8</w:t>
      </w:r>
      <w:r>
        <w:rPr>
          <w:spacing w:val="-14"/>
          <w:sz w:val="23"/>
        </w:rPr>
        <w:t> </w:t>
      </w:r>
      <w:r>
        <w:rPr>
          <w:sz w:val="23"/>
        </w:rPr>
        <w:t>°C.</w:t>
      </w:r>
      <w:r>
        <w:rPr>
          <w:spacing w:val="-14"/>
          <w:sz w:val="23"/>
        </w:rPr>
        <w:t> </w:t>
      </w:r>
      <w:r>
        <w:rPr>
          <w:sz w:val="23"/>
        </w:rPr>
        <w:t>Время</w:t>
      </w:r>
      <w:r>
        <w:rPr>
          <w:spacing w:val="-15"/>
          <w:sz w:val="23"/>
        </w:rPr>
        <w:t> </w:t>
      </w:r>
      <w:r>
        <w:rPr>
          <w:sz w:val="23"/>
        </w:rPr>
        <w:t>хранения образцов</w:t>
      </w:r>
      <w:r>
        <w:rPr>
          <w:spacing w:val="-11"/>
          <w:sz w:val="23"/>
        </w:rPr>
        <w:t> </w:t>
      </w:r>
      <w:r>
        <w:rPr>
          <w:sz w:val="23"/>
        </w:rPr>
        <w:t>до</w:t>
      </w:r>
      <w:r>
        <w:rPr>
          <w:spacing w:val="-9"/>
          <w:sz w:val="23"/>
        </w:rPr>
        <w:t> </w:t>
      </w:r>
      <w:r>
        <w:rPr>
          <w:sz w:val="23"/>
        </w:rPr>
        <w:t>исследования</w:t>
      </w:r>
      <w:r>
        <w:rPr>
          <w:spacing w:val="-10"/>
          <w:sz w:val="23"/>
        </w:rPr>
        <w:t> </w:t>
      </w:r>
      <w:r>
        <w:rPr>
          <w:sz w:val="23"/>
        </w:rPr>
        <w:t>не</w:t>
      </w:r>
      <w:r>
        <w:rPr>
          <w:spacing w:val="-9"/>
          <w:sz w:val="23"/>
        </w:rPr>
        <w:t> </w:t>
      </w:r>
      <w:r>
        <w:rPr>
          <w:sz w:val="23"/>
        </w:rPr>
        <w:t>должно</w:t>
      </w:r>
      <w:r>
        <w:rPr>
          <w:spacing w:val="-10"/>
          <w:sz w:val="23"/>
        </w:rPr>
        <w:t> </w:t>
      </w:r>
      <w:r>
        <w:rPr>
          <w:sz w:val="23"/>
        </w:rPr>
        <w:t>превышать</w:t>
      </w:r>
      <w:r>
        <w:rPr>
          <w:spacing w:val="-11"/>
          <w:sz w:val="23"/>
        </w:rPr>
        <w:t> </w:t>
      </w:r>
      <w:r>
        <w:rPr>
          <w:sz w:val="23"/>
        </w:rPr>
        <w:t>24</w:t>
      </w:r>
      <w:r>
        <w:rPr>
          <w:spacing w:val="-10"/>
          <w:sz w:val="23"/>
        </w:rPr>
        <w:t> </w:t>
      </w:r>
      <w:r>
        <w:rPr>
          <w:sz w:val="23"/>
        </w:rPr>
        <w:t>ч</w:t>
      </w:r>
      <w:r>
        <w:rPr>
          <w:spacing w:val="-10"/>
          <w:sz w:val="23"/>
        </w:rPr>
        <w:t> </w:t>
      </w:r>
      <w:r>
        <w:rPr>
          <w:sz w:val="23"/>
        </w:rPr>
        <w:t>при</w:t>
      </w:r>
      <w:r>
        <w:rPr>
          <w:spacing w:val="-11"/>
          <w:sz w:val="23"/>
        </w:rPr>
        <w:t> </w:t>
      </w:r>
      <w:r>
        <w:rPr>
          <w:sz w:val="23"/>
        </w:rPr>
        <w:t>+2°-+8</w:t>
      </w:r>
      <w:r>
        <w:rPr>
          <w:spacing w:val="-9"/>
          <w:sz w:val="23"/>
        </w:rPr>
        <w:t> </w:t>
      </w:r>
      <w:r>
        <w:rPr>
          <w:sz w:val="23"/>
        </w:rPr>
        <w:t>°C,</w:t>
      </w:r>
      <w:r>
        <w:rPr>
          <w:spacing w:val="-10"/>
          <w:sz w:val="23"/>
        </w:rPr>
        <w:t> </w:t>
      </w:r>
      <w:r>
        <w:rPr>
          <w:sz w:val="23"/>
        </w:rPr>
        <w:t>более</w:t>
      </w:r>
      <w:r>
        <w:rPr>
          <w:spacing w:val="-9"/>
          <w:sz w:val="23"/>
        </w:rPr>
        <w:t> </w:t>
      </w:r>
      <w:r>
        <w:rPr>
          <w:sz w:val="23"/>
        </w:rPr>
        <w:t>–</w:t>
      </w:r>
      <w:r>
        <w:rPr>
          <w:spacing w:val="-10"/>
          <w:sz w:val="23"/>
        </w:rPr>
        <w:t> </w:t>
      </w:r>
      <w:r>
        <w:rPr>
          <w:sz w:val="23"/>
        </w:rPr>
        <w:t>при</w:t>
      </w:r>
      <w:r>
        <w:rPr>
          <w:spacing w:val="-10"/>
          <w:sz w:val="23"/>
        </w:rPr>
        <w:t> </w:t>
      </w:r>
      <w:r>
        <w:rPr>
          <w:sz w:val="23"/>
        </w:rPr>
        <w:t>-20</w:t>
      </w:r>
      <w:r>
        <w:rPr>
          <w:spacing w:val="-10"/>
          <w:sz w:val="23"/>
        </w:rPr>
        <w:t> </w:t>
      </w:r>
      <w:r>
        <w:rPr>
          <w:sz w:val="23"/>
        </w:rPr>
        <w:t>°C</w:t>
      </w:r>
      <w:r>
        <w:rPr>
          <w:spacing w:val="-9"/>
          <w:sz w:val="23"/>
        </w:rPr>
        <w:t> </w:t>
      </w:r>
      <w:r>
        <w:rPr>
          <w:sz w:val="23"/>
        </w:rPr>
        <w:t>или</w:t>
      </w:r>
    </w:p>
    <w:p>
      <w:pPr>
        <w:spacing w:line="264" w:lineRule="exact" w:before="0"/>
        <w:ind w:left="141" w:right="0" w:firstLine="0"/>
        <w:jc w:val="both"/>
        <w:rPr>
          <w:sz w:val="23"/>
        </w:rPr>
      </w:pPr>
      <w:r>
        <w:rPr>
          <w:sz w:val="23"/>
        </w:rPr>
        <w:t>-70</w:t>
      </w:r>
      <w:r>
        <w:rPr>
          <w:spacing w:val="-1"/>
          <w:sz w:val="23"/>
        </w:rPr>
        <w:t> </w:t>
      </w:r>
      <w:r>
        <w:rPr>
          <w:spacing w:val="-5"/>
          <w:sz w:val="23"/>
        </w:rPr>
        <w:t>°C.</w:t>
      </w:r>
    </w:p>
    <w:p>
      <w:pPr>
        <w:spacing w:line="276" w:lineRule="auto" w:before="34"/>
        <w:ind w:left="141" w:right="711" w:firstLine="565"/>
        <w:jc w:val="both"/>
        <w:rPr>
          <w:sz w:val="23"/>
        </w:rPr>
      </w:pPr>
      <w:r>
        <w:rPr>
          <w:sz w:val="23"/>
        </w:rPr>
        <w:t>Для</w:t>
      </w:r>
      <w:r>
        <w:rPr>
          <w:spacing w:val="40"/>
          <w:sz w:val="23"/>
        </w:rPr>
        <w:t> </w:t>
      </w:r>
      <w:r>
        <w:rPr>
          <w:sz w:val="23"/>
        </w:rPr>
        <w:t>идентификации</w:t>
      </w:r>
      <w:r>
        <w:rPr>
          <w:spacing w:val="40"/>
          <w:sz w:val="23"/>
        </w:rPr>
        <w:t> </w:t>
      </w:r>
      <w:r>
        <w:rPr>
          <w:sz w:val="23"/>
        </w:rPr>
        <w:t>образцов</w:t>
      </w:r>
      <w:r>
        <w:rPr>
          <w:spacing w:val="40"/>
          <w:sz w:val="23"/>
        </w:rPr>
        <w:t> </w:t>
      </w:r>
      <w:r>
        <w:rPr>
          <w:sz w:val="23"/>
        </w:rPr>
        <w:t>контейнеры/пробирки</w:t>
      </w:r>
      <w:r>
        <w:rPr>
          <w:spacing w:val="40"/>
          <w:sz w:val="23"/>
        </w:rPr>
        <w:t> </w:t>
      </w:r>
      <w:r>
        <w:rPr>
          <w:sz w:val="23"/>
        </w:rPr>
        <w:t>маркируются</w:t>
      </w:r>
      <w:r>
        <w:rPr>
          <w:spacing w:val="40"/>
          <w:sz w:val="23"/>
        </w:rPr>
        <w:t> </w:t>
      </w:r>
      <w:r>
        <w:rPr>
          <w:sz w:val="23"/>
        </w:rPr>
        <w:t>в</w:t>
      </w:r>
      <w:r>
        <w:rPr>
          <w:spacing w:val="40"/>
          <w:sz w:val="23"/>
        </w:rPr>
        <w:t> </w:t>
      </w:r>
      <w:r>
        <w:rPr>
          <w:sz w:val="23"/>
        </w:rPr>
        <w:t>месте</w:t>
      </w:r>
      <w:r>
        <w:rPr>
          <w:spacing w:val="40"/>
          <w:sz w:val="23"/>
        </w:rPr>
        <w:t> </w:t>
      </w:r>
      <w:r>
        <w:rPr>
          <w:sz w:val="23"/>
        </w:rPr>
        <w:t>сбора</w:t>
      </w:r>
      <w:r>
        <w:rPr>
          <w:spacing w:val="80"/>
          <w:sz w:val="23"/>
        </w:rPr>
        <w:t> </w:t>
      </w:r>
      <w:r>
        <w:rPr>
          <w:sz w:val="23"/>
        </w:rPr>
        <w:t>с</w:t>
      </w:r>
      <w:r>
        <w:rPr>
          <w:spacing w:val="-15"/>
          <w:sz w:val="23"/>
        </w:rPr>
        <w:t> </w:t>
      </w:r>
      <w:r>
        <w:rPr>
          <w:sz w:val="23"/>
        </w:rPr>
        <w:t>использованием</w:t>
      </w:r>
      <w:r>
        <w:rPr>
          <w:spacing w:val="-14"/>
          <w:sz w:val="23"/>
        </w:rPr>
        <w:t> </w:t>
      </w:r>
      <w:r>
        <w:rPr>
          <w:sz w:val="23"/>
        </w:rPr>
        <w:t>самоклеящихся</w:t>
      </w:r>
      <w:r>
        <w:rPr>
          <w:spacing w:val="-15"/>
          <w:sz w:val="23"/>
        </w:rPr>
        <w:t> </w:t>
      </w:r>
      <w:r>
        <w:rPr>
          <w:sz w:val="23"/>
        </w:rPr>
        <w:t>этикеток</w:t>
      </w:r>
      <w:r>
        <w:rPr>
          <w:spacing w:val="-14"/>
          <w:sz w:val="23"/>
        </w:rPr>
        <w:t> </w:t>
      </w:r>
      <w:r>
        <w:rPr>
          <w:sz w:val="23"/>
        </w:rPr>
        <w:t>с</w:t>
      </w:r>
      <w:r>
        <w:rPr>
          <w:spacing w:val="-14"/>
          <w:sz w:val="23"/>
        </w:rPr>
        <w:t> </w:t>
      </w:r>
      <w:r>
        <w:rPr>
          <w:sz w:val="23"/>
        </w:rPr>
        <w:t>информацией,</w:t>
      </w:r>
      <w:r>
        <w:rPr>
          <w:spacing w:val="-15"/>
          <w:sz w:val="23"/>
        </w:rPr>
        <w:t> </w:t>
      </w:r>
      <w:r>
        <w:rPr>
          <w:sz w:val="23"/>
        </w:rPr>
        <w:t>обеспечивающей</w:t>
      </w:r>
      <w:r>
        <w:rPr>
          <w:spacing w:val="-14"/>
          <w:sz w:val="23"/>
        </w:rPr>
        <w:t> </w:t>
      </w:r>
      <w:r>
        <w:rPr>
          <w:sz w:val="23"/>
        </w:rPr>
        <w:t>однозначную идентификацию образца и его соответствие направлению.</w:t>
      </w:r>
    </w:p>
    <w:p>
      <w:pPr>
        <w:spacing w:line="276" w:lineRule="auto" w:before="0"/>
        <w:ind w:left="141" w:right="707" w:firstLine="565"/>
        <w:jc w:val="both"/>
        <w:rPr>
          <w:sz w:val="23"/>
        </w:rPr>
      </w:pPr>
      <w:r>
        <w:rPr>
          <w:sz w:val="23"/>
        </w:rPr>
        <w:t>Транспортировка в лабораторию герметично закрытых контейнеров с образцами осуществляется в специальных контейнерах/биксах. Направления и другая документация на бумажных носителях передается в отдельном полиэтиленовом пакете.</w:t>
      </w:r>
    </w:p>
    <w:p>
      <w:pPr>
        <w:spacing w:line="276" w:lineRule="auto" w:before="0"/>
        <w:ind w:left="141" w:right="707" w:firstLine="565"/>
        <w:jc w:val="both"/>
        <w:rPr>
          <w:sz w:val="23"/>
        </w:rPr>
      </w:pPr>
      <w:r>
        <w:rPr>
          <w:sz w:val="23"/>
        </w:rPr>
        <w:t>При необходимости передачи образцов в лабораторию другого медицинского учреждения выполняются требования к передачи инфекционных материалов II группы патогенности</w:t>
      </w:r>
      <w:r>
        <w:rPr>
          <w:spacing w:val="80"/>
          <w:sz w:val="23"/>
        </w:rPr>
        <w:t>  </w:t>
      </w:r>
      <w:r>
        <w:rPr>
          <w:sz w:val="23"/>
        </w:rPr>
        <w:t>(СанПиН</w:t>
      </w:r>
      <w:r>
        <w:rPr>
          <w:spacing w:val="80"/>
          <w:sz w:val="23"/>
        </w:rPr>
        <w:t>  </w:t>
      </w:r>
      <w:r>
        <w:rPr>
          <w:sz w:val="23"/>
        </w:rPr>
        <w:t>3.3686-21.</w:t>
      </w:r>
      <w:r>
        <w:rPr>
          <w:spacing w:val="80"/>
          <w:sz w:val="23"/>
        </w:rPr>
        <w:t>  </w:t>
      </w:r>
      <w:r>
        <w:rPr>
          <w:sz w:val="23"/>
        </w:rPr>
        <w:t>«Санитарно-эпидемиологические</w:t>
      </w:r>
      <w:r>
        <w:rPr>
          <w:spacing w:val="80"/>
          <w:sz w:val="23"/>
        </w:rPr>
        <w:t>  </w:t>
      </w:r>
      <w:r>
        <w:rPr>
          <w:sz w:val="23"/>
        </w:rPr>
        <w:t>требования по профилактике инфекционных болезней»).</w:t>
      </w:r>
    </w:p>
    <w:p>
      <w:pPr>
        <w:pStyle w:val="BodyText"/>
        <w:spacing w:before="8"/>
        <w:ind w:left="0"/>
        <w:jc w:val="left"/>
        <w:rPr>
          <w:sz w:val="15"/>
        </w:rPr>
      </w:pPr>
      <w:r>
        <w:rPr>
          <w:sz w:val="15"/>
        </w:rPr>
        <mc:AlternateContent>
          <mc:Choice Requires="wps">
            <w:drawing>
              <wp:anchor distT="0" distB="0" distL="0" distR="0" allowOverlap="1" layoutInCell="1" locked="0" behindDoc="1" simplePos="0" relativeHeight="487604736">
                <wp:simplePos x="0" y="0"/>
                <wp:positionH relativeFrom="page">
                  <wp:posOffset>1080820</wp:posOffset>
                </wp:positionH>
                <wp:positionV relativeFrom="paragraph">
                  <wp:posOffset>129878</wp:posOffset>
                </wp:positionV>
                <wp:extent cx="1829435" cy="9525"/>
                <wp:effectExtent l="0" t="0" r="0" b="0"/>
                <wp:wrapTopAndBottom/>
                <wp:docPr id="93" name="Graphic 93"/>
                <wp:cNvGraphicFramePr>
                  <a:graphicFrameLocks/>
                </wp:cNvGraphicFramePr>
                <a:graphic>
                  <a:graphicData uri="http://schemas.microsoft.com/office/word/2010/wordprocessingShape">
                    <wps:wsp>
                      <wps:cNvPr id="93" name="Graphic 93"/>
                      <wps:cNvSpPr/>
                      <wps:spPr>
                        <a:xfrm>
                          <a:off x="0" y="0"/>
                          <a:ext cx="1829435" cy="9525"/>
                        </a:xfrm>
                        <a:custGeom>
                          <a:avLst/>
                          <a:gdLst/>
                          <a:ahLst/>
                          <a:cxnLst/>
                          <a:rect l="l" t="t" r="r" b="b"/>
                          <a:pathLst>
                            <a:path w="1829435" h="9525">
                              <a:moveTo>
                                <a:pt x="1826318" y="1802"/>
                              </a:moveTo>
                              <a:lnTo>
                                <a:pt x="-1015" y="1802"/>
                              </a:lnTo>
                              <a:lnTo>
                                <a:pt x="-1015" y="10937"/>
                              </a:lnTo>
                              <a:lnTo>
                                <a:pt x="1826318" y="10937"/>
                              </a:lnTo>
                              <a:lnTo>
                                <a:pt x="1826318" y="1802"/>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85.023996pt;margin-top:10.368547pt;width:143.884618pt;height:.719293pt;mso-position-horizontal-relative:page;mso-position-vertical-relative:paragraph;z-index:-15711744;mso-wrap-distance-left:0;mso-wrap-distance-right:0" id="docshape77" filled="true" fillcolor="#000000" stroked="false">
                <v:fill type="solid"/>
                <w10:wrap type="topAndBottom"/>
              </v:rect>
            </w:pict>
          </mc:Fallback>
        </mc:AlternateContent>
      </w:r>
    </w:p>
    <w:p>
      <w:pPr>
        <w:pStyle w:val="BodyText"/>
        <w:ind w:left="0"/>
        <w:jc w:val="left"/>
        <w:rPr>
          <w:sz w:val="20"/>
        </w:rPr>
      </w:pPr>
    </w:p>
    <w:p>
      <w:pPr>
        <w:pStyle w:val="BodyText"/>
        <w:spacing w:before="190"/>
        <w:ind w:left="0"/>
        <w:jc w:val="left"/>
        <w:rPr>
          <w:sz w:val="20"/>
        </w:rPr>
      </w:pPr>
    </w:p>
    <w:p>
      <w:pPr>
        <w:spacing w:before="0"/>
        <w:ind w:left="141" w:right="710" w:firstLine="0"/>
        <w:jc w:val="both"/>
        <w:rPr>
          <w:sz w:val="20"/>
        </w:rPr>
      </w:pPr>
      <w:r>
        <w:rPr>
          <w:sz w:val="20"/>
          <w:vertAlign w:val="superscript"/>
        </w:rPr>
        <w:t>1</w:t>
      </w:r>
      <w:r>
        <w:rPr>
          <w:spacing w:val="-5"/>
          <w:sz w:val="20"/>
          <w:vertAlign w:val="baseline"/>
        </w:rPr>
        <w:t> </w:t>
      </w:r>
      <w:r>
        <w:rPr>
          <w:sz w:val="20"/>
          <w:vertAlign w:val="baseline"/>
        </w:rPr>
        <w:t>Методические рекомендации MP 3.1.0229-21 "Рекомендации по организации противоэпидемических мероприятий</w:t>
      </w:r>
      <w:r>
        <w:rPr>
          <w:spacing w:val="-12"/>
          <w:sz w:val="20"/>
          <w:vertAlign w:val="baseline"/>
        </w:rPr>
        <w:t> </w:t>
      </w:r>
      <w:r>
        <w:rPr>
          <w:sz w:val="20"/>
          <w:vertAlign w:val="baseline"/>
        </w:rPr>
        <w:t>в</w:t>
      </w:r>
      <w:r>
        <w:rPr>
          <w:spacing w:val="-11"/>
          <w:sz w:val="20"/>
          <w:vertAlign w:val="baseline"/>
        </w:rPr>
        <w:t> </w:t>
      </w:r>
      <w:r>
        <w:rPr>
          <w:sz w:val="20"/>
          <w:vertAlign w:val="baseline"/>
        </w:rPr>
        <w:t>медицинских</w:t>
      </w:r>
      <w:r>
        <w:rPr>
          <w:spacing w:val="-9"/>
          <w:sz w:val="20"/>
          <w:vertAlign w:val="baseline"/>
        </w:rPr>
        <w:t> </w:t>
      </w:r>
      <w:r>
        <w:rPr>
          <w:sz w:val="20"/>
          <w:vertAlign w:val="baseline"/>
        </w:rPr>
        <w:t>организациях,</w:t>
      </w:r>
      <w:r>
        <w:rPr>
          <w:spacing w:val="-11"/>
          <w:sz w:val="20"/>
          <w:vertAlign w:val="baseline"/>
        </w:rPr>
        <w:t> </w:t>
      </w:r>
      <w:r>
        <w:rPr>
          <w:sz w:val="20"/>
          <w:vertAlign w:val="baseline"/>
        </w:rPr>
        <w:t>осуществляющих</w:t>
      </w:r>
      <w:r>
        <w:rPr>
          <w:spacing w:val="-10"/>
          <w:sz w:val="20"/>
          <w:vertAlign w:val="baseline"/>
        </w:rPr>
        <w:t> </w:t>
      </w:r>
      <w:r>
        <w:rPr>
          <w:sz w:val="20"/>
          <w:vertAlign w:val="baseline"/>
        </w:rPr>
        <w:t>оказание</w:t>
      </w:r>
      <w:r>
        <w:rPr>
          <w:spacing w:val="-10"/>
          <w:sz w:val="20"/>
          <w:vertAlign w:val="baseline"/>
        </w:rPr>
        <w:t> </w:t>
      </w:r>
      <w:r>
        <w:rPr>
          <w:sz w:val="20"/>
          <w:vertAlign w:val="baseline"/>
        </w:rPr>
        <w:t>медицинской</w:t>
      </w:r>
      <w:r>
        <w:rPr>
          <w:spacing w:val="-10"/>
          <w:sz w:val="20"/>
          <w:vertAlign w:val="baseline"/>
        </w:rPr>
        <w:t> </w:t>
      </w:r>
      <w:r>
        <w:rPr>
          <w:sz w:val="20"/>
          <w:vertAlign w:val="baseline"/>
        </w:rPr>
        <w:t>помощи</w:t>
      </w:r>
      <w:r>
        <w:rPr>
          <w:spacing w:val="-12"/>
          <w:sz w:val="20"/>
          <w:vertAlign w:val="baseline"/>
        </w:rPr>
        <w:t> </w:t>
      </w:r>
      <w:r>
        <w:rPr>
          <w:sz w:val="20"/>
          <w:vertAlign w:val="baseline"/>
        </w:rPr>
        <w:t>пациентам с новой коронавирусной инфекцией (COVID-19) (подозрением на заболевание) в стационарных </w:t>
      </w:r>
      <w:r>
        <w:rPr>
          <w:spacing w:val="-2"/>
          <w:sz w:val="20"/>
          <w:vertAlign w:val="baseline"/>
        </w:rPr>
        <w:t>условиях"</w:t>
      </w:r>
    </w:p>
    <w:p>
      <w:pPr>
        <w:spacing w:after="0"/>
        <w:jc w:val="both"/>
        <w:rPr>
          <w:sz w:val="20"/>
        </w:rPr>
        <w:sectPr>
          <w:footerReference w:type="default" r:id="rId60"/>
          <w:pgSz w:w="11900" w:h="16840"/>
          <w:pgMar w:header="0" w:footer="697" w:top="1080" w:bottom="880" w:left="1559" w:right="566"/>
          <w:pgNumType w:start="172"/>
        </w:sectPr>
      </w:pPr>
    </w:p>
    <w:p>
      <w:pPr>
        <w:spacing w:line="276" w:lineRule="auto" w:before="72"/>
        <w:ind w:left="141" w:right="712" w:firstLine="565"/>
        <w:jc w:val="both"/>
        <w:rPr>
          <w:sz w:val="23"/>
        </w:rPr>
      </w:pPr>
      <w:bookmarkStart w:name="174" w:id="205"/>
      <w:bookmarkEnd w:id="205"/>
      <w:r>
        <w:rPr/>
      </w:r>
      <w:r>
        <w:rPr>
          <w:sz w:val="23"/>
        </w:rPr>
        <w:t>Пробирки/контейнеры с образцами вместе с крышкой герметизируют различными пластификаторами (парафин, парафильм и др.); емкость маркируют. Образцы каждого пациента</w:t>
      </w:r>
      <w:r>
        <w:rPr>
          <w:spacing w:val="-5"/>
          <w:sz w:val="23"/>
        </w:rPr>
        <w:t> </w:t>
      </w:r>
      <w:r>
        <w:rPr>
          <w:sz w:val="23"/>
        </w:rPr>
        <w:t>помещают</w:t>
      </w:r>
      <w:r>
        <w:rPr>
          <w:spacing w:val="-5"/>
          <w:sz w:val="23"/>
        </w:rPr>
        <w:t> </w:t>
      </w:r>
      <w:r>
        <w:rPr>
          <w:sz w:val="23"/>
        </w:rPr>
        <w:t>в</w:t>
      </w:r>
      <w:r>
        <w:rPr>
          <w:spacing w:val="-5"/>
          <w:sz w:val="23"/>
        </w:rPr>
        <w:t> </w:t>
      </w:r>
      <w:r>
        <w:rPr>
          <w:sz w:val="23"/>
        </w:rPr>
        <w:t>индивидуальный</w:t>
      </w:r>
      <w:r>
        <w:rPr>
          <w:spacing w:val="-6"/>
          <w:sz w:val="23"/>
        </w:rPr>
        <w:t> </w:t>
      </w:r>
      <w:r>
        <w:rPr>
          <w:sz w:val="23"/>
        </w:rPr>
        <w:t>герметичный</w:t>
      </w:r>
      <w:r>
        <w:rPr>
          <w:spacing w:val="-6"/>
          <w:sz w:val="23"/>
        </w:rPr>
        <w:t> </w:t>
      </w:r>
      <w:r>
        <w:rPr>
          <w:sz w:val="23"/>
        </w:rPr>
        <w:t>пакет</w:t>
      </w:r>
      <w:r>
        <w:rPr>
          <w:spacing w:val="-5"/>
          <w:sz w:val="23"/>
        </w:rPr>
        <w:t> </w:t>
      </w:r>
      <w:r>
        <w:rPr>
          <w:sz w:val="23"/>
        </w:rPr>
        <w:t>с</w:t>
      </w:r>
      <w:r>
        <w:rPr>
          <w:spacing w:val="-5"/>
          <w:sz w:val="23"/>
        </w:rPr>
        <w:t> </w:t>
      </w:r>
      <w:r>
        <w:rPr>
          <w:sz w:val="23"/>
        </w:rPr>
        <w:t>адсорбирующим</w:t>
      </w:r>
      <w:r>
        <w:rPr>
          <w:spacing w:val="-5"/>
          <w:sz w:val="23"/>
        </w:rPr>
        <w:t> </w:t>
      </w:r>
      <w:r>
        <w:rPr>
          <w:sz w:val="23"/>
        </w:rPr>
        <w:t>материалом и дополнительно упаковывают в общий герметичный пакет.</w:t>
      </w:r>
    </w:p>
    <w:p>
      <w:pPr>
        <w:spacing w:line="276" w:lineRule="auto" w:before="0"/>
        <w:ind w:left="141" w:right="707" w:firstLine="565"/>
        <w:jc w:val="both"/>
        <w:rPr>
          <w:sz w:val="23"/>
        </w:rPr>
      </w:pPr>
      <w:r>
        <w:rPr>
          <w:sz w:val="23"/>
        </w:rPr>
        <w:t>Два или более образца одного пациента могут быть упакованы в один пластиковый пакет.</w:t>
      </w:r>
      <w:r>
        <w:rPr>
          <w:spacing w:val="40"/>
          <w:sz w:val="23"/>
        </w:rPr>
        <w:t> </w:t>
      </w:r>
      <w:r>
        <w:rPr>
          <w:sz w:val="23"/>
        </w:rPr>
        <w:t>Запрещается</w:t>
      </w:r>
      <w:r>
        <w:rPr>
          <w:spacing w:val="40"/>
          <w:sz w:val="23"/>
        </w:rPr>
        <w:t> </w:t>
      </w:r>
      <w:r>
        <w:rPr>
          <w:sz w:val="23"/>
        </w:rPr>
        <w:t>упаковывать</w:t>
      </w:r>
      <w:r>
        <w:rPr>
          <w:spacing w:val="40"/>
          <w:sz w:val="23"/>
        </w:rPr>
        <w:t> </w:t>
      </w:r>
      <w:r>
        <w:rPr>
          <w:sz w:val="23"/>
        </w:rPr>
        <w:t>образцы</w:t>
      </w:r>
      <w:r>
        <w:rPr>
          <w:spacing w:val="40"/>
          <w:sz w:val="23"/>
        </w:rPr>
        <w:t> </w:t>
      </w:r>
      <w:r>
        <w:rPr>
          <w:sz w:val="23"/>
        </w:rPr>
        <w:t>биологического</w:t>
      </w:r>
      <w:r>
        <w:rPr>
          <w:spacing w:val="40"/>
          <w:sz w:val="23"/>
        </w:rPr>
        <w:t> </w:t>
      </w:r>
      <w:r>
        <w:rPr>
          <w:sz w:val="23"/>
        </w:rPr>
        <w:t>материала</w:t>
      </w:r>
      <w:r>
        <w:rPr>
          <w:spacing w:val="40"/>
          <w:sz w:val="23"/>
        </w:rPr>
        <w:t> </w:t>
      </w:r>
      <w:r>
        <w:rPr>
          <w:sz w:val="23"/>
        </w:rPr>
        <w:t>от</w:t>
      </w:r>
      <w:r>
        <w:rPr>
          <w:spacing w:val="40"/>
          <w:sz w:val="23"/>
        </w:rPr>
        <w:t> </w:t>
      </w:r>
      <w:r>
        <w:rPr>
          <w:sz w:val="23"/>
        </w:rPr>
        <w:t>разных</w:t>
      </w:r>
      <w:r>
        <w:rPr>
          <w:spacing w:val="40"/>
          <w:sz w:val="23"/>
        </w:rPr>
        <w:t> </w:t>
      </w:r>
      <w:r>
        <w:rPr>
          <w:sz w:val="23"/>
        </w:rPr>
        <w:t>людей</w:t>
      </w:r>
      <w:r>
        <w:rPr>
          <w:spacing w:val="40"/>
          <w:sz w:val="23"/>
        </w:rPr>
        <w:t> </w:t>
      </w:r>
      <w:r>
        <w:rPr>
          <w:sz w:val="23"/>
        </w:rPr>
        <w:t>в одну упаковку.</w:t>
      </w:r>
    </w:p>
    <w:p>
      <w:pPr>
        <w:spacing w:line="276" w:lineRule="auto" w:before="0"/>
        <w:ind w:left="141" w:right="708" w:firstLine="565"/>
        <w:jc w:val="both"/>
        <w:rPr>
          <w:sz w:val="23"/>
        </w:rPr>
      </w:pPr>
      <w:r>
        <w:rPr>
          <w:sz w:val="23"/>
        </w:rPr>
        <w:t>Пакет с контейнерами помещают в герметично закрывающийся контейнер для транспортировки биологических материалов. Контейнер помещают в пенопластовый термоконтейнер с охлаждающими термоэлементами. Транспортный контейнер опечатывается</w:t>
      </w:r>
      <w:r>
        <w:rPr>
          <w:spacing w:val="-17"/>
          <w:sz w:val="23"/>
        </w:rPr>
        <w:t> </w:t>
      </w:r>
      <w:r>
        <w:rPr>
          <w:sz w:val="23"/>
        </w:rPr>
        <w:t>и</w:t>
      </w:r>
      <w:r>
        <w:rPr>
          <w:spacing w:val="-14"/>
          <w:sz w:val="23"/>
        </w:rPr>
        <w:t> </w:t>
      </w:r>
      <w:r>
        <w:rPr>
          <w:sz w:val="23"/>
        </w:rPr>
        <w:t>маркируется.</w:t>
      </w:r>
      <w:r>
        <w:rPr>
          <w:spacing w:val="-15"/>
          <w:sz w:val="23"/>
        </w:rPr>
        <w:t> </w:t>
      </w:r>
      <w:r>
        <w:rPr>
          <w:sz w:val="23"/>
        </w:rPr>
        <w:t>В</w:t>
      </w:r>
      <w:r>
        <w:rPr>
          <w:spacing w:val="-14"/>
          <w:sz w:val="23"/>
        </w:rPr>
        <w:t> </w:t>
      </w:r>
      <w:r>
        <w:rPr>
          <w:sz w:val="23"/>
        </w:rPr>
        <w:t>контейнер</w:t>
      </w:r>
      <w:r>
        <w:rPr>
          <w:spacing w:val="-14"/>
          <w:sz w:val="23"/>
        </w:rPr>
        <w:t> </w:t>
      </w:r>
      <w:r>
        <w:rPr>
          <w:sz w:val="23"/>
        </w:rPr>
        <w:t>желательно</w:t>
      </w:r>
      <w:r>
        <w:rPr>
          <w:spacing w:val="-15"/>
          <w:sz w:val="23"/>
        </w:rPr>
        <w:t> </w:t>
      </w:r>
      <w:r>
        <w:rPr>
          <w:sz w:val="23"/>
        </w:rPr>
        <w:t>поместить</w:t>
      </w:r>
      <w:r>
        <w:rPr>
          <w:spacing w:val="-14"/>
          <w:sz w:val="23"/>
        </w:rPr>
        <w:t> </w:t>
      </w:r>
      <w:r>
        <w:rPr>
          <w:sz w:val="23"/>
        </w:rPr>
        <w:t>одноразовый</w:t>
      </w:r>
      <w:r>
        <w:rPr>
          <w:spacing w:val="-14"/>
          <w:sz w:val="23"/>
        </w:rPr>
        <w:t> </w:t>
      </w:r>
      <w:r>
        <w:rPr>
          <w:sz w:val="23"/>
        </w:rPr>
        <w:t>индикатор, контролирующий соблюдение температуры от +2° до +8 °С.</w:t>
      </w:r>
    </w:p>
    <w:p>
      <w:pPr>
        <w:spacing w:line="273" w:lineRule="auto" w:before="0"/>
        <w:ind w:left="141" w:right="712" w:firstLine="565"/>
        <w:jc w:val="both"/>
        <w:rPr>
          <w:sz w:val="23"/>
        </w:rPr>
      </w:pPr>
      <w:r>
        <w:rPr>
          <w:sz w:val="23"/>
        </w:rPr>
        <w:t>Сопроводительные документы помещаются в индивидуальную упаковку отдельно от биологического материала и прочно прикрепляются снаружи контейнера.</w:t>
      </w:r>
    </w:p>
    <w:p>
      <w:pPr>
        <w:pStyle w:val="BodyText"/>
        <w:spacing w:before="42"/>
        <w:ind w:left="0"/>
        <w:jc w:val="left"/>
        <w:rPr>
          <w:sz w:val="23"/>
        </w:rPr>
      </w:pPr>
    </w:p>
    <w:p>
      <w:pPr>
        <w:spacing w:before="0"/>
        <w:ind w:left="707" w:right="0" w:firstLine="0"/>
        <w:jc w:val="both"/>
        <w:rPr>
          <w:b/>
          <w:sz w:val="23"/>
        </w:rPr>
      </w:pPr>
      <w:r>
        <w:rPr>
          <w:b/>
          <w:sz w:val="23"/>
        </w:rPr>
        <w:t>Направление</w:t>
      </w:r>
      <w:r>
        <w:rPr>
          <w:b/>
          <w:spacing w:val="-3"/>
          <w:sz w:val="23"/>
        </w:rPr>
        <w:t> </w:t>
      </w:r>
      <w:r>
        <w:rPr>
          <w:b/>
          <w:sz w:val="23"/>
        </w:rPr>
        <w:t>на</w:t>
      </w:r>
      <w:r>
        <w:rPr>
          <w:b/>
          <w:spacing w:val="-3"/>
          <w:sz w:val="23"/>
        </w:rPr>
        <w:t> </w:t>
      </w:r>
      <w:r>
        <w:rPr>
          <w:b/>
          <w:spacing w:val="-2"/>
          <w:sz w:val="23"/>
        </w:rPr>
        <w:t>исследование</w:t>
      </w:r>
    </w:p>
    <w:p>
      <w:pPr>
        <w:spacing w:line="276" w:lineRule="auto" w:before="40"/>
        <w:ind w:left="141" w:right="713" w:firstLine="565"/>
        <w:jc w:val="both"/>
        <w:rPr>
          <w:sz w:val="23"/>
        </w:rPr>
      </w:pPr>
      <w:r>
        <w:rPr>
          <w:sz w:val="23"/>
        </w:rPr>
        <w:t>Направление на лабораторное исследование оформляется в электронном виде</w:t>
      </w:r>
      <w:r>
        <w:rPr>
          <w:spacing w:val="80"/>
          <w:sz w:val="23"/>
        </w:rPr>
        <w:t> </w:t>
      </w:r>
      <w:r>
        <w:rPr>
          <w:sz w:val="23"/>
        </w:rPr>
        <w:t>(через</w:t>
      </w:r>
      <w:r>
        <w:rPr>
          <w:spacing w:val="69"/>
          <w:sz w:val="23"/>
        </w:rPr>
        <w:t> </w:t>
      </w:r>
      <w:r>
        <w:rPr>
          <w:sz w:val="23"/>
        </w:rPr>
        <w:t>систему</w:t>
      </w:r>
      <w:r>
        <w:rPr>
          <w:spacing w:val="70"/>
          <w:sz w:val="23"/>
        </w:rPr>
        <w:t> </w:t>
      </w:r>
      <w:r>
        <w:rPr>
          <w:sz w:val="23"/>
        </w:rPr>
        <w:t>удаленной</w:t>
      </w:r>
      <w:r>
        <w:rPr>
          <w:spacing w:val="68"/>
          <w:sz w:val="23"/>
        </w:rPr>
        <w:t> </w:t>
      </w:r>
      <w:r>
        <w:rPr>
          <w:sz w:val="23"/>
        </w:rPr>
        <w:t>электронной</w:t>
      </w:r>
      <w:r>
        <w:rPr>
          <w:spacing w:val="68"/>
          <w:sz w:val="23"/>
        </w:rPr>
        <w:t> </w:t>
      </w:r>
      <w:r>
        <w:rPr>
          <w:sz w:val="23"/>
        </w:rPr>
        <w:t>регистрации</w:t>
      </w:r>
      <w:r>
        <w:rPr>
          <w:spacing w:val="68"/>
          <w:sz w:val="23"/>
        </w:rPr>
        <w:t> </w:t>
      </w:r>
      <w:r>
        <w:rPr>
          <w:sz w:val="23"/>
        </w:rPr>
        <w:t>или</w:t>
      </w:r>
      <w:r>
        <w:rPr>
          <w:spacing w:val="68"/>
          <w:sz w:val="23"/>
        </w:rPr>
        <w:t> </w:t>
      </w:r>
      <w:r>
        <w:rPr>
          <w:sz w:val="23"/>
        </w:rPr>
        <w:t>в</w:t>
      </w:r>
      <w:r>
        <w:rPr>
          <w:spacing w:val="68"/>
          <w:sz w:val="23"/>
        </w:rPr>
        <w:t> </w:t>
      </w:r>
      <w:r>
        <w:rPr>
          <w:sz w:val="23"/>
        </w:rPr>
        <w:t>виде</w:t>
      </w:r>
      <w:r>
        <w:rPr>
          <w:spacing w:val="70"/>
          <w:sz w:val="23"/>
        </w:rPr>
        <w:t> </w:t>
      </w:r>
      <w:r>
        <w:rPr>
          <w:sz w:val="23"/>
        </w:rPr>
        <w:t>электронного</w:t>
      </w:r>
      <w:r>
        <w:rPr>
          <w:spacing w:val="69"/>
          <w:sz w:val="23"/>
        </w:rPr>
        <w:t> </w:t>
      </w:r>
      <w:r>
        <w:rPr>
          <w:sz w:val="23"/>
        </w:rPr>
        <w:t>заказа в программе МИС врачом-клиницистом) или на бумажном носителе.</w:t>
      </w:r>
    </w:p>
    <w:p>
      <w:pPr>
        <w:spacing w:line="263" w:lineRule="exact" w:before="0"/>
        <w:ind w:left="707" w:right="0" w:firstLine="0"/>
        <w:jc w:val="both"/>
        <w:rPr>
          <w:sz w:val="23"/>
        </w:rPr>
      </w:pPr>
      <w:r>
        <w:rPr>
          <w:sz w:val="23"/>
        </w:rPr>
        <w:t>Направление</w:t>
      </w:r>
      <w:r>
        <w:rPr>
          <w:spacing w:val="-10"/>
          <w:sz w:val="23"/>
        </w:rPr>
        <w:t> </w:t>
      </w:r>
      <w:r>
        <w:rPr>
          <w:sz w:val="23"/>
        </w:rPr>
        <w:t>на</w:t>
      </w:r>
      <w:r>
        <w:rPr>
          <w:spacing w:val="-7"/>
          <w:sz w:val="23"/>
        </w:rPr>
        <w:t> </w:t>
      </w:r>
      <w:r>
        <w:rPr>
          <w:sz w:val="23"/>
        </w:rPr>
        <w:t>лабораторное</w:t>
      </w:r>
      <w:r>
        <w:rPr>
          <w:spacing w:val="-8"/>
          <w:sz w:val="23"/>
        </w:rPr>
        <w:t> </w:t>
      </w:r>
      <w:r>
        <w:rPr>
          <w:sz w:val="23"/>
        </w:rPr>
        <w:t>исследование</w:t>
      </w:r>
      <w:r>
        <w:rPr>
          <w:spacing w:val="-7"/>
          <w:sz w:val="23"/>
        </w:rPr>
        <w:t> </w:t>
      </w:r>
      <w:r>
        <w:rPr>
          <w:sz w:val="23"/>
        </w:rPr>
        <w:t>должно</w:t>
      </w:r>
      <w:r>
        <w:rPr>
          <w:spacing w:val="-7"/>
          <w:sz w:val="23"/>
        </w:rPr>
        <w:t> </w:t>
      </w:r>
      <w:r>
        <w:rPr>
          <w:spacing w:val="-2"/>
          <w:sz w:val="23"/>
        </w:rPr>
        <w:t>содержать:</w:t>
      </w:r>
    </w:p>
    <w:p>
      <w:pPr>
        <w:pStyle w:val="ListParagraph"/>
        <w:numPr>
          <w:ilvl w:val="0"/>
          <w:numId w:val="81"/>
        </w:numPr>
        <w:tabs>
          <w:tab w:pos="568" w:val="left" w:leader="none"/>
        </w:tabs>
        <w:spacing w:line="261" w:lineRule="auto" w:before="42" w:after="0"/>
        <w:ind w:left="568" w:right="713" w:hanging="360"/>
        <w:jc w:val="both"/>
        <w:rPr>
          <w:sz w:val="24"/>
        </w:rPr>
      </w:pPr>
      <w:r>
        <w:rPr>
          <w:sz w:val="24"/>
        </w:rPr>
        <w:t>персональные данные пациента, обеспечивающие его однозначную </w:t>
      </w:r>
      <w:r>
        <w:rPr>
          <w:spacing w:val="-2"/>
          <w:sz w:val="24"/>
        </w:rPr>
        <w:t>идентификацию;</w:t>
      </w:r>
    </w:p>
    <w:p>
      <w:pPr>
        <w:pStyle w:val="ListParagraph"/>
        <w:numPr>
          <w:ilvl w:val="0"/>
          <w:numId w:val="81"/>
        </w:numPr>
        <w:tabs>
          <w:tab w:pos="567" w:val="left" w:leader="none"/>
        </w:tabs>
        <w:spacing w:line="240" w:lineRule="auto" w:before="19" w:after="0"/>
        <w:ind w:left="567" w:right="0" w:hanging="359"/>
        <w:jc w:val="both"/>
        <w:rPr>
          <w:sz w:val="24"/>
        </w:rPr>
      </w:pPr>
      <w:r>
        <w:rPr>
          <w:spacing w:val="-2"/>
          <w:sz w:val="24"/>
        </w:rPr>
        <w:t>наименование</w:t>
      </w:r>
      <w:r>
        <w:rPr>
          <w:spacing w:val="2"/>
          <w:sz w:val="24"/>
        </w:rPr>
        <w:t> </w:t>
      </w:r>
      <w:r>
        <w:rPr>
          <w:spacing w:val="-2"/>
          <w:sz w:val="24"/>
        </w:rPr>
        <w:t>направившего</w:t>
      </w:r>
      <w:r>
        <w:rPr>
          <w:spacing w:val="3"/>
          <w:sz w:val="24"/>
        </w:rPr>
        <w:t> </w:t>
      </w:r>
      <w:r>
        <w:rPr>
          <w:spacing w:val="-2"/>
          <w:sz w:val="24"/>
        </w:rPr>
        <w:t>биоматериал</w:t>
      </w:r>
      <w:r>
        <w:rPr>
          <w:spacing w:val="3"/>
          <w:sz w:val="24"/>
        </w:rPr>
        <w:t> </w:t>
      </w:r>
      <w:r>
        <w:rPr>
          <w:spacing w:val="-2"/>
          <w:sz w:val="24"/>
        </w:rPr>
        <w:t>отделения</w:t>
      </w:r>
      <w:r>
        <w:rPr>
          <w:spacing w:val="3"/>
          <w:sz w:val="24"/>
        </w:rPr>
        <w:t> </w:t>
      </w:r>
      <w:r>
        <w:rPr>
          <w:spacing w:val="-2"/>
          <w:sz w:val="24"/>
        </w:rPr>
        <w:t>(организации);</w:t>
      </w:r>
    </w:p>
    <w:p>
      <w:pPr>
        <w:pStyle w:val="ListParagraph"/>
        <w:numPr>
          <w:ilvl w:val="0"/>
          <w:numId w:val="81"/>
        </w:numPr>
        <w:tabs>
          <w:tab w:pos="568" w:val="left" w:leader="none"/>
          <w:tab w:pos="2762" w:val="left" w:leader="none"/>
          <w:tab w:pos="3953" w:val="left" w:leader="none"/>
          <w:tab w:pos="5667" w:val="left" w:leader="none"/>
          <w:tab w:pos="7413" w:val="left" w:leader="none"/>
          <w:tab w:pos="8182" w:val="left" w:leader="none"/>
        </w:tabs>
        <w:spacing w:line="264" w:lineRule="auto" w:before="31" w:after="0"/>
        <w:ind w:left="568" w:right="712" w:hanging="360"/>
        <w:jc w:val="left"/>
        <w:rPr>
          <w:sz w:val="24"/>
        </w:rPr>
      </w:pPr>
      <w:r>
        <w:rPr>
          <w:spacing w:val="-2"/>
          <w:sz w:val="24"/>
        </w:rPr>
        <w:t>предварительный</w:t>
      </w:r>
      <w:r>
        <w:rPr>
          <w:sz w:val="24"/>
        </w:rPr>
        <w:tab/>
      </w:r>
      <w:r>
        <w:rPr>
          <w:spacing w:val="-2"/>
          <w:sz w:val="24"/>
        </w:rPr>
        <w:t>диагноз</w:t>
      </w:r>
      <w:r>
        <w:rPr>
          <w:sz w:val="24"/>
        </w:rPr>
        <w:tab/>
      </w:r>
      <w:r>
        <w:rPr>
          <w:spacing w:val="-2"/>
          <w:sz w:val="24"/>
        </w:rPr>
        <w:t>заболевания:</w:t>
      </w:r>
      <w:r>
        <w:rPr>
          <w:sz w:val="24"/>
        </w:rPr>
        <w:tab/>
      </w:r>
      <w:r>
        <w:rPr>
          <w:spacing w:val="-2"/>
          <w:sz w:val="24"/>
        </w:rPr>
        <w:t>«пневмония»</w:t>
      </w:r>
      <w:r>
        <w:rPr>
          <w:sz w:val="24"/>
        </w:rPr>
        <w:tab/>
      </w:r>
      <w:r>
        <w:rPr>
          <w:spacing w:val="-4"/>
          <w:sz w:val="24"/>
        </w:rPr>
        <w:t>или</w:t>
      </w:r>
      <w:r>
        <w:rPr>
          <w:sz w:val="24"/>
        </w:rPr>
        <w:tab/>
      </w:r>
      <w:r>
        <w:rPr>
          <w:spacing w:val="-2"/>
          <w:sz w:val="24"/>
        </w:rPr>
        <w:t>«ОРВИ» </w:t>
      </w:r>
      <w:r>
        <w:rPr>
          <w:sz w:val="24"/>
        </w:rPr>
        <w:t>или «обследование контактировавших лиц на SARS-CoV-2»;</w:t>
      </w:r>
    </w:p>
    <w:p>
      <w:pPr>
        <w:pStyle w:val="ListParagraph"/>
        <w:numPr>
          <w:ilvl w:val="0"/>
          <w:numId w:val="81"/>
        </w:numPr>
        <w:tabs>
          <w:tab w:pos="568" w:val="left" w:leader="none"/>
        </w:tabs>
        <w:spacing w:line="240" w:lineRule="auto" w:before="14" w:after="0"/>
        <w:ind w:left="568" w:right="0" w:hanging="360"/>
        <w:jc w:val="left"/>
        <w:rPr>
          <w:sz w:val="24"/>
        </w:rPr>
      </w:pPr>
      <w:r>
        <w:rPr>
          <w:spacing w:val="-2"/>
          <w:sz w:val="24"/>
        </w:rPr>
        <w:t>указание</w:t>
      </w:r>
      <w:r>
        <w:rPr>
          <w:spacing w:val="3"/>
          <w:sz w:val="24"/>
        </w:rPr>
        <w:t> </w:t>
      </w:r>
      <w:r>
        <w:rPr>
          <w:spacing w:val="-2"/>
          <w:sz w:val="24"/>
        </w:rPr>
        <w:t>вида</w:t>
      </w:r>
      <w:r>
        <w:rPr>
          <w:spacing w:val="3"/>
          <w:sz w:val="24"/>
        </w:rPr>
        <w:t> </w:t>
      </w:r>
      <w:r>
        <w:rPr>
          <w:spacing w:val="-2"/>
          <w:sz w:val="24"/>
        </w:rPr>
        <w:t>диагностического</w:t>
      </w:r>
      <w:r>
        <w:rPr>
          <w:spacing w:val="3"/>
          <w:sz w:val="24"/>
        </w:rPr>
        <w:t> </w:t>
      </w:r>
      <w:r>
        <w:rPr>
          <w:spacing w:val="-2"/>
          <w:sz w:val="24"/>
        </w:rPr>
        <w:t>материала;</w:t>
      </w:r>
    </w:p>
    <w:p>
      <w:pPr>
        <w:pStyle w:val="ListParagraph"/>
        <w:numPr>
          <w:ilvl w:val="0"/>
          <w:numId w:val="81"/>
        </w:numPr>
        <w:tabs>
          <w:tab w:pos="568" w:val="left" w:leader="none"/>
        </w:tabs>
        <w:spacing w:line="240" w:lineRule="auto" w:before="33" w:after="0"/>
        <w:ind w:left="568" w:right="0" w:hanging="360"/>
        <w:jc w:val="left"/>
        <w:rPr>
          <w:sz w:val="24"/>
        </w:rPr>
      </w:pPr>
      <w:r>
        <w:rPr>
          <w:sz w:val="24"/>
        </w:rPr>
        <w:t>дату</w:t>
      </w:r>
      <w:r>
        <w:rPr>
          <w:spacing w:val="-12"/>
          <w:sz w:val="24"/>
        </w:rPr>
        <w:t> </w:t>
      </w:r>
      <w:r>
        <w:rPr>
          <w:sz w:val="24"/>
        </w:rPr>
        <w:t>и</w:t>
      </w:r>
      <w:r>
        <w:rPr>
          <w:spacing w:val="-10"/>
          <w:sz w:val="24"/>
        </w:rPr>
        <w:t> </w:t>
      </w:r>
      <w:r>
        <w:rPr>
          <w:sz w:val="24"/>
        </w:rPr>
        <w:t>время</w:t>
      </w:r>
      <w:r>
        <w:rPr>
          <w:spacing w:val="-11"/>
          <w:sz w:val="24"/>
        </w:rPr>
        <w:t> </w:t>
      </w:r>
      <w:r>
        <w:rPr>
          <w:sz w:val="24"/>
        </w:rPr>
        <w:t>назначения</w:t>
      </w:r>
      <w:r>
        <w:rPr>
          <w:spacing w:val="-12"/>
          <w:sz w:val="24"/>
        </w:rPr>
        <w:t> </w:t>
      </w:r>
      <w:r>
        <w:rPr>
          <w:sz w:val="24"/>
        </w:rPr>
        <w:t>лабораторного</w:t>
      </w:r>
      <w:r>
        <w:rPr>
          <w:spacing w:val="-11"/>
          <w:sz w:val="24"/>
        </w:rPr>
        <w:t> </w:t>
      </w:r>
      <w:r>
        <w:rPr>
          <w:spacing w:val="-2"/>
          <w:sz w:val="24"/>
        </w:rPr>
        <w:t>исследования;</w:t>
      </w:r>
    </w:p>
    <w:p>
      <w:pPr>
        <w:pStyle w:val="ListParagraph"/>
        <w:numPr>
          <w:ilvl w:val="0"/>
          <w:numId w:val="81"/>
        </w:numPr>
        <w:tabs>
          <w:tab w:pos="568" w:val="left" w:leader="none"/>
        </w:tabs>
        <w:spacing w:line="240" w:lineRule="auto" w:before="32" w:after="0"/>
        <w:ind w:left="568" w:right="0" w:hanging="360"/>
        <w:jc w:val="left"/>
        <w:rPr>
          <w:sz w:val="24"/>
        </w:rPr>
      </w:pPr>
      <w:r>
        <w:rPr>
          <w:sz w:val="24"/>
        </w:rPr>
        <w:t>дату</w:t>
      </w:r>
      <w:r>
        <w:rPr>
          <w:spacing w:val="-7"/>
          <w:sz w:val="24"/>
        </w:rPr>
        <w:t> </w:t>
      </w:r>
      <w:r>
        <w:rPr>
          <w:sz w:val="24"/>
        </w:rPr>
        <w:t>и</w:t>
      </w:r>
      <w:r>
        <w:rPr>
          <w:spacing w:val="-5"/>
          <w:sz w:val="24"/>
        </w:rPr>
        <w:t> </w:t>
      </w:r>
      <w:r>
        <w:rPr>
          <w:sz w:val="24"/>
        </w:rPr>
        <w:t>время</w:t>
      </w:r>
      <w:r>
        <w:rPr>
          <w:spacing w:val="-7"/>
          <w:sz w:val="24"/>
        </w:rPr>
        <w:t> </w:t>
      </w:r>
      <w:r>
        <w:rPr>
          <w:sz w:val="24"/>
        </w:rPr>
        <w:t>взятия</w:t>
      </w:r>
      <w:r>
        <w:rPr>
          <w:spacing w:val="-7"/>
          <w:sz w:val="24"/>
        </w:rPr>
        <w:t> </w:t>
      </w:r>
      <w:r>
        <w:rPr>
          <w:spacing w:val="-2"/>
          <w:sz w:val="24"/>
        </w:rPr>
        <w:t>материала;</w:t>
      </w:r>
    </w:p>
    <w:p>
      <w:pPr>
        <w:pStyle w:val="ListParagraph"/>
        <w:numPr>
          <w:ilvl w:val="0"/>
          <w:numId w:val="81"/>
        </w:numPr>
        <w:tabs>
          <w:tab w:pos="568" w:val="left" w:leader="none"/>
        </w:tabs>
        <w:spacing w:line="264" w:lineRule="auto" w:before="33" w:after="0"/>
        <w:ind w:left="568" w:right="713" w:hanging="360"/>
        <w:jc w:val="left"/>
        <w:rPr>
          <w:sz w:val="24"/>
        </w:rPr>
      </w:pPr>
      <w:r>
        <w:rPr>
          <w:sz w:val="24"/>
        </w:rPr>
        <w:t>фамилию,</w:t>
      </w:r>
      <w:r>
        <w:rPr>
          <w:spacing w:val="80"/>
          <w:w w:val="150"/>
          <w:sz w:val="24"/>
        </w:rPr>
        <w:t> </w:t>
      </w:r>
      <w:r>
        <w:rPr>
          <w:sz w:val="24"/>
        </w:rPr>
        <w:t>имя,</w:t>
      </w:r>
      <w:r>
        <w:rPr>
          <w:spacing w:val="80"/>
          <w:w w:val="150"/>
          <w:sz w:val="24"/>
        </w:rPr>
        <w:t> </w:t>
      </w:r>
      <w:r>
        <w:rPr>
          <w:sz w:val="24"/>
        </w:rPr>
        <w:t>отчество</w:t>
      </w:r>
      <w:r>
        <w:rPr>
          <w:spacing w:val="80"/>
          <w:w w:val="150"/>
          <w:sz w:val="24"/>
        </w:rPr>
        <w:t> </w:t>
      </w:r>
      <w:r>
        <w:rPr>
          <w:sz w:val="24"/>
        </w:rPr>
        <w:t>(при</w:t>
      </w:r>
      <w:r>
        <w:rPr>
          <w:spacing w:val="80"/>
          <w:w w:val="150"/>
          <w:sz w:val="24"/>
        </w:rPr>
        <w:t> </w:t>
      </w:r>
      <w:r>
        <w:rPr>
          <w:sz w:val="24"/>
        </w:rPr>
        <w:t>наличии)</w:t>
      </w:r>
      <w:r>
        <w:rPr>
          <w:spacing w:val="80"/>
          <w:sz w:val="24"/>
        </w:rPr>
        <w:t> </w:t>
      </w:r>
      <w:r>
        <w:rPr>
          <w:sz w:val="24"/>
        </w:rPr>
        <w:t>и</w:t>
      </w:r>
      <w:r>
        <w:rPr>
          <w:spacing w:val="80"/>
          <w:sz w:val="24"/>
        </w:rPr>
        <w:t> </w:t>
      </w:r>
      <w:r>
        <w:rPr>
          <w:sz w:val="24"/>
        </w:rPr>
        <w:t>должности</w:t>
      </w:r>
      <w:r>
        <w:rPr>
          <w:spacing w:val="80"/>
          <w:w w:val="150"/>
          <w:sz w:val="24"/>
        </w:rPr>
        <w:t> </w:t>
      </w:r>
      <w:r>
        <w:rPr>
          <w:sz w:val="24"/>
        </w:rPr>
        <w:t>врача</w:t>
      </w:r>
      <w:r>
        <w:rPr>
          <w:spacing w:val="80"/>
          <w:w w:val="150"/>
          <w:sz w:val="24"/>
        </w:rPr>
        <w:t> </w:t>
      </w:r>
      <w:r>
        <w:rPr>
          <w:sz w:val="24"/>
        </w:rPr>
        <w:t>либо</w:t>
      </w:r>
      <w:r>
        <w:rPr>
          <w:spacing w:val="80"/>
          <w:w w:val="150"/>
          <w:sz w:val="24"/>
        </w:rPr>
        <w:t> </w:t>
      </w:r>
      <w:r>
        <w:rPr>
          <w:sz w:val="24"/>
        </w:rPr>
        <w:t>другого уполномоченного представителя, назначившего лабораторное исследование;</w:t>
      </w:r>
    </w:p>
    <w:p>
      <w:pPr>
        <w:pStyle w:val="ListParagraph"/>
        <w:numPr>
          <w:ilvl w:val="0"/>
          <w:numId w:val="81"/>
        </w:numPr>
        <w:tabs>
          <w:tab w:pos="568" w:val="left" w:leader="none"/>
        </w:tabs>
        <w:spacing w:line="264" w:lineRule="auto" w:before="14" w:after="0"/>
        <w:ind w:left="568" w:right="712" w:hanging="360"/>
        <w:jc w:val="left"/>
        <w:rPr>
          <w:sz w:val="24"/>
        </w:rPr>
      </w:pPr>
      <w:r>
        <w:rPr>
          <w:sz w:val="24"/>
        </w:rPr>
        <w:t>фамилию,</w:t>
      </w:r>
      <w:r>
        <w:rPr>
          <w:spacing w:val="-5"/>
          <w:sz w:val="24"/>
        </w:rPr>
        <w:t> </w:t>
      </w:r>
      <w:r>
        <w:rPr>
          <w:sz w:val="24"/>
        </w:rPr>
        <w:t>имя,</w:t>
      </w:r>
      <w:r>
        <w:rPr>
          <w:spacing w:val="-3"/>
          <w:sz w:val="24"/>
        </w:rPr>
        <w:t> </w:t>
      </w:r>
      <w:r>
        <w:rPr>
          <w:sz w:val="24"/>
        </w:rPr>
        <w:t>отчество</w:t>
      </w:r>
      <w:r>
        <w:rPr>
          <w:spacing w:val="-3"/>
          <w:sz w:val="24"/>
        </w:rPr>
        <w:t> </w:t>
      </w:r>
      <w:r>
        <w:rPr>
          <w:sz w:val="24"/>
        </w:rPr>
        <w:t>(при</w:t>
      </w:r>
      <w:r>
        <w:rPr>
          <w:spacing w:val="-4"/>
          <w:sz w:val="24"/>
        </w:rPr>
        <w:t> </w:t>
      </w:r>
      <w:r>
        <w:rPr>
          <w:sz w:val="24"/>
        </w:rPr>
        <w:t>наличии)</w:t>
      </w:r>
      <w:r>
        <w:rPr>
          <w:spacing w:val="-4"/>
          <w:sz w:val="24"/>
        </w:rPr>
        <w:t> </w:t>
      </w:r>
      <w:r>
        <w:rPr>
          <w:sz w:val="24"/>
        </w:rPr>
        <w:t>медицинского</w:t>
      </w:r>
      <w:r>
        <w:rPr>
          <w:spacing w:val="-3"/>
          <w:sz w:val="24"/>
        </w:rPr>
        <w:t> </w:t>
      </w:r>
      <w:r>
        <w:rPr>
          <w:sz w:val="24"/>
        </w:rPr>
        <w:t>работника,</w:t>
      </w:r>
      <w:r>
        <w:rPr>
          <w:spacing w:val="-3"/>
          <w:sz w:val="24"/>
        </w:rPr>
        <w:t> </w:t>
      </w:r>
      <w:r>
        <w:rPr>
          <w:sz w:val="24"/>
        </w:rPr>
        <w:t>осуществившего сбор биологического материала.</w:t>
      </w:r>
    </w:p>
    <w:p>
      <w:pPr>
        <w:pStyle w:val="BodyText"/>
        <w:spacing w:before="68"/>
        <w:ind w:left="0"/>
        <w:jc w:val="left"/>
      </w:pPr>
    </w:p>
    <w:p>
      <w:pPr>
        <w:spacing w:line="276" w:lineRule="auto" w:before="0"/>
        <w:ind w:left="141" w:right="705" w:firstLine="565"/>
        <w:jc w:val="both"/>
        <w:rPr>
          <w:sz w:val="23"/>
        </w:rPr>
      </w:pPr>
      <w:r>
        <w:rPr>
          <w:sz w:val="23"/>
        </w:rPr>
        <w:t>При</w:t>
      </w:r>
      <w:r>
        <w:rPr>
          <w:spacing w:val="-9"/>
          <w:sz w:val="23"/>
        </w:rPr>
        <w:t> </w:t>
      </w:r>
      <w:r>
        <w:rPr>
          <w:sz w:val="23"/>
        </w:rPr>
        <w:t>направлении</w:t>
      </w:r>
      <w:r>
        <w:rPr>
          <w:spacing w:val="-7"/>
          <w:sz w:val="23"/>
        </w:rPr>
        <w:t> </w:t>
      </w:r>
      <w:r>
        <w:rPr>
          <w:sz w:val="23"/>
        </w:rPr>
        <w:t>биолоических</w:t>
      </w:r>
      <w:r>
        <w:rPr>
          <w:spacing w:val="-7"/>
          <w:sz w:val="23"/>
        </w:rPr>
        <w:t> </w:t>
      </w:r>
      <w:r>
        <w:rPr>
          <w:sz w:val="23"/>
        </w:rPr>
        <w:t>материалов</w:t>
      </w:r>
      <w:r>
        <w:rPr>
          <w:spacing w:val="-8"/>
          <w:sz w:val="23"/>
        </w:rPr>
        <w:t> </w:t>
      </w:r>
      <w:r>
        <w:rPr>
          <w:sz w:val="23"/>
        </w:rPr>
        <w:t>для</w:t>
      </w:r>
      <w:r>
        <w:rPr>
          <w:spacing w:val="-10"/>
          <w:sz w:val="23"/>
        </w:rPr>
        <w:t> </w:t>
      </w:r>
      <w:r>
        <w:rPr>
          <w:sz w:val="23"/>
        </w:rPr>
        <w:t>исследования</w:t>
      </w:r>
      <w:r>
        <w:rPr>
          <w:spacing w:val="-8"/>
          <w:sz w:val="23"/>
        </w:rPr>
        <w:t> </w:t>
      </w:r>
      <w:r>
        <w:rPr>
          <w:sz w:val="23"/>
        </w:rPr>
        <w:t>в</w:t>
      </w:r>
      <w:r>
        <w:rPr>
          <w:spacing w:val="-8"/>
          <w:sz w:val="23"/>
        </w:rPr>
        <w:t> </w:t>
      </w:r>
      <w:r>
        <w:rPr>
          <w:sz w:val="23"/>
        </w:rPr>
        <w:t>лабораторию</w:t>
      </w:r>
      <w:r>
        <w:rPr>
          <w:spacing w:val="-7"/>
          <w:sz w:val="23"/>
        </w:rPr>
        <w:t> </w:t>
      </w:r>
      <w:r>
        <w:rPr>
          <w:sz w:val="23"/>
        </w:rPr>
        <w:t>другой медицинской</w:t>
      </w:r>
      <w:r>
        <w:rPr>
          <w:spacing w:val="-1"/>
          <w:sz w:val="23"/>
        </w:rPr>
        <w:t> </w:t>
      </w:r>
      <w:r>
        <w:rPr>
          <w:sz w:val="23"/>
        </w:rPr>
        <w:t>организации, помимо сведений, перечисленных выше, должно быть указано наименование медицинской организации, в которую направляется биологический </w:t>
      </w:r>
      <w:r>
        <w:rPr>
          <w:spacing w:val="-2"/>
          <w:sz w:val="23"/>
        </w:rPr>
        <w:t>материал.</w:t>
      </w:r>
    </w:p>
    <w:p>
      <w:pPr>
        <w:spacing w:line="276" w:lineRule="auto" w:before="0"/>
        <w:ind w:left="141" w:right="708" w:firstLine="565"/>
        <w:jc w:val="both"/>
        <w:rPr>
          <w:sz w:val="23"/>
        </w:rPr>
      </w:pPr>
      <w:r>
        <w:rPr>
          <w:sz w:val="23"/>
        </w:rPr>
        <w:t>В</w:t>
      </w:r>
      <w:r>
        <w:rPr>
          <w:spacing w:val="40"/>
          <w:sz w:val="23"/>
        </w:rPr>
        <w:t> </w:t>
      </w:r>
      <w:r>
        <w:rPr>
          <w:sz w:val="23"/>
        </w:rPr>
        <w:t>направлениях</w:t>
      </w:r>
      <w:r>
        <w:rPr>
          <w:spacing w:val="40"/>
          <w:sz w:val="23"/>
        </w:rPr>
        <w:t> </w:t>
      </w:r>
      <w:r>
        <w:rPr>
          <w:sz w:val="23"/>
        </w:rPr>
        <w:t>образцов</w:t>
      </w:r>
      <w:r>
        <w:rPr>
          <w:spacing w:val="40"/>
          <w:sz w:val="23"/>
        </w:rPr>
        <w:t> </w:t>
      </w:r>
      <w:r>
        <w:rPr>
          <w:sz w:val="23"/>
        </w:rPr>
        <w:t>пациентов</w:t>
      </w:r>
      <w:r>
        <w:rPr>
          <w:spacing w:val="40"/>
          <w:sz w:val="23"/>
        </w:rPr>
        <w:t> </w:t>
      </w:r>
      <w:r>
        <w:rPr>
          <w:sz w:val="23"/>
        </w:rPr>
        <w:t>с</w:t>
      </w:r>
      <w:r>
        <w:rPr>
          <w:spacing w:val="40"/>
          <w:sz w:val="23"/>
        </w:rPr>
        <w:t> </w:t>
      </w:r>
      <w:r>
        <w:rPr>
          <w:sz w:val="23"/>
        </w:rPr>
        <w:t>респираторными</w:t>
      </w:r>
      <w:r>
        <w:rPr>
          <w:spacing w:val="40"/>
          <w:sz w:val="23"/>
        </w:rPr>
        <w:t> </w:t>
      </w:r>
      <w:r>
        <w:rPr>
          <w:sz w:val="23"/>
        </w:rPr>
        <w:t>симптомами,</w:t>
      </w:r>
      <w:r>
        <w:rPr>
          <w:spacing w:val="40"/>
          <w:sz w:val="23"/>
        </w:rPr>
        <w:t> </w:t>
      </w:r>
      <w:r>
        <w:rPr>
          <w:sz w:val="23"/>
        </w:rPr>
        <w:t>прибывших из</w:t>
      </w:r>
      <w:r>
        <w:rPr>
          <w:spacing w:val="-3"/>
          <w:sz w:val="23"/>
        </w:rPr>
        <w:t> </w:t>
      </w:r>
      <w:r>
        <w:rPr>
          <w:sz w:val="23"/>
        </w:rPr>
        <w:t>стран с зарегистрированными случаями COVID-19 или относящихся к группам риска, должно</w:t>
      </w:r>
      <w:r>
        <w:rPr>
          <w:spacing w:val="80"/>
          <w:sz w:val="23"/>
        </w:rPr>
        <w:t> </w:t>
      </w:r>
      <w:r>
        <w:rPr>
          <w:sz w:val="23"/>
        </w:rPr>
        <w:t>быть</w:t>
      </w:r>
      <w:r>
        <w:rPr>
          <w:spacing w:val="80"/>
          <w:sz w:val="23"/>
        </w:rPr>
        <w:t> </w:t>
      </w:r>
      <w:r>
        <w:rPr>
          <w:sz w:val="23"/>
        </w:rPr>
        <w:t>отмечено</w:t>
      </w:r>
      <w:r>
        <w:rPr>
          <w:spacing w:val="80"/>
          <w:sz w:val="23"/>
        </w:rPr>
        <w:t> </w:t>
      </w:r>
      <w:r>
        <w:rPr>
          <w:sz w:val="23"/>
        </w:rPr>
        <w:t>«Сito».</w:t>
      </w:r>
      <w:r>
        <w:rPr>
          <w:spacing w:val="80"/>
          <w:sz w:val="23"/>
        </w:rPr>
        <w:t> </w:t>
      </w:r>
      <w:r>
        <w:rPr>
          <w:sz w:val="23"/>
        </w:rPr>
        <w:t>Эти</w:t>
      </w:r>
      <w:r>
        <w:rPr>
          <w:spacing w:val="80"/>
          <w:sz w:val="23"/>
        </w:rPr>
        <w:t> </w:t>
      </w:r>
      <w:r>
        <w:rPr>
          <w:sz w:val="23"/>
        </w:rPr>
        <w:t>образцы</w:t>
      </w:r>
      <w:r>
        <w:rPr>
          <w:spacing w:val="80"/>
          <w:sz w:val="23"/>
        </w:rPr>
        <w:t> </w:t>
      </w:r>
      <w:r>
        <w:rPr>
          <w:sz w:val="23"/>
        </w:rPr>
        <w:t>должны</w:t>
      </w:r>
      <w:r>
        <w:rPr>
          <w:spacing w:val="80"/>
          <w:sz w:val="23"/>
        </w:rPr>
        <w:t> </w:t>
      </w:r>
      <w:r>
        <w:rPr>
          <w:sz w:val="23"/>
        </w:rPr>
        <w:t>направляться</w:t>
      </w:r>
      <w:r>
        <w:rPr>
          <w:spacing w:val="80"/>
          <w:sz w:val="23"/>
        </w:rPr>
        <w:t> </w:t>
      </w:r>
      <w:r>
        <w:rPr>
          <w:sz w:val="23"/>
        </w:rPr>
        <w:t>в</w:t>
      </w:r>
      <w:r>
        <w:rPr>
          <w:spacing w:val="80"/>
          <w:sz w:val="23"/>
        </w:rPr>
        <w:t> </w:t>
      </w:r>
      <w:r>
        <w:rPr>
          <w:sz w:val="23"/>
        </w:rPr>
        <w:t>лабораторию</w:t>
      </w:r>
      <w:r>
        <w:rPr>
          <w:spacing w:val="80"/>
          <w:sz w:val="23"/>
        </w:rPr>
        <w:t> </w:t>
      </w:r>
      <w:r>
        <w:rPr>
          <w:sz w:val="23"/>
        </w:rPr>
        <w:t>и исследоваться в приоритетном порядке.</w:t>
      </w:r>
    </w:p>
    <w:p>
      <w:pPr>
        <w:spacing w:line="276" w:lineRule="auto" w:before="0"/>
        <w:ind w:left="141" w:right="712" w:firstLine="707"/>
        <w:jc w:val="both"/>
        <w:rPr>
          <w:sz w:val="23"/>
        </w:rPr>
      </w:pPr>
      <w:r>
        <w:rPr>
          <w:sz w:val="23"/>
        </w:rPr>
        <w:t>Передача</w:t>
      </w:r>
      <w:r>
        <w:rPr>
          <w:spacing w:val="40"/>
          <w:sz w:val="23"/>
        </w:rPr>
        <w:t> </w:t>
      </w:r>
      <w:r>
        <w:rPr>
          <w:sz w:val="23"/>
        </w:rPr>
        <w:t>образцов</w:t>
      </w:r>
      <w:r>
        <w:rPr>
          <w:spacing w:val="40"/>
          <w:sz w:val="23"/>
        </w:rPr>
        <w:t> </w:t>
      </w:r>
      <w:r>
        <w:rPr>
          <w:sz w:val="23"/>
        </w:rPr>
        <w:t>диагностических</w:t>
      </w:r>
      <w:r>
        <w:rPr>
          <w:spacing w:val="40"/>
          <w:sz w:val="23"/>
        </w:rPr>
        <w:t> </w:t>
      </w:r>
      <w:r>
        <w:rPr>
          <w:sz w:val="23"/>
        </w:rPr>
        <w:t>материалов</w:t>
      </w:r>
      <w:r>
        <w:rPr>
          <w:spacing w:val="40"/>
          <w:sz w:val="23"/>
        </w:rPr>
        <w:t> </w:t>
      </w:r>
      <w:r>
        <w:rPr>
          <w:sz w:val="23"/>
        </w:rPr>
        <w:t>от</w:t>
      </w:r>
      <w:r>
        <w:rPr>
          <w:spacing w:val="40"/>
          <w:sz w:val="23"/>
        </w:rPr>
        <w:t> </w:t>
      </w:r>
      <w:r>
        <w:rPr>
          <w:sz w:val="23"/>
        </w:rPr>
        <w:t>пациентов</w:t>
      </w:r>
      <w:r>
        <w:rPr>
          <w:spacing w:val="40"/>
          <w:sz w:val="23"/>
        </w:rPr>
        <w:t> </w:t>
      </w:r>
      <w:r>
        <w:rPr>
          <w:sz w:val="23"/>
        </w:rPr>
        <w:t>с</w:t>
      </w:r>
      <w:r>
        <w:rPr>
          <w:spacing w:val="40"/>
          <w:sz w:val="23"/>
        </w:rPr>
        <w:t> </w:t>
      </w:r>
      <w:r>
        <w:rPr>
          <w:sz w:val="23"/>
        </w:rPr>
        <w:t>подозрением</w:t>
      </w:r>
      <w:r>
        <w:rPr>
          <w:spacing w:val="80"/>
          <w:sz w:val="23"/>
        </w:rPr>
        <w:t> </w:t>
      </w:r>
      <w:r>
        <w:rPr>
          <w:sz w:val="23"/>
        </w:rPr>
        <w:t>на</w:t>
      </w:r>
      <w:r>
        <w:rPr>
          <w:spacing w:val="40"/>
          <w:sz w:val="23"/>
        </w:rPr>
        <w:t> </w:t>
      </w:r>
      <w:r>
        <w:rPr>
          <w:sz w:val="23"/>
        </w:rPr>
        <w:t>COVID-19</w:t>
      </w:r>
      <w:r>
        <w:rPr>
          <w:spacing w:val="40"/>
          <w:sz w:val="23"/>
        </w:rPr>
        <w:t> </w:t>
      </w:r>
      <w:r>
        <w:rPr>
          <w:sz w:val="23"/>
        </w:rPr>
        <w:t>проводится</w:t>
      </w:r>
      <w:r>
        <w:rPr>
          <w:spacing w:val="40"/>
          <w:sz w:val="23"/>
        </w:rPr>
        <w:t> </w:t>
      </w:r>
      <w:r>
        <w:rPr>
          <w:sz w:val="23"/>
        </w:rPr>
        <w:t>с</w:t>
      </w:r>
      <w:r>
        <w:rPr>
          <w:spacing w:val="40"/>
          <w:sz w:val="23"/>
        </w:rPr>
        <w:t> </w:t>
      </w:r>
      <w:r>
        <w:rPr>
          <w:sz w:val="23"/>
        </w:rPr>
        <w:t>предоставлением</w:t>
      </w:r>
      <w:r>
        <w:rPr>
          <w:spacing w:val="40"/>
          <w:sz w:val="23"/>
        </w:rPr>
        <w:t> </w:t>
      </w:r>
      <w:r>
        <w:rPr>
          <w:sz w:val="23"/>
        </w:rPr>
        <w:t>направлений</w:t>
      </w:r>
      <w:r>
        <w:rPr>
          <w:spacing w:val="40"/>
          <w:sz w:val="23"/>
        </w:rPr>
        <w:t> </w:t>
      </w:r>
      <w:r>
        <w:rPr>
          <w:sz w:val="23"/>
        </w:rPr>
        <w:t>и</w:t>
      </w:r>
      <w:r>
        <w:rPr>
          <w:spacing w:val="40"/>
          <w:sz w:val="23"/>
        </w:rPr>
        <w:t> </w:t>
      </w:r>
      <w:r>
        <w:rPr>
          <w:sz w:val="23"/>
        </w:rPr>
        <w:t>оформлением</w:t>
      </w:r>
      <w:r>
        <w:rPr>
          <w:spacing w:val="40"/>
          <w:sz w:val="23"/>
        </w:rPr>
        <w:t> </w:t>
      </w:r>
      <w:r>
        <w:rPr>
          <w:sz w:val="23"/>
        </w:rPr>
        <w:t>Акта приема-передачи, в котором должны содержаться:</w:t>
      </w:r>
    </w:p>
    <w:p>
      <w:pPr>
        <w:spacing w:after="0" w:line="276" w:lineRule="auto"/>
        <w:jc w:val="both"/>
        <w:rPr>
          <w:sz w:val="23"/>
        </w:rPr>
        <w:sectPr>
          <w:pgSz w:w="11900" w:h="16840"/>
          <w:pgMar w:header="0" w:footer="697" w:top="1080" w:bottom="880" w:left="1559" w:right="566"/>
        </w:sectPr>
      </w:pPr>
    </w:p>
    <w:p>
      <w:pPr>
        <w:pStyle w:val="ListParagraph"/>
        <w:numPr>
          <w:ilvl w:val="0"/>
          <w:numId w:val="81"/>
        </w:numPr>
        <w:tabs>
          <w:tab w:pos="568" w:val="left" w:leader="none"/>
        </w:tabs>
        <w:spacing w:line="264" w:lineRule="auto" w:before="74" w:after="0"/>
        <w:ind w:left="568" w:right="705" w:hanging="360"/>
        <w:jc w:val="left"/>
        <w:rPr>
          <w:sz w:val="24"/>
        </w:rPr>
      </w:pPr>
      <w:bookmarkStart w:name="175" w:id="206"/>
      <w:bookmarkEnd w:id="206"/>
      <w:r>
        <w:rPr/>
      </w:r>
      <w:r>
        <w:rPr>
          <w:sz w:val="24"/>
        </w:rPr>
        <w:t>наименование</w:t>
      </w:r>
      <w:r>
        <w:rPr>
          <w:spacing w:val="80"/>
          <w:sz w:val="24"/>
        </w:rPr>
        <w:t> </w:t>
      </w:r>
      <w:r>
        <w:rPr>
          <w:sz w:val="24"/>
        </w:rPr>
        <w:t>медицинской</w:t>
      </w:r>
      <w:r>
        <w:rPr>
          <w:spacing w:val="80"/>
          <w:sz w:val="24"/>
        </w:rPr>
        <w:t> </w:t>
      </w:r>
      <w:r>
        <w:rPr>
          <w:sz w:val="24"/>
        </w:rPr>
        <w:t>организации/отдела/подразделения,</w:t>
      </w:r>
      <w:r>
        <w:rPr>
          <w:spacing w:val="80"/>
          <w:sz w:val="24"/>
        </w:rPr>
        <w:t> </w:t>
      </w:r>
      <w:r>
        <w:rPr>
          <w:sz w:val="24"/>
        </w:rPr>
        <w:t>направившего на исследование образцы;</w:t>
      </w:r>
    </w:p>
    <w:p>
      <w:pPr>
        <w:pStyle w:val="ListParagraph"/>
        <w:numPr>
          <w:ilvl w:val="0"/>
          <w:numId w:val="81"/>
        </w:numPr>
        <w:tabs>
          <w:tab w:pos="568" w:val="left" w:leader="none"/>
          <w:tab w:pos="2278" w:val="left" w:leader="none"/>
          <w:tab w:pos="3901" w:val="left" w:leader="none"/>
          <w:tab w:pos="7827" w:val="left" w:leader="none"/>
        </w:tabs>
        <w:spacing w:line="264" w:lineRule="auto" w:before="14" w:after="0"/>
        <w:ind w:left="568" w:right="706" w:hanging="360"/>
        <w:jc w:val="left"/>
        <w:rPr>
          <w:sz w:val="24"/>
        </w:rPr>
      </w:pPr>
      <w:r>
        <w:rPr>
          <w:spacing w:val="-2"/>
          <w:sz w:val="24"/>
        </w:rPr>
        <w:t>наименование</w:t>
      </w:r>
      <w:r>
        <w:rPr>
          <w:sz w:val="24"/>
        </w:rPr>
        <w:tab/>
      </w:r>
      <w:r>
        <w:rPr>
          <w:spacing w:val="-2"/>
          <w:sz w:val="24"/>
        </w:rPr>
        <w:t>медицинской</w:t>
      </w:r>
      <w:r>
        <w:rPr>
          <w:sz w:val="24"/>
        </w:rPr>
        <w:tab/>
      </w:r>
      <w:r>
        <w:rPr>
          <w:spacing w:val="-2"/>
          <w:sz w:val="24"/>
        </w:rPr>
        <w:t>организации/отдела/подразделения,</w:t>
      </w:r>
      <w:r>
        <w:rPr>
          <w:sz w:val="24"/>
        </w:rPr>
        <w:tab/>
      </w:r>
      <w:r>
        <w:rPr>
          <w:spacing w:val="-2"/>
          <w:sz w:val="24"/>
        </w:rPr>
        <w:t>принявшего </w:t>
      </w:r>
      <w:r>
        <w:rPr>
          <w:sz w:val="24"/>
        </w:rPr>
        <w:t>на исследование образцы;</w:t>
      </w:r>
    </w:p>
    <w:p>
      <w:pPr>
        <w:pStyle w:val="ListParagraph"/>
        <w:numPr>
          <w:ilvl w:val="0"/>
          <w:numId w:val="81"/>
        </w:numPr>
        <w:tabs>
          <w:tab w:pos="568" w:val="left" w:leader="none"/>
        </w:tabs>
        <w:spacing w:line="240" w:lineRule="auto" w:before="13" w:after="0"/>
        <w:ind w:left="568" w:right="0" w:hanging="360"/>
        <w:jc w:val="left"/>
        <w:rPr>
          <w:sz w:val="24"/>
        </w:rPr>
      </w:pPr>
      <w:r>
        <w:rPr>
          <w:sz w:val="24"/>
        </w:rPr>
        <w:t>дату</w:t>
      </w:r>
      <w:r>
        <w:rPr>
          <w:spacing w:val="-11"/>
          <w:sz w:val="24"/>
        </w:rPr>
        <w:t> </w:t>
      </w:r>
      <w:r>
        <w:rPr>
          <w:sz w:val="24"/>
        </w:rPr>
        <w:t>передачи</w:t>
      </w:r>
      <w:r>
        <w:rPr>
          <w:spacing w:val="-9"/>
          <w:sz w:val="24"/>
        </w:rPr>
        <w:t> </w:t>
      </w:r>
      <w:r>
        <w:rPr>
          <w:spacing w:val="-2"/>
          <w:sz w:val="24"/>
        </w:rPr>
        <w:t>образцов;</w:t>
      </w:r>
    </w:p>
    <w:p>
      <w:pPr>
        <w:pStyle w:val="ListParagraph"/>
        <w:numPr>
          <w:ilvl w:val="0"/>
          <w:numId w:val="81"/>
        </w:numPr>
        <w:tabs>
          <w:tab w:pos="568" w:val="left" w:leader="none"/>
        </w:tabs>
        <w:spacing w:line="240" w:lineRule="auto" w:before="33" w:after="0"/>
        <w:ind w:left="568" w:right="0" w:hanging="360"/>
        <w:jc w:val="left"/>
        <w:rPr>
          <w:sz w:val="24"/>
        </w:rPr>
      </w:pPr>
      <w:r>
        <w:rPr>
          <w:sz w:val="24"/>
        </w:rPr>
        <w:t>фамилию,</w:t>
      </w:r>
      <w:r>
        <w:rPr>
          <w:spacing w:val="-13"/>
          <w:sz w:val="24"/>
        </w:rPr>
        <w:t> </w:t>
      </w:r>
      <w:r>
        <w:rPr>
          <w:sz w:val="24"/>
        </w:rPr>
        <w:t>имя,</w:t>
      </w:r>
      <w:r>
        <w:rPr>
          <w:spacing w:val="-12"/>
          <w:sz w:val="24"/>
        </w:rPr>
        <w:t> </w:t>
      </w:r>
      <w:r>
        <w:rPr>
          <w:sz w:val="24"/>
        </w:rPr>
        <w:t>отчество</w:t>
      </w:r>
      <w:r>
        <w:rPr>
          <w:spacing w:val="-12"/>
          <w:sz w:val="24"/>
        </w:rPr>
        <w:t> </w:t>
      </w:r>
      <w:r>
        <w:rPr>
          <w:sz w:val="24"/>
        </w:rPr>
        <w:t>и</w:t>
      </w:r>
      <w:r>
        <w:rPr>
          <w:spacing w:val="-10"/>
          <w:sz w:val="24"/>
        </w:rPr>
        <w:t> </w:t>
      </w:r>
      <w:r>
        <w:rPr>
          <w:sz w:val="24"/>
        </w:rPr>
        <w:t>подпись</w:t>
      </w:r>
      <w:r>
        <w:rPr>
          <w:spacing w:val="-10"/>
          <w:sz w:val="24"/>
        </w:rPr>
        <w:t> </w:t>
      </w:r>
      <w:r>
        <w:rPr>
          <w:sz w:val="24"/>
        </w:rPr>
        <w:t>сотрудника,</w:t>
      </w:r>
      <w:r>
        <w:rPr>
          <w:spacing w:val="-12"/>
          <w:sz w:val="24"/>
        </w:rPr>
        <w:t> </w:t>
      </w:r>
      <w:r>
        <w:rPr>
          <w:sz w:val="24"/>
        </w:rPr>
        <w:t>передавшего</w:t>
      </w:r>
      <w:r>
        <w:rPr>
          <w:spacing w:val="-12"/>
          <w:sz w:val="24"/>
        </w:rPr>
        <w:t> </w:t>
      </w:r>
      <w:r>
        <w:rPr>
          <w:spacing w:val="-2"/>
          <w:sz w:val="24"/>
        </w:rPr>
        <w:t>образцы;</w:t>
      </w:r>
    </w:p>
    <w:p>
      <w:pPr>
        <w:pStyle w:val="ListParagraph"/>
        <w:numPr>
          <w:ilvl w:val="0"/>
          <w:numId w:val="81"/>
        </w:numPr>
        <w:tabs>
          <w:tab w:pos="568" w:val="left" w:leader="none"/>
        </w:tabs>
        <w:spacing w:line="240" w:lineRule="auto" w:before="33" w:after="0"/>
        <w:ind w:left="568" w:right="0" w:hanging="360"/>
        <w:jc w:val="left"/>
        <w:rPr>
          <w:sz w:val="24"/>
        </w:rPr>
      </w:pPr>
      <w:r>
        <w:rPr>
          <w:sz w:val="24"/>
        </w:rPr>
        <w:t>фамилию</w:t>
      </w:r>
      <w:r>
        <w:rPr>
          <w:spacing w:val="-11"/>
          <w:sz w:val="24"/>
        </w:rPr>
        <w:t> </w:t>
      </w:r>
      <w:r>
        <w:rPr>
          <w:sz w:val="24"/>
        </w:rPr>
        <w:t>имя,</w:t>
      </w:r>
      <w:r>
        <w:rPr>
          <w:spacing w:val="-11"/>
          <w:sz w:val="24"/>
        </w:rPr>
        <w:t> </w:t>
      </w:r>
      <w:r>
        <w:rPr>
          <w:sz w:val="24"/>
        </w:rPr>
        <w:t>отчество</w:t>
      </w:r>
      <w:r>
        <w:rPr>
          <w:spacing w:val="-12"/>
          <w:sz w:val="24"/>
        </w:rPr>
        <w:t> </w:t>
      </w:r>
      <w:r>
        <w:rPr>
          <w:sz w:val="24"/>
        </w:rPr>
        <w:t>и</w:t>
      </w:r>
      <w:r>
        <w:rPr>
          <w:spacing w:val="-10"/>
          <w:sz w:val="24"/>
        </w:rPr>
        <w:t> </w:t>
      </w:r>
      <w:r>
        <w:rPr>
          <w:sz w:val="24"/>
        </w:rPr>
        <w:t>подпись</w:t>
      </w:r>
      <w:r>
        <w:rPr>
          <w:spacing w:val="-9"/>
          <w:sz w:val="24"/>
        </w:rPr>
        <w:t> </w:t>
      </w:r>
      <w:r>
        <w:rPr>
          <w:sz w:val="24"/>
        </w:rPr>
        <w:t>сотрудника,</w:t>
      </w:r>
      <w:r>
        <w:rPr>
          <w:spacing w:val="-13"/>
          <w:sz w:val="24"/>
        </w:rPr>
        <w:t> </w:t>
      </w:r>
      <w:r>
        <w:rPr>
          <w:sz w:val="24"/>
        </w:rPr>
        <w:t>принявшего</w:t>
      </w:r>
      <w:r>
        <w:rPr>
          <w:spacing w:val="-11"/>
          <w:sz w:val="24"/>
        </w:rPr>
        <w:t> </w:t>
      </w:r>
      <w:r>
        <w:rPr>
          <w:spacing w:val="-2"/>
          <w:sz w:val="24"/>
        </w:rPr>
        <w:t>образцы;</w:t>
      </w:r>
    </w:p>
    <w:p>
      <w:pPr>
        <w:pStyle w:val="ListParagraph"/>
        <w:numPr>
          <w:ilvl w:val="0"/>
          <w:numId w:val="81"/>
        </w:numPr>
        <w:tabs>
          <w:tab w:pos="568" w:val="left" w:leader="none"/>
        </w:tabs>
        <w:spacing w:line="264" w:lineRule="auto" w:before="31" w:after="0"/>
        <w:ind w:left="568" w:right="713" w:hanging="360"/>
        <w:jc w:val="left"/>
        <w:rPr>
          <w:sz w:val="24"/>
        </w:rPr>
      </w:pPr>
      <w:r>
        <w:rPr>
          <w:sz w:val="24"/>
        </w:rPr>
        <w:t>перечень</w:t>
      </w:r>
      <w:r>
        <w:rPr>
          <w:spacing w:val="80"/>
          <w:sz w:val="24"/>
        </w:rPr>
        <w:t> </w:t>
      </w:r>
      <w:r>
        <w:rPr>
          <w:sz w:val="24"/>
        </w:rPr>
        <w:t>передаваемых</w:t>
      </w:r>
      <w:r>
        <w:rPr>
          <w:spacing w:val="80"/>
          <w:sz w:val="24"/>
        </w:rPr>
        <w:t> </w:t>
      </w:r>
      <w:r>
        <w:rPr>
          <w:sz w:val="24"/>
        </w:rPr>
        <w:t>образцов</w:t>
      </w:r>
      <w:r>
        <w:rPr>
          <w:spacing w:val="80"/>
          <w:sz w:val="24"/>
        </w:rPr>
        <w:t> </w:t>
      </w:r>
      <w:r>
        <w:rPr>
          <w:sz w:val="24"/>
        </w:rPr>
        <w:t>(с</w:t>
      </w:r>
      <w:r>
        <w:rPr>
          <w:spacing w:val="80"/>
          <w:sz w:val="24"/>
        </w:rPr>
        <w:t> </w:t>
      </w:r>
      <w:r>
        <w:rPr>
          <w:sz w:val="24"/>
        </w:rPr>
        <w:t>обозначением</w:t>
      </w:r>
      <w:r>
        <w:rPr>
          <w:spacing w:val="80"/>
          <w:sz w:val="24"/>
        </w:rPr>
        <w:t> </w:t>
      </w:r>
      <w:r>
        <w:rPr>
          <w:sz w:val="24"/>
        </w:rPr>
        <w:t>образцов,</w:t>
      </w:r>
      <w:r>
        <w:rPr>
          <w:spacing w:val="80"/>
          <w:sz w:val="24"/>
        </w:rPr>
        <w:t> </w:t>
      </w:r>
      <w:r>
        <w:rPr>
          <w:sz w:val="24"/>
        </w:rPr>
        <w:t>направленных</w:t>
      </w:r>
      <w:r>
        <w:rPr>
          <w:spacing w:val="40"/>
          <w:sz w:val="24"/>
        </w:rPr>
        <w:t> </w:t>
      </w:r>
      <w:r>
        <w:rPr>
          <w:sz w:val="24"/>
        </w:rPr>
        <w:t>на исследование «Сito») и их количество.</w:t>
      </w:r>
    </w:p>
    <w:p>
      <w:pPr>
        <w:pStyle w:val="BodyText"/>
        <w:spacing w:before="69"/>
        <w:ind w:left="0"/>
        <w:jc w:val="left"/>
      </w:pPr>
    </w:p>
    <w:p>
      <w:pPr>
        <w:spacing w:line="273" w:lineRule="auto" w:before="0"/>
        <w:ind w:left="141" w:right="710" w:firstLine="565"/>
        <w:jc w:val="both"/>
        <w:rPr>
          <w:sz w:val="23"/>
        </w:rPr>
      </w:pPr>
      <w:r>
        <w:rPr>
          <w:sz w:val="23"/>
        </w:rPr>
        <w:t>Акт</w:t>
      </w:r>
      <w:r>
        <w:rPr>
          <w:spacing w:val="-6"/>
          <w:sz w:val="23"/>
        </w:rPr>
        <w:t> </w:t>
      </w:r>
      <w:r>
        <w:rPr>
          <w:sz w:val="23"/>
        </w:rPr>
        <w:t>оформляется</w:t>
      </w:r>
      <w:r>
        <w:rPr>
          <w:spacing w:val="-6"/>
          <w:sz w:val="23"/>
        </w:rPr>
        <w:t> </w:t>
      </w:r>
      <w:r>
        <w:rPr>
          <w:sz w:val="23"/>
        </w:rPr>
        <w:t>в</w:t>
      </w:r>
      <w:r>
        <w:rPr>
          <w:spacing w:val="-6"/>
          <w:sz w:val="23"/>
        </w:rPr>
        <w:t> </w:t>
      </w:r>
      <w:r>
        <w:rPr>
          <w:sz w:val="23"/>
        </w:rPr>
        <w:t>двух</w:t>
      </w:r>
      <w:r>
        <w:rPr>
          <w:spacing w:val="-6"/>
          <w:sz w:val="23"/>
        </w:rPr>
        <w:t> </w:t>
      </w:r>
      <w:r>
        <w:rPr>
          <w:sz w:val="23"/>
        </w:rPr>
        <w:t>экземплярах:</w:t>
      </w:r>
      <w:r>
        <w:rPr>
          <w:spacing w:val="-5"/>
          <w:sz w:val="23"/>
        </w:rPr>
        <w:t> </w:t>
      </w:r>
      <w:r>
        <w:rPr>
          <w:sz w:val="23"/>
        </w:rPr>
        <w:t>один</w:t>
      </w:r>
      <w:r>
        <w:rPr>
          <w:spacing w:val="-7"/>
          <w:sz w:val="23"/>
        </w:rPr>
        <w:t> </w:t>
      </w:r>
      <w:r>
        <w:rPr>
          <w:sz w:val="23"/>
        </w:rPr>
        <w:t>-</w:t>
      </w:r>
      <w:r>
        <w:rPr>
          <w:spacing w:val="-6"/>
          <w:sz w:val="23"/>
        </w:rPr>
        <w:t> </w:t>
      </w:r>
      <w:r>
        <w:rPr>
          <w:sz w:val="23"/>
        </w:rPr>
        <w:t>для</w:t>
      </w:r>
      <w:r>
        <w:rPr>
          <w:spacing w:val="-6"/>
          <w:sz w:val="23"/>
        </w:rPr>
        <w:t> </w:t>
      </w:r>
      <w:r>
        <w:rPr>
          <w:sz w:val="23"/>
        </w:rPr>
        <w:t>направившей</w:t>
      </w:r>
      <w:r>
        <w:rPr>
          <w:spacing w:val="-7"/>
          <w:sz w:val="23"/>
        </w:rPr>
        <w:t> </w:t>
      </w:r>
      <w:r>
        <w:rPr>
          <w:sz w:val="23"/>
        </w:rPr>
        <w:t>организации,</w:t>
      </w:r>
      <w:r>
        <w:rPr>
          <w:spacing w:val="-6"/>
          <w:sz w:val="23"/>
        </w:rPr>
        <w:t> </w:t>
      </w:r>
      <w:r>
        <w:rPr>
          <w:sz w:val="23"/>
        </w:rPr>
        <w:t>другой</w:t>
      </w:r>
      <w:r>
        <w:rPr>
          <w:spacing w:val="-5"/>
          <w:sz w:val="23"/>
        </w:rPr>
        <w:t> </w:t>
      </w:r>
      <w:r>
        <w:rPr>
          <w:sz w:val="23"/>
        </w:rPr>
        <w:t>- для принявшей образцы организации.</w:t>
      </w:r>
    </w:p>
    <w:p>
      <w:pPr>
        <w:pStyle w:val="BodyText"/>
        <w:spacing w:before="44"/>
        <w:ind w:left="0"/>
        <w:jc w:val="left"/>
        <w:rPr>
          <w:sz w:val="23"/>
        </w:rPr>
      </w:pPr>
    </w:p>
    <w:p>
      <w:pPr>
        <w:spacing w:before="0"/>
        <w:ind w:left="707" w:right="0" w:firstLine="0"/>
        <w:jc w:val="both"/>
        <w:rPr>
          <w:b/>
          <w:sz w:val="23"/>
        </w:rPr>
      </w:pPr>
      <w:r>
        <w:rPr>
          <w:b/>
          <w:sz w:val="23"/>
        </w:rPr>
        <w:t>Сроки</w:t>
      </w:r>
      <w:r>
        <w:rPr>
          <w:b/>
          <w:spacing w:val="-8"/>
          <w:sz w:val="23"/>
        </w:rPr>
        <w:t> </w:t>
      </w:r>
      <w:r>
        <w:rPr>
          <w:b/>
          <w:sz w:val="23"/>
        </w:rPr>
        <w:t>выполнения</w:t>
      </w:r>
      <w:r>
        <w:rPr>
          <w:b/>
          <w:spacing w:val="-7"/>
          <w:sz w:val="23"/>
        </w:rPr>
        <w:t> </w:t>
      </w:r>
      <w:r>
        <w:rPr>
          <w:b/>
          <w:spacing w:val="-2"/>
          <w:sz w:val="23"/>
        </w:rPr>
        <w:t>исследования</w:t>
      </w:r>
    </w:p>
    <w:p>
      <w:pPr>
        <w:spacing w:line="276" w:lineRule="auto" w:before="38"/>
        <w:ind w:left="141" w:right="706" w:firstLine="565"/>
        <w:jc w:val="both"/>
        <w:rPr>
          <w:sz w:val="23"/>
        </w:rPr>
      </w:pPr>
      <w:r>
        <w:rPr>
          <w:sz w:val="23"/>
        </w:rPr>
        <w:t>Срок выполнения лабораторного исследования на COVID-19 не должен превышать 24 часов с момента поступления биологического материала в лабораторию до получения его результата лицом, в отношении которого проведено соответствующее исследование. При назначении исследования «Сito» результат должен быть предоставлен в течение нескольких часов, в зависимости от применяемых наборов реагентов.</w:t>
      </w:r>
    </w:p>
    <w:p>
      <w:pPr>
        <w:pStyle w:val="BodyText"/>
        <w:spacing w:before="39"/>
        <w:ind w:left="0"/>
        <w:jc w:val="left"/>
        <w:rPr>
          <w:sz w:val="23"/>
        </w:rPr>
      </w:pPr>
    </w:p>
    <w:p>
      <w:pPr>
        <w:spacing w:before="1"/>
        <w:ind w:left="707" w:right="0" w:firstLine="0"/>
        <w:jc w:val="both"/>
        <w:rPr>
          <w:b/>
          <w:sz w:val="23"/>
        </w:rPr>
      </w:pPr>
      <w:r>
        <w:rPr>
          <w:b/>
          <w:sz w:val="23"/>
        </w:rPr>
        <w:t>Требования</w:t>
      </w:r>
      <w:r>
        <w:rPr>
          <w:b/>
          <w:spacing w:val="-7"/>
          <w:sz w:val="23"/>
        </w:rPr>
        <w:t> </w:t>
      </w:r>
      <w:r>
        <w:rPr>
          <w:b/>
          <w:sz w:val="23"/>
        </w:rPr>
        <w:t>к</w:t>
      </w:r>
      <w:r>
        <w:rPr>
          <w:b/>
          <w:spacing w:val="-4"/>
          <w:sz w:val="23"/>
        </w:rPr>
        <w:t> </w:t>
      </w:r>
      <w:r>
        <w:rPr>
          <w:b/>
          <w:sz w:val="23"/>
        </w:rPr>
        <w:t>помещениям</w:t>
      </w:r>
      <w:r>
        <w:rPr>
          <w:b/>
          <w:spacing w:val="-5"/>
          <w:sz w:val="23"/>
        </w:rPr>
        <w:t> </w:t>
      </w:r>
      <w:r>
        <w:rPr>
          <w:b/>
          <w:sz w:val="23"/>
        </w:rPr>
        <w:t>и</w:t>
      </w:r>
      <w:r>
        <w:rPr>
          <w:b/>
          <w:spacing w:val="-5"/>
          <w:sz w:val="23"/>
        </w:rPr>
        <w:t> </w:t>
      </w:r>
      <w:r>
        <w:rPr>
          <w:b/>
          <w:sz w:val="23"/>
        </w:rPr>
        <w:t>оснащению</w:t>
      </w:r>
      <w:r>
        <w:rPr>
          <w:b/>
          <w:spacing w:val="-4"/>
          <w:sz w:val="23"/>
        </w:rPr>
        <w:t> </w:t>
      </w:r>
      <w:r>
        <w:rPr>
          <w:b/>
          <w:spacing w:val="-2"/>
          <w:sz w:val="23"/>
        </w:rPr>
        <w:t>лабораторий</w:t>
      </w:r>
    </w:p>
    <w:p>
      <w:pPr>
        <w:spacing w:line="276" w:lineRule="auto" w:before="40"/>
        <w:ind w:left="141" w:right="706" w:firstLine="565"/>
        <w:jc w:val="both"/>
        <w:rPr>
          <w:sz w:val="23"/>
        </w:rPr>
      </w:pPr>
      <w:r>
        <w:rPr>
          <w:sz w:val="23"/>
        </w:rPr>
        <w:t>Лабораторные исследования для обнаружения возбудителя COVID-19, отнесенного ко II группе патогенности, должны проводиться с соблюдением требований СанПиН 3.3686-21. «Санитарно-эпидемиологические требования по профилактике инфекционных болезней»,</w:t>
      </w:r>
      <w:r>
        <w:rPr>
          <w:spacing w:val="-6"/>
          <w:sz w:val="23"/>
        </w:rPr>
        <w:t> </w:t>
      </w:r>
      <w:r>
        <w:rPr>
          <w:sz w:val="23"/>
        </w:rPr>
        <w:t>приказа</w:t>
      </w:r>
      <w:r>
        <w:rPr>
          <w:spacing w:val="-2"/>
          <w:sz w:val="23"/>
        </w:rPr>
        <w:t> </w:t>
      </w:r>
      <w:r>
        <w:rPr>
          <w:sz w:val="23"/>
        </w:rPr>
        <w:t>Министерства</w:t>
      </w:r>
      <w:r>
        <w:rPr>
          <w:spacing w:val="-3"/>
          <w:sz w:val="23"/>
        </w:rPr>
        <w:t> </w:t>
      </w:r>
      <w:r>
        <w:rPr>
          <w:sz w:val="23"/>
        </w:rPr>
        <w:t>здравоохранения</w:t>
      </w:r>
      <w:r>
        <w:rPr>
          <w:spacing w:val="-4"/>
          <w:sz w:val="23"/>
        </w:rPr>
        <w:t> </w:t>
      </w:r>
      <w:r>
        <w:rPr>
          <w:sz w:val="23"/>
        </w:rPr>
        <w:t>Российской</w:t>
      </w:r>
      <w:r>
        <w:rPr>
          <w:spacing w:val="-4"/>
          <w:sz w:val="23"/>
        </w:rPr>
        <w:t> </w:t>
      </w:r>
      <w:r>
        <w:rPr>
          <w:sz w:val="23"/>
        </w:rPr>
        <w:t>Федерации</w:t>
      </w:r>
      <w:r>
        <w:rPr>
          <w:spacing w:val="-4"/>
          <w:sz w:val="23"/>
        </w:rPr>
        <w:t> </w:t>
      </w:r>
      <w:r>
        <w:rPr>
          <w:sz w:val="23"/>
        </w:rPr>
        <w:t>от</w:t>
      </w:r>
      <w:r>
        <w:rPr>
          <w:spacing w:val="-3"/>
          <w:sz w:val="23"/>
        </w:rPr>
        <w:t> </w:t>
      </w:r>
      <w:r>
        <w:rPr>
          <w:sz w:val="23"/>
        </w:rPr>
        <w:t>18</w:t>
      </w:r>
      <w:r>
        <w:rPr>
          <w:spacing w:val="-3"/>
          <w:sz w:val="23"/>
        </w:rPr>
        <w:t> </w:t>
      </w:r>
      <w:r>
        <w:rPr>
          <w:sz w:val="23"/>
        </w:rPr>
        <w:t>мая</w:t>
      </w:r>
      <w:r>
        <w:rPr>
          <w:spacing w:val="-4"/>
          <w:sz w:val="23"/>
        </w:rPr>
        <w:t> </w:t>
      </w:r>
      <w:r>
        <w:rPr>
          <w:sz w:val="23"/>
        </w:rPr>
        <w:t>2021 года</w:t>
      </w:r>
      <w:r>
        <w:rPr>
          <w:spacing w:val="80"/>
          <w:w w:val="150"/>
          <w:sz w:val="23"/>
        </w:rPr>
        <w:t> </w:t>
      </w:r>
      <w:r>
        <w:rPr>
          <w:sz w:val="23"/>
        </w:rPr>
        <w:t>№464н</w:t>
      </w:r>
      <w:r>
        <w:rPr>
          <w:spacing w:val="80"/>
          <w:w w:val="150"/>
          <w:sz w:val="23"/>
        </w:rPr>
        <w:t> </w:t>
      </w:r>
      <w:r>
        <w:rPr>
          <w:sz w:val="23"/>
        </w:rPr>
        <w:t>«Правила</w:t>
      </w:r>
      <w:r>
        <w:rPr>
          <w:spacing w:val="80"/>
          <w:w w:val="150"/>
          <w:sz w:val="23"/>
        </w:rPr>
        <w:t> </w:t>
      </w:r>
      <w:r>
        <w:rPr>
          <w:sz w:val="23"/>
        </w:rPr>
        <w:t>проведения</w:t>
      </w:r>
      <w:r>
        <w:rPr>
          <w:spacing w:val="80"/>
          <w:w w:val="150"/>
          <w:sz w:val="23"/>
        </w:rPr>
        <w:t> </w:t>
      </w:r>
      <w:r>
        <w:rPr>
          <w:sz w:val="23"/>
        </w:rPr>
        <w:t>лабораторных</w:t>
      </w:r>
      <w:r>
        <w:rPr>
          <w:spacing w:val="80"/>
          <w:w w:val="150"/>
          <w:sz w:val="23"/>
        </w:rPr>
        <w:t> </w:t>
      </w:r>
      <w:r>
        <w:rPr>
          <w:sz w:val="23"/>
        </w:rPr>
        <w:t>исследований»</w:t>
      </w:r>
      <w:r>
        <w:rPr>
          <w:spacing w:val="80"/>
          <w:w w:val="150"/>
          <w:sz w:val="23"/>
        </w:rPr>
        <w:t> </w:t>
      </w:r>
      <w:r>
        <w:rPr>
          <w:sz w:val="23"/>
        </w:rPr>
        <w:t>(с</w:t>
      </w:r>
      <w:r>
        <w:rPr>
          <w:spacing w:val="80"/>
          <w:w w:val="150"/>
          <w:sz w:val="23"/>
        </w:rPr>
        <w:t> </w:t>
      </w:r>
      <w:r>
        <w:rPr>
          <w:sz w:val="23"/>
        </w:rPr>
        <w:t>изменениями на 23 ноября 2021 года).</w:t>
      </w:r>
    </w:p>
    <w:p>
      <w:pPr>
        <w:spacing w:line="276" w:lineRule="auto" w:before="0"/>
        <w:ind w:left="141" w:right="705" w:firstLine="565"/>
        <w:jc w:val="both"/>
        <w:rPr>
          <w:sz w:val="23"/>
        </w:rPr>
      </w:pPr>
      <w:r>
        <w:rPr>
          <w:sz w:val="23"/>
        </w:rPr>
        <w:t>Требования к помещению и оборудованию при проведении специфической лабораторной</w:t>
      </w:r>
      <w:r>
        <w:rPr>
          <w:spacing w:val="-12"/>
          <w:sz w:val="23"/>
        </w:rPr>
        <w:t> </w:t>
      </w:r>
      <w:r>
        <w:rPr>
          <w:sz w:val="23"/>
        </w:rPr>
        <w:t>(этиологической)</w:t>
      </w:r>
      <w:r>
        <w:rPr>
          <w:spacing w:val="-11"/>
          <w:sz w:val="23"/>
        </w:rPr>
        <w:t> </w:t>
      </w:r>
      <w:r>
        <w:rPr>
          <w:sz w:val="23"/>
        </w:rPr>
        <w:t>диагностики</w:t>
      </w:r>
      <w:r>
        <w:rPr>
          <w:spacing w:val="-12"/>
          <w:sz w:val="23"/>
        </w:rPr>
        <w:t> </w:t>
      </w:r>
      <w:r>
        <w:rPr>
          <w:sz w:val="23"/>
        </w:rPr>
        <w:t>COVID-19</w:t>
      </w:r>
      <w:r>
        <w:rPr>
          <w:spacing w:val="-11"/>
          <w:sz w:val="23"/>
        </w:rPr>
        <w:t> </w:t>
      </w:r>
      <w:r>
        <w:rPr>
          <w:sz w:val="23"/>
        </w:rPr>
        <w:t>соответствуют</w:t>
      </w:r>
      <w:r>
        <w:rPr>
          <w:spacing w:val="-11"/>
          <w:sz w:val="23"/>
        </w:rPr>
        <w:t> </w:t>
      </w:r>
      <w:r>
        <w:rPr>
          <w:sz w:val="23"/>
        </w:rPr>
        <w:t>вышеприведенным санитарным правилам и правилам, изложенным в МУ 1.3.2569-09 «Организация работы лабораторий, использующих МАНК при работе с материалом, содержащим микроорганизмы I-IV групп патогенности». Для предотвращения перекрестной контаминации образцов амплифицированными продуктами рабочие зоны для выделения РНК и проведения МАНК с обратной транскрипцией, и учета ее результатов при использовании гибридизационно-флуоресцентного метода детекции должны быть расположены в отдельных помещениях, удаленных друг от друга.</w:t>
      </w:r>
    </w:p>
    <w:p>
      <w:pPr>
        <w:spacing w:line="273" w:lineRule="auto" w:before="0"/>
        <w:ind w:left="141" w:right="716" w:firstLine="565"/>
        <w:jc w:val="both"/>
        <w:rPr>
          <w:sz w:val="23"/>
        </w:rPr>
      </w:pPr>
      <w:r>
        <w:rPr>
          <w:sz w:val="23"/>
        </w:rPr>
        <w:t>Лаборатория</w:t>
      </w:r>
      <w:r>
        <w:rPr>
          <w:spacing w:val="40"/>
          <w:sz w:val="23"/>
        </w:rPr>
        <w:t> </w:t>
      </w:r>
      <w:r>
        <w:rPr>
          <w:sz w:val="23"/>
        </w:rPr>
        <w:t>должна</w:t>
      </w:r>
      <w:r>
        <w:rPr>
          <w:spacing w:val="40"/>
          <w:sz w:val="23"/>
        </w:rPr>
        <w:t> </w:t>
      </w:r>
      <w:r>
        <w:rPr>
          <w:sz w:val="23"/>
        </w:rPr>
        <w:t>иметь</w:t>
      </w:r>
      <w:r>
        <w:rPr>
          <w:spacing w:val="40"/>
          <w:sz w:val="23"/>
        </w:rPr>
        <w:t> </w:t>
      </w:r>
      <w:r>
        <w:rPr>
          <w:sz w:val="23"/>
        </w:rPr>
        <w:t>оборудование,</w:t>
      </w:r>
      <w:r>
        <w:rPr>
          <w:spacing w:val="40"/>
          <w:sz w:val="23"/>
        </w:rPr>
        <w:t> </w:t>
      </w:r>
      <w:r>
        <w:rPr>
          <w:sz w:val="23"/>
        </w:rPr>
        <w:t>достаточное</w:t>
      </w:r>
      <w:r>
        <w:rPr>
          <w:spacing w:val="40"/>
          <w:sz w:val="23"/>
        </w:rPr>
        <w:t> </w:t>
      </w:r>
      <w:r>
        <w:rPr>
          <w:sz w:val="23"/>
        </w:rPr>
        <w:t>для</w:t>
      </w:r>
      <w:r>
        <w:rPr>
          <w:spacing w:val="40"/>
          <w:sz w:val="23"/>
        </w:rPr>
        <w:t> </w:t>
      </w:r>
      <w:r>
        <w:rPr>
          <w:sz w:val="23"/>
        </w:rPr>
        <w:t>проведения</w:t>
      </w:r>
      <w:r>
        <w:rPr>
          <w:spacing w:val="40"/>
          <w:sz w:val="23"/>
        </w:rPr>
        <w:t> </w:t>
      </w:r>
      <w:r>
        <w:rPr>
          <w:sz w:val="23"/>
        </w:rPr>
        <w:t>МАНК для диагностики COVID-19, с учетом применяемых методов и объема работы.</w:t>
      </w:r>
    </w:p>
    <w:p>
      <w:pPr>
        <w:spacing w:line="276" w:lineRule="auto" w:before="0"/>
        <w:ind w:left="141" w:right="706" w:firstLine="565"/>
        <w:jc w:val="both"/>
        <w:rPr>
          <w:sz w:val="23"/>
        </w:rPr>
      </w:pPr>
      <w:r>
        <w:rPr>
          <w:sz w:val="23"/>
        </w:rPr>
        <w:t>Лаборатория должна иметь СИЗ (одноразовый защитный костюм IV типа, маски, респираторы,</w:t>
      </w:r>
      <w:r>
        <w:rPr>
          <w:spacing w:val="80"/>
          <w:sz w:val="23"/>
        </w:rPr>
        <w:t> </w:t>
      </w:r>
      <w:r>
        <w:rPr>
          <w:sz w:val="23"/>
        </w:rPr>
        <w:t>защитные</w:t>
      </w:r>
      <w:r>
        <w:rPr>
          <w:spacing w:val="80"/>
          <w:sz w:val="23"/>
        </w:rPr>
        <w:t> </w:t>
      </w:r>
      <w:r>
        <w:rPr>
          <w:sz w:val="23"/>
        </w:rPr>
        <w:t>очки,</w:t>
      </w:r>
      <w:r>
        <w:rPr>
          <w:spacing w:val="80"/>
          <w:sz w:val="23"/>
        </w:rPr>
        <w:t> </w:t>
      </w:r>
      <w:r>
        <w:rPr>
          <w:sz w:val="23"/>
        </w:rPr>
        <w:t>одноразовые</w:t>
      </w:r>
      <w:r>
        <w:rPr>
          <w:spacing w:val="80"/>
          <w:sz w:val="23"/>
        </w:rPr>
        <w:t> </w:t>
      </w:r>
      <w:r>
        <w:rPr>
          <w:sz w:val="23"/>
        </w:rPr>
        <w:t>латексные</w:t>
      </w:r>
      <w:r>
        <w:rPr>
          <w:spacing w:val="80"/>
          <w:sz w:val="23"/>
        </w:rPr>
        <w:t> </w:t>
      </w:r>
      <w:r>
        <w:rPr>
          <w:sz w:val="23"/>
        </w:rPr>
        <w:t>(резиновые)</w:t>
      </w:r>
      <w:r>
        <w:rPr>
          <w:spacing w:val="80"/>
          <w:sz w:val="23"/>
        </w:rPr>
        <w:t> </w:t>
      </w:r>
      <w:r>
        <w:rPr>
          <w:sz w:val="23"/>
        </w:rPr>
        <w:t>перчатки</w:t>
      </w:r>
      <w:r>
        <w:rPr>
          <w:spacing w:val="80"/>
          <w:sz w:val="23"/>
        </w:rPr>
        <w:t> </w:t>
      </w:r>
      <w:r>
        <w:rPr>
          <w:sz w:val="23"/>
        </w:rPr>
        <w:t>и</w:t>
      </w:r>
      <w:r>
        <w:rPr>
          <w:spacing w:val="80"/>
          <w:sz w:val="23"/>
        </w:rPr>
        <w:t> </w:t>
      </w:r>
      <w:r>
        <w:rPr>
          <w:sz w:val="23"/>
        </w:rPr>
        <w:t>др.)</w:t>
      </w:r>
      <w:r>
        <w:rPr>
          <w:spacing w:val="40"/>
          <w:sz w:val="23"/>
        </w:rPr>
        <w:t> </w:t>
      </w:r>
      <w:r>
        <w:rPr>
          <w:sz w:val="23"/>
        </w:rPr>
        <w:t>в</w:t>
      </w:r>
      <w:r>
        <w:rPr>
          <w:spacing w:val="-17"/>
          <w:sz w:val="23"/>
        </w:rPr>
        <w:t> </w:t>
      </w:r>
      <w:r>
        <w:rPr>
          <w:sz w:val="23"/>
        </w:rPr>
        <w:t>достаточных</w:t>
      </w:r>
      <w:r>
        <w:rPr>
          <w:spacing w:val="-14"/>
          <w:sz w:val="23"/>
        </w:rPr>
        <w:t> </w:t>
      </w:r>
      <w:r>
        <w:rPr>
          <w:sz w:val="23"/>
        </w:rPr>
        <w:t>количествах,</w:t>
      </w:r>
      <w:r>
        <w:rPr>
          <w:spacing w:val="-15"/>
          <w:sz w:val="23"/>
        </w:rPr>
        <w:t> </w:t>
      </w:r>
      <w:r>
        <w:rPr>
          <w:sz w:val="23"/>
        </w:rPr>
        <w:t>включающих</w:t>
      </w:r>
      <w:r>
        <w:rPr>
          <w:spacing w:val="-14"/>
          <w:sz w:val="23"/>
        </w:rPr>
        <w:t> </w:t>
      </w:r>
      <w:r>
        <w:rPr>
          <w:sz w:val="23"/>
        </w:rPr>
        <w:t>необходимое</w:t>
      </w:r>
      <w:r>
        <w:rPr>
          <w:spacing w:val="-14"/>
          <w:sz w:val="23"/>
        </w:rPr>
        <w:t> </w:t>
      </w:r>
      <w:r>
        <w:rPr>
          <w:sz w:val="23"/>
        </w:rPr>
        <w:t>количество</w:t>
      </w:r>
      <w:r>
        <w:rPr>
          <w:spacing w:val="-15"/>
          <w:sz w:val="23"/>
        </w:rPr>
        <w:t> </w:t>
      </w:r>
      <w:r>
        <w:rPr>
          <w:sz w:val="23"/>
        </w:rPr>
        <w:t>комплектов</w:t>
      </w:r>
      <w:r>
        <w:rPr>
          <w:spacing w:val="-14"/>
          <w:sz w:val="23"/>
        </w:rPr>
        <w:t> </w:t>
      </w:r>
      <w:r>
        <w:rPr>
          <w:sz w:val="23"/>
        </w:rPr>
        <w:t>для</w:t>
      </w:r>
      <w:r>
        <w:rPr>
          <w:spacing w:val="-14"/>
          <w:sz w:val="23"/>
        </w:rPr>
        <w:t> </w:t>
      </w:r>
      <w:r>
        <w:rPr>
          <w:sz w:val="23"/>
        </w:rPr>
        <w:t>каждой рабочей зоны, возможность смены СИЗ в течение дня, запас СИЗ, обеспечивающий бесперебойное обеспечение персонала.</w:t>
      </w:r>
    </w:p>
    <w:p>
      <w:pPr>
        <w:pStyle w:val="BodyText"/>
        <w:spacing w:before="37"/>
        <w:ind w:left="0"/>
        <w:jc w:val="left"/>
        <w:rPr>
          <w:sz w:val="23"/>
        </w:rPr>
      </w:pPr>
    </w:p>
    <w:p>
      <w:pPr>
        <w:spacing w:before="1"/>
        <w:ind w:left="707" w:right="0" w:firstLine="0"/>
        <w:jc w:val="both"/>
        <w:rPr>
          <w:b/>
          <w:sz w:val="23"/>
        </w:rPr>
      </w:pPr>
      <w:r>
        <w:rPr>
          <w:b/>
          <w:sz w:val="23"/>
        </w:rPr>
        <w:t>Лабораторные</w:t>
      </w:r>
      <w:r>
        <w:rPr>
          <w:b/>
          <w:spacing w:val="-7"/>
          <w:sz w:val="23"/>
        </w:rPr>
        <w:t> </w:t>
      </w:r>
      <w:r>
        <w:rPr>
          <w:b/>
          <w:sz w:val="23"/>
        </w:rPr>
        <w:t>этапы</w:t>
      </w:r>
      <w:r>
        <w:rPr>
          <w:b/>
          <w:spacing w:val="-9"/>
          <w:sz w:val="23"/>
        </w:rPr>
        <w:t> </w:t>
      </w:r>
      <w:r>
        <w:rPr>
          <w:b/>
          <w:spacing w:val="-2"/>
          <w:sz w:val="23"/>
        </w:rPr>
        <w:t>диагностики</w:t>
      </w:r>
    </w:p>
    <w:p>
      <w:pPr>
        <w:spacing w:after="0"/>
        <w:jc w:val="both"/>
        <w:rPr>
          <w:b/>
          <w:sz w:val="23"/>
        </w:rPr>
        <w:sectPr>
          <w:pgSz w:w="11900" w:h="16840"/>
          <w:pgMar w:header="0" w:footer="697" w:top="1080" w:bottom="880" w:left="1559" w:right="566"/>
        </w:sectPr>
      </w:pPr>
    </w:p>
    <w:p>
      <w:pPr>
        <w:spacing w:line="276" w:lineRule="auto" w:before="72"/>
        <w:ind w:left="141" w:right="710" w:firstLine="707"/>
        <w:jc w:val="both"/>
        <w:rPr>
          <w:sz w:val="23"/>
        </w:rPr>
      </w:pPr>
      <w:bookmarkStart w:name="176" w:id="207"/>
      <w:bookmarkEnd w:id="207"/>
      <w:r>
        <w:rPr/>
      </w:r>
      <w:r>
        <w:rPr>
          <w:sz w:val="23"/>
        </w:rPr>
        <w:t>На этапе приема, сортировки и регистрации материала лаборатория должна проводить</w:t>
      </w:r>
      <w:r>
        <w:rPr>
          <w:spacing w:val="31"/>
          <w:sz w:val="23"/>
        </w:rPr>
        <w:t> </w:t>
      </w:r>
      <w:r>
        <w:rPr>
          <w:sz w:val="23"/>
        </w:rPr>
        <w:t>выбраковку</w:t>
      </w:r>
      <w:r>
        <w:rPr>
          <w:spacing w:val="31"/>
          <w:sz w:val="23"/>
        </w:rPr>
        <w:t> </w:t>
      </w:r>
      <w:r>
        <w:rPr>
          <w:sz w:val="23"/>
        </w:rPr>
        <w:t>образцов,</w:t>
      </w:r>
      <w:r>
        <w:rPr>
          <w:spacing w:val="31"/>
          <w:sz w:val="23"/>
        </w:rPr>
        <w:t> </w:t>
      </w:r>
      <w:r>
        <w:rPr>
          <w:sz w:val="23"/>
        </w:rPr>
        <w:t>для</w:t>
      </w:r>
      <w:r>
        <w:rPr>
          <w:spacing w:val="31"/>
          <w:sz w:val="23"/>
        </w:rPr>
        <w:t> </w:t>
      </w:r>
      <w:r>
        <w:rPr>
          <w:sz w:val="23"/>
        </w:rPr>
        <w:t>которых</w:t>
      </w:r>
      <w:r>
        <w:rPr>
          <w:spacing w:val="31"/>
          <w:sz w:val="23"/>
        </w:rPr>
        <w:t> </w:t>
      </w:r>
      <w:r>
        <w:rPr>
          <w:sz w:val="23"/>
        </w:rPr>
        <w:t>информация</w:t>
      </w:r>
      <w:r>
        <w:rPr>
          <w:spacing w:val="31"/>
          <w:sz w:val="23"/>
        </w:rPr>
        <w:t> </w:t>
      </w:r>
      <w:r>
        <w:rPr>
          <w:sz w:val="23"/>
        </w:rPr>
        <w:t>в</w:t>
      </w:r>
      <w:r>
        <w:rPr>
          <w:spacing w:val="33"/>
          <w:sz w:val="23"/>
        </w:rPr>
        <w:t> </w:t>
      </w:r>
      <w:r>
        <w:rPr>
          <w:sz w:val="23"/>
        </w:rPr>
        <w:t>направлении</w:t>
      </w:r>
      <w:r>
        <w:rPr>
          <w:spacing w:val="32"/>
          <w:sz w:val="23"/>
        </w:rPr>
        <w:t> </w:t>
      </w:r>
      <w:r>
        <w:rPr>
          <w:sz w:val="23"/>
        </w:rPr>
        <w:t>не</w:t>
      </w:r>
      <w:r>
        <w:rPr>
          <w:spacing w:val="31"/>
          <w:sz w:val="23"/>
        </w:rPr>
        <w:t> </w:t>
      </w:r>
      <w:r>
        <w:rPr>
          <w:sz w:val="23"/>
        </w:rPr>
        <w:t>совпадает с</w:t>
      </w:r>
      <w:r>
        <w:rPr>
          <w:spacing w:val="-3"/>
          <w:sz w:val="23"/>
        </w:rPr>
        <w:t> </w:t>
      </w:r>
      <w:r>
        <w:rPr>
          <w:sz w:val="23"/>
        </w:rPr>
        <w:t>данными</w:t>
      </w:r>
      <w:r>
        <w:rPr>
          <w:spacing w:val="-2"/>
          <w:sz w:val="23"/>
        </w:rPr>
        <w:t> </w:t>
      </w:r>
      <w:r>
        <w:rPr>
          <w:sz w:val="23"/>
        </w:rPr>
        <w:t>на</w:t>
      </w:r>
      <w:r>
        <w:rPr>
          <w:spacing w:val="-2"/>
          <w:sz w:val="23"/>
        </w:rPr>
        <w:t> </w:t>
      </w:r>
      <w:r>
        <w:rPr>
          <w:sz w:val="23"/>
        </w:rPr>
        <w:t>этикетке</w:t>
      </w:r>
      <w:r>
        <w:rPr>
          <w:spacing w:val="-2"/>
          <w:sz w:val="23"/>
        </w:rPr>
        <w:t> </w:t>
      </w:r>
      <w:r>
        <w:rPr>
          <w:sz w:val="23"/>
        </w:rPr>
        <w:t>или</w:t>
      </w:r>
      <w:r>
        <w:rPr>
          <w:spacing w:val="-2"/>
          <w:sz w:val="23"/>
        </w:rPr>
        <w:t> </w:t>
      </w:r>
      <w:r>
        <w:rPr>
          <w:sz w:val="23"/>
        </w:rPr>
        <w:t>в</w:t>
      </w:r>
      <w:r>
        <w:rPr>
          <w:spacing w:val="-2"/>
          <w:sz w:val="23"/>
        </w:rPr>
        <w:t> </w:t>
      </w:r>
      <w:r>
        <w:rPr>
          <w:sz w:val="23"/>
        </w:rPr>
        <w:t>Акте</w:t>
      </w:r>
      <w:r>
        <w:rPr>
          <w:spacing w:val="-2"/>
          <w:sz w:val="23"/>
        </w:rPr>
        <w:t> </w:t>
      </w:r>
      <w:r>
        <w:rPr>
          <w:sz w:val="23"/>
        </w:rPr>
        <w:t>передачи,</w:t>
      </w:r>
      <w:r>
        <w:rPr>
          <w:spacing w:val="-2"/>
          <w:sz w:val="23"/>
        </w:rPr>
        <w:t> </w:t>
      </w:r>
      <w:r>
        <w:rPr>
          <w:sz w:val="23"/>
        </w:rPr>
        <w:t>нарушены</w:t>
      </w:r>
      <w:r>
        <w:rPr>
          <w:spacing w:val="-2"/>
          <w:sz w:val="23"/>
        </w:rPr>
        <w:t> </w:t>
      </w:r>
      <w:r>
        <w:rPr>
          <w:sz w:val="23"/>
        </w:rPr>
        <w:t>сроки</w:t>
      </w:r>
      <w:r>
        <w:rPr>
          <w:spacing w:val="-2"/>
          <w:sz w:val="23"/>
        </w:rPr>
        <w:t> </w:t>
      </w:r>
      <w:r>
        <w:rPr>
          <w:sz w:val="23"/>
        </w:rPr>
        <w:t>и</w:t>
      </w:r>
      <w:r>
        <w:rPr>
          <w:spacing w:val="-2"/>
          <w:sz w:val="23"/>
        </w:rPr>
        <w:t> </w:t>
      </w:r>
      <w:r>
        <w:rPr>
          <w:sz w:val="23"/>
        </w:rPr>
        <w:t>правила</w:t>
      </w:r>
      <w:r>
        <w:rPr>
          <w:spacing w:val="-2"/>
          <w:sz w:val="23"/>
        </w:rPr>
        <w:t> </w:t>
      </w:r>
      <w:r>
        <w:rPr>
          <w:sz w:val="23"/>
        </w:rPr>
        <w:t>транспортировки, нарушена герметичность контейнеров. Лаборатория обязана сообщить в медицинское учреждение/отделение</w:t>
      </w:r>
      <w:r>
        <w:rPr>
          <w:spacing w:val="80"/>
          <w:w w:val="150"/>
          <w:sz w:val="23"/>
        </w:rPr>
        <w:t> </w:t>
      </w:r>
      <w:r>
        <w:rPr>
          <w:sz w:val="23"/>
        </w:rPr>
        <w:t>или</w:t>
      </w:r>
      <w:r>
        <w:rPr>
          <w:spacing w:val="80"/>
          <w:w w:val="150"/>
          <w:sz w:val="23"/>
        </w:rPr>
        <w:t> </w:t>
      </w:r>
      <w:r>
        <w:rPr>
          <w:sz w:val="23"/>
        </w:rPr>
        <w:t>направившему</w:t>
      </w:r>
      <w:r>
        <w:rPr>
          <w:spacing w:val="80"/>
          <w:w w:val="150"/>
          <w:sz w:val="23"/>
        </w:rPr>
        <w:t> </w:t>
      </w:r>
      <w:r>
        <w:rPr>
          <w:sz w:val="23"/>
        </w:rPr>
        <w:t>образцы</w:t>
      </w:r>
      <w:r>
        <w:rPr>
          <w:spacing w:val="80"/>
          <w:w w:val="150"/>
          <w:sz w:val="23"/>
        </w:rPr>
        <w:t> </w:t>
      </w:r>
      <w:r>
        <w:rPr>
          <w:sz w:val="23"/>
        </w:rPr>
        <w:t>врачу</w:t>
      </w:r>
      <w:r>
        <w:rPr>
          <w:spacing w:val="80"/>
          <w:w w:val="150"/>
          <w:sz w:val="23"/>
        </w:rPr>
        <w:t> </w:t>
      </w:r>
      <w:r>
        <w:rPr>
          <w:sz w:val="23"/>
        </w:rPr>
        <w:t>о</w:t>
      </w:r>
      <w:r>
        <w:rPr>
          <w:spacing w:val="80"/>
          <w:w w:val="150"/>
          <w:sz w:val="23"/>
        </w:rPr>
        <w:t> </w:t>
      </w:r>
      <w:r>
        <w:rPr>
          <w:sz w:val="23"/>
        </w:rPr>
        <w:t>выбраковке</w:t>
      </w:r>
      <w:r>
        <w:rPr>
          <w:spacing w:val="80"/>
          <w:w w:val="150"/>
          <w:sz w:val="23"/>
        </w:rPr>
        <w:t> </w:t>
      </w:r>
      <w:r>
        <w:rPr>
          <w:sz w:val="23"/>
        </w:rPr>
        <w:t>образцов</w:t>
      </w:r>
      <w:r>
        <w:rPr>
          <w:spacing w:val="80"/>
          <w:sz w:val="23"/>
        </w:rPr>
        <w:t> </w:t>
      </w:r>
      <w:r>
        <w:rPr>
          <w:sz w:val="23"/>
        </w:rPr>
        <w:t>и ее причине.</w:t>
      </w:r>
    </w:p>
    <w:p>
      <w:pPr>
        <w:spacing w:line="276" w:lineRule="auto" w:before="0"/>
        <w:ind w:left="141" w:right="708" w:firstLine="565"/>
        <w:jc w:val="both"/>
        <w:rPr>
          <w:sz w:val="23"/>
        </w:rPr>
      </w:pPr>
      <w:r>
        <w:rPr>
          <w:sz w:val="23"/>
        </w:rPr>
        <w:t>Для проведения МАНК лаборатории применяют зарегистрированные в Российской Федерации как изделия медицинского назначения тест-системы/реагенты. Специалисты лаборатории должны владеть МАНК.</w:t>
      </w:r>
    </w:p>
    <w:p>
      <w:pPr>
        <w:spacing w:line="276" w:lineRule="auto" w:before="0"/>
        <w:ind w:left="141" w:right="706" w:firstLine="565"/>
        <w:jc w:val="both"/>
        <w:rPr>
          <w:sz w:val="23"/>
        </w:rPr>
      </w:pPr>
      <w:r>
        <w:rPr>
          <w:sz w:val="23"/>
        </w:rPr>
        <w:t>При получении положительного результата на COVID-2019 необходимо незамедлительно информировать территориальные органы Роспотребнадзора в субъектах Российской Федерации и направлять биологический материал в федеральные бюджетные учреждения</w:t>
      </w:r>
      <w:r>
        <w:rPr>
          <w:spacing w:val="-1"/>
          <w:sz w:val="23"/>
        </w:rPr>
        <w:t> </w:t>
      </w:r>
      <w:r>
        <w:rPr>
          <w:sz w:val="23"/>
        </w:rPr>
        <w:t>здравоохранения –</w:t>
      </w:r>
      <w:r>
        <w:rPr>
          <w:spacing w:val="-1"/>
          <w:sz w:val="23"/>
        </w:rPr>
        <w:t> </w:t>
      </w:r>
      <w:r>
        <w:rPr>
          <w:sz w:val="23"/>
        </w:rPr>
        <w:t>центры гигиены</w:t>
      </w:r>
      <w:r>
        <w:rPr>
          <w:spacing w:val="-2"/>
          <w:sz w:val="23"/>
        </w:rPr>
        <w:t> </w:t>
      </w:r>
      <w:r>
        <w:rPr>
          <w:sz w:val="23"/>
        </w:rPr>
        <w:t>и</w:t>
      </w:r>
      <w:r>
        <w:rPr>
          <w:spacing w:val="-2"/>
          <w:sz w:val="23"/>
        </w:rPr>
        <w:t> </w:t>
      </w:r>
      <w:r>
        <w:rPr>
          <w:sz w:val="23"/>
        </w:rPr>
        <w:t>эпидемиологии</w:t>
      </w:r>
      <w:r>
        <w:rPr>
          <w:spacing w:val="-2"/>
          <w:sz w:val="23"/>
        </w:rPr>
        <w:t> </w:t>
      </w:r>
      <w:r>
        <w:rPr>
          <w:sz w:val="23"/>
        </w:rPr>
        <w:t>в</w:t>
      </w:r>
      <w:r>
        <w:rPr>
          <w:spacing w:val="-2"/>
          <w:sz w:val="23"/>
        </w:rPr>
        <w:t> </w:t>
      </w:r>
      <w:r>
        <w:rPr>
          <w:sz w:val="23"/>
        </w:rPr>
        <w:t>субъектах</w:t>
      </w:r>
      <w:r>
        <w:rPr>
          <w:spacing w:val="-1"/>
          <w:sz w:val="23"/>
        </w:rPr>
        <w:t> </w:t>
      </w:r>
      <w:r>
        <w:rPr>
          <w:sz w:val="23"/>
        </w:rPr>
        <w:t>Российской </w:t>
      </w:r>
      <w:r>
        <w:rPr>
          <w:spacing w:val="-2"/>
          <w:sz w:val="23"/>
        </w:rPr>
        <w:t>Федерации.</w:t>
      </w:r>
    </w:p>
    <w:p>
      <w:pPr>
        <w:pStyle w:val="BodyText"/>
        <w:spacing w:before="37"/>
        <w:ind w:left="0"/>
        <w:jc w:val="left"/>
        <w:rPr>
          <w:sz w:val="23"/>
        </w:rPr>
      </w:pPr>
    </w:p>
    <w:p>
      <w:pPr>
        <w:spacing w:before="0"/>
        <w:ind w:left="707" w:right="0" w:firstLine="0"/>
        <w:jc w:val="both"/>
        <w:rPr>
          <w:b/>
          <w:sz w:val="23"/>
        </w:rPr>
      </w:pPr>
      <w:r>
        <w:rPr>
          <w:b/>
          <w:sz w:val="23"/>
        </w:rPr>
        <w:t>Дезинфекция,</w:t>
      </w:r>
      <w:r>
        <w:rPr>
          <w:b/>
          <w:spacing w:val="-5"/>
          <w:sz w:val="23"/>
        </w:rPr>
        <w:t> </w:t>
      </w:r>
      <w:r>
        <w:rPr>
          <w:b/>
          <w:sz w:val="23"/>
        </w:rPr>
        <w:t>обращение</w:t>
      </w:r>
      <w:r>
        <w:rPr>
          <w:b/>
          <w:spacing w:val="-5"/>
          <w:sz w:val="23"/>
        </w:rPr>
        <w:t> </w:t>
      </w:r>
      <w:r>
        <w:rPr>
          <w:b/>
          <w:sz w:val="23"/>
        </w:rPr>
        <w:t>с</w:t>
      </w:r>
      <w:r>
        <w:rPr>
          <w:b/>
          <w:spacing w:val="-5"/>
          <w:sz w:val="23"/>
        </w:rPr>
        <w:t> </w:t>
      </w:r>
      <w:r>
        <w:rPr>
          <w:b/>
          <w:spacing w:val="-2"/>
          <w:sz w:val="23"/>
        </w:rPr>
        <w:t>отходами</w:t>
      </w:r>
    </w:p>
    <w:p>
      <w:pPr>
        <w:pStyle w:val="BodyText"/>
        <w:spacing w:line="276" w:lineRule="auto" w:before="40"/>
        <w:ind w:left="141" w:right="704" w:firstLine="565"/>
      </w:pPr>
      <w:r>
        <w:rPr/>
        <w:t>В</w:t>
      </w:r>
      <w:r>
        <w:rPr>
          <w:spacing w:val="-4"/>
        </w:rPr>
        <w:t> </w:t>
      </w:r>
      <w:r>
        <w:rPr/>
        <w:t>помещениях</w:t>
      </w:r>
      <w:r>
        <w:rPr>
          <w:spacing w:val="-5"/>
        </w:rPr>
        <w:t> </w:t>
      </w:r>
      <w:r>
        <w:rPr/>
        <w:t>лаборатории</w:t>
      </w:r>
      <w:r>
        <w:rPr>
          <w:spacing w:val="-4"/>
        </w:rPr>
        <w:t> </w:t>
      </w:r>
      <w:r>
        <w:rPr/>
        <w:t>проводятся</w:t>
      </w:r>
      <w:r>
        <w:rPr>
          <w:spacing w:val="-5"/>
        </w:rPr>
        <w:t> </w:t>
      </w:r>
      <w:r>
        <w:rPr/>
        <w:t>дезинфекционные</w:t>
      </w:r>
      <w:r>
        <w:rPr>
          <w:spacing w:val="-6"/>
        </w:rPr>
        <w:t> </w:t>
      </w:r>
      <w:r>
        <w:rPr/>
        <w:t>мероприятии</w:t>
      </w:r>
      <w:r>
        <w:rPr>
          <w:spacing w:val="-4"/>
        </w:rPr>
        <w:t> </w:t>
      </w:r>
      <w:r>
        <w:rPr/>
        <w:t>с</w:t>
      </w:r>
      <w:r>
        <w:rPr>
          <w:spacing w:val="-5"/>
        </w:rPr>
        <w:t> </w:t>
      </w:r>
      <w:r>
        <w:rPr/>
        <w:t>учетом зонирования </w:t>
      </w:r>
      <w:r>
        <w:rPr>
          <w:vertAlign w:val="superscript"/>
        </w:rPr>
        <w:t>1</w:t>
      </w:r>
      <w:r>
        <w:rPr>
          <w:vertAlign w:val="baseline"/>
        </w:rPr>
        <w:t> . В помещениях рабочей зоны 1 (прием и разбор материала, его маркировка, первичная обработка и обеззараживание) ежедневно проводят текущую уборку</w:t>
      </w:r>
      <w:r>
        <w:rPr>
          <w:spacing w:val="40"/>
          <w:vertAlign w:val="baseline"/>
        </w:rPr>
        <w:t> </w:t>
      </w:r>
      <w:r>
        <w:rPr>
          <w:vertAlign w:val="baseline"/>
        </w:rPr>
        <w:t>с</w:t>
      </w:r>
      <w:r>
        <w:rPr>
          <w:spacing w:val="40"/>
          <w:vertAlign w:val="baseline"/>
        </w:rPr>
        <w:t> </w:t>
      </w:r>
      <w:r>
        <w:rPr>
          <w:vertAlign w:val="baseline"/>
        </w:rPr>
        <w:t>применением</w:t>
      </w:r>
      <w:r>
        <w:rPr>
          <w:spacing w:val="40"/>
          <w:vertAlign w:val="baseline"/>
        </w:rPr>
        <w:t> </w:t>
      </w:r>
      <w:r>
        <w:rPr>
          <w:vertAlign w:val="baseline"/>
        </w:rPr>
        <w:t>дезинфицирующих</w:t>
      </w:r>
      <w:r>
        <w:rPr>
          <w:spacing w:val="40"/>
          <w:vertAlign w:val="baseline"/>
        </w:rPr>
        <w:t> </w:t>
      </w:r>
      <w:r>
        <w:rPr>
          <w:vertAlign w:val="baseline"/>
        </w:rPr>
        <w:t>средств.</w:t>
      </w:r>
      <w:r>
        <w:rPr>
          <w:spacing w:val="40"/>
          <w:vertAlign w:val="baseline"/>
        </w:rPr>
        <w:t> </w:t>
      </w:r>
      <w:r>
        <w:rPr>
          <w:vertAlign w:val="baseline"/>
        </w:rPr>
        <w:t>В</w:t>
      </w:r>
      <w:r>
        <w:rPr>
          <w:spacing w:val="40"/>
          <w:vertAlign w:val="baseline"/>
        </w:rPr>
        <w:t> </w:t>
      </w:r>
      <w:r>
        <w:rPr>
          <w:vertAlign w:val="baseline"/>
        </w:rPr>
        <w:t>рабочих</w:t>
      </w:r>
      <w:r>
        <w:rPr>
          <w:spacing w:val="40"/>
          <w:vertAlign w:val="baseline"/>
        </w:rPr>
        <w:t> </w:t>
      </w:r>
      <w:r>
        <w:rPr>
          <w:vertAlign w:val="baseline"/>
        </w:rPr>
        <w:t>зонах</w:t>
      </w:r>
      <w:r>
        <w:rPr>
          <w:spacing w:val="40"/>
          <w:vertAlign w:val="baseline"/>
        </w:rPr>
        <w:t> </w:t>
      </w:r>
      <w:r>
        <w:rPr>
          <w:vertAlign w:val="baseline"/>
        </w:rPr>
        <w:t>2</w:t>
      </w:r>
      <w:r>
        <w:rPr>
          <w:spacing w:val="40"/>
          <w:vertAlign w:val="baseline"/>
        </w:rPr>
        <w:t> </w:t>
      </w:r>
      <w:r>
        <w:rPr>
          <w:vertAlign w:val="baseline"/>
        </w:rPr>
        <w:t>(выделение и</w:t>
      </w:r>
      <w:r>
        <w:rPr>
          <w:spacing w:val="-1"/>
          <w:vertAlign w:val="baseline"/>
        </w:rPr>
        <w:t> </w:t>
      </w:r>
      <w:r>
        <w:rPr>
          <w:vertAlign w:val="baseline"/>
        </w:rPr>
        <w:t>очистка</w:t>
      </w:r>
      <w:r>
        <w:rPr>
          <w:spacing w:val="40"/>
          <w:vertAlign w:val="baseline"/>
        </w:rPr>
        <w:t>  </w:t>
      </w:r>
      <w:r>
        <w:rPr>
          <w:vertAlign w:val="baseline"/>
        </w:rPr>
        <w:t>РНК</w:t>
      </w:r>
      <w:r>
        <w:rPr>
          <w:spacing w:val="40"/>
          <w:vertAlign w:val="baseline"/>
        </w:rPr>
        <w:t>  </w:t>
      </w:r>
      <w:r>
        <w:rPr>
          <w:vertAlign w:val="baseline"/>
        </w:rPr>
        <w:t>патогена</w:t>
      </w:r>
      <w:r>
        <w:rPr>
          <w:spacing w:val="40"/>
          <w:vertAlign w:val="baseline"/>
        </w:rPr>
        <w:t>  </w:t>
      </w:r>
      <w:r>
        <w:rPr>
          <w:vertAlign w:val="baseline"/>
        </w:rPr>
        <w:t>из</w:t>
      </w:r>
      <w:r>
        <w:rPr>
          <w:spacing w:val="51"/>
          <w:vertAlign w:val="baseline"/>
        </w:rPr>
        <w:t>  </w:t>
      </w:r>
      <w:r>
        <w:rPr>
          <w:vertAlign w:val="baseline"/>
        </w:rPr>
        <w:t>образцов,</w:t>
      </w:r>
      <w:r>
        <w:rPr>
          <w:spacing w:val="40"/>
          <w:vertAlign w:val="baseline"/>
        </w:rPr>
        <w:t>  </w:t>
      </w:r>
      <w:r>
        <w:rPr>
          <w:vertAlign w:val="baseline"/>
        </w:rPr>
        <w:t>подготовленных</w:t>
      </w:r>
      <w:r>
        <w:rPr>
          <w:spacing w:val="40"/>
          <w:vertAlign w:val="baseline"/>
        </w:rPr>
        <w:t>  </w:t>
      </w:r>
      <w:r>
        <w:rPr>
          <w:vertAlign w:val="baseline"/>
        </w:rPr>
        <w:t>в</w:t>
      </w:r>
      <w:r>
        <w:rPr>
          <w:spacing w:val="40"/>
          <w:vertAlign w:val="baseline"/>
        </w:rPr>
        <w:t>  </w:t>
      </w:r>
      <w:r>
        <w:rPr>
          <w:vertAlign w:val="baseline"/>
        </w:rPr>
        <w:t>рабочей</w:t>
      </w:r>
      <w:r>
        <w:rPr>
          <w:spacing w:val="51"/>
          <w:vertAlign w:val="baseline"/>
        </w:rPr>
        <w:t>  </w:t>
      </w:r>
      <w:r>
        <w:rPr>
          <w:vertAlign w:val="baseline"/>
        </w:rPr>
        <w:t>зоне</w:t>
      </w:r>
      <w:r>
        <w:rPr>
          <w:spacing w:val="40"/>
          <w:vertAlign w:val="baseline"/>
        </w:rPr>
        <w:t>  </w:t>
      </w:r>
      <w:r>
        <w:rPr>
          <w:vertAlign w:val="baseline"/>
        </w:rPr>
        <w:t>1),</w:t>
      </w:r>
      <w:r>
        <w:rPr>
          <w:spacing w:val="80"/>
          <w:vertAlign w:val="baseline"/>
        </w:rPr>
        <w:t> </w:t>
      </w:r>
      <w:r>
        <w:rPr>
          <w:vertAlign w:val="baseline"/>
        </w:rPr>
        <w:t>3</w:t>
      </w:r>
      <w:r>
        <w:rPr>
          <w:spacing w:val="-5"/>
          <w:vertAlign w:val="baseline"/>
        </w:rPr>
        <w:t> </w:t>
      </w:r>
      <w:r>
        <w:rPr>
          <w:vertAlign w:val="baseline"/>
        </w:rPr>
        <w:t>(приготовление реакционных смесей, проведение реакции обратной транскрипции, амплификации нуклеиновых кислот и учет результатов гибридизационно- флуоресцентным методом детекции) или 2 - 3 рекомендуется ежедневно проводить: обработку помещений ультрафиолетовым излучением перед началом и после окончания работ; обработку ультрафиолетовым излучением соответствующих боксов микробиологической безопасности и ПЦР-боксов после окончания каждого этапа исследований (выделения нуклеиновых кислот и проведения амплификации); обработку</w:t>
      </w:r>
      <w:r>
        <w:rPr>
          <w:spacing w:val="74"/>
          <w:vertAlign w:val="baseline"/>
        </w:rPr>
        <w:t>  </w:t>
      </w:r>
      <w:r>
        <w:rPr>
          <w:vertAlign w:val="baseline"/>
        </w:rPr>
        <w:t>рабочих</w:t>
      </w:r>
      <w:r>
        <w:rPr>
          <w:spacing w:val="75"/>
          <w:vertAlign w:val="baseline"/>
        </w:rPr>
        <w:t>  </w:t>
      </w:r>
      <w:r>
        <w:rPr>
          <w:vertAlign w:val="baseline"/>
        </w:rPr>
        <w:t>поверхностей</w:t>
      </w:r>
      <w:r>
        <w:rPr>
          <w:spacing w:val="75"/>
          <w:vertAlign w:val="baseline"/>
        </w:rPr>
        <w:t>  </w:t>
      </w:r>
      <w:r>
        <w:rPr>
          <w:vertAlign w:val="baseline"/>
        </w:rPr>
        <w:t>боксов</w:t>
      </w:r>
      <w:r>
        <w:rPr>
          <w:spacing w:val="74"/>
          <w:vertAlign w:val="baseline"/>
        </w:rPr>
        <w:t>  </w:t>
      </w:r>
      <w:r>
        <w:rPr>
          <w:vertAlign w:val="baseline"/>
        </w:rPr>
        <w:t>микробиологической</w:t>
      </w:r>
      <w:r>
        <w:rPr>
          <w:spacing w:val="75"/>
          <w:vertAlign w:val="baseline"/>
        </w:rPr>
        <w:t>  </w:t>
      </w:r>
      <w:r>
        <w:rPr>
          <w:vertAlign w:val="baseline"/>
        </w:rPr>
        <w:t>безопасности и</w:t>
      </w:r>
      <w:r>
        <w:rPr>
          <w:spacing w:val="-6"/>
          <w:vertAlign w:val="baseline"/>
        </w:rPr>
        <w:t> </w:t>
      </w:r>
      <w:r>
        <w:rPr>
          <w:vertAlign w:val="baseline"/>
        </w:rPr>
        <w:t>ПЦР-боксов</w:t>
      </w:r>
      <w:r>
        <w:rPr>
          <w:spacing w:val="-12"/>
          <w:vertAlign w:val="baseline"/>
        </w:rPr>
        <w:t> </w:t>
      </w:r>
      <w:r>
        <w:rPr>
          <w:vertAlign w:val="baseline"/>
        </w:rPr>
        <w:t>после</w:t>
      </w:r>
      <w:r>
        <w:rPr>
          <w:spacing w:val="-12"/>
          <w:vertAlign w:val="baseline"/>
        </w:rPr>
        <w:t> </w:t>
      </w:r>
      <w:r>
        <w:rPr>
          <w:vertAlign w:val="baseline"/>
        </w:rPr>
        <w:t>окончания</w:t>
      </w:r>
      <w:r>
        <w:rPr>
          <w:spacing w:val="-12"/>
          <w:vertAlign w:val="baseline"/>
        </w:rPr>
        <w:t> </w:t>
      </w:r>
      <w:r>
        <w:rPr>
          <w:vertAlign w:val="baseline"/>
        </w:rPr>
        <w:t>работ</w:t>
      </w:r>
      <w:r>
        <w:rPr>
          <w:spacing w:val="-12"/>
          <w:vertAlign w:val="baseline"/>
        </w:rPr>
        <w:t> </w:t>
      </w:r>
      <w:r>
        <w:rPr>
          <w:vertAlign w:val="baseline"/>
        </w:rPr>
        <w:t>хлорактивными</w:t>
      </w:r>
      <w:r>
        <w:rPr>
          <w:spacing w:val="-11"/>
          <w:vertAlign w:val="baseline"/>
        </w:rPr>
        <w:t> </w:t>
      </w:r>
      <w:r>
        <w:rPr>
          <w:vertAlign w:val="baseline"/>
        </w:rPr>
        <w:t>дезинфицирующими</w:t>
      </w:r>
      <w:r>
        <w:rPr>
          <w:spacing w:val="-11"/>
          <w:vertAlign w:val="baseline"/>
        </w:rPr>
        <w:t> </w:t>
      </w:r>
      <w:r>
        <w:rPr>
          <w:vertAlign w:val="baseline"/>
        </w:rPr>
        <w:t>средствами (хлорамин, дезинфицирующие средства на основе натриевой соли, дихлоризоциануровой кислоты, дезинфицирующие средства на основе трихлоризоциануровой кислоты (ДП-2Т)) с удалением остатков дезинфицирующих средств</w:t>
      </w:r>
      <w:r>
        <w:rPr>
          <w:spacing w:val="77"/>
          <w:vertAlign w:val="baseline"/>
        </w:rPr>
        <w:t> </w:t>
      </w:r>
      <w:r>
        <w:rPr>
          <w:vertAlign w:val="baseline"/>
        </w:rPr>
        <w:t>с</w:t>
      </w:r>
      <w:r>
        <w:rPr>
          <w:spacing w:val="78"/>
          <w:vertAlign w:val="baseline"/>
        </w:rPr>
        <w:t> </w:t>
      </w:r>
      <w:r>
        <w:rPr>
          <w:vertAlign w:val="baseline"/>
        </w:rPr>
        <w:t>поверхностей</w:t>
      </w:r>
      <w:r>
        <w:rPr>
          <w:spacing w:val="78"/>
          <w:vertAlign w:val="baseline"/>
        </w:rPr>
        <w:t> </w:t>
      </w:r>
      <w:r>
        <w:rPr>
          <w:vertAlign w:val="baseline"/>
        </w:rPr>
        <w:t>боксов</w:t>
      </w:r>
      <w:r>
        <w:rPr>
          <w:spacing w:val="77"/>
          <w:vertAlign w:val="baseline"/>
        </w:rPr>
        <w:t> </w:t>
      </w:r>
      <w:r>
        <w:rPr>
          <w:vertAlign w:val="baseline"/>
        </w:rPr>
        <w:t>микробиологической</w:t>
      </w:r>
      <w:r>
        <w:rPr>
          <w:spacing w:val="78"/>
          <w:vertAlign w:val="baseline"/>
        </w:rPr>
        <w:t> </w:t>
      </w:r>
      <w:r>
        <w:rPr>
          <w:vertAlign w:val="baseline"/>
        </w:rPr>
        <w:t>безопасности</w:t>
      </w:r>
      <w:r>
        <w:rPr>
          <w:spacing w:val="77"/>
          <w:vertAlign w:val="baseline"/>
        </w:rPr>
        <w:t> </w:t>
      </w:r>
      <w:r>
        <w:rPr>
          <w:vertAlign w:val="baseline"/>
        </w:rPr>
        <w:t>и</w:t>
      </w:r>
      <w:r>
        <w:rPr>
          <w:spacing w:val="78"/>
          <w:vertAlign w:val="baseline"/>
        </w:rPr>
        <w:t> </w:t>
      </w:r>
      <w:r>
        <w:rPr>
          <w:vertAlign w:val="baseline"/>
        </w:rPr>
        <w:t>ПЦР-боксов с</w:t>
      </w:r>
      <w:r>
        <w:rPr>
          <w:spacing w:val="-4"/>
          <w:vertAlign w:val="baseline"/>
        </w:rPr>
        <w:t> </w:t>
      </w:r>
      <w:r>
        <w:rPr>
          <w:vertAlign w:val="baseline"/>
        </w:rPr>
        <w:t>последующей обработкой ультрафиолетовым излучением в течение 30 мин перед началом</w:t>
      </w:r>
      <w:r>
        <w:rPr>
          <w:spacing w:val="-12"/>
          <w:vertAlign w:val="baseline"/>
        </w:rPr>
        <w:t> </w:t>
      </w:r>
      <w:r>
        <w:rPr>
          <w:vertAlign w:val="baseline"/>
        </w:rPr>
        <w:t>работ;</w:t>
      </w:r>
      <w:r>
        <w:rPr>
          <w:spacing w:val="-11"/>
          <w:vertAlign w:val="baseline"/>
        </w:rPr>
        <w:t> </w:t>
      </w:r>
      <w:r>
        <w:rPr>
          <w:vertAlign w:val="baseline"/>
        </w:rPr>
        <w:t>текущую</w:t>
      </w:r>
      <w:r>
        <w:rPr>
          <w:spacing w:val="-11"/>
          <w:vertAlign w:val="baseline"/>
        </w:rPr>
        <w:t> </w:t>
      </w:r>
      <w:r>
        <w:rPr>
          <w:vertAlign w:val="baseline"/>
        </w:rPr>
        <w:t>влажную</w:t>
      </w:r>
      <w:r>
        <w:rPr>
          <w:spacing w:val="-11"/>
          <w:vertAlign w:val="baseline"/>
        </w:rPr>
        <w:t> </w:t>
      </w:r>
      <w:r>
        <w:rPr>
          <w:vertAlign w:val="baseline"/>
        </w:rPr>
        <w:t>уборку</w:t>
      </w:r>
      <w:r>
        <w:rPr>
          <w:spacing w:val="-12"/>
          <w:vertAlign w:val="baseline"/>
        </w:rPr>
        <w:t> </w:t>
      </w:r>
      <w:r>
        <w:rPr>
          <w:vertAlign w:val="baseline"/>
        </w:rPr>
        <w:t>полов</w:t>
      </w:r>
      <w:r>
        <w:rPr>
          <w:spacing w:val="-12"/>
          <w:vertAlign w:val="baseline"/>
        </w:rPr>
        <w:t> </w:t>
      </w:r>
      <w:r>
        <w:rPr>
          <w:vertAlign w:val="baseline"/>
        </w:rPr>
        <w:t>после</w:t>
      </w:r>
      <w:r>
        <w:rPr>
          <w:spacing w:val="-12"/>
          <w:vertAlign w:val="baseline"/>
        </w:rPr>
        <w:t> </w:t>
      </w:r>
      <w:r>
        <w:rPr>
          <w:vertAlign w:val="baseline"/>
        </w:rPr>
        <w:t>окончания</w:t>
      </w:r>
      <w:r>
        <w:rPr>
          <w:spacing w:val="-12"/>
          <w:vertAlign w:val="baseline"/>
        </w:rPr>
        <w:t> </w:t>
      </w:r>
      <w:r>
        <w:rPr>
          <w:vertAlign w:val="baseline"/>
        </w:rPr>
        <w:t>работ</w:t>
      </w:r>
      <w:r>
        <w:rPr>
          <w:spacing w:val="-11"/>
          <w:vertAlign w:val="baseline"/>
        </w:rPr>
        <w:t> </w:t>
      </w:r>
      <w:r>
        <w:rPr>
          <w:vertAlign w:val="baseline"/>
        </w:rPr>
        <w:t>разрешенными к применению дезинфицирующими средствами.</w:t>
      </w:r>
    </w:p>
    <w:p>
      <w:pPr>
        <w:spacing w:line="276" w:lineRule="auto" w:before="0"/>
        <w:ind w:left="141" w:right="705" w:firstLine="565"/>
        <w:jc w:val="both"/>
        <w:rPr>
          <w:sz w:val="23"/>
        </w:rPr>
      </w:pPr>
      <w:r>
        <w:rPr>
          <w:sz w:val="23"/>
        </w:rPr>
        <w:t>При</w:t>
      </w:r>
      <w:r>
        <w:rPr>
          <w:spacing w:val="40"/>
          <w:sz w:val="23"/>
        </w:rPr>
        <w:t> </w:t>
      </w:r>
      <w:r>
        <w:rPr>
          <w:sz w:val="23"/>
        </w:rPr>
        <w:t>проведении</w:t>
      </w:r>
      <w:r>
        <w:rPr>
          <w:spacing w:val="40"/>
          <w:sz w:val="23"/>
        </w:rPr>
        <w:t> </w:t>
      </w:r>
      <w:r>
        <w:rPr>
          <w:sz w:val="23"/>
        </w:rPr>
        <w:t>исследований</w:t>
      </w:r>
      <w:r>
        <w:rPr>
          <w:spacing w:val="40"/>
          <w:sz w:val="23"/>
        </w:rPr>
        <w:t> </w:t>
      </w:r>
      <w:r>
        <w:rPr>
          <w:sz w:val="23"/>
        </w:rPr>
        <w:t>образуются</w:t>
      </w:r>
      <w:r>
        <w:rPr>
          <w:spacing w:val="40"/>
          <w:sz w:val="23"/>
        </w:rPr>
        <w:t> </w:t>
      </w:r>
      <w:r>
        <w:rPr>
          <w:sz w:val="23"/>
        </w:rPr>
        <w:t>отходы,</w:t>
      </w:r>
      <w:r>
        <w:rPr>
          <w:spacing w:val="40"/>
          <w:sz w:val="23"/>
        </w:rPr>
        <w:t> </w:t>
      </w:r>
      <w:r>
        <w:rPr>
          <w:sz w:val="23"/>
        </w:rPr>
        <w:t>относящиеся</w:t>
      </w:r>
      <w:r>
        <w:rPr>
          <w:spacing w:val="40"/>
          <w:sz w:val="23"/>
        </w:rPr>
        <w:t> </w:t>
      </w:r>
      <w:r>
        <w:rPr>
          <w:sz w:val="23"/>
        </w:rPr>
        <w:t>к</w:t>
      </w:r>
      <w:r>
        <w:rPr>
          <w:spacing w:val="40"/>
          <w:sz w:val="23"/>
        </w:rPr>
        <w:t> </w:t>
      </w:r>
      <w:r>
        <w:rPr>
          <w:sz w:val="23"/>
        </w:rPr>
        <w:t>классам</w:t>
      </w:r>
      <w:r>
        <w:rPr>
          <w:spacing w:val="40"/>
          <w:sz w:val="23"/>
        </w:rPr>
        <w:t> </w:t>
      </w:r>
      <w:r>
        <w:rPr>
          <w:sz w:val="23"/>
        </w:rPr>
        <w:t>А,</w:t>
      </w:r>
      <w:r>
        <w:rPr>
          <w:spacing w:val="40"/>
          <w:sz w:val="23"/>
        </w:rPr>
        <w:t> </w:t>
      </w:r>
      <w:r>
        <w:rPr>
          <w:sz w:val="23"/>
        </w:rPr>
        <w:t>Б, В и Г, обращение с которыми осуществляется в соответвии с санитарно- эпидемиологическими</w:t>
      </w:r>
      <w:r>
        <w:rPr>
          <w:spacing w:val="74"/>
          <w:sz w:val="23"/>
        </w:rPr>
        <w:t>    </w:t>
      </w:r>
      <w:r>
        <w:rPr>
          <w:sz w:val="23"/>
        </w:rPr>
        <w:t>требованиями</w:t>
      </w:r>
      <w:r>
        <w:rPr>
          <w:spacing w:val="75"/>
          <w:sz w:val="23"/>
        </w:rPr>
        <w:t>    </w:t>
      </w:r>
      <w:r>
        <w:rPr>
          <w:sz w:val="23"/>
        </w:rPr>
        <w:t>СанПиН</w:t>
      </w:r>
      <w:r>
        <w:rPr>
          <w:spacing w:val="75"/>
          <w:sz w:val="23"/>
        </w:rPr>
        <w:t>    </w:t>
      </w:r>
      <w:r>
        <w:rPr>
          <w:sz w:val="23"/>
        </w:rPr>
        <w:t>2.1.3684-21</w:t>
      </w:r>
      <w:r>
        <w:rPr>
          <w:spacing w:val="75"/>
          <w:sz w:val="23"/>
        </w:rPr>
        <w:t>    </w:t>
      </w:r>
      <w:r>
        <w:rPr>
          <w:spacing w:val="-2"/>
          <w:sz w:val="23"/>
        </w:rPr>
        <w:t>“Санитарно-</w:t>
      </w:r>
    </w:p>
    <w:p>
      <w:pPr>
        <w:pStyle w:val="BodyText"/>
        <w:spacing w:before="4"/>
        <w:ind w:left="0"/>
        <w:jc w:val="left"/>
        <w:rPr>
          <w:sz w:val="16"/>
        </w:rPr>
      </w:pPr>
      <w:r>
        <w:rPr>
          <w:sz w:val="16"/>
        </w:rPr>
        <mc:AlternateContent>
          <mc:Choice Requires="wps">
            <w:drawing>
              <wp:anchor distT="0" distB="0" distL="0" distR="0" allowOverlap="1" layoutInCell="1" locked="0" behindDoc="1" simplePos="0" relativeHeight="487605248">
                <wp:simplePos x="0" y="0"/>
                <wp:positionH relativeFrom="page">
                  <wp:posOffset>1080820</wp:posOffset>
                </wp:positionH>
                <wp:positionV relativeFrom="paragraph">
                  <wp:posOffset>135048</wp:posOffset>
                </wp:positionV>
                <wp:extent cx="1829435" cy="9525"/>
                <wp:effectExtent l="0" t="0" r="0" b="0"/>
                <wp:wrapTopAndBottom/>
                <wp:docPr id="94" name="Graphic 94"/>
                <wp:cNvGraphicFramePr>
                  <a:graphicFrameLocks/>
                </wp:cNvGraphicFramePr>
                <a:graphic>
                  <a:graphicData uri="http://schemas.microsoft.com/office/word/2010/wordprocessingShape">
                    <wps:wsp>
                      <wps:cNvPr id="94" name="Graphic 94"/>
                      <wps:cNvSpPr/>
                      <wps:spPr>
                        <a:xfrm>
                          <a:off x="0" y="0"/>
                          <a:ext cx="1829435" cy="9525"/>
                        </a:xfrm>
                        <a:custGeom>
                          <a:avLst/>
                          <a:gdLst/>
                          <a:ahLst/>
                          <a:cxnLst/>
                          <a:rect l="l" t="t" r="r" b="b"/>
                          <a:pathLst>
                            <a:path w="1829435" h="9525">
                              <a:moveTo>
                                <a:pt x="1826318" y="1811"/>
                              </a:moveTo>
                              <a:lnTo>
                                <a:pt x="-1015" y="1811"/>
                              </a:lnTo>
                              <a:lnTo>
                                <a:pt x="-1015" y="10946"/>
                              </a:lnTo>
                              <a:lnTo>
                                <a:pt x="1826318" y="10946"/>
                              </a:lnTo>
                              <a:lnTo>
                                <a:pt x="1826318" y="1811"/>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85.023996pt;margin-top:10.776324pt;width:143.884618pt;height:.719353pt;mso-position-horizontal-relative:page;mso-position-vertical-relative:paragraph;z-index:-15711232;mso-wrap-distance-left:0;mso-wrap-distance-right:0" id="docshape78" filled="true" fillcolor="#000000" stroked="false">
                <v:fill type="solid"/>
                <w10:wrap type="topAndBottom"/>
              </v:rect>
            </w:pict>
          </mc:Fallback>
        </mc:AlternateContent>
      </w:r>
    </w:p>
    <w:p>
      <w:pPr>
        <w:pStyle w:val="BodyText"/>
        <w:ind w:left="0"/>
        <w:jc w:val="left"/>
        <w:rPr>
          <w:sz w:val="20"/>
        </w:rPr>
      </w:pPr>
    </w:p>
    <w:p>
      <w:pPr>
        <w:pStyle w:val="BodyText"/>
        <w:spacing w:before="192"/>
        <w:ind w:left="0"/>
        <w:jc w:val="left"/>
        <w:rPr>
          <w:sz w:val="20"/>
        </w:rPr>
      </w:pPr>
    </w:p>
    <w:p>
      <w:pPr>
        <w:spacing w:line="240" w:lineRule="auto" w:before="1"/>
        <w:ind w:left="141" w:right="716" w:firstLine="0"/>
        <w:jc w:val="both"/>
        <w:rPr>
          <w:sz w:val="20"/>
        </w:rPr>
      </w:pPr>
      <w:r>
        <w:rPr>
          <w:sz w:val="20"/>
          <w:vertAlign w:val="superscript"/>
        </w:rPr>
        <w:t>1</w:t>
      </w:r>
      <w:r>
        <w:rPr>
          <w:sz w:val="20"/>
          <w:vertAlign w:val="baseline"/>
        </w:rPr>
        <w:t> МР 3.1.0229-21. Рекомендации по организации противоэпидемических мероприятий в медицинских организациях, осуществляющих оказание медицинской помощи пациентам с новой коронавирусной инфекцией (COVID-19).</w:t>
      </w:r>
    </w:p>
    <w:p>
      <w:pPr>
        <w:spacing w:after="0" w:line="240" w:lineRule="auto"/>
        <w:jc w:val="both"/>
        <w:rPr>
          <w:sz w:val="20"/>
        </w:rPr>
        <w:sectPr>
          <w:pgSz w:w="11900" w:h="16840"/>
          <w:pgMar w:header="0" w:footer="697" w:top="1080" w:bottom="880" w:left="1559" w:right="566"/>
        </w:sectPr>
      </w:pPr>
    </w:p>
    <w:p>
      <w:pPr>
        <w:spacing w:line="276" w:lineRule="auto" w:before="72"/>
        <w:ind w:left="141" w:right="706" w:firstLine="0"/>
        <w:jc w:val="both"/>
        <w:rPr>
          <w:sz w:val="23"/>
        </w:rPr>
      </w:pPr>
      <w:bookmarkStart w:name="177" w:id="208"/>
      <w:bookmarkEnd w:id="208"/>
      <w:r>
        <w:rPr/>
      </w:r>
      <w:r>
        <w:rPr>
          <w:sz w:val="23"/>
        </w:rPr>
        <w:t>эпидемиологические требования к содержанию территорий городских и сельских поселений,</w:t>
      </w:r>
      <w:r>
        <w:rPr>
          <w:spacing w:val="-15"/>
          <w:sz w:val="23"/>
        </w:rPr>
        <w:t> </w:t>
      </w:r>
      <w:r>
        <w:rPr>
          <w:sz w:val="23"/>
        </w:rPr>
        <w:t>к</w:t>
      </w:r>
      <w:r>
        <w:rPr>
          <w:spacing w:val="-14"/>
          <w:sz w:val="23"/>
        </w:rPr>
        <w:t> </w:t>
      </w:r>
      <w:r>
        <w:rPr>
          <w:sz w:val="23"/>
        </w:rPr>
        <w:t>водным</w:t>
      </w:r>
      <w:r>
        <w:rPr>
          <w:spacing w:val="-15"/>
          <w:sz w:val="23"/>
        </w:rPr>
        <w:t> </w:t>
      </w:r>
      <w:r>
        <w:rPr>
          <w:sz w:val="23"/>
        </w:rPr>
        <w:t>объектам,</w:t>
      </w:r>
      <w:r>
        <w:rPr>
          <w:spacing w:val="-14"/>
          <w:sz w:val="23"/>
        </w:rPr>
        <w:t> </w:t>
      </w:r>
      <w:r>
        <w:rPr>
          <w:sz w:val="23"/>
        </w:rPr>
        <w:t>питьевой</w:t>
      </w:r>
      <w:r>
        <w:rPr>
          <w:spacing w:val="-14"/>
          <w:sz w:val="23"/>
        </w:rPr>
        <w:t> </w:t>
      </w:r>
      <w:r>
        <w:rPr>
          <w:sz w:val="23"/>
        </w:rPr>
        <w:t>воде</w:t>
      </w:r>
      <w:r>
        <w:rPr>
          <w:spacing w:val="-15"/>
          <w:sz w:val="23"/>
        </w:rPr>
        <w:t> </w:t>
      </w:r>
      <w:r>
        <w:rPr>
          <w:sz w:val="23"/>
        </w:rPr>
        <w:t>и</w:t>
      </w:r>
      <w:r>
        <w:rPr>
          <w:spacing w:val="-14"/>
          <w:sz w:val="23"/>
        </w:rPr>
        <w:t> </w:t>
      </w:r>
      <w:r>
        <w:rPr>
          <w:sz w:val="23"/>
        </w:rPr>
        <w:t>питьевому</w:t>
      </w:r>
      <w:r>
        <w:rPr>
          <w:spacing w:val="-14"/>
          <w:sz w:val="23"/>
        </w:rPr>
        <w:t> </w:t>
      </w:r>
      <w:r>
        <w:rPr>
          <w:sz w:val="23"/>
        </w:rPr>
        <w:t>водоснабжению,</w:t>
      </w:r>
      <w:r>
        <w:rPr>
          <w:spacing w:val="-15"/>
          <w:sz w:val="23"/>
        </w:rPr>
        <w:t> </w:t>
      </w:r>
      <w:r>
        <w:rPr>
          <w:sz w:val="23"/>
        </w:rPr>
        <w:t>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предстерилизационной очистке и стерилизации изделий медицинского назначения».</w:t>
      </w:r>
    </w:p>
    <w:p>
      <w:pPr>
        <w:spacing w:after="0" w:line="276" w:lineRule="auto"/>
        <w:jc w:val="both"/>
        <w:rPr>
          <w:sz w:val="23"/>
        </w:rPr>
        <w:sectPr>
          <w:pgSz w:w="11900" w:h="16840"/>
          <w:pgMar w:header="0" w:footer="697" w:top="1080" w:bottom="880" w:left="1559" w:right="566"/>
        </w:sectPr>
      </w:pPr>
    </w:p>
    <w:p>
      <w:pPr>
        <w:pStyle w:val="Heading3"/>
        <w:spacing w:before="73"/>
        <w:ind w:left="0" w:right="707"/>
        <w:jc w:val="right"/>
      </w:pPr>
      <w:bookmarkStart w:name="_TOC_250015" w:id="209"/>
      <w:bookmarkStart w:name="178" w:id="210"/>
      <w:r>
        <w:rPr>
          <w:b w:val="0"/>
        </w:rPr>
      </w:r>
      <w:r>
        <w:rPr>
          <w:color w:val="1F487C"/>
          <w:spacing w:val="-2"/>
        </w:rPr>
        <w:t>Приложение</w:t>
      </w:r>
      <w:r>
        <w:rPr>
          <w:color w:val="1F487C"/>
          <w:spacing w:val="2"/>
        </w:rPr>
        <w:t> </w:t>
      </w:r>
      <w:r>
        <w:rPr>
          <w:color w:val="1F487C"/>
          <w:spacing w:val="-2"/>
        </w:rPr>
        <w:t>3-</w:t>
      </w:r>
      <w:bookmarkEnd w:id="209"/>
      <w:r>
        <w:rPr>
          <w:color w:val="1F487C"/>
          <w:spacing w:val="-10"/>
        </w:rPr>
        <w:t>2</w:t>
      </w:r>
    </w:p>
    <w:p>
      <w:pPr>
        <w:spacing w:before="141"/>
        <w:ind w:left="3026" w:right="0" w:hanging="1857"/>
        <w:jc w:val="left"/>
        <w:rPr>
          <w:b/>
          <w:sz w:val="24"/>
        </w:rPr>
      </w:pPr>
      <w:r>
        <w:rPr>
          <w:b/>
          <w:sz w:val="24"/>
        </w:rPr>
        <w:t>Инструкция</w:t>
      </w:r>
      <w:r>
        <w:rPr>
          <w:b/>
          <w:spacing w:val="-8"/>
          <w:sz w:val="24"/>
        </w:rPr>
        <w:t> </w:t>
      </w:r>
      <w:r>
        <w:rPr>
          <w:b/>
          <w:sz w:val="24"/>
        </w:rPr>
        <w:t>по</w:t>
      </w:r>
      <w:r>
        <w:rPr>
          <w:b/>
          <w:spacing w:val="-8"/>
          <w:sz w:val="24"/>
        </w:rPr>
        <w:t> </w:t>
      </w:r>
      <w:r>
        <w:rPr>
          <w:b/>
          <w:sz w:val="24"/>
        </w:rPr>
        <w:t>проведению</w:t>
      </w:r>
      <w:r>
        <w:rPr>
          <w:b/>
          <w:spacing w:val="-9"/>
          <w:sz w:val="24"/>
        </w:rPr>
        <w:t> </w:t>
      </w:r>
      <w:r>
        <w:rPr>
          <w:b/>
          <w:sz w:val="24"/>
        </w:rPr>
        <w:t>диагностики</w:t>
      </w:r>
      <w:r>
        <w:rPr>
          <w:b/>
          <w:spacing w:val="-4"/>
          <w:sz w:val="24"/>
        </w:rPr>
        <w:t> </w:t>
      </w:r>
      <w:r>
        <w:rPr>
          <w:b/>
          <w:sz w:val="24"/>
        </w:rPr>
        <w:t>COVID-19</w:t>
      </w:r>
      <w:r>
        <w:rPr>
          <w:b/>
          <w:spacing w:val="-8"/>
          <w:sz w:val="24"/>
        </w:rPr>
        <w:t> </w:t>
      </w:r>
      <w:r>
        <w:rPr>
          <w:b/>
          <w:sz w:val="24"/>
        </w:rPr>
        <w:t>с</w:t>
      </w:r>
      <w:r>
        <w:rPr>
          <w:b/>
          <w:spacing w:val="-8"/>
          <w:sz w:val="24"/>
        </w:rPr>
        <w:t> </w:t>
      </w:r>
      <w:r>
        <w:rPr>
          <w:b/>
          <w:sz w:val="24"/>
        </w:rPr>
        <w:t>применением иммунохимических методов</w:t>
      </w:r>
    </w:p>
    <w:p>
      <w:pPr>
        <w:spacing w:before="0"/>
        <w:ind w:left="848" w:right="0" w:firstLine="0"/>
        <w:jc w:val="both"/>
        <w:rPr>
          <w:b/>
          <w:sz w:val="24"/>
        </w:rPr>
      </w:pPr>
      <w:r>
        <w:rPr>
          <w:b/>
          <w:sz w:val="24"/>
        </w:rPr>
        <w:t>Общие</w:t>
      </w:r>
      <w:r>
        <w:rPr>
          <w:b/>
          <w:spacing w:val="-9"/>
          <w:sz w:val="24"/>
        </w:rPr>
        <w:t> </w:t>
      </w:r>
      <w:r>
        <w:rPr>
          <w:b/>
          <w:spacing w:val="-2"/>
          <w:sz w:val="24"/>
        </w:rPr>
        <w:t>положения</w:t>
      </w:r>
    </w:p>
    <w:p>
      <w:pPr>
        <w:pStyle w:val="BodyText"/>
        <w:spacing w:line="276" w:lineRule="auto" w:before="40"/>
        <w:ind w:left="141" w:right="704" w:firstLine="707"/>
      </w:pPr>
      <w:r>
        <w:rPr/>
        <w:t>Иммунохимические</w:t>
      </w:r>
      <w:r>
        <w:rPr>
          <w:spacing w:val="80"/>
        </w:rPr>
        <w:t> </w:t>
      </w:r>
      <w:r>
        <w:rPr/>
        <w:t>методы</w:t>
      </w:r>
      <w:r>
        <w:rPr>
          <w:spacing w:val="80"/>
        </w:rPr>
        <w:t> </w:t>
      </w:r>
      <w:r>
        <w:rPr/>
        <w:t>используются</w:t>
      </w:r>
      <w:r>
        <w:rPr>
          <w:spacing w:val="80"/>
        </w:rPr>
        <w:t> </w:t>
      </w:r>
      <w:r>
        <w:rPr/>
        <w:t>для</w:t>
      </w:r>
      <w:r>
        <w:rPr>
          <w:spacing w:val="80"/>
        </w:rPr>
        <w:t> </w:t>
      </w:r>
      <w:r>
        <w:rPr/>
        <w:t>выявления</w:t>
      </w:r>
      <w:r>
        <w:rPr>
          <w:spacing w:val="80"/>
        </w:rPr>
        <w:t> </w:t>
      </w:r>
      <w:r>
        <w:rPr/>
        <w:t>антигенов</w:t>
      </w:r>
      <w:r>
        <w:rPr>
          <w:spacing w:val="80"/>
          <w:w w:val="150"/>
        </w:rPr>
        <w:t> </w:t>
      </w:r>
      <w:r>
        <w:rPr/>
        <w:t>SARS-CoV-2 и антител к вирусу и дополняют комплекс клинических, инструментальных и</w:t>
      </w:r>
      <w:r>
        <w:rPr>
          <w:spacing w:val="-2"/>
        </w:rPr>
        <w:t> </w:t>
      </w:r>
      <w:r>
        <w:rPr/>
        <w:t>лабораторных методов диагностики COVID-19 новой информацией,</w:t>
      </w:r>
      <w:r>
        <w:rPr>
          <w:spacing w:val="80"/>
          <w:w w:val="150"/>
        </w:rPr>
        <w:t>  </w:t>
      </w:r>
      <w:r>
        <w:rPr/>
        <w:t>имеющей</w:t>
      </w:r>
      <w:r>
        <w:rPr>
          <w:spacing w:val="80"/>
          <w:w w:val="150"/>
        </w:rPr>
        <w:t>  </w:t>
      </w:r>
      <w:r>
        <w:rPr/>
        <w:t>клиническое</w:t>
      </w:r>
      <w:r>
        <w:rPr>
          <w:spacing w:val="80"/>
          <w:w w:val="150"/>
        </w:rPr>
        <w:t>  </w:t>
      </w:r>
      <w:r>
        <w:rPr/>
        <w:t>и</w:t>
      </w:r>
      <w:r>
        <w:rPr>
          <w:spacing w:val="80"/>
          <w:w w:val="150"/>
        </w:rPr>
        <w:t>  </w:t>
      </w:r>
      <w:r>
        <w:rPr/>
        <w:t>эпидемиологическое</w:t>
      </w:r>
      <w:r>
        <w:rPr>
          <w:spacing w:val="80"/>
          <w:w w:val="150"/>
        </w:rPr>
        <w:t>  </w:t>
      </w:r>
      <w:r>
        <w:rPr/>
        <w:t>значение.</w:t>
      </w:r>
      <w:r>
        <w:rPr>
          <w:spacing w:val="80"/>
        </w:rPr>
        <w:t> </w:t>
      </w:r>
      <w:r>
        <w:rPr/>
        <w:t>К</w:t>
      </w:r>
      <w:r>
        <w:rPr>
          <w:spacing w:val="-2"/>
        </w:rPr>
        <w:t> </w:t>
      </w:r>
      <w:r>
        <w:rPr/>
        <w:t>иммунохимическим относятся методы иммуноферментного анализа (ИФА), иммунохемилюминесценции (ИХЛ) и иммунохроматографии. Эффективность иммунохимических методов зависит от стадии инфекционного процесса, состояния иммунной</w:t>
      </w:r>
      <w:r>
        <w:rPr>
          <w:spacing w:val="-12"/>
        </w:rPr>
        <w:t> </w:t>
      </w:r>
      <w:r>
        <w:rPr/>
        <w:t>системы</w:t>
      </w:r>
      <w:r>
        <w:rPr>
          <w:spacing w:val="-11"/>
        </w:rPr>
        <w:t> </w:t>
      </w:r>
      <w:r>
        <w:rPr/>
        <w:t>пациента,</w:t>
      </w:r>
      <w:r>
        <w:rPr>
          <w:spacing w:val="-11"/>
        </w:rPr>
        <w:t> </w:t>
      </w:r>
      <w:r>
        <w:rPr/>
        <w:t>а</w:t>
      </w:r>
      <w:r>
        <w:rPr>
          <w:spacing w:val="-11"/>
        </w:rPr>
        <w:t> </w:t>
      </w:r>
      <w:r>
        <w:rPr/>
        <w:t>также</w:t>
      </w:r>
      <w:r>
        <w:rPr>
          <w:spacing w:val="-11"/>
        </w:rPr>
        <w:t> </w:t>
      </w:r>
      <w:r>
        <w:rPr/>
        <w:t>от</w:t>
      </w:r>
      <w:r>
        <w:rPr>
          <w:spacing w:val="-12"/>
        </w:rPr>
        <w:t> </w:t>
      </w:r>
      <w:r>
        <w:rPr/>
        <w:t>характеристик</w:t>
      </w:r>
      <w:r>
        <w:rPr>
          <w:spacing w:val="-12"/>
        </w:rPr>
        <w:t> </w:t>
      </w:r>
      <w:r>
        <w:rPr/>
        <w:t>применяемых</w:t>
      </w:r>
      <w:r>
        <w:rPr>
          <w:spacing w:val="-13"/>
        </w:rPr>
        <w:t> </w:t>
      </w:r>
      <w:r>
        <w:rPr/>
        <w:t>диагностических </w:t>
      </w:r>
      <w:r>
        <w:rPr>
          <w:spacing w:val="-2"/>
        </w:rPr>
        <w:t>наборов.</w:t>
      </w:r>
    </w:p>
    <w:p>
      <w:pPr>
        <w:pStyle w:val="BodyText"/>
        <w:spacing w:line="276" w:lineRule="auto" w:before="12"/>
        <w:ind w:left="141" w:right="704" w:firstLine="565"/>
      </w:pPr>
      <w:r>
        <w:rPr/>
        <w:t>Иммунохимические</w:t>
      </w:r>
      <w:r>
        <w:rPr>
          <w:spacing w:val="-15"/>
        </w:rPr>
        <w:t> </w:t>
      </w:r>
      <w:r>
        <w:rPr/>
        <w:t>исследования</w:t>
      </w:r>
      <w:r>
        <w:rPr>
          <w:spacing w:val="-15"/>
        </w:rPr>
        <w:t> </w:t>
      </w:r>
      <w:r>
        <w:rPr/>
        <w:t>для</w:t>
      </w:r>
      <w:r>
        <w:rPr>
          <w:spacing w:val="-15"/>
        </w:rPr>
        <w:t> </w:t>
      </w:r>
      <w:r>
        <w:rPr/>
        <w:t>диагностики</w:t>
      </w:r>
      <w:r>
        <w:rPr>
          <w:spacing w:val="-15"/>
        </w:rPr>
        <w:t> </w:t>
      </w:r>
      <w:r>
        <w:rPr/>
        <w:t>COVID-19</w:t>
      </w:r>
      <w:r>
        <w:rPr>
          <w:spacing w:val="-15"/>
        </w:rPr>
        <w:t> </w:t>
      </w:r>
      <w:r>
        <w:rPr/>
        <w:t>могут</w:t>
      </w:r>
      <w:r>
        <w:rPr>
          <w:spacing w:val="-15"/>
        </w:rPr>
        <w:t> </w:t>
      </w:r>
      <w:r>
        <w:rPr/>
        <w:t>проводиться во</w:t>
      </w:r>
      <w:r>
        <w:rPr>
          <w:spacing w:val="68"/>
          <w:w w:val="150"/>
        </w:rPr>
        <w:t>   </w:t>
      </w:r>
      <w:r>
        <w:rPr/>
        <w:t>всех</w:t>
      </w:r>
      <w:r>
        <w:rPr>
          <w:spacing w:val="68"/>
          <w:w w:val="150"/>
        </w:rPr>
        <w:t>   </w:t>
      </w:r>
      <w:r>
        <w:rPr/>
        <w:t>лабораториях</w:t>
      </w:r>
      <w:r>
        <w:rPr>
          <w:spacing w:val="67"/>
          <w:w w:val="150"/>
        </w:rPr>
        <w:t>   </w:t>
      </w:r>
      <w:r>
        <w:rPr/>
        <w:t>Российской</w:t>
      </w:r>
      <w:r>
        <w:rPr>
          <w:spacing w:val="67"/>
          <w:w w:val="150"/>
        </w:rPr>
        <w:t>   </w:t>
      </w:r>
      <w:r>
        <w:rPr/>
        <w:t>Федерации</w:t>
      </w:r>
      <w:r>
        <w:rPr>
          <w:spacing w:val="68"/>
          <w:w w:val="150"/>
        </w:rPr>
        <w:t>   </w:t>
      </w:r>
      <w:r>
        <w:rPr/>
        <w:t>вне</w:t>
      </w:r>
      <w:r>
        <w:rPr>
          <w:spacing w:val="67"/>
          <w:w w:val="150"/>
        </w:rPr>
        <w:t>   </w:t>
      </w:r>
      <w:r>
        <w:rPr/>
        <w:t>зависимости от</w:t>
      </w:r>
      <w:r>
        <w:rPr>
          <w:spacing w:val="-3"/>
        </w:rPr>
        <w:t> </w:t>
      </w:r>
      <w:r>
        <w:rPr/>
        <w:t>их</w:t>
      </w:r>
      <w:r>
        <w:rPr>
          <w:spacing w:val="-4"/>
        </w:rPr>
        <w:t> </w:t>
      </w:r>
      <w:r>
        <w:rPr/>
        <w:t>организационно‑правовой</w:t>
      </w:r>
      <w:r>
        <w:rPr>
          <w:spacing w:val="40"/>
        </w:rPr>
        <w:t> </w:t>
      </w:r>
      <w:r>
        <w:rPr/>
        <w:t>формы,</w:t>
      </w:r>
      <w:r>
        <w:rPr>
          <w:spacing w:val="40"/>
        </w:rPr>
        <w:t> </w:t>
      </w:r>
      <w:r>
        <w:rPr/>
        <w:t>имеющих</w:t>
      </w:r>
      <w:r>
        <w:rPr>
          <w:spacing w:val="40"/>
        </w:rPr>
        <w:t> </w:t>
      </w:r>
      <w:r>
        <w:rPr/>
        <w:t>санитарно‑эпидемиологическое заключение о возможности проведения работ с возбудителями инфекционных заболеваний</w:t>
      </w:r>
      <w:r>
        <w:rPr>
          <w:spacing w:val="-15"/>
        </w:rPr>
        <w:t> </w:t>
      </w:r>
      <w:r>
        <w:rPr/>
        <w:t>человека</w:t>
      </w:r>
      <w:r>
        <w:rPr>
          <w:spacing w:val="-15"/>
        </w:rPr>
        <w:t> </w:t>
      </w:r>
      <w:r>
        <w:rPr/>
        <w:t>III</w:t>
      </w:r>
      <w:r>
        <w:rPr>
          <w:spacing w:val="-15"/>
        </w:rPr>
        <w:t> </w:t>
      </w:r>
      <w:r>
        <w:rPr/>
        <w:t>–</w:t>
      </w:r>
      <w:r>
        <w:rPr>
          <w:spacing w:val="-15"/>
        </w:rPr>
        <w:t> </w:t>
      </w:r>
      <w:r>
        <w:rPr/>
        <w:t>IV</w:t>
      </w:r>
      <w:r>
        <w:rPr>
          <w:spacing w:val="-15"/>
        </w:rPr>
        <w:t> </w:t>
      </w:r>
      <w:r>
        <w:rPr/>
        <w:t>патогенности</w:t>
      </w:r>
      <w:r>
        <w:rPr>
          <w:spacing w:val="-6"/>
        </w:rPr>
        <w:t> </w:t>
      </w:r>
      <w:r>
        <w:rPr/>
        <w:t>и</w:t>
      </w:r>
      <w:r>
        <w:rPr>
          <w:spacing w:val="-15"/>
        </w:rPr>
        <w:t> </w:t>
      </w:r>
      <w:r>
        <w:rPr/>
        <w:t>условия</w:t>
      </w:r>
      <w:r>
        <w:rPr>
          <w:spacing w:val="-15"/>
        </w:rPr>
        <w:t> </w:t>
      </w:r>
      <w:r>
        <w:rPr/>
        <w:t>для</w:t>
      </w:r>
      <w:r>
        <w:rPr>
          <w:spacing w:val="-15"/>
        </w:rPr>
        <w:t> </w:t>
      </w:r>
      <w:r>
        <w:rPr/>
        <w:t>исследований</w:t>
      </w:r>
      <w:r>
        <w:rPr>
          <w:spacing w:val="-15"/>
        </w:rPr>
        <w:t> </w:t>
      </w:r>
      <w:r>
        <w:rPr/>
        <w:t>с</w:t>
      </w:r>
      <w:r>
        <w:rPr>
          <w:spacing w:val="-15"/>
        </w:rPr>
        <w:t> </w:t>
      </w:r>
      <w:r>
        <w:rPr/>
        <w:t>применением иммунохимических методов. Для проведения исследования должны применяться зарегистрированные в установленном порядке на территории Российской Федерации диагностические наборы реагентов (тест-системы) в</w:t>
      </w:r>
      <w:r>
        <w:rPr>
          <w:spacing w:val="-6"/>
        </w:rPr>
        <w:t> </w:t>
      </w:r>
      <w:r>
        <w:rPr/>
        <w:t>соответствии с</w:t>
      </w:r>
      <w:r>
        <w:rPr>
          <w:spacing w:val="-13"/>
        </w:rPr>
        <w:t> </w:t>
      </w:r>
      <w:r>
        <w:rPr/>
        <w:t>инструкциями по их</w:t>
      </w:r>
      <w:r>
        <w:rPr>
          <w:spacing w:val="80"/>
          <w:w w:val="150"/>
        </w:rPr>
        <w:t> </w:t>
      </w:r>
      <w:r>
        <w:rPr/>
        <w:t>применению.</w:t>
      </w:r>
      <w:r>
        <w:rPr>
          <w:spacing w:val="80"/>
          <w:w w:val="150"/>
        </w:rPr>
        <w:t> </w:t>
      </w:r>
      <w:r>
        <w:rPr/>
        <w:t>Перечень</w:t>
      </w:r>
      <w:r>
        <w:rPr>
          <w:spacing w:val="80"/>
          <w:w w:val="150"/>
        </w:rPr>
        <w:t> </w:t>
      </w:r>
      <w:r>
        <w:rPr/>
        <w:t>зарегистрированных</w:t>
      </w:r>
      <w:r>
        <w:rPr>
          <w:spacing w:val="80"/>
          <w:w w:val="150"/>
        </w:rPr>
        <w:t> </w:t>
      </w:r>
      <w:r>
        <w:rPr/>
        <w:t>наборов</w:t>
      </w:r>
      <w:r>
        <w:rPr>
          <w:spacing w:val="80"/>
          <w:w w:val="150"/>
        </w:rPr>
        <w:t> </w:t>
      </w:r>
      <w:r>
        <w:rPr/>
        <w:t>реагентов</w:t>
      </w:r>
      <w:r>
        <w:rPr>
          <w:spacing w:val="80"/>
          <w:w w:val="150"/>
        </w:rPr>
        <w:t> </w:t>
      </w:r>
      <w:r>
        <w:rPr/>
        <w:t>представлен в </w:t>
      </w:r>
      <w:r>
        <w:rPr>
          <w:color w:val="0462C1"/>
          <w:u w:val="single" w:color="0462C1"/>
        </w:rPr>
        <w:t>Государственном реестре медицинских изделий</w:t>
      </w:r>
      <w:r>
        <w:rPr/>
        <w:t>.</w:t>
      </w:r>
    </w:p>
    <w:p>
      <w:pPr>
        <w:pStyle w:val="BodyText"/>
        <w:spacing w:line="276" w:lineRule="auto"/>
        <w:ind w:left="141" w:right="703" w:firstLine="707"/>
      </w:pPr>
      <w:r>
        <w:rPr/>
        <w:t>С</w:t>
      </w:r>
      <w:r>
        <w:rPr>
          <w:spacing w:val="-8"/>
        </w:rPr>
        <w:t> </w:t>
      </w:r>
      <w:r>
        <w:rPr/>
        <w:t>целью</w:t>
      </w:r>
      <w:r>
        <w:rPr>
          <w:spacing w:val="-8"/>
        </w:rPr>
        <w:t> </w:t>
      </w:r>
      <w:r>
        <w:rPr/>
        <w:t>диагностики</w:t>
      </w:r>
      <w:r>
        <w:rPr>
          <w:spacing w:val="-8"/>
        </w:rPr>
        <w:t> </w:t>
      </w:r>
      <w:r>
        <w:rPr/>
        <w:t>COVID-19 непрямым</w:t>
      </w:r>
      <w:r>
        <w:rPr>
          <w:spacing w:val="-10"/>
        </w:rPr>
        <w:t> </w:t>
      </w:r>
      <w:r>
        <w:rPr/>
        <w:t>методом</w:t>
      </w:r>
      <w:r>
        <w:rPr>
          <w:spacing w:val="-10"/>
        </w:rPr>
        <w:t> </w:t>
      </w:r>
      <w:r>
        <w:rPr/>
        <w:t>рекомендуется</w:t>
      </w:r>
      <w:r>
        <w:rPr>
          <w:spacing w:val="-9"/>
        </w:rPr>
        <w:t> </w:t>
      </w:r>
      <w:r>
        <w:rPr/>
        <w:t>проведение раздельного тестирования на антитела класса IgM/IgA и IgG, а также мониторинг появления антител в динамике (детекция сероконверсии) — повторное тестирование</w:t>
      </w:r>
      <w:r>
        <w:rPr>
          <w:spacing w:val="80"/>
        </w:rPr>
        <w:t> </w:t>
      </w:r>
      <w:r>
        <w:rPr/>
        <w:t>в неясных случаях через 5-7 дней.</w:t>
      </w:r>
    </w:p>
    <w:p>
      <w:pPr>
        <w:pStyle w:val="BodyText"/>
        <w:spacing w:line="276" w:lineRule="auto"/>
        <w:ind w:left="141" w:right="703" w:firstLine="707"/>
      </w:pPr>
      <w:r>
        <w:rPr/>
        <w:t>Для минимизации ложноположительных результатов рекомендуется ввести алгоритм последовательного тестирования пациентов, у которых получены первоначальные</w:t>
      </w:r>
      <w:r>
        <w:rPr>
          <w:spacing w:val="40"/>
        </w:rPr>
        <w:t> </w:t>
      </w:r>
      <w:r>
        <w:rPr/>
        <w:t>положительные</w:t>
      </w:r>
      <w:r>
        <w:rPr>
          <w:spacing w:val="40"/>
        </w:rPr>
        <w:t> </w:t>
      </w:r>
      <w:r>
        <w:rPr/>
        <w:t>результаты</w:t>
      </w:r>
      <w:r>
        <w:rPr>
          <w:spacing w:val="40"/>
        </w:rPr>
        <w:t> </w:t>
      </w:r>
      <w:r>
        <w:rPr/>
        <w:t>на</w:t>
      </w:r>
      <w:r>
        <w:rPr>
          <w:spacing w:val="40"/>
        </w:rPr>
        <w:t> </w:t>
      </w:r>
      <w:r>
        <w:rPr/>
        <w:t>антитела</w:t>
      </w:r>
      <w:r>
        <w:rPr>
          <w:spacing w:val="40"/>
        </w:rPr>
        <w:t> </w:t>
      </w:r>
      <w:r>
        <w:rPr/>
        <w:t>классов</w:t>
      </w:r>
      <w:r>
        <w:rPr>
          <w:spacing w:val="40"/>
        </w:rPr>
        <w:t> </w:t>
      </w:r>
      <w:r>
        <w:rPr/>
        <w:t>IgM/IgA</w:t>
      </w:r>
      <w:r>
        <w:rPr>
          <w:spacing w:val="40"/>
        </w:rPr>
        <w:t> </w:t>
      </w:r>
      <w:r>
        <w:rPr/>
        <w:t>или</w:t>
      </w:r>
      <w:r>
        <w:rPr>
          <w:spacing w:val="40"/>
        </w:rPr>
        <w:t> </w:t>
      </w:r>
      <w:r>
        <w:rPr/>
        <w:t>IgG, с</w:t>
      </w:r>
      <w:r>
        <w:rPr>
          <w:spacing w:val="-6"/>
        </w:rPr>
        <w:t> </w:t>
      </w:r>
      <w:r>
        <w:rPr/>
        <w:t>использованием другого теста. С этой целью необходимо</w:t>
      </w:r>
      <w:r>
        <w:rPr>
          <w:spacing w:val="-1"/>
        </w:rPr>
        <w:t> </w:t>
      </w:r>
      <w:r>
        <w:rPr/>
        <w:t>использовать тест-систему с максимальной чувствительностью и специфичностью, а также с одновременным выявлением антител классов A, M, G, которая будет играть роль референтной (верифицирующей) тест-системы. В качестве такой тест-системы может использоваться тест-система для выявления рецептор-связывающего домена поверхностного гликопротеина S SARS-CoV-2.</w:t>
      </w:r>
    </w:p>
    <w:p>
      <w:pPr>
        <w:pStyle w:val="BodyText"/>
        <w:spacing w:line="274" w:lineRule="exact"/>
        <w:ind w:left="848"/>
      </w:pPr>
      <w:r>
        <w:rPr/>
        <w:t>Тестирование</w:t>
      </w:r>
      <w:r>
        <w:rPr>
          <w:spacing w:val="-12"/>
        </w:rPr>
        <w:t> </w:t>
      </w:r>
      <w:r>
        <w:rPr/>
        <w:t>на</w:t>
      </w:r>
      <w:r>
        <w:rPr>
          <w:spacing w:val="-12"/>
        </w:rPr>
        <w:t> </w:t>
      </w:r>
      <w:r>
        <w:rPr/>
        <w:t>антитела</w:t>
      </w:r>
      <w:r>
        <w:rPr>
          <w:spacing w:val="-12"/>
        </w:rPr>
        <w:t> </w:t>
      </w:r>
      <w:r>
        <w:rPr/>
        <w:t>к</w:t>
      </w:r>
      <w:r>
        <w:rPr>
          <w:spacing w:val="-11"/>
        </w:rPr>
        <w:t> </w:t>
      </w:r>
      <w:r>
        <w:rPr/>
        <w:t>вирусу</w:t>
      </w:r>
      <w:r>
        <w:rPr>
          <w:spacing w:val="-12"/>
        </w:rPr>
        <w:t> </w:t>
      </w:r>
      <w:r>
        <w:rPr/>
        <w:t>SARS-Cov-2</w:t>
      </w:r>
      <w:r>
        <w:rPr>
          <w:spacing w:val="-12"/>
        </w:rPr>
        <w:t> </w:t>
      </w:r>
      <w:r>
        <w:rPr/>
        <w:t>рекомендуется</w:t>
      </w:r>
      <w:r>
        <w:rPr>
          <w:spacing w:val="-12"/>
        </w:rPr>
        <w:t> </w:t>
      </w:r>
      <w:r>
        <w:rPr>
          <w:spacing w:val="-2"/>
        </w:rPr>
        <w:t>использовать:</w:t>
      </w:r>
    </w:p>
    <w:p>
      <w:pPr>
        <w:pStyle w:val="ListParagraph"/>
        <w:numPr>
          <w:ilvl w:val="0"/>
          <w:numId w:val="82"/>
        </w:numPr>
        <w:tabs>
          <w:tab w:pos="568" w:val="left" w:leader="none"/>
        </w:tabs>
        <w:spacing w:line="268" w:lineRule="auto" w:before="40" w:after="0"/>
        <w:ind w:left="568" w:right="705" w:hanging="360"/>
        <w:jc w:val="both"/>
        <w:rPr>
          <w:sz w:val="24"/>
        </w:rPr>
      </w:pPr>
      <w:r>
        <w:rPr>
          <w:sz w:val="24"/>
        </w:rPr>
        <w:t>в качестве дополнительного метода диагностики острой инфекции (с учетом сероненгативного периода) или при невозможности исследования мазков МАНК, в том числе при госпитализации в стационар по поводу соматической патологии;</w:t>
      </w:r>
    </w:p>
    <w:p>
      <w:pPr>
        <w:pStyle w:val="ListParagraph"/>
        <w:numPr>
          <w:ilvl w:val="0"/>
          <w:numId w:val="82"/>
        </w:numPr>
        <w:tabs>
          <w:tab w:pos="567" w:val="left" w:leader="none"/>
        </w:tabs>
        <w:spacing w:line="240" w:lineRule="auto" w:before="9" w:after="0"/>
        <w:ind w:left="567" w:right="0" w:hanging="359"/>
        <w:jc w:val="both"/>
        <w:rPr>
          <w:sz w:val="24"/>
        </w:rPr>
      </w:pPr>
      <w:r>
        <w:rPr>
          <w:sz w:val="24"/>
        </w:rPr>
        <w:t>для</w:t>
      </w:r>
      <w:r>
        <w:rPr>
          <w:spacing w:val="-14"/>
          <w:sz w:val="24"/>
        </w:rPr>
        <w:t> </w:t>
      </w:r>
      <w:r>
        <w:rPr>
          <w:sz w:val="24"/>
        </w:rPr>
        <w:t>установления</w:t>
      </w:r>
      <w:r>
        <w:rPr>
          <w:spacing w:val="-13"/>
          <w:sz w:val="24"/>
        </w:rPr>
        <w:t> </w:t>
      </w:r>
      <w:r>
        <w:rPr>
          <w:sz w:val="24"/>
        </w:rPr>
        <w:t>факта</w:t>
      </w:r>
      <w:r>
        <w:rPr>
          <w:spacing w:val="-15"/>
          <w:sz w:val="24"/>
        </w:rPr>
        <w:t> </w:t>
      </w:r>
      <w:r>
        <w:rPr>
          <w:sz w:val="24"/>
        </w:rPr>
        <w:t>перенесенной</w:t>
      </w:r>
      <w:r>
        <w:rPr>
          <w:spacing w:val="-13"/>
          <w:sz w:val="24"/>
        </w:rPr>
        <w:t> </w:t>
      </w:r>
      <w:r>
        <w:rPr>
          <w:sz w:val="24"/>
        </w:rPr>
        <w:t>ранее</w:t>
      </w:r>
      <w:r>
        <w:rPr>
          <w:spacing w:val="-13"/>
          <w:sz w:val="24"/>
        </w:rPr>
        <w:t> </w:t>
      </w:r>
      <w:r>
        <w:rPr>
          <w:spacing w:val="-2"/>
          <w:sz w:val="24"/>
        </w:rPr>
        <w:t>инфекции;</w:t>
      </w:r>
    </w:p>
    <w:p>
      <w:pPr>
        <w:pStyle w:val="ListParagraph"/>
        <w:numPr>
          <w:ilvl w:val="0"/>
          <w:numId w:val="82"/>
        </w:numPr>
        <w:tabs>
          <w:tab w:pos="567" w:val="left" w:leader="none"/>
        </w:tabs>
        <w:spacing w:line="240" w:lineRule="auto" w:before="33" w:after="0"/>
        <w:ind w:left="567" w:right="0" w:hanging="359"/>
        <w:jc w:val="both"/>
        <w:rPr>
          <w:sz w:val="24"/>
        </w:rPr>
      </w:pPr>
      <w:r>
        <w:rPr>
          <w:sz w:val="24"/>
        </w:rPr>
        <w:t>для</w:t>
      </w:r>
      <w:r>
        <w:rPr>
          <w:spacing w:val="-12"/>
          <w:sz w:val="24"/>
        </w:rPr>
        <w:t> </w:t>
      </w:r>
      <w:r>
        <w:rPr>
          <w:sz w:val="24"/>
        </w:rPr>
        <w:t>установления</w:t>
      </w:r>
      <w:r>
        <w:rPr>
          <w:spacing w:val="-12"/>
          <w:sz w:val="24"/>
        </w:rPr>
        <w:t> </w:t>
      </w:r>
      <w:r>
        <w:rPr>
          <w:sz w:val="24"/>
        </w:rPr>
        <w:t>факта</w:t>
      </w:r>
      <w:r>
        <w:rPr>
          <w:spacing w:val="-15"/>
          <w:sz w:val="24"/>
        </w:rPr>
        <w:t> </w:t>
      </w:r>
      <w:r>
        <w:rPr>
          <w:sz w:val="24"/>
        </w:rPr>
        <w:t>имунного</w:t>
      </w:r>
      <w:r>
        <w:rPr>
          <w:spacing w:val="-12"/>
          <w:sz w:val="24"/>
        </w:rPr>
        <w:t> </w:t>
      </w:r>
      <w:r>
        <w:rPr>
          <w:sz w:val="24"/>
        </w:rPr>
        <w:t>ответа</w:t>
      </w:r>
      <w:r>
        <w:rPr>
          <w:spacing w:val="-12"/>
          <w:sz w:val="24"/>
        </w:rPr>
        <w:t> </w:t>
      </w:r>
      <w:r>
        <w:rPr>
          <w:sz w:val="24"/>
        </w:rPr>
        <w:t>на</w:t>
      </w:r>
      <w:r>
        <w:rPr>
          <w:spacing w:val="-12"/>
          <w:sz w:val="24"/>
        </w:rPr>
        <w:t> </w:t>
      </w:r>
      <w:r>
        <w:rPr>
          <w:sz w:val="24"/>
        </w:rPr>
        <w:t>вакцинацию</w:t>
      </w:r>
      <w:r>
        <w:rPr>
          <w:spacing w:val="-11"/>
          <w:sz w:val="24"/>
        </w:rPr>
        <w:t> </w:t>
      </w:r>
      <w:r>
        <w:rPr>
          <w:sz w:val="24"/>
        </w:rPr>
        <w:t>от</w:t>
      </w:r>
      <w:r>
        <w:rPr>
          <w:spacing w:val="-12"/>
          <w:sz w:val="24"/>
        </w:rPr>
        <w:t> </w:t>
      </w:r>
      <w:r>
        <w:rPr>
          <w:sz w:val="24"/>
        </w:rPr>
        <w:t>COVID-</w:t>
      </w:r>
      <w:r>
        <w:rPr>
          <w:spacing w:val="-5"/>
          <w:sz w:val="24"/>
        </w:rPr>
        <w:t>19;</w:t>
      </w:r>
    </w:p>
    <w:p>
      <w:pPr>
        <w:pStyle w:val="ListParagraph"/>
        <w:numPr>
          <w:ilvl w:val="0"/>
          <w:numId w:val="82"/>
        </w:numPr>
        <w:tabs>
          <w:tab w:pos="567" w:val="left" w:leader="none"/>
        </w:tabs>
        <w:spacing w:line="240" w:lineRule="auto" w:before="32" w:after="0"/>
        <w:ind w:left="567" w:right="0" w:hanging="359"/>
        <w:jc w:val="both"/>
        <w:rPr>
          <w:sz w:val="24"/>
        </w:rPr>
      </w:pPr>
      <w:r>
        <w:rPr>
          <w:sz w:val="24"/>
        </w:rPr>
        <w:t>для</w:t>
      </w:r>
      <w:r>
        <w:rPr>
          <w:spacing w:val="-14"/>
          <w:sz w:val="24"/>
        </w:rPr>
        <w:t> </w:t>
      </w:r>
      <w:r>
        <w:rPr>
          <w:sz w:val="24"/>
        </w:rPr>
        <w:t>отбора</w:t>
      </w:r>
      <w:r>
        <w:rPr>
          <w:spacing w:val="-14"/>
          <w:sz w:val="24"/>
        </w:rPr>
        <w:t> </w:t>
      </w:r>
      <w:r>
        <w:rPr>
          <w:sz w:val="24"/>
        </w:rPr>
        <w:t>потенциальных</w:t>
      </w:r>
      <w:r>
        <w:rPr>
          <w:spacing w:val="-14"/>
          <w:sz w:val="24"/>
        </w:rPr>
        <w:t> </w:t>
      </w:r>
      <w:r>
        <w:rPr>
          <w:sz w:val="24"/>
        </w:rPr>
        <w:t>доноров</w:t>
      </w:r>
      <w:r>
        <w:rPr>
          <w:spacing w:val="-14"/>
          <w:sz w:val="24"/>
        </w:rPr>
        <w:t> </w:t>
      </w:r>
      <w:r>
        <w:rPr>
          <w:sz w:val="24"/>
        </w:rPr>
        <w:t>иммунной</w:t>
      </w:r>
      <w:r>
        <w:rPr>
          <w:spacing w:val="-15"/>
          <w:sz w:val="24"/>
        </w:rPr>
        <w:t> </w:t>
      </w:r>
      <w:r>
        <w:rPr>
          <w:spacing w:val="-2"/>
          <w:sz w:val="24"/>
        </w:rPr>
        <w:t>плазмы.</w:t>
      </w:r>
    </w:p>
    <w:p>
      <w:pPr>
        <w:pStyle w:val="ListParagraph"/>
        <w:spacing w:after="0" w:line="240" w:lineRule="auto"/>
        <w:jc w:val="both"/>
        <w:rPr>
          <w:sz w:val="24"/>
        </w:rPr>
        <w:sectPr>
          <w:pgSz w:w="11900" w:h="16840"/>
          <w:pgMar w:header="0" w:footer="697" w:top="1080" w:bottom="880" w:left="1559" w:right="566"/>
        </w:sectPr>
      </w:pPr>
    </w:p>
    <w:p>
      <w:pPr>
        <w:pStyle w:val="Heading3"/>
        <w:spacing w:before="73"/>
        <w:ind w:left="848"/>
      </w:pPr>
      <w:bookmarkStart w:name="179" w:id="211"/>
      <w:bookmarkEnd w:id="211"/>
      <w:r>
        <w:rPr>
          <w:b w:val="0"/>
        </w:rPr>
      </w:r>
      <w:r>
        <w:rPr>
          <w:spacing w:val="-2"/>
        </w:rPr>
        <w:t>Иммунохимические</w:t>
      </w:r>
      <w:r>
        <w:rPr/>
        <w:t> </w:t>
      </w:r>
      <w:r>
        <w:rPr>
          <w:spacing w:val="-2"/>
        </w:rPr>
        <w:t>методы</w:t>
      </w:r>
      <w:r>
        <w:rPr>
          <w:spacing w:val="1"/>
        </w:rPr>
        <w:t> </w:t>
      </w:r>
      <w:r>
        <w:rPr>
          <w:spacing w:val="-2"/>
        </w:rPr>
        <w:t>диагностики</w:t>
      </w:r>
      <w:r>
        <w:rPr>
          <w:spacing w:val="6"/>
        </w:rPr>
        <w:t> </w:t>
      </w:r>
      <w:r>
        <w:rPr>
          <w:spacing w:val="-2"/>
        </w:rPr>
        <w:t>COVID-</w:t>
      </w:r>
      <w:r>
        <w:rPr>
          <w:spacing w:val="-5"/>
        </w:rPr>
        <w:t>19</w:t>
      </w:r>
    </w:p>
    <w:p>
      <w:pPr>
        <w:pStyle w:val="BodyText"/>
        <w:spacing w:line="276" w:lineRule="auto" w:before="41"/>
        <w:ind w:left="141" w:right="702" w:firstLine="707"/>
      </w:pPr>
      <w:r>
        <w:rPr>
          <w:b/>
          <w:color w:val="1B1C1F"/>
        </w:rPr>
        <w:t>Выявление</w:t>
      </w:r>
      <w:r>
        <w:rPr>
          <w:b/>
          <w:color w:val="1B1C1F"/>
          <w:spacing w:val="-13"/>
        </w:rPr>
        <w:t> </w:t>
      </w:r>
      <w:r>
        <w:rPr>
          <w:b/>
          <w:color w:val="1B1C1F"/>
        </w:rPr>
        <w:t>антигенов</w:t>
      </w:r>
      <w:r>
        <w:rPr>
          <w:b/>
          <w:color w:val="1B1C1F"/>
          <w:spacing w:val="-13"/>
        </w:rPr>
        <w:t> </w:t>
      </w:r>
      <w:r>
        <w:rPr>
          <w:b/>
          <w:color w:val="1B1C1F"/>
        </w:rPr>
        <w:t>SARS-CoV-2</w:t>
      </w:r>
      <w:r>
        <w:rPr>
          <w:b/>
          <w:color w:val="1B1C1F"/>
          <w:spacing w:val="-14"/>
        </w:rPr>
        <w:t> </w:t>
      </w:r>
      <w:r>
        <w:rPr>
          <w:color w:val="1B1C1F"/>
        </w:rPr>
        <w:t>проводится</w:t>
      </w:r>
      <w:r>
        <w:rPr>
          <w:color w:val="1B1C1F"/>
          <w:spacing w:val="-13"/>
        </w:rPr>
        <w:t> </w:t>
      </w:r>
      <w:r>
        <w:rPr>
          <w:color w:val="1B1C1F"/>
        </w:rPr>
        <w:t>иммунохроматографическими методами (ИФА, ИХЛ или иммунохроматографии). Экспресс-тесты для определения антигенов</w:t>
      </w:r>
      <w:r>
        <w:rPr>
          <w:color w:val="1B1C1F"/>
          <w:spacing w:val="40"/>
        </w:rPr>
        <w:t> </w:t>
      </w:r>
      <w:r>
        <w:rPr>
          <w:color w:val="1B1C1F"/>
        </w:rPr>
        <w:t>(с</w:t>
      </w:r>
      <w:r>
        <w:rPr>
          <w:color w:val="1B1C1F"/>
          <w:spacing w:val="40"/>
        </w:rPr>
        <w:t> </w:t>
      </w:r>
      <w:r>
        <w:rPr>
          <w:color w:val="1B1C1F"/>
        </w:rPr>
        <w:t>применением</w:t>
      </w:r>
      <w:r>
        <w:rPr>
          <w:color w:val="1B1C1F"/>
          <w:spacing w:val="40"/>
        </w:rPr>
        <w:t> </w:t>
      </w:r>
      <w:r>
        <w:rPr>
          <w:color w:val="1B1C1F"/>
        </w:rPr>
        <w:t>иммунохроматографии)</w:t>
      </w:r>
      <w:r>
        <w:rPr>
          <w:color w:val="1B1C1F"/>
          <w:spacing w:val="40"/>
        </w:rPr>
        <w:t> </w:t>
      </w:r>
      <w:r>
        <w:rPr>
          <w:color w:val="1B1C1F"/>
        </w:rPr>
        <w:t>позволяют</w:t>
      </w:r>
      <w:r>
        <w:rPr>
          <w:color w:val="1B1C1F"/>
          <w:spacing w:val="40"/>
        </w:rPr>
        <w:t> </w:t>
      </w:r>
      <w:r>
        <w:rPr>
          <w:color w:val="1B1C1F"/>
        </w:rPr>
        <w:t>получить</w:t>
      </w:r>
      <w:r>
        <w:rPr>
          <w:color w:val="1B1C1F"/>
          <w:spacing w:val="40"/>
        </w:rPr>
        <w:t> </w:t>
      </w:r>
      <w:r>
        <w:rPr>
          <w:color w:val="1B1C1F"/>
        </w:rPr>
        <w:t>результат</w:t>
      </w:r>
      <w:r>
        <w:rPr>
          <w:color w:val="1B1C1F"/>
          <w:spacing w:val="40"/>
        </w:rPr>
        <w:t> </w:t>
      </w:r>
      <w:r>
        <w:rPr>
          <w:color w:val="1B1C1F"/>
        </w:rPr>
        <w:t>за</w:t>
      </w:r>
      <w:r>
        <w:rPr>
          <w:color w:val="1B1C1F"/>
          <w:spacing w:val="-15"/>
        </w:rPr>
        <w:t> </w:t>
      </w:r>
      <w:r>
        <w:rPr>
          <w:color w:val="1B1C1F"/>
        </w:rPr>
        <w:t>10-30 минут. Диагностическая чувствительность и специфичность экспресс-тестов на</w:t>
      </w:r>
      <w:r>
        <w:rPr>
          <w:color w:val="1B1C1F"/>
          <w:spacing w:val="-6"/>
        </w:rPr>
        <w:t> </w:t>
      </w:r>
      <w:r>
        <w:rPr>
          <w:color w:val="1B1C1F"/>
        </w:rPr>
        <w:t>антиген</w:t>
      </w:r>
      <w:r>
        <w:rPr>
          <w:color w:val="1B1C1F"/>
          <w:spacing w:val="-4"/>
        </w:rPr>
        <w:t> </w:t>
      </w:r>
      <w:r>
        <w:rPr>
          <w:color w:val="1B1C1F"/>
        </w:rPr>
        <w:t>SARS-CoV-2</w:t>
      </w:r>
      <w:r>
        <w:rPr>
          <w:color w:val="1B1C1F"/>
          <w:spacing w:val="-8"/>
        </w:rPr>
        <w:t> </w:t>
      </w:r>
      <w:r>
        <w:rPr>
          <w:color w:val="1B1C1F"/>
        </w:rPr>
        <w:t>могут</w:t>
      </w:r>
      <w:r>
        <w:rPr>
          <w:color w:val="1B1C1F"/>
          <w:spacing w:val="-7"/>
        </w:rPr>
        <w:t> </w:t>
      </w:r>
      <w:r>
        <w:rPr>
          <w:color w:val="1B1C1F"/>
        </w:rPr>
        <w:t>быть</w:t>
      </w:r>
      <w:r>
        <w:rPr>
          <w:color w:val="1B1C1F"/>
          <w:spacing w:val="-7"/>
        </w:rPr>
        <w:t> </w:t>
      </w:r>
      <w:r>
        <w:rPr>
          <w:color w:val="1B1C1F"/>
        </w:rPr>
        <w:t>ниже,</w:t>
      </w:r>
      <w:r>
        <w:rPr>
          <w:color w:val="1B1C1F"/>
          <w:spacing w:val="-8"/>
        </w:rPr>
        <w:t> </w:t>
      </w:r>
      <w:r>
        <w:rPr>
          <w:color w:val="1B1C1F"/>
        </w:rPr>
        <w:t>чем</w:t>
      </w:r>
      <w:r>
        <w:rPr>
          <w:color w:val="1B1C1F"/>
          <w:spacing w:val="-6"/>
        </w:rPr>
        <w:t> </w:t>
      </w:r>
      <w:r>
        <w:rPr>
          <w:color w:val="1B1C1F"/>
        </w:rPr>
        <w:t>у</w:t>
      </w:r>
      <w:r>
        <w:rPr>
          <w:color w:val="1B1C1F"/>
          <w:spacing w:val="-8"/>
        </w:rPr>
        <w:t> </w:t>
      </w:r>
      <w:r>
        <w:rPr>
          <w:color w:val="1B1C1F"/>
        </w:rPr>
        <w:t>тестов</w:t>
      </w:r>
      <w:r>
        <w:rPr>
          <w:color w:val="1B1C1F"/>
          <w:spacing w:val="-8"/>
        </w:rPr>
        <w:t> </w:t>
      </w:r>
      <w:r>
        <w:rPr>
          <w:color w:val="1B1C1F"/>
        </w:rPr>
        <w:t>на</w:t>
      </w:r>
      <w:r>
        <w:rPr>
          <w:color w:val="1B1C1F"/>
          <w:spacing w:val="-9"/>
        </w:rPr>
        <w:t> </w:t>
      </w:r>
      <w:r>
        <w:rPr>
          <w:color w:val="1B1C1F"/>
        </w:rPr>
        <w:t>основе</w:t>
      </w:r>
      <w:r>
        <w:rPr>
          <w:color w:val="1B1C1F"/>
          <w:spacing w:val="-6"/>
        </w:rPr>
        <w:t> </w:t>
      </w:r>
      <w:r>
        <w:rPr>
          <w:color w:val="1B1C1F"/>
        </w:rPr>
        <w:t>МАНК.</w:t>
      </w:r>
    </w:p>
    <w:p>
      <w:pPr>
        <w:pStyle w:val="BodyText"/>
        <w:spacing w:line="276" w:lineRule="auto" w:before="12"/>
        <w:ind w:left="141" w:right="702" w:firstLine="707"/>
      </w:pPr>
      <w:r>
        <w:rPr>
          <w:color w:val="1B1C1F"/>
          <w:spacing w:val="-4"/>
        </w:rPr>
        <w:t>Положительные</w:t>
      </w:r>
      <w:r>
        <w:rPr>
          <w:color w:val="1B1C1F"/>
          <w:spacing w:val="-5"/>
        </w:rPr>
        <w:t> </w:t>
      </w:r>
      <w:r>
        <w:rPr>
          <w:color w:val="1B1C1F"/>
          <w:spacing w:val="-4"/>
        </w:rPr>
        <w:t>результаты</w:t>
      </w:r>
      <w:r>
        <w:rPr>
          <w:color w:val="1B1C1F"/>
          <w:spacing w:val="-5"/>
        </w:rPr>
        <w:t> </w:t>
      </w:r>
      <w:r>
        <w:rPr>
          <w:color w:val="1B1C1F"/>
          <w:spacing w:val="-4"/>
        </w:rPr>
        <w:t>тестов</w:t>
      </w:r>
      <w:r>
        <w:rPr>
          <w:color w:val="1B1C1F"/>
          <w:spacing w:val="-7"/>
        </w:rPr>
        <w:t> </w:t>
      </w:r>
      <w:r>
        <w:rPr>
          <w:color w:val="1B1C1F"/>
          <w:spacing w:val="-4"/>
        </w:rPr>
        <w:t>на</w:t>
      </w:r>
      <w:r>
        <w:rPr>
          <w:color w:val="1B1C1F"/>
          <w:spacing w:val="-5"/>
        </w:rPr>
        <w:t> </w:t>
      </w:r>
      <w:r>
        <w:rPr>
          <w:color w:val="1B1C1F"/>
          <w:spacing w:val="-4"/>
        </w:rPr>
        <w:t>антиген</w:t>
      </w:r>
      <w:r>
        <w:rPr>
          <w:color w:val="1B1C1F"/>
          <w:spacing w:val="-5"/>
        </w:rPr>
        <w:t> </w:t>
      </w:r>
      <w:r>
        <w:rPr>
          <w:color w:val="1B1C1F"/>
          <w:spacing w:val="-4"/>
        </w:rPr>
        <w:t>SARS-CoV-2 могут ожидаться в</w:t>
      </w:r>
      <w:r>
        <w:rPr>
          <w:color w:val="1B1C1F"/>
          <w:spacing w:val="-7"/>
        </w:rPr>
        <w:t> </w:t>
      </w:r>
      <w:r>
        <w:rPr>
          <w:color w:val="1B1C1F"/>
          <w:spacing w:val="-4"/>
        </w:rPr>
        <w:t>тот </w:t>
      </w:r>
      <w:r>
        <w:rPr>
          <w:color w:val="1B1C1F"/>
        </w:rPr>
        <w:t>же</w:t>
      </w:r>
      <w:r>
        <w:rPr>
          <w:color w:val="1B1C1F"/>
          <w:spacing w:val="80"/>
          <w:w w:val="150"/>
        </w:rPr>
        <w:t>  </w:t>
      </w:r>
      <w:r>
        <w:rPr>
          <w:color w:val="1B1C1F"/>
        </w:rPr>
        <w:t>период</w:t>
      </w:r>
      <w:r>
        <w:rPr>
          <w:color w:val="1B1C1F"/>
          <w:spacing w:val="80"/>
          <w:w w:val="150"/>
        </w:rPr>
        <w:t>  </w:t>
      </w:r>
      <w:r>
        <w:rPr>
          <w:color w:val="1B1C1F"/>
        </w:rPr>
        <w:t>развития</w:t>
      </w:r>
      <w:r>
        <w:rPr>
          <w:color w:val="1B1C1F"/>
          <w:spacing w:val="80"/>
          <w:w w:val="150"/>
        </w:rPr>
        <w:t>  </w:t>
      </w:r>
      <w:r>
        <w:rPr>
          <w:color w:val="1B1C1F"/>
        </w:rPr>
        <w:t>заболевания,</w:t>
      </w:r>
      <w:r>
        <w:rPr>
          <w:color w:val="1B1C1F"/>
          <w:spacing w:val="80"/>
          <w:w w:val="150"/>
        </w:rPr>
        <w:t>  </w:t>
      </w:r>
      <w:r>
        <w:rPr>
          <w:color w:val="1B1C1F"/>
        </w:rPr>
        <w:t>что</w:t>
      </w:r>
      <w:r>
        <w:rPr>
          <w:color w:val="1B1C1F"/>
          <w:spacing w:val="80"/>
          <w:w w:val="150"/>
        </w:rPr>
        <w:t>  </w:t>
      </w:r>
      <w:r>
        <w:rPr>
          <w:color w:val="1B1C1F"/>
        </w:rPr>
        <w:t>и</w:t>
      </w:r>
      <w:r>
        <w:rPr>
          <w:color w:val="1B1C1F"/>
          <w:spacing w:val="80"/>
          <w:w w:val="150"/>
        </w:rPr>
        <w:t>  </w:t>
      </w:r>
      <w:r>
        <w:rPr>
          <w:color w:val="1B1C1F"/>
        </w:rPr>
        <w:t>выявление</w:t>
      </w:r>
      <w:r>
        <w:rPr>
          <w:color w:val="1B1C1F"/>
          <w:spacing w:val="80"/>
          <w:w w:val="150"/>
        </w:rPr>
        <w:t>  </w:t>
      </w:r>
      <w:r>
        <w:rPr>
          <w:color w:val="1B1C1F"/>
        </w:rPr>
        <w:t>РНК</w:t>
      </w:r>
      <w:r>
        <w:rPr>
          <w:color w:val="1B1C1F"/>
          <w:spacing w:val="80"/>
          <w:w w:val="150"/>
        </w:rPr>
        <w:t>  </w:t>
      </w:r>
      <w:r>
        <w:rPr>
          <w:color w:val="1B1C1F"/>
        </w:rPr>
        <w:t>вируса: за</w:t>
      </w:r>
      <w:r>
        <w:rPr>
          <w:color w:val="1B1C1F"/>
          <w:spacing w:val="-15"/>
        </w:rPr>
        <w:t> </w:t>
      </w:r>
      <w:r>
        <w:rPr>
          <w:color w:val="1B1C1F"/>
        </w:rPr>
        <w:t>2</w:t>
      </w:r>
      <w:r>
        <w:rPr>
          <w:color w:val="1B1C1F"/>
          <w:spacing w:val="-15"/>
        </w:rPr>
        <w:t> </w:t>
      </w:r>
      <w:r>
        <w:rPr>
          <w:color w:val="1B1C1F"/>
        </w:rPr>
        <w:t>дня</w:t>
      </w:r>
      <w:r>
        <w:rPr>
          <w:color w:val="1B1C1F"/>
          <w:spacing w:val="-14"/>
        </w:rPr>
        <w:t> </w:t>
      </w:r>
      <w:r>
        <w:rPr>
          <w:color w:val="1B1C1F"/>
        </w:rPr>
        <w:t>до</w:t>
      </w:r>
      <w:r>
        <w:rPr>
          <w:color w:val="1B1C1F"/>
          <w:spacing w:val="-15"/>
        </w:rPr>
        <w:t> </w:t>
      </w:r>
      <w:r>
        <w:rPr>
          <w:color w:val="1B1C1F"/>
        </w:rPr>
        <w:t>и</w:t>
      </w:r>
      <w:r>
        <w:rPr>
          <w:color w:val="1B1C1F"/>
          <w:spacing w:val="-15"/>
        </w:rPr>
        <w:t> </w:t>
      </w:r>
      <w:r>
        <w:rPr>
          <w:color w:val="1B1C1F"/>
        </w:rPr>
        <w:t>на</w:t>
      </w:r>
      <w:r>
        <w:rPr>
          <w:color w:val="1B1C1F"/>
          <w:spacing w:val="-15"/>
        </w:rPr>
        <w:t> </w:t>
      </w:r>
      <w:r>
        <w:rPr>
          <w:color w:val="1B1C1F"/>
        </w:rPr>
        <w:t>протяжении</w:t>
      </w:r>
      <w:r>
        <w:rPr>
          <w:color w:val="1B1C1F"/>
          <w:spacing w:val="40"/>
        </w:rPr>
        <w:t> </w:t>
      </w:r>
      <w:r>
        <w:rPr>
          <w:color w:val="1B1C1F"/>
        </w:rPr>
        <w:t>5-7</w:t>
      </w:r>
      <w:r>
        <w:rPr>
          <w:color w:val="1B1C1F"/>
          <w:spacing w:val="40"/>
        </w:rPr>
        <w:t> </w:t>
      </w:r>
      <w:r>
        <w:rPr>
          <w:color w:val="1B1C1F"/>
        </w:rPr>
        <w:t>дней</w:t>
      </w:r>
      <w:r>
        <w:rPr>
          <w:color w:val="1B1C1F"/>
          <w:spacing w:val="40"/>
        </w:rPr>
        <w:t> </w:t>
      </w:r>
      <w:r>
        <w:rPr>
          <w:color w:val="1B1C1F"/>
        </w:rPr>
        <w:t>после</w:t>
      </w:r>
      <w:r>
        <w:rPr>
          <w:color w:val="1B1C1F"/>
          <w:spacing w:val="40"/>
        </w:rPr>
        <w:t> </w:t>
      </w:r>
      <w:r>
        <w:rPr>
          <w:color w:val="1B1C1F"/>
        </w:rPr>
        <w:t>появления</w:t>
      </w:r>
      <w:r>
        <w:rPr>
          <w:color w:val="1B1C1F"/>
          <w:spacing w:val="40"/>
        </w:rPr>
        <w:t> </w:t>
      </w:r>
      <w:r>
        <w:rPr>
          <w:color w:val="1B1C1F"/>
        </w:rPr>
        <w:t>симптомов.</w:t>
      </w:r>
      <w:r>
        <w:rPr>
          <w:color w:val="1B1C1F"/>
          <w:spacing w:val="40"/>
        </w:rPr>
        <w:t> </w:t>
      </w:r>
      <w:r>
        <w:rPr>
          <w:color w:val="1B1C1F"/>
        </w:rPr>
        <w:t>Положительный результат теста может рассматриваться как подтверждение диагноза COVID-19, отрицательный</w:t>
      </w:r>
      <w:r>
        <w:rPr>
          <w:color w:val="1B1C1F"/>
          <w:spacing w:val="-8"/>
        </w:rPr>
        <w:t> </w:t>
      </w:r>
      <w:r>
        <w:rPr>
          <w:color w:val="1B1C1F"/>
        </w:rPr>
        <w:t>результат</w:t>
      </w:r>
      <w:r>
        <w:rPr>
          <w:color w:val="1B1C1F"/>
          <w:spacing w:val="-8"/>
        </w:rPr>
        <w:t> </w:t>
      </w:r>
      <w:r>
        <w:rPr>
          <w:color w:val="1B1C1F"/>
        </w:rPr>
        <w:t>не</w:t>
      </w:r>
      <w:r>
        <w:rPr>
          <w:color w:val="1B1C1F"/>
          <w:spacing w:val="-7"/>
        </w:rPr>
        <w:t> </w:t>
      </w:r>
      <w:r>
        <w:rPr>
          <w:color w:val="1B1C1F"/>
        </w:rPr>
        <w:t>позволяет</w:t>
      </w:r>
      <w:r>
        <w:rPr>
          <w:color w:val="1B1C1F"/>
          <w:spacing w:val="-8"/>
        </w:rPr>
        <w:t> </w:t>
      </w:r>
      <w:r>
        <w:rPr>
          <w:color w:val="1B1C1F"/>
        </w:rPr>
        <w:t>исключить</w:t>
      </w:r>
      <w:r>
        <w:rPr>
          <w:color w:val="1B1C1F"/>
          <w:spacing w:val="-7"/>
        </w:rPr>
        <w:t> </w:t>
      </w:r>
      <w:r>
        <w:rPr>
          <w:color w:val="1B1C1F"/>
        </w:rPr>
        <w:t>COVID-19.</w:t>
      </w:r>
    </w:p>
    <w:p>
      <w:pPr>
        <w:pStyle w:val="BodyText"/>
        <w:spacing w:line="276" w:lineRule="auto" w:before="12"/>
        <w:ind w:left="141" w:right="700" w:firstLine="764"/>
        <w:jc w:val="right"/>
      </w:pPr>
      <w:r>
        <w:rPr>
          <w:color w:val="1B1C1F"/>
          <w:spacing w:val="-4"/>
        </w:rPr>
        <w:t>Иммуонхроматографические тесты могут применяться для экспресс-диагностики </w:t>
      </w:r>
      <w:r>
        <w:rPr>
          <w:color w:val="1B1C1F"/>
        </w:rPr>
        <w:t>COVID-19</w:t>
      </w:r>
      <w:r>
        <w:rPr>
          <w:color w:val="1B1C1F"/>
          <w:spacing w:val="39"/>
        </w:rPr>
        <w:t> </w:t>
      </w:r>
      <w:r>
        <w:rPr>
          <w:color w:val="1B1C1F"/>
        </w:rPr>
        <w:t>в</w:t>
      </w:r>
      <w:r>
        <w:rPr>
          <w:color w:val="1B1C1F"/>
          <w:spacing w:val="39"/>
        </w:rPr>
        <w:t> </w:t>
      </w:r>
      <w:r>
        <w:rPr>
          <w:color w:val="1B1C1F"/>
        </w:rPr>
        <w:t>ситуациях,</w:t>
      </w:r>
      <w:r>
        <w:rPr>
          <w:color w:val="1B1C1F"/>
          <w:spacing w:val="37"/>
        </w:rPr>
        <w:t> </w:t>
      </w:r>
      <w:r>
        <w:rPr>
          <w:color w:val="1B1C1F"/>
        </w:rPr>
        <w:t>когда</w:t>
      </w:r>
      <w:r>
        <w:rPr>
          <w:color w:val="1B1C1F"/>
          <w:spacing w:val="37"/>
        </w:rPr>
        <w:t> </w:t>
      </w:r>
      <w:r>
        <w:rPr>
          <w:color w:val="1B1C1F"/>
        </w:rPr>
        <w:t>проведение</w:t>
      </w:r>
      <w:r>
        <w:rPr>
          <w:color w:val="1B1C1F"/>
          <w:spacing w:val="37"/>
        </w:rPr>
        <w:t> </w:t>
      </w:r>
      <w:r>
        <w:rPr>
          <w:color w:val="1B1C1F"/>
        </w:rPr>
        <w:t>молекулярно-генетического</w:t>
      </w:r>
      <w:r>
        <w:rPr>
          <w:color w:val="1B1C1F"/>
          <w:spacing w:val="37"/>
        </w:rPr>
        <w:t> </w:t>
      </w:r>
      <w:r>
        <w:rPr>
          <w:color w:val="1B1C1F"/>
        </w:rPr>
        <w:t>тестирования МАНК</w:t>
      </w:r>
      <w:r>
        <w:rPr>
          <w:color w:val="1B1C1F"/>
          <w:spacing w:val="-15"/>
        </w:rPr>
        <w:t> </w:t>
      </w:r>
      <w:r>
        <w:rPr>
          <w:color w:val="1B1C1F"/>
        </w:rPr>
        <w:t>невозможно,</w:t>
      </w:r>
      <w:r>
        <w:rPr>
          <w:color w:val="1B1C1F"/>
          <w:spacing w:val="-15"/>
        </w:rPr>
        <w:t> </w:t>
      </w:r>
      <w:r>
        <w:rPr>
          <w:color w:val="1B1C1F"/>
        </w:rPr>
        <w:t>в</w:t>
      </w:r>
      <w:r>
        <w:rPr>
          <w:color w:val="1B1C1F"/>
          <w:spacing w:val="-15"/>
        </w:rPr>
        <w:t> </w:t>
      </w:r>
      <w:r>
        <w:rPr>
          <w:color w:val="1B1C1F"/>
        </w:rPr>
        <w:t>том</w:t>
      </w:r>
      <w:r>
        <w:rPr>
          <w:color w:val="1B1C1F"/>
          <w:spacing w:val="-15"/>
        </w:rPr>
        <w:t> </w:t>
      </w:r>
      <w:r>
        <w:rPr>
          <w:color w:val="1B1C1F"/>
        </w:rPr>
        <w:t>числе</w:t>
      </w:r>
      <w:r>
        <w:rPr>
          <w:color w:val="1B1C1F"/>
          <w:spacing w:val="-15"/>
        </w:rPr>
        <w:t> </w:t>
      </w:r>
      <w:r>
        <w:rPr>
          <w:color w:val="1B1C1F"/>
        </w:rPr>
        <w:t>в</w:t>
      </w:r>
      <w:r>
        <w:rPr>
          <w:color w:val="1B1C1F"/>
          <w:spacing w:val="-15"/>
        </w:rPr>
        <w:t> </w:t>
      </w:r>
      <w:r>
        <w:rPr>
          <w:color w:val="1B1C1F"/>
        </w:rPr>
        <w:t>удаленных</w:t>
      </w:r>
      <w:r>
        <w:rPr>
          <w:color w:val="1B1C1F"/>
          <w:spacing w:val="-15"/>
        </w:rPr>
        <w:t> </w:t>
      </w:r>
      <w:r>
        <w:rPr>
          <w:color w:val="1B1C1F"/>
        </w:rPr>
        <w:t>и</w:t>
      </w:r>
      <w:r>
        <w:rPr>
          <w:color w:val="1B1C1F"/>
          <w:spacing w:val="-15"/>
        </w:rPr>
        <w:t> </w:t>
      </w:r>
      <w:r>
        <w:rPr>
          <w:color w:val="1B1C1F"/>
        </w:rPr>
        <w:t>малонаселенных</w:t>
      </w:r>
      <w:r>
        <w:rPr>
          <w:color w:val="1B1C1F"/>
          <w:spacing w:val="-15"/>
        </w:rPr>
        <w:t> </w:t>
      </w:r>
      <w:r>
        <w:rPr>
          <w:color w:val="1B1C1F"/>
        </w:rPr>
        <w:t>регионах.</w:t>
      </w:r>
      <w:r>
        <w:rPr>
          <w:color w:val="1B1C1F"/>
          <w:spacing w:val="-12"/>
        </w:rPr>
        <w:t> </w:t>
      </w:r>
      <w:r>
        <w:rPr>
          <w:color w:val="1B1C1F"/>
        </w:rPr>
        <w:t>Необходимо иметь</w:t>
      </w:r>
      <w:r>
        <w:rPr>
          <w:color w:val="1B1C1F"/>
          <w:spacing w:val="80"/>
        </w:rPr>
        <w:t> </w:t>
      </w:r>
      <w:r>
        <w:rPr>
          <w:color w:val="1B1C1F"/>
        </w:rPr>
        <w:t>в</w:t>
      </w:r>
      <w:r>
        <w:rPr>
          <w:color w:val="1B1C1F"/>
          <w:spacing w:val="80"/>
        </w:rPr>
        <w:t> </w:t>
      </w:r>
      <w:r>
        <w:rPr>
          <w:color w:val="1B1C1F"/>
        </w:rPr>
        <w:t>виду,</w:t>
      </w:r>
      <w:r>
        <w:rPr>
          <w:color w:val="1B1C1F"/>
          <w:spacing w:val="80"/>
        </w:rPr>
        <w:t> </w:t>
      </w:r>
      <w:r>
        <w:rPr>
          <w:color w:val="1B1C1F"/>
        </w:rPr>
        <w:t>что</w:t>
      </w:r>
      <w:r>
        <w:rPr>
          <w:color w:val="1B1C1F"/>
          <w:spacing w:val="80"/>
        </w:rPr>
        <w:t> </w:t>
      </w:r>
      <w:r>
        <w:rPr>
          <w:color w:val="1B1C1F"/>
        </w:rPr>
        <w:t>тест</w:t>
      </w:r>
      <w:r>
        <w:rPr>
          <w:color w:val="1B1C1F"/>
          <w:spacing w:val="80"/>
        </w:rPr>
        <w:t> </w:t>
      </w:r>
      <w:r>
        <w:rPr>
          <w:color w:val="1B1C1F"/>
        </w:rPr>
        <w:t>на</w:t>
      </w:r>
      <w:r>
        <w:rPr>
          <w:color w:val="1B1C1F"/>
          <w:spacing w:val="79"/>
        </w:rPr>
        <w:t> </w:t>
      </w:r>
      <w:r>
        <w:rPr>
          <w:color w:val="1B1C1F"/>
        </w:rPr>
        <w:t>антиген</w:t>
      </w:r>
      <w:r>
        <w:rPr>
          <w:color w:val="1B1C1F"/>
          <w:spacing w:val="80"/>
        </w:rPr>
        <w:t> </w:t>
      </w:r>
      <w:r>
        <w:rPr>
          <w:color w:val="1B1C1F"/>
        </w:rPr>
        <w:t>SARS-CoV-2</w:t>
      </w:r>
      <w:r>
        <w:rPr>
          <w:color w:val="1B1C1F"/>
          <w:spacing w:val="78"/>
        </w:rPr>
        <w:t> </w:t>
      </w:r>
      <w:r>
        <w:rPr>
          <w:color w:val="1B1C1F"/>
        </w:rPr>
        <w:t>при</w:t>
      </w:r>
      <w:r>
        <w:rPr>
          <w:color w:val="1B1C1F"/>
          <w:spacing w:val="80"/>
        </w:rPr>
        <w:t> </w:t>
      </w:r>
      <w:r>
        <w:rPr>
          <w:color w:val="1B1C1F"/>
        </w:rPr>
        <w:t>малой</w:t>
      </w:r>
      <w:r>
        <w:rPr>
          <w:color w:val="1B1C1F"/>
          <w:spacing w:val="79"/>
        </w:rPr>
        <w:t> </w:t>
      </w:r>
      <w:r>
        <w:rPr>
          <w:color w:val="1B1C1F"/>
        </w:rPr>
        <w:t>распространенности </w:t>
      </w:r>
      <w:r>
        <w:rPr>
          <w:color w:val="1B1C1F"/>
          <w:spacing w:val="-6"/>
        </w:rPr>
        <w:t>заболевания</w:t>
      </w:r>
      <w:r>
        <w:rPr>
          <w:color w:val="1B1C1F"/>
          <w:spacing w:val="4"/>
        </w:rPr>
        <w:t> </w:t>
      </w:r>
      <w:r>
        <w:rPr>
          <w:color w:val="1B1C1F"/>
          <w:spacing w:val="-6"/>
        </w:rPr>
        <w:t>имеет</w:t>
      </w:r>
      <w:r>
        <w:rPr>
          <w:color w:val="1B1C1F"/>
          <w:spacing w:val="8"/>
        </w:rPr>
        <w:t> </w:t>
      </w:r>
      <w:r>
        <w:rPr>
          <w:color w:val="1B1C1F"/>
          <w:spacing w:val="-6"/>
        </w:rPr>
        <w:t>более</w:t>
      </w:r>
      <w:r>
        <w:rPr>
          <w:color w:val="1B1C1F"/>
          <w:spacing w:val="6"/>
        </w:rPr>
        <w:t> </w:t>
      </w:r>
      <w:r>
        <w:rPr>
          <w:color w:val="1B1C1F"/>
          <w:spacing w:val="-6"/>
        </w:rPr>
        <w:t>низкую</w:t>
      </w:r>
      <w:r>
        <w:rPr>
          <w:color w:val="1B1C1F"/>
          <w:spacing w:val="6"/>
        </w:rPr>
        <w:t> </w:t>
      </w:r>
      <w:r>
        <w:rPr>
          <w:color w:val="1B1C1F"/>
          <w:spacing w:val="-6"/>
        </w:rPr>
        <w:t>прогностическую</w:t>
      </w:r>
      <w:r>
        <w:rPr>
          <w:color w:val="1B1C1F"/>
          <w:spacing w:val="6"/>
        </w:rPr>
        <w:t> </w:t>
      </w:r>
      <w:r>
        <w:rPr>
          <w:color w:val="1B1C1F"/>
          <w:spacing w:val="-6"/>
        </w:rPr>
        <w:t>ценность</w:t>
      </w:r>
      <w:r>
        <w:rPr>
          <w:color w:val="1B1C1F"/>
          <w:spacing w:val="6"/>
        </w:rPr>
        <w:t> </w:t>
      </w:r>
      <w:r>
        <w:rPr>
          <w:color w:val="1B1C1F"/>
          <w:spacing w:val="-6"/>
        </w:rPr>
        <w:t>положительного</w:t>
      </w:r>
      <w:r>
        <w:rPr>
          <w:color w:val="1B1C1F"/>
          <w:spacing w:val="4"/>
        </w:rPr>
        <w:t> </w:t>
      </w:r>
      <w:r>
        <w:rPr>
          <w:color w:val="1B1C1F"/>
          <w:spacing w:val="-6"/>
        </w:rPr>
        <w:t>результата.</w:t>
      </w:r>
    </w:p>
    <w:p>
      <w:pPr>
        <w:pStyle w:val="BodyText"/>
        <w:spacing w:line="276" w:lineRule="auto" w:before="13"/>
        <w:ind w:left="141" w:right="702" w:firstLine="707"/>
      </w:pPr>
      <w:r>
        <w:rPr>
          <w:b/>
          <w:spacing w:val="-2"/>
        </w:rPr>
        <w:t>Выявление</w:t>
      </w:r>
      <w:r>
        <w:rPr>
          <w:b/>
          <w:spacing w:val="-5"/>
        </w:rPr>
        <w:t> </w:t>
      </w:r>
      <w:r>
        <w:rPr>
          <w:b/>
          <w:spacing w:val="-2"/>
        </w:rPr>
        <w:t>антител</w:t>
      </w:r>
      <w:r>
        <w:rPr>
          <w:b/>
          <w:spacing w:val="-5"/>
        </w:rPr>
        <w:t> </w:t>
      </w:r>
      <w:r>
        <w:rPr>
          <w:b/>
          <w:spacing w:val="-2"/>
        </w:rPr>
        <w:t>к SARS-CoV-2</w:t>
      </w:r>
      <w:r>
        <w:rPr>
          <w:b/>
          <w:spacing w:val="-13"/>
        </w:rPr>
        <w:t> </w:t>
      </w:r>
      <w:r>
        <w:rPr>
          <w:spacing w:val="-2"/>
        </w:rPr>
        <w:t>проводится</w:t>
      </w:r>
      <w:r>
        <w:rPr>
          <w:spacing w:val="-9"/>
        </w:rPr>
        <w:t> </w:t>
      </w:r>
      <w:r>
        <w:rPr>
          <w:spacing w:val="-2"/>
        </w:rPr>
        <w:t>с</w:t>
      </w:r>
      <w:r>
        <w:rPr>
          <w:spacing w:val="-10"/>
        </w:rPr>
        <w:t> </w:t>
      </w:r>
      <w:r>
        <w:rPr>
          <w:spacing w:val="-2"/>
        </w:rPr>
        <w:t>помощью</w:t>
      </w:r>
      <w:r>
        <w:rPr>
          <w:spacing w:val="-8"/>
        </w:rPr>
        <w:t> </w:t>
      </w:r>
      <w:r>
        <w:rPr>
          <w:spacing w:val="-2"/>
        </w:rPr>
        <w:t>методов</w:t>
      </w:r>
      <w:r>
        <w:rPr>
          <w:spacing w:val="-5"/>
        </w:rPr>
        <w:t> </w:t>
      </w:r>
      <w:r>
        <w:rPr>
          <w:spacing w:val="-2"/>
        </w:rPr>
        <w:t>ИФА,</w:t>
      </w:r>
      <w:r>
        <w:rPr>
          <w:spacing w:val="-4"/>
        </w:rPr>
        <w:t> </w:t>
      </w:r>
      <w:r>
        <w:rPr>
          <w:spacing w:val="-2"/>
        </w:rPr>
        <w:t>ИХЛ </w:t>
      </w:r>
      <w:r>
        <w:rPr/>
        <w:t>или иммунохроматографии. Разработанные методы ИФА и ИХЛ позволяют получать качественные, полуколичественные (коэффициент позитивности) и количественные результаты. Для определения уровней иммуноглобулинов к SARS-CoV-2 необходимо использовать</w:t>
      </w:r>
      <w:r>
        <w:rPr>
          <w:spacing w:val="80"/>
        </w:rPr>
        <w:t>  </w:t>
      </w:r>
      <w:r>
        <w:rPr/>
        <w:t>наборы</w:t>
      </w:r>
      <w:r>
        <w:rPr>
          <w:spacing w:val="80"/>
        </w:rPr>
        <w:t>  </w:t>
      </w:r>
      <w:r>
        <w:rPr/>
        <w:t>реагентов</w:t>
      </w:r>
      <w:r>
        <w:rPr>
          <w:spacing w:val="80"/>
        </w:rPr>
        <w:t>  </w:t>
      </w:r>
      <w:r>
        <w:rPr/>
        <w:t>для количественного</w:t>
      </w:r>
      <w:r>
        <w:rPr>
          <w:spacing w:val="80"/>
        </w:rPr>
        <w:t>  </w:t>
      </w:r>
      <w:r>
        <w:rPr/>
        <w:t>определения</w:t>
      </w:r>
      <w:r>
        <w:rPr>
          <w:spacing w:val="80"/>
        </w:rPr>
        <w:t>  </w:t>
      </w:r>
      <w:r>
        <w:rPr/>
        <w:t>антител, а</w:t>
      </w:r>
      <w:r>
        <w:rPr>
          <w:spacing w:val="-3"/>
        </w:rPr>
        <w:t> </w:t>
      </w:r>
      <w:r>
        <w:rPr/>
        <w:t>результаты исследлований представлять с использованием условных единиц измерения BAU/мл (binding antibody units, «единицы связывающих анител»).</w:t>
      </w:r>
    </w:p>
    <w:p>
      <w:pPr>
        <w:pStyle w:val="BodyText"/>
        <w:spacing w:line="276" w:lineRule="auto"/>
        <w:ind w:left="141" w:right="705" w:firstLine="767"/>
      </w:pPr>
      <w:r>
        <w:rPr/>
        <w:t>Иммунохроматографические методы – быстрые диагностические тесты, рассматриваются</w:t>
      </w:r>
      <w:r>
        <w:rPr>
          <w:spacing w:val="40"/>
        </w:rPr>
        <w:t> </w:t>
      </w:r>
      <w:r>
        <w:rPr/>
        <w:t>как</w:t>
      </w:r>
      <w:r>
        <w:rPr>
          <w:spacing w:val="40"/>
        </w:rPr>
        <w:t> </w:t>
      </w:r>
      <w:r>
        <w:rPr/>
        <w:t>тесты</w:t>
      </w:r>
      <w:r>
        <w:rPr>
          <w:spacing w:val="40"/>
        </w:rPr>
        <w:t> </w:t>
      </w:r>
      <w:r>
        <w:rPr/>
        <w:t>«у</w:t>
      </w:r>
      <w:r>
        <w:rPr>
          <w:spacing w:val="40"/>
        </w:rPr>
        <w:t> </w:t>
      </w:r>
      <w:r>
        <w:rPr/>
        <w:t>постели</w:t>
      </w:r>
      <w:r>
        <w:rPr>
          <w:spacing w:val="40"/>
        </w:rPr>
        <w:t> </w:t>
      </w:r>
      <w:r>
        <w:rPr/>
        <w:t>больного»</w:t>
      </w:r>
      <w:r>
        <w:rPr>
          <w:spacing w:val="40"/>
        </w:rPr>
        <w:t> </w:t>
      </w:r>
      <w:r>
        <w:rPr/>
        <w:t>(время</w:t>
      </w:r>
      <w:r>
        <w:rPr>
          <w:spacing w:val="40"/>
        </w:rPr>
        <w:t> </w:t>
      </w:r>
      <w:r>
        <w:rPr/>
        <w:t>получения</w:t>
      </w:r>
      <w:r>
        <w:rPr>
          <w:spacing w:val="40"/>
        </w:rPr>
        <w:t> </w:t>
      </w:r>
      <w:r>
        <w:rPr/>
        <w:t>результата</w:t>
      </w:r>
      <w:r>
        <w:rPr>
          <w:spacing w:val="40"/>
        </w:rPr>
        <w:t> </w:t>
      </w:r>
      <w:r>
        <w:rPr/>
        <w:t>– 10-30</w:t>
      </w:r>
      <w:r>
        <w:rPr>
          <w:spacing w:val="40"/>
        </w:rPr>
        <w:t> </w:t>
      </w:r>
      <w:r>
        <w:rPr/>
        <w:t>минут).</w:t>
      </w:r>
      <w:r>
        <w:rPr>
          <w:spacing w:val="40"/>
        </w:rPr>
        <w:t> </w:t>
      </w:r>
      <w:r>
        <w:rPr/>
        <w:t>Иммунохроматографические</w:t>
      </w:r>
      <w:r>
        <w:rPr>
          <w:spacing w:val="40"/>
        </w:rPr>
        <w:t> </w:t>
      </w:r>
      <w:r>
        <w:rPr/>
        <w:t>тесты</w:t>
      </w:r>
      <w:r>
        <w:rPr>
          <w:spacing w:val="40"/>
        </w:rPr>
        <w:t> </w:t>
      </w:r>
      <w:r>
        <w:rPr/>
        <w:t>являются</w:t>
      </w:r>
      <w:r>
        <w:rPr>
          <w:spacing w:val="40"/>
        </w:rPr>
        <w:t> </w:t>
      </w:r>
      <w:r>
        <w:rPr/>
        <w:t>качественными</w:t>
      </w:r>
      <w:r>
        <w:rPr>
          <w:spacing w:val="40"/>
        </w:rPr>
        <w:t> </w:t>
      </w:r>
      <w:r>
        <w:rPr/>
        <w:t>тестами и</w:t>
      </w:r>
      <w:r>
        <w:rPr>
          <w:spacing w:val="-1"/>
        </w:rPr>
        <w:t> </w:t>
      </w:r>
      <w:r>
        <w:rPr/>
        <w:t>позволяют определить наличие антител к SARS-CoV-2 (IgM, IgG, суммарные </w:t>
      </w:r>
      <w:r>
        <w:rPr>
          <w:spacing w:val="-2"/>
        </w:rPr>
        <w:t>антитела).</w:t>
      </w:r>
    </w:p>
    <w:p>
      <w:pPr>
        <w:pStyle w:val="BodyText"/>
        <w:spacing w:line="276" w:lineRule="auto"/>
        <w:ind w:left="141" w:right="708" w:firstLine="707"/>
      </w:pPr>
      <w:r>
        <w:rPr/>
        <w:t>С помощью выявления отдельных классов антител к SARS-CoV-2 (IgA/IgM, IgG) возможно определение различных фаз инфекционного процесса:</w:t>
      </w:r>
    </w:p>
    <w:p>
      <w:pPr>
        <w:pStyle w:val="ListParagraph"/>
        <w:numPr>
          <w:ilvl w:val="0"/>
          <w:numId w:val="82"/>
        </w:numPr>
        <w:tabs>
          <w:tab w:pos="568" w:val="left" w:leader="none"/>
        </w:tabs>
        <w:spacing w:line="261" w:lineRule="auto" w:before="0" w:after="0"/>
        <w:ind w:left="568" w:right="710" w:hanging="360"/>
        <w:jc w:val="both"/>
        <w:rPr>
          <w:sz w:val="24"/>
        </w:rPr>
      </w:pPr>
      <w:r>
        <w:rPr>
          <w:sz w:val="24"/>
        </w:rPr>
        <w:t>серонегативная</w:t>
      </w:r>
      <w:r>
        <w:rPr>
          <w:spacing w:val="40"/>
          <w:sz w:val="24"/>
        </w:rPr>
        <w:t> </w:t>
      </w:r>
      <w:r>
        <w:rPr>
          <w:sz w:val="24"/>
        </w:rPr>
        <w:t>фаза</w:t>
      </w:r>
      <w:r>
        <w:rPr>
          <w:spacing w:val="40"/>
          <w:sz w:val="24"/>
        </w:rPr>
        <w:t> </w:t>
      </w:r>
      <w:r>
        <w:rPr>
          <w:sz w:val="24"/>
        </w:rPr>
        <w:t>—</w:t>
      </w:r>
      <w:r>
        <w:rPr>
          <w:spacing w:val="40"/>
          <w:sz w:val="24"/>
        </w:rPr>
        <w:t> </w:t>
      </w:r>
      <w:r>
        <w:rPr>
          <w:sz w:val="24"/>
        </w:rPr>
        <w:t>антитела</w:t>
      </w:r>
      <w:r>
        <w:rPr>
          <w:spacing w:val="40"/>
          <w:sz w:val="24"/>
        </w:rPr>
        <w:t> </w:t>
      </w:r>
      <w:r>
        <w:rPr>
          <w:sz w:val="24"/>
        </w:rPr>
        <w:t>могут</w:t>
      </w:r>
      <w:r>
        <w:rPr>
          <w:spacing w:val="40"/>
          <w:sz w:val="24"/>
        </w:rPr>
        <w:t> </w:t>
      </w:r>
      <w:r>
        <w:rPr>
          <w:sz w:val="24"/>
        </w:rPr>
        <w:t>не</w:t>
      </w:r>
      <w:r>
        <w:rPr>
          <w:spacing w:val="40"/>
          <w:sz w:val="24"/>
        </w:rPr>
        <w:t> </w:t>
      </w:r>
      <w:r>
        <w:rPr>
          <w:sz w:val="24"/>
        </w:rPr>
        <w:t>выявляться</w:t>
      </w:r>
      <w:r>
        <w:rPr>
          <w:spacing w:val="40"/>
          <w:sz w:val="24"/>
        </w:rPr>
        <w:t> </w:t>
      </w:r>
      <w:r>
        <w:rPr>
          <w:sz w:val="24"/>
        </w:rPr>
        <w:t>в</w:t>
      </w:r>
      <w:r>
        <w:rPr>
          <w:spacing w:val="40"/>
          <w:sz w:val="24"/>
        </w:rPr>
        <w:t> </w:t>
      </w:r>
      <w:r>
        <w:rPr>
          <w:sz w:val="24"/>
        </w:rPr>
        <w:t>первичном</w:t>
      </w:r>
      <w:r>
        <w:rPr>
          <w:spacing w:val="40"/>
          <w:sz w:val="24"/>
        </w:rPr>
        <w:t> </w:t>
      </w:r>
      <w:r>
        <w:rPr>
          <w:sz w:val="24"/>
        </w:rPr>
        <w:t>образце,</w:t>
      </w:r>
      <w:r>
        <w:rPr>
          <w:spacing w:val="80"/>
          <w:sz w:val="24"/>
        </w:rPr>
        <w:t> </w:t>
      </w:r>
      <w:r>
        <w:rPr>
          <w:sz w:val="24"/>
        </w:rPr>
        <w:t>но выявляются во взятых через несколько дней образцах;</w:t>
      </w:r>
    </w:p>
    <w:p>
      <w:pPr>
        <w:pStyle w:val="ListParagraph"/>
        <w:numPr>
          <w:ilvl w:val="0"/>
          <w:numId w:val="82"/>
        </w:numPr>
        <w:tabs>
          <w:tab w:pos="568" w:val="left" w:leader="none"/>
        </w:tabs>
        <w:spacing w:line="268" w:lineRule="auto" w:before="19" w:after="0"/>
        <w:ind w:left="568" w:right="706" w:hanging="360"/>
        <w:jc w:val="both"/>
        <w:rPr>
          <w:sz w:val="24"/>
        </w:rPr>
      </w:pPr>
      <w:r>
        <w:rPr>
          <w:sz w:val="24"/>
        </w:rPr>
        <w:t>активная фаза — при определении диагностически значимого уровня IgA и/или IgM в одном образце или значимого нарастания уровня IgG в парных сыворотках, взятых с интервалом в 2-4 недели;</w:t>
      </w:r>
    </w:p>
    <w:p>
      <w:pPr>
        <w:pStyle w:val="ListParagraph"/>
        <w:numPr>
          <w:ilvl w:val="0"/>
          <w:numId w:val="82"/>
        </w:numPr>
        <w:tabs>
          <w:tab w:pos="568" w:val="left" w:leader="none"/>
        </w:tabs>
        <w:spacing w:line="268" w:lineRule="auto" w:before="9" w:after="0"/>
        <w:ind w:left="568" w:right="705" w:hanging="360"/>
        <w:jc w:val="both"/>
        <w:rPr>
          <w:sz w:val="24"/>
        </w:rPr>
      </w:pPr>
      <w:r>
        <w:rPr>
          <w:sz w:val="24"/>
        </w:rPr>
        <w:t>фаза реконвалесценции — концентрация IgA и IgM, как правило, существенно снижается</w:t>
      </w:r>
      <w:r>
        <w:rPr>
          <w:spacing w:val="-10"/>
          <w:sz w:val="24"/>
        </w:rPr>
        <w:t> </w:t>
      </w:r>
      <w:r>
        <w:rPr>
          <w:sz w:val="24"/>
        </w:rPr>
        <w:t>(падение</w:t>
      </w:r>
      <w:r>
        <w:rPr>
          <w:spacing w:val="-10"/>
          <w:sz w:val="24"/>
        </w:rPr>
        <w:t> </w:t>
      </w:r>
      <w:r>
        <w:rPr>
          <w:sz w:val="24"/>
        </w:rPr>
        <w:t>титра</w:t>
      </w:r>
      <w:r>
        <w:rPr>
          <w:spacing w:val="-10"/>
          <w:sz w:val="24"/>
        </w:rPr>
        <w:t> </w:t>
      </w:r>
      <w:r>
        <w:rPr>
          <w:sz w:val="24"/>
        </w:rPr>
        <w:t>в</w:t>
      </w:r>
      <w:r>
        <w:rPr>
          <w:spacing w:val="-10"/>
          <w:sz w:val="24"/>
        </w:rPr>
        <w:t> </w:t>
      </w:r>
      <w:r>
        <w:rPr>
          <w:sz w:val="24"/>
        </w:rPr>
        <w:t>2-4</w:t>
      </w:r>
      <w:r>
        <w:rPr>
          <w:spacing w:val="-9"/>
          <w:sz w:val="24"/>
        </w:rPr>
        <w:t> </w:t>
      </w:r>
      <w:r>
        <w:rPr>
          <w:sz w:val="24"/>
        </w:rPr>
        <w:t>раза)</w:t>
      </w:r>
      <w:r>
        <w:rPr>
          <w:spacing w:val="-10"/>
          <w:sz w:val="24"/>
        </w:rPr>
        <w:t> </w:t>
      </w:r>
      <w:r>
        <w:rPr>
          <w:sz w:val="24"/>
        </w:rPr>
        <w:t>во</w:t>
      </w:r>
      <w:r>
        <w:rPr>
          <w:spacing w:val="-8"/>
          <w:sz w:val="24"/>
        </w:rPr>
        <w:t> </w:t>
      </w:r>
      <w:r>
        <w:rPr>
          <w:sz w:val="24"/>
        </w:rPr>
        <w:t>время</w:t>
      </w:r>
      <w:r>
        <w:rPr>
          <w:spacing w:val="-9"/>
          <w:sz w:val="24"/>
        </w:rPr>
        <w:t> </w:t>
      </w:r>
      <w:r>
        <w:rPr>
          <w:sz w:val="24"/>
        </w:rPr>
        <w:t>выздоровления,</w:t>
      </w:r>
      <w:r>
        <w:rPr>
          <w:spacing w:val="-9"/>
          <w:sz w:val="24"/>
        </w:rPr>
        <w:t> </w:t>
      </w:r>
      <w:r>
        <w:rPr>
          <w:sz w:val="24"/>
        </w:rPr>
        <w:t>при</w:t>
      </w:r>
      <w:r>
        <w:rPr>
          <w:spacing w:val="-8"/>
          <w:sz w:val="24"/>
        </w:rPr>
        <w:t> </w:t>
      </w:r>
      <w:r>
        <w:rPr>
          <w:sz w:val="24"/>
        </w:rPr>
        <w:t>сохраняющихся IgG через 2 недели после курса лечения и позднее;</w:t>
      </w:r>
    </w:p>
    <w:p>
      <w:pPr>
        <w:pStyle w:val="ListParagraph"/>
        <w:numPr>
          <w:ilvl w:val="0"/>
          <w:numId w:val="82"/>
        </w:numPr>
        <w:tabs>
          <w:tab w:pos="568" w:val="left" w:leader="none"/>
        </w:tabs>
        <w:spacing w:line="264" w:lineRule="auto" w:before="10" w:after="0"/>
        <w:ind w:left="568" w:right="711" w:hanging="360"/>
        <w:jc w:val="both"/>
        <w:rPr>
          <w:sz w:val="24"/>
        </w:rPr>
      </w:pPr>
      <w:r>
        <w:rPr>
          <w:sz w:val="24"/>
        </w:rPr>
        <w:t>перенесенная инфекция — персистенция IgG без роста его уровня в парных сыворотках и отсутствие IgA и IgM.</w:t>
      </w:r>
    </w:p>
    <w:p>
      <w:pPr>
        <w:pStyle w:val="BodyText"/>
        <w:spacing w:line="276" w:lineRule="auto" w:before="27"/>
        <w:ind w:left="141" w:right="706" w:firstLine="565"/>
      </w:pPr>
      <w:r>
        <w:rPr/>
        <w:t>Определение IgG к SARS-CoV-2 через 4 недели после вакцинации позволяет подтвердить наличие поствакцинального иммунитета. Длительность периода детектируемого</w:t>
      </w:r>
      <w:r>
        <w:rPr>
          <w:spacing w:val="-14"/>
        </w:rPr>
        <w:t> </w:t>
      </w:r>
      <w:r>
        <w:rPr/>
        <w:t>наличия</w:t>
      </w:r>
      <w:r>
        <w:rPr>
          <w:spacing w:val="-14"/>
        </w:rPr>
        <w:t> </w:t>
      </w:r>
      <w:r>
        <w:rPr/>
        <w:t>антител</w:t>
      </w:r>
      <w:r>
        <w:rPr>
          <w:spacing w:val="-14"/>
        </w:rPr>
        <w:t> </w:t>
      </w:r>
      <w:r>
        <w:rPr/>
        <w:t>не</w:t>
      </w:r>
      <w:r>
        <w:rPr>
          <w:spacing w:val="-15"/>
        </w:rPr>
        <w:t> </w:t>
      </w:r>
      <w:r>
        <w:rPr/>
        <w:t>определена,</w:t>
      </w:r>
      <w:r>
        <w:rPr>
          <w:spacing w:val="-14"/>
        </w:rPr>
        <w:t> </w:t>
      </w:r>
      <w:r>
        <w:rPr/>
        <w:t>но</w:t>
      </w:r>
      <w:r>
        <w:rPr>
          <w:spacing w:val="-14"/>
        </w:rPr>
        <w:t> </w:t>
      </w:r>
      <w:r>
        <w:rPr/>
        <w:t>в</w:t>
      </w:r>
      <w:r>
        <w:rPr>
          <w:spacing w:val="-12"/>
        </w:rPr>
        <w:t> </w:t>
      </w:r>
      <w:r>
        <w:rPr/>
        <w:t>настоящее</w:t>
      </w:r>
      <w:r>
        <w:rPr>
          <w:spacing w:val="-13"/>
        </w:rPr>
        <w:t> </w:t>
      </w:r>
      <w:r>
        <w:rPr/>
        <w:t>время</w:t>
      </w:r>
      <w:r>
        <w:rPr>
          <w:spacing w:val="-12"/>
        </w:rPr>
        <w:t> </w:t>
      </w:r>
      <w:r>
        <w:rPr/>
        <w:t>рассматривается как период не менее 3 месяцев.</w:t>
      </w:r>
    </w:p>
    <w:p>
      <w:pPr>
        <w:pStyle w:val="BodyText"/>
        <w:spacing w:after="0" w:line="276" w:lineRule="auto"/>
        <w:sectPr>
          <w:pgSz w:w="11900" w:h="16840"/>
          <w:pgMar w:header="0" w:footer="697" w:top="1080" w:bottom="880" w:left="1559" w:right="566"/>
        </w:sectPr>
      </w:pPr>
    </w:p>
    <w:p>
      <w:pPr>
        <w:pStyle w:val="Heading3"/>
        <w:spacing w:before="73"/>
        <w:ind w:left="707"/>
        <w:jc w:val="left"/>
      </w:pPr>
      <w:bookmarkStart w:name="180" w:id="212"/>
      <w:bookmarkEnd w:id="212"/>
      <w:r>
        <w:rPr>
          <w:b w:val="0"/>
        </w:rPr>
      </w:r>
      <w:r>
        <w:rPr>
          <w:spacing w:val="-2"/>
        </w:rPr>
        <w:t>Сбор,</w:t>
      </w:r>
      <w:r>
        <w:rPr/>
        <w:t> </w:t>
      </w:r>
      <w:r>
        <w:rPr>
          <w:spacing w:val="-2"/>
        </w:rPr>
        <w:t>хранение</w:t>
      </w:r>
      <w:r>
        <w:rPr>
          <w:spacing w:val="1"/>
        </w:rPr>
        <w:t> </w:t>
      </w:r>
      <w:r>
        <w:rPr>
          <w:spacing w:val="-2"/>
        </w:rPr>
        <w:t>и</w:t>
      </w:r>
      <w:r>
        <w:rPr>
          <w:spacing w:val="2"/>
        </w:rPr>
        <w:t> </w:t>
      </w:r>
      <w:r>
        <w:rPr>
          <w:spacing w:val="-2"/>
        </w:rPr>
        <w:t>транспортировка</w:t>
      </w:r>
      <w:r>
        <w:rPr>
          <w:spacing w:val="5"/>
        </w:rPr>
        <w:t> </w:t>
      </w:r>
      <w:r>
        <w:rPr>
          <w:spacing w:val="-2"/>
        </w:rPr>
        <w:t>образцов</w:t>
      </w:r>
      <w:r>
        <w:rPr/>
        <w:t> </w:t>
      </w:r>
      <w:r>
        <w:rPr>
          <w:spacing w:val="-2"/>
        </w:rPr>
        <w:t>биологического</w:t>
      </w:r>
      <w:r>
        <w:rPr>
          <w:spacing w:val="1"/>
        </w:rPr>
        <w:t> </w:t>
      </w:r>
      <w:r>
        <w:rPr>
          <w:spacing w:val="-2"/>
        </w:rPr>
        <w:t>материала</w:t>
      </w:r>
    </w:p>
    <w:p>
      <w:pPr>
        <w:pStyle w:val="BodyText"/>
        <w:spacing w:before="81"/>
        <w:ind w:left="0"/>
        <w:jc w:val="left"/>
        <w:rPr>
          <w:b/>
        </w:rPr>
      </w:pPr>
    </w:p>
    <w:p>
      <w:pPr>
        <w:pStyle w:val="BodyText"/>
        <w:spacing w:line="276" w:lineRule="auto"/>
        <w:ind w:left="141" w:right="707" w:firstLine="565"/>
      </w:pPr>
      <w:r>
        <w:rPr>
          <w:b/>
        </w:rPr>
        <w:t>Преаналитический этап. </w:t>
      </w:r>
      <w:r>
        <w:rPr/>
        <w:t>Биоматериалом для проведения иммунохимических исследований может быть капиллярная кровь, сыворотка, плазма, цельная венозная кровь (в зависимости от типа тестирования и согласно инструкциям производителей).</w:t>
      </w:r>
    </w:p>
    <w:p>
      <w:pPr>
        <w:pStyle w:val="BodyText"/>
        <w:spacing w:line="276" w:lineRule="auto"/>
        <w:ind w:left="141" w:right="707" w:firstLine="565"/>
      </w:pPr>
      <w:r>
        <w:rPr/>
        <w:t>Взятие крови проводят в соответствии с ГОСТ Р 53079.4-2008 Технологии лабораторные клинические. Обеспечение качества клинических лабораторных исследований. Часть 4. Правила ведения преаналитического этапа.</w:t>
      </w:r>
    </w:p>
    <w:p>
      <w:pPr>
        <w:pStyle w:val="BodyText"/>
        <w:spacing w:line="276" w:lineRule="auto"/>
        <w:ind w:left="141" w:right="706" w:firstLine="565"/>
      </w:pPr>
      <w:r>
        <w:rPr/>
        <w:t>Пробирки с кровью транспортируют в термоконтейнерах с надписью: «пробы крови для лабораторных исследований». В термоконтейнере должна поддерживаться температура</w:t>
      </w:r>
      <w:r>
        <w:rPr>
          <w:spacing w:val="-15"/>
        </w:rPr>
        <w:t> </w:t>
      </w:r>
      <w:r>
        <w:rPr/>
        <w:t>от</w:t>
      </w:r>
      <w:r>
        <w:rPr>
          <w:spacing w:val="-15"/>
        </w:rPr>
        <w:t> </w:t>
      </w:r>
      <w:r>
        <w:rPr/>
        <w:t>+4</w:t>
      </w:r>
      <w:r>
        <w:rPr>
          <w:spacing w:val="-15"/>
        </w:rPr>
        <w:t> </w:t>
      </w:r>
      <w:r>
        <w:rPr/>
        <w:t>до</w:t>
      </w:r>
      <w:r>
        <w:rPr>
          <w:spacing w:val="-15"/>
        </w:rPr>
        <w:t> </w:t>
      </w:r>
      <w:r>
        <w:rPr/>
        <w:t>+8</w:t>
      </w:r>
      <w:r>
        <w:rPr>
          <w:spacing w:val="-15"/>
        </w:rPr>
        <w:t> </w:t>
      </w:r>
      <w:r>
        <w:rPr/>
        <w:t>°С.</w:t>
      </w:r>
      <w:r>
        <w:rPr>
          <w:spacing w:val="-15"/>
        </w:rPr>
        <w:t> </w:t>
      </w:r>
      <w:r>
        <w:rPr/>
        <w:t>Пробы</w:t>
      </w:r>
      <w:r>
        <w:rPr>
          <w:spacing w:val="-15"/>
        </w:rPr>
        <w:t> </w:t>
      </w:r>
      <w:r>
        <w:rPr/>
        <w:t>крови</w:t>
      </w:r>
      <w:r>
        <w:rPr>
          <w:spacing w:val="-15"/>
        </w:rPr>
        <w:t> </w:t>
      </w:r>
      <w:r>
        <w:rPr/>
        <w:t>от</w:t>
      </w:r>
      <w:r>
        <w:rPr>
          <w:spacing w:val="-15"/>
        </w:rPr>
        <w:t> </w:t>
      </w:r>
      <w:r>
        <w:rPr/>
        <w:t>лиц</w:t>
      </w:r>
      <w:r>
        <w:rPr>
          <w:spacing w:val="-15"/>
        </w:rPr>
        <w:t> </w:t>
      </w:r>
      <w:r>
        <w:rPr/>
        <w:t>с</w:t>
      </w:r>
      <w:r>
        <w:rPr>
          <w:spacing w:val="-15"/>
        </w:rPr>
        <w:t> </w:t>
      </w:r>
      <w:r>
        <w:rPr/>
        <w:t>установленным</w:t>
      </w:r>
      <w:r>
        <w:rPr>
          <w:spacing w:val="-15"/>
        </w:rPr>
        <w:t> </w:t>
      </w:r>
      <w:r>
        <w:rPr/>
        <w:t>диагнозом</w:t>
      </w:r>
      <w:r>
        <w:rPr>
          <w:spacing w:val="-15"/>
        </w:rPr>
        <w:t> </w:t>
      </w:r>
      <w:r>
        <w:rPr/>
        <w:t>COVID-19 помещают</w:t>
      </w:r>
      <w:r>
        <w:rPr>
          <w:spacing w:val="80"/>
          <w:w w:val="150"/>
        </w:rPr>
        <w:t> </w:t>
      </w:r>
      <w:r>
        <w:rPr/>
        <w:t>в</w:t>
      </w:r>
      <w:r>
        <w:rPr>
          <w:spacing w:val="80"/>
          <w:w w:val="150"/>
        </w:rPr>
        <w:t> </w:t>
      </w:r>
      <w:r>
        <w:rPr/>
        <w:t>дополнительный</w:t>
      </w:r>
      <w:r>
        <w:rPr>
          <w:spacing w:val="80"/>
          <w:w w:val="150"/>
        </w:rPr>
        <w:t> </w:t>
      </w:r>
      <w:r>
        <w:rPr/>
        <w:t>вторичный</w:t>
      </w:r>
      <w:r>
        <w:rPr>
          <w:spacing w:val="79"/>
          <w:w w:val="150"/>
        </w:rPr>
        <w:t> </w:t>
      </w:r>
      <w:r>
        <w:rPr/>
        <w:t>контейнер,</w:t>
      </w:r>
      <w:r>
        <w:rPr>
          <w:spacing w:val="80"/>
          <w:w w:val="150"/>
        </w:rPr>
        <w:t> </w:t>
      </w:r>
      <w:r>
        <w:rPr/>
        <w:t>затем</w:t>
      </w:r>
      <w:r>
        <w:rPr>
          <w:spacing w:val="80"/>
          <w:w w:val="150"/>
        </w:rPr>
        <w:t> </w:t>
      </w:r>
      <w:r>
        <w:rPr/>
        <w:t>–</w:t>
      </w:r>
      <w:r>
        <w:rPr>
          <w:spacing w:val="80"/>
          <w:w w:val="150"/>
        </w:rPr>
        <w:t> </w:t>
      </w:r>
      <w:r>
        <w:rPr/>
        <w:t>в</w:t>
      </w:r>
      <w:r>
        <w:rPr>
          <w:spacing w:val="-3"/>
        </w:rPr>
        <w:t> </w:t>
      </w:r>
      <w:r>
        <w:rPr/>
        <w:t>термоконтейнер с надписью: «пробы с инфицированным материалом».</w:t>
      </w:r>
    </w:p>
    <w:p>
      <w:pPr>
        <w:pStyle w:val="BodyText"/>
        <w:spacing w:line="276" w:lineRule="auto"/>
        <w:ind w:left="141" w:right="708" w:firstLine="565"/>
      </w:pPr>
      <w:r>
        <w:rPr/>
        <w:t>Образцы</w:t>
      </w:r>
      <w:r>
        <w:rPr>
          <w:spacing w:val="36"/>
        </w:rPr>
        <w:t> </w:t>
      </w:r>
      <w:r>
        <w:rPr/>
        <w:t>крови</w:t>
      </w:r>
      <w:r>
        <w:rPr>
          <w:spacing w:val="36"/>
        </w:rPr>
        <w:t> </w:t>
      </w:r>
      <w:r>
        <w:rPr/>
        <w:t>должны</w:t>
      </w:r>
      <w:r>
        <w:rPr>
          <w:spacing w:val="36"/>
        </w:rPr>
        <w:t> </w:t>
      </w:r>
      <w:r>
        <w:rPr/>
        <w:t>быть</w:t>
      </w:r>
      <w:r>
        <w:rPr>
          <w:spacing w:val="37"/>
        </w:rPr>
        <w:t> </w:t>
      </w:r>
      <w:r>
        <w:rPr/>
        <w:t>доставлены</w:t>
      </w:r>
      <w:r>
        <w:rPr>
          <w:spacing w:val="36"/>
        </w:rPr>
        <w:t> </w:t>
      </w:r>
      <w:r>
        <w:rPr/>
        <w:t>в</w:t>
      </w:r>
      <w:r>
        <w:rPr>
          <w:spacing w:val="35"/>
        </w:rPr>
        <w:t> </w:t>
      </w:r>
      <w:r>
        <w:rPr/>
        <w:t>лабораторию</w:t>
      </w:r>
      <w:r>
        <w:rPr>
          <w:spacing w:val="36"/>
        </w:rPr>
        <w:t> </w:t>
      </w:r>
      <w:r>
        <w:rPr/>
        <w:t>в</w:t>
      </w:r>
      <w:r>
        <w:rPr>
          <w:spacing w:val="35"/>
        </w:rPr>
        <w:t> </w:t>
      </w:r>
      <w:r>
        <w:rPr/>
        <w:t>кратчайшие</w:t>
      </w:r>
      <w:r>
        <w:rPr>
          <w:spacing w:val="35"/>
        </w:rPr>
        <w:t> </w:t>
      </w:r>
      <w:r>
        <w:rPr/>
        <w:t>сроки. В</w:t>
      </w:r>
      <w:r>
        <w:rPr>
          <w:spacing w:val="-3"/>
        </w:rPr>
        <w:t> </w:t>
      </w:r>
      <w:r>
        <w:rPr/>
        <w:t>журнале</w:t>
      </w:r>
      <w:r>
        <w:rPr>
          <w:spacing w:val="71"/>
        </w:rPr>
        <w:t> </w:t>
      </w:r>
      <w:r>
        <w:rPr/>
        <w:t>учета</w:t>
      </w:r>
      <w:r>
        <w:rPr>
          <w:spacing w:val="71"/>
        </w:rPr>
        <w:t> </w:t>
      </w:r>
      <w:r>
        <w:rPr/>
        <w:t>лабораторных</w:t>
      </w:r>
      <w:r>
        <w:rPr>
          <w:spacing w:val="71"/>
        </w:rPr>
        <w:t> </w:t>
      </w:r>
      <w:r>
        <w:rPr/>
        <w:t>исследований</w:t>
      </w:r>
      <w:r>
        <w:rPr>
          <w:spacing w:val="76"/>
        </w:rPr>
        <w:t> </w:t>
      </w:r>
      <w:r>
        <w:rPr/>
        <w:t>регистрируют</w:t>
      </w:r>
      <w:r>
        <w:rPr>
          <w:spacing w:val="72"/>
        </w:rPr>
        <w:t> </w:t>
      </w:r>
      <w:r>
        <w:rPr/>
        <w:t>время</w:t>
      </w:r>
      <w:r>
        <w:rPr>
          <w:spacing w:val="71"/>
        </w:rPr>
        <w:t> </w:t>
      </w:r>
      <w:r>
        <w:rPr/>
        <w:t>доставки</w:t>
      </w:r>
      <w:r>
        <w:rPr>
          <w:spacing w:val="72"/>
        </w:rPr>
        <w:t> </w:t>
      </w:r>
      <w:r>
        <w:rPr/>
        <w:t>проб в лабораторию.</w:t>
      </w:r>
    </w:p>
    <w:p>
      <w:pPr>
        <w:pStyle w:val="BodyText"/>
        <w:spacing w:line="276" w:lineRule="auto"/>
        <w:ind w:left="141" w:right="704" w:firstLine="565"/>
      </w:pPr>
      <w:r>
        <w:rPr/>
        <w:t>Хранение образцов цельной крови допустимо при температуре 20-25°С не более 2 часов, при температуре 2-8°С — не более 6 ч с момента взятия биологического </w:t>
      </w:r>
      <w:r>
        <w:rPr>
          <w:spacing w:val="-2"/>
        </w:rPr>
        <w:t>материала.</w:t>
      </w:r>
    </w:p>
    <w:p>
      <w:pPr>
        <w:pStyle w:val="BodyText"/>
        <w:spacing w:line="276" w:lineRule="auto"/>
        <w:ind w:left="141" w:right="707" w:firstLine="565"/>
      </w:pPr>
      <w:r>
        <w:rPr/>
        <w:t>Сроки хранения проб сыворотки при температуре 2-8°С – не более 4 дней. Хранение</w:t>
      </w:r>
      <w:r>
        <w:rPr>
          <w:spacing w:val="-6"/>
        </w:rPr>
        <w:t> </w:t>
      </w:r>
      <w:r>
        <w:rPr/>
        <w:t>проб</w:t>
      </w:r>
      <w:r>
        <w:rPr>
          <w:spacing w:val="-5"/>
        </w:rPr>
        <w:t> </w:t>
      </w:r>
      <w:r>
        <w:rPr/>
        <w:t>сыворотки</w:t>
      </w:r>
      <w:r>
        <w:rPr>
          <w:spacing w:val="-4"/>
        </w:rPr>
        <w:t> </w:t>
      </w:r>
      <w:r>
        <w:rPr/>
        <w:t>от</w:t>
      </w:r>
      <w:r>
        <w:rPr>
          <w:spacing w:val="-4"/>
        </w:rPr>
        <w:t> </w:t>
      </w:r>
      <w:r>
        <w:rPr/>
        <w:t>5</w:t>
      </w:r>
      <w:r>
        <w:rPr>
          <w:spacing w:val="-5"/>
        </w:rPr>
        <w:t> </w:t>
      </w:r>
      <w:r>
        <w:rPr/>
        <w:t>дней</w:t>
      </w:r>
      <w:r>
        <w:rPr>
          <w:spacing w:val="-4"/>
        </w:rPr>
        <w:t> </w:t>
      </w:r>
      <w:r>
        <w:rPr/>
        <w:t>до</w:t>
      </w:r>
      <w:r>
        <w:rPr>
          <w:spacing w:val="-5"/>
        </w:rPr>
        <w:t> </w:t>
      </w:r>
      <w:r>
        <w:rPr/>
        <w:t>1</w:t>
      </w:r>
      <w:r>
        <w:rPr>
          <w:spacing w:val="-5"/>
        </w:rPr>
        <w:t> </w:t>
      </w:r>
      <w:r>
        <w:rPr/>
        <w:t>года</w:t>
      </w:r>
      <w:r>
        <w:rPr>
          <w:spacing w:val="-6"/>
        </w:rPr>
        <w:t> </w:t>
      </w:r>
      <w:r>
        <w:rPr/>
        <w:t>осуществляют</w:t>
      </w:r>
      <w:r>
        <w:rPr>
          <w:spacing w:val="-4"/>
        </w:rPr>
        <w:t> </w:t>
      </w:r>
      <w:r>
        <w:rPr/>
        <w:t>в</w:t>
      </w:r>
      <w:r>
        <w:rPr>
          <w:spacing w:val="-5"/>
        </w:rPr>
        <w:t> </w:t>
      </w:r>
      <w:r>
        <w:rPr/>
        <w:t>замороженном</w:t>
      </w:r>
      <w:r>
        <w:rPr>
          <w:spacing w:val="-6"/>
        </w:rPr>
        <w:t> </w:t>
      </w:r>
      <w:r>
        <w:rPr/>
        <w:t>виде</w:t>
      </w:r>
      <w:r>
        <w:rPr>
          <w:spacing w:val="-6"/>
        </w:rPr>
        <w:t> </w:t>
      </w:r>
      <w:r>
        <w:rPr/>
        <w:t>при температуре не выше минус 18 °С. Длительное хранение проб (более года) осуществляется при температуре не выше минус 40 °С.</w:t>
      </w:r>
    </w:p>
    <w:p>
      <w:pPr>
        <w:pStyle w:val="BodyText"/>
        <w:spacing w:before="52"/>
        <w:ind w:left="0"/>
        <w:jc w:val="left"/>
      </w:pPr>
    </w:p>
    <w:p>
      <w:pPr>
        <w:pStyle w:val="BodyText"/>
        <w:spacing w:line="276" w:lineRule="auto"/>
        <w:ind w:left="141" w:right="713" w:firstLine="707"/>
      </w:pPr>
      <w:r>
        <w:rPr>
          <w:b/>
        </w:rPr>
        <w:t>Аналитический этап </w:t>
      </w:r>
      <w:r>
        <w:rPr/>
        <w:t>проводится в соответствии с инструкцией к набору реагентов, который применяется для исследования.</w:t>
      </w:r>
    </w:p>
    <w:p>
      <w:pPr>
        <w:pStyle w:val="BodyText"/>
        <w:spacing w:before="67"/>
        <w:ind w:left="0"/>
        <w:jc w:val="left"/>
      </w:pPr>
    </w:p>
    <w:p>
      <w:pPr>
        <w:pStyle w:val="BodyText"/>
        <w:spacing w:line="276" w:lineRule="auto" w:before="1"/>
        <w:ind w:left="141" w:right="822" w:firstLine="707"/>
      </w:pPr>
      <w:r>
        <w:rPr>
          <w:b/>
        </w:rPr>
        <w:t>Постаналитический этап. </w:t>
      </w:r>
      <w:r>
        <w:rPr/>
        <w:t>Оценка результатов иммунохимических исследований</w:t>
      </w:r>
      <w:r>
        <w:rPr>
          <w:spacing w:val="-9"/>
        </w:rPr>
        <w:t> </w:t>
      </w:r>
      <w:r>
        <w:rPr/>
        <w:t>проводится</w:t>
      </w:r>
      <w:r>
        <w:rPr>
          <w:spacing w:val="-10"/>
        </w:rPr>
        <w:t> </w:t>
      </w:r>
      <w:r>
        <w:rPr/>
        <w:t>в</w:t>
      </w:r>
      <w:r>
        <w:rPr>
          <w:spacing w:val="-10"/>
        </w:rPr>
        <w:t> </w:t>
      </w:r>
      <w:r>
        <w:rPr/>
        <w:t>соответствии</w:t>
      </w:r>
      <w:r>
        <w:rPr>
          <w:spacing w:val="-9"/>
        </w:rPr>
        <w:t> </w:t>
      </w:r>
      <w:r>
        <w:rPr/>
        <w:t>с</w:t>
      </w:r>
      <w:r>
        <w:rPr>
          <w:spacing w:val="-11"/>
        </w:rPr>
        <w:t> </w:t>
      </w:r>
      <w:r>
        <w:rPr/>
        <w:t>инструкцией</w:t>
      </w:r>
      <w:r>
        <w:rPr>
          <w:spacing w:val="-9"/>
        </w:rPr>
        <w:t> </w:t>
      </w:r>
      <w:r>
        <w:rPr/>
        <w:t>производителя</w:t>
      </w:r>
      <w:r>
        <w:rPr>
          <w:spacing w:val="-10"/>
        </w:rPr>
        <w:t> </w:t>
      </w:r>
      <w:r>
        <w:rPr/>
        <w:t>применяемых медицинских изделий (тест-системы/набора реагентов и оборудования). Рекомендации по интерпретации результатов исследований приведены в таблице.</w:t>
      </w:r>
    </w:p>
    <w:p>
      <w:pPr>
        <w:pStyle w:val="BodyText"/>
        <w:spacing w:after="0" w:line="276" w:lineRule="auto"/>
        <w:sectPr>
          <w:pgSz w:w="11900" w:h="16840"/>
          <w:pgMar w:header="0" w:footer="697" w:top="1080" w:bottom="880" w:left="1559" w:right="566"/>
        </w:sectPr>
      </w:pPr>
    </w:p>
    <w:p>
      <w:pPr>
        <w:pStyle w:val="Heading3"/>
        <w:spacing w:line="276" w:lineRule="auto" w:before="73"/>
        <w:ind w:left="1611" w:right="704" w:hanging="753"/>
        <w:jc w:val="left"/>
      </w:pPr>
      <w:bookmarkStart w:name="181" w:id="213"/>
      <w:bookmarkEnd w:id="213"/>
      <w:r>
        <w:rPr>
          <w:b w:val="0"/>
        </w:rPr>
      </w:r>
      <w:r>
        <w:rPr/>
        <w:t>Интерпретация</w:t>
      </w:r>
      <w:r>
        <w:rPr>
          <w:spacing w:val="-12"/>
        </w:rPr>
        <w:t> </w:t>
      </w:r>
      <w:r>
        <w:rPr/>
        <w:t>результатов</w:t>
      </w:r>
      <w:r>
        <w:rPr>
          <w:spacing w:val="-11"/>
        </w:rPr>
        <w:t> </w:t>
      </w:r>
      <w:r>
        <w:rPr/>
        <w:t>исследований</w:t>
      </w:r>
      <w:r>
        <w:rPr>
          <w:spacing w:val="-10"/>
        </w:rPr>
        <w:t> </w:t>
      </w:r>
      <w:r>
        <w:rPr/>
        <w:t>методами</w:t>
      </w:r>
      <w:r>
        <w:rPr>
          <w:spacing w:val="-10"/>
        </w:rPr>
        <w:t> </w:t>
      </w:r>
      <w:r>
        <w:rPr/>
        <w:t>амплификации нуклеиновых кислот и иммунохимическими методами</w:t>
      </w:r>
    </w:p>
    <w:p>
      <w:pPr>
        <w:pStyle w:val="BodyText"/>
        <w:spacing w:before="74"/>
        <w:ind w:left="0"/>
        <w:jc w:val="left"/>
        <w:rPr>
          <w:b/>
          <w:sz w:val="20"/>
        </w:rPr>
      </w:pPr>
    </w:p>
    <w:tbl>
      <w:tblPr>
        <w:tblW w:w="0" w:type="auto"/>
        <w:jc w:val="left"/>
        <w:tblInd w:w="1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4"/>
        <w:gridCol w:w="850"/>
        <w:gridCol w:w="852"/>
        <w:gridCol w:w="708"/>
        <w:gridCol w:w="5728"/>
      </w:tblGrid>
      <w:tr>
        <w:trPr>
          <w:trHeight w:val="657" w:hRule="atLeast"/>
        </w:trPr>
        <w:tc>
          <w:tcPr>
            <w:tcW w:w="3204" w:type="dxa"/>
            <w:gridSpan w:val="4"/>
            <w:shd w:val="clear" w:color="auto" w:fill="F1F1F1"/>
          </w:tcPr>
          <w:p>
            <w:pPr>
              <w:pStyle w:val="TableParagraph"/>
              <w:spacing w:before="12"/>
              <w:ind w:left="1" w:right="1"/>
              <w:jc w:val="center"/>
              <w:rPr>
                <w:b/>
                <w:sz w:val="24"/>
              </w:rPr>
            </w:pPr>
            <w:r>
              <w:rPr>
                <w:b/>
                <w:spacing w:val="-2"/>
                <w:sz w:val="24"/>
              </w:rPr>
              <w:t>Результаты</w:t>
            </w:r>
            <w:r>
              <w:rPr>
                <w:b/>
                <w:spacing w:val="4"/>
                <w:sz w:val="24"/>
              </w:rPr>
              <w:t> </w:t>
            </w:r>
            <w:r>
              <w:rPr>
                <w:b/>
                <w:spacing w:val="-2"/>
                <w:sz w:val="24"/>
              </w:rPr>
              <w:t>исследования</w:t>
            </w:r>
          </w:p>
          <w:p>
            <w:pPr>
              <w:pStyle w:val="TableParagraph"/>
              <w:spacing w:before="41"/>
              <w:ind w:left="1"/>
              <w:jc w:val="center"/>
              <w:rPr>
                <w:b/>
                <w:sz w:val="24"/>
              </w:rPr>
            </w:pPr>
            <w:r>
              <w:rPr>
                <w:b/>
                <w:spacing w:val="-2"/>
                <w:sz w:val="24"/>
              </w:rPr>
              <w:t>SARS-CoV-</w:t>
            </w:r>
            <w:r>
              <w:rPr>
                <w:b/>
                <w:spacing w:val="-10"/>
                <w:sz w:val="24"/>
              </w:rPr>
              <w:t>2</w:t>
            </w:r>
          </w:p>
        </w:tc>
        <w:tc>
          <w:tcPr>
            <w:tcW w:w="5728" w:type="dxa"/>
            <w:vMerge w:val="restart"/>
            <w:shd w:val="clear" w:color="auto" w:fill="F1F1F1"/>
          </w:tcPr>
          <w:p>
            <w:pPr>
              <w:pStyle w:val="TableParagraph"/>
              <w:spacing w:before="264"/>
              <w:rPr>
                <w:b/>
                <w:sz w:val="24"/>
              </w:rPr>
            </w:pPr>
          </w:p>
          <w:p>
            <w:pPr>
              <w:pStyle w:val="TableParagraph"/>
              <w:ind w:right="2"/>
              <w:jc w:val="center"/>
              <w:rPr>
                <w:b/>
                <w:sz w:val="24"/>
              </w:rPr>
            </w:pPr>
            <w:r>
              <w:rPr>
                <w:b/>
                <w:spacing w:val="-2"/>
                <w:sz w:val="24"/>
              </w:rPr>
              <w:t>Интерпретация*</w:t>
            </w:r>
          </w:p>
        </w:tc>
      </w:tr>
      <w:tr>
        <w:trPr>
          <w:trHeight w:val="707" w:hRule="atLeast"/>
        </w:trPr>
        <w:tc>
          <w:tcPr>
            <w:tcW w:w="794" w:type="dxa"/>
            <w:shd w:val="clear" w:color="auto" w:fill="F1F1F1"/>
          </w:tcPr>
          <w:p>
            <w:pPr>
              <w:pStyle w:val="TableParagraph"/>
              <w:spacing w:before="227"/>
              <w:ind w:left="6"/>
              <w:jc w:val="center"/>
              <w:rPr>
                <w:b/>
                <w:sz w:val="24"/>
              </w:rPr>
            </w:pPr>
            <w:r>
              <w:rPr>
                <w:b/>
                <w:spacing w:val="-5"/>
                <w:sz w:val="24"/>
              </w:rPr>
              <w:t>РНК</w:t>
            </w:r>
          </w:p>
        </w:tc>
        <w:tc>
          <w:tcPr>
            <w:tcW w:w="850" w:type="dxa"/>
            <w:shd w:val="clear" w:color="auto" w:fill="F1F1F1"/>
          </w:tcPr>
          <w:p>
            <w:pPr>
              <w:pStyle w:val="TableParagraph"/>
              <w:spacing w:line="237" w:lineRule="auto" w:before="93"/>
              <w:ind w:left="247" w:right="129" w:hanging="108"/>
              <w:rPr>
                <w:b/>
                <w:sz w:val="24"/>
              </w:rPr>
            </w:pPr>
            <w:r>
              <w:rPr>
                <w:b/>
                <w:spacing w:val="-4"/>
                <w:sz w:val="24"/>
              </w:rPr>
              <w:t>Анти ген</w:t>
            </w:r>
          </w:p>
        </w:tc>
        <w:tc>
          <w:tcPr>
            <w:tcW w:w="852" w:type="dxa"/>
            <w:shd w:val="clear" w:color="auto" w:fill="F1F1F1"/>
          </w:tcPr>
          <w:p>
            <w:pPr>
              <w:pStyle w:val="TableParagraph"/>
              <w:spacing w:line="237" w:lineRule="auto" w:before="93"/>
              <w:ind w:left="227" w:right="164" w:hanging="60"/>
              <w:rPr>
                <w:b/>
                <w:sz w:val="24"/>
              </w:rPr>
            </w:pPr>
            <w:r>
              <w:rPr>
                <w:b/>
                <w:spacing w:val="-4"/>
                <w:sz w:val="24"/>
              </w:rPr>
              <w:t>IgM/ IgA</w:t>
            </w:r>
          </w:p>
        </w:tc>
        <w:tc>
          <w:tcPr>
            <w:tcW w:w="708" w:type="dxa"/>
            <w:shd w:val="clear" w:color="auto" w:fill="F1F1F1"/>
          </w:tcPr>
          <w:p>
            <w:pPr>
              <w:pStyle w:val="TableParagraph"/>
              <w:spacing w:before="227"/>
              <w:ind w:left="5" w:right="97"/>
              <w:jc w:val="center"/>
              <w:rPr>
                <w:b/>
                <w:sz w:val="24"/>
              </w:rPr>
            </w:pPr>
            <w:r>
              <w:rPr>
                <w:b/>
                <w:spacing w:val="-5"/>
                <w:sz w:val="24"/>
              </w:rPr>
              <w:t>IgG</w:t>
            </w:r>
          </w:p>
        </w:tc>
        <w:tc>
          <w:tcPr>
            <w:tcW w:w="5728" w:type="dxa"/>
            <w:vMerge/>
            <w:tcBorders>
              <w:top w:val="nil"/>
            </w:tcBorders>
            <w:shd w:val="clear" w:color="auto" w:fill="F1F1F1"/>
          </w:tcPr>
          <w:p>
            <w:pPr>
              <w:rPr>
                <w:sz w:val="2"/>
                <w:szCs w:val="2"/>
              </w:rPr>
            </w:pPr>
          </w:p>
        </w:tc>
      </w:tr>
      <w:tr>
        <w:trPr>
          <w:trHeight w:val="551" w:hRule="atLeast"/>
        </w:trPr>
        <w:tc>
          <w:tcPr>
            <w:tcW w:w="794" w:type="dxa"/>
          </w:tcPr>
          <w:p>
            <w:pPr>
              <w:pStyle w:val="TableParagraph"/>
              <w:spacing w:before="150"/>
              <w:ind w:left="6"/>
              <w:jc w:val="center"/>
              <w:rPr>
                <w:b/>
                <w:sz w:val="24"/>
              </w:rPr>
            </w:pPr>
            <w:r>
              <w:rPr>
                <w:b/>
                <w:spacing w:val="-10"/>
                <w:sz w:val="24"/>
              </w:rPr>
              <w:t>-</w:t>
            </w:r>
          </w:p>
        </w:tc>
        <w:tc>
          <w:tcPr>
            <w:tcW w:w="850" w:type="dxa"/>
          </w:tcPr>
          <w:p>
            <w:pPr>
              <w:pStyle w:val="TableParagraph"/>
              <w:spacing w:before="150"/>
              <w:ind w:left="7"/>
              <w:jc w:val="center"/>
              <w:rPr>
                <w:b/>
                <w:sz w:val="24"/>
              </w:rPr>
            </w:pPr>
            <w:r>
              <w:rPr>
                <w:b/>
                <w:spacing w:val="-10"/>
                <w:sz w:val="24"/>
              </w:rPr>
              <w:t>-</w:t>
            </w:r>
          </w:p>
        </w:tc>
        <w:tc>
          <w:tcPr>
            <w:tcW w:w="852" w:type="dxa"/>
          </w:tcPr>
          <w:p>
            <w:pPr>
              <w:pStyle w:val="TableParagraph"/>
              <w:spacing w:before="150"/>
              <w:ind w:left="1" w:right="1"/>
              <w:jc w:val="center"/>
              <w:rPr>
                <w:b/>
                <w:sz w:val="24"/>
              </w:rPr>
            </w:pPr>
            <w:r>
              <w:rPr>
                <w:b/>
                <w:spacing w:val="-10"/>
                <w:sz w:val="24"/>
              </w:rPr>
              <w:t>-</w:t>
            </w:r>
          </w:p>
        </w:tc>
        <w:tc>
          <w:tcPr>
            <w:tcW w:w="708" w:type="dxa"/>
          </w:tcPr>
          <w:p>
            <w:pPr>
              <w:pStyle w:val="TableParagraph"/>
              <w:spacing w:before="150"/>
              <w:ind w:right="1"/>
              <w:jc w:val="center"/>
              <w:rPr>
                <w:b/>
                <w:sz w:val="24"/>
              </w:rPr>
            </w:pPr>
            <w:r>
              <w:rPr>
                <w:b/>
                <w:spacing w:val="-10"/>
                <w:sz w:val="24"/>
              </w:rPr>
              <w:t>-</w:t>
            </w:r>
          </w:p>
        </w:tc>
        <w:tc>
          <w:tcPr>
            <w:tcW w:w="5728" w:type="dxa"/>
          </w:tcPr>
          <w:p>
            <w:pPr>
              <w:pStyle w:val="TableParagraph"/>
              <w:spacing w:line="276" w:lineRule="exact"/>
              <w:ind w:left="103" w:right="105"/>
              <w:rPr>
                <w:sz w:val="24"/>
              </w:rPr>
            </w:pPr>
            <w:r>
              <w:rPr>
                <w:sz w:val="24"/>
              </w:rPr>
              <w:t>Отсутствие</w:t>
            </w:r>
            <w:r>
              <w:rPr>
                <w:spacing w:val="-2"/>
                <w:sz w:val="24"/>
              </w:rPr>
              <w:t> </w:t>
            </w:r>
            <w:r>
              <w:rPr>
                <w:sz w:val="24"/>
              </w:rPr>
              <w:t>текущей</w:t>
            </w:r>
            <w:r>
              <w:rPr>
                <w:spacing w:val="-1"/>
                <w:sz w:val="24"/>
              </w:rPr>
              <w:t> </w:t>
            </w:r>
            <w:r>
              <w:rPr>
                <w:sz w:val="24"/>
              </w:rPr>
              <w:t>и ранее</w:t>
            </w:r>
            <w:r>
              <w:rPr>
                <w:spacing w:val="-1"/>
                <w:sz w:val="24"/>
              </w:rPr>
              <w:t> </w:t>
            </w:r>
            <w:r>
              <w:rPr>
                <w:sz w:val="24"/>
              </w:rPr>
              <w:t>перенесенной инфекции </w:t>
            </w:r>
            <w:r>
              <w:rPr>
                <w:spacing w:val="-2"/>
                <w:sz w:val="24"/>
              </w:rPr>
              <w:t>COVID-19.</w:t>
            </w:r>
          </w:p>
        </w:tc>
      </w:tr>
      <w:tr>
        <w:trPr>
          <w:trHeight w:val="830" w:hRule="atLeast"/>
        </w:trPr>
        <w:tc>
          <w:tcPr>
            <w:tcW w:w="794" w:type="dxa"/>
            <w:shd w:val="clear" w:color="auto" w:fill="F1F1F1"/>
          </w:tcPr>
          <w:p>
            <w:pPr>
              <w:pStyle w:val="TableParagraph"/>
              <w:spacing w:before="12"/>
              <w:rPr>
                <w:b/>
                <w:sz w:val="24"/>
              </w:rPr>
            </w:pPr>
          </w:p>
          <w:p>
            <w:pPr>
              <w:pStyle w:val="TableParagraph"/>
              <w:ind w:left="6" w:right="1"/>
              <w:jc w:val="center"/>
              <w:rPr>
                <w:b/>
                <w:sz w:val="24"/>
              </w:rPr>
            </w:pPr>
            <w:r>
              <w:rPr>
                <w:b/>
                <w:spacing w:val="-10"/>
                <w:sz w:val="24"/>
              </w:rPr>
              <w:t>+</w:t>
            </w:r>
          </w:p>
        </w:tc>
        <w:tc>
          <w:tcPr>
            <w:tcW w:w="850" w:type="dxa"/>
            <w:shd w:val="clear" w:color="auto" w:fill="F1F1F1"/>
          </w:tcPr>
          <w:p>
            <w:pPr>
              <w:pStyle w:val="TableParagraph"/>
              <w:spacing w:before="12"/>
              <w:rPr>
                <w:b/>
                <w:sz w:val="24"/>
              </w:rPr>
            </w:pPr>
          </w:p>
          <w:p>
            <w:pPr>
              <w:pStyle w:val="TableParagraph"/>
              <w:ind w:left="7" w:right="1"/>
              <w:jc w:val="center"/>
              <w:rPr>
                <w:b/>
                <w:sz w:val="24"/>
              </w:rPr>
            </w:pPr>
            <w:r>
              <w:rPr>
                <w:b/>
                <w:spacing w:val="-10"/>
                <w:sz w:val="24"/>
              </w:rPr>
              <w:t>+</w:t>
            </w:r>
          </w:p>
        </w:tc>
        <w:tc>
          <w:tcPr>
            <w:tcW w:w="852" w:type="dxa"/>
            <w:shd w:val="clear" w:color="auto" w:fill="F1F1F1"/>
          </w:tcPr>
          <w:p>
            <w:pPr>
              <w:pStyle w:val="TableParagraph"/>
              <w:spacing w:before="12"/>
              <w:rPr>
                <w:b/>
                <w:sz w:val="24"/>
              </w:rPr>
            </w:pPr>
          </w:p>
          <w:p>
            <w:pPr>
              <w:pStyle w:val="TableParagraph"/>
              <w:ind w:left="1" w:right="1"/>
              <w:jc w:val="center"/>
              <w:rPr>
                <w:b/>
                <w:sz w:val="24"/>
              </w:rPr>
            </w:pPr>
            <w:r>
              <w:rPr>
                <w:b/>
                <w:spacing w:val="-10"/>
                <w:sz w:val="24"/>
              </w:rPr>
              <w:t>-</w:t>
            </w:r>
          </w:p>
        </w:tc>
        <w:tc>
          <w:tcPr>
            <w:tcW w:w="708" w:type="dxa"/>
            <w:shd w:val="clear" w:color="auto" w:fill="F1F1F1"/>
          </w:tcPr>
          <w:p>
            <w:pPr>
              <w:pStyle w:val="TableParagraph"/>
              <w:spacing w:before="12"/>
              <w:rPr>
                <w:b/>
                <w:sz w:val="24"/>
              </w:rPr>
            </w:pPr>
          </w:p>
          <w:p>
            <w:pPr>
              <w:pStyle w:val="TableParagraph"/>
              <w:ind w:right="1"/>
              <w:jc w:val="center"/>
              <w:rPr>
                <w:b/>
                <w:sz w:val="24"/>
              </w:rPr>
            </w:pPr>
            <w:r>
              <w:rPr>
                <w:b/>
                <w:spacing w:val="-10"/>
                <w:sz w:val="24"/>
              </w:rPr>
              <w:t>-</w:t>
            </w:r>
          </w:p>
        </w:tc>
        <w:tc>
          <w:tcPr>
            <w:tcW w:w="5728" w:type="dxa"/>
            <w:shd w:val="clear" w:color="auto" w:fill="F1F1F1"/>
          </w:tcPr>
          <w:p>
            <w:pPr>
              <w:pStyle w:val="TableParagraph"/>
              <w:tabs>
                <w:tab w:pos="1464" w:val="left" w:leader="none"/>
                <w:tab w:pos="2468" w:val="left" w:leader="none"/>
                <w:tab w:pos="4472" w:val="left" w:leader="none"/>
              </w:tabs>
              <w:spacing w:line="276" w:lineRule="exact"/>
              <w:ind w:left="103" w:right="107"/>
              <w:rPr>
                <w:sz w:val="24"/>
              </w:rPr>
            </w:pPr>
            <w:r>
              <w:rPr>
                <w:sz w:val="24"/>
              </w:rPr>
              <w:t>Острая фаза инфекции. Серонегативный период. </w:t>
            </w:r>
            <w:r>
              <w:rPr>
                <w:spacing w:val="-2"/>
                <w:sz w:val="24"/>
              </w:rPr>
              <w:t>Результат</w:t>
            </w:r>
            <w:r>
              <w:rPr>
                <w:sz w:val="24"/>
              </w:rPr>
              <w:tab/>
            </w:r>
            <w:r>
              <w:rPr>
                <w:spacing w:val="-4"/>
                <w:sz w:val="24"/>
              </w:rPr>
              <w:t>может</w:t>
            </w:r>
            <w:r>
              <w:rPr>
                <w:sz w:val="24"/>
              </w:rPr>
              <w:tab/>
            </w:r>
            <w:r>
              <w:rPr>
                <w:spacing w:val="-2"/>
                <w:sz w:val="24"/>
              </w:rPr>
              <w:t>предшествовать</w:t>
            </w:r>
            <w:r>
              <w:rPr>
                <w:sz w:val="24"/>
              </w:rPr>
              <w:tab/>
            </w:r>
            <w:r>
              <w:rPr>
                <w:spacing w:val="-2"/>
                <w:sz w:val="24"/>
              </w:rPr>
              <w:t>появлению </w:t>
            </w:r>
            <w:r>
              <w:rPr>
                <w:sz w:val="24"/>
              </w:rPr>
              <w:t>симптомов COVID-19.</w:t>
            </w:r>
          </w:p>
        </w:tc>
      </w:tr>
      <w:tr>
        <w:trPr>
          <w:trHeight w:val="552" w:hRule="atLeast"/>
        </w:trPr>
        <w:tc>
          <w:tcPr>
            <w:tcW w:w="794" w:type="dxa"/>
          </w:tcPr>
          <w:p>
            <w:pPr>
              <w:pStyle w:val="TableParagraph"/>
              <w:spacing w:before="147"/>
              <w:ind w:left="6" w:right="1"/>
              <w:jc w:val="center"/>
              <w:rPr>
                <w:b/>
                <w:sz w:val="24"/>
              </w:rPr>
            </w:pPr>
            <w:r>
              <w:rPr>
                <w:b/>
                <w:spacing w:val="-10"/>
                <w:sz w:val="24"/>
              </w:rPr>
              <w:t>+</w:t>
            </w:r>
          </w:p>
        </w:tc>
        <w:tc>
          <w:tcPr>
            <w:tcW w:w="850" w:type="dxa"/>
          </w:tcPr>
          <w:p>
            <w:pPr>
              <w:pStyle w:val="TableParagraph"/>
              <w:spacing w:before="147"/>
              <w:ind w:left="7" w:right="1"/>
              <w:jc w:val="center"/>
              <w:rPr>
                <w:b/>
                <w:sz w:val="24"/>
              </w:rPr>
            </w:pPr>
            <w:r>
              <w:rPr>
                <w:b/>
                <w:spacing w:val="-10"/>
                <w:sz w:val="24"/>
              </w:rPr>
              <w:t>+</w:t>
            </w:r>
          </w:p>
        </w:tc>
        <w:tc>
          <w:tcPr>
            <w:tcW w:w="852" w:type="dxa"/>
          </w:tcPr>
          <w:p>
            <w:pPr>
              <w:pStyle w:val="TableParagraph"/>
              <w:spacing w:before="147"/>
              <w:ind w:right="1"/>
              <w:jc w:val="center"/>
              <w:rPr>
                <w:b/>
                <w:sz w:val="24"/>
              </w:rPr>
            </w:pPr>
            <w:r>
              <w:rPr>
                <w:b/>
                <w:spacing w:val="-10"/>
                <w:sz w:val="24"/>
              </w:rPr>
              <w:t>+</w:t>
            </w:r>
          </w:p>
        </w:tc>
        <w:tc>
          <w:tcPr>
            <w:tcW w:w="708" w:type="dxa"/>
          </w:tcPr>
          <w:p>
            <w:pPr>
              <w:pStyle w:val="TableParagraph"/>
              <w:spacing w:before="147"/>
              <w:ind w:right="1"/>
              <w:jc w:val="center"/>
              <w:rPr>
                <w:b/>
                <w:sz w:val="24"/>
              </w:rPr>
            </w:pPr>
            <w:r>
              <w:rPr>
                <w:b/>
                <w:spacing w:val="-10"/>
                <w:sz w:val="24"/>
              </w:rPr>
              <w:t>-</w:t>
            </w:r>
          </w:p>
        </w:tc>
        <w:tc>
          <w:tcPr>
            <w:tcW w:w="5728" w:type="dxa"/>
          </w:tcPr>
          <w:p>
            <w:pPr>
              <w:pStyle w:val="TableParagraph"/>
              <w:spacing w:line="276" w:lineRule="exact"/>
              <w:ind w:left="103" w:right="105"/>
              <w:rPr>
                <w:sz w:val="24"/>
              </w:rPr>
            </w:pPr>
            <w:r>
              <w:rPr>
                <w:sz w:val="24"/>
              </w:rPr>
              <w:t>Острая фаза инфекции. Начало развития иммунного </w:t>
            </w:r>
            <w:r>
              <w:rPr>
                <w:spacing w:val="-2"/>
                <w:sz w:val="24"/>
              </w:rPr>
              <w:t>ответа.</w:t>
            </w:r>
          </w:p>
        </w:tc>
      </w:tr>
      <w:tr>
        <w:trPr>
          <w:trHeight w:val="551" w:hRule="atLeast"/>
        </w:trPr>
        <w:tc>
          <w:tcPr>
            <w:tcW w:w="794" w:type="dxa"/>
            <w:shd w:val="clear" w:color="auto" w:fill="F1F1F1"/>
          </w:tcPr>
          <w:p>
            <w:pPr>
              <w:pStyle w:val="TableParagraph"/>
              <w:spacing w:before="146"/>
              <w:ind w:left="6" w:right="1"/>
              <w:jc w:val="center"/>
              <w:rPr>
                <w:b/>
                <w:sz w:val="24"/>
              </w:rPr>
            </w:pPr>
            <w:r>
              <w:rPr>
                <w:b/>
                <w:spacing w:val="-10"/>
                <w:sz w:val="24"/>
              </w:rPr>
              <w:t>+</w:t>
            </w:r>
          </w:p>
        </w:tc>
        <w:tc>
          <w:tcPr>
            <w:tcW w:w="850" w:type="dxa"/>
            <w:shd w:val="clear" w:color="auto" w:fill="F1F1F1"/>
          </w:tcPr>
          <w:p>
            <w:pPr>
              <w:pStyle w:val="TableParagraph"/>
              <w:spacing w:before="146"/>
              <w:ind w:left="7" w:right="1"/>
              <w:jc w:val="center"/>
              <w:rPr>
                <w:b/>
                <w:sz w:val="24"/>
              </w:rPr>
            </w:pPr>
            <w:r>
              <w:rPr>
                <w:b/>
                <w:spacing w:val="-10"/>
                <w:sz w:val="24"/>
              </w:rPr>
              <w:t>+</w:t>
            </w:r>
          </w:p>
        </w:tc>
        <w:tc>
          <w:tcPr>
            <w:tcW w:w="852" w:type="dxa"/>
            <w:shd w:val="clear" w:color="auto" w:fill="F1F1F1"/>
          </w:tcPr>
          <w:p>
            <w:pPr>
              <w:pStyle w:val="TableParagraph"/>
              <w:spacing w:before="146"/>
              <w:ind w:right="1"/>
              <w:jc w:val="center"/>
              <w:rPr>
                <w:b/>
                <w:sz w:val="24"/>
              </w:rPr>
            </w:pPr>
            <w:r>
              <w:rPr>
                <w:b/>
                <w:spacing w:val="-10"/>
                <w:sz w:val="24"/>
              </w:rPr>
              <w:t>+</w:t>
            </w:r>
          </w:p>
        </w:tc>
        <w:tc>
          <w:tcPr>
            <w:tcW w:w="708" w:type="dxa"/>
            <w:shd w:val="clear" w:color="auto" w:fill="F1F1F1"/>
          </w:tcPr>
          <w:p>
            <w:pPr>
              <w:pStyle w:val="TableParagraph"/>
              <w:spacing w:before="146"/>
              <w:jc w:val="center"/>
              <w:rPr>
                <w:b/>
                <w:sz w:val="24"/>
              </w:rPr>
            </w:pPr>
            <w:r>
              <w:rPr>
                <w:b/>
                <w:spacing w:val="-10"/>
                <w:sz w:val="24"/>
              </w:rPr>
              <w:t>+</w:t>
            </w:r>
          </w:p>
        </w:tc>
        <w:tc>
          <w:tcPr>
            <w:tcW w:w="5728" w:type="dxa"/>
            <w:shd w:val="clear" w:color="auto" w:fill="F1F1F1"/>
          </w:tcPr>
          <w:p>
            <w:pPr>
              <w:pStyle w:val="TableParagraph"/>
              <w:spacing w:line="276" w:lineRule="exact"/>
              <w:ind w:left="103" w:right="105"/>
              <w:rPr>
                <w:sz w:val="24"/>
              </w:rPr>
            </w:pPr>
            <w:r>
              <w:rPr>
                <w:sz w:val="24"/>
              </w:rPr>
              <w:t>Острая</w:t>
            </w:r>
            <w:r>
              <w:rPr>
                <w:spacing w:val="-15"/>
                <w:sz w:val="24"/>
              </w:rPr>
              <w:t> </w:t>
            </w:r>
            <w:r>
              <w:rPr>
                <w:sz w:val="24"/>
              </w:rPr>
              <w:t>фаза</w:t>
            </w:r>
            <w:r>
              <w:rPr>
                <w:spacing w:val="-15"/>
                <w:sz w:val="24"/>
              </w:rPr>
              <w:t> </w:t>
            </w:r>
            <w:r>
              <w:rPr>
                <w:sz w:val="24"/>
              </w:rPr>
              <w:t>инфекции,</w:t>
            </w:r>
            <w:r>
              <w:rPr>
                <w:spacing w:val="-15"/>
                <w:sz w:val="24"/>
              </w:rPr>
              <w:t> </w:t>
            </w:r>
            <w:r>
              <w:rPr>
                <w:sz w:val="24"/>
              </w:rPr>
              <w:t>выраженный</w:t>
            </w:r>
            <w:r>
              <w:rPr>
                <w:spacing w:val="-14"/>
                <w:sz w:val="24"/>
              </w:rPr>
              <w:t> </w:t>
            </w:r>
            <w:r>
              <w:rPr>
                <w:sz w:val="24"/>
              </w:rPr>
              <w:t>иммунный</w:t>
            </w:r>
            <w:r>
              <w:rPr>
                <w:spacing w:val="-13"/>
                <w:sz w:val="24"/>
              </w:rPr>
              <w:t> </w:t>
            </w:r>
            <w:r>
              <w:rPr>
                <w:sz w:val="24"/>
              </w:rPr>
              <w:t>ответ на инфекцию COVID-19.</w:t>
            </w:r>
          </w:p>
        </w:tc>
      </w:tr>
      <w:tr>
        <w:trPr>
          <w:trHeight w:val="551" w:hRule="atLeast"/>
        </w:trPr>
        <w:tc>
          <w:tcPr>
            <w:tcW w:w="794" w:type="dxa"/>
          </w:tcPr>
          <w:p>
            <w:pPr>
              <w:pStyle w:val="TableParagraph"/>
              <w:spacing w:before="145"/>
              <w:ind w:left="6"/>
              <w:jc w:val="center"/>
              <w:rPr>
                <w:b/>
                <w:sz w:val="24"/>
              </w:rPr>
            </w:pPr>
            <w:r>
              <w:rPr>
                <w:b/>
                <w:spacing w:val="-10"/>
                <w:sz w:val="24"/>
              </w:rPr>
              <w:t>-</w:t>
            </w:r>
          </w:p>
        </w:tc>
        <w:tc>
          <w:tcPr>
            <w:tcW w:w="850" w:type="dxa"/>
          </w:tcPr>
          <w:p>
            <w:pPr>
              <w:pStyle w:val="TableParagraph"/>
              <w:spacing w:before="145"/>
              <w:ind w:left="7"/>
              <w:jc w:val="center"/>
              <w:rPr>
                <w:b/>
                <w:sz w:val="24"/>
              </w:rPr>
            </w:pPr>
            <w:r>
              <w:rPr>
                <w:b/>
                <w:spacing w:val="-10"/>
                <w:sz w:val="24"/>
              </w:rPr>
              <w:t>-</w:t>
            </w:r>
          </w:p>
        </w:tc>
        <w:tc>
          <w:tcPr>
            <w:tcW w:w="852" w:type="dxa"/>
          </w:tcPr>
          <w:p>
            <w:pPr>
              <w:pStyle w:val="TableParagraph"/>
              <w:spacing w:before="145"/>
              <w:ind w:right="1"/>
              <w:jc w:val="center"/>
              <w:rPr>
                <w:b/>
                <w:sz w:val="24"/>
              </w:rPr>
            </w:pPr>
            <w:r>
              <w:rPr>
                <w:b/>
                <w:spacing w:val="-10"/>
                <w:sz w:val="24"/>
              </w:rPr>
              <w:t>+</w:t>
            </w:r>
          </w:p>
        </w:tc>
        <w:tc>
          <w:tcPr>
            <w:tcW w:w="708" w:type="dxa"/>
          </w:tcPr>
          <w:p>
            <w:pPr>
              <w:pStyle w:val="TableParagraph"/>
              <w:spacing w:before="145"/>
              <w:jc w:val="center"/>
              <w:rPr>
                <w:b/>
                <w:sz w:val="24"/>
              </w:rPr>
            </w:pPr>
            <w:r>
              <w:rPr>
                <w:b/>
                <w:spacing w:val="-10"/>
                <w:sz w:val="24"/>
              </w:rPr>
              <w:t>+</w:t>
            </w:r>
          </w:p>
        </w:tc>
        <w:tc>
          <w:tcPr>
            <w:tcW w:w="5728" w:type="dxa"/>
          </w:tcPr>
          <w:p>
            <w:pPr>
              <w:pStyle w:val="TableParagraph"/>
              <w:tabs>
                <w:tab w:pos="1198" w:val="left" w:leader="none"/>
                <w:tab w:pos="1895" w:val="left" w:leader="none"/>
                <w:tab w:pos="3383" w:val="left" w:leader="none"/>
                <w:tab w:pos="3996" w:val="left" w:leader="none"/>
              </w:tabs>
              <w:spacing w:line="276" w:lineRule="exact"/>
              <w:ind w:left="103" w:right="108"/>
              <w:rPr>
                <w:sz w:val="24"/>
              </w:rPr>
            </w:pPr>
            <w:r>
              <w:rPr>
                <w:spacing w:val="-2"/>
                <w:sz w:val="24"/>
              </w:rPr>
              <w:t>Поздняя</w:t>
            </w:r>
            <w:r>
              <w:rPr>
                <w:sz w:val="24"/>
              </w:rPr>
              <w:tab/>
            </w:r>
            <w:r>
              <w:rPr>
                <w:spacing w:val="-4"/>
                <w:sz w:val="24"/>
              </w:rPr>
              <w:t>фаза</w:t>
            </w:r>
            <w:r>
              <w:rPr>
                <w:sz w:val="24"/>
              </w:rPr>
              <w:tab/>
            </w:r>
            <w:r>
              <w:rPr>
                <w:spacing w:val="-2"/>
                <w:sz w:val="24"/>
              </w:rPr>
              <w:t>заболевания</w:t>
            </w:r>
            <w:r>
              <w:rPr>
                <w:sz w:val="24"/>
              </w:rPr>
              <w:tab/>
            </w:r>
            <w:r>
              <w:rPr>
                <w:spacing w:val="-4"/>
                <w:sz w:val="24"/>
              </w:rPr>
              <w:t>или</w:t>
            </w:r>
            <w:r>
              <w:rPr>
                <w:sz w:val="24"/>
              </w:rPr>
              <w:tab/>
            </w:r>
            <w:r>
              <w:rPr>
                <w:spacing w:val="-2"/>
                <w:sz w:val="24"/>
              </w:rPr>
              <w:t>выздоровление, </w:t>
            </w:r>
            <w:r>
              <w:rPr>
                <w:sz w:val="24"/>
              </w:rPr>
              <w:t>выраженный иммунный ответ.</w:t>
            </w:r>
          </w:p>
        </w:tc>
      </w:tr>
      <w:tr>
        <w:trPr>
          <w:trHeight w:val="826" w:hRule="atLeast"/>
        </w:trPr>
        <w:tc>
          <w:tcPr>
            <w:tcW w:w="794" w:type="dxa"/>
            <w:shd w:val="clear" w:color="auto" w:fill="F1F1F1"/>
          </w:tcPr>
          <w:p>
            <w:pPr>
              <w:pStyle w:val="TableParagraph"/>
              <w:spacing w:before="7"/>
              <w:rPr>
                <w:b/>
                <w:sz w:val="24"/>
              </w:rPr>
            </w:pPr>
          </w:p>
          <w:p>
            <w:pPr>
              <w:pStyle w:val="TableParagraph"/>
              <w:ind w:left="6"/>
              <w:jc w:val="center"/>
              <w:rPr>
                <w:b/>
                <w:sz w:val="24"/>
              </w:rPr>
            </w:pPr>
            <w:r>
              <w:rPr>
                <w:b/>
                <w:spacing w:val="-10"/>
                <w:sz w:val="24"/>
              </w:rPr>
              <w:t>-</w:t>
            </w:r>
          </w:p>
        </w:tc>
        <w:tc>
          <w:tcPr>
            <w:tcW w:w="850" w:type="dxa"/>
            <w:shd w:val="clear" w:color="auto" w:fill="F1F1F1"/>
          </w:tcPr>
          <w:p>
            <w:pPr>
              <w:pStyle w:val="TableParagraph"/>
              <w:spacing w:before="7"/>
              <w:rPr>
                <w:b/>
                <w:sz w:val="24"/>
              </w:rPr>
            </w:pPr>
          </w:p>
          <w:p>
            <w:pPr>
              <w:pStyle w:val="TableParagraph"/>
              <w:ind w:left="7"/>
              <w:jc w:val="center"/>
              <w:rPr>
                <w:b/>
                <w:sz w:val="24"/>
              </w:rPr>
            </w:pPr>
            <w:r>
              <w:rPr>
                <w:b/>
                <w:spacing w:val="-10"/>
                <w:sz w:val="24"/>
              </w:rPr>
              <w:t>-</w:t>
            </w:r>
          </w:p>
        </w:tc>
        <w:tc>
          <w:tcPr>
            <w:tcW w:w="852" w:type="dxa"/>
            <w:shd w:val="clear" w:color="auto" w:fill="F1F1F1"/>
          </w:tcPr>
          <w:p>
            <w:pPr>
              <w:pStyle w:val="TableParagraph"/>
              <w:spacing w:before="7"/>
              <w:rPr>
                <w:b/>
                <w:sz w:val="24"/>
              </w:rPr>
            </w:pPr>
          </w:p>
          <w:p>
            <w:pPr>
              <w:pStyle w:val="TableParagraph"/>
              <w:ind w:left="1" w:right="1"/>
              <w:jc w:val="center"/>
              <w:rPr>
                <w:b/>
                <w:sz w:val="24"/>
              </w:rPr>
            </w:pPr>
            <w:r>
              <w:rPr>
                <w:b/>
                <w:spacing w:val="-10"/>
                <w:sz w:val="24"/>
              </w:rPr>
              <w:t>-</w:t>
            </w:r>
          </w:p>
        </w:tc>
        <w:tc>
          <w:tcPr>
            <w:tcW w:w="708" w:type="dxa"/>
            <w:shd w:val="clear" w:color="auto" w:fill="F1F1F1"/>
          </w:tcPr>
          <w:p>
            <w:pPr>
              <w:pStyle w:val="TableParagraph"/>
              <w:spacing w:before="7"/>
              <w:rPr>
                <w:b/>
                <w:sz w:val="24"/>
              </w:rPr>
            </w:pPr>
          </w:p>
          <w:p>
            <w:pPr>
              <w:pStyle w:val="TableParagraph"/>
              <w:jc w:val="center"/>
              <w:rPr>
                <w:b/>
                <w:sz w:val="24"/>
              </w:rPr>
            </w:pPr>
            <w:r>
              <w:rPr>
                <w:b/>
                <w:spacing w:val="-10"/>
                <w:sz w:val="24"/>
              </w:rPr>
              <w:t>+</w:t>
            </w:r>
          </w:p>
        </w:tc>
        <w:tc>
          <w:tcPr>
            <w:tcW w:w="5728" w:type="dxa"/>
            <w:shd w:val="clear" w:color="auto" w:fill="F1F1F1"/>
          </w:tcPr>
          <w:p>
            <w:pPr>
              <w:pStyle w:val="TableParagraph"/>
              <w:spacing w:before="7"/>
              <w:ind w:left="103" w:right="105"/>
              <w:rPr>
                <w:sz w:val="24"/>
              </w:rPr>
            </w:pPr>
            <w:r>
              <w:rPr>
                <w:sz w:val="24"/>
              </w:rPr>
              <w:t>Наличие</w:t>
            </w:r>
            <w:r>
              <w:rPr>
                <w:spacing w:val="-8"/>
                <w:sz w:val="24"/>
              </w:rPr>
              <w:t> </w:t>
            </w:r>
            <w:r>
              <w:rPr>
                <w:sz w:val="24"/>
              </w:rPr>
              <w:t>инфекции</w:t>
            </w:r>
            <w:r>
              <w:rPr>
                <w:spacing w:val="-5"/>
                <w:sz w:val="24"/>
              </w:rPr>
              <w:t> </w:t>
            </w:r>
            <w:r>
              <w:rPr>
                <w:sz w:val="24"/>
              </w:rPr>
              <w:t>COVID-19</w:t>
            </w:r>
            <w:r>
              <w:rPr>
                <w:spacing w:val="-5"/>
                <w:sz w:val="24"/>
              </w:rPr>
              <w:t> </w:t>
            </w:r>
            <w:r>
              <w:rPr>
                <w:sz w:val="24"/>
              </w:rPr>
              <w:t>в</w:t>
            </w:r>
            <w:r>
              <w:rPr>
                <w:spacing w:val="-8"/>
                <w:sz w:val="24"/>
              </w:rPr>
              <w:t> </w:t>
            </w:r>
            <w:r>
              <w:rPr>
                <w:sz w:val="24"/>
              </w:rPr>
              <w:t>прошлом</w:t>
            </w:r>
            <w:r>
              <w:rPr>
                <w:spacing w:val="-8"/>
                <w:sz w:val="24"/>
              </w:rPr>
              <w:t> </w:t>
            </w:r>
            <w:r>
              <w:rPr>
                <w:sz w:val="24"/>
              </w:rPr>
              <w:t>или</w:t>
            </w:r>
            <w:r>
              <w:rPr>
                <w:spacing w:val="-4"/>
                <w:sz w:val="24"/>
              </w:rPr>
              <w:t> </w:t>
            </w:r>
            <w:r>
              <w:rPr>
                <w:sz w:val="24"/>
              </w:rPr>
              <w:t>период выздоровления. Сформирован иммунитет</w:t>
            </w:r>
          </w:p>
          <w:p>
            <w:pPr>
              <w:pStyle w:val="TableParagraph"/>
              <w:spacing w:line="247" w:lineRule="exact"/>
              <w:ind w:left="103"/>
              <w:rPr>
                <w:sz w:val="24"/>
              </w:rPr>
            </w:pPr>
            <w:r>
              <w:rPr>
                <w:spacing w:val="-2"/>
                <w:sz w:val="24"/>
              </w:rPr>
              <w:t>к</w:t>
            </w:r>
            <w:r>
              <w:rPr>
                <w:spacing w:val="4"/>
                <w:sz w:val="24"/>
              </w:rPr>
              <w:t> </w:t>
            </w:r>
            <w:r>
              <w:rPr>
                <w:spacing w:val="-2"/>
                <w:sz w:val="24"/>
              </w:rPr>
              <w:t>SARS-CoV-</w:t>
            </w:r>
            <w:r>
              <w:rPr>
                <w:spacing w:val="-5"/>
                <w:sz w:val="24"/>
              </w:rPr>
              <w:t>2.</w:t>
            </w:r>
          </w:p>
        </w:tc>
      </w:tr>
    </w:tbl>
    <w:p>
      <w:pPr>
        <w:pStyle w:val="BodyText"/>
        <w:spacing w:line="276" w:lineRule="auto" w:before="10"/>
        <w:ind w:left="141" w:right="704"/>
        <w:jc w:val="left"/>
      </w:pPr>
      <w:r>
        <w:rPr/>
        <w:t>*</w:t>
      </w:r>
      <w:r>
        <w:rPr>
          <w:spacing w:val="35"/>
        </w:rPr>
        <w:t> </w:t>
      </w:r>
      <w:r>
        <w:rPr/>
        <w:t>-</w:t>
      </w:r>
      <w:r>
        <w:rPr>
          <w:spacing w:val="34"/>
        </w:rPr>
        <w:t> </w:t>
      </w:r>
      <w:r>
        <w:rPr/>
        <w:t>результаты</w:t>
      </w:r>
      <w:r>
        <w:rPr>
          <w:spacing w:val="35"/>
        </w:rPr>
        <w:t> </w:t>
      </w:r>
      <w:r>
        <w:rPr/>
        <w:t>исследований</w:t>
      </w:r>
      <w:r>
        <w:rPr>
          <w:spacing w:val="36"/>
        </w:rPr>
        <w:t> </w:t>
      </w:r>
      <w:r>
        <w:rPr/>
        <w:t>суммарных</w:t>
      </w:r>
      <w:r>
        <w:rPr>
          <w:spacing w:val="34"/>
        </w:rPr>
        <w:t> </w:t>
      </w:r>
      <w:r>
        <w:rPr/>
        <w:t>антител</w:t>
      </w:r>
      <w:r>
        <w:rPr>
          <w:spacing w:val="35"/>
        </w:rPr>
        <w:t> </w:t>
      </w:r>
      <w:r>
        <w:rPr/>
        <w:t>интерпретируются</w:t>
      </w:r>
      <w:r>
        <w:rPr>
          <w:spacing w:val="35"/>
        </w:rPr>
        <w:t> </w:t>
      </w:r>
      <w:r>
        <w:rPr/>
        <w:t>в</w:t>
      </w:r>
      <w:r>
        <w:rPr>
          <w:spacing w:val="34"/>
        </w:rPr>
        <w:t> </w:t>
      </w:r>
      <w:r>
        <w:rPr/>
        <w:t>соответствии с включенным в определение видом антител</w:t>
      </w:r>
    </w:p>
    <w:p>
      <w:pPr>
        <w:pStyle w:val="BodyText"/>
        <w:spacing w:before="42"/>
        <w:ind w:left="0"/>
        <w:jc w:val="left"/>
      </w:pPr>
    </w:p>
    <w:p>
      <w:pPr>
        <w:pStyle w:val="BodyText"/>
        <w:spacing w:line="276" w:lineRule="auto"/>
        <w:ind w:left="141" w:right="709" w:firstLine="707"/>
      </w:pPr>
      <w:r>
        <w:rPr/>
        <w:t>Интерпретация результатов иммунохимических исследований должна проводиться с учетом анамнеза и клинических данных, а также результатов других лабораторных и инструментальных исследований. Необходимо также учитывать вероятность получения ложноположительных и ложноотрицательных результатов.</w:t>
      </w:r>
    </w:p>
    <w:p>
      <w:pPr>
        <w:pStyle w:val="BodyText"/>
        <w:spacing w:line="276" w:lineRule="auto"/>
        <w:ind w:left="141" w:right="705" w:firstLine="707"/>
      </w:pPr>
      <w:r>
        <w:rPr/>
        <w:t>Ложноположительные результаты могут появиться при наличии в крови пациента так называемых «перекрестно-реагирующих» антител, сходных по своим иммунохимическим</w:t>
      </w:r>
      <w:r>
        <w:rPr>
          <w:spacing w:val="-15"/>
        </w:rPr>
        <w:t> </w:t>
      </w:r>
      <w:r>
        <w:rPr/>
        <w:t>свойствам</w:t>
      </w:r>
      <w:r>
        <w:rPr>
          <w:spacing w:val="-15"/>
        </w:rPr>
        <w:t> </w:t>
      </w:r>
      <w:r>
        <w:rPr/>
        <w:t>со</w:t>
      </w:r>
      <w:r>
        <w:rPr>
          <w:spacing w:val="-15"/>
        </w:rPr>
        <w:t> </w:t>
      </w:r>
      <w:r>
        <w:rPr/>
        <w:t>специфическими</w:t>
      </w:r>
      <w:r>
        <w:rPr>
          <w:spacing w:val="-15"/>
        </w:rPr>
        <w:t> </w:t>
      </w:r>
      <w:r>
        <w:rPr/>
        <w:t>антителами</w:t>
      </w:r>
      <w:r>
        <w:rPr>
          <w:spacing w:val="-15"/>
        </w:rPr>
        <w:t> </w:t>
      </w:r>
      <w:r>
        <w:rPr/>
        <w:t>(других</w:t>
      </w:r>
      <w:r>
        <w:rPr>
          <w:spacing w:val="-15"/>
        </w:rPr>
        <w:t> </w:t>
      </w:r>
      <w:r>
        <w:rPr/>
        <w:t>коронавирусов, ревматоидным</w:t>
      </w:r>
      <w:r>
        <w:rPr>
          <w:spacing w:val="-13"/>
        </w:rPr>
        <w:t> </w:t>
      </w:r>
      <w:r>
        <w:rPr/>
        <w:t>фактором</w:t>
      </w:r>
      <w:r>
        <w:rPr>
          <w:spacing w:val="-13"/>
        </w:rPr>
        <w:t> </w:t>
      </w:r>
      <w:r>
        <w:rPr/>
        <w:t>IgM).</w:t>
      </w:r>
      <w:r>
        <w:rPr>
          <w:spacing w:val="-12"/>
        </w:rPr>
        <w:t> </w:t>
      </w:r>
      <w:r>
        <w:rPr/>
        <w:t>Ложноотрицательные</w:t>
      </w:r>
      <w:r>
        <w:rPr>
          <w:spacing w:val="-14"/>
        </w:rPr>
        <w:t> </w:t>
      </w:r>
      <w:r>
        <w:rPr/>
        <w:t>результаты</w:t>
      </w:r>
      <w:r>
        <w:rPr>
          <w:spacing w:val="-12"/>
        </w:rPr>
        <w:t> </w:t>
      </w:r>
      <w:r>
        <w:rPr/>
        <w:t>могут</w:t>
      </w:r>
      <w:r>
        <w:rPr>
          <w:spacing w:val="-12"/>
        </w:rPr>
        <w:t> </w:t>
      </w:r>
      <w:r>
        <w:rPr/>
        <w:t>быть</w:t>
      </w:r>
      <w:r>
        <w:rPr>
          <w:spacing w:val="-11"/>
        </w:rPr>
        <w:t> </w:t>
      </w:r>
      <w:r>
        <w:rPr/>
        <w:t>получены при исследовании биологических образцов, взятых на серонегативном этапе развития инфекции или при применении наборов реагентов (тест-систем) с низким уровнем чувствительности. Ложноотрицательные результаты могут быть получены при обследовании пациентов со сниженным иммунитетом.</w:t>
      </w:r>
    </w:p>
    <w:p>
      <w:pPr>
        <w:pStyle w:val="BodyText"/>
        <w:spacing w:line="276" w:lineRule="auto"/>
        <w:ind w:left="141" w:right="710" w:firstLine="707"/>
      </w:pPr>
      <w:r>
        <w:rPr/>
        <w:t>Ложноположительные и ложноотрицательные результаты могут также появляться при нарушении правил проведения лабораторных исследований на всех </w:t>
      </w:r>
      <w:r>
        <w:rPr>
          <w:spacing w:val="-2"/>
        </w:rPr>
        <w:t>этапах.</w:t>
      </w:r>
    </w:p>
    <w:p>
      <w:pPr>
        <w:pStyle w:val="BodyText"/>
        <w:spacing w:before="38"/>
        <w:ind w:left="0"/>
        <w:jc w:val="left"/>
      </w:pPr>
    </w:p>
    <w:p>
      <w:pPr>
        <w:pStyle w:val="BodyText"/>
        <w:spacing w:line="276" w:lineRule="auto"/>
        <w:ind w:left="254" w:right="889" w:firstLine="565"/>
      </w:pPr>
      <w:r>
        <w:rPr>
          <w:b/>
          <w:spacing w:val="-2"/>
        </w:rPr>
        <w:t>Дезинфекция,</w:t>
      </w:r>
      <w:r>
        <w:rPr>
          <w:b/>
          <w:spacing w:val="-8"/>
        </w:rPr>
        <w:t> </w:t>
      </w:r>
      <w:r>
        <w:rPr>
          <w:b/>
          <w:spacing w:val="-2"/>
        </w:rPr>
        <w:t>обращение</w:t>
      </w:r>
      <w:r>
        <w:rPr>
          <w:b/>
          <w:spacing w:val="-9"/>
        </w:rPr>
        <w:t> </w:t>
      </w:r>
      <w:r>
        <w:rPr>
          <w:b/>
          <w:spacing w:val="-2"/>
        </w:rPr>
        <w:t>с</w:t>
      </w:r>
      <w:r>
        <w:rPr>
          <w:b/>
          <w:spacing w:val="-10"/>
        </w:rPr>
        <w:t> </w:t>
      </w:r>
      <w:r>
        <w:rPr>
          <w:b/>
          <w:spacing w:val="-2"/>
        </w:rPr>
        <w:t>отходами</w:t>
      </w:r>
      <w:r>
        <w:rPr>
          <w:b/>
          <w:spacing w:val="-13"/>
        </w:rPr>
        <w:t> </w:t>
      </w:r>
      <w:r>
        <w:rPr>
          <w:spacing w:val="-2"/>
        </w:rPr>
        <w:t>при</w:t>
      </w:r>
      <w:r>
        <w:rPr>
          <w:spacing w:val="-8"/>
        </w:rPr>
        <w:t> </w:t>
      </w:r>
      <w:r>
        <w:rPr>
          <w:spacing w:val="-2"/>
        </w:rPr>
        <w:t>проведении</w:t>
      </w:r>
      <w:r>
        <w:rPr>
          <w:spacing w:val="-7"/>
        </w:rPr>
        <w:t> </w:t>
      </w:r>
      <w:r>
        <w:rPr>
          <w:spacing w:val="-2"/>
        </w:rPr>
        <w:t>диагностики COVID‑19 </w:t>
      </w:r>
      <w:r>
        <w:rPr/>
        <w:t>с</w:t>
      </w:r>
      <w:r>
        <w:rPr>
          <w:spacing w:val="75"/>
        </w:rPr>
        <w:t> </w:t>
      </w:r>
      <w:r>
        <w:rPr/>
        <w:t>примением</w:t>
      </w:r>
      <w:r>
        <w:rPr>
          <w:spacing w:val="75"/>
        </w:rPr>
        <w:t> </w:t>
      </w:r>
      <w:r>
        <w:rPr/>
        <w:t>иммунохимических</w:t>
      </w:r>
      <w:r>
        <w:rPr>
          <w:spacing w:val="76"/>
        </w:rPr>
        <w:t> </w:t>
      </w:r>
      <w:r>
        <w:rPr/>
        <w:t>методов</w:t>
      </w:r>
      <w:r>
        <w:rPr>
          <w:spacing w:val="80"/>
        </w:rPr>
        <w:t> </w:t>
      </w:r>
      <w:r>
        <w:rPr/>
        <w:t>проводятся</w:t>
      </w:r>
      <w:r>
        <w:rPr>
          <w:spacing w:val="76"/>
        </w:rPr>
        <w:t> </w:t>
      </w:r>
      <w:r>
        <w:rPr/>
        <w:t>аналогично</w:t>
      </w:r>
      <w:r>
        <w:rPr>
          <w:spacing w:val="78"/>
        </w:rPr>
        <w:t> </w:t>
      </w:r>
      <w:r>
        <w:rPr/>
        <w:t>требованиям к</w:t>
      </w:r>
      <w:r>
        <w:rPr>
          <w:spacing w:val="-3"/>
        </w:rPr>
        <w:t> </w:t>
      </w:r>
      <w:r>
        <w:rPr/>
        <w:t>дезинфекции и обращению с отходами с применением методов амплификации нуклеиновых кислот </w:t>
      </w:r>
      <w:r>
        <w:rPr>
          <w:sz w:val="28"/>
        </w:rPr>
        <w:t>(</w:t>
      </w:r>
      <w:r>
        <w:rPr/>
        <w:t>Приложение 3-1).</w:t>
      </w:r>
    </w:p>
    <w:p>
      <w:pPr>
        <w:pStyle w:val="BodyText"/>
        <w:spacing w:after="0" w:line="276" w:lineRule="auto"/>
        <w:sectPr>
          <w:pgSz w:w="11900" w:h="16840"/>
          <w:pgMar w:header="0" w:footer="697" w:top="1080" w:bottom="880" w:left="1559" w:right="566"/>
        </w:sectPr>
      </w:pPr>
    </w:p>
    <w:p>
      <w:pPr>
        <w:pStyle w:val="Heading3"/>
        <w:spacing w:line="698" w:lineRule="auto" w:before="73"/>
        <w:ind w:left="196" w:right="704" w:firstLine="7113"/>
        <w:jc w:val="left"/>
      </w:pPr>
      <w:r>
        <w:rPr/>
        <w:drawing>
          <wp:anchor distT="0" distB="0" distL="0" distR="0" allowOverlap="1" layoutInCell="1" locked="0" behindDoc="0" simplePos="0" relativeHeight="15746560">
            <wp:simplePos x="0" y="0"/>
            <wp:positionH relativeFrom="page">
              <wp:posOffset>1080135</wp:posOffset>
            </wp:positionH>
            <wp:positionV relativeFrom="paragraph">
              <wp:posOffset>1047798</wp:posOffset>
            </wp:positionV>
            <wp:extent cx="5688058" cy="3582631"/>
            <wp:effectExtent l="0" t="0" r="0" b="0"/>
            <wp:wrapNone/>
            <wp:docPr id="95" name="Image 95"/>
            <wp:cNvGraphicFramePr>
              <a:graphicFrameLocks/>
            </wp:cNvGraphicFramePr>
            <a:graphic>
              <a:graphicData uri="http://schemas.openxmlformats.org/drawingml/2006/picture">
                <pic:pic>
                  <pic:nvPicPr>
                    <pic:cNvPr id="95" name="Image 95"/>
                    <pic:cNvPicPr/>
                  </pic:nvPicPr>
                  <pic:blipFill>
                    <a:blip r:embed="rId61" cstate="print"/>
                    <a:stretch>
                      <a:fillRect/>
                    </a:stretch>
                  </pic:blipFill>
                  <pic:spPr>
                    <a:xfrm>
                      <a:off x="0" y="0"/>
                      <a:ext cx="5688058" cy="3582631"/>
                    </a:xfrm>
                    <a:prstGeom prst="rect">
                      <a:avLst/>
                    </a:prstGeom>
                  </pic:spPr>
                </pic:pic>
              </a:graphicData>
            </a:graphic>
          </wp:anchor>
        </w:drawing>
      </w:r>
      <w:bookmarkStart w:name="182" w:id="214"/>
      <w:bookmarkEnd w:id="214"/>
      <w:r>
        <w:rPr>
          <w:b w:val="0"/>
        </w:rPr>
      </w:r>
      <w:r>
        <w:rPr>
          <w:color w:val="1F487C"/>
        </w:rPr>
        <w:t>Приложение</w:t>
      </w:r>
      <w:r>
        <w:rPr>
          <w:color w:val="1F487C"/>
          <w:spacing w:val="-15"/>
        </w:rPr>
        <w:t> </w:t>
      </w:r>
      <w:r>
        <w:rPr>
          <w:color w:val="1F487C"/>
        </w:rPr>
        <w:t>3-</w:t>
      </w:r>
      <w:r>
        <w:rPr>
          <w:color w:val="1F487C"/>
        </w:rPr>
        <w:t>3 </w:t>
      </w:r>
      <w:r>
        <w:rPr/>
        <w:t>Алгоритм этиологической диагностики у пациентов с подозрением на COVID-19</w:t>
      </w: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spacing w:before="214"/>
        <w:ind w:left="0"/>
        <w:jc w:val="left"/>
        <w:rPr>
          <w:b/>
          <w:sz w:val="22"/>
        </w:rPr>
      </w:pPr>
    </w:p>
    <w:p>
      <w:pPr>
        <w:spacing w:before="0"/>
        <w:ind w:left="28" w:right="0" w:firstLine="0"/>
        <w:jc w:val="left"/>
        <w:rPr>
          <w:sz w:val="22"/>
        </w:rPr>
      </w:pPr>
      <w:r>
        <w:rPr>
          <w:sz w:val="22"/>
          <w:vertAlign w:val="superscript"/>
        </w:rPr>
        <w:t>1</w:t>
      </w:r>
      <w:r>
        <w:rPr>
          <w:spacing w:val="-5"/>
          <w:sz w:val="22"/>
          <w:vertAlign w:val="baseline"/>
        </w:rPr>
        <w:t> </w:t>
      </w:r>
      <w:r>
        <w:rPr>
          <w:sz w:val="22"/>
          <w:vertAlign w:val="baseline"/>
        </w:rPr>
        <w:t>МАНК</w:t>
      </w:r>
      <w:r>
        <w:rPr>
          <w:spacing w:val="-6"/>
          <w:sz w:val="22"/>
          <w:vertAlign w:val="baseline"/>
        </w:rPr>
        <w:t> </w:t>
      </w:r>
      <w:r>
        <w:rPr>
          <w:sz w:val="22"/>
          <w:vertAlign w:val="baseline"/>
        </w:rPr>
        <w:t>–</w:t>
      </w:r>
      <w:r>
        <w:rPr>
          <w:spacing w:val="-5"/>
          <w:sz w:val="22"/>
          <w:vertAlign w:val="baseline"/>
        </w:rPr>
        <w:t> </w:t>
      </w:r>
      <w:r>
        <w:rPr>
          <w:sz w:val="22"/>
          <w:vertAlign w:val="baseline"/>
        </w:rPr>
        <w:t>методы</w:t>
      </w:r>
      <w:r>
        <w:rPr>
          <w:spacing w:val="-6"/>
          <w:sz w:val="22"/>
          <w:vertAlign w:val="baseline"/>
        </w:rPr>
        <w:t> </w:t>
      </w:r>
      <w:r>
        <w:rPr>
          <w:sz w:val="22"/>
          <w:vertAlign w:val="baseline"/>
        </w:rPr>
        <w:t>амплификации</w:t>
      </w:r>
      <w:r>
        <w:rPr>
          <w:spacing w:val="-6"/>
          <w:sz w:val="22"/>
          <w:vertAlign w:val="baseline"/>
        </w:rPr>
        <w:t> </w:t>
      </w:r>
      <w:r>
        <w:rPr>
          <w:sz w:val="22"/>
          <w:vertAlign w:val="baseline"/>
        </w:rPr>
        <w:t>нуклеиновых</w:t>
      </w:r>
      <w:r>
        <w:rPr>
          <w:spacing w:val="-5"/>
          <w:sz w:val="22"/>
          <w:vertAlign w:val="baseline"/>
        </w:rPr>
        <w:t> </w:t>
      </w:r>
      <w:r>
        <w:rPr>
          <w:sz w:val="22"/>
          <w:vertAlign w:val="baseline"/>
        </w:rPr>
        <w:t>кислот</w:t>
      </w:r>
      <w:r>
        <w:rPr>
          <w:spacing w:val="-5"/>
          <w:sz w:val="22"/>
          <w:vertAlign w:val="baseline"/>
        </w:rPr>
        <w:t> </w:t>
      </w:r>
      <w:r>
        <w:rPr>
          <w:sz w:val="22"/>
          <w:vertAlign w:val="baseline"/>
        </w:rPr>
        <w:t>(раздел</w:t>
      </w:r>
      <w:r>
        <w:rPr>
          <w:spacing w:val="-7"/>
          <w:sz w:val="22"/>
          <w:vertAlign w:val="baseline"/>
        </w:rPr>
        <w:t> </w:t>
      </w:r>
      <w:r>
        <w:rPr>
          <w:sz w:val="22"/>
          <w:vertAlign w:val="baseline"/>
        </w:rPr>
        <w:t>4;</w:t>
      </w:r>
      <w:r>
        <w:rPr>
          <w:spacing w:val="-3"/>
          <w:sz w:val="22"/>
          <w:vertAlign w:val="baseline"/>
        </w:rPr>
        <w:t> </w:t>
      </w:r>
      <w:r>
        <w:rPr>
          <w:sz w:val="22"/>
          <w:vertAlign w:val="baseline"/>
        </w:rPr>
        <w:t>приложение</w:t>
      </w:r>
      <w:r>
        <w:rPr>
          <w:spacing w:val="-5"/>
          <w:sz w:val="22"/>
          <w:vertAlign w:val="baseline"/>
        </w:rPr>
        <w:t> </w:t>
      </w:r>
      <w:r>
        <w:rPr>
          <w:spacing w:val="-2"/>
          <w:sz w:val="22"/>
          <w:vertAlign w:val="baseline"/>
        </w:rPr>
        <w:t>3.1.)</w:t>
      </w:r>
    </w:p>
    <w:p>
      <w:pPr>
        <w:spacing w:line="324" w:lineRule="auto" w:before="102"/>
        <w:ind w:left="28" w:right="0" w:firstLine="0"/>
        <w:jc w:val="left"/>
        <w:rPr>
          <w:sz w:val="22"/>
        </w:rPr>
      </w:pPr>
      <w:r>
        <w:rPr>
          <w:sz w:val="22"/>
          <w:vertAlign w:val="superscript"/>
        </w:rPr>
        <w:t>2</w:t>
      </w:r>
      <w:r>
        <w:rPr>
          <w:spacing w:val="-6"/>
          <w:sz w:val="22"/>
          <w:vertAlign w:val="baseline"/>
        </w:rPr>
        <w:t> </w:t>
      </w:r>
      <w:r>
        <w:rPr>
          <w:sz w:val="22"/>
          <w:vertAlign w:val="baseline"/>
        </w:rPr>
        <w:t>Определение</w:t>
      </w:r>
      <w:r>
        <w:rPr>
          <w:spacing w:val="-6"/>
          <w:sz w:val="22"/>
          <w:vertAlign w:val="baseline"/>
        </w:rPr>
        <w:t> </w:t>
      </w:r>
      <w:r>
        <w:rPr>
          <w:sz w:val="22"/>
          <w:vertAlign w:val="baseline"/>
        </w:rPr>
        <w:t>антигена</w:t>
      </w:r>
      <w:r>
        <w:rPr>
          <w:spacing w:val="-5"/>
          <w:sz w:val="22"/>
          <w:vertAlign w:val="baseline"/>
        </w:rPr>
        <w:t> </w:t>
      </w:r>
      <w:r>
        <w:rPr>
          <w:sz w:val="22"/>
          <w:vertAlign w:val="baseline"/>
        </w:rPr>
        <w:t>SARS-CoV-2</w:t>
      </w:r>
      <w:r>
        <w:rPr>
          <w:spacing w:val="-6"/>
          <w:sz w:val="22"/>
          <w:vertAlign w:val="baseline"/>
        </w:rPr>
        <w:t> </w:t>
      </w:r>
      <w:r>
        <w:rPr>
          <w:sz w:val="22"/>
          <w:vertAlign w:val="baseline"/>
        </w:rPr>
        <w:t>методами</w:t>
      </w:r>
      <w:r>
        <w:rPr>
          <w:spacing w:val="-7"/>
          <w:sz w:val="22"/>
          <w:vertAlign w:val="baseline"/>
        </w:rPr>
        <w:t> </w:t>
      </w:r>
      <w:r>
        <w:rPr>
          <w:sz w:val="22"/>
          <w:vertAlign w:val="baseline"/>
        </w:rPr>
        <w:t>иммунохроматографии</w:t>
      </w:r>
      <w:r>
        <w:rPr>
          <w:spacing w:val="-6"/>
          <w:sz w:val="22"/>
          <w:vertAlign w:val="baseline"/>
        </w:rPr>
        <w:t> </w:t>
      </w:r>
      <w:r>
        <w:rPr>
          <w:sz w:val="22"/>
          <w:vertAlign w:val="baseline"/>
        </w:rPr>
        <w:t>или</w:t>
      </w:r>
      <w:r>
        <w:rPr>
          <w:spacing w:val="-10"/>
          <w:sz w:val="22"/>
          <w:vertAlign w:val="baseline"/>
        </w:rPr>
        <w:t> </w:t>
      </w:r>
      <w:r>
        <w:rPr>
          <w:sz w:val="22"/>
          <w:vertAlign w:val="baseline"/>
        </w:rPr>
        <w:t>другими иммунохимическими методами (раздел 4; приложение 3.2.)</w:t>
      </w:r>
    </w:p>
    <w:p>
      <w:pPr>
        <w:spacing w:after="0" w:line="324" w:lineRule="auto"/>
        <w:jc w:val="left"/>
        <w:rPr>
          <w:sz w:val="22"/>
        </w:rPr>
        <w:sectPr>
          <w:pgSz w:w="11900" w:h="16840"/>
          <w:pgMar w:header="0" w:footer="697" w:top="1080" w:bottom="880" w:left="1559" w:right="566"/>
        </w:sectPr>
      </w:pPr>
    </w:p>
    <w:p>
      <w:pPr>
        <w:pStyle w:val="Heading3"/>
        <w:spacing w:before="73"/>
        <w:ind w:left="7309"/>
        <w:jc w:val="left"/>
      </w:pPr>
      <w:bookmarkStart w:name="_TOC_250014" w:id="215"/>
      <w:bookmarkStart w:name="183" w:id="216"/>
      <w:r>
        <w:rPr>
          <w:b w:val="0"/>
        </w:rPr>
      </w:r>
      <w:r>
        <w:rPr>
          <w:color w:val="1F487C"/>
          <w:spacing w:val="-2"/>
        </w:rPr>
        <w:t>Приложение</w:t>
      </w:r>
      <w:r>
        <w:rPr>
          <w:color w:val="1F487C"/>
          <w:spacing w:val="2"/>
        </w:rPr>
        <w:t> </w:t>
      </w:r>
      <w:r>
        <w:rPr>
          <w:color w:val="1F487C"/>
          <w:spacing w:val="-2"/>
        </w:rPr>
        <w:t>3-</w:t>
      </w:r>
      <w:bookmarkEnd w:id="215"/>
      <w:r>
        <w:rPr>
          <w:color w:val="1F487C"/>
          <w:spacing w:val="-10"/>
        </w:rPr>
        <w:t>4</w:t>
      </w:r>
    </w:p>
    <w:p>
      <w:pPr>
        <w:spacing w:line="276" w:lineRule="auto" w:before="141"/>
        <w:ind w:left="314" w:right="879" w:hanging="6"/>
        <w:jc w:val="center"/>
        <w:rPr>
          <w:b/>
          <w:sz w:val="24"/>
        </w:rPr>
      </w:pPr>
      <w:r>
        <w:rPr>
          <w:b/>
          <w:sz w:val="24"/>
        </w:rPr>
        <w:t>Поиск зарегистрированных в Российской Федерации медицинских изделий (тест-систем/наборов</w:t>
      </w:r>
      <w:r>
        <w:rPr>
          <w:b/>
          <w:spacing w:val="-6"/>
          <w:sz w:val="24"/>
        </w:rPr>
        <w:t> </w:t>
      </w:r>
      <w:r>
        <w:rPr>
          <w:b/>
          <w:sz w:val="24"/>
        </w:rPr>
        <w:t>реагентов)</w:t>
      </w:r>
      <w:r>
        <w:rPr>
          <w:b/>
          <w:spacing w:val="-7"/>
          <w:sz w:val="24"/>
        </w:rPr>
        <w:t> </w:t>
      </w:r>
      <w:r>
        <w:rPr>
          <w:b/>
          <w:sz w:val="24"/>
        </w:rPr>
        <w:t>для</w:t>
      </w:r>
      <w:r>
        <w:rPr>
          <w:b/>
          <w:spacing w:val="-6"/>
          <w:sz w:val="24"/>
        </w:rPr>
        <w:t> </w:t>
      </w:r>
      <w:r>
        <w:rPr>
          <w:b/>
          <w:sz w:val="24"/>
        </w:rPr>
        <w:t>выявления</w:t>
      </w:r>
      <w:r>
        <w:rPr>
          <w:b/>
          <w:spacing w:val="-6"/>
          <w:sz w:val="24"/>
        </w:rPr>
        <w:t> </w:t>
      </w:r>
      <w:r>
        <w:rPr>
          <w:b/>
          <w:sz w:val="24"/>
        </w:rPr>
        <w:t>SARS-CoV-2</w:t>
      </w:r>
      <w:r>
        <w:rPr>
          <w:b/>
          <w:spacing w:val="-6"/>
          <w:sz w:val="24"/>
        </w:rPr>
        <w:t> </w:t>
      </w:r>
      <w:r>
        <w:rPr>
          <w:b/>
          <w:sz w:val="24"/>
        </w:rPr>
        <w:t>и</w:t>
      </w:r>
      <w:r>
        <w:rPr>
          <w:b/>
          <w:spacing w:val="-5"/>
          <w:sz w:val="24"/>
        </w:rPr>
        <w:t> </w:t>
      </w:r>
      <w:r>
        <w:rPr>
          <w:b/>
          <w:sz w:val="24"/>
        </w:rPr>
        <w:t>антител</w:t>
      </w:r>
      <w:r>
        <w:rPr>
          <w:b/>
          <w:spacing w:val="-6"/>
          <w:sz w:val="24"/>
        </w:rPr>
        <w:t> </w:t>
      </w:r>
      <w:r>
        <w:rPr>
          <w:b/>
          <w:sz w:val="24"/>
        </w:rPr>
        <w:t>к</w:t>
      </w:r>
      <w:r>
        <w:rPr>
          <w:b/>
          <w:spacing w:val="-5"/>
          <w:sz w:val="24"/>
        </w:rPr>
        <w:t> </w:t>
      </w:r>
      <w:r>
        <w:rPr>
          <w:b/>
          <w:sz w:val="24"/>
        </w:rPr>
        <w:t>нему</w:t>
      </w:r>
    </w:p>
    <w:p>
      <w:pPr>
        <w:pStyle w:val="BodyText"/>
        <w:spacing w:before="41"/>
        <w:ind w:left="0"/>
        <w:jc w:val="left"/>
        <w:rPr>
          <w:b/>
        </w:rPr>
      </w:pPr>
    </w:p>
    <w:p>
      <w:pPr>
        <w:pStyle w:val="BodyText"/>
        <w:spacing w:line="276" w:lineRule="auto"/>
        <w:ind w:left="141" w:right="705" w:firstLine="707"/>
      </w:pPr>
      <w:r>
        <w:rPr/>
        <w:t>Информация о зарегистрированных в Российской Федерации медицинских изделиях</w:t>
      </w:r>
      <w:r>
        <w:rPr>
          <w:spacing w:val="73"/>
          <w:w w:val="150"/>
        </w:rPr>
        <w:t>  </w:t>
      </w:r>
      <w:r>
        <w:rPr/>
        <w:t>для</w:t>
      </w:r>
      <w:r>
        <w:rPr>
          <w:spacing w:val="74"/>
          <w:w w:val="150"/>
        </w:rPr>
        <w:t>  </w:t>
      </w:r>
      <w:r>
        <w:rPr/>
        <w:t>выявления</w:t>
      </w:r>
      <w:r>
        <w:rPr>
          <w:spacing w:val="74"/>
          <w:w w:val="150"/>
        </w:rPr>
        <w:t>  </w:t>
      </w:r>
      <w:r>
        <w:rPr/>
        <w:t>иммуноглобулинов</w:t>
      </w:r>
      <w:r>
        <w:rPr>
          <w:spacing w:val="73"/>
          <w:w w:val="150"/>
        </w:rPr>
        <w:t>  </w:t>
      </w:r>
      <w:r>
        <w:rPr/>
        <w:t>к</w:t>
      </w:r>
      <w:r>
        <w:rPr>
          <w:spacing w:val="73"/>
          <w:w w:val="150"/>
        </w:rPr>
        <w:t>  </w:t>
      </w:r>
      <w:r>
        <w:rPr/>
        <w:t>SARS-CoV-2</w:t>
      </w:r>
      <w:r>
        <w:rPr>
          <w:spacing w:val="74"/>
          <w:w w:val="150"/>
        </w:rPr>
        <w:t>  </w:t>
      </w:r>
      <w:r>
        <w:rPr/>
        <w:t>размещена в</w:t>
      </w:r>
      <w:r>
        <w:rPr>
          <w:spacing w:val="-4"/>
        </w:rPr>
        <w:t> </w:t>
      </w:r>
      <w:r>
        <w:rPr/>
        <w:t>Государственном реестре медицинских изделий и организаций (индивидуальных предпринимателей), осуществляющих производство и изготовление медицинских изделий (далее – Государственный реестр), опубликованном на официальном сайте Росздравнадзора </w:t>
      </w:r>
      <w:hyperlink r:id="rId62">
        <w:r>
          <w:rPr/>
          <w:t>www.roszdravnadzor.ru</w:t>
        </w:r>
      </w:hyperlink>
      <w:r>
        <w:rPr/>
        <w:t> в разделе «Электронные сервисы» </w:t>
      </w:r>
      <w:r>
        <w:rPr>
          <w:color w:val="0462C1"/>
          <w:spacing w:val="-2"/>
          <w:u w:val="single" w:color="0462C1"/>
        </w:rPr>
        <w:t>https://roszdravnadzor.gov.ru/services/misearch/</w:t>
      </w:r>
    </w:p>
    <w:p>
      <w:pPr>
        <w:pStyle w:val="BodyText"/>
        <w:spacing w:line="278" w:lineRule="auto"/>
        <w:ind w:left="141" w:right="711" w:firstLine="707"/>
      </w:pPr>
      <w:r>
        <w:rPr/>
        <w:t>Для поиска медицинского изделия возможно воспользоваться поисковой строкой сервиса «Расширенный поиск».</w:t>
      </w:r>
    </w:p>
    <w:p>
      <w:pPr>
        <w:pStyle w:val="BodyText"/>
        <w:spacing w:line="271" w:lineRule="exact"/>
        <w:ind w:left="848"/>
      </w:pPr>
      <w:r>
        <w:rPr>
          <w:spacing w:val="-2"/>
        </w:rPr>
        <w:t>Строка</w:t>
      </w:r>
      <w:r>
        <w:rPr>
          <w:spacing w:val="2"/>
        </w:rPr>
        <w:t> </w:t>
      </w:r>
      <w:r>
        <w:rPr>
          <w:spacing w:val="-2"/>
        </w:rPr>
        <w:t>«Расширенный</w:t>
      </w:r>
      <w:r>
        <w:rPr>
          <w:spacing w:val="2"/>
        </w:rPr>
        <w:t> </w:t>
      </w:r>
      <w:r>
        <w:rPr>
          <w:spacing w:val="-2"/>
        </w:rPr>
        <w:t>поиск»</w:t>
      </w:r>
      <w:r>
        <w:rPr>
          <w:spacing w:val="3"/>
        </w:rPr>
        <w:t> </w:t>
      </w:r>
      <w:r>
        <w:rPr>
          <w:spacing w:val="-2"/>
        </w:rPr>
        <w:t>позволяет</w:t>
      </w:r>
      <w:r>
        <w:rPr>
          <w:spacing w:val="3"/>
        </w:rPr>
        <w:t> </w:t>
      </w:r>
      <w:r>
        <w:rPr>
          <w:spacing w:val="-2"/>
        </w:rPr>
        <w:t>осуществлять</w:t>
      </w:r>
      <w:r>
        <w:rPr>
          <w:spacing w:val="3"/>
        </w:rPr>
        <w:t> </w:t>
      </w:r>
      <w:r>
        <w:rPr>
          <w:spacing w:val="-2"/>
        </w:rPr>
        <w:t>навигацию</w:t>
      </w:r>
      <w:r>
        <w:rPr>
          <w:spacing w:val="2"/>
        </w:rPr>
        <w:t> </w:t>
      </w:r>
      <w:r>
        <w:rPr>
          <w:spacing w:val="-5"/>
        </w:rPr>
        <w:t>по:</w:t>
      </w:r>
    </w:p>
    <w:p>
      <w:pPr>
        <w:pStyle w:val="ListParagraph"/>
        <w:numPr>
          <w:ilvl w:val="0"/>
          <w:numId w:val="83"/>
        </w:numPr>
        <w:tabs>
          <w:tab w:pos="986" w:val="left" w:leader="none"/>
        </w:tabs>
        <w:spacing w:line="240" w:lineRule="auto" w:before="38" w:after="0"/>
        <w:ind w:left="986" w:right="0" w:hanging="138"/>
        <w:jc w:val="left"/>
        <w:rPr>
          <w:sz w:val="24"/>
        </w:rPr>
      </w:pPr>
      <w:r>
        <w:rPr>
          <w:spacing w:val="-2"/>
          <w:sz w:val="24"/>
        </w:rPr>
        <w:t>номеру</w:t>
      </w:r>
      <w:r>
        <w:rPr>
          <w:spacing w:val="2"/>
          <w:sz w:val="24"/>
        </w:rPr>
        <w:t> </w:t>
      </w:r>
      <w:r>
        <w:rPr>
          <w:spacing w:val="-2"/>
          <w:sz w:val="24"/>
        </w:rPr>
        <w:t>регистрационного</w:t>
      </w:r>
      <w:r>
        <w:rPr>
          <w:spacing w:val="2"/>
          <w:sz w:val="24"/>
        </w:rPr>
        <w:t> </w:t>
      </w:r>
      <w:r>
        <w:rPr>
          <w:spacing w:val="-2"/>
          <w:sz w:val="24"/>
        </w:rPr>
        <w:t>удостоверения;</w:t>
      </w:r>
    </w:p>
    <w:p>
      <w:pPr>
        <w:pStyle w:val="ListParagraph"/>
        <w:numPr>
          <w:ilvl w:val="0"/>
          <w:numId w:val="83"/>
        </w:numPr>
        <w:tabs>
          <w:tab w:pos="986" w:val="left" w:leader="none"/>
        </w:tabs>
        <w:spacing w:line="240" w:lineRule="auto" w:before="40" w:after="0"/>
        <w:ind w:left="986" w:right="0" w:hanging="138"/>
        <w:jc w:val="left"/>
        <w:rPr>
          <w:sz w:val="24"/>
        </w:rPr>
      </w:pPr>
      <w:r>
        <w:rPr>
          <w:spacing w:val="-2"/>
          <w:sz w:val="24"/>
        </w:rPr>
        <w:t>дате</w:t>
      </w:r>
      <w:r>
        <w:rPr>
          <w:sz w:val="24"/>
        </w:rPr>
        <w:t> </w:t>
      </w:r>
      <w:r>
        <w:rPr>
          <w:spacing w:val="-2"/>
          <w:sz w:val="24"/>
        </w:rPr>
        <w:t>регистрационного</w:t>
      </w:r>
      <w:r>
        <w:rPr>
          <w:spacing w:val="1"/>
          <w:sz w:val="24"/>
        </w:rPr>
        <w:t> </w:t>
      </w:r>
      <w:r>
        <w:rPr>
          <w:spacing w:val="-2"/>
          <w:sz w:val="24"/>
        </w:rPr>
        <w:t>удостоверения;</w:t>
      </w:r>
    </w:p>
    <w:p>
      <w:pPr>
        <w:pStyle w:val="ListParagraph"/>
        <w:numPr>
          <w:ilvl w:val="0"/>
          <w:numId w:val="83"/>
        </w:numPr>
        <w:tabs>
          <w:tab w:pos="986" w:val="left" w:leader="none"/>
        </w:tabs>
        <w:spacing w:line="240" w:lineRule="auto" w:before="43" w:after="0"/>
        <w:ind w:left="986" w:right="0" w:hanging="138"/>
        <w:jc w:val="left"/>
        <w:rPr>
          <w:sz w:val="24"/>
        </w:rPr>
      </w:pPr>
      <w:r>
        <w:rPr>
          <w:sz w:val="24"/>
        </w:rPr>
        <w:t>наименованию</w:t>
      </w:r>
      <w:r>
        <w:rPr>
          <w:spacing w:val="-11"/>
          <w:sz w:val="24"/>
        </w:rPr>
        <w:t> </w:t>
      </w:r>
      <w:r>
        <w:rPr>
          <w:sz w:val="24"/>
        </w:rPr>
        <w:t>и</w:t>
      </w:r>
      <w:r>
        <w:rPr>
          <w:spacing w:val="-11"/>
          <w:sz w:val="24"/>
        </w:rPr>
        <w:t> </w:t>
      </w:r>
      <w:r>
        <w:rPr>
          <w:sz w:val="24"/>
        </w:rPr>
        <w:t>стране</w:t>
      </w:r>
      <w:r>
        <w:rPr>
          <w:spacing w:val="-12"/>
          <w:sz w:val="24"/>
        </w:rPr>
        <w:t> </w:t>
      </w:r>
      <w:r>
        <w:rPr>
          <w:spacing w:val="-2"/>
          <w:sz w:val="24"/>
        </w:rPr>
        <w:t>производителя;</w:t>
      </w:r>
    </w:p>
    <w:p>
      <w:pPr>
        <w:pStyle w:val="ListParagraph"/>
        <w:numPr>
          <w:ilvl w:val="0"/>
          <w:numId w:val="83"/>
        </w:numPr>
        <w:tabs>
          <w:tab w:pos="986" w:val="left" w:leader="none"/>
        </w:tabs>
        <w:spacing w:line="240" w:lineRule="auto" w:before="41" w:after="0"/>
        <w:ind w:left="986" w:right="0" w:hanging="138"/>
        <w:jc w:val="left"/>
        <w:rPr>
          <w:sz w:val="24"/>
        </w:rPr>
      </w:pPr>
      <w:r>
        <w:rPr>
          <w:spacing w:val="-2"/>
          <w:sz w:val="24"/>
        </w:rPr>
        <w:t>виду</w:t>
      </w:r>
      <w:r>
        <w:rPr>
          <w:spacing w:val="1"/>
          <w:sz w:val="24"/>
        </w:rPr>
        <w:t> </w:t>
      </w:r>
      <w:r>
        <w:rPr>
          <w:spacing w:val="-2"/>
          <w:sz w:val="24"/>
        </w:rPr>
        <w:t>номенклатурной</w:t>
      </w:r>
      <w:r>
        <w:rPr>
          <w:spacing w:val="1"/>
          <w:sz w:val="24"/>
        </w:rPr>
        <w:t> </w:t>
      </w:r>
      <w:r>
        <w:rPr>
          <w:spacing w:val="-2"/>
          <w:sz w:val="24"/>
        </w:rPr>
        <w:t>классификации</w:t>
      </w:r>
      <w:r>
        <w:rPr>
          <w:spacing w:val="3"/>
          <w:sz w:val="24"/>
        </w:rPr>
        <w:t> </w:t>
      </w:r>
      <w:r>
        <w:rPr>
          <w:spacing w:val="-2"/>
          <w:sz w:val="24"/>
        </w:rPr>
        <w:t>медицинского</w:t>
      </w:r>
      <w:r>
        <w:rPr>
          <w:spacing w:val="1"/>
          <w:sz w:val="24"/>
        </w:rPr>
        <w:t> </w:t>
      </w:r>
      <w:r>
        <w:rPr>
          <w:spacing w:val="-2"/>
          <w:sz w:val="24"/>
        </w:rPr>
        <w:t>изделия</w:t>
      </w:r>
      <w:r>
        <w:rPr>
          <w:spacing w:val="2"/>
          <w:sz w:val="24"/>
        </w:rPr>
        <w:t> </w:t>
      </w:r>
      <w:r>
        <w:rPr>
          <w:spacing w:val="-2"/>
          <w:sz w:val="24"/>
        </w:rPr>
        <w:t>и</w:t>
      </w:r>
      <w:r>
        <w:rPr>
          <w:spacing w:val="3"/>
          <w:sz w:val="24"/>
        </w:rPr>
        <w:t> </w:t>
      </w:r>
      <w:r>
        <w:rPr>
          <w:spacing w:val="-5"/>
          <w:sz w:val="24"/>
        </w:rPr>
        <w:t>др.</w:t>
      </w:r>
    </w:p>
    <w:p>
      <w:pPr>
        <w:pStyle w:val="BodyText"/>
        <w:spacing w:line="276" w:lineRule="auto" w:before="40"/>
        <w:ind w:left="141" w:right="704" w:firstLine="707"/>
        <w:jc w:val="left"/>
      </w:pPr>
      <w:r>
        <w:rPr/>
        <w:t>При</w:t>
      </w:r>
      <w:r>
        <w:rPr>
          <w:spacing w:val="-5"/>
        </w:rPr>
        <w:t> </w:t>
      </w:r>
      <w:r>
        <w:rPr/>
        <w:t>использовании</w:t>
      </w:r>
      <w:r>
        <w:rPr>
          <w:spacing w:val="-7"/>
        </w:rPr>
        <w:t> </w:t>
      </w:r>
      <w:r>
        <w:rPr/>
        <w:t>поисковой</w:t>
      </w:r>
      <w:r>
        <w:rPr>
          <w:spacing w:val="-5"/>
        </w:rPr>
        <w:t> </w:t>
      </w:r>
      <w:r>
        <w:rPr/>
        <w:t>строки</w:t>
      </w:r>
      <w:r>
        <w:rPr>
          <w:spacing w:val="-7"/>
        </w:rPr>
        <w:t> </w:t>
      </w:r>
      <w:r>
        <w:rPr/>
        <w:t>сервиса</w:t>
      </w:r>
      <w:r>
        <w:rPr>
          <w:spacing w:val="-6"/>
        </w:rPr>
        <w:t> </w:t>
      </w:r>
      <w:r>
        <w:rPr/>
        <w:t>«Расширенный</w:t>
      </w:r>
      <w:r>
        <w:rPr>
          <w:spacing w:val="-7"/>
        </w:rPr>
        <w:t> </w:t>
      </w:r>
      <w:r>
        <w:rPr/>
        <w:t>поиск»</w:t>
      </w:r>
      <w:r>
        <w:rPr>
          <w:spacing w:val="-9"/>
        </w:rPr>
        <w:t> </w:t>
      </w:r>
      <w:r>
        <w:rPr/>
        <w:t>требуется задать необходимые критерии поиска и нажать на кнопку «Вывести результаты».</w:t>
      </w:r>
    </w:p>
    <w:p>
      <w:pPr>
        <w:pStyle w:val="BodyText"/>
        <w:spacing w:before="41"/>
        <w:ind w:left="0"/>
        <w:jc w:val="left"/>
      </w:pPr>
    </w:p>
    <w:p>
      <w:pPr>
        <w:spacing w:line="276" w:lineRule="auto" w:before="1"/>
        <w:ind w:left="0" w:right="576" w:firstLine="0"/>
        <w:jc w:val="center"/>
        <w:rPr>
          <w:b/>
          <w:sz w:val="24"/>
        </w:rPr>
      </w:pPr>
      <w:r>
        <w:rPr>
          <w:b/>
          <w:sz w:val="24"/>
        </w:rPr>
        <w:t>Виды</w:t>
      </w:r>
      <w:r>
        <w:rPr>
          <w:b/>
          <w:spacing w:val="-10"/>
          <w:sz w:val="24"/>
        </w:rPr>
        <w:t> </w:t>
      </w:r>
      <w:r>
        <w:rPr>
          <w:b/>
          <w:sz w:val="24"/>
        </w:rPr>
        <w:t>Номенклатурной</w:t>
      </w:r>
      <w:r>
        <w:rPr>
          <w:b/>
          <w:spacing w:val="-10"/>
          <w:sz w:val="24"/>
        </w:rPr>
        <w:t> </w:t>
      </w:r>
      <w:r>
        <w:rPr>
          <w:b/>
          <w:sz w:val="24"/>
        </w:rPr>
        <w:t>классификации</w:t>
      </w:r>
      <w:r>
        <w:rPr>
          <w:b/>
          <w:spacing w:val="-10"/>
          <w:sz w:val="24"/>
        </w:rPr>
        <w:t> </w:t>
      </w:r>
      <w:r>
        <w:rPr>
          <w:b/>
          <w:sz w:val="24"/>
        </w:rPr>
        <w:t>медицинских</w:t>
      </w:r>
      <w:r>
        <w:rPr>
          <w:b/>
          <w:spacing w:val="-11"/>
          <w:sz w:val="24"/>
        </w:rPr>
        <w:t> </w:t>
      </w:r>
      <w:r>
        <w:rPr>
          <w:b/>
          <w:sz w:val="24"/>
        </w:rPr>
        <w:t>изделий,</w:t>
      </w:r>
      <w:r>
        <w:rPr>
          <w:b/>
          <w:spacing w:val="-11"/>
          <w:sz w:val="24"/>
        </w:rPr>
        <w:t> </w:t>
      </w:r>
      <w:r>
        <w:rPr>
          <w:b/>
          <w:sz w:val="24"/>
        </w:rPr>
        <w:t>представляющих собой диагностические наборы реагентов для выявления РНК SARS-CoV-2</w:t>
      </w:r>
    </w:p>
    <w:p>
      <w:pPr>
        <w:pStyle w:val="BodyText"/>
        <w:spacing w:before="80" w:after="1"/>
        <w:ind w:left="0"/>
        <w:jc w:val="left"/>
        <w:rPr>
          <w:b/>
          <w:sz w:val="20"/>
        </w:rPr>
      </w:pPr>
    </w:p>
    <w:tbl>
      <w:tblPr>
        <w:tblW w:w="0" w:type="auto"/>
        <w:jc w:val="left"/>
        <w:tblInd w:w="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03"/>
        <w:gridCol w:w="2554"/>
        <w:gridCol w:w="6239"/>
      </w:tblGrid>
      <w:tr>
        <w:trPr>
          <w:trHeight w:val="755" w:hRule="atLeast"/>
        </w:trPr>
        <w:tc>
          <w:tcPr>
            <w:tcW w:w="703" w:type="dxa"/>
            <w:shd w:val="clear" w:color="auto" w:fill="F1F1F1"/>
          </w:tcPr>
          <w:p>
            <w:pPr>
              <w:pStyle w:val="TableParagraph"/>
              <w:spacing w:before="107"/>
              <w:ind w:left="187" w:right="174" w:firstLine="47"/>
              <w:rPr>
                <w:sz w:val="24"/>
              </w:rPr>
            </w:pPr>
            <w:r>
              <w:rPr>
                <w:spacing w:val="-10"/>
                <w:sz w:val="24"/>
              </w:rPr>
              <w:t>№ </w:t>
            </w:r>
            <w:r>
              <w:rPr>
                <w:spacing w:val="-4"/>
                <w:sz w:val="24"/>
              </w:rPr>
              <w:t>п/п</w:t>
            </w:r>
          </w:p>
        </w:tc>
        <w:tc>
          <w:tcPr>
            <w:tcW w:w="2554" w:type="dxa"/>
            <w:shd w:val="clear" w:color="auto" w:fill="F1F1F1"/>
          </w:tcPr>
          <w:p>
            <w:pPr>
              <w:pStyle w:val="TableParagraph"/>
              <w:spacing w:before="107"/>
              <w:ind w:left="484" w:right="158" w:hanging="319"/>
              <w:rPr>
                <w:sz w:val="24"/>
              </w:rPr>
            </w:pPr>
            <w:r>
              <w:rPr>
                <w:sz w:val="24"/>
              </w:rPr>
              <w:t>Вид</w:t>
            </w:r>
            <w:r>
              <w:rPr>
                <w:spacing w:val="-15"/>
                <w:sz w:val="24"/>
              </w:rPr>
              <w:t> </w:t>
            </w:r>
            <w:r>
              <w:rPr>
                <w:sz w:val="24"/>
              </w:rPr>
              <w:t>Номенклатурной </w:t>
            </w:r>
            <w:r>
              <w:rPr>
                <w:spacing w:val="-2"/>
                <w:sz w:val="24"/>
              </w:rPr>
              <w:t>классификации</w:t>
            </w:r>
          </w:p>
        </w:tc>
        <w:tc>
          <w:tcPr>
            <w:tcW w:w="6239" w:type="dxa"/>
            <w:shd w:val="clear" w:color="auto" w:fill="F1F1F1"/>
          </w:tcPr>
          <w:p>
            <w:pPr>
              <w:pStyle w:val="TableParagraph"/>
              <w:spacing w:before="107"/>
              <w:ind w:left="1983" w:hanging="1610"/>
              <w:rPr>
                <w:sz w:val="24"/>
              </w:rPr>
            </w:pPr>
            <w:r>
              <w:rPr>
                <w:sz w:val="24"/>
              </w:rPr>
              <w:t>Наименование</w:t>
            </w:r>
            <w:r>
              <w:rPr>
                <w:spacing w:val="-14"/>
                <w:sz w:val="24"/>
              </w:rPr>
              <w:t> </w:t>
            </w:r>
            <w:r>
              <w:rPr>
                <w:sz w:val="24"/>
              </w:rPr>
              <w:t>вида</w:t>
            </w:r>
            <w:r>
              <w:rPr>
                <w:spacing w:val="-14"/>
                <w:sz w:val="24"/>
              </w:rPr>
              <w:t> </w:t>
            </w:r>
            <w:r>
              <w:rPr>
                <w:sz w:val="24"/>
              </w:rPr>
              <w:t>Номенклатурной</w:t>
            </w:r>
            <w:r>
              <w:rPr>
                <w:spacing w:val="-12"/>
                <w:sz w:val="24"/>
              </w:rPr>
              <w:t> </w:t>
            </w:r>
            <w:r>
              <w:rPr>
                <w:sz w:val="24"/>
              </w:rPr>
              <w:t>классификации медицинских изделий</w:t>
            </w:r>
          </w:p>
        </w:tc>
      </w:tr>
      <w:tr>
        <w:trPr>
          <w:trHeight w:val="755" w:hRule="atLeast"/>
        </w:trPr>
        <w:tc>
          <w:tcPr>
            <w:tcW w:w="703" w:type="dxa"/>
          </w:tcPr>
          <w:p>
            <w:pPr>
              <w:pStyle w:val="TableParagraph"/>
              <w:spacing w:before="106"/>
              <w:ind w:left="8" w:right="3"/>
              <w:jc w:val="center"/>
              <w:rPr>
                <w:sz w:val="24"/>
              </w:rPr>
            </w:pPr>
            <w:r>
              <w:rPr>
                <w:spacing w:val="-5"/>
                <w:sz w:val="24"/>
              </w:rPr>
              <w:t>1.</w:t>
            </w:r>
          </w:p>
        </w:tc>
        <w:tc>
          <w:tcPr>
            <w:tcW w:w="2554" w:type="dxa"/>
          </w:tcPr>
          <w:p>
            <w:pPr>
              <w:pStyle w:val="TableParagraph"/>
              <w:spacing w:before="106"/>
              <w:ind w:left="3"/>
              <w:jc w:val="center"/>
              <w:rPr>
                <w:sz w:val="24"/>
              </w:rPr>
            </w:pPr>
            <w:r>
              <w:rPr>
                <w:spacing w:val="-2"/>
                <w:sz w:val="24"/>
              </w:rPr>
              <w:t>142160</w:t>
            </w:r>
          </w:p>
        </w:tc>
        <w:tc>
          <w:tcPr>
            <w:tcW w:w="6239" w:type="dxa"/>
          </w:tcPr>
          <w:p>
            <w:pPr>
              <w:pStyle w:val="TableParagraph"/>
              <w:spacing w:before="106"/>
              <w:ind w:left="55"/>
              <w:rPr>
                <w:sz w:val="24"/>
              </w:rPr>
            </w:pPr>
            <w:r>
              <w:rPr>
                <w:sz w:val="24"/>
              </w:rPr>
              <w:t>SARS</w:t>
            </w:r>
            <w:r>
              <w:rPr>
                <w:spacing w:val="-8"/>
                <w:sz w:val="24"/>
              </w:rPr>
              <w:t> </w:t>
            </w:r>
            <w:r>
              <w:rPr>
                <w:sz w:val="24"/>
              </w:rPr>
              <w:t>Коронавирус</w:t>
            </w:r>
            <w:r>
              <w:rPr>
                <w:spacing w:val="-9"/>
                <w:sz w:val="24"/>
              </w:rPr>
              <w:t> </w:t>
            </w:r>
            <w:r>
              <w:rPr>
                <w:sz w:val="24"/>
              </w:rPr>
              <w:t>нуклеиновая</w:t>
            </w:r>
            <w:r>
              <w:rPr>
                <w:spacing w:val="-9"/>
                <w:sz w:val="24"/>
              </w:rPr>
              <w:t> </w:t>
            </w:r>
            <w:r>
              <w:rPr>
                <w:sz w:val="24"/>
              </w:rPr>
              <w:t>кислота</w:t>
            </w:r>
            <w:r>
              <w:rPr>
                <w:spacing w:val="-9"/>
                <w:sz w:val="24"/>
              </w:rPr>
              <w:t> </w:t>
            </w:r>
            <w:r>
              <w:rPr>
                <w:sz w:val="24"/>
              </w:rPr>
              <w:t>ИВД,</w:t>
            </w:r>
            <w:r>
              <w:rPr>
                <w:spacing w:val="-9"/>
                <w:sz w:val="24"/>
              </w:rPr>
              <w:t> </w:t>
            </w:r>
            <w:r>
              <w:rPr>
                <w:sz w:val="24"/>
              </w:rPr>
              <w:t>набор, анализ нуклеиновых кислот</w:t>
            </w:r>
          </w:p>
        </w:tc>
      </w:tr>
      <w:tr>
        <w:trPr>
          <w:trHeight w:val="479" w:hRule="atLeast"/>
        </w:trPr>
        <w:tc>
          <w:tcPr>
            <w:tcW w:w="703" w:type="dxa"/>
          </w:tcPr>
          <w:p>
            <w:pPr>
              <w:pStyle w:val="TableParagraph"/>
              <w:spacing w:before="108"/>
              <w:ind w:left="8" w:right="3"/>
              <w:jc w:val="center"/>
              <w:rPr>
                <w:sz w:val="24"/>
              </w:rPr>
            </w:pPr>
            <w:r>
              <w:rPr>
                <w:spacing w:val="-5"/>
                <w:sz w:val="24"/>
              </w:rPr>
              <w:t>2.</w:t>
            </w:r>
          </w:p>
        </w:tc>
        <w:tc>
          <w:tcPr>
            <w:tcW w:w="2554" w:type="dxa"/>
          </w:tcPr>
          <w:p>
            <w:pPr>
              <w:pStyle w:val="TableParagraph"/>
              <w:spacing w:before="108"/>
              <w:ind w:left="3"/>
              <w:jc w:val="center"/>
              <w:rPr>
                <w:sz w:val="24"/>
              </w:rPr>
            </w:pPr>
            <w:r>
              <w:rPr>
                <w:spacing w:val="-2"/>
                <w:sz w:val="24"/>
              </w:rPr>
              <w:t>142190</w:t>
            </w:r>
          </w:p>
        </w:tc>
        <w:tc>
          <w:tcPr>
            <w:tcW w:w="6239" w:type="dxa"/>
          </w:tcPr>
          <w:p>
            <w:pPr>
              <w:pStyle w:val="TableParagraph"/>
              <w:spacing w:before="108"/>
              <w:ind w:left="55"/>
              <w:rPr>
                <w:sz w:val="24"/>
              </w:rPr>
            </w:pPr>
            <w:r>
              <w:rPr>
                <w:sz w:val="24"/>
              </w:rPr>
              <w:t>SARS</w:t>
            </w:r>
            <w:r>
              <w:rPr>
                <w:spacing w:val="-12"/>
                <w:sz w:val="24"/>
              </w:rPr>
              <w:t> </w:t>
            </w:r>
            <w:r>
              <w:rPr>
                <w:sz w:val="24"/>
              </w:rPr>
              <w:t>Коронавирус</w:t>
            </w:r>
            <w:r>
              <w:rPr>
                <w:spacing w:val="-13"/>
                <w:sz w:val="24"/>
              </w:rPr>
              <w:t> </w:t>
            </w:r>
            <w:r>
              <w:rPr>
                <w:sz w:val="24"/>
              </w:rPr>
              <w:t>нуклеиновая</w:t>
            </w:r>
            <w:r>
              <w:rPr>
                <w:spacing w:val="-13"/>
                <w:sz w:val="24"/>
              </w:rPr>
              <w:t> </w:t>
            </w:r>
            <w:r>
              <w:rPr>
                <w:sz w:val="24"/>
              </w:rPr>
              <w:t>кислота</w:t>
            </w:r>
            <w:r>
              <w:rPr>
                <w:spacing w:val="-13"/>
                <w:sz w:val="24"/>
              </w:rPr>
              <w:t> </w:t>
            </w:r>
            <w:r>
              <w:rPr>
                <w:sz w:val="24"/>
              </w:rPr>
              <w:t>ИВД,</w:t>
            </w:r>
            <w:r>
              <w:rPr>
                <w:spacing w:val="-13"/>
                <w:sz w:val="24"/>
              </w:rPr>
              <w:t> </w:t>
            </w:r>
            <w:r>
              <w:rPr>
                <w:spacing w:val="-2"/>
                <w:sz w:val="24"/>
              </w:rPr>
              <w:t>калибратор</w:t>
            </w:r>
          </w:p>
        </w:tc>
      </w:tr>
      <w:tr>
        <w:trPr>
          <w:trHeight w:val="755" w:hRule="atLeast"/>
        </w:trPr>
        <w:tc>
          <w:tcPr>
            <w:tcW w:w="703" w:type="dxa"/>
          </w:tcPr>
          <w:p>
            <w:pPr>
              <w:pStyle w:val="TableParagraph"/>
              <w:spacing w:before="107"/>
              <w:ind w:left="8" w:right="3"/>
              <w:jc w:val="center"/>
              <w:rPr>
                <w:sz w:val="24"/>
              </w:rPr>
            </w:pPr>
            <w:r>
              <w:rPr>
                <w:spacing w:val="-5"/>
                <w:sz w:val="24"/>
              </w:rPr>
              <w:t>3.</w:t>
            </w:r>
          </w:p>
        </w:tc>
        <w:tc>
          <w:tcPr>
            <w:tcW w:w="2554" w:type="dxa"/>
          </w:tcPr>
          <w:p>
            <w:pPr>
              <w:pStyle w:val="TableParagraph"/>
              <w:spacing w:before="244"/>
              <w:ind w:left="3"/>
              <w:jc w:val="center"/>
              <w:rPr>
                <w:sz w:val="24"/>
              </w:rPr>
            </w:pPr>
            <w:r>
              <w:rPr>
                <w:spacing w:val="-2"/>
                <w:sz w:val="24"/>
              </w:rPr>
              <w:t>142220</w:t>
            </w:r>
          </w:p>
        </w:tc>
        <w:tc>
          <w:tcPr>
            <w:tcW w:w="6239" w:type="dxa"/>
          </w:tcPr>
          <w:p>
            <w:pPr>
              <w:pStyle w:val="TableParagraph"/>
              <w:spacing w:before="107"/>
              <w:ind w:left="55" w:right="172"/>
              <w:rPr>
                <w:sz w:val="24"/>
              </w:rPr>
            </w:pPr>
            <w:r>
              <w:rPr>
                <w:sz w:val="24"/>
              </w:rPr>
              <w:t>SARS</w:t>
            </w:r>
            <w:r>
              <w:rPr>
                <w:spacing w:val="-11"/>
                <w:sz w:val="24"/>
              </w:rPr>
              <w:t> </w:t>
            </w:r>
            <w:r>
              <w:rPr>
                <w:sz w:val="24"/>
              </w:rPr>
              <w:t>Коронавирус</w:t>
            </w:r>
            <w:r>
              <w:rPr>
                <w:spacing w:val="-11"/>
                <w:sz w:val="24"/>
              </w:rPr>
              <w:t> </w:t>
            </w:r>
            <w:r>
              <w:rPr>
                <w:sz w:val="24"/>
              </w:rPr>
              <w:t>нуклеиновая</w:t>
            </w:r>
            <w:r>
              <w:rPr>
                <w:spacing w:val="-11"/>
                <w:sz w:val="24"/>
              </w:rPr>
              <w:t> </w:t>
            </w:r>
            <w:r>
              <w:rPr>
                <w:sz w:val="24"/>
              </w:rPr>
              <w:t>кислота</w:t>
            </w:r>
            <w:r>
              <w:rPr>
                <w:spacing w:val="-11"/>
                <w:sz w:val="24"/>
              </w:rPr>
              <w:t> </w:t>
            </w:r>
            <w:r>
              <w:rPr>
                <w:sz w:val="24"/>
              </w:rPr>
              <w:t>ИВД, контрольный материал</w:t>
            </w:r>
          </w:p>
        </w:tc>
      </w:tr>
      <w:tr>
        <w:trPr>
          <w:trHeight w:val="480" w:hRule="atLeast"/>
        </w:trPr>
        <w:tc>
          <w:tcPr>
            <w:tcW w:w="703" w:type="dxa"/>
          </w:tcPr>
          <w:p>
            <w:pPr>
              <w:pStyle w:val="TableParagraph"/>
              <w:spacing w:before="107"/>
              <w:ind w:left="8" w:right="3"/>
              <w:jc w:val="center"/>
              <w:rPr>
                <w:sz w:val="24"/>
              </w:rPr>
            </w:pPr>
            <w:r>
              <w:rPr>
                <w:spacing w:val="-5"/>
                <w:sz w:val="24"/>
              </w:rPr>
              <w:t>4.</w:t>
            </w:r>
          </w:p>
        </w:tc>
        <w:tc>
          <w:tcPr>
            <w:tcW w:w="2554" w:type="dxa"/>
          </w:tcPr>
          <w:p>
            <w:pPr>
              <w:pStyle w:val="TableParagraph"/>
              <w:spacing w:before="107"/>
              <w:ind w:left="3"/>
              <w:jc w:val="center"/>
              <w:rPr>
                <w:sz w:val="24"/>
              </w:rPr>
            </w:pPr>
            <w:r>
              <w:rPr>
                <w:spacing w:val="-2"/>
                <w:sz w:val="24"/>
              </w:rPr>
              <w:t>142240</w:t>
            </w:r>
          </w:p>
        </w:tc>
        <w:tc>
          <w:tcPr>
            <w:tcW w:w="6239" w:type="dxa"/>
          </w:tcPr>
          <w:p>
            <w:pPr>
              <w:pStyle w:val="TableParagraph"/>
              <w:spacing w:before="107"/>
              <w:ind w:left="55"/>
              <w:rPr>
                <w:sz w:val="24"/>
              </w:rPr>
            </w:pPr>
            <w:r>
              <w:rPr>
                <w:sz w:val="24"/>
              </w:rPr>
              <w:t>SARS</w:t>
            </w:r>
            <w:r>
              <w:rPr>
                <w:spacing w:val="-12"/>
                <w:sz w:val="24"/>
              </w:rPr>
              <w:t> </w:t>
            </w:r>
            <w:r>
              <w:rPr>
                <w:sz w:val="24"/>
              </w:rPr>
              <w:t>Коронавирус</w:t>
            </w:r>
            <w:r>
              <w:rPr>
                <w:spacing w:val="-13"/>
                <w:sz w:val="24"/>
              </w:rPr>
              <w:t> </w:t>
            </w:r>
            <w:r>
              <w:rPr>
                <w:sz w:val="24"/>
              </w:rPr>
              <w:t>нуклеиновая</w:t>
            </w:r>
            <w:r>
              <w:rPr>
                <w:spacing w:val="-13"/>
                <w:sz w:val="24"/>
              </w:rPr>
              <w:t> </w:t>
            </w:r>
            <w:r>
              <w:rPr>
                <w:sz w:val="24"/>
              </w:rPr>
              <w:t>кислота</w:t>
            </w:r>
            <w:r>
              <w:rPr>
                <w:spacing w:val="-13"/>
                <w:sz w:val="24"/>
              </w:rPr>
              <w:t> </w:t>
            </w:r>
            <w:r>
              <w:rPr>
                <w:sz w:val="24"/>
              </w:rPr>
              <w:t>ИВД,</w:t>
            </w:r>
            <w:r>
              <w:rPr>
                <w:spacing w:val="-13"/>
                <w:sz w:val="24"/>
              </w:rPr>
              <w:t> </w:t>
            </w:r>
            <w:r>
              <w:rPr>
                <w:spacing w:val="-2"/>
                <w:sz w:val="24"/>
              </w:rPr>
              <w:t>реагент</w:t>
            </w:r>
          </w:p>
        </w:tc>
      </w:tr>
      <w:tr>
        <w:trPr>
          <w:trHeight w:val="1310" w:hRule="atLeast"/>
        </w:trPr>
        <w:tc>
          <w:tcPr>
            <w:tcW w:w="703" w:type="dxa"/>
          </w:tcPr>
          <w:p>
            <w:pPr>
              <w:pStyle w:val="TableParagraph"/>
              <w:spacing w:before="106"/>
              <w:ind w:left="8" w:right="3"/>
              <w:jc w:val="center"/>
              <w:rPr>
                <w:sz w:val="24"/>
              </w:rPr>
            </w:pPr>
            <w:r>
              <w:rPr>
                <w:spacing w:val="-5"/>
                <w:sz w:val="24"/>
              </w:rPr>
              <w:t>5.</w:t>
            </w:r>
          </w:p>
        </w:tc>
        <w:tc>
          <w:tcPr>
            <w:tcW w:w="2554" w:type="dxa"/>
          </w:tcPr>
          <w:p>
            <w:pPr>
              <w:pStyle w:val="TableParagraph"/>
              <w:spacing w:before="242"/>
              <w:rPr>
                <w:b/>
                <w:sz w:val="24"/>
              </w:rPr>
            </w:pPr>
          </w:p>
          <w:p>
            <w:pPr>
              <w:pStyle w:val="TableParagraph"/>
              <w:ind w:left="3"/>
              <w:jc w:val="center"/>
              <w:rPr>
                <w:sz w:val="24"/>
              </w:rPr>
            </w:pPr>
            <w:r>
              <w:rPr>
                <w:spacing w:val="-2"/>
                <w:sz w:val="24"/>
              </w:rPr>
              <w:t>194570</w:t>
            </w:r>
          </w:p>
        </w:tc>
        <w:tc>
          <w:tcPr>
            <w:tcW w:w="6239" w:type="dxa"/>
          </w:tcPr>
          <w:p>
            <w:pPr>
              <w:pStyle w:val="TableParagraph"/>
              <w:spacing w:before="106"/>
              <w:ind w:left="55" w:right="172"/>
              <w:rPr>
                <w:sz w:val="24"/>
              </w:rPr>
            </w:pPr>
            <w:r>
              <w:rPr>
                <w:sz w:val="24"/>
              </w:rPr>
              <w:t>Набор</w:t>
            </w:r>
            <w:r>
              <w:rPr>
                <w:spacing w:val="-8"/>
                <w:sz w:val="24"/>
              </w:rPr>
              <w:t> </w:t>
            </w:r>
            <w:r>
              <w:rPr>
                <w:sz w:val="24"/>
              </w:rPr>
              <w:t>реагентов</w:t>
            </w:r>
            <w:r>
              <w:rPr>
                <w:spacing w:val="-8"/>
                <w:sz w:val="24"/>
              </w:rPr>
              <w:t> </w:t>
            </w:r>
            <w:r>
              <w:rPr>
                <w:sz w:val="24"/>
              </w:rPr>
              <w:t>для</w:t>
            </w:r>
            <w:r>
              <w:rPr>
                <w:spacing w:val="-8"/>
                <w:sz w:val="24"/>
              </w:rPr>
              <w:t> </w:t>
            </w:r>
            <w:r>
              <w:rPr>
                <w:sz w:val="24"/>
              </w:rPr>
              <w:t>выявления</w:t>
            </w:r>
            <w:r>
              <w:rPr>
                <w:spacing w:val="-8"/>
                <w:sz w:val="24"/>
              </w:rPr>
              <w:t> </w:t>
            </w:r>
            <w:r>
              <w:rPr>
                <w:sz w:val="24"/>
              </w:rPr>
              <w:t>РНК</w:t>
            </w:r>
            <w:r>
              <w:rPr>
                <w:spacing w:val="-8"/>
                <w:sz w:val="24"/>
              </w:rPr>
              <w:t> </w:t>
            </w:r>
            <w:r>
              <w:rPr>
                <w:sz w:val="24"/>
              </w:rPr>
              <w:t>коронавируса</w:t>
            </w:r>
            <w:r>
              <w:rPr>
                <w:spacing w:val="-8"/>
                <w:sz w:val="24"/>
              </w:rPr>
              <w:t> </w:t>
            </w:r>
            <w:r>
              <w:rPr>
                <w:sz w:val="24"/>
              </w:rPr>
              <w:t>SARS- CoV-2 тяжелого острого респираторного синдрома (COVID-19) и вирусов гриппа А, В, субтипа Н1рс1ш09 (пандемического) гриппа А</w:t>
            </w:r>
          </w:p>
        </w:tc>
      </w:tr>
    </w:tbl>
    <w:p>
      <w:pPr>
        <w:pStyle w:val="TableParagraph"/>
        <w:spacing w:after="0"/>
        <w:rPr>
          <w:sz w:val="24"/>
        </w:rPr>
        <w:sectPr>
          <w:pgSz w:w="11900" w:h="16840"/>
          <w:pgMar w:header="0" w:footer="697" w:top="1080" w:bottom="880" w:left="1559" w:right="566"/>
        </w:sectPr>
      </w:pPr>
    </w:p>
    <w:p>
      <w:pPr>
        <w:spacing w:line="259" w:lineRule="auto" w:before="73"/>
        <w:ind w:left="0" w:right="576" w:firstLine="0"/>
        <w:jc w:val="center"/>
        <w:rPr>
          <w:b/>
          <w:sz w:val="24"/>
        </w:rPr>
      </w:pPr>
      <w:bookmarkStart w:name="184" w:id="217"/>
      <w:bookmarkEnd w:id="217"/>
      <w:r>
        <w:rPr/>
      </w:r>
      <w:r>
        <w:rPr>
          <w:b/>
          <w:sz w:val="24"/>
        </w:rPr>
        <w:t>Виды</w:t>
      </w:r>
      <w:r>
        <w:rPr>
          <w:b/>
          <w:spacing w:val="-10"/>
          <w:sz w:val="24"/>
        </w:rPr>
        <w:t> </w:t>
      </w:r>
      <w:r>
        <w:rPr>
          <w:b/>
          <w:sz w:val="24"/>
        </w:rPr>
        <w:t>Номенклатурной</w:t>
      </w:r>
      <w:r>
        <w:rPr>
          <w:b/>
          <w:spacing w:val="-10"/>
          <w:sz w:val="24"/>
        </w:rPr>
        <w:t> </w:t>
      </w:r>
      <w:r>
        <w:rPr>
          <w:b/>
          <w:sz w:val="24"/>
        </w:rPr>
        <w:t>классификации</w:t>
      </w:r>
      <w:r>
        <w:rPr>
          <w:b/>
          <w:spacing w:val="-10"/>
          <w:sz w:val="24"/>
        </w:rPr>
        <w:t> </w:t>
      </w:r>
      <w:r>
        <w:rPr>
          <w:b/>
          <w:sz w:val="24"/>
        </w:rPr>
        <w:t>медицинских</w:t>
      </w:r>
      <w:r>
        <w:rPr>
          <w:b/>
          <w:spacing w:val="-11"/>
          <w:sz w:val="24"/>
        </w:rPr>
        <w:t> </w:t>
      </w:r>
      <w:r>
        <w:rPr>
          <w:b/>
          <w:sz w:val="24"/>
        </w:rPr>
        <w:t>изделий,</w:t>
      </w:r>
      <w:r>
        <w:rPr>
          <w:b/>
          <w:spacing w:val="-11"/>
          <w:sz w:val="24"/>
        </w:rPr>
        <w:t> </w:t>
      </w:r>
      <w:r>
        <w:rPr>
          <w:b/>
          <w:sz w:val="24"/>
        </w:rPr>
        <w:t>представляющих собой диагностические наборы реагентов для выявления иммуноглобулинов</w:t>
      </w:r>
    </w:p>
    <w:p>
      <w:pPr>
        <w:spacing w:line="275" w:lineRule="exact" w:before="0"/>
        <w:ind w:left="9" w:right="576" w:firstLine="0"/>
        <w:jc w:val="center"/>
        <w:rPr>
          <w:b/>
          <w:sz w:val="24"/>
        </w:rPr>
      </w:pPr>
      <w:r>
        <w:rPr>
          <w:b/>
          <w:spacing w:val="-2"/>
          <w:sz w:val="24"/>
        </w:rPr>
        <w:t>к</w:t>
      </w:r>
      <w:r>
        <w:rPr>
          <w:b/>
          <w:spacing w:val="3"/>
          <w:sz w:val="24"/>
        </w:rPr>
        <w:t> </w:t>
      </w:r>
      <w:r>
        <w:rPr>
          <w:b/>
          <w:spacing w:val="-2"/>
          <w:sz w:val="24"/>
        </w:rPr>
        <w:t>SARS-CoV-</w:t>
      </w:r>
      <w:r>
        <w:rPr>
          <w:b/>
          <w:spacing w:val="-10"/>
          <w:sz w:val="24"/>
        </w:rPr>
        <w:t>2</w:t>
      </w:r>
    </w:p>
    <w:p>
      <w:pPr>
        <w:pStyle w:val="BodyText"/>
        <w:spacing w:before="8"/>
        <w:ind w:left="0"/>
        <w:jc w:val="left"/>
        <w:rPr>
          <w:b/>
          <w:sz w:val="14"/>
        </w:rPr>
      </w:pPr>
    </w:p>
    <w:tbl>
      <w:tblPr>
        <w:tblW w:w="0" w:type="auto"/>
        <w:jc w:val="left"/>
        <w:tblInd w:w="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03"/>
        <w:gridCol w:w="2554"/>
        <w:gridCol w:w="6239"/>
      </w:tblGrid>
      <w:tr>
        <w:trPr>
          <w:trHeight w:val="755" w:hRule="atLeast"/>
        </w:trPr>
        <w:tc>
          <w:tcPr>
            <w:tcW w:w="703" w:type="dxa"/>
            <w:shd w:val="clear" w:color="auto" w:fill="F1F1F1"/>
          </w:tcPr>
          <w:p>
            <w:pPr>
              <w:pStyle w:val="TableParagraph"/>
              <w:spacing w:before="115"/>
              <w:ind w:left="187" w:right="174" w:firstLine="47"/>
              <w:rPr>
                <w:sz w:val="24"/>
              </w:rPr>
            </w:pPr>
            <w:r>
              <w:rPr>
                <w:spacing w:val="-10"/>
                <w:sz w:val="24"/>
              </w:rPr>
              <w:t>№ </w:t>
            </w:r>
            <w:r>
              <w:rPr>
                <w:spacing w:val="-4"/>
                <w:sz w:val="24"/>
              </w:rPr>
              <w:t>п/п</w:t>
            </w:r>
          </w:p>
        </w:tc>
        <w:tc>
          <w:tcPr>
            <w:tcW w:w="2554" w:type="dxa"/>
            <w:shd w:val="clear" w:color="auto" w:fill="F1F1F1"/>
          </w:tcPr>
          <w:p>
            <w:pPr>
              <w:pStyle w:val="TableParagraph"/>
              <w:spacing w:before="115"/>
              <w:ind w:left="484" w:right="158" w:hanging="319"/>
              <w:rPr>
                <w:sz w:val="24"/>
              </w:rPr>
            </w:pPr>
            <w:r>
              <w:rPr>
                <w:sz w:val="24"/>
              </w:rPr>
              <w:t>Вид</w:t>
            </w:r>
            <w:r>
              <w:rPr>
                <w:spacing w:val="-15"/>
                <w:sz w:val="24"/>
              </w:rPr>
              <w:t> </w:t>
            </w:r>
            <w:r>
              <w:rPr>
                <w:sz w:val="24"/>
              </w:rPr>
              <w:t>Номенклатурной </w:t>
            </w:r>
            <w:r>
              <w:rPr>
                <w:spacing w:val="-2"/>
                <w:sz w:val="24"/>
              </w:rPr>
              <w:t>классификации</w:t>
            </w:r>
          </w:p>
        </w:tc>
        <w:tc>
          <w:tcPr>
            <w:tcW w:w="6239" w:type="dxa"/>
            <w:shd w:val="clear" w:color="auto" w:fill="F1F1F1"/>
          </w:tcPr>
          <w:p>
            <w:pPr>
              <w:pStyle w:val="TableParagraph"/>
              <w:spacing w:before="115"/>
              <w:ind w:left="1983" w:hanging="1610"/>
              <w:rPr>
                <w:sz w:val="24"/>
              </w:rPr>
            </w:pPr>
            <w:r>
              <w:rPr>
                <w:sz w:val="24"/>
              </w:rPr>
              <w:t>Наименование</w:t>
            </w:r>
            <w:r>
              <w:rPr>
                <w:spacing w:val="-14"/>
                <w:sz w:val="24"/>
              </w:rPr>
              <w:t> </w:t>
            </w:r>
            <w:r>
              <w:rPr>
                <w:sz w:val="24"/>
              </w:rPr>
              <w:t>вида</w:t>
            </w:r>
            <w:r>
              <w:rPr>
                <w:spacing w:val="-13"/>
                <w:sz w:val="24"/>
              </w:rPr>
              <w:t> </w:t>
            </w:r>
            <w:r>
              <w:rPr>
                <w:sz w:val="24"/>
              </w:rPr>
              <w:t>Номенклатурной</w:t>
            </w:r>
            <w:r>
              <w:rPr>
                <w:spacing w:val="-15"/>
                <w:sz w:val="24"/>
              </w:rPr>
              <w:t> </w:t>
            </w:r>
            <w:r>
              <w:rPr>
                <w:sz w:val="24"/>
              </w:rPr>
              <w:t>классификации медицинских изделий</w:t>
            </w:r>
          </w:p>
        </w:tc>
      </w:tr>
      <w:tr>
        <w:trPr>
          <w:trHeight w:val="755" w:hRule="atLeast"/>
        </w:trPr>
        <w:tc>
          <w:tcPr>
            <w:tcW w:w="703" w:type="dxa"/>
          </w:tcPr>
          <w:p>
            <w:pPr>
              <w:pStyle w:val="TableParagraph"/>
              <w:spacing w:before="251"/>
              <w:ind w:left="8" w:right="3"/>
              <w:jc w:val="center"/>
              <w:rPr>
                <w:sz w:val="24"/>
              </w:rPr>
            </w:pPr>
            <w:r>
              <w:rPr>
                <w:spacing w:val="-5"/>
                <w:sz w:val="24"/>
              </w:rPr>
              <w:t>1.</w:t>
            </w:r>
          </w:p>
        </w:tc>
        <w:tc>
          <w:tcPr>
            <w:tcW w:w="2554" w:type="dxa"/>
          </w:tcPr>
          <w:p>
            <w:pPr>
              <w:pStyle w:val="TableParagraph"/>
              <w:spacing w:before="251"/>
              <w:ind w:left="3"/>
              <w:jc w:val="center"/>
              <w:rPr>
                <w:sz w:val="24"/>
              </w:rPr>
            </w:pPr>
            <w:r>
              <w:rPr>
                <w:spacing w:val="-2"/>
                <w:sz w:val="24"/>
              </w:rPr>
              <w:t>142020</w:t>
            </w:r>
          </w:p>
        </w:tc>
        <w:tc>
          <w:tcPr>
            <w:tcW w:w="6239" w:type="dxa"/>
          </w:tcPr>
          <w:p>
            <w:pPr>
              <w:pStyle w:val="TableParagraph"/>
              <w:spacing w:before="115"/>
              <w:ind w:left="863" w:hanging="689"/>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классов</w:t>
            </w:r>
            <w:r>
              <w:rPr>
                <w:spacing w:val="-9"/>
                <w:sz w:val="24"/>
              </w:rPr>
              <w:t> </w:t>
            </w:r>
            <w:r>
              <w:rPr>
                <w:sz w:val="24"/>
              </w:rPr>
              <w:t>иммуноглобулин</w:t>
            </w:r>
            <w:r>
              <w:rPr>
                <w:spacing w:val="-8"/>
                <w:sz w:val="24"/>
              </w:rPr>
              <w:t> </w:t>
            </w:r>
            <w:r>
              <w:rPr>
                <w:sz w:val="24"/>
              </w:rPr>
              <w:t>A (IgA)/IgG/IgM ИВД, контрольный материал</w:t>
            </w:r>
          </w:p>
        </w:tc>
      </w:tr>
      <w:tr>
        <w:trPr>
          <w:trHeight w:val="755" w:hRule="atLeast"/>
        </w:trPr>
        <w:tc>
          <w:tcPr>
            <w:tcW w:w="703" w:type="dxa"/>
            <w:shd w:val="clear" w:color="auto" w:fill="F1F1F1"/>
          </w:tcPr>
          <w:p>
            <w:pPr>
              <w:pStyle w:val="TableParagraph"/>
              <w:spacing w:before="251"/>
              <w:ind w:left="8" w:right="3"/>
              <w:jc w:val="center"/>
              <w:rPr>
                <w:sz w:val="24"/>
              </w:rPr>
            </w:pPr>
            <w:r>
              <w:rPr>
                <w:spacing w:val="-5"/>
                <w:sz w:val="24"/>
              </w:rPr>
              <w:t>2.</w:t>
            </w:r>
          </w:p>
        </w:tc>
        <w:tc>
          <w:tcPr>
            <w:tcW w:w="2554" w:type="dxa"/>
            <w:shd w:val="clear" w:color="auto" w:fill="F1F1F1"/>
          </w:tcPr>
          <w:p>
            <w:pPr>
              <w:pStyle w:val="TableParagraph"/>
              <w:spacing w:before="251"/>
              <w:ind w:left="3"/>
              <w:jc w:val="center"/>
              <w:rPr>
                <w:sz w:val="24"/>
              </w:rPr>
            </w:pPr>
            <w:r>
              <w:rPr>
                <w:spacing w:val="-2"/>
                <w:sz w:val="24"/>
              </w:rPr>
              <w:t>142030</w:t>
            </w:r>
          </w:p>
        </w:tc>
        <w:tc>
          <w:tcPr>
            <w:tcW w:w="6239" w:type="dxa"/>
            <w:shd w:val="clear" w:color="auto" w:fill="F1F1F1"/>
          </w:tcPr>
          <w:p>
            <w:pPr>
              <w:pStyle w:val="TableParagraph"/>
              <w:spacing w:before="114"/>
              <w:ind w:left="1921" w:hanging="1684"/>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G (IgG) ИВД, калибратор</w:t>
            </w:r>
          </w:p>
        </w:tc>
      </w:tr>
      <w:tr>
        <w:trPr>
          <w:trHeight w:val="758" w:hRule="atLeast"/>
        </w:trPr>
        <w:tc>
          <w:tcPr>
            <w:tcW w:w="703" w:type="dxa"/>
          </w:tcPr>
          <w:p>
            <w:pPr>
              <w:pStyle w:val="TableParagraph"/>
              <w:spacing w:before="253"/>
              <w:ind w:left="8" w:right="3"/>
              <w:jc w:val="center"/>
              <w:rPr>
                <w:sz w:val="24"/>
              </w:rPr>
            </w:pPr>
            <w:r>
              <w:rPr>
                <w:spacing w:val="-5"/>
                <w:sz w:val="24"/>
              </w:rPr>
              <w:t>3.</w:t>
            </w:r>
          </w:p>
        </w:tc>
        <w:tc>
          <w:tcPr>
            <w:tcW w:w="2554" w:type="dxa"/>
          </w:tcPr>
          <w:p>
            <w:pPr>
              <w:pStyle w:val="TableParagraph"/>
              <w:spacing w:before="253"/>
              <w:ind w:left="3"/>
              <w:jc w:val="center"/>
              <w:rPr>
                <w:sz w:val="24"/>
              </w:rPr>
            </w:pPr>
            <w:r>
              <w:rPr>
                <w:spacing w:val="-2"/>
                <w:sz w:val="24"/>
              </w:rPr>
              <w:t>142070</w:t>
            </w:r>
          </w:p>
        </w:tc>
        <w:tc>
          <w:tcPr>
            <w:tcW w:w="6239" w:type="dxa"/>
          </w:tcPr>
          <w:p>
            <w:pPr>
              <w:pStyle w:val="TableParagraph"/>
              <w:spacing w:before="113"/>
              <w:ind w:left="1324" w:hanging="1087"/>
              <w:rPr>
                <w:sz w:val="24"/>
              </w:rPr>
            </w:pPr>
            <w:r>
              <w:rPr>
                <w:sz w:val="24"/>
              </w:rPr>
              <w:t>SARS</w:t>
            </w:r>
            <w:r>
              <w:rPr>
                <w:spacing w:val="-7"/>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G (IgG) ИВД, контрольный материал</w:t>
            </w:r>
          </w:p>
        </w:tc>
      </w:tr>
      <w:tr>
        <w:trPr>
          <w:trHeight w:val="755" w:hRule="atLeast"/>
        </w:trPr>
        <w:tc>
          <w:tcPr>
            <w:tcW w:w="703" w:type="dxa"/>
            <w:shd w:val="clear" w:color="auto" w:fill="F1F1F1"/>
          </w:tcPr>
          <w:p>
            <w:pPr>
              <w:pStyle w:val="TableParagraph"/>
              <w:spacing w:before="249"/>
              <w:ind w:left="8" w:right="3"/>
              <w:jc w:val="center"/>
              <w:rPr>
                <w:sz w:val="24"/>
              </w:rPr>
            </w:pPr>
            <w:r>
              <w:rPr>
                <w:spacing w:val="-5"/>
                <w:sz w:val="24"/>
              </w:rPr>
              <w:t>4.</w:t>
            </w:r>
          </w:p>
        </w:tc>
        <w:tc>
          <w:tcPr>
            <w:tcW w:w="2554" w:type="dxa"/>
            <w:shd w:val="clear" w:color="auto" w:fill="F1F1F1"/>
          </w:tcPr>
          <w:p>
            <w:pPr>
              <w:pStyle w:val="TableParagraph"/>
              <w:spacing w:before="110"/>
              <w:ind w:left="3"/>
              <w:jc w:val="center"/>
              <w:rPr>
                <w:sz w:val="24"/>
              </w:rPr>
            </w:pPr>
            <w:r>
              <w:rPr>
                <w:spacing w:val="-2"/>
                <w:sz w:val="24"/>
              </w:rPr>
              <w:t>142090</w:t>
            </w:r>
          </w:p>
        </w:tc>
        <w:tc>
          <w:tcPr>
            <w:tcW w:w="6239" w:type="dxa"/>
            <w:shd w:val="clear" w:color="auto" w:fill="F1F1F1"/>
          </w:tcPr>
          <w:p>
            <w:pPr>
              <w:pStyle w:val="TableParagraph"/>
              <w:spacing w:before="110"/>
              <w:ind w:left="55"/>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G (IgG) ИВД, реагент</w:t>
            </w:r>
          </w:p>
        </w:tc>
      </w:tr>
      <w:tr>
        <w:trPr>
          <w:trHeight w:val="755" w:hRule="atLeast"/>
        </w:trPr>
        <w:tc>
          <w:tcPr>
            <w:tcW w:w="703" w:type="dxa"/>
          </w:tcPr>
          <w:p>
            <w:pPr>
              <w:pStyle w:val="TableParagraph"/>
              <w:spacing w:before="248"/>
              <w:ind w:left="8" w:right="3"/>
              <w:jc w:val="center"/>
              <w:rPr>
                <w:sz w:val="24"/>
              </w:rPr>
            </w:pPr>
            <w:r>
              <w:rPr>
                <w:spacing w:val="-5"/>
                <w:sz w:val="24"/>
              </w:rPr>
              <w:t>5.</w:t>
            </w:r>
          </w:p>
        </w:tc>
        <w:tc>
          <w:tcPr>
            <w:tcW w:w="2554" w:type="dxa"/>
          </w:tcPr>
          <w:p>
            <w:pPr>
              <w:pStyle w:val="TableParagraph"/>
              <w:spacing w:before="109"/>
              <w:ind w:left="3"/>
              <w:jc w:val="center"/>
              <w:rPr>
                <w:sz w:val="24"/>
              </w:rPr>
            </w:pPr>
            <w:r>
              <w:rPr>
                <w:spacing w:val="-2"/>
                <w:sz w:val="24"/>
              </w:rPr>
              <w:t>142060</w:t>
            </w:r>
          </w:p>
        </w:tc>
        <w:tc>
          <w:tcPr>
            <w:tcW w:w="6239" w:type="dxa"/>
          </w:tcPr>
          <w:p>
            <w:pPr>
              <w:pStyle w:val="TableParagraph"/>
              <w:spacing w:before="109"/>
              <w:ind w:left="55"/>
              <w:rPr>
                <w:sz w:val="24"/>
              </w:rPr>
            </w:pPr>
            <w:r>
              <w:rPr>
                <w:sz w:val="24"/>
              </w:rPr>
              <w:t>SARS</w:t>
            </w:r>
            <w:r>
              <w:rPr>
                <w:spacing w:val="-7"/>
                <w:sz w:val="24"/>
              </w:rPr>
              <w:t> </w:t>
            </w:r>
            <w:r>
              <w:rPr>
                <w:sz w:val="24"/>
              </w:rPr>
              <w:t>Коронавирус</w:t>
            </w:r>
            <w:r>
              <w:rPr>
                <w:spacing w:val="-8"/>
                <w:sz w:val="24"/>
              </w:rPr>
              <w:t> </w:t>
            </w:r>
            <w:r>
              <w:rPr>
                <w:sz w:val="24"/>
              </w:rPr>
              <w:t>антитела</w:t>
            </w:r>
            <w:r>
              <w:rPr>
                <w:spacing w:val="-8"/>
                <w:sz w:val="24"/>
              </w:rPr>
              <w:t> </w:t>
            </w:r>
            <w:r>
              <w:rPr>
                <w:sz w:val="24"/>
              </w:rPr>
              <w:t>класса</w:t>
            </w:r>
            <w:r>
              <w:rPr>
                <w:spacing w:val="-8"/>
                <w:sz w:val="24"/>
              </w:rPr>
              <w:t> </w:t>
            </w:r>
            <w:r>
              <w:rPr>
                <w:sz w:val="24"/>
              </w:rPr>
              <w:t>иммуноглобулин</w:t>
            </w:r>
            <w:r>
              <w:rPr>
                <w:spacing w:val="-7"/>
                <w:sz w:val="24"/>
              </w:rPr>
              <w:t> </w:t>
            </w:r>
            <w:r>
              <w:rPr>
                <w:sz w:val="24"/>
              </w:rPr>
              <w:t>А (IgА)/IgG/IgM ИВД, реагент</w:t>
            </w:r>
          </w:p>
        </w:tc>
      </w:tr>
      <w:tr>
        <w:trPr>
          <w:trHeight w:val="755" w:hRule="atLeast"/>
        </w:trPr>
        <w:tc>
          <w:tcPr>
            <w:tcW w:w="703" w:type="dxa"/>
            <w:shd w:val="clear" w:color="auto" w:fill="F1F1F1"/>
          </w:tcPr>
          <w:p>
            <w:pPr>
              <w:pStyle w:val="TableParagraph"/>
              <w:spacing w:before="248"/>
              <w:ind w:left="8" w:right="3"/>
              <w:jc w:val="center"/>
              <w:rPr>
                <w:sz w:val="24"/>
              </w:rPr>
            </w:pPr>
            <w:r>
              <w:rPr>
                <w:spacing w:val="-5"/>
                <w:sz w:val="24"/>
              </w:rPr>
              <w:t>6.</w:t>
            </w:r>
          </w:p>
        </w:tc>
        <w:tc>
          <w:tcPr>
            <w:tcW w:w="2554" w:type="dxa"/>
            <w:shd w:val="clear" w:color="auto" w:fill="F1F1F1"/>
          </w:tcPr>
          <w:p>
            <w:pPr>
              <w:pStyle w:val="TableParagraph"/>
              <w:spacing w:before="111"/>
              <w:ind w:left="3"/>
              <w:jc w:val="center"/>
              <w:rPr>
                <w:sz w:val="24"/>
              </w:rPr>
            </w:pPr>
            <w:r>
              <w:rPr>
                <w:spacing w:val="-2"/>
                <w:sz w:val="24"/>
              </w:rPr>
              <w:t>142100</w:t>
            </w:r>
          </w:p>
        </w:tc>
        <w:tc>
          <w:tcPr>
            <w:tcW w:w="6239" w:type="dxa"/>
            <w:shd w:val="clear" w:color="auto" w:fill="F1F1F1"/>
          </w:tcPr>
          <w:p>
            <w:pPr>
              <w:pStyle w:val="TableParagraph"/>
              <w:spacing w:line="237" w:lineRule="auto" w:before="113"/>
              <w:ind w:left="55"/>
              <w:rPr>
                <w:sz w:val="24"/>
              </w:rPr>
            </w:pPr>
            <w:r>
              <w:rPr>
                <w:sz w:val="24"/>
              </w:rPr>
              <w:t>SARS Коронавирус антитела класса иммуноглобулин G (IgG)/IgM</w:t>
            </w:r>
            <w:r>
              <w:rPr>
                <w:spacing w:val="-10"/>
                <w:sz w:val="24"/>
              </w:rPr>
              <w:t> </w:t>
            </w:r>
            <w:r>
              <w:rPr>
                <w:sz w:val="24"/>
              </w:rPr>
              <w:t>ИВД,</w:t>
            </w:r>
            <w:r>
              <w:rPr>
                <w:spacing w:val="-10"/>
                <w:sz w:val="24"/>
              </w:rPr>
              <w:t> </w:t>
            </w:r>
            <w:r>
              <w:rPr>
                <w:sz w:val="24"/>
              </w:rPr>
              <w:t>набор,</w:t>
            </w:r>
            <w:r>
              <w:rPr>
                <w:spacing w:val="-8"/>
                <w:sz w:val="24"/>
              </w:rPr>
              <w:t> </w:t>
            </w:r>
            <w:r>
              <w:rPr>
                <w:sz w:val="24"/>
              </w:rPr>
              <w:t>иммуноферментный</w:t>
            </w:r>
            <w:r>
              <w:rPr>
                <w:spacing w:val="-9"/>
                <w:sz w:val="24"/>
              </w:rPr>
              <w:t> </w:t>
            </w:r>
            <w:r>
              <w:rPr>
                <w:sz w:val="24"/>
              </w:rPr>
              <w:t>анализ</w:t>
            </w:r>
            <w:r>
              <w:rPr>
                <w:spacing w:val="-9"/>
                <w:sz w:val="24"/>
              </w:rPr>
              <w:t> </w:t>
            </w:r>
            <w:r>
              <w:rPr>
                <w:sz w:val="24"/>
              </w:rPr>
              <w:t>(ИФА)</w:t>
            </w:r>
          </w:p>
        </w:tc>
      </w:tr>
      <w:tr>
        <w:trPr>
          <w:trHeight w:val="755" w:hRule="atLeast"/>
        </w:trPr>
        <w:tc>
          <w:tcPr>
            <w:tcW w:w="703" w:type="dxa"/>
          </w:tcPr>
          <w:p>
            <w:pPr>
              <w:pStyle w:val="TableParagraph"/>
              <w:spacing w:before="247"/>
              <w:ind w:left="8" w:right="3"/>
              <w:jc w:val="center"/>
              <w:rPr>
                <w:sz w:val="24"/>
              </w:rPr>
            </w:pPr>
            <w:r>
              <w:rPr>
                <w:spacing w:val="-5"/>
                <w:sz w:val="24"/>
              </w:rPr>
              <w:t>7.</w:t>
            </w:r>
          </w:p>
        </w:tc>
        <w:tc>
          <w:tcPr>
            <w:tcW w:w="2554" w:type="dxa"/>
          </w:tcPr>
          <w:p>
            <w:pPr>
              <w:pStyle w:val="TableParagraph"/>
              <w:spacing w:before="110"/>
              <w:ind w:left="3"/>
              <w:jc w:val="center"/>
              <w:rPr>
                <w:sz w:val="24"/>
              </w:rPr>
            </w:pPr>
            <w:r>
              <w:rPr>
                <w:spacing w:val="-2"/>
                <w:sz w:val="24"/>
              </w:rPr>
              <w:t>142120</w:t>
            </w:r>
          </w:p>
        </w:tc>
        <w:tc>
          <w:tcPr>
            <w:tcW w:w="6239" w:type="dxa"/>
          </w:tcPr>
          <w:p>
            <w:pPr>
              <w:pStyle w:val="TableParagraph"/>
              <w:spacing w:before="110"/>
              <w:ind w:left="55"/>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G (IgG)/IgM ИВД, набор, иммунофлуоресцентный анализ</w:t>
            </w:r>
          </w:p>
        </w:tc>
      </w:tr>
      <w:tr>
        <w:trPr>
          <w:trHeight w:val="755" w:hRule="atLeast"/>
        </w:trPr>
        <w:tc>
          <w:tcPr>
            <w:tcW w:w="703" w:type="dxa"/>
            <w:shd w:val="clear" w:color="auto" w:fill="F1F1F1"/>
          </w:tcPr>
          <w:p>
            <w:pPr>
              <w:pStyle w:val="TableParagraph"/>
              <w:spacing w:before="246"/>
              <w:ind w:left="8" w:right="3"/>
              <w:jc w:val="center"/>
              <w:rPr>
                <w:sz w:val="24"/>
              </w:rPr>
            </w:pPr>
            <w:r>
              <w:rPr>
                <w:spacing w:val="-5"/>
                <w:sz w:val="24"/>
              </w:rPr>
              <w:t>8.</w:t>
            </w:r>
          </w:p>
        </w:tc>
        <w:tc>
          <w:tcPr>
            <w:tcW w:w="2554" w:type="dxa"/>
            <w:shd w:val="clear" w:color="auto" w:fill="F1F1F1"/>
          </w:tcPr>
          <w:p>
            <w:pPr>
              <w:pStyle w:val="TableParagraph"/>
              <w:spacing w:before="110"/>
              <w:ind w:left="3"/>
              <w:jc w:val="center"/>
              <w:rPr>
                <w:sz w:val="24"/>
              </w:rPr>
            </w:pPr>
            <w:r>
              <w:rPr>
                <w:spacing w:val="-2"/>
                <w:sz w:val="24"/>
              </w:rPr>
              <w:t>142130</w:t>
            </w:r>
          </w:p>
        </w:tc>
        <w:tc>
          <w:tcPr>
            <w:tcW w:w="6239" w:type="dxa"/>
            <w:shd w:val="clear" w:color="auto" w:fill="F1F1F1"/>
          </w:tcPr>
          <w:p>
            <w:pPr>
              <w:pStyle w:val="TableParagraph"/>
              <w:spacing w:before="110"/>
              <w:ind w:left="55"/>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M (IgM) ИВД, набор, иммуноферментный анализ</w:t>
            </w:r>
          </w:p>
        </w:tc>
      </w:tr>
      <w:tr>
        <w:trPr>
          <w:trHeight w:val="755" w:hRule="atLeast"/>
        </w:trPr>
        <w:tc>
          <w:tcPr>
            <w:tcW w:w="703" w:type="dxa"/>
          </w:tcPr>
          <w:p>
            <w:pPr>
              <w:pStyle w:val="TableParagraph"/>
              <w:spacing w:before="245"/>
              <w:ind w:left="8" w:right="3"/>
              <w:jc w:val="center"/>
              <w:rPr>
                <w:sz w:val="24"/>
              </w:rPr>
            </w:pPr>
            <w:r>
              <w:rPr>
                <w:spacing w:val="-5"/>
                <w:sz w:val="24"/>
              </w:rPr>
              <w:t>9.</w:t>
            </w:r>
          </w:p>
        </w:tc>
        <w:tc>
          <w:tcPr>
            <w:tcW w:w="2554" w:type="dxa"/>
          </w:tcPr>
          <w:p>
            <w:pPr>
              <w:pStyle w:val="TableParagraph"/>
              <w:spacing w:before="109"/>
              <w:ind w:left="3"/>
              <w:jc w:val="center"/>
              <w:rPr>
                <w:sz w:val="24"/>
              </w:rPr>
            </w:pPr>
            <w:r>
              <w:rPr>
                <w:spacing w:val="-2"/>
                <w:sz w:val="24"/>
              </w:rPr>
              <w:t>142150</w:t>
            </w:r>
          </w:p>
        </w:tc>
        <w:tc>
          <w:tcPr>
            <w:tcW w:w="6239" w:type="dxa"/>
          </w:tcPr>
          <w:p>
            <w:pPr>
              <w:pStyle w:val="TableParagraph"/>
              <w:spacing w:before="109"/>
              <w:ind w:left="55"/>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M (IgM) ИВД, набор, иммунофлуоресцентный анализ</w:t>
            </w:r>
          </w:p>
        </w:tc>
      </w:tr>
      <w:tr>
        <w:trPr>
          <w:trHeight w:val="758" w:hRule="atLeast"/>
        </w:trPr>
        <w:tc>
          <w:tcPr>
            <w:tcW w:w="703" w:type="dxa"/>
            <w:shd w:val="clear" w:color="auto" w:fill="F1F1F1"/>
          </w:tcPr>
          <w:p>
            <w:pPr>
              <w:pStyle w:val="TableParagraph"/>
              <w:spacing w:before="247"/>
              <w:ind w:left="8" w:right="3"/>
              <w:jc w:val="center"/>
              <w:rPr>
                <w:sz w:val="24"/>
              </w:rPr>
            </w:pPr>
            <w:r>
              <w:rPr>
                <w:spacing w:val="-5"/>
                <w:sz w:val="24"/>
              </w:rPr>
              <w:t>10.</w:t>
            </w:r>
          </w:p>
        </w:tc>
        <w:tc>
          <w:tcPr>
            <w:tcW w:w="2554" w:type="dxa"/>
            <w:shd w:val="clear" w:color="auto" w:fill="F1F1F1"/>
          </w:tcPr>
          <w:p>
            <w:pPr>
              <w:pStyle w:val="TableParagraph"/>
              <w:spacing w:before="247"/>
              <w:ind w:left="3"/>
              <w:jc w:val="center"/>
              <w:rPr>
                <w:sz w:val="24"/>
              </w:rPr>
            </w:pPr>
            <w:r>
              <w:rPr>
                <w:spacing w:val="-2"/>
                <w:sz w:val="24"/>
              </w:rPr>
              <w:t>142180</w:t>
            </w:r>
          </w:p>
        </w:tc>
        <w:tc>
          <w:tcPr>
            <w:tcW w:w="6239" w:type="dxa"/>
            <w:shd w:val="clear" w:color="auto" w:fill="F1F1F1"/>
          </w:tcPr>
          <w:p>
            <w:pPr>
              <w:pStyle w:val="TableParagraph"/>
              <w:spacing w:before="108"/>
              <w:ind w:left="55"/>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7"/>
                <w:sz w:val="24"/>
              </w:rPr>
              <w:t> </w:t>
            </w:r>
            <w:r>
              <w:rPr>
                <w:sz w:val="24"/>
              </w:rPr>
              <w:t>иммуноглобулин</w:t>
            </w:r>
            <w:r>
              <w:rPr>
                <w:spacing w:val="-8"/>
                <w:sz w:val="24"/>
              </w:rPr>
              <w:t> </w:t>
            </w:r>
            <w:r>
              <w:rPr>
                <w:sz w:val="24"/>
              </w:rPr>
              <w:t>M (IgM) ИВД, калибратор</w:t>
            </w:r>
          </w:p>
        </w:tc>
      </w:tr>
      <w:tr>
        <w:trPr>
          <w:trHeight w:val="755" w:hRule="atLeast"/>
        </w:trPr>
        <w:tc>
          <w:tcPr>
            <w:tcW w:w="703" w:type="dxa"/>
          </w:tcPr>
          <w:p>
            <w:pPr>
              <w:pStyle w:val="TableParagraph"/>
              <w:spacing w:before="244"/>
              <w:ind w:left="8" w:right="3"/>
              <w:jc w:val="center"/>
              <w:rPr>
                <w:sz w:val="24"/>
              </w:rPr>
            </w:pPr>
            <w:r>
              <w:rPr>
                <w:spacing w:val="-5"/>
                <w:sz w:val="24"/>
              </w:rPr>
              <w:t>11.</w:t>
            </w:r>
          </w:p>
        </w:tc>
        <w:tc>
          <w:tcPr>
            <w:tcW w:w="2554" w:type="dxa"/>
          </w:tcPr>
          <w:p>
            <w:pPr>
              <w:pStyle w:val="TableParagraph"/>
              <w:spacing w:before="244"/>
              <w:ind w:left="3"/>
              <w:jc w:val="center"/>
              <w:rPr>
                <w:sz w:val="24"/>
              </w:rPr>
            </w:pPr>
            <w:r>
              <w:rPr>
                <w:spacing w:val="-2"/>
                <w:sz w:val="24"/>
              </w:rPr>
              <w:t>142200</w:t>
            </w:r>
          </w:p>
        </w:tc>
        <w:tc>
          <w:tcPr>
            <w:tcW w:w="6239" w:type="dxa"/>
          </w:tcPr>
          <w:p>
            <w:pPr>
              <w:pStyle w:val="TableParagraph"/>
              <w:spacing w:before="105"/>
              <w:ind w:left="55"/>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G (IgG)/IgM ИВД, реагент</w:t>
            </w:r>
          </w:p>
        </w:tc>
      </w:tr>
      <w:tr>
        <w:trPr>
          <w:trHeight w:val="756" w:hRule="atLeast"/>
        </w:trPr>
        <w:tc>
          <w:tcPr>
            <w:tcW w:w="703" w:type="dxa"/>
            <w:shd w:val="clear" w:color="auto" w:fill="F1F1F1"/>
          </w:tcPr>
          <w:p>
            <w:pPr>
              <w:pStyle w:val="TableParagraph"/>
              <w:spacing w:before="244"/>
              <w:ind w:left="8" w:right="3"/>
              <w:jc w:val="center"/>
              <w:rPr>
                <w:sz w:val="24"/>
              </w:rPr>
            </w:pPr>
            <w:r>
              <w:rPr>
                <w:spacing w:val="-5"/>
                <w:sz w:val="24"/>
              </w:rPr>
              <w:t>12.</w:t>
            </w:r>
          </w:p>
        </w:tc>
        <w:tc>
          <w:tcPr>
            <w:tcW w:w="2554" w:type="dxa"/>
            <w:shd w:val="clear" w:color="auto" w:fill="F1F1F1"/>
          </w:tcPr>
          <w:p>
            <w:pPr>
              <w:pStyle w:val="TableParagraph"/>
              <w:spacing w:before="244"/>
              <w:ind w:left="3"/>
              <w:jc w:val="center"/>
              <w:rPr>
                <w:sz w:val="24"/>
              </w:rPr>
            </w:pPr>
            <w:r>
              <w:rPr>
                <w:spacing w:val="-2"/>
                <w:sz w:val="24"/>
              </w:rPr>
              <w:t>142210</w:t>
            </w:r>
          </w:p>
        </w:tc>
        <w:tc>
          <w:tcPr>
            <w:tcW w:w="6239" w:type="dxa"/>
            <w:shd w:val="clear" w:color="auto" w:fill="F1F1F1"/>
          </w:tcPr>
          <w:p>
            <w:pPr>
              <w:pStyle w:val="TableParagraph"/>
              <w:spacing w:before="105"/>
              <w:ind w:left="55"/>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M (IgM) ИВД, контрольный материал</w:t>
            </w:r>
          </w:p>
        </w:tc>
      </w:tr>
      <w:tr>
        <w:trPr>
          <w:trHeight w:val="755" w:hRule="atLeast"/>
        </w:trPr>
        <w:tc>
          <w:tcPr>
            <w:tcW w:w="703" w:type="dxa"/>
          </w:tcPr>
          <w:p>
            <w:pPr>
              <w:pStyle w:val="TableParagraph"/>
              <w:spacing w:before="243"/>
              <w:ind w:left="8" w:right="3"/>
              <w:jc w:val="center"/>
              <w:rPr>
                <w:sz w:val="24"/>
              </w:rPr>
            </w:pPr>
            <w:r>
              <w:rPr>
                <w:spacing w:val="-5"/>
                <w:sz w:val="24"/>
              </w:rPr>
              <w:t>13.</w:t>
            </w:r>
          </w:p>
        </w:tc>
        <w:tc>
          <w:tcPr>
            <w:tcW w:w="2554" w:type="dxa"/>
          </w:tcPr>
          <w:p>
            <w:pPr>
              <w:pStyle w:val="TableParagraph"/>
              <w:spacing w:before="243"/>
              <w:ind w:left="3"/>
              <w:jc w:val="center"/>
              <w:rPr>
                <w:sz w:val="24"/>
              </w:rPr>
            </w:pPr>
            <w:r>
              <w:rPr>
                <w:spacing w:val="-2"/>
                <w:sz w:val="24"/>
              </w:rPr>
              <w:t>142230</w:t>
            </w:r>
          </w:p>
        </w:tc>
        <w:tc>
          <w:tcPr>
            <w:tcW w:w="6239" w:type="dxa"/>
          </w:tcPr>
          <w:p>
            <w:pPr>
              <w:pStyle w:val="TableParagraph"/>
              <w:spacing w:before="106"/>
              <w:ind w:left="55"/>
              <w:rPr>
                <w:sz w:val="24"/>
              </w:rPr>
            </w:pPr>
            <w:r>
              <w:rPr>
                <w:sz w:val="24"/>
              </w:rPr>
              <w:t>SARS</w:t>
            </w:r>
            <w:r>
              <w:rPr>
                <w:spacing w:val="-7"/>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M (IgM) ИВД, реагент</w:t>
            </w:r>
          </w:p>
        </w:tc>
      </w:tr>
      <w:tr>
        <w:trPr>
          <w:trHeight w:val="1031" w:hRule="atLeast"/>
        </w:trPr>
        <w:tc>
          <w:tcPr>
            <w:tcW w:w="703" w:type="dxa"/>
            <w:shd w:val="clear" w:color="auto" w:fill="F1F1F1"/>
          </w:tcPr>
          <w:p>
            <w:pPr>
              <w:pStyle w:val="TableParagraph"/>
              <w:spacing w:before="105"/>
              <w:rPr>
                <w:b/>
                <w:sz w:val="24"/>
              </w:rPr>
            </w:pPr>
          </w:p>
          <w:p>
            <w:pPr>
              <w:pStyle w:val="TableParagraph"/>
              <w:ind w:left="8" w:right="3"/>
              <w:jc w:val="center"/>
              <w:rPr>
                <w:sz w:val="24"/>
              </w:rPr>
            </w:pPr>
            <w:r>
              <w:rPr>
                <w:spacing w:val="-5"/>
                <w:sz w:val="24"/>
              </w:rPr>
              <w:t>14.</w:t>
            </w:r>
          </w:p>
        </w:tc>
        <w:tc>
          <w:tcPr>
            <w:tcW w:w="2554" w:type="dxa"/>
            <w:shd w:val="clear" w:color="auto" w:fill="F1F1F1"/>
          </w:tcPr>
          <w:p>
            <w:pPr>
              <w:pStyle w:val="TableParagraph"/>
              <w:spacing w:before="105"/>
              <w:rPr>
                <w:b/>
                <w:sz w:val="24"/>
              </w:rPr>
            </w:pPr>
          </w:p>
          <w:p>
            <w:pPr>
              <w:pStyle w:val="TableParagraph"/>
              <w:ind w:left="3"/>
              <w:jc w:val="center"/>
              <w:rPr>
                <w:sz w:val="24"/>
              </w:rPr>
            </w:pPr>
            <w:r>
              <w:rPr>
                <w:spacing w:val="-2"/>
                <w:sz w:val="24"/>
              </w:rPr>
              <w:t>142250</w:t>
            </w:r>
          </w:p>
        </w:tc>
        <w:tc>
          <w:tcPr>
            <w:tcW w:w="6239" w:type="dxa"/>
            <w:shd w:val="clear" w:color="auto" w:fill="F1F1F1"/>
          </w:tcPr>
          <w:p>
            <w:pPr>
              <w:pStyle w:val="TableParagraph"/>
              <w:spacing w:before="105"/>
              <w:ind w:left="55"/>
              <w:rPr>
                <w:sz w:val="24"/>
              </w:rPr>
            </w:pPr>
            <w:r>
              <w:rPr>
                <w:sz w:val="24"/>
              </w:rPr>
              <w:t>SARS Коронавирус антитела иммуноглобулин A (IgA)/IgG/IgM</w:t>
            </w:r>
            <w:r>
              <w:rPr>
                <w:spacing w:val="-15"/>
                <w:sz w:val="24"/>
              </w:rPr>
              <w:t> </w:t>
            </w:r>
            <w:r>
              <w:rPr>
                <w:sz w:val="24"/>
              </w:rPr>
              <w:t>ИВД,</w:t>
            </w:r>
            <w:r>
              <w:rPr>
                <w:spacing w:val="-15"/>
                <w:sz w:val="24"/>
              </w:rPr>
              <w:t> </w:t>
            </w:r>
            <w:r>
              <w:rPr>
                <w:sz w:val="24"/>
              </w:rPr>
              <w:t>набор,</w:t>
            </w:r>
            <w:r>
              <w:rPr>
                <w:spacing w:val="-15"/>
                <w:sz w:val="24"/>
              </w:rPr>
              <w:t> </w:t>
            </w:r>
            <w:r>
              <w:rPr>
                <w:sz w:val="24"/>
              </w:rPr>
              <w:t>иммунохроматографический анализ, экспресс-анализ</w:t>
            </w:r>
          </w:p>
        </w:tc>
      </w:tr>
      <w:tr>
        <w:trPr>
          <w:trHeight w:val="755" w:hRule="atLeast"/>
        </w:trPr>
        <w:tc>
          <w:tcPr>
            <w:tcW w:w="703" w:type="dxa"/>
          </w:tcPr>
          <w:p>
            <w:pPr>
              <w:pStyle w:val="TableParagraph"/>
              <w:spacing w:before="241"/>
              <w:ind w:left="8" w:right="3"/>
              <w:jc w:val="center"/>
              <w:rPr>
                <w:sz w:val="24"/>
              </w:rPr>
            </w:pPr>
            <w:r>
              <w:rPr>
                <w:spacing w:val="-5"/>
                <w:sz w:val="24"/>
              </w:rPr>
              <w:t>15.</w:t>
            </w:r>
          </w:p>
        </w:tc>
        <w:tc>
          <w:tcPr>
            <w:tcW w:w="2554" w:type="dxa"/>
          </w:tcPr>
          <w:p>
            <w:pPr>
              <w:pStyle w:val="TableParagraph"/>
              <w:spacing w:before="104"/>
              <w:ind w:left="3"/>
              <w:jc w:val="center"/>
              <w:rPr>
                <w:sz w:val="24"/>
              </w:rPr>
            </w:pPr>
            <w:r>
              <w:rPr>
                <w:spacing w:val="-2"/>
                <w:sz w:val="24"/>
              </w:rPr>
              <w:t>142170</w:t>
            </w:r>
          </w:p>
        </w:tc>
        <w:tc>
          <w:tcPr>
            <w:tcW w:w="6239" w:type="dxa"/>
          </w:tcPr>
          <w:p>
            <w:pPr>
              <w:pStyle w:val="TableParagraph"/>
              <w:spacing w:before="104"/>
              <w:ind w:left="55"/>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7"/>
                <w:sz w:val="24"/>
              </w:rPr>
              <w:t> </w:t>
            </w:r>
            <w:r>
              <w:rPr>
                <w:sz w:val="24"/>
              </w:rPr>
              <w:t>иммуноглобулин</w:t>
            </w:r>
            <w:r>
              <w:rPr>
                <w:spacing w:val="-8"/>
                <w:sz w:val="24"/>
              </w:rPr>
              <w:t> </w:t>
            </w:r>
            <w:r>
              <w:rPr>
                <w:sz w:val="24"/>
              </w:rPr>
              <w:t>G (IgG)/IgM ИВД, контрольный материал</w:t>
            </w:r>
          </w:p>
        </w:tc>
      </w:tr>
    </w:tbl>
    <w:p>
      <w:pPr>
        <w:pStyle w:val="TableParagraph"/>
        <w:spacing w:after="0"/>
        <w:rPr>
          <w:sz w:val="24"/>
        </w:rPr>
        <w:sectPr>
          <w:pgSz w:w="11900" w:h="16840"/>
          <w:pgMar w:header="0" w:footer="697" w:top="1080" w:bottom="1736" w:left="1559" w:right="566"/>
        </w:sectPr>
      </w:pPr>
    </w:p>
    <w:tbl>
      <w:tblPr>
        <w:tblW w:w="0" w:type="auto"/>
        <w:jc w:val="left"/>
        <w:tblInd w:w="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03"/>
        <w:gridCol w:w="2554"/>
        <w:gridCol w:w="6239"/>
      </w:tblGrid>
      <w:tr>
        <w:trPr>
          <w:trHeight w:val="755" w:hRule="atLeast"/>
        </w:trPr>
        <w:tc>
          <w:tcPr>
            <w:tcW w:w="703" w:type="dxa"/>
            <w:shd w:val="clear" w:color="auto" w:fill="F1F1F1"/>
          </w:tcPr>
          <w:p>
            <w:pPr>
              <w:pStyle w:val="TableParagraph"/>
              <w:spacing w:before="253"/>
              <w:ind w:left="8" w:right="3"/>
              <w:jc w:val="center"/>
              <w:rPr>
                <w:sz w:val="24"/>
              </w:rPr>
            </w:pPr>
            <w:bookmarkStart w:name="185" w:id="218"/>
            <w:bookmarkEnd w:id="218"/>
            <w:r>
              <w:rPr/>
            </w:r>
            <w:r>
              <w:rPr>
                <w:spacing w:val="-5"/>
                <w:sz w:val="24"/>
              </w:rPr>
              <w:t>16.</w:t>
            </w:r>
          </w:p>
        </w:tc>
        <w:tc>
          <w:tcPr>
            <w:tcW w:w="2554" w:type="dxa"/>
            <w:shd w:val="clear" w:color="auto" w:fill="F1F1F1"/>
          </w:tcPr>
          <w:p>
            <w:pPr>
              <w:pStyle w:val="TableParagraph"/>
              <w:spacing w:before="253"/>
              <w:ind w:left="3"/>
              <w:jc w:val="center"/>
              <w:rPr>
                <w:sz w:val="24"/>
              </w:rPr>
            </w:pPr>
            <w:r>
              <w:rPr>
                <w:spacing w:val="-2"/>
                <w:sz w:val="24"/>
              </w:rPr>
              <w:t>142290</w:t>
            </w:r>
          </w:p>
        </w:tc>
        <w:tc>
          <w:tcPr>
            <w:tcW w:w="6239" w:type="dxa"/>
            <w:shd w:val="clear" w:color="auto" w:fill="F1F1F1"/>
          </w:tcPr>
          <w:p>
            <w:pPr>
              <w:pStyle w:val="TableParagraph"/>
              <w:spacing w:before="116"/>
              <w:ind w:left="55"/>
              <w:rPr>
                <w:sz w:val="24"/>
              </w:rPr>
            </w:pPr>
            <w:r>
              <w:rPr>
                <w:sz w:val="24"/>
              </w:rPr>
              <w:t>SARS</w:t>
            </w:r>
            <w:r>
              <w:rPr>
                <w:spacing w:val="-7"/>
                <w:sz w:val="24"/>
              </w:rPr>
              <w:t> </w:t>
            </w:r>
            <w:r>
              <w:rPr>
                <w:sz w:val="24"/>
              </w:rPr>
              <w:t>Коронавирус</w:t>
            </w:r>
            <w:r>
              <w:rPr>
                <w:spacing w:val="-8"/>
                <w:sz w:val="24"/>
              </w:rPr>
              <w:t> </w:t>
            </w:r>
            <w:r>
              <w:rPr>
                <w:sz w:val="24"/>
              </w:rPr>
              <w:t>антитела</w:t>
            </w:r>
            <w:r>
              <w:rPr>
                <w:spacing w:val="-8"/>
                <w:sz w:val="24"/>
              </w:rPr>
              <w:t> </w:t>
            </w:r>
            <w:r>
              <w:rPr>
                <w:sz w:val="24"/>
              </w:rPr>
              <w:t>класса</w:t>
            </w:r>
            <w:r>
              <w:rPr>
                <w:spacing w:val="-8"/>
                <w:sz w:val="24"/>
              </w:rPr>
              <w:t> </w:t>
            </w:r>
            <w:r>
              <w:rPr>
                <w:sz w:val="24"/>
              </w:rPr>
              <w:t>иммуноглобулин</w:t>
            </w:r>
            <w:r>
              <w:rPr>
                <w:spacing w:val="-7"/>
                <w:sz w:val="24"/>
              </w:rPr>
              <w:t> </w:t>
            </w:r>
            <w:r>
              <w:rPr>
                <w:sz w:val="24"/>
              </w:rPr>
              <w:t>A (IgA)/IgG/IgM ИВД, калибратор</w:t>
            </w:r>
          </w:p>
        </w:tc>
      </w:tr>
      <w:tr>
        <w:trPr>
          <w:trHeight w:val="755" w:hRule="atLeast"/>
        </w:trPr>
        <w:tc>
          <w:tcPr>
            <w:tcW w:w="703" w:type="dxa"/>
          </w:tcPr>
          <w:p>
            <w:pPr>
              <w:pStyle w:val="TableParagraph"/>
              <w:spacing w:before="252"/>
              <w:ind w:left="8" w:right="3"/>
              <w:jc w:val="center"/>
              <w:rPr>
                <w:sz w:val="24"/>
              </w:rPr>
            </w:pPr>
            <w:r>
              <w:rPr>
                <w:spacing w:val="-5"/>
                <w:sz w:val="24"/>
              </w:rPr>
              <w:t>17.</w:t>
            </w:r>
          </w:p>
        </w:tc>
        <w:tc>
          <w:tcPr>
            <w:tcW w:w="2554" w:type="dxa"/>
          </w:tcPr>
          <w:p>
            <w:pPr>
              <w:pStyle w:val="TableParagraph"/>
              <w:spacing w:before="116"/>
              <w:ind w:left="3"/>
              <w:jc w:val="center"/>
              <w:rPr>
                <w:sz w:val="24"/>
              </w:rPr>
            </w:pPr>
            <w:r>
              <w:rPr>
                <w:spacing w:val="-2"/>
                <w:sz w:val="24"/>
              </w:rPr>
              <w:t>142260</w:t>
            </w:r>
          </w:p>
        </w:tc>
        <w:tc>
          <w:tcPr>
            <w:tcW w:w="6239" w:type="dxa"/>
          </w:tcPr>
          <w:p>
            <w:pPr>
              <w:pStyle w:val="TableParagraph"/>
              <w:spacing w:before="116"/>
              <w:ind w:left="55"/>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G (IgG) ИВД, набор, иммуноферментный анализ (ИФА)</w:t>
            </w:r>
          </w:p>
        </w:tc>
      </w:tr>
      <w:tr>
        <w:trPr>
          <w:trHeight w:val="757" w:hRule="atLeast"/>
        </w:trPr>
        <w:tc>
          <w:tcPr>
            <w:tcW w:w="703" w:type="dxa"/>
            <w:shd w:val="clear" w:color="auto" w:fill="F1F1F1"/>
          </w:tcPr>
          <w:p>
            <w:pPr>
              <w:pStyle w:val="TableParagraph"/>
              <w:spacing w:before="252"/>
              <w:ind w:left="8" w:right="3"/>
              <w:jc w:val="center"/>
              <w:rPr>
                <w:sz w:val="24"/>
              </w:rPr>
            </w:pPr>
            <w:r>
              <w:rPr>
                <w:spacing w:val="-5"/>
                <w:sz w:val="24"/>
              </w:rPr>
              <w:t>18.</w:t>
            </w:r>
          </w:p>
        </w:tc>
        <w:tc>
          <w:tcPr>
            <w:tcW w:w="2554" w:type="dxa"/>
            <w:shd w:val="clear" w:color="auto" w:fill="F1F1F1"/>
          </w:tcPr>
          <w:p>
            <w:pPr>
              <w:pStyle w:val="TableParagraph"/>
              <w:spacing w:before="115"/>
              <w:ind w:left="3"/>
              <w:jc w:val="center"/>
              <w:rPr>
                <w:sz w:val="24"/>
              </w:rPr>
            </w:pPr>
            <w:r>
              <w:rPr>
                <w:spacing w:val="-2"/>
                <w:sz w:val="24"/>
              </w:rPr>
              <w:t>142300</w:t>
            </w:r>
          </w:p>
        </w:tc>
        <w:tc>
          <w:tcPr>
            <w:tcW w:w="6239" w:type="dxa"/>
            <w:shd w:val="clear" w:color="auto" w:fill="F1F1F1"/>
          </w:tcPr>
          <w:p>
            <w:pPr>
              <w:pStyle w:val="TableParagraph"/>
              <w:spacing w:before="115"/>
              <w:ind w:left="55"/>
              <w:rPr>
                <w:sz w:val="24"/>
              </w:rPr>
            </w:pPr>
            <w:r>
              <w:rPr>
                <w:sz w:val="24"/>
              </w:rPr>
              <w:t>SARS</w:t>
            </w:r>
            <w:r>
              <w:rPr>
                <w:spacing w:val="-8"/>
                <w:sz w:val="24"/>
              </w:rPr>
              <w:t> </w:t>
            </w:r>
            <w:r>
              <w:rPr>
                <w:sz w:val="24"/>
              </w:rPr>
              <w:t>Коронавирус</w:t>
            </w:r>
            <w:r>
              <w:rPr>
                <w:spacing w:val="-9"/>
                <w:sz w:val="24"/>
              </w:rPr>
              <w:t> </w:t>
            </w:r>
            <w:r>
              <w:rPr>
                <w:sz w:val="24"/>
              </w:rPr>
              <w:t>антитела</w:t>
            </w:r>
            <w:r>
              <w:rPr>
                <w:spacing w:val="-9"/>
                <w:sz w:val="24"/>
              </w:rPr>
              <w:t> </w:t>
            </w:r>
            <w:r>
              <w:rPr>
                <w:sz w:val="24"/>
              </w:rPr>
              <w:t>класса</w:t>
            </w:r>
            <w:r>
              <w:rPr>
                <w:spacing w:val="-9"/>
                <w:sz w:val="24"/>
              </w:rPr>
              <w:t> </w:t>
            </w:r>
            <w:r>
              <w:rPr>
                <w:sz w:val="24"/>
              </w:rPr>
              <w:t>иммуноглобулин</w:t>
            </w:r>
            <w:r>
              <w:rPr>
                <w:spacing w:val="-8"/>
                <w:sz w:val="24"/>
              </w:rPr>
              <w:t> </w:t>
            </w:r>
            <w:r>
              <w:rPr>
                <w:sz w:val="24"/>
              </w:rPr>
              <w:t>G (IgG) ИВД, набор, иммунофлуоресцентный анализ</w:t>
            </w:r>
          </w:p>
        </w:tc>
      </w:tr>
    </w:tbl>
    <w:p>
      <w:pPr>
        <w:pStyle w:val="BodyText"/>
        <w:spacing w:before="212"/>
        <w:ind w:left="0"/>
        <w:jc w:val="left"/>
        <w:rPr>
          <w:b/>
        </w:rPr>
      </w:pPr>
    </w:p>
    <w:p>
      <w:pPr>
        <w:spacing w:line="278" w:lineRule="auto" w:before="0"/>
        <w:ind w:left="0" w:right="576" w:firstLine="0"/>
        <w:jc w:val="center"/>
        <w:rPr>
          <w:b/>
          <w:sz w:val="24"/>
        </w:rPr>
      </w:pPr>
      <w:r>
        <w:rPr>
          <w:b/>
          <w:sz w:val="24"/>
        </w:rPr>
        <w:t>Виды</w:t>
      </w:r>
      <w:r>
        <w:rPr>
          <w:b/>
          <w:spacing w:val="-10"/>
          <w:sz w:val="24"/>
        </w:rPr>
        <w:t> </w:t>
      </w:r>
      <w:r>
        <w:rPr>
          <w:b/>
          <w:sz w:val="24"/>
        </w:rPr>
        <w:t>Номенклатурной</w:t>
      </w:r>
      <w:r>
        <w:rPr>
          <w:b/>
          <w:spacing w:val="-10"/>
          <w:sz w:val="24"/>
        </w:rPr>
        <w:t> </w:t>
      </w:r>
      <w:r>
        <w:rPr>
          <w:b/>
          <w:sz w:val="24"/>
        </w:rPr>
        <w:t>классификации</w:t>
      </w:r>
      <w:r>
        <w:rPr>
          <w:b/>
          <w:spacing w:val="-10"/>
          <w:sz w:val="24"/>
        </w:rPr>
        <w:t> </w:t>
      </w:r>
      <w:r>
        <w:rPr>
          <w:b/>
          <w:sz w:val="24"/>
        </w:rPr>
        <w:t>медицинских</w:t>
      </w:r>
      <w:r>
        <w:rPr>
          <w:b/>
          <w:spacing w:val="-11"/>
          <w:sz w:val="24"/>
        </w:rPr>
        <w:t> </w:t>
      </w:r>
      <w:r>
        <w:rPr>
          <w:b/>
          <w:sz w:val="24"/>
        </w:rPr>
        <w:t>изделий,</w:t>
      </w:r>
      <w:r>
        <w:rPr>
          <w:b/>
          <w:spacing w:val="-11"/>
          <w:sz w:val="24"/>
        </w:rPr>
        <w:t> </w:t>
      </w:r>
      <w:r>
        <w:rPr>
          <w:b/>
          <w:sz w:val="24"/>
        </w:rPr>
        <w:t>представляющих собой экспресс-тесты для выявления иммуноглобулинов к SARS-CoV-2</w:t>
      </w:r>
    </w:p>
    <w:tbl>
      <w:tblPr>
        <w:tblW w:w="0" w:type="auto"/>
        <w:jc w:val="left"/>
        <w:tblInd w:w="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03"/>
        <w:gridCol w:w="2554"/>
        <w:gridCol w:w="6239"/>
      </w:tblGrid>
      <w:tr>
        <w:trPr>
          <w:trHeight w:val="756" w:hRule="atLeast"/>
        </w:trPr>
        <w:tc>
          <w:tcPr>
            <w:tcW w:w="703" w:type="dxa"/>
            <w:shd w:val="clear" w:color="auto" w:fill="F1F1F1"/>
          </w:tcPr>
          <w:p>
            <w:pPr>
              <w:pStyle w:val="TableParagraph"/>
              <w:spacing w:line="237" w:lineRule="auto" w:before="100"/>
              <w:ind w:left="187" w:right="174" w:firstLine="47"/>
              <w:rPr>
                <w:sz w:val="24"/>
              </w:rPr>
            </w:pPr>
            <w:r>
              <w:rPr>
                <w:spacing w:val="-10"/>
                <w:sz w:val="24"/>
              </w:rPr>
              <w:t>№ </w:t>
            </w:r>
            <w:r>
              <w:rPr>
                <w:spacing w:val="-4"/>
                <w:sz w:val="24"/>
              </w:rPr>
              <w:t>п/п</w:t>
            </w:r>
          </w:p>
        </w:tc>
        <w:tc>
          <w:tcPr>
            <w:tcW w:w="2554" w:type="dxa"/>
            <w:shd w:val="clear" w:color="auto" w:fill="F1F1F1"/>
          </w:tcPr>
          <w:p>
            <w:pPr>
              <w:pStyle w:val="TableParagraph"/>
              <w:spacing w:line="237" w:lineRule="auto" w:before="100"/>
              <w:ind w:left="484" w:right="158" w:hanging="319"/>
              <w:rPr>
                <w:sz w:val="24"/>
              </w:rPr>
            </w:pPr>
            <w:r>
              <w:rPr>
                <w:sz w:val="24"/>
              </w:rPr>
              <w:t>Вид</w:t>
            </w:r>
            <w:r>
              <w:rPr>
                <w:spacing w:val="-15"/>
                <w:sz w:val="24"/>
              </w:rPr>
              <w:t> </w:t>
            </w:r>
            <w:r>
              <w:rPr>
                <w:sz w:val="24"/>
              </w:rPr>
              <w:t>Номенклатурной </w:t>
            </w:r>
            <w:r>
              <w:rPr>
                <w:spacing w:val="-2"/>
                <w:sz w:val="24"/>
              </w:rPr>
              <w:t>классификации</w:t>
            </w:r>
          </w:p>
        </w:tc>
        <w:tc>
          <w:tcPr>
            <w:tcW w:w="6239" w:type="dxa"/>
            <w:shd w:val="clear" w:color="auto" w:fill="F1F1F1"/>
          </w:tcPr>
          <w:p>
            <w:pPr>
              <w:pStyle w:val="TableParagraph"/>
              <w:spacing w:line="237" w:lineRule="auto" w:before="100"/>
              <w:ind w:left="1983" w:hanging="1610"/>
              <w:rPr>
                <w:sz w:val="24"/>
              </w:rPr>
            </w:pPr>
            <w:r>
              <w:rPr>
                <w:sz w:val="24"/>
              </w:rPr>
              <w:t>Наименование</w:t>
            </w:r>
            <w:r>
              <w:rPr>
                <w:spacing w:val="-14"/>
                <w:sz w:val="24"/>
              </w:rPr>
              <w:t> </w:t>
            </w:r>
            <w:r>
              <w:rPr>
                <w:sz w:val="24"/>
              </w:rPr>
              <w:t>вида</w:t>
            </w:r>
            <w:r>
              <w:rPr>
                <w:spacing w:val="-14"/>
                <w:sz w:val="24"/>
              </w:rPr>
              <w:t> </w:t>
            </w:r>
            <w:r>
              <w:rPr>
                <w:sz w:val="24"/>
              </w:rPr>
              <w:t>Номенклатурной</w:t>
            </w:r>
            <w:r>
              <w:rPr>
                <w:spacing w:val="-15"/>
                <w:sz w:val="24"/>
              </w:rPr>
              <w:t> </w:t>
            </w:r>
            <w:r>
              <w:rPr>
                <w:sz w:val="24"/>
              </w:rPr>
              <w:t>классификации медицинских изделий</w:t>
            </w:r>
          </w:p>
        </w:tc>
      </w:tr>
      <w:tr>
        <w:trPr>
          <w:trHeight w:val="1031" w:hRule="atLeast"/>
        </w:trPr>
        <w:tc>
          <w:tcPr>
            <w:tcW w:w="703" w:type="dxa"/>
          </w:tcPr>
          <w:p>
            <w:pPr>
              <w:pStyle w:val="TableParagraph"/>
              <w:spacing w:before="98"/>
              <w:ind w:left="8"/>
              <w:jc w:val="center"/>
              <w:rPr>
                <w:sz w:val="24"/>
              </w:rPr>
            </w:pPr>
            <w:r>
              <w:rPr>
                <w:spacing w:val="-10"/>
                <w:sz w:val="24"/>
              </w:rPr>
              <w:t>1</w:t>
            </w:r>
          </w:p>
        </w:tc>
        <w:tc>
          <w:tcPr>
            <w:tcW w:w="2554" w:type="dxa"/>
          </w:tcPr>
          <w:p>
            <w:pPr>
              <w:pStyle w:val="TableParagraph"/>
              <w:spacing w:before="98"/>
              <w:ind w:left="3"/>
              <w:jc w:val="center"/>
              <w:rPr>
                <w:sz w:val="24"/>
              </w:rPr>
            </w:pPr>
            <w:r>
              <w:rPr>
                <w:spacing w:val="-2"/>
                <w:sz w:val="24"/>
              </w:rPr>
              <w:t>142250</w:t>
            </w:r>
          </w:p>
        </w:tc>
        <w:tc>
          <w:tcPr>
            <w:tcW w:w="6239" w:type="dxa"/>
          </w:tcPr>
          <w:p>
            <w:pPr>
              <w:pStyle w:val="TableParagraph"/>
              <w:spacing w:before="98"/>
              <w:ind w:left="55"/>
              <w:rPr>
                <w:sz w:val="24"/>
              </w:rPr>
            </w:pPr>
            <w:r>
              <w:rPr>
                <w:sz w:val="24"/>
              </w:rPr>
              <w:t>SARS Коронавирус антитела иммуноглобулин A (IgA)/IgG/IgM</w:t>
            </w:r>
            <w:r>
              <w:rPr>
                <w:spacing w:val="-15"/>
                <w:sz w:val="24"/>
              </w:rPr>
              <w:t> </w:t>
            </w:r>
            <w:r>
              <w:rPr>
                <w:sz w:val="24"/>
              </w:rPr>
              <w:t>ИВД,</w:t>
            </w:r>
            <w:r>
              <w:rPr>
                <w:spacing w:val="-15"/>
                <w:sz w:val="24"/>
              </w:rPr>
              <w:t> </w:t>
            </w:r>
            <w:r>
              <w:rPr>
                <w:sz w:val="24"/>
              </w:rPr>
              <w:t>набор,</w:t>
            </w:r>
            <w:r>
              <w:rPr>
                <w:spacing w:val="-13"/>
                <w:sz w:val="24"/>
              </w:rPr>
              <w:t> </w:t>
            </w:r>
            <w:r>
              <w:rPr>
                <w:sz w:val="24"/>
              </w:rPr>
              <w:t>иммунохроматографический анализ, экспресс-анализ</w:t>
            </w:r>
          </w:p>
        </w:tc>
      </w:tr>
      <w:tr>
        <w:trPr>
          <w:trHeight w:val="1031" w:hRule="atLeast"/>
        </w:trPr>
        <w:tc>
          <w:tcPr>
            <w:tcW w:w="703" w:type="dxa"/>
          </w:tcPr>
          <w:p>
            <w:pPr>
              <w:pStyle w:val="TableParagraph"/>
              <w:spacing w:before="97"/>
              <w:ind w:left="8" w:right="3"/>
              <w:jc w:val="center"/>
              <w:rPr>
                <w:sz w:val="24"/>
              </w:rPr>
            </w:pPr>
            <w:r>
              <w:rPr>
                <w:spacing w:val="-5"/>
                <w:sz w:val="24"/>
              </w:rPr>
              <w:t>2.</w:t>
            </w:r>
          </w:p>
        </w:tc>
        <w:tc>
          <w:tcPr>
            <w:tcW w:w="2554" w:type="dxa"/>
          </w:tcPr>
          <w:p>
            <w:pPr>
              <w:pStyle w:val="TableParagraph"/>
              <w:spacing w:before="97"/>
              <w:ind w:left="3"/>
              <w:jc w:val="center"/>
              <w:rPr>
                <w:sz w:val="24"/>
              </w:rPr>
            </w:pPr>
            <w:r>
              <w:rPr>
                <w:spacing w:val="-2"/>
                <w:sz w:val="24"/>
              </w:rPr>
              <w:t>377370</w:t>
            </w:r>
          </w:p>
        </w:tc>
        <w:tc>
          <w:tcPr>
            <w:tcW w:w="6239" w:type="dxa"/>
          </w:tcPr>
          <w:p>
            <w:pPr>
              <w:pStyle w:val="TableParagraph"/>
              <w:spacing w:before="97"/>
              <w:ind w:left="55" w:right="172"/>
              <w:rPr>
                <w:sz w:val="24"/>
              </w:rPr>
            </w:pPr>
            <w:r>
              <w:rPr>
                <w:sz w:val="24"/>
              </w:rPr>
              <w:t>SARS</w:t>
            </w:r>
            <w:r>
              <w:rPr>
                <w:spacing w:val="-8"/>
                <w:sz w:val="24"/>
              </w:rPr>
              <w:t> </w:t>
            </w:r>
            <w:r>
              <w:rPr>
                <w:sz w:val="24"/>
              </w:rPr>
              <w:t>Коронавирус</w:t>
            </w:r>
            <w:r>
              <w:rPr>
                <w:spacing w:val="-8"/>
                <w:sz w:val="24"/>
              </w:rPr>
              <w:t> </w:t>
            </w:r>
            <w:r>
              <w:rPr>
                <w:sz w:val="24"/>
              </w:rPr>
              <w:t>2/Вирус</w:t>
            </w:r>
            <w:r>
              <w:rPr>
                <w:spacing w:val="-8"/>
                <w:sz w:val="24"/>
              </w:rPr>
              <w:t> </w:t>
            </w:r>
            <w:r>
              <w:rPr>
                <w:sz w:val="24"/>
              </w:rPr>
              <w:t>гриппа</w:t>
            </w:r>
            <w:r>
              <w:rPr>
                <w:spacing w:val="-8"/>
                <w:sz w:val="24"/>
              </w:rPr>
              <w:t> </w:t>
            </w:r>
            <w:r>
              <w:rPr>
                <w:sz w:val="24"/>
              </w:rPr>
              <w:t>A/B</w:t>
            </w:r>
            <w:r>
              <w:rPr>
                <w:spacing w:val="-8"/>
                <w:sz w:val="24"/>
              </w:rPr>
              <w:t> </w:t>
            </w:r>
            <w:r>
              <w:rPr>
                <w:sz w:val="24"/>
              </w:rPr>
              <w:t>антигены</w:t>
            </w:r>
            <w:r>
              <w:rPr>
                <w:spacing w:val="-8"/>
                <w:sz w:val="24"/>
              </w:rPr>
              <w:t> </w:t>
            </w:r>
            <w:r>
              <w:rPr>
                <w:sz w:val="24"/>
              </w:rPr>
              <w:t>ИВД, набор, иммунохроматографический анализ, экспресс- </w:t>
            </w:r>
            <w:r>
              <w:rPr>
                <w:spacing w:val="-2"/>
                <w:sz w:val="24"/>
              </w:rPr>
              <w:t>анализ</w:t>
            </w:r>
          </w:p>
        </w:tc>
      </w:tr>
      <w:tr>
        <w:trPr>
          <w:trHeight w:val="1034" w:hRule="atLeast"/>
        </w:trPr>
        <w:tc>
          <w:tcPr>
            <w:tcW w:w="703" w:type="dxa"/>
          </w:tcPr>
          <w:p>
            <w:pPr>
              <w:pStyle w:val="TableParagraph"/>
              <w:spacing w:before="96"/>
              <w:ind w:left="8" w:right="3"/>
              <w:jc w:val="center"/>
              <w:rPr>
                <w:sz w:val="24"/>
              </w:rPr>
            </w:pPr>
            <w:r>
              <w:rPr>
                <w:spacing w:val="-5"/>
                <w:sz w:val="24"/>
              </w:rPr>
              <w:t>3.</w:t>
            </w:r>
          </w:p>
        </w:tc>
        <w:tc>
          <w:tcPr>
            <w:tcW w:w="2554" w:type="dxa"/>
          </w:tcPr>
          <w:p>
            <w:pPr>
              <w:pStyle w:val="TableParagraph"/>
              <w:spacing w:before="96"/>
              <w:ind w:left="3"/>
              <w:jc w:val="center"/>
              <w:rPr>
                <w:sz w:val="24"/>
              </w:rPr>
            </w:pPr>
            <w:r>
              <w:rPr>
                <w:spacing w:val="-2"/>
                <w:sz w:val="24"/>
              </w:rPr>
              <w:t>378010</w:t>
            </w:r>
          </w:p>
        </w:tc>
        <w:tc>
          <w:tcPr>
            <w:tcW w:w="6239" w:type="dxa"/>
          </w:tcPr>
          <w:p>
            <w:pPr>
              <w:pStyle w:val="TableParagraph"/>
              <w:spacing w:before="96"/>
              <w:ind w:left="55"/>
              <w:rPr>
                <w:sz w:val="24"/>
              </w:rPr>
            </w:pPr>
            <w:r>
              <w:rPr>
                <w:sz w:val="24"/>
              </w:rPr>
              <w:t>SARS Коронавирус 2 (SARS-CoV-2) общие/нейтрализующие антитела ИВД, набор, иммунохроматографический</w:t>
            </w:r>
            <w:r>
              <w:rPr>
                <w:spacing w:val="-15"/>
                <w:sz w:val="24"/>
              </w:rPr>
              <w:t> </w:t>
            </w:r>
            <w:r>
              <w:rPr>
                <w:sz w:val="24"/>
              </w:rPr>
              <w:t>анализ,</w:t>
            </w:r>
            <w:r>
              <w:rPr>
                <w:spacing w:val="-15"/>
                <w:sz w:val="24"/>
              </w:rPr>
              <w:t> </w:t>
            </w:r>
            <w:r>
              <w:rPr>
                <w:sz w:val="24"/>
              </w:rPr>
              <w:t>экспресс-анализ</w:t>
            </w:r>
          </w:p>
        </w:tc>
      </w:tr>
    </w:tbl>
    <w:p>
      <w:pPr>
        <w:pStyle w:val="BodyText"/>
        <w:spacing w:before="172"/>
        <w:ind w:left="0"/>
        <w:jc w:val="left"/>
        <w:rPr>
          <w:b/>
        </w:rPr>
      </w:pPr>
    </w:p>
    <w:p>
      <w:pPr>
        <w:spacing w:line="278" w:lineRule="auto" w:before="1"/>
        <w:ind w:left="0" w:right="576" w:firstLine="0"/>
        <w:jc w:val="center"/>
        <w:rPr>
          <w:b/>
          <w:sz w:val="24"/>
        </w:rPr>
      </w:pPr>
      <w:r>
        <w:rPr>
          <w:b/>
          <w:sz w:val="24"/>
        </w:rPr>
        <w:t>Виды</w:t>
      </w:r>
      <w:r>
        <w:rPr>
          <w:b/>
          <w:spacing w:val="-10"/>
          <w:sz w:val="24"/>
        </w:rPr>
        <w:t> </w:t>
      </w:r>
      <w:r>
        <w:rPr>
          <w:b/>
          <w:sz w:val="24"/>
        </w:rPr>
        <w:t>Номенклатурной</w:t>
      </w:r>
      <w:r>
        <w:rPr>
          <w:b/>
          <w:spacing w:val="-10"/>
          <w:sz w:val="24"/>
        </w:rPr>
        <w:t> </w:t>
      </w:r>
      <w:r>
        <w:rPr>
          <w:b/>
          <w:sz w:val="24"/>
        </w:rPr>
        <w:t>классификации</w:t>
      </w:r>
      <w:r>
        <w:rPr>
          <w:b/>
          <w:spacing w:val="-10"/>
          <w:sz w:val="24"/>
        </w:rPr>
        <w:t> </w:t>
      </w:r>
      <w:r>
        <w:rPr>
          <w:b/>
          <w:sz w:val="24"/>
        </w:rPr>
        <w:t>медицинских</w:t>
      </w:r>
      <w:r>
        <w:rPr>
          <w:b/>
          <w:spacing w:val="-11"/>
          <w:sz w:val="24"/>
        </w:rPr>
        <w:t> </w:t>
      </w:r>
      <w:r>
        <w:rPr>
          <w:b/>
          <w:sz w:val="24"/>
        </w:rPr>
        <w:t>изделий,</w:t>
      </w:r>
      <w:r>
        <w:rPr>
          <w:b/>
          <w:spacing w:val="-11"/>
          <w:sz w:val="24"/>
        </w:rPr>
        <w:t> </w:t>
      </w:r>
      <w:r>
        <w:rPr>
          <w:b/>
          <w:sz w:val="24"/>
        </w:rPr>
        <w:t>представляющих собой</w:t>
      </w:r>
      <w:r>
        <w:rPr>
          <w:b/>
          <w:spacing w:val="-1"/>
          <w:sz w:val="24"/>
        </w:rPr>
        <w:t> </w:t>
      </w:r>
      <w:r>
        <w:rPr>
          <w:b/>
          <w:sz w:val="24"/>
        </w:rPr>
        <w:t>диагностические</w:t>
      </w:r>
      <w:r>
        <w:rPr>
          <w:b/>
          <w:spacing w:val="-2"/>
          <w:sz w:val="24"/>
        </w:rPr>
        <w:t> </w:t>
      </w:r>
      <w:r>
        <w:rPr>
          <w:b/>
          <w:sz w:val="24"/>
        </w:rPr>
        <w:t>наборы</w:t>
      </w:r>
      <w:r>
        <w:rPr>
          <w:b/>
          <w:spacing w:val="-1"/>
          <w:sz w:val="24"/>
        </w:rPr>
        <w:t> </w:t>
      </w:r>
      <w:r>
        <w:rPr>
          <w:b/>
          <w:sz w:val="24"/>
        </w:rPr>
        <w:t>реагентов</w:t>
      </w:r>
      <w:r>
        <w:rPr>
          <w:b/>
          <w:spacing w:val="-2"/>
          <w:sz w:val="24"/>
        </w:rPr>
        <w:t> </w:t>
      </w:r>
      <w:r>
        <w:rPr>
          <w:b/>
          <w:sz w:val="24"/>
        </w:rPr>
        <w:t>для</w:t>
      </w:r>
      <w:r>
        <w:rPr>
          <w:b/>
          <w:spacing w:val="-2"/>
          <w:sz w:val="24"/>
        </w:rPr>
        <w:t> </w:t>
      </w:r>
      <w:r>
        <w:rPr>
          <w:b/>
          <w:sz w:val="24"/>
        </w:rPr>
        <w:t>выявления антигена</w:t>
      </w:r>
      <w:r>
        <w:rPr>
          <w:b/>
          <w:spacing w:val="-2"/>
          <w:sz w:val="24"/>
        </w:rPr>
        <w:t> </w:t>
      </w:r>
      <w:r>
        <w:rPr>
          <w:b/>
          <w:sz w:val="24"/>
        </w:rPr>
        <w:t>SARS-CoV-2</w:t>
      </w:r>
    </w:p>
    <w:tbl>
      <w:tblPr>
        <w:tblW w:w="0" w:type="auto"/>
        <w:jc w:val="left"/>
        <w:tblInd w:w="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03"/>
        <w:gridCol w:w="2554"/>
        <w:gridCol w:w="6239"/>
      </w:tblGrid>
      <w:tr>
        <w:trPr>
          <w:trHeight w:val="755" w:hRule="atLeast"/>
        </w:trPr>
        <w:tc>
          <w:tcPr>
            <w:tcW w:w="703" w:type="dxa"/>
            <w:shd w:val="clear" w:color="auto" w:fill="F1F1F1"/>
          </w:tcPr>
          <w:p>
            <w:pPr>
              <w:pStyle w:val="TableParagraph"/>
              <w:spacing w:before="95"/>
              <w:ind w:left="187" w:right="174" w:firstLine="47"/>
              <w:rPr>
                <w:sz w:val="24"/>
              </w:rPr>
            </w:pPr>
            <w:r>
              <w:rPr>
                <w:spacing w:val="-10"/>
                <w:sz w:val="24"/>
              </w:rPr>
              <w:t>№ </w:t>
            </w:r>
            <w:r>
              <w:rPr>
                <w:spacing w:val="-4"/>
                <w:sz w:val="24"/>
              </w:rPr>
              <w:t>п/п</w:t>
            </w:r>
          </w:p>
        </w:tc>
        <w:tc>
          <w:tcPr>
            <w:tcW w:w="2554" w:type="dxa"/>
            <w:shd w:val="clear" w:color="auto" w:fill="F1F1F1"/>
          </w:tcPr>
          <w:p>
            <w:pPr>
              <w:pStyle w:val="TableParagraph"/>
              <w:spacing w:before="95"/>
              <w:ind w:left="484" w:right="158" w:hanging="319"/>
              <w:rPr>
                <w:sz w:val="24"/>
              </w:rPr>
            </w:pPr>
            <w:r>
              <w:rPr>
                <w:sz w:val="24"/>
              </w:rPr>
              <w:t>Вид</w:t>
            </w:r>
            <w:r>
              <w:rPr>
                <w:spacing w:val="-15"/>
                <w:sz w:val="24"/>
              </w:rPr>
              <w:t> </w:t>
            </w:r>
            <w:r>
              <w:rPr>
                <w:sz w:val="24"/>
              </w:rPr>
              <w:t>Номенклатурной </w:t>
            </w:r>
            <w:r>
              <w:rPr>
                <w:spacing w:val="-2"/>
                <w:sz w:val="24"/>
              </w:rPr>
              <w:t>классификации</w:t>
            </w:r>
          </w:p>
        </w:tc>
        <w:tc>
          <w:tcPr>
            <w:tcW w:w="6239" w:type="dxa"/>
            <w:shd w:val="clear" w:color="auto" w:fill="F1F1F1"/>
          </w:tcPr>
          <w:p>
            <w:pPr>
              <w:pStyle w:val="TableParagraph"/>
              <w:spacing w:before="95"/>
              <w:ind w:left="1983" w:hanging="1610"/>
              <w:rPr>
                <w:sz w:val="24"/>
              </w:rPr>
            </w:pPr>
            <w:r>
              <w:rPr>
                <w:sz w:val="24"/>
              </w:rPr>
              <w:t>Наименование</w:t>
            </w:r>
            <w:r>
              <w:rPr>
                <w:spacing w:val="-14"/>
                <w:sz w:val="24"/>
              </w:rPr>
              <w:t> </w:t>
            </w:r>
            <w:r>
              <w:rPr>
                <w:sz w:val="24"/>
              </w:rPr>
              <w:t>вида</w:t>
            </w:r>
            <w:r>
              <w:rPr>
                <w:spacing w:val="-14"/>
                <w:sz w:val="24"/>
              </w:rPr>
              <w:t> </w:t>
            </w:r>
            <w:r>
              <w:rPr>
                <w:sz w:val="24"/>
              </w:rPr>
              <w:t>Номенклатурной</w:t>
            </w:r>
            <w:r>
              <w:rPr>
                <w:spacing w:val="-15"/>
                <w:sz w:val="24"/>
              </w:rPr>
              <w:t> </w:t>
            </w:r>
            <w:r>
              <w:rPr>
                <w:sz w:val="24"/>
              </w:rPr>
              <w:t>классификации медицинских изделий</w:t>
            </w:r>
          </w:p>
        </w:tc>
      </w:tr>
      <w:tr>
        <w:trPr>
          <w:trHeight w:val="755" w:hRule="atLeast"/>
        </w:trPr>
        <w:tc>
          <w:tcPr>
            <w:tcW w:w="703" w:type="dxa"/>
          </w:tcPr>
          <w:p>
            <w:pPr>
              <w:pStyle w:val="TableParagraph"/>
              <w:spacing w:before="97"/>
              <w:ind w:left="8" w:right="3"/>
              <w:jc w:val="center"/>
              <w:rPr>
                <w:sz w:val="24"/>
              </w:rPr>
            </w:pPr>
            <w:r>
              <w:rPr>
                <w:spacing w:val="-5"/>
                <w:sz w:val="24"/>
              </w:rPr>
              <w:t>1.</w:t>
            </w:r>
          </w:p>
        </w:tc>
        <w:tc>
          <w:tcPr>
            <w:tcW w:w="2554" w:type="dxa"/>
          </w:tcPr>
          <w:p>
            <w:pPr>
              <w:pStyle w:val="TableParagraph"/>
              <w:spacing w:before="97"/>
              <w:ind w:left="3"/>
              <w:jc w:val="center"/>
              <w:rPr>
                <w:sz w:val="24"/>
              </w:rPr>
            </w:pPr>
            <w:r>
              <w:rPr>
                <w:spacing w:val="-2"/>
                <w:sz w:val="24"/>
              </w:rPr>
              <w:t>142010</w:t>
            </w:r>
          </w:p>
        </w:tc>
        <w:tc>
          <w:tcPr>
            <w:tcW w:w="6239" w:type="dxa"/>
          </w:tcPr>
          <w:p>
            <w:pPr>
              <w:pStyle w:val="TableParagraph"/>
              <w:spacing w:before="97"/>
              <w:ind w:left="55"/>
              <w:rPr>
                <w:sz w:val="24"/>
              </w:rPr>
            </w:pPr>
            <w:r>
              <w:rPr>
                <w:sz w:val="24"/>
              </w:rPr>
              <w:t>SARS Коронавирус антигены ИВД, набор, иммунохроматографический</w:t>
            </w:r>
            <w:r>
              <w:rPr>
                <w:spacing w:val="-15"/>
                <w:sz w:val="24"/>
              </w:rPr>
              <w:t> </w:t>
            </w:r>
            <w:r>
              <w:rPr>
                <w:sz w:val="24"/>
              </w:rPr>
              <w:t>анализ,</w:t>
            </w:r>
            <w:r>
              <w:rPr>
                <w:spacing w:val="-15"/>
                <w:sz w:val="24"/>
              </w:rPr>
              <w:t> </w:t>
            </w:r>
            <w:r>
              <w:rPr>
                <w:sz w:val="24"/>
              </w:rPr>
              <w:t>экспресс-анализ</w:t>
            </w:r>
          </w:p>
        </w:tc>
      </w:tr>
      <w:tr>
        <w:trPr>
          <w:trHeight w:val="479" w:hRule="atLeast"/>
        </w:trPr>
        <w:tc>
          <w:tcPr>
            <w:tcW w:w="703" w:type="dxa"/>
            <w:shd w:val="clear" w:color="auto" w:fill="F1F1F1"/>
          </w:tcPr>
          <w:p>
            <w:pPr>
              <w:pStyle w:val="TableParagraph"/>
              <w:spacing w:before="96"/>
              <w:ind w:left="8" w:right="3"/>
              <w:jc w:val="center"/>
              <w:rPr>
                <w:sz w:val="24"/>
              </w:rPr>
            </w:pPr>
            <w:r>
              <w:rPr>
                <w:spacing w:val="-5"/>
                <w:sz w:val="24"/>
              </w:rPr>
              <w:t>2.</w:t>
            </w:r>
          </w:p>
        </w:tc>
        <w:tc>
          <w:tcPr>
            <w:tcW w:w="2554" w:type="dxa"/>
            <w:shd w:val="clear" w:color="auto" w:fill="F1F1F1"/>
          </w:tcPr>
          <w:p>
            <w:pPr>
              <w:pStyle w:val="TableParagraph"/>
              <w:spacing w:before="96"/>
              <w:ind w:left="3"/>
              <w:jc w:val="center"/>
              <w:rPr>
                <w:sz w:val="24"/>
              </w:rPr>
            </w:pPr>
            <w:r>
              <w:rPr>
                <w:spacing w:val="-2"/>
                <w:sz w:val="24"/>
              </w:rPr>
              <w:t>142050</w:t>
            </w:r>
          </w:p>
        </w:tc>
        <w:tc>
          <w:tcPr>
            <w:tcW w:w="6239" w:type="dxa"/>
            <w:shd w:val="clear" w:color="auto" w:fill="F1F1F1"/>
          </w:tcPr>
          <w:p>
            <w:pPr>
              <w:pStyle w:val="TableParagraph"/>
              <w:spacing w:before="96"/>
              <w:ind w:left="55"/>
              <w:rPr>
                <w:sz w:val="24"/>
              </w:rPr>
            </w:pPr>
            <w:r>
              <w:rPr>
                <w:sz w:val="24"/>
              </w:rPr>
              <w:t>SARS</w:t>
            </w:r>
            <w:r>
              <w:rPr>
                <w:spacing w:val="-10"/>
                <w:sz w:val="24"/>
              </w:rPr>
              <w:t> </w:t>
            </w:r>
            <w:r>
              <w:rPr>
                <w:sz w:val="24"/>
              </w:rPr>
              <w:t>Коронавирус</w:t>
            </w:r>
            <w:r>
              <w:rPr>
                <w:spacing w:val="-12"/>
                <w:sz w:val="24"/>
              </w:rPr>
              <w:t> </w:t>
            </w:r>
            <w:r>
              <w:rPr>
                <w:sz w:val="24"/>
              </w:rPr>
              <w:t>антигены</w:t>
            </w:r>
            <w:r>
              <w:rPr>
                <w:spacing w:val="-12"/>
                <w:sz w:val="24"/>
              </w:rPr>
              <w:t> </w:t>
            </w:r>
            <w:r>
              <w:rPr>
                <w:sz w:val="24"/>
              </w:rPr>
              <w:t>ИВД,</w:t>
            </w:r>
            <w:r>
              <w:rPr>
                <w:spacing w:val="-11"/>
                <w:sz w:val="24"/>
              </w:rPr>
              <w:t> </w:t>
            </w:r>
            <w:r>
              <w:rPr>
                <w:spacing w:val="-2"/>
                <w:sz w:val="24"/>
              </w:rPr>
              <w:t>калибратор</w:t>
            </w:r>
          </w:p>
        </w:tc>
      </w:tr>
      <w:tr>
        <w:trPr>
          <w:trHeight w:val="480" w:hRule="atLeast"/>
        </w:trPr>
        <w:tc>
          <w:tcPr>
            <w:tcW w:w="703" w:type="dxa"/>
          </w:tcPr>
          <w:p>
            <w:pPr>
              <w:pStyle w:val="TableParagraph"/>
              <w:spacing w:before="96"/>
              <w:ind w:left="8" w:right="3"/>
              <w:jc w:val="center"/>
              <w:rPr>
                <w:sz w:val="24"/>
              </w:rPr>
            </w:pPr>
            <w:r>
              <w:rPr>
                <w:spacing w:val="-5"/>
                <w:sz w:val="24"/>
              </w:rPr>
              <w:t>3.</w:t>
            </w:r>
          </w:p>
        </w:tc>
        <w:tc>
          <w:tcPr>
            <w:tcW w:w="2554" w:type="dxa"/>
          </w:tcPr>
          <w:p>
            <w:pPr>
              <w:pStyle w:val="TableParagraph"/>
              <w:spacing w:before="96"/>
              <w:ind w:left="3"/>
              <w:jc w:val="center"/>
              <w:rPr>
                <w:sz w:val="24"/>
              </w:rPr>
            </w:pPr>
            <w:r>
              <w:rPr>
                <w:spacing w:val="-2"/>
                <w:sz w:val="24"/>
              </w:rPr>
              <w:t>142080</w:t>
            </w:r>
          </w:p>
        </w:tc>
        <w:tc>
          <w:tcPr>
            <w:tcW w:w="6239" w:type="dxa"/>
          </w:tcPr>
          <w:p>
            <w:pPr>
              <w:pStyle w:val="TableParagraph"/>
              <w:spacing w:before="96"/>
              <w:ind w:left="55"/>
              <w:rPr>
                <w:sz w:val="24"/>
              </w:rPr>
            </w:pPr>
            <w:r>
              <w:rPr>
                <w:sz w:val="24"/>
              </w:rPr>
              <w:t>SARS</w:t>
            </w:r>
            <w:r>
              <w:rPr>
                <w:spacing w:val="-13"/>
                <w:sz w:val="24"/>
              </w:rPr>
              <w:t> </w:t>
            </w:r>
            <w:r>
              <w:rPr>
                <w:sz w:val="24"/>
              </w:rPr>
              <w:t>Коронавирус</w:t>
            </w:r>
            <w:r>
              <w:rPr>
                <w:spacing w:val="-14"/>
                <w:sz w:val="24"/>
              </w:rPr>
              <w:t> </w:t>
            </w:r>
            <w:r>
              <w:rPr>
                <w:sz w:val="24"/>
              </w:rPr>
              <w:t>антигены</w:t>
            </w:r>
            <w:r>
              <w:rPr>
                <w:spacing w:val="-14"/>
                <w:sz w:val="24"/>
              </w:rPr>
              <w:t> </w:t>
            </w:r>
            <w:r>
              <w:rPr>
                <w:sz w:val="24"/>
              </w:rPr>
              <w:t>ИВД,</w:t>
            </w:r>
            <w:r>
              <w:rPr>
                <w:spacing w:val="-14"/>
                <w:sz w:val="24"/>
              </w:rPr>
              <w:t> </w:t>
            </w:r>
            <w:r>
              <w:rPr>
                <w:sz w:val="24"/>
              </w:rPr>
              <w:t>контрольный</w:t>
            </w:r>
            <w:r>
              <w:rPr>
                <w:spacing w:val="-13"/>
                <w:sz w:val="24"/>
              </w:rPr>
              <w:t> </w:t>
            </w:r>
            <w:r>
              <w:rPr>
                <w:spacing w:val="-2"/>
                <w:sz w:val="24"/>
              </w:rPr>
              <w:t>материал</w:t>
            </w:r>
          </w:p>
        </w:tc>
      </w:tr>
      <w:tr>
        <w:trPr>
          <w:trHeight w:val="482" w:hRule="atLeast"/>
        </w:trPr>
        <w:tc>
          <w:tcPr>
            <w:tcW w:w="703" w:type="dxa"/>
            <w:shd w:val="clear" w:color="auto" w:fill="F1F1F1"/>
          </w:tcPr>
          <w:p>
            <w:pPr>
              <w:pStyle w:val="TableParagraph"/>
              <w:spacing w:before="95"/>
              <w:ind w:left="8" w:right="3"/>
              <w:jc w:val="center"/>
              <w:rPr>
                <w:sz w:val="24"/>
              </w:rPr>
            </w:pPr>
            <w:r>
              <w:rPr>
                <w:spacing w:val="-5"/>
                <w:sz w:val="24"/>
              </w:rPr>
              <w:t>4.</w:t>
            </w:r>
          </w:p>
        </w:tc>
        <w:tc>
          <w:tcPr>
            <w:tcW w:w="2554" w:type="dxa"/>
            <w:shd w:val="clear" w:color="auto" w:fill="F1F1F1"/>
          </w:tcPr>
          <w:p>
            <w:pPr>
              <w:pStyle w:val="TableParagraph"/>
              <w:spacing w:before="95"/>
              <w:ind w:left="3"/>
              <w:jc w:val="center"/>
              <w:rPr>
                <w:sz w:val="24"/>
              </w:rPr>
            </w:pPr>
            <w:r>
              <w:rPr>
                <w:spacing w:val="-2"/>
                <w:sz w:val="24"/>
              </w:rPr>
              <w:t>142110</w:t>
            </w:r>
          </w:p>
        </w:tc>
        <w:tc>
          <w:tcPr>
            <w:tcW w:w="6239" w:type="dxa"/>
            <w:shd w:val="clear" w:color="auto" w:fill="F1F1F1"/>
          </w:tcPr>
          <w:p>
            <w:pPr>
              <w:pStyle w:val="TableParagraph"/>
              <w:spacing w:before="95"/>
              <w:ind w:left="55"/>
              <w:rPr>
                <w:sz w:val="24"/>
              </w:rPr>
            </w:pPr>
            <w:r>
              <w:rPr>
                <w:sz w:val="24"/>
              </w:rPr>
              <w:t>SARS</w:t>
            </w:r>
            <w:r>
              <w:rPr>
                <w:spacing w:val="-12"/>
                <w:sz w:val="24"/>
              </w:rPr>
              <w:t> </w:t>
            </w:r>
            <w:r>
              <w:rPr>
                <w:sz w:val="24"/>
              </w:rPr>
              <w:t>Коронавирус</w:t>
            </w:r>
            <w:r>
              <w:rPr>
                <w:spacing w:val="-12"/>
                <w:sz w:val="24"/>
              </w:rPr>
              <w:t> </w:t>
            </w:r>
            <w:r>
              <w:rPr>
                <w:sz w:val="24"/>
              </w:rPr>
              <w:t>антигены</w:t>
            </w:r>
            <w:r>
              <w:rPr>
                <w:spacing w:val="-12"/>
                <w:sz w:val="24"/>
              </w:rPr>
              <w:t> </w:t>
            </w:r>
            <w:r>
              <w:rPr>
                <w:sz w:val="24"/>
              </w:rPr>
              <w:t>ИВД,</w:t>
            </w:r>
            <w:r>
              <w:rPr>
                <w:spacing w:val="-12"/>
                <w:sz w:val="24"/>
              </w:rPr>
              <w:t> </w:t>
            </w:r>
            <w:r>
              <w:rPr>
                <w:spacing w:val="-2"/>
                <w:sz w:val="24"/>
              </w:rPr>
              <w:t>реагент</w:t>
            </w:r>
          </w:p>
        </w:tc>
      </w:tr>
      <w:tr>
        <w:trPr>
          <w:trHeight w:val="755" w:hRule="atLeast"/>
        </w:trPr>
        <w:tc>
          <w:tcPr>
            <w:tcW w:w="703" w:type="dxa"/>
          </w:tcPr>
          <w:p>
            <w:pPr>
              <w:pStyle w:val="TableParagraph"/>
              <w:spacing w:before="92"/>
              <w:ind w:left="8" w:right="3"/>
              <w:jc w:val="center"/>
              <w:rPr>
                <w:sz w:val="24"/>
              </w:rPr>
            </w:pPr>
            <w:r>
              <w:rPr>
                <w:spacing w:val="-5"/>
                <w:sz w:val="24"/>
              </w:rPr>
              <w:t>5.</w:t>
            </w:r>
          </w:p>
        </w:tc>
        <w:tc>
          <w:tcPr>
            <w:tcW w:w="2554" w:type="dxa"/>
          </w:tcPr>
          <w:p>
            <w:pPr>
              <w:pStyle w:val="TableParagraph"/>
              <w:spacing w:before="232"/>
              <w:ind w:left="3"/>
              <w:jc w:val="center"/>
              <w:rPr>
                <w:sz w:val="24"/>
              </w:rPr>
            </w:pPr>
            <w:r>
              <w:rPr>
                <w:spacing w:val="-2"/>
                <w:sz w:val="24"/>
              </w:rPr>
              <w:t>142280</w:t>
            </w:r>
          </w:p>
        </w:tc>
        <w:tc>
          <w:tcPr>
            <w:tcW w:w="6239" w:type="dxa"/>
          </w:tcPr>
          <w:p>
            <w:pPr>
              <w:pStyle w:val="TableParagraph"/>
              <w:spacing w:before="92"/>
              <w:ind w:left="55"/>
              <w:rPr>
                <w:sz w:val="24"/>
              </w:rPr>
            </w:pPr>
            <w:r>
              <w:rPr>
                <w:sz w:val="24"/>
              </w:rPr>
              <w:t>SARS</w:t>
            </w:r>
            <w:r>
              <w:rPr>
                <w:spacing w:val="-10"/>
                <w:sz w:val="24"/>
              </w:rPr>
              <w:t> </w:t>
            </w:r>
            <w:r>
              <w:rPr>
                <w:sz w:val="24"/>
              </w:rPr>
              <w:t>Коронавирус</w:t>
            </w:r>
            <w:r>
              <w:rPr>
                <w:spacing w:val="-11"/>
                <w:sz w:val="24"/>
              </w:rPr>
              <w:t> </w:t>
            </w:r>
            <w:r>
              <w:rPr>
                <w:sz w:val="24"/>
              </w:rPr>
              <w:t>антигены</w:t>
            </w:r>
            <w:r>
              <w:rPr>
                <w:spacing w:val="-11"/>
                <w:sz w:val="24"/>
              </w:rPr>
              <w:t> </w:t>
            </w:r>
            <w:r>
              <w:rPr>
                <w:sz w:val="24"/>
              </w:rPr>
              <w:t>ИВД,</w:t>
            </w:r>
            <w:r>
              <w:rPr>
                <w:spacing w:val="-11"/>
                <w:sz w:val="24"/>
              </w:rPr>
              <w:t> </w:t>
            </w:r>
            <w:r>
              <w:rPr>
                <w:sz w:val="24"/>
              </w:rPr>
              <w:t>набор, иммуноферментный анализ (ИФА)</w:t>
            </w:r>
          </w:p>
        </w:tc>
      </w:tr>
      <w:tr>
        <w:trPr>
          <w:trHeight w:val="1031" w:hRule="atLeast"/>
        </w:trPr>
        <w:tc>
          <w:tcPr>
            <w:tcW w:w="703" w:type="dxa"/>
          </w:tcPr>
          <w:p>
            <w:pPr>
              <w:pStyle w:val="TableParagraph"/>
              <w:spacing w:before="92"/>
              <w:ind w:left="8" w:right="3"/>
              <w:jc w:val="center"/>
              <w:rPr>
                <w:sz w:val="24"/>
              </w:rPr>
            </w:pPr>
            <w:r>
              <w:rPr>
                <w:spacing w:val="-5"/>
                <w:sz w:val="24"/>
              </w:rPr>
              <w:t>6.</w:t>
            </w:r>
          </w:p>
        </w:tc>
        <w:tc>
          <w:tcPr>
            <w:tcW w:w="2554" w:type="dxa"/>
          </w:tcPr>
          <w:p>
            <w:pPr>
              <w:pStyle w:val="TableParagraph"/>
              <w:spacing w:before="91"/>
              <w:rPr>
                <w:b/>
                <w:sz w:val="24"/>
              </w:rPr>
            </w:pPr>
          </w:p>
          <w:p>
            <w:pPr>
              <w:pStyle w:val="TableParagraph"/>
              <w:spacing w:before="1"/>
              <w:ind w:left="3"/>
              <w:jc w:val="center"/>
              <w:rPr>
                <w:sz w:val="24"/>
              </w:rPr>
            </w:pPr>
            <w:r>
              <w:rPr>
                <w:spacing w:val="-2"/>
                <w:sz w:val="24"/>
              </w:rPr>
              <w:t>375010</w:t>
            </w:r>
          </w:p>
        </w:tc>
        <w:tc>
          <w:tcPr>
            <w:tcW w:w="6239" w:type="dxa"/>
          </w:tcPr>
          <w:p>
            <w:pPr>
              <w:pStyle w:val="TableParagraph"/>
              <w:spacing w:before="92"/>
              <w:ind w:left="55" w:right="172"/>
              <w:rPr>
                <w:sz w:val="24"/>
              </w:rPr>
            </w:pPr>
            <w:r>
              <w:rPr>
                <w:sz w:val="24"/>
              </w:rPr>
              <w:t>SARS</w:t>
            </w:r>
            <w:r>
              <w:rPr>
                <w:spacing w:val="-8"/>
                <w:sz w:val="24"/>
              </w:rPr>
              <w:t> </w:t>
            </w:r>
            <w:r>
              <w:rPr>
                <w:sz w:val="24"/>
              </w:rPr>
              <w:t>Коронавирус</w:t>
            </w:r>
            <w:r>
              <w:rPr>
                <w:spacing w:val="-8"/>
                <w:sz w:val="24"/>
              </w:rPr>
              <w:t> </w:t>
            </w:r>
            <w:r>
              <w:rPr>
                <w:sz w:val="24"/>
              </w:rPr>
              <w:t>2/Вирус</w:t>
            </w:r>
            <w:r>
              <w:rPr>
                <w:spacing w:val="-8"/>
                <w:sz w:val="24"/>
              </w:rPr>
              <w:t> </w:t>
            </w:r>
            <w:r>
              <w:rPr>
                <w:sz w:val="24"/>
              </w:rPr>
              <w:t>гриппа</w:t>
            </w:r>
            <w:r>
              <w:rPr>
                <w:spacing w:val="-8"/>
                <w:sz w:val="24"/>
              </w:rPr>
              <w:t> </w:t>
            </w:r>
            <w:r>
              <w:rPr>
                <w:sz w:val="24"/>
              </w:rPr>
              <w:t>A/B</w:t>
            </w:r>
            <w:r>
              <w:rPr>
                <w:spacing w:val="-8"/>
                <w:sz w:val="24"/>
              </w:rPr>
              <w:t> </w:t>
            </w:r>
            <w:r>
              <w:rPr>
                <w:sz w:val="24"/>
              </w:rPr>
              <w:t>антигены</w:t>
            </w:r>
            <w:r>
              <w:rPr>
                <w:spacing w:val="-8"/>
                <w:sz w:val="24"/>
              </w:rPr>
              <w:t> </w:t>
            </w:r>
            <w:r>
              <w:rPr>
                <w:sz w:val="24"/>
              </w:rPr>
              <w:t>ИВД, набор, иммунохроматографический анализ, экспресс- </w:t>
            </w:r>
            <w:r>
              <w:rPr>
                <w:spacing w:val="-2"/>
                <w:sz w:val="24"/>
              </w:rPr>
              <w:t>анализ</w:t>
            </w:r>
          </w:p>
        </w:tc>
      </w:tr>
    </w:tbl>
    <w:p>
      <w:pPr>
        <w:pStyle w:val="TableParagraph"/>
        <w:spacing w:after="0"/>
        <w:rPr>
          <w:sz w:val="24"/>
        </w:rPr>
        <w:sectPr>
          <w:type w:val="continuous"/>
          <w:pgSz w:w="11900" w:h="16840"/>
          <w:pgMar w:header="0" w:footer="697" w:top="1120" w:bottom="880" w:left="1559" w:right="566"/>
        </w:sectPr>
      </w:pPr>
    </w:p>
    <w:p>
      <w:pPr>
        <w:pStyle w:val="Heading3"/>
        <w:spacing w:before="73"/>
        <w:ind w:left="0" w:right="707"/>
        <w:jc w:val="right"/>
      </w:pPr>
      <w:bookmarkStart w:name="_TOC_250013" w:id="219"/>
      <w:bookmarkStart w:name="186" w:id="220"/>
      <w:r>
        <w:rPr>
          <w:b w:val="0"/>
        </w:rPr>
      </w:r>
      <w:r>
        <w:rPr>
          <w:spacing w:val="-2"/>
        </w:rPr>
        <w:t>Приложение</w:t>
      </w:r>
      <w:r>
        <w:rPr>
          <w:spacing w:val="2"/>
        </w:rPr>
        <w:t> </w:t>
      </w:r>
      <w:r>
        <w:rPr>
          <w:spacing w:val="-2"/>
        </w:rPr>
        <w:t>3-</w:t>
      </w:r>
      <w:bookmarkEnd w:id="219"/>
      <w:r>
        <w:rPr>
          <w:spacing w:val="-10"/>
        </w:rPr>
        <w:t>5</w:t>
      </w:r>
    </w:p>
    <w:p>
      <w:pPr>
        <w:spacing w:before="141"/>
        <w:ind w:left="2590" w:right="0" w:hanging="619"/>
        <w:jc w:val="left"/>
        <w:rPr>
          <w:b/>
          <w:sz w:val="24"/>
        </w:rPr>
      </w:pPr>
      <w:r>
        <w:rPr>
          <w:b/>
          <w:sz w:val="24"/>
        </w:rPr>
        <w:t>Инструкция</w:t>
      </w:r>
      <w:r>
        <w:rPr>
          <w:b/>
          <w:spacing w:val="-9"/>
          <w:sz w:val="24"/>
        </w:rPr>
        <w:t> </w:t>
      </w:r>
      <w:r>
        <w:rPr>
          <w:b/>
          <w:sz w:val="24"/>
        </w:rPr>
        <w:t>по</w:t>
      </w:r>
      <w:r>
        <w:rPr>
          <w:b/>
          <w:spacing w:val="-9"/>
          <w:sz w:val="24"/>
        </w:rPr>
        <w:t> </w:t>
      </w:r>
      <w:r>
        <w:rPr>
          <w:b/>
          <w:sz w:val="24"/>
        </w:rPr>
        <w:t>сбору</w:t>
      </w:r>
      <w:r>
        <w:rPr>
          <w:b/>
          <w:spacing w:val="-11"/>
          <w:sz w:val="24"/>
        </w:rPr>
        <w:t> </w:t>
      </w:r>
      <w:r>
        <w:rPr>
          <w:b/>
          <w:sz w:val="24"/>
        </w:rPr>
        <w:t>биологического</w:t>
      </w:r>
      <w:r>
        <w:rPr>
          <w:b/>
          <w:spacing w:val="-9"/>
          <w:sz w:val="24"/>
        </w:rPr>
        <w:t> </w:t>
      </w:r>
      <w:r>
        <w:rPr>
          <w:b/>
          <w:sz w:val="24"/>
        </w:rPr>
        <w:t>материала</w:t>
      </w:r>
      <w:r>
        <w:rPr>
          <w:b/>
          <w:spacing w:val="-9"/>
          <w:sz w:val="24"/>
        </w:rPr>
        <w:t> </w:t>
      </w:r>
      <w:r>
        <w:rPr>
          <w:b/>
          <w:sz w:val="24"/>
        </w:rPr>
        <w:t>для микробиологического исследования</w:t>
      </w:r>
    </w:p>
    <w:p>
      <w:pPr>
        <w:pStyle w:val="BodyText"/>
        <w:spacing w:before="182"/>
        <w:ind w:left="0"/>
        <w:jc w:val="left"/>
        <w:rPr>
          <w:b/>
        </w:rPr>
      </w:pPr>
    </w:p>
    <w:p>
      <w:pPr>
        <w:spacing w:line="259" w:lineRule="auto" w:before="0"/>
        <w:ind w:left="141" w:right="704" w:firstLine="0"/>
        <w:jc w:val="left"/>
        <w:rPr>
          <w:b/>
          <w:sz w:val="24"/>
        </w:rPr>
      </w:pPr>
      <w:r>
        <w:rPr>
          <w:b/>
          <w:sz w:val="24"/>
        </w:rPr>
        <w:t>Правила</w:t>
      </w:r>
      <w:r>
        <w:rPr>
          <w:b/>
          <w:spacing w:val="-8"/>
          <w:sz w:val="24"/>
        </w:rPr>
        <w:t> </w:t>
      </w:r>
      <w:r>
        <w:rPr>
          <w:b/>
          <w:sz w:val="24"/>
        </w:rPr>
        <w:t>сбора</w:t>
      </w:r>
      <w:r>
        <w:rPr>
          <w:b/>
          <w:spacing w:val="-8"/>
          <w:sz w:val="24"/>
        </w:rPr>
        <w:t> </w:t>
      </w:r>
      <w:r>
        <w:rPr>
          <w:b/>
          <w:sz w:val="24"/>
        </w:rPr>
        <w:t>свободно</w:t>
      </w:r>
      <w:r>
        <w:rPr>
          <w:b/>
          <w:spacing w:val="-9"/>
          <w:sz w:val="24"/>
        </w:rPr>
        <w:t> </w:t>
      </w:r>
      <w:r>
        <w:rPr>
          <w:b/>
          <w:sz w:val="24"/>
        </w:rPr>
        <w:t>отделяемой</w:t>
      </w:r>
      <w:r>
        <w:rPr>
          <w:b/>
          <w:spacing w:val="-8"/>
          <w:sz w:val="24"/>
        </w:rPr>
        <w:t> </w:t>
      </w:r>
      <w:r>
        <w:rPr>
          <w:b/>
          <w:sz w:val="24"/>
        </w:rPr>
        <w:t>мокроты</w:t>
      </w:r>
      <w:r>
        <w:rPr>
          <w:b/>
          <w:spacing w:val="-8"/>
          <w:sz w:val="24"/>
        </w:rPr>
        <w:t> </w:t>
      </w:r>
      <w:r>
        <w:rPr>
          <w:b/>
          <w:sz w:val="24"/>
        </w:rPr>
        <w:t>для</w:t>
      </w:r>
      <w:r>
        <w:rPr>
          <w:b/>
          <w:spacing w:val="-7"/>
          <w:sz w:val="24"/>
        </w:rPr>
        <w:t> </w:t>
      </w:r>
      <w:r>
        <w:rPr>
          <w:b/>
          <w:sz w:val="24"/>
        </w:rPr>
        <w:t>микробиологического </w:t>
      </w:r>
      <w:r>
        <w:rPr>
          <w:b/>
          <w:spacing w:val="-2"/>
          <w:sz w:val="24"/>
        </w:rPr>
        <w:t>исследования:</w:t>
      </w:r>
    </w:p>
    <w:p>
      <w:pPr>
        <w:pStyle w:val="ListParagraph"/>
        <w:numPr>
          <w:ilvl w:val="0"/>
          <w:numId w:val="84"/>
        </w:numPr>
        <w:tabs>
          <w:tab w:pos="557" w:val="left" w:leader="none"/>
        </w:tabs>
        <w:spacing w:line="259" w:lineRule="auto" w:before="159" w:after="0"/>
        <w:ind w:left="141" w:right="714" w:firstLine="0"/>
        <w:jc w:val="both"/>
        <w:rPr>
          <w:b/>
          <w:sz w:val="24"/>
        </w:rPr>
      </w:pPr>
      <w:r>
        <w:rPr>
          <w:sz w:val="24"/>
        </w:rPr>
        <w:t>Для сбора мокроты используют стерильные герметично закрывающиеся пластиковые контейнеры.</w:t>
      </w:r>
    </w:p>
    <w:p>
      <w:pPr>
        <w:pStyle w:val="ListParagraph"/>
        <w:numPr>
          <w:ilvl w:val="0"/>
          <w:numId w:val="84"/>
        </w:numPr>
        <w:tabs>
          <w:tab w:pos="379" w:val="left" w:leader="none"/>
        </w:tabs>
        <w:spacing w:line="240" w:lineRule="auto" w:before="159" w:after="0"/>
        <w:ind w:left="379" w:right="0" w:hanging="238"/>
        <w:jc w:val="left"/>
        <w:rPr>
          <w:sz w:val="24"/>
        </w:rPr>
      </w:pPr>
      <w:r>
        <w:rPr>
          <w:spacing w:val="-2"/>
          <w:sz w:val="24"/>
        </w:rPr>
        <w:t>Предпочтителен</w:t>
      </w:r>
      <w:r>
        <w:rPr>
          <w:spacing w:val="3"/>
          <w:sz w:val="24"/>
        </w:rPr>
        <w:t> </w:t>
      </w:r>
      <w:r>
        <w:rPr>
          <w:spacing w:val="-2"/>
          <w:sz w:val="24"/>
        </w:rPr>
        <w:t>утренний</w:t>
      </w:r>
      <w:r>
        <w:rPr>
          <w:spacing w:val="4"/>
          <w:sz w:val="24"/>
        </w:rPr>
        <w:t> </w:t>
      </w:r>
      <w:r>
        <w:rPr>
          <w:spacing w:val="-2"/>
          <w:sz w:val="24"/>
        </w:rPr>
        <w:t>сбор.</w:t>
      </w:r>
    </w:p>
    <w:p>
      <w:pPr>
        <w:pStyle w:val="ListParagraph"/>
        <w:numPr>
          <w:ilvl w:val="0"/>
          <w:numId w:val="84"/>
        </w:numPr>
        <w:tabs>
          <w:tab w:pos="379" w:val="left" w:leader="none"/>
        </w:tabs>
        <w:spacing w:line="240" w:lineRule="auto" w:before="180" w:after="0"/>
        <w:ind w:left="379" w:right="0" w:hanging="238"/>
        <w:jc w:val="left"/>
        <w:rPr>
          <w:sz w:val="24"/>
        </w:rPr>
      </w:pPr>
      <w:r>
        <w:rPr>
          <w:sz w:val="24"/>
        </w:rPr>
        <w:t>Сбор</w:t>
      </w:r>
      <w:r>
        <w:rPr>
          <w:spacing w:val="-9"/>
          <w:sz w:val="24"/>
        </w:rPr>
        <w:t> </w:t>
      </w:r>
      <w:r>
        <w:rPr>
          <w:sz w:val="24"/>
        </w:rPr>
        <w:t>мокроты</w:t>
      </w:r>
      <w:r>
        <w:rPr>
          <w:spacing w:val="-8"/>
          <w:sz w:val="24"/>
        </w:rPr>
        <w:t> </w:t>
      </w:r>
      <w:r>
        <w:rPr>
          <w:sz w:val="24"/>
        </w:rPr>
        <w:t>осуществляется</w:t>
      </w:r>
      <w:r>
        <w:rPr>
          <w:spacing w:val="-9"/>
          <w:sz w:val="24"/>
        </w:rPr>
        <w:t> </w:t>
      </w:r>
      <w:r>
        <w:rPr>
          <w:sz w:val="24"/>
        </w:rPr>
        <w:t>натощак</w:t>
      </w:r>
      <w:r>
        <w:rPr>
          <w:spacing w:val="-8"/>
          <w:sz w:val="24"/>
        </w:rPr>
        <w:t> </w:t>
      </w:r>
      <w:r>
        <w:rPr>
          <w:sz w:val="24"/>
        </w:rPr>
        <w:t>или</w:t>
      </w:r>
      <w:r>
        <w:rPr>
          <w:spacing w:val="-9"/>
          <w:sz w:val="24"/>
        </w:rPr>
        <w:t> </w:t>
      </w:r>
      <w:r>
        <w:rPr>
          <w:sz w:val="24"/>
        </w:rPr>
        <w:t>не</w:t>
      </w:r>
      <w:r>
        <w:rPr>
          <w:spacing w:val="-9"/>
          <w:sz w:val="24"/>
        </w:rPr>
        <w:t> </w:t>
      </w:r>
      <w:r>
        <w:rPr>
          <w:sz w:val="24"/>
        </w:rPr>
        <w:t>ранее</w:t>
      </w:r>
      <w:r>
        <w:rPr>
          <w:spacing w:val="-8"/>
          <w:sz w:val="24"/>
        </w:rPr>
        <w:t> </w:t>
      </w:r>
      <w:r>
        <w:rPr>
          <w:sz w:val="24"/>
        </w:rPr>
        <w:t>2</w:t>
      </w:r>
      <w:r>
        <w:rPr>
          <w:spacing w:val="-9"/>
          <w:sz w:val="24"/>
        </w:rPr>
        <w:t> </w:t>
      </w:r>
      <w:r>
        <w:rPr>
          <w:sz w:val="24"/>
        </w:rPr>
        <w:t>часов</w:t>
      </w:r>
      <w:r>
        <w:rPr>
          <w:spacing w:val="-5"/>
          <w:sz w:val="24"/>
        </w:rPr>
        <w:t> </w:t>
      </w:r>
      <w:r>
        <w:rPr>
          <w:sz w:val="24"/>
        </w:rPr>
        <w:t>после</w:t>
      </w:r>
      <w:r>
        <w:rPr>
          <w:spacing w:val="-7"/>
          <w:sz w:val="24"/>
        </w:rPr>
        <w:t> </w:t>
      </w:r>
      <w:r>
        <w:rPr>
          <w:spacing w:val="-4"/>
          <w:sz w:val="24"/>
        </w:rPr>
        <w:t>еды.</w:t>
      </w:r>
    </w:p>
    <w:p>
      <w:pPr>
        <w:pStyle w:val="ListParagraph"/>
        <w:numPr>
          <w:ilvl w:val="0"/>
          <w:numId w:val="84"/>
        </w:numPr>
        <w:tabs>
          <w:tab w:pos="391" w:val="left" w:leader="none"/>
        </w:tabs>
        <w:spacing w:line="259" w:lineRule="auto" w:before="182" w:after="0"/>
        <w:ind w:left="141" w:right="714" w:firstLine="0"/>
        <w:jc w:val="both"/>
        <w:rPr>
          <w:sz w:val="24"/>
        </w:rPr>
      </w:pPr>
      <w:r>
        <w:rPr>
          <w:sz w:val="24"/>
        </w:rPr>
        <w:t>Перед сбором мокроты пациент должен почистить зубы и тщательно прополоскать рот кипяченой водой. Если пациент не в состоянии сделать это сам, туалет ротовой полости осуществляют медицинские работники.</w:t>
      </w:r>
    </w:p>
    <w:p>
      <w:pPr>
        <w:pStyle w:val="ListParagraph"/>
        <w:numPr>
          <w:ilvl w:val="0"/>
          <w:numId w:val="84"/>
        </w:numPr>
        <w:tabs>
          <w:tab w:pos="494" w:val="left" w:leader="none"/>
        </w:tabs>
        <w:spacing w:line="259" w:lineRule="auto" w:before="159" w:after="0"/>
        <w:ind w:left="141" w:right="712" w:firstLine="0"/>
        <w:jc w:val="both"/>
        <w:rPr>
          <w:sz w:val="24"/>
        </w:rPr>
      </w:pPr>
      <w:r>
        <w:rPr>
          <w:sz w:val="24"/>
        </w:rPr>
        <w:t>Пациент</w:t>
      </w:r>
      <w:r>
        <w:rPr>
          <w:spacing w:val="80"/>
          <w:sz w:val="24"/>
        </w:rPr>
        <w:t> </w:t>
      </w:r>
      <w:r>
        <w:rPr>
          <w:sz w:val="24"/>
        </w:rPr>
        <w:t>должен</w:t>
      </w:r>
      <w:r>
        <w:rPr>
          <w:spacing w:val="80"/>
          <w:sz w:val="24"/>
        </w:rPr>
        <w:t> </w:t>
      </w:r>
      <w:r>
        <w:rPr>
          <w:sz w:val="24"/>
        </w:rPr>
        <w:t>сделать</w:t>
      </w:r>
      <w:r>
        <w:rPr>
          <w:spacing w:val="80"/>
          <w:sz w:val="24"/>
        </w:rPr>
        <w:t> </w:t>
      </w:r>
      <w:r>
        <w:rPr>
          <w:sz w:val="24"/>
        </w:rPr>
        <w:t>несколько</w:t>
      </w:r>
      <w:r>
        <w:rPr>
          <w:spacing w:val="80"/>
          <w:sz w:val="24"/>
        </w:rPr>
        <w:t> </w:t>
      </w:r>
      <w:r>
        <w:rPr>
          <w:sz w:val="24"/>
        </w:rPr>
        <w:t>глубоких</w:t>
      </w:r>
      <w:r>
        <w:rPr>
          <w:spacing w:val="80"/>
          <w:sz w:val="24"/>
        </w:rPr>
        <w:t> </w:t>
      </w:r>
      <w:r>
        <w:rPr>
          <w:sz w:val="24"/>
        </w:rPr>
        <w:t>вдохов</w:t>
      </w:r>
      <w:r>
        <w:rPr>
          <w:spacing w:val="80"/>
          <w:sz w:val="24"/>
        </w:rPr>
        <w:t> </w:t>
      </w:r>
      <w:r>
        <w:rPr>
          <w:sz w:val="24"/>
        </w:rPr>
        <w:t>с</w:t>
      </w:r>
      <w:r>
        <w:rPr>
          <w:spacing w:val="80"/>
          <w:sz w:val="24"/>
        </w:rPr>
        <w:t> </w:t>
      </w:r>
      <w:r>
        <w:rPr>
          <w:sz w:val="24"/>
        </w:rPr>
        <w:t>задержкой</w:t>
      </w:r>
      <w:r>
        <w:rPr>
          <w:spacing w:val="80"/>
          <w:sz w:val="24"/>
        </w:rPr>
        <w:t> </w:t>
      </w:r>
      <w:r>
        <w:rPr>
          <w:sz w:val="24"/>
        </w:rPr>
        <w:t>дыхания</w:t>
      </w:r>
      <w:r>
        <w:rPr>
          <w:spacing w:val="40"/>
          <w:sz w:val="24"/>
        </w:rPr>
        <w:t> </w:t>
      </w:r>
      <w:r>
        <w:rPr>
          <w:sz w:val="24"/>
        </w:rPr>
        <w:t>на несколько секунд, затем с силой выдохнуть, что способствует появлению продуктивного кашля.</w:t>
      </w:r>
    </w:p>
    <w:p>
      <w:pPr>
        <w:pStyle w:val="ListParagraph"/>
        <w:numPr>
          <w:ilvl w:val="0"/>
          <w:numId w:val="84"/>
        </w:numPr>
        <w:tabs>
          <w:tab w:pos="497" w:val="left" w:leader="none"/>
        </w:tabs>
        <w:spacing w:line="259" w:lineRule="auto" w:before="158" w:after="0"/>
        <w:ind w:left="141" w:right="712" w:firstLine="0"/>
        <w:jc w:val="both"/>
        <w:rPr>
          <w:sz w:val="24"/>
        </w:rPr>
      </w:pPr>
      <w:r>
        <w:rPr>
          <w:sz w:val="24"/>
        </w:rPr>
        <w:t>Затем пациент должен хорошо откашляться и собрать отделяемое нижних дыхательных путей (не слюну!) в стерильный контейнер.</w:t>
      </w:r>
    </w:p>
    <w:p>
      <w:pPr>
        <w:pStyle w:val="ListParagraph"/>
        <w:numPr>
          <w:ilvl w:val="0"/>
          <w:numId w:val="84"/>
        </w:numPr>
        <w:tabs>
          <w:tab w:pos="379" w:val="left" w:leader="none"/>
        </w:tabs>
        <w:spacing w:line="240" w:lineRule="auto" w:before="159" w:after="0"/>
        <w:ind w:left="379" w:right="0" w:hanging="238"/>
        <w:jc w:val="left"/>
        <w:rPr>
          <w:sz w:val="24"/>
        </w:rPr>
      </w:pPr>
      <w:r>
        <w:rPr>
          <w:sz w:val="24"/>
        </w:rPr>
        <w:t>Объем</w:t>
      </w:r>
      <w:r>
        <w:rPr>
          <w:spacing w:val="-9"/>
          <w:sz w:val="24"/>
        </w:rPr>
        <w:t> </w:t>
      </w:r>
      <w:r>
        <w:rPr>
          <w:sz w:val="24"/>
        </w:rPr>
        <w:t>образца</w:t>
      </w:r>
      <w:r>
        <w:rPr>
          <w:spacing w:val="-7"/>
          <w:sz w:val="24"/>
        </w:rPr>
        <w:t> </w:t>
      </w:r>
      <w:r>
        <w:rPr>
          <w:sz w:val="24"/>
        </w:rPr>
        <w:t>должен</w:t>
      </w:r>
      <w:r>
        <w:rPr>
          <w:spacing w:val="-7"/>
          <w:sz w:val="24"/>
        </w:rPr>
        <w:t> </w:t>
      </w:r>
      <w:r>
        <w:rPr>
          <w:sz w:val="24"/>
        </w:rPr>
        <w:t>быть</w:t>
      </w:r>
      <w:r>
        <w:rPr>
          <w:spacing w:val="-5"/>
          <w:sz w:val="24"/>
        </w:rPr>
        <w:t> </w:t>
      </w:r>
      <w:r>
        <w:rPr>
          <w:sz w:val="24"/>
        </w:rPr>
        <w:t>не</w:t>
      </w:r>
      <w:r>
        <w:rPr>
          <w:spacing w:val="-8"/>
          <w:sz w:val="24"/>
        </w:rPr>
        <w:t> </w:t>
      </w:r>
      <w:r>
        <w:rPr>
          <w:sz w:val="24"/>
        </w:rPr>
        <w:t>менее</w:t>
      </w:r>
      <w:r>
        <w:rPr>
          <w:spacing w:val="-7"/>
          <w:sz w:val="24"/>
        </w:rPr>
        <w:t> </w:t>
      </w:r>
      <w:r>
        <w:rPr>
          <w:sz w:val="24"/>
        </w:rPr>
        <w:t>3</w:t>
      </w:r>
      <w:r>
        <w:rPr>
          <w:spacing w:val="-7"/>
          <w:sz w:val="24"/>
        </w:rPr>
        <w:t> </w:t>
      </w:r>
      <w:r>
        <w:rPr>
          <w:spacing w:val="-5"/>
          <w:sz w:val="24"/>
        </w:rPr>
        <w:t>мл.</w:t>
      </w:r>
    </w:p>
    <w:p>
      <w:pPr>
        <w:pStyle w:val="ListParagraph"/>
        <w:numPr>
          <w:ilvl w:val="0"/>
          <w:numId w:val="84"/>
        </w:numPr>
        <w:tabs>
          <w:tab w:pos="458" w:val="left" w:leader="none"/>
        </w:tabs>
        <w:spacing w:line="259" w:lineRule="auto" w:before="183" w:after="0"/>
        <w:ind w:left="141" w:right="707" w:firstLine="0"/>
        <w:jc w:val="both"/>
        <w:rPr>
          <w:sz w:val="24"/>
        </w:rPr>
      </w:pPr>
      <w:r>
        <w:rPr>
          <w:sz w:val="24"/>
        </w:rPr>
        <w:t>Доставка</w:t>
      </w:r>
      <w:r>
        <w:rPr>
          <w:spacing w:val="40"/>
          <w:sz w:val="24"/>
        </w:rPr>
        <w:t> </w:t>
      </w:r>
      <w:r>
        <w:rPr>
          <w:sz w:val="24"/>
        </w:rPr>
        <w:t>биологического</w:t>
      </w:r>
      <w:r>
        <w:rPr>
          <w:spacing w:val="40"/>
          <w:sz w:val="24"/>
        </w:rPr>
        <w:t> </w:t>
      </w:r>
      <w:r>
        <w:rPr>
          <w:sz w:val="24"/>
        </w:rPr>
        <w:t>материала</w:t>
      </w:r>
      <w:r>
        <w:rPr>
          <w:spacing w:val="40"/>
          <w:sz w:val="24"/>
        </w:rPr>
        <w:t> </w:t>
      </w:r>
      <w:r>
        <w:rPr>
          <w:sz w:val="24"/>
        </w:rPr>
        <w:t>в</w:t>
      </w:r>
      <w:r>
        <w:rPr>
          <w:spacing w:val="40"/>
          <w:sz w:val="24"/>
        </w:rPr>
        <w:t> </w:t>
      </w:r>
      <w:r>
        <w:rPr>
          <w:sz w:val="24"/>
        </w:rPr>
        <w:t>лабораторию</w:t>
      </w:r>
      <w:r>
        <w:rPr>
          <w:spacing w:val="40"/>
          <w:sz w:val="24"/>
        </w:rPr>
        <w:t> </w:t>
      </w:r>
      <w:r>
        <w:rPr>
          <w:sz w:val="24"/>
        </w:rPr>
        <w:t>осуществляется</w:t>
      </w:r>
      <w:r>
        <w:rPr>
          <w:spacing w:val="40"/>
          <w:sz w:val="24"/>
        </w:rPr>
        <w:t> </w:t>
      </w:r>
      <w:r>
        <w:rPr>
          <w:sz w:val="24"/>
        </w:rPr>
        <w:t>в</w:t>
      </w:r>
      <w:r>
        <w:rPr>
          <w:spacing w:val="40"/>
          <w:sz w:val="24"/>
        </w:rPr>
        <w:t> </w:t>
      </w:r>
      <w:r>
        <w:rPr>
          <w:sz w:val="24"/>
        </w:rPr>
        <w:t>течении</w:t>
      </w:r>
      <w:r>
        <w:rPr>
          <w:spacing w:val="80"/>
          <w:sz w:val="24"/>
        </w:rPr>
        <w:t> </w:t>
      </w:r>
      <w:r>
        <w:rPr>
          <w:sz w:val="24"/>
        </w:rPr>
        <w:t>2-х часов.</w:t>
      </w:r>
    </w:p>
    <w:p>
      <w:pPr>
        <w:pStyle w:val="BodyText"/>
        <w:ind w:left="0"/>
        <w:jc w:val="left"/>
      </w:pPr>
    </w:p>
    <w:p>
      <w:pPr>
        <w:pStyle w:val="BodyText"/>
        <w:spacing w:before="62"/>
        <w:ind w:left="0"/>
        <w:jc w:val="left"/>
      </w:pPr>
    </w:p>
    <w:p>
      <w:pPr>
        <w:pStyle w:val="Heading3"/>
        <w:spacing w:before="1"/>
        <w:ind w:left="0" w:right="708"/>
        <w:jc w:val="right"/>
      </w:pPr>
      <w:r>
        <w:rPr>
          <w:spacing w:val="-2"/>
        </w:rPr>
        <w:t>Правила</w:t>
      </w:r>
      <w:r>
        <w:rPr>
          <w:spacing w:val="-15"/>
        </w:rPr>
        <w:t> </w:t>
      </w:r>
      <w:r>
        <w:rPr>
          <w:spacing w:val="-2"/>
        </w:rPr>
        <w:t>сбора</w:t>
      </w:r>
      <w:r>
        <w:rPr>
          <w:spacing w:val="-15"/>
        </w:rPr>
        <w:t> </w:t>
      </w:r>
      <w:r>
        <w:rPr>
          <w:spacing w:val="-2"/>
        </w:rPr>
        <w:t>индуцированной</w:t>
      </w:r>
      <w:r>
        <w:rPr>
          <w:spacing w:val="-15"/>
        </w:rPr>
        <w:t> </w:t>
      </w:r>
      <w:r>
        <w:rPr>
          <w:spacing w:val="-2"/>
        </w:rPr>
        <w:t>мокроты</w:t>
      </w:r>
      <w:r>
        <w:rPr>
          <w:spacing w:val="-17"/>
        </w:rPr>
        <w:t> </w:t>
      </w:r>
      <w:r>
        <w:rPr>
          <w:spacing w:val="-2"/>
        </w:rPr>
        <w:t>для</w:t>
      </w:r>
      <w:r>
        <w:rPr>
          <w:spacing w:val="-11"/>
        </w:rPr>
        <w:t> </w:t>
      </w:r>
      <w:r>
        <w:rPr>
          <w:spacing w:val="-2"/>
        </w:rPr>
        <w:t>микробиологического</w:t>
      </w:r>
      <w:r>
        <w:rPr>
          <w:spacing w:val="-12"/>
        </w:rPr>
        <w:t> </w:t>
      </w:r>
      <w:r>
        <w:rPr>
          <w:spacing w:val="-2"/>
        </w:rPr>
        <w:t>исследования</w:t>
      </w:r>
    </w:p>
    <w:p>
      <w:pPr>
        <w:pStyle w:val="ListParagraph"/>
        <w:numPr>
          <w:ilvl w:val="0"/>
          <w:numId w:val="85"/>
        </w:numPr>
        <w:tabs>
          <w:tab w:pos="557" w:val="left" w:leader="none"/>
        </w:tabs>
        <w:spacing w:line="259" w:lineRule="auto" w:before="182" w:after="0"/>
        <w:ind w:left="141" w:right="714" w:firstLine="0"/>
        <w:jc w:val="both"/>
        <w:rPr>
          <w:sz w:val="24"/>
        </w:rPr>
      </w:pPr>
      <w:r>
        <w:rPr>
          <w:sz w:val="24"/>
        </w:rPr>
        <w:t>Для сбора мокроты используют стерильные герметично закрывающиеся пластиковые контейнеры.</w:t>
      </w:r>
    </w:p>
    <w:p>
      <w:pPr>
        <w:pStyle w:val="ListParagraph"/>
        <w:numPr>
          <w:ilvl w:val="0"/>
          <w:numId w:val="85"/>
        </w:numPr>
        <w:tabs>
          <w:tab w:pos="379" w:val="left" w:leader="none"/>
        </w:tabs>
        <w:spacing w:line="240" w:lineRule="auto" w:before="159" w:after="0"/>
        <w:ind w:left="379" w:right="0" w:hanging="238"/>
        <w:jc w:val="left"/>
        <w:rPr>
          <w:sz w:val="24"/>
        </w:rPr>
      </w:pPr>
      <w:r>
        <w:rPr>
          <w:sz w:val="24"/>
        </w:rPr>
        <w:t>Сбор</w:t>
      </w:r>
      <w:r>
        <w:rPr>
          <w:spacing w:val="-9"/>
          <w:sz w:val="24"/>
        </w:rPr>
        <w:t> </w:t>
      </w:r>
      <w:r>
        <w:rPr>
          <w:sz w:val="24"/>
        </w:rPr>
        <w:t>мокроты</w:t>
      </w:r>
      <w:r>
        <w:rPr>
          <w:spacing w:val="-8"/>
          <w:sz w:val="24"/>
        </w:rPr>
        <w:t> </w:t>
      </w:r>
      <w:r>
        <w:rPr>
          <w:sz w:val="24"/>
        </w:rPr>
        <w:t>осуществляется</w:t>
      </w:r>
      <w:r>
        <w:rPr>
          <w:spacing w:val="-9"/>
          <w:sz w:val="24"/>
        </w:rPr>
        <w:t> </w:t>
      </w:r>
      <w:r>
        <w:rPr>
          <w:sz w:val="24"/>
        </w:rPr>
        <w:t>натощак</w:t>
      </w:r>
      <w:r>
        <w:rPr>
          <w:spacing w:val="-8"/>
          <w:sz w:val="24"/>
        </w:rPr>
        <w:t> </w:t>
      </w:r>
      <w:r>
        <w:rPr>
          <w:sz w:val="24"/>
        </w:rPr>
        <w:t>или</w:t>
      </w:r>
      <w:r>
        <w:rPr>
          <w:spacing w:val="-9"/>
          <w:sz w:val="24"/>
        </w:rPr>
        <w:t> </w:t>
      </w:r>
      <w:r>
        <w:rPr>
          <w:sz w:val="24"/>
        </w:rPr>
        <w:t>не</w:t>
      </w:r>
      <w:r>
        <w:rPr>
          <w:spacing w:val="-9"/>
          <w:sz w:val="24"/>
        </w:rPr>
        <w:t> </w:t>
      </w:r>
      <w:r>
        <w:rPr>
          <w:sz w:val="24"/>
        </w:rPr>
        <w:t>ранее</w:t>
      </w:r>
      <w:r>
        <w:rPr>
          <w:spacing w:val="-8"/>
          <w:sz w:val="24"/>
        </w:rPr>
        <w:t> </w:t>
      </w:r>
      <w:r>
        <w:rPr>
          <w:sz w:val="24"/>
        </w:rPr>
        <w:t>2-х</w:t>
      </w:r>
      <w:r>
        <w:rPr>
          <w:spacing w:val="-8"/>
          <w:sz w:val="24"/>
        </w:rPr>
        <w:t> </w:t>
      </w:r>
      <w:r>
        <w:rPr>
          <w:sz w:val="24"/>
        </w:rPr>
        <w:t>часов</w:t>
      </w:r>
      <w:r>
        <w:rPr>
          <w:spacing w:val="-9"/>
          <w:sz w:val="24"/>
        </w:rPr>
        <w:t> </w:t>
      </w:r>
      <w:r>
        <w:rPr>
          <w:sz w:val="24"/>
        </w:rPr>
        <w:t>после</w:t>
      </w:r>
      <w:r>
        <w:rPr>
          <w:spacing w:val="-8"/>
          <w:sz w:val="24"/>
        </w:rPr>
        <w:t> </w:t>
      </w:r>
      <w:r>
        <w:rPr>
          <w:spacing w:val="-4"/>
          <w:sz w:val="24"/>
        </w:rPr>
        <w:t>еды.</w:t>
      </w:r>
    </w:p>
    <w:p>
      <w:pPr>
        <w:pStyle w:val="ListParagraph"/>
        <w:numPr>
          <w:ilvl w:val="0"/>
          <w:numId w:val="85"/>
        </w:numPr>
        <w:tabs>
          <w:tab w:pos="379" w:val="left" w:leader="none"/>
        </w:tabs>
        <w:spacing w:line="240" w:lineRule="auto" w:before="182" w:after="0"/>
        <w:ind w:left="379" w:right="0" w:hanging="238"/>
        <w:jc w:val="left"/>
        <w:rPr>
          <w:sz w:val="24"/>
        </w:rPr>
      </w:pPr>
      <w:r>
        <w:rPr>
          <w:spacing w:val="-2"/>
          <w:sz w:val="24"/>
        </w:rPr>
        <w:t>Предпочтителен</w:t>
      </w:r>
      <w:r>
        <w:rPr>
          <w:spacing w:val="3"/>
          <w:sz w:val="24"/>
        </w:rPr>
        <w:t> </w:t>
      </w:r>
      <w:r>
        <w:rPr>
          <w:spacing w:val="-2"/>
          <w:sz w:val="24"/>
        </w:rPr>
        <w:t>утренний</w:t>
      </w:r>
      <w:r>
        <w:rPr>
          <w:spacing w:val="4"/>
          <w:sz w:val="24"/>
        </w:rPr>
        <w:t> </w:t>
      </w:r>
      <w:r>
        <w:rPr>
          <w:spacing w:val="-2"/>
          <w:sz w:val="24"/>
        </w:rPr>
        <w:t>сбор.</w:t>
      </w:r>
    </w:p>
    <w:p>
      <w:pPr>
        <w:pStyle w:val="ListParagraph"/>
        <w:numPr>
          <w:ilvl w:val="0"/>
          <w:numId w:val="85"/>
        </w:numPr>
        <w:tabs>
          <w:tab w:pos="391" w:val="left" w:leader="none"/>
        </w:tabs>
        <w:spacing w:line="259" w:lineRule="auto" w:before="180" w:after="0"/>
        <w:ind w:left="141" w:right="714" w:firstLine="0"/>
        <w:jc w:val="both"/>
        <w:rPr>
          <w:sz w:val="24"/>
        </w:rPr>
      </w:pPr>
      <w:r>
        <w:rPr>
          <w:sz w:val="24"/>
        </w:rPr>
        <w:t>Перед сбором мокроты пациент должен почистить зубы и тщательно прополоскать рот кипяченой водой. Если пациент не в состоянии сделать это сам, туалет ротовой полости осуществляют медицинские работники.</w:t>
      </w:r>
    </w:p>
    <w:p>
      <w:pPr>
        <w:pStyle w:val="ListParagraph"/>
        <w:numPr>
          <w:ilvl w:val="0"/>
          <w:numId w:val="85"/>
        </w:numPr>
        <w:tabs>
          <w:tab w:pos="523" w:val="left" w:leader="none"/>
        </w:tabs>
        <w:spacing w:line="259" w:lineRule="auto" w:before="158" w:after="0"/>
        <w:ind w:left="141" w:right="706" w:firstLine="0"/>
        <w:jc w:val="both"/>
        <w:rPr>
          <w:sz w:val="24"/>
        </w:rPr>
      </w:pPr>
      <w:r>
        <w:rPr>
          <w:sz w:val="24"/>
        </w:rPr>
        <w:t>Для сбора индуцированное мокроты используются дренажные положения, упражнения дыхательной гимнастики, вибрационный массаж грудной клетки.</w:t>
      </w:r>
    </w:p>
    <w:p>
      <w:pPr>
        <w:pStyle w:val="ListParagraph"/>
        <w:numPr>
          <w:ilvl w:val="0"/>
          <w:numId w:val="85"/>
        </w:numPr>
        <w:tabs>
          <w:tab w:pos="370" w:val="left" w:leader="none"/>
        </w:tabs>
        <w:spacing w:line="259" w:lineRule="auto" w:before="160" w:after="0"/>
        <w:ind w:left="141" w:right="711" w:firstLine="0"/>
        <w:jc w:val="both"/>
        <w:rPr>
          <w:sz w:val="24"/>
        </w:rPr>
      </w:pPr>
      <w:r>
        <w:rPr>
          <w:sz w:val="24"/>
        </w:rPr>
        <w:t>Также</w:t>
      </w:r>
      <w:r>
        <w:rPr>
          <w:spacing w:val="-15"/>
          <w:sz w:val="24"/>
        </w:rPr>
        <w:t> </w:t>
      </w:r>
      <w:r>
        <w:rPr>
          <w:sz w:val="24"/>
        </w:rPr>
        <w:t>используются</w:t>
      </w:r>
      <w:r>
        <w:rPr>
          <w:spacing w:val="-15"/>
          <w:sz w:val="24"/>
        </w:rPr>
        <w:t> </w:t>
      </w:r>
      <w:r>
        <w:rPr>
          <w:sz w:val="24"/>
        </w:rPr>
        <w:t>ингаляции</w:t>
      </w:r>
      <w:r>
        <w:rPr>
          <w:spacing w:val="-15"/>
          <w:sz w:val="24"/>
        </w:rPr>
        <w:t> </w:t>
      </w:r>
      <w:r>
        <w:rPr>
          <w:sz w:val="24"/>
        </w:rPr>
        <w:t>в</w:t>
      </w:r>
      <w:r>
        <w:rPr>
          <w:spacing w:val="-15"/>
          <w:sz w:val="24"/>
        </w:rPr>
        <w:t> </w:t>
      </w:r>
      <w:r>
        <w:rPr>
          <w:sz w:val="24"/>
        </w:rPr>
        <w:t>течении</w:t>
      </w:r>
      <w:r>
        <w:rPr>
          <w:spacing w:val="-13"/>
          <w:sz w:val="24"/>
        </w:rPr>
        <w:t> </w:t>
      </w:r>
      <w:r>
        <w:rPr>
          <w:sz w:val="24"/>
        </w:rPr>
        <w:t>15-20</w:t>
      </w:r>
      <w:r>
        <w:rPr>
          <w:spacing w:val="-14"/>
          <w:sz w:val="24"/>
        </w:rPr>
        <w:t> </w:t>
      </w:r>
      <w:r>
        <w:rPr>
          <w:sz w:val="24"/>
        </w:rPr>
        <w:t>минут</w:t>
      </w:r>
      <w:r>
        <w:rPr>
          <w:spacing w:val="-13"/>
          <w:sz w:val="24"/>
        </w:rPr>
        <w:t> </w:t>
      </w:r>
      <w:r>
        <w:rPr>
          <w:sz w:val="24"/>
        </w:rPr>
        <w:t>с</w:t>
      </w:r>
      <w:r>
        <w:rPr>
          <w:spacing w:val="-15"/>
          <w:sz w:val="24"/>
        </w:rPr>
        <w:t> </w:t>
      </w:r>
      <w:r>
        <w:rPr>
          <w:sz w:val="24"/>
        </w:rPr>
        <w:t>гипертоническим</w:t>
      </w:r>
      <w:r>
        <w:rPr>
          <w:spacing w:val="-15"/>
          <w:sz w:val="24"/>
        </w:rPr>
        <w:t> </w:t>
      </w:r>
      <w:r>
        <w:rPr>
          <w:sz w:val="24"/>
        </w:rPr>
        <w:t>раствором хлорида натрия. Пациенты с бронхиальной астмой перед процедурой получают ингаляцию сальбутамола для предупреждения бронхоспазма.</w:t>
      </w:r>
    </w:p>
    <w:p>
      <w:pPr>
        <w:pStyle w:val="ListParagraph"/>
        <w:numPr>
          <w:ilvl w:val="0"/>
          <w:numId w:val="85"/>
        </w:numPr>
        <w:tabs>
          <w:tab w:pos="497" w:val="left" w:leader="none"/>
        </w:tabs>
        <w:spacing w:line="259" w:lineRule="auto" w:before="158" w:after="0"/>
        <w:ind w:left="141" w:right="712" w:firstLine="0"/>
        <w:jc w:val="both"/>
        <w:rPr>
          <w:sz w:val="24"/>
        </w:rPr>
      </w:pPr>
      <w:r>
        <w:rPr>
          <w:sz w:val="24"/>
        </w:rPr>
        <w:t>Затем пациент должен хорошо откашляться и собрать отделяемое нижних дыхательных путей (не слюну!) в стерильный контейнер.</w:t>
      </w:r>
    </w:p>
    <w:p>
      <w:pPr>
        <w:pStyle w:val="ListParagraph"/>
        <w:spacing w:after="0" w:line="259" w:lineRule="auto"/>
        <w:jc w:val="both"/>
        <w:rPr>
          <w:sz w:val="24"/>
        </w:rPr>
        <w:sectPr>
          <w:pgSz w:w="11900" w:h="16840"/>
          <w:pgMar w:header="0" w:footer="697" w:top="1080" w:bottom="880" w:left="1559" w:right="566"/>
        </w:sectPr>
      </w:pPr>
    </w:p>
    <w:p>
      <w:pPr>
        <w:pStyle w:val="ListParagraph"/>
        <w:numPr>
          <w:ilvl w:val="0"/>
          <w:numId w:val="85"/>
        </w:numPr>
        <w:tabs>
          <w:tab w:pos="379" w:val="left" w:leader="none"/>
        </w:tabs>
        <w:spacing w:line="240" w:lineRule="auto" w:before="73" w:after="0"/>
        <w:ind w:left="379" w:right="0" w:hanging="238"/>
        <w:jc w:val="left"/>
        <w:rPr>
          <w:sz w:val="24"/>
        </w:rPr>
      </w:pPr>
      <w:bookmarkStart w:name="187" w:id="221"/>
      <w:bookmarkEnd w:id="221"/>
      <w:r>
        <w:rPr/>
      </w:r>
      <w:r>
        <w:rPr>
          <w:sz w:val="24"/>
        </w:rPr>
        <w:t>Объем</w:t>
      </w:r>
      <w:r>
        <w:rPr>
          <w:spacing w:val="-9"/>
          <w:sz w:val="24"/>
        </w:rPr>
        <w:t> </w:t>
      </w:r>
      <w:r>
        <w:rPr>
          <w:sz w:val="24"/>
        </w:rPr>
        <w:t>образца</w:t>
      </w:r>
      <w:r>
        <w:rPr>
          <w:spacing w:val="-7"/>
          <w:sz w:val="24"/>
        </w:rPr>
        <w:t> </w:t>
      </w:r>
      <w:r>
        <w:rPr>
          <w:sz w:val="24"/>
        </w:rPr>
        <w:t>должен</w:t>
      </w:r>
      <w:r>
        <w:rPr>
          <w:spacing w:val="-7"/>
          <w:sz w:val="24"/>
        </w:rPr>
        <w:t> </w:t>
      </w:r>
      <w:r>
        <w:rPr>
          <w:sz w:val="24"/>
        </w:rPr>
        <w:t>быть</w:t>
      </w:r>
      <w:r>
        <w:rPr>
          <w:spacing w:val="-5"/>
          <w:sz w:val="24"/>
        </w:rPr>
        <w:t> </w:t>
      </w:r>
      <w:r>
        <w:rPr>
          <w:sz w:val="24"/>
        </w:rPr>
        <w:t>не</w:t>
      </w:r>
      <w:r>
        <w:rPr>
          <w:spacing w:val="-8"/>
          <w:sz w:val="24"/>
        </w:rPr>
        <w:t> </w:t>
      </w:r>
      <w:r>
        <w:rPr>
          <w:sz w:val="24"/>
        </w:rPr>
        <w:t>менее</w:t>
      </w:r>
      <w:r>
        <w:rPr>
          <w:spacing w:val="-7"/>
          <w:sz w:val="24"/>
        </w:rPr>
        <w:t> </w:t>
      </w:r>
      <w:r>
        <w:rPr>
          <w:sz w:val="24"/>
        </w:rPr>
        <w:t>3</w:t>
      </w:r>
      <w:r>
        <w:rPr>
          <w:spacing w:val="-7"/>
          <w:sz w:val="24"/>
        </w:rPr>
        <w:t> </w:t>
      </w:r>
      <w:r>
        <w:rPr>
          <w:spacing w:val="-5"/>
          <w:sz w:val="24"/>
        </w:rPr>
        <w:t>мл</w:t>
      </w:r>
    </w:p>
    <w:p>
      <w:pPr>
        <w:pStyle w:val="ListParagraph"/>
        <w:numPr>
          <w:ilvl w:val="0"/>
          <w:numId w:val="85"/>
        </w:numPr>
        <w:tabs>
          <w:tab w:pos="458" w:val="left" w:leader="none"/>
        </w:tabs>
        <w:spacing w:line="259" w:lineRule="auto" w:before="182" w:after="0"/>
        <w:ind w:left="141" w:right="707" w:firstLine="0"/>
        <w:jc w:val="both"/>
        <w:rPr>
          <w:sz w:val="24"/>
        </w:rPr>
      </w:pPr>
      <w:r>
        <w:rPr>
          <w:sz w:val="24"/>
        </w:rPr>
        <w:t>Доставка</w:t>
      </w:r>
      <w:r>
        <w:rPr>
          <w:spacing w:val="40"/>
          <w:sz w:val="24"/>
        </w:rPr>
        <w:t> </w:t>
      </w:r>
      <w:r>
        <w:rPr>
          <w:sz w:val="24"/>
        </w:rPr>
        <w:t>биологического</w:t>
      </w:r>
      <w:r>
        <w:rPr>
          <w:spacing w:val="40"/>
          <w:sz w:val="24"/>
        </w:rPr>
        <w:t> </w:t>
      </w:r>
      <w:r>
        <w:rPr>
          <w:sz w:val="24"/>
        </w:rPr>
        <w:t>материала</w:t>
      </w:r>
      <w:r>
        <w:rPr>
          <w:spacing w:val="40"/>
          <w:sz w:val="24"/>
        </w:rPr>
        <w:t> </w:t>
      </w:r>
      <w:r>
        <w:rPr>
          <w:sz w:val="24"/>
        </w:rPr>
        <w:t>в</w:t>
      </w:r>
      <w:r>
        <w:rPr>
          <w:spacing w:val="40"/>
          <w:sz w:val="24"/>
        </w:rPr>
        <w:t> </w:t>
      </w:r>
      <w:r>
        <w:rPr>
          <w:sz w:val="24"/>
        </w:rPr>
        <w:t>лабораторию</w:t>
      </w:r>
      <w:r>
        <w:rPr>
          <w:spacing w:val="40"/>
          <w:sz w:val="24"/>
        </w:rPr>
        <w:t> </w:t>
      </w:r>
      <w:r>
        <w:rPr>
          <w:sz w:val="24"/>
        </w:rPr>
        <w:t>осуществляется</w:t>
      </w:r>
      <w:r>
        <w:rPr>
          <w:spacing w:val="40"/>
          <w:sz w:val="24"/>
        </w:rPr>
        <w:t> </w:t>
      </w:r>
      <w:r>
        <w:rPr>
          <w:sz w:val="24"/>
        </w:rPr>
        <w:t>в</w:t>
      </w:r>
      <w:r>
        <w:rPr>
          <w:spacing w:val="40"/>
          <w:sz w:val="24"/>
        </w:rPr>
        <w:t> </w:t>
      </w:r>
      <w:r>
        <w:rPr>
          <w:sz w:val="24"/>
        </w:rPr>
        <w:t>течении</w:t>
      </w:r>
      <w:r>
        <w:rPr>
          <w:spacing w:val="80"/>
          <w:sz w:val="24"/>
        </w:rPr>
        <w:t> </w:t>
      </w:r>
      <w:r>
        <w:rPr>
          <w:sz w:val="24"/>
        </w:rPr>
        <w:t>2-х часов.</w:t>
      </w:r>
    </w:p>
    <w:p>
      <w:pPr>
        <w:pStyle w:val="BodyText"/>
        <w:ind w:left="0"/>
        <w:jc w:val="left"/>
      </w:pPr>
    </w:p>
    <w:p>
      <w:pPr>
        <w:pStyle w:val="BodyText"/>
        <w:spacing w:before="63"/>
        <w:ind w:left="0"/>
        <w:jc w:val="left"/>
      </w:pPr>
    </w:p>
    <w:p>
      <w:pPr>
        <w:pStyle w:val="Heading3"/>
        <w:ind w:left="141"/>
        <w:jc w:val="left"/>
      </w:pPr>
      <w:r>
        <w:rPr>
          <w:spacing w:val="-2"/>
        </w:rPr>
        <w:t>Правила</w:t>
      </w:r>
      <w:r>
        <w:rPr>
          <w:spacing w:val="1"/>
        </w:rPr>
        <w:t> </w:t>
      </w:r>
      <w:r>
        <w:rPr>
          <w:spacing w:val="-2"/>
        </w:rPr>
        <w:t>сбора</w:t>
      </w:r>
      <w:r>
        <w:rPr/>
        <w:t> </w:t>
      </w:r>
      <w:r>
        <w:rPr>
          <w:spacing w:val="-2"/>
        </w:rPr>
        <w:t>лаважной</w:t>
      </w:r>
      <w:r>
        <w:rPr>
          <w:spacing w:val="2"/>
        </w:rPr>
        <w:t> </w:t>
      </w:r>
      <w:r>
        <w:rPr>
          <w:spacing w:val="-2"/>
        </w:rPr>
        <w:t>бронхоальвеолярной</w:t>
      </w:r>
      <w:r>
        <w:rPr>
          <w:spacing w:val="1"/>
        </w:rPr>
        <w:t> </w:t>
      </w:r>
      <w:r>
        <w:rPr>
          <w:spacing w:val="-2"/>
        </w:rPr>
        <w:t>жидкости</w:t>
      </w:r>
    </w:p>
    <w:p>
      <w:pPr>
        <w:pStyle w:val="ListParagraph"/>
        <w:numPr>
          <w:ilvl w:val="0"/>
          <w:numId w:val="86"/>
        </w:numPr>
        <w:tabs>
          <w:tab w:pos="456" w:val="left" w:leader="none"/>
        </w:tabs>
        <w:spacing w:line="259" w:lineRule="auto" w:before="182" w:after="0"/>
        <w:ind w:left="141" w:right="714" w:firstLine="0"/>
        <w:jc w:val="both"/>
        <w:rPr>
          <w:sz w:val="24"/>
        </w:rPr>
      </w:pPr>
      <w:r>
        <w:rPr>
          <w:sz w:val="24"/>
        </w:rPr>
        <w:t>Вводят шприцем через биопсийный канал бронхоскопа отдельными порциями стерильный физиологический раствор (общий объем от 5-20 до 100 мл).</w:t>
      </w:r>
    </w:p>
    <w:p>
      <w:pPr>
        <w:pStyle w:val="ListParagraph"/>
        <w:numPr>
          <w:ilvl w:val="0"/>
          <w:numId w:val="86"/>
        </w:numPr>
        <w:tabs>
          <w:tab w:pos="516" w:val="left" w:leader="none"/>
        </w:tabs>
        <w:spacing w:line="259" w:lineRule="auto" w:before="159" w:after="0"/>
        <w:ind w:left="141" w:right="713" w:firstLine="0"/>
        <w:jc w:val="both"/>
        <w:rPr>
          <w:sz w:val="24"/>
        </w:rPr>
      </w:pPr>
      <w:r>
        <w:rPr>
          <w:sz w:val="24"/>
        </w:rPr>
        <w:t>Перед введение следующей порции физиологического раствора осторожно отсасывают</w:t>
      </w:r>
      <w:r>
        <w:rPr>
          <w:spacing w:val="80"/>
          <w:w w:val="150"/>
          <w:sz w:val="24"/>
        </w:rPr>
        <w:t> </w:t>
      </w:r>
      <w:r>
        <w:rPr>
          <w:sz w:val="24"/>
        </w:rPr>
        <w:t>введенной</w:t>
      </w:r>
      <w:r>
        <w:rPr>
          <w:spacing w:val="80"/>
          <w:w w:val="150"/>
          <w:sz w:val="24"/>
        </w:rPr>
        <w:t> </w:t>
      </w:r>
      <w:r>
        <w:rPr>
          <w:sz w:val="24"/>
        </w:rPr>
        <w:t>частью</w:t>
      </w:r>
      <w:r>
        <w:rPr>
          <w:spacing w:val="80"/>
          <w:w w:val="150"/>
          <w:sz w:val="24"/>
        </w:rPr>
        <w:t> </w:t>
      </w:r>
      <w:r>
        <w:rPr>
          <w:sz w:val="24"/>
        </w:rPr>
        <w:t>шприца</w:t>
      </w:r>
      <w:r>
        <w:rPr>
          <w:spacing w:val="80"/>
          <w:w w:val="150"/>
          <w:sz w:val="24"/>
        </w:rPr>
        <w:t> </w:t>
      </w:r>
      <w:r>
        <w:rPr>
          <w:sz w:val="24"/>
        </w:rPr>
        <w:t>в</w:t>
      </w:r>
      <w:r>
        <w:rPr>
          <w:spacing w:val="80"/>
          <w:w w:val="150"/>
          <w:sz w:val="24"/>
        </w:rPr>
        <w:t> </w:t>
      </w:r>
      <w:r>
        <w:rPr>
          <w:sz w:val="24"/>
        </w:rPr>
        <w:t>стерильный</w:t>
      </w:r>
      <w:r>
        <w:rPr>
          <w:spacing w:val="80"/>
          <w:w w:val="150"/>
          <w:sz w:val="24"/>
        </w:rPr>
        <w:t> </w:t>
      </w:r>
      <w:r>
        <w:rPr>
          <w:sz w:val="24"/>
        </w:rPr>
        <w:t>одноразовый</w:t>
      </w:r>
      <w:r>
        <w:rPr>
          <w:spacing w:val="80"/>
          <w:w w:val="150"/>
          <w:sz w:val="24"/>
        </w:rPr>
        <w:t> </w:t>
      </w:r>
      <w:r>
        <w:rPr>
          <w:sz w:val="24"/>
        </w:rPr>
        <w:t>контейнер</w:t>
      </w:r>
      <w:r>
        <w:rPr>
          <w:spacing w:val="80"/>
          <w:w w:val="150"/>
          <w:sz w:val="24"/>
        </w:rPr>
        <w:t> </w:t>
      </w:r>
      <w:r>
        <w:rPr>
          <w:sz w:val="24"/>
        </w:rPr>
        <w:t>с завинчивающейся крышкой или оставляют в закрытом шприце, предварительно удалив из него воздух.</w:t>
      </w:r>
    </w:p>
    <w:p>
      <w:pPr>
        <w:pStyle w:val="ListParagraph"/>
        <w:numPr>
          <w:ilvl w:val="0"/>
          <w:numId w:val="86"/>
        </w:numPr>
        <w:tabs>
          <w:tab w:pos="379" w:val="left" w:leader="none"/>
        </w:tabs>
        <w:spacing w:line="240" w:lineRule="auto" w:before="158" w:after="0"/>
        <w:ind w:left="379" w:right="0" w:hanging="238"/>
        <w:jc w:val="left"/>
        <w:rPr>
          <w:sz w:val="24"/>
        </w:rPr>
      </w:pPr>
      <w:r>
        <w:rPr>
          <w:sz w:val="24"/>
        </w:rPr>
        <w:t>Каждую</w:t>
      </w:r>
      <w:r>
        <w:rPr>
          <w:spacing w:val="-15"/>
          <w:sz w:val="24"/>
        </w:rPr>
        <w:t> </w:t>
      </w:r>
      <w:r>
        <w:rPr>
          <w:sz w:val="24"/>
        </w:rPr>
        <w:t>отсасываемую</w:t>
      </w:r>
      <w:r>
        <w:rPr>
          <w:spacing w:val="-15"/>
          <w:sz w:val="24"/>
        </w:rPr>
        <w:t> </w:t>
      </w:r>
      <w:r>
        <w:rPr>
          <w:sz w:val="24"/>
        </w:rPr>
        <w:t>порцию</w:t>
      </w:r>
      <w:r>
        <w:rPr>
          <w:spacing w:val="-14"/>
          <w:sz w:val="24"/>
        </w:rPr>
        <w:t> </w:t>
      </w:r>
      <w:r>
        <w:rPr>
          <w:sz w:val="24"/>
        </w:rPr>
        <w:t>собирают</w:t>
      </w:r>
      <w:r>
        <w:rPr>
          <w:spacing w:val="-14"/>
          <w:sz w:val="24"/>
        </w:rPr>
        <w:t> </w:t>
      </w:r>
      <w:r>
        <w:rPr>
          <w:sz w:val="24"/>
        </w:rPr>
        <w:t>в</w:t>
      </w:r>
      <w:r>
        <w:rPr>
          <w:spacing w:val="-13"/>
          <w:sz w:val="24"/>
        </w:rPr>
        <w:t> </w:t>
      </w:r>
      <w:r>
        <w:rPr>
          <w:sz w:val="24"/>
        </w:rPr>
        <w:t>стерильный</w:t>
      </w:r>
      <w:r>
        <w:rPr>
          <w:spacing w:val="-15"/>
          <w:sz w:val="24"/>
        </w:rPr>
        <w:t> </w:t>
      </w:r>
      <w:r>
        <w:rPr>
          <w:sz w:val="24"/>
        </w:rPr>
        <w:t>пластиковый</w:t>
      </w:r>
      <w:r>
        <w:rPr>
          <w:spacing w:val="-14"/>
          <w:sz w:val="24"/>
        </w:rPr>
        <w:t> </w:t>
      </w:r>
      <w:r>
        <w:rPr>
          <w:spacing w:val="-2"/>
          <w:sz w:val="24"/>
        </w:rPr>
        <w:t>контейнер.</w:t>
      </w:r>
    </w:p>
    <w:p>
      <w:pPr>
        <w:pStyle w:val="ListParagraph"/>
        <w:numPr>
          <w:ilvl w:val="0"/>
          <w:numId w:val="86"/>
        </w:numPr>
        <w:tabs>
          <w:tab w:pos="365" w:val="left" w:leader="none"/>
        </w:tabs>
        <w:spacing w:line="259" w:lineRule="auto" w:before="182" w:after="0"/>
        <w:ind w:left="141" w:right="708" w:firstLine="0"/>
        <w:jc w:val="both"/>
        <w:rPr>
          <w:sz w:val="24"/>
        </w:rPr>
      </w:pPr>
      <w:r>
        <w:rPr>
          <w:sz w:val="24"/>
        </w:rPr>
        <w:t>По</w:t>
      </w:r>
      <w:r>
        <w:rPr>
          <w:spacing w:val="-15"/>
          <w:sz w:val="24"/>
        </w:rPr>
        <w:t> </w:t>
      </w:r>
      <w:r>
        <w:rPr>
          <w:sz w:val="24"/>
        </w:rPr>
        <w:t>окончании</w:t>
      </w:r>
      <w:r>
        <w:rPr>
          <w:spacing w:val="-15"/>
          <w:sz w:val="24"/>
        </w:rPr>
        <w:t> </w:t>
      </w:r>
      <w:r>
        <w:rPr>
          <w:sz w:val="24"/>
        </w:rPr>
        <w:t>процедуры</w:t>
      </w:r>
      <w:r>
        <w:rPr>
          <w:spacing w:val="-15"/>
          <w:sz w:val="24"/>
        </w:rPr>
        <w:t> </w:t>
      </w:r>
      <w:r>
        <w:rPr>
          <w:sz w:val="24"/>
        </w:rPr>
        <w:t>соединяют</w:t>
      </w:r>
      <w:r>
        <w:rPr>
          <w:spacing w:val="-15"/>
          <w:sz w:val="24"/>
        </w:rPr>
        <w:t> </w:t>
      </w:r>
      <w:r>
        <w:rPr>
          <w:sz w:val="24"/>
        </w:rPr>
        <w:t>пробы,</w:t>
      </w:r>
      <w:r>
        <w:rPr>
          <w:spacing w:val="-15"/>
          <w:sz w:val="24"/>
        </w:rPr>
        <w:t> </w:t>
      </w:r>
      <w:r>
        <w:rPr>
          <w:sz w:val="24"/>
        </w:rPr>
        <w:t>полученные</w:t>
      </w:r>
      <w:r>
        <w:rPr>
          <w:spacing w:val="-15"/>
          <w:sz w:val="24"/>
        </w:rPr>
        <w:t> </w:t>
      </w:r>
      <w:r>
        <w:rPr>
          <w:sz w:val="24"/>
        </w:rPr>
        <w:t>из</w:t>
      </w:r>
      <w:r>
        <w:rPr>
          <w:spacing w:val="-15"/>
          <w:sz w:val="24"/>
        </w:rPr>
        <w:t> </w:t>
      </w:r>
      <w:r>
        <w:rPr>
          <w:sz w:val="24"/>
        </w:rPr>
        <w:t>одного</w:t>
      </w:r>
      <w:r>
        <w:rPr>
          <w:spacing w:val="-15"/>
          <w:sz w:val="24"/>
        </w:rPr>
        <w:t> </w:t>
      </w:r>
      <w:r>
        <w:rPr>
          <w:sz w:val="24"/>
        </w:rPr>
        <w:t>и</w:t>
      </w:r>
      <w:r>
        <w:rPr>
          <w:spacing w:val="-15"/>
          <w:sz w:val="24"/>
        </w:rPr>
        <w:t> </w:t>
      </w:r>
      <w:r>
        <w:rPr>
          <w:sz w:val="24"/>
        </w:rPr>
        <w:t>того</w:t>
      </w:r>
      <w:r>
        <w:rPr>
          <w:spacing w:val="-15"/>
          <w:sz w:val="24"/>
        </w:rPr>
        <w:t> </w:t>
      </w:r>
      <w:r>
        <w:rPr>
          <w:sz w:val="24"/>
        </w:rPr>
        <w:t>же</w:t>
      </w:r>
      <w:r>
        <w:rPr>
          <w:spacing w:val="-15"/>
          <w:sz w:val="24"/>
        </w:rPr>
        <w:t> </w:t>
      </w:r>
      <w:r>
        <w:rPr>
          <w:sz w:val="24"/>
        </w:rPr>
        <w:t>участка. Пробы из разных участков (например, правая верхняя доля легкого и правая нижняя доля</w:t>
      </w:r>
      <w:r>
        <w:rPr>
          <w:spacing w:val="-13"/>
          <w:sz w:val="24"/>
        </w:rPr>
        <w:t> </w:t>
      </w:r>
      <w:r>
        <w:rPr>
          <w:sz w:val="24"/>
        </w:rPr>
        <w:t>легкого)</w:t>
      </w:r>
      <w:r>
        <w:rPr>
          <w:spacing w:val="-13"/>
          <w:sz w:val="24"/>
        </w:rPr>
        <w:t> </w:t>
      </w:r>
      <w:r>
        <w:rPr>
          <w:sz w:val="24"/>
        </w:rPr>
        <w:t>следует</w:t>
      </w:r>
      <w:r>
        <w:rPr>
          <w:spacing w:val="-12"/>
          <w:sz w:val="24"/>
        </w:rPr>
        <w:t> </w:t>
      </w:r>
      <w:r>
        <w:rPr>
          <w:sz w:val="24"/>
        </w:rPr>
        <w:t>соединять</w:t>
      </w:r>
      <w:r>
        <w:rPr>
          <w:spacing w:val="-12"/>
          <w:sz w:val="24"/>
        </w:rPr>
        <w:t> </w:t>
      </w:r>
      <w:r>
        <w:rPr>
          <w:sz w:val="24"/>
        </w:rPr>
        <w:t>вместе</w:t>
      </w:r>
      <w:r>
        <w:rPr>
          <w:spacing w:val="-13"/>
          <w:sz w:val="24"/>
        </w:rPr>
        <w:t> </w:t>
      </w:r>
      <w:r>
        <w:rPr>
          <w:sz w:val="24"/>
        </w:rPr>
        <w:t>только</w:t>
      </w:r>
      <w:r>
        <w:rPr>
          <w:spacing w:val="-15"/>
          <w:sz w:val="24"/>
        </w:rPr>
        <w:t> </w:t>
      </w:r>
      <w:r>
        <w:rPr>
          <w:sz w:val="24"/>
        </w:rPr>
        <w:t>после</w:t>
      </w:r>
      <w:r>
        <w:rPr>
          <w:spacing w:val="-14"/>
          <w:sz w:val="24"/>
        </w:rPr>
        <w:t> </w:t>
      </w:r>
      <w:r>
        <w:rPr>
          <w:sz w:val="24"/>
        </w:rPr>
        <w:t>консультации</w:t>
      </w:r>
      <w:r>
        <w:rPr>
          <w:spacing w:val="-12"/>
          <w:sz w:val="24"/>
        </w:rPr>
        <w:t> </w:t>
      </w:r>
      <w:r>
        <w:rPr>
          <w:sz w:val="24"/>
        </w:rPr>
        <w:t>с</w:t>
      </w:r>
      <w:r>
        <w:rPr>
          <w:spacing w:val="-13"/>
          <w:sz w:val="24"/>
        </w:rPr>
        <w:t> </w:t>
      </w:r>
      <w:r>
        <w:rPr>
          <w:sz w:val="24"/>
        </w:rPr>
        <w:t>лечащим</w:t>
      </w:r>
      <w:r>
        <w:rPr>
          <w:spacing w:val="-14"/>
          <w:sz w:val="24"/>
        </w:rPr>
        <w:t> </w:t>
      </w:r>
      <w:r>
        <w:rPr>
          <w:spacing w:val="-2"/>
          <w:sz w:val="24"/>
        </w:rPr>
        <w:t>врачом.</w:t>
      </w:r>
    </w:p>
    <w:p>
      <w:pPr>
        <w:pStyle w:val="ListParagraph"/>
        <w:numPr>
          <w:ilvl w:val="0"/>
          <w:numId w:val="86"/>
        </w:numPr>
        <w:tabs>
          <w:tab w:pos="379" w:val="left" w:leader="none"/>
        </w:tabs>
        <w:spacing w:line="240" w:lineRule="auto" w:before="159" w:after="0"/>
        <w:ind w:left="379" w:right="0" w:hanging="238"/>
        <w:jc w:val="left"/>
        <w:rPr>
          <w:sz w:val="24"/>
        </w:rPr>
      </w:pPr>
      <w:r>
        <w:rPr>
          <w:spacing w:val="-2"/>
          <w:sz w:val="24"/>
        </w:rPr>
        <w:t>В</w:t>
      </w:r>
      <w:r>
        <w:rPr>
          <w:spacing w:val="1"/>
          <w:sz w:val="24"/>
        </w:rPr>
        <w:t> </w:t>
      </w:r>
      <w:r>
        <w:rPr>
          <w:spacing w:val="-2"/>
          <w:sz w:val="24"/>
        </w:rPr>
        <w:t>направлении</w:t>
      </w:r>
      <w:r>
        <w:rPr>
          <w:spacing w:val="2"/>
          <w:sz w:val="24"/>
        </w:rPr>
        <w:t> </w:t>
      </w:r>
      <w:r>
        <w:rPr>
          <w:spacing w:val="-2"/>
          <w:sz w:val="24"/>
        </w:rPr>
        <w:t>указывают</w:t>
      </w:r>
      <w:r>
        <w:rPr>
          <w:spacing w:val="1"/>
          <w:sz w:val="24"/>
        </w:rPr>
        <w:t> </w:t>
      </w:r>
      <w:r>
        <w:rPr>
          <w:spacing w:val="-2"/>
          <w:sz w:val="24"/>
        </w:rPr>
        <w:t>общий</w:t>
      </w:r>
      <w:r>
        <w:rPr>
          <w:spacing w:val="2"/>
          <w:sz w:val="24"/>
        </w:rPr>
        <w:t> </w:t>
      </w:r>
      <w:r>
        <w:rPr>
          <w:spacing w:val="-2"/>
          <w:sz w:val="24"/>
        </w:rPr>
        <w:t>объем</w:t>
      </w:r>
      <w:r>
        <w:rPr>
          <w:spacing w:val="1"/>
          <w:sz w:val="24"/>
        </w:rPr>
        <w:t> </w:t>
      </w:r>
      <w:r>
        <w:rPr>
          <w:spacing w:val="-2"/>
          <w:sz w:val="24"/>
        </w:rPr>
        <w:t>введенного</w:t>
      </w:r>
      <w:r>
        <w:rPr>
          <w:sz w:val="24"/>
        </w:rPr>
        <w:t> </w:t>
      </w:r>
      <w:r>
        <w:rPr>
          <w:spacing w:val="-2"/>
          <w:sz w:val="24"/>
        </w:rPr>
        <w:t>физиологического</w:t>
      </w:r>
      <w:r>
        <w:rPr>
          <w:spacing w:val="1"/>
          <w:sz w:val="24"/>
        </w:rPr>
        <w:t> </w:t>
      </w:r>
      <w:r>
        <w:rPr>
          <w:spacing w:val="-2"/>
          <w:sz w:val="24"/>
        </w:rPr>
        <w:t>раствора.</w:t>
      </w:r>
    </w:p>
    <w:p>
      <w:pPr>
        <w:pStyle w:val="ListParagraph"/>
        <w:numPr>
          <w:ilvl w:val="0"/>
          <w:numId w:val="86"/>
        </w:numPr>
        <w:tabs>
          <w:tab w:pos="379" w:val="left" w:leader="none"/>
        </w:tabs>
        <w:spacing w:line="240" w:lineRule="auto" w:before="182" w:after="0"/>
        <w:ind w:left="379" w:right="0" w:hanging="238"/>
        <w:jc w:val="left"/>
        <w:rPr>
          <w:sz w:val="24"/>
        </w:rPr>
      </w:pPr>
      <w:r>
        <w:rPr>
          <w:sz w:val="24"/>
        </w:rPr>
        <w:t>Доставка</w:t>
      </w:r>
      <w:r>
        <w:rPr>
          <w:spacing w:val="-12"/>
          <w:sz w:val="24"/>
        </w:rPr>
        <w:t> </w:t>
      </w:r>
      <w:r>
        <w:rPr>
          <w:sz w:val="24"/>
        </w:rPr>
        <w:t>биоматериала</w:t>
      </w:r>
      <w:r>
        <w:rPr>
          <w:spacing w:val="-12"/>
          <w:sz w:val="24"/>
        </w:rPr>
        <w:t> </w:t>
      </w:r>
      <w:r>
        <w:rPr>
          <w:sz w:val="24"/>
        </w:rPr>
        <w:t>в</w:t>
      </w:r>
      <w:r>
        <w:rPr>
          <w:spacing w:val="-11"/>
          <w:sz w:val="24"/>
        </w:rPr>
        <w:t> </w:t>
      </w:r>
      <w:r>
        <w:rPr>
          <w:sz w:val="24"/>
        </w:rPr>
        <w:t>лабораторию</w:t>
      </w:r>
      <w:r>
        <w:rPr>
          <w:spacing w:val="-11"/>
          <w:sz w:val="24"/>
        </w:rPr>
        <w:t> </w:t>
      </w:r>
      <w:r>
        <w:rPr>
          <w:sz w:val="24"/>
        </w:rPr>
        <w:t>осуществляется</w:t>
      </w:r>
      <w:r>
        <w:rPr>
          <w:spacing w:val="-9"/>
          <w:sz w:val="24"/>
        </w:rPr>
        <w:t> </w:t>
      </w:r>
      <w:r>
        <w:rPr>
          <w:sz w:val="24"/>
        </w:rPr>
        <w:t>в</w:t>
      </w:r>
      <w:r>
        <w:rPr>
          <w:spacing w:val="-12"/>
          <w:sz w:val="24"/>
        </w:rPr>
        <w:t> </w:t>
      </w:r>
      <w:r>
        <w:rPr>
          <w:sz w:val="24"/>
        </w:rPr>
        <w:t>течении</w:t>
      </w:r>
      <w:r>
        <w:rPr>
          <w:spacing w:val="-11"/>
          <w:sz w:val="24"/>
        </w:rPr>
        <w:t> </w:t>
      </w:r>
      <w:r>
        <w:rPr>
          <w:sz w:val="24"/>
        </w:rPr>
        <w:t>2-х</w:t>
      </w:r>
      <w:r>
        <w:rPr>
          <w:spacing w:val="-11"/>
          <w:sz w:val="24"/>
        </w:rPr>
        <w:t> </w:t>
      </w:r>
      <w:r>
        <w:rPr>
          <w:spacing w:val="-2"/>
          <w:sz w:val="24"/>
        </w:rPr>
        <w:t>часов.</w:t>
      </w:r>
    </w:p>
    <w:p>
      <w:pPr>
        <w:pStyle w:val="BodyText"/>
        <w:ind w:left="0"/>
        <w:jc w:val="left"/>
      </w:pPr>
    </w:p>
    <w:p>
      <w:pPr>
        <w:pStyle w:val="BodyText"/>
        <w:spacing w:before="86"/>
        <w:ind w:left="0"/>
        <w:jc w:val="left"/>
      </w:pPr>
    </w:p>
    <w:p>
      <w:pPr>
        <w:pStyle w:val="Heading3"/>
        <w:ind w:left="141"/>
        <w:jc w:val="left"/>
      </w:pPr>
      <w:r>
        <w:rPr>
          <w:spacing w:val="-2"/>
        </w:rPr>
        <w:t>Правила</w:t>
      </w:r>
      <w:r>
        <w:rPr>
          <w:spacing w:val="-1"/>
        </w:rPr>
        <w:t> </w:t>
      </w:r>
      <w:r>
        <w:rPr>
          <w:spacing w:val="-2"/>
        </w:rPr>
        <w:t>сбора</w:t>
      </w:r>
      <w:r>
        <w:rPr>
          <w:spacing w:val="-1"/>
        </w:rPr>
        <w:t> </w:t>
      </w:r>
      <w:r>
        <w:rPr>
          <w:spacing w:val="-2"/>
        </w:rPr>
        <w:t>плевральной</w:t>
      </w:r>
      <w:r>
        <w:rPr>
          <w:spacing w:val="1"/>
        </w:rPr>
        <w:t> </w:t>
      </w:r>
      <w:r>
        <w:rPr>
          <w:spacing w:val="-2"/>
        </w:rPr>
        <w:t>жидкости:</w:t>
      </w:r>
    </w:p>
    <w:p>
      <w:pPr>
        <w:pStyle w:val="ListParagraph"/>
        <w:numPr>
          <w:ilvl w:val="0"/>
          <w:numId w:val="87"/>
        </w:numPr>
        <w:tabs>
          <w:tab w:pos="504" w:val="left" w:leader="none"/>
        </w:tabs>
        <w:spacing w:line="259" w:lineRule="auto" w:before="182" w:after="0"/>
        <w:ind w:left="141" w:right="712" w:firstLine="0"/>
        <w:jc w:val="both"/>
        <w:rPr>
          <w:sz w:val="24"/>
        </w:rPr>
      </w:pPr>
      <w:r>
        <w:rPr>
          <w:sz w:val="24"/>
        </w:rPr>
        <w:t>Очистить выбранный участок кожи тампоном, смоченным дезинфектантом, разрешенным к применению для этих целей в установленном порядке.</w:t>
      </w:r>
    </w:p>
    <w:p>
      <w:pPr>
        <w:pStyle w:val="ListParagraph"/>
        <w:numPr>
          <w:ilvl w:val="0"/>
          <w:numId w:val="87"/>
        </w:numPr>
        <w:tabs>
          <w:tab w:pos="386" w:val="left" w:leader="none"/>
        </w:tabs>
        <w:spacing w:line="259" w:lineRule="auto" w:before="159" w:after="0"/>
        <w:ind w:left="141" w:right="716" w:firstLine="0"/>
        <w:jc w:val="both"/>
        <w:rPr>
          <w:sz w:val="24"/>
        </w:rPr>
      </w:pPr>
      <w:r>
        <w:rPr>
          <w:sz w:val="24"/>
        </w:rPr>
        <w:t>С соблюдением правил асептики выполнить</w:t>
      </w:r>
      <w:r>
        <w:rPr>
          <w:spacing w:val="-1"/>
          <w:sz w:val="24"/>
        </w:rPr>
        <w:t> </w:t>
      </w:r>
      <w:r>
        <w:rPr>
          <w:sz w:val="24"/>
        </w:rPr>
        <w:t>чрезкожную аспирацию для получения </w:t>
      </w:r>
      <w:r>
        <w:rPr>
          <w:spacing w:val="-2"/>
          <w:sz w:val="24"/>
        </w:rPr>
        <w:t>пробы.</w:t>
      </w:r>
    </w:p>
    <w:p>
      <w:pPr>
        <w:pStyle w:val="ListParagraph"/>
        <w:numPr>
          <w:ilvl w:val="0"/>
          <w:numId w:val="87"/>
        </w:numPr>
        <w:tabs>
          <w:tab w:pos="379" w:val="left" w:leader="none"/>
        </w:tabs>
        <w:spacing w:line="240" w:lineRule="auto" w:before="159" w:after="0"/>
        <w:ind w:left="379" w:right="0" w:hanging="238"/>
        <w:jc w:val="left"/>
        <w:rPr>
          <w:sz w:val="24"/>
        </w:rPr>
      </w:pPr>
      <w:r>
        <w:rPr>
          <w:sz w:val="24"/>
        </w:rPr>
        <w:t>Объем</w:t>
      </w:r>
      <w:r>
        <w:rPr>
          <w:spacing w:val="-10"/>
          <w:sz w:val="24"/>
        </w:rPr>
        <w:t> </w:t>
      </w:r>
      <w:r>
        <w:rPr>
          <w:sz w:val="24"/>
        </w:rPr>
        <w:t>жидкости</w:t>
      </w:r>
      <w:r>
        <w:rPr>
          <w:spacing w:val="-6"/>
          <w:sz w:val="24"/>
        </w:rPr>
        <w:t> </w:t>
      </w:r>
      <w:r>
        <w:rPr>
          <w:sz w:val="24"/>
        </w:rPr>
        <w:t>должен</w:t>
      </w:r>
      <w:r>
        <w:rPr>
          <w:spacing w:val="-8"/>
          <w:sz w:val="24"/>
        </w:rPr>
        <w:t> </w:t>
      </w:r>
      <w:r>
        <w:rPr>
          <w:sz w:val="24"/>
        </w:rPr>
        <w:t>быть</w:t>
      </w:r>
      <w:r>
        <w:rPr>
          <w:spacing w:val="-6"/>
          <w:sz w:val="24"/>
        </w:rPr>
        <w:t> </w:t>
      </w:r>
      <w:r>
        <w:rPr>
          <w:sz w:val="24"/>
        </w:rPr>
        <w:t>не</w:t>
      </w:r>
      <w:r>
        <w:rPr>
          <w:spacing w:val="-9"/>
          <w:sz w:val="24"/>
        </w:rPr>
        <w:t> </w:t>
      </w:r>
      <w:r>
        <w:rPr>
          <w:sz w:val="24"/>
        </w:rPr>
        <w:t>менее</w:t>
      </w:r>
      <w:r>
        <w:rPr>
          <w:spacing w:val="-8"/>
          <w:sz w:val="24"/>
        </w:rPr>
        <w:t> </w:t>
      </w:r>
      <w:r>
        <w:rPr>
          <w:sz w:val="24"/>
        </w:rPr>
        <w:t>10</w:t>
      </w:r>
      <w:r>
        <w:rPr>
          <w:spacing w:val="-9"/>
          <w:sz w:val="24"/>
        </w:rPr>
        <w:t> </w:t>
      </w:r>
      <w:r>
        <w:rPr>
          <w:spacing w:val="-5"/>
          <w:sz w:val="24"/>
        </w:rPr>
        <w:t>мл.</w:t>
      </w:r>
    </w:p>
    <w:p>
      <w:pPr>
        <w:pStyle w:val="ListParagraph"/>
        <w:numPr>
          <w:ilvl w:val="0"/>
          <w:numId w:val="87"/>
        </w:numPr>
        <w:tabs>
          <w:tab w:pos="420" w:val="left" w:leader="none"/>
        </w:tabs>
        <w:spacing w:line="259" w:lineRule="auto" w:before="180" w:after="0"/>
        <w:ind w:left="141" w:right="708" w:firstLine="0"/>
        <w:jc w:val="both"/>
        <w:rPr>
          <w:sz w:val="24"/>
        </w:rPr>
      </w:pPr>
      <w:r>
        <w:rPr>
          <w:sz w:val="24"/>
        </w:rPr>
        <w:t>Удалить пузырьки воздуха из шприца и закрыть стерильной резиновой пробкой. Либо перенести пробу</w:t>
      </w:r>
      <w:r>
        <w:rPr>
          <w:spacing w:val="-1"/>
          <w:sz w:val="24"/>
        </w:rPr>
        <w:t> </w:t>
      </w:r>
      <w:r>
        <w:rPr>
          <w:sz w:val="24"/>
        </w:rPr>
        <w:t>в стерильный</w:t>
      </w:r>
      <w:r>
        <w:rPr>
          <w:spacing w:val="-1"/>
          <w:sz w:val="24"/>
        </w:rPr>
        <w:t> </w:t>
      </w:r>
      <w:r>
        <w:rPr>
          <w:sz w:val="24"/>
        </w:rPr>
        <w:t>пластиковый контейнер с герметичной крышкой.</w:t>
      </w:r>
    </w:p>
    <w:p>
      <w:pPr>
        <w:pStyle w:val="ListParagraph"/>
        <w:numPr>
          <w:ilvl w:val="0"/>
          <w:numId w:val="87"/>
        </w:numPr>
        <w:tabs>
          <w:tab w:pos="379" w:val="left" w:leader="none"/>
        </w:tabs>
        <w:spacing w:line="240" w:lineRule="auto" w:before="159" w:after="0"/>
        <w:ind w:left="379" w:right="0" w:hanging="238"/>
        <w:jc w:val="left"/>
        <w:rPr>
          <w:sz w:val="24"/>
        </w:rPr>
      </w:pPr>
      <w:r>
        <w:rPr>
          <w:sz w:val="24"/>
        </w:rPr>
        <w:t>Доставка</w:t>
      </w:r>
      <w:r>
        <w:rPr>
          <w:spacing w:val="-12"/>
          <w:sz w:val="24"/>
        </w:rPr>
        <w:t> </w:t>
      </w:r>
      <w:r>
        <w:rPr>
          <w:sz w:val="24"/>
        </w:rPr>
        <w:t>биоматериала</w:t>
      </w:r>
      <w:r>
        <w:rPr>
          <w:spacing w:val="-12"/>
          <w:sz w:val="24"/>
        </w:rPr>
        <w:t> </w:t>
      </w:r>
      <w:r>
        <w:rPr>
          <w:sz w:val="24"/>
        </w:rPr>
        <w:t>в</w:t>
      </w:r>
      <w:r>
        <w:rPr>
          <w:spacing w:val="-11"/>
          <w:sz w:val="24"/>
        </w:rPr>
        <w:t> </w:t>
      </w:r>
      <w:r>
        <w:rPr>
          <w:sz w:val="24"/>
        </w:rPr>
        <w:t>лабораторию</w:t>
      </w:r>
      <w:r>
        <w:rPr>
          <w:spacing w:val="-11"/>
          <w:sz w:val="24"/>
        </w:rPr>
        <w:t> </w:t>
      </w:r>
      <w:r>
        <w:rPr>
          <w:sz w:val="24"/>
        </w:rPr>
        <w:t>осуществляется</w:t>
      </w:r>
      <w:r>
        <w:rPr>
          <w:spacing w:val="-9"/>
          <w:sz w:val="24"/>
        </w:rPr>
        <w:t> </w:t>
      </w:r>
      <w:r>
        <w:rPr>
          <w:sz w:val="24"/>
        </w:rPr>
        <w:t>в</w:t>
      </w:r>
      <w:r>
        <w:rPr>
          <w:spacing w:val="-12"/>
          <w:sz w:val="24"/>
        </w:rPr>
        <w:t> </w:t>
      </w:r>
      <w:r>
        <w:rPr>
          <w:sz w:val="24"/>
        </w:rPr>
        <w:t>течении</w:t>
      </w:r>
      <w:r>
        <w:rPr>
          <w:spacing w:val="-11"/>
          <w:sz w:val="24"/>
        </w:rPr>
        <w:t> </w:t>
      </w:r>
      <w:r>
        <w:rPr>
          <w:sz w:val="24"/>
        </w:rPr>
        <w:t>2-х</w:t>
      </w:r>
      <w:r>
        <w:rPr>
          <w:spacing w:val="-11"/>
          <w:sz w:val="24"/>
        </w:rPr>
        <w:t> </w:t>
      </w:r>
      <w:r>
        <w:rPr>
          <w:spacing w:val="-2"/>
          <w:sz w:val="24"/>
        </w:rPr>
        <w:t>часов.</w:t>
      </w:r>
    </w:p>
    <w:p>
      <w:pPr>
        <w:pStyle w:val="BodyText"/>
        <w:ind w:left="0"/>
        <w:jc w:val="left"/>
      </w:pPr>
    </w:p>
    <w:p>
      <w:pPr>
        <w:pStyle w:val="BodyText"/>
        <w:spacing w:before="88"/>
        <w:ind w:left="0"/>
        <w:jc w:val="left"/>
      </w:pPr>
    </w:p>
    <w:p>
      <w:pPr>
        <w:pStyle w:val="Heading3"/>
        <w:ind w:left="141"/>
        <w:jc w:val="left"/>
      </w:pPr>
      <w:r>
        <w:rPr/>
        <w:t>Правила</w:t>
      </w:r>
      <w:r>
        <w:rPr>
          <w:spacing w:val="-9"/>
        </w:rPr>
        <w:t> </w:t>
      </w:r>
      <w:r>
        <w:rPr/>
        <w:t>взятия</w:t>
      </w:r>
      <w:r>
        <w:rPr>
          <w:spacing w:val="-9"/>
        </w:rPr>
        <w:t> </w:t>
      </w:r>
      <w:r>
        <w:rPr/>
        <w:t>крови</w:t>
      </w:r>
      <w:r>
        <w:rPr>
          <w:spacing w:val="-8"/>
        </w:rPr>
        <w:t> </w:t>
      </w:r>
      <w:r>
        <w:rPr/>
        <w:t>на</w:t>
      </w:r>
      <w:r>
        <w:rPr>
          <w:spacing w:val="-10"/>
        </w:rPr>
        <w:t> </w:t>
      </w:r>
      <w:r>
        <w:rPr>
          <w:spacing w:val="-2"/>
        </w:rPr>
        <w:t>стерильность</w:t>
      </w:r>
    </w:p>
    <w:p>
      <w:pPr>
        <w:pStyle w:val="ListParagraph"/>
        <w:numPr>
          <w:ilvl w:val="0"/>
          <w:numId w:val="88"/>
        </w:numPr>
        <w:tabs>
          <w:tab w:pos="379" w:val="left" w:leader="none"/>
        </w:tabs>
        <w:spacing w:line="240" w:lineRule="auto" w:before="180" w:after="0"/>
        <w:ind w:left="379" w:right="0" w:hanging="238"/>
        <w:jc w:val="left"/>
        <w:rPr>
          <w:sz w:val="24"/>
        </w:rPr>
      </w:pPr>
      <w:r>
        <w:rPr>
          <w:sz w:val="24"/>
        </w:rPr>
        <w:t>Пробы</w:t>
      </w:r>
      <w:r>
        <w:rPr>
          <w:spacing w:val="-14"/>
          <w:sz w:val="24"/>
        </w:rPr>
        <w:t> </w:t>
      </w:r>
      <w:r>
        <w:rPr>
          <w:sz w:val="24"/>
        </w:rPr>
        <w:t>получают</w:t>
      </w:r>
      <w:r>
        <w:rPr>
          <w:spacing w:val="-14"/>
          <w:sz w:val="24"/>
        </w:rPr>
        <w:t> </w:t>
      </w:r>
      <w:r>
        <w:rPr>
          <w:sz w:val="24"/>
        </w:rPr>
        <w:t>венепункцией</w:t>
      </w:r>
      <w:r>
        <w:rPr>
          <w:spacing w:val="-14"/>
          <w:sz w:val="24"/>
        </w:rPr>
        <w:t> </w:t>
      </w:r>
      <w:r>
        <w:rPr>
          <w:sz w:val="24"/>
        </w:rPr>
        <w:t>периферических</w:t>
      </w:r>
      <w:r>
        <w:rPr>
          <w:spacing w:val="-14"/>
          <w:sz w:val="24"/>
        </w:rPr>
        <w:t> </w:t>
      </w:r>
      <w:r>
        <w:rPr>
          <w:sz w:val="24"/>
        </w:rPr>
        <w:t>вен</w:t>
      </w:r>
      <w:r>
        <w:rPr>
          <w:spacing w:val="-13"/>
          <w:sz w:val="24"/>
        </w:rPr>
        <w:t> </w:t>
      </w:r>
      <w:r>
        <w:rPr>
          <w:sz w:val="24"/>
        </w:rPr>
        <w:t>(чаще</w:t>
      </w:r>
      <w:r>
        <w:rPr>
          <w:spacing w:val="-14"/>
          <w:sz w:val="24"/>
        </w:rPr>
        <w:t> </w:t>
      </w:r>
      <w:r>
        <w:rPr>
          <w:sz w:val="24"/>
        </w:rPr>
        <w:t>локтевого</w:t>
      </w:r>
      <w:r>
        <w:rPr>
          <w:spacing w:val="-13"/>
          <w:sz w:val="24"/>
        </w:rPr>
        <w:t> </w:t>
      </w:r>
      <w:r>
        <w:rPr>
          <w:spacing w:val="-2"/>
          <w:sz w:val="24"/>
        </w:rPr>
        <w:t>сгиба).</w:t>
      </w:r>
    </w:p>
    <w:p>
      <w:pPr>
        <w:pStyle w:val="ListParagraph"/>
        <w:numPr>
          <w:ilvl w:val="0"/>
          <w:numId w:val="88"/>
        </w:numPr>
        <w:tabs>
          <w:tab w:pos="320" w:val="left" w:leader="none"/>
        </w:tabs>
        <w:spacing w:line="259" w:lineRule="auto" w:before="182" w:after="0"/>
        <w:ind w:left="141" w:right="707" w:firstLine="0"/>
        <w:jc w:val="both"/>
        <w:rPr>
          <w:sz w:val="24"/>
        </w:rPr>
      </w:pPr>
      <w:r>
        <w:rPr>
          <w:sz w:val="24"/>
        </w:rPr>
        <w:t>Взятие крови из постоянного внутривенного или внутриартериального катетеров допускается только в случаях подозрения на наличие катетер-ассоциированной инфекции или отсутствия ее получения венепункцией.</w:t>
      </w:r>
    </w:p>
    <w:p>
      <w:pPr>
        <w:pStyle w:val="ListParagraph"/>
        <w:numPr>
          <w:ilvl w:val="0"/>
          <w:numId w:val="88"/>
        </w:numPr>
        <w:tabs>
          <w:tab w:pos="478" w:val="left" w:leader="none"/>
        </w:tabs>
        <w:spacing w:line="259" w:lineRule="auto" w:before="158" w:after="0"/>
        <w:ind w:left="141" w:right="712" w:firstLine="0"/>
        <w:jc w:val="both"/>
        <w:rPr>
          <w:sz w:val="24"/>
        </w:rPr>
      </w:pPr>
      <w:r>
        <w:rPr>
          <w:sz w:val="24"/>
        </w:rPr>
        <w:t>Взятие крови следует производить до начала антибиотикотерапии. Если это невозможно, сбор крови следует производить непосредственно перед введением очередной дозы препарата.</w:t>
      </w:r>
    </w:p>
    <w:p>
      <w:pPr>
        <w:pStyle w:val="ListParagraph"/>
        <w:spacing w:after="0" w:line="259" w:lineRule="auto"/>
        <w:jc w:val="both"/>
        <w:rPr>
          <w:sz w:val="24"/>
        </w:rPr>
        <w:sectPr>
          <w:pgSz w:w="11900" w:h="16840"/>
          <w:pgMar w:header="0" w:footer="697" w:top="1080" w:bottom="880" w:left="1559" w:right="566"/>
        </w:sectPr>
      </w:pPr>
    </w:p>
    <w:p>
      <w:pPr>
        <w:pStyle w:val="ListParagraph"/>
        <w:numPr>
          <w:ilvl w:val="0"/>
          <w:numId w:val="88"/>
        </w:numPr>
        <w:tabs>
          <w:tab w:pos="509" w:val="left" w:leader="none"/>
        </w:tabs>
        <w:spacing w:line="259" w:lineRule="auto" w:before="73" w:after="0"/>
        <w:ind w:left="141" w:right="713" w:firstLine="0"/>
        <w:jc w:val="both"/>
        <w:rPr>
          <w:sz w:val="24"/>
        </w:rPr>
      </w:pPr>
      <w:bookmarkStart w:name="188" w:id="222"/>
      <w:bookmarkEnd w:id="222"/>
      <w:r>
        <w:rPr/>
      </w:r>
      <w:r>
        <w:rPr>
          <w:sz w:val="24"/>
        </w:rPr>
        <w:t>Участок кожи над выбранным для пункции сосудом продезинфицировать: обработать</w:t>
      </w:r>
      <w:r>
        <w:rPr>
          <w:spacing w:val="-2"/>
          <w:sz w:val="24"/>
        </w:rPr>
        <w:t> </w:t>
      </w:r>
      <w:r>
        <w:rPr>
          <w:sz w:val="24"/>
        </w:rPr>
        <w:t>кожу</w:t>
      </w:r>
      <w:r>
        <w:rPr>
          <w:spacing w:val="-2"/>
          <w:sz w:val="24"/>
        </w:rPr>
        <w:t> </w:t>
      </w:r>
      <w:r>
        <w:rPr>
          <w:sz w:val="24"/>
        </w:rPr>
        <w:t>тампоном,</w:t>
      </w:r>
      <w:r>
        <w:rPr>
          <w:spacing w:val="-2"/>
          <w:sz w:val="24"/>
        </w:rPr>
        <w:t> </w:t>
      </w:r>
      <w:r>
        <w:rPr>
          <w:sz w:val="24"/>
        </w:rPr>
        <w:t>смоченным</w:t>
      </w:r>
      <w:r>
        <w:rPr>
          <w:spacing w:val="-3"/>
          <w:sz w:val="24"/>
        </w:rPr>
        <w:t> </w:t>
      </w:r>
      <w:r>
        <w:rPr>
          <w:sz w:val="24"/>
        </w:rPr>
        <w:t>дезинфектантом,</w:t>
      </w:r>
      <w:r>
        <w:rPr>
          <w:spacing w:val="-2"/>
          <w:sz w:val="24"/>
        </w:rPr>
        <w:t> </w:t>
      </w:r>
      <w:r>
        <w:rPr>
          <w:sz w:val="24"/>
        </w:rPr>
        <w:t>разрешенным</w:t>
      </w:r>
      <w:r>
        <w:rPr>
          <w:spacing w:val="-3"/>
          <w:sz w:val="24"/>
        </w:rPr>
        <w:t> </w:t>
      </w:r>
      <w:r>
        <w:rPr>
          <w:sz w:val="24"/>
        </w:rPr>
        <w:t>к</w:t>
      </w:r>
      <w:r>
        <w:rPr>
          <w:spacing w:val="-2"/>
          <w:sz w:val="24"/>
        </w:rPr>
        <w:t> </w:t>
      </w:r>
      <w:r>
        <w:rPr>
          <w:sz w:val="24"/>
        </w:rPr>
        <w:t>применению для этих целей в установленном порядке, круговыми движениями, начиная от центра, течении 30 с.</w:t>
      </w:r>
    </w:p>
    <w:p>
      <w:pPr>
        <w:pStyle w:val="ListParagraph"/>
        <w:numPr>
          <w:ilvl w:val="0"/>
          <w:numId w:val="88"/>
        </w:numPr>
        <w:tabs>
          <w:tab w:pos="379" w:val="left" w:leader="none"/>
        </w:tabs>
        <w:spacing w:line="240" w:lineRule="auto" w:before="158" w:after="0"/>
        <w:ind w:left="379" w:right="0" w:hanging="238"/>
        <w:jc w:val="left"/>
        <w:rPr>
          <w:sz w:val="24"/>
        </w:rPr>
      </w:pPr>
      <w:r>
        <w:rPr>
          <w:sz w:val="24"/>
        </w:rPr>
        <w:t>Подождать,</w:t>
      </w:r>
      <w:r>
        <w:rPr>
          <w:spacing w:val="-14"/>
          <w:sz w:val="24"/>
        </w:rPr>
        <w:t> </w:t>
      </w:r>
      <w:r>
        <w:rPr>
          <w:sz w:val="24"/>
        </w:rPr>
        <w:t>пока</w:t>
      </w:r>
      <w:r>
        <w:rPr>
          <w:spacing w:val="-14"/>
          <w:sz w:val="24"/>
        </w:rPr>
        <w:t> </w:t>
      </w:r>
      <w:r>
        <w:rPr>
          <w:sz w:val="24"/>
        </w:rPr>
        <w:t>высохнет</w:t>
      </w:r>
      <w:r>
        <w:rPr>
          <w:spacing w:val="-14"/>
          <w:sz w:val="24"/>
        </w:rPr>
        <w:t> </w:t>
      </w:r>
      <w:r>
        <w:rPr>
          <w:sz w:val="24"/>
        </w:rPr>
        <w:t>обработанный</w:t>
      </w:r>
      <w:r>
        <w:rPr>
          <w:spacing w:val="-13"/>
          <w:sz w:val="24"/>
        </w:rPr>
        <w:t> </w:t>
      </w:r>
      <w:r>
        <w:rPr>
          <w:spacing w:val="-2"/>
          <w:sz w:val="24"/>
        </w:rPr>
        <w:t>участок.</w:t>
      </w:r>
    </w:p>
    <w:p>
      <w:pPr>
        <w:pStyle w:val="ListParagraph"/>
        <w:numPr>
          <w:ilvl w:val="0"/>
          <w:numId w:val="88"/>
        </w:numPr>
        <w:tabs>
          <w:tab w:pos="379" w:val="left" w:leader="none"/>
        </w:tabs>
        <w:spacing w:line="240" w:lineRule="auto" w:before="182" w:after="0"/>
        <w:ind w:left="379" w:right="0" w:hanging="238"/>
        <w:jc w:val="left"/>
        <w:rPr>
          <w:sz w:val="24"/>
        </w:rPr>
      </w:pPr>
      <w:r>
        <w:rPr>
          <w:sz w:val="24"/>
        </w:rPr>
        <w:t>Не</w:t>
      </w:r>
      <w:r>
        <w:rPr>
          <w:spacing w:val="-12"/>
          <w:sz w:val="24"/>
        </w:rPr>
        <w:t> </w:t>
      </w:r>
      <w:r>
        <w:rPr>
          <w:sz w:val="24"/>
        </w:rPr>
        <w:t>допускается</w:t>
      </w:r>
      <w:r>
        <w:rPr>
          <w:spacing w:val="-11"/>
          <w:sz w:val="24"/>
        </w:rPr>
        <w:t> </w:t>
      </w:r>
      <w:r>
        <w:rPr>
          <w:sz w:val="24"/>
        </w:rPr>
        <w:t>пальпации</w:t>
      </w:r>
      <w:r>
        <w:rPr>
          <w:spacing w:val="-9"/>
          <w:sz w:val="24"/>
        </w:rPr>
        <w:t> </w:t>
      </w:r>
      <w:r>
        <w:rPr>
          <w:sz w:val="24"/>
        </w:rPr>
        <w:t>сосуда</w:t>
      </w:r>
      <w:r>
        <w:rPr>
          <w:spacing w:val="-11"/>
          <w:sz w:val="24"/>
        </w:rPr>
        <w:t> </w:t>
      </w:r>
      <w:r>
        <w:rPr>
          <w:sz w:val="24"/>
        </w:rPr>
        <w:t>после</w:t>
      </w:r>
      <w:r>
        <w:rPr>
          <w:spacing w:val="-11"/>
          <w:sz w:val="24"/>
        </w:rPr>
        <w:t> </w:t>
      </w:r>
      <w:r>
        <w:rPr>
          <w:sz w:val="24"/>
        </w:rPr>
        <w:t>обработки</w:t>
      </w:r>
      <w:r>
        <w:rPr>
          <w:spacing w:val="-10"/>
          <w:sz w:val="24"/>
        </w:rPr>
        <w:t> </w:t>
      </w:r>
      <w:r>
        <w:rPr>
          <w:sz w:val="24"/>
        </w:rPr>
        <w:t>кожи</w:t>
      </w:r>
      <w:r>
        <w:rPr>
          <w:spacing w:val="-10"/>
          <w:sz w:val="24"/>
        </w:rPr>
        <w:t> </w:t>
      </w:r>
      <w:r>
        <w:rPr>
          <w:sz w:val="24"/>
        </w:rPr>
        <w:t>перед</w:t>
      </w:r>
      <w:r>
        <w:rPr>
          <w:spacing w:val="-10"/>
          <w:sz w:val="24"/>
        </w:rPr>
        <w:t> </w:t>
      </w:r>
      <w:r>
        <w:rPr>
          <w:sz w:val="24"/>
        </w:rPr>
        <w:t>введением</w:t>
      </w:r>
      <w:r>
        <w:rPr>
          <w:spacing w:val="-11"/>
          <w:sz w:val="24"/>
        </w:rPr>
        <w:t> </w:t>
      </w:r>
      <w:r>
        <w:rPr>
          <w:spacing w:val="-2"/>
          <w:sz w:val="24"/>
        </w:rPr>
        <w:t>иглы.</w:t>
      </w:r>
    </w:p>
    <w:p>
      <w:pPr>
        <w:pStyle w:val="ListParagraph"/>
        <w:numPr>
          <w:ilvl w:val="0"/>
          <w:numId w:val="88"/>
        </w:numPr>
        <w:tabs>
          <w:tab w:pos="379" w:val="left" w:leader="none"/>
        </w:tabs>
        <w:spacing w:line="240" w:lineRule="auto" w:before="182" w:after="0"/>
        <w:ind w:left="379" w:right="0" w:hanging="238"/>
        <w:jc w:val="left"/>
        <w:rPr>
          <w:sz w:val="24"/>
        </w:rPr>
      </w:pPr>
      <w:r>
        <w:rPr>
          <w:sz w:val="24"/>
        </w:rPr>
        <w:t>Отбирают</w:t>
      </w:r>
      <w:r>
        <w:rPr>
          <w:spacing w:val="-8"/>
          <w:sz w:val="24"/>
        </w:rPr>
        <w:t> </w:t>
      </w:r>
      <w:r>
        <w:rPr>
          <w:sz w:val="24"/>
        </w:rPr>
        <w:t>10-20</w:t>
      </w:r>
      <w:r>
        <w:rPr>
          <w:spacing w:val="-8"/>
          <w:sz w:val="24"/>
        </w:rPr>
        <w:t> </w:t>
      </w:r>
      <w:r>
        <w:rPr>
          <w:sz w:val="24"/>
        </w:rPr>
        <w:t>мл</w:t>
      </w:r>
      <w:r>
        <w:rPr>
          <w:spacing w:val="-9"/>
          <w:sz w:val="24"/>
        </w:rPr>
        <w:t> </w:t>
      </w:r>
      <w:r>
        <w:rPr>
          <w:spacing w:val="-2"/>
          <w:sz w:val="24"/>
        </w:rPr>
        <w:t>крови.</w:t>
      </w:r>
    </w:p>
    <w:p>
      <w:pPr>
        <w:pStyle w:val="ListParagraph"/>
        <w:numPr>
          <w:ilvl w:val="0"/>
          <w:numId w:val="88"/>
        </w:numPr>
        <w:tabs>
          <w:tab w:pos="367" w:val="left" w:leader="none"/>
        </w:tabs>
        <w:spacing w:line="259" w:lineRule="auto" w:before="179" w:after="0"/>
        <w:ind w:left="141" w:right="712" w:firstLine="0"/>
        <w:jc w:val="both"/>
        <w:rPr>
          <w:sz w:val="24"/>
        </w:rPr>
      </w:pPr>
      <w:r>
        <w:rPr>
          <w:sz w:val="24"/>
        </w:rPr>
        <w:t>Параллельно</w:t>
      </w:r>
      <w:r>
        <w:rPr>
          <w:spacing w:val="-15"/>
          <w:sz w:val="24"/>
        </w:rPr>
        <w:t> </w:t>
      </w:r>
      <w:r>
        <w:rPr>
          <w:sz w:val="24"/>
        </w:rPr>
        <w:t>с</w:t>
      </w:r>
      <w:r>
        <w:rPr>
          <w:spacing w:val="-15"/>
          <w:sz w:val="24"/>
        </w:rPr>
        <w:t> </w:t>
      </w:r>
      <w:r>
        <w:rPr>
          <w:sz w:val="24"/>
        </w:rPr>
        <w:t>дезинфекцией</w:t>
      </w:r>
      <w:r>
        <w:rPr>
          <w:spacing w:val="-15"/>
          <w:sz w:val="24"/>
        </w:rPr>
        <w:t> </w:t>
      </w:r>
      <w:r>
        <w:rPr>
          <w:sz w:val="24"/>
        </w:rPr>
        <w:t>участка</w:t>
      </w:r>
      <w:r>
        <w:rPr>
          <w:spacing w:val="-15"/>
          <w:sz w:val="24"/>
        </w:rPr>
        <w:t> </w:t>
      </w:r>
      <w:r>
        <w:rPr>
          <w:sz w:val="24"/>
        </w:rPr>
        <w:t>кожи</w:t>
      </w:r>
      <w:r>
        <w:rPr>
          <w:spacing w:val="-15"/>
          <w:sz w:val="24"/>
        </w:rPr>
        <w:t> </w:t>
      </w:r>
      <w:r>
        <w:rPr>
          <w:sz w:val="24"/>
        </w:rPr>
        <w:t>для</w:t>
      </w:r>
      <w:r>
        <w:rPr>
          <w:spacing w:val="-15"/>
          <w:sz w:val="24"/>
        </w:rPr>
        <w:t> </w:t>
      </w:r>
      <w:r>
        <w:rPr>
          <w:sz w:val="24"/>
        </w:rPr>
        <w:t>пунктирования</w:t>
      </w:r>
      <w:r>
        <w:rPr>
          <w:spacing w:val="-15"/>
          <w:sz w:val="24"/>
        </w:rPr>
        <w:t> </w:t>
      </w:r>
      <w:r>
        <w:rPr>
          <w:sz w:val="24"/>
        </w:rPr>
        <w:t>обрабатывают</w:t>
      </w:r>
      <w:r>
        <w:rPr>
          <w:spacing w:val="-15"/>
          <w:sz w:val="24"/>
        </w:rPr>
        <w:t> </w:t>
      </w:r>
      <w:r>
        <w:rPr>
          <w:sz w:val="24"/>
        </w:rPr>
        <w:t>пробки флаконов 70% этиловым спиртом.</w:t>
      </w:r>
    </w:p>
    <w:p>
      <w:pPr>
        <w:pStyle w:val="ListParagraph"/>
        <w:numPr>
          <w:ilvl w:val="0"/>
          <w:numId w:val="88"/>
        </w:numPr>
        <w:tabs>
          <w:tab w:pos="408" w:val="left" w:leader="none"/>
        </w:tabs>
        <w:spacing w:line="259" w:lineRule="auto" w:before="159" w:after="0"/>
        <w:ind w:left="141" w:right="707" w:firstLine="0"/>
        <w:jc w:val="both"/>
        <w:rPr>
          <w:sz w:val="24"/>
        </w:rPr>
      </w:pPr>
      <w:r>
        <w:rPr>
          <w:sz w:val="24"/>
        </w:rPr>
        <w:t>Кровь, полученную от пациента, сменив иглу и проколов пробку емкости, вносят</w:t>
      </w:r>
      <w:r>
        <w:rPr>
          <w:spacing w:val="40"/>
          <w:sz w:val="24"/>
        </w:rPr>
        <w:t> </w:t>
      </w:r>
      <w:r>
        <w:rPr>
          <w:sz w:val="24"/>
        </w:rPr>
        <w:t>во флаконы для культивирования крови.</w:t>
      </w:r>
    </w:p>
    <w:p>
      <w:pPr>
        <w:pStyle w:val="ListParagraph"/>
        <w:numPr>
          <w:ilvl w:val="0"/>
          <w:numId w:val="88"/>
        </w:numPr>
        <w:tabs>
          <w:tab w:pos="499" w:val="left" w:leader="none"/>
        </w:tabs>
        <w:spacing w:line="240" w:lineRule="auto" w:before="160" w:after="0"/>
        <w:ind w:left="499" w:right="0" w:hanging="358"/>
        <w:jc w:val="left"/>
        <w:rPr>
          <w:sz w:val="24"/>
        </w:rPr>
      </w:pPr>
      <w:r>
        <w:rPr>
          <w:sz w:val="24"/>
        </w:rPr>
        <w:t>Доставка</w:t>
      </w:r>
      <w:r>
        <w:rPr>
          <w:spacing w:val="-12"/>
          <w:sz w:val="24"/>
        </w:rPr>
        <w:t> </w:t>
      </w:r>
      <w:r>
        <w:rPr>
          <w:sz w:val="24"/>
        </w:rPr>
        <w:t>биоматериала</w:t>
      </w:r>
      <w:r>
        <w:rPr>
          <w:spacing w:val="-11"/>
          <w:sz w:val="24"/>
        </w:rPr>
        <w:t> </w:t>
      </w:r>
      <w:r>
        <w:rPr>
          <w:sz w:val="24"/>
        </w:rPr>
        <w:t>в</w:t>
      </w:r>
      <w:r>
        <w:rPr>
          <w:spacing w:val="-11"/>
          <w:sz w:val="24"/>
        </w:rPr>
        <w:t> </w:t>
      </w:r>
      <w:r>
        <w:rPr>
          <w:sz w:val="24"/>
        </w:rPr>
        <w:t>лабораторию</w:t>
      </w:r>
      <w:r>
        <w:rPr>
          <w:spacing w:val="-11"/>
          <w:sz w:val="24"/>
        </w:rPr>
        <w:t> </w:t>
      </w:r>
      <w:r>
        <w:rPr>
          <w:sz w:val="24"/>
        </w:rPr>
        <w:t>осуществляется</w:t>
      </w:r>
      <w:r>
        <w:rPr>
          <w:spacing w:val="-9"/>
          <w:sz w:val="24"/>
        </w:rPr>
        <w:t> </w:t>
      </w:r>
      <w:r>
        <w:rPr>
          <w:sz w:val="24"/>
        </w:rPr>
        <w:t>в</w:t>
      </w:r>
      <w:r>
        <w:rPr>
          <w:spacing w:val="-11"/>
          <w:sz w:val="24"/>
        </w:rPr>
        <w:t> </w:t>
      </w:r>
      <w:r>
        <w:rPr>
          <w:sz w:val="24"/>
        </w:rPr>
        <w:t>течении</w:t>
      </w:r>
      <w:r>
        <w:rPr>
          <w:spacing w:val="-10"/>
          <w:sz w:val="24"/>
        </w:rPr>
        <w:t> </w:t>
      </w:r>
      <w:r>
        <w:rPr>
          <w:sz w:val="24"/>
        </w:rPr>
        <w:t>2-х</w:t>
      </w:r>
      <w:r>
        <w:rPr>
          <w:spacing w:val="-11"/>
          <w:sz w:val="24"/>
        </w:rPr>
        <w:t> </w:t>
      </w:r>
      <w:r>
        <w:rPr>
          <w:spacing w:val="-2"/>
          <w:sz w:val="24"/>
        </w:rPr>
        <w:t>часов.</w:t>
      </w:r>
    </w:p>
    <w:p>
      <w:pPr>
        <w:pStyle w:val="BodyText"/>
        <w:ind w:left="0"/>
        <w:jc w:val="left"/>
      </w:pPr>
    </w:p>
    <w:p>
      <w:pPr>
        <w:pStyle w:val="BodyText"/>
        <w:spacing w:before="88"/>
        <w:ind w:left="0"/>
        <w:jc w:val="left"/>
      </w:pPr>
    </w:p>
    <w:p>
      <w:pPr>
        <w:pStyle w:val="Heading3"/>
        <w:ind w:left="141"/>
        <w:jc w:val="left"/>
      </w:pPr>
      <w:r>
        <w:rPr/>
        <w:t>Правила</w:t>
      </w:r>
      <w:r>
        <w:rPr>
          <w:spacing w:val="-15"/>
        </w:rPr>
        <w:t> </w:t>
      </w:r>
      <w:r>
        <w:rPr/>
        <w:t>сбора</w:t>
      </w:r>
      <w:r>
        <w:rPr>
          <w:spacing w:val="-15"/>
        </w:rPr>
        <w:t> </w:t>
      </w:r>
      <w:r>
        <w:rPr/>
        <w:t>мочи</w:t>
      </w:r>
      <w:r>
        <w:rPr>
          <w:spacing w:val="-15"/>
        </w:rPr>
        <w:t> </w:t>
      </w:r>
      <w:r>
        <w:rPr/>
        <w:t>для</w:t>
      </w:r>
      <w:r>
        <w:rPr>
          <w:spacing w:val="-15"/>
        </w:rPr>
        <w:t> </w:t>
      </w:r>
      <w:r>
        <w:rPr/>
        <w:t>микробиологического</w:t>
      </w:r>
      <w:r>
        <w:rPr>
          <w:spacing w:val="-15"/>
        </w:rPr>
        <w:t> </w:t>
      </w:r>
      <w:r>
        <w:rPr>
          <w:spacing w:val="-2"/>
        </w:rPr>
        <w:t>исследования</w:t>
      </w:r>
    </w:p>
    <w:p>
      <w:pPr>
        <w:pStyle w:val="ListParagraph"/>
        <w:numPr>
          <w:ilvl w:val="0"/>
          <w:numId w:val="89"/>
        </w:numPr>
        <w:tabs>
          <w:tab w:pos="379" w:val="left" w:leader="none"/>
        </w:tabs>
        <w:spacing w:line="240" w:lineRule="auto" w:before="180" w:after="0"/>
        <w:ind w:left="379" w:right="0" w:hanging="238"/>
        <w:jc w:val="left"/>
        <w:rPr>
          <w:sz w:val="24"/>
        </w:rPr>
      </w:pPr>
      <w:r>
        <w:rPr>
          <w:sz w:val="24"/>
        </w:rPr>
        <w:t>Провести</w:t>
      </w:r>
      <w:r>
        <w:rPr>
          <w:spacing w:val="-14"/>
          <w:sz w:val="24"/>
        </w:rPr>
        <w:t> </w:t>
      </w:r>
      <w:r>
        <w:rPr>
          <w:sz w:val="24"/>
        </w:rPr>
        <w:t>тщательный</w:t>
      </w:r>
      <w:r>
        <w:rPr>
          <w:spacing w:val="-14"/>
          <w:sz w:val="24"/>
        </w:rPr>
        <w:t> </w:t>
      </w:r>
      <w:r>
        <w:rPr>
          <w:sz w:val="24"/>
        </w:rPr>
        <w:t>туалет</w:t>
      </w:r>
      <w:r>
        <w:rPr>
          <w:spacing w:val="-15"/>
          <w:sz w:val="24"/>
        </w:rPr>
        <w:t> </w:t>
      </w:r>
      <w:r>
        <w:rPr>
          <w:sz w:val="24"/>
        </w:rPr>
        <w:t>наружных</w:t>
      </w:r>
      <w:r>
        <w:rPr>
          <w:spacing w:val="-15"/>
          <w:sz w:val="24"/>
        </w:rPr>
        <w:t> </w:t>
      </w:r>
      <w:r>
        <w:rPr>
          <w:sz w:val="24"/>
        </w:rPr>
        <w:t>половых</w:t>
      </w:r>
      <w:r>
        <w:rPr>
          <w:spacing w:val="-15"/>
          <w:sz w:val="24"/>
        </w:rPr>
        <w:t> </w:t>
      </w:r>
      <w:r>
        <w:rPr>
          <w:spacing w:val="-2"/>
          <w:sz w:val="24"/>
        </w:rPr>
        <w:t>органов.</w:t>
      </w:r>
    </w:p>
    <w:p>
      <w:pPr>
        <w:pStyle w:val="ListParagraph"/>
        <w:numPr>
          <w:ilvl w:val="0"/>
          <w:numId w:val="89"/>
        </w:numPr>
        <w:tabs>
          <w:tab w:pos="379" w:val="left" w:leader="none"/>
        </w:tabs>
        <w:spacing w:line="240" w:lineRule="auto" w:before="182" w:after="0"/>
        <w:ind w:left="379" w:right="0" w:hanging="238"/>
        <w:jc w:val="left"/>
        <w:rPr>
          <w:sz w:val="24"/>
        </w:rPr>
      </w:pPr>
      <w:r>
        <w:rPr>
          <w:sz w:val="24"/>
        </w:rPr>
        <w:t>Открыть</w:t>
      </w:r>
      <w:r>
        <w:rPr>
          <w:spacing w:val="-13"/>
          <w:sz w:val="24"/>
        </w:rPr>
        <w:t> </w:t>
      </w:r>
      <w:r>
        <w:rPr>
          <w:sz w:val="24"/>
        </w:rPr>
        <w:t>стерильный</w:t>
      </w:r>
      <w:r>
        <w:rPr>
          <w:spacing w:val="-13"/>
          <w:sz w:val="24"/>
        </w:rPr>
        <w:t> </w:t>
      </w:r>
      <w:r>
        <w:rPr>
          <w:sz w:val="24"/>
        </w:rPr>
        <w:t>контейнер,</w:t>
      </w:r>
      <w:r>
        <w:rPr>
          <w:spacing w:val="-13"/>
          <w:sz w:val="24"/>
        </w:rPr>
        <w:t> </w:t>
      </w:r>
      <w:r>
        <w:rPr>
          <w:sz w:val="24"/>
        </w:rPr>
        <w:t>не</w:t>
      </w:r>
      <w:r>
        <w:rPr>
          <w:spacing w:val="-13"/>
          <w:sz w:val="24"/>
        </w:rPr>
        <w:t> </w:t>
      </w:r>
      <w:r>
        <w:rPr>
          <w:sz w:val="24"/>
        </w:rPr>
        <w:t>дотрагиваясь</w:t>
      </w:r>
      <w:r>
        <w:rPr>
          <w:spacing w:val="-12"/>
          <w:sz w:val="24"/>
        </w:rPr>
        <w:t> </w:t>
      </w:r>
      <w:r>
        <w:rPr>
          <w:sz w:val="24"/>
        </w:rPr>
        <w:t>до</w:t>
      </w:r>
      <w:r>
        <w:rPr>
          <w:spacing w:val="-13"/>
          <w:sz w:val="24"/>
        </w:rPr>
        <w:t> </w:t>
      </w:r>
      <w:r>
        <w:rPr>
          <w:sz w:val="24"/>
        </w:rPr>
        <w:t>внутренних</w:t>
      </w:r>
      <w:r>
        <w:rPr>
          <w:spacing w:val="-13"/>
          <w:sz w:val="24"/>
        </w:rPr>
        <w:t> </w:t>
      </w:r>
      <w:r>
        <w:rPr>
          <w:sz w:val="24"/>
        </w:rPr>
        <w:t>его</w:t>
      </w:r>
      <w:r>
        <w:rPr>
          <w:spacing w:val="-14"/>
          <w:sz w:val="24"/>
        </w:rPr>
        <w:t> </w:t>
      </w:r>
      <w:r>
        <w:rPr>
          <w:spacing w:val="-2"/>
          <w:sz w:val="24"/>
        </w:rPr>
        <w:t>поверхностей.</w:t>
      </w:r>
    </w:p>
    <w:p>
      <w:pPr>
        <w:pStyle w:val="ListParagraph"/>
        <w:numPr>
          <w:ilvl w:val="0"/>
          <w:numId w:val="89"/>
        </w:numPr>
        <w:tabs>
          <w:tab w:pos="377" w:val="left" w:leader="none"/>
        </w:tabs>
        <w:spacing w:line="259" w:lineRule="auto" w:before="182" w:after="0"/>
        <w:ind w:left="141" w:right="713" w:firstLine="0"/>
        <w:jc w:val="both"/>
        <w:rPr>
          <w:sz w:val="24"/>
        </w:rPr>
      </w:pPr>
      <w:r>
        <w:rPr>
          <w:sz w:val="24"/>
        </w:rPr>
        <w:t>Спустить</w:t>
      </w:r>
      <w:r>
        <w:rPr>
          <w:spacing w:val="-7"/>
          <w:sz w:val="24"/>
        </w:rPr>
        <w:t> </w:t>
      </w:r>
      <w:r>
        <w:rPr>
          <w:sz w:val="24"/>
        </w:rPr>
        <w:t>небольшое</w:t>
      </w:r>
      <w:r>
        <w:rPr>
          <w:spacing w:val="-9"/>
          <w:sz w:val="24"/>
        </w:rPr>
        <w:t> </w:t>
      </w:r>
      <w:r>
        <w:rPr>
          <w:sz w:val="24"/>
        </w:rPr>
        <w:t>количество</w:t>
      </w:r>
      <w:r>
        <w:rPr>
          <w:spacing w:val="-8"/>
          <w:sz w:val="24"/>
        </w:rPr>
        <w:t> </w:t>
      </w:r>
      <w:r>
        <w:rPr>
          <w:sz w:val="24"/>
        </w:rPr>
        <w:t>мочи</w:t>
      </w:r>
      <w:r>
        <w:rPr>
          <w:spacing w:val="-7"/>
          <w:sz w:val="24"/>
        </w:rPr>
        <w:t> </w:t>
      </w:r>
      <w:r>
        <w:rPr>
          <w:sz w:val="24"/>
        </w:rPr>
        <w:t>в</w:t>
      </w:r>
      <w:r>
        <w:rPr>
          <w:spacing w:val="-8"/>
          <w:sz w:val="24"/>
        </w:rPr>
        <w:t> </w:t>
      </w:r>
      <w:r>
        <w:rPr>
          <w:sz w:val="24"/>
        </w:rPr>
        <w:t>туалет,</w:t>
      </w:r>
      <w:r>
        <w:rPr>
          <w:spacing w:val="-7"/>
          <w:sz w:val="24"/>
        </w:rPr>
        <w:t> </w:t>
      </w:r>
      <w:r>
        <w:rPr>
          <w:sz w:val="24"/>
        </w:rPr>
        <w:t>среднюю</w:t>
      </w:r>
      <w:r>
        <w:rPr>
          <w:spacing w:val="-7"/>
          <w:sz w:val="24"/>
        </w:rPr>
        <w:t> </w:t>
      </w:r>
      <w:r>
        <w:rPr>
          <w:sz w:val="24"/>
        </w:rPr>
        <w:t>порцию</w:t>
      </w:r>
      <w:r>
        <w:rPr>
          <w:spacing w:val="-7"/>
          <w:sz w:val="24"/>
        </w:rPr>
        <w:t> </w:t>
      </w:r>
      <w:r>
        <w:rPr>
          <w:sz w:val="24"/>
        </w:rPr>
        <w:t>мочи</w:t>
      </w:r>
      <w:r>
        <w:rPr>
          <w:spacing w:val="-7"/>
          <w:sz w:val="24"/>
        </w:rPr>
        <w:t> </w:t>
      </w:r>
      <w:r>
        <w:rPr>
          <w:sz w:val="24"/>
        </w:rPr>
        <w:t>в</w:t>
      </w:r>
      <w:r>
        <w:rPr>
          <w:spacing w:val="-8"/>
          <w:sz w:val="24"/>
        </w:rPr>
        <w:t> </w:t>
      </w:r>
      <w:r>
        <w:rPr>
          <w:sz w:val="24"/>
        </w:rPr>
        <w:t>количестве 10-20 мл собрать в контейнер (первая порция не собирается, т.к. всегда конта</w:t>
      </w:r>
    </w:p>
    <w:p>
      <w:pPr>
        <w:pStyle w:val="ListParagraph"/>
        <w:numPr>
          <w:ilvl w:val="0"/>
          <w:numId w:val="89"/>
        </w:numPr>
        <w:tabs>
          <w:tab w:pos="379" w:val="left" w:leader="none"/>
        </w:tabs>
        <w:spacing w:line="240" w:lineRule="auto" w:before="159" w:after="0"/>
        <w:ind w:left="379" w:right="0" w:hanging="238"/>
        <w:jc w:val="left"/>
        <w:rPr>
          <w:sz w:val="24"/>
        </w:rPr>
      </w:pPr>
      <w:r>
        <w:rPr>
          <w:sz w:val="24"/>
        </w:rPr>
        <w:t>Плотно</w:t>
      </w:r>
      <w:r>
        <w:rPr>
          <w:spacing w:val="-12"/>
          <w:sz w:val="24"/>
        </w:rPr>
        <w:t> </w:t>
      </w:r>
      <w:r>
        <w:rPr>
          <w:sz w:val="24"/>
        </w:rPr>
        <w:t>закрыть</w:t>
      </w:r>
      <w:r>
        <w:rPr>
          <w:spacing w:val="-11"/>
          <w:sz w:val="24"/>
        </w:rPr>
        <w:t> </w:t>
      </w:r>
      <w:r>
        <w:rPr>
          <w:sz w:val="24"/>
        </w:rPr>
        <w:t>крышку</w:t>
      </w:r>
      <w:r>
        <w:rPr>
          <w:spacing w:val="-11"/>
          <w:sz w:val="24"/>
        </w:rPr>
        <w:t> </w:t>
      </w:r>
      <w:r>
        <w:rPr>
          <w:sz w:val="24"/>
        </w:rPr>
        <w:t>контейнера</w:t>
      </w:r>
      <w:r>
        <w:rPr>
          <w:spacing w:val="-12"/>
          <w:sz w:val="24"/>
        </w:rPr>
        <w:t> </w:t>
      </w:r>
      <w:r>
        <w:rPr>
          <w:sz w:val="24"/>
        </w:rPr>
        <w:t>с</w:t>
      </w:r>
      <w:r>
        <w:rPr>
          <w:spacing w:val="-11"/>
          <w:sz w:val="24"/>
        </w:rPr>
        <w:t> </w:t>
      </w:r>
      <w:r>
        <w:rPr>
          <w:spacing w:val="-2"/>
          <w:sz w:val="24"/>
        </w:rPr>
        <w:t>образцом.</w:t>
      </w:r>
    </w:p>
    <w:p>
      <w:pPr>
        <w:pStyle w:val="ListParagraph"/>
        <w:numPr>
          <w:ilvl w:val="0"/>
          <w:numId w:val="89"/>
        </w:numPr>
        <w:tabs>
          <w:tab w:pos="458" w:val="left" w:leader="none"/>
        </w:tabs>
        <w:spacing w:line="261" w:lineRule="auto" w:before="180" w:after="0"/>
        <w:ind w:left="141" w:right="707" w:firstLine="0"/>
        <w:jc w:val="both"/>
        <w:rPr>
          <w:sz w:val="24"/>
        </w:rPr>
      </w:pPr>
      <w:r>
        <w:rPr>
          <w:sz w:val="24"/>
        </w:rPr>
        <w:t>Доставка</w:t>
      </w:r>
      <w:r>
        <w:rPr>
          <w:spacing w:val="40"/>
          <w:sz w:val="24"/>
        </w:rPr>
        <w:t> </w:t>
      </w:r>
      <w:r>
        <w:rPr>
          <w:sz w:val="24"/>
        </w:rPr>
        <w:t>биологического</w:t>
      </w:r>
      <w:r>
        <w:rPr>
          <w:spacing w:val="40"/>
          <w:sz w:val="24"/>
        </w:rPr>
        <w:t> </w:t>
      </w:r>
      <w:r>
        <w:rPr>
          <w:sz w:val="24"/>
        </w:rPr>
        <w:t>материала</w:t>
      </w:r>
      <w:r>
        <w:rPr>
          <w:spacing w:val="40"/>
          <w:sz w:val="24"/>
        </w:rPr>
        <w:t> </w:t>
      </w:r>
      <w:r>
        <w:rPr>
          <w:sz w:val="24"/>
        </w:rPr>
        <w:t>в</w:t>
      </w:r>
      <w:r>
        <w:rPr>
          <w:spacing w:val="40"/>
          <w:sz w:val="24"/>
        </w:rPr>
        <w:t> </w:t>
      </w:r>
      <w:r>
        <w:rPr>
          <w:sz w:val="24"/>
        </w:rPr>
        <w:t>лабораторию</w:t>
      </w:r>
      <w:r>
        <w:rPr>
          <w:spacing w:val="40"/>
          <w:sz w:val="24"/>
        </w:rPr>
        <w:t> </w:t>
      </w:r>
      <w:r>
        <w:rPr>
          <w:sz w:val="24"/>
        </w:rPr>
        <w:t>осуществляется</w:t>
      </w:r>
      <w:r>
        <w:rPr>
          <w:spacing w:val="40"/>
          <w:sz w:val="24"/>
        </w:rPr>
        <w:t> </w:t>
      </w:r>
      <w:r>
        <w:rPr>
          <w:sz w:val="24"/>
        </w:rPr>
        <w:t>в</w:t>
      </w:r>
      <w:r>
        <w:rPr>
          <w:spacing w:val="40"/>
          <w:sz w:val="24"/>
        </w:rPr>
        <w:t> </w:t>
      </w:r>
      <w:r>
        <w:rPr>
          <w:sz w:val="24"/>
        </w:rPr>
        <w:t>течении</w:t>
      </w:r>
      <w:r>
        <w:rPr>
          <w:spacing w:val="80"/>
          <w:sz w:val="24"/>
        </w:rPr>
        <w:t> </w:t>
      </w:r>
      <w:r>
        <w:rPr>
          <w:sz w:val="24"/>
        </w:rPr>
        <w:t>2-х часов.</w:t>
      </w:r>
    </w:p>
    <w:p>
      <w:pPr>
        <w:pStyle w:val="ListParagraph"/>
        <w:numPr>
          <w:ilvl w:val="0"/>
          <w:numId w:val="89"/>
        </w:numPr>
        <w:tabs>
          <w:tab w:pos="437" w:val="left" w:leader="none"/>
        </w:tabs>
        <w:spacing w:line="259" w:lineRule="auto" w:before="154" w:after="0"/>
        <w:ind w:left="141" w:right="706" w:firstLine="0"/>
        <w:jc w:val="both"/>
        <w:rPr>
          <w:sz w:val="24"/>
        </w:rPr>
      </w:pPr>
      <w:r>
        <w:rPr>
          <w:sz w:val="24"/>
        </w:rPr>
        <w:t>При сборе мочи при помощи катетера в мочевом пузыре собирают вначале из катетера 15-30 мл мочи в специальную посуду для утилизации, затем собирают среднюю или последнюю порции мочи в стерильный контейнер.</w:t>
      </w:r>
    </w:p>
    <w:p>
      <w:pPr>
        <w:pStyle w:val="ListParagraph"/>
        <w:spacing w:after="0" w:line="259" w:lineRule="auto"/>
        <w:jc w:val="both"/>
        <w:rPr>
          <w:sz w:val="24"/>
        </w:rPr>
        <w:sectPr>
          <w:pgSz w:w="11900" w:h="16840"/>
          <w:pgMar w:header="0" w:footer="697" w:top="1080" w:bottom="880" w:left="1559" w:right="566"/>
        </w:sectPr>
      </w:pPr>
    </w:p>
    <w:p>
      <w:pPr>
        <w:pStyle w:val="Heading3"/>
        <w:spacing w:before="227"/>
        <w:ind w:left="13838"/>
        <w:jc w:val="left"/>
      </w:pPr>
      <w:bookmarkStart w:name="_TOC_250012" w:id="223"/>
      <w:bookmarkStart w:name="189" w:id="224"/>
      <w:r>
        <w:rPr>
          <w:b w:val="0"/>
        </w:rPr>
      </w:r>
      <w:r>
        <w:rPr>
          <w:color w:val="1F487C"/>
          <w:spacing w:val="-2"/>
        </w:rPr>
        <w:t>Приложение</w:t>
      </w:r>
      <w:r>
        <w:rPr>
          <w:color w:val="1F487C"/>
          <w:spacing w:val="1"/>
        </w:rPr>
        <w:t> </w:t>
      </w:r>
      <w:bookmarkEnd w:id="223"/>
      <w:r>
        <w:rPr>
          <w:color w:val="1F487C"/>
          <w:spacing w:val="-10"/>
        </w:rPr>
        <w:t>4</w:t>
      </w:r>
    </w:p>
    <w:p>
      <w:pPr>
        <w:pStyle w:val="Heading2"/>
        <w:spacing w:before="145"/>
        <w:ind w:left="1102"/>
      </w:pPr>
      <w:r>
        <w:rPr/>
        <w:t>Лекарственные</w:t>
      </w:r>
      <w:r>
        <w:rPr>
          <w:spacing w:val="-8"/>
        </w:rPr>
        <w:t> </w:t>
      </w:r>
      <w:r>
        <w:rPr/>
        <w:t>взаимодействия</w:t>
      </w:r>
      <w:r>
        <w:rPr>
          <w:spacing w:val="-10"/>
        </w:rPr>
        <w:t> </w:t>
      </w:r>
      <w:r>
        <w:rPr/>
        <w:t>антитромботических</w:t>
      </w:r>
      <w:r>
        <w:rPr>
          <w:spacing w:val="-7"/>
        </w:rPr>
        <w:t> </w:t>
      </w:r>
      <w:r>
        <w:rPr/>
        <w:t>и</w:t>
      </w:r>
      <w:r>
        <w:rPr>
          <w:spacing w:val="-9"/>
        </w:rPr>
        <w:t> </w:t>
      </w:r>
      <w:r>
        <w:rPr/>
        <w:t>препаратов</w:t>
      </w:r>
      <w:r>
        <w:rPr>
          <w:spacing w:val="-8"/>
        </w:rPr>
        <w:t> </w:t>
      </w:r>
      <w:r>
        <w:rPr/>
        <w:t>для</w:t>
      </w:r>
      <w:r>
        <w:rPr>
          <w:spacing w:val="-8"/>
        </w:rPr>
        <w:t> </w:t>
      </w:r>
      <w:r>
        <w:rPr/>
        <w:t>лечения</w:t>
      </w:r>
      <w:r>
        <w:rPr>
          <w:spacing w:val="-9"/>
        </w:rPr>
        <w:t> </w:t>
      </w:r>
      <w:r>
        <w:rPr/>
        <w:t>пациентов</w:t>
      </w:r>
      <w:r>
        <w:rPr>
          <w:spacing w:val="-8"/>
        </w:rPr>
        <w:t> </w:t>
      </w:r>
      <w:r>
        <w:rPr/>
        <w:t>с</w:t>
      </w:r>
      <w:r>
        <w:rPr>
          <w:spacing w:val="-9"/>
        </w:rPr>
        <w:t> </w:t>
      </w:r>
      <w:r>
        <w:rPr/>
        <w:t>COVID-</w:t>
      </w:r>
      <w:r>
        <w:rPr>
          <w:spacing w:val="-5"/>
        </w:rPr>
        <w:t>19</w:t>
      </w:r>
    </w:p>
    <w:p>
      <w:pPr>
        <w:pStyle w:val="BodyText"/>
        <w:spacing w:before="2"/>
        <w:ind w:left="0"/>
        <w:jc w:val="left"/>
        <w:rPr>
          <w:b/>
          <w:sz w:val="15"/>
        </w:rPr>
      </w:pPr>
    </w:p>
    <w:tbl>
      <w:tblPr>
        <w:tblW w:w="0" w:type="auto"/>
        <w:jc w:val="left"/>
        <w:tblInd w:w="27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969"/>
        <w:gridCol w:w="1844"/>
        <w:gridCol w:w="1843"/>
        <w:gridCol w:w="1985"/>
        <w:gridCol w:w="2129"/>
        <w:gridCol w:w="2268"/>
        <w:gridCol w:w="1844"/>
      </w:tblGrid>
      <w:tr>
        <w:trPr>
          <w:trHeight w:val="1065" w:hRule="atLeast"/>
        </w:trPr>
        <w:tc>
          <w:tcPr>
            <w:tcW w:w="2969" w:type="dxa"/>
          </w:tcPr>
          <w:p>
            <w:pPr>
              <w:pStyle w:val="TableParagraph"/>
              <w:spacing w:before="80"/>
              <w:ind w:left="142"/>
              <w:rPr>
                <w:b/>
                <w:sz w:val="20"/>
              </w:rPr>
            </w:pPr>
            <w:r>
              <w:rPr>
                <w:b/>
                <w:spacing w:val="-2"/>
                <w:sz w:val="20"/>
              </w:rPr>
              <w:t>Препарат</w:t>
            </w:r>
          </w:p>
        </w:tc>
        <w:tc>
          <w:tcPr>
            <w:tcW w:w="1844" w:type="dxa"/>
          </w:tcPr>
          <w:p>
            <w:pPr>
              <w:pStyle w:val="TableParagraph"/>
              <w:spacing w:before="80"/>
              <w:ind w:left="29" w:right="32" w:firstLine="4"/>
              <w:jc w:val="center"/>
              <w:rPr>
                <w:b/>
                <w:sz w:val="20"/>
              </w:rPr>
            </w:pPr>
            <w:r>
              <w:rPr>
                <w:b/>
                <w:spacing w:val="-2"/>
                <w:sz w:val="20"/>
              </w:rPr>
              <w:t>Фавипиравир, Фавипиравир+Цин </w:t>
            </w:r>
            <w:r>
              <w:rPr>
                <w:b/>
                <w:sz w:val="20"/>
              </w:rPr>
              <w:t>ка глюконат, </w:t>
            </w:r>
            <w:r>
              <w:rPr>
                <w:b/>
                <w:spacing w:val="-2"/>
                <w:sz w:val="20"/>
              </w:rPr>
              <w:t>Молнупиравир</w:t>
            </w:r>
          </w:p>
        </w:tc>
        <w:tc>
          <w:tcPr>
            <w:tcW w:w="1843" w:type="dxa"/>
          </w:tcPr>
          <w:p>
            <w:pPr>
              <w:pStyle w:val="TableParagraph"/>
              <w:spacing w:before="80"/>
              <w:ind w:left="3" w:right="4"/>
              <w:jc w:val="center"/>
              <w:rPr>
                <w:b/>
                <w:sz w:val="20"/>
              </w:rPr>
            </w:pPr>
            <w:r>
              <w:rPr>
                <w:b/>
                <w:spacing w:val="-2"/>
                <w:sz w:val="20"/>
              </w:rPr>
              <w:t>Ремдесивир</w:t>
            </w:r>
          </w:p>
        </w:tc>
        <w:tc>
          <w:tcPr>
            <w:tcW w:w="1985" w:type="dxa"/>
          </w:tcPr>
          <w:p>
            <w:pPr>
              <w:pStyle w:val="TableParagraph"/>
              <w:spacing w:before="80"/>
              <w:ind w:left="493" w:hanging="252"/>
              <w:rPr>
                <w:b/>
                <w:sz w:val="20"/>
              </w:rPr>
            </w:pPr>
            <w:r>
              <w:rPr>
                <w:b/>
                <w:spacing w:val="-2"/>
                <w:sz w:val="20"/>
              </w:rPr>
              <w:t>Нирматрелвир+ ритонавир</w:t>
            </w:r>
          </w:p>
        </w:tc>
        <w:tc>
          <w:tcPr>
            <w:tcW w:w="2129" w:type="dxa"/>
          </w:tcPr>
          <w:p>
            <w:pPr>
              <w:pStyle w:val="TableParagraph"/>
              <w:spacing w:before="80"/>
              <w:ind w:left="571" w:hanging="147"/>
              <w:rPr>
                <w:b/>
                <w:sz w:val="20"/>
              </w:rPr>
            </w:pPr>
            <w:r>
              <w:rPr>
                <w:b/>
                <w:spacing w:val="-2"/>
                <w:sz w:val="20"/>
              </w:rPr>
              <w:t>Тоцилизумаб, сарилумаб</w:t>
            </w:r>
          </w:p>
        </w:tc>
        <w:tc>
          <w:tcPr>
            <w:tcW w:w="2268" w:type="dxa"/>
          </w:tcPr>
          <w:p>
            <w:pPr>
              <w:pStyle w:val="TableParagraph"/>
              <w:spacing w:before="80"/>
              <w:ind w:right="15"/>
              <w:jc w:val="center"/>
              <w:rPr>
                <w:b/>
                <w:sz w:val="20"/>
              </w:rPr>
            </w:pPr>
            <w:r>
              <w:rPr>
                <w:b/>
                <w:spacing w:val="-2"/>
                <w:sz w:val="20"/>
              </w:rPr>
              <w:t>Барицитиниб</w:t>
            </w:r>
          </w:p>
        </w:tc>
        <w:tc>
          <w:tcPr>
            <w:tcW w:w="1844" w:type="dxa"/>
          </w:tcPr>
          <w:p>
            <w:pPr>
              <w:pStyle w:val="TableParagraph"/>
              <w:spacing w:before="80"/>
              <w:ind w:left="1" w:right="17"/>
              <w:jc w:val="center"/>
              <w:rPr>
                <w:b/>
                <w:sz w:val="20"/>
              </w:rPr>
            </w:pPr>
            <w:r>
              <w:rPr>
                <w:b/>
                <w:sz w:val="20"/>
              </w:rPr>
              <w:t>Дексаметазон</w:t>
            </w:r>
            <w:r>
              <w:rPr>
                <w:b/>
                <w:spacing w:val="-10"/>
                <w:sz w:val="20"/>
              </w:rPr>
              <w:t> *</w:t>
            </w:r>
          </w:p>
        </w:tc>
      </w:tr>
      <w:tr>
        <w:trPr>
          <w:trHeight w:val="388" w:hRule="atLeast"/>
        </w:trPr>
        <w:tc>
          <w:tcPr>
            <w:tcW w:w="2969" w:type="dxa"/>
          </w:tcPr>
          <w:p>
            <w:pPr>
              <w:pStyle w:val="TableParagraph"/>
              <w:spacing w:before="79"/>
              <w:ind w:left="142"/>
              <w:rPr>
                <w:sz w:val="20"/>
              </w:rPr>
            </w:pPr>
            <w:r>
              <w:rPr>
                <w:spacing w:val="-2"/>
                <w:sz w:val="20"/>
              </w:rPr>
              <w:t>Аценокумарол</w:t>
            </w:r>
          </w:p>
        </w:tc>
        <w:tc>
          <w:tcPr>
            <w:tcW w:w="1844" w:type="dxa"/>
            <w:shd w:val="clear" w:color="auto" w:fill="C5DFB3"/>
          </w:tcPr>
          <w:p>
            <w:pPr>
              <w:pStyle w:val="TableParagraph"/>
              <w:spacing w:before="79"/>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9"/>
              <w:ind w:right="4"/>
              <w:jc w:val="center"/>
              <w:rPr>
                <w:rFonts w:ascii="Symbol" w:hAnsi="Symbol"/>
                <w:sz w:val="20"/>
              </w:rPr>
            </w:pPr>
            <w:r>
              <w:rPr>
                <w:rFonts w:ascii="Symbol" w:hAnsi="Symbol"/>
                <w:spacing w:val="-10"/>
                <w:sz w:val="20"/>
              </w:rPr>
              <w:t></w:t>
            </w:r>
          </w:p>
        </w:tc>
        <w:tc>
          <w:tcPr>
            <w:tcW w:w="1985" w:type="dxa"/>
            <w:shd w:val="clear" w:color="auto" w:fill="F7C9AC"/>
          </w:tcPr>
          <w:p>
            <w:pPr>
              <w:pStyle w:val="TableParagraph"/>
              <w:spacing w:before="79"/>
              <w:ind w:right="5"/>
              <w:jc w:val="center"/>
              <w:rPr>
                <w:rFonts w:ascii="Symbol" w:hAnsi="Symbol"/>
                <w:sz w:val="20"/>
              </w:rPr>
            </w:pPr>
            <w:r>
              <w:rPr>
                <w:rFonts w:ascii="Symbol" w:hAnsi="Symbol"/>
                <w:spacing w:val="-10"/>
                <w:sz w:val="20"/>
              </w:rPr>
              <w:t></w:t>
            </w:r>
          </w:p>
        </w:tc>
        <w:tc>
          <w:tcPr>
            <w:tcW w:w="2129" w:type="dxa"/>
            <w:shd w:val="clear" w:color="auto" w:fill="FFFF00"/>
          </w:tcPr>
          <w:p>
            <w:pPr>
              <w:pStyle w:val="TableParagraph"/>
              <w:spacing w:before="79"/>
              <w:ind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9"/>
              <w:ind w:left="3" w:right="15"/>
              <w:jc w:val="center"/>
              <w:rPr>
                <w:rFonts w:ascii="Symbol" w:hAnsi="Symbol"/>
                <w:sz w:val="20"/>
              </w:rPr>
            </w:pPr>
            <w:r>
              <w:rPr>
                <w:rFonts w:ascii="Symbol" w:hAnsi="Symbol"/>
                <w:spacing w:val="-10"/>
                <w:sz w:val="20"/>
              </w:rPr>
              <w:t></w:t>
            </w:r>
          </w:p>
        </w:tc>
        <w:tc>
          <w:tcPr>
            <w:tcW w:w="1844" w:type="dxa"/>
            <w:shd w:val="clear" w:color="auto" w:fill="FFFF00"/>
          </w:tcPr>
          <w:p>
            <w:pPr>
              <w:pStyle w:val="TableParagraph"/>
              <w:spacing w:before="79"/>
              <w:ind w:left="1" w:right="16"/>
              <w:jc w:val="center"/>
              <w:rPr>
                <w:rFonts w:ascii="Symbol" w:hAnsi="Symbol"/>
                <w:sz w:val="20"/>
              </w:rPr>
            </w:pPr>
            <w:r>
              <w:rPr>
                <w:rFonts w:ascii="Symbol" w:hAnsi="Symbol"/>
                <w:spacing w:val="-10"/>
                <w:sz w:val="20"/>
              </w:rPr>
              <w:t></w:t>
            </w:r>
          </w:p>
        </w:tc>
      </w:tr>
      <w:tr>
        <w:trPr>
          <w:trHeight w:val="388" w:hRule="atLeast"/>
        </w:trPr>
        <w:tc>
          <w:tcPr>
            <w:tcW w:w="2969" w:type="dxa"/>
          </w:tcPr>
          <w:p>
            <w:pPr>
              <w:pStyle w:val="TableParagraph"/>
              <w:spacing w:before="79"/>
              <w:ind w:left="142"/>
              <w:rPr>
                <w:sz w:val="20"/>
              </w:rPr>
            </w:pPr>
            <w:r>
              <w:rPr>
                <w:spacing w:val="-2"/>
                <w:sz w:val="20"/>
              </w:rPr>
              <w:t>Апиксабан</w:t>
            </w:r>
          </w:p>
        </w:tc>
        <w:tc>
          <w:tcPr>
            <w:tcW w:w="1844" w:type="dxa"/>
            <w:shd w:val="clear" w:color="auto" w:fill="C5DFB3"/>
          </w:tcPr>
          <w:p>
            <w:pPr>
              <w:pStyle w:val="TableParagraph"/>
              <w:spacing w:before="79"/>
              <w:ind w:left="17" w:right="16"/>
              <w:jc w:val="center"/>
              <w:rPr>
                <w:rFonts w:ascii="Symbol" w:hAnsi="Symbol"/>
                <w:sz w:val="20"/>
              </w:rPr>
            </w:pPr>
            <w:r>
              <w:rPr>
                <w:rFonts w:ascii="Symbol" w:hAnsi="Symbol"/>
                <w:spacing w:val="-10"/>
                <w:sz w:val="20"/>
              </w:rPr>
              <w:t></w:t>
            </w:r>
          </w:p>
        </w:tc>
        <w:tc>
          <w:tcPr>
            <w:tcW w:w="1843" w:type="dxa"/>
            <w:shd w:val="clear" w:color="auto" w:fill="FFFF00"/>
          </w:tcPr>
          <w:p>
            <w:pPr>
              <w:pStyle w:val="TableParagraph"/>
              <w:spacing w:before="79"/>
              <w:ind w:right="4"/>
              <w:jc w:val="center"/>
              <w:rPr>
                <w:rFonts w:ascii="Symbol" w:hAnsi="Symbol"/>
                <w:sz w:val="20"/>
              </w:rPr>
            </w:pPr>
            <w:r>
              <w:rPr>
                <w:rFonts w:ascii="Symbol" w:hAnsi="Symbol"/>
                <w:spacing w:val="-10"/>
                <w:sz w:val="20"/>
              </w:rPr>
              <w:t></w:t>
            </w:r>
          </w:p>
        </w:tc>
        <w:tc>
          <w:tcPr>
            <w:tcW w:w="1985" w:type="dxa"/>
            <w:shd w:val="clear" w:color="auto" w:fill="F7C9AC"/>
          </w:tcPr>
          <w:p>
            <w:pPr>
              <w:pStyle w:val="TableParagraph"/>
              <w:spacing w:before="79"/>
              <w:ind w:right="5"/>
              <w:jc w:val="center"/>
              <w:rPr>
                <w:rFonts w:ascii="Symbol" w:hAnsi="Symbol"/>
                <w:sz w:val="20"/>
              </w:rPr>
            </w:pPr>
            <w:r>
              <w:rPr>
                <w:rFonts w:ascii="Symbol" w:hAnsi="Symbol"/>
                <w:spacing w:val="-10"/>
                <w:sz w:val="20"/>
              </w:rPr>
              <w:t></w:t>
            </w:r>
          </w:p>
        </w:tc>
        <w:tc>
          <w:tcPr>
            <w:tcW w:w="2129" w:type="dxa"/>
            <w:shd w:val="clear" w:color="auto" w:fill="FFFF00"/>
          </w:tcPr>
          <w:p>
            <w:pPr>
              <w:pStyle w:val="TableParagraph"/>
              <w:spacing w:before="79"/>
              <w:ind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9"/>
              <w:ind w:left="3" w:right="15"/>
              <w:jc w:val="center"/>
              <w:rPr>
                <w:rFonts w:ascii="Symbol" w:hAnsi="Symbol"/>
                <w:sz w:val="20"/>
              </w:rPr>
            </w:pPr>
            <w:r>
              <w:rPr>
                <w:rFonts w:ascii="Symbol" w:hAnsi="Symbol"/>
                <w:spacing w:val="-10"/>
                <w:sz w:val="20"/>
              </w:rPr>
              <w:t></w:t>
            </w:r>
          </w:p>
        </w:tc>
        <w:tc>
          <w:tcPr>
            <w:tcW w:w="1844" w:type="dxa"/>
            <w:shd w:val="clear" w:color="auto" w:fill="FFFF00"/>
          </w:tcPr>
          <w:p>
            <w:pPr>
              <w:pStyle w:val="TableParagraph"/>
              <w:spacing w:before="79"/>
              <w:ind w:left="1" w:right="16"/>
              <w:jc w:val="center"/>
              <w:rPr>
                <w:rFonts w:ascii="Symbol" w:hAnsi="Symbol"/>
                <w:sz w:val="20"/>
              </w:rPr>
            </w:pPr>
            <w:r>
              <w:rPr>
                <w:rFonts w:ascii="Symbol" w:hAnsi="Symbol"/>
                <w:spacing w:val="-10"/>
                <w:sz w:val="20"/>
              </w:rPr>
              <w:t></w:t>
            </w:r>
          </w:p>
        </w:tc>
      </w:tr>
      <w:tr>
        <w:trPr>
          <w:trHeight w:val="390" w:hRule="atLeast"/>
        </w:trPr>
        <w:tc>
          <w:tcPr>
            <w:tcW w:w="2969" w:type="dxa"/>
          </w:tcPr>
          <w:p>
            <w:pPr>
              <w:pStyle w:val="TableParagraph"/>
              <w:spacing w:before="79"/>
              <w:ind w:left="142"/>
              <w:rPr>
                <w:sz w:val="20"/>
              </w:rPr>
            </w:pPr>
            <w:r>
              <w:rPr>
                <w:spacing w:val="-2"/>
                <w:sz w:val="20"/>
              </w:rPr>
              <w:t>Ацетилсалициловая</w:t>
            </w:r>
            <w:r>
              <w:rPr>
                <w:spacing w:val="14"/>
                <w:sz w:val="20"/>
              </w:rPr>
              <w:t> </w:t>
            </w:r>
            <w:r>
              <w:rPr>
                <w:spacing w:val="-2"/>
                <w:sz w:val="20"/>
              </w:rPr>
              <w:t>кислота</w:t>
            </w:r>
          </w:p>
        </w:tc>
        <w:tc>
          <w:tcPr>
            <w:tcW w:w="1844" w:type="dxa"/>
            <w:shd w:val="clear" w:color="auto" w:fill="C5DFB3"/>
          </w:tcPr>
          <w:p>
            <w:pPr>
              <w:pStyle w:val="TableParagraph"/>
              <w:spacing w:before="79"/>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9"/>
              <w:ind w:right="4"/>
              <w:jc w:val="center"/>
              <w:rPr>
                <w:rFonts w:ascii="Symbol" w:hAnsi="Symbol"/>
                <w:sz w:val="20"/>
              </w:rPr>
            </w:pPr>
            <w:r>
              <w:rPr>
                <w:rFonts w:ascii="Symbol" w:hAnsi="Symbol"/>
                <w:spacing w:val="-10"/>
                <w:sz w:val="20"/>
              </w:rPr>
              <w:t></w:t>
            </w:r>
          </w:p>
        </w:tc>
        <w:tc>
          <w:tcPr>
            <w:tcW w:w="1985" w:type="dxa"/>
            <w:shd w:val="clear" w:color="auto" w:fill="C5DFB3"/>
          </w:tcPr>
          <w:p>
            <w:pPr>
              <w:pStyle w:val="TableParagraph"/>
              <w:spacing w:before="79"/>
              <w:ind w:left="1" w:right="5"/>
              <w:jc w:val="center"/>
              <w:rPr>
                <w:rFonts w:ascii="Symbol" w:hAnsi="Symbol"/>
                <w:sz w:val="20"/>
              </w:rPr>
            </w:pPr>
            <w:r>
              <w:rPr>
                <w:rFonts w:ascii="Symbol" w:hAnsi="Symbol"/>
                <w:spacing w:val="-10"/>
                <w:sz w:val="20"/>
              </w:rPr>
              <w:t></w:t>
            </w:r>
          </w:p>
        </w:tc>
        <w:tc>
          <w:tcPr>
            <w:tcW w:w="2129" w:type="dxa"/>
            <w:shd w:val="clear" w:color="auto" w:fill="C5DFB3"/>
          </w:tcPr>
          <w:p>
            <w:pPr>
              <w:pStyle w:val="TableParagraph"/>
              <w:spacing w:before="79"/>
              <w:ind w:left="1"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9"/>
              <w:ind w:left="3" w:right="15"/>
              <w:jc w:val="center"/>
              <w:rPr>
                <w:rFonts w:ascii="Symbol" w:hAnsi="Symbol"/>
                <w:sz w:val="20"/>
              </w:rPr>
            </w:pPr>
            <w:r>
              <w:rPr>
                <w:rFonts w:ascii="Symbol" w:hAnsi="Symbol"/>
                <w:spacing w:val="-10"/>
                <w:sz w:val="20"/>
              </w:rPr>
              <w:t></w:t>
            </w:r>
          </w:p>
        </w:tc>
        <w:tc>
          <w:tcPr>
            <w:tcW w:w="1844" w:type="dxa"/>
            <w:shd w:val="clear" w:color="auto" w:fill="C5DFB3"/>
          </w:tcPr>
          <w:p>
            <w:pPr>
              <w:pStyle w:val="TableParagraph"/>
              <w:rPr>
                <w:sz w:val="18"/>
              </w:rPr>
            </w:pPr>
          </w:p>
        </w:tc>
      </w:tr>
      <w:tr>
        <w:trPr>
          <w:trHeight w:val="388" w:hRule="atLeast"/>
        </w:trPr>
        <w:tc>
          <w:tcPr>
            <w:tcW w:w="2969" w:type="dxa"/>
          </w:tcPr>
          <w:p>
            <w:pPr>
              <w:pStyle w:val="TableParagraph"/>
              <w:spacing w:before="78"/>
              <w:ind w:left="142"/>
              <w:rPr>
                <w:sz w:val="20"/>
              </w:rPr>
            </w:pPr>
            <w:r>
              <w:rPr>
                <w:spacing w:val="-2"/>
                <w:sz w:val="20"/>
              </w:rPr>
              <w:t>Клопидогрел</w:t>
            </w:r>
          </w:p>
        </w:tc>
        <w:tc>
          <w:tcPr>
            <w:tcW w:w="1844" w:type="dxa"/>
            <w:shd w:val="clear" w:color="auto" w:fill="C5DFB3"/>
          </w:tcPr>
          <w:p>
            <w:pPr>
              <w:pStyle w:val="TableParagraph"/>
              <w:spacing w:before="78"/>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8"/>
              <w:ind w:right="4"/>
              <w:jc w:val="center"/>
              <w:rPr>
                <w:rFonts w:ascii="Symbol" w:hAnsi="Symbol"/>
                <w:sz w:val="20"/>
              </w:rPr>
            </w:pPr>
            <w:r>
              <w:rPr>
                <w:rFonts w:ascii="Symbol" w:hAnsi="Symbol"/>
                <w:spacing w:val="-10"/>
                <w:sz w:val="20"/>
              </w:rPr>
              <w:t></w:t>
            </w:r>
          </w:p>
        </w:tc>
        <w:tc>
          <w:tcPr>
            <w:tcW w:w="1985" w:type="dxa"/>
            <w:shd w:val="clear" w:color="auto" w:fill="F7C9AC"/>
          </w:tcPr>
          <w:p>
            <w:pPr>
              <w:pStyle w:val="TableParagraph"/>
              <w:spacing w:before="78"/>
              <w:ind w:right="5"/>
              <w:jc w:val="center"/>
              <w:rPr>
                <w:rFonts w:ascii="Symbol" w:hAnsi="Symbol"/>
                <w:sz w:val="20"/>
              </w:rPr>
            </w:pPr>
            <w:r>
              <w:rPr>
                <w:rFonts w:ascii="Symbol" w:hAnsi="Symbol"/>
                <w:spacing w:val="-10"/>
                <w:sz w:val="20"/>
              </w:rPr>
              <w:t></w:t>
            </w:r>
          </w:p>
        </w:tc>
        <w:tc>
          <w:tcPr>
            <w:tcW w:w="2129" w:type="dxa"/>
            <w:shd w:val="clear" w:color="auto" w:fill="FFFF00"/>
          </w:tcPr>
          <w:p>
            <w:pPr>
              <w:pStyle w:val="TableParagraph"/>
              <w:spacing w:before="78"/>
              <w:ind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8"/>
              <w:ind w:left="3" w:right="15"/>
              <w:jc w:val="center"/>
              <w:rPr>
                <w:rFonts w:ascii="Symbol" w:hAnsi="Symbol"/>
                <w:sz w:val="20"/>
              </w:rPr>
            </w:pPr>
            <w:r>
              <w:rPr>
                <w:rFonts w:ascii="Symbol" w:hAnsi="Symbol"/>
                <w:spacing w:val="-10"/>
                <w:sz w:val="20"/>
              </w:rPr>
              <w:t></w:t>
            </w:r>
          </w:p>
        </w:tc>
        <w:tc>
          <w:tcPr>
            <w:tcW w:w="1844" w:type="dxa"/>
            <w:shd w:val="clear" w:color="auto" w:fill="C5DFB3"/>
          </w:tcPr>
          <w:p>
            <w:pPr>
              <w:pStyle w:val="TableParagraph"/>
              <w:rPr>
                <w:sz w:val="18"/>
              </w:rPr>
            </w:pPr>
          </w:p>
        </w:tc>
      </w:tr>
      <w:tr>
        <w:trPr>
          <w:trHeight w:val="388" w:hRule="atLeast"/>
        </w:trPr>
        <w:tc>
          <w:tcPr>
            <w:tcW w:w="2969" w:type="dxa"/>
          </w:tcPr>
          <w:p>
            <w:pPr>
              <w:pStyle w:val="TableParagraph"/>
              <w:spacing w:before="78"/>
              <w:ind w:left="142"/>
              <w:rPr>
                <w:sz w:val="20"/>
              </w:rPr>
            </w:pPr>
            <w:r>
              <w:rPr>
                <w:spacing w:val="-2"/>
                <w:sz w:val="20"/>
              </w:rPr>
              <w:t>Дабигатран</w:t>
            </w:r>
          </w:p>
        </w:tc>
        <w:tc>
          <w:tcPr>
            <w:tcW w:w="1844" w:type="dxa"/>
            <w:shd w:val="clear" w:color="auto" w:fill="C5DFB3"/>
          </w:tcPr>
          <w:p>
            <w:pPr>
              <w:pStyle w:val="TableParagraph"/>
              <w:spacing w:before="78"/>
              <w:ind w:left="17" w:right="16"/>
              <w:jc w:val="center"/>
              <w:rPr>
                <w:rFonts w:ascii="Symbol" w:hAnsi="Symbol"/>
                <w:sz w:val="20"/>
              </w:rPr>
            </w:pPr>
            <w:r>
              <w:rPr>
                <w:rFonts w:ascii="Symbol" w:hAnsi="Symbol"/>
                <w:spacing w:val="-10"/>
                <w:sz w:val="20"/>
              </w:rPr>
              <w:t></w:t>
            </w:r>
          </w:p>
        </w:tc>
        <w:tc>
          <w:tcPr>
            <w:tcW w:w="1843" w:type="dxa"/>
            <w:shd w:val="clear" w:color="auto" w:fill="FBD4B5"/>
          </w:tcPr>
          <w:p>
            <w:pPr>
              <w:pStyle w:val="TableParagraph"/>
              <w:spacing w:before="78"/>
              <w:ind w:right="4"/>
              <w:jc w:val="center"/>
              <w:rPr>
                <w:rFonts w:ascii="Symbol" w:hAnsi="Symbol"/>
                <w:sz w:val="20"/>
              </w:rPr>
            </w:pPr>
            <w:r>
              <w:rPr>
                <w:rFonts w:ascii="Symbol" w:hAnsi="Symbol"/>
                <w:spacing w:val="-10"/>
                <w:sz w:val="20"/>
              </w:rPr>
              <w:t></w:t>
            </w:r>
          </w:p>
        </w:tc>
        <w:tc>
          <w:tcPr>
            <w:tcW w:w="1985" w:type="dxa"/>
            <w:shd w:val="clear" w:color="auto" w:fill="FFFF00"/>
          </w:tcPr>
          <w:p>
            <w:pPr>
              <w:pStyle w:val="TableParagraph"/>
              <w:spacing w:before="78"/>
              <w:ind w:right="5"/>
              <w:jc w:val="center"/>
              <w:rPr>
                <w:rFonts w:ascii="Symbol" w:hAnsi="Symbol"/>
                <w:sz w:val="20"/>
              </w:rPr>
            </w:pPr>
            <w:r>
              <w:rPr>
                <w:rFonts w:ascii="Symbol" w:hAnsi="Symbol"/>
                <w:spacing w:val="-10"/>
                <w:sz w:val="20"/>
              </w:rPr>
              <w:t></w:t>
            </w:r>
          </w:p>
        </w:tc>
        <w:tc>
          <w:tcPr>
            <w:tcW w:w="2129" w:type="dxa"/>
            <w:shd w:val="clear" w:color="auto" w:fill="C5DFB3"/>
          </w:tcPr>
          <w:p>
            <w:pPr>
              <w:pStyle w:val="TableParagraph"/>
              <w:spacing w:before="78"/>
              <w:ind w:left="1"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8"/>
              <w:ind w:left="3" w:right="15"/>
              <w:jc w:val="center"/>
              <w:rPr>
                <w:rFonts w:ascii="Symbol" w:hAnsi="Symbol"/>
                <w:sz w:val="20"/>
              </w:rPr>
            </w:pPr>
            <w:r>
              <w:rPr>
                <w:rFonts w:ascii="Symbol" w:hAnsi="Symbol"/>
                <w:spacing w:val="-10"/>
                <w:sz w:val="20"/>
              </w:rPr>
              <w:t></w:t>
            </w:r>
          </w:p>
        </w:tc>
        <w:tc>
          <w:tcPr>
            <w:tcW w:w="1844" w:type="dxa"/>
            <w:shd w:val="clear" w:color="auto" w:fill="FFFF00"/>
          </w:tcPr>
          <w:p>
            <w:pPr>
              <w:pStyle w:val="TableParagraph"/>
              <w:spacing w:before="78"/>
              <w:ind w:left="1" w:right="16"/>
              <w:jc w:val="center"/>
              <w:rPr>
                <w:rFonts w:ascii="Symbol" w:hAnsi="Symbol"/>
                <w:sz w:val="20"/>
              </w:rPr>
            </w:pPr>
            <w:r>
              <w:rPr>
                <w:rFonts w:ascii="Symbol" w:hAnsi="Symbol"/>
                <w:spacing w:val="-10"/>
                <w:sz w:val="20"/>
              </w:rPr>
              <w:t></w:t>
            </w:r>
          </w:p>
        </w:tc>
      </w:tr>
      <w:tr>
        <w:trPr>
          <w:trHeight w:val="390" w:hRule="atLeast"/>
        </w:trPr>
        <w:tc>
          <w:tcPr>
            <w:tcW w:w="2969" w:type="dxa"/>
          </w:tcPr>
          <w:p>
            <w:pPr>
              <w:pStyle w:val="TableParagraph"/>
              <w:spacing w:before="78"/>
              <w:ind w:left="142"/>
              <w:rPr>
                <w:sz w:val="20"/>
              </w:rPr>
            </w:pPr>
            <w:r>
              <w:rPr>
                <w:spacing w:val="-2"/>
                <w:sz w:val="20"/>
              </w:rPr>
              <w:t>Дипиридамол</w:t>
            </w:r>
          </w:p>
        </w:tc>
        <w:tc>
          <w:tcPr>
            <w:tcW w:w="1844" w:type="dxa"/>
            <w:shd w:val="clear" w:color="auto" w:fill="C5DFB3"/>
          </w:tcPr>
          <w:p>
            <w:pPr>
              <w:pStyle w:val="TableParagraph"/>
              <w:spacing w:before="78"/>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8"/>
              <w:ind w:right="4"/>
              <w:jc w:val="center"/>
              <w:rPr>
                <w:rFonts w:ascii="Symbol" w:hAnsi="Symbol"/>
                <w:sz w:val="20"/>
              </w:rPr>
            </w:pPr>
            <w:r>
              <w:rPr>
                <w:rFonts w:ascii="Symbol" w:hAnsi="Symbol"/>
                <w:spacing w:val="-10"/>
                <w:sz w:val="20"/>
              </w:rPr>
              <w:t></w:t>
            </w:r>
          </w:p>
        </w:tc>
        <w:tc>
          <w:tcPr>
            <w:tcW w:w="1985" w:type="dxa"/>
            <w:shd w:val="clear" w:color="auto" w:fill="C5DFB3"/>
          </w:tcPr>
          <w:p>
            <w:pPr>
              <w:pStyle w:val="TableParagraph"/>
              <w:spacing w:before="78"/>
              <w:ind w:left="1" w:right="5"/>
              <w:jc w:val="center"/>
              <w:rPr>
                <w:rFonts w:ascii="Symbol" w:hAnsi="Symbol"/>
                <w:sz w:val="20"/>
              </w:rPr>
            </w:pPr>
            <w:r>
              <w:rPr>
                <w:rFonts w:ascii="Symbol" w:hAnsi="Symbol"/>
                <w:spacing w:val="-10"/>
                <w:sz w:val="20"/>
              </w:rPr>
              <w:t></w:t>
            </w:r>
          </w:p>
        </w:tc>
        <w:tc>
          <w:tcPr>
            <w:tcW w:w="2129" w:type="dxa"/>
            <w:shd w:val="clear" w:color="auto" w:fill="C5DFB3"/>
          </w:tcPr>
          <w:p>
            <w:pPr>
              <w:pStyle w:val="TableParagraph"/>
              <w:spacing w:before="78"/>
              <w:ind w:left="1"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8"/>
              <w:ind w:left="3" w:right="15"/>
              <w:jc w:val="center"/>
              <w:rPr>
                <w:rFonts w:ascii="Symbol" w:hAnsi="Symbol"/>
                <w:sz w:val="20"/>
              </w:rPr>
            </w:pPr>
            <w:r>
              <w:rPr>
                <w:rFonts w:ascii="Symbol" w:hAnsi="Symbol"/>
                <w:spacing w:val="-10"/>
                <w:sz w:val="20"/>
              </w:rPr>
              <w:t></w:t>
            </w:r>
          </w:p>
        </w:tc>
        <w:tc>
          <w:tcPr>
            <w:tcW w:w="1844" w:type="dxa"/>
            <w:shd w:val="clear" w:color="auto" w:fill="C5DFB3"/>
          </w:tcPr>
          <w:p>
            <w:pPr>
              <w:pStyle w:val="TableParagraph"/>
              <w:rPr>
                <w:sz w:val="18"/>
              </w:rPr>
            </w:pPr>
          </w:p>
        </w:tc>
      </w:tr>
      <w:tr>
        <w:trPr>
          <w:trHeight w:val="388" w:hRule="atLeast"/>
        </w:trPr>
        <w:tc>
          <w:tcPr>
            <w:tcW w:w="2969" w:type="dxa"/>
          </w:tcPr>
          <w:p>
            <w:pPr>
              <w:pStyle w:val="TableParagraph"/>
              <w:spacing w:before="77"/>
              <w:ind w:left="142"/>
              <w:rPr>
                <w:sz w:val="20"/>
              </w:rPr>
            </w:pPr>
            <w:r>
              <w:rPr>
                <w:spacing w:val="-2"/>
                <w:sz w:val="20"/>
              </w:rPr>
              <w:t>Эноксапарин</w:t>
            </w:r>
          </w:p>
        </w:tc>
        <w:tc>
          <w:tcPr>
            <w:tcW w:w="1844" w:type="dxa"/>
            <w:shd w:val="clear" w:color="auto" w:fill="C5DFB3"/>
          </w:tcPr>
          <w:p>
            <w:pPr>
              <w:pStyle w:val="TableParagraph"/>
              <w:spacing w:before="77"/>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7"/>
              <w:ind w:right="4"/>
              <w:jc w:val="center"/>
              <w:rPr>
                <w:rFonts w:ascii="Symbol" w:hAnsi="Symbol"/>
                <w:sz w:val="20"/>
              </w:rPr>
            </w:pPr>
            <w:r>
              <w:rPr>
                <w:rFonts w:ascii="Symbol" w:hAnsi="Symbol"/>
                <w:spacing w:val="-10"/>
                <w:sz w:val="20"/>
              </w:rPr>
              <w:t></w:t>
            </w:r>
          </w:p>
        </w:tc>
        <w:tc>
          <w:tcPr>
            <w:tcW w:w="1985" w:type="dxa"/>
            <w:shd w:val="clear" w:color="auto" w:fill="C5DFB3"/>
          </w:tcPr>
          <w:p>
            <w:pPr>
              <w:pStyle w:val="TableParagraph"/>
              <w:spacing w:before="77"/>
              <w:ind w:left="1" w:right="5"/>
              <w:jc w:val="center"/>
              <w:rPr>
                <w:rFonts w:ascii="Symbol" w:hAnsi="Symbol"/>
                <w:sz w:val="20"/>
              </w:rPr>
            </w:pPr>
            <w:r>
              <w:rPr>
                <w:rFonts w:ascii="Symbol" w:hAnsi="Symbol"/>
                <w:spacing w:val="-10"/>
                <w:sz w:val="20"/>
              </w:rPr>
              <w:t></w:t>
            </w:r>
          </w:p>
        </w:tc>
        <w:tc>
          <w:tcPr>
            <w:tcW w:w="2129" w:type="dxa"/>
            <w:shd w:val="clear" w:color="auto" w:fill="C5DFB3"/>
          </w:tcPr>
          <w:p>
            <w:pPr>
              <w:pStyle w:val="TableParagraph"/>
              <w:spacing w:before="77"/>
              <w:ind w:left="1"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7"/>
              <w:ind w:left="3" w:right="15"/>
              <w:jc w:val="center"/>
              <w:rPr>
                <w:rFonts w:ascii="Symbol" w:hAnsi="Symbol"/>
                <w:sz w:val="20"/>
              </w:rPr>
            </w:pPr>
            <w:r>
              <w:rPr>
                <w:rFonts w:ascii="Symbol" w:hAnsi="Symbol"/>
                <w:spacing w:val="-10"/>
                <w:sz w:val="20"/>
              </w:rPr>
              <w:t></w:t>
            </w:r>
          </w:p>
        </w:tc>
        <w:tc>
          <w:tcPr>
            <w:tcW w:w="1844" w:type="dxa"/>
            <w:shd w:val="clear" w:color="auto" w:fill="C5DFB3"/>
          </w:tcPr>
          <w:p>
            <w:pPr>
              <w:pStyle w:val="TableParagraph"/>
              <w:rPr>
                <w:sz w:val="18"/>
              </w:rPr>
            </w:pPr>
          </w:p>
        </w:tc>
      </w:tr>
      <w:tr>
        <w:trPr>
          <w:trHeight w:val="388" w:hRule="atLeast"/>
        </w:trPr>
        <w:tc>
          <w:tcPr>
            <w:tcW w:w="2969" w:type="dxa"/>
          </w:tcPr>
          <w:p>
            <w:pPr>
              <w:pStyle w:val="TableParagraph"/>
              <w:spacing w:before="77"/>
              <w:ind w:left="142"/>
              <w:rPr>
                <w:sz w:val="20"/>
              </w:rPr>
            </w:pPr>
            <w:r>
              <w:rPr>
                <w:spacing w:val="-2"/>
                <w:sz w:val="20"/>
              </w:rPr>
              <w:t>Фондапаринукс</w:t>
            </w:r>
          </w:p>
        </w:tc>
        <w:tc>
          <w:tcPr>
            <w:tcW w:w="1844" w:type="dxa"/>
            <w:shd w:val="clear" w:color="auto" w:fill="C5DFB3"/>
          </w:tcPr>
          <w:p>
            <w:pPr>
              <w:pStyle w:val="TableParagraph"/>
              <w:spacing w:before="77"/>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7"/>
              <w:ind w:right="4"/>
              <w:jc w:val="center"/>
              <w:rPr>
                <w:rFonts w:ascii="Symbol" w:hAnsi="Symbol"/>
                <w:sz w:val="20"/>
              </w:rPr>
            </w:pPr>
            <w:r>
              <w:rPr>
                <w:rFonts w:ascii="Symbol" w:hAnsi="Symbol"/>
                <w:spacing w:val="-10"/>
                <w:sz w:val="20"/>
              </w:rPr>
              <w:t></w:t>
            </w:r>
          </w:p>
        </w:tc>
        <w:tc>
          <w:tcPr>
            <w:tcW w:w="1985" w:type="dxa"/>
            <w:shd w:val="clear" w:color="auto" w:fill="C5DFB3"/>
          </w:tcPr>
          <w:p>
            <w:pPr>
              <w:pStyle w:val="TableParagraph"/>
              <w:spacing w:before="77"/>
              <w:ind w:left="1" w:right="5"/>
              <w:jc w:val="center"/>
              <w:rPr>
                <w:rFonts w:ascii="Symbol" w:hAnsi="Symbol"/>
                <w:sz w:val="20"/>
              </w:rPr>
            </w:pPr>
            <w:r>
              <w:rPr>
                <w:rFonts w:ascii="Symbol" w:hAnsi="Symbol"/>
                <w:spacing w:val="-10"/>
                <w:sz w:val="20"/>
              </w:rPr>
              <w:t></w:t>
            </w:r>
          </w:p>
        </w:tc>
        <w:tc>
          <w:tcPr>
            <w:tcW w:w="2129" w:type="dxa"/>
            <w:shd w:val="clear" w:color="auto" w:fill="C5DFB3"/>
          </w:tcPr>
          <w:p>
            <w:pPr>
              <w:pStyle w:val="TableParagraph"/>
              <w:spacing w:before="77"/>
              <w:ind w:left="1"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7"/>
              <w:ind w:left="3" w:right="15"/>
              <w:jc w:val="center"/>
              <w:rPr>
                <w:rFonts w:ascii="Symbol" w:hAnsi="Symbol"/>
                <w:sz w:val="20"/>
              </w:rPr>
            </w:pPr>
            <w:r>
              <w:rPr>
                <w:rFonts w:ascii="Symbol" w:hAnsi="Symbol"/>
                <w:spacing w:val="-10"/>
                <w:sz w:val="20"/>
              </w:rPr>
              <w:t></w:t>
            </w:r>
          </w:p>
        </w:tc>
        <w:tc>
          <w:tcPr>
            <w:tcW w:w="1844" w:type="dxa"/>
            <w:shd w:val="clear" w:color="auto" w:fill="C5DFB3"/>
          </w:tcPr>
          <w:p>
            <w:pPr>
              <w:pStyle w:val="TableParagraph"/>
              <w:rPr>
                <w:sz w:val="18"/>
              </w:rPr>
            </w:pPr>
          </w:p>
        </w:tc>
      </w:tr>
      <w:tr>
        <w:trPr>
          <w:trHeight w:val="390" w:hRule="atLeast"/>
        </w:trPr>
        <w:tc>
          <w:tcPr>
            <w:tcW w:w="2969" w:type="dxa"/>
          </w:tcPr>
          <w:p>
            <w:pPr>
              <w:pStyle w:val="TableParagraph"/>
              <w:spacing w:before="76"/>
              <w:ind w:left="142"/>
              <w:rPr>
                <w:sz w:val="20"/>
              </w:rPr>
            </w:pPr>
            <w:r>
              <w:rPr>
                <w:spacing w:val="-5"/>
                <w:sz w:val="20"/>
              </w:rPr>
              <w:t>НФГ</w:t>
            </w:r>
          </w:p>
        </w:tc>
        <w:tc>
          <w:tcPr>
            <w:tcW w:w="1844" w:type="dxa"/>
            <w:shd w:val="clear" w:color="auto" w:fill="C5DFB3"/>
          </w:tcPr>
          <w:p>
            <w:pPr>
              <w:pStyle w:val="TableParagraph"/>
              <w:spacing w:before="79"/>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9"/>
              <w:ind w:right="4"/>
              <w:jc w:val="center"/>
              <w:rPr>
                <w:rFonts w:ascii="Symbol" w:hAnsi="Symbol"/>
                <w:sz w:val="20"/>
              </w:rPr>
            </w:pPr>
            <w:r>
              <w:rPr>
                <w:rFonts w:ascii="Symbol" w:hAnsi="Symbol"/>
                <w:spacing w:val="-10"/>
                <w:sz w:val="20"/>
              </w:rPr>
              <w:t></w:t>
            </w:r>
          </w:p>
        </w:tc>
        <w:tc>
          <w:tcPr>
            <w:tcW w:w="1985" w:type="dxa"/>
            <w:shd w:val="clear" w:color="auto" w:fill="C5DFB3"/>
          </w:tcPr>
          <w:p>
            <w:pPr>
              <w:pStyle w:val="TableParagraph"/>
              <w:spacing w:before="79"/>
              <w:ind w:left="1" w:right="5"/>
              <w:jc w:val="center"/>
              <w:rPr>
                <w:rFonts w:ascii="Symbol" w:hAnsi="Symbol"/>
                <w:sz w:val="20"/>
              </w:rPr>
            </w:pPr>
            <w:r>
              <w:rPr>
                <w:rFonts w:ascii="Symbol" w:hAnsi="Symbol"/>
                <w:spacing w:val="-10"/>
                <w:sz w:val="20"/>
              </w:rPr>
              <w:t></w:t>
            </w:r>
          </w:p>
        </w:tc>
        <w:tc>
          <w:tcPr>
            <w:tcW w:w="2129" w:type="dxa"/>
            <w:shd w:val="clear" w:color="auto" w:fill="C5DFB3"/>
          </w:tcPr>
          <w:p>
            <w:pPr>
              <w:pStyle w:val="TableParagraph"/>
              <w:spacing w:before="79"/>
              <w:ind w:left="1"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9"/>
              <w:ind w:left="3" w:right="15"/>
              <w:jc w:val="center"/>
              <w:rPr>
                <w:rFonts w:ascii="Symbol" w:hAnsi="Symbol"/>
                <w:sz w:val="20"/>
              </w:rPr>
            </w:pPr>
            <w:r>
              <w:rPr>
                <w:rFonts w:ascii="Symbol" w:hAnsi="Symbol"/>
                <w:spacing w:val="-10"/>
                <w:sz w:val="20"/>
              </w:rPr>
              <w:t></w:t>
            </w:r>
          </w:p>
        </w:tc>
        <w:tc>
          <w:tcPr>
            <w:tcW w:w="1844" w:type="dxa"/>
            <w:shd w:val="clear" w:color="auto" w:fill="C5DFB3"/>
          </w:tcPr>
          <w:p>
            <w:pPr>
              <w:pStyle w:val="TableParagraph"/>
              <w:rPr>
                <w:sz w:val="18"/>
              </w:rPr>
            </w:pPr>
          </w:p>
        </w:tc>
      </w:tr>
      <w:tr>
        <w:trPr>
          <w:trHeight w:val="388" w:hRule="atLeast"/>
        </w:trPr>
        <w:tc>
          <w:tcPr>
            <w:tcW w:w="2969" w:type="dxa"/>
          </w:tcPr>
          <w:p>
            <w:pPr>
              <w:pStyle w:val="TableParagraph"/>
              <w:spacing w:before="76"/>
              <w:ind w:left="142"/>
              <w:rPr>
                <w:sz w:val="20"/>
              </w:rPr>
            </w:pPr>
            <w:r>
              <w:rPr>
                <w:spacing w:val="-2"/>
                <w:sz w:val="20"/>
              </w:rPr>
              <w:t>Прасугрел</w:t>
            </w:r>
          </w:p>
        </w:tc>
        <w:tc>
          <w:tcPr>
            <w:tcW w:w="1844" w:type="dxa"/>
            <w:shd w:val="clear" w:color="auto" w:fill="C5DFB3"/>
          </w:tcPr>
          <w:p>
            <w:pPr>
              <w:pStyle w:val="TableParagraph"/>
              <w:spacing w:before="76"/>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6"/>
              <w:ind w:right="4"/>
              <w:jc w:val="center"/>
              <w:rPr>
                <w:rFonts w:ascii="Symbol" w:hAnsi="Symbol"/>
                <w:sz w:val="20"/>
              </w:rPr>
            </w:pPr>
            <w:r>
              <w:rPr>
                <w:rFonts w:ascii="Symbol" w:hAnsi="Symbol"/>
                <w:spacing w:val="-10"/>
                <w:sz w:val="20"/>
              </w:rPr>
              <w:t></w:t>
            </w:r>
          </w:p>
        </w:tc>
        <w:tc>
          <w:tcPr>
            <w:tcW w:w="1985" w:type="dxa"/>
            <w:shd w:val="clear" w:color="auto" w:fill="FFFF00"/>
          </w:tcPr>
          <w:p>
            <w:pPr>
              <w:pStyle w:val="TableParagraph"/>
              <w:spacing w:before="76"/>
              <w:ind w:right="5"/>
              <w:jc w:val="center"/>
              <w:rPr>
                <w:rFonts w:ascii="Symbol" w:hAnsi="Symbol"/>
                <w:sz w:val="20"/>
              </w:rPr>
            </w:pPr>
            <w:r>
              <w:rPr>
                <w:rFonts w:ascii="Symbol" w:hAnsi="Symbol"/>
                <w:spacing w:val="-10"/>
                <w:sz w:val="20"/>
              </w:rPr>
              <w:t></w:t>
            </w:r>
          </w:p>
        </w:tc>
        <w:tc>
          <w:tcPr>
            <w:tcW w:w="2129" w:type="dxa"/>
            <w:shd w:val="clear" w:color="auto" w:fill="FFFF00"/>
          </w:tcPr>
          <w:p>
            <w:pPr>
              <w:pStyle w:val="TableParagraph"/>
              <w:spacing w:before="76"/>
              <w:ind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6"/>
              <w:ind w:left="3" w:right="15"/>
              <w:jc w:val="center"/>
              <w:rPr>
                <w:rFonts w:ascii="Symbol" w:hAnsi="Symbol"/>
                <w:sz w:val="20"/>
              </w:rPr>
            </w:pPr>
            <w:r>
              <w:rPr>
                <w:rFonts w:ascii="Symbol" w:hAnsi="Symbol"/>
                <w:spacing w:val="-10"/>
                <w:sz w:val="20"/>
              </w:rPr>
              <w:t></w:t>
            </w:r>
          </w:p>
        </w:tc>
        <w:tc>
          <w:tcPr>
            <w:tcW w:w="1844" w:type="dxa"/>
            <w:shd w:val="clear" w:color="auto" w:fill="C5DFB3"/>
          </w:tcPr>
          <w:p>
            <w:pPr>
              <w:pStyle w:val="TableParagraph"/>
              <w:rPr>
                <w:sz w:val="18"/>
              </w:rPr>
            </w:pPr>
          </w:p>
        </w:tc>
      </w:tr>
      <w:tr>
        <w:trPr>
          <w:trHeight w:val="388" w:hRule="atLeast"/>
        </w:trPr>
        <w:tc>
          <w:tcPr>
            <w:tcW w:w="2969" w:type="dxa"/>
          </w:tcPr>
          <w:p>
            <w:pPr>
              <w:pStyle w:val="TableParagraph"/>
              <w:spacing w:before="76"/>
              <w:ind w:left="142"/>
              <w:rPr>
                <w:sz w:val="20"/>
              </w:rPr>
            </w:pPr>
            <w:r>
              <w:rPr>
                <w:spacing w:val="-2"/>
                <w:sz w:val="20"/>
              </w:rPr>
              <w:t>Ривароксабан</w:t>
            </w:r>
          </w:p>
        </w:tc>
        <w:tc>
          <w:tcPr>
            <w:tcW w:w="1844" w:type="dxa"/>
            <w:shd w:val="clear" w:color="auto" w:fill="C5DFB3"/>
          </w:tcPr>
          <w:p>
            <w:pPr>
              <w:pStyle w:val="TableParagraph"/>
              <w:spacing w:before="76"/>
              <w:ind w:left="17" w:right="16"/>
              <w:jc w:val="center"/>
              <w:rPr>
                <w:rFonts w:ascii="Symbol" w:hAnsi="Symbol"/>
                <w:sz w:val="20"/>
              </w:rPr>
            </w:pPr>
            <w:r>
              <w:rPr>
                <w:rFonts w:ascii="Symbol" w:hAnsi="Symbol"/>
                <w:spacing w:val="-10"/>
                <w:sz w:val="20"/>
              </w:rPr>
              <w:t></w:t>
            </w:r>
          </w:p>
        </w:tc>
        <w:tc>
          <w:tcPr>
            <w:tcW w:w="1843" w:type="dxa"/>
            <w:shd w:val="clear" w:color="auto" w:fill="FFFF00"/>
          </w:tcPr>
          <w:p>
            <w:pPr>
              <w:pStyle w:val="TableParagraph"/>
              <w:spacing w:before="76"/>
              <w:ind w:right="4"/>
              <w:jc w:val="center"/>
              <w:rPr>
                <w:rFonts w:ascii="Symbol" w:hAnsi="Symbol"/>
                <w:sz w:val="20"/>
              </w:rPr>
            </w:pPr>
            <w:r>
              <w:rPr>
                <w:rFonts w:ascii="Symbol" w:hAnsi="Symbol"/>
                <w:spacing w:val="-10"/>
                <w:sz w:val="20"/>
              </w:rPr>
              <w:t></w:t>
            </w:r>
          </w:p>
        </w:tc>
        <w:tc>
          <w:tcPr>
            <w:tcW w:w="1985" w:type="dxa"/>
            <w:shd w:val="clear" w:color="auto" w:fill="F7C9AC"/>
          </w:tcPr>
          <w:p>
            <w:pPr>
              <w:pStyle w:val="TableParagraph"/>
              <w:spacing w:before="76"/>
              <w:ind w:right="5"/>
              <w:jc w:val="center"/>
              <w:rPr>
                <w:rFonts w:ascii="Symbol" w:hAnsi="Symbol"/>
                <w:sz w:val="20"/>
              </w:rPr>
            </w:pPr>
            <w:r>
              <w:rPr>
                <w:rFonts w:ascii="Symbol" w:hAnsi="Symbol"/>
                <w:spacing w:val="-10"/>
                <w:sz w:val="20"/>
              </w:rPr>
              <w:t></w:t>
            </w:r>
          </w:p>
        </w:tc>
        <w:tc>
          <w:tcPr>
            <w:tcW w:w="2129" w:type="dxa"/>
            <w:shd w:val="clear" w:color="auto" w:fill="FFFF00"/>
          </w:tcPr>
          <w:p>
            <w:pPr>
              <w:pStyle w:val="TableParagraph"/>
              <w:spacing w:before="76"/>
              <w:ind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6"/>
              <w:ind w:left="3" w:right="15"/>
              <w:jc w:val="center"/>
              <w:rPr>
                <w:rFonts w:ascii="Symbol" w:hAnsi="Symbol"/>
                <w:sz w:val="20"/>
              </w:rPr>
            </w:pPr>
            <w:r>
              <w:rPr>
                <w:rFonts w:ascii="Symbol" w:hAnsi="Symbol"/>
                <w:spacing w:val="-10"/>
                <w:sz w:val="20"/>
              </w:rPr>
              <w:t></w:t>
            </w:r>
          </w:p>
        </w:tc>
        <w:tc>
          <w:tcPr>
            <w:tcW w:w="1844" w:type="dxa"/>
            <w:shd w:val="clear" w:color="auto" w:fill="FFFF00"/>
          </w:tcPr>
          <w:p>
            <w:pPr>
              <w:pStyle w:val="TableParagraph"/>
              <w:spacing w:before="76"/>
              <w:ind w:left="1" w:right="16"/>
              <w:jc w:val="center"/>
              <w:rPr>
                <w:rFonts w:ascii="Symbol" w:hAnsi="Symbol"/>
                <w:sz w:val="20"/>
              </w:rPr>
            </w:pPr>
            <w:r>
              <w:rPr>
                <w:rFonts w:ascii="Symbol" w:hAnsi="Symbol"/>
                <w:spacing w:val="-10"/>
                <w:sz w:val="20"/>
              </w:rPr>
              <w:t></w:t>
            </w:r>
          </w:p>
        </w:tc>
      </w:tr>
      <w:tr>
        <w:trPr>
          <w:trHeight w:val="390" w:hRule="atLeast"/>
        </w:trPr>
        <w:tc>
          <w:tcPr>
            <w:tcW w:w="2969" w:type="dxa"/>
          </w:tcPr>
          <w:p>
            <w:pPr>
              <w:pStyle w:val="TableParagraph"/>
              <w:spacing w:before="75"/>
              <w:ind w:left="142"/>
              <w:rPr>
                <w:sz w:val="20"/>
              </w:rPr>
            </w:pPr>
            <w:r>
              <w:rPr>
                <w:spacing w:val="-2"/>
                <w:sz w:val="20"/>
              </w:rPr>
              <w:t>Стрептокиназа</w:t>
            </w:r>
          </w:p>
        </w:tc>
        <w:tc>
          <w:tcPr>
            <w:tcW w:w="1844" w:type="dxa"/>
            <w:shd w:val="clear" w:color="auto" w:fill="C5DFB3"/>
          </w:tcPr>
          <w:p>
            <w:pPr>
              <w:pStyle w:val="TableParagraph"/>
              <w:spacing w:before="78"/>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8"/>
              <w:ind w:right="4"/>
              <w:jc w:val="center"/>
              <w:rPr>
                <w:rFonts w:ascii="Symbol" w:hAnsi="Symbol"/>
                <w:sz w:val="20"/>
              </w:rPr>
            </w:pPr>
            <w:r>
              <w:rPr>
                <w:rFonts w:ascii="Symbol" w:hAnsi="Symbol"/>
                <w:spacing w:val="-10"/>
                <w:sz w:val="20"/>
              </w:rPr>
              <w:t></w:t>
            </w:r>
          </w:p>
        </w:tc>
        <w:tc>
          <w:tcPr>
            <w:tcW w:w="1985" w:type="dxa"/>
            <w:shd w:val="clear" w:color="auto" w:fill="C5DFB3"/>
          </w:tcPr>
          <w:p>
            <w:pPr>
              <w:pStyle w:val="TableParagraph"/>
              <w:spacing w:before="78"/>
              <w:ind w:left="1" w:right="5"/>
              <w:jc w:val="center"/>
              <w:rPr>
                <w:rFonts w:ascii="Symbol" w:hAnsi="Symbol"/>
                <w:sz w:val="20"/>
              </w:rPr>
            </w:pPr>
            <w:r>
              <w:rPr>
                <w:rFonts w:ascii="Symbol" w:hAnsi="Symbol"/>
                <w:spacing w:val="-10"/>
                <w:sz w:val="20"/>
              </w:rPr>
              <w:t></w:t>
            </w:r>
          </w:p>
        </w:tc>
        <w:tc>
          <w:tcPr>
            <w:tcW w:w="2129" w:type="dxa"/>
            <w:shd w:val="clear" w:color="auto" w:fill="C5DFB3"/>
          </w:tcPr>
          <w:p>
            <w:pPr>
              <w:pStyle w:val="TableParagraph"/>
              <w:spacing w:before="78"/>
              <w:ind w:left="1"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8"/>
              <w:ind w:left="3" w:right="15"/>
              <w:jc w:val="center"/>
              <w:rPr>
                <w:rFonts w:ascii="Symbol" w:hAnsi="Symbol"/>
                <w:sz w:val="20"/>
              </w:rPr>
            </w:pPr>
            <w:r>
              <w:rPr>
                <w:rFonts w:ascii="Symbol" w:hAnsi="Symbol"/>
                <w:spacing w:val="-10"/>
                <w:sz w:val="20"/>
              </w:rPr>
              <w:t></w:t>
            </w:r>
          </w:p>
        </w:tc>
        <w:tc>
          <w:tcPr>
            <w:tcW w:w="1844" w:type="dxa"/>
            <w:shd w:val="clear" w:color="auto" w:fill="C5DFB3"/>
          </w:tcPr>
          <w:p>
            <w:pPr>
              <w:pStyle w:val="TableParagraph"/>
              <w:rPr>
                <w:sz w:val="18"/>
              </w:rPr>
            </w:pPr>
          </w:p>
        </w:tc>
      </w:tr>
      <w:tr>
        <w:trPr>
          <w:trHeight w:val="388" w:hRule="atLeast"/>
        </w:trPr>
        <w:tc>
          <w:tcPr>
            <w:tcW w:w="2969" w:type="dxa"/>
          </w:tcPr>
          <w:p>
            <w:pPr>
              <w:pStyle w:val="TableParagraph"/>
              <w:spacing w:before="75"/>
              <w:ind w:left="142"/>
              <w:rPr>
                <w:sz w:val="20"/>
              </w:rPr>
            </w:pPr>
            <w:r>
              <w:rPr>
                <w:spacing w:val="-2"/>
                <w:sz w:val="20"/>
              </w:rPr>
              <w:t>Тикагрелор</w:t>
            </w:r>
          </w:p>
        </w:tc>
        <w:tc>
          <w:tcPr>
            <w:tcW w:w="1844" w:type="dxa"/>
            <w:shd w:val="clear" w:color="auto" w:fill="C5DFB3"/>
          </w:tcPr>
          <w:p>
            <w:pPr>
              <w:pStyle w:val="TableParagraph"/>
              <w:spacing w:before="75"/>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5"/>
              <w:ind w:right="4"/>
              <w:jc w:val="center"/>
              <w:rPr>
                <w:rFonts w:ascii="Symbol" w:hAnsi="Symbol"/>
                <w:sz w:val="20"/>
              </w:rPr>
            </w:pPr>
            <w:r>
              <w:rPr>
                <w:rFonts w:ascii="Symbol" w:hAnsi="Symbol"/>
                <w:spacing w:val="-10"/>
                <w:sz w:val="20"/>
              </w:rPr>
              <w:t></w:t>
            </w:r>
          </w:p>
        </w:tc>
        <w:tc>
          <w:tcPr>
            <w:tcW w:w="1985" w:type="dxa"/>
            <w:shd w:val="clear" w:color="auto" w:fill="F7C9AC"/>
          </w:tcPr>
          <w:p>
            <w:pPr>
              <w:pStyle w:val="TableParagraph"/>
              <w:spacing w:before="75"/>
              <w:ind w:right="5"/>
              <w:jc w:val="center"/>
              <w:rPr>
                <w:rFonts w:ascii="Symbol" w:hAnsi="Symbol"/>
                <w:sz w:val="20"/>
              </w:rPr>
            </w:pPr>
            <w:r>
              <w:rPr>
                <w:rFonts w:ascii="Symbol" w:hAnsi="Symbol"/>
                <w:spacing w:val="-10"/>
                <w:sz w:val="20"/>
              </w:rPr>
              <w:t></w:t>
            </w:r>
          </w:p>
        </w:tc>
        <w:tc>
          <w:tcPr>
            <w:tcW w:w="2129" w:type="dxa"/>
            <w:shd w:val="clear" w:color="auto" w:fill="FFFF00"/>
          </w:tcPr>
          <w:p>
            <w:pPr>
              <w:pStyle w:val="TableParagraph"/>
              <w:spacing w:before="75"/>
              <w:ind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5"/>
              <w:ind w:left="3" w:right="15"/>
              <w:jc w:val="center"/>
              <w:rPr>
                <w:rFonts w:ascii="Symbol" w:hAnsi="Symbol"/>
                <w:sz w:val="20"/>
              </w:rPr>
            </w:pPr>
            <w:r>
              <w:rPr>
                <w:rFonts w:ascii="Symbol" w:hAnsi="Symbol"/>
                <w:spacing w:val="-10"/>
                <w:sz w:val="20"/>
              </w:rPr>
              <w:t></w:t>
            </w:r>
          </w:p>
        </w:tc>
        <w:tc>
          <w:tcPr>
            <w:tcW w:w="1844" w:type="dxa"/>
            <w:shd w:val="clear" w:color="auto" w:fill="C5DFB3"/>
          </w:tcPr>
          <w:p>
            <w:pPr>
              <w:pStyle w:val="TableParagraph"/>
              <w:rPr>
                <w:sz w:val="18"/>
              </w:rPr>
            </w:pPr>
          </w:p>
        </w:tc>
      </w:tr>
      <w:tr>
        <w:trPr>
          <w:trHeight w:val="388" w:hRule="atLeast"/>
        </w:trPr>
        <w:tc>
          <w:tcPr>
            <w:tcW w:w="2969" w:type="dxa"/>
          </w:tcPr>
          <w:p>
            <w:pPr>
              <w:pStyle w:val="TableParagraph"/>
              <w:spacing w:before="75"/>
              <w:ind w:left="142"/>
              <w:rPr>
                <w:sz w:val="20"/>
              </w:rPr>
            </w:pPr>
            <w:r>
              <w:rPr>
                <w:spacing w:val="-2"/>
                <w:sz w:val="20"/>
              </w:rPr>
              <w:t>Варфарин</w:t>
            </w:r>
          </w:p>
        </w:tc>
        <w:tc>
          <w:tcPr>
            <w:tcW w:w="1844" w:type="dxa"/>
            <w:shd w:val="clear" w:color="auto" w:fill="C5DFB3"/>
          </w:tcPr>
          <w:p>
            <w:pPr>
              <w:pStyle w:val="TableParagraph"/>
              <w:spacing w:before="75"/>
              <w:ind w:left="17" w:right="16"/>
              <w:jc w:val="center"/>
              <w:rPr>
                <w:rFonts w:ascii="Symbol" w:hAnsi="Symbol"/>
                <w:sz w:val="20"/>
              </w:rPr>
            </w:pPr>
            <w:r>
              <w:rPr>
                <w:rFonts w:ascii="Symbol" w:hAnsi="Symbol"/>
                <w:spacing w:val="-10"/>
                <w:sz w:val="20"/>
              </w:rPr>
              <w:t></w:t>
            </w:r>
          </w:p>
        </w:tc>
        <w:tc>
          <w:tcPr>
            <w:tcW w:w="1843" w:type="dxa"/>
            <w:shd w:val="clear" w:color="auto" w:fill="C5DFB3"/>
          </w:tcPr>
          <w:p>
            <w:pPr>
              <w:pStyle w:val="TableParagraph"/>
              <w:spacing w:before="75"/>
              <w:ind w:right="4"/>
              <w:jc w:val="center"/>
              <w:rPr>
                <w:rFonts w:ascii="Symbol" w:hAnsi="Symbol"/>
                <w:sz w:val="20"/>
              </w:rPr>
            </w:pPr>
            <w:r>
              <w:rPr>
                <w:rFonts w:ascii="Symbol" w:hAnsi="Symbol"/>
                <w:spacing w:val="-10"/>
                <w:sz w:val="20"/>
              </w:rPr>
              <w:t></w:t>
            </w:r>
          </w:p>
        </w:tc>
        <w:tc>
          <w:tcPr>
            <w:tcW w:w="1985" w:type="dxa"/>
            <w:shd w:val="clear" w:color="auto" w:fill="FFFF00"/>
          </w:tcPr>
          <w:p>
            <w:pPr>
              <w:pStyle w:val="TableParagraph"/>
              <w:spacing w:before="75"/>
              <w:ind w:right="5"/>
              <w:jc w:val="center"/>
              <w:rPr>
                <w:rFonts w:ascii="Symbol" w:hAnsi="Symbol"/>
                <w:sz w:val="20"/>
              </w:rPr>
            </w:pPr>
            <w:r>
              <w:rPr>
                <w:rFonts w:ascii="Symbol" w:hAnsi="Symbol"/>
                <w:spacing w:val="-10"/>
                <w:sz w:val="20"/>
              </w:rPr>
              <w:t></w:t>
            </w:r>
          </w:p>
        </w:tc>
        <w:tc>
          <w:tcPr>
            <w:tcW w:w="2129" w:type="dxa"/>
            <w:shd w:val="clear" w:color="auto" w:fill="FFFF00"/>
          </w:tcPr>
          <w:p>
            <w:pPr>
              <w:pStyle w:val="TableParagraph"/>
              <w:spacing w:before="75"/>
              <w:ind w:right="5"/>
              <w:jc w:val="center"/>
              <w:rPr>
                <w:rFonts w:ascii="Symbol" w:hAnsi="Symbol"/>
                <w:sz w:val="20"/>
              </w:rPr>
            </w:pPr>
            <w:r>
              <w:rPr>
                <w:rFonts w:ascii="Symbol" w:hAnsi="Symbol"/>
                <w:spacing w:val="-10"/>
                <w:sz w:val="20"/>
              </w:rPr>
              <w:t></w:t>
            </w:r>
          </w:p>
        </w:tc>
        <w:tc>
          <w:tcPr>
            <w:tcW w:w="2268" w:type="dxa"/>
            <w:shd w:val="clear" w:color="auto" w:fill="C5DFB3"/>
          </w:tcPr>
          <w:p>
            <w:pPr>
              <w:pStyle w:val="TableParagraph"/>
              <w:spacing w:before="75"/>
              <w:ind w:left="3" w:right="15"/>
              <w:jc w:val="center"/>
              <w:rPr>
                <w:rFonts w:ascii="Symbol" w:hAnsi="Symbol"/>
                <w:sz w:val="20"/>
              </w:rPr>
            </w:pPr>
            <w:r>
              <w:rPr>
                <w:rFonts w:ascii="Symbol" w:hAnsi="Symbol"/>
                <w:spacing w:val="-10"/>
                <w:sz w:val="20"/>
              </w:rPr>
              <w:t></w:t>
            </w:r>
          </w:p>
        </w:tc>
        <w:tc>
          <w:tcPr>
            <w:tcW w:w="1844" w:type="dxa"/>
            <w:shd w:val="clear" w:color="auto" w:fill="FFFF00"/>
          </w:tcPr>
          <w:p>
            <w:pPr>
              <w:pStyle w:val="TableParagraph"/>
              <w:spacing w:before="75"/>
              <w:ind w:left="1" w:right="16"/>
              <w:jc w:val="center"/>
              <w:rPr>
                <w:rFonts w:ascii="Symbol" w:hAnsi="Symbol"/>
                <w:sz w:val="20"/>
              </w:rPr>
            </w:pPr>
            <w:r>
              <w:rPr>
                <w:rFonts w:ascii="Symbol" w:hAnsi="Symbol"/>
                <w:spacing w:val="-10"/>
                <w:sz w:val="20"/>
              </w:rPr>
              <w:t></w:t>
            </w:r>
          </w:p>
        </w:tc>
      </w:tr>
      <w:tr>
        <w:trPr>
          <w:trHeight w:val="390" w:hRule="atLeast"/>
        </w:trPr>
        <w:tc>
          <w:tcPr>
            <w:tcW w:w="2969" w:type="dxa"/>
          </w:tcPr>
          <w:p>
            <w:pPr>
              <w:pStyle w:val="TableParagraph"/>
              <w:spacing w:before="77"/>
              <w:ind w:left="8"/>
              <w:jc w:val="center"/>
              <w:rPr>
                <w:rFonts w:ascii="Symbol" w:hAnsi="Symbol"/>
                <w:sz w:val="20"/>
              </w:rPr>
            </w:pPr>
            <w:r>
              <w:rPr>
                <w:rFonts w:ascii="Symbol" w:hAnsi="Symbol"/>
                <w:spacing w:val="-10"/>
                <w:sz w:val="20"/>
              </w:rPr>
              <w:t></w:t>
            </w:r>
          </w:p>
        </w:tc>
        <w:tc>
          <w:tcPr>
            <w:tcW w:w="11913" w:type="dxa"/>
            <w:gridSpan w:val="6"/>
          </w:tcPr>
          <w:p>
            <w:pPr>
              <w:pStyle w:val="TableParagraph"/>
              <w:spacing w:before="74"/>
              <w:ind w:left="101"/>
              <w:rPr>
                <w:sz w:val="20"/>
              </w:rPr>
            </w:pPr>
            <w:r>
              <w:rPr>
                <w:spacing w:val="-2"/>
                <w:sz w:val="20"/>
              </w:rPr>
              <w:t>Повышает</w:t>
            </w:r>
            <w:r>
              <w:rPr>
                <w:spacing w:val="10"/>
                <w:sz w:val="20"/>
              </w:rPr>
              <w:t> </w:t>
            </w:r>
            <w:r>
              <w:rPr>
                <w:spacing w:val="-2"/>
                <w:sz w:val="20"/>
              </w:rPr>
              <w:t>экспозицию</w:t>
            </w:r>
            <w:r>
              <w:rPr>
                <w:spacing w:val="12"/>
                <w:sz w:val="20"/>
              </w:rPr>
              <w:t> </w:t>
            </w:r>
            <w:r>
              <w:rPr>
                <w:spacing w:val="-2"/>
                <w:sz w:val="20"/>
              </w:rPr>
              <w:t>антитромботического</w:t>
            </w:r>
            <w:r>
              <w:rPr>
                <w:spacing w:val="13"/>
                <w:sz w:val="20"/>
              </w:rPr>
              <w:t> </w:t>
            </w:r>
            <w:r>
              <w:rPr>
                <w:spacing w:val="-2"/>
                <w:sz w:val="20"/>
              </w:rPr>
              <w:t>препарата</w:t>
            </w:r>
          </w:p>
        </w:tc>
      </w:tr>
      <w:tr>
        <w:trPr>
          <w:trHeight w:val="388" w:hRule="atLeast"/>
        </w:trPr>
        <w:tc>
          <w:tcPr>
            <w:tcW w:w="2969" w:type="dxa"/>
          </w:tcPr>
          <w:p>
            <w:pPr>
              <w:pStyle w:val="TableParagraph"/>
              <w:spacing w:before="74"/>
              <w:ind w:left="8"/>
              <w:jc w:val="center"/>
              <w:rPr>
                <w:rFonts w:ascii="Symbol" w:hAnsi="Symbol"/>
                <w:sz w:val="20"/>
              </w:rPr>
            </w:pPr>
            <w:r>
              <w:rPr>
                <w:rFonts w:ascii="Symbol" w:hAnsi="Symbol"/>
                <w:spacing w:val="-10"/>
                <w:sz w:val="20"/>
              </w:rPr>
              <w:t></w:t>
            </w:r>
          </w:p>
        </w:tc>
        <w:tc>
          <w:tcPr>
            <w:tcW w:w="11913" w:type="dxa"/>
            <w:gridSpan w:val="6"/>
          </w:tcPr>
          <w:p>
            <w:pPr>
              <w:pStyle w:val="TableParagraph"/>
              <w:spacing w:before="74"/>
              <w:ind w:left="101"/>
              <w:rPr>
                <w:sz w:val="20"/>
              </w:rPr>
            </w:pPr>
            <w:r>
              <w:rPr>
                <w:spacing w:val="-2"/>
                <w:sz w:val="20"/>
              </w:rPr>
              <w:t>Снижает</w:t>
            </w:r>
            <w:r>
              <w:rPr>
                <w:spacing w:val="9"/>
                <w:sz w:val="20"/>
              </w:rPr>
              <w:t> </w:t>
            </w:r>
            <w:r>
              <w:rPr>
                <w:spacing w:val="-2"/>
                <w:sz w:val="20"/>
              </w:rPr>
              <w:t>экспозицию</w:t>
            </w:r>
            <w:r>
              <w:rPr>
                <w:spacing w:val="11"/>
                <w:sz w:val="20"/>
              </w:rPr>
              <w:t> </w:t>
            </w:r>
            <w:r>
              <w:rPr>
                <w:spacing w:val="-2"/>
                <w:sz w:val="20"/>
              </w:rPr>
              <w:t>антитромботического</w:t>
            </w:r>
            <w:r>
              <w:rPr>
                <w:spacing w:val="12"/>
                <w:sz w:val="20"/>
              </w:rPr>
              <w:t> </w:t>
            </w:r>
            <w:r>
              <w:rPr>
                <w:spacing w:val="-2"/>
                <w:sz w:val="20"/>
              </w:rPr>
              <w:t>препарата</w:t>
            </w:r>
          </w:p>
        </w:tc>
      </w:tr>
    </w:tbl>
    <w:p>
      <w:pPr>
        <w:spacing w:before="180"/>
        <w:ind w:left="0" w:right="15" w:firstLine="0"/>
        <w:jc w:val="center"/>
        <w:rPr>
          <w:rFonts w:ascii="Calibri"/>
          <w:sz w:val="22"/>
        </w:rPr>
      </w:pPr>
      <w:r>
        <w:rPr>
          <w:rFonts w:ascii="Calibri"/>
          <w:spacing w:val="-5"/>
          <w:sz w:val="22"/>
        </w:rPr>
        <w:t>188</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footerReference w:type="default" r:id="rId63"/>
          <w:pgSz w:w="16840" w:h="11900" w:orient="landscape"/>
          <w:pgMar w:header="0" w:footer="288" w:top="1340" w:bottom="480" w:left="708" w:right="708"/>
          <w:pgNumType w:start="189"/>
        </w:sectPr>
      </w:pPr>
    </w:p>
    <w:p>
      <w:pPr>
        <w:pStyle w:val="BodyText"/>
        <w:spacing w:before="1"/>
        <w:ind w:left="0"/>
        <w:jc w:val="left"/>
        <w:rPr>
          <w:sz w:val="12"/>
        </w:rPr>
      </w:pPr>
    </w:p>
    <w:tbl>
      <w:tblPr>
        <w:tblW w:w="0" w:type="auto"/>
        <w:jc w:val="left"/>
        <w:tblInd w:w="27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969"/>
        <w:gridCol w:w="11913"/>
      </w:tblGrid>
      <w:tr>
        <w:trPr>
          <w:trHeight w:val="388" w:hRule="atLeast"/>
        </w:trPr>
        <w:tc>
          <w:tcPr>
            <w:tcW w:w="2969" w:type="dxa"/>
            <w:tcBorders>
              <w:bottom w:val="single" w:sz="6" w:space="0" w:color="FF0000"/>
            </w:tcBorders>
          </w:tcPr>
          <w:p>
            <w:pPr>
              <w:pStyle w:val="TableParagraph"/>
              <w:spacing w:before="81"/>
              <w:ind w:left="8" w:right="1"/>
              <w:jc w:val="center"/>
              <w:rPr>
                <w:rFonts w:ascii="Symbol" w:hAnsi="Symbol"/>
                <w:sz w:val="20"/>
              </w:rPr>
            </w:pPr>
            <w:bookmarkStart w:name="190" w:id="225"/>
            <w:bookmarkEnd w:id="225"/>
            <w:r>
              <w:rPr/>
            </w:r>
            <w:r>
              <w:rPr>
                <w:rFonts w:ascii="Symbol" w:hAnsi="Symbol"/>
                <w:spacing w:val="-5"/>
                <w:sz w:val="20"/>
              </w:rPr>
              <w:t></w:t>
            </w:r>
          </w:p>
        </w:tc>
        <w:tc>
          <w:tcPr>
            <w:tcW w:w="11913" w:type="dxa"/>
          </w:tcPr>
          <w:p>
            <w:pPr>
              <w:pStyle w:val="TableParagraph"/>
              <w:spacing w:before="81"/>
              <w:ind w:left="101"/>
              <w:rPr>
                <w:sz w:val="20"/>
              </w:rPr>
            </w:pPr>
            <w:r>
              <w:rPr>
                <w:sz w:val="20"/>
              </w:rPr>
              <w:t>Не</w:t>
            </w:r>
            <w:r>
              <w:rPr>
                <w:spacing w:val="-10"/>
                <w:sz w:val="20"/>
              </w:rPr>
              <w:t> </w:t>
            </w:r>
            <w:r>
              <w:rPr>
                <w:sz w:val="20"/>
              </w:rPr>
              <w:t>влияет</w:t>
            </w:r>
            <w:r>
              <w:rPr>
                <w:spacing w:val="-9"/>
                <w:sz w:val="20"/>
              </w:rPr>
              <w:t> </w:t>
            </w:r>
            <w:r>
              <w:rPr>
                <w:sz w:val="20"/>
              </w:rPr>
              <w:t>на</w:t>
            </w:r>
            <w:r>
              <w:rPr>
                <w:spacing w:val="-9"/>
                <w:sz w:val="20"/>
              </w:rPr>
              <w:t> </w:t>
            </w:r>
            <w:r>
              <w:rPr>
                <w:sz w:val="20"/>
              </w:rPr>
              <w:t>экспозицию</w:t>
            </w:r>
            <w:r>
              <w:rPr>
                <w:spacing w:val="-10"/>
                <w:sz w:val="20"/>
              </w:rPr>
              <w:t> </w:t>
            </w:r>
            <w:r>
              <w:rPr>
                <w:sz w:val="20"/>
              </w:rPr>
              <w:t>антитромботического</w:t>
            </w:r>
            <w:r>
              <w:rPr>
                <w:spacing w:val="-8"/>
                <w:sz w:val="20"/>
              </w:rPr>
              <w:t> </w:t>
            </w:r>
            <w:r>
              <w:rPr>
                <w:spacing w:val="-2"/>
                <w:sz w:val="20"/>
              </w:rPr>
              <w:t>препарата</w:t>
            </w:r>
          </w:p>
        </w:tc>
      </w:tr>
      <w:tr>
        <w:trPr>
          <w:trHeight w:val="376" w:hRule="atLeast"/>
        </w:trPr>
        <w:tc>
          <w:tcPr>
            <w:tcW w:w="2969" w:type="dxa"/>
            <w:shd w:val="clear" w:color="auto" w:fill="FF0000"/>
          </w:tcPr>
          <w:p>
            <w:pPr>
              <w:pStyle w:val="TableParagraph"/>
              <w:rPr>
                <w:sz w:val="18"/>
              </w:rPr>
            </w:pPr>
          </w:p>
        </w:tc>
        <w:tc>
          <w:tcPr>
            <w:tcW w:w="11913" w:type="dxa"/>
          </w:tcPr>
          <w:p>
            <w:pPr>
              <w:pStyle w:val="TableParagraph"/>
              <w:spacing w:before="83"/>
              <w:ind w:left="3"/>
              <w:rPr>
                <w:sz w:val="20"/>
              </w:rPr>
            </w:pPr>
            <w:r>
              <w:rPr>
                <w:sz w:val="20"/>
              </w:rPr>
              <w:t>Препараты</w:t>
            </w:r>
            <w:r>
              <w:rPr>
                <w:spacing w:val="-8"/>
                <w:sz w:val="20"/>
              </w:rPr>
              <w:t> </w:t>
            </w:r>
            <w:r>
              <w:rPr>
                <w:sz w:val="20"/>
              </w:rPr>
              <w:t>не</w:t>
            </w:r>
            <w:r>
              <w:rPr>
                <w:spacing w:val="-7"/>
                <w:sz w:val="20"/>
              </w:rPr>
              <w:t> </w:t>
            </w:r>
            <w:r>
              <w:rPr>
                <w:sz w:val="20"/>
              </w:rPr>
              <w:t>следует</w:t>
            </w:r>
            <w:r>
              <w:rPr>
                <w:spacing w:val="-8"/>
                <w:sz w:val="20"/>
              </w:rPr>
              <w:t> </w:t>
            </w:r>
            <w:r>
              <w:rPr>
                <w:sz w:val="20"/>
              </w:rPr>
              <w:t>назначать</w:t>
            </w:r>
            <w:r>
              <w:rPr>
                <w:spacing w:val="-7"/>
                <w:sz w:val="20"/>
              </w:rPr>
              <w:t> </w:t>
            </w:r>
            <w:r>
              <w:rPr>
                <w:spacing w:val="-2"/>
                <w:sz w:val="20"/>
              </w:rPr>
              <w:t>одновременно</w:t>
            </w:r>
          </w:p>
        </w:tc>
      </w:tr>
      <w:tr>
        <w:trPr>
          <w:trHeight w:val="373" w:hRule="atLeast"/>
        </w:trPr>
        <w:tc>
          <w:tcPr>
            <w:tcW w:w="2969" w:type="dxa"/>
            <w:tcBorders>
              <w:top w:val="single" w:sz="6" w:space="0" w:color="FF0000"/>
              <w:bottom w:val="single" w:sz="6" w:space="0" w:color="FFFF00"/>
            </w:tcBorders>
            <w:shd w:val="clear" w:color="auto" w:fill="FBD4B5"/>
          </w:tcPr>
          <w:p>
            <w:pPr>
              <w:pStyle w:val="TableParagraph"/>
              <w:rPr>
                <w:sz w:val="18"/>
              </w:rPr>
            </w:pPr>
          </w:p>
        </w:tc>
        <w:tc>
          <w:tcPr>
            <w:tcW w:w="11913" w:type="dxa"/>
          </w:tcPr>
          <w:p>
            <w:pPr>
              <w:pStyle w:val="TableParagraph"/>
              <w:spacing w:before="81"/>
              <w:ind w:left="3"/>
              <w:rPr>
                <w:sz w:val="20"/>
              </w:rPr>
            </w:pPr>
            <w:r>
              <w:rPr>
                <w:sz w:val="20"/>
              </w:rPr>
              <w:t>Препараты</w:t>
            </w:r>
            <w:r>
              <w:rPr>
                <w:spacing w:val="-9"/>
                <w:sz w:val="20"/>
              </w:rPr>
              <w:t> </w:t>
            </w:r>
            <w:r>
              <w:rPr>
                <w:sz w:val="20"/>
              </w:rPr>
              <w:t>могут</w:t>
            </w:r>
            <w:r>
              <w:rPr>
                <w:spacing w:val="-9"/>
                <w:sz w:val="20"/>
              </w:rPr>
              <w:t> </w:t>
            </w:r>
            <w:r>
              <w:rPr>
                <w:sz w:val="20"/>
              </w:rPr>
              <w:t>потенциально</w:t>
            </w:r>
            <w:r>
              <w:rPr>
                <w:spacing w:val="-8"/>
                <w:sz w:val="20"/>
              </w:rPr>
              <w:t> </w:t>
            </w:r>
            <w:r>
              <w:rPr>
                <w:sz w:val="20"/>
              </w:rPr>
              <w:t>взаимодействовать,</w:t>
            </w:r>
            <w:r>
              <w:rPr>
                <w:spacing w:val="-9"/>
                <w:sz w:val="20"/>
              </w:rPr>
              <w:t> </w:t>
            </w:r>
            <w:r>
              <w:rPr>
                <w:sz w:val="20"/>
              </w:rPr>
              <w:t>может</w:t>
            </w:r>
            <w:r>
              <w:rPr>
                <w:spacing w:val="-9"/>
                <w:sz w:val="20"/>
              </w:rPr>
              <w:t> </w:t>
            </w:r>
            <w:r>
              <w:rPr>
                <w:sz w:val="20"/>
              </w:rPr>
              <w:t>потребоваться</w:t>
            </w:r>
            <w:r>
              <w:rPr>
                <w:spacing w:val="-9"/>
                <w:sz w:val="20"/>
              </w:rPr>
              <w:t> </w:t>
            </w:r>
            <w:r>
              <w:rPr>
                <w:sz w:val="20"/>
              </w:rPr>
              <w:t>коррекция</w:t>
            </w:r>
            <w:r>
              <w:rPr>
                <w:spacing w:val="-7"/>
                <w:sz w:val="20"/>
              </w:rPr>
              <w:t> </w:t>
            </w:r>
            <w:r>
              <w:rPr>
                <w:sz w:val="20"/>
              </w:rPr>
              <w:t>дозы</w:t>
            </w:r>
            <w:r>
              <w:rPr>
                <w:spacing w:val="-9"/>
                <w:sz w:val="20"/>
              </w:rPr>
              <w:t> </w:t>
            </w:r>
            <w:r>
              <w:rPr>
                <w:sz w:val="20"/>
              </w:rPr>
              <w:t>и</w:t>
            </w:r>
            <w:r>
              <w:rPr>
                <w:spacing w:val="-9"/>
                <w:sz w:val="20"/>
              </w:rPr>
              <w:t> </w:t>
            </w:r>
            <w:r>
              <w:rPr>
                <w:spacing w:val="-2"/>
                <w:sz w:val="20"/>
              </w:rPr>
              <w:t>мониторирование</w:t>
            </w:r>
          </w:p>
        </w:tc>
      </w:tr>
      <w:tr>
        <w:trPr>
          <w:trHeight w:val="368" w:hRule="atLeast"/>
        </w:trPr>
        <w:tc>
          <w:tcPr>
            <w:tcW w:w="2969" w:type="dxa"/>
            <w:tcBorders>
              <w:top w:val="single" w:sz="6" w:space="0" w:color="FBD4B5"/>
              <w:bottom w:val="single" w:sz="4" w:space="0" w:color="C5DFB3"/>
            </w:tcBorders>
            <w:shd w:val="clear" w:color="auto" w:fill="FFFF00"/>
          </w:tcPr>
          <w:p>
            <w:pPr>
              <w:pStyle w:val="TableParagraph"/>
              <w:rPr>
                <w:sz w:val="18"/>
              </w:rPr>
            </w:pPr>
          </w:p>
        </w:tc>
        <w:tc>
          <w:tcPr>
            <w:tcW w:w="11913" w:type="dxa"/>
          </w:tcPr>
          <w:p>
            <w:pPr>
              <w:pStyle w:val="TableParagraph"/>
              <w:spacing w:before="80"/>
              <w:ind w:left="3"/>
              <w:rPr>
                <w:sz w:val="20"/>
              </w:rPr>
            </w:pPr>
            <w:r>
              <w:rPr>
                <w:sz w:val="20"/>
              </w:rPr>
              <w:t>Препараты</w:t>
            </w:r>
            <w:r>
              <w:rPr>
                <w:spacing w:val="-8"/>
                <w:sz w:val="20"/>
              </w:rPr>
              <w:t> </w:t>
            </w:r>
            <w:r>
              <w:rPr>
                <w:sz w:val="20"/>
              </w:rPr>
              <w:t>слабо</w:t>
            </w:r>
            <w:r>
              <w:rPr>
                <w:spacing w:val="-8"/>
                <w:sz w:val="20"/>
              </w:rPr>
              <w:t> </w:t>
            </w:r>
            <w:r>
              <w:rPr>
                <w:spacing w:val="-2"/>
                <w:sz w:val="20"/>
              </w:rPr>
              <w:t>взаимодействуют</w:t>
            </w:r>
          </w:p>
        </w:tc>
      </w:tr>
      <w:tr>
        <w:trPr>
          <w:trHeight w:val="364" w:hRule="atLeast"/>
        </w:trPr>
        <w:tc>
          <w:tcPr>
            <w:tcW w:w="2969" w:type="dxa"/>
            <w:tcBorders>
              <w:top w:val="single" w:sz="4" w:space="0" w:color="FFFF00"/>
              <w:left w:val="single" w:sz="4" w:space="0" w:color="000000"/>
              <w:bottom w:val="single" w:sz="4" w:space="0" w:color="000000"/>
              <w:right w:val="single" w:sz="4" w:space="0" w:color="000000"/>
            </w:tcBorders>
            <w:shd w:val="clear" w:color="auto" w:fill="C5DFB3"/>
          </w:tcPr>
          <w:p>
            <w:pPr>
              <w:pStyle w:val="TableParagraph"/>
              <w:rPr>
                <w:sz w:val="18"/>
              </w:rPr>
            </w:pPr>
          </w:p>
        </w:tc>
        <w:tc>
          <w:tcPr>
            <w:tcW w:w="11913" w:type="dxa"/>
            <w:tcBorders>
              <w:left w:val="single" w:sz="4" w:space="0" w:color="000000"/>
            </w:tcBorders>
          </w:tcPr>
          <w:p>
            <w:pPr>
              <w:pStyle w:val="TableParagraph"/>
              <w:spacing w:before="76"/>
              <w:ind w:left="3"/>
              <w:rPr>
                <w:sz w:val="20"/>
              </w:rPr>
            </w:pPr>
            <w:r>
              <w:rPr>
                <w:sz w:val="20"/>
              </w:rPr>
              <w:t>Препараты</w:t>
            </w:r>
            <w:r>
              <w:rPr>
                <w:spacing w:val="-7"/>
                <w:sz w:val="20"/>
              </w:rPr>
              <w:t> </w:t>
            </w:r>
            <w:r>
              <w:rPr>
                <w:sz w:val="20"/>
              </w:rPr>
              <w:t>не</w:t>
            </w:r>
            <w:r>
              <w:rPr>
                <w:spacing w:val="-7"/>
                <w:sz w:val="20"/>
              </w:rPr>
              <w:t> </w:t>
            </w:r>
            <w:r>
              <w:rPr>
                <w:spacing w:val="-2"/>
                <w:sz w:val="20"/>
              </w:rPr>
              <w:t>взаимодействуют</w:t>
            </w:r>
          </w:p>
        </w:tc>
      </w:tr>
    </w:tbl>
    <w:p>
      <w:pPr>
        <w:pStyle w:val="BodyText"/>
        <w:ind w:left="0"/>
        <w:jc w:val="left"/>
        <w:rPr>
          <w:sz w:val="20"/>
        </w:rPr>
      </w:pPr>
    </w:p>
    <w:p>
      <w:pPr>
        <w:pStyle w:val="BodyText"/>
        <w:spacing w:before="135"/>
        <w:ind w:left="0"/>
        <w:jc w:val="left"/>
        <w:rPr>
          <w:sz w:val="20"/>
        </w:rPr>
      </w:pPr>
    </w:p>
    <w:p>
      <w:pPr>
        <w:spacing w:line="259" w:lineRule="auto" w:before="0"/>
        <w:ind w:left="294" w:right="0" w:firstLine="0"/>
        <w:jc w:val="left"/>
        <w:rPr>
          <w:sz w:val="20"/>
        </w:rPr>
      </w:pPr>
      <w:r>
        <w:rPr>
          <w:sz w:val="20"/>
        </w:rPr>
        <w:t>*из-за</w:t>
      </w:r>
      <w:r>
        <w:rPr>
          <w:spacing w:val="-5"/>
          <w:sz w:val="20"/>
        </w:rPr>
        <w:t> </w:t>
      </w:r>
      <w:r>
        <w:rPr>
          <w:sz w:val="20"/>
        </w:rPr>
        <w:t>возможного</w:t>
      </w:r>
      <w:r>
        <w:rPr>
          <w:spacing w:val="-4"/>
          <w:sz w:val="20"/>
        </w:rPr>
        <w:t> </w:t>
      </w:r>
      <w:r>
        <w:rPr>
          <w:sz w:val="20"/>
        </w:rPr>
        <w:t>ослабления</w:t>
      </w:r>
      <w:r>
        <w:rPr>
          <w:spacing w:val="-6"/>
          <w:sz w:val="20"/>
        </w:rPr>
        <w:t> </w:t>
      </w:r>
      <w:r>
        <w:rPr>
          <w:sz w:val="20"/>
        </w:rPr>
        <w:t>эффекта</w:t>
      </w:r>
      <w:r>
        <w:rPr>
          <w:spacing w:val="-3"/>
          <w:sz w:val="20"/>
        </w:rPr>
        <w:t> </w:t>
      </w:r>
      <w:r>
        <w:rPr>
          <w:sz w:val="20"/>
        </w:rPr>
        <w:t>прямых</w:t>
      </w:r>
      <w:r>
        <w:rPr>
          <w:spacing w:val="-4"/>
          <w:sz w:val="20"/>
        </w:rPr>
        <w:t> </w:t>
      </w:r>
      <w:r>
        <w:rPr>
          <w:sz w:val="20"/>
        </w:rPr>
        <w:t>пероральных</w:t>
      </w:r>
      <w:r>
        <w:rPr>
          <w:spacing w:val="-4"/>
          <w:sz w:val="20"/>
        </w:rPr>
        <w:t> </w:t>
      </w:r>
      <w:r>
        <w:rPr>
          <w:sz w:val="20"/>
        </w:rPr>
        <w:t>антикоагулянтов,</w:t>
      </w:r>
      <w:r>
        <w:rPr>
          <w:spacing w:val="-5"/>
          <w:sz w:val="20"/>
        </w:rPr>
        <w:t> </w:t>
      </w:r>
      <w:r>
        <w:rPr>
          <w:sz w:val="20"/>
        </w:rPr>
        <w:t>в</w:t>
      </w:r>
      <w:r>
        <w:rPr>
          <w:spacing w:val="-6"/>
          <w:sz w:val="20"/>
        </w:rPr>
        <w:t> </w:t>
      </w:r>
      <w:r>
        <w:rPr>
          <w:sz w:val="20"/>
        </w:rPr>
        <w:t>период</w:t>
      </w:r>
      <w:r>
        <w:rPr>
          <w:spacing w:val="-6"/>
          <w:sz w:val="20"/>
        </w:rPr>
        <w:t> </w:t>
      </w:r>
      <w:r>
        <w:rPr>
          <w:sz w:val="20"/>
        </w:rPr>
        <w:t>применения</w:t>
      </w:r>
      <w:r>
        <w:rPr>
          <w:spacing w:val="-6"/>
          <w:sz w:val="20"/>
        </w:rPr>
        <w:t> </w:t>
      </w:r>
      <w:r>
        <w:rPr>
          <w:sz w:val="20"/>
        </w:rPr>
        <w:t>дексаметазона</w:t>
      </w:r>
      <w:r>
        <w:rPr>
          <w:spacing w:val="-5"/>
          <w:sz w:val="20"/>
        </w:rPr>
        <w:t> </w:t>
      </w:r>
      <w:r>
        <w:rPr>
          <w:sz w:val="20"/>
        </w:rPr>
        <w:t>целесообразно</w:t>
      </w:r>
      <w:r>
        <w:rPr>
          <w:spacing w:val="-4"/>
          <w:sz w:val="20"/>
        </w:rPr>
        <w:t> </w:t>
      </w:r>
      <w:r>
        <w:rPr>
          <w:sz w:val="20"/>
        </w:rPr>
        <w:t>использовать</w:t>
      </w:r>
      <w:r>
        <w:rPr>
          <w:spacing w:val="-5"/>
          <w:sz w:val="20"/>
        </w:rPr>
        <w:t> </w:t>
      </w:r>
      <w:r>
        <w:rPr>
          <w:sz w:val="20"/>
        </w:rPr>
        <w:t>парентеральные антикоагулянты. Уточнения о лекарственных взаимодействиях представлены на сайте </w:t>
      </w:r>
      <w:r>
        <w:rPr>
          <w:color w:val="0462C1"/>
          <w:sz w:val="20"/>
          <w:u w:val="single" w:color="0462C1"/>
        </w:rPr>
        <w:t>https</w:t>
      </w:r>
      <w:hyperlink r:id="rId64">
        <w:r>
          <w:rPr>
            <w:color w:val="0462C1"/>
            <w:sz w:val="20"/>
            <w:u w:val="single" w:color="0462C1"/>
          </w:rPr>
          <w:t>://www.covid19-druginteractions.org/view_all_interactions</w:t>
        </w:r>
      </w:hyperlink>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122"/>
        <w:ind w:left="0"/>
        <w:jc w:val="left"/>
        <w:rPr>
          <w:sz w:val="22"/>
        </w:rPr>
      </w:pPr>
    </w:p>
    <w:p>
      <w:pPr>
        <w:spacing w:before="0"/>
        <w:ind w:left="0" w:right="15" w:firstLine="0"/>
        <w:jc w:val="center"/>
        <w:rPr>
          <w:rFonts w:ascii="Calibri"/>
          <w:sz w:val="22"/>
        </w:rPr>
      </w:pPr>
      <w:r>
        <w:rPr>
          <w:rFonts w:ascii="Calibri"/>
          <w:spacing w:val="-5"/>
          <w:sz w:val="22"/>
        </w:rPr>
        <w:t>189</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Heading3"/>
        <w:spacing w:before="148"/>
        <w:ind w:left="13824" w:right="15"/>
        <w:jc w:val="center"/>
      </w:pPr>
      <w:bookmarkStart w:name="_TOC_250011" w:id="226"/>
      <w:bookmarkStart w:name="191" w:id="227"/>
      <w:r>
        <w:rPr>
          <w:b w:val="0"/>
        </w:rPr>
      </w:r>
      <w:r>
        <w:rPr>
          <w:color w:val="1F487C"/>
          <w:spacing w:val="-2"/>
        </w:rPr>
        <w:t>Приложение</w:t>
      </w:r>
      <w:r>
        <w:rPr>
          <w:color w:val="1F487C"/>
          <w:spacing w:val="1"/>
        </w:rPr>
        <w:t> </w:t>
      </w:r>
      <w:bookmarkEnd w:id="226"/>
      <w:r>
        <w:rPr>
          <w:color w:val="1F487C"/>
          <w:spacing w:val="-10"/>
        </w:rPr>
        <w:t>5</w:t>
      </w:r>
    </w:p>
    <w:p>
      <w:pPr>
        <w:pStyle w:val="Heading2"/>
        <w:ind w:right="15"/>
        <w:jc w:val="center"/>
      </w:pPr>
      <w:r>
        <w:rPr/>
        <w:t>Список</w:t>
      </w:r>
      <w:r>
        <w:rPr>
          <w:spacing w:val="-8"/>
        </w:rPr>
        <w:t> </w:t>
      </w:r>
      <w:r>
        <w:rPr/>
        <w:t>возможных</w:t>
      </w:r>
      <w:r>
        <w:rPr>
          <w:spacing w:val="-5"/>
        </w:rPr>
        <w:t> </w:t>
      </w:r>
      <w:r>
        <w:rPr/>
        <w:t>к</w:t>
      </w:r>
      <w:r>
        <w:rPr>
          <w:spacing w:val="-7"/>
        </w:rPr>
        <w:t> </w:t>
      </w:r>
      <w:r>
        <w:rPr/>
        <w:t>назначению</w:t>
      </w:r>
      <w:r>
        <w:rPr>
          <w:spacing w:val="-6"/>
        </w:rPr>
        <w:t> </w:t>
      </w:r>
      <w:r>
        <w:rPr/>
        <w:t>лекарственных</w:t>
      </w:r>
      <w:r>
        <w:rPr>
          <w:spacing w:val="-5"/>
        </w:rPr>
        <w:t> </w:t>
      </w:r>
      <w:r>
        <w:rPr/>
        <w:t>средств</w:t>
      </w:r>
      <w:r>
        <w:rPr>
          <w:spacing w:val="-6"/>
        </w:rPr>
        <w:t> </w:t>
      </w:r>
      <w:r>
        <w:rPr/>
        <w:t>для</w:t>
      </w:r>
      <w:r>
        <w:rPr>
          <w:spacing w:val="-6"/>
        </w:rPr>
        <w:t> </w:t>
      </w:r>
      <w:r>
        <w:rPr/>
        <w:t>лечения</w:t>
      </w:r>
      <w:r>
        <w:rPr>
          <w:spacing w:val="-7"/>
        </w:rPr>
        <w:t> </w:t>
      </w:r>
      <w:r>
        <w:rPr/>
        <w:t>COVID-19</w:t>
      </w:r>
      <w:r>
        <w:rPr>
          <w:spacing w:val="-5"/>
        </w:rPr>
        <w:t> </w:t>
      </w:r>
      <w:r>
        <w:rPr/>
        <w:t>у</w:t>
      </w:r>
      <w:r>
        <w:rPr>
          <w:spacing w:val="-6"/>
        </w:rPr>
        <w:t> </w:t>
      </w:r>
      <w:r>
        <w:rPr>
          <w:spacing w:val="-2"/>
        </w:rPr>
        <w:t>взрослых</w:t>
      </w:r>
    </w:p>
    <w:p>
      <w:pPr>
        <w:pStyle w:val="BodyText"/>
        <w:spacing w:before="185"/>
        <w:ind w:left="0"/>
        <w:jc w:val="left"/>
        <w:rPr>
          <w:b/>
          <w:sz w:val="20"/>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76"/>
        <w:gridCol w:w="2552"/>
        <w:gridCol w:w="1277"/>
        <w:gridCol w:w="2977"/>
        <w:gridCol w:w="6098"/>
      </w:tblGrid>
      <w:tr>
        <w:trPr>
          <w:trHeight w:val="565" w:hRule="atLeast"/>
        </w:trPr>
        <w:tc>
          <w:tcPr>
            <w:tcW w:w="1976" w:type="dxa"/>
            <w:shd w:val="clear" w:color="auto" w:fill="F1F1F1"/>
          </w:tcPr>
          <w:p>
            <w:pPr>
              <w:pStyle w:val="TableParagraph"/>
              <w:spacing w:before="23"/>
              <w:ind w:left="109"/>
              <w:rPr>
                <w:b/>
                <w:sz w:val="20"/>
              </w:rPr>
            </w:pPr>
            <w:r>
              <w:rPr>
                <w:b/>
                <w:sz w:val="20"/>
              </w:rPr>
              <w:t>Препарат</w:t>
            </w:r>
            <w:r>
              <w:rPr>
                <w:b/>
                <w:spacing w:val="-8"/>
                <w:sz w:val="20"/>
              </w:rPr>
              <w:t> </w:t>
            </w:r>
            <w:r>
              <w:rPr>
                <w:b/>
                <w:spacing w:val="-2"/>
                <w:sz w:val="20"/>
              </w:rPr>
              <w:t>(МНН)</w:t>
            </w:r>
          </w:p>
        </w:tc>
        <w:tc>
          <w:tcPr>
            <w:tcW w:w="2552" w:type="dxa"/>
            <w:shd w:val="clear" w:color="auto" w:fill="F1F1F1"/>
          </w:tcPr>
          <w:p>
            <w:pPr>
              <w:pStyle w:val="TableParagraph"/>
              <w:spacing w:before="23"/>
              <w:ind w:left="162"/>
              <w:rPr>
                <w:b/>
                <w:sz w:val="20"/>
              </w:rPr>
            </w:pPr>
            <w:r>
              <w:rPr>
                <w:b/>
                <w:sz w:val="20"/>
              </w:rPr>
              <w:t>Механизм</w:t>
            </w:r>
            <w:r>
              <w:rPr>
                <w:b/>
                <w:spacing w:val="-10"/>
                <w:sz w:val="20"/>
              </w:rPr>
              <w:t> </w:t>
            </w:r>
            <w:r>
              <w:rPr>
                <w:b/>
                <w:spacing w:val="-2"/>
                <w:sz w:val="20"/>
              </w:rPr>
              <w:t>действия</w:t>
            </w:r>
          </w:p>
        </w:tc>
        <w:tc>
          <w:tcPr>
            <w:tcW w:w="1277" w:type="dxa"/>
            <w:shd w:val="clear" w:color="auto" w:fill="F1F1F1"/>
          </w:tcPr>
          <w:p>
            <w:pPr>
              <w:pStyle w:val="TableParagraph"/>
              <w:spacing w:before="23"/>
              <w:ind w:left="109" w:right="368"/>
              <w:rPr>
                <w:b/>
                <w:sz w:val="20"/>
              </w:rPr>
            </w:pPr>
            <w:r>
              <w:rPr>
                <w:b/>
                <w:spacing w:val="-2"/>
                <w:sz w:val="20"/>
              </w:rPr>
              <w:t>Формы выпуска</w:t>
            </w:r>
          </w:p>
        </w:tc>
        <w:tc>
          <w:tcPr>
            <w:tcW w:w="2977" w:type="dxa"/>
            <w:shd w:val="clear" w:color="auto" w:fill="F1F1F1"/>
          </w:tcPr>
          <w:p>
            <w:pPr>
              <w:pStyle w:val="TableParagraph"/>
              <w:spacing w:before="23"/>
              <w:ind w:left="155"/>
              <w:rPr>
                <w:b/>
                <w:sz w:val="20"/>
              </w:rPr>
            </w:pPr>
            <w:r>
              <w:rPr>
                <w:b/>
                <w:sz w:val="20"/>
              </w:rPr>
              <w:t>Схемы</w:t>
            </w:r>
            <w:r>
              <w:rPr>
                <w:b/>
                <w:spacing w:val="-6"/>
                <w:sz w:val="20"/>
              </w:rPr>
              <w:t> </w:t>
            </w:r>
            <w:r>
              <w:rPr>
                <w:b/>
                <w:spacing w:val="-2"/>
                <w:sz w:val="20"/>
              </w:rPr>
              <w:t>назначения</w:t>
            </w:r>
          </w:p>
        </w:tc>
        <w:tc>
          <w:tcPr>
            <w:tcW w:w="6098" w:type="dxa"/>
            <w:shd w:val="clear" w:color="auto" w:fill="F1F1F1"/>
          </w:tcPr>
          <w:p>
            <w:pPr>
              <w:pStyle w:val="TableParagraph"/>
              <w:spacing w:before="23"/>
              <w:ind w:left="101"/>
              <w:rPr>
                <w:b/>
                <w:sz w:val="20"/>
              </w:rPr>
            </w:pPr>
            <w:r>
              <w:rPr>
                <w:b/>
                <w:sz w:val="20"/>
              </w:rPr>
              <w:t>Противопоказания,</w:t>
            </w:r>
            <w:r>
              <w:rPr>
                <w:b/>
                <w:spacing w:val="-12"/>
                <w:sz w:val="20"/>
              </w:rPr>
              <w:t> </w:t>
            </w:r>
            <w:r>
              <w:rPr>
                <w:b/>
                <w:sz w:val="20"/>
              </w:rPr>
              <w:t>особые</w:t>
            </w:r>
            <w:r>
              <w:rPr>
                <w:b/>
                <w:spacing w:val="-10"/>
                <w:sz w:val="20"/>
              </w:rPr>
              <w:t> </w:t>
            </w:r>
            <w:r>
              <w:rPr>
                <w:b/>
                <w:sz w:val="20"/>
              </w:rPr>
              <w:t>указания,</w:t>
            </w:r>
            <w:r>
              <w:rPr>
                <w:b/>
                <w:spacing w:val="-10"/>
                <w:sz w:val="20"/>
              </w:rPr>
              <w:t> </w:t>
            </w:r>
            <w:r>
              <w:rPr>
                <w:b/>
                <w:sz w:val="20"/>
              </w:rPr>
              <w:t>побочные</w:t>
            </w:r>
            <w:r>
              <w:rPr>
                <w:b/>
                <w:spacing w:val="-9"/>
                <w:sz w:val="20"/>
              </w:rPr>
              <w:t> </w:t>
            </w:r>
            <w:r>
              <w:rPr>
                <w:b/>
                <w:spacing w:val="-2"/>
                <w:sz w:val="20"/>
              </w:rPr>
              <w:t>эффекты</w:t>
            </w:r>
          </w:p>
        </w:tc>
      </w:tr>
      <w:tr>
        <w:trPr>
          <w:trHeight w:val="5993" w:hRule="atLeast"/>
        </w:trPr>
        <w:tc>
          <w:tcPr>
            <w:tcW w:w="1976" w:type="dxa"/>
          </w:tcPr>
          <w:p>
            <w:pPr>
              <w:pStyle w:val="TableParagraph"/>
              <w:spacing w:before="21"/>
              <w:ind w:left="109"/>
              <w:rPr>
                <w:b/>
                <w:sz w:val="20"/>
              </w:rPr>
            </w:pPr>
            <w:r>
              <w:rPr>
                <w:b/>
                <w:spacing w:val="-2"/>
                <w:sz w:val="20"/>
              </w:rPr>
              <w:t>Фавипиравир</w:t>
            </w:r>
          </w:p>
        </w:tc>
        <w:tc>
          <w:tcPr>
            <w:tcW w:w="2552" w:type="dxa"/>
          </w:tcPr>
          <w:p>
            <w:pPr>
              <w:pStyle w:val="TableParagraph"/>
              <w:spacing w:before="21"/>
              <w:ind w:left="162" w:right="138"/>
              <w:rPr>
                <w:sz w:val="20"/>
              </w:rPr>
            </w:pPr>
            <w:r>
              <w:rPr>
                <w:sz w:val="20"/>
              </w:rPr>
              <w:t>Ингибирует РНК- зависимую РНК- полимеразу</w:t>
            </w:r>
            <w:r>
              <w:rPr>
                <w:spacing w:val="-13"/>
                <w:sz w:val="20"/>
              </w:rPr>
              <w:t> </w:t>
            </w:r>
            <w:r>
              <w:rPr>
                <w:sz w:val="20"/>
              </w:rPr>
              <w:t>вируса</w:t>
            </w:r>
            <w:r>
              <w:rPr>
                <w:spacing w:val="-12"/>
                <w:sz w:val="20"/>
              </w:rPr>
              <w:t> </w:t>
            </w:r>
            <w:r>
              <w:rPr>
                <w:sz w:val="20"/>
              </w:rPr>
              <w:t>SARS- </w:t>
            </w:r>
            <w:r>
              <w:rPr>
                <w:spacing w:val="-2"/>
                <w:sz w:val="20"/>
              </w:rPr>
              <w:t>CoV-2</w:t>
            </w:r>
          </w:p>
        </w:tc>
        <w:tc>
          <w:tcPr>
            <w:tcW w:w="1277" w:type="dxa"/>
          </w:tcPr>
          <w:p>
            <w:pPr>
              <w:pStyle w:val="TableParagraph"/>
              <w:spacing w:before="21"/>
              <w:ind w:left="109" w:right="86"/>
              <w:rPr>
                <w:sz w:val="20"/>
              </w:rPr>
            </w:pPr>
            <w:r>
              <w:rPr>
                <w:spacing w:val="-2"/>
                <w:sz w:val="20"/>
              </w:rPr>
              <w:t>Таблетки; лиофилизат </w:t>
            </w:r>
            <w:r>
              <w:rPr>
                <w:spacing w:val="-4"/>
                <w:sz w:val="20"/>
              </w:rPr>
              <w:t>для </w:t>
            </w:r>
            <w:r>
              <w:rPr>
                <w:spacing w:val="-2"/>
                <w:sz w:val="20"/>
              </w:rPr>
              <w:t>приготовлен </w:t>
            </w:r>
            <w:r>
              <w:rPr>
                <w:spacing w:val="-6"/>
                <w:sz w:val="20"/>
              </w:rPr>
              <w:t>ия </w:t>
            </w:r>
            <w:r>
              <w:rPr>
                <w:spacing w:val="-2"/>
                <w:sz w:val="20"/>
              </w:rPr>
              <w:t>концентрата </w:t>
            </w:r>
            <w:r>
              <w:rPr>
                <w:spacing w:val="-4"/>
                <w:sz w:val="20"/>
              </w:rPr>
              <w:t>для </w:t>
            </w:r>
            <w:r>
              <w:rPr>
                <w:spacing w:val="-2"/>
                <w:sz w:val="20"/>
              </w:rPr>
              <w:t>приготовлен </w:t>
            </w:r>
            <w:r>
              <w:rPr>
                <w:sz w:val="20"/>
              </w:rPr>
              <w:t>ия раствора </w:t>
            </w:r>
            <w:r>
              <w:rPr>
                <w:spacing w:val="-4"/>
                <w:sz w:val="20"/>
              </w:rPr>
              <w:t>для</w:t>
            </w:r>
            <w:r>
              <w:rPr>
                <w:spacing w:val="40"/>
                <w:sz w:val="20"/>
              </w:rPr>
              <w:t> </w:t>
            </w:r>
            <w:r>
              <w:rPr>
                <w:spacing w:val="-2"/>
                <w:sz w:val="20"/>
              </w:rPr>
              <w:t>инфузий; концентрат </w:t>
            </w:r>
            <w:r>
              <w:rPr>
                <w:spacing w:val="-4"/>
                <w:sz w:val="20"/>
              </w:rPr>
              <w:t>для </w:t>
            </w:r>
            <w:r>
              <w:rPr>
                <w:spacing w:val="-2"/>
                <w:sz w:val="20"/>
              </w:rPr>
              <w:t>приготовлен </w:t>
            </w:r>
            <w:r>
              <w:rPr>
                <w:sz w:val="20"/>
              </w:rPr>
              <w:t>ия раствора </w:t>
            </w:r>
            <w:r>
              <w:rPr>
                <w:spacing w:val="-4"/>
                <w:sz w:val="20"/>
              </w:rPr>
              <w:t>для</w:t>
            </w:r>
            <w:r>
              <w:rPr>
                <w:spacing w:val="40"/>
                <w:sz w:val="20"/>
              </w:rPr>
              <w:t> </w:t>
            </w:r>
            <w:r>
              <w:rPr>
                <w:spacing w:val="-2"/>
                <w:sz w:val="20"/>
              </w:rPr>
              <w:t>инфузий; порошок</w:t>
            </w:r>
            <w:r>
              <w:rPr>
                <w:spacing w:val="40"/>
                <w:sz w:val="20"/>
              </w:rPr>
              <w:t> </w:t>
            </w:r>
            <w:r>
              <w:rPr>
                <w:spacing w:val="-4"/>
                <w:sz w:val="20"/>
              </w:rPr>
              <w:t>для </w:t>
            </w:r>
            <w:r>
              <w:rPr>
                <w:spacing w:val="-2"/>
                <w:sz w:val="20"/>
              </w:rPr>
              <w:t>приготовлен </w:t>
            </w:r>
            <w:r>
              <w:rPr>
                <w:spacing w:val="-6"/>
                <w:sz w:val="20"/>
              </w:rPr>
              <w:t>ия </w:t>
            </w:r>
            <w:r>
              <w:rPr>
                <w:spacing w:val="-2"/>
                <w:sz w:val="20"/>
              </w:rPr>
              <w:t>концентрата </w:t>
            </w:r>
            <w:r>
              <w:rPr>
                <w:spacing w:val="-4"/>
                <w:sz w:val="20"/>
              </w:rPr>
              <w:t>для </w:t>
            </w:r>
            <w:r>
              <w:rPr>
                <w:spacing w:val="-2"/>
                <w:sz w:val="20"/>
              </w:rPr>
              <w:t>приготовлен </w:t>
            </w:r>
            <w:r>
              <w:rPr>
                <w:sz w:val="20"/>
              </w:rPr>
              <w:t>ия раствора</w:t>
            </w:r>
          </w:p>
          <w:p>
            <w:pPr>
              <w:pStyle w:val="TableParagraph"/>
              <w:spacing w:line="204" w:lineRule="exact"/>
              <w:ind w:left="109"/>
              <w:rPr>
                <w:sz w:val="20"/>
              </w:rPr>
            </w:pPr>
            <w:r>
              <w:rPr>
                <w:sz w:val="20"/>
              </w:rPr>
              <w:t>для</w:t>
            </w:r>
            <w:r>
              <w:rPr>
                <w:spacing w:val="-3"/>
                <w:sz w:val="20"/>
              </w:rPr>
              <w:t> </w:t>
            </w:r>
            <w:r>
              <w:rPr>
                <w:spacing w:val="-2"/>
                <w:sz w:val="20"/>
              </w:rPr>
              <w:t>инфузий</w:t>
            </w:r>
          </w:p>
        </w:tc>
        <w:tc>
          <w:tcPr>
            <w:tcW w:w="2977" w:type="dxa"/>
          </w:tcPr>
          <w:p>
            <w:pPr>
              <w:pStyle w:val="TableParagraph"/>
              <w:spacing w:before="21"/>
              <w:ind w:left="155"/>
              <w:rPr>
                <w:sz w:val="20"/>
              </w:rPr>
            </w:pPr>
            <w:r>
              <w:rPr>
                <w:spacing w:val="-2"/>
                <w:sz w:val="20"/>
              </w:rPr>
              <w:t>Таблетки:</w:t>
            </w:r>
          </w:p>
          <w:p>
            <w:pPr>
              <w:pStyle w:val="TableParagraph"/>
              <w:ind w:left="155"/>
              <w:rPr>
                <w:sz w:val="20"/>
              </w:rPr>
            </w:pPr>
            <w:r>
              <w:rPr>
                <w:sz w:val="20"/>
              </w:rPr>
              <w:t>для</w:t>
            </w:r>
            <w:r>
              <w:rPr>
                <w:spacing w:val="-4"/>
                <w:sz w:val="20"/>
              </w:rPr>
              <w:t> </w:t>
            </w:r>
            <w:r>
              <w:rPr>
                <w:sz w:val="20"/>
              </w:rPr>
              <w:t>пациентов</w:t>
            </w:r>
            <w:r>
              <w:rPr>
                <w:spacing w:val="-7"/>
                <w:sz w:val="20"/>
              </w:rPr>
              <w:t> </w:t>
            </w:r>
            <w:r>
              <w:rPr>
                <w:sz w:val="20"/>
              </w:rPr>
              <w:t>с</w:t>
            </w:r>
            <w:r>
              <w:rPr>
                <w:spacing w:val="-4"/>
                <w:sz w:val="20"/>
              </w:rPr>
              <w:t> </w:t>
            </w:r>
            <w:r>
              <w:rPr>
                <w:sz w:val="20"/>
              </w:rPr>
              <w:t>массой</w:t>
            </w:r>
            <w:r>
              <w:rPr>
                <w:spacing w:val="-6"/>
                <w:sz w:val="20"/>
              </w:rPr>
              <w:t> </w:t>
            </w:r>
            <w:r>
              <w:rPr>
                <w:spacing w:val="-4"/>
                <w:sz w:val="20"/>
              </w:rPr>
              <w:t>тела</w:t>
            </w:r>
          </w:p>
          <w:p>
            <w:pPr>
              <w:pStyle w:val="TableParagraph"/>
              <w:ind w:left="155"/>
              <w:rPr>
                <w:sz w:val="20"/>
              </w:rPr>
            </w:pPr>
            <w:r>
              <w:rPr>
                <w:sz w:val="20"/>
              </w:rPr>
              <w:t>˂75</w:t>
            </w:r>
            <w:r>
              <w:rPr>
                <w:spacing w:val="-2"/>
                <w:sz w:val="20"/>
              </w:rPr>
              <w:t> </w:t>
            </w:r>
            <w:r>
              <w:rPr>
                <w:sz w:val="20"/>
              </w:rPr>
              <w:t>кг:</w:t>
            </w:r>
            <w:r>
              <w:rPr>
                <w:spacing w:val="-3"/>
                <w:sz w:val="20"/>
              </w:rPr>
              <w:t> </w:t>
            </w:r>
            <w:r>
              <w:rPr>
                <w:sz w:val="20"/>
              </w:rPr>
              <w:t>по</w:t>
            </w:r>
            <w:r>
              <w:rPr>
                <w:spacing w:val="-2"/>
                <w:sz w:val="20"/>
              </w:rPr>
              <w:t> </w:t>
            </w:r>
            <w:r>
              <w:rPr>
                <w:sz w:val="20"/>
              </w:rPr>
              <w:t>1600</w:t>
            </w:r>
            <w:r>
              <w:rPr>
                <w:spacing w:val="-4"/>
                <w:sz w:val="20"/>
              </w:rPr>
              <w:t> </w:t>
            </w:r>
            <w:r>
              <w:rPr>
                <w:spacing w:val="-5"/>
                <w:sz w:val="20"/>
              </w:rPr>
              <w:t>мг</w:t>
            </w:r>
          </w:p>
          <w:p>
            <w:pPr>
              <w:pStyle w:val="TableParagraph"/>
              <w:ind w:left="155"/>
              <w:rPr>
                <w:sz w:val="20"/>
              </w:rPr>
            </w:pPr>
            <w:r>
              <w:rPr>
                <w:sz w:val="20"/>
              </w:rPr>
              <w:t>2</w:t>
            </w:r>
            <w:r>
              <w:rPr>
                <w:spacing w:val="-2"/>
                <w:sz w:val="20"/>
              </w:rPr>
              <w:t> </w:t>
            </w:r>
            <w:r>
              <w:rPr>
                <w:sz w:val="20"/>
              </w:rPr>
              <w:t>р/сут</w:t>
            </w:r>
            <w:r>
              <w:rPr>
                <w:spacing w:val="-3"/>
                <w:sz w:val="20"/>
              </w:rPr>
              <w:t> </w:t>
            </w:r>
            <w:r>
              <w:rPr>
                <w:sz w:val="20"/>
              </w:rPr>
              <w:t>в</w:t>
            </w:r>
            <w:r>
              <w:rPr>
                <w:spacing w:val="-3"/>
                <w:sz w:val="20"/>
              </w:rPr>
              <w:t> </w:t>
            </w:r>
            <w:r>
              <w:rPr>
                <w:sz w:val="20"/>
              </w:rPr>
              <w:t>1-й</w:t>
            </w:r>
            <w:r>
              <w:rPr>
                <w:spacing w:val="-3"/>
                <w:sz w:val="20"/>
              </w:rPr>
              <w:t> </w:t>
            </w:r>
            <w:r>
              <w:rPr>
                <w:sz w:val="20"/>
              </w:rPr>
              <w:t>день</w:t>
            </w:r>
            <w:r>
              <w:rPr>
                <w:spacing w:val="-3"/>
                <w:sz w:val="20"/>
              </w:rPr>
              <w:t> </w:t>
            </w:r>
            <w:r>
              <w:rPr>
                <w:sz w:val="20"/>
              </w:rPr>
              <w:t>и</w:t>
            </w:r>
            <w:r>
              <w:rPr>
                <w:spacing w:val="-3"/>
                <w:sz w:val="20"/>
              </w:rPr>
              <w:t> </w:t>
            </w:r>
            <w:r>
              <w:rPr>
                <w:spacing w:val="-4"/>
                <w:sz w:val="20"/>
              </w:rPr>
              <w:t>далее</w:t>
            </w:r>
          </w:p>
          <w:p>
            <w:pPr>
              <w:pStyle w:val="TableParagraph"/>
              <w:ind w:left="155" w:right="213"/>
              <w:rPr>
                <w:sz w:val="20"/>
              </w:rPr>
            </w:pPr>
            <w:r>
              <w:rPr>
                <w:sz w:val="20"/>
              </w:rPr>
              <w:t>по</w:t>
            </w:r>
            <w:r>
              <w:rPr>
                <w:spacing w:val="-5"/>
                <w:sz w:val="20"/>
              </w:rPr>
              <w:t> </w:t>
            </w:r>
            <w:r>
              <w:rPr>
                <w:sz w:val="20"/>
              </w:rPr>
              <w:t>600</w:t>
            </w:r>
            <w:r>
              <w:rPr>
                <w:spacing w:val="-5"/>
                <w:sz w:val="20"/>
              </w:rPr>
              <w:t> </w:t>
            </w:r>
            <w:r>
              <w:rPr>
                <w:sz w:val="20"/>
              </w:rPr>
              <w:t>мг</w:t>
            </w:r>
            <w:r>
              <w:rPr>
                <w:spacing w:val="-9"/>
                <w:sz w:val="20"/>
              </w:rPr>
              <w:t> </w:t>
            </w:r>
            <w:r>
              <w:rPr>
                <w:sz w:val="20"/>
              </w:rPr>
              <w:t>2</w:t>
            </w:r>
            <w:r>
              <w:rPr>
                <w:spacing w:val="-5"/>
                <w:sz w:val="20"/>
              </w:rPr>
              <w:t> </w:t>
            </w:r>
            <w:r>
              <w:rPr>
                <w:sz w:val="20"/>
              </w:rPr>
              <w:t>р/сут</w:t>
            </w:r>
            <w:r>
              <w:rPr>
                <w:spacing w:val="-7"/>
                <w:sz w:val="20"/>
              </w:rPr>
              <w:t> </w:t>
            </w:r>
            <w:r>
              <w:rPr>
                <w:sz w:val="20"/>
              </w:rPr>
              <w:t>в</w:t>
            </w:r>
            <w:r>
              <w:rPr>
                <w:spacing w:val="-7"/>
                <w:sz w:val="20"/>
              </w:rPr>
              <w:t> </w:t>
            </w:r>
            <w:r>
              <w:rPr>
                <w:sz w:val="20"/>
              </w:rPr>
              <w:t>2-10-й</w:t>
            </w:r>
            <w:r>
              <w:rPr>
                <w:spacing w:val="-7"/>
                <w:sz w:val="20"/>
              </w:rPr>
              <w:t> </w:t>
            </w:r>
            <w:r>
              <w:rPr>
                <w:sz w:val="20"/>
              </w:rPr>
              <w:t>дни; с массой тела 75 кг и более:</w:t>
            </w:r>
            <w:r>
              <w:rPr>
                <w:spacing w:val="40"/>
                <w:sz w:val="20"/>
              </w:rPr>
              <w:t> </w:t>
            </w:r>
            <w:r>
              <w:rPr>
                <w:sz w:val="20"/>
              </w:rPr>
              <w:t>по 1800 мг 2 раза/сут в 1-й день, далее по 800 мг 2 раза / </w:t>
            </w:r>
            <w:r>
              <w:rPr>
                <w:spacing w:val="-4"/>
                <w:sz w:val="20"/>
              </w:rPr>
              <w:t>сут</w:t>
            </w:r>
          </w:p>
          <w:p>
            <w:pPr>
              <w:pStyle w:val="TableParagraph"/>
              <w:spacing w:line="229" w:lineRule="exact"/>
              <w:ind w:left="155"/>
              <w:rPr>
                <w:sz w:val="20"/>
              </w:rPr>
            </w:pPr>
            <w:r>
              <w:rPr>
                <w:sz w:val="20"/>
              </w:rPr>
              <w:t>со</w:t>
            </w:r>
            <w:r>
              <w:rPr>
                <w:spacing w:val="-2"/>
                <w:sz w:val="20"/>
              </w:rPr>
              <w:t> </w:t>
            </w:r>
            <w:r>
              <w:rPr>
                <w:sz w:val="20"/>
              </w:rPr>
              <w:t>2</w:t>
            </w:r>
            <w:r>
              <w:rPr>
                <w:spacing w:val="-2"/>
                <w:sz w:val="20"/>
              </w:rPr>
              <w:t> </w:t>
            </w:r>
            <w:r>
              <w:rPr>
                <w:sz w:val="20"/>
              </w:rPr>
              <w:t>по</w:t>
            </w:r>
            <w:r>
              <w:rPr>
                <w:spacing w:val="-2"/>
                <w:sz w:val="20"/>
              </w:rPr>
              <w:t> </w:t>
            </w:r>
            <w:r>
              <w:rPr>
                <w:sz w:val="20"/>
              </w:rPr>
              <w:t>10</w:t>
            </w:r>
            <w:r>
              <w:rPr>
                <w:spacing w:val="-1"/>
                <w:sz w:val="20"/>
              </w:rPr>
              <w:t> </w:t>
            </w:r>
            <w:r>
              <w:rPr>
                <w:spacing w:val="-2"/>
                <w:sz w:val="20"/>
              </w:rPr>
              <w:t>день.</w:t>
            </w:r>
          </w:p>
          <w:p>
            <w:pPr>
              <w:pStyle w:val="TableParagraph"/>
              <w:spacing w:before="229"/>
              <w:ind w:left="155" w:right="236"/>
              <w:rPr>
                <w:sz w:val="20"/>
              </w:rPr>
            </w:pPr>
            <w:r>
              <w:rPr>
                <w:sz w:val="20"/>
              </w:rPr>
              <w:t>Раствор для инфузий: внутривенно капельно в течение 2 часов по 1600 мг 2 раза</w:t>
            </w:r>
            <w:r>
              <w:rPr>
                <w:spacing w:val="-8"/>
                <w:sz w:val="20"/>
              </w:rPr>
              <w:t> </w:t>
            </w:r>
            <w:r>
              <w:rPr>
                <w:sz w:val="20"/>
              </w:rPr>
              <w:t>в</w:t>
            </w:r>
            <w:r>
              <w:rPr>
                <w:spacing w:val="-9"/>
                <w:sz w:val="20"/>
              </w:rPr>
              <w:t> </w:t>
            </w:r>
            <w:r>
              <w:rPr>
                <w:sz w:val="20"/>
              </w:rPr>
              <w:t>1-й</w:t>
            </w:r>
            <w:r>
              <w:rPr>
                <w:spacing w:val="-9"/>
                <w:sz w:val="20"/>
              </w:rPr>
              <w:t> </w:t>
            </w:r>
            <w:r>
              <w:rPr>
                <w:sz w:val="20"/>
              </w:rPr>
              <w:t>день</w:t>
            </w:r>
            <w:r>
              <w:rPr>
                <w:spacing w:val="-8"/>
                <w:sz w:val="20"/>
              </w:rPr>
              <w:t> </w:t>
            </w:r>
            <w:r>
              <w:rPr>
                <w:sz w:val="20"/>
              </w:rPr>
              <w:t>терапии,</w:t>
            </w:r>
            <w:r>
              <w:rPr>
                <w:spacing w:val="-8"/>
                <w:sz w:val="20"/>
              </w:rPr>
              <w:t> </w:t>
            </w:r>
            <w:r>
              <w:rPr>
                <w:sz w:val="20"/>
              </w:rPr>
              <w:t>далее по 800 мг</w:t>
            </w:r>
          </w:p>
          <w:p>
            <w:pPr>
              <w:pStyle w:val="TableParagraph"/>
              <w:spacing w:line="237" w:lineRule="auto" w:before="3"/>
              <w:ind w:left="155" w:right="236"/>
              <w:rPr>
                <w:sz w:val="20"/>
              </w:rPr>
            </w:pPr>
            <w:r>
              <w:rPr>
                <w:sz w:val="20"/>
              </w:rPr>
              <w:t>2</w:t>
            </w:r>
            <w:r>
              <w:rPr>
                <w:spacing w:val="-10"/>
                <w:sz w:val="20"/>
              </w:rPr>
              <w:t> </w:t>
            </w:r>
            <w:r>
              <w:rPr>
                <w:sz w:val="20"/>
              </w:rPr>
              <w:t>раза</w:t>
            </w:r>
            <w:r>
              <w:rPr>
                <w:spacing w:val="-11"/>
                <w:sz w:val="20"/>
              </w:rPr>
              <w:t> </w:t>
            </w:r>
            <w:r>
              <w:rPr>
                <w:sz w:val="20"/>
              </w:rPr>
              <w:t>в</w:t>
            </w:r>
            <w:r>
              <w:rPr>
                <w:spacing w:val="-12"/>
                <w:sz w:val="20"/>
              </w:rPr>
              <w:t> </w:t>
            </w:r>
            <w:r>
              <w:rPr>
                <w:sz w:val="20"/>
              </w:rPr>
              <w:t>день,</w:t>
            </w:r>
            <w:r>
              <w:rPr>
                <w:spacing w:val="-11"/>
                <w:sz w:val="20"/>
              </w:rPr>
              <w:t> </w:t>
            </w:r>
            <w:r>
              <w:rPr>
                <w:sz w:val="20"/>
              </w:rPr>
              <w:t>соответственно, со 2-го по 10-й день терапии.</w:t>
            </w:r>
          </w:p>
          <w:p>
            <w:pPr>
              <w:pStyle w:val="TableParagraph"/>
              <w:rPr>
                <w:b/>
                <w:sz w:val="20"/>
              </w:rPr>
            </w:pPr>
          </w:p>
          <w:p>
            <w:pPr>
              <w:pStyle w:val="TableParagraph"/>
              <w:spacing w:before="1"/>
              <w:ind w:left="155"/>
              <w:rPr>
                <w:sz w:val="20"/>
              </w:rPr>
            </w:pPr>
            <w:r>
              <w:rPr>
                <w:sz w:val="20"/>
              </w:rPr>
              <w:t>Прием препарата должен осуществляться на основании клинической картины и/или после лабораторного подтверждения</w:t>
            </w:r>
            <w:r>
              <w:rPr>
                <w:spacing w:val="-13"/>
                <w:sz w:val="20"/>
              </w:rPr>
              <w:t> </w:t>
            </w:r>
            <w:r>
              <w:rPr>
                <w:sz w:val="20"/>
              </w:rPr>
              <w:t>диагноза</w:t>
            </w:r>
            <w:r>
              <w:rPr>
                <w:spacing w:val="-12"/>
                <w:sz w:val="20"/>
              </w:rPr>
              <w:t> </w:t>
            </w:r>
            <w:r>
              <w:rPr>
                <w:sz w:val="20"/>
              </w:rPr>
              <w:t>и</w:t>
            </w:r>
            <w:r>
              <w:rPr>
                <w:spacing w:val="-13"/>
                <w:sz w:val="20"/>
              </w:rPr>
              <w:t> </w:t>
            </w:r>
            <w:r>
              <w:rPr>
                <w:sz w:val="20"/>
              </w:rPr>
              <w:t>при</w:t>
            </w:r>
          </w:p>
          <w:p>
            <w:pPr>
              <w:pStyle w:val="TableParagraph"/>
              <w:spacing w:line="230" w:lineRule="exact"/>
              <w:ind w:left="155"/>
              <w:rPr>
                <w:sz w:val="20"/>
              </w:rPr>
            </w:pPr>
            <w:r>
              <w:rPr>
                <w:sz w:val="20"/>
              </w:rPr>
              <w:t>наличии характерной </w:t>
            </w:r>
            <w:r>
              <w:rPr>
                <w:spacing w:val="-2"/>
                <w:sz w:val="20"/>
              </w:rPr>
              <w:t>клинической симптоматики</w:t>
            </w:r>
          </w:p>
        </w:tc>
        <w:tc>
          <w:tcPr>
            <w:tcW w:w="6098" w:type="dxa"/>
          </w:tcPr>
          <w:p>
            <w:pPr>
              <w:pStyle w:val="TableParagraph"/>
              <w:numPr>
                <w:ilvl w:val="0"/>
                <w:numId w:val="90"/>
              </w:numPr>
              <w:tabs>
                <w:tab w:pos="275" w:val="left" w:leader="none"/>
              </w:tabs>
              <w:spacing w:line="245" w:lineRule="exact" w:before="21" w:after="0"/>
              <w:ind w:left="275" w:right="0" w:hanging="152"/>
              <w:jc w:val="left"/>
              <w:rPr>
                <w:sz w:val="20"/>
              </w:rPr>
            </w:pPr>
            <w:r>
              <w:rPr>
                <w:sz w:val="20"/>
              </w:rPr>
              <w:t>Повышенная</w:t>
            </w:r>
            <w:r>
              <w:rPr>
                <w:spacing w:val="-11"/>
                <w:sz w:val="20"/>
              </w:rPr>
              <w:t> </w:t>
            </w:r>
            <w:r>
              <w:rPr>
                <w:sz w:val="20"/>
              </w:rPr>
              <w:t>чувствительность</w:t>
            </w:r>
            <w:r>
              <w:rPr>
                <w:spacing w:val="-9"/>
                <w:sz w:val="20"/>
              </w:rPr>
              <w:t> </w:t>
            </w:r>
            <w:r>
              <w:rPr>
                <w:sz w:val="20"/>
              </w:rPr>
              <w:t>к</w:t>
            </w:r>
            <w:r>
              <w:rPr>
                <w:spacing w:val="-11"/>
                <w:sz w:val="20"/>
              </w:rPr>
              <w:t> </w:t>
            </w:r>
            <w:r>
              <w:rPr>
                <w:spacing w:val="-2"/>
                <w:sz w:val="20"/>
              </w:rPr>
              <w:t>фавипиравиру;</w:t>
            </w:r>
          </w:p>
          <w:p>
            <w:pPr>
              <w:pStyle w:val="TableParagraph"/>
              <w:numPr>
                <w:ilvl w:val="0"/>
                <w:numId w:val="90"/>
              </w:numPr>
              <w:tabs>
                <w:tab w:pos="275" w:val="left" w:leader="none"/>
              </w:tabs>
              <w:spacing w:line="245" w:lineRule="exact" w:before="0" w:after="0"/>
              <w:ind w:left="275" w:right="0" w:hanging="152"/>
              <w:jc w:val="left"/>
              <w:rPr>
                <w:sz w:val="20"/>
              </w:rPr>
            </w:pPr>
            <w:r>
              <w:rPr>
                <w:sz w:val="20"/>
              </w:rPr>
              <w:t>Тяжелая</w:t>
            </w:r>
            <w:r>
              <w:rPr>
                <w:spacing w:val="-11"/>
                <w:sz w:val="20"/>
              </w:rPr>
              <w:t> </w:t>
            </w:r>
            <w:r>
              <w:rPr>
                <w:sz w:val="20"/>
              </w:rPr>
              <w:t>печеночная</w:t>
            </w:r>
            <w:r>
              <w:rPr>
                <w:spacing w:val="-9"/>
                <w:sz w:val="20"/>
              </w:rPr>
              <w:t> </w:t>
            </w:r>
            <w:r>
              <w:rPr>
                <w:spacing w:val="-2"/>
                <w:sz w:val="20"/>
              </w:rPr>
              <w:t>недостаточность;</w:t>
            </w:r>
          </w:p>
          <w:p>
            <w:pPr>
              <w:pStyle w:val="TableParagraph"/>
              <w:numPr>
                <w:ilvl w:val="0"/>
                <w:numId w:val="90"/>
              </w:numPr>
              <w:tabs>
                <w:tab w:pos="275" w:val="left" w:leader="none"/>
              </w:tabs>
              <w:spacing w:line="245" w:lineRule="exact" w:before="0" w:after="0"/>
              <w:ind w:left="275" w:right="0" w:hanging="152"/>
              <w:jc w:val="left"/>
              <w:rPr>
                <w:sz w:val="20"/>
              </w:rPr>
            </w:pPr>
            <w:r>
              <w:rPr>
                <w:sz w:val="20"/>
              </w:rPr>
              <w:t>СКФ</w:t>
            </w:r>
            <w:r>
              <w:rPr>
                <w:spacing w:val="-3"/>
                <w:sz w:val="20"/>
              </w:rPr>
              <w:t> </w:t>
            </w:r>
            <w:r>
              <w:rPr>
                <w:sz w:val="20"/>
              </w:rPr>
              <w:t>&lt;</w:t>
            </w:r>
            <w:r>
              <w:rPr>
                <w:spacing w:val="-3"/>
                <w:sz w:val="20"/>
              </w:rPr>
              <w:t> </w:t>
            </w:r>
            <w:r>
              <w:rPr>
                <w:sz w:val="20"/>
              </w:rPr>
              <w:t>30</w:t>
            </w:r>
            <w:r>
              <w:rPr>
                <w:spacing w:val="-2"/>
                <w:sz w:val="20"/>
              </w:rPr>
              <w:t> мл/мин;</w:t>
            </w:r>
          </w:p>
          <w:p>
            <w:pPr>
              <w:pStyle w:val="TableParagraph"/>
              <w:numPr>
                <w:ilvl w:val="0"/>
                <w:numId w:val="90"/>
              </w:numPr>
              <w:tabs>
                <w:tab w:pos="275" w:val="left" w:leader="none"/>
              </w:tabs>
              <w:spacing w:line="245" w:lineRule="exact" w:before="0" w:after="0"/>
              <w:ind w:left="275" w:right="0" w:hanging="152"/>
              <w:jc w:val="left"/>
              <w:rPr>
                <w:sz w:val="20"/>
              </w:rPr>
            </w:pPr>
            <w:r>
              <w:rPr>
                <w:sz w:val="20"/>
              </w:rPr>
              <w:t>Беременность</w:t>
            </w:r>
            <w:r>
              <w:rPr>
                <w:spacing w:val="-12"/>
                <w:sz w:val="20"/>
              </w:rPr>
              <w:t> </w:t>
            </w:r>
            <w:r>
              <w:rPr>
                <w:sz w:val="20"/>
              </w:rPr>
              <w:t>или</w:t>
            </w:r>
            <w:r>
              <w:rPr>
                <w:spacing w:val="-12"/>
                <w:sz w:val="20"/>
              </w:rPr>
              <w:t> </w:t>
            </w:r>
            <w:r>
              <w:rPr>
                <w:sz w:val="20"/>
              </w:rPr>
              <w:t>планирование</w:t>
            </w:r>
            <w:r>
              <w:rPr>
                <w:spacing w:val="-11"/>
                <w:sz w:val="20"/>
              </w:rPr>
              <w:t> </w:t>
            </w:r>
            <w:r>
              <w:rPr>
                <w:spacing w:val="-2"/>
                <w:sz w:val="20"/>
              </w:rPr>
              <w:t>беременности:</w:t>
            </w:r>
          </w:p>
          <w:p>
            <w:pPr>
              <w:pStyle w:val="TableParagraph"/>
              <w:ind w:left="276"/>
              <w:rPr>
                <w:sz w:val="20"/>
              </w:rPr>
            </w:pPr>
            <w:r>
              <w:rPr>
                <w:sz w:val="20"/>
              </w:rPr>
              <w:t>во время приема препарата и в течение 1 месяца после его окончания для женщин и 3 месяцев для мужчин необходимо использовать</w:t>
            </w:r>
            <w:r>
              <w:rPr>
                <w:spacing w:val="-10"/>
                <w:sz w:val="20"/>
              </w:rPr>
              <w:t> </w:t>
            </w:r>
            <w:r>
              <w:rPr>
                <w:sz w:val="20"/>
              </w:rPr>
              <w:t>наиболее</w:t>
            </w:r>
            <w:r>
              <w:rPr>
                <w:spacing w:val="-10"/>
                <w:sz w:val="20"/>
              </w:rPr>
              <w:t> </w:t>
            </w:r>
            <w:r>
              <w:rPr>
                <w:sz w:val="20"/>
              </w:rPr>
              <w:t>эффективные</w:t>
            </w:r>
            <w:r>
              <w:rPr>
                <w:spacing w:val="-10"/>
                <w:sz w:val="20"/>
              </w:rPr>
              <w:t> </w:t>
            </w:r>
            <w:r>
              <w:rPr>
                <w:sz w:val="20"/>
              </w:rPr>
              <w:t>методы</w:t>
            </w:r>
            <w:r>
              <w:rPr>
                <w:spacing w:val="-11"/>
                <w:sz w:val="20"/>
              </w:rPr>
              <w:t> </w:t>
            </w:r>
            <w:r>
              <w:rPr>
                <w:sz w:val="20"/>
              </w:rPr>
              <w:t>контрацепции</w:t>
            </w:r>
            <w:r>
              <w:rPr>
                <w:spacing w:val="-9"/>
                <w:sz w:val="20"/>
              </w:rPr>
              <w:t> </w:t>
            </w:r>
            <w:r>
              <w:rPr>
                <w:sz w:val="20"/>
              </w:rPr>
              <w:t>при половых контактах, например, презерватив со спермицидом;</w:t>
            </w:r>
          </w:p>
          <w:p>
            <w:pPr>
              <w:pStyle w:val="TableParagraph"/>
              <w:numPr>
                <w:ilvl w:val="0"/>
                <w:numId w:val="90"/>
              </w:numPr>
              <w:tabs>
                <w:tab w:pos="274" w:val="left" w:leader="none"/>
                <w:tab w:pos="276" w:val="left" w:leader="none"/>
              </w:tabs>
              <w:spacing w:line="240" w:lineRule="auto" w:before="0" w:after="0"/>
              <w:ind w:left="276" w:right="251" w:hanging="154"/>
              <w:jc w:val="left"/>
              <w:rPr>
                <w:sz w:val="20"/>
              </w:rPr>
            </w:pPr>
            <w:r>
              <w:rPr>
                <w:sz w:val="20"/>
              </w:rPr>
              <w:t>Период грудного вскармливания. Кормящим женщинам необходимо</w:t>
            </w:r>
            <w:r>
              <w:rPr>
                <w:spacing w:val="-8"/>
                <w:sz w:val="20"/>
              </w:rPr>
              <w:t> </w:t>
            </w:r>
            <w:r>
              <w:rPr>
                <w:sz w:val="20"/>
              </w:rPr>
              <w:t>прекратить</w:t>
            </w:r>
            <w:r>
              <w:rPr>
                <w:spacing w:val="-9"/>
                <w:sz w:val="20"/>
              </w:rPr>
              <w:t> </w:t>
            </w:r>
            <w:r>
              <w:rPr>
                <w:sz w:val="20"/>
              </w:rPr>
              <w:t>грудное</w:t>
            </w:r>
            <w:r>
              <w:rPr>
                <w:spacing w:val="-9"/>
                <w:sz w:val="20"/>
              </w:rPr>
              <w:t> </w:t>
            </w:r>
            <w:r>
              <w:rPr>
                <w:sz w:val="20"/>
              </w:rPr>
              <w:t>вскармливание</w:t>
            </w:r>
            <w:r>
              <w:rPr>
                <w:spacing w:val="-8"/>
                <w:sz w:val="20"/>
              </w:rPr>
              <w:t> </w:t>
            </w:r>
            <w:r>
              <w:rPr>
                <w:sz w:val="20"/>
              </w:rPr>
              <w:t>на</w:t>
            </w:r>
            <w:r>
              <w:rPr>
                <w:spacing w:val="-9"/>
                <w:sz w:val="20"/>
              </w:rPr>
              <w:t> </w:t>
            </w:r>
            <w:r>
              <w:rPr>
                <w:sz w:val="20"/>
              </w:rPr>
              <w:t>время</w:t>
            </w:r>
            <w:r>
              <w:rPr>
                <w:spacing w:val="-10"/>
                <w:sz w:val="20"/>
              </w:rPr>
              <w:t> </w:t>
            </w:r>
            <w:r>
              <w:rPr>
                <w:sz w:val="20"/>
              </w:rPr>
              <w:t>приема препарата и в течение 7 дней после его окончания;</w:t>
            </w:r>
          </w:p>
          <w:p>
            <w:pPr>
              <w:pStyle w:val="TableParagraph"/>
              <w:numPr>
                <w:ilvl w:val="0"/>
                <w:numId w:val="90"/>
              </w:numPr>
              <w:tabs>
                <w:tab w:pos="275" w:val="left" w:leader="none"/>
              </w:tabs>
              <w:spacing w:line="243" w:lineRule="exact" w:before="0" w:after="0"/>
              <w:ind w:left="275" w:right="0" w:hanging="152"/>
              <w:jc w:val="left"/>
              <w:rPr>
                <w:sz w:val="20"/>
              </w:rPr>
            </w:pPr>
            <w:r>
              <w:rPr>
                <w:sz w:val="20"/>
              </w:rPr>
              <w:t>Детский</w:t>
            </w:r>
            <w:r>
              <w:rPr>
                <w:spacing w:val="-5"/>
                <w:sz w:val="20"/>
              </w:rPr>
              <w:t> </w:t>
            </w:r>
            <w:r>
              <w:rPr>
                <w:sz w:val="20"/>
              </w:rPr>
              <w:t>возраст</w:t>
            </w:r>
            <w:r>
              <w:rPr>
                <w:spacing w:val="-5"/>
                <w:sz w:val="20"/>
              </w:rPr>
              <w:t> </w:t>
            </w:r>
            <w:r>
              <w:rPr>
                <w:sz w:val="20"/>
              </w:rPr>
              <w:t>до</w:t>
            </w:r>
            <w:r>
              <w:rPr>
                <w:spacing w:val="-4"/>
                <w:sz w:val="20"/>
              </w:rPr>
              <w:t> </w:t>
            </w:r>
            <w:r>
              <w:rPr>
                <w:sz w:val="20"/>
              </w:rPr>
              <w:t>18</w:t>
            </w:r>
            <w:r>
              <w:rPr>
                <w:spacing w:val="-3"/>
                <w:sz w:val="20"/>
              </w:rPr>
              <w:t> </w:t>
            </w:r>
            <w:r>
              <w:rPr>
                <w:spacing w:val="-4"/>
                <w:sz w:val="20"/>
              </w:rPr>
              <w:t>лет.</w:t>
            </w:r>
          </w:p>
          <w:p>
            <w:pPr>
              <w:pStyle w:val="TableParagraph"/>
              <w:spacing w:before="227"/>
              <w:rPr>
                <w:b/>
                <w:sz w:val="20"/>
              </w:rPr>
            </w:pPr>
          </w:p>
          <w:p>
            <w:pPr>
              <w:pStyle w:val="TableParagraph"/>
              <w:spacing w:before="1"/>
              <w:ind w:left="276"/>
              <w:rPr>
                <w:sz w:val="20"/>
              </w:rPr>
            </w:pPr>
            <w:r>
              <w:rPr>
                <w:sz w:val="20"/>
              </w:rPr>
              <w:t>С</w:t>
            </w:r>
            <w:r>
              <w:rPr>
                <w:spacing w:val="-3"/>
                <w:sz w:val="20"/>
              </w:rPr>
              <w:t> </w:t>
            </w:r>
            <w:r>
              <w:rPr>
                <w:spacing w:val="-2"/>
                <w:sz w:val="20"/>
              </w:rPr>
              <w:t>осторожностью:</w:t>
            </w:r>
          </w:p>
          <w:p>
            <w:pPr>
              <w:pStyle w:val="TableParagraph"/>
              <w:spacing w:line="237" w:lineRule="auto" w:before="2"/>
              <w:ind w:left="276"/>
              <w:rPr>
                <w:sz w:val="20"/>
              </w:rPr>
            </w:pPr>
            <w:r>
              <w:rPr>
                <w:sz w:val="20"/>
              </w:rPr>
              <w:t>У</w:t>
            </w:r>
            <w:r>
              <w:rPr>
                <w:spacing w:val="-6"/>
                <w:sz w:val="20"/>
              </w:rPr>
              <w:t> </w:t>
            </w:r>
            <w:r>
              <w:rPr>
                <w:sz w:val="20"/>
              </w:rPr>
              <w:t>пациентов</w:t>
            </w:r>
            <w:r>
              <w:rPr>
                <w:spacing w:val="-7"/>
                <w:sz w:val="20"/>
              </w:rPr>
              <w:t> </w:t>
            </w:r>
            <w:r>
              <w:rPr>
                <w:sz w:val="20"/>
              </w:rPr>
              <w:t>с</w:t>
            </w:r>
            <w:r>
              <w:rPr>
                <w:spacing w:val="-6"/>
                <w:sz w:val="20"/>
              </w:rPr>
              <w:t> </w:t>
            </w:r>
            <w:r>
              <w:rPr>
                <w:sz w:val="20"/>
              </w:rPr>
              <w:t>подагрой</w:t>
            </w:r>
            <w:r>
              <w:rPr>
                <w:spacing w:val="-5"/>
                <w:sz w:val="20"/>
              </w:rPr>
              <w:t> </w:t>
            </w:r>
            <w:r>
              <w:rPr>
                <w:sz w:val="20"/>
              </w:rPr>
              <w:t>и</w:t>
            </w:r>
            <w:r>
              <w:rPr>
                <w:spacing w:val="-7"/>
                <w:sz w:val="20"/>
              </w:rPr>
              <w:t> </w:t>
            </w:r>
            <w:r>
              <w:rPr>
                <w:sz w:val="20"/>
              </w:rPr>
              <w:t>гиперурикемией</w:t>
            </w:r>
            <w:r>
              <w:rPr>
                <w:spacing w:val="-7"/>
                <w:sz w:val="20"/>
              </w:rPr>
              <w:t> </w:t>
            </w:r>
            <w:r>
              <w:rPr>
                <w:sz w:val="20"/>
              </w:rPr>
              <w:t>в</w:t>
            </w:r>
            <w:r>
              <w:rPr>
                <w:spacing w:val="-7"/>
                <w:sz w:val="20"/>
              </w:rPr>
              <w:t> </w:t>
            </w:r>
            <w:r>
              <w:rPr>
                <w:sz w:val="20"/>
              </w:rPr>
              <w:t>анамнезе,</w:t>
            </w:r>
            <w:r>
              <w:rPr>
                <w:spacing w:val="-6"/>
                <w:sz w:val="20"/>
              </w:rPr>
              <w:t> </w:t>
            </w:r>
            <w:r>
              <w:rPr>
                <w:sz w:val="20"/>
              </w:rPr>
              <w:t>у</w:t>
            </w:r>
            <w:r>
              <w:rPr>
                <w:spacing w:val="-5"/>
                <w:sz w:val="20"/>
              </w:rPr>
              <w:t> </w:t>
            </w:r>
            <w:r>
              <w:rPr>
                <w:sz w:val="20"/>
              </w:rPr>
              <w:t>пожилых пациентов, пациентов с печеночной недостаточностью легкой</w:t>
            </w:r>
          </w:p>
          <w:p>
            <w:pPr>
              <w:pStyle w:val="TableParagraph"/>
              <w:ind w:left="276" w:right="1531"/>
              <w:rPr>
                <w:sz w:val="20"/>
              </w:rPr>
            </w:pPr>
            <w:r>
              <w:rPr>
                <w:sz w:val="20"/>
              </w:rPr>
              <w:t>и</w:t>
            </w:r>
            <w:r>
              <w:rPr>
                <w:spacing w:val="-9"/>
                <w:sz w:val="20"/>
              </w:rPr>
              <w:t> </w:t>
            </w:r>
            <w:r>
              <w:rPr>
                <w:sz w:val="20"/>
              </w:rPr>
              <w:t>средней</w:t>
            </w:r>
            <w:r>
              <w:rPr>
                <w:spacing w:val="-9"/>
                <w:sz w:val="20"/>
              </w:rPr>
              <w:t> </w:t>
            </w:r>
            <w:r>
              <w:rPr>
                <w:sz w:val="20"/>
              </w:rPr>
              <w:t>степени</w:t>
            </w:r>
            <w:r>
              <w:rPr>
                <w:spacing w:val="-9"/>
                <w:sz w:val="20"/>
              </w:rPr>
              <w:t> </w:t>
            </w:r>
            <w:r>
              <w:rPr>
                <w:sz w:val="20"/>
              </w:rPr>
              <w:t>тяжести,</w:t>
            </w:r>
            <w:r>
              <w:rPr>
                <w:spacing w:val="-6"/>
                <w:sz w:val="20"/>
              </w:rPr>
              <w:t> </w:t>
            </w:r>
            <w:r>
              <w:rPr>
                <w:sz w:val="20"/>
              </w:rPr>
              <w:t>пациентов</w:t>
            </w:r>
            <w:r>
              <w:rPr>
                <w:spacing w:val="-9"/>
                <w:sz w:val="20"/>
              </w:rPr>
              <w:t> </w:t>
            </w:r>
            <w:r>
              <w:rPr>
                <w:sz w:val="20"/>
              </w:rPr>
              <w:t>с</w:t>
            </w:r>
            <w:r>
              <w:rPr>
                <w:spacing w:val="-8"/>
                <w:sz w:val="20"/>
              </w:rPr>
              <w:t> </w:t>
            </w:r>
            <w:r>
              <w:rPr>
                <w:sz w:val="20"/>
              </w:rPr>
              <w:t>почечной недостаточностью средней степени тяжести</w:t>
            </w:r>
            <w:r>
              <w:rPr>
                <w:spacing w:val="40"/>
                <w:sz w:val="20"/>
              </w:rPr>
              <w:t> </w:t>
            </w:r>
            <w:r>
              <w:rPr>
                <w:sz w:val="20"/>
              </w:rPr>
              <w:t>(СКФ &lt; 60 мл/мин и ≥ 30 мл/мин).</w:t>
            </w:r>
          </w:p>
          <w:p>
            <w:pPr>
              <w:pStyle w:val="TableParagraph"/>
              <w:spacing w:before="2"/>
              <w:ind w:left="276" w:right="1270"/>
              <w:rPr>
                <w:sz w:val="20"/>
              </w:rPr>
            </w:pPr>
            <w:r>
              <w:rPr>
                <w:sz w:val="20"/>
              </w:rPr>
              <w:t>Может</w:t>
            </w:r>
            <w:r>
              <w:rPr>
                <w:spacing w:val="-10"/>
                <w:sz w:val="20"/>
              </w:rPr>
              <w:t> </w:t>
            </w:r>
            <w:r>
              <w:rPr>
                <w:sz w:val="20"/>
              </w:rPr>
              <w:t>применяться</w:t>
            </w:r>
            <w:r>
              <w:rPr>
                <w:spacing w:val="-10"/>
                <w:sz w:val="20"/>
              </w:rPr>
              <w:t> </w:t>
            </w:r>
            <w:r>
              <w:rPr>
                <w:sz w:val="20"/>
              </w:rPr>
              <w:t>как</w:t>
            </w:r>
            <w:r>
              <w:rPr>
                <w:spacing w:val="-10"/>
                <w:sz w:val="20"/>
              </w:rPr>
              <w:t> </w:t>
            </w:r>
            <w:r>
              <w:rPr>
                <w:sz w:val="20"/>
              </w:rPr>
              <w:t>в</w:t>
            </w:r>
            <w:r>
              <w:rPr>
                <w:spacing w:val="-10"/>
                <w:sz w:val="20"/>
              </w:rPr>
              <w:t> </w:t>
            </w:r>
            <w:r>
              <w:rPr>
                <w:sz w:val="20"/>
              </w:rPr>
              <w:t>амбулаторной</w:t>
            </w:r>
            <w:r>
              <w:rPr>
                <w:spacing w:val="-10"/>
                <w:sz w:val="20"/>
              </w:rPr>
              <w:t> </w:t>
            </w:r>
            <w:r>
              <w:rPr>
                <w:sz w:val="20"/>
              </w:rPr>
              <w:t>практике, так и в стационаре.</w:t>
            </w:r>
          </w:p>
        </w:tc>
      </w:tr>
      <w:tr>
        <w:trPr>
          <w:trHeight w:val="929" w:hRule="atLeast"/>
        </w:trPr>
        <w:tc>
          <w:tcPr>
            <w:tcW w:w="1976" w:type="dxa"/>
          </w:tcPr>
          <w:p>
            <w:pPr>
              <w:pStyle w:val="TableParagraph"/>
              <w:spacing w:before="13"/>
              <w:ind w:left="109"/>
              <w:rPr>
                <w:b/>
                <w:sz w:val="20"/>
              </w:rPr>
            </w:pPr>
            <w:r>
              <w:rPr>
                <w:b/>
                <w:spacing w:val="-2"/>
                <w:sz w:val="20"/>
              </w:rPr>
              <w:t>Фавипиравир+цин </w:t>
            </w:r>
            <w:r>
              <w:rPr>
                <w:b/>
                <w:sz w:val="20"/>
              </w:rPr>
              <w:t>ка глюконат</w:t>
            </w:r>
          </w:p>
        </w:tc>
        <w:tc>
          <w:tcPr>
            <w:tcW w:w="2552" w:type="dxa"/>
          </w:tcPr>
          <w:p>
            <w:pPr>
              <w:pStyle w:val="TableParagraph"/>
              <w:spacing w:before="13"/>
              <w:ind w:left="162"/>
              <w:rPr>
                <w:sz w:val="20"/>
              </w:rPr>
            </w:pPr>
            <w:r>
              <w:rPr>
                <w:sz w:val="20"/>
              </w:rPr>
              <w:t>Ингибирует РНК- зависимую РНК-</w:t>
            </w:r>
          </w:p>
          <w:p>
            <w:pPr>
              <w:pStyle w:val="TableParagraph"/>
              <w:spacing w:line="228" w:lineRule="exact"/>
              <w:ind w:left="162" w:right="138"/>
              <w:rPr>
                <w:sz w:val="20"/>
              </w:rPr>
            </w:pPr>
            <w:r>
              <w:rPr>
                <w:sz w:val="20"/>
              </w:rPr>
              <w:t>полимеразу</w:t>
            </w:r>
            <w:r>
              <w:rPr>
                <w:spacing w:val="-13"/>
                <w:sz w:val="20"/>
              </w:rPr>
              <w:t> </w:t>
            </w:r>
            <w:r>
              <w:rPr>
                <w:sz w:val="20"/>
              </w:rPr>
              <w:t>вируса</w:t>
            </w:r>
            <w:r>
              <w:rPr>
                <w:spacing w:val="-12"/>
                <w:sz w:val="20"/>
              </w:rPr>
              <w:t> </w:t>
            </w:r>
            <w:r>
              <w:rPr>
                <w:sz w:val="20"/>
              </w:rPr>
              <w:t>SARS- CoV-2. Повышенная</w:t>
            </w:r>
          </w:p>
        </w:tc>
        <w:tc>
          <w:tcPr>
            <w:tcW w:w="1277" w:type="dxa"/>
          </w:tcPr>
          <w:p>
            <w:pPr>
              <w:pStyle w:val="TableParagraph"/>
              <w:spacing w:before="13"/>
              <w:ind w:left="109"/>
              <w:rPr>
                <w:sz w:val="20"/>
              </w:rPr>
            </w:pPr>
            <w:r>
              <w:rPr>
                <w:spacing w:val="-2"/>
                <w:sz w:val="20"/>
              </w:rPr>
              <w:t>Таблетки</w:t>
            </w:r>
          </w:p>
        </w:tc>
        <w:tc>
          <w:tcPr>
            <w:tcW w:w="2977" w:type="dxa"/>
          </w:tcPr>
          <w:p>
            <w:pPr>
              <w:pStyle w:val="TableParagraph"/>
              <w:spacing w:before="13"/>
              <w:ind w:left="155"/>
              <w:rPr>
                <w:sz w:val="20"/>
              </w:rPr>
            </w:pPr>
            <w:r>
              <w:rPr>
                <w:spacing w:val="-2"/>
                <w:sz w:val="20"/>
              </w:rPr>
              <w:t>Таблетки:</w:t>
            </w:r>
          </w:p>
          <w:p>
            <w:pPr>
              <w:pStyle w:val="TableParagraph"/>
              <w:ind w:left="155"/>
              <w:rPr>
                <w:sz w:val="20"/>
              </w:rPr>
            </w:pPr>
            <w:r>
              <w:rPr>
                <w:sz w:val="20"/>
              </w:rPr>
              <w:t>для</w:t>
            </w:r>
            <w:r>
              <w:rPr>
                <w:spacing w:val="-4"/>
                <w:sz w:val="20"/>
              </w:rPr>
              <w:t> </w:t>
            </w:r>
            <w:r>
              <w:rPr>
                <w:sz w:val="20"/>
              </w:rPr>
              <w:t>пациентов</w:t>
            </w:r>
            <w:r>
              <w:rPr>
                <w:spacing w:val="-7"/>
                <w:sz w:val="20"/>
              </w:rPr>
              <w:t> </w:t>
            </w:r>
            <w:r>
              <w:rPr>
                <w:sz w:val="20"/>
              </w:rPr>
              <w:t>с</w:t>
            </w:r>
            <w:r>
              <w:rPr>
                <w:spacing w:val="-4"/>
                <w:sz w:val="20"/>
              </w:rPr>
              <w:t> </w:t>
            </w:r>
            <w:r>
              <w:rPr>
                <w:sz w:val="20"/>
              </w:rPr>
              <w:t>массой</w:t>
            </w:r>
            <w:r>
              <w:rPr>
                <w:spacing w:val="-6"/>
                <w:sz w:val="20"/>
              </w:rPr>
              <w:t> </w:t>
            </w:r>
            <w:r>
              <w:rPr>
                <w:spacing w:val="-4"/>
                <w:sz w:val="20"/>
              </w:rPr>
              <w:t>тела</w:t>
            </w:r>
          </w:p>
          <w:p>
            <w:pPr>
              <w:pStyle w:val="TableParagraph"/>
              <w:spacing w:before="1"/>
              <w:ind w:left="155"/>
              <w:rPr>
                <w:sz w:val="20"/>
              </w:rPr>
            </w:pPr>
            <w:r>
              <w:rPr>
                <w:sz w:val="20"/>
              </w:rPr>
              <w:t>˂75</w:t>
            </w:r>
            <w:r>
              <w:rPr>
                <w:spacing w:val="-2"/>
                <w:sz w:val="20"/>
              </w:rPr>
              <w:t> </w:t>
            </w:r>
            <w:r>
              <w:rPr>
                <w:sz w:val="20"/>
              </w:rPr>
              <w:t>кг:</w:t>
            </w:r>
            <w:r>
              <w:rPr>
                <w:spacing w:val="-3"/>
                <w:sz w:val="20"/>
              </w:rPr>
              <w:t> </w:t>
            </w:r>
            <w:r>
              <w:rPr>
                <w:sz w:val="20"/>
              </w:rPr>
              <w:t>по</w:t>
            </w:r>
            <w:r>
              <w:rPr>
                <w:spacing w:val="-2"/>
                <w:sz w:val="20"/>
              </w:rPr>
              <w:t> </w:t>
            </w:r>
            <w:r>
              <w:rPr>
                <w:sz w:val="20"/>
              </w:rPr>
              <w:t>1600</w:t>
            </w:r>
            <w:r>
              <w:rPr>
                <w:spacing w:val="-4"/>
                <w:sz w:val="20"/>
              </w:rPr>
              <w:t> </w:t>
            </w:r>
            <w:r>
              <w:rPr>
                <w:spacing w:val="-5"/>
                <w:sz w:val="20"/>
              </w:rPr>
              <w:t>мг</w:t>
            </w:r>
          </w:p>
        </w:tc>
        <w:tc>
          <w:tcPr>
            <w:tcW w:w="6098" w:type="dxa"/>
          </w:tcPr>
          <w:p>
            <w:pPr>
              <w:pStyle w:val="TableParagraph"/>
              <w:numPr>
                <w:ilvl w:val="0"/>
                <w:numId w:val="91"/>
              </w:numPr>
              <w:tabs>
                <w:tab w:pos="275" w:val="left" w:leader="none"/>
              </w:tabs>
              <w:spacing w:line="245" w:lineRule="exact" w:before="13" w:after="0"/>
              <w:ind w:left="275" w:right="0" w:hanging="152"/>
              <w:jc w:val="left"/>
              <w:rPr>
                <w:sz w:val="20"/>
              </w:rPr>
            </w:pPr>
            <w:r>
              <w:rPr>
                <w:sz w:val="20"/>
              </w:rPr>
              <w:t>Повышенная</w:t>
            </w:r>
            <w:r>
              <w:rPr>
                <w:spacing w:val="-11"/>
                <w:sz w:val="20"/>
              </w:rPr>
              <w:t> </w:t>
            </w:r>
            <w:r>
              <w:rPr>
                <w:sz w:val="20"/>
              </w:rPr>
              <w:t>чувствительность</w:t>
            </w:r>
            <w:r>
              <w:rPr>
                <w:spacing w:val="-9"/>
                <w:sz w:val="20"/>
              </w:rPr>
              <w:t> </w:t>
            </w:r>
            <w:r>
              <w:rPr>
                <w:sz w:val="20"/>
              </w:rPr>
              <w:t>к</w:t>
            </w:r>
            <w:r>
              <w:rPr>
                <w:spacing w:val="-11"/>
                <w:sz w:val="20"/>
              </w:rPr>
              <w:t> </w:t>
            </w:r>
            <w:r>
              <w:rPr>
                <w:spacing w:val="-2"/>
                <w:sz w:val="20"/>
              </w:rPr>
              <w:t>фавипиравиру;</w:t>
            </w:r>
          </w:p>
          <w:p>
            <w:pPr>
              <w:pStyle w:val="TableParagraph"/>
              <w:numPr>
                <w:ilvl w:val="0"/>
                <w:numId w:val="91"/>
              </w:numPr>
              <w:tabs>
                <w:tab w:pos="275" w:val="left" w:leader="none"/>
              </w:tabs>
              <w:spacing w:line="243" w:lineRule="exact" w:before="0" w:after="0"/>
              <w:ind w:left="275" w:right="0" w:hanging="152"/>
              <w:jc w:val="left"/>
              <w:rPr>
                <w:sz w:val="20"/>
              </w:rPr>
            </w:pPr>
            <w:r>
              <w:rPr>
                <w:sz w:val="20"/>
              </w:rPr>
              <w:t>Тяжелая</w:t>
            </w:r>
            <w:r>
              <w:rPr>
                <w:spacing w:val="-11"/>
                <w:sz w:val="20"/>
              </w:rPr>
              <w:t> </w:t>
            </w:r>
            <w:r>
              <w:rPr>
                <w:sz w:val="20"/>
              </w:rPr>
              <w:t>печеночная</w:t>
            </w:r>
            <w:r>
              <w:rPr>
                <w:spacing w:val="-9"/>
                <w:sz w:val="20"/>
              </w:rPr>
              <w:t> </w:t>
            </w:r>
            <w:r>
              <w:rPr>
                <w:spacing w:val="-2"/>
                <w:sz w:val="20"/>
              </w:rPr>
              <w:t>недостаточность;</w:t>
            </w:r>
          </w:p>
          <w:p>
            <w:pPr>
              <w:pStyle w:val="TableParagraph"/>
              <w:numPr>
                <w:ilvl w:val="0"/>
                <w:numId w:val="91"/>
              </w:numPr>
              <w:tabs>
                <w:tab w:pos="275" w:val="left" w:leader="none"/>
              </w:tabs>
              <w:spacing w:line="244" w:lineRule="exact" w:before="0" w:after="0"/>
              <w:ind w:left="275" w:right="0" w:hanging="152"/>
              <w:jc w:val="left"/>
              <w:rPr>
                <w:sz w:val="20"/>
              </w:rPr>
            </w:pPr>
            <w:r>
              <w:rPr>
                <w:sz w:val="20"/>
              </w:rPr>
              <w:t>СКФ</w:t>
            </w:r>
            <w:r>
              <w:rPr>
                <w:spacing w:val="-3"/>
                <w:sz w:val="20"/>
              </w:rPr>
              <w:t> </w:t>
            </w:r>
            <w:r>
              <w:rPr>
                <w:sz w:val="20"/>
              </w:rPr>
              <w:t>&lt;</w:t>
            </w:r>
            <w:r>
              <w:rPr>
                <w:spacing w:val="-3"/>
                <w:sz w:val="20"/>
              </w:rPr>
              <w:t> </w:t>
            </w:r>
            <w:r>
              <w:rPr>
                <w:sz w:val="20"/>
              </w:rPr>
              <w:t>30</w:t>
            </w:r>
            <w:r>
              <w:rPr>
                <w:spacing w:val="-2"/>
                <w:sz w:val="20"/>
              </w:rPr>
              <w:t> мл/мин;</w:t>
            </w:r>
          </w:p>
        </w:tc>
      </w:tr>
    </w:tbl>
    <w:p>
      <w:pPr>
        <w:spacing w:before="43"/>
        <w:ind w:left="0" w:right="15" w:firstLine="0"/>
        <w:jc w:val="center"/>
        <w:rPr>
          <w:rFonts w:ascii="Calibri"/>
          <w:sz w:val="22"/>
        </w:rPr>
      </w:pPr>
      <w:r>
        <w:rPr>
          <w:rFonts w:ascii="Calibri"/>
          <w:spacing w:val="-5"/>
          <w:sz w:val="22"/>
        </w:rPr>
        <w:t>190</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76"/>
        <w:gridCol w:w="2552"/>
        <w:gridCol w:w="1277"/>
        <w:gridCol w:w="2977"/>
        <w:gridCol w:w="6098"/>
      </w:tblGrid>
      <w:tr>
        <w:trPr>
          <w:trHeight w:val="4255" w:hRule="atLeast"/>
        </w:trPr>
        <w:tc>
          <w:tcPr>
            <w:tcW w:w="1976" w:type="dxa"/>
          </w:tcPr>
          <w:p>
            <w:pPr>
              <w:pStyle w:val="TableParagraph"/>
              <w:rPr>
                <w:sz w:val="18"/>
              </w:rPr>
            </w:pPr>
          </w:p>
        </w:tc>
        <w:tc>
          <w:tcPr>
            <w:tcW w:w="2552" w:type="dxa"/>
          </w:tcPr>
          <w:p>
            <w:pPr>
              <w:pStyle w:val="TableParagraph"/>
              <w:spacing w:before="24"/>
              <w:ind w:left="162" w:right="138"/>
              <w:rPr>
                <w:sz w:val="20"/>
              </w:rPr>
            </w:pPr>
            <w:bookmarkStart w:name="192" w:id="228"/>
            <w:bookmarkEnd w:id="228"/>
            <w:r>
              <w:rPr/>
            </w:r>
            <w:r>
              <w:rPr>
                <w:spacing w:val="-2"/>
                <w:sz w:val="20"/>
              </w:rPr>
              <w:t>внутриклеточная </w:t>
            </w:r>
            <w:r>
              <w:rPr>
                <w:sz w:val="20"/>
              </w:rPr>
              <w:t>концентрация</w:t>
            </w:r>
            <w:r>
              <w:rPr>
                <w:spacing w:val="-13"/>
                <w:sz w:val="20"/>
              </w:rPr>
              <w:t> </w:t>
            </w:r>
            <w:r>
              <w:rPr>
                <w:sz w:val="20"/>
              </w:rPr>
              <w:t>ионов</w:t>
            </w:r>
            <w:r>
              <w:rPr>
                <w:spacing w:val="-12"/>
                <w:sz w:val="20"/>
              </w:rPr>
              <w:t> </w:t>
            </w:r>
            <w:r>
              <w:rPr>
                <w:sz w:val="20"/>
              </w:rPr>
              <w:t>Zn2+ и цинкзависимый белок ZFP36 подавляет синтез фактора некроза опухоли альфа (ФНО-α)</w:t>
            </w:r>
          </w:p>
          <w:p>
            <w:pPr>
              <w:pStyle w:val="TableParagraph"/>
              <w:ind w:left="162"/>
              <w:rPr>
                <w:sz w:val="20"/>
              </w:rPr>
            </w:pPr>
            <w:r>
              <w:rPr>
                <w:sz w:val="20"/>
              </w:rPr>
              <w:t>в интерферон- </w:t>
            </w:r>
            <w:r>
              <w:rPr>
                <w:spacing w:val="-2"/>
                <w:sz w:val="20"/>
              </w:rPr>
              <w:t>индуцированных макрофагах</w:t>
            </w:r>
          </w:p>
        </w:tc>
        <w:tc>
          <w:tcPr>
            <w:tcW w:w="1277" w:type="dxa"/>
          </w:tcPr>
          <w:p>
            <w:pPr>
              <w:pStyle w:val="TableParagraph"/>
              <w:rPr>
                <w:sz w:val="18"/>
              </w:rPr>
            </w:pPr>
          </w:p>
        </w:tc>
        <w:tc>
          <w:tcPr>
            <w:tcW w:w="2977" w:type="dxa"/>
          </w:tcPr>
          <w:p>
            <w:pPr>
              <w:pStyle w:val="TableParagraph"/>
              <w:spacing w:before="24"/>
              <w:ind w:left="155"/>
              <w:rPr>
                <w:sz w:val="20"/>
              </w:rPr>
            </w:pPr>
            <w:r>
              <w:rPr>
                <w:sz w:val="20"/>
              </w:rPr>
              <w:t>2</w:t>
            </w:r>
            <w:r>
              <w:rPr>
                <w:spacing w:val="-2"/>
                <w:sz w:val="20"/>
              </w:rPr>
              <w:t> </w:t>
            </w:r>
            <w:r>
              <w:rPr>
                <w:sz w:val="20"/>
              </w:rPr>
              <w:t>р/сут</w:t>
            </w:r>
            <w:r>
              <w:rPr>
                <w:spacing w:val="-3"/>
                <w:sz w:val="20"/>
              </w:rPr>
              <w:t> </w:t>
            </w:r>
            <w:r>
              <w:rPr>
                <w:sz w:val="20"/>
              </w:rPr>
              <w:t>в</w:t>
            </w:r>
            <w:r>
              <w:rPr>
                <w:spacing w:val="-3"/>
                <w:sz w:val="20"/>
              </w:rPr>
              <w:t> </w:t>
            </w:r>
            <w:r>
              <w:rPr>
                <w:sz w:val="20"/>
              </w:rPr>
              <w:t>1-й</w:t>
            </w:r>
            <w:r>
              <w:rPr>
                <w:spacing w:val="-4"/>
                <w:sz w:val="20"/>
              </w:rPr>
              <w:t> </w:t>
            </w:r>
            <w:r>
              <w:rPr>
                <w:sz w:val="20"/>
              </w:rPr>
              <w:t>день</w:t>
            </w:r>
            <w:r>
              <w:rPr>
                <w:spacing w:val="-2"/>
                <w:sz w:val="20"/>
              </w:rPr>
              <w:t> </w:t>
            </w:r>
            <w:r>
              <w:rPr>
                <w:sz w:val="20"/>
              </w:rPr>
              <w:t>и</w:t>
            </w:r>
            <w:r>
              <w:rPr>
                <w:spacing w:val="-3"/>
                <w:sz w:val="20"/>
              </w:rPr>
              <w:t> </w:t>
            </w:r>
            <w:r>
              <w:rPr>
                <w:spacing w:val="-4"/>
                <w:sz w:val="20"/>
              </w:rPr>
              <w:t>далее</w:t>
            </w:r>
          </w:p>
          <w:p>
            <w:pPr>
              <w:pStyle w:val="TableParagraph"/>
              <w:ind w:left="155" w:right="236"/>
              <w:rPr>
                <w:sz w:val="20"/>
              </w:rPr>
            </w:pPr>
            <w:r>
              <w:rPr>
                <w:sz w:val="20"/>
              </w:rPr>
              <w:t>по</w:t>
            </w:r>
            <w:r>
              <w:rPr>
                <w:spacing w:val="-5"/>
                <w:sz w:val="20"/>
              </w:rPr>
              <w:t> </w:t>
            </w:r>
            <w:r>
              <w:rPr>
                <w:sz w:val="20"/>
              </w:rPr>
              <w:t>600</w:t>
            </w:r>
            <w:r>
              <w:rPr>
                <w:spacing w:val="-5"/>
                <w:sz w:val="20"/>
              </w:rPr>
              <w:t> </w:t>
            </w:r>
            <w:r>
              <w:rPr>
                <w:sz w:val="20"/>
              </w:rPr>
              <w:t>мг</w:t>
            </w:r>
            <w:r>
              <w:rPr>
                <w:spacing w:val="-9"/>
                <w:sz w:val="20"/>
              </w:rPr>
              <w:t> </w:t>
            </w:r>
            <w:r>
              <w:rPr>
                <w:sz w:val="20"/>
              </w:rPr>
              <w:t>2</w:t>
            </w:r>
            <w:r>
              <w:rPr>
                <w:spacing w:val="-5"/>
                <w:sz w:val="20"/>
              </w:rPr>
              <w:t> </w:t>
            </w:r>
            <w:r>
              <w:rPr>
                <w:sz w:val="20"/>
              </w:rPr>
              <w:t>р/сут</w:t>
            </w:r>
            <w:r>
              <w:rPr>
                <w:spacing w:val="-7"/>
                <w:sz w:val="20"/>
              </w:rPr>
              <w:t> </w:t>
            </w:r>
            <w:r>
              <w:rPr>
                <w:sz w:val="20"/>
              </w:rPr>
              <w:t>в</w:t>
            </w:r>
            <w:r>
              <w:rPr>
                <w:spacing w:val="-7"/>
                <w:sz w:val="20"/>
              </w:rPr>
              <w:t> </w:t>
            </w:r>
            <w:r>
              <w:rPr>
                <w:sz w:val="20"/>
              </w:rPr>
              <w:t>2-5-й</w:t>
            </w:r>
            <w:r>
              <w:rPr>
                <w:spacing w:val="-7"/>
                <w:sz w:val="20"/>
              </w:rPr>
              <w:t> </w:t>
            </w:r>
            <w:r>
              <w:rPr>
                <w:sz w:val="20"/>
              </w:rPr>
              <w:t>день; с массой тела 75 кг и более: по 1800 мг 2 раза/сут в 1-й день, далее по 800 мг 2 раза / </w:t>
            </w:r>
            <w:r>
              <w:rPr>
                <w:spacing w:val="-4"/>
                <w:sz w:val="20"/>
              </w:rPr>
              <w:t>сут</w:t>
            </w:r>
          </w:p>
          <w:p>
            <w:pPr>
              <w:pStyle w:val="TableParagraph"/>
              <w:spacing w:line="229" w:lineRule="exact"/>
              <w:ind w:left="155"/>
              <w:rPr>
                <w:sz w:val="20"/>
              </w:rPr>
            </w:pPr>
            <w:r>
              <w:rPr>
                <w:sz w:val="20"/>
              </w:rPr>
              <w:t>со</w:t>
            </w:r>
            <w:r>
              <w:rPr>
                <w:spacing w:val="-2"/>
                <w:sz w:val="20"/>
              </w:rPr>
              <w:t> </w:t>
            </w:r>
            <w:r>
              <w:rPr>
                <w:sz w:val="20"/>
              </w:rPr>
              <w:t>2</w:t>
            </w:r>
            <w:r>
              <w:rPr>
                <w:spacing w:val="-1"/>
                <w:sz w:val="20"/>
              </w:rPr>
              <w:t> </w:t>
            </w:r>
            <w:r>
              <w:rPr>
                <w:sz w:val="20"/>
              </w:rPr>
              <w:t>по 5-й</w:t>
            </w:r>
            <w:r>
              <w:rPr>
                <w:spacing w:val="-3"/>
                <w:sz w:val="20"/>
              </w:rPr>
              <w:t> </w:t>
            </w:r>
            <w:r>
              <w:rPr>
                <w:spacing w:val="-2"/>
                <w:sz w:val="20"/>
              </w:rPr>
              <w:t>день.</w:t>
            </w:r>
          </w:p>
          <w:p>
            <w:pPr>
              <w:pStyle w:val="TableParagraph"/>
              <w:ind w:left="155" w:right="195"/>
              <w:rPr>
                <w:sz w:val="20"/>
              </w:rPr>
            </w:pPr>
            <w:r>
              <w:rPr>
                <w:sz w:val="20"/>
              </w:rPr>
              <w:t>Лечение препаратом следует начинать сразу после </w:t>
            </w:r>
            <w:r>
              <w:rPr>
                <w:spacing w:val="-2"/>
                <w:sz w:val="20"/>
              </w:rPr>
              <w:t>лабораторного </w:t>
            </w:r>
            <w:r>
              <w:rPr>
                <w:spacing w:val="-2"/>
                <w:sz w:val="20"/>
              </w:rPr>
              <w:t>подтверждения </w:t>
            </w:r>
            <w:r>
              <w:rPr>
                <w:sz w:val="20"/>
              </w:rPr>
              <w:t>диагноза и/или при наличии характерной клинической симптоматики новой коронавирусной инфекции (COVID-19). Общая</w:t>
            </w:r>
          </w:p>
          <w:p>
            <w:pPr>
              <w:pStyle w:val="TableParagraph"/>
              <w:ind w:left="155"/>
              <w:rPr>
                <w:sz w:val="20"/>
              </w:rPr>
            </w:pPr>
            <w:r>
              <w:rPr>
                <w:sz w:val="20"/>
              </w:rPr>
              <w:t>продолжительность курса лечения</w:t>
            </w:r>
            <w:r>
              <w:rPr>
                <w:spacing w:val="-13"/>
                <w:sz w:val="20"/>
              </w:rPr>
              <w:t> </w:t>
            </w:r>
            <w:r>
              <w:rPr>
                <w:sz w:val="20"/>
              </w:rPr>
              <w:t>составляет</w:t>
            </w:r>
            <w:r>
              <w:rPr>
                <w:spacing w:val="-12"/>
                <w:sz w:val="20"/>
              </w:rPr>
              <w:t> </w:t>
            </w:r>
            <w:r>
              <w:rPr>
                <w:sz w:val="20"/>
              </w:rPr>
              <w:t>5</w:t>
            </w:r>
            <w:r>
              <w:rPr>
                <w:spacing w:val="-13"/>
                <w:sz w:val="20"/>
              </w:rPr>
              <w:t> </w:t>
            </w:r>
            <w:r>
              <w:rPr>
                <w:sz w:val="20"/>
              </w:rPr>
              <w:t>дней.</w:t>
            </w:r>
          </w:p>
        </w:tc>
        <w:tc>
          <w:tcPr>
            <w:tcW w:w="6098" w:type="dxa"/>
          </w:tcPr>
          <w:p>
            <w:pPr>
              <w:pStyle w:val="TableParagraph"/>
              <w:numPr>
                <w:ilvl w:val="0"/>
                <w:numId w:val="92"/>
              </w:numPr>
              <w:tabs>
                <w:tab w:pos="275" w:val="left" w:leader="none"/>
              </w:tabs>
              <w:spacing w:line="245" w:lineRule="exact" w:before="24" w:after="0"/>
              <w:ind w:left="275" w:right="0" w:hanging="152"/>
              <w:jc w:val="left"/>
              <w:rPr>
                <w:sz w:val="20"/>
              </w:rPr>
            </w:pPr>
            <w:r>
              <w:rPr>
                <w:sz w:val="20"/>
              </w:rPr>
              <w:t>Беременность</w:t>
            </w:r>
            <w:r>
              <w:rPr>
                <w:spacing w:val="-12"/>
                <w:sz w:val="20"/>
              </w:rPr>
              <w:t> </w:t>
            </w:r>
            <w:r>
              <w:rPr>
                <w:sz w:val="20"/>
              </w:rPr>
              <w:t>или</w:t>
            </w:r>
            <w:r>
              <w:rPr>
                <w:spacing w:val="-12"/>
                <w:sz w:val="20"/>
              </w:rPr>
              <w:t> </w:t>
            </w:r>
            <w:r>
              <w:rPr>
                <w:sz w:val="20"/>
              </w:rPr>
              <w:t>планирование</w:t>
            </w:r>
            <w:r>
              <w:rPr>
                <w:spacing w:val="-11"/>
                <w:sz w:val="20"/>
              </w:rPr>
              <w:t> </w:t>
            </w:r>
            <w:r>
              <w:rPr>
                <w:spacing w:val="-2"/>
                <w:sz w:val="20"/>
              </w:rPr>
              <w:t>беременности:</w:t>
            </w:r>
          </w:p>
          <w:p>
            <w:pPr>
              <w:pStyle w:val="TableParagraph"/>
              <w:numPr>
                <w:ilvl w:val="0"/>
                <w:numId w:val="92"/>
              </w:numPr>
              <w:tabs>
                <w:tab w:pos="276" w:val="left" w:leader="none"/>
                <w:tab w:pos="325" w:val="left" w:leader="none"/>
              </w:tabs>
              <w:spacing w:line="240" w:lineRule="auto" w:before="0" w:after="0"/>
              <w:ind w:left="276" w:right="346" w:hanging="154"/>
              <w:jc w:val="left"/>
              <w:rPr>
                <w:sz w:val="20"/>
              </w:rPr>
            </w:pPr>
            <w:r>
              <w:rPr>
                <w:sz w:val="20"/>
              </w:rPr>
              <w:t>во</w:t>
            </w:r>
            <w:r>
              <w:rPr>
                <w:spacing w:val="40"/>
                <w:sz w:val="20"/>
              </w:rPr>
              <w:t> </w:t>
            </w:r>
            <w:r>
              <w:rPr>
                <w:sz w:val="20"/>
              </w:rPr>
              <w:t>время приема препарата и в течение 1 месяца после его окончания для женщин и 3 месяцев для мужчин необходимо использовать</w:t>
            </w:r>
            <w:r>
              <w:rPr>
                <w:spacing w:val="-10"/>
                <w:sz w:val="20"/>
              </w:rPr>
              <w:t> </w:t>
            </w:r>
            <w:r>
              <w:rPr>
                <w:sz w:val="20"/>
              </w:rPr>
              <w:t>наиболее</w:t>
            </w:r>
            <w:r>
              <w:rPr>
                <w:spacing w:val="-10"/>
                <w:sz w:val="20"/>
              </w:rPr>
              <w:t> </w:t>
            </w:r>
            <w:r>
              <w:rPr>
                <w:sz w:val="20"/>
              </w:rPr>
              <w:t>эффективные</w:t>
            </w:r>
            <w:r>
              <w:rPr>
                <w:spacing w:val="-10"/>
                <w:sz w:val="20"/>
              </w:rPr>
              <w:t> </w:t>
            </w:r>
            <w:r>
              <w:rPr>
                <w:sz w:val="20"/>
              </w:rPr>
              <w:t>методы</w:t>
            </w:r>
            <w:r>
              <w:rPr>
                <w:spacing w:val="-11"/>
                <w:sz w:val="20"/>
              </w:rPr>
              <w:t> </w:t>
            </w:r>
            <w:r>
              <w:rPr>
                <w:sz w:val="20"/>
              </w:rPr>
              <w:t>контрацепции</w:t>
            </w:r>
            <w:r>
              <w:rPr>
                <w:spacing w:val="-9"/>
                <w:sz w:val="20"/>
              </w:rPr>
              <w:t> </w:t>
            </w:r>
            <w:r>
              <w:rPr>
                <w:sz w:val="20"/>
              </w:rPr>
              <w:t>при половых контактах, например, презерватив со спермицидом;</w:t>
            </w:r>
          </w:p>
          <w:p>
            <w:pPr>
              <w:pStyle w:val="TableParagraph"/>
              <w:numPr>
                <w:ilvl w:val="0"/>
                <w:numId w:val="92"/>
              </w:numPr>
              <w:tabs>
                <w:tab w:pos="274" w:val="left" w:leader="none"/>
                <w:tab w:pos="276" w:val="left" w:leader="none"/>
              </w:tabs>
              <w:spacing w:line="240" w:lineRule="auto" w:before="0" w:after="0"/>
              <w:ind w:left="276" w:right="251" w:hanging="154"/>
              <w:jc w:val="left"/>
              <w:rPr>
                <w:sz w:val="20"/>
              </w:rPr>
            </w:pPr>
            <w:r>
              <w:rPr>
                <w:sz w:val="20"/>
              </w:rPr>
              <w:t>Период грудного вскармливания. Кормящим женщинам необходимо</w:t>
            </w:r>
            <w:r>
              <w:rPr>
                <w:spacing w:val="-8"/>
                <w:sz w:val="20"/>
              </w:rPr>
              <w:t> </w:t>
            </w:r>
            <w:r>
              <w:rPr>
                <w:sz w:val="20"/>
              </w:rPr>
              <w:t>прекратить</w:t>
            </w:r>
            <w:r>
              <w:rPr>
                <w:spacing w:val="-9"/>
                <w:sz w:val="20"/>
              </w:rPr>
              <w:t> </w:t>
            </w:r>
            <w:r>
              <w:rPr>
                <w:sz w:val="20"/>
              </w:rPr>
              <w:t>грудное</w:t>
            </w:r>
            <w:r>
              <w:rPr>
                <w:spacing w:val="-9"/>
                <w:sz w:val="20"/>
              </w:rPr>
              <w:t> </w:t>
            </w:r>
            <w:r>
              <w:rPr>
                <w:sz w:val="20"/>
              </w:rPr>
              <w:t>вскармливание</w:t>
            </w:r>
            <w:r>
              <w:rPr>
                <w:spacing w:val="-8"/>
                <w:sz w:val="20"/>
              </w:rPr>
              <w:t> </w:t>
            </w:r>
            <w:r>
              <w:rPr>
                <w:sz w:val="20"/>
              </w:rPr>
              <w:t>на</w:t>
            </w:r>
            <w:r>
              <w:rPr>
                <w:spacing w:val="-9"/>
                <w:sz w:val="20"/>
              </w:rPr>
              <w:t> </w:t>
            </w:r>
            <w:r>
              <w:rPr>
                <w:sz w:val="20"/>
              </w:rPr>
              <w:t>время</w:t>
            </w:r>
            <w:r>
              <w:rPr>
                <w:spacing w:val="-10"/>
                <w:sz w:val="20"/>
              </w:rPr>
              <w:t> </w:t>
            </w:r>
            <w:r>
              <w:rPr>
                <w:sz w:val="20"/>
              </w:rPr>
              <w:t>приема препарата и в течение 7 дней после его окончания;</w:t>
            </w:r>
          </w:p>
          <w:p>
            <w:pPr>
              <w:pStyle w:val="TableParagraph"/>
              <w:numPr>
                <w:ilvl w:val="0"/>
                <w:numId w:val="92"/>
              </w:numPr>
              <w:tabs>
                <w:tab w:pos="275" w:val="left" w:leader="none"/>
              </w:tabs>
              <w:spacing w:line="243" w:lineRule="exact" w:before="0" w:after="0"/>
              <w:ind w:left="275" w:right="0" w:hanging="152"/>
              <w:jc w:val="left"/>
              <w:rPr>
                <w:sz w:val="20"/>
              </w:rPr>
            </w:pPr>
            <w:r>
              <w:rPr>
                <w:sz w:val="20"/>
              </w:rPr>
              <w:t>Детский</w:t>
            </w:r>
            <w:r>
              <w:rPr>
                <w:spacing w:val="-5"/>
                <w:sz w:val="20"/>
              </w:rPr>
              <w:t> </w:t>
            </w:r>
            <w:r>
              <w:rPr>
                <w:sz w:val="20"/>
              </w:rPr>
              <w:t>возраст</w:t>
            </w:r>
            <w:r>
              <w:rPr>
                <w:spacing w:val="-5"/>
                <w:sz w:val="20"/>
              </w:rPr>
              <w:t> </w:t>
            </w:r>
            <w:r>
              <w:rPr>
                <w:sz w:val="20"/>
              </w:rPr>
              <w:t>до</w:t>
            </w:r>
            <w:r>
              <w:rPr>
                <w:spacing w:val="-4"/>
                <w:sz w:val="20"/>
              </w:rPr>
              <w:t> </w:t>
            </w:r>
            <w:r>
              <w:rPr>
                <w:sz w:val="20"/>
              </w:rPr>
              <w:t>18</w:t>
            </w:r>
            <w:r>
              <w:rPr>
                <w:spacing w:val="-3"/>
                <w:sz w:val="20"/>
              </w:rPr>
              <w:t> </w:t>
            </w:r>
            <w:r>
              <w:rPr>
                <w:spacing w:val="-4"/>
                <w:sz w:val="20"/>
              </w:rPr>
              <w:t>лет.</w:t>
            </w:r>
          </w:p>
          <w:p>
            <w:pPr>
              <w:pStyle w:val="TableParagraph"/>
              <w:numPr>
                <w:ilvl w:val="0"/>
                <w:numId w:val="92"/>
              </w:numPr>
              <w:tabs>
                <w:tab w:pos="275" w:val="left" w:leader="none"/>
              </w:tabs>
              <w:spacing w:line="245" w:lineRule="exact" w:before="227" w:after="0"/>
              <w:ind w:left="275" w:right="0" w:hanging="152"/>
              <w:jc w:val="left"/>
              <w:rPr>
                <w:sz w:val="20"/>
              </w:rPr>
            </w:pPr>
            <w:r>
              <w:rPr>
                <w:sz w:val="20"/>
              </w:rPr>
              <w:t>С</w:t>
            </w:r>
            <w:r>
              <w:rPr>
                <w:spacing w:val="-3"/>
                <w:sz w:val="20"/>
              </w:rPr>
              <w:t> </w:t>
            </w:r>
            <w:r>
              <w:rPr>
                <w:spacing w:val="-2"/>
                <w:sz w:val="20"/>
              </w:rPr>
              <w:t>осторожностью:</w:t>
            </w:r>
          </w:p>
          <w:p>
            <w:pPr>
              <w:pStyle w:val="TableParagraph"/>
              <w:numPr>
                <w:ilvl w:val="0"/>
                <w:numId w:val="92"/>
              </w:numPr>
              <w:tabs>
                <w:tab w:pos="274" w:val="left" w:leader="none"/>
                <w:tab w:pos="276" w:val="left" w:leader="none"/>
              </w:tabs>
              <w:spacing w:line="240" w:lineRule="auto" w:before="0" w:after="0"/>
              <w:ind w:left="276" w:right="147" w:hanging="154"/>
              <w:jc w:val="left"/>
              <w:rPr>
                <w:sz w:val="20"/>
              </w:rPr>
            </w:pPr>
            <w:r>
              <w:rPr>
                <w:sz w:val="20"/>
              </w:rPr>
              <w:t>У</w:t>
            </w:r>
            <w:r>
              <w:rPr>
                <w:spacing w:val="-6"/>
                <w:sz w:val="20"/>
              </w:rPr>
              <w:t> </w:t>
            </w:r>
            <w:r>
              <w:rPr>
                <w:sz w:val="20"/>
              </w:rPr>
              <w:t>пациентов</w:t>
            </w:r>
            <w:r>
              <w:rPr>
                <w:spacing w:val="-6"/>
                <w:sz w:val="20"/>
              </w:rPr>
              <w:t> </w:t>
            </w:r>
            <w:r>
              <w:rPr>
                <w:sz w:val="20"/>
              </w:rPr>
              <w:t>с</w:t>
            </w:r>
            <w:r>
              <w:rPr>
                <w:spacing w:val="-6"/>
                <w:sz w:val="20"/>
              </w:rPr>
              <w:t> </w:t>
            </w:r>
            <w:r>
              <w:rPr>
                <w:sz w:val="20"/>
              </w:rPr>
              <w:t>подагрой</w:t>
            </w:r>
            <w:r>
              <w:rPr>
                <w:spacing w:val="-5"/>
                <w:sz w:val="20"/>
              </w:rPr>
              <w:t> </w:t>
            </w:r>
            <w:r>
              <w:rPr>
                <w:sz w:val="20"/>
              </w:rPr>
              <w:t>и</w:t>
            </w:r>
            <w:r>
              <w:rPr>
                <w:spacing w:val="-6"/>
                <w:sz w:val="20"/>
              </w:rPr>
              <w:t> </w:t>
            </w:r>
            <w:r>
              <w:rPr>
                <w:sz w:val="20"/>
              </w:rPr>
              <w:t>гиперурикемией</w:t>
            </w:r>
            <w:r>
              <w:rPr>
                <w:spacing w:val="-6"/>
                <w:sz w:val="20"/>
              </w:rPr>
              <w:t> </w:t>
            </w:r>
            <w:r>
              <w:rPr>
                <w:sz w:val="20"/>
              </w:rPr>
              <w:t>в</w:t>
            </w:r>
            <w:r>
              <w:rPr>
                <w:spacing w:val="-6"/>
                <w:sz w:val="20"/>
              </w:rPr>
              <w:t> </w:t>
            </w:r>
            <w:r>
              <w:rPr>
                <w:sz w:val="20"/>
              </w:rPr>
              <w:t>анамнезе,</w:t>
            </w:r>
            <w:r>
              <w:rPr>
                <w:spacing w:val="-6"/>
                <w:sz w:val="20"/>
              </w:rPr>
              <w:t> </w:t>
            </w:r>
            <w:r>
              <w:rPr>
                <w:sz w:val="20"/>
              </w:rPr>
              <w:t>у</w:t>
            </w:r>
            <w:r>
              <w:rPr>
                <w:spacing w:val="-5"/>
                <w:sz w:val="20"/>
              </w:rPr>
              <w:t> </w:t>
            </w:r>
            <w:r>
              <w:rPr>
                <w:sz w:val="20"/>
              </w:rPr>
              <w:t>пожилых пациентов, пациентов с печеночной недостаточностью легкой</w:t>
            </w:r>
          </w:p>
          <w:p>
            <w:pPr>
              <w:pStyle w:val="TableParagraph"/>
              <w:ind w:left="276" w:right="1531"/>
              <w:rPr>
                <w:sz w:val="20"/>
              </w:rPr>
            </w:pPr>
            <w:r>
              <w:rPr>
                <w:sz w:val="20"/>
              </w:rPr>
              <w:t>и</w:t>
            </w:r>
            <w:r>
              <w:rPr>
                <w:spacing w:val="-9"/>
                <w:sz w:val="20"/>
              </w:rPr>
              <w:t> </w:t>
            </w:r>
            <w:r>
              <w:rPr>
                <w:sz w:val="20"/>
              </w:rPr>
              <w:t>средней</w:t>
            </w:r>
            <w:r>
              <w:rPr>
                <w:spacing w:val="-9"/>
                <w:sz w:val="20"/>
              </w:rPr>
              <w:t> </w:t>
            </w:r>
            <w:r>
              <w:rPr>
                <w:sz w:val="20"/>
              </w:rPr>
              <w:t>степени</w:t>
            </w:r>
            <w:r>
              <w:rPr>
                <w:spacing w:val="-9"/>
                <w:sz w:val="20"/>
              </w:rPr>
              <w:t> </w:t>
            </w:r>
            <w:r>
              <w:rPr>
                <w:sz w:val="20"/>
              </w:rPr>
              <w:t>тяжести,</w:t>
            </w:r>
            <w:r>
              <w:rPr>
                <w:spacing w:val="-6"/>
                <w:sz w:val="20"/>
              </w:rPr>
              <w:t> </w:t>
            </w:r>
            <w:r>
              <w:rPr>
                <w:sz w:val="20"/>
              </w:rPr>
              <w:t>пациентов</w:t>
            </w:r>
            <w:r>
              <w:rPr>
                <w:spacing w:val="-9"/>
                <w:sz w:val="20"/>
              </w:rPr>
              <w:t> </w:t>
            </w:r>
            <w:r>
              <w:rPr>
                <w:sz w:val="20"/>
              </w:rPr>
              <w:t>с</w:t>
            </w:r>
            <w:r>
              <w:rPr>
                <w:spacing w:val="-8"/>
                <w:sz w:val="20"/>
              </w:rPr>
              <w:t> </w:t>
            </w:r>
            <w:r>
              <w:rPr>
                <w:sz w:val="20"/>
              </w:rPr>
              <w:t>почечной недостаточностью средней степени тяжести</w:t>
            </w:r>
            <w:r>
              <w:rPr>
                <w:spacing w:val="40"/>
                <w:sz w:val="20"/>
              </w:rPr>
              <w:t> </w:t>
            </w:r>
            <w:r>
              <w:rPr>
                <w:sz w:val="20"/>
              </w:rPr>
              <w:t>(СКФ &lt; 60 мл/мин и ≥ 30 мл/мин).</w:t>
            </w:r>
          </w:p>
          <w:p>
            <w:pPr>
              <w:pStyle w:val="TableParagraph"/>
              <w:numPr>
                <w:ilvl w:val="0"/>
                <w:numId w:val="92"/>
              </w:numPr>
              <w:tabs>
                <w:tab w:pos="274" w:val="left" w:leader="none"/>
                <w:tab w:pos="276" w:val="left" w:leader="none"/>
              </w:tabs>
              <w:spacing w:line="230" w:lineRule="exact" w:before="0" w:after="0"/>
              <w:ind w:left="276" w:right="1480" w:hanging="154"/>
              <w:jc w:val="left"/>
              <w:rPr>
                <w:sz w:val="20"/>
              </w:rPr>
            </w:pPr>
            <w:r>
              <w:rPr>
                <w:sz w:val="20"/>
              </w:rPr>
              <w:t>Может</w:t>
            </w:r>
            <w:r>
              <w:rPr>
                <w:spacing w:val="-9"/>
                <w:sz w:val="20"/>
              </w:rPr>
              <w:t> </w:t>
            </w:r>
            <w:r>
              <w:rPr>
                <w:sz w:val="20"/>
              </w:rPr>
              <w:t>применяться</w:t>
            </w:r>
            <w:r>
              <w:rPr>
                <w:spacing w:val="-9"/>
                <w:sz w:val="20"/>
              </w:rPr>
              <w:t> </w:t>
            </w:r>
            <w:r>
              <w:rPr>
                <w:sz w:val="20"/>
              </w:rPr>
              <w:t>как</w:t>
            </w:r>
            <w:r>
              <w:rPr>
                <w:spacing w:val="-9"/>
                <w:sz w:val="20"/>
              </w:rPr>
              <w:t> </w:t>
            </w:r>
            <w:r>
              <w:rPr>
                <w:sz w:val="20"/>
              </w:rPr>
              <w:t>в</w:t>
            </w:r>
            <w:r>
              <w:rPr>
                <w:spacing w:val="-9"/>
                <w:sz w:val="20"/>
              </w:rPr>
              <w:t> </w:t>
            </w:r>
            <w:r>
              <w:rPr>
                <w:sz w:val="20"/>
              </w:rPr>
              <w:t>амбулаторной</w:t>
            </w:r>
            <w:r>
              <w:rPr>
                <w:spacing w:val="-9"/>
                <w:sz w:val="20"/>
              </w:rPr>
              <w:t> </w:t>
            </w:r>
            <w:r>
              <w:rPr>
                <w:sz w:val="20"/>
              </w:rPr>
              <w:t>практике, так и в стационаре.</w:t>
            </w:r>
          </w:p>
        </w:tc>
      </w:tr>
      <w:tr>
        <w:trPr>
          <w:trHeight w:val="4245" w:hRule="atLeast"/>
        </w:trPr>
        <w:tc>
          <w:tcPr>
            <w:tcW w:w="1976" w:type="dxa"/>
            <w:shd w:val="clear" w:color="auto" w:fill="F1F1F1"/>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61"/>
              <w:rPr>
                <w:sz w:val="20"/>
              </w:rPr>
            </w:pPr>
          </w:p>
          <w:p>
            <w:pPr>
              <w:pStyle w:val="TableParagraph"/>
              <w:ind w:left="214"/>
              <w:rPr>
                <w:b/>
                <w:sz w:val="20"/>
              </w:rPr>
            </w:pPr>
            <w:r>
              <w:rPr>
                <w:b/>
                <w:spacing w:val="-2"/>
                <w:sz w:val="20"/>
              </w:rPr>
              <w:t>Молнупиравир</w:t>
            </w:r>
          </w:p>
        </w:tc>
        <w:tc>
          <w:tcPr>
            <w:tcW w:w="2552" w:type="dxa"/>
            <w:shd w:val="clear" w:color="auto" w:fill="F1F1F1"/>
          </w:tcPr>
          <w:p>
            <w:pPr>
              <w:pStyle w:val="TableParagraph"/>
              <w:spacing w:before="54"/>
              <w:rPr>
                <w:sz w:val="20"/>
              </w:rPr>
            </w:pPr>
          </w:p>
          <w:p>
            <w:pPr>
              <w:pStyle w:val="TableParagraph"/>
              <w:spacing w:line="276" w:lineRule="auto"/>
              <w:ind w:left="212" w:right="506"/>
              <w:rPr>
                <w:sz w:val="20"/>
              </w:rPr>
            </w:pPr>
            <w:r>
              <w:rPr>
                <w:sz w:val="20"/>
              </w:rPr>
              <w:t>Активный</w:t>
            </w:r>
            <w:r>
              <w:rPr>
                <w:spacing w:val="-13"/>
                <w:sz w:val="20"/>
              </w:rPr>
              <w:t> </w:t>
            </w:r>
            <w:r>
              <w:rPr>
                <w:sz w:val="20"/>
              </w:rPr>
              <w:t>метаболит трифосфата N- </w:t>
            </w:r>
            <w:r>
              <w:rPr>
                <w:spacing w:val="-2"/>
                <w:sz w:val="20"/>
              </w:rPr>
              <w:t>гидроксицитидина встраивается</w:t>
            </w:r>
          </w:p>
          <w:p>
            <w:pPr>
              <w:pStyle w:val="TableParagraph"/>
              <w:spacing w:line="276" w:lineRule="auto"/>
              <w:ind w:left="212" w:right="275"/>
              <w:jc w:val="both"/>
              <w:rPr>
                <w:sz w:val="20"/>
              </w:rPr>
            </w:pPr>
            <w:r>
              <w:rPr>
                <w:sz w:val="20"/>
              </w:rPr>
              <w:t>в</w:t>
            </w:r>
            <w:r>
              <w:rPr>
                <w:spacing w:val="-6"/>
                <w:sz w:val="20"/>
              </w:rPr>
              <w:t> </w:t>
            </w:r>
            <w:r>
              <w:rPr>
                <w:sz w:val="20"/>
              </w:rPr>
              <w:t>формирующиеся</w:t>
            </w:r>
            <w:r>
              <w:rPr>
                <w:spacing w:val="-6"/>
                <w:sz w:val="20"/>
              </w:rPr>
              <w:t> </w:t>
            </w:r>
            <w:r>
              <w:rPr>
                <w:sz w:val="20"/>
              </w:rPr>
              <w:t>РНК цепи</w:t>
            </w:r>
            <w:r>
              <w:rPr>
                <w:spacing w:val="-13"/>
                <w:sz w:val="20"/>
              </w:rPr>
              <w:t> </w:t>
            </w:r>
            <w:r>
              <w:rPr>
                <w:sz w:val="20"/>
              </w:rPr>
              <w:t>вируса</w:t>
            </w:r>
            <w:r>
              <w:rPr>
                <w:spacing w:val="-12"/>
                <w:sz w:val="20"/>
              </w:rPr>
              <w:t> </w:t>
            </w:r>
            <w:r>
              <w:rPr>
                <w:sz w:val="20"/>
              </w:rPr>
              <w:t>с</w:t>
            </w:r>
            <w:r>
              <w:rPr>
                <w:spacing w:val="-13"/>
                <w:sz w:val="20"/>
              </w:rPr>
              <w:t> </w:t>
            </w:r>
            <w:r>
              <w:rPr>
                <w:sz w:val="20"/>
              </w:rPr>
              <w:t>помощью </w:t>
            </w:r>
            <w:r>
              <w:rPr>
                <w:spacing w:val="-4"/>
                <w:sz w:val="20"/>
              </w:rPr>
              <w:t>РНК</w:t>
            </w:r>
          </w:p>
          <w:p>
            <w:pPr>
              <w:pStyle w:val="TableParagraph"/>
              <w:spacing w:line="276" w:lineRule="auto"/>
              <w:ind w:left="212"/>
              <w:rPr>
                <w:sz w:val="20"/>
              </w:rPr>
            </w:pPr>
            <w:r>
              <w:rPr>
                <w:sz w:val="20"/>
              </w:rPr>
              <w:t>зависимой РНК- </w:t>
            </w:r>
            <w:r>
              <w:rPr>
                <w:spacing w:val="-2"/>
                <w:sz w:val="20"/>
              </w:rPr>
              <w:t>полимеразы,</w:t>
            </w:r>
            <w:r>
              <w:rPr>
                <w:spacing w:val="-8"/>
                <w:sz w:val="20"/>
              </w:rPr>
              <w:t> </w:t>
            </w:r>
            <w:r>
              <w:rPr>
                <w:spacing w:val="-2"/>
                <w:sz w:val="20"/>
              </w:rPr>
              <w:t>вызывая </w:t>
            </w:r>
            <w:r>
              <w:rPr>
                <w:sz w:val="20"/>
              </w:rPr>
              <w:t>мутацию в геноме</w:t>
            </w:r>
          </w:p>
          <w:p>
            <w:pPr>
              <w:pStyle w:val="TableParagraph"/>
              <w:spacing w:line="276" w:lineRule="auto"/>
              <w:ind w:left="212" w:right="692"/>
              <w:rPr>
                <w:sz w:val="20"/>
              </w:rPr>
            </w:pPr>
            <w:r>
              <w:rPr>
                <w:sz w:val="20"/>
              </w:rPr>
              <w:t>с последующим </w:t>
            </w:r>
            <w:r>
              <w:rPr>
                <w:spacing w:val="-2"/>
                <w:sz w:val="20"/>
              </w:rPr>
              <w:t>ингибированием </w:t>
            </w:r>
            <w:r>
              <w:rPr>
                <w:sz w:val="20"/>
              </w:rPr>
              <w:t>репликации</w:t>
            </w:r>
            <w:r>
              <w:rPr>
                <w:spacing w:val="-13"/>
                <w:sz w:val="20"/>
              </w:rPr>
              <w:t> </w:t>
            </w:r>
            <w:r>
              <w:rPr>
                <w:sz w:val="20"/>
              </w:rPr>
              <w:t>вируса </w:t>
            </w:r>
            <w:r>
              <w:rPr>
                <w:spacing w:val="-2"/>
                <w:sz w:val="20"/>
              </w:rPr>
              <w:t>SARS-CoV-2.</w:t>
            </w:r>
          </w:p>
        </w:tc>
        <w:tc>
          <w:tcPr>
            <w:tcW w:w="1277" w:type="dxa"/>
            <w:shd w:val="clear" w:color="auto" w:fill="F1F1F1"/>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61"/>
              <w:rPr>
                <w:sz w:val="20"/>
              </w:rPr>
            </w:pPr>
          </w:p>
          <w:p>
            <w:pPr>
              <w:pStyle w:val="TableParagraph"/>
              <w:ind w:left="209"/>
              <w:rPr>
                <w:sz w:val="20"/>
              </w:rPr>
            </w:pPr>
            <w:r>
              <w:rPr>
                <w:spacing w:val="-2"/>
                <w:sz w:val="20"/>
              </w:rPr>
              <w:t>Капсулы</w:t>
            </w:r>
          </w:p>
        </w:tc>
        <w:tc>
          <w:tcPr>
            <w:tcW w:w="2977" w:type="dxa"/>
            <w:shd w:val="clear" w:color="auto" w:fill="F1F1F1"/>
          </w:tcPr>
          <w:p>
            <w:pPr>
              <w:pStyle w:val="TableParagraph"/>
              <w:spacing w:line="276" w:lineRule="auto" w:before="20"/>
              <w:ind w:left="208"/>
              <w:rPr>
                <w:sz w:val="20"/>
              </w:rPr>
            </w:pPr>
            <w:r>
              <w:rPr>
                <w:sz w:val="20"/>
              </w:rPr>
              <w:t>Рекомендуемая доза 800 мг перорально</w:t>
            </w:r>
            <w:r>
              <w:rPr>
                <w:spacing w:val="-6"/>
                <w:sz w:val="20"/>
              </w:rPr>
              <w:t> </w:t>
            </w:r>
            <w:r>
              <w:rPr>
                <w:sz w:val="20"/>
              </w:rPr>
              <w:t>каждые</w:t>
            </w:r>
            <w:r>
              <w:rPr>
                <w:spacing w:val="-6"/>
                <w:sz w:val="20"/>
              </w:rPr>
              <w:t> </w:t>
            </w:r>
            <w:r>
              <w:rPr>
                <w:sz w:val="20"/>
              </w:rPr>
              <w:t>12</w:t>
            </w:r>
            <w:r>
              <w:rPr>
                <w:spacing w:val="-6"/>
                <w:sz w:val="20"/>
              </w:rPr>
              <w:t> </w:t>
            </w:r>
            <w:r>
              <w:rPr>
                <w:spacing w:val="-2"/>
                <w:sz w:val="20"/>
              </w:rPr>
              <w:t>часов.</w:t>
            </w:r>
          </w:p>
          <w:p>
            <w:pPr>
              <w:pStyle w:val="TableParagraph"/>
              <w:spacing w:before="32"/>
              <w:rPr>
                <w:sz w:val="20"/>
              </w:rPr>
            </w:pPr>
          </w:p>
          <w:p>
            <w:pPr>
              <w:pStyle w:val="TableParagraph"/>
              <w:spacing w:line="276" w:lineRule="auto"/>
              <w:ind w:left="208" w:right="236"/>
              <w:rPr>
                <w:sz w:val="20"/>
              </w:rPr>
            </w:pPr>
            <w:r>
              <w:rPr>
                <w:sz w:val="20"/>
              </w:rPr>
              <w:t>Лечение</w:t>
            </w:r>
            <w:r>
              <w:rPr>
                <w:spacing w:val="-13"/>
                <w:sz w:val="20"/>
              </w:rPr>
              <w:t> </w:t>
            </w:r>
            <w:r>
              <w:rPr>
                <w:sz w:val="20"/>
              </w:rPr>
              <w:t>препаратом</w:t>
            </w:r>
            <w:r>
              <w:rPr>
                <w:spacing w:val="-12"/>
                <w:sz w:val="20"/>
              </w:rPr>
              <w:t> </w:t>
            </w:r>
            <w:r>
              <w:rPr>
                <w:sz w:val="20"/>
              </w:rPr>
              <w:t>следует начинать как можно раньше после лабораторного подтверждения диагноза и/или при наличии характерной клинической симптоматики новой коронавирусной инфекции</w:t>
            </w:r>
          </w:p>
          <w:p>
            <w:pPr>
              <w:pStyle w:val="TableParagraph"/>
              <w:spacing w:line="276" w:lineRule="auto"/>
              <w:ind w:left="208" w:right="77"/>
              <w:rPr>
                <w:sz w:val="20"/>
              </w:rPr>
            </w:pPr>
            <w:r>
              <w:rPr>
                <w:sz w:val="20"/>
              </w:rPr>
              <w:t>(COVID-19)</w:t>
            </w:r>
            <w:r>
              <w:rPr>
                <w:spacing w:val="-8"/>
                <w:sz w:val="20"/>
              </w:rPr>
              <w:t> </w:t>
            </w:r>
            <w:r>
              <w:rPr>
                <w:sz w:val="20"/>
              </w:rPr>
              <w:t>и</w:t>
            </w:r>
            <w:r>
              <w:rPr>
                <w:spacing w:val="-10"/>
                <w:sz w:val="20"/>
              </w:rPr>
              <w:t> </w:t>
            </w:r>
            <w:r>
              <w:rPr>
                <w:sz w:val="20"/>
              </w:rPr>
              <w:t>в</w:t>
            </w:r>
            <w:r>
              <w:rPr>
                <w:spacing w:val="-10"/>
                <w:sz w:val="20"/>
              </w:rPr>
              <w:t> </w:t>
            </w:r>
            <w:r>
              <w:rPr>
                <w:sz w:val="20"/>
              </w:rPr>
              <w:t>течение</w:t>
            </w:r>
            <w:r>
              <w:rPr>
                <w:spacing w:val="-9"/>
                <w:sz w:val="20"/>
              </w:rPr>
              <w:t> </w:t>
            </w:r>
            <w:r>
              <w:rPr>
                <w:sz w:val="20"/>
              </w:rPr>
              <w:t>5</w:t>
            </w:r>
            <w:r>
              <w:rPr>
                <w:spacing w:val="-8"/>
                <w:sz w:val="20"/>
              </w:rPr>
              <w:t> </w:t>
            </w:r>
            <w:r>
              <w:rPr>
                <w:sz w:val="20"/>
              </w:rPr>
              <w:t>дней с момента появления </w:t>
            </w:r>
            <w:r>
              <w:rPr>
                <w:spacing w:val="-2"/>
                <w:sz w:val="20"/>
              </w:rPr>
              <w:t>симптомов.</w:t>
            </w:r>
          </w:p>
          <w:p>
            <w:pPr>
              <w:pStyle w:val="TableParagraph"/>
              <w:spacing w:before="34"/>
              <w:rPr>
                <w:sz w:val="20"/>
              </w:rPr>
            </w:pPr>
          </w:p>
          <w:p>
            <w:pPr>
              <w:pStyle w:val="TableParagraph"/>
              <w:ind w:left="208"/>
              <w:rPr>
                <w:sz w:val="20"/>
              </w:rPr>
            </w:pPr>
            <w:r>
              <w:rPr>
                <w:sz w:val="20"/>
              </w:rPr>
              <w:t>Общий</w:t>
            </w:r>
            <w:r>
              <w:rPr>
                <w:spacing w:val="-6"/>
                <w:sz w:val="20"/>
              </w:rPr>
              <w:t> </w:t>
            </w:r>
            <w:r>
              <w:rPr>
                <w:sz w:val="20"/>
              </w:rPr>
              <w:t>курс</w:t>
            </w:r>
            <w:r>
              <w:rPr>
                <w:spacing w:val="-4"/>
                <w:sz w:val="20"/>
              </w:rPr>
              <w:t> </w:t>
            </w:r>
            <w:r>
              <w:rPr>
                <w:sz w:val="20"/>
              </w:rPr>
              <w:t>не</w:t>
            </w:r>
            <w:r>
              <w:rPr>
                <w:spacing w:val="-4"/>
                <w:sz w:val="20"/>
              </w:rPr>
              <w:t> </w:t>
            </w:r>
            <w:r>
              <w:rPr>
                <w:sz w:val="20"/>
              </w:rPr>
              <w:t>более</w:t>
            </w:r>
            <w:r>
              <w:rPr>
                <w:spacing w:val="-4"/>
                <w:sz w:val="20"/>
              </w:rPr>
              <w:t> </w:t>
            </w:r>
            <w:r>
              <w:rPr>
                <w:sz w:val="20"/>
              </w:rPr>
              <w:t>5</w:t>
            </w:r>
            <w:r>
              <w:rPr>
                <w:spacing w:val="-3"/>
                <w:sz w:val="20"/>
              </w:rPr>
              <w:t> </w:t>
            </w:r>
            <w:r>
              <w:rPr>
                <w:spacing w:val="-4"/>
                <w:sz w:val="20"/>
              </w:rPr>
              <w:t>дней.</w:t>
            </w:r>
          </w:p>
        </w:tc>
        <w:tc>
          <w:tcPr>
            <w:tcW w:w="6098" w:type="dxa"/>
            <w:shd w:val="clear" w:color="auto" w:fill="F1F1F1"/>
          </w:tcPr>
          <w:p>
            <w:pPr>
              <w:pStyle w:val="TableParagraph"/>
              <w:rPr>
                <w:sz w:val="20"/>
              </w:rPr>
            </w:pPr>
          </w:p>
          <w:p>
            <w:pPr>
              <w:pStyle w:val="TableParagraph"/>
              <w:rPr>
                <w:sz w:val="20"/>
              </w:rPr>
            </w:pPr>
          </w:p>
          <w:p>
            <w:pPr>
              <w:pStyle w:val="TableParagraph"/>
              <w:rPr>
                <w:sz w:val="20"/>
              </w:rPr>
            </w:pPr>
          </w:p>
          <w:p>
            <w:pPr>
              <w:pStyle w:val="TableParagraph"/>
              <w:spacing w:before="42"/>
              <w:rPr>
                <w:sz w:val="20"/>
              </w:rPr>
            </w:pPr>
          </w:p>
          <w:p>
            <w:pPr>
              <w:pStyle w:val="TableParagraph"/>
              <w:numPr>
                <w:ilvl w:val="0"/>
                <w:numId w:val="93"/>
              </w:numPr>
              <w:tabs>
                <w:tab w:pos="275" w:val="left" w:leader="none"/>
              </w:tabs>
              <w:spacing w:line="245" w:lineRule="exact" w:before="0" w:after="0"/>
              <w:ind w:left="275" w:right="0" w:hanging="152"/>
              <w:jc w:val="left"/>
              <w:rPr>
                <w:sz w:val="20"/>
              </w:rPr>
            </w:pPr>
            <w:r>
              <w:rPr>
                <w:sz w:val="20"/>
              </w:rPr>
              <w:t>Повышенная</w:t>
            </w:r>
            <w:r>
              <w:rPr>
                <w:spacing w:val="-11"/>
                <w:sz w:val="20"/>
              </w:rPr>
              <w:t> </w:t>
            </w:r>
            <w:r>
              <w:rPr>
                <w:sz w:val="20"/>
              </w:rPr>
              <w:t>чувствительность</w:t>
            </w:r>
            <w:r>
              <w:rPr>
                <w:spacing w:val="-9"/>
                <w:sz w:val="20"/>
              </w:rPr>
              <w:t> </w:t>
            </w:r>
            <w:r>
              <w:rPr>
                <w:sz w:val="20"/>
              </w:rPr>
              <w:t>к</w:t>
            </w:r>
            <w:r>
              <w:rPr>
                <w:spacing w:val="-11"/>
                <w:sz w:val="20"/>
              </w:rPr>
              <w:t> </w:t>
            </w:r>
            <w:r>
              <w:rPr>
                <w:spacing w:val="-2"/>
                <w:sz w:val="20"/>
              </w:rPr>
              <w:t>препарату;</w:t>
            </w:r>
          </w:p>
          <w:p>
            <w:pPr>
              <w:pStyle w:val="TableParagraph"/>
              <w:numPr>
                <w:ilvl w:val="0"/>
                <w:numId w:val="93"/>
              </w:numPr>
              <w:tabs>
                <w:tab w:pos="274" w:val="left" w:leader="none"/>
                <w:tab w:pos="276" w:val="left" w:leader="none"/>
              </w:tabs>
              <w:spacing w:line="240" w:lineRule="auto" w:before="0" w:after="0"/>
              <w:ind w:left="276" w:right="882" w:hanging="154"/>
              <w:jc w:val="left"/>
              <w:rPr>
                <w:sz w:val="20"/>
              </w:rPr>
            </w:pPr>
            <w:r>
              <w:rPr>
                <w:sz w:val="20"/>
              </w:rPr>
              <w:t>Беременность или планирование беременности: необходимо</w:t>
            </w:r>
            <w:r>
              <w:rPr>
                <w:spacing w:val="-12"/>
                <w:sz w:val="20"/>
              </w:rPr>
              <w:t> </w:t>
            </w:r>
            <w:r>
              <w:rPr>
                <w:sz w:val="20"/>
              </w:rPr>
              <w:t>использовать</w:t>
            </w:r>
            <w:r>
              <w:rPr>
                <w:spacing w:val="-13"/>
                <w:sz w:val="20"/>
              </w:rPr>
              <w:t> </w:t>
            </w:r>
            <w:r>
              <w:rPr>
                <w:sz w:val="20"/>
              </w:rPr>
              <w:t>наиболее</w:t>
            </w:r>
            <w:r>
              <w:rPr>
                <w:spacing w:val="-12"/>
                <w:sz w:val="20"/>
              </w:rPr>
              <w:t> </w:t>
            </w:r>
            <w:r>
              <w:rPr>
                <w:sz w:val="20"/>
              </w:rPr>
              <w:t>эффективные</w:t>
            </w:r>
            <w:r>
              <w:rPr>
                <w:spacing w:val="-13"/>
                <w:sz w:val="20"/>
              </w:rPr>
              <w:t> </w:t>
            </w:r>
            <w:r>
              <w:rPr>
                <w:sz w:val="20"/>
              </w:rPr>
              <w:t>методы</w:t>
            </w:r>
          </w:p>
          <w:p>
            <w:pPr>
              <w:pStyle w:val="TableParagraph"/>
              <w:spacing w:line="229" w:lineRule="exact"/>
              <w:ind w:left="276"/>
              <w:rPr>
                <w:sz w:val="20"/>
              </w:rPr>
            </w:pPr>
            <w:r>
              <w:rPr>
                <w:sz w:val="20"/>
              </w:rPr>
              <w:t>контрацепции</w:t>
            </w:r>
            <w:r>
              <w:rPr>
                <w:spacing w:val="-10"/>
                <w:sz w:val="20"/>
              </w:rPr>
              <w:t> </w:t>
            </w:r>
            <w:r>
              <w:rPr>
                <w:sz w:val="20"/>
              </w:rPr>
              <w:t>при</w:t>
            </w:r>
            <w:r>
              <w:rPr>
                <w:spacing w:val="-10"/>
                <w:sz w:val="20"/>
              </w:rPr>
              <w:t> </w:t>
            </w:r>
            <w:r>
              <w:rPr>
                <w:sz w:val="20"/>
              </w:rPr>
              <w:t>половых</w:t>
            </w:r>
            <w:r>
              <w:rPr>
                <w:spacing w:val="-7"/>
                <w:sz w:val="20"/>
              </w:rPr>
              <w:t> </w:t>
            </w:r>
            <w:r>
              <w:rPr>
                <w:sz w:val="20"/>
              </w:rPr>
              <w:t>контактах,</w:t>
            </w:r>
            <w:r>
              <w:rPr>
                <w:spacing w:val="-9"/>
                <w:sz w:val="20"/>
              </w:rPr>
              <w:t> </w:t>
            </w:r>
            <w:r>
              <w:rPr>
                <w:sz w:val="20"/>
              </w:rPr>
              <w:t>например,</w:t>
            </w:r>
            <w:r>
              <w:rPr>
                <w:spacing w:val="-9"/>
                <w:sz w:val="20"/>
              </w:rPr>
              <w:t> </w:t>
            </w:r>
            <w:r>
              <w:rPr>
                <w:spacing w:val="-2"/>
                <w:sz w:val="20"/>
              </w:rPr>
              <w:t>презерватив</w:t>
            </w:r>
          </w:p>
          <w:p>
            <w:pPr>
              <w:pStyle w:val="TableParagraph"/>
              <w:ind w:left="276" w:right="54"/>
              <w:rPr>
                <w:sz w:val="20"/>
              </w:rPr>
            </w:pPr>
            <w:r>
              <w:rPr>
                <w:sz w:val="20"/>
              </w:rPr>
              <w:t>со</w:t>
            </w:r>
            <w:r>
              <w:rPr>
                <w:spacing w:val="-5"/>
                <w:sz w:val="20"/>
              </w:rPr>
              <w:t> </w:t>
            </w:r>
            <w:r>
              <w:rPr>
                <w:sz w:val="20"/>
              </w:rPr>
              <w:t>спермицидом</w:t>
            </w:r>
            <w:r>
              <w:rPr>
                <w:spacing w:val="-4"/>
                <w:sz w:val="20"/>
              </w:rPr>
              <w:t> </w:t>
            </w:r>
            <w:r>
              <w:rPr>
                <w:sz w:val="20"/>
              </w:rPr>
              <w:t>во</w:t>
            </w:r>
            <w:r>
              <w:rPr>
                <w:spacing w:val="-6"/>
                <w:sz w:val="20"/>
              </w:rPr>
              <w:t> </w:t>
            </w:r>
            <w:r>
              <w:rPr>
                <w:sz w:val="20"/>
              </w:rPr>
              <w:t>время</w:t>
            </w:r>
            <w:r>
              <w:rPr>
                <w:spacing w:val="-7"/>
                <w:sz w:val="20"/>
              </w:rPr>
              <w:t> </w:t>
            </w:r>
            <w:r>
              <w:rPr>
                <w:sz w:val="20"/>
              </w:rPr>
              <w:t>приема</w:t>
            </w:r>
            <w:r>
              <w:rPr>
                <w:spacing w:val="-6"/>
                <w:sz w:val="20"/>
              </w:rPr>
              <w:t> </w:t>
            </w:r>
            <w:r>
              <w:rPr>
                <w:sz w:val="20"/>
              </w:rPr>
              <w:t>препарата</w:t>
            </w:r>
            <w:r>
              <w:rPr>
                <w:spacing w:val="-4"/>
                <w:sz w:val="20"/>
              </w:rPr>
              <w:t> </w:t>
            </w:r>
            <w:r>
              <w:rPr>
                <w:sz w:val="20"/>
              </w:rPr>
              <w:t>и</w:t>
            </w:r>
            <w:r>
              <w:rPr>
                <w:spacing w:val="-7"/>
                <w:sz w:val="20"/>
              </w:rPr>
              <w:t> </w:t>
            </w:r>
            <w:r>
              <w:rPr>
                <w:sz w:val="20"/>
              </w:rPr>
              <w:t>после</w:t>
            </w:r>
            <w:r>
              <w:rPr>
                <w:spacing w:val="-6"/>
                <w:sz w:val="20"/>
              </w:rPr>
              <w:t> </w:t>
            </w:r>
            <w:r>
              <w:rPr>
                <w:sz w:val="20"/>
              </w:rPr>
              <w:t>его</w:t>
            </w:r>
            <w:r>
              <w:rPr>
                <w:spacing w:val="-4"/>
                <w:sz w:val="20"/>
              </w:rPr>
              <w:t> </w:t>
            </w:r>
            <w:r>
              <w:rPr>
                <w:sz w:val="20"/>
              </w:rPr>
              <w:t>окончания в течение 4 дней для женщин и 3 месяцев для мужчин;</w:t>
            </w:r>
          </w:p>
          <w:p>
            <w:pPr>
              <w:pStyle w:val="TableParagraph"/>
              <w:rPr>
                <w:sz w:val="20"/>
              </w:rPr>
            </w:pPr>
          </w:p>
          <w:p>
            <w:pPr>
              <w:pStyle w:val="TableParagraph"/>
              <w:numPr>
                <w:ilvl w:val="0"/>
                <w:numId w:val="93"/>
              </w:numPr>
              <w:tabs>
                <w:tab w:pos="274" w:val="left" w:leader="none"/>
                <w:tab w:pos="276" w:val="left" w:leader="none"/>
              </w:tabs>
              <w:spacing w:line="240" w:lineRule="auto" w:before="0" w:after="0"/>
              <w:ind w:left="276" w:right="423" w:hanging="154"/>
              <w:jc w:val="left"/>
              <w:rPr>
                <w:sz w:val="20"/>
              </w:rPr>
            </w:pPr>
            <w:r>
              <w:rPr>
                <w:sz w:val="20"/>
              </w:rPr>
              <w:t>Период грудного вскармливания. Кормящим необходимо прекратить</w:t>
            </w:r>
            <w:r>
              <w:rPr>
                <w:spacing w:val="-8"/>
                <w:sz w:val="20"/>
              </w:rPr>
              <w:t> </w:t>
            </w:r>
            <w:r>
              <w:rPr>
                <w:sz w:val="20"/>
              </w:rPr>
              <w:t>грудное</w:t>
            </w:r>
            <w:r>
              <w:rPr>
                <w:spacing w:val="-8"/>
                <w:sz w:val="20"/>
              </w:rPr>
              <w:t> </w:t>
            </w:r>
            <w:r>
              <w:rPr>
                <w:sz w:val="20"/>
              </w:rPr>
              <w:t>вскармливание</w:t>
            </w:r>
            <w:r>
              <w:rPr>
                <w:spacing w:val="-7"/>
                <w:sz w:val="20"/>
              </w:rPr>
              <w:t> </w:t>
            </w:r>
            <w:r>
              <w:rPr>
                <w:sz w:val="20"/>
              </w:rPr>
              <w:t>на</w:t>
            </w:r>
            <w:r>
              <w:rPr>
                <w:spacing w:val="-8"/>
                <w:sz w:val="20"/>
              </w:rPr>
              <w:t> </w:t>
            </w:r>
            <w:r>
              <w:rPr>
                <w:sz w:val="20"/>
              </w:rPr>
              <w:t>время</w:t>
            </w:r>
            <w:r>
              <w:rPr>
                <w:spacing w:val="-9"/>
                <w:sz w:val="20"/>
              </w:rPr>
              <w:t> </w:t>
            </w:r>
            <w:r>
              <w:rPr>
                <w:sz w:val="20"/>
              </w:rPr>
              <w:t>приема</w:t>
            </w:r>
            <w:r>
              <w:rPr>
                <w:spacing w:val="-8"/>
                <w:sz w:val="20"/>
              </w:rPr>
              <w:t> </w:t>
            </w:r>
            <w:r>
              <w:rPr>
                <w:sz w:val="20"/>
              </w:rPr>
              <w:t>препарата и в течение 4 дней после последней дозы молнупиравира.</w:t>
            </w:r>
          </w:p>
        </w:tc>
      </w:tr>
    </w:tbl>
    <w:p>
      <w:pPr>
        <w:spacing w:before="208"/>
        <w:ind w:left="0" w:right="15" w:firstLine="0"/>
        <w:jc w:val="center"/>
        <w:rPr>
          <w:rFonts w:ascii="Calibri"/>
          <w:sz w:val="22"/>
        </w:rPr>
      </w:pPr>
      <w:r>
        <w:rPr>
          <w:rFonts w:ascii="Calibri"/>
          <w:spacing w:val="-5"/>
          <w:sz w:val="22"/>
        </w:rPr>
        <w:t>191</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76"/>
        <w:gridCol w:w="2552"/>
        <w:gridCol w:w="1277"/>
        <w:gridCol w:w="2977"/>
        <w:gridCol w:w="6098"/>
      </w:tblGrid>
      <w:tr>
        <w:trPr>
          <w:trHeight w:val="8453" w:hRule="atLeast"/>
        </w:trPr>
        <w:tc>
          <w:tcPr>
            <w:tcW w:w="1976" w:type="dxa"/>
          </w:tcPr>
          <w:p>
            <w:pPr>
              <w:pStyle w:val="TableParagraph"/>
              <w:spacing w:line="276" w:lineRule="auto" w:before="24"/>
              <w:ind w:left="214"/>
              <w:rPr>
                <w:b/>
                <w:sz w:val="20"/>
              </w:rPr>
            </w:pPr>
            <w:bookmarkStart w:name="193" w:id="229"/>
            <w:bookmarkEnd w:id="229"/>
            <w:r>
              <w:rPr/>
            </w:r>
            <w:r>
              <w:rPr>
                <w:b/>
                <w:spacing w:val="-2"/>
                <w:sz w:val="20"/>
              </w:rPr>
              <w:t>Нирматрелвир+р итонавир</w:t>
            </w:r>
          </w:p>
        </w:tc>
        <w:tc>
          <w:tcPr>
            <w:tcW w:w="2552" w:type="dxa"/>
          </w:tcPr>
          <w:p>
            <w:pPr>
              <w:pStyle w:val="TableParagraph"/>
              <w:spacing w:line="276" w:lineRule="auto" w:before="24"/>
              <w:ind w:left="212" w:right="302"/>
              <w:rPr>
                <w:sz w:val="20"/>
              </w:rPr>
            </w:pPr>
            <w:r>
              <w:rPr>
                <w:sz w:val="20"/>
              </w:rPr>
              <w:t>Нирматрелвир</w:t>
            </w:r>
            <w:r>
              <w:rPr>
                <w:spacing w:val="-13"/>
                <w:sz w:val="20"/>
              </w:rPr>
              <w:t> </w:t>
            </w:r>
            <w:r>
              <w:rPr>
                <w:sz w:val="20"/>
              </w:rPr>
              <w:t>является </w:t>
            </w:r>
            <w:r>
              <w:rPr>
                <w:spacing w:val="-2"/>
                <w:sz w:val="20"/>
              </w:rPr>
              <w:t>пептидомиметическим </w:t>
            </w:r>
            <w:r>
              <w:rPr>
                <w:sz w:val="20"/>
              </w:rPr>
              <w:t>ингибитором основной протеазы SARS-CoV-2 (Mpro или 3CLpro) Ингибирование Mpro SARS-CoV-2 приводит к предотвращению вирусной репликации.</w:t>
            </w:r>
          </w:p>
          <w:p>
            <w:pPr>
              <w:pStyle w:val="TableParagraph"/>
              <w:spacing w:line="276" w:lineRule="auto"/>
              <w:ind w:left="212" w:right="493"/>
              <w:rPr>
                <w:sz w:val="20"/>
              </w:rPr>
            </w:pPr>
            <w:r>
              <w:rPr>
                <w:sz w:val="20"/>
              </w:rPr>
              <w:t>Ритонавир</w:t>
            </w:r>
            <w:r>
              <w:rPr>
                <w:spacing w:val="-13"/>
                <w:sz w:val="20"/>
              </w:rPr>
              <w:t> </w:t>
            </w:r>
            <w:r>
              <w:rPr>
                <w:sz w:val="20"/>
              </w:rPr>
              <w:t>выступает в качестве</w:t>
            </w:r>
          </w:p>
          <w:p>
            <w:pPr>
              <w:pStyle w:val="TableParagraph"/>
              <w:spacing w:line="276" w:lineRule="auto"/>
              <w:ind w:left="212" w:right="138"/>
              <w:rPr>
                <w:sz w:val="20"/>
              </w:rPr>
            </w:pPr>
            <w:r>
              <w:rPr>
                <w:spacing w:val="-2"/>
                <w:sz w:val="20"/>
              </w:rPr>
              <w:t>фармакокинетического </w:t>
            </w:r>
            <w:r>
              <w:rPr>
                <w:sz w:val="20"/>
              </w:rPr>
              <w:t>бустера, помогает замедлить метаболизм или распад нирматрелвира с целью сохранения его активности в течение более длительного времени и в более </w:t>
            </w:r>
            <w:r>
              <w:rPr>
                <w:spacing w:val="-2"/>
                <w:sz w:val="20"/>
              </w:rPr>
              <w:t>высоких концентрациях.</w:t>
            </w:r>
          </w:p>
        </w:tc>
        <w:tc>
          <w:tcPr>
            <w:tcW w:w="1277" w:type="dxa"/>
          </w:tcPr>
          <w:p>
            <w:pPr>
              <w:pStyle w:val="TableParagraph"/>
              <w:spacing w:before="24"/>
              <w:ind w:left="209"/>
              <w:rPr>
                <w:sz w:val="20"/>
              </w:rPr>
            </w:pPr>
            <w:r>
              <w:rPr>
                <w:spacing w:val="-2"/>
                <w:sz w:val="20"/>
              </w:rPr>
              <w:t>Таблетки</w:t>
            </w:r>
          </w:p>
        </w:tc>
        <w:tc>
          <w:tcPr>
            <w:tcW w:w="2977" w:type="dxa"/>
          </w:tcPr>
          <w:p>
            <w:pPr>
              <w:pStyle w:val="TableParagraph"/>
              <w:spacing w:before="24"/>
              <w:ind w:left="155" w:right="102"/>
              <w:jc w:val="both"/>
              <w:rPr>
                <w:sz w:val="20"/>
              </w:rPr>
            </w:pPr>
            <w:r>
              <w:rPr>
                <w:sz w:val="20"/>
              </w:rPr>
              <w:t>Рекомендуемая</w:t>
            </w:r>
            <w:r>
              <w:rPr>
                <w:spacing w:val="-13"/>
                <w:sz w:val="20"/>
              </w:rPr>
              <w:t> </w:t>
            </w:r>
            <w:r>
              <w:rPr>
                <w:sz w:val="20"/>
              </w:rPr>
              <w:t>доза</w:t>
            </w:r>
            <w:r>
              <w:rPr>
                <w:spacing w:val="-12"/>
                <w:sz w:val="20"/>
              </w:rPr>
              <w:t> </w:t>
            </w:r>
            <w:r>
              <w:rPr>
                <w:sz w:val="20"/>
              </w:rPr>
              <w:t>составляет 300 мг</w:t>
            </w:r>
            <w:r>
              <w:rPr>
                <w:spacing w:val="-2"/>
                <w:sz w:val="20"/>
              </w:rPr>
              <w:t> </w:t>
            </w:r>
            <w:r>
              <w:rPr>
                <w:sz w:val="20"/>
              </w:rPr>
              <w:t>нирматрелвира</w:t>
            </w:r>
            <w:r>
              <w:rPr>
                <w:spacing w:val="-1"/>
                <w:sz w:val="20"/>
              </w:rPr>
              <w:t> </w:t>
            </w:r>
            <w:r>
              <w:rPr>
                <w:sz w:val="20"/>
              </w:rPr>
              <w:t>+</w:t>
            </w:r>
            <w:r>
              <w:rPr>
                <w:spacing w:val="-1"/>
                <w:sz w:val="20"/>
              </w:rPr>
              <w:t> </w:t>
            </w:r>
            <w:r>
              <w:rPr>
                <w:sz w:val="20"/>
              </w:rPr>
              <w:t>100</w:t>
            </w:r>
            <w:r>
              <w:rPr>
                <w:spacing w:val="-3"/>
                <w:sz w:val="20"/>
              </w:rPr>
              <w:t> </w:t>
            </w:r>
            <w:r>
              <w:rPr>
                <w:sz w:val="20"/>
              </w:rPr>
              <w:t>мг ритонавира</w:t>
            </w:r>
            <w:r>
              <w:rPr>
                <w:spacing w:val="-13"/>
                <w:sz w:val="20"/>
              </w:rPr>
              <w:t> </w:t>
            </w:r>
            <w:r>
              <w:rPr>
                <w:sz w:val="20"/>
              </w:rPr>
              <w:t>перорально</w:t>
            </w:r>
            <w:r>
              <w:rPr>
                <w:spacing w:val="-12"/>
                <w:sz w:val="20"/>
              </w:rPr>
              <w:t> </w:t>
            </w:r>
            <w:r>
              <w:rPr>
                <w:sz w:val="20"/>
              </w:rPr>
              <w:t>каждые 12 часов.</w:t>
            </w:r>
          </w:p>
          <w:p>
            <w:pPr>
              <w:pStyle w:val="TableParagraph"/>
              <w:ind w:left="155" w:right="236"/>
              <w:rPr>
                <w:sz w:val="20"/>
              </w:rPr>
            </w:pPr>
            <w:r>
              <w:rPr>
                <w:sz w:val="20"/>
              </w:rPr>
              <w:t>Суточная</w:t>
            </w:r>
            <w:r>
              <w:rPr>
                <w:spacing w:val="-13"/>
                <w:sz w:val="20"/>
              </w:rPr>
              <w:t> </w:t>
            </w:r>
            <w:r>
              <w:rPr>
                <w:sz w:val="20"/>
              </w:rPr>
              <w:t>доза</w:t>
            </w:r>
            <w:r>
              <w:rPr>
                <w:spacing w:val="-12"/>
                <w:sz w:val="20"/>
              </w:rPr>
              <w:t> </w:t>
            </w:r>
            <w:r>
              <w:rPr>
                <w:sz w:val="20"/>
              </w:rPr>
              <w:t>составляет</w:t>
            </w:r>
            <w:r>
              <w:rPr>
                <w:spacing w:val="-13"/>
                <w:sz w:val="20"/>
              </w:rPr>
              <w:t> </w:t>
            </w:r>
            <w:r>
              <w:rPr>
                <w:sz w:val="20"/>
              </w:rPr>
              <w:t>600 мг нирматрелвира + 200 мг </w:t>
            </w:r>
            <w:r>
              <w:rPr>
                <w:spacing w:val="-2"/>
                <w:sz w:val="20"/>
              </w:rPr>
              <w:t>ритонавира.</w:t>
            </w:r>
          </w:p>
          <w:p>
            <w:pPr>
              <w:pStyle w:val="TableParagraph"/>
              <w:rPr>
                <w:sz w:val="20"/>
              </w:rPr>
            </w:pPr>
          </w:p>
          <w:p>
            <w:pPr>
              <w:pStyle w:val="TableParagraph"/>
              <w:ind w:left="155" w:right="77"/>
              <w:rPr>
                <w:sz w:val="20"/>
              </w:rPr>
            </w:pPr>
            <w:r>
              <w:rPr>
                <w:sz w:val="20"/>
              </w:rPr>
              <w:t>Лечение препаратом следует начинать как можно раньше после лабораторного подтверждения</w:t>
            </w:r>
            <w:r>
              <w:rPr>
                <w:spacing w:val="-13"/>
                <w:sz w:val="20"/>
              </w:rPr>
              <w:t> </w:t>
            </w:r>
            <w:r>
              <w:rPr>
                <w:sz w:val="20"/>
              </w:rPr>
              <w:t>диагноза</w:t>
            </w:r>
            <w:r>
              <w:rPr>
                <w:spacing w:val="-12"/>
                <w:sz w:val="20"/>
              </w:rPr>
              <w:t> </w:t>
            </w:r>
            <w:r>
              <w:rPr>
                <w:sz w:val="20"/>
              </w:rPr>
              <w:t>и/или при наличии характерной клинической симптоматики новой коронавирусной инфекции (COVID-19).</w:t>
            </w:r>
          </w:p>
          <w:p>
            <w:pPr>
              <w:pStyle w:val="TableParagraph"/>
              <w:spacing w:before="227"/>
              <w:ind w:left="155"/>
              <w:rPr>
                <w:sz w:val="20"/>
              </w:rPr>
            </w:pPr>
            <w:r>
              <w:rPr>
                <w:spacing w:val="-2"/>
                <w:sz w:val="20"/>
              </w:rPr>
              <w:t>Продолжительность </w:t>
            </w:r>
            <w:r>
              <w:rPr>
                <w:spacing w:val="-2"/>
                <w:sz w:val="20"/>
              </w:rPr>
              <w:t>курса </w:t>
            </w:r>
            <w:r>
              <w:rPr>
                <w:sz w:val="20"/>
              </w:rPr>
              <w:t>лечения - 5 суток.</w:t>
            </w:r>
          </w:p>
          <w:p>
            <w:pPr>
              <w:pStyle w:val="TableParagraph"/>
              <w:spacing w:before="228"/>
              <w:ind w:left="155" w:right="236"/>
              <w:rPr>
                <w:sz w:val="20"/>
              </w:rPr>
            </w:pPr>
            <w:r>
              <w:rPr>
                <w:sz w:val="20"/>
              </w:rPr>
              <w:t>Пациенты с нарушением функции почек средней степени</w:t>
            </w:r>
            <w:r>
              <w:rPr>
                <w:spacing w:val="-11"/>
                <w:sz w:val="20"/>
              </w:rPr>
              <w:t> </w:t>
            </w:r>
            <w:r>
              <w:rPr>
                <w:sz w:val="20"/>
              </w:rPr>
              <w:t>тяжести</w:t>
            </w:r>
            <w:r>
              <w:rPr>
                <w:spacing w:val="-11"/>
                <w:sz w:val="20"/>
              </w:rPr>
              <w:t> </w:t>
            </w:r>
            <w:r>
              <w:rPr>
                <w:sz w:val="20"/>
              </w:rPr>
              <w:t>(рСКФ</w:t>
            </w:r>
            <w:r>
              <w:rPr>
                <w:spacing w:val="-8"/>
                <w:sz w:val="20"/>
              </w:rPr>
              <w:t> </w:t>
            </w:r>
            <w:r>
              <w:rPr>
                <w:sz w:val="20"/>
              </w:rPr>
              <w:t>от</w:t>
            </w:r>
            <w:r>
              <w:rPr>
                <w:spacing w:val="-11"/>
                <w:sz w:val="20"/>
              </w:rPr>
              <w:t> </w:t>
            </w:r>
            <w:r>
              <w:rPr>
                <w:sz w:val="20"/>
              </w:rPr>
              <w:t>30 до 60 мл/мин):</w:t>
            </w:r>
          </w:p>
          <w:p>
            <w:pPr>
              <w:pStyle w:val="TableParagraph"/>
              <w:spacing w:before="1"/>
              <w:ind w:left="155"/>
              <w:rPr>
                <w:sz w:val="20"/>
              </w:rPr>
            </w:pPr>
            <w:r>
              <w:rPr>
                <w:sz w:val="20"/>
              </w:rPr>
              <w:t>Доза препарата составляет 150 мг нирматрелвира + 100 мг ритонавира</w:t>
            </w:r>
            <w:r>
              <w:rPr>
                <w:spacing w:val="-13"/>
                <w:sz w:val="20"/>
              </w:rPr>
              <w:t> </w:t>
            </w:r>
            <w:r>
              <w:rPr>
                <w:sz w:val="20"/>
              </w:rPr>
              <w:t>перорально</w:t>
            </w:r>
            <w:r>
              <w:rPr>
                <w:spacing w:val="-12"/>
                <w:sz w:val="20"/>
              </w:rPr>
              <w:t> </w:t>
            </w:r>
            <w:r>
              <w:rPr>
                <w:sz w:val="20"/>
              </w:rPr>
              <w:t>каждые 12 часов в течение 5 дней.</w:t>
            </w:r>
          </w:p>
        </w:tc>
        <w:tc>
          <w:tcPr>
            <w:tcW w:w="6098" w:type="dxa"/>
          </w:tcPr>
          <w:p>
            <w:pPr>
              <w:pStyle w:val="TableParagraph"/>
              <w:numPr>
                <w:ilvl w:val="0"/>
                <w:numId w:val="94"/>
              </w:numPr>
              <w:tabs>
                <w:tab w:pos="274" w:val="left" w:leader="none"/>
                <w:tab w:pos="276" w:val="left" w:leader="none"/>
              </w:tabs>
              <w:spacing w:line="240" w:lineRule="auto" w:before="24" w:after="0"/>
              <w:ind w:left="276" w:right="98" w:hanging="154"/>
              <w:jc w:val="left"/>
              <w:rPr>
                <w:sz w:val="20"/>
              </w:rPr>
            </w:pPr>
            <w:r>
              <w:rPr>
                <w:sz w:val="20"/>
              </w:rPr>
              <w:t>Гиперчувствительность</w:t>
            </w:r>
            <w:r>
              <w:rPr>
                <w:spacing w:val="-9"/>
                <w:sz w:val="20"/>
              </w:rPr>
              <w:t> </w:t>
            </w:r>
            <w:r>
              <w:rPr>
                <w:sz w:val="20"/>
              </w:rPr>
              <w:t>к</w:t>
            </w:r>
            <w:r>
              <w:rPr>
                <w:spacing w:val="-9"/>
                <w:sz w:val="20"/>
              </w:rPr>
              <w:t> </w:t>
            </w:r>
            <w:r>
              <w:rPr>
                <w:sz w:val="20"/>
              </w:rPr>
              <w:t>нирматрелвиру,</w:t>
            </w:r>
            <w:r>
              <w:rPr>
                <w:spacing w:val="-9"/>
                <w:sz w:val="20"/>
              </w:rPr>
              <w:t> </w:t>
            </w:r>
            <w:r>
              <w:rPr>
                <w:sz w:val="20"/>
              </w:rPr>
              <w:t>ритонавиру</w:t>
            </w:r>
            <w:r>
              <w:rPr>
                <w:spacing w:val="-9"/>
                <w:sz w:val="20"/>
              </w:rPr>
              <w:t> </w:t>
            </w:r>
            <w:r>
              <w:rPr>
                <w:sz w:val="20"/>
              </w:rPr>
              <w:t>или</w:t>
            </w:r>
            <w:r>
              <w:rPr>
                <w:spacing w:val="-10"/>
                <w:sz w:val="20"/>
              </w:rPr>
              <w:t> </w:t>
            </w:r>
            <w:r>
              <w:rPr>
                <w:sz w:val="20"/>
              </w:rPr>
              <w:t>любому другому компоненту лекарственного препарата</w:t>
            </w:r>
          </w:p>
          <w:p>
            <w:pPr>
              <w:pStyle w:val="TableParagraph"/>
              <w:numPr>
                <w:ilvl w:val="0"/>
                <w:numId w:val="94"/>
              </w:numPr>
              <w:tabs>
                <w:tab w:pos="274" w:val="left" w:leader="none"/>
                <w:tab w:pos="276" w:val="left" w:leader="none"/>
              </w:tabs>
              <w:spacing w:line="237" w:lineRule="auto" w:before="2" w:after="0"/>
              <w:ind w:left="276" w:right="126" w:hanging="154"/>
              <w:jc w:val="left"/>
              <w:rPr>
                <w:sz w:val="20"/>
              </w:rPr>
            </w:pPr>
            <w:r>
              <w:rPr>
                <w:sz w:val="20"/>
              </w:rPr>
              <w:t>Непереносимость</w:t>
            </w:r>
            <w:r>
              <w:rPr>
                <w:spacing w:val="-10"/>
                <w:sz w:val="20"/>
              </w:rPr>
              <w:t> </w:t>
            </w:r>
            <w:r>
              <w:rPr>
                <w:sz w:val="20"/>
              </w:rPr>
              <w:t>лактозы,</w:t>
            </w:r>
            <w:r>
              <w:rPr>
                <w:spacing w:val="-12"/>
                <w:sz w:val="20"/>
              </w:rPr>
              <w:t> </w:t>
            </w:r>
            <w:r>
              <w:rPr>
                <w:sz w:val="20"/>
              </w:rPr>
              <w:t>дефицит</w:t>
            </w:r>
            <w:r>
              <w:rPr>
                <w:spacing w:val="-11"/>
                <w:sz w:val="20"/>
              </w:rPr>
              <w:t> </w:t>
            </w:r>
            <w:r>
              <w:rPr>
                <w:sz w:val="20"/>
              </w:rPr>
              <w:t>лактазы,</w:t>
            </w:r>
            <w:r>
              <w:rPr>
                <w:spacing w:val="-11"/>
                <w:sz w:val="20"/>
              </w:rPr>
              <w:t> </w:t>
            </w:r>
            <w:r>
              <w:rPr>
                <w:sz w:val="20"/>
              </w:rPr>
              <w:t>глюкозо-галактозная </w:t>
            </w:r>
            <w:r>
              <w:rPr>
                <w:spacing w:val="-2"/>
                <w:sz w:val="20"/>
              </w:rPr>
              <w:t>мальабсорбция</w:t>
            </w:r>
          </w:p>
          <w:p>
            <w:pPr>
              <w:pStyle w:val="TableParagraph"/>
              <w:numPr>
                <w:ilvl w:val="0"/>
                <w:numId w:val="94"/>
              </w:numPr>
              <w:tabs>
                <w:tab w:pos="274" w:val="left" w:leader="none"/>
                <w:tab w:pos="276" w:val="left" w:leader="none"/>
              </w:tabs>
              <w:spacing w:line="240" w:lineRule="auto" w:before="0" w:after="0"/>
              <w:ind w:left="276" w:right="1076" w:hanging="154"/>
              <w:jc w:val="left"/>
              <w:rPr>
                <w:sz w:val="20"/>
              </w:rPr>
            </w:pPr>
            <w:r>
              <w:rPr>
                <w:sz w:val="20"/>
              </w:rPr>
              <w:t>Тяжелая</w:t>
            </w:r>
            <w:r>
              <w:rPr>
                <w:spacing w:val="-10"/>
                <w:sz w:val="20"/>
              </w:rPr>
              <w:t> </w:t>
            </w:r>
            <w:r>
              <w:rPr>
                <w:sz w:val="20"/>
              </w:rPr>
              <w:t>степень</w:t>
            </w:r>
            <w:r>
              <w:rPr>
                <w:spacing w:val="-8"/>
                <w:sz w:val="20"/>
              </w:rPr>
              <w:t> </w:t>
            </w:r>
            <w:r>
              <w:rPr>
                <w:sz w:val="20"/>
              </w:rPr>
              <w:t>печеночной</w:t>
            </w:r>
            <w:r>
              <w:rPr>
                <w:spacing w:val="-10"/>
                <w:sz w:val="20"/>
              </w:rPr>
              <w:t> </w:t>
            </w:r>
            <w:r>
              <w:rPr>
                <w:sz w:val="20"/>
              </w:rPr>
              <w:t>недостаточности</w:t>
            </w:r>
            <w:r>
              <w:rPr>
                <w:spacing w:val="-10"/>
                <w:sz w:val="20"/>
              </w:rPr>
              <w:t> </w:t>
            </w:r>
            <w:r>
              <w:rPr>
                <w:sz w:val="20"/>
              </w:rPr>
              <w:t>(класс</w:t>
            </w:r>
            <w:r>
              <w:rPr>
                <w:spacing w:val="-8"/>
                <w:sz w:val="20"/>
              </w:rPr>
              <w:t> </w:t>
            </w:r>
            <w:r>
              <w:rPr>
                <w:sz w:val="20"/>
              </w:rPr>
              <w:t>С по классификации Чайлд-Пью)</w:t>
            </w:r>
          </w:p>
          <w:p>
            <w:pPr>
              <w:pStyle w:val="TableParagraph"/>
              <w:numPr>
                <w:ilvl w:val="0"/>
                <w:numId w:val="94"/>
              </w:numPr>
              <w:tabs>
                <w:tab w:pos="275" w:val="left" w:leader="none"/>
              </w:tabs>
              <w:spacing w:line="245" w:lineRule="exact" w:before="0" w:after="0"/>
              <w:ind w:left="275" w:right="0" w:hanging="152"/>
              <w:jc w:val="left"/>
              <w:rPr>
                <w:sz w:val="20"/>
              </w:rPr>
            </w:pPr>
            <w:r>
              <w:rPr>
                <w:sz w:val="20"/>
              </w:rPr>
              <w:t>Тяжелая</w:t>
            </w:r>
            <w:r>
              <w:rPr>
                <w:spacing w:val="-8"/>
                <w:sz w:val="20"/>
              </w:rPr>
              <w:t> </w:t>
            </w:r>
            <w:r>
              <w:rPr>
                <w:sz w:val="20"/>
              </w:rPr>
              <w:t>степень</w:t>
            </w:r>
            <w:r>
              <w:rPr>
                <w:spacing w:val="-6"/>
                <w:sz w:val="20"/>
              </w:rPr>
              <w:t> </w:t>
            </w:r>
            <w:r>
              <w:rPr>
                <w:sz w:val="20"/>
              </w:rPr>
              <w:t>почечной</w:t>
            </w:r>
            <w:r>
              <w:rPr>
                <w:spacing w:val="-8"/>
                <w:sz w:val="20"/>
              </w:rPr>
              <w:t> </w:t>
            </w:r>
            <w:r>
              <w:rPr>
                <w:sz w:val="20"/>
              </w:rPr>
              <w:t>недостаточности</w:t>
            </w:r>
            <w:r>
              <w:rPr>
                <w:spacing w:val="-8"/>
                <w:sz w:val="20"/>
              </w:rPr>
              <w:t> </w:t>
            </w:r>
            <w:r>
              <w:rPr>
                <w:sz w:val="20"/>
              </w:rPr>
              <w:t>(рСКФ</w:t>
            </w:r>
            <w:r>
              <w:rPr>
                <w:spacing w:val="-7"/>
                <w:sz w:val="20"/>
              </w:rPr>
              <w:t> </w:t>
            </w:r>
            <w:r>
              <w:rPr>
                <w:sz w:val="20"/>
              </w:rPr>
              <w:t>&lt;</w:t>
            </w:r>
            <w:r>
              <w:rPr>
                <w:spacing w:val="-7"/>
                <w:sz w:val="20"/>
              </w:rPr>
              <w:t> </w:t>
            </w:r>
            <w:r>
              <w:rPr>
                <w:sz w:val="20"/>
              </w:rPr>
              <w:t>30</w:t>
            </w:r>
            <w:r>
              <w:rPr>
                <w:spacing w:val="-6"/>
                <w:sz w:val="20"/>
              </w:rPr>
              <w:t> </w:t>
            </w:r>
            <w:r>
              <w:rPr>
                <w:spacing w:val="-2"/>
                <w:sz w:val="20"/>
              </w:rPr>
              <w:t>мл/мин)</w:t>
            </w:r>
          </w:p>
          <w:p>
            <w:pPr>
              <w:pStyle w:val="TableParagraph"/>
              <w:numPr>
                <w:ilvl w:val="0"/>
                <w:numId w:val="94"/>
              </w:numPr>
              <w:tabs>
                <w:tab w:pos="274" w:val="left" w:leader="none"/>
                <w:tab w:pos="276" w:val="left" w:leader="none"/>
              </w:tabs>
              <w:spacing w:line="237" w:lineRule="auto" w:before="2" w:after="0"/>
              <w:ind w:left="276" w:right="411" w:hanging="154"/>
              <w:jc w:val="left"/>
              <w:rPr>
                <w:sz w:val="20"/>
              </w:rPr>
            </w:pPr>
            <w:r>
              <w:rPr>
                <w:sz w:val="20"/>
              </w:rPr>
              <w:t>Средняя</w:t>
            </w:r>
            <w:r>
              <w:rPr>
                <w:spacing w:val="-7"/>
                <w:sz w:val="20"/>
              </w:rPr>
              <w:t> </w:t>
            </w:r>
            <w:r>
              <w:rPr>
                <w:sz w:val="20"/>
              </w:rPr>
              <w:t>степень</w:t>
            </w:r>
            <w:r>
              <w:rPr>
                <w:spacing w:val="-4"/>
                <w:sz w:val="20"/>
              </w:rPr>
              <w:t> </w:t>
            </w:r>
            <w:r>
              <w:rPr>
                <w:sz w:val="20"/>
              </w:rPr>
              <w:t>почечной</w:t>
            </w:r>
            <w:r>
              <w:rPr>
                <w:spacing w:val="-5"/>
                <w:sz w:val="20"/>
              </w:rPr>
              <w:t> </w:t>
            </w:r>
            <w:r>
              <w:rPr>
                <w:sz w:val="20"/>
              </w:rPr>
              <w:t>недостаточности</w:t>
            </w:r>
            <w:r>
              <w:rPr>
                <w:spacing w:val="-7"/>
                <w:sz w:val="20"/>
              </w:rPr>
              <w:t> </w:t>
            </w:r>
            <w:r>
              <w:rPr>
                <w:sz w:val="20"/>
              </w:rPr>
              <w:t>(рСКФ</w:t>
            </w:r>
            <w:r>
              <w:rPr>
                <w:spacing w:val="-6"/>
                <w:sz w:val="20"/>
              </w:rPr>
              <w:t> </w:t>
            </w:r>
            <w:r>
              <w:rPr>
                <w:sz w:val="20"/>
              </w:rPr>
              <w:t>от</w:t>
            </w:r>
            <w:r>
              <w:rPr>
                <w:spacing w:val="-7"/>
                <w:sz w:val="20"/>
              </w:rPr>
              <w:t> </w:t>
            </w:r>
            <w:r>
              <w:rPr>
                <w:sz w:val="20"/>
              </w:rPr>
              <w:t>30</w:t>
            </w:r>
            <w:r>
              <w:rPr>
                <w:spacing w:val="-5"/>
                <w:sz w:val="20"/>
              </w:rPr>
              <w:t> </w:t>
            </w:r>
            <w:r>
              <w:rPr>
                <w:sz w:val="20"/>
              </w:rPr>
              <w:t>до</w:t>
            </w:r>
            <w:r>
              <w:rPr>
                <w:spacing w:val="-6"/>
                <w:sz w:val="20"/>
              </w:rPr>
              <w:t> </w:t>
            </w:r>
            <w:r>
              <w:rPr>
                <w:sz w:val="20"/>
              </w:rPr>
              <w:t>60 мл/мин), при невозможности коррекции дозы нирматрелвира</w:t>
            </w:r>
          </w:p>
          <w:p>
            <w:pPr>
              <w:pStyle w:val="TableParagraph"/>
              <w:numPr>
                <w:ilvl w:val="0"/>
                <w:numId w:val="94"/>
              </w:numPr>
              <w:tabs>
                <w:tab w:pos="275" w:val="left" w:leader="none"/>
              </w:tabs>
              <w:spacing w:line="245" w:lineRule="exact" w:before="0" w:after="0"/>
              <w:ind w:left="275" w:right="0" w:hanging="152"/>
              <w:jc w:val="left"/>
              <w:rPr>
                <w:sz w:val="20"/>
              </w:rPr>
            </w:pPr>
            <w:r>
              <w:rPr>
                <w:sz w:val="20"/>
              </w:rPr>
              <w:t>Беременность</w:t>
            </w:r>
            <w:r>
              <w:rPr>
                <w:spacing w:val="-12"/>
                <w:sz w:val="20"/>
              </w:rPr>
              <w:t> </w:t>
            </w:r>
            <w:r>
              <w:rPr>
                <w:sz w:val="20"/>
              </w:rPr>
              <w:t>или</w:t>
            </w:r>
            <w:r>
              <w:rPr>
                <w:spacing w:val="-12"/>
                <w:sz w:val="20"/>
              </w:rPr>
              <w:t> </w:t>
            </w:r>
            <w:r>
              <w:rPr>
                <w:sz w:val="20"/>
              </w:rPr>
              <w:t>планирование</w:t>
            </w:r>
            <w:r>
              <w:rPr>
                <w:spacing w:val="-11"/>
                <w:sz w:val="20"/>
              </w:rPr>
              <w:t> </w:t>
            </w:r>
            <w:r>
              <w:rPr>
                <w:spacing w:val="-2"/>
                <w:sz w:val="20"/>
              </w:rPr>
              <w:t>беременности</w:t>
            </w:r>
          </w:p>
          <w:p>
            <w:pPr>
              <w:pStyle w:val="TableParagraph"/>
              <w:numPr>
                <w:ilvl w:val="0"/>
                <w:numId w:val="94"/>
              </w:numPr>
              <w:tabs>
                <w:tab w:pos="275" w:val="left" w:leader="none"/>
              </w:tabs>
              <w:spacing w:line="245" w:lineRule="exact" w:before="0" w:after="0"/>
              <w:ind w:left="275" w:right="0" w:hanging="152"/>
              <w:jc w:val="left"/>
              <w:rPr>
                <w:sz w:val="20"/>
              </w:rPr>
            </w:pPr>
            <w:r>
              <w:rPr>
                <w:sz w:val="20"/>
              </w:rPr>
              <w:t>Период</w:t>
            </w:r>
            <w:r>
              <w:rPr>
                <w:spacing w:val="-8"/>
                <w:sz w:val="20"/>
              </w:rPr>
              <w:t> </w:t>
            </w:r>
            <w:r>
              <w:rPr>
                <w:sz w:val="20"/>
              </w:rPr>
              <w:t>грудного</w:t>
            </w:r>
            <w:r>
              <w:rPr>
                <w:spacing w:val="-7"/>
                <w:sz w:val="20"/>
              </w:rPr>
              <w:t> </w:t>
            </w:r>
            <w:r>
              <w:rPr>
                <w:spacing w:val="-2"/>
                <w:sz w:val="20"/>
              </w:rPr>
              <w:t>вскармливания</w:t>
            </w:r>
          </w:p>
          <w:p>
            <w:pPr>
              <w:pStyle w:val="TableParagraph"/>
              <w:numPr>
                <w:ilvl w:val="0"/>
                <w:numId w:val="94"/>
              </w:numPr>
              <w:tabs>
                <w:tab w:pos="275" w:val="left" w:leader="none"/>
              </w:tabs>
              <w:spacing w:line="245" w:lineRule="exact" w:before="0" w:after="0"/>
              <w:ind w:left="275" w:right="0" w:hanging="152"/>
              <w:jc w:val="left"/>
              <w:rPr>
                <w:sz w:val="20"/>
              </w:rPr>
            </w:pPr>
            <w:r>
              <w:rPr>
                <w:sz w:val="20"/>
              </w:rPr>
              <w:t>Детский</w:t>
            </w:r>
            <w:r>
              <w:rPr>
                <w:spacing w:val="-5"/>
                <w:sz w:val="20"/>
              </w:rPr>
              <w:t> </w:t>
            </w:r>
            <w:r>
              <w:rPr>
                <w:sz w:val="20"/>
              </w:rPr>
              <w:t>возраст</w:t>
            </w:r>
            <w:r>
              <w:rPr>
                <w:spacing w:val="-5"/>
                <w:sz w:val="20"/>
              </w:rPr>
              <w:t> </w:t>
            </w:r>
            <w:r>
              <w:rPr>
                <w:sz w:val="20"/>
              </w:rPr>
              <w:t>до</w:t>
            </w:r>
            <w:r>
              <w:rPr>
                <w:spacing w:val="-4"/>
                <w:sz w:val="20"/>
              </w:rPr>
              <w:t> </w:t>
            </w:r>
            <w:r>
              <w:rPr>
                <w:sz w:val="20"/>
              </w:rPr>
              <w:t>18</w:t>
            </w:r>
            <w:r>
              <w:rPr>
                <w:spacing w:val="-3"/>
                <w:sz w:val="20"/>
              </w:rPr>
              <w:t> </w:t>
            </w:r>
            <w:r>
              <w:rPr>
                <w:spacing w:val="-5"/>
                <w:sz w:val="20"/>
              </w:rPr>
              <w:t>лет</w:t>
            </w:r>
          </w:p>
          <w:p>
            <w:pPr>
              <w:pStyle w:val="TableParagraph"/>
              <w:numPr>
                <w:ilvl w:val="0"/>
                <w:numId w:val="94"/>
              </w:numPr>
              <w:tabs>
                <w:tab w:pos="275" w:val="left" w:leader="none"/>
              </w:tabs>
              <w:spacing w:line="243" w:lineRule="exact" w:before="0" w:after="0"/>
              <w:ind w:left="275" w:right="0" w:hanging="152"/>
              <w:jc w:val="left"/>
              <w:rPr>
                <w:sz w:val="20"/>
              </w:rPr>
            </w:pPr>
            <w:r>
              <w:rPr>
                <w:sz w:val="20"/>
              </w:rPr>
              <w:t>Лекарственные</w:t>
            </w:r>
            <w:r>
              <w:rPr>
                <w:spacing w:val="-11"/>
                <w:sz w:val="20"/>
              </w:rPr>
              <w:t> </w:t>
            </w:r>
            <w:r>
              <w:rPr>
                <w:sz w:val="20"/>
              </w:rPr>
              <w:t>средства,</w:t>
            </w:r>
            <w:r>
              <w:rPr>
                <w:spacing w:val="-10"/>
                <w:sz w:val="20"/>
              </w:rPr>
              <w:t> </w:t>
            </w:r>
            <w:r>
              <w:rPr>
                <w:sz w:val="20"/>
              </w:rPr>
              <w:t>клиренс</w:t>
            </w:r>
            <w:r>
              <w:rPr>
                <w:spacing w:val="-10"/>
                <w:sz w:val="20"/>
              </w:rPr>
              <w:t> </w:t>
            </w:r>
            <w:r>
              <w:rPr>
                <w:sz w:val="20"/>
              </w:rPr>
              <w:t>которых</w:t>
            </w:r>
            <w:r>
              <w:rPr>
                <w:spacing w:val="-9"/>
                <w:sz w:val="20"/>
              </w:rPr>
              <w:t> </w:t>
            </w:r>
            <w:r>
              <w:rPr>
                <w:sz w:val="20"/>
              </w:rPr>
              <w:t>сильно</w:t>
            </w:r>
            <w:r>
              <w:rPr>
                <w:spacing w:val="-9"/>
                <w:sz w:val="20"/>
              </w:rPr>
              <w:t> </w:t>
            </w:r>
            <w:r>
              <w:rPr>
                <w:spacing w:val="-2"/>
                <w:sz w:val="20"/>
              </w:rPr>
              <w:t>зависит</w:t>
            </w:r>
          </w:p>
          <w:p>
            <w:pPr>
              <w:pStyle w:val="TableParagraph"/>
              <w:ind w:left="276" w:right="498"/>
              <w:rPr>
                <w:sz w:val="20"/>
              </w:rPr>
            </w:pPr>
            <w:r>
              <w:rPr>
                <w:sz w:val="20"/>
              </w:rPr>
              <w:t>от</w:t>
            </w:r>
            <w:r>
              <w:rPr>
                <w:spacing w:val="-8"/>
                <w:sz w:val="20"/>
              </w:rPr>
              <w:t> </w:t>
            </w:r>
            <w:r>
              <w:rPr>
                <w:sz w:val="20"/>
              </w:rPr>
              <w:t>CYP3A</w:t>
            </w:r>
            <w:r>
              <w:rPr>
                <w:spacing w:val="-7"/>
                <w:sz w:val="20"/>
              </w:rPr>
              <w:t> </w:t>
            </w:r>
            <w:r>
              <w:rPr>
                <w:sz w:val="20"/>
              </w:rPr>
              <w:t>и</w:t>
            </w:r>
            <w:r>
              <w:rPr>
                <w:spacing w:val="-7"/>
                <w:sz w:val="20"/>
              </w:rPr>
              <w:t> </w:t>
            </w:r>
            <w:r>
              <w:rPr>
                <w:sz w:val="20"/>
              </w:rPr>
              <w:t>для</w:t>
            </w:r>
            <w:r>
              <w:rPr>
                <w:spacing w:val="-6"/>
                <w:sz w:val="20"/>
              </w:rPr>
              <w:t> </w:t>
            </w:r>
            <w:r>
              <w:rPr>
                <w:sz w:val="20"/>
              </w:rPr>
              <w:t>которых</w:t>
            </w:r>
            <w:r>
              <w:rPr>
                <w:spacing w:val="-7"/>
                <w:sz w:val="20"/>
              </w:rPr>
              <w:t> </w:t>
            </w:r>
            <w:r>
              <w:rPr>
                <w:sz w:val="20"/>
              </w:rPr>
              <w:t>повышенные</w:t>
            </w:r>
            <w:r>
              <w:rPr>
                <w:spacing w:val="-7"/>
                <w:sz w:val="20"/>
              </w:rPr>
              <w:t> </w:t>
            </w:r>
            <w:r>
              <w:rPr>
                <w:sz w:val="20"/>
              </w:rPr>
              <w:t>концентрации</w:t>
            </w:r>
            <w:r>
              <w:rPr>
                <w:spacing w:val="-8"/>
                <w:sz w:val="20"/>
              </w:rPr>
              <w:t> </w:t>
            </w:r>
            <w:r>
              <w:rPr>
                <w:sz w:val="20"/>
              </w:rPr>
              <w:t>связаны с серьезными и/или опасными для жизни реакциями</w:t>
            </w:r>
          </w:p>
          <w:p>
            <w:pPr>
              <w:pStyle w:val="TableParagraph"/>
              <w:numPr>
                <w:ilvl w:val="0"/>
                <w:numId w:val="94"/>
              </w:numPr>
              <w:tabs>
                <w:tab w:pos="274" w:val="left" w:leader="none"/>
                <w:tab w:pos="276" w:val="left" w:leader="none"/>
              </w:tabs>
              <w:spacing w:line="240" w:lineRule="auto" w:before="0" w:after="0"/>
              <w:ind w:left="276" w:right="232" w:hanging="154"/>
              <w:jc w:val="left"/>
              <w:rPr>
                <w:sz w:val="20"/>
              </w:rPr>
            </w:pPr>
            <w:r>
              <w:rPr>
                <w:sz w:val="20"/>
              </w:rPr>
              <w:t>Лекарственные средства, являющиеся мощными индукторами CYP3A, которые значительно снижают концентрации нирматрелвира/ритонавира</w:t>
            </w:r>
            <w:r>
              <w:rPr>
                <w:spacing w:val="-9"/>
                <w:sz w:val="20"/>
              </w:rPr>
              <w:t> </w:t>
            </w:r>
            <w:r>
              <w:rPr>
                <w:sz w:val="20"/>
              </w:rPr>
              <w:t>в</w:t>
            </w:r>
            <w:r>
              <w:rPr>
                <w:spacing w:val="-9"/>
                <w:sz w:val="20"/>
              </w:rPr>
              <w:t> </w:t>
            </w:r>
            <w:r>
              <w:rPr>
                <w:sz w:val="20"/>
              </w:rPr>
              <w:t>плазме</w:t>
            </w:r>
            <w:r>
              <w:rPr>
                <w:spacing w:val="-9"/>
                <w:sz w:val="20"/>
              </w:rPr>
              <w:t> </w:t>
            </w:r>
            <w:r>
              <w:rPr>
                <w:sz w:val="20"/>
              </w:rPr>
              <w:t>крови,</w:t>
            </w:r>
            <w:r>
              <w:rPr>
                <w:spacing w:val="-9"/>
                <w:sz w:val="20"/>
              </w:rPr>
              <w:t> </w:t>
            </w:r>
            <w:r>
              <w:rPr>
                <w:sz w:val="20"/>
              </w:rPr>
              <w:t>что</w:t>
            </w:r>
            <w:r>
              <w:rPr>
                <w:spacing w:val="-8"/>
                <w:sz w:val="20"/>
              </w:rPr>
              <w:t> </w:t>
            </w:r>
            <w:r>
              <w:rPr>
                <w:sz w:val="20"/>
              </w:rPr>
              <w:t>может</w:t>
            </w:r>
            <w:r>
              <w:rPr>
                <w:spacing w:val="-9"/>
                <w:sz w:val="20"/>
              </w:rPr>
              <w:t> </w:t>
            </w:r>
            <w:r>
              <w:rPr>
                <w:sz w:val="20"/>
              </w:rPr>
              <w:t>приводить к потере вирусологического ответа и возможному развитию </w:t>
            </w:r>
            <w:r>
              <w:rPr>
                <w:spacing w:val="-2"/>
                <w:sz w:val="20"/>
              </w:rPr>
              <w:t>резистентности</w:t>
            </w:r>
          </w:p>
          <w:p>
            <w:pPr>
              <w:pStyle w:val="TableParagraph"/>
              <w:numPr>
                <w:ilvl w:val="0"/>
                <w:numId w:val="94"/>
              </w:numPr>
              <w:tabs>
                <w:tab w:pos="274" w:val="left" w:leader="none"/>
                <w:tab w:pos="276" w:val="left" w:leader="none"/>
              </w:tabs>
              <w:spacing w:line="240" w:lineRule="auto" w:before="0" w:after="0"/>
              <w:ind w:left="276" w:right="234" w:hanging="154"/>
              <w:jc w:val="left"/>
              <w:rPr>
                <w:sz w:val="20"/>
              </w:rPr>
            </w:pPr>
            <w:r>
              <w:rPr>
                <w:sz w:val="20"/>
              </w:rPr>
              <w:t>Лекарственные средства, перечисленные ниже, строго противопоказаны</w:t>
            </w:r>
            <w:r>
              <w:rPr>
                <w:spacing w:val="-9"/>
                <w:sz w:val="20"/>
              </w:rPr>
              <w:t> </w:t>
            </w:r>
            <w:r>
              <w:rPr>
                <w:sz w:val="20"/>
              </w:rPr>
              <w:t>для</w:t>
            </w:r>
            <w:r>
              <w:rPr>
                <w:spacing w:val="-10"/>
                <w:sz w:val="20"/>
              </w:rPr>
              <w:t> </w:t>
            </w:r>
            <w:r>
              <w:rPr>
                <w:sz w:val="20"/>
              </w:rPr>
              <w:t>совместного</w:t>
            </w:r>
            <w:r>
              <w:rPr>
                <w:spacing w:val="-8"/>
                <w:sz w:val="20"/>
              </w:rPr>
              <w:t> </w:t>
            </w:r>
            <w:r>
              <w:rPr>
                <w:sz w:val="20"/>
              </w:rPr>
              <w:t>приема</w:t>
            </w:r>
            <w:r>
              <w:rPr>
                <w:spacing w:val="-9"/>
                <w:sz w:val="20"/>
              </w:rPr>
              <w:t> </w:t>
            </w:r>
            <w:r>
              <w:rPr>
                <w:sz w:val="20"/>
              </w:rPr>
              <w:t>с</w:t>
            </w:r>
            <w:r>
              <w:rPr>
                <w:spacing w:val="-9"/>
                <w:sz w:val="20"/>
              </w:rPr>
              <w:t> </w:t>
            </w:r>
            <w:r>
              <w:rPr>
                <w:sz w:val="20"/>
              </w:rPr>
              <w:t>препаратом.</w:t>
            </w:r>
            <w:r>
              <w:rPr>
                <w:spacing w:val="-9"/>
                <w:sz w:val="20"/>
              </w:rPr>
              <w:t> </w:t>
            </w:r>
            <w:r>
              <w:rPr>
                <w:sz w:val="20"/>
              </w:rPr>
              <w:t>Данный перечень является обязательным, но не исчерпывающим:</w:t>
            </w:r>
          </w:p>
          <w:p>
            <w:pPr>
              <w:pStyle w:val="TableParagraph"/>
              <w:numPr>
                <w:ilvl w:val="1"/>
                <w:numId w:val="94"/>
              </w:numPr>
              <w:tabs>
                <w:tab w:pos="845" w:val="left" w:leader="none"/>
              </w:tabs>
              <w:spacing w:line="240" w:lineRule="auto" w:before="0" w:after="0"/>
              <w:ind w:left="845" w:right="0" w:hanging="360"/>
              <w:jc w:val="left"/>
              <w:rPr>
                <w:sz w:val="20"/>
              </w:rPr>
            </w:pPr>
            <w:r>
              <w:rPr>
                <w:sz w:val="20"/>
              </w:rPr>
              <w:t>альфа1-адреноблокаторы</w:t>
            </w:r>
            <w:r>
              <w:rPr>
                <w:spacing w:val="-10"/>
                <w:sz w:val="20"/>
              </w:rPr>
              <w:t> </w:t>
            </w:r>
            <w:r>
              <w:rPr>
                <w:sz w:val="20"/>
              </w:rPr>
              <w:t>-</w:t>
            </w:r>
            <w:r>
              <w:rPr>
                <w:spacing w:val="-10"/>
                <w:sz w:val="20"/>
              </w:rPr>
              <w:t> </w:t>
            </w:r>
            <w:r>
              <w:rPr>
                <w:spacing w:val="-2"/>
                <w:sz w:val="20"/>
              </w:rPr>
              <w:t>алфузозин;</w:t>
            </w:r>
          </w:p>
          <w:p>
            <w:pPr>
              <w:pStyle w:val="TableParagraph"/>
              <w:numPr>
                <w:ilvl w:val="1"/>
                <w:numId w:val="94"/>
              </w:numPr>
              <w:tabs>
                <w:tab w:pos="845" w:val="left" w:leader="none"/>
              </w:tabs>
              <w:spacing w:line="229" w:lineRule="exact" w:before="0" w:after="0"/>
              <w:ind w:left="845" w:right="0" w:hanging="360"/>
              <w:jc w:val="left"/>
              <w:rPr>
                <w:sz w:val="20"/>
              </w:rPr>
            </w:pPr>
            <w:r>
              <w:rPr>
                <w:sz w:val="20"/>
              </w:rPr>
              <w:t>анальгетики</w:t>
            </w:r>
            <w:r>
              <w:rPr>
                <w:spacing w:val="-9"/>
                <w:sz w:val="20"/>
              </w:rPr>
              <w:t> </w:t>
            </w:r>
            <w:r>
              <w:rPr>
                <w:sz w:val="20"/>
              </w:rPr>
              <w:t>-</w:t>
            </w:r>
            <w:r>
              <w:rPr>
                <w:spacing w:val="-8"/>
                <w:sz w:val="20"/>
              </w:rPr>
              <w:t> </w:t>
            </w:r>
            <w:r>
              <w:rPr>
                <w:sz w:val="20"/>
              </w:rPr>
              <w:t>петидин,</w:t>
            </w:r>
            <w:r>
              <w:rPr>
                <w:spacing w:val="-8"/>
                <w:sz w:val="20"/>
              </w:rPr>
              <w:t> </w:t>
            </w:r>
            <w:r>
              <w:rPr>
                <w:sz w:val="20"/>
              </w:rPr>
              <w:t>пироксикам,</w:t>
            </w:r>
            <w:r>
              <w:rPr>
                <w:spacing w:val="-9"/>
                <w:sz w:val="20"/>
              </w:rPr>
              <w:t> </w:t>
            </w:r>
            <w:r>
              <w:rPr>
                <w:spacing w:val="-2"/>
                <w:sz w:val="20"/>
              </w:rPr>
              <w:t>пропоксифен;</w:t>
            </w:r>
          </w:p>
          <w:p>
            <w:pPr>
              <w:pStyle w:val="TableParagraph"/>
              <w:numPr>
                <w:ilvl w:val="1"/>
                <w:numId w:val="94"/>
              </w:numPr>
              <w:tabs>
                <w:tab w:pos="845" w:val="left" w:leader="none"/>
              </w:tabs>
              <w:spacing w:line="229" w:lineRule="exact" w:before="0" w:after="0"/>
              <w:ind w:left="845" w:right="0" w:hanging="360"/>
              <w:jc w:val="left"/>
              <w:rPr>
                <w:sz w:val="20"/>
              </w:rPr>
            </w:pPr>
            <w:r>
              <w:rPr>
                <w:sz w:val="20"/>
              </w:rPr>
              <w:t>антиангинальные</w:t>
            </w:r>
            <w:r>
              <w:rPr>
                <w:spacing w:val="-11"/>
                <w:sz w:val="20"/>
              </w:rPr>
              <w:t> </w:t>
            </w:r>
            <w:r>
              <w:rPr>
                <w:sz w:val="20"/>
              </w:rPr>
              <w:t>средства</w:t>
            </w:r>
            <w:r>
              <w:rPr>
                <w:spacing w:val="-8"/>
                <w:sz w:val="20"/>
              </w:rPr>
              <w:t> </w:t>
            </w:r>
            <w:r>
              <w:rPr>
                <w:sz w:val="20"/>
              </w:rPr>
              <w:t>–</w:t>
            </w:r>
            <w:r>
              <w:rPr>
                <w:spacing w:val="-9"/>
                <w:sz w:val="20"/>
              </w:rPr>
              <w:t> </w:t>
            </w:r>
            <w:r>
              <w:rPr>
                <w:spacing w:val="-2"/>
                <w:sz w:val="20"/>
              </w:rPr>
              <w:t>ранолазин;</w:t>
            </w:r>
          </w:p>
          <w:p>
            <w:pPr>
              <w:pStyle w:val="TableParagraph"/>
              <w:numPr>
                <w:ilvl w:val="1"/>
                <w:numId w:val="94"/>
              </w:numPr>
              <w:tabs>
                <w:tab w:pos="845" w:val="left" w:leader="none"/>
              </w:tabs>
              <w:spacing w:line="240" w:lineRule="auto" w:before="0" w:after="0"/>
              <w:ind w:left="845" w:right="0" w:hanging="360"/>
              <w:jc w:val="left"/>
              <w:rPr>
                <w:sz w:val="20"/>
              </w:rPr>
            </w:pPr>
            <w:r>
              <w:rPr>
                <w:sz w:val="20"/>
              </w:rPr>
              <w:t>противоопухолевые</w:t>
            </w:r>
            <w:r>
              <w:rPr>
                <w:spacing w:val="-10"/>
                <w:sz w:val="20"/>
              </w:rPr>
              <w:t> </w:t>
            </w:r>
            <w:r>
              <w:rPr>
                <w:sz w:val="20"/>
              </w:rPr>
              <w:t>средства</w:t>
            </w:r>
            <w:r>
              <w:rPr>
                <w:spacing w:val="-8"/>
                <w:sz w:val="20"/>
              </w:rPr>
              <w:t> </w:t>
            </w:r>
            <w:r>
              <w:rPr>
                <w:sz w:val="20"/>
              </w:rPr>
              <w:t>–</w:t>
            </w:r>
            <w:r>
              <w:rPr>
                <w:spacing w:val="-9"/>
                <w:sz w:val="20"/>
              </w:rPr>
              <w:t> </w:t>
            </w:r>
            <w:r>
              <w:rPr>
                <w:sz w:val="20"/>
              </w:rPr>
              <w:t>нератиниб,</w:t>
            </w:r>
            <w:r>
              <w:rPr>
                <w:spacing w:val="-9"/>
                <w:sz w:val="20"/>
              </w:rPr>
              <w:t> </w:t>
            </w:r>
            <w:r>
              <w:rPr>
                <w:spacing w:val="-2"/>
                <w:sz w:val="20"/>
              </w:rPr>
              <w:t>венетоклакс;</w:t>
            </w:r>
          </w:p>
          <w:p>
            <w:pPr>
              <w:pStyle w:val="TableParagraph"/>
              <w:numPr>
                <w:ilvl w:val="1"/>
                <w:numId w:val="94"/>
              </w:numPr>
              <w:tabs>
                <w:tab w:pos="845" w:val="left" w:leader="none"/>
              </w:tabs>
              <w:spacing w:line="240" w:lineRule="auto" w:before="0" w:after="0"/>
              <w:ind w:left="845" w:right="302" w:hanging="360"/>
              <w:jc w:val="left"/>
              <w:rPr>
                <w:sz w:val="20"/>
              </w:rPr>
            </w:pPr>
            <w:r>
              <w:rPr>
                <w:sz w:val="20"/>
              </w:rPr>
              <w:t>антиаритмические средства – амиодарон, бепридил, дронедарон,</w:t>
            </w:r>
            <w:r>
              <w:rPr>
                <w:spacing w:val="-13"/>
                <w:sz w:val="20"/>
              </w:rPr>
              <w:t> </w:t>
            </w:r>
            <w:r>
              <w:rPr>
                <w:sz w:val="20"/>
              </w:rPr>
              <w:t>энкаинид,</w:t>
            </w:r>
            <w:r>
              <w:rPr>
                <w:spacing w:val="-12"/>
                <w:sz w:val="20"/>
              </w:rPr>
              <w:t> </w:t>
            </w:r>
            <w:r>
              <w:rPr>
                <w:sz w:val="20"/>
              </w:rPr>
              <w:t>флекаинид,</w:t>
            </w:r>
            <w:r>
              <w:rPr>
                <w:spacing w:val="-13"/>
                <w:sz w:val="20"/>
              </w:rPr>
              <w:t> </w:t>
            </w:r>
            <w:r>
              <w:rPr>
                <w:sz w:val="20"/>
              </w:rPr>
              <w:t>пропафенон,</w:t>
            </w:r>
            <w:r>
              <w:rPr>
                <w:spacing w:val="-12"/>
                <w:sz w:val="20"/>
              </w:rPr>
              <w:t> </w:t>
            </w:r>
            <w:r>
              <w:rPr>
                <w:sz w:val="20"/>
              </w:rPr>
              <w:t>хинидин;</w:t>
            </w:r>
          </w:p>
          <w:p>
            <w:pPr>
              <w:pStyle w:val="TableParagraph"/>
              <w:numPr>
                <w:ilvl w:val="1"/>
                <w:numId w:val="94"/>
              </w:numPr>
              <w:tabs>
                <w:tab w:pos="845" w:val="left" w:leader="none"/>
              </w:tabs>
              <w:spacing w:line="229" w:lineRule="exact" w:before="0" w:after="0"/>
              <w:ind w:left="845" w:right="0" w:hanging="360"/>
              <w:jc w:val="left"/>
              <w:rPr>
                <w:sz w:val="20"/>
              </w:rPr>
            </w:pPr>
            <w:r>
              <w:rPr>
                <w:sz w:val="20"/>
              </w:rPr>
              <w:t>антибиотики</w:t>
            </w:r>
            <w:r>
              <w:rPr>
                <w:spacing w:val="-8"/>
                <w:sz w:val="20"/>
              </w:rPr>
              <w:t> </w:t>
            </w:r>
            <w:r>
              <w:rPr>
                <w:sz w:val="20"/>
              </w:rPr>
              <w:t>–</w:t>
            </w:r>
            <w:r>
              <w:rPr>
                <w:spacing w:val="-6"/>
                <w:sz w:val="20"/>
              </w:rPr>
              <w:t> </w:t>
            </w:r>
            <w:r>
              <w:rPr>
                <w:sz w:val="20"/>
              </w:rPr>
              <w:t>фузидовая</w:t>
            </w:r>
            <w:r>
              <w:rPr>
                <w:spacing w:val="-8"/>
                <w:sz w:val="20"/>
              </w:rPr>
              <w:t> </w:t>
            </w:r>
            <w:r>
              <w:rPr>
                <w:sz w:val="20"/>
              </w:rPr>
              <w:t>кислота,</w:t>
            </w:r>
            <w:r>
              <w:rPr>
                <w:spacing w:val="-7"/>
                <w:sz w:val="20"/>
              </w:rPr>
              <w:t> </w:t>
            </w:r>
            <w:r>
              <w:rPr>
                <w:spacing w:val="-2"/>
                <w:sz w:val="20"/>
              </w:rPr>
              <w:t>рифампицин;</w:t>
            </w:r>
          </w:p>
          <w:p>
            <w:pPr>
              <w:pStyle w:val="TableParagraph"/>
              <w:numPr>
                <w:ilvl w:val="1"/>
                <w:numId w:val="94"/>
              </w:numPr>
              <w:tabs>
                <w:tab w:pos="845" w:val="left" w:leader="none"/>
              </w:tabs>
              <w:spacing w:line="240" w:lineRule="auto" w:before="0" w:after="0"/>
              <w:ind w:left="845" w:right="1273" w:hanging="360"/>
              <w:jc w:val="left"/>
              <w:rPr>
                <w:sz w:val="20"/>
              </w:rPr>
            </w:pPr>
            <w:r>
              <w:rPr>
                <w:sz w:val="20"/>
              </w:rPr>
              <w:t>противосудорожные</w:t>
            </w:r>
            <w:r>
              <w:rPr>
                <w:spacing w:val="-13"/>
                <w:sz w:val="20"/>
              </w:rPr>
              <w:t> </w:t>
            </w:r>
            <w:r>
              <w:rPr>
                <w:sz w:val="20"/>
              </w:rPr>
              <w:t>средства</w:t>
            </w:r>
            <w:r>
              <w:rPr>
                <w:spacing w:val="-12"/>
                <w:sz w:val="20"/>
              </w:rPr>
              <w:t> </w:t>
            </w:r>
            <w:r>
              <w:rPr>
                <w:sz w:val="20"/>
              </w:rPr>
              <w:t>–</w:t>
            </w:r>
            <w:r>
              <w:rPr>
                <w:spacing w:val="-13"/>
                <w:sz w:val="20"/>
              </w:rPr>
              <w:t> </w:t>
            </w:r>
            <w:r>
              <w:rPr>
                <w:sz w:val="20"/>
              </w:rPr>
              <w:t>карбамазепин, фенобарбитал, фенитоин;</w:t>
            </w:r>
          </w:p>
          <w:p>
            <w:pPr>
              <w:pStyle w:val="TableParagraph"/>
              <w:numPr>
                <w:ilvl w:val="1"/>
                <w:numId w:val="94"/>
              </w:numPr>
              <w:tabs>
                <w:tab w:pos="845" w:val="left" w:leader="none"/>
              </w:tabs>
              <w:spacing w:line="240" w:lineRule="auto" w:before="0" w:after="0"/>
              <w:ind w:left="845" w:right="0" w:hanging="360"/>
              <w:jc w:val="left"/>
              <w:rPr>
                <w:sz w:val="20"/>
              </w:rPr>
            </w:pPr>
            <w:r>
              <w:rPr>
                <w:sz w:val="20"/>
              </w:rPr>
              <w:t>противоподагрические</w:t>
            </w:r>
            <w:r>
              <w:rPr>
                <w:spacing w:val="-11"/>
                <w:sz w:val="20"/>
              </w:rPr>
              <w:t> </w:t>
            </w:r>
            <w:r>
              <w:rPr>
                <w:sz w:val="20"/>
              </w:rPr>
              <w:t>средства</w:t>
            </w:r>
            <w:r>
              <w:rPr>
                <w:spacing w:val="-9"/>
                <w:sz w:val="20"/>
              </w:rPr>
              <w:t> </w:t>
            </w:r>
            <w:r>
              <w:rPr>
                <w:sz w:val="20"/>
              </w:rPr>
              <w:t>–</w:t>
            </w:r>
            <w:r>
              <w:rPr>
                <w:spacing w:val="-9"/>
                <w:sz w:val="20"/>
              </w:rPr>
              <w:t> </w:t>
            </w:r>
            <w:r>
              <w:rPr>
                <w:spacing w:val="-2"/>
                <w:sz w:val="20"/>
              </w:rPr>
              <w:t>колхицин;</w:t>
            </w:r>
          </w:p>
          <w:p>
            <w:pPr>
              <w:pStyle w:val="TableParagraph"/>
              <w:numPr>
                <w:ilvl w:val="1"/>
                <w:numId w:val="94"/>
              </w:numPr>
              <w:tabs>
                <w:tab w:pos="845" w:val="left" w:leader="none"/>
              </w:tabs>
              <w:spacing w:line="240" w:lineRule="auto" w:before="0" w:after="0"/>
              <w:ind w:left="845" w:right="0" w:hanging="360"/>
              <w:jc w:val="left"/>
              <w:rPr>
                <w:sz w:val="20"/>
              </w:rPr>
            </w:pPr>
            <w:r>
              <w:rPr>
                <w:sz w:val="20"/>
              </w:rPr>
              <w:t>антигистаминные</w:t>
            </w:r>
            <w:r>
              <w:rPr>
                <w:spacing w:val="-10"/>
                <w:sz w:val="20"/>
              </w:rPr>
              <w:t> </w:t>
            </w:r>
            <w:r>
              <w:rPr>
                <w:sz w:val="20"/>
              </w:rPr>
              <w:t>средства</w:t>
            </w:r>
            <w:r>
              <w:rPr>
                <w:spacing w:val="-8"/>
                <w:sz w:val="20"/>
              </w:rPr>
              <w:t> </w:t>
            </w:r>
            <w:r>
              <w:rPr>
                <w:sz w:val="20"/>
              </w:rPr>
              <w:t>–</w:t>
            </w:r>
            <w:r>
              <w:rPr>
                <w:spacing w:val="-9"/>
                <w:sz w:val="20"/>
              </w:rPr>
              <w:t> </w:t>
            </w:r>
            <w:r>
              <w:rPr>
                <w:sz w:val="20"/>
              </w:rPr>
              <w:t>астемизол,</w:t>
            </w:r>
            <w:r>
              <w:rPr>
                <w:spacing w:val="-10"/>
                <w:sz w:val="20"/>
              </w:rPr>
              <w:t> </w:t>
            </w:r>
            <w:r>
              <w:rPr>
                <w:spacing w:val="-2"/>
                <w:sz w:val="20"/>
              </w:rPr>
              <w:t>терфенадин;</w:t>
            </w:r>
          </w:p>
          <w:p>
            <w:pPr>
              <w:pStyle w:val="TableParagraph"/>
              <w:numPr>
                <w:ilvl w:val="1"/>
                <w:numId w:val="94"/>
              </w:numPr>
              <w:tabs>
                <w:tab w:pos="845" w:val="left" w:leader="none"/>
              </w:tabs>
              <w:spacing w:line="230" w:lineRule="atLeast" w:before="0" w:after="0"/>
              <w:ind w:left="845" w:right="415" w:hanging="360"/>
              <w:jc w:val="left"/>
              <w:rPr>
                <w:sz w:val="20"/>
              </w:rPr>
            </w:pPr>
            <w:r>
              <w:rPr>
                <w:sz w:val="20"/>
              </w:rPr>
              <w:t>антипсихотические</w:t>
            </w:r>
            <w:r>
              <w:rPr>
                <w:spacing w:val="-13"/>
                <w:sz w:val="20"/>
              </w:rPr>
              <w:t> </w:t>
            </w:r>
            <w:r>
              <w:rPr>
                <w:sz w:val="20"/>
              </w:rPr>
              <w:t>средства/нейролептики</w:t>
            </w:r>
            <w:r>
              <w:rPr>
                <w:spacing w:val="-12"/>
                <w:sz w:val="20"/>
              </w:rPr>
              <w:t> </w:t>
            </w:r>
            <w:r>
              <w:rPr>
                <w:sz w:val="20"/>
              </w:rPr>
              <w:t>–</w:t>
            </w:r>
            <w:r>
              <w:rPr>
                <w:spacing w:val="-13"/>
                <w:sz w:val="20"/>
              </w:rPr>
              <w:t> </w:t>
            </w:r>
            <w:r>
              <w:rPr>
                <w:sz w:val="20"/>
              </w:rPr>
              <w:t>луразидон, пимозид, клозапин, кветиапин;</w:t>
            </w:r>
          </w:p>
        </w:tc>
      </w:tr>
    </w:tbl>
    <w:p>
      <w:pPr>
        <w:pStyle w:val="BodyText"/>
        <w:spacing w:before="12"/>
        <w:ind w:left="0"/>
        <w:jc w:val="left"/>
        <w:rPr>
          <w:sz w:val="22"/>
        </w:rPr>
      </w:pPr>
    </w:p>
    <w:p>
      <w:pPr>
        <w:spacing w:before="0"/>
        <w:ind w:left="0" w:right="15" w:firstLine="0"/>
        <w:jc w:val="center"/>
        <w:rPr>
          <w:rFonts w:ascii="Calibri"/>
          <w:sz w:val="22"/>
        </w:rPr>
      </w:pPr>
      <w:r>
        <w:rPr>
          <w:rFonts w:ascii="Calibri"/>
          <w:spacing w:val="-5"/>
          <w:sz w:val="22"/>
        </w:rPr>
        <w:t>192</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76"/>
        <w:gridCol w:w="2552"/>
        <w:gridCol w:w="1277"/>
        <w:gridCol w:w="2977"/>
        <w:gridCol w:w="6098"/>
      </w:tblGrid>
      <w:tr>
        <w:trPr>
          <w:trHeight w:val="3520" w:hRule="atLeast"/>
        </w:trPr>
        <w:tc>
          <w:tcPr>
            <w:tcW w:w="1976" w:type="dxa"/>
          </w:tcPr>
          <w:p>
            <w:pPr>
              <w:pStyle w:val="TableParagraph"/>
              <w:rPr>
                <w:sz w:val="18"/>
              </w:rPr>
            </w:pPr>
          </w:p>
        </w:tc>
        <w:tc>
          <w:tcPr>
            <w:tcW w:w="2552" w:type="dxa"/>
          </w:tcPr>
          <w:p>
            <w:pPr>
              <w:pStyle w:val="TableParagraph"/>
              <w:rPr>
                <w:sz w:val="18"/>
              </w:rPr>
            </w:pPr>
          </w:p>
        </w:tc>
        <w:tc>
          <w:tcPr>
            <w:tcW w:w="1277" w:type="dxa"/>
          </w:tcPr>
          <w:p>
            <w:pPr>
              <w:pStyle w:val="TableParagraph"/>
              <w:rPr>
                <w:sz w:val="18"/>
              </w:rPr>
            </w:pPr>
          </w:p>
        </w:tc>
        <w:tc>
          <w:tcPr>
            <w:tcW w:w="2977" w:type="dxa"/>
          </w:tcPr>
          <w:p>
            <w:pPr>
              <w:pStyle w:val="TableParagraph"/>
              <w:rPr>
                <w:sz w:val="18"/>
              </w:rPr>
            </w:pPr>
          </w:p>
        </w:tc>
        <w:tc>
          <w:tcPr>
            <w:tcW w:w="6098" w:type="dxa"/>
          </w:tcPr>
          <w:p>
            <w:pPr>
              <w:pStyle w:val="TableParagraph"/>
              <w:numPr>
                <w:ilvl w:val="0"/>
                <w:numId w:val="95"/>
              </w:numPr>
              <w:tabs>
                <w:tab w:pos="845" w:val="left" w:leader="none"/>
              </w:tabs>
              <w:spacing w:line="240" w:lineRule="auto" w:before="24" w:after="0"/>
              <w:ind w:left="845" w:right="379" w:hanging="360"/>
              <w:jc w:val="left"/>
              <w:rPr>
                <w:sz w:val="20"/>
              </w:rPr>
            </w:pPr>
            <w:bookmarkStart w:name="194" w:id="230"/>
            <w:bookmarkEnd w:id="230"/>
            <w:r>
              <w:rPr/>
            </w:r>
            <w:r>
              <w:rPr>
                <w:sz w:val="20"/>
              </w:rPr>
              <w:t>производные</w:t>
            </w:r>
            <w:r>
              <w:rPr>
                <w:spacing w:val="-12"/>
                <w:sz w:val="20"/>
              </w:rPr>
              <w:t> </w:t>
            </w:r>
            <w:r>
              <w:rPr>
                <w:sz w:val="20"/>
              </w:rPr>
              <w:t>алкалоидов</w:t>
            </w:r>
            <w:r>
              <w:rPr>
                <w:spacing w:val="-12"/>
                <w:sz w:val="20"/>
              </w:rPr>
              <w:t> </w:t>
            </w:r>
            <w:r>
              <w:rPr>
                <w:sz w:val="20"/>
              </w:rPr>
              <w:t>спорыньи</w:t>
            </w:r>
            <w:r>
              <w:rPr>
                <w:spacing w:val="-10"/>
                <w:sz w:val="20"/>
              </w:rPr>
              <w:t> </w:t>
            </w:r>
            <w:r>
              <w:rPr>
                <w:sz w:val="20"/>
              </w:rPr>
              <w:t>–</w:t>
            </w:r>
            <w:r>
              <w:rPr>
                <w:spacing w:val="-11"/>
                <w:sz w:val="20"/>
              </w:rPr>
              <w:t> </w:t>
            </w:r>
            <w:r>
              <w:rPr>
                <w:sz w:val="20"/>
              </w:rPr>
              <w:t>дигидроэрготамин, эргоновин, эрготамин, метилэргоновин;</w:t>
            </w:r>
          </w:p>
          <w:p>
            <w:pPr>
              <w:pStyle w:val="TableParagraph"/>
              <w:numPr>
                <w:ilvl w:val="0"/>
                <w:numId w:val="95"/>
              </w:numPr>
              <w:tabs>
                <w:tab w:pos="845" w:val="left" w:leader="none"/>
              </w:tabs>
              <w:spacing w:line="237" w:lineRule="auto" w:before="2" w:after="0"/>
              <w:ind w:left="845" w:right="507" w:hanging="360"/>
              <w:jc w:val="left"/>
              <w:rPr>
                <w:sz w:val="20"/>
              </w:rPr>
            </w:pPr>
            <w:r>
              <w:rPr>
                <w:sz w:val="20"/>
              </w:rPr>
              <w:t>стимуляторы</w:t>
            </w:r>
            <w:r>
              <w:rPr>
                <w:spacing w:val="-11"/>
                <w:sz w:val="20"/>
              </w:rPr>
              <w:t> </w:t>
            </w:r>
            <w:r>
              <w:rPr>
                <w:sz w:val="20"/>
              </w:rPr>
              <w:t>моторики</w:t>
            </w:r>
            <w:r>
              <w:rPr>
                <w:spacing w:val="-12"/>
                <w:sz w:val="20"/>
              </w:rPr>
              <w:t> </w:t>
            </w:r>
            <w:r>
              <w:rPr>
                <w:sz w:val="20"/>
              </w:rPr>
              <w:t>желудочно-кишечного</w:t>
            </w:r>
            <w:r>
              <w:rPr>
                <w:spacing w:val="-10"/>
                <w:sz w:val="20"/>
              </w:rPr>
              <w:t> </w:t>
            </w:r>
            <w:r>
              <w:rPr>
                <w:sz w:val="20"/>
              </w:rPr>
              <w:t>тракта</w:t>
            </w:r>
            <w:r>
              <w:rPr>
                <w:spacing w:val="-10"/>
                <w:sz w:val="20"/>
              </w:rPr>
              <w:t> </w:t>
            </w:r>
            <w:r>
              <w:rPr>
                <w:sz w:val="20"/>
              </w:rPr>
              <w:t>– </w:t>
            </w:r>
            <w:r>
              <w:rPr>
                <w:spacing w:val="-2"/>
                <w:sz w:val="20"/>
              </w:rPr>
              <w:t>цизаприд;</w:t>
            </w:r>
          </w:p>
          <w:p>
            <w:pPr>
              <w:pStyle w:val="TableParagraph"/>
              <w:numPr>
                <w:ilvl w:val="0"/>
                <w:numId w:val="95"/>
              </w:numPr>
              <w:tabs>
                <w:tab w:pos="845" w:val="left" w:leader="none"/>
              </w:tabs>
              <w:spacing w:line="240" w:lineRule="auto" w:before="1" w:after="0"/>
              <w:ind w:left="845" w:right="993" w:hanging="360"/>
              <w:jc w:val="left"/>
              <w:rPr>
                <w:sz w:val="20"/>
              </w:rPr>
            </w:pPr>
            <w:r>
              <w:rPr>
                <w:sz w:val="20"/>
              </w:rPr>
              <w:t>растительные</w:t>
            </w:r>
            <w:r>
              <w:rPr>
                <w:spacing w:val="-10"/>
                <w:sz w:val="20"/>
              </w:rPr>
              <w:t> </w:t>
            </w:r>
            <w:r>
              <w:rPr>
                <w:sz w:val="20"/>
              </w:rPr>
              <w:t>лекарственные</w:t>
            </w:r>
            <w:r>
              <w:rPr>
                <w:spacing w:val="-12"/>
                <w:sz w:val="20"/>
              </w:rPr>
              <w:t> </w:t>
            </w:r>
            <w:r>
              <w:rPr>
                <w:sz w:val="20"/>
              </w:rPr>
              <w:t>средства</w:t>
            </w:r>
            <w:r>
              <w:rPr>
                <w:spacing w:val="-10"/>
                <w:sz w:val="20"/>
              </w:rPr>
              <w:t> </w:t>
            </w:r>
            <w:r>
              <w:rPr>
                <w:sz w:val="20"/>
              </w:rPr>
              <w:t>–</w:t>
            </w:r>
            <w:r>
              <w:rPr>
                <w:spacing w:val="-11"/>
                <w:sz w:val="20"/>
              </w:rPr>
              <w:t> </w:t>
            </w:r>
            <w:r>
              <w:rPr>
                <w:sz w:val="20"/>
              </w:rPr>
              <w:t>зверобой продырявленный (Hypéricum perforátum);</w:t>
            </w:r>
          </w:p>
          <w:p>
            <w:pPr>
              <w:pStyle w:val="TableParagraph"/>
              <w:numPr>
                <w:ilvl w:val="0"/>
                <w:numId w:val="95"/>
              </w:numPr>
              <w:tabs>
                <w:tab w:pos="845" w:val="left" w:leader="none"/>
              </w:tabs>
              <w:spacing w:line="240" w:lineRule="auto" w:before="0" w:after="0"/>
              <w:ind w:left="845" w:right="0" w:hanging="360"/>
              <w:jc w:val="left"/>
              <w:rPr>
                <w:sz w:val="20"/>
              </w:rPr>
            </w:pPr>
            <w:r>
              <w:rPr>
                <w:spacing w:val="-2"/>
                <w:sz w:val="20"/>
              </w:rPr>
              <w:t>агенты,</w:t>
            </w:r>
            <w:r>
              <w:rPr>
                <w:spacing w:val="7"/>
                <w:sz w:val="20"/>
              </w:rPr>
              <w:t> </w:t>
            </w:r>
            <w:r>
              <w:rPr>
                <w:spacing w:val="-2"/>
                <w:sz w:val="20"/>
              </w:rPr>
              <w:t>модифицирующие</w:t>
            </w:r>
            <w:r>
              <w:rPr>
                <w:spacing w:val="9"/>
                <w:sz w:val="20"/>
              </w:rPr>
              <w:t> </w:t>
            </w:r>
            <w:r>
              <w:rPr>
                <w:spacing w:val="-2"/>
                <w:sz w:val="20"/>
              </w:rPr>
              <w:t>липиды:</w:t>
            </w:r>
          </w:p>
          <w:p>
            <w:pPr>
              <w:pStyle w:val="TableParagraph"/>
              <w:numPr>
                <w:ilvl w:val="0"/>
                <w:numId w:val="96"/>
              </w:numPr>
              <w:tabs>
                <w:tab w:pos="924" w:val="left" w:leader="none"/>
              </w:tabs>
              <w:spacing w:line="240" w:lineRule="auto" w:before="1" w:after="0"/>
              <w:ind w:left="924" w:right="1083" w:hanging="360"/>
              <w:jc w:val="left"/>
              <w:rPr>
                <w:sz w:val="20"/>
              </w:rPr>
            </w:pPr>
            <w:r>
              <w:rPr>
                <w:sz w:val="20"/>
              </w:rPr>
              <w:t>Ингибиторы</w:t>
            </w:r>
            <w:r>
              <w:rPr>
                <w:spacing w:val="-13"/>
                <w:sz w:val="20"/>
              </w:rPr>
              <w:t> </w:t>
            </w:r>
            <w:r>
              <w:rPr>
                <w:sz w:val="20"/>
              </w:rPr>
              <w:t>ГМГ-КоА-редуктазы</w:t>
            </w:r>
            <w:r>
              <w:rPr>
                <w:spacing w:val="-12"/>
                <w:sz w:val="20"/>
              </w:rPr>
              <w:t> </w:t>
            </w:r>
            <w:r>
              <w:rPr>
                <w:sz w:val="20"/>
              </w:rPr>
              <w:t>-</w:t>
            </w:r>
            <w:r>
              <w:rPr>
                <w:spacing w:val="-13"/>
                <w:sz w:val="20"/>
              </w:rPr>
              <w:t> </w:t>
            </w:r>
            <w:r>
              <w:rPr>
                <w:sz w:val="20"/>
              </w:rPr>
              <w:t>ловастатин, </w:t>
            </w:r>
            <w:r>
              <w:rPr>
                <w:spacing w:val="-2"/>
                <w:sz w:val="20"/>
              </w:rPr>
              <w:t>симвастатин;</w:t>
            </w:r>
          </w:p>
          <w:p>
            <w:pPr>
              <w:pStyle w:val="TableParagraph"/>
              <w:numPr>
                <w:ilvl w:val="0"/>
                <w:numId w:val="96"/>
              </w:numPr>
              <w:tabs>
                <w:tab w:pos="924" w:val="left" w:leader="none"/>
              </w:tabs>
              <w:spacing w:line="240" w:lineRule="auto" w:before="0" w:after="0"/>
              <w:ind w:left="924" w:right="865" w:hanging="360"/>
              <w:jc w:val="left"/>
              <w:rPr>
                <w:sz w:val="20"/>
              </w:rPr>
            </w:pPr>
            <w:r>
              <w:rPr>
                <w:sz w:val="20"/>
              </w:rPr>
              <w:t>Ингибиторы</w:t>
            </w:r>
            <w:r>
              <w:rPr>
                <w:spacing w:val="-13"/>
                <w:sz w:val="20"/>
              </w:rPr>
              <w:t> </w:t>
            </w:r>
            <w:r>
              <w:rPr>
                <w:sz w:val="20"/>
              </w:rPr>
              <w:t>микросомального</w:t>
            </w:r>
            <w:r>
              <w:rPr>
                <w:spacing w:val="-12"/>
                <w:sz w:val="20"/>
              </w:rPr>
              <w:t> </w:t>
            </w:r>
            <w:r>
              <w:rPr>
                <w:sz w:val="20"/>
              </w:rPr>
              <w:t>белка-переносчика триглицеридов - ломитапид;</w:t>
            </w:r>
          </w:p>
          <w:p>
            <w:pPr>
              <w:pStyle w:val="TableParagraph"/>
              <w:numPr>
                <w:ilvl w:val="0"/>
                <w:numId w:val="97"/>
              </w:numPr>
              <w:tabs>
                <w:tab w:pos="275" w:val="left" w:leader="none"/>
              </w:tabs>
              <w:spacing w:line="245" w:lineRule="exact" w:before="0" w:after="0"/>
              <w:ind w:left="275" w:right="0" w:hanging="152"/>
              <w:jc w:val="left"/>
              <w:rPr>
                <w:sz w:val="20"/>
              </w:rPr>
            </w:pPr>
            <w:r>
              <w:rPr>
                <w:sz w:val="20"/>
              </w:rPr>
              <w:t>Ингибиторы</w:t>
            </w:r>
            <w:r>
              <w:rPr>
                <w:spacing w:val="-12"/>
                <w:sz w:val="20"/>
              </w:rPr>
              <w:t> </w:t>
            </w:r>
            <w:r>
              <w:rPr>
                <w:sz w:val="20"/>
              </w:rPr>
              <w:t>ФДЭ5:</w:t>
            </w:r>
            <w:r>
              <w:rPr>
                <w:spacing w:val="-12"/>
                <w:sz w:val="20"/>
              </w:rPr>
              <w:t> </w:t>
            </w:r>
            <w:r>
              <w:rPr>
                <w:sz w:val="20"/>
              </w:rPr>
              <w:t>аванафил,</w:t>
            </w:r>
            <w:r>
              <w:rPr>
                <w:spacing w:val="-11"/>
                <w:sz w:val="20"/>
              </w:rPr>
              <w:t> </w:t>
            </w:r>
            <w:r>
              <w:rPr>
                <w:sz w:val="20"/>
              </w:rPr>
              <w:t>силденафил,</w:t>
            </w:r>
            <w:r>
              <w:rPr>
                <w:spacing w:val="-11"/>
                <w:sz w:val="20"/>
              </w:rPr>
              <w:t> </w:t>
            </w:r>
            <w:r>
              <w:rPr>
                <w:spacing w:val="-2"/>
                <w:sz w:val="20"/>
              </w:rPr>
              <w:t>варденафил;</w:t>
            </w:r>
          </w:p>
          <w:p>
            <w:pPr>
              <w:pStyle w:val="TableParagraph"/>
              <w:numPr>
                <w:ilvl w:val="0"/>
                <w:numId w:val="97"/>
              </w:numPr>
              <w:tabs>
                <w:tab w:pos="275" w:val="left" w:leader="none"/>
              </w:tabs>
              <w:spacing w:line="245" w:lineRule="exact" w:before="0" w:after="0"/>
              <w:ind w:left="275" w:right="0" w:hanging="152"/>
              <w:jc w:val="left"/>
              <w:rPr>
                <w:sz w:val="20"/>
              </w:rPr>
            </w:pPr>
            <w:r>
              <w:rPr>
                <w:sz w:val="20"/>
              </w:rPr>
              <w:t>Седативные/снотворные</w:t>
            </w:r>
            <w:r>
              <w:rPr>
                <w:spacing w:val="-11"/>
                <w:sz w:val="20"/>
              </w:rPr>
              <w:t> </w:t>
            </w:r>
            <w:r>
              <w:rPr>
                <w:sz w:val="20"/>
              </w:rPr>
              <w:t>средства</w:t>
            </w:r>
            <w:r>
              <w:rPr>
                <w:spacing w:val="-7"/>
                <w:sz w:val="20"/>
              </w:rPr>
              <w:t> </w:t>
            </w:r>
            <w:r>
              <w:rPr>
                <w:sz w:val="20"/>
              </w:rPr>
              <w:t>-</w:t>
            </w:r>
            <w:r>
              <w:rPr>
                <w:spacing w:val="-9"/>
                <w:sz w:val="20"/>
              </w:rPr>
              <w:t> </w:t>
            </w:r>
            <w:r>
              <w:rPr>
                <w:sz w:val="20"/>
              </w:rPr>
              <w:t>клоразепат,</w:t>
            </w:r>
            <w:r>
              <w:rPr>
                <w:spacing w:val="-10"/>
                <w:sz w:val="20"/>
              </w:rPr>
              <w:t> </w:t>
            </w:r>
            <w:r>
              <w:rPr>
                <w:spacing w:val="-2"/>
                <w:sz w:val="20"/>
              </w:rPr>
              <w:t>диазепам,</w:t>
            </w:r>
          </w:p>
          <w:p>
            <w:pPr>
              <w:pStyle w:val="TableParagraph"/>
              <w:spacing w:line="228" w:lineRule="exact"/>
              <w:ind w:left="276"/>
              <w:rPr>
                <w:sz w:val="20"/>
              </w:rPr>
            </w:pPr>
            <w:r>
              <w:rPr>
                <w:sz w:val="20"/>
              </w:rPr>
              <w:t>эстазолам,</w:t>
            </w:r>
            <w:r>
              <w:rPr>
                <w:spacing w:val="-10"/>
                <w:sz w:val="20"/>
              </w:rPr>
              <w:t> </w:t>
            </w:r>
            <w:r>
              <w:rPr>
                <w:sz w:val="20"/>
              </w:rPr>
              <w:t>флуразепам,</w:t>
            </w:r>
            <w:r>
              <w:rPr>
                <w:spacing w:val="-10"/>
                <w:sz w:val="20"/>
              </w:rPr>
              <w:t> </w:t>
            </w:r>
            <w:r>
              <w:rPr>
                <w:sz w:val="20"/>
              </w:rPr>
              <w:t>пероральный</w:t>
            </w:r>
            <w:r>
              <w:rPr>
                <w:spacing w:val="-10"/>
                <w:sz w:val="20"/>
              </w:rPr>
              <w:t> </w:t>
            </w:r>
            <w:r>
              <w:rPr>
                <w:sz w:val="20"/>
              </w:rPr>
              <w:t>мидазолам</w:t>
            </w:r>
            <w:r>
              <w:rPr>
                <w:spacing w:val="-9"/>
                <w:sz w:val="20"/>
              </w:rPr>
              <w:t> </w:t>
            </w:r>
            <w:r>
              <w:rPr>
                <w:sz w:val="20"/>
              </w:rPr>
              <w:t>и</w:t>
            </w:r>
            <w:r>
              <w:rPr>
                <w:spacing w:val="-9"/>
                <w:sz w:val="20"/>
              </w:rPr>
              <w:t> </w:t>
            </w:r>
            <w:r>
              <w:rPr>
                <w:sz w:val="20"/>
              </w:rPr>
              <w:t>триазолам, </w:t>
            </w:r>
            <w:r>
              <w:rPr>
                <w:spacing w:val="-2"/>
                <w:sz w:val="20"/>
              </w:rPr>
              <w:t>петидин.</w:t>
            </w:r>
          </w:p>
        </w:tc>
      </w:tr>
      <w:tr>
        <w:trPr>
          <w:trHeight w:val="2611" w:hRule="atLeast"/>
        </w:trPr>
        <w:tc>
          <w:tcPr>
            <w:tcW w:w="1976" w:type="dxa"/>
          </w:tcPr>
          <w:p>
            <w:pPr>
              <w:pStyle w:val="TableParagraph"/>
              <w:spacing w:before="13"/>
              <w:ind w:left="109"/>
              <w:rPr>
                <w:b/>
                <w:sz w:val="20"/>
              </w:rPr>
            </w:pPr>
            <w:r>
              <w:rPr>
                <w:b/>
                <w:spacing w:val="-2"/>
                <w:sz w:val="20"/>
              </w:rPr>
              <w:t>Ремдесивир</w:t>
            </w:r>
          </w:p>
        </w:tc>
        <w:tc>
          <w:tcPr>
            <w:tcW w:w="2552" w:type="dxa"/>
          </w:tcPr>
          <w:p>
            <w:pPr>
              <w:pStyle w:val="TableParagraph"/>
              <w:spacing w:before="13"/>
              <w:ind w:left="162" w:right="506"/>
              <w:rPr>
                <w:sz w:val="20"/>
              </w:rPr>
            </w:pPr>
            <w:r>
              <w:rPr>
                <w:sz w:val="20"/>
              </w:rPr>
              <w:t>Активный</w:t>
            </w:r>
            <w:r>
              <w:rPr>
                <w:spacing w:val="-10"/>
                <w:sz w:val="20"/>
              </w:rPr>
              <w:t> </w:t>
            </w:r>
            <w:r>
              <w:rPr>
                <w:sz w:val="20"/>
              </w:rPr>
              <w:t>метаболит выступает в</w:t>
            </w:r>
            <w:r>
              <w:rPr>
                <w:spacing w:val="-1"/>
                <w:sz w:val="20"/>
              </w:rPr>
              <w:t> </w:t>
            </w:r>
            <w:r>
              <w:rPr>
                <w:sz w:val="20"/>
              </w:rPr>
              <w:t>качестве </w:t>
            </w:r>
            <w:r>
              <w:rPr>
                <w:spacing w:val="-2"/>
                <w:sz w:val="20"/>
              </w:rPr>
              <w:t>аналога аденозинтрифосфата </w:t>
            </w:r>
            <w:r>
              <w:rPr>
                <w:sz w:val="20"/>
              </w:rPr>
              <w:t>(АТФ)</w:t>
            </w:r>
            <w:r>
              <w:rPr>
                <w:spacing w:val="-13"/>
                <w:sz w:val="20"/>
              </w:rPr>
              <w:t> </w:t>
            </w:r>
            <w:r>
              <w:rPr>
                <w:sz w:val="20"/>
              </w:rPr>
              <w:t>и</w:t>
            </w:r>
            <w:r>
              <w:rPr>
                <w:spacing w:val="-12"/>
                <w:sz w:val="20"/>
              </w:rPr>
              <w:t> </w:t>
            </w:r>
            <w:r>
              <w:rPr>
                <w:sz w:val="20"/>
              </w:rPr>
              <w:t>конкурирует с природным АТФ-</w:t>
            </w:r>
          </w:p>
          <w:p>
            <w:pPr>
              <w:pStyle w:val="TableParagraph"/>
              <w:ind w:left="162" w:right="130"/>
              <w:rPr>
                <w:sz w:val="20"/>
              </w:rPr>
            </w:pPr>
            <w:r>
              <w:rPr>
                <w:sz w:val="20"/>
              </w:rPr>
              <w:t>субстратом за включение в формирующиеся РНК- цепи с помощью РНК- зависимой РНК- полимеразы</w:t>
            </w:r>
            <w:r>
              <w:rPr>
                <w:spacing w:val="-13"/>
                <w:sz w:val="20"/>
              </w:rPr>
              <w:t> </w:t>
            </w:r>
            <w:r>
              <w:rPr>
                <w:sz w:val="20"/>
              </w:rPr>
              <w:t>SARS-CoV-2.</w:t>
            </w:r>
          </w:p>
        </w:tc>
        <w:tc>
          <w:tcPr>
            <w:tcW w:w="1277" w:type="dxa"/>
          </w:tcPr>
          <w:p>
            <w:pPr>
              <w:pStyle w:val="TableParagraph"/>
              <w:spacing w:before="13"/>
              <w:ind w:left="109"/>
              <w:rPr>
                <w:sz w:val="20"/>
              </w:rPr>
            </w:pPr>
            <w:r>
              <w:rPr>
                <w:spacing w:val="-2"/>
                <w:sz w:val="20"/>
              </w:rPr>
              <w:t>Лиофилизат</w:t>
            </w:r>
          </w:p>
        </w:tc>
        <w:tc>
          <w:tcPr>
            <w:tcW w:w="2977" w:type="dxa"/>
          </w:tcPr>
          <w:p>
            <w:pPr>
              <w:pStyle w:val="TableParagraph"/>
              <w:spacing w:before="13"/>
              <w:ind w:left="155"/>
              <w:rPr>
                <w:sz w:val="20"/>
              </w:rPr>
            </w:pPr>
            <w:r>
              <w:rPr>
                <w:sz w:val="20"/>
              </w:rPr>
              <w:t>Лиофилизат</w:t>
            </w:r>
            <w:r>
              <w:rPr>
                <w:spacing w:val="-11"/>
                <w:sz w:val="20"/>
              </w:rPr>
              <w:t> </w:t>
            </w:r>
            <w:r>
              <w:rPr>
                <w:sz w:val="20"/>
              </w:rPr>
              <w:t>разбавляют</w:t>
            </w:r>
            <w:r>
              <w:rPr>
                <w:spacing w:val="-11"/>
                <w:sz w:val="20"/>
              </w:rPr>
              <w:t> </w:t>
            </w:r>
            <w:r>
              <w:rPr>
                <w:sz w:val="20"/>
              </w:rPr>
              <w:t>в</w:t>
            </w:r>
            <w:r>
              <w:rPr>
                <w:spacing w:val="-11"/>
                <w:sz w:val="20"/>
              </w:rPr>
              <w:t> </w:t>
            </w:r>
            <w:r>
              <w:rPr>
                <w:sz w:val="20"/>
              </w:rPr>
              <w:t>0,9</w:t>
            </w:r>
            <w:r>
              <w:rPr>
                <w:spacing w:val="-10"/>
                <w:sz w:val="20"/>
              </w:rPr>
              <w:t> </w:t>
            </w:r>
            <w:r>
              <w:rPr>
                <w:sz w:val="20"/>
              </w:rPr>
              <w:t>% растворе натрия хлорида</w:t>
            </w:r>
          </w:p>
          <w:p>
            <w:pPr>
              <w:pStyle w:val="TableParagraph"/>
              <w:spacing w:before="1"/>
              <w:ind w:left="155"/>
              <w:rPr>
                <w:sz w:val="20"/>
              </w:rPr>
            </w:pPr>
            <w:r>
              <w:rPr>
                <w:sz w:val="20"/>
              </w:rPr>
              <w:t>(до</w:t>
            </w:r>
            <w:r>
              <w:rPr>
                <w:spacing w:val="-9"/>
                <w:sz w:val="20"/>
              </w:rPr>
              <w:t> </w:t>
            </w:r>
            <w:r>
              <w:rPr>
                <w:sz w:val="20"/>
              </w:rPr>
              <w:t>общего</w:t>
            </w:r>
            <w:r>
              <w:rPr>
                <w:spacing w:val="-9"/>
                <w:sz w:val="20"/>
              </w:rPr>
              <w:t> </w:t>
            </w:r>
            <w:r>
              <w:rPr>
                <w:sz w:val="20"/>
              </w:rPr>
              <w:t>объема</w:t>
            </w:r>
            <w:r>
              <w:rPr>
                <w:spacing w:val="-9"/>
                <w:sz w:val="20"/>
              </w:rPr>
              <w:t> </w:t>
            </w:r>
            <w:r>
              <w:rPr>
                <w:sz w:val="20"/>
              </w:rPr>
              <w:t>100</w:t>
            </w:r>
            <w:r>
              <w:rPr>
                <w:spacing w:val="-9"/>
                <w:sz w:val="20"/>
              </w:rPr>
              <w:t> </w:t>
            </w:r>
            <w:r>
              <w:rPr>
                <w:sz w:val="20"/>
              </w:rPr>
              <w:t>или</w:t>
            </w:r>
            <w:r>
              <w:rPr>
                <w:spacing w:val="-9"/>
                <w:sz w:val="20"/>
              </w:rPr>
              <w:t> </w:t>
            </w:r>
            <w:r>
              <w:rPr>
                <w:sz w:val="20"/>
              </w:rPr>
              <w:t>250 мл) и вводят в/в в течение</w:t>
            </w:r>
          </w:p>
          <w:p>
            <w:pPr>
              <w:pStyle w:val="TableParagraph"/>
              <w:spacing w:line="229" w:lineRule="exact" w:before="1"/>
              <w:ind w:left="155"/>
              <w:rPr>
                <w:sz w:val="20"/>
              </w:rPr>
            </w:pPr>
            <w:r>
              <w:rPr>
                <w:sz w:val="20"/>
              </w:rPr>
              <w:t>30-120</w:t>
            </w:r>
            <w:r>
              <w:rPr>
                <w:spacing w:val="-4"/>
                <w:sz w:val="20"/>
              </w:rPr>
              <w:t> мин.</w:t>
            </w:r>
          </w:p>
          <w:p>
            <w:pPr>
              <w:pStyle w:val="TableParagraph"/>
              <w:ind w:left="155" w:right="504"/>
              <w:rPr>
                <w:sz w:val="20"/>
              </w:rPr>
            </w:pPr>
            <w:r>
              <w:rPr>
                <w:sz w:val="20"/>
              </w:rPr>
              <w:t>1-й</w:t>
            </w:r>
            <w:r>
              <w:rPr>
                <w:spacing w:val="-13"/>
                <w:sz w:val="20"/>
              </w:rPr>
              <w:t> </w:t>
            </w:r>
            <w:r>
              <w:rPr>
                <w:sz w:val="20"/>
              </w:rPr>
              <w:t>день:</w:t>
            </w:r>
            <w:r>
              <w:rPr>
                <w:spacing w:val="-12"/>
                <w:sz w:val="20"/>
              </w:rPr>
              <w:t> </w:t>
            </w:r>
            <w:r>
              <w:rPr>
                <w:sz w:val="20"/>
              </w:rPr>
              <w:t>200</w:t>
            </w:r>
            <w:r>
              <w:rPr>
                <w:spacing w:val="-13"/>
                <w:sz w:val="20"/>
              </w:rPr>
              <w:t> </w:t>
            </w:r>
            <w:r>
              <w:rPr>
                <w:sz w:val="20"/>
              </w:rPr>
              <w:t>м</w:t>
            </w:r>
            <w:r>
              <w:rPr>
                <w:sz w:val="20"/>
              </w:rPr>
              <w:t>г</w:t>
            </w:r>
            <w:r>
              <w:rPr>
                <w:sz w:val="20"/>
              </w:rPr>
              <w:t> однократно</w:t>
            </w:r>
            <w:r>
              <w:rPr>
                <w:spacing w:val="-11"/>
                <w:sz w:val="20"/>
              </w:rPr>
              <w:t> </w:t>
            </w:r>
            <w:r>
              <w:rPr>
                <w:spacing w:val="-4"/>
                <w:sz w:val="20"/>
              </w:rPr>
              <w:t>в/в.</w:t>
            </w:r>
          </w:p>
          <w:p>
            <w:pPr>
              <w:pStyle w:val="TableParagraph"/>
              <w:ind w:left="155"/>
              <w:rPr>
                <w:sz w:val="20"/>
              </w:rPr>
            </w:pPr>
            <w:r>
              <w:rPr>
                <w:sz w:val="20"/>
              </w:rPr>
              <w:t>Со</w:t>
            </w:r>
            <w:r>
              <w:rPr>
                <w:spacing w:val="-6"/>
                <w:sz w:val="20"/>
              </w:rPr>
              <w:t> </w:t>
            </w:r>
            <w:r>
              <w:rPr>
                <w:sz w:val="20"/>
              </w:rPr>
              <w:t>2-го</w:t>
            </w:r>
            <w:r>
              <w:rPr>
                <w:spacing w:val="-6"/>
                <w:sz w:val="20"/>
              </w:rPr>
              <w:t> </w:t>
            </w:r>
            <w:r>
              <w:rPr>
                <w:sz w:val="20"/>
              </w:rPr>
              <w:t>дня:</w:t>
            </w:r>
            <w:r>
              <w:rPr>
                <w:spacing w:val="-8"/>
                <w:sz w:val="20"/>
              </w:rPr>
              <w:t> </w:t>
            </w:r>
            <w:r>
              <w:rPr>
                <w:sz w:val="20"/>
              </w:rPr>
              <w:t>100</w:t>
            </w:r>
            <w:r>
              <w:rPr>
                <w:spacing w:val="-6"/>
                <w:sz w:val="20"/>
              </w:rPr>
              <w:t> </w:t>
            </w:r>
            <w:r>
              <w:rPr>
                <w:sz w:val="20"/>
              </w:rPr>
              <w:t>мг</w:t>
            </w:r>
            <w:r>
              <w:rPr>
                <w:spacing w:val="-8"/>
                <w:sz w:val="20"/>
              </w:rPr>
              <w:t> </w:t>
            </w:r>
            <w:r>
              <w:rPr>
                <w:sz w:val="20"/>
              </w:rPr>
              <w:t>в/в</w:t>
            </w:r>
            <w:r>
              <w:rPr>
                <w:spacing w:val="-8"/>
                <w:sz w:val="20"/>
              </w:rPr>
              <w:t> </w:t>
            </w:r>
            <w:r>
              <w:rPr>
                <w:sz w:val="20"/>
              </w:rPr>
              <w:t>1</w:t>
            </w:r>
            <w:r>
              <w:rPr>
                <w:spacing w:val="-6"/>
                <w:sz w:val="20"/>
              </w:rPr>
              <w:t> </w:t>
            </w:r>
            <w:r>
              <w:rPr>
                <w:sz w:val="20"/>
              </w:rPr>
              <w:t>р/сут. Общий</w:t>
            </w:r>
            <w:r>
              <w:rPr>
                <w:spacing w:val="-1"/>
                <w:sz w:val="20"/>
              </w:rPr>
              <w:t> </w:t>
            </w:r>
            <w:r>
              <w:rPr>
                <w:sz w:val="20"/>
              </w:rPr>
              <w:t>курс не более 10 дней.</w:t>
            </w:r>
          </w:p>
        </w:tc>
        <w:tc>
          <w:tcPr>
            <w:tcW w:w="6098" w:type="dxa"/>
          </w:tcPr>
          <w:p>
            <w:pPr>
              <w:pStyle w:val="TableParagraph"/>
              <w:spacing w:before="13"/>
              <w:ind w:left="205"/>
              <w:rPr>
                <w:sz w:val="20"/>
              </w:rPr>
            </w:pPr>
            <w:r>
              <w:rPr>
                <w:spacing w:val="-2"/>
                <w:sz w:val="20"/>
              </w:rPr>
              <w:t>Противопоказан:</w:t>
            </w:r>
          </w:p>
          <w:p>
            <w:pPr>
              <w:pStyle w:val="TableParagraph"/>
              <w:numPr>
                <w:ilvl w:val="0"/>
                <w:numId w:val="98"/>
              </w:numPr>
              <w:tabs>
                <w:tab w:pos="275" w:val="left" w:leader="none"/>
              </w:tabs>
              <w:spacing w:line="240" w:lineRule="auto" w:before="1" w:after="0"/>
              <w:ind w:left="275" w:right="0" w:hanging="152"/>
              <w:jc w:val="left"/>
              <w:rPr>
                <w:sz w:val="20"/>
              </w:rPr>
            </w:pPr>
            <w:r>
              <w:rPr>
                <w:sz w:val="20"/>
              </w:rPr>
              <w:t>детям</w:t>
            </w:r>
            <w:r>
              <w:rPr>
                <w:spacing w:val="-3"/>
                <w:sz w:val="20"/>
              </w:rPr>
              <w:t> </w:t>
            </w:r>
            <w:r>
              <w:rPr>
                <w:sz w:val="20"/>
              </w:rPr>
              <w:t>(до</w:t>
            </w:r>
            <w:r>
              <w:rPr>
                <w:spacing w:val="-3"/>
                <w:sz w:val="20"/>
              </w:rPr>
              <w:t> </w:t>
            </w:r>
            <w:r>
              <w:rPr>
                <w:sz w:val="20"/>
              </w:rPr>
              <w:t>12</w:t>
            </w:r>
            <w:r>
              <w:rPr>
                <w:spacing w:val="-2"/>
                <w:sz w:val="20"/>
              </w:rPr>
              <w:t> лет);</w:t>
            </w:r>
          </w:p>
          <w:p>
            <w:pPr>
              <w:pStyle w:val="TableParagraph"/>
              <w:numPr>
                <w:ilvl w:val="0"/>
                <w:numId w:val="98"/>
              </w:numPr>
              <w:tabs>
                <w:tab w:pos="275" w:val="left" w:leader="none"/>
              </w:tabs>
              <w:spacing w:line="245" w:lineRule="exact" w:before="0" w:after="0"/>
              <w:ind w:left="275" w:right="0" w:hanging="152"/>
              <w:jc w:val="left"/>
              <w:rPr>
                <w:sz w:val="20"/>
              </w:rPr>
            </w:pPr>
            <w:r>
              <w:rPr>
                <w:sz w:val="20"/>
              </w:rPr>
              <w:t>пациентам</w:t>
            </w:r>
            <w:r>
              <w:rPr>
                <w:spacing w:val="-4"/>
                <w:sz w:val="20"/>
              </w:rPr>
              <w:t> </w:t>
            </w:r>
            <w:r>
              <w:rPr>
                <w:sz w:val="20"/>
              </w:rPr>
              <w:t>с</w:t>
            </w:r>
            <w:r>
              <w:rPr>
                <w:spacing w:val="-5"/>
                <w:sz w:val="20"/>
              </w:rPr>
              <w:t> </w:t>
            </w:r>
            <w:r>
              <w:rPr>
                <w:sz w:val="20"/>
              </w:rPr>
              <w:t>СКФ</w:t>
            </w:r>
            <w:r>
              <w:rPr>
                <w:spacing w:val="-4"/>
                <w:sz w:val="20"/>
              </w:rPr>
              <w:t> </w:t>
            </w:r>
            <w:r>
              <w:rPr>
                <w:sz w:val="20"/>
              </w:rPr>
              <w:t>&lt;</w:t>
            </w:r>
            <w:r>
              <w:rPr>
                <w:spacing w:val="-5"/>
                <w:sz w:val="20"/>
              </w:rPr>
              <w:t> </w:t>
            </w:r>
            <w:r>
              <w:rPr>
                <w:sz w:val="20"/>
              </w:rPr>
              <w:t>30</w:t>
            </w:r>
            <w:r>
              <w:rPr>
                <w:spacing w:val="-4"/>
                <w:sz w:val="20"/>
              </w:rPr>
              <w:t> </w:t>
            </w:r>
            <w:r>
              <w:rPr>
                <w:spacing w:val="-2"/>
                <w:sz w:val="20"/>
              </w:rPr>
              <w:t>мл/мин;</w:t>
            </w:r>
          </w:p>
          <w:p>
            <w:pPr>
              <w:pStyle w:val="TableParagraph"/>
              <w:numPr>
                <w:ilvl w:val="0"/>
                <w:numId w:val="98"/>
              </w:numPr>
              <w:tabs>
                <w:tab w:pos="275" w:val="left" w:leader="none"/>
              </w:tabs>
              <w:spacing w:line="243" w:lineRule="exact" w:before="0" w:after="0"/>
              <w:ind w:left="275" w:right="0" w:hanging="152"/>
              <w:jc w:val="left"/>
              <w:rPr>
                <w:sz w:val="20"/>
              </w:rPr>
            </w:pPr>
            <w:r>
              <w:rPr>
                <w:sz w:val="20"/>
              </w:rPr>
              <w:t>при</w:t>
            </w:r>
            <w:r>
              <w:rPr>
                <w:spacing w:val="-4"/>
                <w:sz w:val="20"/>
              </w:rPr>
              <w:t> </w:t>
            </w:r>
            <w:r>
              <w:rPr>
                <w:sz w:val="20"/>
              </w:rPr>
              <w:t>АЛТ</w:t>
            </w:r>
            <w:r>
              <w:rPr>
                <w:spacing w:val="-3"/>
                <w:sz w:val="20"/>
              </w:rPr>
              <w:t> </w:t>
            </w:r>
            <w:r>
              <w:rPr>
                <w:sz w:val="20"/>
              </w:rPr>
              <w:t>≥</w:t>
            </w:r>
            <w:r>
              <w:rPr>
                <w:spacing w:val="-2"/>
                <w:sz w:val="20"/>
              </w:rPr>
              <w:t> </w:t>
            </w:r>
            <w:r>
              <w:rPr>
                <w:sz w:val="20"/>
              </w:rPr>
              <w:t>5</w:t>
            </w:r>
            <w:r>
              <w:rPr>
                <w:spacing w:val="-2"/>
                <w:sz w:val="20"/>
              </w:rPr>
              <w:t> </w:t>
            </w:r>
            <w:r>
              <w:rPr>
                <w:spacing w:val="-4"/>
                <w:sz w:val="20"/>
              </w:rPr>
              <w:t>ВГН;</w:t>
            </w:r>
          </w:p>
          <w:p>
            <w:pPr>
              <w:pStyle w:val="TableParagraph"/>
              <w:numPr>
                <w:ilvl w:val="0"/>
                <w:numId w:val="98"/>
              </w:numPr>
              <w:tabs>
                <w:tab w:pos="275" w:val="left" w:leader="none"/>
              </w:tabs>
              <w:spacing w:line="244" w:lineRule="exact" w:before="0" w:after="0"/>
              <w:ind w:left="275" w:right="0" w:hanging="152"/>
              <w:jc w:val="left"/>
              <w:rPr>
                <w:sz w:val="20"/>
              </w:rPr>
            </w:pPr>
            <w:r>
              <w:rPr>
                <w:sz w:val="20"/>
              </w:rPr>
              <w:t>при</w:t>
            </w:r>
            <w:r>
              <w:rPr>
                <w:spacing w:val="-7"/>
                <w:sz w:val="20"/>
              </w:rPr>
              <w:t> </w:t>
            </w:r>
            <w:r>
              <w:rPr>
                <w:sz w:val="20"/>
              </w:rPr>
              <w:t>беременности</w:t>
            </w:r>
            <w:r>
              <w:rPr>
                <w:spacing w:val="-6"/>
                <w:sz w:val="20"/>
              </w:rPr>
              <w:t> </w:t>
            </w:r>
            <w:r>
              <w:rPr>
                <w:sz w:val="20"/>
              </w:rPr>
              <w:t>и</w:t>
            </w:r>
            <w:r>
              <w:rPr>
                <w:spacing w:val="-7"/>
                <w:sz w:val="20"/>
              </w:rPr>
              <w:t> </w:t>
            </w:r>
            <w:r>
              <w:rPr>
                <w:sz w:val="20"/>
              </w:rPr>
              <w:t>грудном</w:t>
            </w:r>
            <w:r>
              <w:rPr>
                <w:spacing w:val="-5"/>
                <w:sz w:val="20"/>
              </w:rPr>
              <w:t> </w:t>
            </w:r>
            <w:r>
              <w:rPr>
                <w:spacing w:val="-2"/>
                <w:sz w:val="20"/>
              </w:rPr>
              <w:t>вскармливании.</w:t>
            </w:r>
          </w:p>
          <w:p>
            <w:pPr>
              <w:pStyle w:val="TableParagraph"/>
              <w:spacing w:before="229"/>
              <w:ind w:left="205"/>
              <w:rPr>
                <w:sz w:val="20"/>
              </w:rPr>
            </w:pPr>
            <w:r>
              <w:rPr>
                <w:sz w:val="20"/>
              </w:rPr>
              <w:t>Запрещено</w:t>
            </w:r>
            <w:r>
              <w:rPr>
                <w:spacing w:val="-11"/>
                <w:sz w:val="20"/>
              </w:rPr>
              <w:t> </w:t>
            </w:r>
            <w:r>
              <w:rPr>
                <w:sz w:val="20"/>
              </w:rPr>
              <w:t>вводить</w:t>
            </w:r>
            <w:r>
              <w:rPr>
                <w:spacing w:val="-11"/>
                <w:sz w:val="20"/>
              </w:rPr>
              <w:t> </w:t>
            </w:r>
            <w:r>
              <w:rPr>
                <w:spacing w:val="-2"/>
                <w:sz w:val="20"/>
              </w:rPr>
              <w:t>внутримышечно.</w:t>
            </w:r>
          </w:p>
        </w:tc>
      </w:tr>
      <w:tr>
        <w:trPr>
          <w:trHeight w:val="2547" w:hRule="atLeast"/>
        </w:trPr>
        <w:tc>
          <w:tcPr>
            <w:tcW w:w="1976" w:type="dxa"/>
            <w:shd w:val="clear" w:color="auto" w:fill="F1F1F1"/>
          </w:tcPr>
          <w:p>
            <w:pPr>
              <w:pStyle w:val="TableParagraph"/>
              <w:spacing w:before="19"/>
              <w:ind w:left="109" w:right="467"/>
              <w:rPr>
                <w:b/>
                <w:sz w:val="20"/>
              </w:rPr>
            </w:pPr>
            <w:r>
              <w:rPr>
                <w:b/>
                <w:spacing w:val="-2"/>
                <w:sz w:val="20"/>
              </w:rPr>
              <w:t>Синтетическая малая</w:t>
            </w:r>
          </w:p>
          <w:p>
            <w:pPr>
              <w:pStyle w:val="TableParagraph"/>
              <w:ind w:left="109"/>
              <w:rPr>
                <w:b/>
                <w:sz w:val="20"/>
              </w:rPr>
            </w:pPr>
            <w:r>
              <w:rPr>
                <w:b/>
                <w:spacing w:val="-2"/>
                <w:sz w:val="20"/>
              </w:rPr>
              <w:t>интерферирующая рибонуклеиновая </w:t>
            </w:r>
            <w:r>
              <w:rPr>
                <w:b/>
                <w:sz w:val="20"/>
              </w:rPr>
              <w:t>кислота (миРНК) </w:t>
            </w:r>
            <w:r>
              <w:rPr>
                <w:b/>
                <w:spacing w:val="-2"/>
                <w:sz w:val="20"/>
              </w:rPr>
              <w:t>[двуцепочечная]</w:t>
            </w:r>
          </w:p>
        </w:tc>
        <w:tc>
          <w:tcPr>
            <w:tcW w:w="2552" w:type="dxa"/>
            <w:shd w:val="clear" w:color="auto" w:fill="F1F1F1"/>
          </w:tcPr>
          <w:p>
            <w:pPr>
              <w:pStyle w:val="TableParagraph"/>
              <w:spacing w:before="19"/>
              <w:ind w:left="162" w:right="112"/>
              <w:rPr>
                <w:sz w:val="20"/>
              </w:rPr>
            </w:pPr>
            <w:r>
              <w:rPr>
                <w:spacing w:val="-2"/>
                <w:sz w:val="20"/>
              </w:rPr>
              <w:t>Противовирусное</w:t>
            </w:r>
            <w:r>
              <w:rPr>
                <w:spacing w:val="40"/>
                <w:sz w:val="20"/>
              </w:rPr>
              <w:t> </w:t>
            </w:r>
            <w:r>
              <w:rPr>
                <w:sz w:val="20"/>
              </w:rPr>
              <w:t>действие</w:t>
            </w:r>
            <w:r>
              <w:rPr>
                <w:spacing w:val="-13"/>
                <w:sz w:val="20"/>
              </w:rPr>
              <w:t> </w:t>
            </w:r>
            <w:r>
              <w:rPr>
                <w:sz w:val="20"/>
              </w:rPr>
              <w:t>миРНК</w:t>
            </w:r>
            <w:r>
              <w:rPr>
                <w:spacing w:val="-12"/>
                <w:sz w:val="20"/>
              </w:rPr>
              <w:t> </w:t>
            </w:r>
            <w:r>
              <w:rPr>
                <w:sz w:val="20"/>
              </w:rPr>
              <w:t>основано на механизме РНК- интерференции и включает специфическое распознавание геномных мишеней вируса</w:t>
            </w:r>
          </w:p>
          <w:p>
            <w:pPr>
              <w:pStyle w:val="TableParagraph"/>
              <w:ind w:left="162"/>
              <w:rPr>
                <w:sz w:val="20"/>
              </w:rPr>
            </w:pPr>
            <w:r>
              <w:rPr>
                <w:sz w:val="20"/>
              </w:rPr>
              <w:t>с последующим </w:t>
            </w:r>
            <w:r>
              <w:rPr>
                <w:spacing w:val="-2"/>
                <w:sz w:val="20"/>
              </w:rPr>
              <w:t>привлечением</w:t>
            </w:r>
          </w:p>
          <w:p>
            <w:pPr>
              <w:pStyle w:val="TableParagraph"/>
              <w:spacing w:line="228" w:lineRule="exact"/>
              <w:ind w:left="162"/>
              <w:rPr>
                <w:sz w:val="20"/>
              </w:rPr>
            </w:pPr>
            <w:r>
              <w:rPr>
                <w:spacing w:val="-2"/>
                <w:sz w:val="20"/>
              </w:rPr>
              <w:t>собственных</w:t>
            </w:r>
            <w:r>
              <w:rPr>
                <w:spacing w:val="-6"/>
                <w:sz w:val="20"/>
              </w:rPr>
              <w:t> </w:t>
            </w:r>
            <w:r>
              <w:rPr>
                <w:spacing w:val="-2"/>
                <w:sz w:val="20"/>
              </w:rPr>
              <w:t>белковых </w:t>
            </w:r>
            <w:r>
              <w:rPr>
                <w:sz w:val="20"/>
              </w:rPr>
              <w:t>комплексов клетки,</w:t>
            </w:r>
          </w:p>
        </w:tc>
        <w:tc>
          <w:tcPr>
            <w:tcW w:w="1277" w:type="dxa"/>
            <w:shd w:val="clear" w:color="auto" w:fill="F1F1F1"/>
          </w:tcPr>
          <w:p>
            <w:pPr>
              <w:pStyle w:val="TableParagraph"/>
              <w:spacing w:before="19"/>
              <w:ind w:left="109" w:right="86"/>
              <w:rPr>
                <w:sz w:val="20"/>
              </w:rPr>
            </w:pPr>
            <w:r>
              <w:rPr>
                <w:spacing w:val="-2"/>
                <w:sz w:val="20"/>
              </w:rPr>
              <w:t>Лиофилизат </w:t>
            </w:r>
            <w:r>
              <w:rPr>
                <w:spacing w:val="-4"/>
                <w:sz w:val="20"/>
              </w:rPr>
              <w:t>для </w:t>
            </w:r>
            <w:r>
              <w:rPr>
                <w:spacing w:val="-2"/>
                <w:sz w:val="20"/>
              </w:rPr>
              <w:t>приготовлен </w:t>
            </w:r>
            <w:r>
              <w:rPr>
                <w:sz w:val="20"/>
              </w:rPr>
              <w:t>ия раствора </w:t>
            </w:r>
            <w:r>
              <w:rPr>
                <w:spacing w:val="-4"/>
                <w:sz w:val="20"/>
              </w:rPr>
              <w:t>для </w:t>
            </w:r>
            <w:r>
              <w:rPr>
                <w:spacing w:val="-2"/>
                <w:sz w:val="20"/>
              </w:rPr>
              <w:t>ингаляций</w:t>
            </w:r>
          </w:p>
        </w:tc>
        <w:tc>
          <w:tcPr>
            <w:tcW w:w="2977" w:type="dxa"/>
            <w:shd w:val="clear" w:color="auto" w:fill="F1F1F1"/>
          </w:tcPr>
          <w:p>
            <w:pPr>
              <w:pStyle w:val="TableParagraph"/>
              <w:spacing w:before="19"/>
              <w:ind w:left="155" w:right="236"/>
              <w:rPr>
                <w:sz w:val="20"/>
              </w:rPr>
            </w:pPr>
            <w:r>
              <w:rPr>
                <w:sz w:val="20"/>
              </w:rPr>
              <w:t>Легкая</w:t>
            </w:r>
            <w:r>
              <w:rPr>
                <w:spacing w:val="-13"/>
                <w:sz w:val="20"/>
              </w:rPr>
              <w:t> </w:t>
            </w:r>
            <w:r>
              <w:rPr>
                <w:sz w:val="20"/>
              </w:rPr>
              <w:t>форма</w:t>
            </w:r>
            <w:r>
              <w:rPr>
                <w:spacing w:val="-12"/>
                <w:sz w:val="20"/>
              </w:rPr>
              <w:t> </w:t>
            </w:r>
            <w:r>
              <w:rPr>
                <w:sz w:val="20"/>
              </w:rPr>
              <w:t>(амбулаторно): Три приема с перерывом</w:t>
            </w:r>
          </w:p>
          <w:p>
            <w:pPr>
              <w:pStyle w:val="TableParagraph"/>
              <w:ind w:left="155"/>
              <w:rPr>
                <w:sz w:val="20"/>
              </w:rPr>
            </w:pPr>
            <w:r>
              <w:rPr>
                <w:sz w:val="20"/>
              </w:rPr>
              <w:t>6-7</w:t>
            </w:r>
            <w:r>
              <w:rPr>
                <w:spacing w:val="-1"/>
                <w:sz w:val="20"/>
              </w:rPr>
              <w:t> </w:t>
            </w:r>
            <w:r>
              <w:rPr>
                <w:spacing w:val="-2"/>
                <w:sz w:val="20"/>
              </w:rPr>
              <w:t>часов.</w:t>
            </w:r>
          </w:p>
          <w:p>
            <w:pPr>
              <w:pStyle w:val="TableParagraph"/>
              <w:ind w:left="155"/>
              <w:rPr>
                <w:sz w:val="20"/>
              </w:rPr>
            </w:pPr>
            <w:r>
              <w:rPr>
                <w:sz w:val="20"/>
              </w:rPr>
              <w:t>Разовая</w:t>
            </w:r>
            <w:r>
              <w:rPr>
                <w:spacing w:val="-11"/>
                <w:sz w:val="20"/>
              </w:rPr>
              <w:t> </w:t>
            </w:r>
            <w:r>
              <w:rPr>
                <w:sz w:val="20"/>
              </w:rPr>
              <w:t>доза</w:t>
            </w:r>
            <w:r>
              <w:rPr>
                <w:spacing w:val="-10"/>
                <w:sz w:val="20"/>
              </w:rPr>
              <w:t> </w:t>
            </w:r>
            <w:r>
              <w:rPr>
                <w:sz w:val="20"/>
              </w:rPr>
              <w:t>составляет</w:t>
            </w:r>
            <w:r>
              <w:rPr>
                <w:spacing w:val="-11"/>
                <w:sz w:val="20"/>
              </w:rPr>
              <w:t> </w:t>
            </w:r>
            <w:r>
              <w:rPr>
                <w:sz w:val="20"/>
              </w:rPr>
              <w:t>1,85</w:t>
            </w:r>
            <w:r>
              <w:rPr>
                <w:spacing w:val="-10"/>
                <w:sz w:val="20"/>
              </w:rPr>
              <w:t> </w:t>
            </w:r>
            <w:r>
              <w:rPr>
                <w:sz w:val="20"/>
              </w:rPr>
              <w:t>мг, суточная – 5,55 мг.</w:t>
            </w:r>
          </w:p>
          <w:p>
            <w:pPr>
              <w:pStyle w:val="TableParagraph"/>
              <w:spacing w:line="228" w:lineRule="exact"/>
              <w:ind w:left="155"/>
              <w:rPr>
                <w:sz w:val="20"/>
              </w:rPr>
            </w:pPr>
            <w:r>
              <w:rPr>
                <w:sz w:val="20"/>
              </w:rPr>
              <w:t>Курс</w:t>
            </w:r>
            <w:r>
              <w:rPr>
                <w:spacing w:val="-7"/>
                <w:sz w:val="20"/>
              </w:rPr>
              <w:t> </w:t>
            </w:r>
            <w:r>
              <w:rPr>
                <w:sz w:val="20"/>
              </w:rPr>
              <w:t>лечения</w:t>
            </w:r>
            <w:r>
              <w:rPr>
                <w:spacing w:val="-6"/>
                <w:sz w:val="20"/>
              </w:rPr>
              <w:t> </w:t>
            </w:r>
            <w:r>
              <w:rPr>
                <w:spacing w:val="-10"/>
                <w:sz w:val="20"/>
              </w:rPr>
              <w:t>–</w:t>
            </w:r>
          </w:p>
          <w:p>
            <w:pPr>
              <w:pStyle w:val="TableParagraph"/>
              <w:spacing w:before="1"/>
              <w:ind w:left="155"/>
              <w:rPr>
                <w:sz w:val="20"/>
              </w:rPr>
            </w:pPr>
            <w:r>
              <w:rPr>
                <w:sz w:val="20"/>
              </w:rPr>
              <w:t>до</w:t>
            </w:r>
            <w:r>
              <w:rPr>
                <w:spacing w:val="-9"/>
                <w:sz w:val="20"/>
              </w:rPr>
              <w:t> </w:t>
            </w:r>
            <w:r>
              <w:rPr>
                <w:sz w:val="20"/>
              </w:rPr>
              <w:t>7</w:t>
            </w:r>
            <w:r>
              <w:rPr>
                <w:spacing w:val="-9"/>
                <w:sz w:val="20"/>
              </w:rPr>
              <w:t> </w:t>
            </w:r>
            <w:r>
              <w:rPr>
                <w:sz w:val="20"/>
              </w:rPr>
              <w:t>дней</w:t>
            </w:r>
            <w:r>
              <w:rPr>
                <w:spacing w:val="-10"/>
                <w:sz w:val="20"/>
              </w:rPr>
              <w:t> </w:t>
            </w:r>
            <w:r>
              <w:rPr>
                <w:sz w:val="20"/>
              </w:rPr>
              <w:t>(до</w:t>
            </w:r>
            <w:r>
              <w:rPr>
                <w:spacing w:val="-9"/>
                <w:sz w:val="20"/>
              </w:rPr>
              <w:t> </w:t>
            </w:r>
            <w:r>
              <w:rPr>
                <w:sz w:val="20"/>
              </w:rPr>
              <w:t>21</w:t>
            </w:r>
            <w:r>
              <w:rPr>
                <w:spacing w:val="-6"/>
                <w:sz w:val="20"/>
              </w:rPr>
              <w:t> </w:t>
            </w:r>
            <w:r>
              <w:rPr>
                <w:sz w:val="20"/>
              </w:rPr>
              <w:t>ингаляций). Среднетяжелая форма (в условиях стационара):</w:t>
            </w:r>
          </w:p>
        </w:tc>
        <w:tc>
          <w:tcPr>
            <w:tcW w:w="6098" w:type="dxa"/>
            <w:shd w:val="clear" w:color="auto" w:fill="F1F1F1"/>
          </w:tcPr>
          <w:p>
            <w:pPr>
              <w:pStyle w:val="TableParagraph"/>
              <w:numPr>
                <w:ilvl w:val="0"/>
                <w:numId w:val="99"/>
              </w:numPr>
              <w:tabs>
                <w:tab w:pos="274" w:val="left" w:leader="none"/>
                <w:tab w:pos="276" w:val="left" w:leader="none"/>
              </w:tabs>
              <w:spacing w:line="240" w:lineRule="auto" w:before="19" w:after="0"/>
              <w:ind w:left="276" w:right="811" w:hanging="154"/>
              <w:jc w:val="left"/>
              <w:rPr>
                <w:sz w:val="20"/>
              </w:rPr>
            </w:pPr>
            <w:r>
              <w:rPr>
                <w:sz w:val="20"/>
              </w:rPr>
              <w:t>Повышенная</w:t>
            </w:r>
            <w:r>
              <w:rPr>
                <w:spacing w:val="-12"/>
                <w:sz w:val="20"/>
              </w:rPr>
              <w:t> </w:t>
            </w:r>
            <w:r>
              <w:rPr>
                <w:sz w:val="20"/>
              </w:rPr>
              <w:t>чувствительность</w:t>
            </w:r>
            <w:r>
              <w:rPr>
                <w:spacing w:val="-11"/>
                <w:sz w:val="20"/>
              </w:rPr>
              <w:t> </w:t>
            </w:r>
            <w:r>
              <w:rPr>
                <w:sz w:val="20"/>
              </w:rPr>
              <w:t>к</w:t>
            </w:r>
            <w:r>
              <w:rPr>
                <w:spacing w:val="-12"/>
                <w:sz w:val="20"/>
              </w:rPr>
              <w:t> </w:t>
            </w:r>
            <w:r>
              <w:rPr>
                <w:sz w:val="20"/>
              </w:rPr>
              <w:t>действующему</w:t>
            </w:r>
            <w:r>
              <w:rPr>
                <w:spacing w:val="-10"/>
                <w:sz w:val="20"/>
              </w:rPr>
              <w:t> </w:t>
            </w:r>
            <w:r>
              <w:rPr>
                <w:sz w:val="20"/>
              </w:rPr>
              <w:t>веществу или любому другому компоненту препарата;</w:t>
            </w:r>
          </w:p>
          <w:p>
            <w:pPr>
              <w:pStyle w:val="TableParagraph"/>
              <w:numPr>
                <w:ilvl w:val="0"/>
                <w:numId w:val="99"/>
              </w:numPr>
              <w:tabs>
                <w:tab w:pos="275" w:val="left" w:leader="none"/>
              </w:tabs>
              <w:spacing w:line="245" w:lineRule="exact" w:before="0" w:after="0"/>
              <w:ind w:left="275" w:right="0" w:hanging="152"/>
              <w:jc w:val="left"/>
              <w:rPr>
                <w:sz w:val="20"/>
              </w:rPr>
            </w:pPr>
            <w:r>
              <w:rPr>
                <w:sz w:val="20"/>
              </w:rPr>
              <w:t>Тяжелое</w:t>
            </w:r>
            <w:r>
              <w:rPr>
                <w:spacing w:val="-13"/>
                <w:sz w:val="20"/>
              </w:rPr>
              <w:t> </w:t>
            </w:r>
            <w:r>
              <w:rPr>
                <w:sz w:val="20"/>
              </w:rPr>
              <w:t>течение</w:t>
            </w:r>
            <w:r>
              <w:rPr>
                <w:spacing w:val="-9"/>
                <w:sz w:val="20"/>
              </w:rPr>
              <w:t> </w:t>
            </w:r>
            <w:r>
              <w:rPr>
                <w:sz w:val="20"/>
              </w:rPr>
              <w:t>COVID-</w:t>
            </w:r>
            <w:r>
              <w:rPr>
                <w:spacing w:val="-5"/>
                <w:sz w:val="20"/>
              </w:rPr>
              <w:t>19;</w:t>
            </w:r>
          </w:p>
          <w:p>
            <w:pPr>
              <w:pStyle w:val="TableParagraph"/>
              <w:numPr>
                <w:ilvl w:val="0"/>
                <w:numId w:val="99"/>
              </w:numPr>
              <w:tabs>
                <w:tab w:pos="274" w:val="left" w:leader="none"/>
                <w:tab w:pos="276" w:val="left" w:leader="none"/>
              </w:tabs>
              <w:spacing w:line="237" w:lineRule="auto" w:before="2" w:after="0"/>
              <w:ind w:left="276" w:right="134" w:hanging="154"/>
              <w:jc w:val="left"/>
              <w:rPr>
                <w:sz w:val="20"/>
              </w:rPr>
            </w:pPr>
            <w:r>
              <w:rPr>
                <w:sz w:val="20"/>
              </w:rPr>
              <w:t>Возраст</w:t>
            </w:r>
            <w:r>
              <w:rPr>
                <w:spacing w:val="-6"/>
                <w:sz w:val="20"/>
              </w:rPr>
              <w:t> </w:t>
            </w:r>
            <w:r>
              <w:rPr>
                <w:sz w:val="20"/>
              </w:rPr>
              <w:t>младше</w:t>
            </w:r>
            <w:r>
              <w:rPr>
                <w:spacing w:val="-5"/>
                <w:sz w:val="20"/>
              </w:rPr>
              <w:t> </w:t>
            </w:r>
            <w:r>
              <w:rPr>
                <w:sz w:val="20"/>
              </w:rPr>
              <w:t>18</w:t>
            </w:r>
            <w:r>
              <w:rPr>
                <w:spacing w:val="-4"/>
                <w:sz w:val="20"/>
              </w:rPr>
              <w:t> </w:t>
            </w:r>
            <w:r>
              <w:rPr>
                <w:sz w:val="20"/>
              </w:rPr>
              <w:t>и</w:t>
            </w:r>
            <w:r>
              <w:rPr>
                <w:spacing w:val="-6"/>
                <w:sz w:val="20"/>
              </w:rPr>
              <w:t> </w:t>
            </w:r>
            <w:r>
              <w:rPr>
                <w:sz w:val="20"/>
              </w:rPr>
              <w:t>старше</w:t>
            </w:r>
            <w:r>
              <w:rPr>
                <w:spacing w:val="-3"/>
                <w:sz w:val="20"/>
              </w:rPr>
              <w:t> </w:t>
            </w:r>
            <w:r>
              <w:rPr>
                <w:sz w:val="20"/>
              </w:rPr>
              <w:t>65</w:t>
            </w:r>
            <w:r>
              <w:rPr>
                <w:spacing w:val="-4"/>
                <w:sz w:val="20"/>
              </w:rPr>
              <w:t> </w:t>
            </w:r>
            <w:r>
              <w:rPr>
                <w:sz w:val="20"/>
              </w:rPr>
              <w:t>лет</w:t>
            </w:r>
            <w:r>
              <w:rPr>
                <w:spacing w:val="-2"/>
                <w:sz w:val="20"/>
              </w:rPr>
              <w:t> </w:t>
            </w:r>
            <w:r>
              <w:rPr>
                <w:sz w:val="20"/>
              </w:rPr>
              <w:t>(в</w:t>
            </w:r>
            <w:r>
              <w:rPr>
                <w:spacing w:val="-6"/>
                <w:sz w:val="20"/>
              </w:rPr>
              <w:t> </w:t>
            </w:r>
            <w:r>
              <w:rPr>
                <w:sz w:val="20"/>
              </w:rPr>
              <w:t>связи</w:t>
            </w:r>
            <w:r>
              <w:rPr>
                <w:spacing w:val="-6"/>
                <w:sz w:val="20"/>
              </w:rPr>
              <w:t> </w:t>
            </w:r>
            <w:r>
              <w:rPr>
                <w:sz w:val="20"/>
              </w:rPr>
              <w:t>с</w:t>
            </w:r>
            <w:r>
              <w:rPr>
                <w:spacing w:val="-5"/>
                <w:sz w:val="20"/>
              </w:rPr>
              <w:t> </w:t>
            </w:r>
            <w:r>
              <w:rPr>
                <w:sz w:val="20"/>
              </w:rPr>
              <w:t>отсутствием</w:t>
            </w:r>
            <w:r>
              <w:rPr>
                <w:spacing w:val="-4"/>
                <w:sz w:val="20"/>
              </w:rPr>
              <w:t> </w:t>
            </w:r>
            <w:r>
              <w:rPr>
                <w:sz w:val="20"/>
              </w:rPr>
              <w:t>данных об эффективности и безопасности);</w:t>
            </w:r>
          </w:p>
          <w:p>
            <w:pPr>
              <w:pStyle w:val="TableParagraph"/>
              <w:numPr>
                <w:ilvl w:val="0"/>
                <w:numId w:val="99"/>
              </w:numPr>
              <w:tabs>
                <w:tab w:pos="274" w:val="left" w:leader="none"/>
                <w:tab w:pos="276" w:val="left" w:leader="none"/>
              </w:tabs>
              <w:spacing w:line="240" w:lineRule="auto" w:before="0" w:after="0"/>
              <w:ind w:left="276" w:right="842" w:hanging="154"/>
              <w:jc w:val="left"/>
              <w:rPr>
                <w:sz w:val="20"/>
              </w:rPr>
            </w:pPr>
            <w:r>
              <w:rPr>
                <w:sz w:val="20"/>
              </w:rPr>
              <w:t>Беременность и период грудного вскармливания (в связи с</w:t>
            </w:r>
            <w:r>
              <w:rPr>
                <w:spacing w:val="-7"/>
                <w:sz w:val="20"/>
              </w:rPr>
              <w:t> </w:t>
            </w:r>
            <w:r>
              <w:rPr>
                <w:sz w:val="20"/>
              </w:rPr>
              <w:t>отсутствием</w:t>
            </w:r>
            <w:r>
              <w:rPr>
                <w:spacing w:val="-6"/>
                <w:sz w:val="20"/>
              </w:rPr>
              <w:t> </w:t>
            </w:r>
            <w:r>
              <w:rPr>
                <w:sz w:val="20"/>
              </w:rPr>
              <w:t>данных</w:t>
            </w:r>
            <w:r>
              <w:rPr>
                <w:spacing w:val="-6"/>
                <w:sz w:val="20"/>
              </w:rPr>
              <w:t> </w:t>
            </w:r>
            <w:r>
              <w:rPr>
                <w:sz w:val="20"/>
              </w:rPr>
              <w:t>об</w:t>
            </w:r>
            <w:r>
              <w:rPr>
                <w:spacing w:val="-8"/>
                <w:sz w:val="20"/>
              </w:rPr>
              <w:t> </w:t>
            </w:r>
            <w:r>
              <w:rPr>
                <w:sz w:val="20"/>
              </w:rPr>
              <w:t>эффективности</w:t>
            </w:r>
            <w:r>
              <w:rPr>
                <w:spacing w:val="-6"/>
                <w:sz w:val="20"/>
              </w:rPr>
              <w:t> </w:t>
            </w:r>
            <w:r>
              <w:rPr>
                <w:sz w:val="20"/>
              </w:rPr>
              <w:t>и</w:t>
            </w:r>
            <w:r>
              <w:rPr>
                <w:spacing w:val="-8"/>
                <w:sz w:val="20"/>
              </w:rPr>
              <w:t> </w:t>
            </w:r>
            <w:r>
              <w:rPr>
                <w:sz w:val="20"/>
              </w:rPr>
              <w:t>безопасности);</w:t>
            </w:r>
          </w:p>
          <w:p>
            <w:pPr>
              <w:pStyle w:val="TableParagraph"/>
              <w:numPr>
                <w:ilvl w:val="0"/>
                <w:numId w:val="99"/>
              </w:numPr>
              <w:tabs>
                <w:tab w:pos="275" w:val="left" w:leader="none"/>
              </w:tabs>
              <w:spacing w:line="245" w:lineRule="exact" w:before="0" w:after="0"/>
              <w:ind w:left="275" w:right="0" w:hanging="152"/>
              <w:jc w:val="left"/>
              <w:rPr>
                <w:sz w:val="20"/>
              </w:rPr>
            </w:pPr>
            <w:r>
              <w:rPr>
                <w:sz w:val="20"/>
              </w:rPr>
              <w:t>Применение</w:t>
            </w:r>
            <w:r>
              <w:rPr>
                <w:spacing w:val="-9"/>
                <w:sz w:val="20"/>
              </w:rPr>
              <w:t> </w:t>
            </w:r>
            <w:r>
              <w:rPr>
                <w:sz w:val="20"/>
              </w:rPr>
              <w:t>системных</w:t>
            </w:r>
            <w:r>
              <w:rPr>
                <w:spacing w:val="-8"/>
                <w:sz w:val="20"/>
              </w:rPr>
              <w:t> </w:t>
            </w:r>
            <w:r>
              <w:rPr>
                <w:sz w:val="20"/>
              </w:rPr>
              <w:t>ГКС</w:t>
            </w:r>
            <w:r>
              <w:rPr>
                <w:spacing w:val="-10"/>
                <w:sz w:val="20"/>
              </w:rPr>
              <w:t> </w:t>
            </w:r>
            <w:r>
              <w:rPr>
                <w:sz w:val="20"/>
              </w:rPr>
              <w:t>на</w:t>
            </w:r>
            <w:r>
              <w:rPr>
                <w:spacing w:val="-9"/>
                <w:sz w:val="20"/>
              </w:rPr>
              <w:t> </w:t>
            </w:r>
            <w:r>
              <w:rPr>
                <w:sz w:val="20"/>
              </w:rPr>
              <w:t>постоянной</w:t>
            </w:r>
            <w:r>
              <w:rPr>
                <w:spacing w:val="-9"/>
                <w:sz w:val="20"/>
              </w:rPr>
              <w:t> </w:t>
            </w:r>
            <w:r>
              <w:rPr>
                <w:spacing w:val="-2"/>
                <w:sz w:val="20"/>
              </w:rPr>
              <w:t>основе.</w:t>
            </w:r>
          </w:p>
        </w:tc>
      </w:tr>
    </w:tbl>
    <w:p>
      <w:pPr>
        <w:spacing w:before="13"/>
        <w:ind w:left="0" w:right="15" w:firstLine="0"/>
        <w:jc w:val="center"/>
        <w:rPr>
          <w:rFonts w:ascii="Calibri"/>
          <w:sz w:val="22"/>
        </w:rPr>
      </w:pPr>
      <w:r>
        <w:rPr>
          <w:rFonts w:ascii="Calibri"/>
          <w:spacing w:val="-5"/>
          <w:sz w:val="22"/>
        </w:rPr>
        <w:t>193</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76"/>
        <w:gridCol w:w="2552"/>
        <w:gridCol w:w="1277"/>
        <w:gridCol w:w="2977"/>
        <w:gridCol w:w="6098"/>
      </w:tblGrid>
      <w:tr>
        <w:trPr>
          <w:trHeight w:val="1393" w:hRule="atLeast"/>
        </w:trPr>
        <w:tc>
          <w:tcPr>
            <w:tcW w:w="1976" w:type="dxa"/>
            <w:shd w:val="clear" w:color="auto" w:fill="F1F1F1"/>
          </w:tcPr>
          <w:p>
            <w:pPr>
              <w:pStyle w:val="TableParagraph"/>
              <w:rPr>
                <w:sz w:val="18"/>
              </w:rPr>
            </w:pPr>
          </w:p>
        </w:tc>
        <w:tc>
          <w:tcPr>
            <w:tcW w:w="2552" w:type="dxa"/>
            <w:shd w:val="clear" w:color="auto" w:fill="F1F1F1"/>
          </w:tcPr>
          <w:p>
            <w:pPr>
              <w:pStyle w:val="TableParagraph"/>
              <w:spacing w:before="24"/>
              <w:ind w:left="162"/>
              <w:rPr>
                <w:sz w:val="20"/>
              </w:rPr>
            </w:pPr>
            <w:bookmarkStart w:name="195" w:id="231"/>
            <w:bookmarkEnd w:id="231"/>
            <w:r>
              <w:rPr/>
            </w:r>
            <w:r>
              <w:rPr>
                <w:sz w:val="20"/>
              </w:rPr>
              <w:t>разрушающих вирусный геном (и его мРНК- транскрипты)</w:t>
            </w:r>
            <w:r>
              <w:rPr>
                <w:spacing w:val="-13"/>
                <w:sz w:val="20"/>
              </w:rPr>
              <w:t> </w:t>
            </w:r>
            <w:r>
              <w:rPr>
                <w:sz w:val="20"/>
              </w:rPr>
              <w:t>и</w:t>
            </w:r>
            <w:r>
              <w:rPr>
                <w:spacing w:val="-12"/>
                <w:sz w:val="20"/>
              </w:rPr>
              <w:t> </w:t>
            </w:r>
            <w:r>
              <w:rPr>
                <w:sz w:val="20"/>
              </w:rPr>
              <w:t>тем</w:t>
            </w:r>
            <w:r>
              <w:rPr>
                <w:spacing w:val="-13"/>
                <w:sz w:val="20"/>
              </w:rPr>
              <w:t> </w:t>
            </w:r>
            <w:r>
              <w:rPr>
                <w:sz w:val="20"/>
              </w:rPr>
              <w:t>самым нарушающих процесс репликации вируса.</w:t>
            </w:r>
          </w:p>
        </w:tc>
        <w:tc>
          <w:tcPr>
            <w:tcW w:w="1277" w:type="dxa"/>
            <w:shd w:val="clear" w:color="auto" w:fill="F1F1F1"/>
          </w:tcPr>
          <w:p>
            <w:pPr>
              <w:pStyle w:val="TableParagraph"/>
              <w:rPr>
                <w:sz w:val="18"/>
              </w:rPr>
            </w:pPr>
          </w:p>
        </w:tc>
        <w:tc>
          <w:tcPr>
            <w:tcW w:w="2977" w:type="dxa"/>
            <w:shd w:val="clear" w:color="auto" w:fill="F1F1F1"/>
          </w:tcPr>
          <w:p>
            <w:pPr>
              <w:pStyle w:val="TableParagraph"/>
              <w:spacing w:before="24"/>
              <w:ind w:left="155"/>
              <w:rPr>
                <w:sz w:val="20"/>
              </w:rPr>
            </w:pPr>
            <w:r>
              <w:rPr>
                <w:sz w:val="20"/>
              </w:rPr>
              <w:t>Два приема с перерывом 7-8 часов.</w:t>
            </w:r>
            <w:r>
              <w:rPr>
                <w:spacing w:val="-13"/>
                <w:sz w:val="20"/>
              </w:rPr>
              <w:t> </w:t>
            </w:r>
            <w:r>
              <w:rPr>
                <w:sz w:val="20"/>
              </w:rPr>
              <w:t>Разовая</w:t>
            </w:r>
            <w:r>
              <w:rPr>
                <w:spacing w:val="-12"/>
                <w:sz w:val="20"/>
              </w:rPr>
              <w:t> </w:t>
            </w:r>
            <w:r>
              <w:rPr>
                <w:sz w:val="20"/>
              </w:rPr>
              <w:t>доза</w:t>
            </w:r>
            <w:r>
              <w:rPr>
                <w:spacing w:val="-13"/>
                <w:sz w:val="20"/>
              </w:rPr>
              <w:t> </w:t>
            </w:r>
            <w:r>
              <w:rPr>
                <w:sz w:val="20"/>
              </w:rPr>
              <w:t>составляет 1,85 мг, суточная – 3,7 мг.</w:t>
            </w:r>
          </w:p>
          <w:p>
            <w:pPr>
              <w:pStyle w:val="TableParagraph"/>
              <w:ind w:left="155"/>
              <w:rPr>
                <w:sz w:val="20"/>
              </w:rPr>
            </w:pPr>
            <w:r>
              <w:rPr>
                <w:sz w:val="20"/>
              </w:rPr>
              <w:t>Курс</w:t>
            </w:r>
            <w:r>
              <w:rPr>
                <w:spacing w:val="-9"/>
                <w:sz w:val="20"/>
              </w:rPr>
              <w:t> </w:t>
            </w:r>
            <w:r>
              <w:rPr>
                <w:sz w:val="20"/>
              </w:rPr>
              <w:t>лечения</w:t>
            </w:r>
            <w:r>
              <w:rPr>
                <w:spacing w:val="-9"/>
                <w:sz w:val="20"/>
              </w:rPr>
              <w:t> </w:t>
            </w:r>
            <w:r>
              <w:rPr>
                <w:sz w:val="20"/>
              </w:rPr>
              <w:t>–</w:t>
            </w:r>
            <w:r>
              <w:rPr>
                <w:spacing w:val="-8"/>
                <w:sz w:val="20"/>
              </w:rPr>
              <w:t> </w:t>
            </w:r>
            <w:r>
              <w:rPr>
                <w:sz w:val="20"/>
              </w:rPr>
              <w:t>14</w:t>
            </w:r>
            <w:r>
              <w:rPr>
                <w:spacing w:val="-8"/>
                <w:sz w:val="20"/>
              </w:rPr>
              <w:t> </w:t>
            </w:r>
            <w:r>
              <w:rPr>
                <w:sz w:val="20"/>
              </w:rPr>
              <w:t>дней</w:t>
            </w:r>
            <w:r>
              <w:rPr>
                <w:spacing w:val="-10"/>
                <w:sz w:val="20"/>
              </w:rPr>
              <w:t> </w:t>
            </w:r>
            <w:r>
              <w:rPr>
                <w:sz w:val="20"/>
              </w:rPr>
              <w:t>(28 </w:t>
            </w:r>
            <w:r>
              <w:rPr>
                <w:spacing w:val="-2"/>
                <w:sz w:val="20"/>
              </w:rPr>
              <w:t>ингаляций).</w:t>
            </w:r>
          </w:p>
        </w:tc>
        <w:tc>
          <w:tcPr>
            <w:tcW w:w="6098" w:type="dxa"/>
            <w:shd w:val="clear" w:color="auto" w:fill="F1F1F1"/>
          </w:tcPr>
          <w:p>
            <w:pPr>
              <w:pStyle w:val="TableParagraph"/>
              <w:rPr>
                <w:sz w:val="18"/>
              </w:rPr>
            </w:pPr>
          </w:p>
        </w:tc>
      </w:tr>
      <w:tr>
        <w:trPr>
          <w:trHeight w:val="2400" w:hRule="atLeast"/>
        </w:trPr>
        <w:tc>
          <w:tcPr>
            <w:tcW w:w="1976" w:type="dxa"/>
          </w:tcPr>
          <w:p>
            <w:pPr>
              <w:pStyle w:val="TableParagraph"/>
              <w:spacing w:before="23"/>
              <w:ind w:left="109" w:right="267"/>
              <w:rPr>
                <w:b/>
                <w:sz w:val="20"/>
              </w:rPr>
            </w:pPr>
            <w:r>
              <w:rPr>
                <w:b/>
                <w:spacing w:val="-2"/>
                <w:sz w:val="20"/>
              </w:rPr>
              <w:t>Иммуноглобулин </w:t>
            </w:r>
            <w:r>
              <w:rPr>
                <w:b/>
                <w:sz w:val="20"/>
              </w:rPr>
              <w:t>человека против </w:t>
            </w:r>
            <w:r>
              <w:rPr>
                <w:b/>
                <w:spacing w:val="-2"/>
                <w:sz w:val="20"/>
              </w:rPr>
              <w:t>COVID-19</w:t>
            </w:r>
          </w:p>
        </w:tc>
        <w:tc>
          <w:tcPr>
            <w:tcW w:w="2552" w:type="dxa"/>
          </w:tcPr>
          <w:p>
            <w:pPr>
              <w:pStyle w:val="TableParagraph"/>
              <w:spacing w:before="23"/>
              <w:ind w:left="212" w:right="428"/>
              <w:rPr>
                <w:sz w:val="20"/>
              </w:rPr>
            </w:pPr>
            <w:r>
              <w:rPr>
                <w:spacing w:val="-2"/>
                <w:sz w:val="20"/>
              </w:rPr>
              <w:t>Противовирусное </w:t>
            </w:r>
            <w:r>
              <w:rPr>
                <w:sz w:val="20"/>
              </w:rPr>
              <w:t>действие</w:t>
            </w:r>
            <w:r>
              <w:rPr>
                <w:spacing w:val="-13"/>
                <w:sz w:val="20"/>
              </w:rPr>
              <w:t> </w:t>
            </w:r>
            <w:r>
              <w:rPr>
                <w:sz w:val="20"/>
              </w:rPr>
              <w:t>обусловлено связыванием вируса </w:t>
            </w:r>
            <w:r>
              <w:rPr>
                <w:spacing w:val="-2"/>
                <w:sz w:val="20"/>
              </w:rPr>
              <w:t>специфическими антителами</w:t>
            </w:r>
          </w:p>
          <w:p>
            <w:pPr>
              <w:pStyle w:val="TableParagraph"/>
              <w:spacing w:line="229" w:lineRule="exact"/>
              <w:ind w:left="212"/>
              <w:rPr>
                <w:sz w:val="20"/>
              </w:rPr>
            </w:pPr>
            <w:r>
              <w:rPr>
                <w:sz w:val="20"/>
              </w:rPr>
              <w:t>к</w:t>
            </w:r>
            <w:r>
              <w:rPr>
                <w:spacing w:val="-8"/>
                <w:sz w:val="20"/>
              </w:rPr>
              <w:t> </w:t>
            </w:r>
            <w:r>
              <w:rPr>
                <w:sz w:val="20"/>
              </w:rPr>
              <w:t>SARS-CoV-2</w:t>
            </w:r>
            <w:r>
              <w:rPr>
                <w:spacing w:val="-5"/>
                <w:sz w:val="20"/>
              </w:rPr>
              <w:t> </w:t>
            </w:r>
            <w:r>
              <w:rPr>
                <w:sz w:val="20"/>
              </w:rPr>
              <w:t>класса</w:t>
            </w:r>
            <w:r>
              <w:rPr>
                <w:spacing w:val="-5"/>
                <w:sz w:val="20"/>
              </w:rPr>
              <w:t> </w:t>
            </w:r>
            <w:r>
              <w:rPr>
                <w:spacing w:val="-4"/>
                <w:sz w:val="20"/>
              </w:rPr>
              <w:t>IgG.</w:t>
            </w:r>
          </w:p>
        </w:tc>
        <w:tc>
          <w:tcPr>
            <w:tcW w:w="1277" w:type="dxa"/>
          </w:tcPr>
          <w:p>
            <w:pPr>
              <w:pStyle w:val="TableParagraph"/>
              <w:spacing w:before="23"/>
              <w:ind w:left="109" w:right="136"/>
              <w:rPr>
                <w:sz w:val="20"/>
              </w:rPr>
            </w:pPr>
            <w:r>
              <w:rPr>
                <w:sz w:val="20"/>
              </w:rPr>
              <w:t>Раствор</w:t>
            </w:r>
            <w:r>
              <w:rPr>
                <w:spacing w:val="-13"/>
                <w:sz w:val="20"/>
              </w:rPr>
              <w:t> </w:t>
            </w:r>
            <w:r>
              <w:rPr>
                <w:sz w:val="20"/>
              </w:rPr>
              <w:t>для </w:t>
            </w:r>
            <w:r>
              <w:rPr>
                <w:spacing w:val="-2"/>
                <w:sz w:val="20"/>
              </w:rPr>
              <w:t>инфузий</w:t>
            </w:r>
          </w:p>
        </w:tc>
        <w:tc>
          <w:tcPr>
            <w:tcW w:w="2977" w:type="dxa"/>
          </w:tcPr>
          <w:p>
            <w:pPr>
              <w:pStyle w:val="TableParagraph"/>
              <w:spacing w:before="23"/>
              <w:ind w:left="155" w:right="206"/>
              <w:rPr>
                <w:sz w:val="20"/>
              </w:rPr>
            </w:pPr>
            <w:r>
              <w:rPr>
                <w:sz w:val="20"/>
              </w:rPr>
              <w:t>Внутривенно капельно в дозе 1</w:t>
            </w:r>
            <w:r>
              <w:rPr>
                <w:spacing w:val="-10"/>
                <w:sz w:val="20"/>
              </w:rPr>
              <w:t> </w:t>
            </w:r>
            <w:r>
              <w:rPr>
                <w:sz w:val="20"/>
              </w:rPr>
              <w:t>мл/кг</w:t>
            </w:r>
            <w:r>
              <w:rPr>
                <w:spacing w:val="-12"/>
                <w:sz w:val="20"/>
              </w:rPr>
              <w:t> </w:t>
            </w:r>
            <w:r>
              <w:rPr>
                <w:sz w:val="20"/>
              </w:rPr>
              <w:t>массы</w:t>
            </w:r>
            <w:r>
              <w:rPr>
                <w:spacing w:val="-11"/>
                <w:sz w:val="20"/>
              </w:rPr>
              <w:t> </w:t>
            </w:r>
            <w:r>
              <w:rPr>
                <w:sz w:val="20"/>
              </w:rPr>
              <w:t>тела.</w:t>
            </w:r>
            <w:r>
              <w:rPr>
                <w:spacing w:val="-11"/>
                <w:sz w:val="20"/>
              </w:rPr>
              <w:t> </w:t>
            </w:r>
            <w:r>
              <w:rPr>
                <w:sz w:val="20"/>
              </w:rPr>
              <w:t>Начальная скорость введения –</w:t>
            </w:r>
          </w:p>
          <w:p>
            <w:pPr>
              <w:pStyle w:val="TableParagraph"/>
              <w:ind w:left="155" w:right="42"/>
              <w:rPr>
                <w:sz w:val="20"/>
              </w:rPr>
            </w:pPr>
            <w:r>
              <w:rPr>
                <w:sz w:val="20"/>
              </w:rPr>
              <w:t>от</w:t>
            </w:r>
            <w:r>
              <w:rPr>
                <w:spacing w:val="-8"/>
                <w:sz w:val="20"/>
              </w:rPr>
              <w:t> </w:t>
            </w:r>
            <w:r>
              <w:rPr>
                <w:sz w:val="20"/>
              </w:rPr>
              <w:t>0,01</w:t>
            </w:r>
            <w:r>
              <w:rPr>
                <w:spacing w:val="-7"/>
                <w:sz w:val="20"/>
              </w:rPr>
              <w:t> </w:t>
            </w:r>
            <w:r>
              <w:rPr>
                <w:sz w:val="20"/>
              </w:rPr>
              <w:t>до</w:t>
            </w:r>
            <w:r>
              <w:rPr>
                <w:spacing w:val="-9"/>
                <w:sz w:val="20"/>
              </w:rPr>
              <w:t> </w:t>
            </w:r>
            <w:r>
              <w:rPr>
                <w:sz w:val="20"/>
              </w:rPr>
              <w:t>0,02</w:t>
            </w:r>
            <w:r>
              <w:rPr>
                <w:spacing w:val="-7"/>
                <w:sz w:val="20"/>
              </w:rPr>
              <w:t> </w:t>
            </w:r>
            <w:r>
              <w:rPr>
                <w:sz w:val="20"/>
              </w:rPr>
              <w:t>мл/кг</w:t>
            </w:r>
            <w:r>
              <w:rPr>
                <w:spacing w:val="-8"/>
                <w:sz w:val="20"/>
              </w:rPr>
              <w:t> </w:t>
            </w:r>
            <w:r>
              <w:rPr>
                <w:sz w:val="20"/>
              </w:rPr>
              <w:t>массы</w:t>
            </w:r>
            <w:r>
              <w:rPr>
                <w:spacing w:val="-8"/>
                <w:sz w:val="20"/>
              </w:rPr>
              <w:t> </w:t>
            </w:r>
            <w:r>
              <w:rPr>
                <w:sz w:val="20"/>
              </w:rPr>
              <w:t>тела в минуту в течение 30 минут.</w:t>
            </w:r>
          </w:p>
          <w:p>
            <w:pPr>
              <w:pStyle w:val="TableParagraph"/>
              <w:ind w:left="155" w:right="77"/>
              <w:rPr>
                <w:sz w:val="20"/>
              </w:rPr>
            </w:pPr>
            <w:r>
              <w:rPr>
                <w:sz w:val="20"/>
              </w:rPr>
              <w:t>Если препарат хорошо переносится,</w:t>
            </w:r>
            <w:r>
              <w:rPr>
                <w:spacing w:val="-13"/>
                <w:sz w:val="20"/>
              </w:rPr>
              <w:t> </w:t>
            </w:r>
            <w:r>
              <w:rPr>
                <w:sz w:val="20"/>
              </w:rPr>
              <w:t>скорость</w:t>
            </w:r>
            <w:r>
              <w:rPr>
                <w:spacing w:val="-12"/>
                <w:sz w:val="20"/>
              </w:rPr>
              <w:t> </w:t>
            </w:r>
            <w:r>
              <w:rPr>
                <w:sz w:val="20"/>
              </w:rPr>
              <w:t>введения можно</w:t>
            </w:r>
            <w:r>
              <w:rPr>
                <w:spacing w:val="-12"/>
                <w:sz w:val="20"/>
              </w:rPr>
              <w:t> </w:t>
            </w:r>
            <w:r>
              <w:rPr>
                <w:sz w:val="20"/>
              </w:rPr>
              <w:t>постепенно</w:t>
            </w:r>
            <w:r>
              <w:rPr>
                <w:spacing w:val="-12"/>
                <w:sz w:val="20"/>
              </w:rPr>
              <w:t> </w:t>
            </w:r>
            <w:r>
              <w:rPr>
                <w:sz w:val="20"/>
              </w:rPr>
              <w:t>увеличивать максимально до 0,12 мл/кг массы тела в минуту.</w:t>
            </w:r>
          </w:p>
        </w:tc>
        <w:tc>
          <w:tcPr>
            <w:tcW w:w="6098" w:type="dxa"/>
          </w:tcPr>
          <w:p>
            <w:pPr>
              <w:pStyle w:val="TableParagraph"/>
              <w:numPr>
                <w:ilvl w:val="0"/>
                <w:numId w:val="100"/>
              </w:numPr>
              <w:tabs>
                <w:tab w:pos="274" w:val="left" w:leader="none"/>
                <w:tab w:pos="276" w:val="left" w:leader="none"/>
              </w:tabs>
              <w:spacing w:line="240" w:lineRule="auto" w:before="23" w:after="0"/>
              <w:ind w:left="276" w:right="283" w:hanging="154"/>
              <w:jc w:val="left"/>
              <w:rPr>
                <w:sz w:val="20"/>
              </w:rPr>
            </w:pPr>
            <w:r>
              <w:rPr>
                <w:sz w:val="20"/>
              </w:rPr>
              <w:t>Повышенная чувствительность к иммуноглобулину человека, особенно в редко встречающихся случаях дефицита в крови иммуноглобулина</w:t>
            </w:r>
            <w:r>
              <w:rPr>
                <w:spacing w:val="-5"/>
                <w:sz w:val="20"/>
              </w:rPr>
              <w:t> </w:t>
            </w:r>
            <w:r>
              <w:rPr>
                <w:sz w:val="20"/>
              </w:rPr>
              <w:t>класса</w:t>
            </w:r>
            <w:r>
              <w:rPr>
                <w:spacing w:val="-6"/>
                <w:sz w:val="20"/>
              </w:rPr>
              <w:t> </w:t>
            </w:r>
            <w:r>
              <w:rPr>
                <w:sz w:val="20"/>
              </w:rPr>
              <w:t>A</w:t>
            </w:r>
            <w:r>
              <w:rPr>
                <w:spacing w:val="-5"/>
                <w:sz w:val="20"/>
              </w:rPr>
              <w:t> </w:t>
            </w:r>
            <w:r>
              <w:rPr>
                <w:sz w:val="20"/>
              </w:rPr>
              <w:t>(IgA)</w:t>
            </w:r>
            <w:r>
              <w:rPr>
                <w:spacing w:val="-6"/>
                <w:sz w:val="20"/>
              </w:rPr>
              <w:t> </w:t>
            </w:r>
            <w:r>
              <w:rPr>
                <w:sz w:val="20"/>
              </w:rPr>
              <w:t>и</w:t>
            </w:r>
            <w:r>
              <w:rPr>
                <w:spacing w:val="-7"/>
                <w:sz w:val="20"/>
              </w:rPr>
              <w:t> </w:t>
            </w:r>
            <w:r>
              <w:rPr>
                <w:sz w:val="20"/>
              </w:rPr>
              <w:t>наличия</w:t>
            </w:r>
            <w:r>
              <w:rPr>
                <w:spacing w:val="-7"/>
                <w:sz w:val="20"/>
              </w:rPr>
              <w:t> </w:t>
            </w:r>
            <w:r>
              <w:rPr>
                <w:sz w:val="20"/>
              </w:rPr>
              <w:t>антител</w:t>
            </w:r>
            <w:r>
              <w:rPr>
                <w:spacing w:val="-6"/>
                <w:sz w:val="20"/>
              </w:rPr>
              <w:t> </w:t>
            </w:r>
            <w:r>
              <w:rPr>
                <w:sz w:val="20"/>
              </w:rPr>
              <w:t>против</w:t>
            </w:r>
            <w:r>
              <w:rPr>
                <w:spacing w:val="-5"/>
                <w:sz w:val="20"/>
              </w:rPr>
              <w:t> </w:t>
            </w:r>
            <w:r>
              <w:rPr>
                <w:sz w:val="20"/>
              </w:rPr>
              <w:t>IgA;</w:t>
            </w:r>
          </w:p>
          <w:p>
            <w:pPr>
              <w:pStyle w:val="TableParagraph"/>
              <w:numPr>
                <w:ilvl w:val="0"/>
                <w:numId w:val="100"/>
              </w:numPr>
              <w:tabs>
                <w:tab w:pos="275" w:val="left" w:leader="none"/>
              </w:tabs>
              <w:spacing w:line="243" w:lineRule="exact" w:before="0" w:after="0"/>
              <w:ind w:left="275" w:right="0" w:hanging="152"/>
              <w:jc w:val="left"/>
              <w:rPr>
                <w:sz w:val="20"/>
              </w:rPr>
            </w:pPr>
            <w:r>
              <w:rPr>
                <w:sz w:val="20"/>
              </w:rPr>
              <w:t>Повышенная</w:t>
            </w:r>
            <w:r>
              <w:rPr>
                <w:spacing w:val="-12"/>
                <w:sz w:val="20"/>
              </w:rPr>
              <w:t> </w:t>
            </w:r>
            <w:r>
              <w:rPr>
                <w:sz w:val="20"/>
              </w:rPr>
              <w:t>чувствительность</w:t>
            </w:r>
            <w:r>
              <w:rPr>
                <w:spacing w:val="-10"/>
                <w:sz w:val="20"/>
              </w:rPr>
              <w:t> </w:t>
            </w:r>
            <w:r>
              <w:rPr>
                <w:sz w:val="20"/>
              </w:rPr>
              <w:t>к</w:t>
            </w:r>
            <w:r>
              <w:rPr>
                <w:spacing w:val="-12"/>
                <w:sz w:val="20"/>
              </w:rPr>
              <w:t> </w:t>
            </w:r>
            <w:r>
              <w:rPr>
                <w:sz w:val="20"/>
              </w:rPr>
              <w:t>компонентам</w:t>
            </w:r>
            <w:r>
              <w:rPr>
                <w:spacing w:val="-8"/>
                <w:sz w:val="20"/>
              </w:rPr>
              <w:t> </w:t>
            </w:r>
            <w:r>
              <w:rPr>
                <w:spacing w:val="-2"/>
                <w:sz w:val="20"/>
              </w:rPr>
              <w:t>препарата;</w:t>
            </w:r>
          </w:p>
          <w:p>
            <w:pPr>
              <w:pStyle w:val="TableParagraph"/>
              <w:numPr>
                <w:ilvl w:val="0"/>
                <w:numId w:val="100"/>
              </w:numPr>
              <w:tabs>
                <w:tab w:pos="274" w:val="left" w:leader="none"/>
                <w:tab w:pos="276" w:val="left" w:leader="none"/>
              </w:tabs>
              <w:spacing w:line="240" w:lineRule="auto" w:before="0" w:after="0"/>
              <w:ind w:left="276" w:right="321" w:hanging="154"/>
              <w:jc w:val="left"/>
              <w:rPr>
                <w:sz w:val="20"/>
              </w:rPr>
            </w:pPr>
            <w:r>
              <w:rPr>
                <w:sz w:val="20"/>
              </w:rPr>
              <w:t>Наличие</w:t>
            </w:r>
            <w:r>
              <w:rPr>
                <w:spacing w:val="-7"/>
                <w:sz w:val="20"/>
              </w:rPr>
              <w:t> </w:t>
            </w:r>
            <w:r>
              <w:rPr>
                <w:sz w:val="20"/>
              </w:rPr>
              <w:t>в</w:t>
            </w:r>
            <w:r>
              <w:rPr>
                <w:spacing w:val="-8"/>
                <w:sz w:val="20"/>
              </w:rPr>
              <w:t> </w:t>
            </w:r>
            <w:r>
              <w:rPr>
                <w:sz w:val="20"/>
              </w:rPr>
              <w:t>анамнезе</w:t>
            </w:r>
            <w:r>
              <w:rPr>
                <w:spacing w:val="-7"/>
                <w:sz w:val="20"/>
              </w:rPr>
              <w:t> </w:t>
            </w:r>
            <w:r>
              <w:rPr>
                <w:sz w:val="20"/>
              </w:rPr>
              <w:t>аллергических</w:t>
            </w:r>
            <w:r>
              <w:rPr>
                <w:spacing w:val="-6"/>
                <w:sz w:val="20"/>
              </w:rPr>
              <w:t> </w:t>
            </w:r>
            <w:r>
              <w:rPr>
                <w:sz w:val="20"/>
              </w:rPr>
              <w:t>реакций</w:t>
            </w:r>
            <w:r>
              <w:rPr>
                <w:spacing w:val="-6"/>
                <w:sz w:val="20"/>
              </w:rPr>
              <w:t> </w:t>
            </w:r>
            <w:r>
              <w:rPr>
                <w:sz w:val="20"/>
              </w:rPr>
              <w:t>на</w:t>
            </w:r>
            <w:r>
              <w:rPr>
                <w:spacing w:val="-7"/>
                <w:sz w:val="20"/>
              </w:rPr>
              <w:t> </w:t>
            </w:r>
            <w:r>
              <w:rPr>
                <w:sz w:val="20"/>
              </w:rPr>
              <w:t>препараты</w:t>
            </w:r>
            <w:r>
              <w:rPr>
                <w:spacing w:val="-7"/>
                <w:sz w:val="20"/>
              </w:rPr>
              <w:t> </w:t>
            </w:r>
            <w:r>
              <w:rPr>
                <w:sz w:val="20"/>
              </w:rPr>
              <w:t>крови </w:t>
            </w:r>
            <w:r>
              <w:rPr>
                <w:spacing w:val="-2"/>
                <w:sz w:val="20"/>
              </w:rPr>
              <w:t>человека;</w:t>
            </w:r>
          </w:p>
          <w:p>
            <w:pPr>
              <w:pStyle w:val="TableParagraph"/>
              <w:numPr>
                <w:ilvl w:val="0"/>
                <w:numId w:val="100"/>
              </w:numPr>
              <w:tabs>
                <w:tab w:pos="274" w:val="left" w:leader="none"/>
                <w:tab w:pos="276" w:val="left" w:leader="none"/>
              </w:tabs>
              <w:spacing w:line="240" w:lineRule="auto" w:before="0" w:after="0"/>
              <w:ind w:left="276" w:right="269" w:hanging="154"/>
              <w:jc w:val="left"/>
              <w:rPr>
                <w:sz w:val="20"/>
              </w:rPr>
            </w:pPr>
            <w:r>
              <w:rPr>
                <w:sz w:val="20"/>
              </w:rPr>
              <w:t>Возраст</w:t>
            </w:r>
            <w:r>
              <w:rPr>
                <w:spacing w:val="-5"/>
                <w:sz w:val="20"/>
              </w:rPr>
              <w:t> </w:t>
            </w:r>
            <w:r>
              <w:rPr>
                <w:sz w:val="20"/>
              </w:rPr>
              <w:t>до</w:t>
            </w:r>
            <w:r>
              <w:rPr>
                <w:spacing w:val="-4"/>
                <w:sz w:val="20"/>
              </w:rPr>
              <w:t> </w:t>
            </w:r>
            <w:r>
              <w:rPr>
                <w:sz w:val="20"/>
              </w:rPr>
              <w:t>18</w:t>
            </w:r>
            <w:r>
              <w:rPr>
                <w:spacing w:val="-4"/>
                <w:sz w:val="20"/>
              </w:rPr>
              <w:t> </w:t>
            </w:r>
            <w:r>
              <w:rPr>
                <w:sz w:val="20"/>
              </w:rPr>
              <w:t>лет</w:t>
            </w:r>
            <w:r>
              <w:rPr>
                <w:spacing w:val="-5"/>
                <w:sz w:val="20"/>
              </w:rPr>
              <w:t> </w:t>
            </w:r>
            <w:r>
              <w:rPr>
                <w:sz w:val="20"/>
              </w:rPr>
              <w:t>и</w:t>
            </w:r>
            <w:r>
              <w:rPr>
                <w:spacing w:val="-5"/>
                <w:sz w:val="20"/>
              </w:rPr>
              <w:t> </w:t>
            </w:r>
            <w:r>
              <w:rPr>
                <w:sz w:val="20"/>
              </w:rPr>
              <w:t>старше</w:t>
            </w:r>
            <w:r>
              <w:rPr>
                <w:spacing w:val="-2"/>
                <w:sz w:val="20"/>
              </w:rPr>
              <w:t> </w:t>
            </w:r>
            <w:r>
              <w:rPr>
                <w:sz w:val="20"/>
              </w:rPr>
              <w:t>60</w:t>
            </w:r>
            <w:r>
              <w:rPr>
                <w:spacing w:val="-4"/>
                <w:sz w:val="20"/>
              </w:rPr>
              <w:t> </w:t>
            </w:r>
            <w:r>
              <w:rPr>
                <w:sz w:val="20"/>
              </w:rPr>
              <w:t>лет</w:t>
            </w:r>
            <w:r>
              <w:rPr>
                <w:spacing w:val="-5"/>
                <w:sz w:val="20"/>
              </w:rPr>
              <w:t> </w:t>
            </w:r>
            <w:r>
              <w:rPr>
                <w:sz w:val="20"/>
              </w:rPr>
              <w:t>(в</w:t>
            </w:r>
            <w:r>
              <w:rPr>
                <w:spacing w:val="-5"/>
                <w:sz w:val="20"/>
              </w:rPr>
              <w:t> </w:t>
            </w:r>
            <w:r>
              <w:rPr>
                <w:sz w:val="20"/>
              </w:rPr>
              <w:t>связи</w:t>
            </w:r>
            <w:r>
              <w:rPr>
                <w:spacing w:val="-5"/>
                <w:sz w:val="20"/>
              </w:rPr>
              <w:t> </w:t>
            </w:r>
            <w:r>
              <w:rPr>
                <w:sz w:val="20"/>
              </w:rPr>
              <w:t>с</w:t>
            </w:r>
            <w:r>
              <w:rPr>
                <w:spacing w:val="-4"/>
                <w:sz w:val="20"/>
              </w:rPr>
              <w:t> </w:t>
            </w:r>
            <w:r>
              <w:rPr>
                <w:sz w:val="20"/>
              </w:rPr>
              <w:t>отсутствием</w:t>
            </w:r>
            <w:r>
              <w:rPr>
                <w:spacing w:val="-4"/>
                <w:sz w:val="20"/>
              </w:rPr>
              <w:t> </w:t>
            </w:r>
            <w:r>
              <w:rPr>
                <w:sz w:val="20"/>
              </w:rPr>
              <w:t>данных об эффективности и безопасности);</w:t>
            </w:r>
          </w:p>
          <w:p>
            <w:pPr>
              <w:pStyle w:val="TableParagraph"/>
              <w:numPr>
                <w:ilvl w:val="0"/>
                <w:numId w:val="100"/>
              </w:numPr>
              <w:tabs>
                <w:tab w:pos="275" w:val="left" w:leader="none"/>
              </w:tabs>
              <w:spacing w:line="242" w:lineRule="exact" w:before="0" w:after="0"/>
              <w:ind w:left="275" w:right="0" w:hanging="152"/>
              <w:jc w:val="left"/>
              <w:rPr>
                <w:sz w:val="20"/>
              </w:rPr>
            </w:pPr>
            <w:r>
              <w:rPr>
                <w:sz w:val="20"/>
              </w:rPr>
              <w:t>Беременность</w:t>
            </w:r>
            <w:r>
              <w:rPr>
                <w:spacing w:val="-8"/>
                <w:sz w:val="20"/>
              </w:rPr>
              <w:t> </w:t>
            </w:r>
            <w:r>
              <w:rPr>
                <w:sz w:val="20"/>
              </w:rPr>
              <w:t>и</w:t>
            </w:r>
            <w:r>
              <w:rPr>
                <w:spacing w:val="-8"/>
                <w:sz w:val="20"/>
              </w:rPr>
              <w:t> </w:t>
            </w:r>
            <w:r>
              <w:rPr>
                <w:sz w:val="20"/>
              </w:rPr>
              <w:t>период</w:t>
            </w:r>
            <w:r>
              <w:rPr>
                <w:spacing w:val="-9"/>
                <w:sz w:val="20"/>
              </w:rPr>
              <w:t> </w:t>
            </w:r>
            <w:r>
              <w:rPr>
                <w:sz w:val="20"/>
              </w:rPr>
              <w:t>грудного</w:t>
            </w:r>
            <w:r>
              <w:rPr>
                <w:spacing w:val="-6"/>
                <w:sz w:val="20"/>
              </w:rPr>
              <w:t> </w:t>
            </w:r>
            <w:r>
              <w:rPr>
                <w:spacing w:val="-2"/>
                <w:sz w:val="20"/>
              </w:rPr>
              <w:t>вскармливания;</w:t>
            </w:r>
          </w:p>
          <w:p>
            <w:pPr>
              <w:pStyle w:val="TableParagraph"/>
              <w:numPr>
                <w:ilvl w:val="0"/>
                <w:numId w:val="100"/>
              </w:numPr>
              <w:tabs>
                <w:tab w:pos="275" w:val="left" w:leader="none"/>
              </w:tabs>
              <w:spacing w:line="218" w:lineRule="exact" w:before="0" w:after="0"/>
              <w:ind w:left="275" w:right="0" w:hanging="152"/>
              <w:jc w:val="left"/>
              <w:rPr>
                <w:sz w:val="20"/>
              </w:rPr>
            </w:pPr>
            <w:r>
              <w:rPr>
                <w:spacing w:val="-2"/>
                <w:sz w:val="20"/>
              </w:rPr>
              <w:t>Аутоиммунные</w:t>
            </w:r>
            <w:r>
              <w:rPr>
                <w:spacing w:val="8"/>
                <w:sz w:val="20"/>
              </w:rPr>
              <w:t> </w:t>
            </w:r>
            <w:r>
              <w:rPr>
                <w:spacing w:val="-2"/>
                <w:sz w:val="20"/>
              </w:rPr>
              <w:t>заболевания.</w:t>
            </w:r>
          </w:p>
        </w:tc>
      </w:tr>
      <w:tr>
        <w:trPr>
          <w:trHeight w:val="2544" w:hRule="atLeast"/>
        </w:trPr>
        <w:tc>
          <w:tcPr>
            <w:tcW w:w="1976" w:type="dxa"/>
            <w:shd w:val="clear" w:color="auto" w:fill="F1F1F1"/>
          </w:tcPr>
          <w:p>
            <w:pPr>
              <w:pStyle w:val="TableParagraph"/>
              <w:spacing w:before="20"/>
              <w:ind w:left="161"/>
              <w:rPr>
                <w:sz w:val="20"/>
              </w:rPr>
            </w:pPr>
            <w:r>
              <w:rPr>
                <w:b/>
                <w:spacing w:val="-2"/>
                <w:sz w:val="20"/>
              </w:rPr>
              <w:t>ИФН</w:t>
            </w:r>
            <w:r>
              <w:rPr>
                <w:spacing w:val="-2"/>
                <w:sz w:val="20"/>
              </w:rPr>
              <w:t>-</w:t>
            </w:r>
            <w:r>
              <w:rPr>
                <w:spacing w:val="-12"/>
                <w:sz w:val="20"/>
              </w:rPr>
              <w:t>α</w:t>
            </w:r>
          </w:p>
        </w:tc>
        <w:tc>
          <w:tcPr>
            <w:tcW w:w="2552" w:type="dxa"/>
            <w:shd w:val="clear" w:color="auto" w:fill="F1F1F1"/>
          </w:tcPr>
          <w:p>
            <w:pPr>
              <w:pStyle w:val="TableParagraph"/>
              <w:spacing w:before="20"/>
              <w:ind w:left="162" w:right="218"/>
              <w:rPr>
                <w:sz w:val="20"/>
              </w:rPr>
            </w:pPr>
            <w:r>
              <w:rPr>
                <w:sz w:val="20"/>
              </w:rPr>
              <w:t>Обладает местным </w:t>
            </w:r>
            <w:r>
              <w:rPr>
                <w:spacing w:val="-2"/>
                <w:sz w:val="20"/>
              </w:rPr>
              <w:t>иммуномодулирующим, противовоспалительным </w:t>
            </w:r>
            <w:r>
              <w:rPr>
                <w:sz w:val="20"/>
              </w:rPr>
              <w:t>и противовирусным </w:t>
            </w:r>
            <w:r>
              <w:rPr>
                <w:spacing w:val="-2"/>
                <w:sz w:val="20"/>
              </w:rPr>
              <w:t>действием.</w:t>
            </w:r>
          </w:p>
        </w:tc>
        <w:tc>
          <w:tcPr>
            <w:tcW w:w="1277" w:type="dxa"/>
            <w:shd w:val="clear" w:color="auto" w:fill="F1F1F1"/>
          </w:tcPr>
          <w:p>
            <w:pPr>
              <w:pStyle w:val="TableParagraph"/>
              <w:spacing w:before="20"/>
              <w:ind w:left="109" w:right="77"/>
              <w:rPr>
                <w:sz w:val="20"/>
              </w:rPr>
            </w:pPr>
            <w:r>
              <w:rPr>
                <w:spacing w:val="-2"/>
                <w:sz w:val="20"/>
              </w:rPr>
              <w:t>Интраназаль </w:t>
            </w:r>
            <w:r>
              <w:rPr>
                <w:sz w:val="20"/>
              </w:rPr>
              <w:t>ные формы: </w:t>
            </w:r>
            <w:r>
              <w:rPr>
                <w:spacing w:val="-2"/>
                <w:sz w:val="20"/>
              </w:rPr>
              <w:t>спрей,</w:t>
            </w:r>
            <w:r>
              <w:rPr>
                <w:spacing w:val="40"/>
                <w:sz w:val="20"/>
              </w:rPr>
              <w:t> </w:t>
            </w:r>
            <w:r>
              <w:rPr>
                <w:spacing w:val="-2"/>
                <w:sz w:val="20"/>
              </w:rPr>
              <w:t>капли, раствор, лиофилизат </w:t>
            </w:r>
            <w:r>
              <w:rPr>
                <w:spacing w:val="-4"/>
                <w:sz w:val="20"/>
              </w:rPr>
              <w:t>для </w:t>
            </w:r>
            <w:r>
              <w:rPr>
                <w:spacing w:val="-2"/>
                <w:sz w:val="20"/>
              </w:rPr>
              <w:t>приготовлен </w:t>
            </w:r>
            <w:r>
              <w:rPr>
                <w:sz w:val="20"/>
              </w:rPr>
              <w:t>ия</w:t>
            </w:r>
            <w:r>
              <w:rPr>
                <w:spacing w:val="-5"/>
                <w:sz w:val="20"/>
              </w:rPr>
              <w:t> </w:t>
            </w:r>
            <w:r>
              <w:rPr>
                <w:spacing w:val="-2"/>
                <w:sz w:val="20"/>
              </w:rPr>
              <w:t>раствора,</w:t>
            </w:r>
          </w:p>
          <w:p>
            <w:pPr>
              <w:pStyle w:val="TableParagraph"/>
              <w:spacing w:line="230" w:lineRule="exact"/>
              <w:ind w:left="109" w:right="425"/>
              <w:rPr>
                <w:sz w:val="20"/>
              </w:rPr>
            </w:pPr>
            <w:r>
              <w:rPr>
                <w:sz w:val="20"/>
              </w:rPr>
              <w:t>гель</w:t>
            </w:r>
            <w:r>
              <w:rPr>
                <w:spacing w:val="-13"/>
                <w:sz w:val="20"/>
              </w:rPr>
              <w:t> </w:t>
            </w:r>
            <w:r>
              <w:rPr>
                <w:sz w:val="20"/>
              </w:rPr>
              <w:t>или </w:t>
            </w:r>
            <w:r>
              <w:rPr>
                <w:spacing w:val="-4"/>
                <w:sz w:val="20"/>
              </w:rPr>
              <w:t>мазь</w:t>
            </w:r>
          </w:p>
        </w:tc>
        <w:tc>
          <w:tcPr>
            <w:tcW w:w="2977" w:type="dxa"/>
            <w:shd w:val="clear" w:color="auto" w:fill="F1F1F1"/>
          </w:tcPr>
          <w:p>
            <w:pPr>
              <w:pStyle w:val="TableParagraph"/>
              <w:spacing w:before="20"/>
              <w:ind w:left="155" w:right="195"/>
              <w:rPr>
                <w:sz w:val="20"/>
              </w:rPr>
            </w:pPr>
            <w:r>
              <w:rPr>
                <w:sz w:val="20"/>
              </w:rPr>
              <w:t>В</w:t>
            </w:r>
            <w:r>
              <w:rPr>
                <w:spacing w:val="-13"/>
                <w:sz w:val="20"/>
              </w:rPr>
              <w:t> </w:t>
            </w:r>
            <w:r>
              <w:rPr>
                <w:sz w:val="20"/>
              </w:rPr>
              <w:t>соответствии</w:t>
            </w:r>
            <w:r>
              <w:rPr>
                <w:spacing w:val="-12"/>
                <w:sz w:val="20"/>
              </w:rPr>
              <w:t> </w:t>
            </w:r>
            <w:r>
              <w:rPr>
                <w:sz w:val="20"/>
              </w:rPr>
              <w:t>с</w:t>
            </w:r>
            <w:r>
              <w:rPr>
                <w:spacing w:val="-13"/>
                <w:sz w:val="20"/>
              </w:rPr>
              <w:t> </w:t>
            </w:r>
            <w:r>
              <w:rPr>
                <w:sz w:val="20"/>
              </w:rPr>
              <w:t>инструкцией по применению препарата.</w:t>
            </w:r>
          </w:p>
        </w:tc>
        <w:tc>
          <w:tcPr>
            <w:tcW w:w="6098" w:type="dxa"/>
            <w:shd w:val="clear" w:color="auto" w:fill="F1F1F1"/>
          </w:tcPr>
          <w:p>
            <w:pPr>
              <w:pStyle w:val="TableParagraph"/>
              <w:spacing w:before="20"/>
              <w:ind w:left="101"/>
              <w:rPr>
                <w:sz w:val="20"/>
              </w:rPr>
            </w:pPr>
            <w:r>
              <w:rPr>
                <w:sz w:val="20"/>
              </w:rPr>
              <w:t>Беременным</w:t>
            </w:r>
            <w:r>
              <w:rPr>
                <w:spacing w:val="-11"/>
                <w:sz w:val="20"/>
              </w:rPr>
              <w:t> </w:t>
            </w:r>
            <w:r>
              <w:rPr>
                <w:sz w:val="20"/>
              </w:rPr>
              <w:t>назначают</w:t>
            </w:r>
            <w:r>
              <w:rPr>
                <w:spacing w:val="-13"/>
                <w:sz w:val="20"/>
              </w:rPr>
              <w:t> </w:t>
            </w:r>
            <w:r>
              <w:rPr>
                <w:sz w:val="20"/>
              </w:rPr>
              <w:t>только</w:t>
            </w:r>
            <w:r>
              <w:rPr>
                <w:spacing w:val="-11"/>
                <w:sz w:val="20"/>
              </w:rPr>
              <w:t> </w:t>
            </w:r>
            <w:r>
              <w:rPr>
                <w:sz w:val="20"/>
              </w:rPr>
              <w:t>рекомбинантный</w:t>
            </w:r>
            <w:r>
              <w:rPr>
                <w:spacing w:val="-13"/>
                <w:sz w:val="20"/>
              </w:rPr>
              <w:t> </w:t>
            </w:r>
            <w:r>
              <w:rPr>
                <w:sz w:val="20"/>
              </w:rPr>
              <w:t>ИФН-</w:t>
            </w:r>
            <w:r>
              <w:rPr>
                <w:spacing w:val="-4"/>
                <w:sz w:val="20"/>
              </w:rPr>
              <w:t>α2b.</w:t>
            </w:r>
          </w:p>
        </w:tc>
      </w:tr>
      <w:tr>
        <w:trPr>
          <w:trHeight w:val="2310" w:hRule="atLeast"/>
        </w:trPr>
        <w:tc>
          <w:tcPr>
            <w:tcW w:w="1976" w:type="dxa"/>
          </w:tcPr>
          <w:p>
            <w:pPr>
              <w:pStyle w:val="TableParagraph"/>
              <w:spacing w:before="13"/>
              <w:ind w:left="109"/>
              <w:rPr>
                <w:b/>
                <w:sz w:val="20"/>
              </w:rPr>
            </w:pPr>
            <w:r>
              <w:rPr>
                <w:b/>
                <w:spacing w:val="-2"/>
                <w:sz w:val="20"/>
              </w:rPr>
              <w:t>Умифеновир</w:t>
            </w:r>
          </w:p>
        </w:tc>
        <w:tc>
          <w:tcPr>
            <w:tcW w:w="2552" w:type="dxa"/>
          </w:tcPr>
          <w:p>
            <w:pPr>
              <w:pStyle w:val="TableParagraph"/>
              <w:spacing w:before="13"/>
              <w:ind w:left="212"/>
              <w:rPr>
                <w:sz w:val="20"/>
              </w:rPr>
            </w:pPr>
            <w:r>
              <w:rPr>
                <w:sz w:val="20"/>
              </w:rPr>
              <w:t>Относится</w:t>
            </w:r>
            <w:r>
              <w:rPr>
                <w:spacing w:val="-13"/>
                <w:sz w:val="20"/>
              </w:rPr>
              <w:t> </w:t>
            </w:r>
            <w:r>
              <w:rPr>
                <w:sz w:val="20"/>
              </w:rPr>
              <w:t>к</w:t>
            </w:r>
            <w:r>
              <w:rPr>
                <w:spacing w:val="-12"/>
                <w:sz w:val="20"/>
              </w:rPr>
              <w:t> </w:t>
            </w:r>
            <w:r>
              <w:rPr>
                <w:sz w:val="20"/>
              </w:rPr>
              <w:t>ингибиторам слияния (фузии), </w:t>
            </w:r>
            <w:r>
              <w:rPr>
                <w:spacing w:val="-2"/>
                <w:sz w:val="20"/>
              </w:rPr>
              <w:t>взаимодействует</w:t>
            </w:r>
          </w:p>
          <w:p>
            <w:pPr>
              <w:pStyle w:val="TableParagraph"/>
              <w:ind w:left="212" w:right="138"/>
              <w:rPr>
                <w:sz w:val="20"/>
              </w:rPr>
            </w:pPr>
            <w:r>
              <w:rPr>
                <w:sz w:val="20"/>
              </w:rPr>
              <w:t>с гемагглютинином вируса</w:t>
            </w:r>
            <w:r>
              <w:rPr>
                <w:spacing w:val="-13"/>
                <w:sz w:val="20"/>
              </w:rPr>
              <w:t> </w:t>
            </w:r>
            <w:r>
              <w:rPr>
                <w:sz w:val="20"/>
              </w:rPr>
              <w:t>и</w:t>
            </w:r>
            <w:r>
              <w:rPr>
                <w:spacing w:val="-12"/>
                <w:sz w:val="20"/>
              </w:rPr>
              <w:t> </w:t>
            </w:r>
            <w:r>
              <w:rPr>
                <w:sz w:val="20"/>
              </w:rPr>
              <w:t>препятствует слиянию липидной оболочки вируса</w:t>
            </w:r>
          </w:p>
          <w:p>
            <w:pPr>
              <w:pStyle w:val="TableParagraph"/>
              <w:spacing w:line="228" w:lineRule="exact"/>
              <w:ind w:left="212"/>
              <w:rPr>
                <w:sz w:val="20"/>
              </w:rPr>
            </w:pPr>
            <w:r>
              <w:rPr>
                <w:sz w:val="20"/>
              </w:rPr>
              <w:t>и</w:t>
            </w:r>
            <w:r>
              <w:rPr>
                <w:spacing w:val="-7"/>
                <w:sz w:val="20"/>
              </w:rPr>
              <w:t> </w:t>
            </w:r>
            <w:r>
              <w:rPr>
                <w:sz w:val="20"/>
              </w:rPr>
              <w:t>клеточных</w:t>
            </w:r>
            <w:r>
              <w:rPr>
                <w:spacing w:val="-6"/>
                <w:sz w:val="20"/>
              </w:rPr>
              <w:t> </w:t>
            </w:r>
            <w:r>
              <w:rPr>
                <w:spacing w:val="-2"/>
                <w:sz w:val="20"/>
              </w:rPr>
              <w:t>мембран.</w:t>
            </w:r>
          </w:p>
        </w:tc>
        <w:tc>
          <w:tcPr>
            <w:tcW w:w="1277" w:type="dxa"/>
          </w:tcPr>
          <w:p>
            <w:pPr>
              <w:pStyle w:val="TableParagraph"/>
              <w:spacing w:before="13"/>
              <w:ind w:left="109" w:right="86"/>
              <w:rPr>
                <w:sz w:val="20"/>
              </w:rPr>
            </w:pPr>
            <w:r>
              <w:rPr>
                <w:spacing w:val="-2"/>
                <w:sz w:val="20"/>
              </w:rPr>
              <w:t>Капсулы; таблетки, покрытые пленочной оболочкой; порошок</w:t>
            </w:r>
            <w:r>
              <w:rPr>
                <w:spacing w:val="40"/>
                <w:sz w:val="20"/>
              </w:rPr>
              <w:t> </w:t>
            </w:r>
            <w:r>
              <w:rPr>
                <w:spacing w:val="-4"/>
                <w:sz w:val="20"/>
              </w:rPr>
              <w:t>для </w:t>
            </w:r>
            <w:r>
              <w:rPr>
                <w:spacing w:val="-2"/>
                <w:sz w:val="20"/>
              </w:rPr>
              <w:t>приготовлен </w:t>
            </w:r>
            <w:r>
              <w:rPr>
                <w:spacing w:val="-6"/>
                <w:sz w:val="20"/>
              </w:rPr>
              <w:t>ия</w:t>
            </w:r>
          </w:p>
          <w:p>
            <w:pPr>
              <w:pStyle w:val="TableParagraph"/>
              <w:spacing w:line="208" w:lineRule="exact"/>
              <w:ind w:left="109"/>
              <w:rPr>
                <w:sz w:val="20"/>
              </w:rPr>
            </w:pPr>
            <w:r>
              <w:rPr>
                <w:spacing w:val="-2"/>
                <w:sz w:val="20"/>
              </w:rPr>
              <w:t>суспензии</w:t>
            </w:r>
          </w:p>
        </w:tc>
        <w:tc>
          <w:tcPr>
            <w:tcW w:w="2977" w:type="dxa"/>
          </w:tcPr>
          <w:p>
            <w:pPr>
              <w:pStyle w:val="TableParagraph"/>
              <w:spacing w:before="13"/>
              <w:ind w:left="155"/>
              <w:rPr>
                <w:sz w:val="20"/>
              </w:rPr>
            </w:pPr>
            <w:r>
              <w:rPr>
                <w:sz w:val="20"/>
              </w:rPr>
              <w:t>По</w:t>
            </w:r>
            <w:r>
              <w:rPr>
                <w:spacing w:val="-1"/>
                <w:sz w:val="20"/>
              </w:rPr>
              <w:t> </w:t>
            </w:r>
            <w:r>
              <w:rPr>
                <w:sz w:val="20"/>
              </w:rPr>
              <w:t>200</w:t>
            </w:r>
            <w:r>
              <w:rPr>
                <w:spacing w:val="-3"/>
                <w:sz w:val="20"/>
              </w:rPr>
              <w:t> </w:t>
            </w:r>
            <w:r>
              <w:rPr>
                <w:sz w:val="20"/>
              </w:rPr>
              <w:t>мг</w:t>
            </w:r>
            <w:r>
              <w:rPr>
                <w:spacing w:val="-3"/>
                <w:sz w:val="20"/>
              </w:rPr>
              <w:t> </w:t>
            </w:r>
            <w:r>
              <w:rPr>
                <w:sz w:val="20"/>
              </w:rPr>
              <w:t>4</w:t>
            </w:r>
            <w:r>
              <w:rPr>
                <w:spacing w:val="-2"/>
                <w:sz w:val="20"/>
              </w:rPr>
              <w:t> </w:t>
            </w:r>
            <w:r>
              <w:rPr>
                <w:spacing w:val="-4"/>
                <w:sz w:val="20"/>
              </w:rPr>
              <w:t>р/сут</w:t>
            </w:r>
          </w:p>
          <w:p>
            <w:pPr>
              <w:pStyle w:val="TableParagraph"/>
              <w:ind w:left="155"/>
              <w:rPr>
                <w:sz w:val="20"/>
              </w:rPr>
            </w:pPr>
            <w:r>
              <w:rPr>
                <w:sz w:val="20"/>
              </w:rPr>
              <w:t>в</w:t>
            </w:r>
            <w:r>
              <w:rPr>
                <w:spacing w:val="-5"/>
                <w:sz w:val="20"/>
              </w:rPr>
              <w:t> </w:t>
            </w:r>
            <w:r>
              <w:rPr>
                <w:sz w:val="20"/>
              </w:rPr>
              <w:t>течение</w:t>
            </w:r>
            <w:r>
              <w:rPr>
                <w:spacing w:val="-3"/>
                <w:sz w:val="20"/>
              </w:rPr>
              <w:t> </w:t>
            </w:r>
            <w:r>
              <w:rPr>
                <w:sz w:val="20"/>
              </w:rPr>
              <w:t>5-7</w:t>
            </w:r>
            <w:r>
              <w:rPr>
                <w:spacing w:val="-3"/>
                <w:sz w:val="20"/>
              </w:rPr>
              <w:t> </w:t>
            </w:r>
            <w:r>
              <w:rPr>
                <w:spacing w:val="-2"/>
                <w:sz w:val="20"/>
              </w:rPr>
              <w:t>дней.</w:t>
            </w:r>
          </w:p>
        </w:tc>
        <w:tc>
          <w:tcPr>
            <w:tcW w:w="6098" w:type="dxa"/>
          </w:tcPr>
          <w:p>
            <w:pPr>
              <w:pStyle w:val="TableParagraph"/>
              <w:spacing w:before="13"/>
              <w:ind w:left="205"/>
              <w:rPr>
                <w:sz w:val="20"/>
              </w:rPr>
            </w:pPr>
            <w:r>
              <w:rPr>
                <w:sz w:val="20"/>
              </w:rPr>
              <w:t>Противопоказан</w:t>
            </w:r>
            <w:r>
              <w:rPr>
                <w:spacing w:val="-7"/>
                <w:sz w:val="20"/>
              </w:rPr>
              <w:t> </w:t>
            </w:r>
            <w:r>
              <w:rPr>
                <w:sz w:val="20"/>
              </w:rPr>
              <w:t>в</w:t>
            </w:r>
            <w:r>
              <w:rPr>
                <w:spacing w:val="-8"/>
                <w:sz w:val="20"/>
              </w:rPr>
              <w:t> </w:t>
            </w:r>
            <w:r>
              <w:rPr>
                <w:sz w:val="20"/>
              </w:rPr>
              <w:t>1</w:t>
            </w:r>
            <w:r>
              <w:rPr>
                <w:spacing w:val="-6"/>
                <w:sz w:val="20"/>
              </w:rPr>
              <w:t> </w:t>
            </w:r>
            <w:r>
              <w:rPr>
                <w:sz w:val="20"/>
              </w:rPr>
              <w:t>триместре</w:t>
            </w:r>
            <w:r>
              <w:rPr>
                <w:spacing w:val="-7"/>
                <w:sz w:val="20"/>
              </w:rPr>
              <w:t> </w:t>
            </w:r>
            <w:r>
              <w:rPr>
                <w:sz w:val="20"/>
              </w:rPr>
              <w:t>беременности</w:t>
            </w:r>
            <w:r>
              <w:rPr>
                <w:spacing w:val="-6"/>
                <w:sz w:val="20"/>
              </w:rPr>
              <w:t> </w:t>
            </w:r>
            <w:r>
              <w:rPr>
                <w:sz w:val="20"/>
              </w:rPr>
              <w:t>и</w:t>
            </w:r>
            <w:r>
              <w:rPr>
                <w:spacing w:val="-8"/>
                <w:sz w:val="20"/>
              </w:rPr>
              <w:t> </w:t>
            </w:r>
            <w:r>
              <w:rPr>
                <w:sz w:val="20"/>
              </w:rPr>
              <w:t>при</w:t>
            </w:r>
            <w:r>
              <w:rPr>
                <w:spacing w:val="-6"/>
                <w:sz w:val="20"/>
              </w:rPr>
              <w:t> </w:t>
            </w:r>
            <w:r>
              <w:rPr>
                <w:sz w:val="20"/>
              </w:rPr>
              <w:t>кормлении грудью. Во 2 и 3 триместрах беременности применять</w:t>
            </w:r>
          </w:p>
          <w:p>
            <w:pPr>
              <w:pStyle w:val="TableParagraph"/>
              <w:ind w:left="205"/>
              <w:rPr>
                <w:sz w:val="20"/>
              </w:rPr>
            </w:pPr>
            <w:r>
              <w:rPr>
                <w:sz w:val="20"/>
              </w:rPr>
              <w:t>с</w:t>
            </w:r>
            <w:r>
              <w:rPr>
                <w:spacing w:val="-1"/>
                <w:sz w:val="20"/>
              </w:rPr>
              <w:t> </w:t>
            </w:r>
            <w:r>
              <w:rPr>
                <w:spacing w:val="-2"/>
                <w:sz w:val="20"/>
              </w:rPr>
              <w:t>осторожностью.</w:t>
            </w:r>
          </w:p>
        </w:tc>
      </w:tr>
    </w:tbl>
    <w:p>
      <w:pPr>
        <w:spacing w:before="36"/>
        <w:ind w:left="0" w:right="15" w:firstLine="0"/>
        <w:jc w:val="center"/>
        <w:rPr>
          <w:rFonts w:ascii="Calibri"/>
          <w:sz w:val="22"/>
        </w:rPr>
      </w:pPr>
      <w:r>
        <w:rPr>
          <w:rFonts w:ascii="Calibri"/>
          <w:spacing w:val="-5"/>
          <w:sz w:val="22"/>
        </w:rPr>
        <w:t>194</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76"/>
        <w:gridCol w:w="2552"/>
        <w:gridCol w:w="1277"/>
        <w:gridCol w:w="2977"/>
        <w:gridCol w:w="6098"/>
      </w:tblGrid>
      <w:tr>
        <w:trPr>
          <w:trHeight w:val="618" w:hRule="atLeast"/>
        </w:trPr>
        <w:tc>
          <w:tcPr>
            <w:tcW w:w="1976" w:type="dxa"/>
          </w:tcPr>
          <w:p>
            <w:pPr>
              <w:pStyle w:val="TableParagraph"/>
              <w:rPr>
                <w:sz w:val="18"/>
              </w:rPr>
            </w:pPr>
          </w:p>
        </w:tc>
        <w:tc>
          <w:tcPr>
            <w:tcW w:w="2552" w:type="dxa"/>
          </w:tcPr>
          <w:p>
            <w:pPr>
              <w:pStyle w:val="TableParagraph"/>
              <w:rPr>
                <w:sz w:val="18"/>
              </w:rPr>
            </w:pPr>
          </w:p>
        </w:tc>
        <w:tc>
          <w:tcPr>
            <w:tcW w:w="1277" w:type="dxa"/>
          </w:tcPr>
          <w:p>
            <w:pPr>
              <w:pStyle w:val="TableParagraph"/>
              <w:spacing w:before="24"/>
              <w:ind w:left="109" w:right="189"/>
              <w:rPr>
                <w:sz w:val="20"/>
              </w:rPr>
            </w:pPr>
            <w:bookmarkStart w:name="196" w:id="232"/>
            <w:bookmarkEnd w:id="232"/>
            <w:r>
              <w:rPr/>
            </w:r>
            <w:r>
              <w:rPr>
                <w:sz w:val="20"/>
              </w:rPr>
              <w:t>для</w:t>
            </w:r>
            <w:r>
              <w:rPr>
                <w:spacing w:val="-13"/>
                <w:sz w:val="20"/>
              </w:rPr>
              <w:t> </w:t>
            </w:r>
            <w:r>
              <w:rPr>
                <w:sz w:val="20"/>
              </w:rPr>
              <w:t>приема </w:t>
            </w:r>
            <w:r>
              <w:rPr>
                <w:spacing w:val="-2"/>
                <w:sz w:val="20"/>
              </w:rPr>
              <w:t>внутрь</w:t>
            </w:r>
          </w:p>
        </w:tc>
        <w:tc>
          <w:tcPr>
            <w:tcW w:w="2977" w:type="dxa"/>
          </w:tcPr>
          <w:p>
            <w:pPr>
              <w:pStyle w:val="TableParagraph"/>
              <w:rPr>
                <w:sz w:val="18"/>
              </w:rPr>
            </w:pPr>
          </w:p>
        </w:tc>
        <w:tc>
          <w:tcPr>
            <w:tcW w:w="6098" w:type="dxa"/>
          </w:tcPr>
          <w:p>
            <w:pPr>
              <w:pStyle w:val="TableParagraph"/>
              <w:rPr>
                <w:sz w:val="18"/>
              </w:rPr>
            </w:pPr>
          </w:p>
        </w:tc>
      </w:tr>
      <w:tr>
        <w:trPr>
          <w:trHeight w:val="3232" w:hRule="atLeast"/>
        </w:trPr>
        <w:tc>
          <w:tcPr>
            <w:tcW w:w="1976" w:type="dxa"/>
          </w:tcPr>
          <w:p>
            <w:pPr>
              <w:pStyle w:val="TableParagraph"/>
              <w:spacing w:before="23"/>
              <w:ind w:left="109"/>
              <w:rPr>
                <w:b/>
                <w:sz w:val="20"/>
              </w:rPr>
            </w:pPr>
            <w:r>
              <w:rPr>
                <w:b/>
                <w:spacing w:val="-2"/>
                <w:sz w:val="20"/>
              </w:rPr>
              <w:t>Имидазолилэтанам </w:t>
            </w:r>
            <w:r>
              <w:rPr>
                <w:b/>
                <w:sz w:val="20"/>
              </w:rPr>
              <w:t>ид пентандиовой </w:t>
            </w:r>
            <w:r>
              <w:rPr>
                <w:b/>
                <w:spacing w:val="-2"/>
                <w:sz w:val="20"/>
              </w:rPr>
              <w:t>кислоты</w:t>
            </w:r>
          </w:p>
        </w:tc>
        <w:tc>
          <w:tcPr>
            <w:tcW w:w="2552" w:type="dxa"/>
          </w:tcPr>
          <w:p>
            <w:pPr>
              <w:pStyle w:val="TableParagraph"/>
              <w:spacing w:before="23"/>
              <w:ind w:left="212"/>
              <w:rPr>
                <w:sz w:val="20"/>
              </w:rPr>
            </w:pPr>
            <w:r>
              <w:rPr>
                <w:sz w:val="20"/>
              </w:rPr>
              <w:t>На уровне инфицированных клеток активирует факторы </w:t>
            </w:r>
            <w:r>
              <w:rPr>
                <w:spacing w:val="-2"/>
                <w:sz w:val="20"/>
              </w:rPr>
              <w:t>врожденного иммунитета, </w:t>
            </w:r>
            <w:r>
              <w:rPr>
                <w:sz w:val="20"/>
              </w:rPr>
              <w:t>подавляемых вирусными белками; подавляет продукцию ключевых </w:t>
            </w:r>
            <w:r>
              <w:rPr>
                <w:spacing w:val="-2"/>
                <w:sz w:val="20"/>
              </w:rPr>
              <w:t>провоспалительных </w:t>
            </w:r>
            <w:r>
              <w:rPr>
                <w:sz w:val="20"/>
              </w:rPr>
              <w:t>цитокинов (фактора некроза</w:t>
            </w:r>
            <w:r>
              <w:rPr>
                <w:spacing w:val="-3"/>
                <w:sz w:val="20"/>
              </w:rPr>
              <w:t> </w:t>
            </w:r>
            <w:r>
              <w:rPr>
                <w:sz w:val="20"/>
              </w:rPr>
              <w:t>опухоли</w:t>
            </w:r>
            <w:r>
              <w:rPr>
                <w:spacing w:val="-4"/>
                <w:sz w:val="20"/>
              </w:rPr>
              <w:t> </w:t>
            </w:r>
            <w:r>
              <w:rPr>
                <w:sz w:val="20"/>
              </w:rPr>
              <w:t>(TNF-α), интерлейкинов (IL-1β</w:t>
            </w:r>
          </w:p>
          <w:p>
            <w:pPr>
              <w:pStyle w:val="TableParagraph"/>
              <w:spacing w:line="237" w:lineRule="auto"/>
              <w:ind w:left="212"/>
              <w:rPr>
                <w:sz w:val="20"/>
              </w:rPr>
            </w:pPr>
            <w:r>
              <w:rPr>
                <w:sz w:val="20"/>
              </w:rPr>
              <w:t>и</w:t>
            </w:r>
            <w:r>
              <w:rPr>
                <w:spacing w:val="-13"/>
                <w:sz w:val="20"/>
              </w:rPr>
              <w:t> </w:t>
            </w:r>
            <w:r>
              <w:rPr>
                <w:sz w:val="20"/>
              </w:rPr>
              <w:t>IL-6)),</w:t>
            </w:r>
            <w:r>
              <w:rPr>
                <w:spacing w:val="-12"/>
                <w:sz w:val="20"/>
              </w:rPr>
              <w:t> </w:t>
            </w:r>
            <w:r>
              <w:rPr>
                <w:sz w:val="20"/>
              </w:rPr>
              <w:t>снижением </w:t>
            </w:r>
            <w:r>
              <w:rPr>
                <w:spacing w:val="-2"/>
                <w:sz w:val="20"/>
              </w:rPr>
              <w:t>активности</w:t>
            </w:r>
          </w:p>
          <w:p>
            <w:pPr>
              <w:pStyle w:val="TableParagraph"/>
              <w:spacing w:line="204" w:lineRule="exact" w:before="1"/>
              <w:ind w:left="212"/>
              <w:rPr>
                <w:sz w:val="20"/>
              </w:rPr>
            </w:pPr>
            <w:r>
              <w:rPr>
                <w:spacing w:val="-2"/>
                <w:sz w:val="20"/>
              </w:rPr>
              <w:t>миелопероксидазы.</w:t>
            </w:r>
          </w:p>
        </w:tc>
        <w:tc>
          <w:tcPr>
            <w:tcW w:w="1277" w:type="dxa"/>
          </w:tcPr>
          <w:p>
            <w:pPr>
              <w:pStyle w:val="TableParagraph"/>
              <w:spacing w:line="237" w:lineRule="auto" w:before="25"/>
              <w:ind w:left="109" w:right="351"/>
              <w:rPr>
                <w:sz w:val="20"/>
              </w:rPr>
            </w:pPr>
            <w:r>
              <w:rPr>
                <w:spacing w:val="-2"/>
                <w:sz w:val="20"/>
              </w:rPr>
              <w:t>Капсулы, сироп</w:t>
            </w:r>
          </w:p>
        </w:tc>
        <w:tc>
          <w:tcPr>
            <w:tcW w:w="2977" w:type="dxa"/>
          </w:tcPr>
          <w:p>
            <w:pPr>
              <w:pStyle w:val="TableParagraph"/>
              <w:spacing w:before="23"/>
              <w:ind w:left="155" w:right="236"/>
              <w:rPr>
                <w:sz w:val="20"/>
              </w:rPr>
            </w:pPr>
            <w:r>
              <w:rPr>
                <w:sz w:val="20"/>
              </w:rPr>
              <w:t>По</w:t>
            </w:r>
            <w:r>
              <w:rPr>
                <w:spacing w:val="-5"/>
                <w:sz w:val="20"/>
              </w:rPr>
              <w:t> </w:t>
            </w:r>
            <w:r>
              <w:rPr>
                <w:sz w:val="20"/>
              </w:rPr>
              <w:t>180</w:t>
            </w:r>
            <w:r>
              <w:rPr>
                <w:spacing w:val="-8"/>
                <w:sz w:val="20"/>
              </w:rPr>
              <w:t> </w:t>
            </w:r>
            <w:r>
              <w:rPr>
                <w:sz w:val="20"/>
              </w:rPr>
              <w:t>мг</w:t>
            </w:r>
            <w:r>
              <w:rPr>
                <w:spacing w:val="-7"/>
                <w:sz w:val="20"/>
              </w:rPr>
              <w:t> </w:t>
            </w:r>
            <w:r>
              <w:rPr>
                <w:sz w:val="20"/>
              </w:rPr>
              <w:t>1</w:t>
            </w:r>
            <w:r>
              <w:rPr>
                <w:spacing w:val="-7"/>
                <w:sz w:val="20"/>
              </w:rPr>
              <w:t> </w:t>
            </w:r>
            <w:r>
              <w:rPr>
                <w:sz w:val="20"/>
              </w:rPr>
              <w:t>раз</w:t>
            </w:r>
            <w:r>
              <w:rPr>
                <w:spacing w:val="-6"/>
                <w:sz w:val="20"/>
              </w:rPr>
              <w:t> </w:t>
            </w:r>
            <w:r>
              <w:rPr>
                <w:sz w:val="20"/>
              </w:rPr>
              <w:t>в</w:t>
            </w:r>
            <w:r>
              <w:rPr>
                <w:spacing w:val="-7"/>
                <w:sz w:val="20"/>
              </w:rPr>
              <w:t> </w:t>
            </w:r>
            <w:r>
              <w:rPr>
                <w:sz w:val="20"/>
              </w:rPr>
              <w:t>день</w:t>
            </w:r>
            <w:r>
              <w:rPr>
                <w:spacing w:val="-6"/>
                <w:sz w:val="20"/>
              </w:rPr>
              <w:t> </w:t>
            </w:r>
            <w:r>
              <w:rPr>
                <w:sz w:val="20"/>
              </w:rPr>
              <w:t>первые 3 дня заболевания и далее в дозе 90 мг 1 раз в день в последующиее 4 дня.</w:t>
            </w:r>
          </w:p>
        </w:tc>
        <w:tc>
          <w:tcPr>
            <w:tcW w:w="6098" w:type="dxa"/>
          </w:tcPr>
          <w:p>
            <w:pPr>
              <w:pStyle w:val="TableParagraph"/>
              <w:numPr>
                <w:ilvl w:val="0"/>
                <w:numId w:val="101"/>
              </w:numPr>
              <w:tabs>
                <w:tab w:pos="274" w:val="left" w:leader="none"/>
                <w:tab w:pos="276" w:val="left" w:leader="none"/>
              </w:tabs>
              <w:spacing w:line="237" w:lineRule="auto" w:before="25" w:after="0"/>
              <w:ind w:left="276" w:right="811" w:hanging="154"/>
              <w:jc w:val="left"/>
              <w:rPr>
                <w:sz w:val="20"/>
              </w:rPr>
            </w:pPr>
            <w:r>
              <w:rPr>
                <w:sz w:val="20"/>
              </w:rPr>
              <w:t>Повышенная</w:t>
            </w:r>
            <w:r>
              <w:rPr>
                <w:spacing w:val="-12"/>
                <w:sz w:val="20"/>
              </w:rPr>
              <w:t> </w:t>
            </w:r>
            <w:r>
              <w:rPr>
                <w:sz w:val="20"/>
              </w:rPr>
              <w:t>чувствительность</w:t>
            </w:r>
            <w:r>
              <w:rPr>
                <w:spacing w:val="-11"/>
                <w:sz w:val="20"/>
              </w:rPr>
              <w:t> </w:t>
            </w:r>
            <w:r>
              <w:rPr>
                <w:sz w:val="20"/>
              </w:rPr>
              <w:t>к</w:t>
            </w:r>
            <w:r>
              <w:rPr>
                <w:spacing w:val="-12"/>
                <w:sz w:val="20"/>
              </w:rPr>
              <w:t> </w:t>
            </w:r>
            <w:r>
              <w:rPr>
                <w:sz w:val="20"/>
              </w:rPr>
              <w:t>действующему</w:t>
            </w:r>
            <w:r>
              <w:rPr>
                <w:spacing w:val="-10"/>
                <w:sz w:val="20"/>
              </w:rPr>
              <w:t> </w:t>
            </w:r>
            <w:r>
              <w:rPr>
                <w:sz w:val="20"/>
              </w:rPr>
              <w:t>веществу или любому другому компоненту препарата;</w:t>
            </w:r>
          </w:p>
          <w:p>
            <w:pPr>
              <w:pStyle w:val="TableParagraph"/>
              <w:numPr>
                <w:ilvl w:val="0"/>
                <w:numId w:val="101"/>
              </w:numPr>
              <w:tabs>
                <w:tab w:pos="274" w:val="left" w:leader="none"/>
                <w:tab w:pos="276" w:val="left" w:leader="none"/>
              </w:tabs>
              <w:spacing w:line="240" w:lineRule="auto" w:before="1" w:after="0"/>
              <w:ind w:left="276" w:right="128" w:hanging="154"/>
              <w:jc w:val="left"/>
              <w:rPr>
                <w:sz w:val="20"/>
              </w:rPr>
            </w:pPr>
            <w:r>
              <w:rPr>
                <w:sz w:val="20"/>
              </w:rPr>
              <w:t>Дефицит</w:t>
            </w:r>
            <w:r>
              <w:rPr>
                <w:spacing w:val="-12"/>
                <w:sz w:val="20"/>
              </w:rPr>
              <w:t> </w:t>
            </w:r>
            <w:r>
              <w:rPr>
                <w:sz w:val="20"/>
              </w:rPr>
              <w:t>лактазы,</w:t>
            </w:r>
            <w:r>
              <w:rPr>
                <w:spacing w:val="-9"/>
                <w:sz w:val="20"/>
              </w:rPr>
              <w:t> </w:t>
            </w:r>
            <w:r>
              <w:rPr>
                <w:sz w:val="20"/>
              </w:rPr>
              <w:t>непереносимость</w:t>
            </w:r>
            <w:r>
              <w:rPr>
                <w:spacing w:val="-11"/>
                <w:sz w:val="20"/>
              </w:rPr>
              <w:t> </w:t>
            </w:r>
            <w:r>
              <w:rPr>
                <w:sz w:val="20"/>
              </w:rPr>
              <w:t>лактозы,</w:t>
            </w:r>
            <w:r>
              <w:rPr>
                <w:spacing w:val="-11"/>
                <w:sz w:val="20"/>
              </w:rPr>
              <w:t> </w:t>
            </w:r>
            <w:r>
              <w:rPr>
                <w:sz w:val="20"/>
              </w:rPr>
              <w:t>глюкозо-галактозная </w:t>
            </w:r>
            <w:r>
              <w:rPr>
                <w:spacing w:val="-2"/>
                <w:sz w:val="20"/>
              </w:rPr>
              <w:t>мальаобсорбция;</w:t>
            </w:r>
          </w:p>
          <w:p>
            <w:pPr>
              <w:pStyle w:val="TableParagraph"/>
              <w:numPr>
                <w:ilvl w:val="0"/>
                <w:numId w:val="101"/>
              </w:numPr>
              <w:tabs>
                <w:tab w:pos="275" w:val="left" w:leader="none"/>
              </w:tabs>
              <w:spacing w:line="245" w:lineRule="exact" w:before="0" w:after="0"/>
              <w:ind w:left="275" w:right="0" w:hanging="152"/>
              <w:jc w:val="left"/>
              <w:rPr>
                <w:sz w:val="20"/>
              </w:rPr>
            </w:pPr>
            <w:r>
              <w:rPr>
                <w:sz w:val="20"/>
              </w:rPr>
              <w:t>Беременность</w:t>
            </w:r>
            <w:r>
              <w:rPr>
                <w:spacing w:val="-8"/>
                <w:sz w:val="20"/>
              </w:rPr>
              <w:t> </w:t>
            </w:r>
            <w:r>
              <w:rPr>
                <w:sz w:val="20"/>
              </w:rPr>
              <w:t>и</w:t>
            </w:r>
            <w:r>
              <w:rPr>
                <w:spacing w:val="-8"/>
                <w:sz w:val="20"/>
              </w:rPr>
              <w:t> </w:t>
            </w:r>
            <w:r>
              <w:rPr>
                <w:sz w:val="20"/>
              </w:rPr>
              <w:t>период</w:t>
            </w:r>
            <w:r>
              <w:rPr>
                <w:spacing w:val="-9"/>
                <w:sz w:val="20"/>
              </w:rPr>
              <w:t> </w:t>
            </w:r>
            <w:r>
              <w:rPr>
                <w:sz w:val="20"/>
              </w:rPr>
              <w:t>грудного</w:t>
            </w:r>
            <w:r>
              <w:rPr>
                <w:spacing w:val="-6"/>
                <w:sz w:val="20"/>
              </w:rPr>
              <w:t> </w:t>
            </w:r>
            <w:r>
              <w:rPr>
                <w:spacing w:val="-2"/>
                <w:sz w:val="20"/>
              </w:rPr>
              <w:t>вскармливания.</w:t>
            </w:r>
          </w:p>
        </w:tc>
      </w:tr>
      <w:tr>
        <w:trPr>
          <w:trHeight w:val="1927" w:hRule="atLeast"/>
        </w:trPr>
        <w:tc>
          <w:tcPr>
            <w:tcW w:w="1976" w:type="dxa"/>
          </w:tcPr>
          <w:p>
            <w:pPr>
              <w:pStyle w:val="TableParagraph"/>
              <w:spacing w:before="21"/>
              <w:ind w:left="109"/>
              <w:rPr>
                <w:b/>
                <w:sz w:val="20"/>
              </w:rPr>
            </w:pPr>
            <w:r>
              <w:rPr>
                <w:b/>
                <w:sz w:val="20"/>
              </w:rPr>
              <w:t>Энисамия</w:t>
            </w:r>
            <w:r>
              <w:rPr>
                <w:b/>
                <w:spacing w:val="-11"/>
                <w:sz w:val="20"/>
              </w:rPr>
              <w:t> </w:t>
            </w:r>
            <w:r>
              <w:rPr>
                <w:b/>
                <w:spacing w:val="-2"/>
                <w:sz w:val="20"/>
              </w:rPr>
              <w:t>йодид</w:t>
            </w:r>
          </w:p>
        </w:tc>
        <w:tc>
          <w:tcPr>
            <w:tcW w:w="2552" w:type="dxa"/>
          </w:tcPr>
          <w:p>
            <w:pPr>
              <w:pStyle w:val="TableParagraph"/>
              <w:spacing w:before="21"/>
              <w:ind w:left="212" w:right="273"/>
              <w:rPr>
                <w:sz w:val="20"/>
              </w:rPr>
            </w:pPr>
            <w:r>
              <w:rPr>
                <w:sz w:val="20"/>
              </w:rPr>
              <w:t>Подавляет действие вирусов за счет </w:t>
            </w:r>
            <w:r>
              <w:rPr>
                <w:spacing w:val="-2"/>
                <w:sz w:val="20"/>
              </w:rPr>
              <w:t>непосредственного (ингибирующего) </w:t>
            </w:r>
            <w:r>
              <w:rPr>
                <w:sz w:val="20"/>
              </w:rPr>
              <w:t>влияния на процесс проникновения</w:t>
            </w:r>
            <w:r>
              <w:rPr>
                <w:spacing w:val="-13"/>
                <w:sz w:val="20"/>
              </w:rPr>
              <w:t> </w:t>
            </w:r>
            <w:r>
              <w:rPr>
                <w:sz w:val="20"/>
              </w:rPr>
              <w:t>вирусов через клеточную </w:t>
            </w:r>
            <w:r>
              <w:rPr>
                <w:spacing w:val="-2"/>
                <w:sz w:val="20"/>
              </w:rPr>
              <w:t>мембрану</w:t>
            </w:r>
          </w:p>
        </w:tc>
        <w:tc>
          <w:tcPr>
            <w:tcW w:w="1277" w:type="dxa"/>
          </w:tcPr>
          <w:p>
            <w:pPr>
              <w:pStyle w:val="TableParagraph"/>
              <w:spacing w:before="21"/>
              <w:ind w:left="109" w:right="238"/>
              <w:rPr>
                <w:sz w:val="20"/>
              </w:rPr>
            </w:pPr>
            <w:r>
              <w:rPr>
                <w:spacing w:val="-2"/>
                <w:sz w:val="20"/>
              </w:rPr>
              <w:t>Капсулы, таблетки, покрытые пленочной оболочкой</w:t>
            </w:r>
          </w:p>
        </w:tc>
        <w:tc>
          <w:tcPr>
            <w:tcW w:w="2977" w:type="dxa"/>
          </w:tcPr>
          <w:p>
            <w:pPr>
              <w:pStyle w:val="TableParagraph"/>
              <w:spacing w:before="21"/>
              <w:ind w:left="155" w:right="236"/>
              <w:rPr>
                <w:sz w:val="20"/>
              </w:rPr>
            </w:pPr>
            <w:r>
              <w:rPr>
                <w:sz w:val="20"/>
              </w:rPr>
              <w:t>По</w:t>
            </w:r>
            <w:r>
              <w:rPr>
                <w:spacing w:val="-5"/>
                <w:sz w:val="20"/>
              </w:rPr>
              <w:t> </w:t>
            </w:r>
            <w:r>
              <w:rPr>
                <w:sz w:val="20"/>
              </w:rPr>
              <w:t>500</w:t>
            </w:r>
            <w:r>
              <w:rPr>
                <w:spacing w:val="-8"/>
                <w:sz w:val="20"/>
              </w:rPr>
              <w:t> </w:t>
            </w:r>
            <w:r>
              <w:rPr>
                <w:sz w:val="20"/>
              </w:rPr>
              <w:t>мг</w:t>
            </w:r>
            <w:r>
              <w:rPr>
                <w:spacing w:val="-7"/>
                <w:sz w:val="20"/>
              </w:rPr>
              <w:t> </w:t>
            </w:r>
            <w:r>
              <w:rPr>
                <w:sz w:val="20"/>
              </w:rPr>
              <w:t>3</w:t>
            </w:r>
            <w:r>
              <w:rPr>
                <w:spacing w:val="-7"/>
                <w:sz w:val="20"/>
              </w:rPr>
              <w:t> </w:t>
            </w:r>
            <w:r>
              <w:rPr>
                <w:sz w:val="20"/>
              </w:rPr>
              <w:t>раза</w:t>
            </w:r>
            <w:r>
              <w:rPr>
                <w:spacing w:val="-6"/>
                <w:sz w:val="20"/>
              </w:rPr>
              <w:t> </w:t>
            </w:r>
            <w:r>
              <w:rPr>
                <w:sz w:val="20"/>
              </w:rPr>
              <w:t>в</w:t>
            </w:r>
            <w:r>
              <w:rPr>
                <w:spacing w:val="-7"/>
                <w:sz w:val="20"/>
              </w:rPr>
              <w:t> </w:t>
            </w:r>
            <w:r>
              <w:rPr>
                <w:sz w:val="20"/>
              </w:rPr>
              <w:t>день</w:t>
            </w:r>
            <w:r>
              <w:rPr>
                <w:spacing w:val="-6"/>
                <w:sz w:val="20"/>
              </w:rPr>
              <w:t> </w:t>
            </w:r>
            <w:r>
              <w:rPr>
                <w:sz w:val="20"/>
              </w:rPr>
              <w:t>в течение 7 дней</w:t>
            </w:r>
          </w:p>
        </w:tc>
        <w:tc>
          <w:tcPr>
            <w:tcW w:w="6098" w:type="dxa"/>
          </w:tcPr>
          <w:p>
            <w:pPr>
              <w:pStyle w:val="TableParagraph"/>
              <w:numPr>
                <w:ilvl w:val="0"/>
                <w:numId w:val="102"/>
              </w:numPr>
              <w:tabs>
                <w:tab w:pos="275" w:val="left" w:leader="none"/>
              </w:tabs>
              <w:spacing w:line="245" w:lineRule="exact" w:before="21" w:after="0"/>
              <w:ind w:left="275" w:right="0" w:hanging="152"/>
              <w:jc w:val="left"/>
              <w:rPr>
                <w:sz w:val="20"/>
              </w:rPr>
            </w:pPr>
            <w:r>
              <w:rPr>
                <w:sz w:val="20"/>
              </w:rPr>
              <w:t>Противопоказан</w:t>
            </w:r>
            <w:r>
              <w:rPr>
                <w:spacing w:val="-8"/>
                <w:sz w:val="20"/>
              </w:rPr>
              <w:t> </w:t>
            </w:r>
            <w:r>
              <w:rPr>
                <w:sz w:val="20"/>
              </w:rPr>
              <w:t>при</w:t>
            </w:r>
            <w:r>
              <w:rPr>
                <w:spacing w:val="-8"/>
                <w:sz w:val="20"/>
              </w:rPr>
              <w:t> </w:t>
            </w:r>
            <w:r>
              <w:rPr>
                <w:sz w:val="20"/>
              </w:rPr>
              <w:t>беременности</w:t>
            </w:r>
            <w:r>
              <w:rPr>
                <w:spacing w:val="-8"/>
                <w:sz w:val="20"/>
              </w:rPr>
              <w:t> </w:t>
            </w:r>
            <w:r>
              <w:rPr>
                <w:sz w:val="20"/>
              </w:rPr>
              <w:t>и</w:t>
            </w:r>
            <w:r>
              <w:rPr>
                <w:spacing w:val="-8"/>
                <w:sz w:val="20"/>
              </w:rPr>
              <w:t> </w:t>
            </w:r>
            <w:r>
              <w:rPr>
                <w:sz w:val="20"/>
              </w:rPr>
              <w:t>грудном</w:t>
            </w:r>
            <w:r>
              <w:rPr>
                <w:spacing w:val="-7"/>
                <w:sz w:val="20"/>
              </w:rPr>
              <w:t> </w:t>
            </w:r>
            <w:r>
              <w:rPr>
                <w:spacing w:val="-2"/>
                <w:sz w:val="20"/>
              </w:rPr>
              <w:t>вскармливании</w:t>
            </w:r>
          </w:p>
          <w:p>
            <w:pPr>
              <w:pStyle w:val="TableParagraph"/>
              <w:numPr>
                <w:ilvl w:val="0"/>
                <w:numId w:val="102"/>
              </w:numPr>
              <w:tabs>
                <w:tab w:pos="275" w:val="left" w:leader="none"/>
              </w:tabs>
              <w:spacing w:line="245" w:lineRule="exact" w:before="0" w:after="0"/>
              <w:ind w:left="275" w:right="0" w:hanging="152"/>
              <w:jc w:val="left"/>
              <w:rPr>
                <w:sz w:val="20"/>
              </w:rPr>
            </w:pPr>
            <w:r>
              <w:rPr>
                <w:sz w:val="20"/>
              </w:rPr>
              <w:t>Не</w:t>
            </w:r>
            <w:r>
              <w:rPr>
                <w:spacing w:val="-4"/>
                <w:sz w:val="20"/>
              </w:rPr>
              <w:t> </w:t>
            </w:r>
            <w:r>
              <w:rPr>
                <w:sz w:val="20"/>
              </w:rPr>
              <w:t>применяется</w:t>
            </w:r>
            <w:r>
              <w:rPr>
                <w:spacing w:val="-5"/>
                <w:sz w:val="20"/>
              </w:rPr>
              <w:t> </w:t>
            </w:r>
            <w:r>
              <w:rPr>
                <w:sz w:val="20"/>
              </w:rPr>
              <w:t>у</w:t>
            </w:r>
            <w:r>
              <w:rPr>
                <w:spacing w:val="-3"/>
                <w:sz w:val="20"/>
              </w:rPr>
              <w:t> </w:t>
            </w:r>
            <w:r>
              <w:rPr>
                <w:sz w:val="20"/>
              </w:rPr>
              <w:t>детей</w:t>
            </w:r>
            <w:r>
              <w:rPr>
                <w:spacing w:val="-5"/>
                <w:sz w:val="20"/>
              </w:rPr>
              <w:t> </w:t>
            </w:r>
            <w:r>
              <w:rPr>
                <w:sz w:val="20"/>
              </w:rPr>
              <w:t>до</w:t>
            </w:r>
            <w:r>
              <w:rPr>
                <w:spacing w:val="-4"/>
                <w:sz w:val="20"/>
              </w:rPr>
              <w:t> </w:t>
            </w:r>
            <w:r>
              <w:rPr>
                <w:sz w:val="20"/>
              </w:rPr>
              <w:t>18</w:t>
            </w:r>
            <w:r>
              <w:rPr>
                <w:spacing w:val="-3"/>
                <w:sz w:val="20"/>
              </w:rPr>
              <w:t> </w:t>
            </w:r>
            <w:r>
              <w:rPr>
                <w:spacing w:val="-5"/>
                <w:sz w:val="20"/>
              </w:rPr>
              <w:t>лет</w:t>
            </w:r>
          </w:p>
          <w:p>
            <w:pPr>
              <w:pStyle w:val="TableParagraph"/>
              <w:numPr>
                <w:ilvl w:val="0"/>
                <w:numId w:val="102"/>
              </w:numPr>
              <w:tabs>
                <w:tab w:pos="274" w:val="left" w:leader="none"/>
                <w:tab w:pos="276" w:val="left" w:leader="none"/>
              </w:tabs>
              <w:spacing w:line="240" w:lineRule="auto" w:before="0" w:after="0"/>
              <w:ind w:left="276" w:right="630" w:hanging="154"/>
              <w:jc w:val="left"/>
              <w:rPr>
                <w:sz w:val="20"/>
              </w:rPr>
            </w:pPr>
            <w:r>
              <w:rPr>
                <w:sz w:val="20"/>
              </w:rPr>
              <w:t>Противопоказан</w:t>
            </w:r>
            <w:r>
              <w:rPr>
                <w:spacing w:val="-12"/>
                <w:sz w:val="20"/>
              </w:rPr>
              <w:t> </w:t>
            </w:r>
            <w:r>
              <w:rPr>
                <w:sz w:val="20"/>
              </w:rPr>
              <w:t>пациентам</w:t>
            </w:r>
            <w:r>
              <w:rPr>
                <w:spacing w:val="-9"/>
                <w:sz w:val="20"/>
              </w:rPr>
              <w:t> </w:t>
            </w:r>
            <w:r>
              <w:rPr>
                <w:sz w:val="20"/>
              </w:rPr>
              <w:t>с</w:t>
            </w:r>
            <w:r>
              <w:rPr>
                <w:spacing w:val="-9"/>
                <w:sz w:val="20"/>
              </w:rPr>
              <w:t> </w:t>
            </w:r>
            <w:r>
              <w:rPr>
                <w:sz w:val="20"/>
              </w:rPr>
              <w:t>тяжелой</w:t>
            </w:r>
            <w:r>
              <w:rPr>
                <w:spacing w:val="-12"/>
                <w:sz w:val="20"/>
              </w:rPr>
              <w:t> </w:t>
            </w:r>
            <w:r>
              <w:rPr>
                <w:sz w:val="20"/>
              </w:rPr>
              <w:t>почечной/печеночной </w:t>
            </w:r>
            <w:r>
              <w:rPr>
                <w:spacing w:val="-2"/>
                <w:sz w:val="20"/>
              </w:rPr>
              <w:t>недостаточностью</w:t>
            </w:r>
          </w:p>
          <w:p>
            <w:pPr>
              <w:pStyle w:val="TableParagraph"/>
              <w:numPr>
                <w:ilvl w:val="0"/>
                <w:numId w:val="102"/>
              </w:numPr>
              <w:tabs>
                <w:tab w:pos="274" w:val="left" w:leader="none"/>
                <w:tab w:pos="276" w:val="left" w:leader="none"/>
              </w:tabs>
              <w:spacing w:line="240" w:lineRule="auto" w:before="0" w:after="0"/>
              <w:ind w:left="276" w:right="923" w:hanging="154"/>
              <w:jc w:val="left"/>
              <w:rPr>
                <w:sz w:val="20"/>
              </w:rPr>
            </w:pPr>
            <w:r>
              <w:rPr>
                <w:sz w:val="20"/>
              </w:rPr>
              <w:t>Противопоказан</w:t>
            </w:r>
            <w:r>
              <w:rPr>
                <w:spacing w:val="-12"/>
                <w:sz w:val="20"/>
              </w:rPr>
              <w:t> </w:t>
            </w:r>
            <w:r>
              <w:rPr>
                <w:sz w:val="20"/>
              </w:rPr>
              <w:t>пациентам</w:t>
            </w:r>
            <w:r>
              <w:rPr>
                <w:spacing w:val="-9"/>
                <w:sz w:val="20"/>
              </w:rPr>
              <w:t> </w:t>
            </w:r>
            <w:r>
              <w:rPr>
                <w:sz w:val="20"/>
              </w:rPr>
              <w:t>с</w:t>
            </w:r>
            <w:r>
              <w:rPr>
                <w:spacing w:val="-12"/>
                <w:sz w:val="20"/>
              </w:rPr>
              <w:t> </w:t>
            </w:r>
            <w:r>
              <w:rPr>
                <w:sz w:val="20"/>
              </w:rPr>
              <w:t>аллергическими</w:t>
            </w:r>
            <w:r>
              <w:rPr>
                <w:spacing w:val="-12"/>
                <w:sz w:val="20"/>
              </w:rPr>
              <w:t> </w:t>
            </w:r>
            <w:r>
              <w:rPr>
                <w:sz w:val="20"/>
              </w:rPr>
              <w:t>реакциями в анамнезе</w:t>
            </w:r>
          </w:p>
          <w:p>
            <w:pPr>
              <w:pStyle w:val="TableParagraph"/>
              <w:numPr>
                <w:ilvl w:val="0"/>
                <w:numId w:val="102"/>
              </w:numPr>
              <w:tabs>
                <w:tab w:pos="274" w:val="left" w:leader="none"/>
                <w:tab w:pos="276" w:val="left" w:leader="none"/>
              </w:tabs>
              <w:spacing w:line="230" w:lineRule="exact" w:before="0" w:after="0"/>
              <w:ind w:left="276" w:right="181" w:hanging="154"/>
              <w:jc w:val="left"/>
              <w:rPr>
                <w:sz w:val="20"/>
              </w:rPr>
            </w:pPr>
            <w:r>
              <w:rPr>
                <w:sz w:val="20"/>
              </w:rPr>
              <w:t>Противопоказан пациентам с дефицитом лактазы, непереносимостью</w:t>
            </w:r>
            <w:r>
              <w:rPr>
                <w:spacing w:val="-13"/>
                <w:sz w:val="20"/>
              </w:rPr>
              <w:t> </w:t>
            </w:r>
            <w:r>
              <w:rPr>
                <w:sz w:val="20"/>
              </w:rPr>
              <w:t>лактозы,</w:t>
            </w:r>
            <w:r>
              <w:rPr>
                <w:spacing w:val="-12"/>
                <w:sz w:val="20"/>
              </w:rPr>
              <w:t> </w:t>
            </w:r>
            <w:r>
              <w:rPr>
                <w:sz w:val="20"/>
              </w:rPr>
              <w:t>глюкозо-галактозной</w:t>
            </w:r>
            <w:r>
              <w:rPr>
                <w:spacing w:val="-13"/>
                <w:sz w:val="20"/>
              </w:rPr>
              <w:t> </w:t>
            </w:r>
            <w:r>
              <w:rPr>
                <w:sz w:val="20"/>
              </w:rPr>
              <w:t>мальабсорбции</w:t>
            </w:r>
          </w:p>
        </w:tc>
      </w:tr>
      <w:tr>
        <w:trPr>
          <w:trHeight w:val="1625" w:hRule="atLeast"/>
        </w:trPr>
        <w:tc>
          <w:tcPr>
            <w:tcW w:w="1976" w:type="dxa"/>
          </w:tcPr>
          <w:p>
            <w:pPr>
              <w:pStyle w:val="TableParagraph"/>
              <w:spacing w:before="19"/>
              <w:ind w:left="109"/>
              <w:rPr>
                <w:b/>
                <w:sz w:val="20"/>
              </w:rPr>
            </w:pPr>
            <w:r>
              <w:rPr>
                <w:b/>
                <w:spacing w:val="-2"/>
                <w:sz w:val="20"/>
              </w:rPr>
              <w:t>Риамиловир</w:t>
            </w:r>
          </w:p>
        </w:tc>
        <w:tc>
          <w:tcPr>
            <w:tcW w:w="2552" w:type="dxa"/>
          </w:tcPr>
          <w:p>
            <w:pPr>
              <w:pStyle w:val="TableParagraph"/>
              <w:spacing w:before="19"/>
              <w:ind w:left="212" w:right="138"/>
              <w:rPr>
                <w:sz w:val="20"/>
              </w:rPr>
            </w:pPr>
            <w:r>
              <w:rPr>
                <w:sz w:val="20"/>
              </w:rPr>
              <w:t>Синтетический аналог гуанина с </w:t>
            </w:r>
            <w:r>
              <w:rPr>
                <w:spacing w:val="-2"/>
                <w:sz w:val="20"/>
              </w:rPr>
              <w:t>противовирусным действием.</w:t>
            </w:r>
            <w:r>
              <w:rPr>
                <w:spacing w:val="-4"/>
                <w:sz w:val="20"/>
              </w:rPr>
              <w:t> </w:t>
            </w:r>
            <w:r>
              <w:rPr>
                <w:spacing w:val="-2"/>
                <w:sz w:val="20"/>
              </w:rPr>
              <w:t>Ингибирует </w:t>
            </w:r>
            <w:r>
              <w:rPr>
                <w:sz w:val="20"/>
              </w:rPr>
              <w:t>репликацию геномных фрагментов и синтез</w:t>
            </w:r>
          </w:p>
          <w:p>
            <w:pPr>
              <w:pStyle w:val="TableParagraph"/>
              <w:spacing w:line="206" w:lineRule="exact"/>
              <w:ind w:left="212"/>
              <w:rPr>
                <w:sz w:val="20"/>
              </w:rPr>
            </w:pPr>
            <w:r>
              <w:rPr>
                <w:sz w:val="20"/>
              </w:rPr>
              <w:t>вирусных</w:t>
            </w:r>
            <w:r>
              <w:rPr>
                <w:spacing w:val="-11"/>
                <w:sz w:val="20"/>
              </w:rPr>
              <w:t> </w:t>
            </w:r>
            <w:r>
              <w:rPr>
                <w:spacing w:val="-4"/>
                <w:sz w:val="20"/>
              </w:rPr>
              <w:t>РНК.</w:t>
            </w:r>
          </w:p>
        </w:tc>
        <w:tc>
          <w:tcPr>
            <w:tcW w:w="1277" w:type="dxa"/>
          </w:tcPr>
          <w:p>
            <w:pPr>
              <w:pStyle w:val="TableParagraph"/>
              <w:spacing w:before="19"/>
              <w:ind w:left="109"/>
              <w:rPr>
                <w:sz w:val="20"/>
              </w:rPr>
            </w:pPr>
            <w:r>
              <w:rPr>
                <w:spacing w:val="-2"/>
                <w:sz w:val="20"/>
              </w:rPr>
              <w:t>Капсулы</w:t>
            </w:r>
          </w:p>
        </w:tc>
        <w:tc>
          <w:tcPr>
            <w:tcW w:w="2977" w:type="dxa"/>
          </w:tcPr>
          <w:p>
            <w:pPr>
              <w:pStyle w:val="TableParagraph"/>
              <w:spacing w:line="237" w:lineRule="auto" w:before="20"/>
              <w:ind w:left="155" w:right="236"/>
              <w:rPr>
                <w:sz w:val="20"/>
              </w:rPr>
            </w:pPr>
            <w:r>
              <w:rPr>
                <w:sz w:val="20"/>
              </w:rPr>
              <w:t>По</w:t>
            </w:r>
            <w:r>
              <w:rPr>
                <w:spacing w:val="-5"/>
                <w:sz w:val="20"/>
              </w:rPr>
              <w:t> </w:t>
            </w:r>
            <w:r>
              <w:rPr>
                <w:sz w:val="20"/>
              </w:rPr>
              <w:t>250</w:t>
            </w:r>
            <w:r>
              <w:rPr>
                <w:spacing w:val="-8"/>
                <w:sz w:val="20"/>
              </w:rPr>
              <w:t> </w:t>
            </w:r>
            <w:r>
              <w:rPr>
                <w:sz w:val="20"/>
              </w:rPr>
              <w:t>мг</w:t>
            </w:r>
            <w:r>
              <w:rPr>
                <w:spacing w:val="-5"/>
                <w:sz w:val="20"/>
              </w:rPr>
              <w:t> </w:t>
            </w:r>
            <w:r>
              <w:rPr>
                <w:sz w:val="20"/>
              </w:rPr>
              <w:t>5</w:t>
            </w:r>
            <w:r>
              <w:rPr>
                <w:spacing w:val="-8"/>
                <w:sz w:val="20"/>
              </w:rPr>
              <w:t> </w:t>
            </w:r>
            <w:r>
              <w:rPr>
                <w:sz w:val="20"/>
              </w:rPr>
              <w:t>раз</w:t>
            </w:r>
            <w:r>
              <w:rPr>
                <w:spacing w:val="-4"/>
                <w:sz w:val="20"/>
              </w:rPr>
              <w:t> </w:t>
            </w:r>
            <w:r>
              <w:rPr>
                <w:sz w:val="20"/>
              </w:rPr>
              <w:t>в</w:t>
            </w:r>
            <w:r>
              <w:rPr>
                <w:spacing w:val="-7"/>
                <w:sz w:val="20"/>
              </w:rPr>
              <w:t> </w:t>
            </w:r>
            <w:r>
              <w:rPr>
                <w:sz w:val="20"/>
              </w:rPr>
              <w:t>день</w:t>
            </w:r>
            <w:r>
              <w:rPr>
                <w:spacing w:val="-6"/>
                <w:sz w:val="20"/>
              </w:rPr>
              <w:t> </w:t>
            </w:r>
            <w:r>
              <w:rPr>
                <w:sz w:val="20"/>
              </w:rPr>
              <w:t>в течение 10 дней *</w:t>
            </w:r>
          </w:p>
        </w:tc>
        <w:tc>
          <w:tcPr>
            <w:tcW w:w="6098" w:type="dxa"/>
          </w:tcPr>
          <w:p>
            <w:pPr>
              <w:pStyle w:val="TableParagraph"/>
              <w:numPr>
                <w:ilvl w:val="0"/>
                <w:numId w:val="103"/>
              </w:numPr>
              <w:tabs>
                <w:tab w:pos="275" w:val="left" w:leader="none"/>
              </w:tabs>
              <w:spacing w:line="244" w:lineRule="exact" w:before="19" w:after="0"/>
              <w:ind w:left="275" w:right="0" w:hanging="152"/>
              <w:jc w:val="left"/>
              <w:rPr>
                <w:sz w:val="20"/>
              </w:rPr>
            </w:pPr>
            <w:r>
              <w:rPr>
                <w:sz w:val="20"/>
              </w:rPr>
              <w:t>Противопоказан</w:t>
            </w:r>
            <w:r>
              <w:rPr>
                <w:spacing w:val="-8"/>
                <w:sz w:val="20"/>
              </w:rPr>
              <w:t> </w:t>
            </w:r>
            <w:r>
              <w:rPr>
                <w:sz w:val="20"/>
              </w:rPr>
              <w:t>при</w:t>
            </w:r>
            <w:r>
              <w:rPr>
                <w:spacing w:val="-8"/>
                <w:sz w:val="20"/>
              </w:rPr>
              <w:t> </w:t>
            </w:r>
            <w:r>
              <w:rPr>
                <w:sz w:val="20"/>
              </w:rPr>
              <w:t>беременности</w:t>
            </w:r>
            <w:r>
              <w:rPr>
                <w:spacing w:val="-8"/>
                <w:sz w:val="20"/>
              </w:rPr>
              <w:t> </w:t>
            </w:r>
            <w:r>
              <w:rPr>
                <w:sz w:val="20"/>
              </w:rPr>
              <w:t>и</w:t>
            </w:r>
            <w:r>
              <w:rPr>
                <w:spacing w:val="-8"/>
                <w:sz w:val="20"/>
              </w:rPr>
              <w:t> </w:t>
            </w:r>
            <w:r>
              <w:rPr>
                <w:sz w:val="20"/>
              </w:rPr>
              <w:t>грудном</w:t>
            </w:r>
            <w:r>
              <w:rPr>
                <w:spacing w:val="-7"/>
                <w:sz w:val="20"/>
              </w:rPr>
              <w:t> </w:t>
            </w:r>
            <w:r>
              <w:rPr>
                <w:spacing w:val="-2"/>
                <w:sz w:val="20"/>
              </w:rPr>
              <w:t>вскармливании</w:t>
            </w:r>
          </w:p>
          <w:p>
            <w:pPr>
              <w:pStyle w:val="TableParagraph"/>
              <w:numPr>
                <w:ilvl w:val="0"/>
                <w:numId w:val="103"/>
              </w:numPr>
              <w:tabs>
                <w:tab w:pos="275" w:val="left" w:leader="none"/>
              </w:tabs>
              <w:spacing w:line="244" w:lineRule="exact" w:before="0" w:after="0"/>
              <w:ind w:left="275" w:right="0" w:hanging="152"/>
              <w:jc w:val="left"/>
              <w:rPr>
                <w:sz w:val="20"/>
              </w:rPr>
            </w:pPr>
            <w:r>
              <w:rPr>
                <w:sz w:val="20"/>
              </w:rPr>
              <w:t>Не</w:t>
            </w:r>
            <w:r>
              <w:rPr>
                <w:spacing w:val="-4"/>
                <w:sz w:val="20"/>
              </w:rPr>
              <w:t> </w:t>
            </w:r>
            <w:r>
              <w:rPr>
                <w:sz w:val="20"/>
              </w:rPr>
              <w:t>применяется</w:t>
            </w:r>
            <w:r>
              <w:rPr>
                <w:spacing w:val="-5"/>
                <w:sz w:val="20"/>
              </w:rPr>
              <w:t> </w:t>
            </w:r>
            <w:r>
              <w:rPr>
                <w:sz w:val="20"/>
              </w:rPr>
              <w:t>у</w:t>
            </w:r>
            <w:r>
              <w:rPr>
                <w:spacing w:val="-3"/>
                <w:sz w:val="20"/>
              </w:rPr>
              <w:t> </w:t>
            </w:r>
            <w:r>
              <w:rPr>
                <w:sz w:val="20"/>
              </w:rPr>
              <w:t>детей</w:t>
            </w:r>
            <w:r>
              <w:rPr>
                <w:spacing w:val="-3"/>
                <w:sz w:val="20"/>
              </w:rPr>
              <w:t> </w:t>
            </w:r>
            <w:r>
              <w:rPr>
                <w:sz w:val="20"/>
              </w:rPr>
              <w:t>до</w:t>
            </w:r>
            <w:r>
              <w:rPr>
                <w:spacing w:val="-4"/>
                <w:sz w:val="20"/>
              </w:rPr>
              <w:t> </w:t>
            </w:r>
            <w:r>
              <w:rPr>
                <w:sz w:val="20"/>
              </w:rPr>
              <w:t>18</w:t>
            </w:r>
            <w:r>
              <w:rPr>
                <w:spacing w:val="-3"/>
                <w:sz w:val="20"/>
              </w:rPr>
              <w:t> </w:t>
            </w:r>
            <w:r>
              <w:rPr>
                <w:spacing w:val="-5"/>
                <w:sz w:val="20"/>
              </w:rPr>
              <w:t>лет</w:t>
            </w:r>
          </w:p>
          <w:p>
            <w:pPr>
              <w:pStyle w:val="TableParagraph"/>
              <w:numPr>
                <w:ilvl w:val="0"/>
                <w:numId w:val="103"/>
              </w:numPr>
              <w:tabs>
                <w:tab w:pos="274" w:val="left" w:leader="none"/>
                <w:tab w:pos="276" w:val="left" w:leader="none"/>
              </w:tabs>
              <w:spacing w:line="240" w:lineRule="auto" w:before="0" w:after="0"/>
              <w:ind w:left="276" w:right="1398" w:hanging="154"/>
              <w:jc w:val="left"/>
              <w:rPr>
                <w:sz w:val="20"/>
              </w:rPr>
            </w:pPr>
            <w:r>
              <w:rPr>
                <w:sz w:val="20"/>
              </w:rPr>
              <w:t>Противопоказан</w:t>
            </w:r>
            <w:r>
              <w:rPr>
                <w:spacing w:val="-13"/>
                <w:sz w:val="20"/>
              </w:rPr>
              <w:t> </w:t>
            </w:r>
            <w:r>
              <w:rPr>
                <w:sz w:val="20"/>
              </w:rPr>
              <w:t>пациентам</w:t>
            </w:r>
            <w:r>
              <w:rPr>
                <w:spacing w:val="-12"/>
                <w:sz w:val="20"/>
              </w:rPr>
              <w:t> </w:t>
            </w:r>
            <w:r>
              <w:rPr>
                <w:sz w:val="20"/>
              </w:rPr>
              <w:t>с</w:t>
            </w:r>
            <w:r>
              <w:rPr>
                <w:spacing w:val="-13"/>
                <w:sz w:val="20"/>
              </w:rPr>
              <w:t> </w:t>
            </w:r>
            <w:r>
              <w:rPr>
                <w:sz w:val="20"/>
              </w:rPr>
              <w:t>почечной/печеночной недостаточностью (эффективность и безопасность не определены).</w:t>
            </w:r>
          </w:p>
        </w:tc>
      </w:tr>
    </w:tbl>
    <w:p>
      <w:pPr>
        <w:spacing w:line="259" w:lineRule="auto" w:before="4"/>
        <w:ind w:left="11" w:right="170" w:firstLine="0"/>
        <w:jc w:val="left"/>
        <w:rPr>
          <w:sz w:val="20"/>
        </w:rPr>
      </w:pPr>
      <w:r>
        <w:rPr>
          <w:color w:val="1F487C"/>
          <w:sz w:val="20"/>
        </w:rPr>
        <w:t>*Препарат</w:t>
      </w:r>
      <w:r>
        <w:rPr>
          <w:color w:val="1F487C"/>
          <w:spacing w:val="-4"/>
          <w:sz w:val="20"/>
        </w:rPr>
        <w:t> </w:t>
      </w:r>
      <w:r>
        <w:rPr>
          <w:color w:val="1F487C"/>
          <w:sz w:val="20"/>
        </w:rPr>
        <w:t>был</w:t>
      </w:r>
      <w:r>
        <w:rPr>
          <w:color w:val="1F487C"/>
          <w:spacing w:val="-4"/>
          <w:sz w:val="20"/>
        </w:rPr>
        <w:t> </w:t>
      </w:r>
      <w:r>
        <w:rPr>
          <w:color w:val="1F487C"/>
          <w:sz w:val="20"/>
        </w:rPr>
        <w:t>исследован</w:t>
      </w:r>
      <w:r>
        <w:rPr>
          <w:color w:val="1F487C"/>
          <w:spacing w:val="-3"/>
          <w:sz w:val="20"/>
        </w:rPr>
        <w:t> </w:t>
      </w:r>
      <w:r>
        <w:rPr>
          <w:color w:val="1F487C"/>
          <w:sz w:val="20"/>
        </w:rPr>
        <w:t>для</w:t>
      </w:r>
      <w:r>
        <w:rPr>
          <w:color w:val="1F487C"/>
          <w:spacing w:val="-2"/>
          <w:sz w:val="20"/>
        </w:rPr>
        <w:t> </w:t>
      </w:r>
      <w:r>
        <w:rPr>
          <w:color w:val="1F487C"/>
          <w:sz w:val="20"/>
        </w:rPr>
        <w:t>лечения COVID-19</w:t>
      </w:r>
      <w:r>
        <w:rPr>
          <w:color w:val="1F487C"/>
          <w:spacing w:val="-2"/>
          <w:sz w:val="20"/>
        </w:rPr>
        <w:t> </w:t>
      </w:r>
      <w:r>
        <w:rPr>
          <w:color w:val="1F487C"/>
          <w:sz w:val="20"/>
        </w:rPr>
        <w:t>в</w:t>
      </w:r>
      <w:r>
        <w:rPr>
          <w:color w:val="1F487C"/>
          <w:spacing w:val="-4"/>
          <w:sz w:val="20"/>
        </w:rPr>
        <w:t> </w:t>
      </w:r>
      <w:r>
        <w:rPr>
          <w:color w:val="1F487C"/>
          <w:sz w:val="20"/>
        </w:rPr>
        <w:t>дозировке</w:t>
      </w:r>
      <w:r>
        <w:rPr>
          <w:color w:val="1F487C"/>
          <w:spacing w:val="-4"/>
          <w:sz w:val="20"/>
        </w:rPr>
        <w:t> </w:t>
      </w:r>
      <w:r>
        <w:rPr>
          <w:color w:val="1F487C"/>
          <w:sz w:val="20"/>
        </w:rPr>
        <w:t>1250</w:t>
      </w:r>
      <w:r>
        <w:rPr>
          <w:color w:val="1F487C"/>
          <w:spacing w:val="-3"/>
          <w:sz w:val="20"/>
        </w:rPr>
        <w:t> </w:t>
      </w:r>
      <w:r>
        <w:rPr>
          <w:color w:val="1F487C"/>
          <w:sz w:val="20"/>
        </w:rPr>
        <w:t>мг/сут</w:t>
      </w:r>
      <w:r>
        <w:rPr>
          <w:color w:val="1F487C"/>
          <w:spacing w:val="-3"/>
          <w:sz w:val="20"/>
        </w:rPr>
        <w:t> </w:t>
      </w:r>
      <w:r>
        <w:rPr>
          <w:color w:val="1F487C"/>
          <w:sz w:val="20"/>
        </w:rPr>
        <w:t>в</w:t>
      </w:r>
      <w:r>
        <w:rPr>
          <w:color w:val="1F487C"/>
          <w:spacing w:val="-4"/>
          <w:sz w:val="20"/>
        </w:rPr>
        <w:t> </w:t>
      </w:r>
      <w:r>
        <w:rPr>
          <w:color w:val="1F487C"/>
          <w:sz w:val="20"/>
        </w:rPr>
        <w:t>многоцентровом</w:t>
      </w:r>
      <w:r>
        <w:rPr>
          <w:color w:val="1F487C"/>
          <w:spacing w:val="-3"/>
          <w:sz w:val="20"/>
        </w:rPr>
        <w:t> </w:t>
      </w:r>
      <w:r>
        <w:rPr>
          <w:color w:val="1F487C"/>
          <w:sz w:val="20"/>
        </w:rPr>
        <w:t>исследовании,</w:t>
      </w:r>
      <w:r>
        <w:rPr>
          <w:color w:val="1F487C"/>
          <w:spacing w:val="-4"/>
          <w:sz w:val="20"/>
        </w:rPr>
        <w:t> </w:t>
      </w:r>
      <w:r>
        <w:rPr>
          <w:color w:val="1F487C"/>
          <w:sz w:val="20"/>
        </w:rPr>
        <w:t>данные</w:t>
      </w:r>
      <w:r>
        <w:rPr>
          <w:color w:val="1F487C"/>
          <w:spacing w:val="-4"/>
          <w:sz w:val="20"/>
        </w:rPr>
        <w:t> </w:t>
      </w:r>
      <w:r>
        <w:rPr>
          <w:color w:val="1F487C"/>
          <w:sz w:val="20"/>
        </w:rPr>
        <w:t>опубликованы</w:t>
      </w:r>
      <w:r>
        <w:rPr>
          <w:color w:val="1F487C"/>
          <w:spacing w:val="-4"/>
          <w:sz w:val="20"/>
        </w:rPr>
        <w:t> </w:t>
      </w:r>
      <w:r>
        <w:rPr>
          <w:color w:val="1F487C"/>
          <w:sz w:val="20"/>
        </w:rPr>
        <w:t>в</w:t>
      </w:r>
      <w:r>
        <w:rPr>
          <w:color w:val="1F487C"/>
          <w:spacing w:val="-4"/>
          <w:sz w:val="20"/>
        </w:rPr>
        <w:t> </w:t>
      </w:r>
      <w:r>
        <w:rPr>
          <w:color w:val="1F487C"/>
          <w:sz w:val="20"/>
        </w:rPr>
        <w:t>статье </w:t>
      </w:r>
      <w:r>
        <w:rPr>
          <w:sz w:val="20"/>
        </w:rPr>
        <w:t>Сабитов</w:t>
      </w:r>
      <w:r>
        <w:rPr>
          <w:spacing w:val="-4"/>
          <w:sz w:val="20"/>
        </w:rPr>
        <w:t> </w:t>
      </w:r>
      <w:r>
        <w:rPr>
          <w:sz w:val="20"/>
        </w:rPr>
        <w:t>А.У.,</w:t>
      </w:r>
      <w:r>
        <w:rPr>
          <w:spacing w:val="-4"/>
          <w:sz w:val="20"/>
        </w:rPr>
        <w:t> </w:t>
      </w:r>
      <w:r>
        <w:rPr>
          <w:sz w:val="20"/>
        </w:rPr>
        <w:t>Лиознов</w:t>
      </w:r>
      <w:r>
        <w:rPr>
          <w:spacing w:val="-4"/>
          <w:sz w:val="20"/>
        </w:rPr>
        <w:t> </w:t>
      </w:r>
      <w:r>
        <w:rPr>
          <w:sz w:val="20"/>
        </w:rPr>
        <w:t>Д.А.,</w:t>
      </w:r>
      <w:r>
        <w:rPr>
          <w:spacing w:val="-4"/>
          <w:sz w:val="20"/>
        </w:rPr>
        <w:t> </w:t>
      </w:r>
      <w:r>
        <w:rPr>
          <w:sz w:val="20"/>
        </w:rPr>
        <w:t>Жданов К.В. и соавт. Результаты рандомизированного двойного слепого многоцентрового клинического исследования эффективности и безопасности препарата риамиловира в терапии COVID-19. Терапевтический архив. 2024;96(5): . DOI: 10.26442/00403660.2024.05.202770</w:t>
      </w:r>
    </w:p>
    <w:p>
      <w:pPr>
        <w:pStyle w:val="BodyText"/>
        <w:ind w:left="0"/>
        <w:jc w:val="left"/>
        <w:rPr>
          <w:sz w:val="22"/>
        </w:rPr>
      </w:pPr>
    </w:p>
    <w:p>
      <w:pPr>
        <w:pStyle w:val="BodyText"/>
        <w:spacing w:before="31"/>
        <w:ind w:left="0"/>
        <w:jc w:val="left"/>
        <w:rPr>
          <w:sz w:val="22"/>
        </w:rPr>
      </w:pPr>
    </w:p>
    <w:p>
      <w:pPr>
        <w:spacing w:before="0"/>
        <w:ind w:left="0" w:right="15" w:firstLine="0"/>
        <w:jc w:val="center"/>
        <w:rPr>
          <w:rFonts w:ascii="Calibri"/>
          <w:sz w:val="22"/>
        </w:rPr>
      </w:pPr>
      <w:r>
        <w:rPr>
          <w:rFonts w:ascii="Calibri"/>
          <w:spacing w:val="-5"/>
          <w:sz w:val="22"/>
        </w:rPr>
        <w:t>195</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Heading3"/>
        <w:spacing w:before="148"/>
        <w:ind w:left="0" w:right="26"/>
        <w:jc w:val="right"/>
      </w:pPr>
      <w:bookmarkStart w:name="_TOC_250010" w:id="233"/>
      <w:bookmarkStart w:name="197" w:id="234"/>
      <w:r>
        <w:rPr>
          <w:b w:val="0"/>
        </w:rPr>
      </w:r>
      <w:r>
        <w:rPr>
          <w:color w:val="1F487C"/>
          <w:spacing w:val="-2"/>
        </w:rPr>
        <w:t>Приложение</w:t>
      </w:r>
      <w:r>
        <w:rPr>
          <w:color w:val="1F487C"/>
          <w:spacing w:val="1"/>
        </w:rPr>
        <w:t> </w:t>
      </w:r>
      <w:bookmarkEnd w:id="233"/>
      <w:r>
        <w:rPr>
          <w:color w:val="1F487C"/>
          <w:spacing w:val="-10"/>
        </w:rPr>
        <w:t>6</w:t>
      </w:r>
    </w:p>
    <w:p>
      <w:pPr>
        <w:spacing w:before="141"/>
        <w:ind w:left="9" w:right="15" w:firstLine="0"/>
        <w:jc w:val="center"/>
        <w:rPr>
          <w:b/>
          <w:sz w:val="24"/>
        </w:rPr>
      </w:pPr>
      <w:r>
        <w:rPr>
          <w:b/>
          <w:spacing w:val="-2"/>
          <w:sz w:val="24"/>
        </w:rPr>
        <w:t>Препараты</w:t>
      </w:r>
      <w:r>
        <w:rPr>
          <w:b/>
          <w:sz w:val="24"/>
        </w:rPr>
        <w:t> </w:t>
      </w:r>
      <w:r>
        <w:rPr>
          <w:b/>
          <w:spacing w:val="-2"/>
          <w:sz w:val="24"/>
        </w:rPr>
        <w:t>упреждающей</w:t>
      </w:r>
      <w:r>
        <w:rPr>
          <w:b/>
          <w:sz w:val="24"/>
        </w:rPr>
        <w:t> </w:t>
      </w:r>
      <w:r>
        <w:rPr>
          <w:b/>
          <w:spacing w:val="-2"/>
          <w:sz w:val="24"/>
        </w:rPr>
        <w:t>противовоспалительной</w:t>
      </w:r>
      <w:r>
        <w:rPr>
          <w:b/>
          <w:spacing w:val="4"/>
          <w:sz w:val="24"/>
        </w:rPr>
        <w:t> </w:t>
      </w:r>
      <w:r>
        <w:rPr>
          <w:b/>
          <w:spacing w:val="-2"/>
          <w:sz w:val="24"/>
        </w:rPr>
        <w:t>терапии</w:t>
      </w:r>
      <w:r>
        <w:rPr>
          <w:b/>
          <w:sz w:val="24"/>
        </w:rPr>
        <w:t> </w:t>
      </w:r>
      <w:r>
        <w:rPr>
          <w:b/>
          <w:spacing w:val="-2"/>
          <w:sz w:val="24"/>
        </w:rPr>
        <w:t>COVID-19</w:t>
      </w:r>
      <w:r>
        <w:rPr>
          <w:b/>
          <w:spacing w:val="-1"/>
          <w:sz w:val="24"/>
        </w:rPr>
        <w:t> </w:t>
      </w:r>
      <w:r>
        <w:rPr>
          <w:b/>
          <w:spacing w:val="-2"/>
          <w:sz w:val="24"/>
        </w:rPr>
        <w:t>у</w:t>
      </w:r>
      <w:r>
        <w:rPr>
          <w:b/>
          <w:sz w:val="24"/>
        </w:rPr>
        <w:t> </w:t>
      </w:r>
      <w:r>
        <w:rPr>
          <w:b/>
          <w:spacing w:val="-2"/>
          <w:sz w:val="24"/>
        </w:rPr>
        <w:t>взрослых</w:t>
      </w:r>
    </w:p>
    <w:p>
      <w:pPr>
        <w:pStyle w:val="BodyText"/>
        <w:spacing w:before="9"/>
        <w:ind w:left="0"/>
        <w:jc w:val="left"/>
        <w:rPr>
          <w:b/>
          <w:sz w:val="5"/>
        </w:rPr>
      </w:pPr>
    </w:p>
    <w:tbl>
      <w:tblPr>
        <w:tblW w:w="0" w:type="auto"/>
        <w:jc w:val="left"/>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0"/>
        <w:gridCol w:w="2835"/>
        <w:gridCol w:w="1498"/>
        <w:gridCol w:w="3829"/>
        <w:gridCol w:w="4742"/>
      </w:tblGrid>
      <w:tr>
        <w:trPr>
          <w:trHeight w:val="563" w:hRule="atLeast"/>
        </w:trPr>
        <w:tc>
          <w:tcPr>
            <w:tcW w:w="1980" w:type="dxa"/>
            <w:shd w:val="clear" w:color="auto" w:fill="F1F1F1"/>
          </w:tcPr>
          <w:p>
            <w:pPr>
              <w:pStyle w:val="TableParagraph"/>
              <w:spacing w:before="23"/>
              <w:ind w:left="56"/>
              <w:rPr>
                <w:b/>
                <w:sz w:val="20"/>
              </w:rPr>
            </w:pPr>
            <w:r>
              <w:rPr>
                <w:b/>
                <w:sz w:val="20"/>
              </w:rPr>
              <w:t>Препарат</w:t>
            </w:r>
            <w:r>
              <w:rPr>
                <w:b/>
                <w:spacing w:val="-8"/>
                <w:sz w:val="20"/>
              </w:rPr>
              <w:t> </w:t>
            </w:r>
            <w:r>
              <w:rPr>
                <w:b/>
                <w:spacing w:val="-2"/>
                <w:sz w:val="20"/>
              </w:rPr>
              <w:t>(МНН)</w:t>
            </w:r>
          </w:p>
        </w:tc>
        <w:tc>
          <w:tcPr>
            <w:tcW w:w="2835" w:type="dxa"/>
            <w:shd w:val="clear" w:color="auto" w:fill="F1F1F1"/>
          </w:tcPr>
          <w:p>
            <w:pPr>
              <w:pStyle w:val="TableParagraph"/>
              <w:spacing w:before="23"/>
              <w:ind w:left="54"/>
              <w:rPr>
                <w:b/>
                <w:sz w:val="20"/>
              </w:rPr>
            </w:pPr>
            <w:r>
              <w:rPr>
                <w:b/>
                <w:sz w:val="20"/>
              </w:rPr>
              <w:t>Механизм</w:t>
            </w:r>
            <w:r>
              <w:rPr>
                <w:b/>
                <w:spacing w:val="-10"/>
                <w:sz w:val="20"/>
              </w:rPr>
              <w:t> </w:t>
            </w:r>
            <w:r>
              <w:rPr>
                <w:b/>
                <w:spacing w:val="-2"/>
                <w:sz w:val="20"/>
              </w:rPr>
              <w:t>действия</w:t>
            </w:r>
          </w:p>
        </w:tc>
        <w:tc>
          <w:tcPr>
            <w:tcW w:w="1498" w:type="dxa"/>
            <w:shd w:val="clear" w:color="auto" w:fill="F1F1F1"/>
          </w:tcPr>
          <w:p>
            <w:pPr>
              <w:pStyle w:val="TableParagraph"/>
              <w:spacing w:before="23"/>
              <w:ind w:left="52" w:right="646"/>
              <w:rPr>
                <w:b/>
                <w:sz w:val="20"/>
              </w:rPr>
            </w:pPr>
            <w:r>
              <w:rPr>
                <w:b/>
                <w:spacing w:val="-2"/>
                <w:sz w:val="20"/>
              </w:rPr>
              <w:t>Формы выпуска</w:t>
            </w:r>
          </w:p>
        </w:tc>
        <w:tc>
          <w:tcPr>
            <w:tcW w:w="3829" w:type="dxa"/>
            <w:shd w:val="clear" w:color="auto" w:fill="F1F1F1"/>
          </w:tcPr>
          <w:p>
            <w:pPr>
              <w:pStyle w:val="TableParagraph"/>
              <w:spacing w:before="23"/>
              <w:ind w:left="50"/>
              <w:rPr>
                <w:b/>
                <w:sz w:val="20"/>
              </w:rPr>
            </w:pPr>
            <w:r>
              <w:rPr>
                <w:b/>
                <w:sz w:val="20"/>
              </w:rPr>
              <w:t>Схемы</w:t>
            </w:r>
            <w:r>
              <w:rPr>
                <w:b/>
                <w:spacing w:val="-6"/>
                <w:sz w:val="20"/>
              </w:rPr>
              <w:t> </w:t>
            </w:r>
            <w:r>
              <w:rPr>
                <w:b/>
                <w:spacing w:val="-2"/>
                <w:sz w:val="20"/>
              </w:rPr>
              <w:t>назначения</w:t>
            </w:r>
          </w:p>
        </w:tc>
        <w:tc>
          <w:tcPr>
            <w:tcW w:w="4742" w:type="dxa"/>
            <w:shd w:val="clear" w:color="auto" w:fill="F1F1F1"/>
          </w:tcPr>
          <w:p>
            <w:pPr>
              <w:pStyle w:val="TableParagraph"/>
              <w:spacing w:before="23"/>
              <w:ind w:left="43"/>
              <w:rPr>
                <w:b/>
                <w:sz w:val="20"/>
              </w:rPr>
            </w:pPr>
            <w:r>
              <w:rPr>
                <w:b/>
                <w:spacing w:val="-2"/>
                <w:sz w:val="20"/>
              </w:rPr>
              <w:t>Противопоказания</w:t>
            </w:r>
          </w:p>
        </w:tc>
      </w:tr>
      <w:tr>
        <w:trPr>
          <w:trHeight w:val="407" w:hRule="atLeast"/>
        </w:trPr>
        <w:tc>
          <w:tcPr>
            <w:tcW w:w="1980" w:type="dxa"/>
          </w:tcPr>
          <w:p>
            <w:pPr>
              <w:pStyle w:val="TableParagraph"/>
              <w:spacing w:before="104"/>
              <w:ind w:left="56"/>
              <w:rPr>
                <w:b/>
                <w:sz w:val="20"/>
              </w:rPr>
            </w:pPr>
            <w:r>
              <w:rPr>
                <w:b/>
                <w:spacing w:val="-2"/>
                <w:sz w:val="20"/>
              </w:rPr>
              <w:t>Барицитиниб</w:t>
            </w:r>
          </w:p>
        </w:tc>
        <w:tc>
          <w:tcPr>
            <w:tcW w:w="2835" w:type="dxa"/>
            <w:vMerge w:val="restart"/>
          </w:tcPr>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spacing w:before="199"/>
              <w:rPr>
                <w:b/>
                <w:sz w:val="20"/>
              </w:rPr>
            </w:pPr>
          </w:p>
          <w:p>
            <w:pPr>
              <w:pStyle w:val="TableParagraph"/>
              <w:spacing w:before="1"/>
              <w:ind w:left="54" w:right="424"/>
              <w:rPr>
                <w:sz w:val="20"/>
              </w:rPr>
            </w:pPr>
            <w:r>
              <w:rPr>
                <w:sz w:val="20"/>
              </w:rPr>
              <w:t>Селективные ингибиторы янус</w:t>
            </w:r>
            <w:r>
              <w:rPr>
                <w:spacing w:val="-11"/>
                <w:sz w:val="20"/>
              </w:rPr>
              <w:t> </w:t>
            </w:r>
            <w:r>
              <w:rPr>
                <w:sz w:val="20"/>
              </w:rPr>
              <w:t>киназ</w:t>
            </w:r>
            <w:r>
              <w:rPr>
                <w:spacing w:val="-11"/>
                <w:sz w:val="20"/>
              </w:rPr>
              <w:t> </w:t>
            </w:r>
            <w:r>
              <w:rPr>
                <w:sz w:val="20"/>
              </w:rPr>
              <w:t>(JAK1</w:t>
            </w:r>
            <w:r>
              <w:rPr>
                <w:spacing w:val="-9"/>
                <w:sz w:val="20"/>
              </w:rPr>
              <w:t> </w:t>
            </w:r>
            <w:r>
              <w:rPr>
                <w:sz w:val="20"/>
              </w:rPr>
              <w:t>и</w:t>
            </w:r>
            <w:r>
              <w:rPr>
                <w:spacing w:val="-12"/>
                <w:sz w:val="20"/>
              </w:rPr>
              <w:t> </w:t>
            </w:r>
            <w:r>
              <w:rPr>
                <w:sz w:val="20"/>
              </w:rPr>
              <w:t>JAK2).</w:t>
            </w:r>
          </w:p>
        </w:tc>
        <w:tc>
          <w:tcPr>
            <w:tcW w:w="1498" w:type="dxa"/>
          </w:tcPr>
          <w:p>
            <w:pPr>
              <w:pStyle w:val="TableParagraph"/>
              <w:spacing w:before="104"/>
              <w:ind w:left="52"/>
              <w:rPr>
                <w:sz w:val="20"/>
              </w:rPr>
            </w:pPr>
            <w:r>
              <w:rPr>
                <w:spacing w:val="-2"/>
                <w:sz w:val="20"/>
              </w:rPr>
              <w:t>Таблетки</w:t>
            </w:r>
          </w:p>
        </w:tc>
        <w:tc>
          <w:tcPr>
            <w:tcW w:w="3829" w:type="dxa"/>
          </w:tcPr>
          <w:p>
            <w:pPr>
              <w:pStyle w:val="TableParagraph"/>
              <w:spacing w:before="104"/>
              <w:ind w:left="50"/>
              <w:rPr>
                <w:sz w:val="20"/>
              </w:rPr>
            </w:pPr>
            <w:r>
              <w:rPr>
                <w:sz w:val="20"/>
              </w:rPr>
              <w:t>4</w:t>
            </w:r>
            <w:r>
              <w:rPr>
                <w:spacing w:val="-2"/>
                <w:sz w:val="20"/>
              </w:rPr>
              <w:t> </w:t>
            </w:r>
            <w:r>
              <w:rPr>
                <w:sz w:val="20"/>
              </w:rPr>
              <w:t>мг</w:t>
            </w:r>
            <w:r>
              <w:rPr>
                <w:spacing w:val="-3"/>
                <w:sz w:val="20"/>
              </w:rPr>
              <w:t> </w:t>
            </w:r>
            <w:r>
              <w:rPr>
                <w:sz w:val="20"/>
              </w:rPr>
              <w:t>1</w:t>
            </w:r>
            <w:r>
              <w:rPr>
                <w:spacing w:val="-4"/>
                <w:sz w:val="20"/>
              </w:rPr>
              <w:t> </w:t>
            </w:r>
            <w:r>
              <w:rPr>
                <w:sz w:val="20"/>
              </w:rPr>
              <w:t>р/сут</w:t>
            </w:r>
            <w:r>
              <w:rPr>
                <w:spacing w:val="-3"/>
                <w:sz w:val="20"/>
              </w:rPr>
              <w:t> </w:t>
            </w:r>
            <w:r>
              <w:rPr>
                <w:sz w:val="20"/>
              </w:rPr>
              <w:t>в</w:t>
            </w:r>
            <w:r>
              <w:rPr>
                <w:spacing w:val="-3"/>
                <w:sz w:val="20"/>
              </w:rPr>
              <w:t> </w:t>
            </w:r>
            <w:r>
              <w:rPr>
                <w:sz w:val="20"/>
              </w:rPr>
              <w:t>течение</w:t>
            </w:r>
            <w:r>
              <w:rPr>
                <w:spacing w:val="-3"/>
                <w:sz w:val="20"/>
              </w:rPr>
              <w:t> </w:t>
            </w:r>
            <w:r>
              <w:rPr>
                <w:sz w:val="20"/>
              </w:rPr>
              <w:t>7-14</w:t>
            </w:r>
            <w:r>
              <w:rPr>
                <w:spacing w:val="-1"/>
                <w:sz w:val="20"/>
              </w:rPr>
              <w:t> </w:t>
            </w:r>
            <w:r>
              <w:rPr>
                <w:spacing w:val="-2"/>
                <w:sz w:val="20"/>
              </w:rPr>
              <w:t>дней.</w:t>
            </w:r>
          </w:p>
        </w:tc>
        <w:tc>
          <w:tcPr>
            <w:tcW w:w="4742" w:type="dxa"/>
            <w:vMerge w:val="restart"/>
          </w:tcPr>
          <w:p>
            <w:pPr>
              <w:pStyle w:val="TableParagraph"/>
              <w:numPr>
                <w:ilvl w:val="0"/>
                <w:numId w:val="104"/>
              </w:numPr>
              <w:tabs>
                <w:tab w:pos="331" w:val="left" w:leader="none"/>
                <w:tab w:pos="333" w:val="left" w:leader="none"/>
              </w:tabs>
              <w:spacing w:line="237" w:lineRule="auto" w:before="25" w:after="0"/>
              <w:ind w:left="333" w:right="1142" w:hanging="154"/>
              <w:jc w:val="left"/>
              <w:rPr>
                <w:sz w:val="20"/>
              </w:rPr>
            </w:pPr>
            <w:r>
              <w:rPr>
                <w:sz w:val="20"/>
              </w:rPr>
              <w:t>Сепсис,</w:t>
            </w:r>
            <w:r>
              <w:rPr>
                <w:spacing w:val="-13"/>
                <w:sz w:val="20"/>
              </w:rPr>
              <w:t> </w:t>
            </w:r>
            <w:r>
              <w:rPr>
                <w:sz w:val="20"/>
              </w:rPr>
              <w:t>подтвержденный</w:t>
            </w:r>
            <w:r>
              <w:rPr>
                <w:spacing w:val="-12"/>
                <w:sz w:val="20"/>
              </w:rPr>
              <w:t> </w:t>
            </w:r>
            <w:r>
              <w:rPr>
                <w:sz w:val="20"/>
              </w:rPr>
              <w:t>патогенами, отличными от COVID-19;</w:t>
            </w:r>
          </w:p>
          <w:p>
            <w:pPr>
              <w:pStyle w:val="TableParagraph"/>
              <w:numPr>
                <w:ilvl w:val="0"/>
                <w:numId w:val="104"/>
              </w:numPr>
              <w:tabs>
                <w:tab w:pos="332" w:val="left" w:leader="none"/>
              </w:tabs>
              <w:spacing w:line="245" w:lineRule="exact" w:before="0" w:after="0"/>
              <w:ind w:left="332" w:right="0" w:hanging="152"/>
              <w:jc w:val="left"/>
              <w:rPr>
                <w:sz w:val="20"/>
              </w:rPr>
            </w:pPr>
            <w:r>
              <w:rPr>
                <w:spacing w:val="-2"/>
                <w:sz w:val="20"/>
              </w:rPr>
              <w:t>Лимфопения</w:t>
            </w:r>
            <w:r>
              <w:rPr>
                <w:spacing w:val="4"/>
                <w:sz w:val="20"/>
              </w:rPr>
              <w:t> </w:t>
            </w:r>
            <w:r>
              <w:rPr>
                <w:spacing w:val="-2"/>
                <w:sz w:val="20"/>
              </w:rPr>
              <w:t>&lt;0,5*109/л;</w:t>
            </w:r>
          </w:p>
          <w:p>
            <w:pPr>
              <w:pStyle w:val="TableParagraph"/>
              <w:numPr>
                <w:ilvl w:val="0"/>
                <w:numId w:val="104"/>
              </w:numPr>
              <w:tabs>
                <w:tab w:pos="332" w:val="left" w:leader="none"/>
              </w:tabs>
              <w:spacing w:line="245" w:lineRule="exact" w:before="0" w:after="0"/>
              <w:ind w:left="332" w:right="0" w:hanging="152"/>
              <w:jc w:val="left"/>
              <w:rPr>
                <w:sz w:val="20"/>
              </w:rPr>
            </w:pPr>
            <w:r>
              <w:rPr>
                <w:sz w:val="20"/>
              </w:rPr>
              <w:t>Нейтропения</w:t>
            </w:r>
            <w:r>
              <w:rPr>
                <w:spacing w:val="-13"/>
                <w:sz w:val="20"/>
              </w:rPr>
              <w:t> </w:t>
            </w:r>
            <w:r>
              <w:rPr>
                <w:spacing w:val="-2"/>
                <w:sz w:val="20"/>
              </w:rPr>
              <w:t>&lt;1*109/л;</w:t>
            </w:r>
          </w:p>
          <w:p>
            <w:pPr>
              <w:pStyle w:val="TableParagraph"/>
              <w:numPr>
                <w:ilvl w:val="0"/>
                <w:numId w:val="104"/>
              </w:numPr>
              <w:tabs>
                <w:tab w:pos="332" w:val="left" w:leader="none"/>
              </w:tabs>
              <w:spacing w:line="245" w:lineRule="exact" w:before="0" w:after="0"/>
              <w:ind w:left="332" w:right="0" w:hanging="152"/>
              <w:jc w:val="left"/>
              <w:rPr>
                <w:sz w:val="20"/>
              </w:rPr>
            </w:pPr>
            <w:r>
              <w:rPr>
                <w:sz w:val="20"/>
              </w:rPr>
              <w:t>Гемоглобин</w:t>
            </w:r>
            <w:r>
              <w:rPr>
                <w:spacing w:val="-7"/>
                <w:sz w:val="20"/>
              </w:rPr>
              <w:t> </w:t>
            </w:r>
            <w:r>
              <w:rPr>
                <w:sz w:val="20"/>
              </w:rPr>
              <w:t>&lt;8</w:t>
            </w:r>
            <w:r>
              <w:rPr>
                <w:spacing w:val="-5"/>
                <w:sz w:val="20"/>
              </w:rPr>
              <w:t> </w:t>
            </w:r>
            <w:r>
              <w:rPr>
                <w:spacing w:val="-2"/>
                <w:sz w:val="20"/>
              </w:rPr>
              <w:t>г/дл;</w:t>
            </w:r>
          </w:p>
          <w:p>
            <w:pPr>
              <w:pStyle w:val="TableParagraph"/>
              <w:numPr>
                <w:ilvl w:val="0"/>
                <w:numId w:val="104"/>
              </w:numPr>
              <w:tabs>
                <w:tab w:pos="332" w:val="left" w:leader="none"/>
              </w:tabs>
              <w:spacing w:line="243" w:lineRule="exact" w:before="0" w:after="0"/>
              <w:ind w:left="332" w:right="0" w:hanging="152"/>
              <w:jc w:val="left"/>
              <w:rPr>
                <w:sz w:val="20"/>
              </w:rPr>
            </w:pPr>
            <w:r>
              <w:rPr>
                <w:sz w:val="20"/>
              </w:rPr>
              <w:t>Клиренс</w:t>
            </w:r>
            <w:r>
              <w:rPr>
                <w:spacing w:val="-8"/>
                <w:sz w:val="20"/>
              </w:rPr>
              <w:t> </w:t>
            </w:r>
            <w:r>
              <w:rPr>
                <w:sz w:val="20"/>
              </w:rPr>
              <w:t>креатинина</w:t>
            </w:r>
            <w:r>
              <w:rPr>
                <w:spacing w:val="-8"/>
                <w:sz w:val="20"/>
              </w:rPr>
              <w:t> </w:t>
            </w:r>
            <w:r>
              <w:rPr>
                <w:sz w:val="20"/>
              </w:rPr>
              <w:t>&lt;30</w:t>
            </w:r>
            <w:r>
              <w:rPr>
                <w:spacing w:val="-7"/>
                <w:sz w:val="20"/>
              </w:rPr>
              <w:t> </w:t>
            </w:r>
            <w:r>
              <w:rPr>
                <w:spacing w:val="-2"/>
                <w:sz w:val="20"/>
              </w:rPr>
              <w:t>мл/мин;</w:t>
            </w:r>
          </w:p>
          <w:p>
            <w:pPr>
              <w:pStyle w:val="TableParagraph"/>
              <w:numPr>
                <w:ilvl w:val="0"/>
                <w:numId w:val="104"/>
              </w:numPr>
              <w:tabs>
                <w:tab w:pos="331" w:val="left" w:leader="none"/>
                <w:tab w:pos="333" w:val="left" w:leader="none"/>
              </w:tabs>
              <w:spacing w:line="240" w:lineRule="auto" w:before="0" w:after="0"/>
              <w:ind w:left="333" w:right="332" w:hanging="154"/>
              <w:jc w:val="left"/>
              <w:rPr>
                <w:sz w:val="20"/>
              </w:rPr>
            </w:pPr>
            <w:r>
              <w:rPr>
                <w:sz w:val="20"/>
              </w:rPr>
              <w:t>Тяжелая</w:t>
            </w:r>
            <w:r>
              <w:rPr>
                <w:spacing w:val="-13"/>
                <w:sz w:val="20"/>
              </w:rPr>
              <w:t> </w:t>
            </w:r>
            <w:r>
              <w:rPr>
                <w:sz w:val="20"/>
              </w:rPr>
              <w:t>печеночная</w:t>
            </w:r>
            <w:r>
              <w:rPr>
                <w:spacing w:val="-12"/>
                <w:sz w:val="20"/>
              </w:rPr>
              <w:t> </w:t>
            </w:r>
            <w:r>
              <w:rPr>
                <w:sz w:val="20"/>
              </w:rPr>
              <w:t>недостаточность/если</w:t>
            </w:r>
            <w:r>
              <w:rPr>
                <w:spacing w:val="-13"/>
                <w:sz w:val="20"/>
              </w:rPr>
              <w:t> </w:t>
            </w:r>
            <w:r>
              <w:rPr>
                <w:sz w:val="20"/>
              </w:rPr>
              <w:t>есть подозрение на лекарственное повреждение </w:t>
            </w:r>
            <w:r>
              <w:rPr>
                <w:spacing w:val="-2"/>
                <w:sz w:val="20"/>
              </w:rPr>
              <w:t>печени;</w:t>
            </w:r>
          </w:p>
          <w:p>
            <w:pPr>
              <w:pStyle w:val="TableParagraph"/>
              <w:numPr>
                <w:ilvl w:val="0"/>
                <w:numId w:val="104"/>
              </w:numPr>
              <w:tabs>
                <w:tab w:pos="332" w:val="left" w:leader="none"/>
              </w:tabs>
              <w:spacing w:line="245" w:lineRule="exact" w:before="0" w:after="0"/>
              <w:ind w:left="332" w:right="0" w:hanging="152"/>
              <w:jc w:val="left"/>
              <w:rPr>
                <w:sz w:val="20"/>
              </w:rPr>
            </w:pPr>
            <w:r>
              <w:rPr>
                <w:sz w:val="20"/>
              </w:rPr>
              <w:t>Активный</w:t>
            </w:r>
            <w:r>
              <w:rPr>
                <w:spacing w:val="-8"/>
                <w:sz w:val="20"/>
              </w:rPr>
              <w:t> </w:t>
            </w:r>
            <w:r>
              <w:rPr>
                <w:sz w:val="20"/>
              </w:rPr>
              <w:t>гепатит</w:t>
            </w:r>
            <w:r>
              <w:rPr>
                <w:spacing w:val="-6"/>
                <w:sz w:val="20"/>
              </w:rPr>
              <w:t> </w:t>
            </w:r>
            <w:r>
              <w:rPr>
                <w:sz w:val="20"/>
              </w:rPr>
              <w:t>В</w:t>
            </w:r>
            <w:r>
              <w:rPr>
                <w:spacing w:val="-8"/>
                <w:sz w:val="20"/>
              </w:rPr>
              <w:t> </w:t>
            </w:r>
            <w:r>
              <w:rPr>
                <w:sz w:val="20"/>
              </w:rPr>
              <w:t>и/или</w:t>
            </w:r>
            <w:r>
              <w:rPr>
                <w:spacing w:val="-6"/>
                <w:sz w:val="20"/>
              </w:rPr>
              <w:t> </w:t>
            </w:r>
            <w:r>
              <w:rPr>
                <w:spacing w:val="-5"/>
                <w:sz w:val="20"/>
              </w:rPr>
              <w:t>С;</w:t>
            </w:r>
          </w:p>
          <w:p>
            <w:pPr>
              <w:pStyle w:val="TableParagraph"/>
              <w:numPr>
                <w:ilvl w:val="0"/>
                <w:numId w:val="104"/>
              </w:numPr>
              <w:tabs>
                <w:tab w:pos="332" w:val="left" w:leader="none"/>
              </w:tabs>
              <w:spacing w:line="244" w:lineRule="exact" w:before="0" w:after="0"/>
              <w:ind w:left="332" w:right="0" w:hanging="152"/>
              <w:jc w:val="left"/>
              <w:rPr>
                <w:sz w:val="20"/>
              </w:rPr>
            </w:pPr>
            <w:r>
              <w:rPr>
                <w:spacing w:val="-2"/>
                <w:sz w:val="20"/>
              </w:rPr>
              <w:t>Активный</w:t>
            </w:r>
            <w:r>
              <w:rPr>
                <w:spacing w:val="2"/>
                <w:sz w:val="20"/>
              </w:rPr>
              <w:t> </w:t>
            </w:r>
            <w:r>
              <w:rPr>
                <w:spacing w:val="-2"/>
                <w:sz w:val="20"/>
              </w:rPr>
              <w:t>туберкулез;</w:t>
            </w:r>
          </w:p>
          <w:p>
            <w:pPr>
              <w:pStyle w:val="TableParagraph"/>
              <w:numPr>
                <w:ilvl w:val="0"/>
                <w:numId w:val="104"/>
              </w:numPr>
              <w:tabs>
                <w:tab w:pos="331" w:val="left" w:leader="none"/>
              </w:tabs>
              <w:spacing w:line="240" w:lineRule="auto" w:before="0" w:after="0"/>
              <w:ind w:left="43" w:right="2422" w:firstLine="136"/>
              <w:jc w:val="left"/>
              <w:rPr>
                <w:sz w:val="20"/>
              </w:rPr>
            </w:pPr>
            <w:r>
              <w:rPr>
                <w:sz w:val="20"/>
              </w:rPr>
              <w:t>ТВГ/ТЭЛА</w:t>
            </w:r>
            <w:r>
              <w:rPr>
                <w:spacing w:val="-13"/>
                <w:sz w:val="20"/>
              </w:rPr>
              <w:t> </w:t>
            </w:r>
            <w:r>
              <w:rPr>
                <w:sz w:val="20"/>
              </w:rPr>
              <w:t>в</w:t>
            </w:r>
            <w:r>
              <w:rPr>
                <w:spacing w:val="-12"/>
                <w:sz w:val="20"/>
              </w:rPr>
              <w:t> </w:t>
            </w:r>
            <w:r>
              <w:rPr>
                <w:sz w:val="20"/>
              </w:rPr>
              <w:t>анамнезе. С осторожностью:</w:t>
            </w:r>
          </w:p>
          <w:p>
            <w:pPr>
              <w:pStyle w:val="TableParagraph"/>
              <w:spacing w:line="230" w:lineRule="exact"/>
              <w:ind w:left="43" w:right="2257"/>
              <w:rPr>
                <w:sz w:val="20"/>
              </w:rPr>
            </w:pPr>
            <w:r>
              <w:rPr>
                <w:sz w:val="20"/>
              </w:rPr>
              <w:t>возраст старше 75 лет, прием</w:t>
            </w:r>
            <w:r>
              <w:rPr>
                <w:spacing w:val="-13"/>
                <w:sz w:val="20"/>
              </w:rPr>
              <w:t> </w:t>
            </w:r>
            <w:r>
              <w:rPr>
                <w:sz w:val="20"/>
              </w:rPr>
              <w:t>ЦОГ-2</w:t>
            </w:r>
            <w:r>
              <w:rPr>
                <w:spacing w:val="-12"/>
                <w:sz w:val="20"/>
              </w:rPr>
              <w:t> </w:t>
            </w:r>
            <w:r>
              <w:rPr>
                <w:sz w:val="20"/>
              </w:rPr>
              <w:t>ингибиторов.</w:t>
            </w:r>
          </w:p>
        </w:tc>
      </w:tr>
      <w:tr>
        <w:trPr>
          <w:trHeight w:val="3175" w:hRule="atLeast"/>
        </w:trPr>
        <w:tc>
          <w:tcPr>
            <w:tcW w:w="1980" w:type="dxa"/>
          </w:tcPr>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spacing w:before="105"/>
              <w:rPr>
                <w:b/>
                <w:sz w:val="20"/>
              </w:rPr>
            </w:pPr>
          </w:p>
          <w:p>
            <w:pPr>
              <w:pStyle w:val="TableParagraph"/>
              <w:spacing w:before="1"/>
              <w:ind w:left="56"/>
              <w:rPr>
                <w:b/>
                <w:sz w:val="20"/>
              </w:rPr>
            </w:pPr>
            <w:r>
              <w:rPr>
                <w:b/>
                <w:spacing w:val="-2"/>
                <w:sz w:val="20"/>
              </w:rPr>
              <w:t>Тофацитиниб</w:t>
            </w:r>
          </w:p>
        </w:tc>
        <w:tc>
          <w:tcPr>
            <w:tcW w:w="2835" w:type="dxa"/>
            <w:vMerge/>
            <w:tcBorders>
              <w:top w:val="nil"/>
            </w:tcBorders>
          </w:tcPr>
          <w:p>
            <w:pPr>
              <w:rPr>
                <w:sz w:val="2"/>
                <w:szCs w:val="2"/>
              </w:rPr>
            </w:pPr>
          </w:p>
        </w:tc>
        <w:tc>
          <w:tcPr>
            <w:tcW w:w="1498" w:type="dxa"/>
          </w:tcPr>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spacing w:before="105"/>
              <w:rPr>
                <w:b/>
                <w:sz w:val="20"/>
              </w:rPr>
            </w:pPr>
          </w:p>
          <w:p>
            <w:pPr>
              <w:pStyle w:val="TableParagraph"/>
              <w:spacing w:before="1"/>
              <w:ind w:left="52"/>
              <w:rPr>
                <w:sz w:val="20"/>
              </w:rPr>
            </w:pPr>
            <w:r>
              <w:rPr>
                <w:spacing w:val="-2"/>
                <w:sz w:val="20"/>
              </w:rPr>
              <w:t>Таблетки</w:t>
            </w:r>
          </w:p>
        </w:tc>
        <w:tc>
          <w:tcPr>
            <w:tcW w:w="3829" w:type="dxa"/>
          </w:tcPr>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spacing w:before="105"/>
              <w:rPr>
                <w:b/>
                <w:sz w:val="20"/>
              </w:rPr>
            </w:pPr>
          </w:p>
          <w:p>
            <w:pPr>
              <w:pStyle w:val="TableParagraph"/>
              <w:spacing w:before="1"/>
              <w:ind w:left="50"/>
              <w:rPr>
                <w:sz w:val="20"/>
              </w:rPr>
            </w:pPr>
            <w:r>
              <w:rPr>
                <w:sz w:val="20"/>
              </w:rPr>
              <w:t>10</w:t>
            </w:r>
            <w:r>
              <w:rPr>
                <w:spacing w:val="-2"/>
                <w:sz w:val="20"/>
              </w:rPr>
              <w:t> </w:t>
            </w:r>
            <w:r>
              <w:rPr>
                <w:sz w:val="20"/>
              </w:rPr>
              <w:t>мг</w:t>
            </w:r>
            <w:r>
              <w:rPr>
                <w:spacing w:val="-3"/>
                <w:sz w:val="20"/>
              </w:rPr>
              <w:t> </w:t>
            </w:r>
            <w:r>
              <w:rPr>
                <w:sz w:val="20"/>
              </w:rPr>
              <w:t>2</w:t>
            </w:r>
            <w:r>
              <w:rPr>
                <w:spacing w:val="-4"/>
                <w:sz w:val="20"/>
              </w:rPr>
              <w:t> </w:t>
            </w:r>
            <w:r>
              <w:rPr>
                <w:sz w:val="20"/>
              </w:rPr>
              <w:t>р/сут</w:t>
            </w:r>
            <w:r>
              <w:rPr>
                <w:spacing w:val="-3"/>
                <w:sz w:val="20"/>
              </w:rPr>
              <w:t> </w:t>
            </w:r>
            <w:r>
              <w:rPr>
                <w:sz w:val="20"/>
              </w:rPr>
              <w:t>в</w:t>
            </w:r>
            <w:r>
              <w:rPr>
                <w:spacing w:val="-3"/>
                <w:sz w:val="20"/>
              </w:rPr>
              <w:t> </w:t>
            </w:r>
            <w:r>
              <w:rPr>
                <w:sz w:val="20"/>
              </w:rPr>
              <w:t>течение</w:t>
            </w:r>
            <w:r>
              <w:rPr>
                <w:spacing w:val="-3"/>
                <w:sz w:val="20"/>
              </w:rPr>
              <w:t> </w:t>
            </w:r>
            <w:r>
              <w:rPr>
                <w:sz w:val="20"/>
              </w:rPr>
              <w:t>7-14</w:t>
            </w:r>
            <w:r>
              <w:rPr>
                <w:spacing w:val="-4"/>
                <w:sz w:val="20"/>
              </w:rPr>
              <w:t> дней.</w:t>
            </w:r>
          </w:p>
        </w:tc>
        <w:tc>
          <w:tcPr>
            <w:tcW w:w="4742" w:type="dxa"/>
            <w:vMerge/>
            <w:tcBorders>
              <w:top w:val="nil"/>
            </w:tcBorders>
          </w:tcPr>
          <w:p>
            <w:pPr>
              <w:rPr>
                <w:sz w:val="2"/>
                <w:szCs w:val="2"/>
              </w:rPr>
            </w:pPr>
          </w:p>
        </w:tc>
      </w:tr>
      <w:tr>
        <w:trPr>
          <w:trHeight w:val="2076" w:hRule="atLeast"/>
        </w:trPr>
        <w:tc>
          <w:tcPr>
            <w:tcW w:w="1980" w:type="dxa"/>
          </w:tcPr>
          <w:p>
            <w:pPr>
              <w:pStyle w:val="TableParagraph"/>
              <w:rPr>
                <w:b/>
                <w:sz w:val="20"/>
              </w:rPr>
            </w:pPr>
          </w:p>
          <w:p>
            <w:pPr>
              <w:pStyle w:val="TableParagraph"/>
              <w:rPr>
                <w:b/>
                <w:sz w:val="20"/>
              </w:rPr>
            </w:pPr>
          </w:p>
          <w:p>
            <w:pPr>
              <w:pStyle w:val="TableParagraph"/>
              <w:rPr>
                <w:b/>
                <w:sz w:val="20"/>
              </w:rPr>
            </w:pPr>
          </w:p>
          <w:p>
            <w:pPr>
              <w:pStyle w:val="TableParagraph"/>
              <w:spacing w:before="10"/>
              <w:rPr>
                <w:b/>
                <w:sz w:val="20"/>
              </w:rPr>
            </w:pPr>
          </w:p>
          <w:p>
            <w:pPr>
              <w:pStyle w:val="TableParagraph"/>
              <w:ind w:left="56"/>
              <w:rPr>
                <w:b/>
                <w:sz w:val="20"/>
              </w:rPr>
            </w:pPr>
            <w:r>
              <w:rPr>
                <w:b/>
                <w:spacing w:val="-2"/>
                <w:sz w:val="20"/>
              </w:rPr>
              <w:t>Упадацитиниб</w:t>
            </w:r>
          </w:p>
        </w:tc>
        <w:tc>
          <w:tcPr>
            <w:tcW w:w="2835" w:type="dxa"/>
          </w:tcPr>
          <w:p>
            <w:pPr>
              <w:pStyle w:val="TableParagraph"/>
              <w:rPr>
                <w:b/>
                <w:sz w:val="20"/>
              </w:rPr>
            </w:pPr>
          </w:p>
          <w:p>
            <w:pPr>
              <w:pStyle w:val="TableParagraph"/>
              <w:rPr>
                <w:b/>
                <w:sz w:val="20"/>
              </w:rPr>
            </w:pPr>
          </w:p>
          <w:p>
            <w:pPr>
              <w:pStyle w:val="TableParagraph"/>
              <w:spacing w:before="125"/>
              <w:rPr>
                <w:b/>
                <w:sz w:val="20"/>
              </w:rPr>
            </w:pPr>
          </w:p>
          <w:p>
            <w:pPr>
              <w:pStyle w:val="TableParagraph"/>
              <w:ind w:left="54" w:right="424"/>
              <w:rPr>
                <w:b/>
                <w:sz w:val="20"/>
              </w:rPr>
            </w:pPr>
            <w:r>
              <w:rPr>
                <w:b/>
                <w:sz w:val="20"/>
              </w:rPr>
              <w:t>Селективный</w:t>
            </w:r>
            <w:r>
              <w:rPr>
                <w:b/>
                <w:spacing w:val="-13"/>
                <w:sz w:val="20"/>
              </w:rPr>
              <w:t> </w:t>
            </w:r>
            <w:r>
              <w:rPr>
                <w:b/>
                <w:sz w:val="20"/>
              </w:rPr>
              <w:t>обратимый ингибитор JAK1</w:t>
            </w:r>
          </w:p>
        </w:tc>
        <w:tc>
          <w:tcPr>
            <w:tcW w:w="1498" w:type="dxa"/>
          </w:tcPr>
          <w:p>
            <w:pPr>
              <w:pStyle w:val="TableParagraph"/>
              <w:rPr>
                <w:b/>
                <w:sz w:val="20"/>
              </w:rPr>
            </w:pPr>
          </w:p>
          <w:p>
            <w:pPr>
              <w:pStyle w:val="TableParagraph"/>
              <w:rPr>
                <w:b/>
                <w:sz w:val="20"/>
              </w:rPr>
            </w:pPr>
          </w:p>
          <w:p>
            <w:pPr>
              <w:pStyle w:val="TableParagraph"/>
              <w:rPr>
                <w:b/>
                <w:sz w:val="20"/>
              </w:rPr>
            </w:pPr>
          </w:p>
          <w:p>
            <w:pPr>
              <w:pStyle w:val="TableParagraph"/>
              <w:spacing w:before="10"/>
              <w:rPr>
                <w:b/>
                <w:sz w:val="20"/>
              </w:rPr>
            </w:pPr>
          </w:p>
          <w:p>
            <w:pPr>
              <w:pStyle w:val="TableParagraph"/>
              <w:ind w:left="52"/>
              <w:rPr>
                <w:sz w:val="20"/>
              </w:rPr>
            </w:pPr>
            <w:r>
              <w:rPr>
                <w:spacing w:val="-2"/>
                <w:sz w:val="20"/>
              </w:rPr>
              <w:t>Таблетки</w:t>
            </w:r>
          </w:p>
        </w:tc>
        <w:tc>
          <w:tcPr>
            <w:tcW w:w="3829" w:type="dxa"/>
          </w:tcPr>
          <w:p>
            <w:pPr>
              <w:pStyle w:val="TableParagraph"/>
              <w:rPr>
                <w:b/>
                <w:sz w:val="20"/>
              </w:rPr>
            </w:pPr>
          </w:p>
          <w:p>
            <w:pPr>
              <w:pStyle w:val="TableParagraph"/>
              <w:rPr>
                <w:b/>
                <w:sz w:val="20"/>
              </w:rPr>
            </w:pPr>
          </w:p>
          <w:p>
            <w:pPr>
              <w:pStyle w:val="TableParagraph"/>
              <w:rPr>
                <w:b/>
                <w:sz w:val="20"/>
              </w:rPr>
            </w:pPr>
          </w:p>
          <w:p>
            <w:pPr>
              <w:pStyle w:val="TableParagraph"/>
              <w:spacing w:before="10"/>
              <w:rPr>
                <w:b/>
                <w:sz w:val="20"/>
              </w:rPr>
            </w:pPr>
          </w:p>
          <w:p>
            <w:pPr>
              <w:pStyle w:val="TableParagraph"/>
              <w:ind w:left="50"/>
              <w:rPr>
                <w:sz w:val="20"/>
              </w:rPr>
            </w:pPr>
            <w:r>
              <w:rPr>
                <w:sz w:val="20"/>
              </w:rPr>
              <w:t>15</w:t>
            </w:r>
            <w:r>
              <w:rPr>
                <w:spacing w:val="-2"/>
                <w:sz w:val="20"/>
              </w:rPr>
              <w:t> </w:t>
            </w:r>
            <w:r>
              <w:rPr>
                <w:sz w:val="20"/>
              </w:rPr>
              <w:t>мг</w:t>
            </w:r>
            <w:r>
              <w:rPr>
                <w:spacing w:val="-3"/>
                <w:sz w:val="20"/>
              </w:rPr>
              <w:t> </w:t>
            </w:r>
            <w:r>
              <w:rPr>
                <w:sz w:val="20"/>
              </w:rPr>
              <w:t>1</w:t>
            </w:r>
            <w:r>
              <w:rPr>
                <w:spacing w:val="-4"/>
                <w:sz w:val="20"/>
              </w:rPr>
              <w:t> </w:t>
            </w:r>
            <w:r>
              <w:rPr>
                <w:sz w:val="20"/>
              </w:rPr>
              <w:t>р/сут</w:t>
            </w:r>
            <w:r>
              <w:rPr>
                <w:spacing w:val="-3"/>
                <w:sz w:val="20"/>
              </w:rPr>
              <w:t> </w:t>
            </w:r>
            <w:r>
              <w:rPr>
                <w:sz w:val="20"/>
              </w:rPr>
              <w:t>в</w:t>
            </w:r>
            <w:r>
              <w:rPr>
                <w:spacing w:val="-3"/>
                <w:sz w:val="20"/>
              </w:rPr>
              <w:t> </w:t>
            </w:r>
            <w:r>
              <w:rPr>
                <w:sz w:val="20"/>
              </w:rPr>
              <w:t>течение</w:t>
            </w:r>
            <w:r>
              <w:rPr>
                <w:spacing w:val="-3"/>
                <w:sz w:val="20"/>
              </w:rPr>
              <w:t> </w:t>
            </w:r>
            <w:r>
              <w:rPr>
                <w:sz w:val="20"/>
              </w:rPr>
              <w:t>7-14</w:t>
            </w:r>
            <w:r>
              <w:rPr>
                <w:spacing w:val="-4"/>
                <w:sz w:val="20"/>
              </w:rPr>
              <w:t> дней.</w:t>
            </w:r>
          </w:p>
        </w:tc>
        <w:tc>
          <w:tcPr>
            <w:tcW w:w="4742" w:type="dxa"/>
          </w:tcPr>
          <w:p>
            <w:pPr>
              <w:pStyle w:val="TableParagraph"/>
              <w:spacing w:before="12"/>
              <w:ind w:left="43" w:right="127"/>
              <w:rPr>
                <w:sz w:val="20"/>
              </w:rPr>
            </w:pPr>
            <w:r>
              <w:rPr>
                <w:sz w:val="20"/>
              </w:rPr>
              <w:t>Гиперчувствительность к упадацитинибу или любому</w:t>
            </w:r>
            <w:r>
              <w:rPr>
                <w:spacing w:val="-13"/>
                <w:sz w:val="20"/>
              </w:rPr>
              <w:t> </w:t>
            </w:r>
            <w:r>
              <w:rPr>
                <w:sz w:val="20"/>
              </w:rPr>
              <w:t>вспомогательному</w:t>
            </w:r>
            <w:r>
              <w:rPr>
                <w:spacing w:val="-12"/>
                <w:sz w:val="20"/>
              </w:rPr>
              <w:t> </w:t>
            </w:r>
            <w:r>
              <w:rPr>
                <w:sz w:val="20"/>
              </w:rPr>
              <w:t>веществу</w:t>
            </w:r>
            <w:r>
              <w:rPr>
                <w:spacing w:val="-13"/>
                <w:sz w:val="20"/>
              </w:rPr>
              <w:t> </w:t>
            </w:r>
            <w:r>
              <w:rPr>
                <w:sz w:val="20"/>
              </w:rPr>
              <w:t>препарата;</w:t>
            </w:r>
          </w:p>
          <w:p>
            <w:pPr>
              <w:pStyle w:val="TableParagraph"/>
              <w:numPr>
                <w:ilvl w:val="0"/>
                <w:numId w:val="105"/>
              </w:numPr>
              <w:tabs>
                <w:tab w:pos="161" w:val="left" w:leader="none"/>
              </w:tabs>
              <w:spacing w:line="228" w:lineRule="exact" w:before="0" w:after="0"/>
              <w:ind w:left="161" w:right="0" w:hanging="118"/>
              <w:jc w:val="left"/>
              <w:rPr>
                <w:sz w:val="20"/>
              </w:rPr>
            </w:pPr>
            <w:r>
              <w:rPr>
                <w:sz w:val="20"/>
              </w:rPr>
              <w:t>Беременность</w:t>
            </w:r>
            <w:r>
              <w:rPr>
                <w:spacing w:val="-8"/>
                <w:sz w:val="20"/>
              </w:rPr>
              <w:t> </w:t>
            </w:r>
            <w:r>
              <w:rPr>
                <w:sz w:val="20"/>
              </w:rPr>
              <w:t>и</w:t>
            </w:r>
            <w:r>
              <w:rPr>
                <w:spacing w:val="-8"/>
                <w:sz w:val="20"/>
              </w:rPr>
              <w:t> </w:t>
            </w:r>
            <w:r>
              <w:rPr>
                <w:sz w:val="20"/>
              </w:rPr>
              <w:t>период</w:t>
            </w:r>
            <w:r>
              <w:rPr>
                <w:spacing w:val="-8"/>
                <w:sz w:val="20"/>
              </w:rPr>
              <w:t> </w:t>
            </w:r>
            <w:r>
              <w:rPr>
                <w:sz w:val="20"/>
              </w:rPr>
              <w:t>грудного</w:t>
            </w:r>
            <w:r>
              <w:rPr>
                <w:spacing w:val="-6"/>
                <w:sz w:val="20"/>
              </w:rPr>
              <w:t> </w:t>
            </w:r>
            <w:r>
              <w:rPr>
                <w:spacing w:val="-2"/>
                <w:sz w:val="20"/>
              </w:rPr>
              <w:t>вскармливания;</w:t>
            </w:r>
          </w:p>
          <w:p>
            <w:pPr>
              <w:pStyle w:val="TableParagraph"/>
              <w:numPr>
                <w:ilvl w:val="0"/>
                <w:numId w:val="105"/>
              </w:numPr>
              <w:tabs>
                <w:tab w:pos="212" w:val="left" w:leader="none"/>
              </w:tabs>
              <w:spacing w:line="240" w:lineRule="auto" w:before="0" w:after="0"/>
              <w:ind w:left="43" w:right="2243" w:firstLine="0"/>
              <w:jc w:val="left"/>
              <w:rPr>
                <w:sz w:val="20"/>
              </w:rPr>
            </w:pPr>
            <w:r>
              <w:rPr>
                <w:sz w:val="20"/>
              </w:rPr>
              <w:t>Детский</w:t>
            </w:r>
            <w:r>
              <w:rPr>
                <w:spacing w:val="-12"/>
                <w:sz w:val="20"/>
              </w:rPr>
              <w:t> </w:t>
            </w:r>
            <w:r>
              <w:rPr>
                <w:sz w:val="20"/>
              </w:rPr>
              <w:t>возраст</w:t>
            </w:r>
            <w:r>
              <w:rPr>
                <w:spacing w:val="-12"/>
                <w:sz w:val="20"/>
              </w:rPr>
              <w:t> </w:t>
            </w:r>
            <w:r>
              <w:rPr>
                <w:sz w:val="20"/>
              </w:rPr>
              <w:t>до</w:t>
            </w:r>
            <w:r>
              <w:rPr>
                <w:spacing w:val="-11"/>
                <w:sz w:val="20"/>
              </w:rPr>
              <w:t> </w:t>
            </w:r>
            <w:r>
              <w:rPr>
                <w:sz w:val="20"/>
              </w:rPr>
              <w:t>18</w:t>
            </w:r>
            <w:r>
              <w:rPr>
                <w:spacing w:val="-10"/>
                <w:sz w:val="20"/>
              </w:rPr>
              <w:t> </w:t>
            </w:r>
            <w:r>
              <w:rPr>
                <w:sz w:val="20"/>
              </w:rPr>
              <w:t>лет. С осторожностью:</w:t>
            </w:r>
          </w:p>
          <w:p>
            <w:pPr>
              <w:pStyle w:val="TableParagraph"/>
              <w:ind w:left="43"/>
              <w:rPr>
                <w:sz w:val="20"/>
              </w:rPr>
            </w:pPr>
            <w:r>
              <w:rPr>
                <w:sz w:val="20"/>
              </w:rPr>
              <w:t>с</w:t>
            </w:r>
            <w:r>
              <w:rPr>
                <w:spacing w:val="-9"/>
                <w:sz w:val="20"/>
              </w:rPr>
              <w:t> </w:t>
            </w:r>
            <w:r>
              <w:rPr>
                <w:sz w:val="20"/>
              </w:rPr>
              <w:t>ингибиторами</w:t>
            </w:r>
            <w:r>
              <w:rPr>
                <w:spacing w:val="-10"/>
                <w:sz w:val="20"/>
              </w:rPr>
              <w:t> </w:t>
            </w:r>
            <w:r>
              <w:rPr>
                <w:sz w:val="20"/>
              </w:rPr>
              <w:t>CYP3A4</w:t>
            </w:r>
            <w:r>
              <w:rPr>
                <w:spacing w:val="-9"/>
                <w:sz w:val="20"/>
              </w:rPr>
              <w:t> </w:t>
            </w:r>
            <w:r>
              <w:rPr>
                <w:sz w:val="20"/>
              </w:rPr>
              <w:t>и</w:t>
            </w:r>
            <w:r>
              <w:rPr>
                <w:spacing w:val="-10"/>
                <w:sz w:val="20"/>
              </w:rPr>
              <w:t> </w:t>
            </w:r>
            <w:r>
              <w:rPr>
                <w:sz w:val="20"/>
              </w:rPr>
              <w:t>другими</w:t>
            </w:r>
            <w:r>
              <w:rPr>
                <w:spacing w:val="-10"/>
                <w:sz w:val="20"/>
              </w:rPr>
              <w:t> </w:t>
            </w:r>
            <w:r>
              <w:rPr>
                <w:sz w:val="20"/>
              </w:rPr>
              <w:t>сильными иммунодепрессантами системного действия;</w:t>
            </w:r>
          </w:p>
          <w:p>
            <w:pPr>
              <w:pStyle w:val="TableParagraph"/>
              <w:spacing w:line="228" w:lineRule="exact"/>
              <w:ind w:left="43" w:right="127"/>
              <w:rPr>
                <w:sz w:val="20"/>
              </w:rPr>
            </w:pPr>
            <w:r>
              <w:rPr>
                <w:sz w:val="20"/>
              </w:rPr>
              <w:t>активные</w:t>
            </w:r>
            <w:r>
              <w:rPr>
                <w:spacing w:val="-13"/>
                <w:sz w:val="20"/>
              </w:rPr>
              <w:t> </w:t>
            </w:r>
            <w:r>
              <w:rPr>
                <w:sz w:val="20"/>
              </w:rPr>
              <w:t>тяжелые</w:t>
            </w:r>
            <w:r>
              <w:rPr>
                <w:spacing w:val="-12"/>
                <w:sz w:val="20"/>
              </w:rPr>
              <w:t> </w:t>
            </w:r>
            <w:r>
              <w:rPr>
                <w:sz w:val="20"/>
              </w:rPr>
              <w:t>инфекции,</w:t>
            </w:r>
            <w:r>
              <w:rPr>
                <w:spacing w:val="-13"/>
                <w:sz w:val="20"/>
              </w:rPr>
              <w:t> </w:t>
            </w:r>
            <w:r>
              <w:rPr>
                <w:sz w:val="20"/>
              </w:rPr>
              <w:t>включая локализованные инфекции.</w:t>
            </w:r>
          </w:p>
        </w:tc>
      </w:tr>
      <w:tr>
        <w:trPr>
          <w:trHeight w:val="1437" w:hRule="atLeast"/>
        </w:trPr>
        <w:tc>
          <w:tcPr>
            <w:tcW w:w="1980" w:type="dxa"/>
            <w:shd w:val="clear" w:color="auto" w:fill="F1F1F1"/>
          </w:tcPr>
          <w:p>
            <w:pPr>
              <w:pStyle w:val="TableParagraph"/>
              <w:rPr>
                <w:b/>
                <w:sz w:val="20"/>
              </w:rPr>
            </w:pPr>
          </w:p>
          <w:p>
            <w:pPr>
              <w:pStyle w:val="TableParagraph"/>
              <w:spacing w:before="147"/>
              <w:rPr>
                <w:b/>
                <w:sz w:val="20"/>
              </w:rPr>
            </w:pPr>
          </w:p>
          <w:p>
            <w:pPr>
              <w:pStyle w:val="TableParagraph"/>
              <w:ind w:left="65"/>
              <w:rPr>
                <w:b/>
                <w:sz w:val="20"/>
              </w:rPr>
            </w:pPr>
            <w:r>
              <w:rPr>
                <w:b/>
                <w:spacing w:val="-2"/>
                <w:sz w:val="20"/>
              </w:rPr>
              <w:t>Олокизумаб</w:t>
            </w:r>
          </w:p>
        </w:tc>
        <w:tc>
          <w:tcPr>
            <w:tcW w:w="2835" w:type="dxa"/>
            <w:shd w:val="clear" w:color="auto" w:fill="F1F1F1"/>
          </w:tcPr>
          <w:p>
            <w:pPr>
              <w:pStyle w:val="TableParagraph"/>
              <w:spacing w:before="154"/>
              <w:ind w:left="54"/>
              <w:rPr>
                <w:sz w:val="20"/>
              </w:rPr>
            </w:pPr>
            <w:r>
              <w:rPr>
                <w:spacing w:val="-2"/>
                <w:sz w:val="20"/>
              </w:rPr>
              <w:t>Гуманизированные </w:t>
            </w:r>
            <w:r>
              <w:rPr>
                <w:sz w:val="20"/>
              </w:rPr>
              <w:t>моноклональные</w:t>
            </w:r>
            <w:r>
              <w:rPr>
                <w:spacing w:val="-13"/>
                <w:sz w:val="20"/>
              </w:rPr>
              <w:t> </w:t>
            </w:r>
            <w:r>
              <w:rPr>
                <w:sz w:val="20"/>
              </w:rPr>
              <w:t>антитела </w:t>
            </w:r>
            <w:r>
              <w:rPr>
                <w:spacing w:val="-2"/>
                <w:sz w:val="20"/>
              </w:rPr>
              <w:t>изотипа иммуноглобулина </w:t>
            </w:r>
            <w:r>
              <w:rPr>
                <w:sz w:val="20"/>
              </w:rPr>
              <w:t>G4/каппа, разработанные</w:t>
            </w:r>
          </w:p>
          <w:p>
            <w:pPr>
              <w:pStyle w:val="TableParagraph"/>
              <w:spacing w:line="228" w:lineRule="exact"/>
              <w:ind w:left="54"/>
              <w:rPr>
                <w:sz w:val="20"/>
              </w:rPr>
            </w:pPr>
            <w:r>
              <w:rPr>
                <w:sz w:val="20"/>
              </w:rPr>
              <w:t>в</w:t>
            </w:r>
            <w:r>
              <w:rPr>
                <w:spacing w:val="-9"/>
                <w:sz w:val="20"/>
              </w:rPr>
              <w:t> </w:t>
            </w:r>
            <w:r>
              <w:rPr>
                <w:sz w:val="20"/>
              </w:rPr>
              <w:t>качестве</w:t>
            </w:r>
            <w:r>
              <w:rPr>
                <w:spacing w:val="-8"/>
                <w:sz w:val="20"/>
              </w:rPr>
              <w:t> </w:t>
            </w:r>
            <w:r>
              <w:rPr>
                <w:sz w:val="20"/>
              </w:rPr>
              <w:t>антагониста</w:t>
            </w:r>
            <w:r>
              <w:rPr>
                <w:spacing w:val="-8"/>
                <w:sz w:val="20"/>
              </w:rPr>
              <w:t> </w:t>
            </w:r>
            <w:r>
              <w:rPr>
                <w:sz w:val="20"/>
              </w:rPr>
              <w:t>ИЛ-</w:t>
            </w:r>
            <w:r>
              <w:rPr>
                <w:spacing w:val="-5"/>
                <w:sz w:val="20"/>
              </w:rPr>
              <w:t>6.</w:t>
            </w:r>
          </w:p>
        </w:tc>
        <w:tc>
          <w:tcPr>
            <w:tcW w:w="1498" w:type="dxa"/>
            <w:shd w:val="clear" w:color="auto" w:fill="F1F1F1"/>
          </w:tcPr>
          <w:p>
            <w:pPr>
              <w:pStyle w:val="TableParagraph"/>
              <w:spacing w:before="154"/>
              <w:rPr>
                <w:b/>
                <w:sz w:val="20"/>
              </w:rPr>
            </w:pPr>
          </w:p>
          <w:p>
            <w:pPr>
              <w:pStyle w:val="TableParagraph"/>
              <w:ind w:left="52" w:right="404"/>
              <w:jc w:val="both"/>
              <w:rPr>
                <w:sz w:val="20"/>
              </w:rPr>
            </w:pPr>
            <w:r>
              <w:rPr>
                <w:sz w:val="20"/>
              </w:rPr>
              <w:t>Раствор</w:t>
            </w:r>
            <w:r>
              <w:rPr>
                <w:spacing w:val="-13"/>
                <w:sz w:val="20"/>
              </w:rPr>
              <w:t> </w:t>
            </w:r>
            <w:r>
              <w:rPr>
                <w:sz w:val="20"/>
              </w:rPr>
              <w:t>для </w:t>
            </w:r>
            <w:r>
              <w:rPr>
                <w:spacing w:val="-2"/>
                <w:sz w:val="20"/>
              </w:rPr>
              <w:t>подкожного введения</w:t>
            </w:r>
          </w:p>
        </w:tc>
        <w:tc>
          <w:tcPr>
            <w:tcW w:w="3829" w:type="dxa"/>
            <w:shd w:val="clear" w:color="auto" w:fill="F1F1F1"/>
          </w:tcPr>
          <w:p>
            <w:pPr>
              <w:pStyle w:val="TableParagraph"/>
              <w:spacing w:before="17"/>
              <w:ind w:left="60" w:right="313"/>
              <w:rPr>
                <w:sz w:val="20"/>
              </w:rPr>
            </w:pPr>
            <w:r>
              <w:rPr>
                <w:sz w:val="20"/>
              </w:rPr>
              <w:t>Легкое</w:t>
            </w:r>
            <w:r>
              <w:rPr>
                <w:spacing w:val="-8"/>
                <w:sz w:val="20"/>
              </w:rPr>
              <w:t> </w:t>
            </w:r>
            <w:r>
              <w:rPr>
                <w:sz w:val="20"/>
              </w:rPr>
              <w:t>течение:</w:t>
            </w:r>
            <w:r>
              <w:rPr>
                <w:spacing w:val="-7"/>
                <w:sz w:val="20"/>
              </w:rPr>
              <w:t> </w:t>
            </w:r>
            <w:r>
              <w:rPr>
                <w:sz w:val="20"/>
              </w:rPr>
              <w:t>64</w:t>
            </w:r>
            <w:r>
              <w:rPr>
                <w:spacing w:val="-7"/>
                <w:sz w:val="20"/>
              </w:rPr>
              <w:t> </w:t>
            </w:r>
            <w:r>
              <w:rPr>
                <w:sz w:val="20"/>
              </w:rPr>
              <w:t>мг</w:t>
            </w:r>
            <w:r>
              <w:rPr>
                <w:spacing w:val="-9"/>
                <w:sz w:val="20"/>
              </w:rPr>
              <w:t> </w:t>
            </w:r>
            <w:r>
              <w:rPr>
                <w:sz w:val="20"/>
              </w:rPr>
              <w:t>(один</w:t>
            </w:r>
            <w:r>
              <w:rPr>
                <w:spacing w:val="-7"/>
                <w:sz w:val="20"/>
              </w:rPr>
              <w:t> </w:t>
            </w:r>
            <w:r>
              <w:rPr>
                <w:sz w:val="20"/>
              </w:rPr>
              <w:t>флакон</w:t>
            </w:r>
            <w:r>
              <w:rPr>
                <w:spacing w:val="-9"/>
                <w:sz w:val="20"/>
              </w:rPr>
              <w:t> </w:t>
            </w:r>
            <w:r>
              <w:rPr>
                <w:sz w:val="20"/>
              </w:rPr>
              <w:t>160 мг/мл 0,4 мл) подкожно. При недостаточном эффекте повторить введение внутривенно через 24 часа.</w:t>
            </w:r>
          </w:p>
          <w:p>
            <w:pPr>
              <w:pStyle w:val="TableParagraph"/>
              <w:spacing w:before="13"/>
              <w:ind w:left="60"/>
              <w:rPr>
                <w:sz w:val="20"/>
              </w:rPr>
            </w:pPr>
            <w:r>
              <w:rPr>
                <w:sz w:val="20"/>
              </w:rPr>
              <w:t>Суммарно</w:t>
            </w:r>
            <w:r>
              <w:rPr>
                <w:spacing w:val="-6"/>
                <w:sz w:val="20"/>
              </w:rPr>
              <w:t> </w:t>
            </w:r>
            <w:r>
              <w:rPr>
                <w:sz w:val="20"/>
              </w:rPr>
              <w:t>вводить</w:t>
            </w:r>
            <w:r>
              <w:rPr>
                <w:spacing w:val="-4"/>
                <w:sz w:val="20"/>
              </w:rPr>
              <w:t> </w:t>
            </w:r>
            <w:r>
              <w:rPr>
                <w:sz w:val="20"/>
              </w:rPr>
              <w:t>не</w:t>
            </w:r>
            <w:r>
              <w:rPr>
                <w:spacing w:val="-6"/>
                <w:sz w:val="20"/>
              </w:rPr>
              <w:t> </w:t>
            </w:r>
            <w:r>
              <w:rPr>
                <w:sz w:val="20"/>
              </w:rPr>
              <w:t>более</w:t>
            </w:r>
            <w:r>
              <w:rPr>
                <w:spacing w:val="-3"/>
                <w:sz w:val="20"/>
              </w:rPr>
              <w:t> </w:t>
            </w:r>
            <w:r>
              <w:rPr>
                <w:sz w:val="20"/>
              </w:rPr>
              <w:t>256</w:t>
            </w:r>
            <w:r>
              <w:rPr>
                <w:spacing w:val="-5"/>
                <w:sz w:val="20"/>
              </w:rPr>
              <w:t> мг.</w:t>
            </w:r>
          </w:p>
        </w:tc>
        <w:tc>
          <w:tcPr>
            <w:tcW w:w="4742" w:type="dxa"/>
          </w:tcPr>
          <w:p>
            <w:pPr>
              <w:pStyle w:val="TableParagraph"/>
              <w:numPr>
                <w:ilvl w:val="0"/>
                <w:numId w:val="106"/>
              </w:numPr>
              <w:tabs>
                <w:tab w:pos="331" w:val="left" w:leader="none"/>
                <w:tab w:pos="333" w:val="left" w:leader="none"/>
              </w:tabs>
              <w:spacing w:line="240" w:lineRule="auto" w:before="132" w:after="0"/>
              <w:ind w:left="333" w:right="1142" w:hanging="154"/>
              <w:jc w:val="left"/>
              <w:rPr>
                <w:sz w:val="20"/>
              </w:rPr>
            </w:pPr>
            <w:r>
              <w:rPr>
                <w:sz w:val="20"/>
              </w:rPr>
              <w:t>Сепсис,</w:t>
            </w:r>
            <w:r>
              <w:rPr>
                <w:spacing w:val="-13"/>
                <w:sz w:val="20"/>
              </w:rPr>
              <w:t> </w:t>
            </w:r>
            <w:r>
              <w:rPr>
                <w:sz w:val="20"/>
              </w:rPr>
              <w:t>подтвержденный</w:t>
            </w:r>
            <w:r>
              <w:rPr>
                <w:spacing w:val="-12"/>
                <w:sz w:val="20"/>
              </w:rPr>
              <w:t> </w:t>
            </w:r>
            <w:r>
              <w:rPr>
                <w:sz w:val="20"/>
              </w:rPr>
              <w:t>патогенами, отличными от COVID-19;</w:t>
            </w:r>
          </w:p>
          <w:p>
            <w:pPr>
              <w:pStyle w:val="TableParagraph"/>
              <w:numPr>
                <w:ilvl w:val="0"/>
                <w:numId w:val="106"/>
              </w:numPr>
              <w:tabs>
                <w:tab w:pos="331" w:val="left" w:leader="none"/>
                <w:tab w:pos="333" w:val="left" w:leader="none"/>
              </w:tabs>
              <w:spacing w:line="240" w:lineRule="auto" w:before="0" w:after="0"/>
              <w:ind w:left="333" w:right="427" w:hanging="154"/>
              <w:jc w:val="left"/>
              <w:rPr>
                <w:sz w:val="20"/>
              </w:rPr>
            </w:pPr>
            <w:r>
              <w:rPr>
                <w:sz w:val="20"/>
              </w:rPr>
              <w:t>Гиперчувствительность</w:t>
            </w:r>
            <w:r>
              <w:rPr>
                <w:spacing w:val="-13"/>
                <w:sz w:val="20"/>
              </w:rPr>
              <w:t> </w:t>
            </w:r>
            <w:r>
              <w:rPr>
                <w:sz w:val="20"/>
              </w:rPr>
              <w:t>к</w:t>
            </w:r>
            <w:r>
              <w:rPr>
                <w:spacing w:val="-12"/>
                <w:sz w:val="20"/>
              </w:rPr>
              <w:t> </w:t>
            </w:r>
            <w:r>
              <w:rPr>
                <w:sz w:val="20"/>
              </w:rPr>
              <w:t>любому</w:t>
            </w:r>
            <w:r>
              <w:rPr>
                <w:spacing w:val="-13"/>
                <w:sz w:val="20"/>
              </w:rPr>
              <w:t> </w:t>
            </w:r>
            <w:r>
              <w:rPr>
                <w:sz w:val="20"/>
              </w:rPr>
              <w:t>компоненту </w:t>
            </w:r>
            <w:r>
              <w:rPr>
                <w:spacing w:val="-2"/>
                <w:sz w:val="20"/>
              </w:rPr>
              <w:t>препарата;</w:t>
            </w:r>
          </w:p>
          <w:p>
            <w:pPr>
              <w:pStyle w:val="TableParagraph"/>
              <w:numPr>
                <w:ilvl w:val="0"/>
                <w:numId w:val="106"/>
              </w:numPr>
              <w:tabs>
                <w:tab w:pos="332" w:val="left" w:leader="none"/>
              </w:tabs>
              <w:spacing w:line="245" w:lineRule="exact" w:before="0" w:after="0"/>
              <w:ind w:left="332" w:right="0" w:hanging="152"/>
              <w:jc w:val="left"/>
              <w:rPr>
                <w:sz w:val="20"/>
              </w:rPr>
            </w:pPr>
            <w:r>
              <w:rPr>
                <w:sz w:val="20"/>
              </w:rPr>
              <w:t>Вирусный</w:t>
            </w:r>
            <w:r>
              <w:rPr>
                <w:spacing w:val="-10"/>
                <w:sz w:val="20"/>
              </w:rPr>
              <w:t> </w:t>
            </w:r>
            <w:r>
              <w:rPr>
                <w:sz w:val="20"/>
              </w:rPr>
              <w:t>гепатит</w:t>
            </w:r>
            <w:r>
              <w:rPr>
                <w:spacing w:val="-10"/>
                <w:sz w:val="20"/>
              </w:rPr>
              <w:t> </w:t>
            </w:r>
            <w:r>
              <w:rPr>
                <w:spacing w:val="-5"/>
                <w:sz w:val="20"/>
              </w:rPr>
              <w:t>В;</w:t>
            </w:r>
          </w:p>
        </w:tc>
      </w:tr>
    </w:tbl>
    <w:p>
      <w:pPr>
        <w:spacing w:before="246"/>
        <w:ind w:left="0" w:right="15" w:firstLine="0"/>
        <w:jc w:val="center"/>
        <w:rPr>
          <w:rFonts w:ascii="Calibri"/>
          <w:sz w:val="22"/>
        </w:rPr>
      </w:pPr>
      <w:r>
        <w:rPr>
          <w:rFonts w:ascii="Calibri"/>
          <w:spacing w:val="-5"/>
          <w:sz w:val="22"/>
        </w:rPr>
        <w:t>196</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0"/>
        <w:gridCol w:w="2835"/>
        <w:gridCol w:w="1498"/>
        <w:gridCol w:w="3829"/>
        <w:gridCol w:w="4742"/>
      </w:tblGrid>
      <w:tr>
        <w:trPr>
          <w:trHeight w:val="3535" w:hRule="atLeast"/>
        </w:trPr>
        <w:tc>
          <w:tcPr>
            <w:tcW w:w="1980" w:type="dxa"/>
            <w:shd w:val="clear" w:color="auto" w:fill="F1F1F1"/>
          </w:tcPr>
          <w:p>
            <w:pPr>
              <w:pStyle w:val="TableParagraph"/>
              <w:rPr>
                <w:sz w:val="18"/>
              </w:rPr>
            </w:pPr>
          </w:p>
        </w:tc>
        <w:tc>
          <w:tcPr>
            <w:tcW w:w="2835" w:type="dxa"/>
            <w:shd w:val="clear" w:color="auto" w:fill="F1F1F1"/>
          </w:tcPr>
          <w:p>
            <w:pPr>
              <w:pStyle w:val="TableParagraph"/>
              <w:rPr>
                <w:sz w:val="18"/>
              </w:rPr>
            </w:pPr>
          </w:p>
        </w:tc>
        <w:tc>
          <w:tcPr>
            <w:tcW w:w="1498" w:type="dxa"/>
            <w:shd w:val="clear" w:color="auto" w:fill="F1F1F1"/>
          </w:tcPr>
          <w:p>
            <w:pPr>
              <w:pStyle w:val="TableParagraph"/>
              <w:rPr>
                <w:sz w:val="18"/>
              </w:rPr>
            </w:pPr>
          </w:p>
        </w:tc>
        <w:tc>
          <w:tcPr>
            <w:tcW w:w="3829" w:type="dxa"/>
            <w:shd w:val="clear" w:color="auto" w:fill="F1F1F1"/>
          </w:tcPr>
          <w:p>
            <w:pPr>
              <w:pStyle w:val="TableParagraph"/>
              <w:spacing w:before="24"/>
              <w:ind w:left="60" w:right="313"/>
              <w:rPr>
                <w:sz w:val="20"/>
              </w:rPr>
            </w:pPr>
            <w:bookmarkStart w:name="198" w:id="235"/>
            <w:bookmarkEnd w:id="235"/>
            <w:r>
              <w:rPr/>
            </w:r>
            <w:r>
              <w:rPr>
                <w:sz w:val="20"/>
              </w:rPr>
              <w:t>Среднетяжелое течение: 64 – 128 мг (один</w:t>
            </w:r>
            <w:r>
              <w:rPr>
                <w:spacing w:val="-7"/>
                <w:sz w:val="20"/>
              </w:rPr>
              <w:t> </w:t>
            </w:r>
            <w:r>
              <w:rPr>
                <w:sz w:val="20"/>
              </w:rPr>
              <w:t>или</w:t>
            </w:r>
            <w:r>
              <w:rPr>
                <w:spacing w:val="-7"/>
                <w:sz w:val="20"/>
              </w:rPr>
              <w:t> </w:t>
            </w:r>
            <w:r>
              <w:rPr>
                <w:sz w:val="20"/>
              </w:rPr>
              <w:t>два</w:t>
            </w:r>
            <w:r>
              <w:rPr>
                <w:spacing w:val="-7"/>
                <w:sz w:val="20"/>
              </w:rPr>
              <w:t> </w:t>
            </w:r>
            <w:r>
              <w:rPr>
                <w:sz w:val="20"/>
              </w:rPr>
              <w:t>флакона</w:t>
            </w:r>
            <w:r>
              <w:rPr>
                <w:spacing w:val="-5"/>
                <w:sz w:val="20"/>
              </w:rPr>
              <w:t> </w:t>
            </w:r>
            <w:r>
              <w:rPr>
                <w:sz w:val="20"/>
              </w:rPr>
              <w:t>по</w:t>
            </w:r>
            <w:r>
              <w:rPr>
                <w:spacing w:val="-6"/>
                <w:sz w:val="20"/>
              </w:rPr>
              <w:t> </w:t>
            </w:r>
            <w:r>
              <w:rPr>
                <w:sz w:val="20"/>
              </w:rPr>
              <w:t>160</w:t>
            </w:r>
            <w:r>
              <w:rPr>
                <w:spacing w:val="-6"/>
                <w:sz w:val="20"/>
              </w:rPr>
              <w:t> </w:t>
            </w:r>
            <w:r>
              <w:rPr>
                <w:sz w:val="20"/>
              </w:rPr>
              <w:t>мг/мл</w:t>
            </w:r>
            <w:r>
              <w:rPr>
                <w:spacing w:val="-7"/>
                <w:sz w:val="20"/>
              </w:rPr>
              <w:t> </w:t>
            </w:r>
            <w:r>
              <w:rPr>
                <w:sz w:val="20"/>
              </w:rPr>
              <w:t>0,4</w:t>
            </w:r>
          </w:p>
          <w:p>
            <w:pPr>
              <w:pStyle w:val="TableParagraph"/>
              <w:ind w:left="60" w:right="133"/>
              <w:rPr>
                <w:sz w:val="20"/>
              </w:rPr>
            </w:pPr>
            <w:r>
              <w:rPr>
                <w:sz w:val="20"/>
              </w:rPr>
              <w:t>мл)</w:t>
            </w:r>
            <w:r>
              <w:rPr>
                <w:spacing w:val="-6"/>
                <w:sz w:val="20"/>
              </w:rPr>
              <w:t> </w:t>
            </w:r>
            <w:r>
              <w:rPr>
                <w:sz w:val="20"/>
              </w:rPr>
              <w:t>разводят</w:t>
            </w:r>
            <w:r>
              <w:rPr>
                <w:spacing w:val="-7"/>
                <w:sz w:val="20"/>
              </w:rPr>
              <w:t> </w:t>
            </w:r>
            <w:r>
              <w:rPr>
                <w:sz w:val="20"/>
              </w:rPr>
              <w:t>в</w:t>
            </w:r>
            <w:r>
              <w:rPr>
                <w:spacing w:val="-7"/>
                <w:sz w:val="20"/>
              </w:rPr>
              <w:t> </w:t>
            </w:r>
            <w:r>
              <w:rPr>
                <w:sz w:val="20"/>
              </w:rPr>
              <w:t>100</w:t>
            </w:r>
            <w:r>
              <w:rPr>
                <w:spacing w:val="-6"/>
                <w:sz w:val="20"/>
              </w:rPr>
              <w:t> </w:t>
            </w:r>
            <w:r>
              <w:rPr>
                <w:sz w:val="20"/>
              </w:rPr>
              <w:t>мл</w:t>
            </w:r>
            <w:r>
              <w:rPr>
                <w:spacing w:val="-7"/>
                <w:sz w:val="20"/>
              </w:rPr>
              <w:t> </w:t>
            </w:r>
            <w:r>
              <w:rPr>
                <w:sz w:val="20"/>
              </w:rPr>
              <w:t>0,9%</w:t>
            </w:r>
            <w:r>
              <w:rPr>
                <w:spacing w:val="-9"/>
                <w:sz w:val="20"/>
              </w:rPr>
              <w:t> </w:t>
            </w:r>
            <w:r>
              <w:rPr>
                <w:sz w:val="20"/>
              </w:rPr>
              <w:t>раствора</w:t>
            </w:r>
            <w:r>
              <w:rPr>
                <w:spacing w:val="-6"/>
                <w:sz w:val="20"/>
              </w:rPr>
              <w:t> </w:t>
            </w:r>
            <w:r>
              <w:rPr>
                <w:sz w:val="20"/>
              </w:rPr>
              <w:t>NaCl, вводят внутривенно капельно в течение</w:t>
            </w:r>
            <w:r>
              <w:rPr>
                <w:spacing w:val="40"/>
                <w:sz w:val="20"/>
              </w:rPr>
              <w:t> </w:t>
            </w:r>
            <w:r>
              <w:rPr>
                <w:sz w:val="20"/>
              </w:rPr>
              <w:t>60 минут. При недостаточном эффекте повторить введение через 12 ч.</w:t>
            </w:r>
          </w:p>
          <w:p>
            <w:pPr>
              <w:pStyle w:val="TableParagraph"/>
              <w:spacing w:before="13"/>
              <w:ind w:left="60"/>
              <w:rPr>
                <w:sz w:val="20"/>
              </w:rPr>
            </w:pPr>
            <w:r>
              <w:rPr>
                <w:sz w:val="20"/>
              </w:rPr>
              <w:t>Суммарно</w:t>
            </w:r>
            <w:r>
              <w:rPr>
                <w:spacing w:val="-6"/>
                <w:sz w:val="20"/>
              </w:rPr>
              <w:t> </w:t>
            </w:r>
            <w:r>
              <w:rPr>
                <w:sz w:val="20"/>
              </w:rPr>
              <w:t>вводить</w:t>
            </w:r>
            <w:r>
              <w:rPr>
                <w:spacing w:val="-4"/>
                <w:sz w:val="20"/>
              </w:rPr>
              <w:t> </w:t>
            </w:r>
            <w:r>
              <w:rPr>
                <w:sz w:val="20"/>
              </w:rPr>
              <w:t>не</w:t>
            </w:r>
            <w:r>
              <w:rPr>
                <w:spacing w:val="-6"/>
                <w:sz w:val="20"/>
              </w:rPr>
              <w:t> </w:t>
            </w:r>
            <w:r>
              <w:rPr>
                <w:sz w:val="20"/>
              </w:rPr>
              <w:t>более</w:t>
            </w:r>
            <w:r>
              <w:rPr>
                <w:spacing w:val="-3"/>
                <w:sz w:val="20"/>
              </w:rPr>
              <w:t> </w:t>
            </w:r>
            <w:r>
              <w:rPr>
                <w:sz w:val="20"/>
              </w:rPr>
              <w:t>256</w:t>
            </w:r>
            <w:r>
              <w:rPr>
                <w:spacing w:val="-5"/>
                <w:sz w:val="20"/>
              </w:rPr>
              <w:t> мг.</w:t>
            </w:r>
          </w:p>
          <w:p>
            <w:pPr>
              <w:pStyle w:val="TableParagraph"/>
              <w:spacing w:before="27"/>
              <w:rPr>
                <w:sz w:val="20"/>
              </w:rPr>
            </w:pPr>
          </w:p>
          <w:p>
            <w:pPr>
              <w:pStyle w:val="TableParagraph"/>
              <w:spacing w:before="1"/>
              <w:ind w:left="60" w:right="79"/>
              <w:rPr>
                <w:sz w:val="20"/>
              </w:rPr>
            </w:pPr>
            <w:r>
              <w:rPr>
                <w:sz w:val="20"/>
              </w:rPr>
              <w:t>Тяжелое</w:t>
            </w:r>
            <w:r>
              <w:rPr>
                <w:spacing w:val="-7"/>
                <w:sz w:val="20"/>
              </w:rPr>
              <w:t> </w:t>
            </w:r>
            <w:r>
              <w:rPr>
                <w:sz w:val="20"/>
              </w:rPr>
              <w:t>и</w:t>
            </w:r>
            <w:r>
              <w:rPr>
                <w:spacing w:val="-6"/>
                <w:sz w:val="20"/>
              </w:rPr>
              <w:t> </w:t>
            </w:r>
            <w:r>
              <w:rPr>
                <w:sz w:val="20"/>
              </w:rPr>
              <w:t>крайне</w:t>
            </w:r>
            <w:r>
              <w:rPr>
                <w:spacing w:val="-7"/>
                <w:sz w:val="20"/>
              </w:rPr>
              <w:t> </w:t>
            </w:r>
            <w:r>
              <w:rPr>
                <w:sz w:val="20"/>
              </w:rPr>
              <w:t>тяжелое</w:t>
            </w:r>
            <w:r>
              <w:rPr>
                <w:spacing w:val="-7"/>
                <w:sz w:val="20"/>
              </w:rPr>
              <w:t> </w:t>
            </w:r>
            <w:r>
              <w:rPr>
                <w:sz w:val="20"/>
              </w:rPr>
              <w:t>течение:</w:t>
            </w:r>
            <w:r>
              <w:rPr>
                <w:spacing w:val="-7"/>
                <w:sz w:val="20"/>
              </w:rPr>
              <w:t> </w:t>
            </w:r>
            <w:r>
              <w:rPr>
                <w:sz w:val="20"/>
              </w:rPr>
              <w:t>128</w:t>
            </w:r>
            <w:r>
              <w:rPr>
                <w:spacing w:val="-6"/>
                <w:sz w:val="20"/>
              </w:rPr>
              <w:t> </w:t>
            </w:r>
            <w:r>
              <w:rPr>
                <w:sz w:val="20"/>
              </w:rPr>
              <w:t>мг два</w:t>
            </w:r>
            <w:r>
              <w:rPr>
                <w:spacing w:val="-3"/>
                <w:sz w:val="20"/>
              </w:rPr>
              <w:t> </w:t>
            </w:r>
            <w:r>
              <w:rPr>
                <w:sz w:val="20"/>
              </w:rPr>
              <w:t>флакона</w:t>
            </w:r>
            <w:r>
              <w:rPr>
                <w:spacing w:val="-3"/>
                <w:sz w:val="20"/>
              </w:rPr>
              <w:t> </w:t>
            </w:r>
            <w:r>
              <w:rPr>
                <w:sz w:val="20"/>
              </w:rPr>
              <w:t>по</w:t>
            </w:r>
            <w:r>
              <w:rPr>
                <w:spacing w:val="-2"/>
                <w:sz w:val="20"/>
              </w:rPr>
              <w:t> </w:t>
            </w:r>
            <w:r>
              <w:rPr>
                <w:sz w:val="20"/>
              </w:rPr>
              <w:t>160</w:t>
            </w:r>
            <w:r>
              <w:rPr>
                <w:spacing w:val="-2"/>
                <w:sz w:val="20"/>
              </w:rPr>
              <w:t> </w:t>
            </w:r>
            <w:r>
              <w:rPr>
                <w:sz w:val="20"/>
              </w:rPr>
              <w:t>мг/мл</w:t>
            </w:r>
            <w:r>
              <w:rPr>
                <w:spacing w:val="-4"/>
                <w:sz w:val="20"/>
              </w:rPr>
              <w:t> </w:t>
            </w:r>
            <w:r>
              <w:rPr>
                <w:sz w:val="20"/>
              </w:rPr>
              <w:t>0,4</w:t>
            </w:r>
            <w:r>
              <w:rPr>
                <w:spacing w:val="-2"/>
                <w:sz w:val="20"/>
              </w:rPr>
              <w:t> </w:t>
            </w:r>
            <w:r>
              <w:rPr>
                <w:sz w:val="20"/>
              </w:rPr>
              <w:t>мл)</w:t>
            </w:r>
            <w:r>
              <w:rPr>
                <w:spacing w:val="-3"/>
                <w:sz w:val="20"/>
              </w:rPr>
              <w:t> </w:t>
            </w:r>
            <w:r>
              <w:rPr>
                <w:sz w:val="20"/>
              </w:rPr>
              <w:t>разводят в 100 мл 0,9% раствора NaCl, вводят внутривенно</w:t>
            </w:r>
            <w:r>
              <w:rPr>
                <w:spacing w:val="-9"/>
                <w:sz w:val="20"/>
              </w:rPr>
              <w:t> </w:t>
            </w:r>
            <w:r>
              <w:rPr>
                <w:sz w:val="20"/>
              </w:rPr>
              <w:t>капельно</w:t>
            </w:r>
            <w:r>
              <w:rPr>
                <w:spacing w:val="-9"/>
                <w:sz w:val="20"/>
              </w:rPr>
              <w:t> </w:t>
            </w:r>
            <w:r>
              <w:rPr>
                <w:sz w:val="20"/>
              </w:rPr>
              <w:t>в</w:t>
            </w:r>
            <w:r>
              <w:rPr>
                <w:spacing w:val="-11"/>
                <w:sz w:val="20"/>
              </w:rPr>
              <w:t> </w:t>
            </w:r>
            <w:r>
              <w:rPr>
                <w:sz w:val="20"/>
              </w:rPr>
              <w:t>течение</w:t>
            </w:r>
            <w:r>
              <w:rPr>
                <w:spacing w:val="-10"/>
                <w:sz w:val="20"/>
              </w:rPr>
              <w:t> </w:t>
            </w:r>
            <w:r>
              <w:rPr>
                <w:sz w:val="20"/>
              </w:rPr>
              <w:t>60</w:t>
            </w:r>
            <w:r>
              <w:rPr>
                <w:spacing w:val="-9"/>
                <w:sz w:val="20"/>
              </w:rPr>
              <w:t> </w:t>
            </w:r>
            <w:r>
              <w:rPr>
                <w:sz w:val="20"/>
              </w:rPr>
              <w:t>минут. При недостаточном эффекте повторить введение через 24 ч.</w:t>
            </w:r>
          </w:p>
          <w:p>
            <w:pPr>
              <w:pStyle w:val="TableParagraph"/>
              <w:spacing w:line="218" w:lineRule="exact" w:before="13"/>
              <w:ind w:left="60"/>
              <w:rPr>
                <w:sz w:val="20"/>
              </w:rPr>
            </w:pPr>
            <w:r>
              <w:rPr>
                <w:sz w:val="20"/>
              </w:rPr>
              <w:t>Суммарно</w:t>
            </w:r>
            <w:r>
              <w:rPr>
                <w:spacing w:val="-6"/>
                <w:sz w:val="20"/>
              </w:rPr>
              <w:t> </w:t>
            </w:r>
            <w:r>
              <w:rPr>
                <w:sz w:val="20"/>
              </w:rPr>
              <w:t>вводить</w:t>
            </w:r>
            <w:r>
              <w:rPr>
                <w:spacing w:val="-4"/>
                <w:sz w:val="20"/>
              </w:rPr>
              <w:t> </w:t>
            </w:r>
            <w:r>
              <w:rPr>
                <w:sz w:val="20"/>
              </w:rPr>
              <w:t>не</w:t>
            </w:r>
            <w:r>
              <w:rPr>
                <w:spacing w:val="-6"/>
                <w:sz w:val="20"/>
              </w:rPr>
              <w:t> </w:t>
            </w:r>
            <w:r>
              <w:rPr>
                <w:sz w:val="20"/>
              </w:rPr>
              <w:t>более</w:t>
            </w:r>
            <w:r>
              <w:rPr>
                <w:spacing w:val="-3"/>
                <w:sz w:val="20"/>
              </w:rPr>
              <w:t> </w:t>
            </w:r>
            <w:r>
              <w:rPr>
                <w:sz w:val="20"/>
              </w:rPr>
              <w:t>256</w:t>
            </w:r>
            <w:r>
              <w:rPr>
                <w:spacing w:val="-5"/>
                <w:sz w:val="20"/>
              </w:rPr>
              <w:t> мг.</w:t>
            </w:r>
          </w:p>
        </w:tc>
        <w:tc>
          <w:tcPr>
            <w:tcW w:w="4742" w:type="dxa"/>
            <w:vMerge w:val="restart"/>
          </w:tcPr>
          <w:p>
            <w:pPr>
              <w:pStyle w:val="TableParagraph"/>
              <w:numPr>
                <w:ilvl w:val="0"/>
                <w:numId w:val="107"/>
              </w:numPr>
              <w:tabs>
                <w:tab w:pos="331" w:val="left" w:leader="none"/>
                <w:tab w:pos="333" w:val="left" w:leader="none"/>
              </w:tabs>
              <w:spacing w:line="240" w:lineRule="auto" w:before="24" w:after="0"/>
              <w:ind w:left="333" w:right="929" w:hanging="154"/>
              <w:jc w:val="left"/>
              <w:rPr>
                <w:sz w:val="20"/>
              </w:rPr>
            </w:pPr>
            <w:r>
              <w:rPr>
                <w:sz w:val="20"/>
              </w:rPr>
              <w:t>Сопутствующие</w:t>
            </w:r>
            <w:r>
              <w:rPr>
                <w:spacing w:val="-13"/>
                <w:sz w:val="20"/>
              </w:rPr>
              <w:t> </w:t>
            </w:r>
            <w:r>
              <w:rPr>
                <w:sz w:val="20"/>
              </w:rPr>
              <w:t>заболевания,</w:t>
            </w:r>
            <w:r>
              <w:rPr>
                <w:spacing w:val="-12"/>
                <w:sz w:val="20"/>
              </w:rPr>
              <w:t> </w:t>
            </w:r>
            <w:r>
              <w:rPr>
                <w:sz w:val="20"/>
              </w:rPr>
              <w:t>связанные с неблагоприятным прогнозом;</w:t>
            </w:r>
          </w:p>
          <w:p>
            <w:pPr>
              <w:pStyle w:val="TableParagraph"/>
              <w:numPr>
                <w:ilvl w:val="0"/>
                <w:numId w:val="107"/>
              </w:numPr>
              <w:tabs>
                <w:tab w:pos="331" w:val="left" w:leader="none"/>
                <w:tab w:pos="333" w:val="left" w:leader="none"/>
              </w:tabs>
              <w:spacing w:line="237" w:lineRule="auto" w:before="2" w:after="0"/>
              <w:ind w:left="333" w:right="1459" w:hanging="154"/>
              <w:jc w:val="left"/>
              <w:rPr>
                <w:sz w:val="20"/>
              </w:rPr>
            </w:pPr>
            <w:r>
              <w:rPr>
                <w:sz w:val="20"/>
              </w:rPr>
              <w:t>Иммуносупрессивная</w:t>
            </w:r>
            <w:r>
              <w:rPr>
                <w:spacing w:val="-13"/>
                <w:sz w:val="20"/>
              </w:rPr>
              <w:t> </w:t>
            </w:r>
            <w:r>
              <w:rPr>
                <w:sz w:val="20"/>
              </w:rPr>
              <w:t>терапия</w:t>
            </w:r>
            <w:r>
              <w:rPr>
                <w:spacing w:val="-12"/>
                <w:sz w:val="20"/>
              </w:rPr>
              <w:t> </w:t>
            </w:r>
            <w:r>
              <w:rPr>
                <w:sz w:val="20"/>
              </w:rPr>
              <w:t>при трансплантации органов;</w:t>
            </w:r>
          </w:p>
          <w:p>
            <w:pPr>
              <w:pStyle w:val="TableParagraph"/>
              <w:numPr>
                <w:ilvl w:val="0"/>
                <w:numId w:val="107"/>
              </w:numPr>
              <w:tabs>
                <w:tab w:pos="332" w:val="left" w:leader="none"/>
              </w:tabs>
              <w:spacing w:line="245" w:lineRule="exact" w:before="0" w:after="0"/>
              <w:ind w:left="332" w:right="0" w:hanging="152"/>
              <w:jc w:val="left"/>
              <w:rPr>
                <w:sz w:val="20"/>
              </w:rPr>
            </w:pPr>
            <w:r>
              <w:rPr>
                <w:sz w:val="20"/>
              </w:rPr>
              <w:t>Нейтропения</w:t>
            </w:r>
            <w:r>
              <w:rPr>
                <w:spacing w:val="-11"/>
                <w:sz w:val="20"/>
              </w:rPr>
              <w:t> </w:t>
            </w:r>
            <w:r>
              <w:rPr>
                <w:sz w:val="20"/>
              </w:rPr>
              <w:t>составляет</w:t>
            </w:r>
            <w:r>
              <w:rPr>
                <w:spacing w:val="-11"/>
                <w:sz w:val="20"/>
              </w:rPr>
              <w:t> </w:t>
            </w:r>
            <w:r>
              <w:rPr>
                <w:spacing w:val="-2"/>
                <w:sz w:val="20"/>
              </w:rPr>
              <w:t>&lt;0,5*109/л;</w:t>
            </w:r>
          </w:p>
          <w:p>
            <w:pPr>
              <w:pStyle w:val="TableParagraph"/>
              <w:numPr>
                <w:ilvl w:val="0"/>
                <w:numId w:val="107"/>
              </w:numPr>
              <w:tabs>
                <w:tab w:pos="331" w:val="left" w:leader="none"/>
                <w:tab w:pos="333" w:val="left" w:leader="none"/>
              </w:tabs>
              <w:spacing w:line="240" w:lineRule="auto" w:before="0" w:after="0"/>
              <w:ind w:left="333" w:right="1104" w:hanging="154"/>
              <w:jc w:val="left"/>
              <w:rPr>
                <w:sz w:val="20"/>
              </w:rPr>
            </w:pPr>
            <w:r>
              <w:rPr>
                <w:sz w:val="20"/>
              </w:rPr>
              <w:t>Повышение</w:t>
            </w:r>
            <w:r>
              <w:rPr>
                <w:spacing w:val="-11"/>
                <w:sz w:val="20"/>
              </w:rPr>
              <w:t> </w:t>
            </w:r>
            <w:r>
              <w:rPr>
                <w:sz w:val="20"/>
              </w:rPr>
              <w:t>активности</w:t>
            </w:r>
            <w:r>
              <w:rPr>
                <w:spacing w:val="-12"/>
                <w:sz w:val="20"/>
              </w:rPr>
              <w:t> </w:t>
            </w:r>
            <w:r>
              <w:rPr>
                <w:sz w:val="20"/>
              </w:rPr>
              <w:t>АСТ</w:t>
            </w:r>
            <w:r>
              <w:rPr>
                <w:spacing w:val="-11"/>
                <w:sz w:val="20"/>
              </w:rPr>
              <w:t> </w:t>
            </w:r>
            <w:r>
              <w:rPr>
                <w:sz w:val="20"/>
              </w:rPr>
              <w:t>или</w:t>
            </w:r>
            <w:r>
              <w:rPr>
                <w:spacing w:val="-12"/>
                <w:sz w:val="20"/>
              </w:rPr>
              <w:t> </w:t>
            </w:r>
            <w:r>
              <w:rPr>
                <w:sz w:val="20"/>
              </w:rPr>
              <w:t>АЛТ более чем в 5 раз;</w:t>
            </w:r>
          </w:p>
          <w:p>
            <w:pPr>
              <w:pStyle w:val="TableParagraph"/>
              <w:numPr>
                <w:ilvl w:val="0"/>
                <w:numId w:val="107"/>
              </w:numPr>
              <w:tabs>
                <w:tab w:pos="332" w:val="left" w:leader="none"/>
              </w:tabs>
              <w:spacing w:line="240" w:lineRule="auto" w:before="0" w:after="0"/>
              <w:ind w:left="332" w:right="0" w:hanging="152"/>
              <w:jc w:val="left"/>
              <w:rPr>
                <w:sz w:val="20"/>
              </w:rPr>
            </w:pPr>
            <w:r>
              <w:rPr>
                <w:spacing w:val="-2"/>
                <w:sz w:val="20"/>
              </w:rPr>
              <w:t>Тромбоцитопения</w:t>
            </w:r>
            <w:r>
              <w:rPr>
                <w:spacing w:val="8"/>
                <w:sz w:val="20"/>
              </w:rPr>
              <w:t> </w:t>
            </w:r>
            <w:r>
              <w:rPr>
                <w:spacing w:val="-2"/>
                <w:sz w:val="20"/>
              </w:rPr>
              <w:t>&lt;50*109/л.</w:t>
            </w:r>
          </w:p>
          <w:p>
            <w:pPr>
              <w:pStyle w:val="TableParagraph"/>
              <w:spacing w:before="227"/>
              <w:ind w:left="43"/>
              <w:rPr>
                <w:sz w:val="20"/>
              </w:rPr>
            </w:pPr>
            <w:r>
              <w:rPr>
                <w:sz w:val="20"/>
              </w:rPr>
              <w:t>При</w:t>
            </w:r>
            <w:r>
              <w:rPr>
                <w:spacing w:val="-8"/>
                <w:sz w:val="20"/>
              </w:rPr>
              <w:t> </w:t>
            </w:r>
            <w:r>
              <w:rPr>
                <w:sz w:val="20"/>
              </w:rPr>
              <w:t>беременности</w:t>
            </w:r>
            <w:r>
              <w:rPr>
                <w:spacing w:val="-8"/>
                <w:sz w:val="20"/>
              </w:rPr>
              <w:t> </w:t>
            </w:r>
            <w:r>
              <w:rPr>
                <w:sz w:val="20"/>
              </w:rPr>
              <w:t>и</w:t>
            </w:r>
            <w:r>
              <w:rPr>
                <w:spacing w:val="-6"/>
                <w:sz w:val="20"/>
              </w:rPr>
              <w:t> </w:t>
            </w:r>
            <w:r>
              <w:rPr>
                <w:sz w:val="20"/>
              </w:rPr>
              <w:t>лактации</w:t>
            </w:r>
            <w:r>
              <w:rPr>
                <w:spacing w:val="-6"/>
                <w:sz w:val="20"/>
              </w:rPr>
              <w:t> </w:t>
            </w:r>
            <w:r>
              <w:rPr>
                <w:spacing w:val="-2"/>
                <w:sz w:val="20"/>
              </w:rPr>
              <w:t>нежелательны.</w:t>
            </w:r>
          </w:p>
        </w:tc>
      </w:tr>
      <w:tr>
        <w:trPr>
          <w:trHeight w:val="2774" w:hRule="atLeast"/>
        </w:trPr>
        <w:tc>
          <w:tcPr>
            <w:tcW w:w="1980" w:type="dxa"/>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89"/>
              <w:rPr>
                <w:sz w:val="20"/>
              </w:rPr>
            </w:pPr>
          </w:p>
          <w:p>
            <w:pPr>
              <w:pStyle w:val="TableParagraph"/>
              <w:ind w:left="56"/>
              <w:rPr>
                <w:b/>
                <w:sz w:val="20"/>
              </w:rPr>
            </w:pPr>
            <w:r>
              <w:rPr>
                <w:b/>
                <w:spacing w:val="-2"/>
                <w:sz w:val="20"/>
              </w:rPr>
              <w:t>Левилимаб</w:t>
            </w:r>
          </w:p>
        </w:tc>
        <w:tc>
          <w:tcPr>
            <w:tcW w:w="2835" w:type="dxa"/>
            <w:vMerge w:val="restart"/>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34"/>
              <w:rPr>
                <w:sz w:val="20"/>
              </w:rPr>
            </w:pPr>
          </w:p>
          <w:p>
            <w:pPr>
              <w:pStyle w:val="TableParagraph"/>
              <w:spacing w:line="237" w:lineRule="auto"/>
              <w:ind w:left="54"/>
              <w:rPr>
                <w:sz w:val="20"/>
              </w:rPr>
            </w:pPr>
            <w:r>
              <w:rPr>
                <w:sz w:val="20"/>
              </w:rPr>
              <w:t>Моноклональные антитела, ингибируют</w:t>
            </w:r>
            <w:r>
              <w:rPr>
                <w:spacing w:val="-13"/>
                <w:sz w:val="20"/>
              </w:rPr>
              <w:t> </w:t>
            </w:r>
            <w:r>
              <w:rPr>
                <w:sz w:val="20"/>
              </w:rPr>
              <w:t>рецепторы</w:t>
            </w:r>
            <w:r>
              <w:rPr>
                <w:spacing w:val="-12"/>
                <w:sz w:val="20"/>
              </w:rPr>
              <w:t> </w:t>
            </w:r>
            <w:r>
              <w:rPr>
                <w:sz w:val="20"/>
              </w:rPr>
              <w:t>ИЛ-6.</w:t>
            </w:r>
          </w:p>
        </w:tc>
        <w:tc>
          <w:tcPr>
            <w:tcW w:w="1498" w:type="dxa"/>
          </w:tcPr>
          <w:p>
            <w:pPr>
              <w:pStyle w:val="TableParagraph"/>
              <w:rPr>
                <w:sz w:val="20"/>
              </w:rPr>
            </w:pPr>
          </w:p>
          <w:p>
            <w:pPr>
              <w:pStyle w:val="TableParagraph"/>
              <w:rPr>
                <w:sz w:val="20"/>
              </w:rPr>
            </w:pPr>
          </w:p>
          <w:p>
            <w:pPr>
              <w:pStyle w:val="TableParagraph"/>
              <w:rPr>
                <w:sz w:val="20"/>
              </w:rPr>
            </w:pPr>
          </w:p>
          <w:p>
            <w:pPr>
              <w:pStyle w:val="TableParagraph"/>
              <w:spacing w:before="134"/>
              <w:rPr>
                <w:sz w:val="20"/>
              </w:rPr>
            </w:pPr>
          </w:p>
          <w:p>
            <w:pPr>
              <w:pStyle w:val="TableParagraph"/>
              <w:spacing w:before="1"/>
              <w:ind w:left="52" w:right="404"/>
              <w:jc w:val="both"/>
              <w:rPr>
                <w:sz w:val="20"/>
              </w:rPr>
            </w:pPr>
            <w:r>
              <w:rPr>
                <w:sz w:val="20"/>
              </w:rPr>
              <w:t>Раствор</w:t>
            </w:r>
            <w:r>
              <w:rPr>
                <w:spacing w:val="-13"/>
                <w:sz w:val="20"/>
              </w:rPr>
              <w:t> </w:t>
            </w:r>
            <w:r>
              <w:rPr>
                <w:sz w:val="20"/>
              </w:rPr>
              <w:t>для </w:t>
            </w:r>
            <w:r>
              <w:rPr>
                <w:spacing w:val="-2"/>
                <w:sz w:val="20"/>
              </w:rPr>
              <w:t>подкожного введения</w:t>
            </w:r>
          </w:p>
        </w:tc>
        <w:tc>
          <w:tcPr>
            <w:tcW w:w="3829" w:type="dxa"/>
          </w:tcPr>
          <w:p>
            <w:pPr>
              <w:pStyle w:val="TableParagraph"/>
              <w:spacing w:before="18"/>
              <w:ind w:left="50" w:right="313"/>
              <w:rPr>
                <w:sz w:val="20"/>
              </w:rPr>
            </w:pPr>
            <w:r>
              <w:rPr>
                <w:sz w:val="20"/>
              </w:rPr>
              <w:t>324 мг (два преднаполненных шприца по 162 мг/0,9 мл) подкожно или внутривенно однократно (при среднетяжелом течении заболевания). При</w:t>
            </w:r>
            <w:r>
              <w:rPr>
                <w:spacing w:val="-13"/>
                <w:sz w:val="20"/>
              </w:rPr>
              <w:t> </w:t>
            </w:r>
            <w:r>
              <w:rPr>
                <w:sz w:val="20"/>
              </w:rPr>
              <w:t>недостаточном</w:t>
            </w:r>
            <w:r>
              <w:rPr>
                <w:spacing w:val="-12"/>
                <w:sz w:val="20"/>
              </w:rPr>
              <w:t> </w:t>
            </w:r>
            <w:r>
              <w:rPr>
                <w:sz w:val="20"/>
              </w:rPr>
              <w:t>эффекте</w:t>
            </w:r>
            <w:r>
              <w:rPr>
                <w:spacing w:val="-13"/>
                <w:sz w:val="20"/>
              </w:rPr>
              <w:t> </w:t>
            </w:r>
            <w:r>
              <w:rPr>
                <w:sz w:val="20"/>
              </w:rPr>
              <w:t>повторить введение через 24 часа.</w:t>
            </w:r>
          </w:p>
          <w:p>
            <w:pPr>
              <w:pStyle w:val="TableParagraph"/>
              <w:spacing w:before="230"/>
              <w:ind w:left="50" w:right="79"/>
              <w:rPr>
                <w:sz w:val="20"/>
              </w:rPr>
            </w:pPr>
            <w:r>
              <w:rPr>
                <w:sz w:val="20"/>
              </w:rPr>
              <w:t>648</w:t>
            </w:r>
            <w:r>
              <w:rPr>
                <w:spacing w:val="-12"/>
                <w:sz w:val="20"/>
              </w:rPr>
              <w:t> </w:t>
            </w:r>
            <w:r>
              <w:rPr>
                <w:sz w:val="20"/>
              </w:rPr>
              <w:t>мг</w:t>
            </w:r>
            <w:r>
              <w:rPr>
                <w:spacing w:val="-13"/>
                <w:sz w:val="20"/>
              </w:rPr>
              <w:t> </w:t>
            </w:r>
            <w:r>
              <w:rPr>
                <w:sz w:val="20"/>
              </w:rPr>
              <w:t>(четыре</w:t>
            </w:r>
            <w:r>
              <w:rPr>
                <w:spacing w:val="-11"/>
                <w:sz w:val="20"/>
              </w:rPr>
              <w:t> </w:t>
            </w:r>
            <w:r>
              <w:rPr>
                <w:sz w:val="20"/>
              </w:rPr>
              <w:t>преднаполненных</w:t>
            </w:r>
            <w:r>
              <w:rPr>
                <w:spacing w:val="-8"/>
                <w:sz w:val="20"/>
              </w:rPr>
              <w:t> </w:t>
            </w:r>
            <w:r>
              <w:rPr>
                <w:sz w:val="20"/>
              </w:rPr>
              <w:t>шприца по 162 мг/0,9 мл) разводят в 100 мл 0,9% раствора NaCl, вводят внутривенно капельно в</w:t>
            </w:r>
            <w:r>
              <w:rPr>
                <w:spacing w:val="-1"/>
                <w:sz w:val="20"/>
              </w:rPr>
              <w:t> </w:t>
            </w:r>
            <w:r>
              <w:rPr>
                <w:sz w:val="20"/>
              </w:rPr>
              <w:t>течение 60 минут</w:t>
            </w:r>
            <w:r>
              <w:rPr>
                <w:spacing w:val="-1"/>
                <w:sz w:val="20"/>
              </w:rPr>
              <w:t> </w:t>
            </w:r>
            <w:r>
              <w:rPr>
                <w:sz w:val="20"/>
              </w:rPr>
              <w:t>в</w:t>
            </w:r>
            <w:r>
              <w:rPr>
                <w:spacing w:val="-1"/>
                <w:sz w:val="20"/>
              </w:rPr>
              <w:t> </w:t>
            </w:r>
            <w:r>
              <w:rPr>
                <w:sz w:val="20"/>
              </w:rPr>
              <w:t>сочетании</w:t>
            </w:r>
          </w:p>
          <w:p>
            <w:pPr>
              <w:pStyle w:val="TableParagraph"/>
              <w:spacing w:line="206" w:lineRule="exact"/>
              <w:ind w:left="50"/>
              <w:rPr>
                <w:sz w:val="20"/>
              </w:rPr>
            </w:pPr>
            <w:r>
              <w:rPr>
                <w:sz w:val="20"/>
              </w:rPr>
              <w:t>с</w:t>
            </w:r>
            <w:r>
              <w:rPr>
                <w:spacing w:val="-5"/>
                <w:sz w:val="20"/>
              </w:rPr>
              <w:t> </w:t>
            </w:r>
            <w:r>
              <w:rPr>
                <w:sz w:val="20"/>
              </w:rPr>
              <w:t>ГКС</w:t>
            </w:r>
            <w:r>
              <w:rPr>
                <w:spacing w:val="-6"/>
                <w:sz w:val="20"/>
              </w:rPr>
              <w:t> </w:t>
            </w:r>
            <w:r>
              <w:rPr>
                <w:sz w:val="20"/>
              </w:rPr>
              <w:t>(при</w:t>
            </w:r>
            <w:r>
              <w:rPr>
                <w:spacing w:val="-5"/>
                <w:sz w:val="20"/>
              </w:rPr>
              <w:t> </w:t>
            </w:r>
            <w:r>
              <w:rPr>
                <w:sz w:val="20"/>
              </w:rPr>
              <w:t>тяжелом</w:t>
            </w:r>
            <w:r>
              <w:rPr>
                <w:spacing w:val="-4"/>
                <w:sz w:val="20"/>
              </w:rPr>
              <w:t> </w:t>
            </w:r>
            <w:r>
              <w:rPr>
                <w:sz w:val="20"/>
              </w:rPr>
              <w:t>течении</w:t>
            </w:r>
            <w:r>
              <w:rPr>
                <w:spacing w:val="-5"/>
                <w:sz w:val="20"/>
              </w:rPr>
              <w:t> </w:t>
            </w:r>
            <w:r>
              <w:rPr>
                <w:spacing w:val="-2"/>
                <w:sz w:val="20"/>
              </w:rPr>
              <w:t>заболевания).</w:t>
            </w:r>
          </w:p>
        </w:tc>
        <w:tc>
          <w:tcPr>
            <w:tcW w:w="4742" w:type="dxa"/>
            <w:vMerge/>
            <w:tcBorders>
              <w:top w:val="nil"/>
            </w:tcBorders>
          </w:tcPr>
          <w:p>
            <w:pPr>
              <w:rPr>
                <w:sz w:val="2"/>
                <w:szCs w:val="2"/>
              </w:rPr>
            </w:pPr>
          </w:p>
        </w:tc>
      </w:tr>
      <w:tr>
        <w:trPr>
          <w:trHeight w:val="1857" w:hRule="atLeast"/>
        </w:trPr>
        <w:tc>
          <w:tcPr>
            <w:tcW w:w="1980" w:type="dxa"/>
          </w:tcPr>
          <w:p>
            <w:pPr>
              <w:pStyle w:val="TableParagraph"/>
              <w:rPr>
                <w:sz w:val="20"/>
              </w:rPr>
            </w:pPr>
          </w:p>
          <w:p>
            <w:pPr>
              <w:pStyle w:val="TableParagraph"/>
              <w:rPr>
                <w:sz w:val="20"/>
              </w:rPr>
            </w:pPr>
          </w:p>
          <w:p>
            <w:pPr>
              <w:pStyle w:val="TableParagraph"/>
              <w:spacing w:before="131"/>
              <w:rPr>
                <w:sz w:val="20"/>
              </w:rPr>
            </w:pPr>
          </w:p>
          <w:p>
            <w:pPr>
              <w:pStyle w:val="TableParagraph"/>
              <w:spacing w:before="1"/>
              <w:ind w:left="56"/>
              <w:rPr>
                <w:b/>
                <w:sz w:val="20"/>
              </w:rPr>
            </w:pPr>
            <w:r>
              <w:rPr>
                <w:b/>
                <w:spacing w:val="-2"/>
                <w:sz w:val="20"/>
              </w:rPr>
              <w:t>Тоцилизумаб</w:t>
            </w:r>
          </w:p>
        </w:tc>
        <w:tc>
          <w:tcPr>
            <w:tcW w:w="2835" w:type="dxa"/>
            <w:vMerge/>
            <w:tcBorders>
              <w:top w:val="nil"/>
            </w:tcBorders>
          </w:tcPr>
          <w:p>
            <w:pPr>
              <w:rPr>
                <w:sz w:val="2"/>
                <w:szCs w:val="2"/>
              </w:rPr>
            </w:pPr>
          </w:p>
        </w:tc>
        <w:tc>
          <w:tcPr>
            <w:tcW w:w="1498" w:type="dxa"/>
          </w:tcPr>
          <w:p>
            <w:pPr>
              <w:pStyle w:val="TableParagraph"/>
              <w:rPr>
                <w:sz w:val="20"/>
              </w:rPr>
            </w:pPr>
          </w:p>
          <w:p>
            <w:pPr>
              <w:pStyle w:val="TableParagraph"/>
              <w:spacing w:before="18"/>
              <w:rPr>
                <w:sz w:val="20"/>
              </w:rPr>
            </w:pPr>
          </w:p>
          <w:p>
            <w:pPr>
              <w:pStyle w:val="TableParagraph"/>
              <w:spacing w:before="1"/>
              <w:ind w:left="52" w:right="78"/>
              <w:rPr>
                <w:sz w:val="20"/>
              </w:rPr>
            </w:pPr>
            <w:r>
              <w:rPr>
                <w:sz w:val="20"/>
              </w:rPr>
              <w:t>Концентрат</w:t>
            </w:r>
            <w:r>
              <w:rPr>
                <w:spacing w:val="-13"/>
                <w:sz w:val="20"/>
              </w:rPr>
              <w:t> </w:t>
            </w:r>
            <w:r>
              <w:rPr>
                <w:sz w:val="20"/>
              </w:rPr>
              <w:t>для </w:t>
            </w:r>
            <w:r>
              <w:rPr>
                <w:spacing w:val="-2"/>
                <w:sz w:val="20"/>
              </w:rPr>
              <w:t>приготовления </w:t>
            </w:r>
            <w:r>
              <w:rPr>
                <w:sz w:val="20"/>
              </w:rPr>
              <w:t>раствора для </w:t>
            </w:r>
            <w:r>
              <w:rPr>
                <w:spacing w:val="-2"/>
                <w:sz w:val="20"/>
              </w:rPr>
              <w:t>инфузий</w:t>
            </w:r>
          </w:p>
        </w:tc>
        <w:tc>
          <w:tcPr>
            <w:tcW w:w="3829" w:type="dxa"/>
          </w:tcPr>
          <w:p>
            <w:pPr>
              <w:pStyle w:val="TableParagraph"/>
              <w:spacing w:before="133"/>
              <w:ind w:left="50" w:right="313"/>
              <w:rPr>
                <w:sz w:val="20"/>
              </w:rPr>
            </w:pPr>
            <w:r>
              <w:rPr>
                <w:sz w:val="20"/>
              </w:rPr>
              <w:t>4-8 мг/кг/введение в сочетании с ГКС. 400</w:t>
            </w:r>
            <w:r>
              <w:rPr>
                <w:spacing w:val="-5"/>
                <w:sz w:val="20"/>
              </w:rPr>
              <w:t> </w:t>
            </w:r>
            <w:r>
              <w:rPr>
                <w:sz w:val="20"/>
              </w:rPr>
              <w:t>мг</w:t>
            </w:r>
            <w:r>
              <w:rPr>
                <w:spacing w:val="-9"/>
                <w:sz w:val="20"/>
              </w:rPr>
              <w:t> </w:t>
            </w:r>
            <w:r>
              <w:rPr>
                <w:sz w:val="20"/>
              </w:rPr>
              <w:t>разводят</w:t>
            </w:r>
            <w:r>
              <w:rPr>
                <w:spacing w:val="-7"/>
                <w:sz w:val="20"/>
              </w:rPr>
              <w:t> </w:t>
            </w:r>
            <w:r>
              <w:rPr>
                <w:sz w:val="20"/>
              </w:rPr>
              <w:t>в</w:t>
            </w:r>
            <w:r>
              <w:rPr>
                <w:spacing w:val="-7"/>
                <w:sz w:val="20"/>
              </w:rPr>
              <w:t> </w:t>
            </w:r>
            <w:r>
              <w:rPr>
                <w:sz w:val="20"/>
              </w:rPr>
              <w:t>100</w:t>
            </w:r>
            <w:r>
              <w:rPr>
                <w:spacing w:val="-5"/>
                <w:sz w:val="20"/>
              </w:rPr>
              <w:t> </w:t>
            </w:r>
            <w:r>
              <w:rPr>
                <w:sz w:val="20"/>
              </w:rPr>
              <w:t>мл</w:t>
            </w:r>
            <w:r>
              <w:rPr>
                <w:spacing w:val="-7"/>
                <w:sz w:val="20"/>
              </w:rPr>
              <w:t> </w:t>
            </w:r>
            <w:r>
              <w:rPr>
                <w:sz w:val="20"/>
              </w:rPr>
              <w:t>0,9%</w:t>
            </w:r>
            <w:r>
              <w:rPr>
                <w:spacing w:val="-7"/>
                <w:sz w:val="20"/>
              </w:rPr>
              <w:t> </w:t>
            </w:r>
            <w:r>
              <w:rPr>
                <w:sz w:val="20"/>
              </w:rPr>
              <w:t>раствора NaCl, вводят внутривенно капельно</w:t>
            </w:r>
          </w:p>
          <w:p>
            <w:pPr>
              <w:pStyle w:val="TableParagraph"/>
              <w:ind w:left="50" w:right="1382"/>
              <w:rPr>
                <w:sz w:val="20"/>
              </w:rPr>
            </w:pPr>
            <w:r>
              <w:rPr>
                <w:sz w:val="20"/>
              </w:rPr>
              <w:t>в течение 60 минут. Вводить</w:t>
            </w:r>
            <w:r>
              <w:rPr>
                <w:spacing w:val="-11"/>
                <w:sz w:val="20"/>
              </w:rPr>
              <w:t> </w:t>
            </w:r>
            <w:r>
              <w:rPr>
                <w:sz w:val="20"/>
              </w:rPr>
              <w:t>не</w:t>
            </w:r>
            <w:r>
              <w:rPr>
                <w:spacing w:val="-9"/>
                <w:sz w:val="20"/>
              </w:rPr>
              <w:t> </w:t>
            </w:r>
            <w:r>
              <w:rPr>
                <w:sz w:val="20"/>
              </w:rPr>
              <w:t>более</w:t>
            </w:r>
            <w:r>
              <w:rPr>
                <w:spacing w:val="-11"/>
                <w:sz w:val="20"/>
              </w:rPr>
              <w:t> </w:t>
            </w:r>
            <w:r>
              <w:rPr>
                <w:sz w:val="20"/>
              </w:rPr>
              <w:t>800</w:t>
            </w:r>
            <w:r>
              <w:rPr>
                <w:spacing w:val="-10"/>
                <w:sz w:val="20"/>
              </w:rPr>
              <w:t> </w:t>
            </w:r>
            <w:r>
              <w:rPr>
                <w:sz w:val="20"/>
              </w:rPr>
              <w:t>мг.</w:t>
            </w:r>
          </w:p>
          <w:p>
            <w:pPr>
              <w:pStyle w:val="TableParagraph"/>
              <w:ind w:left="50"/>
              <w:rPr>
                <w:sz w:val="20"/>
              </w:rPr>
            </w:pPr>
            <w:r>
              <w:rPr>
                <w:sz w:val="20"/>
              </w:rPr>
              <w:t>При</w:t>
            </w:r>
            <w:r>
              <w:rPr>
                <w:spacing w:val="-13"/>
                <w:sz w:val="20"/>
              </w:rPr>
              <w:t> </w:t>
            </w:r>
            <w:r>
              <w:rPr>
                <w:sz w:val="20"/>
              </w:rPr>
              <w:t>недостаточном</w:t>
            </w:r>
            <w:r>
              <w:rPr>
                <w:spacing w:val="-12"/>
                <w:sz w:val="20"/>
              </w:rPr>
              <w:t> </w:t>
            </w:r>
            <w:r>
              <w:rPr>
                <w:sz w:val="20"/>
              </w:rPr>
              <w:t>эффекте</w:t>
            </w:r>
            <w:r>
              <w:rPr>
                <w:spacing w:val="-13"/>
                <w:sz w:val="20"/>
              </w:rPr>
              <w:t> </w:t>
            </w:r>
            <w:r>
              <w:rPr>
                <w:sz w:val="20"/>
              </w:rPr>
              <w:t>повторить введение через 12 ч*.</w:t>
            </w:r>
          </w:p>
        </w:tc>
        <w:tc>
          <w:tcPr>
            <w:tcW w:w="4742" w:type="dxa"/>
            <w:vMerge/>
            <w:tcBorders>
              <w:top w:val="nil"/>
            </w:tcBorders>
          </w:tcPr>
          <w:p>
            <w:pPr>
              <w:rPr>
                <w:sz w:val="2"/>
                <w:szCs w:val="2"/>
              </w:rPr>
            </w:pPr>
          </w:p>
        </w:tc>
      </w:tr>
    </w:tbl>
    <w:p>
      <w:pPr>
        <w:pStyle w:val="BodyText"/>
        <w:ind w:left="0"/>
        <w:jc w:val="left"/>
        <w:rPr>
          <w:sz w:val="22"/>
        </w:rPr>
      </w:pPr>
    </w:p>
    <w:p>
      <w:pPr>
        <w:pStyle w:val="BodyText"/>
        <w:spacing w:before="26"/>
        <w:ind w:left="0"/>
        <w:jc w:val="left"/>
        <w:rPr>
          <w:sz w:val="22"/>
        </w:rPr>
      </w:pPr>
    </w:p>
    <w:p>
      <w:pPr>
        <w:spacing w:before="0"/>
        <w:ind w:left="0" w:right="15" w:firstLine="0"/>
        <w:jc w:val="center"/>
        <w:rPr>
          <w:rFonts w:ascii="Calibri"/>
          <w:sz w:val="22"/>
        </w:rPr>
      </w:pPr>
      <w:r>
        <w:rPr>
          <w:rFonts w:ascii="Calibri"/>
          <w:spacing w:val="-5"/>
          <w:sz w:val="22"/>
        </w:rPr>
        <w:t>197</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0"/>
        <w:gridCol w:w="2835"/>
        <w:gridCol w:w="1498"/>
        <w:gridCol w:w="3829"/>
        <w:gridCol w:w="4742"/>
      </w:tblGrid>
      <w:tr>
        <w:trPr>
          <w:trHeight w:val="8295" w:hRule="atLeast"/>
        </w:trPr>
        <w:tc>
          <w:tcPr>
            <w:tcW w:w="1980" w:type="dxa"/>
            <w:shd w:val="clear" w:color="auto" w:fill="F1F1F1"/>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36"/>
              <w:rPr>
                <w:sz w:val="20"/>
              </w:rPr>
            </w:pPr>
          </w:p>
          <w:p>
            <w:pPr>
              <w:pStyle w:val="TableParagraph"/>
              <w:ind w:left="56"/>
              <w:rPr>
                <w:b/>
                <w:sz w:val="20"/>
              </w:rPr>
            </w:pPr>
            <w:bookmarkStart w:name="199" w:id="236"/>
            <w:bookmarkEnd w:id="236"/>
            <w:r>
              <w:rPr/>
            </w:r>
            <w:r>
              <w:rPr>
                <w:b/>
                <w:spacing w:val="-2"/>
                <w:sz w:val="20"/>
              </w:rPr>
              <w:t>Анакинра</w:t>
            </w:r>
          </w:p>
        </w:tc>
        <w:tc>
          <w:tcPr>
            <w:tcW w:w="2835" w:type="dxa"/>
            <w:shd w:val="clear" w:color="auto" w:fill="F1F1F1"/>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22"/>
              <w:rPr>
                <w:sz w:val="20"/>
              </w:rPr>
            </w:pPr>
          </w:p>
          <w:p>
            <w:pPr>
              <w:pStyle w:val="TableParagraph"/>
              <w:ind w:left="54" w:right="208"/>
              <w:rPr>
                <w:sz w:val="20"/>
              </w:rPr>
            </w:pPr>
            <w:r>
              <w:rPr>
                <w:sz w:val="20"/>
              </w:rPr>
              <w:t>Рекомбинантная версия антагониста рецептора интерлейкина-1 (IL-1ra). Блокирует биологическую активность интерлейкина-1α (ИЛ-1α) и интерлейкина-1β (ИЛ-1β)</w:t>
            </w:r>
            <w:r>
              <w:rPr>
                <w:spacing w:val="-13"/>
                <w:sz w:val="20"/>
              </w:rPr>
              <w:t> </w:t>
            </w:r>
            <w:r>
              <w:rPr>
                <w:sz w:val="20"/>
              </w:rPr>
              <w:t>путем</w:t>
            </w:r>
            <w:r>
              <w:rPr>
                <w:spacing w:val="-12"/>
                <w:sz w:val="20"/>
              </w:rPr>
              <w:t> </w:t>
            </w:r>
            <w:r>
              <w:rPr>
                <w:sz w:val="20"/>
              </w:rPr>
              <w:t>конкурентного ингибирования их связей</w:t>
            </w:r>
          </w:p>
          <w:p>
            <w:pPr>
              <w:pStyle w:val="TableParagraph"/>
              <w:ind w:left="54"/>
              <w:rPr>
                <w:sz w:val="20"/>
              </w:rPr>
            </w:pPr>
            <w:r>
              <w:rPr>
                <w:sz w:val="20"/>
              </w:rPr>
              <w:t>с</w:t>
            </w:r>
            <w:r>
              <w:rPr>
                <w:spacing w:val="-13"/>
                <w:sz w:val="20"/>
              </w:rPr>
              <w:t> </w:t>
            </w:r>
            <w:r>
              <w:rPr>
                <w:sz w:val="20"/>
              </w:rPr>
              <w:t>рецептором</w:t>
            </w:r>
            <w:r>
              <w:rPr>
                <w:spacing w:val="-12"/>
                <w:sz w:val="20"/>
              </w:rPr>
              <w:t> </w:t>
            </w:r>
            <w:r>
              <w:rPr>
                <w:sz w:val="20"/>
              </w:rPr>
              <w:t>интерлейкина-1 типа I.</w:t>
            </w:r>
          </w:p>
        </w:tc>
        <w:tc>
          <w:tcPr>
            <w:tcW w:w="1498" w:type="dxa"/>
            <w:shd w:val="clear" w:color="auto" w:fill="F1F1F1"/>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36"/>
              <w:rPr>
                <w:sz w:val="20"/>
              </w:rPr>
            </w:pPr>
          </w:p>
          <w:p>
            <w:pPr>
              <w:pStyle w:val="TableParagraph"/>
              <w:ind w:left="52" w:right="404"/>
              <w:jc w:val="both"/>
              <w:rPr>
                <w:sz w:val="20"/>
              </w:rPr>
            </w:pPr>
            <w:r>
              <w:rPr>
                <w:sz w:val="20"/>
              </w:rPr>
              <w:t>Раствор</w:t>
            </w:r>
            <w:r>
              <w:rPr>
                <w:spacing w:val="-13"/>
                <w:sz w:val="20"/>
              </w:rPr>
              <w:t> </w:t>
            </w:r>
            <w:r>
              <w:rPr>
                <w:sz w:val="20"/>
              </w:rPr>
              <w:t>для </w:t>
            </w:r>
            <w:r>
              <w:rPr>
                <w:spacing w:val="-2"/>
                <w:sz w:val="20"/>
              </w:rPr>
              <w:t>подкожного введения</w:t>
            </w:r>
          </w:p>
        </w:tc>
        <w:tc>
          <w:tcPr>
            <w:tcW w:w="3829" w:type="dxa"/>
            <w:shd w:val="clear" w:color="auto" w:fill="F1F1F1"/>
          </w:tcPr>
          <w:p>
            <w:pPr>
              <w:pStyle w:val="TableParagraph"/>
              <w:spacing w:before="24"/>
              <w:ind w:left="50" w:right="107"/>
              <w:rPr>
                <w:sz w:val="20"/>
              </w:rPr>
            </w:pPr>
            <w:r>
              <w:rPr>
                <w:sz w:val="20"/>
              </w:rPr>
              <w:t>Анакинра</w:t>
            </w:r>
            <w:r>
              <w:rPr>
                <w:spacing w:val="-12"/>
                <w:sz w:val="20"/>
              </w:rPr>
              <w:t> </w:t>
            </w:r>
            <w:r>
              <w:rPr>
                <w:sz w:val="20"/>
              </w:rPr>
              <w:t>может</w:t>
            </w:r>
            <w:r>
              <w:rPr>
                <w:spacing w:val="-10"/>
                <w:sz w:val="20"/>
              </w:rPr>
              <w:t> </w:t>
            </w:r>
            <w:r>
              <w:rPr>
                <w:sz w:val="20"/>
              </w:rPr>
              <w:t>применяться</w:t>
            </w:r>
            <w:r>
              <w:rPr>
                <w:spacing w:val="-13"/>
                <w:sz w:val="20"/>
              </w:rPr>
              <w:t> </w:t>
            </w:r>
            <w:r>
              <w:rPr>
                <w:sz w:val="20"/>
              </w:rPr>
              <w:t>в</w:t>
            </w:r>
            <w:r>
              <w:rPr>
                <w:spacing w:val="-11"/>
                <w:sz w:val="20"/>
              </w:rPr>
              <w:t> </w:t>
            </w:r>
            <w:r>
              <w:rPr>
                <w:sz w:val="20"/>
              </w:rPr>
              <w:t>сочетании с ГКС.</w:t>
            </w:r>
          </w:p>
          <w:p>
            <w:pPr>
              <w:pStyle w:val="TableParagraph"/>
              <w:ind w:left="50" w:right="892"/>
              <w:jc w:val="both"/>
              <w:rPr>
                <w:sz w:val="20"/>
              </w:rPr>
            </w:pPr>
            <w:r>
              <w:rPr>
                <w:sz w:val="20"/>
              </w:rPr>
              <w:t>При легком течении заболевания у</w:t>
            </w:r>
            <w:r>
              <w:rPr>
                <w:spacing w:val="-1"/>
                <w:sz w:val="20"/>
              </w:rPr>
              <w:t> </w:t>
            </w:r>
            <w:r>
              <w:rPr>
                <w:sz w:val="20"/>
              </w:rPr>
              <w:t>пациентов</w:t>
            </w:r>
            <w:r>
              <w:rPr>
                <w:spacing w:val="-1"/>
                <w:sz w:val="20"/>
              </w:rPr>
              <w:t> </w:t>
            </w:r>
            <w:r>
              <w:rPr>
                <w:sz w:val="20"/>
              </w:rPr>
              <w:t>с</w:t>
            </w:r>
            <w:r>
              <w:rPr>
                <w:spacing w:val="-2"/>
                <w:sz w:val="20"/>
              </w:rPr>
              <w:t> </w:t>
            </w:r>
            <w:r>
              <w:rPr>
                <w:sz w:val="20"/>
              </w:rPr>
              <w:t>высоким</w:t>
            </w:r>
            <w:r>
              <w:rPr>
                <w:spacing w:val="-1"/>
                <w:sz w:val="20"/>
              </w:rPr>
              <w:t> </w:t>
            </w:r>
            <w:r>
              <w:rPr>
                <w:sz w:val="20"/>
              </w:rPr>
              <w:t>индексом коморбидности,</w:t>
            </w:r>
            <w:r>
              <w:rPr>
                <w:spacing w:val="-13"/>
                <w:sz w:val="20"/>
              </w:rPr>
              <w:t> </w:t>
            </w:r>
            <w:r>
              <w:rPr>
                <w:sz w:val="20"/>
              </w:rPr>
              <w:t>факторами</w:t>
            </w:r>
            <w:r>
              <w:rPr>
                <w:spacing w:val="-12"/>
                <w:sz w:val="20"/>
              </w:rPr>
              <w:t> </w:t>
            </w:r>
            <w:r>
              <w:rPr>
                <w:sz w:val="20"/>
              </w:rPr>
              <w:t>риска неблагоприятного прогноза по</w:t>
            </w:r>
          </w:p>
          <w:p>
            <w:pPr>
              <w:pStyle w:val="TableParagraph"/>
              <w:ind w:left="50" w:right="79"/>
              <w:rPr>
                <w:sz w:val="20"/>
              </w:rPr>
            </w:pPr>
            <w:r>
              <w:rPr>
                <w:sz w:val="20"/>
              </w:rPr>
              <w:t>прогрессированию</w:t>
            </w:r>
            <w:r>
              <w:rPr>
                <w:spacing w:val="-13"/>
                <w:sz w:val="20"/>
              </w:rPr>
              <w:t> </w:t>
            </w:r>
            <w:r>
              <w:rPr>
                <w:sz w:val="20"/>
              </w:rPr>
              <w:t>COVID-19</w:t>
            </w:r>
            <w:r>
              <w:rPr>
                <w:spacing w:val="-12"/>
                <w:sz w:val="20"/>
              </w:rPr>
              <w:t> </w:t>
            </w:r>
            <w:r>
              <w:rPr>
                <w:sz w:val="20"/>
              </w:rPr>
              <w:t>в</w:t>
            </w:r>
            <w:r>
              <w:rPr>
                <w:spacing w:val="-13"/>
                <w:sz w:val="20"/>
              </w:rPr>
              <w:t> </w:t>
            </w:r>
            <w:r>
              <w:rPr>
                <w:sz w:val="20"/>
              </w:rPr>
              <w:t>качестве максимально ранней упреждающей терапии,</w:t>
            </w:r>
            <w:r>
              <w:rPr>
                <w:spacing w:val="-6"/>
                <w:sz w:val="20"/>
              </w:rPr>
              <w:t> </w:t>
            </w:r>
            <w:r>
              <w:rPr>
                <w:sz w:val="20"/>
              </w:rPr>
              <w:t>например,</w:t>
            </w:r>
            <w:r>
              <w:rPr>
                <w:spacing w:val="-6"/>
                <w:sz w:val="20"/>
              </w:rPr>
              <w:t> </w:t>
            </w:r>
            <w:r>
              <w:rPr>
                <w:sz w:val="20"/>
              </w:rPr>
              <w:t>в</w:t>
            </w:r>
            <w:r>
              <w:rPr>
                <w:spacing w:val="-7"/>
                <w:sz w:val="20"/>
              </w:rPr>
              <w:t> </w:t>
            </w:r>
            <w:r>
              <w:rPr>
                <w:sz w:val="20"/>
              </w:rPr>
              <w:t>условиях</w:t>
            </w:r>
            <w:r>
              <w:rPr>
                <w:spacing w:val="-6"/>
                <w:sz w:val="20"/>
              </w:rPr>
              <w:t> </w:t>
            </w:r>
            <w:r>
              <w:rPr>
                <w:sz w:val="20"/>
              </w:rPr>
              <w:t>дневного </w:t>
            </w:r>
            <w:r>
              <w:rPr>
                <w:spacing w:val="-2"/>
                <w:sz w:val="20"/>
              </w:rPr>
              <w:t>стационара:</w:t>
            </w:r>
          </w:p>
          <w:p>
            <w:pPr>
              <w:pStyle w:val="TableParagraph"/>
              <w:spacing w:line="229" w:lineRule="exact"/>
              <w:ind w:left="50"/>
              <w:rPr>
                <w:sz w:val="20"/>
              </w:rPr>
            </w:pPr>
            <w:r>
              <w:rPr>
                <w:sz w:val="20"/>
              </w:rPr>
              <w:t>200</w:t>
            </w:r>
            <w:r>
              <w:rPr>
                <w:spacing w:val="-3"/>
                <w:sz w:val="20"/>
              </w:rPr>
              <w:t> </w:t>
            </w:r>
            <w:r>
              <w:rPr>
                <w:sz w:val="20"/>
              </w:rPr>
              <w:t>мг</w:t>
            </w:r>
            <w:r>
              <w:rPr>
                <w:spacing w:val="-5"/>
                <w:sz w:val="20"/>
              </w:rPr>
              <w:t> </w:t>
            </w:r>
            <w:r>
              <w:rPr>
                <w:sz w:val="20"/>
              </w:rPr>
              <w:t>подкожно</w:t>
            </w:r>
            <w:r>
              <w:rPr>
                <w:spacing w:val="-1"/>
                <w:sz w:val="20"/>
              </w:rPr>
              <w:t> </w:t>
            </w:r>
            <w:r>
              <w:rPr>
                <w:sz w:val="20"/>
              </w:rPr>
              <w:t>-</w:t>
            </w:r>
            <w:r>
              <w:rPr>
                <w:spacing w:val="-3"/>
                <w:sz w:val="20"/>
              </w:rPr>
              <w:t> </w:t>
            </w:r>
            <w:r>
              <w:rPr>
                <w:spacing w:val="-2"/>
                <w:sz w:val="20"/>
              </w:rPr>
              <w:t>однократно</w:t>
            </w:r>
          </w:p>
          <w:p>
            <w:pPr>
              <w:pStyle w:val="TableParagraph"/>
              <w:ind w:left="50"/>
              <w:rPr>
                <w:sz w:val="20"/>
              </w:rPr>
            </w:pPr>
            <w:r>
              <w:rPr>
                <w:sz w:val="20"/>
              </w:rPr>
              <w:t>или</w:t>
            </w:r>
            <w:r>
              <w:rPr>
                <w:spacing w:val="-9"/>
                <w:sz w:val="20"/>
              </w:rPr>
              <w:t> </w:t>
            </w:r>
            <w:r>
              <w:rPr>
                <w:sz w:val="20"/>
              </w:rPr>
              <w:t>200</w:t>
            </w:r>
            <w:r>
              <w:rPr>
                <w:spacing w:val="-7"/>
                <w:sz w:val="20"/>
              </w:rPr>
              <w:t> </w:t>
            </w:r>
            <w:r>
              <w:rPr>
                <w:sz w:val="20"/>
              </w:rPr>
              <w:t>мг</w:t>
            </w:r>
            <w:r>
              <w:rPr>
                <w:spacing w:val="-9"/>
                <w:sz w:val="20"/>
              </w:rPr>
              <w:t> </w:t>
            </w:r>
            <w:r>
              <w:rPr>
                <w:sz w:val="20"/>
              </w:rPr>
              <w:t>каждые</w:t>
            </w:r>
            <w:r>
              <w:rPr>
                <w:spacing w:val="-8"/>
                <w:sz w:val="20"/>
              </w:rPr>
              <w:t> </w:t>
            </w:r>
            <w:r>
              <w:rPr>
                <w:sz w:val="20"/>
              </w:rPr>
              <w:t>12</w:t>
            </w:r>
            <w:r>
              <w:rPr>
                <w:spacing w:val="-7"/>
                <w:sz w:val="20"/>
              </w:rPr>
              <w:t> </w:t>
            </w:r>
            <w:r>
              <w:rPr>
                <w:sz w:val="20"/>
              </w:rPr>
              <w:t>часов</w:t>
            </w:r>
            <w:r>
              <w:rPr>
                <w:spacing w:val="-11"/>
                <w:sz w:val="20"/>
              </w:rPr>
              <w:t> </w:t>
            </w:r>
            <w:r>
              <w:rPr>
                <w:sz w:val="20"/>
              </w:rPr>
              <w:t>внутривенно или подкожно (суммарная доза</w:t>
            </w:r>
          </w:p>
          <w:p>
            <w:pPr>
              <w:pStyle w:val="TableParagraph"/>
              <w:ind w:left="50" w:right="79"/>
              <w:rPr>
                <w:sz w:val="20"/>
              </w:rPr>
            </w:pPr>
            <w:r>
              <w:rPr>
                <w:sz w:val="20"/>
              </w:rPr>
              <w:t>400 мг/сутки) в течение одного дня. Приготовление раствора для внутривенного введения производится из расчета</w:t>
            </w:r>
            <w:r>
              <w:rPr>
                <w:spacing w:val="-8"/>
                <w:sz w:val="20"/>
              </w:rPr>
              <w:t> </w:t>
            </w:r>
            <w:r>
              <w:rPr>
                <w:sz w:val="20"/>
              </w:rPr>
              <w:t>1мг</w:t>
            </w:r>
            <w:r>
              <w:rPr>
                <w:spacing w:val="-9"/>
                <w:sz w:val="20"/>
              </w:rPr>
              <w:t> </w:t>
            </w:r>
            <w:r>
              <w:rPr>
                <w:sz w:val="20"/>
              </w:rPr>
              <w:t>препарата:1</w:t>
            </w:r>
            <w:r>
              <w:rPr>
                <w:spacing w:val="-8"/>
                <w:sz w:val="20"/>
              </w:rPr>
              <w:t> </w:t>
            </w:r>
            <w:r>
              <w:rPr>
                <w:sz w:val="20"/>
              </w:rPr>
              <w:t>мл</w:t>
            </w:r>
            <w:r>
              <w:rPr>
                <w:spacing w:val="-9"/>
                <w:sz w:val="20"/>
              </w:rPr>
              <w:t> </w:t>
            </w:r>
            <w:r>
              <w:rPr>
                <w:sz w:val="20"/>
              </w:rPr>
              <w:t>0,9%</w:t>
            </w:r>
            <w:r>
              <w:rPr>
                <w:spacing w:val="-9"/>
                <w:sz w:val="20"/>
              </w:rPr>
              <w:t> </w:t>
            </w:r>
            <w:r>
              <w:rPr>
                <w:sz w:val="20"/>
              </w:rPr>
              <w:t>раствора </w:t>
            </w:r>
            <w:r>
              <w:rPr>
                <w:spacing w:val="-2"/>
                <w:sz w:val="20"/>
              </w:rPr>
              <w:t>NaCl.</w:t>
            </w:r>
          </w:p>
          <w:p>
            <w:pPr>
              <w:pStyle w:val="TableParagraph"/>
              <w:spacing w:line="229" w:lineRule="exact"/>
              <w:ind w:left="50"/>
              <w:rPr>
                <w:sz w:val="20"/>
              </w:rPr>
            </w:pPr>
            <w:r>
              <w:rPr>
                <w:sz w:val="20"/>
              </w:rPr>
              <w:t>При</w:t>
            </w:r>
            <w:r>
              <w:rPr>
                <w:spacing w:val="-10"/>
                <w:sz w:val="20"/>
              </w:rPr>
              <w:t> </w:t>
            </w:r>
            <w:r>
              <w:rPr>
                <w:sz w:val="20"/>
              </w:rPr>
              <w:t>среднетяжелом</w:t>
            </w:r>
            <w:r>
              <w:rPr>
                <w:spacing w:val="-8"/>
                <w:sz w:val="20"/>
              </w:rPr>
              <w:t> </w:t>
            </w:r>
            <w:r>
              <w:rPr>
                <w:sz w:val="20"/>
              </w:rPr>
              <w:t>течении:</w:t>
            </w:r>
            <w:r>
              <w:rPr>
                <w:spacing w:val="-8"/>
                <w:sz w:val="20"/>
              </w:rPr>
              <w:t> </w:t>
            </w:r>
            <w:r>
              <w:rPr>
                <w:spacing w:val="-4"/>
                <w:sz w:val="20"/>
              </w:rPr>
              <w:t>схемы</w:t>
            </w:r>
          </w:p>
          <w:p>
            <w:pPr>
              <w:pStyle w:val="TableParagraph"/>
              <w:spacing w:line="237" w:lineRule="auto" w:before="1"/>
              <w:ind w:left="50"/>
              <w:rPr>
                <w:sz w:val="20"/>
              </w:rPr>
            </w:pPr>
            <w:r>
              <w:rPr>
                <w:sz w:val="20"/>
              </w:rPr>
              <w:t>с</w:t>
            </w:r>
            <w:r>
              <w:rPr>
                <w:spacing w:val="-13"/>
                <w:sz w:val="20"/>
              </w:rPr>
              <w:t> </w:t>
            </w:r>
            <w:r>
              <w:rPr>
                <w:sz w:val="20"/>
              </w:rPr>
              <w:t>использованием</w:t>
            </w:r>
            <w:r>
              <w:rPr>
                <w:spacing w:val="-12"/>
                <w:sz w:val="20"/>
              </w:rPr>
              <w:t> </w:t>
            </w:r>
            <w:r>
              <w:rPr>
                <w:sz w:val="20"/>
              </w:rPr>
              <w:t>гибкого</w:t>
            </w:r>
            <w:r>
              <w:rPr>
                <w:spacing w:val="-13"/>
                <w:sz w:val="20"/>
              </w:rPr>
              <w:t> </w:t>
            </w:r>
            <w:r>
              <w:rPr>
                <w:sz w:val="20"/>
              </w:rPr>
              <w:t>дозирования, внутривенное введение:</w:t>
            </w:r>
          </w:p>
          <w:p>
            <w:pPr>
              <w:pStyle w:val="TableParagraph"/>
              <w:spacing w:before="1"/>
              <w:ind w:left="50"/>
              <w:rPr>
                <w:sz w:val="20"/>
              </w:rPr>
            </w:pPr>
            <w:r>
              <w:rPr>
                <w:sz w:val="20"/>
              </w:rPr>
              <w:t>Курс</w:t>
            </w:r>
            <w:r>
              <w:rPr>
                <w:spacing w:val="-3"/>
                <w:sz w:val="20"/>
              </w:rPr>
              <w:t> </w:t>
            </w:r>
            <w:r>
              <w:rPr>
                <w:sz w:val="20"/>
              </w:rPr>
              <w:t>5</w:t>
            </w:r>
            <w:r>
              <w:rPr>
                <w:spacing w:val="-1"/>
                <w:sz w:val="20"/>
              </w:rPr>
              <w:t> </w:t>
            </w:r>
            <w:r>
              <w:rPr>
                <w:spacing w:val="-2"/>
                <w:sz w:val="20"/>
              </w:rPr>
              <w:t>дней:</w:t>
            </w:r>
          </w:p>
          <w:p>
            <w:pPr>
              <w:pStyle w:val="TableParagraph"/>
              <w:ind w:left="50"/>
              <w:rPr>
                <w:sz w:val="20"/>
              </w:rPr>
            </w:pPr>
            <w:r>
              <w:rPr>
                <w:sz w:val="20"/>
              </w:rPr>
              <w:t>с</w:t>
            </w:r>
            <w:r>
              <w:rPr>
                <w:spacing w:val="-5"/>
                <w:sz w:val="20"/>
              </w:rPr>
              <w:t> </w:t>
            </w:r>
            <w:r>
              <w:rPr>
                <w:sz w:val="20"/>
              </w:rPr>
              <w:t>1</w:t>
            </w:r>
            <w:r>
              <w:rPr>
                <w:spacing w:val="-4"/>
                <w:sz w:val="20"/>
              </w:rPr>
              <w:t> </w:t>
            </w:r>
            <w:r>
              <w:rPr>
                <w:sz w:val="20"/>
              </w:rPr>
              <w:t>по</w:t>
            </w:r>
            <w:r>
              <w:rPr>
                <w:spacing w:val="-4"/>
                <w:sz w:val="20"/>
              </w:rPr>
              <w:t> </w:t>
            </w:r>
            <w:r>
              <w:rPr>
                <w:sz w:val="20"/>
              </w:rPr>
              <w:t>3-й</w:t>
            </w:r>
            <w:r>
              <w:rPr>
                <w:spacing w:val="-6"/>
                <w:sz w:val="20"/>
              </w:rPr>
              <w:t> </w:t>
            </w:r>
            <w:r>
              <w:rPr>
                <w:sz w:val="20"/>
              </w:rPr>
              <w:t>день</w:t>
            </w:r>
            <w:r>
              <w:rPr>
                <w:spacing w:val="-4"/>
                <w:sz w:val="20"/>
              </w:rPr>
              <w:t> </w:t>
            </w:r>
            <w:r>
              <w:rPr>
                <w:sz w:val="20"/>
              </w:rPr>
              <w:t>-</w:t>
            </w:r>
            <w:r>
              <w:rPr>
                <w:spacing w:val="-4"/>
                <w:sz w:val="20"/>
              </w:rPr>
              <w:t> </w:t>
            </w:r>
            <w:r>
              <w:rPr>
                <w:sz w:val="20"/>
              </w:rPr>
              <w:t>200</w:t>
            </w:r>
            <w:r>
              <w:rPr>
                <w:spacing w:val="-6"/>
                <w:sz w:val="20"/>
              </w:rPr>
              <w:t> </w:t>
            </w:r>
            <w:r>
              <w:rPr>
                <w:sz w:val="20"/>
              </w:rPr>
              <w:t>мг</w:t>
            </w:r>
            <w:r>
              <w:rPr>
                <w:spacing w:val="-6"/>
                <w:sz w:val="20"/>
              </w:rPr>
              <w:t> </w:t>
            </w:r>
            <w:r>
              <w:rPr>
                <w:sz w:val="20"/>
              </w:rPr>
              <w:t>каждые</w:t>
            </w:r>
            <w:r>
              <w:rPr>
                <w:spacing w:val="-5"/>
                <w:sz w:val="20"/>
              </w:rPr>
              <w:t> </w:t>
            </w:r>
            <w:r>
              <w:rPr>
                <w:sz w:val="20"/>
              </w:rPr>
              <w:t>12</w:t>
            </w:r>
            <w:r>
              <w:rPr>
                <w:spacing w:val="-4"/>
                <w:sz w:val="20"/>
              </w:rPr>
              <w:t> </w:t>
            </w:r>
            <w:r>
              <w:rPr>
                <w:sz w:val="20"/>
              </w:rPr>
              <w:t>часов (суммарная доза 400 мг/сутки);</w:t>
            </w:r>
          </w:p>
          <w:p>
            <w:pPr>
              <w:pStyle w:val="TableParagraph"/>
              <w:numPr>
                <w:ilvl w:val="0"/>
                <w:numId w:val="108"/>
              </w:numPr>
              <w:tabs>
                <w:tab w:pos="216" w:val="left" w:leader="none"/>
              </w:tabs>
              <w:spacing w:line="240" w:lineRule="auto" w:before="1" w:after="0"/>
              <w:ind w:left="50" w:right="862" w:firstLine="0"/>
              <w:jc w:val="left"/>
              <w:rPr>
                <w:sz w:val="20"/>
              </w:rPr>
            </w:pPr>
            <w:r>
              <w:rPr>
                <w:sz w:val="20"/>
              </w:rPr>
              <w:t>й</w:t>
            </w:r>
            <w:r>
              <w:rPr>
                <w:spacing w:val="-7"/>
                <w:sz w:val="20"/>
              </w:rPr>
              <w:t> </w:t>
            </w:r>
            <w:r>
              <w:rPr>
                <w:sz w:val="20"/>
              </w:rPr>
              <w:t>день</w:t>
            </w:r>
            <w:r>
              <w:rPr>
                <w:spacing w:val="-5"/>
                <w:sz w:val="20"/>
              </w:rPr>
              <w:t> </w:t>
            </w:r>
            <w:r>
              <w:rPr>
                <w:sz w:val="20"/>
              </w:rPr>
              <w:t>-</w:t>
            </w:r>
            <w:r>
              <w:rPr>
                <w:spacing w:val="-5"/>
                <w:sz w:val="20"/>
              </w:rPr>
              <w:t> </w:t>
            </w:r>
            <w:r>
              <w:rPr>
                <w:sz w:val="20"/>
              </w:rPr>
              <w:t>100</w:t>
            </w:r>
            <w:r>
              <w:rPr>
                <w:spacing w:val="-5"/>
                <w:sz w:val="20"/>
              </w:rPr>
              <w:t> </w:t>
            </w:r>
            <w:r>
              <w:rPr>
                <w:sz w:val="20"/>
              </w:rPr>
              <w:t>мг</w:t>
            </w:r>
            <w:r>
              <w:rPr>
                <w:spacing w:val="-7"/>
                <w:sz w:val="20"/>
              </w:rPr>
              <w:t> </w:t>
            </w:r>
            <w:r>
              <w:rPr>
                <w:sz w:val="20"/>
              </w:rPr>
              <w:t>каждые</w:t>
            </w:r>
            <w:r>
              <w:rPr>
                <w:spacing w:val="-6"/>
                <w:sz w:val="20"/>
              </w:rPr>
              <w:t> </w:t>
            </w:r>
            <w:r>
              <w:rPr>
                <w:sz w:val="20"/>
              </w:rPr>
              <w:t>12</w:t>
            </w:r>
            <w:r>
              <w:rPr>
                <w:spacing w:val="-8"/>
                <w:sz w:val="20"/>
              </w:rPr>
              <w:t> </w:t>
            </w:r>
            <w:r>
              <w:rPr>
                <w:sz w:val="20"/>
              </w:rPr>
              <w:t>часов (суммарная доза 200 мг/сутки);</w:t>
            </w:r>
          </w:p>
          <w:p>
            <w:pPr>
              <w:pStyle w:val="TableParagraph"/>
              <w:numPr>
                <w:ilvl w:val="0"/>
                <w:numId w:val="108"/>
              </w:numPr>
              <w:tabs>
                <w:tab w:pos="216" w:val="left" w:leader="none"/>
              </w:tabs>
              <w:spacing w:line="228" w:lineRule="exact" w:before="0" w:after="0"/>
              <w:ind w:left="216" w:right="0" w:hanging="166"/>
              <w:jc w:val="left"/>
              <w:rPr>
                <w:sz w:val="20"/>
              </w:rPr>
            </w:pPr>
            <w:r>
              <w:rPr>
                <w:sz w:val="20"/>
              </w:rPr>
              <w:t>й</w:t>
            </w:r>
            <w:r>
              <w:rPr>
                <w:spacing w:val="-4"/>
                <w:sz w:val="20"/>
              </w:rPr>
              <w:t> </w:t>
            </w:r>
            <w:r>
              <w:rPr>
                <w:sz w:val="20"/>
              </w:rPr>
              <w:t>день</w:t>
            </w:r>
            <w:r>
              <w:rPr>
                <w:spacing w:val="-1"/>
                <w:sz w:val="20"/>
              </w:rPr>
              <w:t> </w:t>
            </w:r>
            <w:r>
              <w:rPr>
                <w:sz w:val="20"/>
              </w:rPr>
              <w:t>-</w:t>
            </w:r>
            <w:r>
              <w:rPr>
                <w:spacing w:val="-2"/>
                <w:sz w:val="20"/>
              </w:rPr>
              <w:t> </w:t>
            </w:r>
            <w:r>
              <w:rPr>
                <w:sz w:val="20"/>
              </w:rPr>
              <w:t>100</w:t>
            </w:r>
            <w:r>
              <w:rPr>
                <w:spacing w:val="-1"/>
                <w:sz w:val="20"/>
              </w:rPr>
              <w:t> </w:t>
            </w:r>
            <w:r>
              <w:rPr>
                <w:sz w:val="20"/>
              </w:rPr>
              <w:t>мг</w:t>
            </w:r>
            <w:r>
              <w:rPr>
                <w:spacing w:val="-3"/>
                <w:sz w:val="20"/>
              </w:rPr>
              <w:t> </w:t>
            </w:r>
            <w:r>
              <w:rPr>
                <w:spacing w:val="-2"/>
                <w:sz w:val="20"/>
              </w:rPr>
              <w:t>однократно.</w:t>
            </w:r>
          </w:p>
          <w:p>
            <w:pPr>
              <w:pStyle w:val="TableParagraph"/>
              <w:spacing w:before="1"/>
              <w:ind w:left="50" w:right="96"/>
              <w:jc w:val="both"/>
              <w:rPr>
                <w:i/>
                <w:sz w:val="20"/>
              </w:rPr>
            </w:pPr>
            <w:r>
              <w:rPr>
                <w:i/>
                <w:sz w:val="20"/>
              </w:rPr>
              <w:t>При</w:t>
            </w:r>
            <w:r>
              <w:rPr>
                <w:i/>
                <w:spacing w:val="-11"/>
                <w:sz w:val="20"/>
              </w:rPr>
              <w:t> </w:t>
            </w:r>
            <w:r>
              <w:rPr>
                <w:i/>
                <w:sz w:val="20"/>
              </w:rPr>
              <w:t>неэффективности</w:t>
            </w:r>
            <w:r>
              <w:rPr>
                <w:i/>
                <w:spacing w:val="-11"/>
                <w:sz w:val="20"/>
              </w:rPr>
              <w:t> </w:t>
            </w:r>
            <w:r>
              <w:rPr>
                <w:i/>
                <w:sz w:val="20"/>
              </w:rPr>
              <w:t>терапии</w:t>
            </w:r>
            <w:r>
              <w:rPr>
                <w:i/>
                <w:spacing w:val="-11"/>
                <w:sz w:val="20"/>
              </w:rPr>
              <w:t> </w:t>
            </w:r>
            <w:r>
              <w:rPr>
                <w:i/>
                <w:sz w:val="20"/>
              </w:rPr>
              <w:t>в</w:t>
            </w:r>
            <w:r>
              <w:rPr>
                <w:i/>
                <w:spacing w:val="-12"/>
                <w:sz w:val="20"/>
              </w:rPr>
              <w:t> </w:t>
            </w:r>
            <w:r>
              <w:rPr>
                <w:i/>
                <w:sz w:val="20"/>
              </w:rPr>
              <w:t>течение первых 3-х дней, допустимо переключение на ингибитор ИЛ-6 (внутривенное</w:t>
            </w:r>
          </w:p>
          <w:p>
            <w:pPr>
              <w:pStyle w:val="TableParagraph"/>
              <w:ind w:left="50"/>
              <w:rPr>
                <w:i/>
                <w:sz w:val="20"/>
              </w:rPr>
            </w:pPr>
            <w:r>
              <w:rPr>
                <w:i/>
                <w:spacing w:val="-2"/>
                <w:sz w:val="20"/>
              </w:rPr>
              <w:t>введение).</w:t>
            </w:r>
          </w:p>
          <w:p>
            <w:pPr>
              <w:pStyle w:val="TableParagraph"/>
              <w:ind w:left="50"/>
              <w:rPr>
                <w:i/>
                <w:sz w:val="20"/>
              </w:rPr>
            </w:pPr>
            <w:r>
              <w:rPr>
                <w:i/>
                <w:sz w:val="20"/>
              </w:rPr>
              <w:t>При достижении досрочного положительного эффекта возможно сокращение</w:t>
            </w:r>
            <w:r>
              <w:rPr>
                <w:i/>
                <w:spacing w:val="-13"/>
                <w:sz w:val="20"/>
              </w:rPr>
              <w:t> </w:t>
            </w:r>
            <w:r>
              <w:rPr>
                <w:i/>
                <w:sz w:val="20"/>
              </w:rPr>
              <w:t>длительности</w:t>
            </w:r>
            <w:r>
              <w:rPr>
                <w:i/>
                <w:spacing w:val="-12"/>
                <w:sz w:val="20"/>
              </w:rPr>
              <w:t> </w:t>
            </w:r>
            <w:r>
              <w:rPr>
                <w:i/>
                <w:sz w:val="20"/>
              </w:rPr>
              <w:t>курса</w:t>
            </w:r>
            <w:r>
              <w:rPr>
                <w:i/>
                <w:spacing w:val="-13"/>
                <w:sz w:val="20"/>
              </w:rPr>
              <w:t> </w:t>
            </w:r>
            <w:r>
              <w:rPr>
                <w:i/>
                <w:sz w:val="20"/>
              </w:rPr>
              <w:t>терапии или редуцирование дозы.</w:t>
            </w:r>
          </w:p>
          <w:p>
            <w:pPr>
              <w:pStyle w:val="TableParagraph"/>
              <w:spacing w:line="206" w:lineRule="exact"/>
              <w:ind w:left="50"/>
              <w:rPr>
                <w:sz w:val="20"/>
              </w:rPr>
            </w:pPr>
            <w:r>
              <w:rPr>
                <w:sz w:val="20"/>
              </w:rPr>
              <w:t>Курс</w:t>
            </w:r>
            <w:r>
              <w:rPr>
                <w:spacing w:val="-3"/>
                <w:sz w:val="20"/>
              </w:rPr>
              <w:t> </w:t>
            </w:r>
            <w:r>
              <w:rPr>
                <w:sz w:val="20"/>
              </w:rPr>
              <w:t>3</w:t>
            </w:r>
            <w:r>
              <w:rPr>
                <w:spacing w:val="-1"/>
                <w:sz w:val="20"/>
              </w:rPr>
              <w:t> </w:t>
            </w:r>
            <w:r>
              <w:rPr>
                <w:spacing w:val="-4"/>
                <w:sz w:val="20"/>
              </w:rPr>
              <w:t>дня:</w:t>
            </w:r>
          </w:p>
        </w:tc>
        <w:tc>
          <w:tcPr>
            <w:tcW w:w="4742" w:type="dxa"/>
            <w:shd w:val="clear" w:color="auto" w:fill="F1F1F1"/>
          </w:tcPr>
          <w:p>
            <w:pPr>
              <w:pStyle w:val="TableParagraph"/>
              <w:rPr>
                <w:sz w:val="18"/>
              </w:rPr>
            </w:pPr>
          </w:p>
        </w:tc>
      </w:tr>
    </w:tbl>
    <w:p>
      <w:pPr>
        <w:pStyle w:val="BodyText"/>
        <w:spacing w:before="170"/>
        <w:ind w:left="0"/>
        <w:jc w:val="left"/>
        <w:rPr>
          <w:sz w:val="22"/>
        </w:rPr>
      </w:pPr>
    </w:p>
    <w:p>
      <w:pPr>
        <w:spacing w:before="0"/>
        <w:ind w:left="0" w:right="15" w:firstLine="0"/>
        <w:jc w:val="center"/>
        <w:rPr>
          <w:rFonts w:ascii="Calibri"/>
          <w:sz w:val="22"/>
        </w:rPr>
      </w:pPr>
      <w:r>
        <w:rPr>
          <w:rFonts w:ascii="Calibri"/>
          <w:spacing w:val="-5"/>
          <w:sz w:val="22"/>
        </w:rPr>
        <w:t>198</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0"/>
        <w:gridCol w:w="2835"/>
        <w:gridCol w:w="1498"/>
        <w:gridCol w:w="3829"/>
        <w:gridCol w:w="4742"/>
      </w:tblGrid>
      <w:tr>
        <w:trPr>
          <w:trHeight w:val="8525" w:hRule="atLeast"/>
        </w:trPr>
        <w:tc>
          <w:tcPr>
            <w:tcW w:w="1980" w:type="dxa"/>
            <w:shd w:val="clear" w:color="auto" w:fill="F1F1F1"/>
          </w:tcPr>
          <w:p>
            <w:pPr>
              <w:pStyle w:val="TableParagraph"/>
              <w:rPr>
                <w:sz w:val="18"/>
              </w:rPr>
            </w:pPr>
          </w:p>
        </w:tc>
        <w:tc>
          <w:tcPr>
            <w:tcW w:w="2835" w:type="dxa"/>
            <w:shd w:val="clear" w:color="auto" w:fill="F1F1F1"/>
          </w:tcPr>
          <w:p>
            <w:pPr>
              <w:pStyle w:val="TableParagraph"/>
              <w:rPr>
                <w:sz w:val="18"/>
              </w:rPr>
            </w:pPr>
          </w:p>
        </w:tc>
        <w:tc>
          <w:tcPr>
            <w:tcW w:w="1498" w:type="dxa"/>
            <w:shd w:val="clear" w:color="auto" w:fill="F1F1F1"/>
          </w:tcPr>
          <w:p>
            <w:pPr>
              <w:pStyle w:val="TableParagraph"/>
              <w:rPr>
                <w:sz w:val="18"/>
              </w:rPr>
            </w:pPr>
          </w:p>
        </w:tc>
        <w:tc>
          <w:tcPr>
            <w:tcW w:w="3829" w:type="dxa"/>
            <w:shd w:val="clear" w:color="auto" w:fill="F1F1F1"/>
          </w:tcPr>
          <w:p>
            <w:pPr>
              <w:pStyle w:val="TableParagraph"/>
              <w:numPr>
                <w:ilvl w:val="0"/>
                <w:numId w:val="109"/>
              </w:numPr>
              <w:tabs>
                <w:tab w:pos="216" w:val="left" w:leader="none"/>
              </w:tabs>
              <w:spacing w:line="240" w:lineRule="auto" w:before="24" w:after="0"/>
              <w:ind w:left="50" w:right="862" w:firstLine="0"/>
              <w:jc w:val="left"/>
              <w:rPr>
                <w:sz w:val="20"/>
              </w:rPr>
            </w:pPr>
            <w:bookmarkStart w:name="200" w:id="237"/>
            <w:bookmarkEnd w:id="237"/>
            <w:r>
              <w:rPr/>
            </w:r>
            <w:r>
              <w:rPr>
                <w:sz w:val="20"/>
              </w:rPr>
              <w:t>й</w:t>
            </w:r>
            <w:r>
              <w:rPr>
                <w:spacing w:val="-7"/>
                <w:sz w:val="20"/>
              </w:rPr>
              <w:t> </w:t>
            </w:r>
            <w:r>
              <w:rPr>
                <w:sz w:val="20"/>
              </w:rPr>
              <w:t>день</w:t>
            </w:r>
            <w:r>
              <w:rPr>
                <w:spacing w:val="-5"/>
                <w:sz w:val="20"/>
              </w:rPr>
              <w:t> </w:t>
            </w:r>
            <w:r>
              <w:rPr>
                <w:sz w:val="20"/>
              </w:rPr>
              <w:t>-</w:t>
            </w:r>
            <w:r>
              <w:rPr>
                <w:spacing w:val="-5"/>
                <w:sz w:val="20"/>
              </w:rPr>
              <w:t> </w:t>
            </w:r>
            <w:r>
              <w:rPr>
                <w:sz w:val="20"/>
              </w:rPr>
              <w:t>200</w:t>
            </w:r>
            <w:r>
              <w:rPr>
                <w:spacing w:val="-5"/>
                <w:sz w:val="20"/>
              </w:rPr>
              <w:t> </w:t>
            </w:r>
            <w:r>
              <w:rPr>
                <w:sz w:val="20"/>
              </w:rPr>
              <w:t>мг</w:t>
            </w:r>
            <w:r>
              <w:rPr>
                <w:spacing w:val="-7"/>
                <w:sz w:val="20"/>
              </w:rPr>
              <w:t> </w:t>
            </w:r>
            <w:r>
              <w:rPr>
                <w:sz w:val="20"/>
              </w:rPr>
              <w:t>каждые</w:t>
            </w:r>
            <w:r>
              <w:rPr>
                <w:spacing w:val="-6"/>
                <w:sz w:val="20"/>
              </w:rPr>
              <w:t> </w:t>
            </w:r>
            <w:r>
              <w:rPr>
                <w:sz w:val="20"/>
              </w:rPr>
              <w:t>12</w:t>
            </w:r>
            <w:r>
              <w:rPr>
                <w:spacing w:val="-8"/>
                <w:sz w:val="20"/>
              </w:rPr>
              <w:t> </w:t>
            </w:r>
            <w:r>
              <w:rPr>
                <w:sz w:val="20"/>
              </w:rPr>
              <w:t>часов (суммарная доза 400 мг/сутки);</w:t>
            </w:r>
          </w:p>
          <w:p>
            <w:pPr>
              <w:pStyle w:val="TableParagraph"/>
              <w:numPr>
                <w:ilvl w:val="0"/>
                <w:numId w:val="109"/>
              </w:numPr>
              <w:tabs>
                <w:tab w:pos="216" w:val="left" w:leader="none"/>
              </w:tabs>
              <w:spacing w:line="229" w:lineRule="exact" w:before="0" w:after="0"/>
              <w:ind w:left="216" w:right="0" w:hanging="166"/>
              <w:jc w:val="left"/>
              <w:rPr>
                <w:sz w:val="20"/>
              </w:rPr>
            </w:pPr>
            <w:r>
              <w:rPr>
                <w:sz w:val="20"/>
              </w:rPr>
              <w:t>й</w:t>
            </w:r>
            <w:r>
              <w:rPr>
                <w:spacing w:val="-5"/>
                <w:sz w:val="20"/>
              </w:rPr>
              <w:t> </w:t>
            </w:r>
            <w:r>
              <w:rPr>
                <w:sz w:val="20"/>
              </w:rPr>
              <w:t>день</w:t>
            </w:r>
            <w:r>
              <w:rPr>
                <w:spacing w:val="-3"/>
                <w:sz w:val="20"/>
              </w:rPr>
              <w:t> </w:t>
            </w:r>
            <w:r>
              <w:rPr>
                <w:sz w:val="20"/>
              </w:rPr>
              <w:t>-</w:t>
            </w:r>
            <w:r>
              <w:rPr>
                <w:spacing w:val="-2"/>
                <w:sz w:val="20"/>
              </w:rPr>
              <w:t> </w:t>
            </w:r>
            <w:r>
              <w:rPr>
                <w:sz w:val="20"/>
              </w:rPr>
              <w:t>200</w:t>
            </w:r>
            <w:r>
              <w:rPr>
                <w:spacing w:val="-3"/>
                <w:sz w:val="20"/>
              </w:rPr>
              <w:t> </w:t>
            </w:r>
            <w:r>
              <w:rPr>
                <w:sz w:val="20"/>
              </w:rPr>
              <w:t>мг/сутки</w:t>
            </w:r>
            <w:r>
              <w:rPr>
                <w:spacing w:val="-5"/>
                <w:sz w:val="20"/>
              </w:rPr>
              <w:t> </w:t>
            </w:r>
            <w:r>
              <w:rPr>
                <w:spacing w:val="-2"/>
                <w:sz w:val="20"/>
              </w:rPr>
              <w:t>однократно;</w:t>
            </w:r>
          </w:p>
          <w:p>
            <w:pPr>
              <w:pStyle w:val="TableParagraph"/>
              <w:numPr>
                <w:ilvl w:val="0"/>
                <w:numId w:val="109"/>
              </w:numPr>
              <w:tabs>
                <w:tab w:pos="216" w:val="left" w:leader="none"/>
              </w:tabs>
              <w:spacing w:line="240" w:lineRule="auto" w:before="0" w:after="0"/>
              <w:ind w:left="50" w:right="535" w:firstLine="0"/>
              <w:jc w:val="left"/>
              <w:rPr>
                <w:i/>
                <w:sz w:val="20"/>
              </w:rPr>
            </w:pPr>
            <w:r>
              <w:rPr>
                <w:sz w:val="20"/>
              </w:rPr>
              <w:t>й день - 100 мг/сутки однократно. </w:t>
            </w:r>
            <w:r>
              <w:rPr>
                <w:i/>
                <w:sz w:val="20"/>
              </w:rPr>
              <w:t>При достижении досрочного положительного</w:t>
            </w:r>
            <w:r>
              <w:rPr>
                <w:i/>
                <w:spacing w:val="-13"/>
                <w:sz w:val="20"/>
              </w:rPr>
              <w:t> </w:t>
            </w:r>
            <w:r>
              <w:rPr>
                <w:i/>
                <w:sz w:val="20"/>
              </w:rPr>
              <w:t>эффекта</w:t>
            </w:r>
            <w:r>
              <w:rPr>
                <w:i/>
                <w:spacing w:val="-12"/>
                <w:sz w:val="20"/>
              </w:rPr>
              <w:t> </w:t>
            </w:r>
            <w:r>
              <w:rPr>
                <w:i/>
                <w:sz w:val="20"/>
              </w:rPr>
              <w:t>возможно</w:t>
            </w:r>
          </w:p>
          <w:p>
            <w:pPr>
              <w:pStyle w:val="TableParagraph"/>
              <w:ind w:left="50"/>
              <w:rPr>
                <w:i/>
                <w:sz w:val="20"/>
              </w:rPr>
            </w:pPr>
            <w:r>
              <w:rPr>
                <w:i/>
                <w:sz w:val="20"/>
              </w:rPr>
              <w:t>сокращение</w:t>
            </w:r>
            <w:r>
              <w:rPr>
                <w:i/>
                <w:spacing w:val="-13"/>
                <w:sz w:val="20"/>
              </w:rPr>
              <w:t> </w:t>
            </w:r>
            <w:r>
              <w:rPr>
                <w:i/>
                <w:sz w:val="20"/>
              </w:rPr>
              <w:t>длительности</w:t>
            </w:r>
            <w:r>
              <w:rPr>
                <w:i/>
                <w:spacing w:val="-12"/>
                <w:sz w:val="20"/>
              </w:rPr>
              <w:t> </w:t>
            </w:r>
            <w:r>
              <w:rPr>
                <w:i/>
                <w:sz w:val="20"/>
              </w:rPr>
              <w:t>курса</w:t>
            </w:r>
            <w:r>
              <w:rPr>
                <w:i/>
                <w:spacing w:val="-13"/>
                <w:sz w:val="20"/>
              </w:rPr>
              <w:t> </w:t>
            </w:r>
            <w:r>
              <w:rPr>
                <w:i/>
                <w:sz w:val="20"/>
              </w:rPr>
              <w:t>терапии или редуцирование дозы.</w:t>
            </w:r>
          </w:p>
          <w:p>
            <w:pPr>
              <w:pStyle w:val="TableParagraph"/>
              <w:spacing w:before="1"/>
              <w:ind w:left="50" w:right="79"/>
              <w:rPr>
                <w:sz w:val="20"/>
              </w:rPr>
            </w:pPr>
            <w:r>
              <w:rPr>
                <w:sz w:val="20"/>
              </w:rPr>
              <w:t>Тяжелое и крайне-тжелое течение: Препаратами первой линии терапии являются ингибитор ИЛ-6 или ингибитор рецептора ИЛ-6</w:t>
            </w:r>
            <w:r>
              <w:rPr>
                <w:spacing w:val="-12"/>
                <w:sz w:val="20"/>
              </w:rPr>
              <w:t> </w:t>
            </w:r>
            <w:r>
              <w:rPr>
                <w:sz w:val="20"/>
              </w:rPr>
              <w:t>(внутривенное</w:t>
            </w:r>
            <w:r>
              <w:rPr>
                <w:spacing w:val="-13"/>
                <w:sz w:val="20"/>
              </w:rPr>
              <w:t> </w:t>
            </w:r>
            <w:r>
              <w:rPr>
                <w:sz w:val="20"/>
              </w:rPr>
              <w:t>введение), Анакинру следует рассматривать как препарат замены при отсутствии препаратов первой линии терапии, согласно</w:t>
            </w:r>
            <w:r>
              <w:rPr>
                <w:spacing w:val="-13"/>
                <w:sz w:val="20"/>
              </w:rPr>
              <w:t> </w:t>
            </w:r>
            <w:r>
              <w:rPr>
                <w:sz w:val="20"/>
              </w:rPr>
              <w:t>следующей</w:t>
            </w:r>
            <w:r>
              <w:rPr>
                <w:spacing w:val="-12"/>
                <w:sz w:val="20"/>
              </w:rPr>
              <w:t> </w:t>
            </w:r>
            <w:r>
              <w:rPr>
                <w:sz w:val="20"/>
              </w:rPr>
              <w:t>схеме</w:t>
            </w:r>
            <w:r>
              <w:rPr>
                <w:spacing w:val="-13"/>
                <w:sz w:val="20"/>
              </w:rPr>
              <w:t> </w:t>
            </w:r>
            <w:r>
              <w:rPr>
                <w:sz w:val="20"/>
              </w:rPr>
              <w:t>(внутривенное </w:t>
            </w:r>
            <w:r>
              <w:rPr>
                <w:spacing w:val="-2"/>
                <w:sz w:val="20"/>
              </w:rPr>
              <w:t>введение):</w:t>
            </w:r>
          </w:p>
          <w:p>
            <w:pPr>
              <w:pStyle w:val="TableParagraph"/>
              <w:ind w:left="335" w:right="313" w:hanging="286"/>
              <w:rPr>
                <w:sz w:val="20"/>
              </w:rPr>
            </w:pPr>
            <w:r>
              <w:rPr>
                <w:sz w:val="20"/>
              </w:rPr>
              <w:t>−</w:t>
            </w:r>
            <w:r>
              <w:rPr>
                <w:spacing w:val="80"/>
                <w:sz w:val="20"/>
              </w:rPr>
              <w:t> </w:t>
            </w:r>
            <w:r>
              <w:rPr>
                <w:sz w:val="20"/>
              </w:rPr>
              <w:t>200</w:t>
            </w:r>
            <w:r>
              <w:rPr>
                <w:spacing w:val="-5"/>
                <w:sz w:val="20"/>
              </w:rPr>
              <w:t> </w:t>
            </w:r>
            <w:r>
              <w:rPr>
                <w:sz w:val="20"/>
              </w:rPr>
              <w:t>мг</w:t>
            </w:r>
            <w:r>
              <w:rPr>
                <w:spacing w:val="-6"/>
                <w:sz w:val="20"/>
              </w:rPr>
              <w:t> </w:t>
            </w:r>
            <w:r>
              <w:rPr>
                <w:sz w:val="20"/>
              </w:rPr>
              <w:t>каждые</w:t>
            </w:r>
            <w:r>
              <w:rPr>
                <w:spacing w:val="-6"/>
                <w:sz w:val="20"/>
              </w:rPr>
              <w:t> </w:t>
            </w:r>
            <w:r>
              <w:rPr>
                <w:sz w:val="20"/>
              </w:rPr>
              <w:t>12</w:t>
            </w:r>
            <w:r>
              <w:rPr>
                <w:spacing w:val="-5"/>
                <w:sz w:val="20"/>
              </w:rPr>
              <w:t> </w:t>
            </w:r>
            <w:r>
              <w:rPr>
                <w:sz w:val="20"/>
              </w:rPr>
              <w:t>часов</w:t>
            </w:r>
            <w:r>
              <w:rPr>
                <w:spacing w:val="-6"/>
                <w:sz w:val="20"/>
              </w:rPr>
              <w:t> </w:t>
            </w:r>
            <w:r>
              <w:rPr>
                <w:sz w:val="20"/>
              </w:rPr>
              <w:t>(суммарная доза 400 мг/сутки) – в 1-3 дни;</w:t>
            </w:r>
          </w:p>
          <w:p>
            <w:pPr>
              <w:pStyle w:val="TableParagraph"/>
              <w:spacing w:line="237" w:lineRule="auto"/>
              <w:ind w:left="335" w:right="313" w:hanging="286"/>
              <w:rPr>
                <w:sz w:val="20"/>
              </w:rPr>
            </w:pPr>
            <w:r>
              <w:rPr>
                <w:sz w:val="20"/>
              </w:rPr>
              <w:t>−</w:t>
            </w:r>
            <w:r>
              <w:rPr>
                <w:spacing w:val="80"/>
                <w:sz w:val="20"/>
              </w:rPr>
              <w:t> </w:t>
            </w:r>
            <w:r>
              <w:rPr>
                <w:sz w:val="20"/>
              </w:rPr>
              <w:t>100</w:t>
            </w:r>
            <w:r>
              <w:rPr>
                <w:spacing w:val="-5"/>
                <w:sz w:val="20"/>
              </w:rPr>
              <w:t> </w:t>
            </w:r>
            <w:r>
              <w:rPr>
                <w:sz w:val="20"/>
              </w:rPr>
              <w:t>мг</w:t>
            </w:r>
            <w:r>
              <w:rPr>
                <w:spacing w:val="-6"/>
                <w:sz w:val="20"/>
              </w:rPr>
              <w:t> </w:t>
            </w:r>
            <w:r>
              <w:rPr>
                <w:sz w:val="20"/>
              </w:rPr>
              <w:t>каждые</w:t>
            </w:r>
            <w:r>
              <w:rPr>
                <w:spacing w:val="-6"/>
                <w:sz w:val="20"/>
              </w:rPr>
              <w:t> </w:t>
            </w:r>
            <w:r>
              <w:rPr>
                <w:sz w:val="20"/>
              </w:rPr>
              <w:t>12</w:t>
            </w:r>
            <w:r>
              <w:rPr>
                <w:spacing w:val="-5"/>
                <w:sz w:val="20"/>
              </w:rPr>
              <w:t> </w:t>
            </w:r>
            <w:r>
              <w:rPr>
                <w:sz w:val="20"/>
              </w:rPr>
              <w:t>часов</w:t>
            </w:r>
            <w:r>
              <w:rPr>
                <w:spacing w:val="-6"/>
                <w:sz w:val="20"/>
              </w:rPr>
              <w:t> </w:t>
            </w:r>
            <w:r>
              <w:rPr>
                <w:sz w:val="20"/>
              </w:rPr>
              <w:t>(суммарная доза 200 мг/сутки) – 4 день;</w:t>
            </w:r>
          </w:p>
          <w:p>
            <w:pPr>
              <w:pStyle w:val="TableParagraph"/>
              <w:ind w:left="50"/>
              <w:rPr>
                <w:sz w:val="20"/>
              </w:rPr>
            </w:pPr>
            <w:r>
              <w:rPr>
                <w:sz w:val="20"/>
              </w:rPr>
              <w:t>−</w:t>
            </w:r>
            <w:r>
              <w:rPr>
                <w:spacing w:val="67"/>
                <w:w w:val="150"/>
                <w:sz w:val="20"/>
              </w:rPr>
              <w:t> </w:t>
            </w:r>
            <w:r>
              <w:rPr>
                <w:sz w:val="20"/>
              </w:rPr>
              <w:t>100</w:t>
            </w:r>
            <w:r>
              <w:rPr>
                <w:spacing w:val="-4"/>
                <w:sz w:val="20"/>
              </w:rPr>
              <w:t> </w:t>
            </w:r>
            <w:r>
              <w:rPr>
                <w:sz w:val="20"/>
              </w:rPr>
              <w:t>мг</w:t>
            </w:r>
            <w:r>
              <w:rPr>
                <w:spacing w:val="-4"/>
                <w:sz w:val="20"/>
              </w:rPr>
              <w:t> </w:t>
            </w:r>
            <w:r>
              <w:rPr>
                <w:sz w:val="20"/>
              </w:rPr>
              <w:t>однократно</w:t>
            </w:r>
            <w:r>
              <w:rPr>
                <w:spacing w:val="-2"/>
                <w:sz w:val="20"/>
              </w:rPr>
              <w:t> </w:t>
            </w:r>
            <w:r>
              <w:rPr>
                <w:sz w:val="20"/>
              </w:rPr>
              <w:t>на</w:t>
            </w:r>
            <w:r>
              <w:rPr>
                <w:spacing w:val="-3"/>
                <w:sz w:val="20"/>
              </w:rPr>
              <w:t> </w:t>
            </w:r>
            <w:r>
              <w:rPr>
                <w:sz w:val="20"/>
              </w:rPr>
              <w:t>5</w:t>
            </w:r>
            <w:r>
              <w:rPr>
                <w:spacing w:val="-2"/>
                <w:sz w:val="20"/>
              </w:rPr>
              <w:t> </w:t>
            </w:r>
            <w:r>
              <w:rPr>
                <w:spacing w:val="-4"/>
                <w:sz w:val="20"/>
              </w:rPr>
              <w:t>день</w:t>
            </w:r>
          </w:p>
          <w:p>
            <w:pPr>
              <w:pStyle w:val="TableParagraph"/>
              <w:spacing w:before="1"/>
              <w:ind w:left="50" w:right="79"/>
              <w:rPr>
                <w:sz w:val="20"/>
              </w:rPr>
            </w:pPr>
            <w:r>
              <w:rPr>
                <w:sz w:val="20"/>
              </w:rPr>
              <w:t>При</w:t>
            </w:r>
            <w:r>
              <w:rPr>
                <w:spacing w:val="-13"/>
                <w:sz w:val="20"/>
              </w:rPr>
              <w:t> </w:t>
            </w:r>
            <w:r>
              <w:rPr>
                <w:sz w:val="20"/>
              </w:rPr>
              <w:t>сохраняющей</w:t>
            </w:r>
            <w:r>
              <w:rPr>
                <w:spacing w:val="-12"/>
                <w:sz w:val="20"/>
              </w:rPr>
              <w:t> </w:t>
            </w:r>
            <w:r>
              <w:rPr>
                <w:sz w:val="20"/>
              </w:rPr>
              <w:t>фебрильной</w:t>
            </w:r>
            <w:r>
              <w:rPr>
                <w:spacing w:val="-13"/>
                <w:sz w:val="20"/>
              </w:rPr>
              <w:t> </w:t>
            </w:r>
            <w:r>
              <w:rPr>
                <w:sz w:val="20"/>
              </w:rPr>
              <w:t>лихорадке, отсутствии положительной динамики/нарастании лабораторных маркеров воспаления (СРБ, ферритин, ЛДГ, АЛТ, АСТ)/развитии гемофагоцитарного синдрома (некупирующаяся лихорадка, уровень ферритина ≥ 700 нг/мл и одно- трехростковая цитопения, и/или гипофебриногенемия ≤ 2,5 г/л, и/или гипертриглицеридемия ≥1,5 ммоль/л, АСТ&gt;50</w:t>
            </w:r>
            <w:r>
              <w:rPr>
                <w:spacing w:val="-12"/>
                <w:sz w:val="20"/>
              </w:rPr>
              <w:t> </w:t>
            </w:r>
            <w:r>
              <w:rPr>
                <w:sz w:val="20"/>
              </w:rPr>
              <w:t>Ед/л)</w:t>
            </w:r>
            <w:r>
              <w:rPr>
                <w:spacing w:val="-13"/>
                <w:sz w:val="20"/>
              </w:rPr>
              <w:t> </w:t>
            </w:r>
            <w:r>
              <w:rPr>
                <w:sz w:val="20"/>
              </w:rPr>
              <w:t>проводится</w:t>
            </w:r>
            <w:r>
              <w:rPr>
                <w:spacing w:val="-11"/>
                <w:sz w:val="20"/>
              </w:rPr>
              <w:t> </w:t>
            </w:r>
            <w:r>
              <w:rPr>
                <w:sz w:val="20"/>
              </w:rPr>
              <w:t>переключение</w:t>
            </w:r>
            <w:r>
              <w:rPr>
                <w:spacing w:val="-13"/>
                <w:sz w:val="20"/>
              </w:rPr>
              <w:t> </w:t>
            </w:r>
            <w:r>
              <w:rPr>
                <w:sz w:val="20"/>
              </w:rPr>
              <w:t>с анакинры на ингибитор рецептора ИЛ-6 или ингибитор ИЛ-6</w:t>
            </w:r>
          </w:p>
        </w:tc>
        <w:tc>
          <w:tcPr>
            <w:tcW w:w="4742" w:type="dxa"/>
            <w:shd w:val="clear" w:color="auto" w:fill="F1F1F1"/>
          </w:tcPr>
          <w:p>
            <w:pPr>
              <w:pStyle w:val="TableParagraph"/>
              <w:rPr>
                <w:sz w:val="18"/>
              </w:rPr>
            </w:pPr>
          </w:p>
        </w:tc>
      </w:tr>
    </w:tbl>
    <w:p>
      <w:pPr>
        <w:spacing w:before="193"/>
        <w:ind w:left="0" w:right="15" w:firstLine="0"/>
        <w:jc w:val="center"/>
        <w:rPr>
          <w:rFonts w:ascii="Calibri"/>
          <w:sz w:val="22"/>
        </w:rPr>
      </w:pPr>
      <w:r>
        <w:rPr>
          <w:rFonts w:ascii="Calibri"/>
          <w:spacing w:val="-5"/>
          <w:sz w:val="22"/>
        </w:rPr>
        <w:t>199</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0"/>
        <w:gridCol w:w="2835"/>
        <w:gridCol w:w="1498"/>
        <w:gridCol w:w="3829"/>
        <w:gridCol w:w="4742"/>
      </w:tblGrid>
      <w:tr>
        <w:trPr>
          <w:trHeight w:val="5001" w:hRule="atLeast"/>
        </w:trPr>
        <w:tc>
          <w:tcPr>
            <w:tcW w:w="1980" w:type="dxa"/>
            <w:vMerge w:val="restart"/>
            <w:shd w:val="clear" w:color="auto" w:fill="F1F1F1"/>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216"/>
              <w:rPr>
                <w:sz w:val="20"/>
              </w:rPr>
            </w:pPr>
          </w:p>
          <w:p>
            <w:pPr>
              <w:pStyle w:val="TableParagraph"/>
              <w:ind w:left="56"/>
              <w:rPr>
                <w:b/>
                <w:sz w:val="20"/>
              </w:rPr>
            </w:pPr>
            <w:bookmarkStart w:name="201" w:id="238"/>
            <w:bookmarkEnd w:id="238"/>
            <w:r>
              <w:rPr/>
            </w:r>
            <w:r>
              <w:rPr>
                <w:b/>
                <w:spacing w:val="-2"/>
                <w:sz w:val="20"/>
              </w:rPr>
              <w:t>Метилпреднизолон</w:t>
            </w:r>
          </w:p>
        </w:tc>
        <w:tc>
          <w:tcPr>
            <w:tcW w:w="2835" w:type="dxa"/>
            <w:vMerge w:val="restart"/>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13"/>
              <w:rPr>
                <w:sz w:val="20"/>
              </w:rPr>
            </w:pPr>
          </w:p>
          <w:p>
            <w:pPr>
              <w:pStyle w:val="TableParagraph"/>
              <w:ind w:left="54" w:right="125"/>
              <w:rPr>
                <w:sz w:val="20"/>
              </w:rPr>
            </w:pPr>
            <w:r>
              <w:rPr>
                <w:sz w:val="20"/>
              </w:rPr>
              <w:t>Относится к </w:t>
            </w:r>
            <w:r>
              <w:rPr>
                <w:spacing w:val="-2"/>
                <w:sz w:val="20"/>
              </w:rPr>
              <w:t>глюкокортикостероидам, обладает иммуновоспалительным, иммунодеспрессивным, противошоковым фармакологическим</w:t>
            </w:r>
            <w:r>
              <w:rPr>
                <w:spacing w:val="40"/>
                <w:sz w:val="20"/>
              </w:rPr>
              <w:t> </w:t>
            </w:r>
            <w:r>
              <w:rPr>
                <w:sz w:val="20"/>
              </w:rPr>
              <w:t>действием.</w:t>
            </w:r>
            <w:r>
              <w:rPr>
                <w:spacing w:val="-11"/>
                <w:sz w:val="20"/>
              </w:rPr>
              <w:t> </w:t>
            </w:r>
            <w:r>
              <w:rPr>
                <w:sz w:val="20"/>
              </w:rPr>
              <w:t>Влияет</w:t>
            </w:r>
            <w:r>
              <w:rPr>
                <w:spacing w:val="-10"/>
                <w:sz w:val="20"/>
              </w:rPr>
              <w:t> </w:t>
            </w:r>
            <w:r>
              <w:rPr>
                <w:sz w:val="20"/>
              </w:rPr>
              <w:t>на</w:t>
            </w:r>
            <w:r>
              <w:rPr>
                <w:spacing w:val="-11"/>
                <w:sz w:val="20"/>
              </w:rPr>
              <w:t> </w:t>
            </w:r>
            <w:r>
              <w:rPr>
                <w:sz w:val="20"/>
              </w:rPr>
              <w:t>все</w:t>
            </w:r>
            <w:r>
              <w:rPr>
                <w:spacing w:val="-11"/>
                <w:sz w:val="20"/>
              </w:rPr>
              <w:t> </w:t>
            </w:r>
            <w:r>
              <w:rPr>
                <w:sz w:val="20"/>
              </w:rPr>
              <w:t>фазы </w:t>
            </w:r>
            <w:r>
              <w:rPr>
                <w:spacing w:val="-2"/>
                <w:sz w:val="20"/>
              </w:rPr>
              <w:t>воспаления.</w:t>
            </w:r>
          </w:p>
        </w:tc>
        <w:tc>
          <w:tcPr>
            <w:tcW w:w="1498" w:type="dxa"/>
            <w:tcBorders>
              <w:top w:val="single" w:sz="12" w:space="0" w:color="F1F1F1"/>
            </w:tcBorders>
            <w:shd w:val="clear" w:color="auto" w:fill="F1F1F1"/>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93"/>
              <w:rPr>
                <w:sz w:val="20"/>
              </w:rPr>
            </w:pPr>
          </w:p>
          <w:p>
            <w:pPr>
              <w:pStyle w:val="TableParagraph"/>
              <w:ind w:left="52"/>
              <w:rPr>
                <w:sz w:val="20"/>
              </w:rPr>
            </w:pPr>
            <w:r>
              <w:rPr>
                <w:spacing w:val="-2"/>
                <w:sz w:val="20"/>
              </w:rPr>
              <w:t>Раствор</w:t>
            </w:r>
          </w:p>
        </w:tc>
        <w:tc>
          <w:tcPr>
            <w:tcW w:w="3829" w:type="dxa"/>
            <w:tcBorders>
              <w:top w:val="single" w:sz="12" w:space="0" w:color="F1F1F1"/>
            </w:tcBorders>
            <w:shd w:val="clear" w:color="auto" w:fill="F1F1F1"/>
          </w:tcPr>
          <w:p>
            <w:pPr>
              <w:pStyle w:val="TableParagraph"/>
              <w:spacing w:line="206" w:lineRule="exact"/>
              <w:ind w:left="50"/>
              <w:rPr>
                <w:sz w:val="20"/>
              </w:rPr>
            </w:pPr>
            <w:r>
              <w:rPr>
                <w:sz w:val="20"/>
              </w:rPr>
              <w:t>При</w:t>
            </w:r>
            <w:r>
              <w:rPr>
                <w:spacing w:val="-10"/>
                <w:sz w:val="20"/>
              </w:rPr>
              <w:t> </w:t>
            </w:r>
            <w:r>
              <w:rPr>
                <w:sz w:val="20"/>
              </w:rPr>
              <w:t>среднетяжелом</w:t>
            </w:r>
            <w:r>
              <w:rPr>
                <w:spacing w:val="-8"/>
                <w:sz w:val="20"/>
              </w:rPr>
              <w:t> </w:t>
            </w:r>
            <w:r>
              <w:rPr>
                <w:spacing w:val="-2"/>
                <w:sz w:val="20"/>
              </w:rPr>
              <w:t>течении:</w:t>
            </w:r>
          </w:p>
          <w:p>
            <w:pPr>
              <w:pStyle w:val="TableParagraph"/>
              <w:numPr>
                <w:ilvl w:val="0"/>
                <w:numId w:val="110"/>
              </w:numPr>
              <w:tabs>
                <w:tab w:pos="167" w:val="left" w:leader="none"/>
              </w:tabs>
              <w:spacing w:line="216" w:lineRule="auto" w:before="6" w:after="0"/>
              <w:ind w:left="50" w:right="190" w:firstLine="0"/>
              <w:jc w:val="left"/>
              <w:rPr>
                <w:sz w:val="20"/>
              </w:rPr>
            </w:pPr>
            <w:r>
              <w:rPr>
                <w:sz w:val="20"/>
              </w:rPr>
              <w:t>без анатагонистов рецептора ИЛ-6 или блокаторов</w:t>
            </w:r>
            <w:r>
              <w:rPr>
                <w:spacing w:val="-9"/>
                <w:sz w:val="20"/>
              </w:rPr>
              <w:t> </w:t>
            </w:r>
            <w:r>
              <w:rPr>
                <w:sz w:val="20"/>
              </w:rPr>
              <w:t>ИЛ-6</w:t>
            </w:r>
            <w:r>
              <w:rPr>
                <w:spacing w:val="-7"/>
                <w:sz w:val="20"/>
              </w:rPr>
              <w:t> </w:t>
            </w:r>
            <w:r>
              <w:rPr>
                <w:sz w:val="20"/>
              </w:rPr>
              <w:t>-</w:t>
            </w:r>
            <w:r>
              <w:rPr>
                <w:spacing w:val="-7"/>
                <w:sz w:val="20"/>
              </w:rPr>
              <w:t> </w:t>
            </w:r>
            <w:r>
              <w:rPr>
                <w:sz w:val="20"/>
              </w:rPr>
              <w:t>в</w:t>
            </w:r>
            <w:r>
              <w:rPr>
                <w:spacing w:val="-9"/>
                <w:sz w:val="20"/>
              </w:rPr>
              <w:t> </w:t>
            </w:r>
            <w:r>
              <w:rPr>
                <w:sz w:val="20"/>
              </w:rPr>
              <w:t>дозе</w:t>
            </w:r>
            <w:r>
              <w:rPr>
                <w:spacing w:val="-8"/>
                <w:sz w:val="20"/>
              </w:rPr>
              <w:t> </w:t>
            </w:r>
            <w:r>
              <w:rPr>
                <w:sz w:val="20"/>
              </w:rPr>
              <w:t>125</w:t>
            </w:r>
            <w:r>
              <w:rPr>
                <w:spacing w:val="-7"/>
                <w:sz w:val="20"/>
              </w:rPr>
              <w:t> </w:t>
            </w:r>
            <w:r>
              <w:rPr>
                <w:sz w:val="20"/>
              </w:rPr>
              <w:t>мг/введение внутривенно каждые 12 ч. ИЛИ</w:t>
            </w:r>
          </w:p>
          <w:p>
            <w:pPr>
              <w:pStyle w:val="TableParagraph"/>
              <w:numPr>
                <w:ilvl w:val="0"/>
                <w:numId w:val="110"/>
              </w:numPr>
              <w:tabs>
                <w:tab w:pos="167" w:val="left" w:leader="none"/>
              </w:tabs>
              <w:spacing w:line="216" w:lineRule="auto" w:before="1" w:after="0"/>
              <w:ind w:left="50" w:right="346" w:firstLine="0"/>
              <w:jc w:val="left"/>
              <w:rPr>
                <w:sz w:val="20"/>
              </w:rPr>
            </w:pPr>
            <w:r>
              <w:rPr>
                <w:sz w:val="20"/>
              </w:rPr>
              <w:t>250</w:t>
            </w:r>
            <w:r>
              <w:rPr>
                <w:spacing w:val="-13"/>
                <w:sz w:val="20"/>
              </w:rPr>
              <w:t> </w:t>
            </w:r>
            <w:r>
              <w:rPr>
                <w:sz w:val="20"/>
              </w:rPr>
              <w:t>мг/введение</w:t>
            </w:r>
            <w:r>
              <w:rPr>
                <w:spacing w:val="-11"/>
                <w:sz w:val="20"/>
              </w:rPr>
              <w:t> </w:t>
            </w:r>
            <w:r>
              <w:rPr>
                <w:sz w:val="20"/>
              </w:rPr>
              <w:t>внутривенно</w:t>
            </w:r>
            <w:r>
              <w:rPr>
                <w:spacing w:val="-11"/>
                <w:sz w:val="20"/>
              </w:rPr>
              <w:t> </w:t>
            </w:r>
            <w:r>
              <w:rPr>
                <w:sz w:val="20"/>
              </w:rPr>
              <w:t>один</w:t>
            </w:r>
            <w:r>
              <w:rPr>
                <w:spacing w:val="-12"/>
                <w:sz w:val="20"/>
              </w:rPr>
              <w:t> </w:t>
            </w:r>
            <w:r>
              <w:rPr>
                <w:sz w:val="20"/>
              </w:rPr>
              <w:t>раз в сутки.</w:t>
            </w:r>
          </w:p>
          <w:p>
            <w:pPr>
              <w:pStyle w:val="TableParagraph"/>
              <w:spacing w:line="216" w:lineRule="auto"/>
              <w:ind w:left="50" w:right="313"/>
              <w:rPr>
                <w:sz w:val="20"/>
              </w:rPr>
            </w:pPr>
            <w:r>
              <w:rPr>
                <w:sz w:val="20"/>
              </w:rPr>
              <w:t>При среднетяжелом течении с </w:t>
            </w:r>
            <w:r>
              <w:rPr>
                <w:spacing w:val="-2"/>
                <w:sz w:val="20"/>
              </w:rPr>
              <w:t>дыхательной </w:t>
            </w:r>
            <w:r>
              <w:rPr>
                <w:spacing w:val="-2"/>
                <w:sz w:val="20"/>
              </w:rPr>
              <w:t>недостаточностью,</w:t>
            </w:r>
          </w:p>
          <w:p>
            <w:pPr>
              <w:pStyle w:val="TableParagraph"/>
              <w:spacing w:line="216" w:lineRule="auto"/>
              <w:ind w:left="50" w:right="539"/>
              <w:rPr>
                <w:sz w:val="20"/>
              </w:rPr>
            </w:pPr>
            <w:r>
              <w:rPr>
                <w:sz w:val="20"/>
              </w:rPr>
              <w:t>в</w:t>
            </w:r>
            <w:r>
              <w:rPr>
                <w:spacing w:val="-9"/>
                <w:sz w:val="20"/>
              </w:rPr>
              <w:t> </w:t>
            </w:r>
            <w:r>
              <w:rPr>
                <w:sz w:val="20"/>
              </w:rPr>
              <w:t>сочетании</w:t>
            </w:r>
            <w:r>
              <w:rPr>
                <w:spacing w:val="-9"/>
                <w:sz w:val="20"/>
              </w:rPr>
              <w:t> </w:t>
            </w:r>
            <w:r>
              <w:rPr>
                <w:sz w:val="20"/>
              </w:rPr>
              <w:t>с</w:t>
            </w:r>
            <w:r>
              <w:rPr>
                <w:spacing w:val="-8"/>
                <w:sz w:val="20"/>
              </w:rPr>
              <w:t> </w:t>
            </w:r>
            <w:r>
              <w:rPr>
                <w:sz w:val="20"/>
              </w:rPr>
              <w:t>блокаторами</w:t>
            </w:r>
            <w:r>
              <w:rPr>
                <w:spacing w:val="-9"/>
                <w:sz w:val="20"/>
              </w:rPr>
              <w:t> </w:t>
            </w:r>
            <w:r>
              <w:rPr>
                <w:sz w:val="20"/>
              </w:rPr>
              <w:t>рецептора ИЛ-6 или ИЛ-6 – в дозе 60 мг/введение/внутривенно</w:t>
            </w:r>
            <w:r>
              <w:rPr>
                <w:spacing w:val="-13"/>
                <w:sz w:val="20"/>
              </w:rPr>
              <w:t> </w:t>
            </w:r>
            <w:r>
              <w:rPr>
                <w:sz w:val="20"/>
              </w:rPr>
              <w:t>каждые</w:t>
            </w:r>
            <w:r>
              <w:rPr>
                <w:spacing w:val="-12"/>
                <w:sz w:val="20"/>
              </w:rPr>
              <w:t> </w:t>
            </w:r>
            <w:r>
              <w:rPr>
                <w:sz w:val="20"/>
              </w:rPr>
              <w:t>8</w:t>
            </w:r>
            <w:r>
              <w:rPr>
                <w:spacing w:val="-13"/>
                <w:sz w:val="20"/>
              </w:rPr>
              <w:t> </w:t>
            </w:r>
            <w:r>
              <w:rPr>
                <w:sz w:val="20"/>
              </w:rPr>
              <w:t>ч. При тяжелом течении:</w:t>
            </w:r>
          </w:p>
          <w:p>
            <w:pPr>
              <w:pStyle w:val="TableParagraph"/>
              <w:numPr>
                <w:ilvl w:val="0"/>
                <w:numId w:val="110"/>
              </w:numPr>
              <w:tabs>
                <w:tab w:pos="167" w:val="left" w:leader="none"/>
              </w:tabs>
              <w:spacing w:line="216" w:lineRule="auto" w:before="0" w:after="0"/>
              <w:ind w:left="50" w:right="260" w:firstLine="0"/>
              <w:jc w:val="left"/>
              <w:rPr>
                <w:sz w:val="20"/>
              </w:rPr>
            </w:pPr>
            <w:r>
              <w:rPr>
                <w:sz w:val="20"/>
              </w:rPr>
              <w:t>без анатагонистов рецептора ИЛ-6 или блокаторов</w:t>
            </w:r>
            <w:r>
              <w:rPr>
                <w:spacing w:val="-7"/>
                <w:sz w:val="20"/>
              </w:rPr>
              <w:t> </w:t>
            </w:r>
            <w:r>
              <w:rPr>
                <w:sz w:val="20"/>
              </w:rPr>
              <w:t>ИЛ-6,</w:t>
            </w:r>
            <w:r>
              <w:rPr>
                <w:spacing w:val="-6"/>
                <w:sz w:val="20"/>
              </w:rPr>
              <w:t> </w:t>
            </w:r>
            <w:r>
              <w:rPr>
                <w:sz w:val="20"/>
              </w:rPr>
              <w:t>или</w:t>
            </w:r>
            <w:r>
              <w:rPr>
                <w:spacing w:val="-7"/>
                <w:sz w:val="20"/>
              </w:rPr>
              <w:t> </w:t>
            </w:r>
            <w:r>
              <w:rPr>
                <w:sz w:val="20"/>
              </w:rPr>
              <w:t>ИЛ-1β</w:t>
            </w:r>
            <w:r>
              <w:rPr>
                <w:spacing w:val="-6"/>
                <w:sz w:val="20"/>
              </w:rPr>
              <w:t> </w:t>
            </w:r>
            <w:r>
              <w:rPr>
                <w:sz w:val="20"/>
              </w:rPr>
              <w:t>-</w:t>
            </w:r>
            <w:r>
              <w:rPr>
                <w:spacing w:val="-5"/>
                <w:sz w:val="20"/>
              </w:rPr>
              <w:t> </w:t>
            </w:r>
            <w:r>
              <w:rPr>
                <w:sz w:val="20"/>
              </w:rPr>
              <w:t>в</w:t>
            </w:r>
            <w:r>
              <w:rPr>
                <w:spacing w:val="-7"/>
                <w:sz w:val="20"/>
              </w:rPr>
              <w:t> </w:t>
            </w:r>
            <w:r>
              <w:rPr>
                <w:sz w:val="20"/>
              </w:rPr>
              <w:t>дозе</w:t>
            </w:r>
            <w:r>
              <w:rPr>
                <w:spacing w:val="-6"/>
                <w:sz w:val="20"/>
              </w:rPr>
              <w:t> </w:t>
            </w:r>
            <w:r>
              <w:rPr>
                <w:sz w:val="20"/>
              </w:rPr>
              <w:t>125 мг/введение внутривенно каждые 6-8 ч. </w:t>
            </w:r>
            <w:r>
              <w:rPr>
                <w:spacing w:val="-4"/>
                <w:sz w:val="20"/>
              </w:rPr>
              <w:t>ИЛИ</w:t>
            </w:r>
          </w:p>
          <w:p>
            <w:pPr>
              <w:pStyle w:val="TableParagraph"/>
              <w:numPr>
                <w:ilvl w:val="0"/>
                <w:numId w:val="110"/>
              </w:numPr>
              <w:tabs>
                <w:tab w:pos="167" w:val="left" w:leader="none"/>
              </w:tabs>
              <w:spacing w:line="216" w:lineRule="auto" w:before="0" w:after="0"/>
              <w:ind w:left="50" w:right="1127" w:firstLine="0"/>
              <w:jc w:val="left"/>
              <w:rPr>
                <w:sz w:val="20"/>
              </w:rPr>
            </w:pPr>
            <w:r>
              <w:rPr>
                <w:sz w:val="20"/>
              </w:rPr>
              <w:t>250</w:t>
            </w:r>
            <w:r>
              <w:rPr>
                <w:spacing w:val="-13"/>
                <w:sz w:val="20"/>
              </w:rPr>
              <w:t> </w:t>
            </w:r>
            <w:r>
              <w:rPr>
                <w:sz w:val="20"/>
              </w:rPr>
              <w:t>мг/введение</w:t>
            </w:r>
            <w:r>
              <w:rPr>
                <w:spacing w:val="-12"/>
                <w:sz w:val="20"/>
              </w:rPr>
              <w:t> </w:t>
            </w:r>
            <w:r>
              <w:rPr>
                <w:sz w:val="20"/>
              </w:rPr>
              <w:t>внутривенно </w:t>
            </w:r>
            <w:r>
              <w:rPr>
                <w:spacing w:val="-2"/>
                <w:sz w:val="20"/>
              </w:rPr>
              <w:t>однократно.</w:t>
            </w:r>
          </w:p>
          <w:p>
            <w:pPr>
              <w:pStyle w:val="TableParagraph"/>
              <w:spacing w:line="199" w:lineRule="exact"/>
              <w:ind w:left="50"/>
              <w:rPr>
                <w:sz w:val="20"/>
              </w:rPr>
            </w:pPr>
            <w:r>
              <w:rPr>
                <w:sz w:val="20"/>
              </w:rPr>
              <w:t>При</w:t>
            </w:r>
            <w:r>
              <w:rPr>
                <w:spacing w:val="-7"/>
                <w:sz w:val="20"/>
              </w:rPr>
              <w:t> </w:t>
            </w:r>
            <w:r>
              <w:rPr>
                <w:sz w:val="20"/>
              </w:rPr>
              <w:t>тяжелом</w:t>
            </w:r>
            <w:r>
              <w:rPr>
                <w:spacing w:val="-4"/>
                <w:sz w:val="20"/>
              </w:rPr>
              <w:t> </w:t>
            </w:r>
            <w:r>
              <w:rPr>
                <w:spacing w:val="-2"/>
                <w:sz w:val="20"/>
              </w:rPr>
              <w:t>течении:</w:t>
            </w:r>
          </w:p>
          <w:p>
            <w:pPr>
              <w:pStyle w:val="TableParagraph"/>
              <w:numPr>
                <w:ilvl w:val="0"/>
                <w:numId w:val="110"/>
              </w:numPr>
              <w:tabs>
                <w:tab w:pos="167" w:val="left" w:leader="none"/>
              </w:tabs>
              <w:spacing w:line="216" w:lineRule="auto" w:before="6" w:after="0"/>
              <w:ind w:left="50" w:right="79" w:firstLine="0"/>
              <w:jc w:val="left"/>
              <w:rPr>
                <w:sz w:val="20"/>
              </w:rPr>
            </w:pPr>
            <w:r>
              <w:rPr>
                <w:sz w:val="20"/>
              </w:rPr>
              <w:t>в сочетании с анатагонистами рецептора ИЛ-6 или блокаторами ИЛ-6, или ИЛ-1β – в</w:t>
            </w:r>
            <w:r>
              <w:rPr>
                <w:spacing w:val="-13"/>
                <w:sz w:val="20"/>
              </w:rPr>
              <w:t> </w:t>
            </w:r>
            <w:r>
              <w:rPr>
                <w:sz w:val="20"/>
              </w:rPr>
              <w:t>дозе</w:t>
            </w:r>
            <w:r>
              <w:rPr>
                <w:spacing w:val="-12"/>
                <w:sz w:val="20"/>
              </w:rPr>
              <w:t> </w:t>
            </w:r>
            <w:r>
              <w:rPr>
                <w:sz w:val="20"/>
              </w:rPr>
              <w:t>60</w:t>
            </w:r>
            <w:r>
              <w:rPr>
                <w:spacing w:val="-12"/>
                <w:sz w:val="20"/>
              </w:rPr>
              <w:t> </w:t>
            </w:r>
            <w:r>
              <w:rPr>
                <w:sz w:val="20"/>
              </w:rPr>
              <w:t>мг/введение/внутривенно</w:t>
            </w:r>
            <w:r>
              <w:rPr>
                <w:spacing w:val="-12"/>
                <w:sz w:val="20"/>
              </w:rPr>
              <w:t> </w:t>
            </w:r>
            <w:r>
              <w:rPr>
                <w:sz w:val="20"/>
              </w:rPr>
              <w:t>каждые 6-8 ч.</w:t>
            </w:r>
          </w:p>
        </w:tc>
        <w:tc>
          <w:tcPr>
            <w:tcW w:w="4742" w:type="dxa"/>
            <w:vMerge w:val="restart"/>
            <w:tcBorders>
              <w:top w:val="single" w:sz="12" w:space="0" w:color="F1F1F1"/>
            </w:tcBorders>
            <w:shd w:val="clear" w:color="auto" w:fill="F1F1F1"/>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209"/>
              <w:rPr>
                <w:sz w:val="20"/>
              </w:rPr>
            </w:pPr>
          </w:p>
          <w:p>
            <w:pPr>
              <w:pStyle w:val="TableParagraph"/>
              <w:ind w:left="43"/>
              <w:rPr>
                <w:b/>
                <w:sz w:val="20"/>
              </w:rPr>
            </w:pPr>
            <w:r>
              <w:rPr>
                <w:b/>
                <w:sz w:val="20"/>
              </w:rPr>
              <w:t>Применять</w:t>
            </w:r>
            <w:r>
              <w:rPr>
                <w:b/>
                <w:spacing w:val="-11"/>
                <w:sz w:val="20"/>
              </w:rPr>
              <w:t> </w:t>
            </w:r>
            <w:r>
              <w:rPr>
                <w:b/>
                <w:sz w:val="20"/>
              </w:rPr>
              <w:t>с</w:t>
            </w:r>
            <w:r>
              <w:rPr>
                <w:b/>
                <w:spacing w:val="-10"/>
                <w:sz w:val="20"/>
              </w:rPr>
              <w:t> </w:t>
            </w:r>
            <w:r>
              <w:rPr>
                <w:b/>
                <w:sz w:val="20"/>
              </w:rPr>
              <w:t>осторожностью</w:t>
            </w:r>
            <w:r>
              <w:rPr>
                <w:b/>
                <w:spacing w:val="-12"/>
                <w:sz w:val="20"/>
              </w:rPr>
              <w:t> </w:t>
            </w:r>
            <w:r>
              <w:rPr>
                <w:b/>
                <w:spacing w:val="-4"/>
                <w:sz w:val="20"/>
              </w:rPr>
              <w:t>при:</w:t>
            </w:r>
          </w:p>
          <w:p>
            <w:pPr>
              <w:pStyle w:val="TableParagraph"/>
              <w:numPr>
                <w:ilvl w:val="0"/>
                <w:numId w:val="111"/>
              </w:numPr>
              <w:tabs>
                <w:tab w:pos="186" w:val="left" w:leader="none"/>
              </w:tabs>
              <w:spacing w:line="240" w:lineRule="auto" w:before="46" w:after="0"/>
              <w:ind w:left="186" w:right="0" w:hanging="143"/>
              <w:jc w:val="left"/>
              <w:rPr>
                <w:sz w:val="20"/>
              </w:rPr>
            </w:pPr>
            <w:r>
              <w:rPr>
                <w:sz w:val="20"/>
              </w:rPr>
              <w:t>Cахарном</w:t>
            </w:r>
            <w:r>
              <w:rPr>
                <w:spacing w:val="-8"/>
                <w:sz w:val="20"/>
              </w:rPr>
              <w:t> </w:t>
            </w:r>
            <w:r>
              <w:rPr>
                <w:spacing w:val="-2"/>
                <w:sz w:val="20"/>
              </w:rPr>
              <w:t>диабете;</w:t>
            </w:r>
          </w:p>
          <w:p>
            <w:pPr>
              <w:pStyle w:val="TableParagraph"/>
              <w:numPr>
                <w:ilvl w:val="0"/>
                <w:numId w:val="111"/>
              </w:numPr>
              <w:tabs>
                <w:tab w:pos="186" w:val="left" w:leader="none"/>
              </w:tabs>
              <w:spacing w:line="240" w:lineRule="auto" w:before="33" w:after="0"/>
              <w:ind w:left="186" w:right="0" w:hanging="143"/>
              <w:jc w:val="left"/>
              <w:rPr>
                <w:sz w:val="20"/>
              </w:rPr>
            </w:pPr>
            <w:r>
              <w:rPr>
                <w:spacing w:val="-2"/>
                <w:sz w:val="20"/>
              </w:rPr>
              <w:t>Гипертонической</w:t>
            </w:r>
            <w:r>
              <w:rPr>
                <w:spacing w:val="10"/>
                <w:sz w:val="20"/>
              </w:rPr>
              <w:t> </w:t>
            </w:r>
            <w:r>
              <w:rPr>
                <w:spacing w:val="-2"/>
                <w:sz w:val="20"/>
              </w:rPr>
              <w:t>болезни;</w:t>
            </w:r>
          </w:p>
          <w:p>
            <w:pPr>
              <w:pStyle w:val="TableParagraph"/>
              <w:numPr>
                <w:ilvl w:val="0"/>
                <w:numId w:val="111"/>
              </w:numPr>
              <w:tabs>
                <w:tab w:pos="186" w:val="left" w:leader="none"/>
              </w:tabs>
              <w:spacing w:line="240" w:lineRule="auto" w:before="33" w:after="0"/>
              <w:ind w:left="186" w:right="0" w:hanging="143"/>
              <w:jc w:val="left"/>
              <w:rPr>
                <w:sz w:val="20"/>
              </w:rPr>
            </w:pPr>
            <w:r>
              <w:rPr>
                <w:sz w:val="20"/>
              </w:rPr>
              <w:t>Язвенной</w:t>
            </w:r>
            <w:r>
              <w:rPr>
                <w:spacing w:val="-7"/>
                <w:sz w:val="20"/>
              </w:rPr>
              <w:t> </w:t>
            </w:r>
            <w:r>
              <w:rPr>
                <w:sz w:val="20"/>
              </w:rPr>
              <w:t>болезни</w:t>
            </w:r>
            <w:r>
              <w:rPr>
                <w:spacing w:val="-9"/>
                <w:sz w:val="20"/>
              </w:rPr>
              <w:t> </w:t>
            </w:r>
            <w:r>
              <w:rPr>
                <w:sz w:val="20"/>
              </w:rPr>
              <w:t>желудка</w:t>
            </w:r>
            <w:r>
              <w:rPr>
                <w:spacing w:val="-5"/>
                <w:sz w:val="20"/>
              </w:rPr>
              <w:t> </w:t>
            </w:r>
            <w:r>
              <w:rPr>
                <w:sz w:val="20"/>
              </w:rPr>
              <w:t>и</w:t>
            </w:r>
            <w:r>
              <w:rPr>
                <w:spacing w:val="-9"/>
                <w:sz w:val="20"/>
              </w:rPr>
              <w:t> </w:t>
            </w:r>
            <w:r>
              <w:rPr>
                <w:sz w:val="20"/>
              </w:rPr>
              <w:t>12-перстной</w:t>
            </w:r>
            <w:r>
              <w:rPr>
                <w:spacing w:val="-8"/>
                <w:sz w:val="20"/>
              </w:rPr>
              <w:t> </w:t>
            </w:r>
            <w:r>
              <w:rPr>
                <w:spacing w:val="-2"/>
                <w:sz w:val="20"/>
              </w:rPr>
              <w:t>кишки;</w:t>
            </w:r>
          </w:p>
          <w:p>
            <w:pPr>
              <w:pStyle w:val="TableParagraph"/>
              <w:numPr>
                <w:ilvl w:val="0"/>
                <w:numId w:val="111"/>
              </w:numPr>
              <w:tabs>
                <w:tab w:pos="186" w:val="left" w:leader="none"/>
              </w:tabs>
              <w:spacing w:line="240" w:lineRule="auto" w:before="36" w:after="0"/>
              <w:ind w:left="186" w:right="0" w:hanging="143"/>
              <w:jc w:val="left"/>
              <w:rPr>
                <w:sz w:val="20"/>
              </w:rPr>
            </w:pPr>
            <w:r>
              <w:rPr>
                <w:spacing w:val="-2"/>
                <w:sz w:val="20"/>
              </w:rPr>
              <w:t>Ожирении;</w:t>
            </w:r>
          </w:p>
          <w:p>
            <w:pPr>
              <w:pStyle w:val="TableParagraph"/>
              <w:numPr>
                <w:ilvl w:val="0"/>
                <w:numId w:val="111"/>
              </w:numPr>
              <w:tabs>
                <w:tab w:pos="186" w:val="left" w:leader="none"/>
              </w:tabs>
              <w:spacing w:line="240" w:lineRule="auto" w:before="33" w:after="0"/>
              <w:ind w:left="186" w:right="0" w:hanging="143"/>
              <w:jc w:val="left"/>
              <w:rPr>
                <w:sz w:val="20"/>
              </w:rPr>
            </w:pPr>
            <w:r>
              <w:rPr>
                <w:sz w:val="20"/>
              </w:rPr>
              <w:t>Признаках</w:t>
            </w:r>
            <w:r>
              <w:rPr>
                <w:spacing w:val="-10"/>
                <w:sz w:val="20"/>
              </w:rPr>
              <w:t> </w:t>
            </w:r>
            <w:r>
              <w:rPr>
                <w:sz w:val="20"/>
              </w:rPr>
              <w:t>активной</w:t>
            </w:r>
            <w:r>
              <w:rPr>
                <w:spacing w:val="-12"/>
                <w:sz w:val="20"/>
              </w:rPr>
              <w:t> </w:t>
            </w:r>
            <w:r>
              <w:rPr>
                <w:sz w:val="20"/>
              </w:rPr>
              <w:t>бактериальной</w:t>
            </w:r>
            <w:r>
              <w:rPr>
                <w:spacing w:val="-11"/>
                <w:sz w:val="20"/>
              </w:rPr>
              <w:t> </w:t>
            </w:r>
            <w:r>
              <w:rPr>
                <w:spacing w:val="-2"/>
                <w:sz w:val="20"/>
              </w:rPr>
              <w:t>инфекции;</w:t>
            </w:r>
          </w:p>
          <w:p>
            <w:pPr>
              <w:pStyle w:val="TableParagraph"/>
              <w:numPr>
                <w:ilvl w:val="0"/>
                <w:numId w:val="111"/>
              </w:numPr>
              <w:tabs>
                <w:tab w:pos="186" w:val="left" w:leader="none"/>
              </w:tabs>
              <w:spacing w:line="240" w:lineRule="auto" w:before="33" w:after="0"/>
              <w:ind w:left="186" w:right="0" w:hanging="143"/>
              <w:jc w:val="left"/>
              <w:rPr>
                <w:sz w:val="20"/>
              </w:rPr>
            </w:pPr>
            <w:r>
              <w:rPr>
                <w:spacing w:val="-2"/>
                <w:sz w:val="20"/>
              </w:rPr>
              <w:t>Тромботических</w:t>
            </w:r>
            <w:r>
              <w:rPr>
                <w:spacing w:val="11"/>
                <w:sz w:val="20"/>
              </w:rPr>
              <w:t> </w:t>
            </w:r>
            <w:r>
              <w:rPr>
                <w:spacing w:val="-2"/>
                <w:sz w:val="20"/>
              </w:rPr>
              <w:t>нарушениях.</w:t>
            </w:r>
          </w:p>
        </w:tc>
      </w:tr>
      <w:tr>
        <w:trPr>
          <w:trHeight w:val="1158" w:hRule="atLeast"/>
        </w:trPr>
        <w:tc>
          <w:tcPr>
            <w:tcW w:w="1980" w:type="dxa"/>
            <w:vMerge/>
            <w:tcBorders>
              <w:top w:val="nil"/>
            </w:tcBorders>
            <w:shd w:val="clear" w:color="auto" w:fill="F1F1F1"/>
          </w:tcPr>
          <w:p>
            <w:pPr>
              <w:rPr>
                <w:sz w:val="2"/>
                <w:szCs w:val="2"/>
              </w:rPr>
            </w:pPr>
          </w:p>
        </w:tc>
        <w:tc>
          <w:tcPr>
            <w:tcW w:w="2835" w:type="dxa"/>
            <w:vMerge/>
            <w:tcBorders>
              <w:top w:val="nil"/>
            </w:tcBorders>
          </w:tcPr>
          <w:p>
            <w:pPr>
              <w:rPr>
                <w:sz w:val="2"/>
                <w:szCs w:val="2"/>
              </w:rPr>
            </w:pPr>
          </w:p>
        </w:tc>
        <w:tc>
          <w:tcPr>
            <w:tcW w:w="1498" w:type="dxa"/>
          </w:tcPr>
          <w:p>
            <w:pPr>
              <w:pStyle w:val="TableParagraph"/>
              <w:rPr>
                <w:sz w:val="20"/>
              </w:rPr>
            </w:pPr>
          </w:p>
          <w:p>
            <w:pPr>
              <w:pStyle w:val="TableParagraph"/>
              <w:spacing w:before="17"/>
              <w:rPr>
                <w:sz w:val="20"/>
              </w:rPr>
            </w:pPr>
          </w:p>
          <w:p>
            <w:pPr>
              <w:pStyle w:val="TableParagraph"/>
              <w:ind w:left="52"/>
              <w:rPr>
                <w:sz w:val="20"/>
              </w:rPr>
            </w:pPr>
            <w:r>
              <w:rPr>
                <w:spacing w:val="-2"/>
                <w:sz w:val="20"/>
              </w:rPr>
              <w:t>Таблетки</w:t>
            </w:r>
          </w:p>
        </w:tc>
        <w:tc>
          <w:tcPr>
            <w:tcW w:w="3829" w:type="dxa"/>
          </w:tcPr>
          <w:p>
            <w:pPr>
              <w:pStyle w:val="TableParagraph"/>
              <w:spacing w:before="17"/>
              <w:rPr>
                <w:sz w:val="20"/>
              </w:rPr>
            </w:pPr>
          </w:p>
          <w:p>
            <w:pPr>
              <w:pStyle w:val="TableParagraph"/>
              <w:ind w:left="50"/>
              <w:rPr>
                <w:sz w:val="20"/>
              </w:rPr>
            </w:pPr>
            <w:r>
              <w:rPr>
                <w:sz w:val="20"/>
              </w:rPr>
              <w:t>6-12</w:t>
            </w:r>
            <w:r>
              <w:rPr>
                <w:spacing w:val="-10"/>
                <w:sz w:val="20"/>
              </w:rPr>
              <w:t> </w:t>
            </w:r>
            <w:r>
              <w:rPr>
                <w:sz w:val="20"/>
              </w:rPr>
              <w:t>мг</w:t>
            </w:r>
            <w:r>
              <w:rPr>
                <w:spacing w:val="-8"/>
                <w:sz w:val="20"/>
              </w:rPr>
              <w:t> </w:t>
            </w:r>
            <w:r>
              <w:rPr>
                <w:sz w:val="20"/>
              </w:rPr>
              <w:t>–</w:t>
            </w:r>
            <w:r>
              <w:rPr>
                <w:spacing w:val="-7"/>
                <w:sz w:val="20"/>
              </w:rPr>
              <w:t> </w:t>
            </w:r>
            <w:r>
              <w:rPr>
                <w:sz w:val="20"/>
              </w:rPr>
              <w:t>однократно</w:t>
            </w:r>
            <w:r>
              <w:rPr>
                <w:spacing w:val="-7"/>
                <w:sz w:val="20"/>
              </w:rPr>
              <w:t> </w:t>
            </w:r>
            <w:r>
              <w:rPr>
                <w:sz w:val="20"/>
              </w:rPr>
              <w:t>утром,</w:t>
            </w:r>
            <w:r>
              <w:rPr>
                <w:spacing w:val="-10"/>
                <w:sz w:val="20"/>
              </w:rPr>
              <w:t> </w:t>
            </w:r>
            <w:r>
              <w:rPr>
                <w:sz w:val="20"/>
              </w:rPr>
              <w:t>после</w:t>
            </w:r>
            <w:r>
              <w:rPr>
                <w:spacing w:val="-8"/>
                <w:sz w:val="20"/>
              </w:rPr>
              <w:t> </w:t>
            </w:r>
            <w:r>
              <w:rPr>
                <w:sz w:val="20"/>
              </w:rPr>
              <w:t>приема пищи, за 12 ч до начала снижения дозы метилпреднизолона для в/в введения.</w:t>
            </w:r>
          </w:p>
        </w:tc>
        <w:tc>
          <w:tcPr>
            <w:tcW w:w="4742" w:type="dxa"/>
            <w:vMerge/>
            <w:tcBorders>
              <w:top w:val="nil"/>
            </w:tcBorders>
            <w:shd w:val="clear" w:color="auto" w:fill="F1F1F1"/>
          </w:tcPr>
          <w:p>
            <w:pPr>
              <w:rPr>
                <w:sz w:val="2"/>
                <w:szCs w:val="2"/>
              </w:rPr>
            </w:pPr>
          </w:p>
        </w:tc>
      </w:tr>
      <w:tr>
        <w:trPr>
          <w:trHeight w:val="2085" w:hRule="atLeast"/>
        </w:trPr>
        <w:tc>
          <w:tcPr>
            <w:tcW w:w="1980" w:type="dxa"/>
          </w:tcPr>
          <w:p>
            <w:pPr>
              <w:pStyle w:val="TableParagraph"/>
              <w:rPr>
                <w:sz w:val="20"/>
              </w:rPr>
            </w:pPr>
          </w:p>
          <w:p>
            <w:pPr>
              <w:pStyle w:val="TableParagraph"/>
              <w:rPr>
                <w:sz w:val="20"/>
              </w:rPr>
            </w:pPr>
          </w:p>
          <w:p>
            <w:pPr>
              <w:pStyle w:val="TableParagraph"/>
              <w:rPr>
                <w:sz w:val="20"/>
              </w:rPr>
            </w:pPr>
          </w:p>
          <w:p>
            <w:pPr>
              <w:pStyle w:val="TableParagraph"/>
              <w:spacing w:before="17"/>
              <w:rPr>
                <w:sz w:val="20"/>
              </w:rPr>
            </w:pPr>
          </w:p>
          <w:p>
            <w:pPr>
              <w:pStyle w:val="TableParagraph"/>
              <w:ind w:left="56"/>
              <w:rPr>
                <w:b/>
                <w:sz w:val="20"/>
              </w:rPr>
            </w:pPr>
            <w:r>
              <w:rPr>
                <w:b/>
                <w:spacing w:val="-2"/>
                <w:sz w:val="20"/>
              </w:rPr>
              <w:t>Дексаметазон</w:t>
            </w:r>
          </w:p>
        </w:tc>
        <w:tc>
          <w:tcPr>
            <w:tcW w:w="2835" w:type="dxa"/>
            <w:vMerge/>
            <w:tcBorders>
              <w:top w:val="nil"/>
            </w:tcBorders>
          </w:tcPr>
          <w:p>
            <w:pPr>
              <w:rPr>
                <w:sz w:val="2"/>
                <w:szCs w:val="2"/>
              </w:rPr>
            </w:pPr>
          </w:p>
        </w:tc>
        <w:tc>
          <w:tcPr>
            <w:tcW w:w="1498" w:type="dxa"/>
          </w:tcPr>
          <w:p>
            <w:pPr>
              <w:pStyle w:val="TableParagraph"/>
              <w:rPr>
                <w:sz w:val="20"/>
              </w:rPr>
            </w:pPr>
          </w:p>
          <w:p>
            <w:pPr>
              <w:pStyle w:val="TableParagraph"/>
              <w:rPr>
                <w:sz w:val="20"/>
              </w:rPr>
            </w:pPr>
          </w:p>
          <w:p>
            <w:pPr>
              <w:pStyle w:val="TableParagraph"/>
              <w:rPr>
                <w:sz w:val="20"/>
              </w:rPr>
            </w:pPr>
          </w:p>
          <w:p>
            <w:pPr>
              <w:pStyle w:val="TableParagraph"/>
              <w:spacing w:before="17"/>
              <w:rPr>
                <w:sz w:val="20"/>
              </w:rPr>
            </w:pPr>
          </w:p>
          <w:p>
            <w:pPr>
              <w:pStyle w:val="TableParagraph"/>
              <w:ind w:left="52"/>
              <w:rPr>
                <w:sz w:val="20"/>
              </w:rPr>
            </w:pPr>
            <w:r>
              <w:rPr>
                <w:spacing w:val="-2"/>
                <w:sz w:val="20"/>
              </w:rPr>
              <w:t>Раствор</w:t>
            </w:r>
          </w:p>
        </w:tc>
        <w:tc>
          <w:tcPr>
            <w:tcW w:w="3829" w:type="dxa"/>
          </w:tcPr>
          <w:p>
            <w:pPr>
              <w:pStyle w:val="TableParagraph"/>
              <w:spacing w:before="19"/>
              <w:ind w:left="50"/>
              <w:rPr>
                <w:sz w:val="20"/>
              </w:rPr>
            </w:pPr>
            <w:r>
              <w:rPr>
                <w:sz w:val="20"/>
              </w:rPr>
              <w:t>При</w:t>
            </w:r>
            <w:r>
              <w:rPr>
                <w:spacing w:val="-10"/>
                <w:sz w:val="20"/>
              </w:rPr>
              <w:t> </w:t>
            </w:r>
            <w:r>
              <w:rPr>
                <w:sz w:val="20"/>
              </w:rPr>
              <w:t>среднетяжелом</w:t>
            </w:r>
            <w:r>
              <w:rPr>
                <w:spacing w:val="-8"/>
                <w:sz w:val="20"/>
              </w:rPr>
              <w:t> </w:t>
            </w:r>
            <w:r>
              <w:rPr>
                <w:spacing w:val="-2"/>
                <w:sz w:val="20"/>
              </w:rPr>
              <w:t>течении:</w:t>
            </w:r>
          </w:p>
          <w:p>
            <w:pPr>
              <w:pStyle w:val="TableParagraph"/>
              <w:numPr>
                <w:ilvl w:val="0"/>
                <w:numId w:val="112"/>
              </w:numPr>
              <w:tabs>
                <w:tab w:pos="167" w:val="left" w:leader="none"/>
              </w:tabs>
              <w:spacing w:line="240" w:lineRule="auto" w:before="0" w:after="0"/>
              <w:ind w:left="50" w:right="329" w:firstLine="0"/>
              <w:jc w:val="left"/>
              <w:rPr>
                <w:sz w:val="20"/>
              </w:rPr>
            </w:pPr>
            <w:r>
              <w:rPr>
                <w:sz w:val="20"/>
              </w:rPr>
              <w:t>без</w:t>
            </w:r>
            <w:r>
              <w:rPr>
                <w:spacing w:val="-11"/>
                <w:sz w:val="20"/>
              </w:rPr>
              <w:t> </w:t>
            </w:r>
            <w:r>
              <w:rPr>
                <w:sz w:val="20"/>
              </w:rPr>
              <w:t>анатагонистов</w:t>
            </w:r>
            <w:r>
              <w:rPr>
                <w:spacing w:val="-12"/>
                <w:sz w:val="20"/>
              </w:rPr>
              <w:t> </w:t>
            </w:r>
            <w:r>
              <w:rPr>
                <w:sz w:val="20"/>
              </w:rPr>
              <w:t>рецептора</w:t>
            </w:r>
            <w:r>
              <w:rPr>
                <w:spacing w:val="-11"/>
                <w:sz w:val="20"/>
              </w:rPr>
              <w:t> </w:t>
            </w:r>
            <w:r>
              <w:rPr>
                <w:sz w:val="20"/>
              </w:rPr>
              <w:t>ИЛ-6</w:t>
            </w:r>
            <w:r>
              <w:rPr>
                <w:spacing w:val="-10"/>
                <w:sz w:val="20"/>
              </w:rPr>
              <w:t> </w:t>
            </w:r>
            <w:r>
              <w:rPr>
                <w:sz w:val="20"/>
              </w:rPr>
              <w:t>или блокаторов ИЛ-6 – в дозе 6-20 мг/сутки внутривенно в зависимости от тяжести состояния пациента за 2 введения.</w:t>
            </w:r>
          </w:p>
          <w:p>
            <w:pPr>
              <w:pStyle w:val="TableParagraph"/>
              <w:ind w:left="50" w:right="313"/>
              <w:rPr>
                <w:sz w:val="20"/>
              </w:rPr>
            </w:pPr>
            <w:r>
              <w:rPr>
                <w:sz w:val="20"/>
              </w:rPr>
              <w:t>При среднетяжелом течении с </w:t>
            </w:r>
            <w:r>
              <w:rPr>
                <w:spacing w:val="-2"/>
                <w:sz w:val="20"/>
              </w:rPr>
              <w:t>дыхательной </w:t>
            </w:r>
            <w:r>
              <w:rPr>
                <w:spacing w:val="-2"/>
                <w:sz w:val="20"/>
              </w:rPr>
              <w:t>недостаточностью:</w:t>
            </w:r>
          </w:p>
          <w:p>
            <w:pPr>
              <w:pStyle w:val="TableParagraph"/>
              <w:numPr>
                <w:ilvl w:val="0"/>
                <w:numId w:val="112"/>
              </w:numPr>
              <w:tabs>
                <w:tab w:pos="167" w:val="left" w:leader="none"/>
              </w:tabs>
              <w:spacing w:line="228" w:lineRule="exact" w:before="0" w:after="0"/>
              <w:ind w:left="50" w:right="175" w:firstLine="0"/>
              <w:jc w:val="left"/>
              <w:rPr>
                <w:sz w:val="20"/>
              </w:rPr>
            </w:pPr>
            <w:r>
              <w:rPr>
                <w:sz w:val="20"/>
              </w:rPr>
              <w:t>в</w:t>
            </w:r>
            <w:r>
              <w:rPr>
                <w:spacing w:val="-12"/>
                <w:sz w:val="20"/>
              </w:rPr>
              <w:t> </w:t>
            </w:r>
            <w:r>
              <w:rPr>
                <w:sz w:val="20"/>
              </w:rPr>
              <w:t>сочетании</w:t>
            </w:r>
            <w:r>
              <w:rPr>
                <w:spacing w:val="-12"/>
                <w:sz w:val="20"/>
              </w:rPr>
              <w:t> </w:t>
            </w:r>
            <w:r>
              <w:rPr>
                <w:sz w:val="20"/>
              </w:rPr>
              <w:t>с</w:t>
            </w:r>
            <w:r>
              <w:rPr>
                <w:spacing w:val="-11"/>
                <w:sz w:val="20"/>
              </w:rPr>
              <w:t> </w:t>
            </w:r>
            <w:r>
              <w:rPr>
                <w:sz w:val="20"/>
              </w:rPr>
              <w:t>анатагонистами</w:t>
            </w:r>
            <w:r>
              <w:rPr>
                <w:spacing w:val="-12"/>
                <w:sz w:val="20"/>
              </w:rPr>
              <w:t> </w:t>
            </w:r>
            <w:r>
              <w:rPr>
                <w:sz w:val="20"/>
              </w:rPr>
              <w:t>рецептора ИЛ-6</w:t>
            </w:r>
            <w:r>
              <w:rPr>
                <w:spacing w:val="-4"/>
                <w:sz w:val="20"/>
              </w:rPr>
              <w:t> </w:t>
            </w:r>
            <w:r>
              <w:rPr>
                <w:sz w:val="20"/>
              </w:rPr>
              <w:t>или</w:t>
            </w:r>
            <w:r>
              <w:rPr>
                <w:spacing w:val="-6"/>
                <w:sz w:val="20"/>
              </w:rPr>
              <w:t> </w:t>
            </w:r>
            <w:r>
              <w:rPr>
                <w:sz w:val="20"/>
              </w:rPr>
              <w:t>блокаторами</w:t>
            </w:r>
            <w:r>
              <w:rPr>
                <w:spacing w:val="-6"/>
                <w:sz w:val="20"/>
              </w:rPr>
              <w:t> </w:t>
            </w:r>
            <w:r>
              <w:rPr>
                <w:sz w:val="20"/>
              </w:rPr>
              <w:t>ИЛ-6</w:t>
            </w:r>
            <w:r>
              <w:rPr>
                <w:spacing w:val="-2"/>
                <w:sz w:val="20"/>
              </w:rPr>
              <w:t> </w:t>
            </w:r>
            <w:r>
              <w:rPr>
                <w:sz w:val="20"/>
              </w:rPr>
              <w:t>–</w:t>
            </w:r>
            <w:r>
              <w:rPr>
                <w:spacing w:val="-4"/>
                <w:sz w:val="20"/>
              </w:rPr>
              <w:t> </w:t>
            </w:r>
            <w:r>
              <w:rPr>
                <w:sz w:val="20"/>
              </w:rPr>
              <w:t>в</w:t>
            </w:r>
            <w:r>
              <w:rPr>
                <w:spacing w:val="-6"/>
                <w:sz w:val="20"/>
              </w:rPr>
              <w:t> </w:t>
            </w:r>
            <w:r>
              <w:rPr>
                <w:sz w:val="20"/>
              </w:rPr>
              <w:t>дозе</w:t>
            </w:r>
            <w:r>
              <w:rPr>
                <w:spacing w:val="-5"/>
                <w:sz w:val="20"/>
              </w:rPr>
              <w:t> </w:t>
            </w:r>
            <w:r>
              <w:rPr>
                <w:sz w:val="20"/>
              </w:rPr>
              <w:t>6-20</w:t>
            </w:r>
          </w:p>
        </w:tc>
        <w:tc>
          <w:tcPr>
            <w:tcW w:w="4742" w:type="dxa"/>
            <w:vMerge/>
            <w:tcBorders>
              <w:top w:val="nil"/>
            </w:tcBorders>
            <w:shd w:val="clear" w:color="auto" w:fill="F1F1F1"/>
          </w:tcPr>
          <w:p>
            <w:pPr>
              <w:rPr>
                <w:sz w:val="2"/>
                <w:szCs w:val="2"/>
              </w:rPr>
            </w:pPr>
          </w:p>
        </w:tc>
      </w:tr>
    </w:tbl>
    <w:p>
      <w:pPr>
        <w:pStyle w:val="BodyText"/>
        <w:spacing w:before="181"/>
        <w:ind w:left="0"/>
        <w:jc w:val="left"/>
        <w:rPr>
          <w:sz w:val="22"/>
        </w:rPr>
      </w:pPr>
    </w:p>
    <w:p>
      <w:pPr>
        <w:spacing w:before="0"/>
        <w:ind w:left="0" w:right="15" w:firstLine="0"/>
        <w:jc w:val="center"/>
        <w:rPr>
          <w:rFonts w:ascii="Calibri"/>
          <w:sz w:val="22"/>
        </w:rPr>
      </w:pPr>
      <w:r>
        <w:rPr>
          <w:rFonts w:ascii="Calibri"/>
          <w:spacing w:val="-5"/>
          <w:sz w:val="22"/>
        </w:rPr>
        <w:t>200</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0"/>
        <w:gridCol w:w="2835"/>
        <w:gridCol w:w="1498"/>
        <w:gridCol w:w="3829"/>
        <w:gridCol w:w="4742"/>
      </w:tblGrid>
      <w:tr>
        <w:trPr>
          <w:trHeight w:val="4843" w:hRule="atLeast"/>
        </w:trPr>
        <w:tc>
          <w:tcPr>
            <w:tcW w:w="1980" w:type="dxa"/>
          </w:tcPr>
          <w:p>
            <w:pPr>
              <w:pStyle w:val="TableParagraph"/>
              <w:rPr>
                <w:sz w:val="18"/>
              </w:rPr>
            </w:pPr>
          </w:p>
        </w:tc>
        <w:tc>
          <w:tcPr>
            <w:tcW w:w="2835" w:type="dxa"/>
            <w:vMerge w:val="restart"/>
          </w:tcPr>
          <w:p>
            <w:pPr>
              <w:pStyle w:val="TableParagraph"/>
              <w:rPr>
                <w:sz w:val="18"/>
              </w:rPr>
            </w:pPr>
          </w:p>
        </w:tc>
        <w:tc>
          <w:tcPr>
            <w:tcW w:w="1498" w:type="dxa"/>
          </w:tcPr>
          <w:p>
            <w:pPr>
              <w:pStyle w:val="TableParagraph"/>
              <w:rPr>
                <w:sz w:val="18"/>
              </w:rPr>
            </w:pPr>
          </w:p>
        </w:tc>
        <w:tc>
          <w:tcPr>
            <w:tcW w:w="3829" w:type="dxa"/>
          </w:tcPr>
          <w:p>
            <w:pPr>
              <w:pStyle w:val="TableParagraph"/>
              <w:spacing w:before="24"/>
              <w:ind w:left="50"/>
              <w:rPr>
                <w:sz w:val="20"/>
              </w:rPr>
            </w:pPr>
            <w:bookmarkStart w:name="202" w:id="239"/>
            <w:bookmarkEnd w:id="239"/>
            <w:r>
              <w:rPr/>
            </w:r>
            <w:r>
              <w:rPr>
                <w:sz w:val="20"/>
              </w:rPr>
              <w:t>мг/сутки внутривенно в зависимости от тяжести</w:t>
            </w:r>
            <w:r>
              <w:rPr>
                <w:spacing w:val="-11"/>
                <w:sz w:val="20"/>
              </w:rPr>
              <w:t> </w:t>
            </w:r>
            <w:r>
              <w:rPr>
                <w:sz w:val="20"/>
              </w:rPr>
              <w:t>состояния</w:t>
            </w:r>
            <w:r>
              <w:rPr>
                <w:spacing w:val="-11"/>
                <w:sz w:val="20"/>
              </w:rPr>
              <w:t> </w:t>
            </w:r>
            <w:r>
              <w:rPr>
                <w:sz w:val="20"/>
              </w:rPr>
              <w:t>пациента</w:t>
            </w:r>
            <w:r>
              <w:rPr>
                <w:spacing w:val="-8"/>
                <w:sz w:val="20"/>
              </w:rPr>
              <w:t> </w:t>
            </w:r>
            <w:r>
              <w:rPr>
                <w:sz w:val="20"/>
              </w:rPr>
              <w:t>за</w:t>
            </w:r>
            <w:r>
              <w:rPr>
                <w:spacing w:val="-10"/>
                <w:sz w:val="20"/>
              </w:rPr>
              <w:t> </w:t>
            </w:r>
            <w:r>
              <w:rPr>
                <w:sz w:val="20"/>
              </w:rPr>
              <w:t>2</w:t>
            </w:r>
            <w:r>
              <w:rPr>
                <w:spacing w:val="-9"/>
                <w:sz w:val="20"/>
              </w:rPr>
              <w:t> </w:t>
            </w:r>
            <w:r>
              <w:rPr>
                <w:sz w:val="20"/>
              </w:rPr>
              <w:t>введения. При тяжелом течении:</w:t>
            </w:r>
          </w:p>
          <w:p>
            <w:pPr>
              <w:pStyle w:val="TableParagraph"/>
              <w:ind w:left="50" w:right="175"/>
              <w:rPr>
                <w:sz w:val="20"/>
              </w:rPr>
            </w:pPr>
            <w:r>
              <w:rPr>
                <w:sz w:val="20"/>
              </w:rPr>
              <w:t>-</w:t>
            </w:r>
            <w:r>
              <w:rPr>
                <w:spacing w:val="-8"/>
                <w:sz w:val="20"/>
              </w:rPr>
              <w:t> </w:t>
            </w:r>
            <w:r>
              <w:rPr>
                <w:sz w:val="20"/>
              </w:rPr>
              <w:t>в</w:t>
            </w:r>
            <w:r>
              <w:rPr>
                <w:spacing w:val="-10"/>
                <w:sz w:val="20"/>
              </w:rPr>
              <w:t> </w:t>
            </w:r>
            <w:r>
              <w:rPr>
                <w:sz w:val="20"/>
              </w:rPr>
              <w:t>сочетании</w:t>
            </w:r>
            <w:r>
              <w:rPr>
                <w:spacing w:val="-10"/>
                <w:sz w:val="20"/>
              </w:rPr>
              <w:t> </w:t>
            </w:r>
            <w:r>
              <w:rPr>
                <w:sz w:val="20"/>
              </w:rPr>
              <w:t>с</w:t>
            </w:r>
            <w:r>
              <w:rPr>
                <w:spacing w:val="-9"/>
                <w:sz w:val="20"/>
              </w:rPr>
              <w:t> </w:t>
            </w:r>
            <w:r>
              <w:rPr>
                <w:sz w:val="20"/>
              </w:rPr>
              <w:t>анатагонистами</w:t>
            </w:r>
            <w:r>
              <w:rPr>
                <w:spacing w:val="-10"/>
                <w:sz w:val="20"/>
              </w:rPr>
              <w:t> </w:t>
            </w:r>
            <w:r>
              <w:rPr>
                <w:sz w:val="20"/>
              </w:rPr>
              <w:t>рецептора ИЛ-6 или блокаторами ИЛ-6 или ИЛ-1β</w:t>
            </w:r>
          </w:p>
          <w:p>
            <w:pPr>
              <w:pStyle w:val="TableParagraph"/>
              <w:ind w:left="50" w:right="663"/>
              <w:rPr>
                <w:sz w:val="20"/>
              </w:rPr>
            </w:pPr>
            <w:r>
              <w:rPr>
                <w:sz w:val="20"/>
              </w:rPr>
              <w:t>– в дозе 6-20 мг/сутки внутривенно в</w:t>
            </w:r>
            <w:r>
              <w:rPr>
                <w:spacing w:val="-11"/>
                <w:sz w:val="20"/>
              </w:rPr>
              <w:t> </w:t>
            </w:r>
            <w:r>
              <w:rPr>
                <w:sz w:val="20"/>
              </w:rPr>
              <w:t>зависимости</w:t>
            </w:r>
            <w:r>
              <w:rPr>
                <w:spacing w:val="-12"/>
                <w:sz w:val="20"/>
              </w:rPr>
              <w:t> </w:t>
            </w:r>
            <w:r>
              <w:rPr>
                <w:sz w:val="20"/>
              </w:rPr>
              <w:t>от</w:t>
            </w:r>
            <w:r>
              <w:rPr>
                <w:spacing w:val="-11"/>
                <w:sz w:val="20"/>
              </w:rPr>
              <w:t> </w:t>
            </w:r>
            <w:r>
              <w:rPr>
                <w:sz w:val="20"/>
              </w:rPr>
              <w:t>тяжести</w:t>
            </w:r>
            <w:r>
              <w:rPr>
                <w:spacing w:val="-11"/>
                <w:sz w:val="20"/>
              </w:rPr>
              <w:t> </w:t>
            </w:r>
            <w:r>
              <w:rPr>
                <w:sz w:val="20"/>
              </w:rPr>
              <w:t>состояния пациента за 2 введения.</w:t>
            </w:r>
          </w:p>
          <w:p>
            <w:pPr>
              <w:pStyle w:val="TableParagraph"/>
              <w:ind w:left="50"/>
              <w:rPr>
                <w:sz w:val="20"/>
              </w:rPr>
            </w:pPr>
            <w:r>
              <w:rPr>
                <w:sz w:val="20"/>
              </w:rPr>
              <w:t>- без блокаторов рецептора ИЛ-6 или блокаторов</w:t>
            </w:r>
            <w:r>
              <w:rPr>
                <w:spacing w:val="-7"/>
                <w:sz w:val="20"/>
              </w:rPr>
              <w:t> </w:t>
            </w:r>
            <w:r>
              <w:rPr>
                <w:sz w:val="20"/>
              </w:rPr>
              <w:t>ИЛ-6,</w:t>
            </w:r>
            <w:r>
              <w:rPr>
                <w:spacing w:val="-6"/>
                <w:sz w:val="20"/>
              </w:rPr>
              <w:t> </w:t>
            </w:r>
            <w:r>
              <w:rPr>
                <w:sz w:val="20"/>
              </w:rPr>
              <w:t>или</w:t>
            </w:r>
            <w:r>
              <w:rPr>
                <w:spacing w:val="-7"/>
                <w:sz w:val="20"/>
              </w:rPr>
              <w:t> </w:t>
            </w:r>
            <w:r>
              <w:rPr>
                <w:sz w:val="20"/>
              </w:rPr>
              <w:t>ИЛ-1β</w:t>
            </w:r>
            <w:r>
              <w:rPr>
                <w:spacing w:val="-6"/>
                <w:sz w:val="20"/>
              </w:rPr>
              <w:t> </w:t>
            </w:r>
            <w:r>
              <w:rPr>
                <w:sz w:val="20"/>
              </w:rPr>
              <w:t>–</w:t>
            </w:r>
            <w:r>
              <w:rPr>
                <w:spacing w:val="-5"/>
                <w:sz w:val="20"/>
              </w:rPr>
              <w:t> </w:t>
            </w:r>
            <w:r>
              <w:rPr>
                <w:sz w:val="20"/>
              </w:rPr>
              <w:t>в</w:t>
            </w:r>
            <w:r>
              <w:rPr>
                <w:spacing w:val="-7"/>
                <w:sz w:val="20"/>
              </w:rPr>
              <w:t> </w:t>
            </w:r>
            <w:r>
              <w:rPr>
                <w:sz w:val="20"/>
              </w:rPr>
              <w:t>дозе</w:t>
            </w:r>
            <w:r>
              <w:rPr>
                <w:spacing w:val="-6"/>
                <w:sz w:val="20"/>
              </w:rPr>
              <w:t> </w:t>
            </w:r>
            <w:r>
              <w:rPr>
                <w:sz w:val="20"/>
              </w:rPr>
              <w:t>20 мг/сутки/внутривенно за 2 введения.</w:t>
            </w:r>
          </w:p>
          <w:p>
            <w:pPr>
              <w:pStyle w:val="TableParagraph"/>
              <w:ind w:left="50"/>
              <w:rPr>
                <w:sz w:val="20"/>
              </w:rPr>
            </w:pPr>
            <w:r>
              <w:rPr>
                <w:sz w:val="20"/>
              </w:rPr>
              <w:t>Максимальная доза дексаметазона применяется в течение 3-4 суток. Доза дексаметазона снижается на 20-25% на введение</w:t>
            </w:r>
            <w:r>
              <w:rPr>
                <w:spacing w:val="-6"/>
                <w:sz w:val="20"/>
              </w:rPr>
              <w:t> </w:t>
            </w:r>
            <w:r>
              <w:rPr>
                <w:sz w:val="20"/>
              </w:rPr>
              <w:t>каждые</w:t>
            </w:r>
            <w:r>
              <w:rPr>
                <w:spacing w:val="-8"/>
                <w:sz w:val="20"/>
              </w:rPr>
              <w:t> </w:t>
            </w:r>
            <w:r>
              <w:rPr>
                <w:sz w:val="20"/>
              </w:rPr>
              <w:t>1-2</w:t>
            </w:r>
            <w:r>
              <w:rPr>
                <w:spacing w:val="-7"/>
                <w:sz w:val="20"/>
              </w:rPr>
              <w:t> </w:t>
            </w:r>
            <w:r>
              <w:rPr>
                <w:sz w:val="20"/>
              </w:rPr>
              <w:t>суток,</w:t>
            </w:r>
            <w:r>
              <w:rPr>
                <w:spacing w:val="-10"/>
                <w:sz w:val="20"/>
              </w:rPr>
              <w:t> </w:t>
            </w:r>
            <w:r>
              <w:rPr>
                <w:sz w:val="20"/>
              </w:rPr>
              <w:t>далее</w:t>
            </w:r>
            <w:r>
              <w:rPr>
                <w:spacing w:val="-8"/>
                <w:sz w:val="20"/>
              </w:rPr>
              <w:t> </w:t>
            </w:r>
            <w:r>
              <w:rPr>
                <w:sz w:val="20"/>
              </w:rPr>
              <w:t>на</w:t>
            </w:r>
            <w:r>
              <w:rPr>
                <w:spacing w:val="-8"/>
                <w:sz w:val="20"/>
              </w:rPr>
              <w:t> </w:t>
            </w:r>
            <w:r>
              <w:rPr>
                <w:sz w:val="20"/>
              </w:rPr>
              <w:t>50% каждые 1-2 суток до полной отмены.</w:t>
            </w:r>
          </w:p>
          <w:p>
            <w:pPr>
              <w:pStyle w:val="TableParagraph"/>
              <w:ind w:left="50"/>
              <w:rPr>
                <w:sz w:val="20"/>
              </w:rPr>
            </w:pPr>
            <w:r>
              <w:rPr>
                <w:sz w:val="20"/>
              </w:rPr>
              <w:t>Снижение дозы начинается при условии стабильного (в течение 3-4 суток) купирования</w:t>
            </w:r>
            <w:r>
              <w:rPr>
                <w:spacing w:val="-12"/>
                <w:sz w:val="20"/>
              </w:rPr>
              <w:t> </w:t>
            </w:r>
            <w:r>
              <w:rPr>
                <w:sz w:val="20"/>
              </w:rPr>
              <w:t>лихорадки,</w:t>
            </w:r>
            <w:r>
              <w:rPr>
                <w:spacing w:val="-11"/>
                <w:sz w:val="20"/>
              </w:rPr>
              <w:t> </w:t>
            </w:r>
            <w:r>
              <w:rPr>
                <w:sz w:val="20"/>
              </w:rPr>
              <w:t>снижения</w:t>
            </w:r>
            <w:r>
              <w:rPr>
                <w:spacing w:val="-12"/>
                <w:sz w:val="20"/>
              </w:rPr>
              <w:t> </w:t>
            </w:r>
            <w:r>
              <w:rPr>
                <w:spacing w:val="-2"/>
                <w:sz w:val="20"/>
              </w:rPr>
              <w:t>уровня</w:t>
            </w:r>
          </w:p>
          <w:p>
            <w:pPr>
              <w:pStyle w:val="TableParagraph"/>
              <w:spacing w:line="228" w:lineRule="exact"/>
              <w:ind w:left="50" w:right="79"/>
              <w:rPr>
                <w:sz w:val="20"/>
              </w:rPr>
            </w:pPr>
            <w:r>
              <w:rPr>
                <w:sz w:val="20"/>
              </w:rPr>
              <w:t>СРБ</w:t>
            </w:r>
            <w:r>
              <w:rPr>
                <w:spacing w:val="-9"/>
                <w:sz w:val="20"/>
              </w:rPr>
              <w:t> </w:t>
            </w:r>
            <w:r>
              <w:rPr>
                <w:sz w:val="20"/>
              </w:rPr>
              <w:t>и</w:t>
            </w:r>
            <w:r>
              <w:rPr>
                <w:spacing w:val="-10"/>
                <w:sz w:val="20"/>
              </w:rPr>
              <w:t> </w:t>
            </w:r>
            <w:r>
              <w:rPr>
                <w:sz w:val="20"/>
              </w:rPr>
              <w:t>уровня</w:t>
            </w:r>
            <w:r>
              <w:rPr>
                <w:spacing w:val="-10"/>
                <w:sz w:val="20"/>
              </w:rPr>
              <w:t> </w:t>
            </w:r>
            <w:r>
              <w:rPr>
                <w:sz w:val="20"/>
              </w:rPr>
              <w:t>ферритина</w:t>
            </w:r>
            <w:r>
              <w:rPr>
                <w:spacing w:val="-9"/>
                <w:sz w:val="20"/>
              </w:rPr>
              <w:t> </w:t>
            </w:r>
            <w:r>
              <w:rPr>
                <w:sz w:val="20"/>
              </w:rPr>
              <w:t>сыворотки</w:t>
            </w:r>
            <w:r>
              <w:rPr>
                <w:spacing w:val="-10"/>
                <w:sz w:val="20"/>
              </w:rPr>
              <w:t> </w:t>
            </w:r>
            <w:r>
              <w:rPr>
                <w:sz w:val="20"/>
              </w:rPr>
              <w:t>крови не менее чем на 15%.</w:t>
            </w:r>
          </w:p>
        </w:tc>
        <w:tc>
          <w:tcPr>
            <w:tcW w:w="4742" w:type="dxa"/>
            <w:vMerge w:val="restart"/>
            <w:shd w:val="clear" w:color="auto" w:fill="F1F1F1"/>
          </w:tcPr>
          <w:p>
            <w:pPr>
              <w:pStyle w:val="TableParagraph"/>
              <w:rPr>
                <w:sz w:val="18"/>
              </w:rPr>
            </w:pPr>
          </w:p>
        </w:tc>
      </w:tr>
      <w:tr>
        <w:trPr>
          <w:trHeight w:val="1160" w:hRule="atLeast"/>
        </w:trPr>
        <w:tc>
          <w:tcPr>
            <w:tcW w:w="1980" w:type="dxa"/>
            <w:shd w:val="clear" w:color="auto" w:fill="F1F1F1"/>
          </w:tcPr>
          <w:p>
            <w:pPr>
              <w:pStyle w:val="TableParagraph"/>
              <w:rPr>
                <w:sz w:val="20"/>
              </w:rPr>
            </w:pPr>
          </w:p>
          <w:p>
            <w:pPr>
              <w:pStyle w:val="TableParagraph"/>
              <w:spacing w:before="14"/>
              <w:rPr>
                <w:sz w:val="20"/>
              </w:rPr>
            </w:pPr>
          </w:p>
          <w:p>
            <w:pPr>
              <w:pStyle w:val="TableParagraph"/>
              <w:ind w:left="56"/>
              <w:rPr>
                <w:b/>
                <w:sz w:val="20"/>
              </w:rPr>
            </w:pPr>
            <w:r>
              <w:rPr>
                <w:b/>
                <w:spacing w:val="-2"/>
                <w:sz w:val="20"/>
              </w:rPr>
              <w:t>Гидрокортизон</w:t>
            </w:r>
          </w:p>
        </w:tc>
        <w:tc>
          <w:tcPr>
            <w:tcW w:w="2835" w:type="dxa"/>
            <w:vMerge/>
            <w:tcBorders>
              <w:top w:val="nil"/>
            </w:tcBorders>
          </w:tcPr>
          <w:p>
            <w:pPr>
              <w:rPr>
                <w:sz w:val="2"/>
                <w:szCs w:val="2"/>
              </w:rPr>
            </w:pPr>
          </w:p>
        </w:tc>
        <w:tc>
          <w:tcPr>
            <w:tcW w:w="1498" w:type="dxa"/>
            <w:shd w:val="clear" w:color="auto" w:fill="F1F1F1"/>
          </w:tcPr>
          <w:p>
            <w:pPr>
              <w:pStyle w:val="TableParagraph"/>
              <w:rPr>
                <w:sz w:val="20"/>
              </w:rPr>
            </w:pPr>
          </w:p>
          <w:p>
            <w:pPr>
              <w:pStyle w:val="TableParagraph"/>
              <w:spacing w:before="14"/>
              <w:rPr>
                <w:sz w:val="20"/>
              </w:rPr>
            </w:pPr>
          </w:p>
          <w:p>
            <w:pPr>
              <w:pStyle w:val="TableParagraph"/>
              <w:ind w:left="52"/>
              <w:rPr>
                <w:sz w:val="20"/>
              </w:rPr>
            </w:pPr>
            <w:r>
              <w:rPr>
                <w:spacing w:val="-2"/>
                <w:sz w:val="20"/>
              </w:rPr>
              <w:t>Раствор</w:t>
            </w:r>
          </w:p>
        </w:tc>
        <w:tc>
          <w:tcPr>
            <w:tcW w:w="3829" w:type="dxa"/>
            <w:shd w:val="clear" w:color="auto" w:fill="F1F1F1"/>
          </w:tcPr>
          <w:p>
            <w:pPr>
              <w:pStyle w:val="TableParagraph"/>
              <w:spacing w:line="230" w:lineRule="atLeast"/>
              <w:ind w:left="50" w:right="149"/>
              <w:rPr>
                <w:sz w:val="20"/>
              </w:rPr>
            </w:pPr>
            <w:r>
              <w:rPr>
                <w:sz w:val="20"/>
              </w:rPr>
              <w:t>Внутривенное</w:t>
            </w:r>
            <w:r>
              <w:rPr>
                <w:spacing w:val="-12"/>
                <w:sz w:val="20"/>
              </w:rPr>
              <w:t> </w:t>
            </w:r>
            <w:r>
              <w:rPr>
                <w:sz w:val="20"/>
              </w:rPr>
              <w:t>(болюсное)</w:t>
            </w:r>
            <w:r>
              <w:rPr>
                <w:spacing w:val="-12"/>
                <w:sz w:val="20"/>
              </w:rPr>
              <w:t> </w:t>
            </w:r>
            <w:r>
              <w:rPr>
                <w:sz w:val="20"/>
              </w:rPr>
              <w:t>введение</w:t>
            </w:r>
            <w:r>
              <w:rPr>
                <w:spacing w:val="-12"/>
                <w:sz w:val="20"/>
              </w:rPr>
              <w:t> </w:t>
            </w:r>
            <w:r>
              <w:rPr>
                <w:sz w:val="20"/>
              </w:rPr>
              <w:t>в</w:t>
            </w:r>
            <w:r>
              <w:rPr>
                <w:spacing w:val="-12"/>
                <w:sz w:val="20"/>
              </w:rPr>
              <w:t> </w:t>
            </w:r>
            <w:r>
              <w:rPr>
                <w:sz w:val="20"/>
              </w:rPr>
              <w:t>дозе 50-100 мг, с последующим медленным внутривенным введением в течение часа</w:t>
            </w:r>
            <w:r>
              <w:rPr>
                <w:spacing w:val="40"/>
                <w:sz w:val="20"/>
              </w:rPr>
              <w:t> </w:t>
            </w:r>
            <w:r>
              <w:rPr>
                <w:sz w:val="20"/>
              </w:rPr>
              <w:t>в</w:t>
            </w:r>
            <w:r>
              <w:rPr>
                <w:spacing w:val="-5"/>
                <w:sz w:val="20"/>
              </w:rPr>
              <w:t> </w:t>
            </w:r>
            <w:r>
              <w:rPr>
                <w:sz w:val="20"/>
              </w:rPr>
              <w:t>дозе</w:t>
            </w:r>
            <w:r>
              <w:rPr>
                <w:spacing w:val="-4"/>
                <w:sz w:val="20"/>
              </w:rPr>
              <w:t> </w:t>
            </w:r>
            <w:r>
              <w:rPr>
                <w:sz w:val="20"/>
              </w:rPr>
              <w:t>200</w:t>
            </w:r>
            <w:r>
              <w:rPr>
                <w:spacing w:val="-3"/>
                <w:sz w:val="20"/>
              </w:rPr>
              <w:t> </w:t>
            </w:r>
            <w:r>
              <w:rPr>
                <w:sz w:val="20"/>
              </w:rPr>
              <w:t>мг</w:t>
            </w:r>
            <w:r>
              <w:rPr>
                <w:spacing w:val="-5"/>
                <w:sz w:val="20"/>
              </w:rPr>
              <w:t> </w:t>
            </w:r>
            <w:r>
              <w:rPr>
                <w:sz w:val="20"/>
              </w:rPr>
              <w:t>в</w:t>
            </w:r>
            <w:r>
              <w:rPr>
                <w:spacing w:val="-4"/>
                <w:sz w:val="20"/>
              </w:rPr>
              <w:t> </w:t>
            </w:r>
            <w:r>
              <w:rPr>
                <w:sz w:val="20"/>
              </w:rPr>
              <w:t>сутки</w:t>
            </w:r>
            <w:r>
              <w:rPr>
                <w:spacing w:val="-5"/>
                <w:sz w:val="20"/>
              </w:rPr>
              <w:t> </w:t>
            </w:r>
            <w:r>
              <w:rPr>
                <w:sz w:val="20"/>
              </w:rPr>
              <w:t>только</w:t>
            </w:r>
            <w:r>
              <w:rPr>
                <w:spacing w:val="-1"/>
                <w:sz w:val="20"/>
              </w:rPr>
              <w:t> </w:t>
            </w:r>
            <w:r>
              <w:rPr>
                <w:sz w:val="20"/>
              </w:rPr>
              <w:t>при</w:t>
            </w:r>
            <w:r>
              <w:rPr>
                <w:spacing w:val="-5"/>
                <w:sz w:val="20"/>
              </w:rPr>
              <w:t> </w:t>
            </w:r>
            <w:r>
              <w:rPr>
                <w:sz w:val="20"/>
              </w:rPr>
              <w:t>развитии надпочечниковой недостаточности.</w:t>
            </w:r>
          </w:p>
        </w:tc>
        <w:tc>
          <w:tcPr>
            <w:tcW w:w="4742" w:type="dxa"/>
            <w:vMerge/>
            <w:tcBorders>
              <w:top w:val="nil"/>
            </w:tcBorders>
            <w:shd w:val="clear" w:color="auto" w:fill="F1F1F1"/>
          </w:tcPr>
          <w:p>
            <w:pPr>
              <w:rPr>
                <w:sz w:val="2"/>
                <w:szCs w:val="2"/>
              </w:rPr>
            </w:pPr>
          </w:p>
        </w:tc>
      </w:tr>
    </w:tbl>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169"/>
        <w:ind w:left="0"/>
        <w:jc w:val="left"/>
        <w:rPr>
          <w:sz w:val="22"/>
        </w:rPr>
      </w:pPr>
    </w:p>
    <w:p>
      <w:pPr>
        <w:spacing w:before="1"/>
        <w:ind w:left="0" w:right="15" w:firstLine="0"/>
        <w:jc w:val="center"/>
        <w:rPr>
          <w:rFonts w:ascii="Calibri"/>
          <w:sz w:val="22"/>
        </w:rPr>
      </w:pPr>
      <w:r>
        <w:rPr>
          <w:rFonts w:ascii="Calibri"/>
          <w:spacing w:val="-5"/>
          <w:sz w:val="22"/>
        </w:rPr>
        <w:t>201</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0"/>
        <w:gridCol w:w="2835"/>
        <w:gridCol w:w="1498"/>
        <w:gridCol w:w="3829"/>
        <w:gridCol w:w="4742"/>
      </w:tblGrid>
      <w:tr>
        <w:trPr>
          <w:trHeight w:val="2791" w:hRule="atLeast"/>
        </w:trPr>
        <w:tc>
          <w:tcPr>
            <w:tcW w:w="1980" w:type="dxa"/>
          </w:tcPr>
          <w:p>
            <w:pPr>
              <w:pStyle w:val="TableParagraph"/>
              <w:spacing w:before="24"/>
              <w:ind w:left="56"/>
              <w:rPr>
                <w:b/>
                <w:sz w:val="20"/>
              </w:rPr>
            </w:pPr>
            <w:bookmarkStart w:name="203" w:id="240"/>
            <w:bookmarkEnd w:id="240"/>
            <w:r>
              <w:rPr/>
            </w:r>
            <w:r>
              <w:rPr>
                <w:b/>
                <w:spacing w:val="-2"/>
                <w:sz w:val="20"/>
              </w:rPr>
              <w:t>Будесонид</w:t>
            </w:r>
          </w:p>
        </w:tc>
        <w:tc>
          <w:tcPr>
            <w:tcW w:w="2835" w:type="dxa"/>
          </w:tcPr>
          <w:p>
            <w:pPr>
              <w:pStyle w:val="TableParagraph"/>
              <w:spacing w:before="24"/>
              <w:ind w:left="54"/>
              <w:rPr>
                <w:sz w:val="20"/>
              </w:rPr>
            </w:pPr>
            <w:r>
              <w:rPr>
                <w:spacing w:val="-2"/>
                <w:sz w:val="20"/>
              </w:rPr>
              <w:t>Относится</w:t>
            </w:r>
          </w:p>
          <w:p>
            <w:pPr>
              <w:pStyle w:val="TableParagraph"/>
              <w:ind w:left="54"/>
              <w:rPr>
                <w:sz w:val="20"/>
              </w:rPr>
            </w:pPr>
            <w:r>
              <w:rPr>
                <w:sz w:val="20"/>
              </w:rPr>
              <w:t>к глюкокортикостероидам, </w:t>
            </w:r>
            <w:r>
              <w:rPr>
                <w:spacing w:val="-2"/>
                <w:sz w:val="20"/>
              </w:rPr>
              <w:t>обладает противовоспалительным </w:t>
            </w:r>
            <w:r>
              <w:rPr>
                <w:sz w:val="20"/>
              </w:rPr>
              <w:t>действием.</w:t>
            </w:r>
            <w:r>
              <w:rPr>
                <w:spacing w:val="-11"/>
                <w:sz w:val="20"/>
              </w:rPr>
              <w:t> </w:t>
            </w:r>
            <w:r>
              <w:rPr>
                <w:sz w:val="20"/>
              </w:rPr>
              <w:t>Влияет</w:t>
            </w:r>
            <w:r>
              <w:rPr>
                <w:spacing w:val="-10"/>
                <w:sz w:val="20"/>
              </w:rPr>
              <w:t> </w:t>
            </w:r>
            <w:r>
              <w:rPr>
                <w:sz w:val="20"/>
              </w:rPr>
              <w:t>на</w:t>
            </w:r>
            <w:r>
              <w:rPr>
                <w:spacing w:val="-11"/>
                <w:sz w:val="20"/>
              </w:rPr>
              <w:t> </w:t>
            </w:r>
            <w:r>
              <w:rPr>
                <w:sz w:val="20"/>
              </w:rPr>
              <w:t>все</w:t>
            </w:r>
            <w:r>
              <w:rPr>
                <w:spacing w:val="-11"/>
                <w:sz w:val="20"/>
              </w:rPr>
              <w:t> </w:t>
            </w:r>
            <w:r>
              <w:rPr>
                <w:sz w:val="20"/>
              </w:rPr>
              <w:t>фазы </w:t>
            </w:r>
            <w:r>
              <w:rPr>
                <w:spacing w:val="-2"/>
                <w:sz w:val="20"/>
              </w:rPr>
              <w:t>воспаления.</w:t>
            </w:r>
          </w:p>
        </w:tc>
        <w:tc>
          <w:tcPr>
            <w:tcW w:w="1498" w:type="dxa"/>
          </w:tcPr>
          <w:p>
            <w:pPr>
              <w:pStyle w:val="TableParagraph"/>
              <w:spacing w:before="24"/>
              <w:ind w:left="52"/>
              <w:rPr>
                <w:sz w:val="20"/>
              </w:rPr>
            </w:pPr>
            <w:r>
              <w:rPr>
                <w:sz w:val="20"/>
              </w:rPr>
              <w:t>Порошок для </w:t>
            </w:r>
            <w:r>
              <w:rPr>
                <w:spacing w:val="-2"/>
                <w:sz w:val="20"/>
              </w:rPr>
              <w:t>ингаляций дозированный</w:t>
            </w:r>
          </w:p>
        </w:tc>
        <w:tc>
          <w:tcPr>
            <w:tcW w:w="3829" w:type="dxa"/>
          </w:tcPr>
          <w:p>
            <w:pPr>
              <w:pStyle w:val="TableParagraph"/>
              <w:spacing w:before="24"/>
              <w:ind w:left="50" w:right="313"/>
              <w:rPr>
                <w:sz w:val="20"/>
              </w:rPr>
            </w:pPr>
            <w:r>
              <w:rPr>
                <w:sz w:val="20"/>
              </w:rPr>
              <w:t>По 800 мкг 2 раза в сутки до выздоровления,</w:t>
            </w:r>
            <w:r>
              <w:rPr>
                <w:spacing w:val="-10"/>
                <w:sz w:val="20"/>
              </w:rPr>
              <w:t> </w:t>
            </w:r>
            <w:r>
              <w:rPr>
                <w:sz w:val="20"/>
              </w:rPr>
              <w:t>но</w:t>
            </w:r>
            <w:r>
              <w:rPr>
                <w:spacing w:val="-8"/>
                <w:sz w:val="20"/>
              </w:rPr>
              <w:t> </w:t>
            </w:r>
            <w:r>
              <w:rPr>
                <w:sz w:val="20"/>
              </w:rPr>
              <w:t>не</w:t>
            </w:r>
            <w:r>
              <w:rPr>
                <w:spacing w:val="-10"/>
                <w:sz w:val="20"/>
              </w:rPr>
              <w:t> </w:t>
            </w:r>
            <w:r>
              <w:rPr>
                <w:sz w:val="20"/>
              </w:rPr>
              <w:t>более</w:t>
            </w:r>
            <w:r>
              <w:rPr>
                <w:spacing w:val="-8"/>
                <w:sz w:val="20"/>
              </w:rPr>
              <w:t> </w:t>
            </w:r>
            <w:r>
              <w:rPr>
                <w:sz w:val="20"/>
              </w:rPr>
              <w:t>14</w:t>
            </w:r>
            <w:r>
              <w:rPr>
                <w:spacing w:val="-10"/>
                <w:sz w:val="20"/>
              </w:rPr>
              <w:t> </w:t>
            </w:r>
            <w:r>
              <w:rPr>
                <w:sz w:val="20"/>
              </w:rPr>
              <w:t>суток**</w:t>
            </w:r>
          </w:p>
        </w:tc>
        <w:tc>
          <w:tcPr>
            <w:tcW w:w="4742" w:type="dxa"/>
          </w:tcPr>
          <w:p>
            <w:pPr>
              <w:pStyle w:val="TableParagraph"/>
              <w:spacing w:before="17"/>
              <w:rPr>
                <w:sz w:val="20"/>
              </w:rPr>
            </w:pPr>
          </w:p>
          <w:p>
            <w:pPr>
              <w:pStyle w:val="TableParagraph"/>
              <w:numPr>
                <w:ilvl w:val="0"/>
                <w:numId w:val="113"/>
              </w:numPr>
              <w:tabs>
                <w:tab w:pos="332" w:val="left" w:leader="none"/>
              </w:tabs>
              <w:spacing w:line="245" w:lineRule="exact" w:before="0" w:after="0"/>
              <w:ind w:left="332" w:right="0" w:hanging="152"/>
              <w:jc w:val="left"/>
              <w:rPr>
                <w:sz w:val="20"/>
              </w:rPr>
            </w:pPr>
            <w:r>
              <w:rPr>
                <w:sz w:val="20"/>
              </w:rPr>
              <w:t>Детский</w:t>
            </w:r>
            <w:r>
              <w:rPr>
                <w:spacing w:val="-5"/>
                <w:sz w:val="20"/>
              </w:rPr>
              <w:t> </w:t>
            </w:r>
            <w:r>
              <w:rPr>
                <w:sz w:val="20"/>
              </w:rPr>
              <w:t>возраст</w:t>
            </w:r>
            <w:r>
              <w:rPr>
                <w:spacing w:val="-5"/>
                <w:sz w:val="20"/>
              </w:rPr>
              <w:t> </w:t>
            </w:r>
            <w:r>
              <w:rPr>
                <w:sz w:val="20"/>
              </w:rPr>
              <w:t>до</w:t>
            </w:r>
            <w:r>
              <w:rPr>
                <w:spacing w:val="-4"/>
                <w:sz w:val="20"/>
              </w:rPr>
              <w:t> </w:t>
            </w:r>
            <w:r>
              <w:rPr>
                <w:sz w:val="20"/>
              </w:rPr>
              <w:t>6</w:t>
            </w:r>
            <w:r>
              <w:rPr>
                <w:spacing w:val="-3"/>
                <w:sz w:val="20"/>
              </w:rPr>
              <w:t> </w:t>
            </w:r>
            <w:r>
              <w:rPr>
                <w:spacing w:val="-4"/>
                <w:sz w:val="20"/>
              </w:rPr>
              <w:t>лет;</w:t>
            </w:r>
          </w:p>
          <w:p>
            <w:pPr>
              <w:pStyle w:val="TableParagraph"/>
              <w:numPr>
                <w:ilvl w:val="0"/>
                <w:numId w:val="113"/>
              </w:numPr>
              <w:tabs>
                <w:tab w:pos="332" w:val="left" w:leader="none"/>
              </w:tabs>
              <w:spacing w:line="245" w:lineRule="exact" w:before="0" w:after="0"/>
              <w:ind w:left="332" w:right="0" w:hanging="152"/>
              <w:jc w:val="left"/>
              <w:rPr>
                <w:sz w:val="20"/>
              </w:rPr>
            </w:pPr>
            <w:r>
              <w:rPr>
                <w:sz w:val="20"/>
              </w:rPr>
              <w:t>Повышенная</w:t>
            </w:r>
            <w:r>
              <w:rPr>
                <w:spacing w:val="-11"/>
                <w:sz w:val="20"/>
              </w:rPr>
              <w:t> </w:t>
            </w:r>
            <w:r>
              <w:rPr>
                <w:sz w:val="20"/>
              </w:rPr>
              <w:t>чувствительность</w:t>
            </w:r>
            <w:r>
              <w:rPr>
                <w:spacing w:val="-9"/>
                <w:sz w:val="20"/>
              </w:rPr>
              <w:t> </w:t>
            </w:r>
            <w:r>
              <w:rPr>
                <w:sz w:val="20"/>
              </w:rPr>
              <w:t>к</w:t>
            </w:r>
            <w:r>
              <w:rPr>
                <w:spacing w:val="-11"/>
                <w:sz w:val="20"/>
              </w:rPr>
              <w:t> </w:t>
            </w:r>
            <w:r>
              <w:rPr>
                <w:spacing w:val="-2"/>
                <w:sz w:val="20"/>
              </w:rPr>
              <w:t>будесониду.</w:t>
            </w:r>
          </w:p>
          <w:p>
            <w:pPr>
              <w:pStyle w:val="TableParagraph"/>
              <w:rPr>
                <w:sz w:val="20"/>
              </w:rPr>
            </w:pPr>
          </w:p>
          <w:p>
            <w:pPr>
              <w:pStyle w:val="TableParagraph"/>
              <w:ind w:left="43" w:right="127"/>
              <w:rPr>
                <w:sz w:val="20"/>
              </w:rPr>
            </w:pPr>
            <w:r>
              <w:rPr>
                <w:sz w:val="20"/>
              </w:rPr>
              <w:t>С осторожностью: (требуется более тщательное наблюдение за больными) следует назначать препарат</w:t>
            </w:r>
            <w:r>
              <w:rPr>
                <w:spacing w:val="-10"/>
                <w:sz w:val="20"/>
              </w:rPr>
              <w:t> </w:t>
            </w:r>
            <w:r>
              <w:rPr>
                <w:sz w:val="20"/>
              </w:rPr>
              <w:t>пациентам</w:t>
            </w:r>
            <w:r>
              <w:rPr>
                <w:spacing w:val="-9"/>
                <w:sz w:val="20"/>
              </w:rPr>
              <w:t> </w:t>
            </w:r>
            <w:r>
              <w:rPr>
                <w:sz w:val="20"/>
              </w:rPr>
              <w:t>с</w:t>
            </w:r>
            <w:r>
              <w:rPr>
                <w:spacing w:val="-9"/>
                <w:sz w:val="20"/>
              </w:rPr>
              <w:t> </w:t>
            </w:r>
            <w:r>
              <w:rPr>
                <w:sz w:val="20"/>
              </w:rPr>
              <w:t>активной</w:t>
            </w:r>
            <w:r>
              <w:rPr>
                <w:spacing w:val="-10"/>
                <w:sz w:val="20"/>
              </w:rPr>
              <w:t> </w:t>
            </w:r>
            <w:r>
              <w:rPr>
                <w:sz w:val="20"/>
              </w:rPr>
              <w:t>формой</w:t>
            </w:r>
            <w:r>
              <w:rPr>
                <w:spacing w:val="-10"/>
                <w:sz w:val="20"/>
              </w:rPr>
              <w:t> </w:t>
            </w:r>
            <w:r>
              <w:rPr>
                <w:sz w:val="20"/>
              </w:rPr>
              <w:t>туберкулеза легких, грибковыми, бактериальными инфекциями органов дыхания, циррозом печени.</w:t>
            </w:r>
          </w:p>
          <w:p>
            <w:pPr>
              <w:pStyle w:val="TableParagraph"/>
              <w:ind w:left="43"/>
              <w:rPr>
                <w:sz w:val="20"/>
              </w:rPr>
            </w:pPr>
            <w:r>
              <w:rPr>
                <w:sz w:val="20"/>
              </w:rPr>
              <w:t>При назначении следует принимать во внимание возможное</w:t>
            </w:r>
            <w:r>
              <w:rPr>
                <w:spacing w:val="-12"/>
                <w:sz w:val="20"/>
              </w:rPr>
              <w:t> </w:t>
            </w:r>
            <w:r>
              <w:rPr>
                <w:sz w:val="20"/>
              </w:rPr>
              <w:t>проявление</w:t>
            </w:r>
            <w:r>
              <w:rPr>
                <w:spacing w:val="-12"/>
                <w:sz w:val="20"/>
              </w:rPr>
              <w:t> </w:t>
            </w:r>
            <w:r>
              <w:rPr>
                <w:sz w:val="20"/>
              </w:rPr>
              <w:t>системного</w:t>
            </w:r>
            <w:r>
              <w:rPr>
                <w:spacing w:val="-11"/>
                <w:sz w:val="20"/>
              </w:rPr>
              <w:t> </w:t>
            </w:r>
            <w:r>
              <w:rPr>
                <w:sz w:val="20"/>
              </w:rPr>
              <w:t>действия</w:t>
            </w:r>
            <w:r>
              <w:rPr>
                <w:spacing w:val="-13"/>
                <w:sz w:val="20"/>
              </w:rPr>
              <w:t> </w:t>
            </w:r>
            <w:r>
              <w:rPr>
                <w:sz w:val="20"/>
              </w:rPr>
              <w:t>ГКС.</w:t>
            </w:r>
          </w:p>
        </w:tc>
      </w:tr>
    </w:tbl>
    <w:p>
      <w:pPr>
        <w:spacing w:before="6"/>
        <w:ind w:left="11" w:right="0" w:firstLine="0"/>
        <w:jc w:val="left"/>
        <w:rPr>
          <w:sz w:val="20"/>
        </w:rPr>
      </w:pPr>
      <w:r>
        <w:rPr>
          <w:sz w:val="24"/>
        </w:rPr>
        <w:t>*</w:t>
      </w:r>
      <w:r>
        <w:rPr>
          <w:spacing w:val="36"/>
          <w:sz w:val="24"/>
        </w:rPr>
        <w:t> </w:t>
      </w:r>
      <w:r>
        <w:rPr>
          <w:sz w:val="20"/>
        </w:rPr>
        <w:t>Дополнительное</w:t>
      </w:r>
      <w:r>
        <w:rPr>
          <w:spacing w:val="-7"/>
          <w:sz w:val="20"/>
        </w:rPr>
        <w:t> </w:t>
      </w:r>
      <w:r>
        <w:rPr>
          <w:sz w:val="20"/>
        </w:rPr>
        <w:t>назначение</w:t>
      </w:r>
      <w:r>
        <w:rPr>
          <w:spacing w:val="-4"/>
          <w:sz w:val="20"/>
        </w:rPr>
        <w:t> </w:t>
      </w:r>
      <w:r>
        <w:rPr>
          <w:sz w:val="20"/>
        </w:rPr>
        <w:t>ингибиторов</w:t>
      </w:r>
      <w:r>
        <w:rPr>
          <w:spacing w:val="-8"/>
          <w:sz w:val="20"/>
        </w:rPr>
        <w:t> </w:t>
      </w:r>
      <w:r>
        <w:rPr>
          <w:sz w:val="20"/>
        </w:rPr>
        <w:t>ИЛ-6</w:t>
      </w:r>
      <w:r>
        <w:rPr>
          <w:spacing w:val="-5"/>
          <w:sz w:val="20"/>
        </w:rPr>
        <w:t> </w:t>
      </w:r>
      <w:r>
        <w:rPr>
          <w:sz w:val="20"/>
        </w:rPr>
        <w:t>в</w:t>
      </w:r>
      <w:r>
        <w:rPr>
          <w:spacing w:val="-7"/>
          <w:sz w:val="20"/>
        </w:rPr>
        <w:t> </w:t>
      </w:r>
      <w:r>
        <w:rPr>
          <w:sz w:val="20"/>
        </w:rPr>
        <w:t>той</w:t>
      </w:r>
      <w:r>
        <w:rPr>
          <w:spacing w:val="-6"/>
          <w:sz w:val="20"/>
        </w:rPr>
        <w:t> </w:t>
      </w:r>
      <w:r>
        <w:rPr>
          <w:sz w:val="20"/>
        </w:rPr>
        <w:t>же</w:t>
      </w:r>
      <w:r>
        <w:rPr>
          <w:spacing w:val="-6"/>
          <w:sz w:val="20"/>
        </w:rPr>
        <w:t> </w:t>
      </w:r>
      <w:r>
        <w:rPr>
          <w:sz w:val="20"/>
        </w:rPr>
        <w:t>дозе</w:t>
      </w:r>
      <w:r>
        <w:rPr>
          <w:spacing w:val="-7"/>
          <w:sz w:val="20"/>
        </w:rPr>
        <w:t> </w:t>
      </w:r>
      <w:r>
        <w:rPr>
          <w:sz w:val="20"/>
        </w:rPr>
        <w:t>через</w:t>
      </w:r>
      <w:r>
        <w:rPr>
          <w:spacing w:val="-6"/>
          <w:sz w:val="20"/>
        </w:rPr>
        <w:t> </w:t>
      </w:r>
      <w:r>
        <w:rPr>
          <w:sz w:val="20"/>
        </w:rPr>
        <w:t>12</w:t>
      </w:r>
      <w:r>
        <w:rPr>
          <w:spacing w:val="-8"/>
          <w:sz w:val="20"/>
        </w:rPr>
        <w:t> </w:t>
      </w:r>
      <w:r>
        <w:rPr>
          <w:sz w:val="20"/>
        </w:rPr>
        <w:t>ч</w:t>
      </w:r>
      <w:r>
        <w:rPr>
          <w:spacing w:val="-6"/>
          <w:sz w:val="20"/>
        </w:rPr>
        <w:t> </w:t>
      </w:r>
      <w:r>
        <w:rPr>
          <w:sz w:val="20"/>
        </w:rPr>
        <w:t>при</w:t>
      </w:r>
      <w:r>
        <w:rPr>
          <w:spacing w:val="-8"/>
          <w:sz w:val="20"/>
        </w:rPr>
        <w:t> </w:t>
      </w:r>
      <w:r>
        <w:rPr>
          <w:sz w:val="20"/>
        </w:rPr>
        <w:t>отсутствии</w:t>
      </w:r>
      <w:r>
        <w:rPr>
          <w:spacing w:val="-5"/>
          <w:sz w:val="20"/>
        </w:rPr>
        <w:t> </w:t>
      </w:r>
      <w:r>
        <w:rPr>
          <w:sz w:val="20"/>
        </w:rPr>
        <w:t>или</w:t>
      </w:r>
      <w:r>
        <w:rPr>
          <w:spacing w:val="-7"/>
          <w:sz w:val="20"/>
        </w:rPr>
        <w:t> </w:t>
      </w:r>
      <w:r>
        <w:rPr>
          <w:sz w:val="20"/>
        </w:rPr>
        <w:t>недостаточном</w:t>
      </w:r>
      <w:r>
        <w:rPr>
          <w:spacing w:val="-6"/>
          <w:sz w:val="20"/>
        </w:rPr>
        <w:t> </w:t>
      </w:r>
      <w:r>
        <w:rPr>
          <w:sz w:val="20"/>
        </w:rPr>
        <w:t>клиническом</w:t>
      </w:r>
      <w:r>
        <w:rPr>
          <w:spacing w:val="3"/>
          <w:sz w:val="20"/>
        </w:rPr>
        <w:t> </w:t>
      </w:r>
      <w:r>
        <w:rPr>
          <w:sz w:val="20"/>
        </w:rPr>
        <w:t>эффекте</w:t>
      </w:r>
      <w:r>
        <w:rPr>
          <w:spacing w:val="-7"/>
          <w:sz w:val="20"/>
        </w:rPr>
        <w:t> </w:t>
      </w:r>
      <w:r>
        <w:rPr>
          <w:sz w:val="20"/>
        </w:rPr>
        <w:t>(не</w:t>
      </w:r>
      <w:r>
        <w:rPr>
          <w:spacing w:val="-6"/>
          <w:sz w:val="20"/>
        </w:rPr>
        <w:t> </w:t>
      </w:r>
      <w:r>
        <w:rPr>
          <w:sz w:val="20"/>
        </w:rPr>
        <w:t>купировалась</w:t>
      </w:r>
      <w:r>
        <w:rPr>
          <w:spacing w:val="-6"/>
          <w:sz w:val="20"/>
        </w:rPr>
        <w:t> </w:t>
      </w:r>
      <w:r>
        <w:rPr>
          <w:spacing w:val="-2"/>
          <w:sz w:val="20"/>
        </w:rPr>
        <w:t>лихорадка).</w:t>
      </w:r>
    </w:p>
    <w:p>
      <w:pPr>
        <w:spacing w:before="15"/>
        <w:ind w:left="11" w:right="0" w:firstLine="0"/>
        <w:jc w:val="left"/>
        <w:rPr>
          <w:sz w:val="20"/>
        </w:rPr>
      </w:pPr>
      <w:r>
        <w:rPr>
          <w:sz w:val="20"/>
        </w:rPr>
        <w:t>**</w:t>
      </w:r>
      <w:r>
        <w:rPr>
          <w:spacing w:val="-8"/>
          <w:sz w:val="20"/>
        </w:rPr>
        <w:t> </w:t>
      </w:r>
      <w:r>
        <w:rPr>
          <w:sz w:val="20"/>
        </w:rPr>
        <w:t>Пациентам</w:t>
      </w:r>
      <w:r>
        <w:rPr>
          <w:spacing w:val="-4"/>
          <w:sz w:val="20"/>
        </w:rPr>
        <w:t> </w:t>
      </w:r>
      <w:r>
        <w:rPr>
          <w:sz w:val="20"/>
        </w:rPr>
        <w:t>с</w:t>
      </w:r>
      <w:r>
        <w:rPr>
          <w:spacing w:val="-6"/>
          <w:sz w:val="20"/>
        </w:rPr>
        <w:t> </w:t>
      </w:r>
      <w:r>
        <w:rPr>
          <w:sz w:val="20"/>
        </w:rPr>
        <w:t>бронхиальной</w:t>
      </w:r>
      <w:r>
        <w:rPr>
          <w:spacing w:val="-6"/>
          <w:sz w:val="20"/>
        </w:rPr>
        <w:t> </w:t>
      </w:r>
      <w:r>
        <w:rPr>
          <w:sz w:val="20"/>
        </w:rPr>
        <w:t>астмой</w:t>
      </w:r>
      <w:r>
        <w:rPr>
          <w:spacing w:val="-6"/>
          <w:sz w:val="20"/>
        </w:rPr>
        <w:t> </w:t>
      </w:r>
      <w:r>
        <w:rPr>
          <w:sz w:val="20"/>
        </w:rPr>
        <w:t>дозировку</w:t>
      </w:r>
      <w:r>
        <w:rPr>
          <w:spacing w:val="-5"/>
          <w:sz w:val="20"/>
        </w:rPr>
        <w:t> </w:t>
      </w:r>
      <w:r>
        <w:rPr>
          <w:sz w:val="20"/>
        </w:rPr>
        <w:t>будесонида</w:t>
      </w:r>
      <w:r>
        <w:rPr>
          <w:spacing w:val="-6"/>
          <w:sz w:val="20"/>
        </w:rPr>
        <w:t> </w:t>
      </w:r>
      <w:r>
        <w:rPr>
          <w:sz w:val="20"/>
        </w:rPr>
        <w:t>доводить</w:t>
      </w:r>
      <w:r>
        <w:rPr>
          <w:spacing w:val="-6"/>
          <w:sz w:val="20"/>
        </w:rPr>
        <w:t> </w:t>
      </w:r>
      <w:r>
        <w:rPr>
          <w:sz w:val="20"/>
        </w:rPr>
        <w:t>до</w:t>
      </w:r>
      <w:r>
        <w:rPr>
          <w:spacing w:val="-5"/>
          <w:sz w:val="20"/>
        </w:rPr>
        <w:t> </w:t>
      </w:r>
      <w:r>
        <w:rPr>
          <w:sz w:val="20"/>
        </w:rPr>
        <w:t>1600</w:t>
      </w:r>
      <w:r>
        <w:rPr>
          <w:spacing w:val="-5"/>
          <w:sz w:val="20"/>
        </w:rPr>
        <w:t> </w:t>
      </w:r>
      <w:r>
        <w:rPr>
          <w:sz w:val="20"/>
        </w:rPr>
        <w:t>мкг</w:t>
      </w:r>
      <w:r>
        <w:rPr>
          <w:spacing w:val="-6"/>
          <w:sz w:val="20"/>
        </w:rPr>
        <w:t> </w:t>
      </w:r>
      <w:r>
        <w:rPr>
          <w:sz w:val="20"/>
        </w:rPr>
        <w:t>в</w:t>
      </w:r>
      <w:r>
        <w:rPr>
          <w:spacing w:val="-5"/>
          <w:sz w:val="20"/>
        </w:rPr>
        <w:t> </w:t>
      </w:r>
      <w:r>
        <w:rPr>
          <w:spacing w:val="-2"/>
          <w:sz w:val="20"/>
        </w:rPr>
        <w:t>сутки.</w:t>
      </w: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88"/>
        <w:ind w:left="0"/>
        <w:jc w:val="left"/>
        <w:rPr>
          <w:sz w:val="22"/>
        </w:rPr>
      </w:pPr>
    </w:p>
    <w:p>
      <w:pPr>
        <w:spacing w:before="0"/>
        <w:ind w:left="0" w:right="15" w:firstLine="0"/>
        <w:jc w:val="center"/>
        <w:rPr>
          <w:rFonts w:ascii="Calibri"/>
          <w:sz w:val="22"/>
        </w:rPr>
      </w:pPr>
      <w:r>
        <w:rPr>
          <w:rFonts w:ascii="Calibri"/>
          <w:spacing w:val="-5"/>
          <w:sz w:val="22"/>
        </w:rPr>
        <w:t>202</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Heading3"/>
        <w:spacing w:before="148"/>
        <w:ind w:left="13639"/>
        <w:jc w:val="left"/>
      </w:pPr>
      <w:bookmarkStart w:name="_TOC_250009" w:id="241"/>
      <w:bookmarkStart w:name="204" w:id="242"/>
      <w:r>
        <w:rPr>
          <w:b w:val="0"/>
        </w:rPr>
      </w:r>
      <w:r>
        <w:rPr>
          <w:color w:val="1F487C"/>
          <w:spacing w:val="-2"/>
        </w:rPr>
        <w:t>Приложение</w:t>
      </w:r>
      <w:r>
        <w:rPr>
          <w:color w:val="1F487C"/>
          <w:spacing w:val="2"/>
        </w:rPr>
        <w:t> </w:t>
      </w:r>
      <w:r>
        <w:rPr>
          <w:color w:val="1F487C"/>
          <w:spacing w:val="-2"/>
        </w:rPr>
        <w:t>7-</w:t>
      </w:r>
      <w:bookmarkEnd w:id="241"/>
      <w:r>
        <w:rPr>
          <w:color w:val="1F487C"/>
          <w:spacing w:val="-10"/>
        </w:rPr>
        <w:t>1</w:t>
      </w:r>
    </w:p>
    <w:p>
      <w:pPr>
        <w:pStyle w:val="Heading2"/>
        <w:ind w:left="5143"/>
      </w:pPr>
      <w:r>
        <w:rPr/>
        <w:t>Антикоагулянты</w:t>
      </w:r>
      <w:r>
        <w:rPr>
          <w:spacing w:val="-8"/>
        </w:rPr>
        <w:t> </w:t>
      </w:r>
      <w:r>
        <w:rPr/>
        <w:t>для</w:t>
      </w:r>
      <w:r>
        <w:rPr>
          <w:spacing w:val="-7"/>
        </w:rPr>
        <w:t> </w:t>
      </w:r>
      <w:r>
        <w:rPr/>
        <w:t>лечения</w:t>
      </w:r>
      <w:r>
        <w:rPr>
          <w:spacing w:val="-7"/>
        </w:rPr>
        <w:t> </w:t>
      </w:r>
      <w:r>
        <w:rPr/>
        <w:t>COVID-19</w:t>
      </w:r>
      <w:r>
        <w:rPr>
          <w:spacing w:val="-5"/>
        </w:rPr>
        <w:t> </w:t>
      </w:r>
      <w:r>
        <w:rPr/>
        <w:t>у</w:t>
      </w:r>
      <w:r>
        <w:rPr>
          <w:spacing w:val="-6"/>
        </w:rPr>
        <w:t> </w:t>
      </w:r>
      <w:r>
        <w:rPr>
          <w:spacing w:val="-2"/>
        </w:rPr>
        <w:t>взрослых</w:t>
      </w:r>
    </w:p>
    <w:p>
      <w:pPr>
        <w:pStyle w:val="BodyText"/>
        <w:spacing w:before="3"/>
        <w:ind w:left="0"/>
        <w:jc w:val="left"/>
        <w:rPr>
          <w:b/>
          <w:sz w:val="10"/>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990"/>
        <w:gridCol w:w="3000"/>
        <w:gridCol w:w="2489"/>
        <w:gridCol w:w="5403"/>
      </w:tblGrid>
      <w:tr>
        <w:trPr>
          <w:trHeight w:val="383" w:hRule="atLeast"/>
        </w:trPr>
        <w:tc>
          <w:tcPr>
            <w:tcW w:w="3990" w:type="dxa"/>
            <w:shd w:val="clear" w:color="auto" w:fill="F1F1F1"/>
          </w:tcPr>
          <w:p>
            <w:pPr>
              <w:pStyle w:val="TableParagraph"/>
              <w:spacing w:before="9"/>
              <w:jc w:val="center"/>
              <w:rPr>
                <w:b/>
                <w:sz w:val="20"/>
              </w:rPr>
            </w:pPr>
            <w:r>
              <w:rPr>
                <w:b/>
                <w:spacing w:val="-2"/>
                <w:sz w:val="20"/>
              </w:rPr>
              <w:t>Препарат</w:t>
            </w:r>
          </w:p>
        </w:tc>
        <w:tc>
          <w:tcPr>
            <w:tcW w:w="3000" w:type="dxa"/>
            <w:shd w:val="clear" w:color="auto" w:fill="F1F1F1"/>
          </w:tcPr>
          <w:p>
            <w:pPr>
              <w:pStyle w:val="TableParagraph"/>
              <w:spacing w:before="9"/>
              <w:ind w:left="79" w:right="82"/>
              <w:jc w:val="center"/>
              <w:rPr>
                <w:b/>
                <w:sz w:val="20"/>
              </w:rPr>
            </w:pPr>
            <w:r>
              <w:rPr>
                <w:b/>
                <w:spacing w:val="-2"/>
                <w:sz w:val="20"/>
              </w:rPr>
              <w:t>Профилактическая</w:t>
            </w:r>
            <w:r>
              <w:rPr>
                <w:b/>
                <w:spacing w:val="15"/>
                <w:sz w:val="20"/>
              </w:rPr>
              <w:t> </w:t>
            </w:r>
            <w:r>
              <w:rPr>
                <w:b/>
                <w:spacing w:val="-4"/>
                <w:sz w:val="20"/>
              </w:rPr>
              <w:t>доза</w:t>
            </w:r>
          </w:p>
        </w:tc>
        <w:tc>
          <w:tcPr>
            <w:tcW w:w="2489" w:type="dxa"/>
            <w:shd w:val="clear" w:color="auto" w:fill="F1F1F1"/>
          </w:tcPr>
          <w:p>
            <w:pPr>
              <w:pStyle w:val="TableParagraph"/>
              <w:spacing w:before="2"/>
              <w:ind w:left="243"/>
              <w:rPr>
                <w:b/>
                <w:position w:val="8"/>
                <w:sz w:val="16"/>
              </w:rPr>
            </w:pPr>
            <w:r>
              <w:rPr>
                <w:b/>
                <w:spacing w:val="-2"/>
                <w:sz w:val="20"/>
              </w:rPr>
              <w:t>Промежуточная</w:t>
            </w:r>
            <w:r>
              <w:rPr>
                <w:b/>
                <w:spacing w:val="13"/>
                <w:sz w:val="20"/>
              </w:rPr>
              <w:t> </w:t>
            </w:r>
            <w:r>
              <w:rPr>
                <w:b/>
                <w:spacing w:val="-4"/>
                <w:sz w:val="20"/>
              </w:rPr>
              <w:t>доза</w:t>
            </w:r>
            <w:r>
              <w:rPr>
                <w:b/>
                <w:spacing w:val="-4"/>
                <w:position w:val="8"/>
                <w:sz w:val="16"/>
              </w:rPr>
              <w:t>2</w:t>
            </w:r>
          </w:p>
        </w:tc>
        <w:tc>
          <w:tcPr>
            <w:tcW w:w="5403" w:type="dxa"/>
            <w:shd w:val="clear" w:color="auto" w:fill="F1F1F1"/>
          </w:tcPr>
          <w:p>
            <w:pPr>
              <w:pStyle w:val="TableParagraph"/>
              <w:spacing w:before="9"/>
              <w:ind w:right="12"/>
              <w:jc w:val="center"/>
              <w:rPr>
                <w:b/>
                <w:sz w:val="20"/>
              </w:rPr>
            </w:pPr>
            <w:r>
              <w:rPr>
                <w:b/>
                <w:sz w:val="20"/>
              </w:rPr>
              <w:t>Лечебная</w:t>
            </w:r>
            <w:r>
              <w:rPr>
                <w:b/>
                <w:spacing w:val="-7"/>
                <w:sz w:val="20"/>
              </w:rPr>
              <w:t> </w:t>
            </w:r>
            <w:r>
              <w:rPr>
                <w:b/>
                <w:spacing w:val="-4"/>
                <w:sz w:val="20"/>
              </w:rPr>
              <w:t>доза</w:t>
            </w:r>
          </w:p>
        </w:tc>
      </w:tr>
      <w:tr>
        <w:trPr>
          <w:trHeight w:val="340" w:hRule="atLeast"/>
        </w:trPr>
        <w:tc>
          <w:tcPr>
            <w:tcW w:w="14882" w:type="dxa"/>
            <w:gridSpan w:val="4"/>
          </w:tcPr>
          <w:p>
            <w:pPr>
              <w:pStyle w:val="TableParagraph"/>
              <w:spacing w:before="8"/>
              <w:ind w:left="2" w:right="10"/>
              <w:jc w:val="center"/>
              <w:rPr>
                <w:b/>
                <w:sz w:val="20"/>
              </w:rPr>
            </w:pPr>
            <w:r>
              <w:rPr>
                <w:b/>
                <w:sz w:val="20"/>
              </w:rPr>
              <w:t>Антикоагулянты</w:t>
            </w:r>
            <w:r>
              <w:rPr>
                <w:b/>
                <w:spacing w:val="-12"/>
                <w:sz w:val="20"/>
              </w:rPr>
              <w:t> </w:t>
            </w:r>
            <w:r>
              <w:rPr>
                <w:b/>
                <w:sz w:val="20"/>
              </w:rPr>
              <w:t>для</w:t>
            </w:r>
            <w:r>
              <w:rPr>
                <w:b/>
                <w:spacing w:val="-10"/>
                <w:sz w:val="20"/>
              </w:rPr>
              <w:t> </w:t>
            </w:r>
            <w:r>
              <w:rPr>
                <w:b/>
                <w:sz w:val="20"/>
              </w:rPr>
              <w:t>парентерального</w:t>
            </w:r>
            <w:r>
              <w:rPr>
                <w:b/>
                <w:spacing w:val="-12"/>
                <w:sz w:val="20"/>
              </w:rPr>
              <w:t> </w:t>
            </w:r>
            <w:r>
              <w:rPr>
                <w:b/>
                <w:spacing w:val="-2"/>
                <w:sz w:val="20"/>
              </w:rPr>
              <w:t>введения</w:t>
            </w:r>
          </w:p>
        </w:tc>
      </w:tr>
      <w:tr>
        <w:trPr>
          <w:trHeight w:val="343" w:hRule="atLeast"/>
        </w:trPr>
        <w:tc>
          <w:tcPr>
            <w:tcW w:w="14882" w:type="dxa"/>
            <w:gridSpan w:val="4"/>
          </w:tcPr>
          <w:p>
            <w:pPr>
              <w:pStyle w:val="TableParagraph"/>
              <w:spacing w:before="8"/>
              <w:ind w:left="106"/>
              <w:rPr>
                <w:b/>
                <w:sz w:val="20"/>
              </w:rPr>
            </w:pPr>
            <w:r>
              <w:rPr>
                <w:b/>
                <w:spacing w:val="-2"/>
                <w:sz w:val="20"/>
              </w:rPr>
              <w:t>Нефракционированный</w:t>
            </w:r>
            <w:r>
              <w:rPr>
                <w:b/>
                <w:spacing w:val="13"/>
                <w:sz w:val="20"/>
              </w:rPr>
              <w:t> </w:t>
            </w:r>
            <w:r>
              <w:rPr>
                <w:b/>
                <w:spacing w:val="-2"/>
                <w:sz w:val="20"/>
              </w:rPr>
              <w:t>гепарин</w:t>
            </w:r>
          </w:p>
        </w:tc>
      </w:tr>
      <w:tr>
        <w:trPr>
          <w:trHeight w:val="1840" w:hRule="atLeast"/>
        </w:trPr>
        <w:tc>
          <w:tcPr>
            <w:tcW w:w="3990" w:type="dxa"/>
          </w:tcPr>
          <w:p>
            <w:pPr>
              <w:pStyle w:val="TableParagraph"/>
              <w:spacing w:before="8"/>
              <w:ind w:left="106"/>
              <w:rPr>
                <w:sz w:val="20"/>
              </w:rPr>
            </w:pPr>
            <w:r>
              <w:rPr>
                <w:spacing w:val="-2"/>
                <w:sz w:val="20"/>
              </w:rPr>
              <w:t>Нефракционированный</w:t>
            </w:r>
            <w:r>
              <w:rPr>
                <w:spacing w:val="12"/>
                <w:sz w:val="20"/>
              </w:rPr>
              <w:t> </w:t>
            </w:r>
            <w:r>
              <w:rPr>
                <w:spacing w:val="-2"/>
                <w:sz w:val="20"/>
              </w:rPr>
              <w:t>гепарин</w:t>
            </w:r>
          </w:p>
        </w:tc>
        <w:tc>
          <w:tcPr>
            <w:tcW w:w="3000" w:type="dxa"/>
          </w:tcPr>
          <w:p>
            <w:pPr>
              <w:pStyle w:val="TableParagraph"/>
              <w:spacing w:before="8"/>
              <w:ind w:right="82"/>
              <w:jc w:val="center"/>
              <w:rPr>
                <w:sz w:val="20"/>
              </w:rPr>
            </w:pPr>
            <w:r>
              <w:rPr>
                <w:sz w:val="20"/>
              </w:rPr>
              <w:t>Подкожно</w:t>
            </w:r>
            <w:r>
              <w:rPr>
                <w:spacing w:val="-4"/>
                <w:sz w:val="20"/>
              </w:rPr>
              <w:t> </w:t>
            </w:r>
            <w:r>
              <w:rPr>
                <w:sz w:val="20"/>
              </w:rPr>
              <w:t>5000</w:t>
            </w:r>
            <w:r>
              <w:rPr>
                <w:spacing w:val="-3"/>
                <w:sz w:val="20"/>
              </w:rPr>
              <w:t> </w:t>
            </w:r>
            <w:r>
              <w:rPr>
                <w:sz w:val="20"/>
              </w:rPr>
              <w:t>ЕД</w:t>
            </w:r>
            <w:r>
              <w:rPr>
                <w:spacing w:val="-4"/>
                <w:sz w:val="20"/>
              </w:rPr>
              <w:t> </w:t>
            </w:r>
            <w:r>
              <w:rPr>
                <w:sz w:val="20"/>
              </w:rPr>
              <w:t>2-3</w:t>
            </w:r>
            <w:r>
              <w:rPr>
                <w:spacing w:val="-4"/>
                <w:sz w:val="20"/>
              </w:rPr>
              <w:t> </w:t>
            </w:r>
            <w:r>
              <w:rPr>
                <w:spacing w:val="-2"/>
                <w:sz w:val="20"/>
              </w:rPr>
              <w:t>раза/сут</w:t>
            </w:r>
          </w:p>
        </w:tc>
        <w:tc>
          <w:tcPr>
            <w:tcW w:w="2489" w:type="dxa"/>
          </w:tcPr>
          <w:p>
            <w:pPr>
              <w:pStyle w:val="TableParagraph"/>
              <w:spacing w:before="8"/>
              <w:ind w:left="99"/>
              <w:rPr>
                <w:sz w:val="20"/>
              </w:rPr>
            </w:pPr>
            <w:r>
              <w:rPr>
                <w:sz w:val="20"/>
              </w:rPr>
              <w:t>Подкожно</w:t>
            </w:r>
            <w:r>
              <w:rPr>
                <w:spacing w:val="-13"/>
                <w:sz w:val="20"/>
              </w:rPr>
              <w:t> </w:t>
            </w:r>
            <w:r>
              <w:rPr>
                <w:sz w:val="20"/>
              </w:rPr>
              <w:t>7500</w:t>
            </w:r>
            <w:r>
              <w:rPr>
                <w:spacing w:val="-12"/>
                <w:sz w:val="20"/>
              </w:rPr>
              <w:t> </w:t>
            </w:r>
            <w:r>
              <w:rPr>
                <w:sz w:val="20"/>
              </w:rPr>
              <w:t>ЕД</w:t>
            </w:r>
            <w:r>
              <w:rPr>
                <w:spacing w:val="-13"/>
                <w:sz w:val="20"/>
              </w:rPr>
              <w:t> </w:t>
            </w:r>
            <w:r>
              <w:rPr>
                <w:sz w:val="20"/>
              </w:rPr>
              <w:t>2-</w:t>
            </w:r>
            <w:r>
              <w:rPr>
                <w:sz w:val="20"/>
              </w:rPr>
              <w:t>3 </w:t>
            </w:r>
            <w:r>
              <w:rPr>
                <w:spacing w:val="-2"/>
                <w:sz w:val="20"/>
              </w:rPr>
              <w:t>раза/сут</w:t>
            </w:r>
          </w:p>
        </w:tc>
        <w:tc>
          <w:tcPr>
            <w:tcW w:w="5403" w:type="dxa"/>
          </w:tcPr>
          <w:p>
            <w:pPr>
              <w:pStyle w:val="TableParagraph"/>
              <w:spacing w:before="8"/>
              <w:ind w:left="97" w:right="175"/>
              <w:rPr>
                <w:sz w:val="20"/>
              </w:rPr>
            </w:pPr>
            <w:r>
              <w:rPr>
                <w:sz w:val="20"/>
              </w:rPr>
              <w:t>В/в инфузия оптимально под контролем анти-Ха активности</w:t>
            </w:r>
            <w:r>
              <w:rPr>
                <w:spacing w:val="-9"/>
                <w:sz w:val="20"/>
              </w:rPr>
              <w:t> </w:t>
            </w:r>
            <w:r>
              <w:rPr>
                <w:sz w:val="20"/>
              </w:rPr>
              <w:t>(АЧТВ</w:t>
            </w:r>
            <w:r>
              <w:rPr>
                <w:spacing w:val="-9"/>
                <w:sz w:val="20"/>
              </w:rPr>
              <w:t> </w:t>
            </w:r>
            <w:r>
              <w:rPr>
                <w:sz w:val="20"/>
              </w:rPr>
              <w:t>может</w:t>
            </w:r>
            <w:r>
              <w:rPr>
                <w:spacing w:val="-9"/>
                <w:sz w:val="20"/>
              </w:rPr>
              <w:t> </w:t>
            </w:r>
            <w:r>
              <w:rPr>
                <w:sz w:val="20"/>
              </w:rPr>
              <w:t>повышаться</w:t>
            </w:r>
            <w:r>
              <w:rPr>
                <w:spacing w:val="-9"/>
                <w:sz w:val="20"/>
              </w:rPr>
              <w:t> </w:t>
            </w:r>
            <w:r>
              <w:rPr>
                <w:sz w:val="20"/>
              </w:rPr>
              <w:t>при</w:t>
            </w:r>
            <w:r>
              <w:rPr>
                <w:spacing w:val="-9"/>
                <w:sz w:val="20"/>
              </w:rPr>
              <w:t> </w:t>
            </w:r>
            <w:r>
              <w:rPr>
                <w:sz w:val="20"/>
              </w:rPr>
              <w:t>COVID-19, </w:t>
            </w:r>
            <w:r>
              <w:rPr>
                <w:spacing w:val="-2"/>
                <w:sz w:val="20"/>
              </w:rPr>
              <w:t>поэтому</w:t>
            </w:r>
          </w:p>
          <w:p>
            <w:pPr>
              <w:pStyle w:val="TableParagraph"/>
              <w:ind w:left="97" w:right="175"/>
              <w:rPr>
                <w:sz w:val="20"/>
              </w:rPr>
            </w:pPr>
            <w:r>
              <w:rPr>
                <w:sz w:val="20"/>
              </w:rPr>
              <w:t>может быть ненадежным). Начальная доза при венозных тромбоэмболических</w:t>
            </w:r>
            <w:r>
              <w:rPr>
                <w:spacing w:val="-12"/>
                <w:sz w:val="20"/>
              </w:rPr>
              <w:t> </w:t>
            </w:r>
            <w:r>
              <w:rPr>
                <w:sz w:val="20"/>
              </w:rPr>
              <w:t>осложнениях</w:t>
            </w:r>
            <w:r>
              <w:rPr>
                <w:spacing w:val="-10"/>
                <w:sz w:val="20"/>
              </w:rPr>
              <w:t> </w:t>
            </w:r>
            <w:r>
              <w:rPr>
                <w:sz w:val="20"/>
              </w:rPr>
              <w:t>–</w:t>
            </w:r>
            <w:r>
              <w:rPr>
                <w:spacing w:val="-12"/>
                <w:sz w:val="20"/>
              </w:rPr>
              <w:t> </w:t>
            </w:r>
            <w:r>
              <w:rPr>
                <w:sz w:val="20"/>
              </w:rPr>
              <w:t>внутривенно</w:t>
            </w:r>
            <w:r>
              <w:rPr>
                <w:spacing w:val="-12"/>
                <w:sz w:val="20"/>
              </w:rPr>
              <w:t> </w:t>
            </w:r>
            <w:r>
              <w:rPr>
                <w:sz w:val="20"/>
              </w:rPr>
              <w:t>болюсом 80 ЕД / кг (максимально 5000 ЕД) и инфузия с начальной скоростью 18 ЕД/кг/ч.</w:t>
            </w:r>
          </w:p>
        </w:tc>
      </w:tr>
      <w:tr>
        <w:trPr>
          <w:trHeight w:val="395" w:hRule="atLeast"/>
        </w:trPr>
        <w:tc>
          <w:tcPr>
            <w:tcW w:w="14882" w:type="dxa"/>
            <w:gridSpan w:val="4"/>
          </w:tcPr>
          <w:p>
            <w:pPr>
              <w:pStyle w:val="TableParagraph"/>
              <w:spacing w:before="6"/>
              <w:ind w:right="10"/>
              <w:jc w:val="center"/>
              <w:rPr>
                <w:b/>
                <w:sz w:val="20"/>
              </w:rPr>
            </w:pPr>
            <w:r>
              <w:rPr>
                <w:b/>
                <w:spacing w:val="-2"/>
                <w:sz w:val="20"/>
              </w:rPr>
              <w:t>Низкомолекулярные</w:t>
            </w:r>
            <w:r>
              <w:rPr>
                <w:b/>
                <w:spacing w:val="16"/>
                <w:sz w:val="20"/>
              </w:rPr>
              <w:t> </w:t>
            </w:r>
            <w:r>
              <w:rPr>
                <w:b/>
                <w:spacing w:val="-2"/>
                <w:sz w:val="20"/>
              </w:rPr>
              <w:t>гепарины</w:t>
            </w:r>
          </w:p>
        </w:tc>
      </w:tr>
      <w:tr>
        <w:trPr>
          <w:trHeight w:val="688" w:hRule="atLeast"/>
        </w:trPr>
        <w:tc>
          <w:tcPr>
            <w:tcW w:w="3990" w:type="dxa"/>
            <w:shd w:val="clear" w:color="auto" w:fill="F1F1F1"/>
          </w:tcPr>
          <w:p>
            <w:pPr>
              <w:pStyle w:val="TableParagraph"/>
              <w:spacing w:line="272" w:lineRule="exact"/>
              <w:ind w:left="106"/>
              <w:rPr>
                <w:b/>
                <w:position w:val="8"/>
                <w:sz w:val="16"/>
              </w:rPr>
            </w:pPr>
            <w:r>
              <w:rPr>
                <w:sz w:val="20"/>
              </w:rPr>
              <w:t>Далтепарин</w:t>
            </w:r>
            <w:r>
              <w:rPr>
                <w:spacing w:val="-13"/>
                <w:sz w:val="20"/>
              </w:rPr>
              <w:t> </w:t>
            </w:r>
            <w:r>
              <w:rPr>
                <w:spacing w:val="-2"/>
                <w:sz w:val="20"/>
              </w:rPr>
              <w:t>натрия</w:t>
            </w:r>
            <w:r>
              <w:rPr>
                <w:b/>
                <w:spacing w:val="-2"/>
                <w:position w:val="8"/>
                <w:sz w:val="16"/>
              </w:rPr>
              <w:t>1</w:t>
            </w:r>
          </w:p>
        </w:tc>
        <w:tc>
          <w:tcPr>
            <w:tcW w:w="3000" w:type="dxa"/>
            <w:shd w:val="clear" w:color="auto" w:fill="F1F1F1"/>
          </w:tcPr>
          <w:p>
            <w:pPr>
              <w:pStyle w:val="TableParagraph"/>
              <w:spacing w:line="237" w:lineRule="auto" w:before="7"/>
              <w:ind w:left="102"/>
              <w:rPr>
                <w:sz w:val="20"/>
              </w:rPr>
            </w:pPr>
            <w:r>
              <w:rPr>
                <w:sz w:val="20"/>
              </w:rPr>
              <w:t>Подкожно</w:t>
            </w:r>
            <w:r>
              <w:rPr>
                <w:spacing w:val="-10"/>
                <w:sz w:val="20"/>
              </w:rPr>
              <w:t> </w:t>
            </w:r>
            <w:r>
              <w:rPr>
                <w:sz w:val="20"/>
              </w:rPr>
              <w:t>5000</w:t>
            </w:r>
            <w:r>
              <w:rPr>
                <w:spacing w:val="-10"/>
                <w:sz w:val="20"/>
              </w:rPr>
              <w:t> </w:t>
            </w:r>
            <w:r>
              <w:rPr>
                <w:sz w:val="20"/>
              </w:rPr>
              <w:t>анти-Ха</w:t>
            </w:r>
            <w:r>
              <w:rPr>
                <w:spacing w:val="-11"/>
                <w:sz w:val="20"/>
              </w:rPr>
              <w:t> </w:t>
            </w:r>
            <w:r>
              <w:rPr>
                <w:sz w:val="20"/>
              </w:rPr>
              <w:t>МЕ</w:t>
            </w:r>
            <w:r>
              <w:rPr>
                <w:spacing w:val="-10"/>
                <w:sz w:val="20"/>
              </w:rPr>
              <w:t> </w:t>
            </w:r>
            <w:r>
              <w:rPr>
                <w:sz w:val="20"/>
              </w:rPr>
              <w:t>1 </w:t>
            </w:r>
            <w:r>
              <w:rPr>
                <w:spacing w:val="-2"/>
                <w:sz w:val="20"/>
              </w:rPr>
              <w:t>раз/сут</w:t>
            </w:r>
          </w:p>
        </w:tc>
        <w:tc>
          <w:tcPr>
            <w:tcW w:w="2489" w:type="dxa"/>
            <w:shd w:val="clear" w:color="auto" w:fill="F1F1F1"/>
          </w:tcPr>
          <w:p>
            <w:pPr>
              <w:pStyle w:val="TableParagraph"/>
              <w:spacing w:line="229" w:lineRule="exact" w:before="6"/>
              <w:ind w:left="99"/>
              <w:rPr>
                <w:sz w:val="20"/>
              </w:rPr>
            </w:pPr>
            <w:r>
              <w:rPr>
                <w:sz w:val="20"/>
              </w:rPr>
              <w:t>Подкожно</w:t>
            </w:r>
            <w:r>
              <w:rPr>
                <w:spacing w:val="-8"/>
                <w:sz w:val="20"/>
              </w:rPr>
              <w:t> </w:t>
            </w:r>
            <w:r>
              <w:rPr>
                <w:sz w:val="20"/>
              </w:rPr>
              <w:t>5000</w:t>
            </w:r>
            <w:r>
              <w:rPr>
                <w:spacing w:val="-8"/>
                <w:sz w:val="20"/>
              </w:rPr>
              <w:t> </w:t>
            </w:r>
            <w:r>
              <w:rPr>
                <w:sz w:val="20"/>
              </w:rPr>
              <w:t>анти-</w:t>
            </w:r>
            <w:r>
              <w:rPr>
                <w:spacing w:val="-5"/>
                <w:sz w:val="20"/>
              </w:rPr>
              <w:t>Ха</w:t>
            </w:r>
          </w:p>
          <w:p>
            <w:pPr>
              <w:pStyle w:val="TableParagraph"/>
              <w:spacing w:line="229" w:lineRule="exact"/>
              <w:ind w:left="99"/>
              <w:rPr>
                <w:sz w:val="20"/>
              </w:rPr>
            </w:pPr>
            <w:r>
              <w:rPr>
                <w:sz w:val="20"/>
              </w:rPr>
              <w:t>МЕ</w:t>
            </w:r>
            <w:r>
              <w:rPr>
                <w:spacing w:val="-1"/>
                <w:sz w:val="20"/>
              </w:rPr>
              <w:t> </w:t>
            </w:r>
            <w:r>
              <w:rPr>
                <w:sz w:val="20"/>
              </w:rPr>
              <w:t>2</w:t>
            </w:r>
            <w:r>
              <w:rPr>
                <w:spacing w:val="-1"/>
                <w:sz w:val="20"/>
              </w:rPr>
              <w:t> </w:t>
            </w:r>
            <w:r>
              <w:rPr>
                <w:spacing w:val="-2"/>
                <w:sz w:val="20"/>
              </w:rPr>
              <w:t>раза/сут</w:t>
            </w:r>
          </w:p>
        </w:tc>
        <w:tc>
          <w:tcPr>
            <w:tcW w:w="5403" w:type="dxa"/>
            <w:shd w:val="clear" w:color="auto" w:fill="F1F1F1"/>
          </w:tcPr>
          <w:p>
            <w:pPr>
              <w:pStyle w:val="TableParagraph"/>
              <w:spacing w:before="6"/>
              <w:ind w:left="97"/>
              <w:rPr>
                <w:sz w:val="20"/>
              </w:rPr>
            </w:pPr>
            <w:r>
              <w:rPr>
                <w:sz w:val="20"/>
              </w:rPr>
              <w:t>Подкожно</w:t>
            </w:r>
            <w:r>
              <w:rPr>
                <w:spacing w:val="-5"/>
                <w:sz w:val="20"/>
              </w:rPr>
              <w:t> </w:t>
            </w:r>
            <w:r>
              <w:rPr>
                <w:sz w:val="20"/>
              </w:rPr>
              <w:t>100</w:t>
            </w:r>
            <w:r>
              <w:rPr>
                <w:spacing w:val="-4"/>
                <w:sz w:val="20"/>
              </w:rPr>
              <w:t> </w:t>
            </w:r>
            <w:r>
              <w:rPr>
                <w:sz w:val="20"/>
              </w:rPr>
              <w:t>анти-Ха</w:t>
            </w:r>
            <w:r>
              <w:rPr>
                <w:spacing w:val="-6"/>
                <w:sz w:val="20"/>
              </w:rPr>
              <w:t> </w:t>
            </w:r>
            <w:r>
              <w:rPr>
                <w:sz w:val="20"/>
              </w:rPr>
              <w:t>МЕ/кг</w:t>
            </w:r>
            <w:r>
              <w:rPr>
                <w:spacing w:val="-6"/>
                <w:sz w:val="20"/>
              </w:rPr>
              <w:t> </w:t>
            </w:r>
            <w:r>
              <w:rPr>
                <w:sz w:val="20"/>
              </w:rPr>
              <w:t>2</w:t>
            </w:r>
            <w:r>
              <w:rPr>
                <w:spacing w:val="-5"/>
                <w:sz w:val="20"/>
              </w:rPr>
              <w:t> </w:t>
            </w:r>
            <w:r>
              <w:rPr>
                <w:spacing w:val="-2"/>
                <w:sz w:val="20"/>
              </w:rPr>
              <w:t>раза/сут</w:t>
            </w:r>
          </w:p>
        </w:tc>
      </w:tr>
      <w:tr>
        <w:trPr>
          <w:trHeight w:val="1213" w:hRule="atLeast"/>
        </w:trPr>
        <w:tc>
          <w:tcPr>
            <w:tcW w:w="3990" w:type="dxa"/>
          </w:tcPr>
          <w:p>
            <w:pPr>
              <w:pStyle w:val="TableParagraph"/>
              <w:spacing w:line="271" w:lineRule="exact"/>
              <w:ind w:left="106"/>
              <w:rPr>
                <w:b/>
                <w:position w:val="8"/>
                <w:sz w:val="16"/>
              </w:rPr>
            </w:pPr>
            <w:r>
              <w:rPr>
                <w:sz w:val="20"/>
              </w:rPr>
              <w:t>Надропарин</w:t>
            </w:r>
            <w:r>
              <w:rPr>
                <w:spacing w:val="-11"/>
                <w:sz w:val="20"/>
              </w:rPr>
              <w:t> </w:t>
            </w:r>
            <w:r>
              <w:rPr>
                <w:spacing w:val="-2"/>
                <w:sz w:val="20"/>
              </w:rPr>
              <w:t>кальция</w:t>
            </w:r>
            <w:r>
              <w:rPr>
                <w:b/>
                <w:spacing w:val="-2"/>
                <w:position w:val="8"/>
                <w:sz w:val="16"/>
              </w:rPr>
              <w:t>1</w:t>
            </w:r>
          </w:p>
        </w:tc>
        <w:tc>
          <w:tcPr>
            <w:tcW w:w="3000" w:type="dxa"/>
          </w:tcPr>
          <w:p>
            <w:pPr>
              <w:pStyle w:val="TableParagraph"/>
              <w:spacing w:line="242" w:lineRule="auto" w:before="67"/>
              <w:ind w:left="102" w:right="123"/>
              <w:rPr>
                <w:sz w:val="20"/>
              </w:rPr>
            </w:pPr>
            <w:r>
              <w:rPr>
                <w:sz w:val="20"/>
              </w:rPr>
              <w:t>Подкожно 3800 анти-Ха МЕ</w:t>
            </w:r>
            <w:r>
              <w:rPr>
                <w:spacing w:val="40"/>
                <w:sz w:val="20"/>
              </w:rPr>
              <w:t> </w:t>
            </w:r>
            <w:r>
              <w:rPr>
                <w:sz w:val="20"/>
              </w:rPr>
              <w:t>(0,4</w:t>
            </w:r>
            <w:r>
              <w:rPr>
                <w:spacing w:val="-6"/>
                <w:sz w:val="20"/>
              </w:rPr>
              <w:t> </w:t>
            </w:r>
            <w:r>
              <w:rPr>
                <w:sz w:val="20"/>
              </w:rPr>
              <w:t>мл)</w:t>
            </w:r>
            <w:r>
              <w:rPr>
                <w:spacing w:val="-9"/>
                <w:sz w:val="20"/>
              </w:rPr>
              <w:t> </w:t>
            </w:r>
            <w:r>
              <w:rPr>
                <w:sz w:val="20"/>
              </w:rPr>
              <w:t>1</w:t>
            </w:r>
            <w:r>
              <w:rPr>
                <w:spacing w:val="-6"/>
                <w:sz w:val="20"/>
              </w:rPr>
              <w:t> </w:t>
            </w:r>
            <w:r>
              <w:rPr>
                <w:sz w:val="20"/>
              </w:rPr>
              <w:t>раз/сут</w:t>
            </w:r>
            <w:r>
              <w:rPr>
                <w:spacing w:val="-7"/>
                <w:sz w:val="20"/>
              </w:rPr>
              <w:t> </w:t>
            </w:r>
            <w:r>
              <w:rPr>
                <w:sz w:val="20"/>
              </w:rPr>
              <w:t>при</w:t>
            </w:r>
            <w:r>
              <w:rPr>
                <w:spacing w:val="-8"/>
                <w:sz w:val="20"/>
              </w:rPr>
              <w:t> </w:t>
            </w:r>
            <w:r>
              <w:rPr>
                <w:sz w:val="20"/>
              </w:rPr>
              <w:t>массе</w:t>
            </w:r>
            <w:r>
              <w:rPr>
                <w:spacing w:val="-9"/>
                <w:sz w:val="20"/>
              </w:rPr>
              <w:t> </w:t>
            </w:r>
            <w:r>
              <w:rPr>
                <w:sz w:val="20"/>
              </w:rPr>
              <w:t>тела</w:t>
            </w:r>
          </w:p>
          <w:p>
            <w:pPr>
              <w:pStyle w:val="TableParagraph"/>
              <w:spacing w:line="237" w:lineRule="auto"/>
              <w:ind w:left="102" w:right="123"/>
              <w:rPr>
                <w:sz w:val="20"/>
              </w:rPr>
            </w:pPr>
            <w:r>
              <w:rPr>
                <w:sz w:val="20"/>
              </w:rPr>
              <w:t>≤70 кг или 5700 анти-Ха МЕ (0,6</w:t>
            </w:r>
            <w:r>
              <w:rPr>
                <w:spacing w:val="-6"/>
                <w:sz w:val="20"/>
              </w:rPr>
              <w:t> </w:t>
            </w:r>
            <w:r>
              <w:rPr>
                <w:sz w:val="20"/>
              </w:rPr>
              <w:t>мл)</w:t>
            </w:r>
            <w:r>
              <w:rPr>
                <w:spacing w:val="-9"/>
                <w:sz w:val="20"/>
              </w:rPr>
              <w:t> </w:t>
            </w:r>
            <w:r>
              <w:rPr>
                <w:sz w:val="20"/>
              </w:rPr>
              <w:t>1</w:t>
            </w:r>
            <w:r>
              <w:rPr>
                <w:spacing w:val="-6"/>
                <w:sz w:val="20"/>
              </w:rPr>
              <w:t> </w:t>
            </w:r>
            <w:r>
              <w:rPr>
                <w:sz w:val="20"/>
              </w:rPr>
              <w:t>раз/сут</w:t>
            </w:r>
            <w:r>
              <w:rPr>
                <w:spacing w:val="-7"/>
                <w:sz w:val="20"/>
              </w:rPr>
              <w:t> </w:t>
            </w:r>
            <w:r>
              <w:rPr>
                <w:sz w:val="20"/>
              </w:rPr>
              <w:t>при</w:t>
            </w:r>
            <w:r>
              <w:rPr>
                <w:spacing w:val="-8"/>
                <w:sz w:val="20"/>
              </w:rPr>
              <w:t> </w:t>
            </w:r>
            <w:r>
              <w:rPr>
                <w:sz w:val="20"/>
              </w:rPr>
              <w:t>массе</w:t>
            </w:r>
            <w:r>
              <w:rPr>
                <w:spacing w:val="-9"/>
                <w:sz w:val="20"/>
              </w:rPr>
              <w:t> </w:t>
            </w:r>
            <w:r>
              <w:rPr>
                <w:sz w:val="20"/>
              </w:rPr>
              <w:t>тела</w:t>
            </w:r>
          </w:p>
          <w:p>
            <w:pPr>
              <w:pStyle w:val="TableParagraph"/>
              <w:spacing w:line="206" w:lineRule="exact" w:before="1"/>
              <w:ind w:left="102"/>
              <w:rPr>
                <w:sz w:val="20"/>
              </w:rPr>
            </w:pPr>
            <w:r>
              <w:rPr>
                <w:sz w:val="20"/>
              </w:rPr>
              <w:t>&gt;70</w:t>
            </w:r>
            <w:r>
              <w:rPr>
                <w:spacing w:val="-2"/>
                <w:sz w:val="20"/>
              </w:rPr>
              <w:t> </w:t>
            </w:r>
            <w:r>
              <w:rPr>
                <w:spacing w:val="-5"/>
                <w:sz w:val="20"/>
              </w:rPr>
              <w:t>кг</w:t>
            </w:r>
          </w:p>
        </w:tc>
        <w:tc>
          <w:tcPr>
            <w:tcW w:w="2489" w:type="dxa"/>
          </w:tcPr>
          <w:p>
            <w:pPr>
              <w:pStyle w:val="TableParagraph"/>
              <w:spacing w:before="5"/>
              <w:ind w:left="99"/>
              <w:rPr>
                <w:sz w:val="20"/>
              </w:rPr>
            </w:pPr>
            <w:r>
              <w:rPr>
                <w:sz w:val="20"/>
              </w:rPr>
              <w:t>Подкожно</w:t>
            </w:r>
            <w:r>
              <w:rPr>
                <w:spacing w:val="-9"/>
                <w:sz w:val="20"/>
              </w:rPr>
              <w:t> </w:t>
            </w:r>
            <w:r>
              <w:rPr>
                <w:sz w:val="20"/>
              </w:rPr>
              <w:t>5700</w:t>
            </w:r>
            <w:r>
              <w:rPr>
                <w:spacing w:val="-9"/>
                <w:sz w:val="20"/>
              </w:rPr>
              <w:t> </w:t>
            </w:r>
            <w:r>
              <w:rPr>
                <w:sz w:val="20"/>
              </w:rPr>
              <w:t>анти-</w:t>
            </w:r>
            <w:r>
              <w:rPr>
                <w:spacing w:val="-5"/>
                <w:sz w:val="20"/>
              </w:rPr>
              <w:t>Ха</w:t>
            </w:r>
          </w:p>
          <w:p>
            <w:pPr>
              <w:pStyle w:val="TableParagraph"/>
              <w:ind w:left="99"/>
              <w:rPr>
                <w:sz w:val="20"/>
              </w:rPr>
            </w:pPr>
            <w:r>
              <w:rPr>
                <w:sz w:val="20"/>
              </w:rPr>
              <w:t>МЕ</w:t>
            </w:r>
            <w:r>
              <w:rPr>
                <w:spacing w:val="-2"/>
                <w:sz w:val="20"/>
              </w:rPr>
              <w:t> </w:t>
            </w:r>
            <w:r>
              <w:rPr>
                <w:sz w:val="20"/>
              </w:rPr>
              <w:t>(0,6</w:t>
            </w:r>
            <w:r>
              <w:rPr>
                <w:spacing w:val="-4"/>
                <w:sz w:val="20"/>
              </w:rPr>
              <w:t> </w:t>
            </w:r>
            <w:r>
              <w:rPr>
                <w:sz w:val="20"/>
              </w:rPr>
              <w:t>мл) 2</w:t>
            </w:r>
            <w:r>
              <w:rPr>
                <w:spacing w:val="-2"/>
                <w:sz w:val="20"/>
              </w:rPr>
              <w:t> раза/сут</w:t>
            </w:r>
          </w:p>
        </w:tc>
        <w:tc>
          <w:tcPr>
            <w:tcW w:w="5403" w:type="dxa"/>
          </w:tcPr>
          <w:p>
            <w:pPr>
              <w:pStyle w:val="TableParagraph"/>
              <w:spacing w:before="67"/>
              <w:ind w:left="97"/>
              <w:rPr>
                <w:sz w:val="20"/>
              </w:rPr>
            </w:pPr>
            <w:r>
              <w:rPr>
                <w:sz w:val="20"/>
              </w:rPr>
              <w:t>Подкожно</w:t>
            </w:r>
            <w:r>
              <w:rPr>
                <w:spacing w:val="-5"/>
                <w:sz w:val="20"/>
              </w:rPr>
              <w:t> </w:t>
            </w:r>
            <w:r>
              <w:rPr>
                <w:sz w:val="20"/>
              </w:rPr>
              <w:t>86</w:t>
            </w:r>
            <w:r>
              <w:rPr>
                <w:spacing w:val="-4"/>
                <w:sz w:val="20"/>
              </w:rPr>
              <w:t> </w:t>
            </w:r>
            <w:r>
              <w:rPr>
                <w:sz w:val="20"/>
              </w:rPr>
              <w:t>анти-Ха</w:t>
            </w:r>
            <w:r>
              <w:rPr>
                <w:spacing w:val="-5"/>
                <w:sz w:val="20"/>
              </w:rPr>
              <w:t> </w:t>
            </w:r>
            <w:r>
              <w:rPr>
                <w:sz w:val="20"/>
              </w:rPr>
              <w:t>МЕ/кг</w:t>
            </w:r>
            <w:r>
              <w:rPr>
                <w:spacing w:val="-6"/>
                <w:sz w:val="20"/>
              </w:rPr>
              <w:t> </w:t>
            </w:r>
            <w:r>
              <w:rPr>
                <w:sz w:val="20"/>
              </w:rPr>
              <w:t>2</w:t>
            </w:r>
            <w:r>
              <w:rPr>
                <w:spacing w:val="-4"/>
                <w:sz w:val="20"/>
              </w:rPr>
              <w:t> </w:t>
            </w:r>
            <w:r>
              <w:rPr>
                <w:spacing w:val="-2"/>
                <w:sz w:val="20"/>
              </w:rPr>
              <w:t>раза/сут</w:t>
            </w:r>
          </w:p>
        </w:tc>
      </w:tr>
      <w:tr>
        <w:trPr>
          <w:trHeight w:val="1149" w:hRule="atLeast"/>
        </w:trPr>
        <w:tc>
          <w:tcPr>
            <w:tcW w:w="3990" w:type="dxa"/>
            <w:shd w:val="clear" w:color="auto" w:fill="F1F1F1"/>
          </w:tcPr>
          <w:p>
            <w:pPr>
              <w:pStyle w:val="TableParagraph"/>
              <w:spacing w:line="271" w:lineRule="exact"/>
              <w:ind w:left="106"/>
              <w:rPr>
                <w:b/>
                <w:position w:val="8"/>
                <w:sz w:val="16"/>
              </w:rPr>
            </w:pPr>
            <w:r>
              <w:rPr>
                <w:sz w:val="20"/>
              </w:rPr>
              <w:t>Эноксапарин</w:t>
            </w:r>
            <w:r>
              <w:rPr>
                <w:spacing w:val="-13"/>
                <w:sz w:val="20"/>
              </w:rPr>
              <w:t> </w:t>
            </w:r>
            <w:r>
              <w:rPr>
                <w:spacing w:val="-2"/>
                <w:sz w:val="20"/>
              </w:rPr>
              <w:t>натрия</w:t>
            </w:r>
            <w:r>
              <w:rPr>
                <w:b/>
                <w:spacing w:val="-2"/>
                <w:position w:val="8"/>
                <w:sz w:val="16"/>
              </w:rPr>
              <w:t>1</w:t>
            </w:r>
          </w:p>
        </w:tc>
        <w:tc>
          <w:tcPr>
            <w:tcW w:w="3000" w:type="dxa"/>
            <w:shd w:val="clear" w:color="auto" w:fill="F1F1F1"/>
          </w:tcPr>
          <w:p>
            <w:pPr>
              <w:pStyle w:val="TableParagraph"/>
              <w:spacing w:before="4"/>
              <w:ind w:left="102"/>
              <w:rPr>
                <w:sz w:val="20"/>
              </w:rPr>
            </w:pPr>
            <w:r>
              <w:rPr>
                <w:sz w:val="20"/>
              </w:rPr>
              <w:t>Подкожно</w:t>
            </w:r>
            <w:r>
              <w:rPr>
                <w:spacing w:val="-5"/>
                <w:sz w:val="20"/>
              </w:rPr>
              <w:t> </w:t>
            </w:r>
            <w:r>
              <w:rPr>
                <w:sz w:val="20"/>
              </w:rPr>
              <w:t>4000</w:t>
            </w:r>
            <w:r>
              <w:rPr>
                <w:spacing w:val="-5"/>
                <w:sz w:val="20"/>
              </w:rPr>
              <w:t> </w:t>
            </w:r>
            <w:r>
              <w:rPr>
                <w:sz w:val="20"/>
              </w:rPr>
              <w:t>анти-Ха</w:t>
            </w:r>
            <w:r>
              <w:rPr>
                <w:spacing w:val="-6"/>
                <w:sz w:val="20"/>
              </w:rPr>
              <w:t> </w:t>
            </w:r>
            <w:r>
              <w:rPr>
                <w:sz w:val="20"/>
              </w:rPr>
              <w:t>МЕ</w:t>
            </w:r>
            <w:r>
              <w:rPr>
                <w:spacing w:val="-5"/>
                <w:sz w:val="20"/>
              </w:rPr>
              <w:t> (40</w:t>
            </w:r>
          </w:p>
          <w:p>
            <w:pPr>
              <w:pStyle w:val="TableParagraph"/>
              <w:spacing w:before="1"/>
              <w:ind w:left="102"/>
              <w:rPr>
                <w:sz w:val="20"/>
              </w:rPr>
            </w:pPr>
            <w:r>
              <w:rPr>
                <w:sz w:val="20"/>
              </w:rPr>
              <w:t>мг)</w:t>
            </w:r>
            <w:r>
              <w:rPr>
                <w:spacing w:val="-2"/>
                <w:sz w:val="20"/>
              </w:rPr>
              <w:t> </w:t>
            </w:r>
            <w:r>
              <w:rPr>
                <w:sz w:val="20"/>
              </w:rPr>
              <w:t>1 </w:t>
            </w:r>
            <w:r>
              <w:rPr>
                <w:spacing w:val="-2"/>
                <w:sz w:val="20"/>
              </w:rPr>
              <w:t>раз/сут</w:t>
            </w:r>
          </w:p>
        </w:tc>
        <w:tc>
          <w:tcPr>
            <w:tcW w:w="2489" w:type="dxa"/>
            <w:shd w:val="clear" w:color="auto" w:fill="F1F1F1"/>
          </w:tcPr>
          <w:p>
            <w:pPr>
              <w:pStyle w:val="TableParagraph"/>
              <w:spacing w:before="4"/>
              <w:ind w:left="99"/>
              <w:rPr>
                <w:sz w:val="20"/>
              </w:rPr>
            </w:pPr>
            <w:r>
              <w:rPr>
                <w:sz w:val="20"/>
              </w:rPr>
              <w:t>Подкожно</w:t>
            </w:r>
            <w:r>
              <w:rPr>
                <w:spacing w:val="-10"/>
                <w:sz w:val="20"/>
              </w:rPr>
              <w:t> </w:t>
            </w:r>
            <w:r>
              <w:rPr>
                <w:sz w:val="20"/>
              </w:rPr>
              <w:t>4000</w:t>
            </w:r>
            <w:r>
              <w:rPr>
                <w:spacing w:val="-7"/>
                <w:sz w:val="20"/>
              </w:rPr>
              <w:t> </w:t>
            </w:r>
            <w:r>
              <w:rPr>
                <w:sz w:val="20"/>
              </w:rPr>
              <w:t>анти-</w:t>
            </w:r>
            <w:r>
              <w:rPr>
                <w:spacing w:val="-5"/>
                <w:sz w:val="20"/>
              </w:rPr>
              <w:t>Ха</w:t>
            </w:r>
          </w:p>
          <w:p>
            <w:pPr>
              <w:pStyle w:val="TableParagraph"/>
              <w:spacing w:before="1"/>
              <w:ind w:left="99"/>
              <w:rPr>
                <w:sz w:val="20"/>
              </w:rPr>
            </w:pPr>
            <w:r>
              <w:rPr>
                <w:sz w:val="20"/>
              </w:rPr>
              <w:t>МЕ</w:t>
            </w:r>
            <w:r>
              <w:rPr>
                <w:spacing w:val="-10"/>
                <w:sz w:val="20"/>
              </w:rPr>
              <w:t> </w:t>
            </w:r>
            <w:r>
              <w:rPr>
                <w:sz w:val="20"/>
              </w:rPr>
              <w:t>(40</w:t>
            </w:r>
            <w:r>
              <w:rPr>
                <w:spacing w:val="-10"/>
                <w:sz w:val="20"/>
              </w:rPr>
              <w:t> </w:t>
            </w:r>
            <w:r>
              <w:rPr>
                <w:sz w:val="20"/>
              </w:rPr>
              <w:t>мг)</w:t>
            </w:r>
            <w:r>
              <w:rPr>
                <w:spacing w:val="-10"/>
                <w:sz w:val="20"/>
              </w:rPr>
              <w:t> </w:t>
            </w:r>
            <w:r>
              <w:rPr>
                <w:sz w:val="20"/>
              </w:rPr>
              <w:t>2</w:t>
            </w:r>
            <w:r>
              <w:rPr>
                <w:spacing w:val="-12"/>
                <w:sz w:val="20"/>
              </w:rPr>
              <w:t> </w:t>
            </w:r>
            <w:r>
              <w:rPr>
                <w:sz w:val="20"/>
              </w:rPr>
              <w:t>раза/сут; возможно</w:t>
            </w:r>
            <w:r>
              <w:rPr>
                <w:spacing w:val="-9"/>
                <w:sz w:val="20"/>
              </w:rPr>
              <w:t> </w:t>
            </w:r>
            <w:r>
              <w:rPr>
                <w:spacing w:val="-2"/>
                <w:sz w:val="20"/>
              </w:rPr>
              <w:t>увеличение</w:t>
            </w:r>
          </w:p>
          <w:p>
            <w:pPr>
              <w:pStyle w:val="TableParagraph"/>
              <w:spacing w:line="228" w:lineRule="exact"/>
              <w:ind w:left="99"/>
              <w:rPr>
                <w:sz w:val="20"/>
              </w:rPr>
            </w:pPr>
            <w:r>
              <w:rPr>
                <w:sz w:val="20"/>
              </w:rPr>
              <w:t>до</w:t>
            </w:r>
            <w:r>
              <w:rPr>
                <w:spacing w:val="-8"/>
                <w:sz w:val="20"/>
              </w:rPr>
              <w:t> </w:t>
            </w:r>
            <w:r>
              <w:rPr>
                <w:sz w:val="20"/>
              </w:rPr>
              <w:t>50</w:t>
            </w:r>
            <w:r>
              <w:rPr>
                <w:spacing w:val="-8"/>
                <w:sz w:val="20"/>
              </w:rPr>
              <w:t> </w:t>
            </w:r>
            <w:r>
              <w:rPr>
                <w:sz w:val="20"/>
              </w:rPr>
              <w:t>МЕ</w:t>
            </w:r>
            <w:r>
              <w:rPr>
                <w:spacing w:val="-8"/>
                <w:sz w:val="20"/>
              </w:rPr>
              <w:t> </w:t>
            </w:r>
            <w:r>
              <w:rPr>
                <w:sz w:val="20"/>
              </w:rPr>
              <w:t>(0,5</w:t>
            </w:r>
            <w:r>
              <w:rPr>
                <w:spacing w:val="-10"/>
                <w:sz w:val="20"/>
              </w:rPr>
              <w:t> </w:t>
            </w:r>
            <w:r>
              <w:rPr>
                <w:sz w:val="20"/>
              </w:rPr>
              <w:t>мг)/кг</w:t>
            </w:r>
            <w:r>
              <w:rPr>
                <w:spacing w:val="-10"/>
                <w:sz w:val="20"/>
              </w:rPr>
              <w:t> </w:t>
            </w:r>
            <w:r>
              <w:rPr>
                <w:sz w:val="20"/>
              </w:rPr>
              <w:t>2 </w:t>
            </w:r>
            <w:r>
              <w:rPr>
                <w:spacing w:val="-2"/>
                <w:sz w:val="20"/>
              </w:rPr>
              <w:t>раза/сут</w:t>
            </w:r>
          </w:p>
        </w:tc>
        <w:tc>
          <w:tcPr>
            <w:tcW w:w="5403" w:type="dxa"/>
            <w:shd w:val="clear" w:color="auto" w:fill="F1F1F1"/>
          </w:tcPr>
          <w:p>
            <w:pPr>
              <w:pStyle w:val="TableParagraph"/>
              <w:spacing w:before="4"/>
              <w:ind w:left="97" w:right="862"/>
              <w:jc w:val="both"/>
              <w:rPr>
                <w:sz w:val="20"/>
              </w:rPr>
            </w:pPr>
            <w:r>
              <w:rPr>
                <w:sz w:val="20"/>
              </w:rPr>
              <w:t>Подкожно</w:t>
            </w:r>
            <w:r>
              <w:rPr>
                <w:spacing w:val="-2"/>
                <w:sz w:val="20"/>
              </w:rPr>
              <w:t> </w:t>
            </w:r>
            <w:r>
              <w:rPr>
                <w:sz w:val="20"/>
              </w:rPr>
              <w:t>100</w:t>
            </w:r>
            <w:r>
              <w:rPr>
                <w:spacing w:val="-2"/>
                <w:sz w:val="20"/>
              </w:rPr>
              <w:t> </w:t>
            </w:r>
            <w:r>
              <w:rPr>
                <w:sz w:val="20"/>
              </w:rPr>
              <w:t>анти-Ха</w:t>
            </w:r>
            <w:r>
              <w:rPr>
                <w:spacing w:val="-3"/>
                <w:sz w:val="20"/>
              </w:rPr>
              <w:t> </w:t>
            </w:r>
            <w:r>
              <w:rPr>
                <w:sz w:val="20"/>
              </w:rPr>
              <w:t>МЕ</w:t>
            </w:r>
            <w:r>
              <w:rPr>
                <w:spacing w:val="-2"/>
                <w:sz w:val="20"/>
              </w:rPr>
              <w:t> </w:t>
            </w:r>
            <w:r>
              <w:rPr>
                <w:sz w:val="20"/>
              </w:rPr>
              <w:t>(1</w:t>
            </w:r>
            <w:r>
              <w:rPr>
                <w:spacing w:val="-2"/>
                <w:sz w:val="20"/>
              </w:rPr>
              <w:t> </w:t>
            </w:r>
            <w:r>
              <w:rPr>
                <w:sz w:val="20"/>
              </w:rPr>
              <w:t>мг)/кг</w:t>
            </w:r>
            <w:r>
              <w:rPr>
                <w:spacing w:val="-4"/>
                <w:sz w:val="20"/>
              </w:rPr>
              <w:t> </w:t>
            </w:r>
            <w:r>
              <w:rPr>
                <w:sz w:val="20"/>
              </w:rPr>
              <w:t>2</w:t>
            </w:r>
            <w:r>
              <w:rPr>
                <w:spacing w:val="-2"/>
                <w:sz w:val="20"/>
              </w:rPr>
              <w:t> </w:t>
            </w:r>
            <w:r>
              <w:rPr>
                <w:sz w:val="20"/>
              </w:rPr>
              <w:t>раза/сут,</w:t>
            </w:r>
            <w:r>
              <w:rPr>
                <w:spacing w:val="-3"/>
                <w:sz w:val="20"/>
              </w:rPr>
              <w:t> </w:t>
            </w:r>
            <w:r>
              <w:rPr>
                <w:sz w:val="20"/>
              </w:rPr>
              <w:t>при клиренсе</w:t>
            </w:r>
            <w:r>
              <w:rPr>
                <w:spacing w:val="-7"/>
                <w:sz w:val="20"/>
              </w:rPr>
              <w:t> </w:t>
            </w:r>
            <w:r>
              <w:rPr>
                <w:sz w:val="20"/>
              </w:rPr>
              <w:t>креатинина</w:t>
            </w:r>
            <w:r>
              <w:rPr>
                <w:spacing w:val="-7"/>
                <w:sz w:val="20"/>
              </w:rPr>
              <w:t> </w:t>
            </w:r>
            <w:r>
              <w:rPr>
                <w:sz w:val="20"/>
              </w:rPr>
              <w:t>15-30</w:t>
            </w:r>
            <w:r>
              <w:rPr>
                <w:spacing w:val="-9"/>
                <w:sz w:val="20"/>
              </w:rPr>
              <w:t> </w:t>
            </w:r>
            <w:r>
              <w:rPr>
                <w:sz w:val="20"/>
              </w:rPr>
              <w:t>мл/мин</w:t>
            </w:r>
            <w:r>
              <w:rPr>
                <w:spacing w:val="-8"/>
                <w:sz w:val="20"/>
              </w:rPr>
              <w:t> </w:t>
            </w:r>
            <w:r>
              <w:rPr>
                <w:sz w:val="20"/>
              </w:rPr>
              <w:t>100</w:t>
            </w:r>
            <w:r>
              <w:rPr>
                <w:spacing w:val="-6"/>
                <w:sz w:val="20"/>
              </w:rPr>
              <w:t> </w:t>
            </w:r>
            <w:r>
              <w:rPr>
                <w:sz w:val="20"/>
              </w:rPr>
              <w:t>анти-Ха</w:t>
            </w:r>
            <w:r>
              <w:rPr>
                <w:spacing w:val="-7"/>
                <w:sz w:val="20"/>
              </w:rPr>
              <w:t> </w:t>
            </w:r>
            <w:r>
              <w:rPr>
                <w:sz w:val="20"/>
              </w:rPr>
              <w:t>МЕ (1 мг)/кг 1 раз/сут</w:t>
            </w:r>
          </w:p>
        </w:tc>
      </w:tr>
      <w:tr>
        <w:trPr>
          <w:trHeight w:val="689" w:hRule="atLeast"/>
        </w:trPr>
        <w:tc>
          <w:tcPr>
            <w:tcW w:w="3990" w:type="dxa"/>
          </w:tcPr>
          <w:p>
            <w:pPr>
              <w:pStyle w:val="TableParagraph"/>
              <w:spacing w:line="270" w:lineRule="exact"/>
              <w:ind w:left="106"/>
              <w:rPr>
                <w:b/>
                <w:position w:val="8"/>
                <w:sz w:val="16"/>
              </w:rPr>
            </w:pPr>
            <w:r>
              <w:rPr>
                <w:sz w:val="20"/>
              </w:rPr>
              <w:t>Парнапарин</w:t>
            </w:r>
            <w:r>
              <w:rPr>
                <w:spacing w:val="-13"/>
                <w:sz w:val="20"/>
              </w:rPr>
              <w:t> </w:t>
            </w:r>
            <w:r>
              <w:rPr>
                <w:spacing w:val="-2"/>
                <w:sz w:val="20"/>
              </w:rPr>
              <w:t>натрия</w:t>
            </w:r>
            <w:r>
              <w:rPr>
                <w:b/>
                <w:spacing w:val="-2"/>
                <w:position w:val="8"/>
                <w:sz w:val="16"/>
              </w:rPr>
              <w:t>1</w:t>
            </w:r>
          </w:p>
        </w:tc>
        <w:tc>
          <w:tcPr>
            <w:tcW w:w="3000" w:type="dxa"/>
          </w:tcPr>
          <w:p>
            <w:pPr>
              <w:pStyle w:val="TableParagraph"/>
              <w:spacing w:before="2"/>
              <w:ind w:left="102"/>
              <w:rPr>
                <w:sz w:val="20"/>
              </w:rPr>
            </w:pPr>
            <w:r>
              <w:rPr>
                <w:sz w:val="20"/>
              </w:rPr>
              <w:t>Подкожно</w:t>
            </w:r>
            <w:r>
              <w:rPr>
                <w:spacing w:val="-6"/>
                <w:sz w:val="20"/>
              </w:rPr>
              <w:t> </w:t>
            </w:r>
            <w:r>
              <w:rPr>
                <w:sz w:val="20"/>
              </w:rPr>
              <w:t>0,3</w:t>
            </w:r>
            <w:r>
              <w:rPr>
                <w:spacing w:val="-6"/>
                <w:sz w:val="20"/>
              </w:rPr>
              <w:t> </w:t>
            </w:r>
            <w:r>
              <w:rPr>
                <w:sz w:val="20"/>
              </w:rPr>
              <w:t>мл</w:t>
            </w:r>
            <w:r>
              <w:rPr>
                <w:spacing w:val="-7"/>
                <w:sz w:val="20"/>
              </w:rPr>
              <w:t> </w:t>
            </w:r>
            <w:r>
              <w:rPr>
                <w:sz w:val="20"/>
              </w:rPr>
              <w:t>(3200</w:t>
            </w:r>
            <w:r>
              <w:rPr>
                <w:spacing w:val="-3"/>
                <w:sz w:val="20"/>
              </w:rPr>
              <w:t> </w:t>
            </w:r>
            <w:r>
              <w:rPr>
                <w:sz w:val="20"/>
              </w:rPr>
              <w:t>анти-</w:t>
            </w:r>
            <w:r>
              <w:rPr>
                <w:spacing w:val="-5"/>
                <w:sz w:val="20"/>
              </w:rPr>
              <w:t>Ха</w:t>
            </w:r>
          </w:p>
          <w:p>
            <w:pPr>
              <w:pStyle w:val="TableParagraph"/>
              <w:ind w:left="102"/>
              <w:rPr>
                <w:sz w:val="20"/>
              </w:rPr>
            </w:pPr>
            <w:r>
              <w:rPr>
                <w:sz w:val="20"/>
              </w:rPr>
              <w:t>МЕ)</w:t>
            </w:r>
            <w:r>
              <w:rPr>
                <w:spacing w:val="-5"/>
                <w:sz w:val="20"/>
              </w:rPr>
              <w:t> </w:t>
            </w:r>
            <w:r>
              <w:rPr>
                <w:sz w:val="20"/>
              </w:rPr>
              <w:t>или</w:t>
            </w:r>
            <w:r>
              <w:rPr>
                <w:spacing w:val="-5"/>
                <w:sz w:val="20"/>
              </w:rPr>
              <w:t> </w:t>
            </w:r>
            <w:r>
              <w:rPr>
                <w:sz w:val="20"/>
              </w:rPr>
              <w:t>0,4</w:t>
            </w:r>
            <w:r>
              <w:rPr>
                <w:spacing w:val="-3"/>
                <w:sz w:val="20"/>
              </w:rPr>
              <w:t> </w:t>
            </w:r>
            <w:r>
              <w:rPr>
                <w:sz w:val="20"/>
              </w:rPr>
              <w:t>мг</w:t>
            </w:r>
            <w:r>
              <w:rPr>
                <w:spacing w:val="-6"/>
                <w:sz w:val="20"/>
              </w:rPr>
              <w:t> </w:t>
            </w:r>
            <w:r>
              <w:rPr>
                <w:sz w:val="20"/>
              </w:rPr>
              <w:t>(4250</w:t>
            </w:r>
            <w:r>
              <w:rPr>
                <w:spacing w:val="-1"/>
                <w:sz w:val="20"/>
              </w:rPr>
              <w:t> </w:t>
            </w:r>
            <w:r>
              <w:rPr>
                <w:sz w:val="20"/>
              </w:rPr>
              <w:t>анти-</w:t>
            </w:r>
            <w:r>
              <w:rPr>
                <w:spacing w:val="-5"/>
                <w:sz w:val="20"/>
              </w:rPr>
              <w:t>Ха</w:t>
            </w:r>
          </w:p>
          <w:p>
            <w:pPr>
              <w:pStyle w:val="TableParagraph"/>
              <w:spacing w:line="207" w:lineRule="exact"/>
              <w:ind w:left="102"/>
              <w:rPr>
                <w:sz w:val="20"/>
              </w:rPr>
            </w:pPr>
            <w:r>
              <w:rPr>
                <w:sz w:val="20"/>
              </w:rPr>
              <w:t>МЕ)</w:t>
            </w:r>
            <w:r>
              <w:rPr>
                <w:spacing w:val="-2"/>
                <w:sz w:val="20"/>
              </w:rPr>
              <w:t> </w:t>
            </w:r>
            <w:r>
              <w:rPr>
                <w:sz w:val="20"/>
              </w:rPr>
              <w:t>1</w:t>
            </w:r>
            <w:r>
              <w:rPr>
                <w:spacing w:val="-1"/>
                <w:sz w:val="20"/>
              </w:rPr>
              <w:t> </w:t>
            </w:r>
            <w:r>
              <w:rPr>
                <w:spacing w:val="-2"/>
                <w:sz w:val="20"/>
              </w:rPr>
              <w:t>раз/сут</w:t>
            </w:r>
          </w:p>
        </w:tc>
        <w:tc>
          <w:tcPr>
            <w:tcW w:w="2489" w:type="dxa"/>
          </w:tcPr>
          <w:p>
            <w:pPr>
              <w:pStyle w:val="TableParagraph"/>
              <w:spacing w:before="2"/>
              <w:ind w:left="99" w:right="382"/>
              <w:rPr>
                <w:sz w:val="20"/>
              </w:rPr>
            </w:pPr>
            <w:r>
              <w:rPr>
                <w:sz w:val="20"/>
              </w:rPr>
              <w:t>Подкожно</w:t>
            </w:r>
            <w:r>
              <w:rPr>
                <w:spacing w:val="-8"/>
                <w:sz w:val="20"/>
              </w:rPr>
              <w:t> </w:t>
            </w:r>
            <w:r>
              <w:rPr>
                <w:sz w:val="20"/>
              </w:rPr>
              <w:t>0,3</w:t>
            </w:r>
            <w:r>
              <w:rPr>
                <w:spacing w:val="-8"/>
                <w:sz w:val="20"/>
              </w:rPr>
              <w:t> </w:t>
            </w:r>
            <w:r>
              <w:rPr>
                <w:sz w:val="20"/>
              </w:rPr>
              <w:t>мл</w:t>
            </w:r>
            <w:r>
              <w:rPr>
                <w:spacing w:val="-10"/>
                <w:sz w:val="20"/>
              </w:rPr>
              <w:t> </w:t>
            </w:r>
            <w:r>
              <w:rPr>
                <w:sz w:val="20"/>
              </w:rPr>
              <w:t>(3200 анти-Ха</w:t>
            </w:r>
            <w:r>
              <w:rPr>
                <w:spacing w:val="-5"/>
                <w:sz w:val="20"/>
              </w:rPr>
              <w:t> </w:t>
            </w:r>
            <w:r>
              <w:rPr>
                <w:sz w:val="20"/>
              </w:rPr>
              <w:t>МЕ)</w:t>
            </w:r>
            <w:r>
              <w:rPr>
                <w:spacing w:val="-4"/>
                <w:sz w:val="20"/>
              </w:rPr>
              <w:t> </w:t>
            </w:r>
            <w:r>
              <w:rPr>
                <w:sz w:val="20"/>
              </w:rPr>
              <w:t>2</w:t>
            </w:r>
            <w:r>
              <w:rPr>
                <w:spacing w:val="-3"/>
                <w:sz w:val="20"/>
              </w:rPr>
              <w:t> </w:t>
            </w:r>
            <w:r>
              <w:rPr>
                <w:spacing w:val="-2"/>
                <w:sz w:val="20"/>
              </w:rPr>
              <w:t>раза/сут</w:t>
            </w:r>
          </w:p>
        </w:tc>
        <w:tc>
          <w:tcPr>
            <w:tcW w:w="5403" w:type="dxa"/>
          </w:tcPr>
          <w:p>
            <w:pPr>
              <w:pStyle w:val="TableParagraph"/>
              <w:spacing w:before="2"/>
              <w:ind w:left="97"/>
              <w:rPr>
                <w:sz w:val="20"/>
              </w:rPr>
            </w:pPr>
            <w:r>
              <w:rPr>
                <w:sz w:val="20"/>
              </w:rPr>
              <w:t>Подкожно</w:t>
            </w:r>
            <w:r>
              <w:rPr>
                <w:spacing w:val="-4"/>
                <w:sz w:val="20"/>
              </w:rPr>
              <w:t> </w:t>
            </w:r>
            <w:r>
              <w:rPr>
                <w:sz w:val="20"/>
              </w:rPr>
              <w:t>0,6</w:t>
            </w:r>
            <w:r>
              <w:rPr>
                <w:spacing w:val="-3"/>
                <w:sz w:val="20"/>
              </w:rPr>
              <w:t> </w:t>
            </w:r>
            <w:r>
              <w:rPr>
                <w:sz w:val="20"/>
              </w:rPr>
              <w:t>мл</w:t>
            </w:r>
            <w:r>
              <w:rPr>
                <w:spacing w:val="-5"/>
                <w:sz w:val="20"/>
              </w:rPr>
              <w:t> </w:t>
            </w:r>
            <w:r>
              <w:rPr>
                <w:sz w:val="20"/>
              </w:rPr>
              <w:t>(6400</w:t>
            </w:r>
            <w:r>
              <w:rPr>
                <w:spacing w:val="-3"/>
                <w:sz w:val="20"/>
              </w:rPr>
              <w:t> </w:t>
            </w:r>
            <w:r>
              <w:rPr>
                <w:sz w:val="20"/>
              </w:rPr>
              <w:t>анти-Ха</w:t>
            </w:r>
            <w:r>
              <w:rPr>
                <w:spacing w:val="-4"/>
                <w:sz w:val="20"/>
              </w:rPr>
              <w:t> </w:t>
            </w:r>
            <w:r>
              <w:rPr>
                <w:sz w:val="20"/>
              </w:rPr>
              <w:t>МЕ)</w:t>
            </w:r>
            <w:r>
              <w:rPr>
                <w:spacing w:val="-4"/>
                <w:sz w:val="20"/>
              </w:rPr>
              <w:t> </w:t>
            </w:r>
            <w:r>
              <w:rPr>
                <w:sz w:val="20"/>
              </w:rPr>
              <w:t>2</w:t>
            </w:r>
            <w:r>
              <w:rPr>
                <w:spacing w:val="-3"/>
                <w:sz w:val="20"/>
              </w:rPr>
              <w:t> </w:t>
            </w:r>
            <w:r>
              <w:rPr>
                <w:spacing w:val="-2"/>
                <w:sz w:val="20"/>
              </w:rPr>
              <w:t>раза/сут</w:t>
            </w:r>
          </w:p>
        </w:tc>
      </w:tr>
      <w:tr>
        <w:trPr>
          <w:trHeight w:val="691" w:hRule="atLeast"/>
        </w:trPr>
        <w:tc>
          <w:tcPr>
            <w:tcW w:w="3990" w:type="dxa"/>
            <w:shd w:val="clear" w:color="auto" w:fill="F1F1F1"/>
          </w:tcPr>
          <w:p>
            <w:pPr>
              <w:pStyle w:val="TableParagraph"/>
              <w:spacing w:line="268" w:lineRule="exact"/>
              <w:ind w:left="106"/>
              <w:rPr>
                <w:b/>
                <w:position w:val="8"/>
                <w:sz w:val="16"/>
              </w:rPr>
            </w:pPr>
            <w:r>
              <w:rPr>
                <w:sz w:val="20"/>
              </w:rPr>
              <w:t>Бемипарин</w:t>
            </w:r>
            <w:r>
              <w:rPr>
                <w:spacing w:val="-12"/>
                <w:sz w:val="20"/>
              </w:rPr>
              <w:t> </w:t>
            </w:r>
            <w:r>
              <w:rPr>
                <w:spacing w:val="-2"/>
                <w:sz w:val="20"/>
              </w:rPr>
              <w:t>натрия</w:t>
            </w:r>
            <w:r>
              <w:rPr>
                <w:b/>
                <w:spacing w:val="-2"/>
                <w:position w:val="8"/>
                <w:sz w:val="16"/>
              </w:rPr>
              <w:t>1</w:t>
            </w:r>
          </w:p>
        </w:tc>
        <w:tc>
          <w:tcPr>
            <w:tcW w:w="3000" w:type="dxa"/>
            <w:shd w:val="clear" w:color="auto" w:fill="F1F1F1"/>
          </w:tcPr>
          <w:p>
            <w:pPr>
              <w:pStyle w:val="TableParagraph"/>
              <w:spacing w:before="2"/>
              <w:ind w:left="102"/>
              <w:rPr>
                <w:sz w:val="20"/>
              </w:rPr>
            </w:pPr>
            <w:r>
              <w:rPr>
                <w:sz w:val="20"/>
              </w:rPr>
              <w:t>Подкожно</w:t>
            </w:r>
            <w:r>
              <w:rPr>
                <w:spacing w:val="-10"/>
                <w:sz w:val="20"/>
              </w:rPr>
              <w:t> </w:t>
            </w:r>
            <w:r>
              <w:rPr>
                <w:sz w:val="20"/>
              </w:rPr>
              <w:t>2500</w:t>
            </w:r>
            <w:r>
              <w:rPr>
                <w:spacing w:val="-10"/>
                <w:sz w:val="20"/>
              </w:rPr>
              <w:t> </w:t>
            </w:r>
            <w:r>
              <w:rPr>
                <w:sz w:val="20"/>
              </w:rPr>
              <w:t>анти-Ха</w:t>
            </w:r>
            <w:r>
              <w:rPr>
                <w:spacing w:val="-11"/>
                <w:sz w:val="20"/>
              </w:rPr>
              <w:t> </w:t>
            </w:r>
            <w:r>
              <w:rPr>
                <w:sz w:val="20"/>
              </w:rPr>
              <w:t>МЕ</w:t>
            </w:r>
            <w:r>
              <w:rPr>
                <w:spacing w:val="-10"/>
                <w:sz w:val="20"/>
              </w:rPr>
              <w:t> </w:t>
            </w:r>
            <w:r>
              <w:rPr>
                <w:sz w:val="20"/>
              </w:rPr>
              <w:t>1 </w:t>
            </w:r>
            <w:r>
              <w:rPr>
                <w:spacing w:val="-2"/>
                <w:sz w:val="20"/>
              </w:rPr>
              <w:t>раз/сут</w:t>
            </w:r>
          </w:p>
        </w:tc>
        <w:tc>
          <w:tcPr>
            <w:tcW w:w="2489" w:type="dxa"/>
            <w:shd w:val="clear" w:color="auto" w:fill="F1F1F1"/>
          </w:tcPr>
          <w:p>
            <w:pPr>
              <w:pStyle w:val="TableParagraph"/>
              <w:spacing w:before="2"/>
              <w:ind w:left="99"/>
              <w:rPr>
                <w:sz w:val="20"/>
              </w:rPr>
            </w:pPr>
            <w:r>
              <w:rPr>
                <w:sz w:val="20"/>
              </w:rPr>
              <w:t>Подкожно</w:t>
            </w:r>
            <w:r>
              <w:rPr>
                <w:spacing w:val="-8"/>
                <w:sz w:val="20"/>
              </w:rPr>
              <w:t> </w:t>
            </w:r>
            <w:r>
              <w:rPr>
                <w:sz w:val="20"/>
              </w:rPr>
              <w:t>3500</w:t>
            </w:r>
            <w:r>
              <w:rPr>
                <w:spacing w:val="-8"/>
                <w:sz w:val="20"/>
              </w:rPr>
              <w:t> </w:t>
            </w:r>
            <w:r>
              <w:rPr>
                <w:sz w:val="20"/>
              </w:rPr>
              <w:t>анти-</w:t>
            </w:r>
            <w:r>
              <w:rPr>
                <w:spacing w:val="-5"/>
                <w:sz w:val="20"/>
              </w:rPr>
              <w:t>Ха</w:t>
            </w:r>
          </w:p>
          <w:p>
            <w:pPr>
              <w:pStyle w:val="TableParagraph"/>
              <w:ind w:left="99"/>
              <w:rPr>
                <w:sz w:val="20"/>
              </w:rPr>
            </w:pPr>
            <w:r>
              <w:rPr>
                <w:sz w:val="20"/>
              </w:rPr>
              <w:t>МЕ</w:t>
            </w:r>
            <w:r>
              <w:rPr>
                <w:spacing w:val="-1"/>
                <w:sz w:val="20"/>
              </w:rPr>
              <w:t> </w:t>
            </w:r>
            <w:r>
              <w:rPr>
                <w:sz w:val="20"/>
              </w:rPr>
              <w:t>1</w:t>
            </w:r>
            <w:r>
              <w:rPr>
                <w:spacing w:val="-1"/>
                <w:sz w:val="20"/>
              </w:rPr>
              <w:t> </w:t>
            </w:r>
            <w:r>
              <w:rPr>
                <w:spacing w:val="-2"/>
                <w:sz w:val="20"/>
              </w:rPr>
              <w:t>раз/сут</w:t>
            </w:r>
          </w:p>
        </w:tc>
        <w:tc>
          <w:tcPr>
            <w:tcW w:w="5403" w:type="dxa"/>
            <w:shd w:val="clear" w:color="auto" w:fill="F1F1F1"/>
          </w:tcPr>
          <w:p>
            <w:pPr>
              <w:pStyle w:val="TableParagraph"/>
              <w:rPr>
                <w:sz w:val="18"/>
              </w:rPr>
            </w:pPr>
          </w:p>
        </w:tc>
      </w:tr>
    </w:tbl>
    <w:p>
      <w:pPr>
        <w:spacing w:before="30"/>
        <w:ind w:left="0" w:right="15" w:firstLine="0"/>
        <w:jc w:val="center"/>
        <w:rPr>
          <w:rFonts w:ascii="Calibri"/>
          <w:sz w:val="22"/>
        </w:rPr>
      </w:pPr>
      <w:r>
        <w:rPr>
          <w:rFonts w:ascii="Calibri"/>
          <w:spacing w:val="-5"/>
          <w:sz w:val="22"/>
        </w:rPr>
        <w:t>203</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990"/>
        <w:gridCol w:w="3000"/>
        <w:gridCol w:w="2489"/>
        <w:gridCol w:w="5403"/>
      </w:tblGrid>
      <w:tr>
        <w:trPr>
          <w:trHeight w:val="229" w:hRule="atLeast"/>
        </w:trPr>
        <w:tc>
          <w:tcPr>
            <w:tcW w:w="14882" w:type="dxa"/>
            <w:gridSpan w:val="4"/>
          </w:tcPr>
          <w:p>
            <w:pPr>
              <w:pStyle w:val="TableParagraph"/>
              <w:spacing w:line="200" w:lineRule="exact" w:before="10"/>
              <w:ind w:left="106"/>
              <w:rPr>
                <w:b/>
                <w:sz w:val="20"/>
              </w:rPr>
            </w:pPr>
            <w:bookmarkStart w:name="205" w:id="243"/>
            <w:bookmarkEnd w:id="243"/>
            <w:r>
              <w:rPr/>
            </w:r>
            <w:r>
              <w:rPr>
                <w:b/>
                <w:spacing w:val="-2"/>
                <w:sz w:val="20"/>
              </w:rPr>
              <w:t>Синтетические</w:t>
            </w:r>
            <w:r>
              <w:rPr>
                <w:b/>
                <w:spacing w:val="8"/>
                <w:sz w:val="20"/>
              </w:rPr>
              <w:t> </w:t>
            </w:r>
            <w:r>
              <w:rPr>
                <w:b/>
                <w:spacing w:val="-2"/>
                <w:sz w:val="20"/>
              </w:rPr>
              <w:t>антикоагулянты</w:t>
            </w:r>
          </w:p>
        </w:tc>
      </w:tr>
      <w:tr>
        <w:trPr>
          <w:trHeight w:val="921" w:hRule="atLeast"/>
        </w:trPr>
        <w:tc>
          <w:tcPr>
            <w:tcW w:w="3990" w:type="dxa"/>
          </w:tcPr>
          <w:p>
            <w:pPr>
              <w:pStyle w:val="TableParagraph"/>
              <w:spacing w:before="3"/>
              <w:ind w:left="106"/>
              <w:rPr>
                <w:b/>
                <w:position w:val="8"/>
                <w:sz w:val="16"/>
              </w:rPr>
            </w:pPr>
            <w:r>
              <w:rPr>
                <w:spacing w:val="-2"/>
                <w:sz w:val="20"/>
              </w:rPr>
              <w:t>Фондапаринукс</w:t>
            </w:r>
            <w:r>
              <w:rPr>
                <w:spacing w:val="9"/>
                <w:sz w:val="20"/>
              </w:rPr>
              <w:t> </w:t>
            </w:r>
            <w:r>
              <w:rPr>
                <w:spacing w:val="-2"/>
                <w:sz w:val="20"/>
              </w:rPr>
              <w:t>натрия</w:t>
            </w:r>
            <w:r>
              <w:rPr>
                <w:b/>
                <w:spacing w:val="-2"/>
                <w:position w:val="8"/>
                <w:sz w:val="16"/>
              </w:rPr>
              <w:t>1</w:t>
            </w:r>
          </w:p>
        </w:tc>
        <w:tc>
          <w:tcPr>
            <w:tcW w:w="3000" w:type="dxa"/>
          </w:tcPr>
          <w:p>
            <w:pPr>
              <w:pStyle w:val="TableParagraph"/>
              <w:spacing w:before="9"/>
              <w:ind w:left="102"/>
              <w:rPr>
                <w:sz w:val="20"/>
              </w:rPr>
            </w:pPr>
            <w:r>
              <w:rPr>
                <w:sz w:val="20"/>
              </w:rPr>
              <w:t>Подкожно</w:t>
            </w:r>
            <w:r>
              <w:rPr>
                <w:spacing w:val="-3"/>
                <w:sz w:val="20"/>
              </w:rPr>
              <w:t> </w:t>
            </w:r>
            <w:r>
              <w:rPr>
                <w:sz w:val="20"/>
              </w:rPr>
              <w:t>2,5</w:t>
            </w:r>
            <w:r>
              <w:rPr>
                <w:spacing w:val="-2"/>
                <w:sz w:val="20"/>
              </w:rPr>
              <w:t> </w:t>
            </w:r>
            <w:r>
              <w:rPr>
                <w:sz w:val="20"/>
              </w:rPr>
              <w:t>мг</w:t>
            </w:r>
            <w:r>
              <w:rPr>
                <w:spacing w:val="-5"/>
                <w:sz w:val="20"/>
              </w:rPr>
              <w:t> </w:t>
            </w:r>
            <w:r>
              <w:rPr>
                <w:sz w:val="20"/>
              </w:rPr>
              <w:t>1</w:t>
            </w:r>
            <w:r>
              <w:rPr>
                <w:spacing w:val="-4"/>
                <w:sz w:val="20"/>
              </w:rPr>
              <w:t> </w:t>
            </w:r>
            <w:r>
              <w:rPr>
                <w:spacing w:val="-2"/>
                <w:sz w:val="20"/>
              </w:rPr>
              <w:t>раз/сут</w:t>
            </w:r>
          </w:p>
          <w:p>
            <w:pPr>
              <w:pStyle w:val="TableParagraph"/>
              <w:spacing w:before="1"/>
              <w:ind w:left="102"/>
              <w:rPr>
                <w:sz w:val="20"/>
              </w:rPr>
            </w:pPr>
            <w:r>
              <w:rPr>
                <w:sz w:val="20"/>
              </w:rPr>
              <w:t>При</w:t>
            </w:r>
            <w:r>
              <w:rPr>
                <w:spacing w:val="-13"/>
                <w:sz w:val="20"/>
              </w:rPr>
              <w:t> </w:t>
            </w:r>
            <w:r>
              <w:rPr>
                <w:sz w:val="20"/>
              </w:rPr>
              <w:t>клиренсе</w:t>
            </w:r>
            <w:r>
              <w:rPr>
                <w:spacing w:val="-12"/>
                <w:sz w:val="20"/>
              </w:rPr>
              <w:t> </w:t>
            </w:r>
            <w:r>
              <w:rPr>
                <w:sz w:val="20"/>
              </w:rPr>
              <w:t>креатинина</w:t>
            </w:r>
            <w:r>
              <w:rPr>
                <w:spacing w:val="-13"/>
                <w:sz w:val="20"/>
              </w:rPr>
              <w:t> </w:t>
            </w:r>
            <w:r>
              <w:rPr>
                <w:sz w:val="20"/>
              </w:rPr>
              <w:t>20-50 мл/мин – 1,5 мг 1раз/сут</w:t>
            </w:r>
          </w:p>
        </w:tc>
        <w:tc>
          <w:tcPr>
            <w:tcW w:w="2489" w:type="dxa"/>
          </w:tcPr>
          <w:p>
            <w:pPr>
              <w:pStyle w:val="TableParagraph"/>
              <w:rPr>
                <w:sz w:val="18"/>
              </w:rPr>
            </w:pPr>
          </w:p>
        </w:tc>
        <w:tc>
          <w:tcPr>
            <w:tcW w:w="5403" w:type="dxa"/>
          </w:tcPr>
          <w:p>
            <w:pPr>
              <w:pStyle w:val="TableParagraph"/>
              <w:spacing w:before="9"/>
              <w:ind w:left="97" w:right="175"/>
              <w:rPr>
                <w:sz w:val="20"/>
              </w:rPr>
            </w:pPr>
            <w:r>
              <w:rPr>
                <w:sz w:val="20"/>
              </w:rPr>
              <w:t>Лечение</w:t>
            </w:r>
            <w:r>
              <w:rPr>
                <w:spacing w:val="-4"/>
                <w:sz w:val="20"/>
              </w:rPr>
              <w:t> </w:t>
            </w:r>
            <w:r>
              <w:rPr>
                <w:sz w:val="20"/>
              </w:rPr>
              <w:t>ТГВ/ТЭЛА:</w:t>
            </w:r>
            <w:r>
              <w:rPr>
                <w:spacing w:val="-5"/>
                <w:sz w:val="20"/>
              </w:rPr>
              <w:t> </w:t>
            </w:r>
            <w:r>
              <w:rPr>
                <w:sz w:val="20"/>
              </w:rPr>
              <w:t>5</w:t>
            </w:r>
            <w:r>
              <w:rPr>
                <w:spacing w:val="-4"/>
                <w:sz w:val="20"/>
              </w:rPr>
              <w:t> </w:t>
            </w:r>
            <w:r>
              <w:rPr>
                <w:sz w:val="20"/>
              </w:rPr>
              <w:t>мг</w:t>
            </w:r>
            <w:r>
              <w:rPr>
                <w:spacing w:val="-6"/>
                <w:sz w:val="20"/>
              </w:rPr>
              <w:t> </w:t>
            </w:r>
            <w:r>
              <w:rPr>
                <w:sz w:val="20"/>
              </w:rPr>
              <w:t>1</w:t>
            </w:r>
            <w:r>
              <w:rPr>
                <w:spacing w:val="-2"/>
                <w:sz w:val="20"/>
              </w:rPr>
              <w:t> </w:t>
            </w:r>
            <w:r>
              <w:rPr>
                <w:sz w:val="20"/>
              </w:rPr>
              <w:t>раз/сут</w:t>
            </w:r>
            <w:r>
              <w:rPr>
                <w:spacing w:val="-6"/>
                <w:sz w:val="20"/>
              </w:rPr>
              <w:t> </w:t>
            </w:r>
            <w:r>
              <w:rPr>
                <w:sz w:val="20"/>
              </w:rPr>
              <w:t>при</w:t>
            </w:r>
            <w:r>
              <w:rPr>
                <w:spacing w:val="-6"/>
                <w:sz w:val="20"/>
              </w:rPr>
              <w:t> </w:t>
            </w:r>
            <w:r>
              <w:rPr>
                <w:sz w:val="20"/>
              </w:rPr>
              <w:t>массе</w:t>
            </w:r>
            <w:r>
              <w:rPr>
                <w:spacing w:val="-5"/>
                <w:sz w:val="20"/>
              </w:rPr>
              <w:t> </w:t>
            </w:r>
            <w:r>
              <w:rPr>
                <w:sz w:val="20"/>
              </w:rPr>
              <w:t>тела</w:t>
            </w:r>
            <w:r>
              <w:rPr>
                <w:spacing w:val="-5"/>
                <w:sz w:val="20"/>
              </w:rPr>
              <w:t> </w:t>
            </w:r>
            <w:r>
              <w:rPr>
                <w:sz w:val="20"/>
              </w:rPr>
              <w:t>до</w:t>
            </w:r>
            <w:r>
              <w:rPr>
                <w:spacing w:val="-5"/>
                <w:sz w:val="20"/>
              </w:rPr>
              <w:t> </w:t>
            </w:r>
            <w:r>
              <w:rPr>
                <w:sz w:val="20"/>
              </w:rPr>
              <w:t>50</w:t>
            </w:r>
            <w:r>
              <w:rPr>
                <w:spacing w:val="-4"/>
                <w:sz w:val="20"/>
              </w:rPr>
              <w:t> </w:t>
            </w:r>
            <w:r>
              <w:rPr>
                <w:sz w:val="20"/>
              </w:rPr>
              <w:t>кг; 7,5 мг</w:t>
            </w:r>
          </w:p>
          <w:p>
            <w:pPr>
              <w:pStyle w:val="TableParagraph"/>
              <w:spacing w:line="230" w:lineRule="atLeast"/>
              <w:ind w:left="97"/>
              <w:rPr>
                <w:sz w:val="20"/>
              </w:rPr>
            </w:pPr>
            <w:r>
              <w:rPr>
                <w:sz w:val="20"/>
              </w:rPr>
              <w:t>1</w:t>
            </w:r>
            <w:r>
              <w:rPr>
                <w:spacing w:val="-3"/>
                <w:sz w:val="20"/>
              </w:rPr>
              <w:t> </w:t>
            </w:r>
            <w:r>
              <w:rPr>
                <w:sz w:val="20"/>
              </w:rPr>
              <w:t>раз/сут</w:t>
            </w:r>
            <w:r>
              <w:rPr>
                <w:spacing w:val="-4"/>
                <w:sz w:val="20"/>
              </w:rPr>
              <w:t> </w:t>
            </w:r>
            <w:r>
              <w:rPr>
                <w:sz w:val="20"/>
              </w:rPr>
              <w:t>при</w:t>
            </w:r>
            <w:r>
              <w:rPr>
                <w:spacing w:val="-5"/>
                <w:sz w:val="20"/>
              </w:rPr>
              <w:t> </w:t>
            </w:r>
            <w:r>
              <w:rPr>
                <w:sz w:val="20"/>
              </w:rPr>
              <w:t>массе</w:t>
            </w:r>
            <w:r>
              <w:rPr>
                <w:spacing w:val="-4"/>
                <w:sz w:val="20"/>
              </w:rPr>
              <w:t> </w:t>
            </w:r>
            <w:r>
              <w:rPr>
                <w:sz w:val="20"/>
              </w:rPr>
              <w:t>тела</w:t>
            </w:r>
            <w:r>
              <w:rPr>
                <w:spacing w:val="-4"/>
                <w:sz w:val="20"/>
              </w:rPr>
              <w:t> </w:t>
            </w:r>
            <w:r>
              <w:rPr>
                <w:sz w:val="20"/>
              </w:rPr>
              <w:t>50-100</w:t>
            </w:r>
            <w:r>
              <w:rPr>
                <w:spacing w:val="-3"/>
                <w:sz w:val="20"/>
              </w:rPr>
              <w:t> </w:t>
            </w:r>
            <w:r>
              <w:rPr>
                <w:sz w:val="20"/>
              </w:rPr>
              <w:t>кг;</w:t>
            </w:r>
            <w:r>
              <w:rPr>
                <w:spacing w:val="-5"/>
                <w:sz w:val="20"/>
              </w:rPr>
              <w:t> </w:t>
            </w:r>
            <w:r>
              <w:rPr>
                <w:sz w:val="20"/>
              </w:rPr>
              <w:t>10</w:t>
            </w:r>
            <w:r>
              <w:rPr>
                <w:spacing w:val="-6"/>
                <w:sz w:val="20"/>
              </w:rPr>
              <w:t> </w:t>
            </w:r>
            <w:r>
              <w:rPr>
                <w:sz w:val="20"/>
              </w:rPr>
              <w:t>мг</w:t>
            </w:r>
            <w:r>
              <w:rPr>
                <w:spacing w:val="-5"/>
                <w:sz w:val="20"/>
              </w:rPr>
              <w:t> </w:t>
            </w:r>
            <w:r>
              <w:rPr>
                <w:sz w:val="20"/>
              </w:rPr>
              <w:t>1</w:t>
            </w:r>
            <w:r>
              <w:rPr>
                <w:spacing w:val="-3"/>
                <w:sz w:val="20"/>
              </w:rPr>
              <w:t> </w:t>
            </w:r>
            <w:r>
              <w:rPr>
                <w:sz w:val="20"/>
              </w:rPr>
              <w:t>раз/сут</w:t>
            </w:r>
            <w:r>
              <w:rPr>
                <w:spacing w:val="-5"/>
                <w:sz w:val="20"/>
              </w:rPr>
              <w:t> </w:t>
            </w:r>
            <w:r>
              <w:rPr>
                <w:sz w:val="20"/>
              </w:rPr>
              <w:t>при</w:t>
            </w:r>
            <w:r>
              <w:rPr>
                <w:spacing w:val="-5"/>
                <w:sz w:val="20"/>
              </w:rPr>
              <w:t> </w:t>
            </w:r>
            <w:r>
              <w:rPr>
                <w:sz w:val="20"/>
              </w:rPr>
              <w:t>массе тела выше 100 кг</w:t>
            </w:r>
          </w:p>
        </w:tc>
      </w:tr>
      <w:tr>
        <w:trPr>
          <w:trHeight w:val="394" w:hRule="atLeast"/>
        </w:trPr>
        <w:tc>
          <w:tcPr>
            <w:tcW w:w="14882" w:type="dxa"/>
            <w:gridSpan w:val="4"/>
          </w:tcPr>
          <w:p>
            <w:pPr>
              <w:pStyle w:val="TableParagraph"/>
              <w:spacing w:line="267" w:lineRule="exact"/>
              <w:ind w:left="8" w:right="10"/>
              <w:jc w:val="center"/>
              <w:rPr>
                <w:b/>
                <w:position w:val="8"/>
                <w:sz w:val="16"/>
              </w:rPr>
            </w:pPr>
            <w:r>
              <w:rPr>
                <w:b/>
                <w:sz w:val="20"/>
              </w:rPr>
              <w:t>Пероральные</w:t>
            </w:r>
            <w:r>
              <w:rPr>
                <w:b/>
                <w:spacing w:val="-13"/>
                <w:sz w:val="20"/>
              </w:rPr>
              <w:t> </w:t>
            </w:r>
            <w:r>
              <w:rPr>
                <w:b/>
                <w:spacing w:val="-2"/>
                <w:sz w:val="20"/>
              </w:rPr>
              <w:t>антикоагулянты</w:t>
            </w:r>
            <w:r>
              <w:rPr>
                <w:b/>
                <w:spacing w:val="-2"/>
                <w:position w:val="8"/>
                <w:sz w:val="16"/>
              </w:rPr>
              <w:t>3</w:t>
            </w:r>
          </w:p>
        </w:tc>
      </w:tr>
      <w:tr>
        <w:trPr>
          <w:trHeight w:val="460" w:hRule="atLeast"/>
        </w:trPr>
        <w:tc>
          <w:tcPr>
            <w:tcW w:w="3990" w:type="dxa"/>
          </w:tcPr>
          <w:p>
            <w:pPr>
              <w:pStyle w:val="TableParagraph"/>
              <w:spacing w:before="8"/>
              <w:ind w:left="106"/>
              <w:rPr>
                <w:sz w:val="20"/>
              </w:rPr>
            </w:pPr>
            <w:r>
              <w:rPr>
                <w:spacing w:val="-2"/>
                <w:sz w:val="20"/>
              </w:rPr>
              <w:t>Ривароксабан</w:t>
            </w:r>
          </w:p>
        </w:tc>
        <w:tc>
          <w:tcPr>
            <w:tcW w:w="3000" w:type="dxa"/>
          </w:tcPr>
          <w:p>
            <w:pPr>
              <w:pStyle w:val="TableParagraph"/>
              <w:spacing w:before="8"/>
              <w:ind w:left="102"/>
              <w:rPr>
                <w:sz w:val="20"/>
              </w:rPr>
            </w:pPr>
            <w:r>
              <w:rPr>
                <w:sz w:val="20"/>
              </w:rPr>
              <w:t>10</w:t>
            </w:r>
            <w:r>
              <w:rPr>
                <w:spacing w:val="-1"/>
                <w:sz w:val="20"/>
              </w:rPr>
              <w:t> </w:t>
            </w:r>
            <w:r>
              <w:rPr>
                <w:sz w:val="20"/>
              </w:rPr>
              <w:t>мг</w:t>
            </w:r>
            <w:r>
              <w:rPr>
                <w:spacing w:val="-2"/>
                <w:sz w:val="20"/>
              </w:rPr>
              <w:t> </w:t>
            </w:r>
            <w:r>
              <w:rPr>
                <w:sz w:val="20"/>
              </w:rPr>
              <w:t>1</w:t>
            </w:r>
            <w:r>
              <w:rPr>
                <w:spacing w:val="-2"/>
                <w:sz w:val="20"/>
              </w:rPr>
              <w:t> </w:t>
            </w:r>
            <w:r>
              <w:rPr>
                <w:sz w:val="20"/>
              </w:rPr>
              <w:t>раз</w:t>
            </w:r>
            <w:r>
              <w:rPr>
                <w:spacing w:val="-1"/>
                <w:sz w:val="20"/>
              </w:rPr>
              <w:t> </w:t>
            </w:r>
            <w:r>
              <w:rPr>
                <w:spacing w:val="-4"/>
                <w:sz w:val="20"/>
              </w:rPr>
              <w:t>/сут</w:t>
            </w:r>
          </w:p>
        </w:tc>
        <w:tc>
          <w:tcPr>
            <w:tcW w:w="2489" w:type="dxa"/>
          </w:tcPr>
          <w:p>
            <w:pPr>
              <w:pStyle w:val="TableParagraph"/>
              <w:rPr>
                <w:sz w:val="18"/>
              </w:rPr>
            </w:pPr>
          </w:p>
        </w:tc>
        <w:tc>
          <w:tcPr>
            <w:tcW w:w="5403" w:type="dxa"/>
          </w:tcPr>
          <w:p>
            <w:pPr>
              <w:pStyle w:val="TableParagraph"/>
              <w:spacing w:before="8"/>
              <w:ind w:left="97"/>
              <w:rPr>
                <w:sz w:val="20"/>
              </w:rPr>
            </w:pPr>
            <w:r>
              <w:rPr>
                <w:sz w:val="20"/>
              </w:rPr>
              <w:t>Лечение</w:t>
            </w:r>
            <w:r>
              <w:rPr>
                <w:spacing w:val="-5"/>
                <w:sz w:val="20"/>
              </w:rPr>
              <w:t> </w:t>
            </w:r>
            <w:r>
              <w:rPr>
                <w:sz w:val="20"/>
              </w:rPr>
              <w:t>ТГВ/ТЭЛА:</w:t>
            </w:r>
            <w:r>
              <w:rPr>
                <w:spacing w:val="-5"/>
                <w:sz w:val="20"/>
              </w:rPr>
              <w:t> </w:t>
            </w:r>
            <w:r>
              <w:rPr>
                <w:sz w:val="20"/>
              </w:rPr>
              <w:t>15</w:t>
            </w:r>
            <w:r>
              <w:rPr>
                <w:spacing w:val="-4"/>
                <w:sz w:val="20"/>
              </w:rPr>
              <w:t> </w:t>
            </w:r>
            <w:r>
              <w:rPr>
                <w:sz w:val="20"/>
              </w:rPr>
              <w:t>мг</w:t>
            </w:r>
            <w:r>
              <w:rPr>
                <w:spacing w:val="-5"/>
                <w:sz w:val="20"/>
              </w:rPr>
              <w:t> </w:t>
            </w:r>
            <w:r>
              <w:rPr>
                <w:sz w:val="20"/>
              </w:rPr>
              <w:t>2</w:t>
            </w:r>
            <w:r>
              <w:rPr>
                <w:spacing w:val="-6"/>
                <w:sz w:val="20"/>
              </w:rPr>
              <w:t> </w:t>
            </w:r>
            <w:r>
              <w:rPr>
                <w:sz w:val="20"/>
              </w:rPr>
              <w:t>раза/сут</w:t>
            </w:r>
            <w:r>
              <w:rPr>
                <w:spacing w:val="-6"/>
                <w:sz w:val="20"/>
              </w:rPr>
              <w:t> </w:t>
            </w:r>
            <w:r>
              <w:rPr>
                <w:sz w:val="20"/>
              </w:rPr>
              <w:t>21</w:t>
            </w:r>
            <w:r>
              <w:rPr>
                <w:spacing w:val="-3"/>
                <w:sz w:val="20"/>
              </w:rPr>
              <w:t> </w:t>
            </w:r>
            <w:r>
              <w:rPr>
                <w:sz w:val="20"/>
              </w:rPr>
              <w:t>сутки,</w:t>
            </w:r>
            <w:r>
              <w:rPr>
                <w:spacing w:val="-5"/>
                <w:sz w:val="20"/>
              </w:rPr>
              <w:t> </w:t>
            </w:r>
            <w:r>
              <w:rPr>
                <w:sz w:val="20"/>
              </w:rPr>
              <w:t>затем</w:t>
            </w:r>
            <w:r>
              <w:rPr>
                <w:spacing w:val="-4"/>
                <w:sz w:val="20"/>
              </w:rPr>
              <w:t> </w:t>
            </w:r>
            <w:r>
              <w:rPr>
                <w:sz w:val="20"/>
              </w:rPr>
              <w:t>20</w:t>
            </w:r>
            <w:r>
              <w:rPr>
                <w:spacing w:val="-4"/>
                <w:sz w:val="20"/>
              </w:rPr>
              <w:t> </w:t>
            </w:r>
            <w:r>
              <w:rPr>
                <w:spacing w:val="-5"/>
                <w:sz w:val="20"/>
              </w:rPr>
              <w:t>мг</w:t>
            </w:r>
          </w:p>
          <w:p>
            <w:pPr>
              <w:pStyle w:val="TableParagraph"/>
              <w:spacing w:line="202" w:lineRule="exact" w:before="1"/>
              <w:ind w:left="97"/>
              <w:rPr>
                <w:sz w:val="20"/>
              </w:rPr>
            </w:pPr>
            <w:r>
              <w:rPr>
                <w:sz w:val="20"/>
              </w:rPr>
              <w:t>1</w:t>
            </w:r>
            <w:r>
              <w:rPr>
                <w:spacing w:val="-3"/>
                <w:sz w:val="20"/>
              </w:rPr>
              <w:t> </w:t>
            </w:r>
            <w:r>
              <w:rPr>
                <w:sz w:val="20"/>
              </w:rPr>
              <w:t>раз/сут</w:t>
            </w:r>
            <w:r>
              <w:rPr>
                <w:spacing w:val="-4"/>
                <w:sz w:val="20"/>
              </w:rPr>
              <w:t> </w:t>
            </w:r>
            <w:r>
              <w:rPr>
                <w:sz w:val="20"/>
              </w:rPr>
              <w:t>не</w:t>
            </w:r>
            <w:r>
              <w:rPr>
                <w:spacing w:val="-3"/>
                <w:sz w:val="20"/>
              </w:rPr>
              <w:t> </w:t>
            </w:r>
            <w:r>
              <w:rPr>
                <w:sz w:val="20"/>
              </w:rPr>
              <w:t>менее</w:t>
            </w:r>
            <w:r>
              <w:rPr>
                <w:spacing w:val="-3"/>
                <w:sz w:val="20"/>
              </w:rPr>
              <w:t> </w:t>
            </w:r>
            <w:r>
              <w:rPr>
                <w:sz w:val="20"/>
              </w:rPr>
              <w:t>3</w:t>
            </w:r>
            <w:r>
              <w:rPr>
                <w:spacing w:val="-2"/>
                <w:sz w:val="20"/>
              </w:rPr>
              <w:t> месяцев</w:t>
            </w:r>
          </w:p>
        </w:tc>
      </w:tr>
      <w:tr>
        <w:trPr>
          <w:trHeight w:val="460" w:hRule="atLeast"/>
        </w:trPr>
        <w:tc>
          <w:tcPr>
            <w:tcW w:w="3990" w:type="dxa"/>
          </w:tcPr>
          <w:p>
            <w:pPr>
              <w:pStyle w:val="TableParagraph"/>
              <w:spacing w:before="8"/>
              <w:ind w:left="106"/>
              <w:rPr>
                <w:sz w:val="20"/>
              </w:rPr>
            </w:pPr>
            <w:r>
              <w:rPr>
                <w:spacing w:val="-2"/>
                <w:sz w:val="20"/>
              </w:rPr>
              <w:t>Апиксабан</w:t>
            </w:r>
          </w:p>
        </w:tc>
        <w:tc>
          <w:tcPr>
            <w:tcW w:w="3000" w:type="dxa"/>
          </w:tcPr>
          <w:p>
            <w:pPr>
              <w:pStyle w:val="TableParagraph"/>
              <w:spacing w:before="8"/>
              <w:ind w:left="102"/>
              <w:rPr>
                <w:sz w:val="20"/>
              </w:rPr>
            </w:pPr>
            <w:r>
              <w:rPr>
                <w:sz w:val="20"/>
              </w:rPr>
              <w:t>2,5</w:t>
            </w:r>
            <w:r>
              <w:rPr>
                <w:spacing w:val="-1"/>
                <w:sz w:val="20"/>
              </w:rPr>
              <w:t> </w:t>
            </w:r>
            <w:r>
              <w:rPr>
                <w:sz w:val="20"/>
              </w:rPr>
              <w:t>мг</w:t>
            </w:r>
            <w:r>
              <w:rPr>
                <w:spacing w:val="-4"/>
                <w:sz w:val="20"/>
              </w:rPr>
              <w:t> </w:t>
            </w:r>
            <w:r>
              <w:rPr>
                <w:sz w:val="20"/>
              </w:rPr>
              <w:t>2 </w:t>
            </w:r>
            <w:r>
              <w:rPr>
                <w:spacing w:val="-2"/>
                <w:sz w:val="20"/>
              </w:rPr>
              <w:t>раза/сут</w:t>
            </w:r>
          </w:p>
        </w:tc>
        <w:tc>
          <w:tcPr>
            <w:tcW w:w="2489" w:type="dxa"/>
          </w:tcPr>
          <w:p>
            <w:pPr>
              <w:pStyle w:val="TableParagraph"/>
              <w:rPr>
                <w:sz w:val="18"/>
              </w:rPr>
            </w:pPr>
          </w:p>
        </w:tc>
        <w:tc>
          <w:tcPr>
            <w:tcW w:w="5403" w:type="dxa"/>
          </w:tcPr>
          <w:p>
            <w:pPr>
              <w:pStyle w:val="TableParagraph"/>
              <w:spacing w:before="8"/>
              <w:ind w:left="97"/>
              <w:rPr>
                <w:sz w:val="20"/>
              </w:rPr>
            </w:pPr>
            <w:r>
              <w:rPr>
                <w:sz w:val="20"/>
              </w:rPr>
              <w:t>Лечение</w:t>
            </w:r>
            <w:r>
              <w:rPr>
                <w:spacing w:val="-5"/>
                <w:sz w:val="20"/>
              </w:rPr>
              <w:t> </w:t>
            </w:r>
            <w:r>
              <w:rPr>
                <w:sz w:val="20"/>
              </w:rPr>
              <w:t>ТГВ/ТЭЛА:</w:t>
            </w:r>
            <w:r>
              <w:rPr>
                <w:spacing w:val="-4"/>
                <w:sz w:val="20"/>
              </w:rPr>
              <w:t> </w:t>
            </w:r>
            <w:r>
              <w:rPr>
                <w:sz w:val="20"/>
              </w:rPr>
              <w:t>10</w:t>
            </w:r>
            <w:r>
              <w:rPr>
                <w:spacing w:val="-3"/>
                <w:sz w:val="20"/>
              </w:rPr>
              <w:t> </w:t>
            </w:r>
            <w:r>
              <w:rPr>
                <w:sz w:val="20"/>
              </w:rPr>
              <w:t>мг</w:t>
            </w:r>
            <w:r>
              <w:rPr>
                <w:spacing w:val="-5"/>
                <w:sz w:val="20"/>
              </w:rPr>
              <w:t> </w:t>
            </w:r>
            <w:r>
              <w:rPr>
                <w:sz w:val="20"/>
              </w:rPr>
              <w:t>2</w:t>
            </w:r>
            <w:r>
              <w:rPr>
                <w:spacing w:val="-6"/>
                <w:sz w:val="20"/>
              </w:rPr>
              <w:t> </w:t>
            </w:r>
            <w:r>
              <w:rPr>
                <w:sz w:val="20"/>
              </w:rPr>
              <w:t>раза/сут</w:t>
            </w:r>
            <w:r>
              <w:rPr>
                <w:spacing w:val="-5"/>
                <w:sz w:val="20"/>
              </w:rPr>
              <w:t> </w:t>
            </w:r>
            <w:r>
              <w:rPr>
                <w:sz w:val="20"/>
              </w:rPr>
              <w:t>7</w:t>
            </w:r>
            <w:r>
              <w:rPr>
                <w:spacing w:val="-3"/>
                <w:sz w:val="20"/>
              </w:rPr>
              <w:t> </w:t>
            </w:r>
            <w:r>
              <w:rPr>
                <w:sz w:val="20"/>
              </w:rPr>
              <w:t>суток,</w:t>
            </w:r>
            <w:r>
              <w:rPr>
                <w:spacing w:val="-4"/>
                <w:sz w:val="20"/>
              </w:rPr>
              <w:t> </w:t>
            </w:r>
            <w:r>
              <w:rPr>
                <w:sz w:val="20"/>
              </w:rPr>
              <w:t>затем</w:t>
            </w:r>
            <w:r>
              <w:rPr>
                <w:spacing w:val="-5"/>
                <w:sz w:val="20"/>
              </w:rPr>
              <w:t> </w:t>
            </w:r>
            <w:r>
              <w:rPr>
                <w:sz w:val="20"/>
              </w:rPr>
              <w:t>5</w:t>
            </w:r>
            <w:r>
              <w:rPr>
                <w:spacing w:val="-4"/>
                <w:sz w:val="20"/>
              </w:rPr>
              <w:t> </w:t>
            </w:r>
            <w:r>
              <w:rPr>
                <w:spacing w:val="-5"/>
                <w:sz w:val="20"/>
              </w:rPr>
              <w:t>мг</w:t>
            </w:r>
          </w:p>
          <w:p>
            <w:pPr>
              <w:pStyle w:val="TableParagraph"/>
              <w:spacing w:line="202" w:lineRule="exact"/>
              <w:ind w:left="97"/>
              <w:rPr>
                <w:sz w:val="20"/>
              </w:rPr>
            </w:pPr>
            <w:r>
              <w:rPr>
                <w:sz w:val="20"/>
              </w:rPr>
              <w:t>2</w:t>
            </w:r>
            <w:r>
              <w:rPr>
                <w:spacing w:val="-4"/>
                <w:sz w:val="20"/>
              </w:rPr>
              <w:t> </w:t>
            </w:r>
            <w:r>
              <w:rPr>
                <w:sz w:val="20"/>
              </w:rPr>
              <w:t>раза/сут</w:t>
            </w:r>
            <w:r>
              <w:rPr>
                <w:spacing w:val="-5"/>
                <w:sz w:val="20"/>
              </w:rPr>
              <w:t> </w:t>
            </w:r>
            <w:r>
              <w:rPr>
                <w:sz w:val="20"/>
              </w:rPr>
              <w:t>как</w:t>
            </w:r>
            <w:r>
              <w:rPr>
                <w:spacing w:val="-5"/>
                <w:sz w:val="20"/>
              </w:rPr>
              <w:t> </w:t>
            </w:r>
            <w:r>
              <w:rPr>
                <w:sz w:val="20"/>
              </w:rPr>
              <w:t>минимум</w:t>
            </w:r>
            <w:r>
              <w:rPr>
                <w:spacing w:val="-4"/>
                <w:sz w:val="20"/>
              </w:rPr>
              <w:t> </w:t>
            </w:r>
            <w:r>
              <w:rPr>
                <w:sz w:val="20"/>
              </w:rPr>
              <w:t>3</w:t>
            </w:r>
            <w:r>
              <w:rPr>
                <w:spacing w:val="-3"/>
                <w:sz w:val="20"/>
              </w:rPr>
              <w:t> </w:t>
            </w:r>
            <w:r>
              <w:rPr>
                <w:spacing w:val="-2"/>
                <w:sz w:val="20"/>
              </w:rPr>
              <w:t>месяца</w:t>
            </w:r>
          </w:p>
        </w:tc>
      </w:tr>
      <w:tr>
        <w:trPr>
          <w:trHeight w:val="921" w:hRule="atLeast"/>
        </w:trPr>
        <w:tc>
          <w:tcPr>
            <w:tcW w:w="3990" w:type="dxa"/>
          </w:tcPr>
          <w:p>
            <w:pPr>
              <w:pStyle w:val="TableParagraph"/>
              <w:spacing w:before="1"/>
              <w:ind w:left="106"/>
              <w:rPr>
                <w:b/>
                <w:position w:val="8"/>
                <w:sz w:val="16"/>
              </w:rPr>
            </w:pPr>
            <w:r>
              <w:rPr>
                <w:spacing w:val="-2"/>
                <w:sz w:val="20"/>
              </w:rPr>
              <w:t>Дабигатрана</w:t>
            </w:r>
            <w:r>
              <w:rPr>
                <w:spacing w:val="7"/>
                <w:sz w:val="20"/>
              </w:rPr>
              <w:t> </w:t>
            </w:r>
            <w:r>
              <w:rPr>
                <w:spacing w:val="-2"/>
                <w:sz w:val="20"/>
              </w:rPr>
              <w:t>этексилат</w:t>
            </w:r>
            <w:r>
              <w:rPr>
                <w:b/>
                <w:spacing w:val="-2"/>
                <w:position w:val="8"/>
                <w:sz w:val="16"/>
              </w:rPr>
              <w:t>4</w:t>
            </w:r>
          </w:p>
        </w:tc>
        <w:tc>
          <w:tcPr>
            <w:tcW w:w="3000" w:type="dxa"/>
          </w:tcPr>
          <w:p>
            <w:pPr>
              <w:pStyle w:val="TableParagraph"/>
              <w:spacing w:before="7"/>
              <w:ind w:left="102" w:right="58"/>
              <w:rPr>
                <w:sz w:val="20"/>
              </w:rPr>
            </w:pPr>
            <w:r>
              <w:rPr>
                <w:sz w:val="20"/>
              </w:rPr>
              <w:t>110 мг 2 раза/сут; 75 мг 2 раза/сут</w:t>
            </w:r>
            <w:r>
              <w:rPr>
                <w:spacing w:val="-12"/>
                <w:sz w:val="20"/>
              </w:rPr>
              <w:t> </w:t>
            </w:r>
            <w:r>
              <w:rPr>
                <w:sz w:val="20"/>
              </w:rPr>
              <w:t>у</w:t>
            </w:r>
            <w:r>
              <w:rPr>
                <w:spacing w:val="-10"/>
                <w:sz w:val="20"/>
              </w:rPr>
              <w:t> </w:t>
            </w:r>
            <w:r>
              <w:rPr>
                <w:sz w:val="20"/>
              </w:rPr>
              <w:t>больных</w:t>
            </w:r>
            <w:r>
              <w:rPr>
                <w:spacing w:val="-10"/>
                <w:sz w:val="20"/>
              </w:rPr>
              <w:t> </w:t>
            </w:r>
            <w:r>
              <w:rPr>
                <w:sz w:val="20"/>
              </w:rPr>
              <w:t>с</w:t>
            </w:r>
            <w:r>
              <w:rPr>
                <w:spacing w:val="-11"/>
                <w:sz w:val="20"/>
              </w:rPr>
              <w:t> </w:t>
            </w:r>
            <w:r>
              <w:rPr>
                <w:sz w:val="20"/>
              </w:rPr>
              <w:t>клиренсом креатинина 30-49 мл/мин</w:t>
            </w:r>
          </w:p>
        </w:tc>
        <w:tc>
          <w:tcPr>
            <w:tcW w:w="2489" w:type="dxa"/>
          </w:tcPr>
          <w:p>
            <w:pPr>
              <w:pStyle w:val="TableParagraph"/>
              <w:rPr>
                <w:sz w:val="18"/>
              </w:rPr>
            </w:pPr>
          </w:p>
        </w:tc>
        <w:tc>
          <w:tcPr>
            <w:tcW w:w="5403" w:type="dxa"/>
          </w:tcPr>
          <w:p>
            <w:pPr>
              <w:pStyle w:val="TableParagraph"/>
              <w:spacing w:before="7"/>
              <w:ind w:left="97" w:right="175"/>
              <w:rPr>
                <w:sz w:val="20"/>
              </w:rPr>
            </w:pPr>
            <w:r>
              <w:rPr>
                <w:sz w:val="20"/>
              </w:rPr>
              <w:t>Лечение</w:t>
            </w:r>
            <w:r>
              <w:rPr>
                <w:spacing w:val="-7"/>
                <w:sz w:val="20"/>
              </w:rPr>
              <w:t> </w:t>
            </w:r>
            <w:r>
              <w:rPr>
                <w:sz w:val="20"/>
              </w:rPr>
              <w:t>ТГВ/ТЭЛА:</w:t>
            </w:r>
            <w:r>
              <w:rPr>
                <w:spacing w:val="-7"/>
                <w:sz w:val="20"/>
              </w:rPr>
              <w:t> </w:t>
            </w:r>
            <w:r>
              <w:rPr>
                <w:sz w:val="20"/>
              </w:rPr>
              <w:t>после</w:t>
            </w:r>
            <w:r>
              <w:rPr>
                <w:spacing w:val="-5"/>
                <w:sz w:val="20"/>
              </w:rPr>
              <w:t> </w:t>
            </w:r>
            <w:r>
              <w:rPr>
                <w:sz w:val="20"/>
              </w:rPr>
              <w:t>как</w:t>
            </w:r>
            <w:r>
              <w:rPr>
                <w:spacing w:val="-8"/>
                <w:sz w:val="20"/>
              </w:rPr>
              <w:t> </w:t>
            </w:r>
            <w:r>
              <w:rPr>
                <w:sz w:val="20"/>
              </w:rPr>
              <w:t>минимум</w:t>
            </w:r>
            <w:r>
              <w:rPr>
                <w:spacing w:val="-6"/>
                <w:sz w:val="20"/>
              </w:rPr>
              <w:t> </w:t>
            </w:r>
            <w:r>
              <w:rPr>
                <w:sz w:val="20"/>
              </w:rPr>
              <w:t>5</w:t>
            </w:r>
            <w:r>
              <w:rPr>
                <w:spacing w:val="-6"/>
                <w:sz w:val="20"/>
              </w:rPr>
              <w:t> </w:t>
            </w:r>
            <w:r>
              <w:rPr>
                <w:sz w:val="20"/>
              </w:rPr>
              <w:t>суток</w:t>
            </w:r>
            <w:r>
              <w:rPr>
                <w:spacing w:val="-8"/>
                <w:sz w:val="20"/>
              </w:rPr>
              <w:t> </w:t>
            </w:r>
            <w:r>
              <w:rPr>
                <w:sz w:val="20"/>
              </w:rPr>
              <w:t>введения лечебных доз парентеральных антикоагулянтов 150 мг 2 раза/сут не менее</w:t>
            </w:r>
          </w:p>
          <w:p>
            <w:pPr>
              <w:pStyle w:val="TableParagraph"/>
              <w:spacing w:line="203" w:lineRule="exact" w:before="1"/>
              <w:ind w:left="97"/>
              <w:rPr>
                <w:sz w:val="20"/>
              </w:rPr>
            </w:pPr>
            <w:r>
              <w:rPr>
                <w:sz w:val="20"/>
              </w:rPr>
              <w:t>3 </w:t>
            </w:r>
            <w:r>
              <w:rPr>
                <w:spacing w:val="-2"/>
                <w:sz w:val="20"/>
              </w:rPr>
              <w:t>месяцев</w:t>
            </w:r>
          </w:p>
        </w:tc>
      </w:tr>
      <w:tr>
        <w:trPr>
          <w:trHeight w:val="919" w:hRule="atLeast"/>
        </w:trPr>
        <w:tc>
          <w:tcPr>
            <w:tcW w:w="3990" w:type="dxa"/>
          </w:tcPr>
          <w:p>
            <w:pPr>
              <w:pStyle w:val="TableParagraph"/>
              <w:spacing w:before="6"/>
              <w:ind w:left="106" w:right="107"/>
              <w:rPr>
                <w:sz w:val="20"/>
              </w:rPr>
            </w:pPr>
            <w:r>
              <w:rPr>
                <w:sz w:val="20"/>
              </w:rPr>
              <w:t>Тедиксабан (N-(5-Хлорпиридин-2-ил)-5- </w:t>
            </w:r>
            <w:r>
              <w:rPr>
                <w:spacing w:val="-2"/>
                <w:sz w:val="20"/>
              </w:rPr>
              <w:t>метил-2-(4-(N- метилацетимидамидо)бензамидо)бензамида</w:t>
            </w:r>
          </w:p>
          <w:p>
            <w:pPr>
              <w:pStyle w:val="TableParagraph"/>
              <w:spacing w:line="203" w:lineRule="exact"/>
              <w:ind w:left="106"/>
              <w:rPr>
                <w:sz w:val="20"/>
              </w:rPr>
            </w:pPr>
            <w:r>
              <w:rPr>
                <w:spacing w:val="-2"/>
                <w:sz w:val="20"/>
              </w:rPr>
              <w:t>гидрохлорид)</w:t>
            </w:r>
          </w:p>
        </w:tc>
        <w:tc>
          <w:tcPr>
            <w:tcW w:w="3000" w:type="dxa"/>
          </w:tcPr>
          <w:p>
            <w:pPr>
              <w:pStyle w:val="TableParagraph"/>
              <w:spacing w:before="6"/>
              <w:ind w:left="102"/>
              <w:rPr>
                <w:sz w:val="20"/>
              </w:rPr>
            </w:pPr>
            <w:r>
              <w:rPr>
                <w:sz w:val="20"/>
              </w:rPr>
              <w:t>60</w:t>
            </w:r>
            <w:r>
              <w:rPr>
                <w:spacing w:val="-2"/>
                <w:sz w:val="20"/>
              </w:rPr>
              <w:t> </w:t>
            </w:r>
            <w:r>
              <w:rPr>
                <w:sz w:val="20"/>
              </w:rPr>
              <w:t>мг</w:t>
            </w:r>
            <w:r>
              <w:rPr>
                <w:spacing w:val="-3"/>
                <w:sz w:val="20"/>
              </w:rPr>
              <w:t> </w:t>
            </w:r>
            <w:r>
              <w:rPr>
                <w:sz w:val="20"/>
              </w:rPr>
              <w:t>утром</w:t>
            </w:r>
            <w:r>
              <w:rPr>
                <w:spacing w:val="-1"/>
                <w:sz w:val="20"/>
              </w:rPr>
              <w:t> </w:t>
            </w:r>
            <w:r>
              <w:rPr>
                <w:sz w:val="20"/>
              </w:rPr>
              <w:t>1</w:t>
            </w:r>
            <w:r>
              <w:rPr>
                <w:spacing w:val="-5"/>
                <w:sz w:val="20"/>
              </w:rPr>
              <w:t> </w:t>
            </w:r>
            <w:r>
              <w:rPr>
                <w:spacing w:val="-2"/>
                <w:sz w:val="20"/>
              </w:rPr>
              <w:t>р/сутки</w:t>
            </w:r>
          </w:p>
        </w:tc>
        <w:tc>
          <w:tcPr>
            <w:tcW w:w="2489" w:type="dxa"/>
          </w:tcPr>
          <w:p>
            <w:pPr>
              <w:pStyle w:val="TableParagraph"/>
              <w:rPr>
                <w:sz w:val="18"/>
              </w:rPr>
            </w:pPr>
          </w:p>
        </w:tc>
        <w:tc>
          <w:tcPr>
            <w:tcW w:w="5403" w:type="dxa"/>
          </w:tcPr>
          <w:p>
            <w:pPr>
              <w:pStyle w:val="TableParagraph"/>
              <w:rPr>
                <w:sz w:val="18"/>
              </w:rPr>
            </w:pPr>
          </w:p>
        </w:tc>
      </w:tr>
    </w:tbl>
    <w:p>
      <w:pPr>
        <w:pStyle w:val="BodyText"/>
        <w:spacing w:before="103"/>
        <w:ind w:left="0"/>
        <w:jc w:val="left"/>
        <w:rPr>
          <w:sz w:val="20"/>
        </w:rPr>
      </w:pPr>
    </w:p>
    <w:p>
      <w:pPr>
        <w:spacing w:before="0"/>
        <w:ind w:left="718" w:right="0" w:firstLine="0"/>
        <w:jc w:val="left"/>
        <w:rPr>
          <w:sz w:val="20"/>
        </w:rPr>
      </w:pPr>
      <w:r>
        <w:rPr>
          <w:spacing w:val="-2"/>
          <w:sz w:val="20"/>
        </w:rPr>
        <w:t>Примечания:</w:t>
      </w:r>
    </w:p>
    <w:p>
      <w:pPr>
        <w:pStyle w:val="ListParagraph"/>
        <w:numPr>
          <w:ilvl w:val="0"/>
          <w:numId w:val="114"/>
        </w:numPr>
        <w:tabs>
          <w:tab w:pos="869" w:val="left" w:leader="none"/>
        </w:tabs>
        <w:spacing w:line="240" w:lineRule="auto" w:before="14" w:after="0"/>
        <w:ind w:left="869" w:right="0" w:hanging="151"/>
        <w:jc w:val="left"/>
        <w:rPr>
          <w:sz w:val="20"/>
        </w:rPr>
      </w:pPr>
      <w:r>
        <w:rPr>
          <w:b/>
          <w:sz w:val="20"/>
        </w:rPr>
        <w:t>─</w:t>
      </w:r>
      <w:r>
        <w:rPr>
          <w:b/>
          <w:spacing w:val="-9"/>
          <w:sz w:val="20"/>
        </w:rPr>
        <w:t> </w:t>
      </w:r>
      <w:r>
        <w:rPr>
          <w:sz w:val="20"/>
        </w:rPr>
        <w:t>при</w:t>
      </w:r>
      <w:r>
        <w:rPr>
          <w:spacing w:val="-10"/>
          <w:sz w:val="20"/>
        </w:rPr>
        <w:t> </w:t>
      </w:r>
      <w:r>
        <w:rPr>
          <w:sz w:val="20"/>
        </w:rPr>
        <w:t>выраженной</w:t>
      </w:r>
      <w:r>
        <w:rPr>
          <w:spacing w:val="-8"/>
          <w:sz w:val="20"/>
        </w:rPr>
        <w:t> </w:t>
      </w:r>
      <w:r>
        <w:rPr>
          <w:sz w:val="20"/>
        </w:rPr>
        <w:t>почечной</w:t>
      </w:r>
      <w:r>
        <w:rPr>
          <w:spacing w:val="-10"/>
          <w:sz w:val="20"/>
        </w:rPr>
        <w:t> </w:t>
      </w:r>
      <w:r>
        <w:rPr>
          <w:sz w:val="20"/>
        </w:rPr>
        <w:t>недостаточности</w:t>
      </w:r>
      <w:r>
        <w:rPr>
          <w:spacing w:val="-8"/>
          <w:sz w:val="20"/>
        </w:rPr>
        <w:t> </w:t>
      </w:r>
      <w:r>
        <w:rPr>
          <w:sz w:val="20"/>
        </w:rPr>
        <w:t>противопоказаны</w:t>
      </w:r>
      <w:r>
        <w:rPr>
          <w:spacing w:val="-8"/>
          <w:sz w:val="20"/>
        </w:rPr>
        <w:t> </w:t>
      </w:r>
      <w:r>
        <w:rPr>
          <w:sz w:val="20"/>
        </w:rPr>
        <w:t>(см.</w:t>
      </w:r>
      <w:r>
        <w:rPr>
          <w:spacing w:val="-9"/>
          <w:sz w:val="20"/>
        </w:rPr>
        <w:t> </w:t>
      </w:r>
      <w:r>
        <w:rPr>
          <w:sz w:val="20"/>
        </w:rPr>
        <w:t>инструкцию</w:t>
      </w:r>
      <w:r>
        <w:rPr>
          <w:spacing w:val="-9"/>
          <w:sz w:val="20"/>
        </w:rPr>
        <w:t> </w:t>
      </w:r>
      <w:r>
        <w:rPr>
          <w:sz w:val="20"/>
        </w:rPr>
        <w:t>к</w:t>
      </w:r>
      <w:r>
        <w:rPr>
          <w:spacing w:val="-8"/>
          <w:sz w:val="20"/>
        </w:rPr>
        <w:t> </w:t>
      </w:r>
      <w:r>
        <w:rPr>
          <w:spacing w:val="-2"/>
          <w:sz w:val="20"/>
        </w:rPr>
        <w:t>препаратам);</w:t>
      </w:r>
    </w:p>
    <w:p>
      <w:pPr>
        <w:pStyle w:val="ListParagraph"/>
        <w:numPr>
          <w:ilvl w:val="0"/>
          <w:numId w:val="114"/>
        </w:numPr>
        <w:tabs>
          <w:tab w:pos="869" w:val="left" w:leader="none"/>
        </w:tabs>
        <w:spacing w:line="240" w:lineRule="auto" w:before="15" w:after="0"/>
        <w:ind w:left="869" w:right="0" w:hanging="151"/>
        <w:jc w:val="left"/>
        <w:rPr>
          <w:sz w:val="20"/>
        </w:rPr>
      </w:pPr>
      <w:r>
        <w:rPr>
          <w:b/>
          <w:sz w:val="20"/>
        </w:rPr>
        <w:t>─</w:t>
      </w:r>
      <w:r>
        <w:rPr>
          <w:b/>
          <w:spacing w:val="-10"/>
          <w:sz w:val="20"/>
        </w:rPr>
        <w:t> </w:t>
      </w:r>
      <w:r>
        <w:rPr>
          <w:sz w:val="20"/>
        </w:rPr>
        <w:t>единого</w:t>
      </w:r>
      <w:r>
        <w:rPr>
          <w:spacing w:val="-8"/>
          <w:sz w:val="20"/>
        </w:rPr>
        <w:t> </w:t>
      </w:r>
      <w:r>
        <w:rPr>
          <w:sz w:val="20"/>
        </w:rPr>
        <w:t>определения</w:t>
      </w:r>
      <w:r>
        <w:rPr>
          <w:spacing w:val="-11"/>
          <w:sz w:val="20"/>
        </w:rPr>
        <w:t> </w:t>
      </w:r>
      <w:r>
        <w:rPr>
          <w:sz w:val="20"/>
        </w:rPr>
        <w:t>промежуточных</w:t>
      </w:r>
      <w:r>
        <w:rPr>
          <w:spacing w:val="-8"/>
          <w:sz w:val="20"/>
        </w:rPr>
        <w:t> </w:t>
      </w:r>
      <w:r>
        <w:rPr>
          <w:sz w:val="20"/>
        </w:rPr>
        <w:t>доз</w:t>
      </w:r>
      <w:r>
        <w:rPr>
          <w:spacing w:val="-10"/>
          <w:sz w:val="20"/>
        </w:rPr>
        <w:t> </w:t>
      </w:r>
      <w:r>
        <w:rPr>
          <w:sz w:val="20"/>
        </w:rPr>
        <w:t>антикоагулянтов</w:t>
      </w:r>
      <w:r>
        <w:rPr>
          <w:spacing w:val="-10"/>
          <w:sz w:val="20"/>
        </w:rPr>
        <w:t> </w:t>
      </w:r>
      <w:r>
        <w:rPr>
          <w:spacing w:val="-4"/>
          <w:sz w:val="20"/>
        </w:rPr>
        <w:t>нет;</w:t>
      </w:r>
    </w:p>
    <w:p>
      <w:pPr>
        <w:pStyle w:val="ListParagraph"/>
        <w:numPr>
          <w:ilvl w:val="0"/>
          <w:numId w:val="114"/>
        </w:numPr>
        <w:tabs>
          <w:tab w:pos="869" w:val="left" w:leader="none"/>
        </w:tabs>
        <w:spacing w:line="240" w:lineRule="auto" w:before="12" w:after="0"/>
        <w:ind w:left="869" w:right="0" w:hanging="151"/>
        <w:jc w:val="left"/>
        <w:rPr>
          <w:sz w:val="20"/>
        </w:rPr>
      </w:pPr>
      <w:r>
        <w:rPr>
          <w:b/>
          <w:sz w:val="20"/>
        </w:rPr>
        <w:t>─</w:t>
      </w:r>
      <w:r>
        <w:rPr>
          <w:b/>
          <w:spacing w:val="-8"/>
          <w:sz w:val="20"/>
        </w:rPr>
        <w:t> </w:t>
      </w:r>
      <w:r>
        <w:rPr>
          <w:sz w:val="20"/>
        </w:rPr>
        <w:t>при</w:t>
      </w:r>
      <w:r>
        <w:rPr>
          <w:spacing w:val="-9"/>
          <w:sz w:val="20"/>
        </w:rPr>
        <w:t> </w:t>
      </w:r>
      <w:r>
        <w:rPr>
          <w:sz w:val="20"/>
        </w:rPr>
        <w:t>отсутствии</w:t>
      </w:r>
      <w:r>
        <w:rPr>
          <w:spacing w:val="-9"/>
          <w:sz w:val="20"/>
        </w:rPr>
        <w:t> </w:t>
      </w:r>
      <w:r>
        <w:rPr>
          <w:sz w:val="20"/>
        </w:rPr>
        <w:t>антикоагулянтов</w:t>
      </w:r>
      <w:r>
        <w:rPr>
          <w:spacing w:val="-8"/>
          <w:sz w:val="20"/>
        </w:rPr>
        <w:t> </w:t>
      </w:r>
      <w:r>
        <w:rPr>
          <w:sz w:val="20"/>
        </w:rPr>
        <w:t>для</w:t>
      </w:r>
      <w:r>
        <w:rPr>
          <w:spacing w:val="-9"/>
          <w:sz w:val="20"/>
        </w:rPr>
        <w:t> </w:t>
      </w:r>
      <w:r>
        <w:rPr>
          <w:sz w:val="20"/>
        </w:rPr>
        <w:t>парентерального</w:t>
      </w:r>
      <w:r>
        <w:rPr>
          <w:spacing w:val="-7"/>
          <w:sz w:val="20"/>
        </w:rPr>
        <w:t> </w:t>
      </w:r>
      <w:r>
        <w:rPr>
          <w:spacing w:val="-2"/>
          <w:sz w:val="20"/>
        </w:rPr>
        <w:t>введения;</w:t>
      </w:r>
    </w:p>
    <w:p>
      <w:pPr>
        <w:pStyle w:val="ListParagraph"/>
        <w:numPr>
          <w:ilvl w:val="0"/>
          <w:numId w:val="114"/>
        </w:numPr>
        <w:tabs>
          <w:tab w:pos="869" w:val="left" w:leader="none"/>
        </w:tabs>
        <w:spacing w:line="240" w:lineRule="auto" w:before="15" w:after="0"/>
        <w:ind w:left="869" w:right="0" w:hanging="151"/>
        <w:jc w:val="left"/>
        <w:rPr>
          <w:sz w:val="20"/>
        </w:rPr>
      </w:pPr>
      <w:r>
        <w:rPr>
          <w:b/>
          <w:sz w:val="20"/>
        </w:rPr>
        <w:t>─</w:t>
      </w:r>
      <w:r>
        <w:rPr>
          <w:b/>
          <w:spacing w:val="-10"/>
          <w:sz w:val="20"/>
        </w:rPr>
        <w:t> </w:t>
      </w:r>
      <w:r>
        <w:rPr>
          <w:sz w:val="20"/>
        </w:rPr>
        <w:t>эффективность</w:t>
      </w:r>
      <w:r>
        <w:rPr>
          <w:spacing w:val="-9"/>
          <w:sz w:val="20"/>
        </w:rPr>
        <w:t> </w:t>
      </w:r>
      <w:r>
        <w:rPr>
          <w:sz w:val="20"/>
        </w:rPr>
        <w:t>дабигатрана</w:t>
      </w:r>
      <w:r>
        <w:rPr>
          <w:spacing w:val="-10"/>
          <w:sz w:val="20"/>
        </w:rPr>
        <w:t> </w:t>
      </w:r>
      <w:r>
        <w:rPr>
          <w:sz w:val="20"/>
        </w:rPr>
        <w:t>этексилата</w:t>
      </w:r>
      <w:r>
        <w:rPr>
          <w:spacing w:val="-9"/>
          <w:sz w:val="20"/>
        </w:rPr>
        <w:t> </w:t>
      </w:r>
      <w:r>
        <w:rPr>
          <w:sz w:val="20"/>
        </w:rPr>
        <w:t>в</w:t>
      </w:r>
      <w:r>
        <w:rPr>
          <w:spacing w:val="-10"/>
          <w:sz w:val="20"/>
        </w:rPr>
        <w:t> </w:t>
      </w:r>
      <w:r>
        <w:rPr>
          <w:sz w:val="20"/>
        </w:rPr>
        <w:t>профилактике</w:t>
      </w:r>
      <w:r>
        <w:rPr>
          <w:spacing w:val="-10"/>
          <w:sz w:val="20"/>
        </w:rPr>
        <w:t> </w:t>
      </w:r>
      <w:r>
        <w:rPr>
          <w:sz w:val="20"/>
        </w:rPr>
        <w:t>ТГВ/ТЭЛА</w:t>
      </w:r>
      <w:r>
        <w:rPr>
          <w:spacing w:val="-8"/>
          <w:sz w:val="20"/>
        </w:rPr>
        <w:t> </w:t>
      </w:r>
      <w:r>
        <w:rPr>
          <w:sz w:val="20"/>
        </w:rPr>
        <w:t>изучена</w:t>
      </w:r>
      <w:r>
        <w:rPr>
          <w:spacing w:val="-9"/>
          <w:sz w:val="20"/>
        </w:rPr>
        <w:t> </w:t>
      </w:r>
      <w:r>
        <w:rPr>
          <w:sz w:val="20"/>
        </w:rPr>
        <w:t>только</w:t>
      </w:r>
      <w:r>
        <w:rPr>
          <w:spacing w:val="-9"/>
          <w:sz w:val="20"/>
        </w:rPr>
        <w:t> </w:t>
      </w:r>
      <w:r>
        <w:rPr>
          <w:sz w:val="20"/>
        </w:rPr>
        <w:t>при</w:t>
      </w:r>
      <w:r>
        <w:rPr>
          <w:spacing w:val="-10"/>
          <w:sz w:val="20"/>
        </w:rPr>
        <w:t> </w:t>
      </w:r>
      <w:r>
        <w:rPr>
          <w:sz w:val="20"/>
        </w:rPr>
        <w:t>крупных</w:t>
      </w:r>
      <w:r>
        <w:rPr>
          <w:spacing w:val="-8"/>
          <w:sz w:val="20"/>
        </w:rPr>
        <w:t> </w:t>
      </w:r>
      <w:r>
        <w:rPr>
          <w:sz w:val="20"/>
        </w:rPr>
        <w:t>ортопедических</w:t>
      </w:r>
      <w:r>
        <w:rPr>
          <w:spacing w:val="-9"/>
          <w:sz w:val="20"/>
        </w:rPr>
        <w:t> </w:t>
      </w:r>
      <w:r>
        <w:rPr>
          <w:spacing w:val="-2"/>
          <w:sz w:val="20"/>
        </w:rPr>
        <w:t>вмешательствах.</w:t>
      </w:r>
    </w:p>
    <w:p>
      <w:pPr>
        <w:spacing w:line="259" w:lineRule="auto" w:before="14"/>
        <w:ind w:left="11" w:right="26" w:firstLine="0"/>
        <w:jc w:val="both"/>
        <w:rPr>
          <w:sz w:val="20"/>
        </w:rPr>
      </w:pPr>
      <w:r>
        <w:rPr>
          <w:sz w:val="20"/>
        </w:rPr>
        <w:t>Рутинное</w:t>
      </w:r>
      <w:r>
        <w:rPr>
          <w:spacing w:val="40"/>
          <w:sz w:val="20"/>
        </w:rPr>
        <w:t> </w:t>
      </w:r>
      <w:r>
        <w:rPr>
          <w:sz w:val="20"/>
        </w:rPr>
        <w:t>мониторирование</w:t>
      </w:r>
      <w:r>
        <w:rPr>
          <w:spacing w:val="40"/>
          <w:sz w:val="20"/>
        </w:rPr>
        <w:t> </w:t>
      </w:r>
      <w:r>
        <w:rPr>
          <w:sz w:val="20"/>
        </w:rPr>
        <w:t>анти-Ха</w:t>
      </w:r>
      <w:r>
        <w:rPr>
          <w:spacing w:val="40"/>
          <w:sz w:val="20"/>
        </w:rPr>
        <w:t> </w:t>
      </w:r>
      <w:r>
        <w:rPr>
          <w:sz w:val="20"/>
        </w:rPr>
        <w:t>активности</w:t>
      </w:r>
      <w:r>
        <w:rPr>
          <w:spacing w:val="39"/>
          <w:sz w:val="20"/>
        </w:rPr>
        <w:t> </w:t>
      </w:r>
      <w:r>
        <w:rPr>
          <w:sz w:val="20"/>
        </w:rPr>
        <w:t>в</w:t>
      </w:r>
      <w:r>
        <w:rPr>
          <w:spacing w:val="40"/>
          <w:sz w:val="20"/>
        </w:rPr>
        <w:t> </w:t>
      </w:r>
      <w:r>
        <w:rPr>
          <w:sz w:val="20"/>
        </w:rPr>
        <w:t>крови</w:t>
      </w:r>
      <w:r>
        <w:rPr>
          <w:spacing w:val="40"/>
          <w:sz w:val="20"/>
        </w:rPr>
        <w:t> </w:t>
      </w:r>
      <w:r>
        <w:rPr>
          <w:sz w:val="20"/>
        </w:rPr>
        <w:t>при</w:t>
      </w:r>
      <w:r>
        <w:rPr>
          <w:spacing w:val="40"/>
          <w:sz w:val="20"/>
        </w:rPr>
        <w:t> </w:t>
      </w:r>
      <w:r>
        <w:rPr>
          <w:sz w:val="20"/>
        </w:rPr>
        <w:t>подкожном</w:t>
      </w:r>
      <w:r>
        <w:rPr>
          <w:spacing w:val="40"/>
          <w:sz w:val="20"/>
        </w:rPr>
        <w:t> </w:t>
      </w:r>
      <w:r>
        <w:rPr>
          <w:sz w:val="20"/>
        </w:rPr>
        <w:t>введении</w:t>
      </w:r>
      <w:r>
        <w:rPr>
          <w:spacing w:val="39"/>
          <w:sz w:val="20"/>
        </w:rPr>
        <w:t> </w:t>
      </w:r>
      <w:r>
        <w:rPr>
          <w:sz w:val="20"/>
        </w:rPr>
        <w:t>антикоагулянтов</w:t>
      </w:r>
      <w:r>
        <w:rPr>
          <w:spacing w:val="39"/>
          <w:sz w:val="20"/>
        </w:rPr>
        <w:t> </w:t>
      </w:r>
      <w:r>
        <w:rPr>
          <w:sz w:val="20"/>
        </w:rPr>
        <w:t>не</w:t>
      </w:r>
      <w:r>
        <w:rPr>
          <w:spacing w:val="40"/>
          <w:sz w:val="20"/>
        </w:rPr>
        <w:t> </w:t>
      </w:r>
      <w:r>
        <w:rPr>
          <w:sz w:val="20"/>
        </w:rPr>
        <w:t>требуется.</w:t>
      </w:r>
      <w:r>
        <w:rPr>
          <w:spacing w:val="40"/>
          <w:sz w:val="20"/>
        </w:rPr>
        <w:t> </w:t>
      </w:r>
      <w:r>
        <w:rPr>
          <w:sz w:val="20"/>
        </w:rPr>
        <w:t>Однако,</w:t>
      </w:r>
      <w:r>
        <w:rPr>
          <w:spacing w:val="40"/>
          <w:sz w:val="20"/>
        </w:rPr>
        <w:t> </w:t>
      </w:r>
      <w:r>
        <w:rPr>
          <w:sz w:val="20"/>
        </w:rPr>
        <w:t>если</w:t>
      </w:r>
      <w:r>
        <w:rPr>
          <w:spacing w:val="39"/>
          <w:sz w:val="20"/>
        </w:rPr>
        <w:t> </w:t>
      </w:r>
      <w:r>
        <w:rPr>
          <w:sz w:val="20"/>
        </w:rPr>
        <w:t>возможно,</w:t>
      </w:r>
      <w:r>
        <w:rPr>
          <w:spacing w:val="40"/>
          <w:sz w:val="20"/>
        </w:rPr>
        <w:t> </w:t>
      </w:r>
      <w:r>
        <w:rPr>
          <w:sz w:val="20"/>
        </w:rPr>
        <w:t>его</w:t>
      </w:r>
      <w:r>
        <w:rPr>
          <w:spacing w:val="40"/>
          <w:sz w:val="20"/>
        </w:rPr>
        <w:t> </w:t>
      </w:r>
      <w:r>
        <w:rPr>
          <w:sz w:val="20"/>
        </w:rPr>
        <w:t>целесообразно</w:t>
      </w:r>
      <w:r>
        <w:rPr>
          <w:spacing w:val="40"/>
          <w:sz w:val="20"/>
        </w:rPr>
        <w:t> </w:t>
      </w:r>
      <w:r>
        <w:rPr>
          <w:sz w:val="20"/>
        </w:rPr>
        <w:t>использовать для подбора дозы у больных с очень низкой или высокой массой тела, выраженным нарушением функции почек, высоким риском кровотечений, при беременности. Целевые значения для профилактического применения 0,2-0,6 анти-Ха ЕД/мл, для лечебных доз 0,6-1,0 анти-Ха ЕД/мл. При применении НМГ кровь для определения анти-Ха активности берется через 4-6 ч после введения препарата (оптимально после 3-4-х инъекций), при подкожном введении промежуточных доз НФГ – посередине между инъекциями, при внутривенной инфузии НФГ – через 6 часов после каждого изменения дозы. При измерении анти-Ха активности для каждой группы препаратов (НФГ или НМГ) используются специфические и взаимозаменяемые тест-системы.</w:t>
      </w: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38"/>
        <w:ind w:left="0"/>
        <w:jc w:val="left"/>
        <w:rPr>
          <w:sz w:val="22"/>
        </w:rPr>
      </w:pPr>
    </w:p>
    <w:p>
      <w:pPr>
        <w:spacing w:before="0"/>
        <w:ind w:left="0" w:right="15" w:firstLine="0"/>
        <w:jc w:val="center"/>
        <w:rPr>
          <w:rFonts w:ascii="Calibri"/>
          <w:sz w:val="22"/>
        </w:rPr>
      </w:pPr>
      <w:r>
        <w:rPr>
          <w:rFonts w:ascii="Calibri"/>
          <w:spacing w:val="-5"/>
          <w:sz w:val="22"/>
        </w:rPr>
        <w:t>204</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Heading3"/>
        <w:spacing w:before="148"/>
        <w:ind w:left="13639"/>
        <w:jc w:val="left"/>
      </w:pPr>
      <w:bookmarkStart w:name="_TOC_250008" w:id="244"/>
      <w:bookmarkStart w:name="206" w:id="245"/>
      <w:r>
        <w:rPr>
          <w:b w:val="0"/>
        </w:rPr>
      </w:r>
      <w:r>
        <w:rPr>
          <w:color w:val="1F487C"/>
          <w:spacing w:val="-2"/>
        </w:rPr>
        <w:t>Приложение</w:t>
      </w:r>
      <w:r>
        <w:rPr>
          <w:color w:val="1F487C"/>
          <w:spacing w:val="3"/>
        </w:rPr>
        <w:t> </w:t>
      </w:r>
      <w:r>
        <w:rPr>
          <w:color w:val="1F487C"/>
          <w:spacing w:val="-2"/>
        </w:rPr>
        <w:t>7-</w:t>
      </w:r>
      <w:bookmarkEnd w:id="244"/>
      <w:r>
        <w:rPr>
          <w:color w:val="1F487C"/>
          <w:spacing w:val="-10"/>
        </w:rPr>
        <w:t>2</w:t>
      </w:r>
    </w:p>
    <w:p>
      <w:pPr>
        <w:pStyle w:val="Heading2"/>
        <w:ind w:left="682"/>
      </w:pPr>
      <w:r>
        <w:rPr/>
        <w:t>Алгоритм</w:t>
      </w:r>
      <w:r>
        <w:rPr>
          <w:spacing w:val="-8"/>
        </w:rPr>
        <w:t> </w:t>
      </w:r>
      <w:r>
        <w:rPr/>
        <w:t>применения</w:t>
      </w:r>
      <w:r>
        <w:rPr>
          <w:spacing w:val="-8"/>
        </w:rPr>
        <w:t> </w:t>
      </w:r>
      <w:r>
        <w:rPr/>
        <w:t>антикоагулянтов</w:t>
      </w:r>
      <w:r>
        <w:rPr>
          <w:spacing w:val="-7"/>
        </w:rPr>
        <w:t> </w:t>
      </w:r>
      <w:r>
        <w:rPr/>
        <w:t>для</w:t>
      </w:r>
      <w:r>
        <w:rPr>
          <w:spacing w:val="-8"/>
        </w:rPr>
        <w:t> </w:t>
      </w:r>
      <w:r>
        <w:rPr/>
        <w:t>лечения</w:t>
      </w:r>
      <w:r>
        <w:rPr>
          <w:spacing w:val="-7"/>
        </w:rPr>
        <w:t> </w:t>
      </w:r>
      <w:r>
        <w:rPr/>
        <w:t>COVID-19</w:t>
      </w:r>
      <w:r>
        <w:rPr>
          <w:spacing w:val="-6"/>
        </w:rPr>
        <w:t> </w:t>
      </w:r>
      <w:r>
        <w:rPr/>
        <w:t>у</w:t>
      </w:r>
      <w:r>
        <w:rPr>
          <w:spacing w:val="-8"/>
        </w:rPr>
        <w:t> </w:t>
      </w:r>
      <w:r>
        <w:rPr/>
        <w:t>взрослых</w:t>
      </w:r>
      <w:r>
        <w:rPr>
          <w:spacing w:val="-5"/>
        </w:rPr>
        <w:t> </w:t>
      </w:r>
      <w:r>
        <w:rPr/>
        <w:t>пациентов</w:t>
      </w:r>
      <w:r>
        <w:rPr>
          <w:spacing w:val="-6"/>
        </w:rPr>
        <w:t> </w:t>
      </w:r>
      <w:r>
        <w:rPr/>
        <w:t>в</w:t>
      </w:r>
      <w:r>
        <w:rPr>
          <w:spacing w:val="-7"/>
        </w:rPr>
        <w:t> </w:t>
      </w:r>
      <w:r>
        <w:rPr/>
        <w:t>условиях</w:t>
      </w:r>
      <w:r>
        <w:rPr>
          <w:spacing w:val="-5"/>
        </w:rPr>
        <w:t> </w:t>
      </w:r>
      <w:r>
        <w:rPr>
          <w:spacing w:val="-2"/>
        </w:rPr>
        <w:t>стационара</w:t>
      </w:r>
    </w:p>
    <w:p>
      <w:pPr>
        <w:pStyle w:val="BodyText"/>
        <w:spacing w:before="31"/>
        <w:ind w:left="0"/>
        <w:jc w:val="left"/>
        <w:rPr>
          <w:b/>
          <w:sz w:val="20"/>
        </w:rPr>
      </w:pPr>
      <w:r>
        <w:rPr>
          <w:b/>
          <w:sz w:val="20"/>
        </w:rPr>
        <w:drawing>
          <wp:anchor distT="0" distB="0" distL="0" distR="0" allowOverlap="1" layoutInCell="1" locked="0" behindDoc="1" simplePos="0" relativeHeight="487606272">
            <wp:simplePos x="0" y="0"/>
            <wp:positionH relativeFrom="page">
              <wp:posOffset>1118417</wp:posOffset>
            </wp:positionH>
            <wp:positionV relativeFrom="paragraph">
              <wp:posOffset>181277</wp:posOffset>
            </wp:positionV>
            <wp:extent cx="8449729" cy="4828032"/>
            <wp:effectExtent l="0" t="0" r="0" b="0"/>
            <wp:wrapTopAndBottom/>
            <wp:docPr id="100" name="Image 100"/>
            <wp:cNvGraphicFramePr>
              <a:graphicFrameLocks/>
            </wp:cNvGraphicFramePr>
            <a:graphic>
              <a:graphicData uri="http://schemas.openxmlformats.org/drawingml/2006/picture">
                <pic:pic>
                  <pic:nvPicPr>
                    <pic:cNvPr id="100" name="Image 100"/>
                    <pic:cNvPicPr/>
                  </pic:nvPicPr>
                  <pic:blipFill>
                    <a:blip r:embed="rId65" cstate="print"/>
                    <a:stretch>
                      <a:fillRect/>
                    </a:stretch>
                  </pic:blipFill>
                  <pic:spPr>
                    <a:xfrm>
                      <a:off x="0" y="0"/>
                      <a:ext cx="8449729" cy="4828032"/>
                    </a:xfrm>
                    <a:prstGeom prst="rect">
                      <a:avLst/>
                    </a:prstGeom>
                  </pic:spPr>
                </pic:pic>
              </a:graphicData>
            </a:graphic>
          </wp:anchor>
        </w:drawing>
      </w:r>
    </w:p>
    <w:p>
      <w:pPr>
        <w:spacing w:before="101"/>
        <w:ind w:left="0" w:right="15" w:firstLine="0"/>
        <w:jc w:val="center"/>
        <w:rPr>
          <w:rFonts w:ascii="Calibri"/>
          <w:sz w:val="22"/>
        </w:rPr>
      </w:pPr>
      <w:r>
        <w:rPr>
          <w:rFonts w:ascii="Calibri"/>
          <w:spacing w:val="-5"/>
          <w:sz w:val="22"/>
        </w:rPr>
        <w:t>205</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Heading3"/>
        <w:spacing w:before="148"/>
        <w:ind w:left="13639"/>
        <w:jc w:val="left"/>
      </w:pPr>
      <w:bookmarkStart w:name="_TOC_250007" w:id="246"/>
      <w:bookmarkStart w:name="207" w:id="247"/>
      <w:r>
        <w:rPr>
          <w:b w:val="0"/>
        </w:rPr>
      </w:r>
      <w:r>
        <w:rPr>
          <w:color w:val="1F487C"/>
          <w:spacing w:val="-2"/>
        </w:rPr>
        <w:t>Приложение</w:t>
      </w:r>
      <w:r>
        <w:rPr>
          <w:color w:val="1F487C"/>
          <w:spacing w:val="2"/>
        </w:rPr>
        <w:t> </w:t>
      </w:r>
      <w:r>
        <w:rPr>
          <w:color w:val="1F487C"/>
          <w:spacing w:val="-2"/>
        </w:rPr>
        <w:t>7-</w:t>
      </w:r>
      <w:bookmarkEnd w:id="246"/>
      <w:r>
        <w:rPr>
          <w:color w:val="1F487C"/>
          <w:spacing w:val="-10"/>
        </w:rPr>
        <w:t>3</w:t>
      </w:r>
    </w:p>
    <w:p>
      <w:pPr>
        <w:pStyle w:val="Heading2"/>
        <w:ind w:left="483"/>
      </w:pPr>
      <w:r>
        <w:rPr/>
        <w:t>Алгоритм</w:t>
      </w:r>
      <w:r>
        <w:rPr>
          <w:spacing w:val="-9"/>
        </w:rPr>
        <w:t> </w:t>
      </w:r>
      <w:r>
        <w:rPr/>
        <w:t>применения</w:t>
      </w:r>
      <w:r>
        <w:rPr>
          <w:spacing w:val="-8"/>
        </w:rPr>
        <w:t> </w:t>
      </w:r>
      <w:r>
        <w:rPr/>
        <w:t>антикоагулянтов</w:t>
      </w:r>
      <w:r>
        <w:rPr>
          <w:spacing w:val="-7"/>
        </w:rPr>
        <w:t> </w:t>
      </w:r>
      <w:r>
        <w:rPr/>
        <w:t>для</w:t>
      </w:r>
      <w:r>
        <w:rPr>
          <w:spacing w:val="-8"/>
        </w:rPr>
        <w:t> </w:t>
      </w:r>
      <w:r>
        <w:rPr/>
        <w:t>лечения</w:t>
      </w:r>
      <w:r>
        <w:rPr>
          <w:spacing w:val="-8"/>
        </w:rPr>
        <w:t> </w:t>
      </w:r>
      <w:r>
        <w:rPr/>
        <w:t>COVID-19</w:t>
      </w:r>
      <w:r>
        <w:rPr>
          <w:spacing w:val="-6"/>
        </w:rPr>
        <w:t> </w:t>
      </w:r>
      <w:r>
        <w:rPr/>
        <w:t>у</w:t>
      </w:r>
      <w:r>
        <w:rPr>
          <w:spacing w:val="-8"/>
        </w:rPr>
        <w:t> </w:t>
      </w:r>
      <w:r>
        <w:rPr/>
        <w:t>взрослых</w:t>
      </w:r>
      <w:r>
        <w:rPr>
          <w:spacing w:val="-6"/>
        </w:rPr>
        <w:t> </w:t>
      </w:r>
      <w:r>
        <w:rPr/>
        <w:t>пациентов</w:t>
      </w:r>
      <w:r>
        <w:rPr>
          <w:spacing w:val="-6"/>
        </w:rPr>
        <w:t> </w:t>
      </w:r>
      <w:r>
        <w:rPr/>
        <w:t>в</w:t>
      </w:r>
      <w:r>
        <w:rPr>
          <w:spacing w:val="-7"/>
        </w:rPr>
        <w:t> </w:t>
      </w:r>
      <w:r>
        <w:rPr/>
        <w:t>амбулаторных</w:t>
      </w:r>
      <w:r>
        <w:rPr>
          <w:spacing w:val="-6"/>
        </w:rPr>
        <w:t> </w:t>
      </w:r>
      <w:r>
        <w:rPr>
          <w:spacing w:val="-2"/>
        </w:rPr>
        <w:t>условиях</w:t>
      </w:r>
    </w:p>
    <w:p>
      <w:pPr>
        <w:pStyle w:val="BodyText"/>
        <w:spacing w:before="122"/>
        <w:ind w:left="0"/>
        <w:jc w:val="left"/>
        <w:rPr>
          <w:b/>
          <w:sz w:val="20"/>
        </w:rPr>
      </w:pPr>
      <w:r>
        <w:rPr>
          <w:b/>
          <w:sz w:val="20"/>
        </w:rPr>
        <w:drawing>
          <wp:anchor distT="0" distB="0" distL="0" distR="0" allowOverlap="1" layoutInCell="1" locked="0" behindDoc="1" simplePos="0" relativeHeight="487606784">
            <wp:simplePos x="0" y="0"/>
            <wp:positionH relativeFrom="page">
              <wp:posOffset>1274292</wp:posOffset>
            </wp:positionH>
            <wp:positionV relativeFrom="paragraph">
              <wp:posOffset>238928</wp:posOffset>
            </wp:positionV>
            <wp:extent cx="8150423" cy="4574286"/>
            <wp:effectExtent l="0" t="0" r="0" b="0"/>
            <wp:wrapTopAndBottom/>
            <wp:docPr id="101" name="Image 101"/>
            <wp:cNvGraphicFramePr>
              <a:graphicFrameLocks/>
            </wp:cNvGraphicFramePr>
            <a:graphic>
              <a:graphicData uri="http://schemas.openxmlformats.org/drawingml/2006/picture">
                <pic:pic>
                  <pic:nvPicPr>
                    <pic:cNvPr id="101" name="Image 101"/>
                    <pic:cNvPicPr/>
                  </pic:nvPicPr>
                  <pic:blipFill>
                    <a:blip r:embed="rId66" cstate="print"/>
                    <a:stretch>
                      <a:fillRect/>
                    </a:stretch>
                  </pic:blipFill>
                  <pic:spPr>
                    <a:xfrm>
                      <a:off x="0" y="0"/>
                      <a:ext cx="8150423" cy="4574286"/>
                    </a:xfrm>
                    <a:prstGeom prst="rect">
                      <a:avLst/>
                    </a:prstGeom>
                  </pic:spPr>
                </pic:pic>
              </a:graphicData>
            </a:graphic>
          </wp:anchor>
        </w:drawing>
      </w:r>
    </w:p>
    <w:p>
      <w:pPr>
        <w:pStyle w:val="BodyText"/>
        <w:spacing w:before="157"/>
        <w:ind w:left="0"/>
        <w:jc w:val="left"/>
        <w:rPr>
          <w:b/>
          <w:sz w:val="22"/>
        </w:rPr>
      </w:pPr>
    </w:p>
    <w:p>
      <w:pPr>
        <w:spacing w:before="0"/>
        <w:ind w:left="0" w:right="15" w:firstLine="0"/>
        <w:jc w:val="center"/>
        <w:rPr>
          <w:rFonts w:ascii="Calibri"/>
          <w:sz w:val="22"/>
        </w:rPr>
      </w:pPr>
      <w:r>
        <w:rPr>
          <w:rFonts w:ascii="Calibri"/>
          <w:spacing w:val="-5"/>
          <w:sz w:val="22"/>
        </w:rPr>
        <w:t>206</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Heading3"/>
        <w:spacing w:before="148"/>
        <w:ind w:left="0" w:right="26"/>
        <w:jc w:val="right"/>
      </w:pPr>
      <w:bookmarkStart w:name="_TOC_250006" w:id="248"/>
      <w:bookmarkStart w:name="208" w:id="249"/>
      <w:r>
        <w:rPr>
          <w:b w:val="0"/>
        </w:rPr>
      </w:r>
      <w:r>
        <w:rPr>
          <w:color w:val="1F487C"/>
          <w:spacing w:val="-2"/>
        </w:rPr>
        <w:t>Приложение</w:t>
      </w:r>
      <w:r>
        <w:rPr>
          <w:color w:val="1F487C"/>
          <w:spacing w:val="2"/>
        </w:rPr>
        <w:t> </w:t>
      </w:r>
      <w:r>
        <w:rPr>
          <w:color w:val="1F487C"/>
          <w:spacing w:val="-2"/>
        </w:rPr>
        <w:t>8-</w:t>
      </w:r>
      <w:bookmarkEnd w:id="248"/>
      <w:r>
        <w:rPr>
          <w:color w:val="1F487C"/>
          <w:spacing w:val="-10"/>
        </w:rPr>
        <w:t>1</w:t>
      </w:r>
    </w:p>
    <w:p>
      <w:pPr>
        <w:spacing w:before="141"/>
        <w:ind w:left="5196" w:right="0" w:firstLine="0"/>
        <w:jc w:val="left"/>
        <w:rPr>
          <w:b/>
          <w:sz w:val="24"/>
        </w:rPr>
      </w:pPr>
      <w:r>
        <w:rPr>
          <w:b/>
          <w:spacing w:val="-2"/>
          <w:sz w:val="24"/>
        </w:rPr>
        <w:t>Рекомендованные</w:t>
      </w:r>
      <w:r>
        <w:rPr>
          <w:b/>
          <w:spacing w:val="-1"/>
          <w:sz w:val="24"/>
        </w:rPr>
        <w:t> </w:t>
      </w:r>
      <w:r>
        <w:rPr>
          <w:b/>
          <w:spacing w:val="-2"/>
          <w:sz w:val="24"/>
        </w:rPr>
        <w:t>схемы</w:t>
      </w:r>
      <w:r>
        <w:rPr>
          <w:b/>
          <w:spacing w:val="3"/>
          <w:sz w:val="24"/>
        </w:rPr>
        <w:t> </w:t>
      </w:r>
      <w:r>
        <w:rPr>
          <w:b/>
          <w:spacing w:val="-2"/>
          <w:sz w:val="24"/>
        </w:rPr>
        <w:t>лечения</w:t>
      </w:r>
      <w:r>
        <w:rPr>
          <w:b/>
          <w:sz w:val="24"/>
        </w:rPr>
        <w:t> </w:t>
      </w:r>
      <w:r>
        <w:rPr>
          <w:b/>
          <w:spacing w:val="-2"/>
          <w:sz w:val="24"/>
        </w:rPr>
        <w:t>в</w:t>
      </w:r>
      <w:r>
        <w:rPr>
          <w:b/>
          <w:spacing w:val="1"/>
          <w:sz w:val="24"/>
        </w:rPr>
        <w:t> </w:t>
      </w:r>
      <w:r>
        <w:rPr>
          <w:b/>
          <w:spacing w:val="-2"/>
          <w:sz w:val="24"/>
        </w:rPr>
        <w:t>амбулаторных</w:t>
      </w:r>
      <w:r>
        <w:rPr>
          <w:b/>
          <w:spacing w:val="1"/>
          <w:sz w:val="24"/>
        </w:rPr>
        <w:t> </w:t>
      </w:r>
      <w:r>
        <w:rPr>
          <w:b/>
          <w:spacing w:val="-2"/>
          <w:sz w:val="24"/>
        </w:rPr>
        <w:t>условиях</w:t>
      </w:r>
    </w:p>
    <w:p>
      <w:pPr>
        <w:pStyle w:val="BodyText"/>
        <w:spacing w:before="38"/>
        <w:ind w:left="0"/>
        <w:jc w:val="left"/>
        <w:rPr>
          <w:b/>
          <w:sz w:val="20"/>
        </w:rPr>
      </w:pPr>
    </w:p>
    <w:tbl>
      <w:tblPr>
        <w:tblW w:w="0" w:type="auto"/>
        <w:jc w:val="left"/>
        <w:tblInd w:w="3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48"/>
        <w:gridCol w:w="708"/>
        <w:gridCol w:w="3505"/>
        <w:gridCol w:w="9669"/>
      </w:tblGrid>
      <w:tr>
        <w:trPr>
          <w:trHeight w:val="412" w:hRule="atLeast"/>
        </w:trPr>
        <w:tc>
          <w:tcPr>
            <w:tcW w:w="848" w:type="dxa"/>
          </w:tcPr>
          <w:p>
            <w:pPr>
              <w:pStyle w:val="TableParagraph"/>
              <w:rPr>
                <w:sz w:val="18"/>
              </w:rPr>
            </w:pPr>
          </w:p>
        </w:tc>
        <w:tc>
          <w:tcPr>
            <w:tcW w:w="708" w:type="dxa"/>
          </w:tcPr>
          <w:p>
            <w:pPr>
              <w:pStyle w:val="TableParagraph"/>
              <w:spacing w:before="38"/>
              <w:ind w:left="103"/>
              <w:rPr>
                <w:b/>
                <w:sz w:val="22"/>
              </w:rPr>
            </w:pPr>
            <w:r>
              <w:rPr>
                <w:b/>
                <w:spacing w:val="-10"/>
                <w:sz w:val="22"/>
              </w:rPr>
              <w:t>№</w:t>
            </w:r>
          </w:p>
        </w:tc>
        <w:tc>
          <w:tcPr>
            <w:tcW w:w="3505" w:type="dxa"/>
          </w:tcPr>
          <w:p>
            <w:pPr>
              <w:pStyle w:val="TableParagraph"/>
              <w:spacing w:before="9"/>
              <w:ind w:left="102"/>
              <w:rPr>
                <w:b/>
                <w:sz w:val="22"/>
              </w:rPr>
            </w:pPr>
            <w:r>
              <w:rPr>
                <w:b/>
                <w:spacing w:val="-2"/>
                <w:sz w:val="22"/>
              </w:rPr>
              <w:t>Препарат</w:t>
            </w:r>
          </w:p>
        </w:tc>
        <w:tc>
          <w:tcPr>
            <w:tcW w:w="9669" w:type="dxa"/>
          </w:tcPr>
          <w:p>
            <w:pPr>
              <w:pStyle w:val="TableParagraph"/>
              <w:spacing w:before="9"/>
              <w:ind w:left="98"/>
              <w:rPr>
                <w:b/>
                <w:sz w:val="22"/>
              </w:rPr>
            </w:pPr>
            <w:r>
              <w:rPr>
                <w:b/>
                <w:sz w:val="22"/>
              </w:rPr>
              <w:t>Режим</w:t>
            </w:r>
            <w:r>
              <w:rPr>
                <w:b/>
                <w:spacing w:val="-5"/>
                <w:sz w:val="22"/>
              </w:rPr>
              <w:t> </w:t>
            </w:r>
            <w:r>
              <w:rPr>
                <w:b/>
                <w:spacing w:val="-2"/>
                <w:sz w:val="22"/>
              </w:rPr>
              <w:t>дозирования</w:t>
            </w:r>
          </w:p>
        </w:tc>
      </w:tr>
      <w:tr>
        <w:trPr>
          <w:trHeight w:val="415" w:hRule="atLeast"/>
        </w:trPr>
        <w:tc>
          <w:tcPr>
            <w:tcW w:w="14730" w:type="dxa"/>
            <w:gridSpan w:val="4"/>
            <w:shd w:val="clear" w:color="auto" w:fill="9CC2E4"/>
          </w:tcPr>
          <w:p>
            <w:pPr>
              <w:pStyle w:val="TableParagraph"/>
              <w:spacing w:before="54"/>
              <w:ind w:left="106"/>
              <w:rPr>
                <w:b/>
                <w:sz w:val="20"/>
              </w:rPr>
            </w:pPr>
            <w:r>
              <w:rPr>
                <w:b/>
                <w:sz w:val="20"/>
              </w:rPr>
              <w:t>Легкое</w:t>
            </w:r>
            <w:r>
              <w:rPr>
                <w:b/>
                <w:spacing w:val="-6"/>
                <w:sz w:val="20"/>
              </w:rPr>
              <w:t> </w:t>
            </w:r>
            <w:r>
              <w:rPr>
                <w:b/>
                <w:spacing w:val="-2"/>
                <w:sz w:val="20"/>
              </w:rPr>
              <w:t>течение</w:t>
            </w:r>
          </w:p>
        </w:tc>
      </w:tr>
      <w:tr>
        <w:trPr>
          <w:trHeight w:val="883" w:hRule="atLeast"/>
        </w:trPr>
        <w:tc>
          <w:tcPr>
            <w:tcW w:w="848" w:type="dxa"/>
            <w:vMerge w:val="restart"/>
          </w:tcPr>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spacing w:before="113"/>
              <w:rPr>
                <w:b/>
                <w:sz w:val="20"/>
              </w:rPr>
            </w:pPr>
          </w:p>
          <w:p>
            <w:pPr>
              <w:pStyle w:val="TableParagraph"/>
              <w:spacing w:line="235" w:lineRule="auto" w:before="1"/>
              <w:ind w:left="106" w:right="152"/>
              <w:rPr>
                <w:b/>
                <w:sz w:val="13"/>
              </w:rPr>
            </w:pPr>
            <w:r>
              <w:rPr>
                <w:b/>
                <w:spacing w:val="-2"/>
                <w:sz w:val="20"/>
              </w:rPr>
              <w:t>Схема </w:t>
            </w:r>
            <w:r>
              <w:rPr>
                <w:b/>
                <w:position w:val="-6"/>
                <w:sz w:val="20"/>
              </w:rPr>
              <w:t>1 </w:t>
            </w:r>
            <w:r>
              <w:rPr>
                <w:b/>
                <w:sz w:val="13"/>
              </w:rPr>
              <w:t>1, 4</w:t>
            </w:r>
          </w:p>
        </w:tc>
        <w:tc>
          <w:tcPr>
            <w:tcW w:w="708" w:type="dxa"/>
            <w:vMerge w:val="restart"/>
          </w:tcPr>
          <w:p>
            <w:pPr>
              <w:pStyle w:val="TableParagraph"/>
              <w:rPr>
                <w:b/>
                <w:sz w:val="13"/>
              </w:rPr>
            </w:pPr>
          </w:p>
          <w:p>
            <w:pPr>
              <w:pStyle w:val="TableParagraph"/>
              <w:rPr>
                <w:b/>
                <w:sz w:val="13"/>
              </w:rPr>
            </w:pPr>
          </w:p>
          <w:p>
            <w:pPr>
              <w:pStyle w:val="TableParagraph"/>
              <w:rPr>
                <w:b/>
                <w:sz w:val="13"/>
              </w:rPr>
            </w:pPr>
          </w:p>
          <w:p>
            <w:pPr>
              <w:pStyle w:val="TableParagraph"/>
              <w:rPr>
                <w:b/>
                <w:sz w:val="13"/>
              </w:rPr>
            </w:pPr>
          </w:p>
          <w:p>
            <w:pPr>
              <w:pStyle w:val="TableParagraph"/>
              <w:rPr>
                <w:b/>
                <w:sz w:val="13"/>
              </w:rPr>
            </w:pPr>
          </w:p>
          <w:p>
            <w:pPr>
              <w:pStyle w:val="TableParagraph"/>
              <w:spacing w:before="42"/>
              <w:rPr>
                <w:b/>
                <w:sz w:val="13"/>
              </w:rPr>
            </w:pPr>
          </w:p>
          <w:p>
            <w:pPr>
              <w:pStyle w:val="TableParagraph"/>
              <w:ind w:left="103"/>
              <w:rPr>
                <w:sz w:val="13"/>
              </w:rPr>
            </w:pPr>
            <w:r>
              <w:rPr>
                <w:b/>
                <w:position w:val="-6"/>
                <w:sz w:val="20"/>
              </w:rPr>
              <w:t>1 </w:t>
            </w:r>
            <w:r>
              <w:rPr>
                <w:spacing w:val="-10"/>
                <w:sz w:val="13"/>
              </w:rPr>
              <w:t>3</w:t>
            </w:r>
          </w:p>
        </w:tc>
        <w:tc>
          <w:tcPr>
            <w:tcW w:w="3505" w:type="dxa"/>
          </w:tcPr>
          <w:p>
            <w:pPr>
              <w:pStyle w:val="TableParagraph"/>
              <w:spacing w:before="97"/>
              <w:rPr>
                <w:b/>
                <w:sz w:val="20"/>
              </w:rPr>
            </w:pPr>
          </w:p>
          <w:p>
            <w:pPr>
              <w:pStyle w:val="TableParagraph"/>
              <w:ind w:left="102"/>
              <w:rPr>
                <w:b/>
                <w:sz w:val="20"/>
              </w:rPr>
            </w:pPr>
            <w:r>
              <w:rPr>
                <w:spacing w:val="-2"/>
                <w:sz w:val="20"/>
              </w:rPr>
              <w:t>Фавипиравир</w:t>
            </w:r>
            <w:r>
              <w:rPr>
                <w:spacing w:val="7"/>
                <w:sz w:val="20"/>
              </w:rPr>
              <w:t> </w:t>
            </w:r>
            <w:r>
              <w:rPr>
                <w:b/>
                <w:spacing w:val="-10"/>
                <w:sz w:val="20"/>
                <w:vertAlign w:val="superscript"/>
              </w:rPr>
              <w:t>5</w:t>
            </w:r>
          </w:p>
        </w:tc>
        <w:tc>
          <w:tcPr>
            <w:tcW w:w="9669" w:type="dxa"/>
          </w:tcPr>
          <w:p>
            <w:pPr>
              <w:pStyle w:val="TableParagraph"/>
              <w:spacing w:before="8"/>
              <w:ind w:left="98"/>
              <w:rPr>
                <w:sz w:val="18"/>
              </w:rPr>
            </w:pPr>
            <w:r>
              <w:rPr>
                <w:sz w:val="18"/>
              </w:rPr>
              <w:t>Для</w:t>
            </w:r>
            <w:r>
              <w:rPr>
                <w:spacing w:val="-1"/>
                <w:sz w:val="18"/>
              </w:rPr>
              <w:t> </w:t>
            </w:r>
            <w:r>
              <w:rPr>
                <w:sz w:val="18"/>
              </w:rPr>
              <w:t>пациентов</w:t>
            </w:r>
            <w:r>
              <w:rPr>
                <w:spacing w:val="-2"/>
                <w:sz w:val="18"/>
              </w:rPr>
              <w:t> </w:t>
            </w:r>
            <w:r>
              <w:rPr>
                <w:sz w:val="18"/>
              </w:rPr>
              <w:t>с</w:t>
            </w:r>
            <w:r>
              <w:rPr>
                <w:spacing w:val="-2"/>
                <w:sz w:val="18"/>
              </w:rPr>
              <w:t> </w:t>
            </w:r>
            <w:r>
              <w:rPr>
                <w:sz w:val="18"/>
              </w:rPr>
              <w:t>массой</w:t>
            </w:r>
            <w:r>
              <w:rPr>
                <w:spacing w:val="-3"/>
                <w:sz w:val="18"/>
              </w:rPr>
              <w:t> </w:t>
            </w:r>
            <w:r>
              <w:rPr>
                <w:sz w:val="18"/>
              </w:rPr>
              <w:t>тела</w:t>
            </w:r>
            <w:r>
              <w:rPr>
                <w:spacing w:val="-2"/>
                <w:sz w:val="18"/>
              </w:rPr>
              <w:t> </w:t>
            </w:r>
            <w:r>
              <w:rPr>
                <w:sz w:val="18"/>
              </w:rPr>
              <w:t>˂75 </w:t>
            </w:r>
            <w:r>
              <w:rPr>
                <w:spacing w:val="-5"/>
                <w:sz w:val="18"/>
              </w:rPr>
              <w:t>кг:</w:t>
            </w:r>
          </w:p>
          <w:p>
            <w:pPr>
              <w:pStyle w:val="TableParagraph"/>
              <w:spacing w:line="256" w:lineRule="auto" w:before="13"/>
              <w:ind w:left="98" w:right="3170"/>
              <w:rPr>
                <w:sz w:val="18"/>
              </w:rPr>
            </w:pPr>
            <w:r>
              <w:rPr>
                <w:sz w:val="18"/>
              </w:rPr>
              <w:t>по</w:t>
            </w:r>
            <w:r>
              <w:rPr>
                <w:spacing w:val="-1"/>
                <w:sz w:val="18"/>
              </w:rPr>
              <w:t> </w:t>
            </w:r>
            <w:r>
              <w:rPr>
                <w:sz w:val="18"/>
              </w:rPr>
              <w:t>1600</w:t>
            </w:r>
            <w:r>
              <w:rPr>
                <w:spacing w:val="-1"/>
                <w:sz w:val="18"/>
              </w:rPr>
              <w:t> </w:t>
            </w:r>
            <w:r>
              <w:rPr>
                <w:sz w:val="18"/>
              </w:rPr>
              <w:t>мг</w:t>
            </w:r>
            <w:r>
              <w:rPr>
                <w:spacing w:val="-2"/>
                <w:sz w:val="18"/>
              </w:rPr>
              <w:t> </w:t>
            </w:r>
            <w:r>
              <w:rPr>
                <w:sz w:val="18"/>
              </w:rPr>
              <w:t>2</w:t>
            </w:r>
            <w:r>
              <w:rPr>
                <w:spacing w:val="-3"/>
                <w:sz w:val="18"/>
              </w:rPr>
              <w:t> </w:t>
            </w:r>
            <w:r>
              <w:rPr>
                <w:sz w:val="18"/>
              </w:rPr>
              <w:t>р/сут</w:t>
            </w:r>
            <w:r>
              <w:rPr>
                <w:spacing w:val="-2"/>
                <w:sz w:val="18"/>
              </w:rPr>
              <w:t> </w:t>
            </w:r>
            <w:r>
              <w:rPr>
                <w:sz w:val="18"/>
              </w:rPr>
              <w:t>в</w:t>
            </w:r>
            <w:r>
              <w:rPr>
                <w:spacing w:val="-3"/>
                <w:sz w:val="18"/>
              </w:rPr>
              <w:t> </w:t>
            </w:r>
            <w:r>
              <w:rPr>
                <w:sz w:val="18"/>
              </w:rPr>
              <w:t>1-й</w:t>
            </w:r>
            <w:r>
              <w:rPr>
                <w:spacing w:val="-3"/>
                <w:sz w:val="18"/>
              </w:rPr>
              <w:t> </w:t>
            </w:r>
            <w:r>
              <w:rPr>
                <w:sz w:val="18"/>
              </w:rPr>
              <w:t>день</w:t>
            </w:r>
            <w:r>
              <w:rPr>
                <w:spacing w:val="-3"/>
                <w:sz w:val="18"/>
              </w:rPr>
              <w:t> </w:t>
            </w:r>
            <w:r>
              <w:rPr>
                <w:sz w:val="18"/>
              </w:rPr>
              <w:t>и</w:t>
            </w:r>
            <w:r>
              <w:rPr>
                <w:spacing w:val="-5"/>
                <w:sz w:val="18"/>
              </w:rPr>
              <w:t> </w:t>
            </w:r>
            <w:r>
              <w:rPr>
                <w:sz w:val="18"/>
              </w:rPr>
              <w:t>далее</w:t>
            </w:r>
            <w:r>
              <w:rPr>
                <w:spacing w:val="-3"/>
                <w:sz w:val="18"/>
              </w:rPr>
              <w:t> </w:t>
            </w:r>
            <w:r>
              <w:rPr>
                <w:sz w:val="18"/>
              </w:rPr>
              <w:t>по</w:t>
            </w:r>
            <w:r>
              <w:rPr>
                <w:spacing w:val="-1"/>
                <w:sz w:val="18"/>
              </w:rPr>
              <w:t> </w:t>
            </w:r>
            <w:r>
              <w:rPr>
                <w:sz w:val="18"/>
              </w:rPr>
              <w:t>600</w:t>
            </w:r>
            <w:r>
              <w:rPr>
                <w:spacing w:val="-3"/>
                <w:sz w:val="18"/>
              </w:rPr>
              <w:t> </w:t>
            </w:r>
            <w:r>
              <w:rPr>
                <w:sz w:val="18"/>
              </w:rPr>
              <w:t>мг</w:t>
            </w:r>
            <w:r>
              <w:rPr>
                <w:spacing w:val="-4"/>
                <w:sz w:val="18"/>
              </w:rPr>
              <w:t> </w:t>
            </w:r>
            <w:r>
              <w:rPr>
                <w:sz w:val="18"/>
              </w:rPr>
              <w:t>2</w:t>
            </w:r>
            <w:r>
              <w:rPr>
                <w:spacing w:val="-1"/>
                <w:sz w:val="18"/>
              </w:rPr>
              <w:t> </w:t>
            </w:r>
            <w:r>
              <w:rPr>
                <w:sz w:val="18"/>
              </w:rPr>
              <w:t>р/сут со</w:t>
            </w:r>
            <w:r>
              <w:rPr>
                <w:spacing w:val="-3"/>
                <w:sz w:val="18"/>
              </w:rPr>
              <w:t> </w:t>
            </w:r>
            <w:r>
              <w:rPr>
                <w:sz w:val="18"/>
              </w:rPr>
              <w:t>2</w:t>
            </w:r>
            <w:r>
              <w:rPr>
                <w:spacing w:val="-1"/>
                <w:sz w:val="18"/>
              </w:rPr>
              <w:t> </w:t>
            </w:r>
            <w:r>
              <w:rPr>
                <w:sz w:val="18"/>
              </w:rPr>
              <w:t>по</w:t>
            </w:r>
            <w:r>
              <w:rPr>
                <w:spacing w:val="-3"/>
                <w:sz w:val="18"/>
              </w:rPr>
              <w:t> </w:t>
            </w:r>
            <w:r>
              <w:rPr>
                <w:sz w:val="18"/>
              </w:rPr>
              <w:t>10</w:t>
            </w:r>
            <w:r>
              <w:rPr>
                <w:spacing w:val="-1"/>
                <w:sz w:val="18"/>
              </w:rPr>
              <w:t> </w:t>
            </w:r>
            <w:r>
              <w:rPr>
                <w:sz w:val="18"/>
              </w:rPr>
              <w:t>дни</w:t>
            </w:r>
            <w:r>
              <w:rPr>
                <w:spacing w:val="-3"/>
                <w:sz w:val="18"/>
              </w:rPr>
              <w:t> </w:t>
            </w:r>
            <w:r>
              <w:rPr>
                <w:sz w:val="18"/>
              </w:rPr>
              <w:t>(таблетки). Для пациентов с массой тела 75 кг и более:</w:t>
            </w:r>
          </w:p>
          <w:p>
            <w:pPr>
              <w:pStyle w:val="TableParagraph"/>
              <w:spacing w:line="192" w:lineRule="exact"/>
              <w:ind w:left="98"/>
              <w:rPr>
                <w:sz w:val="18"/>
              </w:rPr>
            </w:pPr>
            <w:r>
              <w:rPr>
                <w:sz w:val="18"/>
              </w:rPr>
              <w:t>по</w:t>
            </w:r>
            <w:r>
              <w:rPr>
                <w:spacing w:val="-2"/>
                <w:sz w:val="18"/>
              </w:rPr>
              <w:t> </w:t>
            </w:r>
            <w:r>
              <w:rPr>
                <w:sz w:val="18"/>
              </w:rPr>
              <w:t>1800 мг</w:t>
            </w:r>
            <w:r>
              <w:rPr>
                <w:spacing w:val="-1"/>
                <w:sz w:val="18"/>
              </w:rPr>
              <w:t> </w:t>
            </w:r>
            <w:r>
              <w:rPr>
                <w:sz w:val="18"/>
              </w:rPr>
              <w:t>2</w:t>
            </w:r>
            <w:r>
              <w:rPr>
                <w:spacing w:val="-1"/>
                <w:sz w:val="18"/>
              </w:rPr>
              <w:t> </w:t>
            </w:r>
            <w:r>
              <w:rPr>
                <w:sz w:val="18"/>
              </w:rPr>
              <w:t>раза/сут</w:t>
            </w:r>
            <w:r>
              <w:rPr>
                <w:spacing w:val="-3"/>
                <w:sz w:val="18"/>
              </w:rPr>
              <w:t> </w:t>
            </w:r>
            <w:r>
              <w:rPr>
                <w:sz w:val="18"/>
              </w:rPr>
              <w:t>в</w:t>
            </w:r>
            <w:r>
              <w:rPr>
                <w:spacing w:val="-2"/>
                <w:sz w:val="18"/>
              </w:rPr>
              <w:t> </w:t>
            </w:r>
            <w:r>
              <w:rPr>
                <w:sz w:val="18"/>
              </w:rPr>
              <w:t>1-й</w:t>
            </w:r>
            <w:r>
              <w:rPr>
                <w:spacing w:val="-1"/>
                <w:sz w:val="18"/>
              </w:rPr>
              <w:t> </w:t>
            </w:r>
            <w:r>
              <w:rPr>
                <w:sz w:val="18"/>
              </w:rPr>
              <w:t>день,</w:t>
            </w:r>
            <w:r>
              <w:rPr>
                <w:spacing w:val="-1"/>
                <w:sz w:val="18"/>
              </w:rPr>
              <w:t> </w:t>
            </w:r>
            <w:r>
              <w:rPr>
                <w:sz w:val="18"/>
              </w:rPr>
              <w:t>далее</w:t>
            </w:r>
            <w:r>
              <w:rPr>
                <w:spacing w:val="-2"/>
                <w:sz w:val="18"/>
              </w:rPr>
              <w:t> </w:t>
            </w:r>
            <w:r>
              <w:rPr>
                <w:sz w:val="18"/>
              </w:rPr>
              <w:t>по</w:t>
            </w:r>
            <w:r>
              <w:rPr>
                <w:spacing w:val="1"/>
                <w:sz w:val="18"/>
              </w:rPr>
              <w:t> </w:t>
            </w:r>
            <w:r>
              <w:rPr>
                <w:sz w:val="18"/>
              </w:rPr>
              <w:t>800</w:t>
            </w:r>
            <w:r>
              <w:rPr>
                <w:spacing w:val="-2"/>
                <w:sz w:val="18"/>
              </w:rPr>
              <w:t> </w:t>
            </w:r>
            <w:r>
              <w:rPr>
                <w:sz w:val="18"/>
              </w:rPr>
              <w:t>мг</w:t>
            </w:r>
            <w:r>
              <w:rPr>
                <w:spacing w:val="-3"/>
                <w:sz w:val="18"/>
              </w:rPr>
              <w:t> </w:t>
            </w:r>
            <w:r>
              <w:rPr>
                <w:sz w:val="18"/>
              </w:rPr>
              <w:t>2</w:t>
            </w:r>
            <w:r>
              <w:rPr>
                <w:spacing w:val="-1"/>
                <w:sz w:val="18"/>
              </w:rPr>
              <w:t> </w:t>
            </w:r>
            <w:r>
              <w:rPr>
                <w:sz w:val="18"/>
              </w:rPr>
              <w:t>раза/сут</w:t>
            </w:r>
            <w:r>
              <w:rPr>
                <w:spacing w:val="-3"/>
                <w:sz w:val="18"/>
              </w:rPr>
              <w:t> </w:t>
            </w:r>
            <w:r>
              <w:rPr>
                <w:sz w:val="18"/>
              </w:rPr>
              <w:t>со 2</w:t>
            </w:r>
            <w:r>
              <w:rPr>
                <w:spacing w:val="-1"/>
                <w:sz w:val="18"/>
              </w:rPr>
              <w:t> </w:t>
            </w:r>
            <w:r>
              <w:rPr>
                <w:sz w:val="18"/>
              </w:rPr>
              <w:t>по 10 день</w:t>
            </w:r>
            <w:r>
              <w:rPr>
                <w:spacing w:val="-1"/>
                <w:sz w:val="18"/>
              </w:rPr>
              <w:t> </w:t>
            </w:r>
            <w:r>
              <w:rPr>
                <w:spacing w:val="-2"/>
                <w:sz w:val="18"/>
              </w:rPr>
              <w:t>(таблетки).</w:t>
            </w:r>
          </w:p>
        </w:tc>
      </w:tr>
      <w:tr>
        <w:trPr>
          <w:trHeight w:val="328" w:hRule="atLeast"/>
        </w:trPr>
        <w:tc>
          <w:tcPr>
            <w:tcW w:w="848" w:type="dxa"/>
            <w:vMerge/>
            <w:tcBorders>
              <w:top w:val="nil"/>
            </w:tcBorders>
          </w:tcPr>
          <w:p>
            <w:pPr>
              <w:rPr>
                <w:sz w:val="2"/>
                <w:szCs w:val="2"/>
              </w:rPr>
            </w:pPr>
          </w:p>
        </w:tc>
        <w:tc>
          <w:tcPr>
            <w:tcW w:w="708" w:type="dxa"/>
            <w:vMerge/>
            <w:tcBorders>
              <w:top w:val="nil"/>
            </w:tcBorders>
          </w:tcPr>
          <w:p>
            <w:pPr>
              <w:rPr>
                <w:sz w:val="2"/>
                <w:szCs w:val="2"/>
              </w:rPr>
            </w:pPr>
          </w:p>
        </w:tc>
        <w:tc>
          <w:tcPr>
            <w:tcW w:w="13174" w:type="dxa"/>
            <w:gridSpan w:val="2"/>
          </w:tcPr>
          <w:p>
            <w:pPr>
              <w:pStyle w:val="TableParagraph"/>
              <w:spacing w:before="50"/>
              <w:ind w:left="102"/>
              <w:rPr>
                <w:sz w:val="20"/>
              </w:rPr>
            </w:pPr>
            <w:r>
              <w:rPr>
                <w:spacing w:val="-5"/>
                <w:sz w:val="20"/>
              </w:rPr>
              <w:t>или</w:t>
            </w:r>
          </w:p>
        </w:tc>
      </w:tr>
      <w:tr>
        <w:trPr>
          <w:trHeight w:val="885" w:hRule="atLeast"/>
        </w:trPr>
        <w:tc>
          <w:tcPr>
            <w:tcW w:w="848" w:type="dxa"/>
            <w:vMerge/>
            <w:tcBorders>
              <w:top w:val="nil"/>
            </w:tcBorders>
          </w:tcPr>
          <w:p>
            <w:pPr>
              <w:rPr>
                <w:sz w:val="2"/>
                <w:szCs w:val="2"/>
              </w:rPr>
            </w:pPr>
          </w:p>
        </w:tc>
        <w:tc>
          <w:tcPr>
            <w:tcW w:w="708" w:type="dxa"/>
            <w:vMerge/>
            <w:tcBorders>
              <w:top w:val="nil"/>
            </w:tcBorders>
          </w:tcPr>
          <w:p>
            <w:pPr>
              <w:rPr>
                <w:sz w:val="2"/>
                <w:szCs w:val="2"/>
              </w:rPr>
            </w:pPr>
          </w:p>
        </w:tc>
        <w:tc>
          <w:tcPr>
            <w:tcW w:w="3505" w:type="dxa"/>
          </w:tcPr>
          <w:p>
            <w:pPr>
              <w:pStyle w:val="TableParagraph"/>
              <w:spacing w:before="98"/>
              <w:rPr>
                <w:b/>
                <w:sz w:val="20"/>
              </w:rPr>
            </w:pPr>
          </w:p>
          <w:p>
            <w:pPr>
              <w:pStyle w:val="TableParagraph"/>
              <w:ind w:left="102"/>
              <w:rPr>
                <w:sz w:val="20"/>
              </w:rPr>
            </w:pPr>
            <w:r>
              <w:rPr>
                <w:spacing w:val="-2"/>
                <w:sz w:val="20"/>
              </w:rPr>
              <w:t>Фавипиравир+Цинка</w:t>
            </w:r>
            <w:r>
              <w:rPr>
                <w:spacing w:val="8"/>
                <w:sz w:val="20"/>
              </w:rPr>
              <w:t> </w:t>
            </w:r>
            <w:r>
              <w:rPr>
                <w:spacing w:val="-2"/>
                <w:sz w:val="20"/>
              </w:rPr>
              <w:t>глюконат</w:t>
            </w:r>
            <w:r>
              <w:rPr>
                <w:spacing w:val="-2"/>
                <w:sz w:val="20"/>
                <w:vertAlign w:val="superscript"/>
              </w:rPr>
              <w:t>5</w:t>
            </w:r>
          </w:p>
        </w:tc>
        <w:tc>
          <w:tcPr>
            <w:tcW w:w="9669" w:type="dxa"/>
          </w:tcPr>
          <w:p>
            <w:pPr>
              <w:pStyle w:val="TableParagraph"/>
              <w:spacing w:before="9"/>
              <w:ind w:left="98"/>
              <w:rPr>
                <w:sz w:val="18"/>
              </w:rPr>
            </w:pPr>
            <w:r>
              <w:rPr>
                <w:sz w:val="18"/>
              </w:rPr>
              <w:t>Для</w:t>
            </w:r>
            <w:r>
              <w:rPr>
                <w:spacing w:val="-1"/>
                <w:sz w:val="18"/>
              </w:rPr>
              <w:t> </w:t>
            </w:r>
            <w:r>
              <w:rPr>
                <w:sz w:val="18"/>
              </w:rPr>
              <w:t>пациентов</w:t>
            </w:r>
            <w:r>
              <w:rPr>
                <w:spacing w:val="-2"/>
                <w:sz w:val="18"/>
              </w:rPr>
              <w:t> </w:t>
            </w:r>
            <w:r>
              <w:rPr>
                <w:sz w:val="18"/>
              </w:rPr>
              <w:t>с</w:t>
            </w:r>
            <w:r>
              <w:rPr>
                <w:spacing w:val="-2"/>
                <w:sz w:val="18"/>
              </w:rPr>
              <w:t> </w:t>
            </w:r>
            <w:r>
              <w:rPr>
                <w:sz w:val="18"/>
              </w:rPr>
              <w:t>массой</w:t>
            </w:r>
            <w:r>
              <w:rPr>
                <w:spacing w:val="-3"/>
                <w:sz w:val="18"/>
              </w:rPr>
              <w:t> </w:t>
            </w:r>
            <w:r>
              <w:rPr>
                <w:sz w:val="18"/>
              </w:rPr>
              <w:t>тела</w:t>
            </w:r>
            <w:r>
              <w:rPr>
                <w:spacing w:val="-2"/>
                <w:sz w:val="18"/>
              </w:rPr>
              <w:t> </w:t>
            </w:r>
            <w:r>
              <w:rPr>
                <w:sz w:val="18"/>
              </w:rPr>
              <w:t>˂75 </w:t>
            </w:r>
            <w:r>
              <w:rPr>
                <w:spacing w:val="-5"/>
                <w:sz w:val="18"/>
              </w:rPr>
              <w:t>кг:</w:t>
            </w:r>
          </w:p>
          <w:p>
            <w:pPr>
              <w:pStyle w:val="TableParagraph"/>
              <w:spacing w:line="256" w:lineRule="auto" w:before="13"/>
              <w:ind w:left="98" w:right="3175"/>
              <w:rPr>
                <w:sz w:val="18"/>
              </w:rPr>
            </w:pPr>
            <w:r>
              <w:rPr>
                <w:sz w:val="18"/>
              </w:rPr>
              <w:t>по</w:t>
            </w:r>
            <w:r>
              <w:rPr>
                <w:spacing w:val="-2"/>
                <w:sz w:val="18"/>
              </w:rPr>
              <w:t> </w:t>
            </w:r>
            <w:r>
              <w:rPr>
                <w:sz w:val="18"/>
              </w:rPr>
              <w:t>1600</w:t>
            </w:r>
            <w:r>
              <w:rPr>
                <w:spacing w:val="-2"/>
                <w:sz w:val="18"/>
              </w:rPr>
              <w:t> </w:t>
            </w:r>
            <w:r>
              <w:rPr>
                <w:sz w:val="18"/>
              </w:rPr>
              <w:t>мг</w:t>
            </w:r>
            <w:r>
              <w:rPr>
                <w:spacing w:val="-3"/>
                <w:sz w:val="18"/>
              </w:rPr>
              <w:t> </w:t>
            </w:r>
            <w:r>
              <w:rPr>
                <w:sz w:val="18"/>
              </w:rPr>
              <w:t>2</w:t>
            </w:r>
            <w:r>
              <w:rPr>
                <w:spacing w:val="-3"/>
                <w:sz w:val="18"/>
              </w:rPr>
              <w:t> </w:t>
            </w:r>
            <w:r>
              <w:rPr>
                <w:sz w:val="18"/>
              </w:rPr>
              <w:t>р/сут</w:t>
            </w:r>
            <w:r>
              <w:rPr>
                <w:spacing w:val="-3"/>
                <w:sz w:val="18"/>
              </w:rPr>
              <w:t> </w:t>
            </w:r>
            <w:r>
              <w:rPr>
                <w:sz w:val="18"/>
              </w:rPr>
              <w:t>в</w:t>
            </w:r>
            <w:r>
              <w:rPr>
                <w:spacing w:val="-3"/>
                <w:sz w:val="18"/>
              </w:rPr>
              <w:t> </w:t>
            </w:r>
            <w:r>
              <w:rPr>
                <w:sz w:val="18"/>
              </w:rPr>
              <w:t>1-й</w:t>
            </w:r>
            <w:r>
              <w:rPr>
                <w:spacing w:val="-3"/>
                <w:sz w:val="18"/>
              </w:rPr>
              <w:t> </w:t>
            </w:r>
            <w:r>
              <w:rPr>
                <w:sz w:val="18"/>
              </w:rPr>
              <w:t>день</w:t>
            </w:r>
            <w:r>
              <w:rPr>
                <w:spacing w:val="-3"/>
                <w:sz w:val="18"/>
              </w:rPr>
              <w:t> </w:t>
            </w:r>
            <w:r>
              <w:rPr>
                <w:sz w:val="18"/>
              </w:rPr>
              <w:t>и</w:t>
            </w:r>
            <w:r>
              <w:rPr>
                <w:spacing w:val="-5"/>
                <w:sz w:val="18"/>
              </w:rPr>
              <w:t> </w:t>
            </w:r>
            <w:r>
              <w:rPr>
                <w:sz w:val="18"/>
              </w:rPr>
              <w:t>далее</w:t>
            </w:r>
            <w:r>
              <w:rPr>
                <w:spacing w:val="-3"/>
                <w:sz w:val="18"/>
              </w:rPr>
              <w:t> </w:t>
            </w:r>
            <w:r>
              <w:rPr>
                <w:sz w:val="18"/>
              </w:rPr>
              <w:t>по</w:t>
            </w:r>
            <w:r>
              <w:rPr>
                <w:spacing w:val="-2"/>
                <w:sz w:val="18"/>
              </w:rPr>
              <w:t> </w:t>
            </w:r>
            <w:r>
              <w:rPr>
                <w:sz w:val="18"/>
              </w:rPr>
              <w:t>600</w:t>
            </w:r>
            <w:r>
              <w:rPr>
                <w:spacing w:val="-3"/>
                <w:sz w:val="18"/>
              </w:rPr>
              <w:t> </w:t>
            </w:r>
            <w:r>
              <w:rPr>
                <w:sz w:val="18"/>
              </w:rPr>
              <w:t>мг</w:t>
            </w:r>
            <w:r>
              <w:rPr>
                <w:spacing w:val="-4"/>
                <w:sz w:val="18"/>
              </w:rPr>
              <w:t> </w:t>
            </w:r>
            <w:r>
              <w:rPr>
                <w:sz w:val="18"/>
              </w:rPr>
              <w:t>2</w:t>
            </w:r>
            <w:r>
              <w:rPr>
                <w:spacing w:val="-2"/>
                <w:sz w:val="18"/>
              </w:rPr>
              <w:t> </w:t>
            </w:r>
            <w:r>
              <w:rPr>
                <w:sz w:val="18"/>
              </w:rPr>
              <w:t>р/сут</w:t>
            </w:r>
            <w:r>
              <w:rPr>
                <w:spacing w:val="-3"/>
                <w:sz w:val="18"/>
              </w:rPr>
              <w:t> </w:t>
            </w:r>
            <w:r>
              <w:rPr>
                <w:sz w:val="18"/>
              </w:rPr>
              <w:t>со</w:t>
            </w:r>
            <w:r>
              <w:rPr>
                <w:spacing w:val="-3"/>
                <w:sz w:val="18"/>
              </w:rPr>
              <w:t> </w:t>
            </w:r>
            <w:r>
              <w:rPr>
                <w:sz w:val="18"/>
              </w:rPr>
              <w:t>2</w:t>
            </w:r>
            <w:r>
              <w:rPr>
                <w:spacing w:val="-2"/>
                <w:sz w:val="18"/>
              </w:rPr>
              <w:t> </w:t>
            </w:r>
            <w:r>
              <w:rPr>
                <w:sz w:val="18"/>
              </w:rPr>
              <w:t>по</w:t>
            </w:r>
            <w:r>
              <w:rPr>
                <w:spacing w:val="-3"/>
                <w:sz w:val="18"/>
              </w:rPr>
              <w:t> </w:t>
            </w:r>
            <w:r>
              <w:rPr>
                <w:sz w:val="18"/>
              </w:rPr>
              <w:t>5</w:t>
            </w:r>
            <w:r>
              <w:rPr>
                <w:spacing w:val="-2"/>
                <w:sz w:val="18"/>
              </w:rPr>
              <w:t> </w:t>
            </w:r>
            <w:r>
              <w:rPr>
                <w:sz w:val="18"/>
              </w:rPr>
              <w:t>день</w:t>
            </w:r>
            <w:r>
              <w:rPr>
                <w:spacing w:val="-3"/>
                <w:sz w:val="18"/>
              </w:rPr>
              <w:t> </w:t>
            </w:r>
            <w:r>
              <w:rPr>
                <w:sz w:val="18"/>
              </w:rPr>
              <w:t>(таблетки). Для пациентов с массой тела 75 кг и более:</w:t>
            </w:r>
          </w:p>
          <w:p>
            <w:pPr>
              <w:pStyle w:val="TableParagraph"/>
              <w:spacing w:line="193" w:lineRule="exact"/>
              <w:ind w:left="98"/>
              <w:rPr>
                <w:sz w:val="18"/>
              </w:rPr>
            </w:pPr>
            <w:r>
              <w:rPr>
                <w:sz w:val="18"/>
              </w:rPr>
              <w:t>по</w:t>
            </w:r>
            <w:r>
              <w:rPr>
                <w:spacing w:val="-2"/>
                <w:sz w:val="18"/>
              </w:rPr>
              <w:t> </w:t>
            </w:r>
            <w:r>
              <w:rPr>
                <w:sz w:val="18"/>
              </w:rPr>
              <w:t>1800 мг</w:t>
            </w:r>
            <w:r>
              <w:rPr>
                <w:spacing w:val="-1"/>
                <w:sz w:val="18"/>
              </w:rPr>
              <w:t> </w:t>
            </w:r>
            <w:r>
              <w:rPr>
                <w:sz w:val="18"/>
              </w:rPr>
              <w:t>2</w:t>
            </w:r>
            <w:r>
              <w:rPr>
                <w:spacing w:val="-1"/>
                <w:sz w:val="18"/>
              </w:rPr>
              <w:t> </w:t>
            </w:r>
            <w:r>
              <w:rPr>
                <w:sz w:val="18"/>
              </w:rPr>
              <w:t>раза/сут</w:t>
            </w:r>
            <w:r>
              <w:rPr>
                <w:spacing w:val="-1"/>
                <w:sz w:val="18"/>
              </w:rPr>
              <w:t> </w:t>
            </w:r>
            <w:r>
              <w:rPr>
                <w:sz w:val="18"/>
              </w:rPr>
              <w:t>в</w:t>
            </w:r>
            <w:r>
              <w:rPr>
                <w:spacing w:val="-2"/>
                <w:sz w:val="18"/>
              </w:rPr>
              <w:t> </w:t>
            </w:r>
            <w:r>
              <w:rPr>
                <w:sz w:val="18"/>
              </w:rPr>
              <w:t>1-й</w:t>
            </w:r>
            <w:r>
              <w:rPr>
                <w:spacing w:val="-1"/>
                <w:sz w:val="18"/>
              </w:rPr>
              <w:t> </w:t>
            </w:r>
            <w:r>
              <w:rPr>
                <w:sz w:val="18"/>
              </w:rPr>
              <w:t>день,</w:t>
            </w:r>
            <w:r>
              <w:rPr>
                <w:spacing w:val="-1"/>
                <w:sz w:val="18"/>
              </w:rPr>
              <w:t> </w:t>
            </w:r>
            <w:r>
              <w:rPr>
                <w:sz w:val="18"/>
              </w:rPr>
              <w:t>далее</w:t>
            </w:r>
            <w:r>
              <w:rPr>
                <w:spacing w:val="-2"/>
                <w:sz w:val="18"/>
              </w:rPr>
              <w:t> </w:t>
            </w:r>
            <w:r>
              <w:rPr>
                <w:sz w:val="18"/>
              </w:rPr>
              <w:t>по</w:t>
            </w:r>
            <w:r>
              <w:rPr>
                <w:spacing w:val="1"/>
                <w:sz w:val="18"/>
              </w:rPr>
              <w:t> </w:t>
            </w:r>
            <w:r>
              <w:rPr>
                <w:sz w:val="18"/>
              </w:rPr>
              <w:t>800</w:t>
            </w:r>
            <w:r>
              <w:rPr>
                <w:spacing w:val="-2"/>
                <w:sz w:val="18"/>
              </w:rPr>
              <w:t> </w:t>
            </w:r>
            <w:r>
              <w:rPr>
                <w:sz w:val="18"/>
              </w:rPr>
              <w:t>мг</w:t>
            </w:r>
            <w:r>
              <w:rPr>
                <w:spacing w:val="-3"/>
                <w:sz w:val="18"/>
              </w:rPr>
              <w:t> </w:t>
            </w:r>
            <w:r>
              <w:rPr>
                <w:sz w:val="18"/>
              </w:rPr>
              <w:t>2</w:t>
            </w:r>
            <w:r>
              <w:rPr>
                <w:spacing w:val="-1"/>
                <w:sz w:val="18"/>
              </w:rPr>
              <w:t> </w:t>
            </w:r>
            <w:r>
              <w:rPr>
                <w:sz w:val="18"/>
              </w:rPr>
              <w:t>раза/сут</w:t>
            </w:r>
            <w:r>
              <w:rPr>
                <w:spacing w:val="-3"/>
                <w:sz w:val="18"/>
              </w:rPr>
              <w:t> </w:t>
            </w:r>
            <w:r>
              <w:rPr>
                <w:sz w:val="18"/>
              </w:rPr>
              <w:t>со 2</w:t>
            </w:r>
            <w:r>
              <w:rPr>
                <w:spacing w:val="-1"/>
                <w:sz w:val="18"/>
              </w:rPr>
              <w:t> </w:t>
            </w:r>
            <w:r>
              <w:rPr>
                <w:sz w:val="18"/>
              </w:rPr>
              <w:t>по 5</w:t>
            </w:r>
            <w:r>
              <w:rPr>
                <w:spacing w:val="-2"/>
                <w:sz w:val="18"/>
              </w:rPr>
              <w:t> </w:t>
            </w:r>
            <w:r>
              <w:rPr>
                <w:sz w:val="18"/>
              </w:rPr>
              <w:t>день</w:t>
            </w:r>
            <w:r>
              <w:rPr>
                <w:spacing w:val="-1"/>
                <w:sz w:val="18"/>
              </w:rPr>
              <w:t> </w:t>
            </w:r>
            <w:r>
              <w:rPr>
                <w:spacing w:val="-2"/>
                <w:sz w:val="18"/>
              </w:rPr>
              <w:t>(таблетки).</w:t>
            </w:r>
          </w:p>
        </w:tc>
      </w:tr>
      <w:tr>
        <w:trPr>
          <w:trHeight w:val="427" w:hRule="atLeast"/>
        </w:trPr>
        <w:tc>
          <w:tcPr>
            <w:tcW w:w="848" w:type="dxa"/>
            <w:vMerge/>
            <w:tcBorders>
              <w:top w:val="nil"/>
            </w:tcBorders>
          </w:tcPr>
          <w:p>
            <w:pPr>
              <w:rPr>
                <w:sz w:val="2"/>
                <w:szCs w:val="2"/>
              </w:rPr>
            </w:pPr>
          </w:p>
        </w:tc>
        <w:tc>
          <w:tcPr>
            <w:tcW w:w="708" w:type="dxa"/>
          </w:tcPr>
          <w:p>
            <w:pPr>
              <w:pStyle w:val="TableParagraph"/>
              <w:spacing w:before="97"/>
              <w:ind w:left="103"/>
              <w:rPr>
                <w:b/>
                <w:sz w:val="20"/>
              </w:rPr>
            </w:pPr>
            <w:r>
              <w:rPr>
                <w:b/>
                <w:spacing w:val="-10"/>
                <w:sz w:val="20"/>
              </w:rPr>
              <w:t>2</w:t>
            </w:r>
          </w:p>
        </w:tc>
        <w:tc>
          <w:tcPr>
            <w:tcW w:w="3505" w:type="dxa"/>
          </w:tcPr>
          <w:p>
            <w:pPr>
              <w:pStyle w:val="TableParagraph"/>
              <w:spacing w:before="97"/>
              <w:ind w:left="102"/>
              <w:rPr>
                <w:b/>
                <w:sz w:val="20"/>
              </w:rPr>
            </w:pPr>
            <w:r>
              <w:rPr>
                <w:sz w:val="20"/>
              </w:rPr>
              <w:t>ИФН-α,</w:t>
            </w:r>
            <w:r>
              <w:rPr>
                <w:spacing w:val="-9"/>
                <w:sz w:val="20"/>
              </w:rPr>
              <w:t> </w:t>
            </w:r>
            <w:r>
              <w:rPr>
                <w:sz w:val="20"/>
              </w:rPr>
              <w:t>интраназальные</w:t>
            </w:r>
            <w:r>
              <w:rPr>
                <w:spacing w:val="-9"/>
                <w:sz w:val="20"/>
              </w:rPr>
              <w:t> </w:t>
            </w:r>
            <w:r>
              <w:rPr>
                <w:sz w:val="20"/>
              </w:rPr>
              <w:t>формы</w:t>
            </w:r>
            <w:r>
              <w:rPr>
                <w:spacing w:val="-7"/>
                <w:sz w:val="20"/>
              </w:rPr>
              <w:t> </w:t>
            </w:r>
            <w:r>
              <w:rPr>
                <w:b/>
                <w:spacing w:val="-10"/>
                <w:sz w:val="20"/>
                <w:vertAlign w:val="superscript"/>
              </w:rPr>
              <w:t>5</w:t>
            </w:r>
          </w:p>
        </w:tc>
        <w:tc>
          <w:tcPr>
            <w:tcW w:w="9669" w:type="dxa"/>
          </w:tcPr>
          <w:p>
            <w:pPr>
              <w:pStyle w:val="TableParagraph"/>
              <w:spacing w:line="206" w:lineRule="exact"/>
              <w:ind w:left="98" w:right="2187"/>
              <w:rPr>
                <w:sz w:val="18"/>
              </w:rPr>
            </w:pPr>
            <w:r>
              <w:rPr>
                <w:sz w:val="18"/>
              </w:rPr>
              <w:t>В</w:t>
            </w:r>
            <w:r>
              <w:rPr>
                <w:spacing w:val="-5"/>
                <w:sz w:val="18"/>
              </w:rPr>
              <w:t> </w:t>
            </w:r>
            <w:r>
              <w:rPr>
                <w:sz w:val="18"/>
              </w:rPr>
              <w:t>соответствии</w:t>
            </w:r>
            <w:r>
              <w:rPr>
                <w:spacing w:val="-6"/>
                <w:sz w:val="18"/>
              </w:rPr>
              <w:t> </w:t>
            </w:r>
            <w:r>
              <w:rPr>
                <w:sz w:val="18"/>
              </w:rPr>
              <w:t>с</w:t>
            </w:r>
            <w:r>
              <w:rPr>
                <w:spacing w:val="-6"/>
                <w:sz w:val="18"/>
              </w:rPr>
              <w:t> </w:t>
            </w:r>
            <w:r>
              <w:rPr>
                <w:sz w:val="18"/>
              </w:rPr>
              <w:t>инструкцией</w:t>
            </w:r>
            <w:r>
              <w:rPr>
                <w:spacing w:val="-6"/>
                <w:sz w:val="18"/>
              </w:rPr>
              <w:t> </w:t>
            </w:r>
            <w:r>
              <w:rPr>
                <w:sz w:val="18"/>
              </w:rPr>
              <w:t>по</w:t>
            </w:r>
            <w:r>
              <w:rPr>
                <w:spacing w:val="-4"/>
                <w:sz w:val="18"/>
              </w:rPr>
              <w:t> </w:t>
            </w:r>
            <w:r>
              <w:rPr>
                <w:sz w:val="18"/>
              </w:rPr>
              <w:t>применению</w:t>
            </w:r>
            <w:r>
              <w:rPr>
                <w:spacing w:val="-5"/>
                <w:sz w:val="18"/>
              </w:rPr>
              <w:t> </w:t>
            </w:r>
            <w:r>
              <w:rPr>
                <w:sz w:val="18"/>
              </w:rPr>
              <w:t>препарата</w:t>
            </w:r>
            <w:r>
              <w:rPr>
                <w:spacing w:val="-6"/>
                <w:sz w:val="18"/>
              </w:rPr>
              <w:t> </w:t>
            </w:r>
            <w:r>
              <w:rPr>
                <w:sz w:val="18"/>
              </w:rPr>
              <w:t>(спрей,</w:t>
            </w:r>
            <w:r>
              <w:rPr>
                <w:spacing w:val="-5"/>
                <w:sz w:val="18"/>
              </w:rPr>
              <w:t> </w:t>
            </w:r>
            <w:r>
              <w:rPr>
                <w:sz w:val="18"/>
              </w:rPr>
              <w:t>капли,</w:t>
            </w:r>
            <w:r>
              <w:rPr>
                <w:spacing w:val="-5"/>
                <w:sz w:val="18"/>
              </w:rPr>
              <w:t> </w:t>
            </w:r>
            <w:r>
              <w:rPr>
                <w:sz w:val="18"/>
              </w:rPr>
              <w:t>раствор,</w:t>
            </w:r>
            <w:r>
              <w:rPr>
                <w:spacing w:val="-1"/>
                <w:sz w:val="18"/>
              </w:rPr>
              <w:t> </w:t>
            </w:r>
            <w:r>
              <w:rPr>
                <w:sz w:val="18"/>
              </w:rPr>
              <w:t>лиофилизат для приготовления раствора, гель или мазь)</w:t>
            </w:r>
          </w:p>
        </w:tc>
      </w:tr>
      <w:tr>
        <w:trPr>
          <w:trHeight w:val="414" w:hRule="atLeast"/>
        </w:trPr>
        <w:tc>
          <w:tcPr>
            <w:tcW w:w="848" w:type="dxa"/>
            <w:vMerge/>
            <w:tcBorders>
              <w:top w:val="nil"/>
            </w:tcBorders>
          </w:tcPr>
          <w:p>
            <w:pPr>
              <w:rPr>
                <w:sz w:val="2"/>
                <w:szCs w:val="2"/>
              </w:rPr>
            </w:pPr>
          </w:p>
        </w:tc>
        <w:tc>
          <w:tcPr>
            <w:tcW w:w="708" w:type="dxa"/>
          </w:tcPr>
          <w:p>
            <w:pPr>
              <w:pStyle w:val="TableParagraph"/>
              <w:spacing w:before="92"/>
              <w:ind w:left="103"/>
              <w:rPr>
                <w:b/>
                <w:sz w:val="20"/>
              </w:rPr>
            </w:pPr>
            <w:r>
              <w:rPr>
                <w:b/>
                <w:spacing w:val="-10"/>
                <w:sz w:val="20"/>
              </w:rPr>
              <w:t>3</w:t>
            </w:r>
          </w:p>
        </w:tc>
        <w:tc>
          <w:tcPr>
            <w:tcW w:w="3505" w:type="dxa"/>
          </w:tcPr>
          <w:p>
            <w:pPr>
              <w:pStyle w:val="TableParagraph"/>
              <w:spacing w:before="92"/>
              <w:ind w:left="102"/>
              <w:rPr>
                <w:sz w:val="20"/>
              </w:rPr>
            </w:pPr>
            <w:r>
              <w:rPr>
                <w:spacing w:val="-2"/>
                <w:sz w:val="20"/>
              </w:rPr>
              <w:t>Парацетамол</w:t>
            </w:r>
          </w:p>
        </w:tc>
        <w:tc>
          <w:tcPr>
            <w:tcW w:w="9669" w:type="dxa"/>
          </w:tcPr>
          <w:p>
            <w:pPr>
              <w:pStyle w:val="TableParagraph"/>
              <w:spacing w:before="103"/>
              <w:ind w:left="98"/>
              <w:rPr>
                <w:sz w:val="18"/>
              </w:rPr>
            </w:pPr>
            <w:r>
              <w:rPr>
                <w:sz w:val="18"/>
              </w:rPr>
              <w:t>1-2</w:t>
            </w:r>
            <w:r>
              <w:rPr>
                <w:spacing w:val="-3"/>
                <w:sz w:val="18"/>
              </w:rPr>
              <w:t> </w:t>
            </w:r>
            <w:r>
              <w:rPr>
                <w:sz w:val="18"/>
              </w:rPr>
              <w:t>табл.</w:t>
            </w:r>
            <w:r>
              <w:rPr>
                <w:spacing w:val="-1"/>
                <w:sz w:val="18"/>
              </w:rPr>
              <w:t> </w:t>
            </w:r>
            <w:r>
              <w:rPr>
                <w:sz w:val="18"/>
              </w:rPr>
              <w:t>(500-1000</w:t>
            </w:r>
            <w:r>
              <w:rPr>
                <w:spacing w:val="-1"/>
                <w:sz w:val="18"/>
              </w:rPr>
              <w:t> </w:t>
            </w:r>
            <w:r>
              <w:rPr>
                <w:sz w:val="18"/>
              </w:rPr>
              <w:t>мг)</w:t>
            </w:r>
            <w:r>
              <w:rPr>
                <w:spacing w:val="-1"/>
                <w:sz w:val="18"/>
              </w:rPr>
              <w:t> </w:t>
            </w:r>
            <w:r>
              <w:rPr>
                <w:sz w:val="18"/>
              </w:rPr>
              <w:t>2-3</w:t>
            </w:r>
            <w:r>
              <w:rPr>
                <w:spacing w:val="-2"/>
                <w:sz w:val="18"/>
              </w:rPr>
              <w:t> </w:t>
            </w:r>
            <w:r>
              <w:rPr>
                <w:sz w:val="18"/>
              </w:rPr>
              <w:t>р/сут,</w:t>
            </w:r>
            <w:r>
              <w:rPr>
                <w:spacing w:val="-1"/>
                <w:sz w:val="18"/>
              </w:rPr>
              <w:t> </w:t>
            </w:r>
            <w:r>
              <w:rPr>
                <w:sz w:val="18"/>
              </w:rPr>
              <w:t>не</w:t>
            </w:r>
            <w:r>
              <w:rPr>
                <w:spacing w:val="-2"/>
                <w:sz w:val="18"/>
              </w:rPr>
              <w:t> </w:t>
            </w:r>
            <w:r>
              <w:rPr>
                <w:sz w:val="18"/>
              </w:rPr>
              <w:t>более</w:t>
            </w:r>
            <w:r>
              <w:rPr>
                <w:spacing w:val="-2"/>
                <w:sz w:val="18"/>
              </w:rPr>
              <w:t> </w:t>
            </w:r>
            <w:r>
              <w:rPr>
                <w:sz w:val="18"/>
              </w:rPr>
              <w:t>4</w:t>
            </w:r>
            <w:r>
              <w:rPr>
                <w:spacing w:val="-1"/>
                <w:sz w:val="18"/>
              </w:rPr>
              <w:t> </w:t>
            </w:r>
            <w:r>
              <w:rPr>
                <w:sz w:val="18"/>
              </w:rPr>
              <w:t>г</w:t>
            </w:r>
            <w:r>
              <w:rPr>
                <w:spacing w:val="-1"/>
                <w:sz w:val="18"/>
              </w:rPr>
              <w:t> </w:t>
            </w:r>
            <w:r>
              <w:rPr>
                <w:sz w:val="18"/>
              </w:rPr>
              <w:t>в</w:t>
            </w:r>
            <w:r>
              <w:rPr>
                <w:spacing w:val="-2"/>
                <w:sz w:val="18"/>
              </w:rPr>
              <w:t> </w:t>
            </w:r>
            <w:r>
              <w:rPr>
                <w:sz w:val="18"/>
              </w:rPr>
              <w:t>сутки</w:t>
            </w:r>
            <w:r>
              <w:rPr>
                <w:spacing w:val="-3"/>
                <w:sz w:val="18"/>
              </w:rPr>
              <w:t> </w:t>
            </w:r>
            <w:r>
              <w:rPr>
                <w:sz w:val="18"/>
              </w:rPr>
              <w:t>(при</w:t>
            </w:r>
            <w:r>
              <w:rPr>
                <w:spacing w:val="-2"/>
                <w:sz w:val="18"/>
              </w:rPr>
              <w:t> </w:t>
            </w:r>
            <w:r>
              <w:rPr>
                <w:sz w:val="18"/>
              </w:rPr>
              <w:t>температуре</w:t>
            </w:r>
            <w:r>
              <w:rPr>
                <w:spacing w:val="-2"/>
                <w:sz w:val="18"/>
              </w:rPr>
              <w:t> </w:t>
            </w:r>
            <w:r>
              <w:rPr>
                <w:sz w:val="18"/>
              </w:rPr>
              <w:t>тела</w:t>
            </w:r>
            <w:r>
              <w:rPr>
                <w:spacing w:val="-3"/>
                <w:sz w:val="18"/>
              </w:rPr>
              <w:t> </w:t>
            </w:r>
            <w:r>
              <w:rPr>
                <w:sz w:val="18"/>
              </w:rPr>
              <w:t>&gt;</w:t>
            </w:r>
            <w:r>
              <w:rPr>
                <w:spacing w:val="-2"/>
                <w:sz w:val="18"/>
              </w:rPr>
              <w:t> </w:t>
            </w:r>
            <w:r>
              <w:rPr>
                <w:sz w:val="18"/>
              </w:rPr>
              <w:t>38,0 </w:t>
            </w:r>
            <w:r>
              <w:rPr>
                <w:spacing w:val="-5"/>
                <w:sz w:val="18"/>
              </w:rPr>
              <w:t>ºС)</w:t>
            </w:r>
          </w:p>
        </w:tc>
      </w:tr>
      <w:tr>
        <w:trPr>
          <w:trHeight w:val="417" w:hRule="atLeast"/>
        </w:trPr>
        <w:tc>
          <w:tcPr>
            <w:tcW w:w="848" w:type="dxa"/>
            <w:vMerge w:val="restart"/>
          </w:tcPr>
          <w:p>
            <w:pPr>
              <w:pStyle w:val="TableParagraph"/>
              <w:spacing w:before="198"/>
              <w:rPr>
                <w:b/>
                <w:sz w:val="20"/>
              </w:rPr>
            </w:pPr>
          </w:p>
          <w:p>
            <w:pPr>
              <w:pStyle w:val="TableParagraph"/>
              <w:spacing w:line="235" w:lineRule="auto"/>
              <w:ind w:left="106" w:right="152"/>
              <w:rPr>
                <w:b/>
                <w:sz w:val="13"/>
              </w:rPr>
            </w:pPr>
            <w:r>
              <w:rPr>
                <w:b/>
                <w:spacing w:val="-2"/>
                <w:sz w:val="20"/>
              </w:rPr>
              <w:t>Схема </w:t>
            </w:r>
            <w:r>
              <w:rPr>
                <w:b/>
                <w:position w:val="-6"/>
                <w:sz w:val="20"/>
              </w:rPr>
              <w:t>2 </w:t>
            </w:r>
            <w:r>
              <w:rPr>
                <w:b/>
                <w:sz w:val="13"/>
              </w:rPr>
              <w:t>1, 4</w:t>
            </w:r>
          </w:p>
        </w:tc>
        <w:tc>
          <w:tcPr>
            <w:tcW w:w="708" w:type="dxa"/>
          </w:tcPr>
          <w:p>
            <w:pPr>
              <w:pStyle w:val="TableParagraph"/>
              <w:spacing w:before="87"/>
              <w:ind w:left="103"/>
              <w:rPr>
                <w:sz w:val="13"/>
              </w:rPr>
            </w:pPr>
            <w:r>
              <w:rPr>
                <w:b/>
                <w:position w:val="-6"/>
                <w:sz w:val="20"/>
              </w:rPr>
              <w:t>1 </w:t>
            </w:r>
            <w:r>
              <w:rPr>
                <w:spacing w:val="-10"/>
                <w:sz w:val="13"/>
              </w:rPr>
              <w:t>3</w:t>
            </w:r>
          </w:p>
        </w:tc>
        <w:tc>
          <w:tcPr>
            <w:tcW w:w="3505" w:type="dxa"/>
          </w:tcPr>
          <w:p>
            <w:pPr>
              <w:pStyle w:val="TableParagraph"/>
              <w:spacing w:before="7"/>
              <w:ind w:left="102"/>
              <w:rPr>
                <w:b/>
                <w:position w:val="7"/>
                <w:sz w:val="13"/>
              </w:rPr>
            </w:pPr>
            <w:r>
              <w:rPr>
                <w:rFonts w:ascii="Book Antiqua" w:hAnsi="Book Antiqua"/>
                <w:spacing w:val="-2"/>
                <w:sz w:val="20"/>
              </w:rPr>
              <w:t>Молнупиравир</w:t>
            </w:r>
            <w:r>
              <w:rPr>
                <w:rFonts w:ascii="Book Antiqua" w:hAnsi="Book Antiqua"/>
                <w:spacing w:val="10"/>
                <w:sz w:val="20"/>
              </w:rPr>
              <w:t> </w:t>
            </w:r>
            <w:r>
              <w:rPr>
                <w:b/>
                <w:spacing w:val="-10"/>
                <w:position w:val="7"/>
                <w:sz w:val="13"/>
              </w:rPr>
              <w:t>7</w:t>
            </w:r>
          </w:p>
        </w:tc>
        <w:tc>
          <w:tcPr>
            <w:tcW w:w="9669" w:type="dxa"/>
          </w:tcPr>
          <w:p>
            <w:pPr>
              <w:pStyle w:val="TableParagraph"/>
              <w:spacing w:before="7"/>
              <w:ind w:left="98"/>
              <w:rPr>
                <w:rFonts w:ascii="Book Antiqua" w:hAnsi="Book Antiqua"/>
                <w:sz w:val="18"/>
              </w:rPr>
            </w:pPr>
            <w:r>
              <w:rPr>
                <w:rFonts w:ascii="Book Antiqua" w:hAnsi="Book Antiqua"/>
                <w:sz w:val="18"/>
              </w:rPr>
              <w:t>800</w:t>
            </w:r>
            <w:r>
              <w:rPr>
                <w:rFonts w:ascii="Book Antiqua" w:hAnsi="Book Antiqua"/>
                <w:spacing w:val="-5"/>
                <w:sz w:val="18"/>
              </w:rPr>
              <w:t> </w:t>
            </w:r>
            <w:r>
              <w:rPr>
                <w:rFonts w:ascii="Book Antiqua" w:hAnsi="Book Antiqua"/>
                <w:sz w:val="18"/>
              </w:rPr>
              <w:t>мг</w:t>
            </w:r>
            <w:r>
              <w:rPr>
                <w:rFonts w:ascii="Book Antiqua" w:hAnsi="Book Antiqua"/>
                <w:spacing w:val="-1"/>
                <w:sz w:val="18"/>
              </w:rPr>
              <w:t> </w:t>
            </w:r>
            <w:r>
              <w:rPr>
                <w:rFonts w:ascii="Book Antiqua" w:hAnsi="Book Antiqua"/>
                <w:sz w:val="18"/>
              </w:rPr>
              <w:t>перорально</w:t>
            </w:r>
            <w:r>
              <w:rPr>
                <w:rFonts w:ascii="Book Antiqua" w:hAnsi="Book Antiqua"/>
                <w:spacing w:val="-2"/>
                <w:sz w:val="18"/>
              </w:rPr>
              <w:t> </w:t>
            </w:r>
            <w:r>
              <w:rPr>
                <w:rFonts w:ascii="Book Antiqua" w:hAnsi="Book Antiqua"/>
                <w:sz w:val="18"/>
              </w:rPr>
              <w:t>каждые</w:t>
            </w:r>
            <w:r>
              <w:rPr>
                <w:rFonts w:ascii="Book Antiqua" w:hAnsi="Book Antiqua"/>
                <w:spacing w:val="-4"/>
                <w:sz w:val="18"/>
              </w:rPr>
              <w:t> </w:t>
            </w:r>
            <w:r>
              <w:rPr>
                <w:rFonts w:ascii="Book Antiqua" w:hAnsi="Book Antiqua"/>
                <w:sz w:val="18"/>
              </w:rPr>
              <w:t>12 часов,</w:t>
            </w:r>
            <w:r>
              <w:rPr>
                <w:rFonts w:ascii="Book Antiqua" w:hAnsi="Book Antiqua"/>
                <w:spacing w:val="-2"/>
                <w:sz w:val="18"/>
              </w:rPr>
              <w:t> </w:t>
            </w:r>
            <w:r>
              <w:rPr>
                <w:rFonts w:ascii="Book Antiqua" w:hAnsi="Book Antiqua"/>
                <w:sz w:val="18"/>
              </w:rPr>
              <w:t>курс</w:t>
            </w:r>
            <w:r>
              <w:rPr>
                <w:rFonts w:ascii="Book Antiqua" w:hAnsi="Book Antiqua"/>
                <w:spacing w:val="-2"/>
                <w:sz w:val="18"/>
              </w:rPr>
              <w:t> </w:t>
            </w:r>
            <w:r>
              <w:rPr>
                <w:rFonts w:ascii="Book Antiqua" w:hAnsi="Book Antiqua"/>
                <w:sz w:val="18"/>
              </w:rPr>
              <w:t>не</w:t>
            </w:r>
            <w:r>
              <w:rPr>
                <w:rFonts w:ascii="Book Antiqua" w:hAnsi="Book Antiqua"/>
                <w:spacing w:val="-2"/>
                <w:sz w:val="18"/>
              </w:rPr>
              <w:t> </w:t>
            </w:r>
            <w:r>
              <w:rPr>
                <w:rFonts w:ascii="Book Antiqua" w:hAnsi="Book Antiqua"/>
                <w:sz w:val="18"/>
              </w:rPr>
              <w:t>более</w:t>
            </w:r>
            <w:r>
              <w:rPr>
                <w:rFonts w:ascii="Book Antiqua" w:hAnsi="Book Antiqua"/>
                <w:spacing w:val="-1"/>
                <w:sz w:val="18"/>
              </w:rPr>
              <w:t> </w:t>
            </w:r>
            <w:r>
              <w:rPr>
                <w:rFonts w:ascii="Book Antiqua" w:hAnsi="Book Antiqua"/>
                <w:sz w:val="18"/>
              </w:rPr>
              <w:t>5</w:t>
            </w:r>
            <w:r>
              <w:rPr>
                <w:rFonts w:ascii="Book Antiqua" w:hAnsi="Book Antiqua"/>
                <w:spacing w:val="-2"/>
                <w:sz w:val="18"/>
              </w:rPr>
              <w:t> </w:t>
            </w:r>
            <w:r>
              <w:rPr>
                <w:rFonts w:ascii="Book Antiqua" w:hAnsi="Book Antiqua"/>
                <w:spacing w:val="-4"/>
                <w:sz w:val="18"/>
              </w:rPr>
              <w:t>дней</w:t>
            </w:r>
          </w:p>
        </w:tc>
      </w:tr>
      <w:tr>
        <w:trPr>
          <w:trHeight w:val="460" w:hRule="atLeast"/>
        </w:trPr>
        <w:tc>
          <w:tcPr>
            <w:tcW w:w="848" w:type="dxa"/>
            <w:vMerge/>
            <w:tcBorders>
              <w:top w:val="nil"/>
            </w:tcBorders>
          </w:tcPr>
          <w:p>
            <w:pPr>
              <w:rPr>
                <w:sz w:val="2"/>
                <w:szCs w:val="2"/>
              </w:rPr>
            </w:pPr>
          </w:p>
        </w:tc>
        <w:tc>
          <w:tcPr>
            <w:tcW w:w="708" w:type="dxa"/>
          </w:tcPr>
          <w:p>
            <w:pPr>
              <w:pStyle w:val="TableParagraph"/>
              <w:spacing w:before="113"/>
              <w:ind w:left="103"/>
              <w:rPr>
                <w:b/>
                <w:sz w:val="20"/>
              </w:rPr>
            </w:pPr>
            <w:r>
              <w:rPr>
                <w:b/>
                <w:spacing w:val="-10"/>
                <w:sz w:val="20"/>
              </w:rPr>
              <w:t>2</w:t>
            </w:r>
          </w:p>
        </w:tc>
        <w:tc>
          <w:tcPr>
            <w:tcW w:w="3505" w:type="dxa"/>
          </w:tcPr>
          <w:p>
            <w:pPr>
              <w:pStyle w:val="TableParagraph"/>
              <w:spacing w:line="125" w:lineRule="exact" w:before="5"/>
              <w:ind w:right="200"/>
              <w:jc w:val="right"/>
              <w:rPr>
                <w:b/>
                <w:sz w:val="13"/>
              </w:rPr>
            </w:pPr>
            <w:r>
              <w:rPr>
                <w:b/>
                <w:spacing w:val="-10"/>
                <w:sz w:val="13"/>
              </w:rPr>
              <w:t>5</w:t>
            </w:r>
          </w:p>
          <w:p>
            <w:pPr>
              <w:pStyle w:val="TableParagraph"/>
              <w:spacing w:line="224" w:lineRule="exact"/>
              <w:ind w:left="102"/>
              <w:rPr>
                <w:rFonts w:ascii="Book Antiqua" w:hAnsi="Book Antiqua"/>
                <w:sz w:val="20"/>
              </w:rPr>
            </w:pPr>
            <w:r>
              <w:rPr>
                <w:rFonts w:ascii="Book Antiqua" w:hAnsi="Book Antiqua"/>
                <w:sz w:val="20"/>
              </w:rPr>
              <w:t>ИФН-α,</w:t>
            </w:r>
            <w:r>
              <w:rPr>
                <w:rFonts w:ascii="Book Antiqua" w:hAnsi="Book Antiqua"/>
                <w:spacing w:val="-11"/>
                <w:sz w:val="20"/>
              </w:rPr>
              <w:t> </w:t>
            </w:r>
            <w:r>
              <w:rPr>
                <w:rFonts w:ascii="Book Antiqua" w:hAnsi="Book Antiqua"/>
                <w:sz w:val="20"/>
              </w:rPr>
              <w:t>интраназальные</w:t>
            </w:r>
            <w:r>
              <w:rPr>
                <w:rFonts w:ascii="Book Antiqua" w:hAnsi="Book Antiqua"/>
                <w:spacing w:val="-11"/>
                <w:sz w:val="20"/>
              </w:rPr>
              <w:t> </w:t>
            </w:r>
            <w:r>
              <w:rPr>
                <w:rFonts w:ascii="Book Antiqua" w:hAnsi="Book Antiqua"/>
                <w:spacing w:val="-4"/>
                <w:sz w:val="20"/>
              </w:rPr>
              <w:t>формы</w:t>
            </w:r>
          </w:p>
        </w:tc>
        <w:tc>
          <w:tcPr>
            <w:tcW w:w="9669" w:type="dxa"/>
          </w:tcPr>
          <w:p>
            <w:pPr>
              <w:pStyle w:val="TableParagraph"/>
              <w:spacing w:line="223" w:lineRule="exact" w:before="4"/>
              <w:ind w:left="98"/>
              <w:rPr>
                <w:rFonts w:ascii="Book Antiqua" w:hAnsi="Book Antiqua"/>
                <w:sz w:val="18"/>
              </w:rPr>
            </w:pPr>
            <w:r>
              <w:rPr>
                <w:rFonts w:ascii="Book Antiqua" w:hAnsi="Book Antiqua"/>
                <w:sz w:val="18"/>
              </w:rPr>
              <w:t>В</w:t>
            </w:r>
            <w:r>
              <w:rPr>
                <w:rFonts w:ascii="Book Antiqua" w:hAnsi="Book Antiqua"/>
                <w:spacing w:val="-2"/>
                <w:sz w:val="18"/>
              </w:rPr>
              <w:t> </w:t>
            </w:r>
            <w:r>
              <w:rPr>
                <w:rFonts w:ascii="Book Antiqua" w:hAnsi="Book Antiqua"/>
                <w:sz w:val="18"/>
              </w:rPr>
              <w:t>соответствии</w:t>
            </w:r>
            <w:r>
              <w:rPr>
                <w:rFonts w:ascii="Book Antiqua" w:hAnsi="Book Antiqua"/>
                <w:spacing w:val="-3"/>
                <w:sz w:val="18"/>
              </w:rPr>
              <w:t> </w:t>
            </w:r>
            <w:r>
              <w:rPr>
                <w:rFonts w:ascii="Book Antiqua" w:hAnsi="Book Antiqua"/>
                <w:sz w:val="18"/>
              </w:rPr>
              <w:t>с</w:t>
            </w:r>
            <w:r>
              <w:rPr>
                <w:rFonts w:ascii="Book Antiqua" w:hAnsi="Book Antiqua"/>
                <w:spacing w:val="-2"/>
                <w:sz w:val="18"/>
              </w:rPr>
              <w:t> </w:t>
            </w:r>
            <w:r>
              <w:rPr>
                <w:rFonts w:ascii="Book Antiqua" w:hAnsi="Book Antiqua"/>
                <w:sz w:val="18"/>
              </w:rPr>
              <w:t>инструкцией</w:t>
            </w:r>
            <w:r>
              <w:rPr>
                <w:rFonts w:ascii="Book Antiqua" w:hAnsi="Book Antiqua"/>
                <w:spacing w:val="-2"/>
                <w:sz w:val="18"/>
              </w:rPr>
              <w:t> </w:t>
            </w:r>
            <w:r>
              <w:rPr>
                <w:rFonts w:ascii="Book Antiqua" w:hAnsi="Book Antiqua"/>
                <w:sz w:val="18"/>
              </w:rPr>
              <w:t>по</w:t>
            </w:r>
            <w:r>
              <w:rPr>
                <w:rFonts w:ascii="Book Antiqua" w:hAnsi="Book Antiqua"/>
                <w:spacing w:val="-2"/>
                <w:sz w:val="18"/>
              </w:rPr>
              <w:t> </w:t>
            </w:r>
            <w:r>
              <w:rPr>
                <w:rFonts w:ascii="Book Antiqua" w:hAnsi="Book Antiqua"/>
                <w:sz w:val="18"/>
              </w:rPr>
              <w:t>применению</w:t>
            </w:r>
            <w:r>
              <w:rPr>
                <w:rFonts w:ascii="Book Antiqua" w:hAnsi="Book Antiqua"/>
                <w:spacing w:val="-2"/>
                <w:sz w:val="18"/>
              </w:rPr>
              <w:t> </w:t>
            </w:r>
            <w:r>
              <w:rPr>
                <w:rFonts w:ascii="Book Antiqua" w:hAnsi="Book Antiqua"/>
                <w:sz w:val="18"/>
              </w:rPr>
              <w:t>препарата</w:t>
            </w:r>
            <w:r>
              <w:rPr>
                <w:rFonts w:ascii="Book Antiqua" w:hAnsi="Book Antiqua"/>
                <w:spacing w:val="-3"/>
                <w:sz w:val="18"/>
              </w:rPr>
              <w:t> </w:t>
            </w:r>
            <w:r>
              <w:rPr>
                <w:rFonts w:ascii="Book Antiqua" w:hAnsi="Book Antiqua"/>
                <w:sz w:val="18"/>
              </w:rPr>
              <w:t>(спрей,</w:t>
            </w:r>
            <w:r>
              <w:rPr>
                <w:rFonts w:ascii="Book Antiqua" w:hAnsi="Book Antiqua"/>
                <w:spacing w:val="-1"/>
                <w:sz w:val="18"/>
              </w:rPr>
              <w:t> </w:t>
            </w:r>
            <w:r>
              <w:rPr>
                <w:rFonts w:ascii="Book Antiqua" w:hAnsi="Book Antiqua"/>
                <w:sz w:val="18"/>
              </w:rPr>
              <w:t>капли,</w:t>
            </w:r>
            <w:r>
              <w:rPr>
                <w:rFonts w:ascii="Book Antiqua" w:hAnsi="Book Antiqua"/>
                <w:spacing w:val="-2"/>
                <w:sz w:val="18"/>
              </w:rPr>
              <w:t> </w:t>
            </w:r>
            <w:r>
              <w:rPr>
                <w:rFonts w:ascii="Book Antiqua" w:hAnsi="Book Antiqua"/>
                <w:sz w:val="18"/>
              </w:rPr>
              <w:t>раствор,</w:t>
            </w:r>
            <w:r>
              <w:rPr>
                <w:rFonts w:ascii="Book Antiqua" w:hAnsi="Book Antiqua"/>
                <w:spacing w:val="-2"/>
                <w:sz w:val="18"/>
              </w:rPr>
              <w:t> </w:t>
            </w:r>
            <w:r>
              <w:rPr>
                <w:rFonts w:ascii="Book Antiqua" w:hAnsi="Book Antiqua"/>
                <w:sz w:val="18"/>
              </w:rPr>
              <w:t>лиофилизат</w:t>
            </w:r>
            <w:r>
              <w:rPr>
                <w:rFonts w:ascii="Book Antiqua" w:hAnsi="Book Antiqua"/>
                <w:spacing w:val="-1"/>
                <w:sz w:val="18"/>
              </w:rPr>
              <w:t> </w:t>
            </w:r>
            <w:r>
              <w:rPr>
                <w:rFonts w:ascii="Book Antiqua" w:hAnsi="Book Antiqua"/>
                <w:spacing w:val="-5"/>
                <w:sz w:val="18"/>
              </w:rPr>
              <w:t>для</w:t>
            </w:r>
          </w:p>
          <w:p>
            <w:pPr>
              <w:pStyle w:val="TableParagraph"/>
              <w:spacing w:line="213" w:lineRule="exact"/>
              <w:ind w:left="98"/>
              <w:rPr>
                <w:rFonts w:ascii="Book Antiqua" w:hAnsi="Book Antiqua"/>
                <w:sz w:val="18"/>
              </w:rPr>
            </w:pPr>
            <w:r>
              <w:rPr>
                <w:rFonts w:ascii="Book Antiqua" w:hAnsi="Book Antiqua"/>
                <w:sz w:val="18"/>
              </w:rPr>
              <w:t>приготовления</w:t>
            </w:r>
            <w:r>
              <w:rPr>
                <w:rFonts w:ascii="Book Antiqua" w:hAnsi="Book Antiqua"/>
                <w:spacing w:val="-3"/>
                <w:sz w:val="18"/>
              </w:rPr>
              <w:t> </w:t>
            </w:r>
            <w:r>
              <w:rPr>
                <w:rFonts w:ascii="Book Antiqua" w:hAnsi="Book Antiqua"/>
                <w:sz w:val="18"/>
              </w:rPr>
              <w:t>раствора,</w:t>
            </w:r>
            <w:r>
              <w:rPr>
                <w:rFonts w:ascii="Book Antiqua" w:hAnsi="Book Antiqua"/>
                <w:spacing w:val="-4"/>
                <w:sz w:val="18"/>
              </w:rPr>
              <w:t> </w:t>
            </w:r>
            <w:r>
              <w:rPr>
                <w:rFonts w:ascii="Book Antiqua" w:hAnsi="Book Antiqua"/>
                <w:sz w:val="18"/>
              </w:rPr>
              <w:t>гель</w:t>
            </w:r>
            <w:r>
              <w:rPr>
                <w:rFonts w:ascii="Book Antiqua" w:hAnsi="Book Antiqua"/>
                <w:spacing w:val="-3"/>
                <w:sz w:val="18"/>
              </w:rPr>
              <w:t> </w:t>
            </w:r>
            <w:r>
              <w:rPr>
                <w:rFonts w:ascii="Book Antiqua" w:hAnsi="Book Antiqua"/>
                <w:sz w:val="18"/>
              </w:rPr>
              <w:t>или</w:t>
            </w:r>
            <w:r>
              <w:rPr>
                <w:rFonts w:ascii="Book Antiqua" w:hAnsi="Book Antiqua"/>
                <w:spacing w:val="-2"/>
                <w:sz w:val="18"/>
              </w:rPr>
              <w:t> мазь)</w:t>
            </w:r>
          </w:p>
        </w:tc>
      </w:tr>
      <w:tr>
        <w:trPr>
          <w:trHeight w:val="414" w:hRule="atLeast"/>
        </w:trPr>
        <w:tc>
          <w:tcPr>
            <w:tcW w:w="848" w:type="dxa"/>
            <w:vMerge/>
            <w:tcBorders>
              <w:top w:val="nil"/>
            </w:tcBorders>
          </w:tcPr>
          <w:p>
            <w:pPr>
              <w:rPr>
                <w:sz w:val="2"/>
                <w:szCs w:val="2"/>
              </w:rPr>
            </w:pPr>
          </w:p>
        </w:tc>
        <w:tc>
          <w:tcPr>
            <w:tcW w:w="708" w:type="dxa"/>
          </w:tcPr>
          <w:p>
            <w:pPr>
              <w:pStyle w:val="TableParagraph"/>
              <w:spacing w:before="91"/>
              <w:ind w:left="103"/>
              <w:rPr>
                <w:b/>
                <w:sz w:val="20"/>
              </w:rPr>
            </w:pPr>
            <w:r>
              <w:rPr>
                <w:b/>
                <w:spacing w:val="-10"/>
                <w:sz w:val="20"/>
              </w:rPr>
              <w:t>3</w:t>
            </w:r>
          </w:p>
        </w:tc>
        <w:tc>
          <w:tcPr>
            <w:tcW w:w="3505" w:type="dxa"/>
          </w:tcPr>
          <w:p>
            <w:pPr>
              <w:pStyle w:val="TableParagraph"/>
              <w:spacing w:before="4"/>
              <w:ind w:left="102"/>
              <w:rPr>
                <w:rFonts w:ascii="Book Antiqua" w:hAnsi="Book Antiqua"/>
                <w:sz w:val="20"/>
              </w:rPr>
            </w:pPr>
            <w:r>
              <w:rPr>
                <w:rFonts w:ascii="Book Antiqua" w:hAnsi="Book Antiqua"/>
                <w:spacing w:val="-2"/>
                <w:sz w:val="20"/>
              </w:rPr>
              <w:t>Парацетамол</w:t>
            </w:r>
          </w:p>
        </w:tc>
        <w:tc>
          <w:tcPr>
            <w:tcW w:w="9669" w:type="dxa"/>
          </w:tcPr>
          <w:p>
            <w:pPr>
              <w:pStyle w:val="TableParagraph"/>
              <w:spacing w:before="4"/>
              <w:ind w:left="98"/>
              <w:rPr>
                <w:rFonts w:ascii="Book Antiqua" w:hAnsi="Book Antiqua"/>
                <w:sz w:val="18"/>
              </w:rPr>
            </w:pPr>
            <w:r>
              <w:rPr>
                <w:rFonts w:ascii="Book Antiqua" w:hAnsi="Book Antiqua"/>
                <w:sz w:val="18"/>
              </w:rPr>
              <w:t>1-2 табл.</w:t>
            </w:r>
            <w:r>
              <w:rPr>
                <w:rFonts w:ascii="Book Antiqua" w:hAnsi="Book Antiqua"/>
                <w:spacing w:val="-1"/>
                <w:sz w:val="18"/>
              </w:rPr>
              <w:t> </w:t>
            </w:r>
            <w:r>
              <w:rPr>
                <w:rFonts w:ascii="Book Antiqua" w:hAnsi="Book Antiqua"/>
                <w:sz w:val="18"/>
              </w:rPr>
              <w:t>(500-1000</w:t>
            </w:r>
            <w:r>
              <w:rPr>
                <w:rFonts w:ascii="Book Antiqua" w:hAnsi="Book Antiqua"/>
                <w:spacing w:val="-1"/>
                <w:sz w:val="18"/>
              </w:rPr>
              <w:t> </w:t>
            </w:r>
            <w:r>
              <w:rPr>
                <w:rFonts w:ascii="Book Antiqua" w:hAnsi="Book Antiqua"/>
                <w:sz w:val="18"/>
              </w:rPr>
              <w:t>мг)</w:t>
            </w:r>
            <w:r>
              <w:rPr>
                <w:rFonts w:ascii="Book Antiqua" w:hAnsi="Book Antiqua"/>
                <w:spacing w:val="-3"/>
                <w:sz w:val="18"/>
              </w:rPr>
              <w:t> </w:t>
            </w:r>
            <w:r>
              <w:rPr>
                <w:rFonts w:ascii="Book Antiqua" w:hAnsi="Book Antiqua"/>
                <w:sz w:val="18"/>
              </w:rPr>
              <w:t>2-3 р/сут, не</w:t>
            </w:r>
            <w:r>
              <w:rPr>
                <w:rFonts w:ascii="Book Antiqua" w:hAnsi="Book Antiqua"/>
                <w:spacing w:val="-1"/>
                <w:sz w:val="18"/>
              </w:rPr>
              <w:t> </w:t>
            </w:r>
            <w:r>
              <w:rPr>
                <w:rFonts w:ascii="Book Antiqua" w:hAnsi="Book Antiqua"/>
                <w:sz w:val="18"/>
              </w:rPr>
              <w:t>более</w:t>
            </w:r>
            <w:r>
              <w:rPr>
                <w:rFonts w:ascii="Book Antiqua" w:hAnsi="Book Antiqua"/>
                <w:spacing w:val="-1"/>
                <w:sz w:val="18"/>
              </w:rPr>
              <w:t> </w:t>
            </w:r>
            <w:r>
              <w:rPr>
                <w:rFonts w:ascii="Book Antiqua" w:hAnsi="Book Antiqua"/>
                <w:sz w:val="18"/>
              </w:rPr>
              <w:t>4</w:t>
            </w:r>
            <w:r>
              <w:rPr>
                <w:rFonts w:ascii="Book Antiqua" w:hAnsi="Book Antiqua"/>
                <w:spacing w:val="-1"/>
                <w:sz w:val="18"/>
              </w:rPr>
              <w:t> </w:t>
            </w:r>
            <w:r>
              <w:rPr>
                <w:rFonts w:ascii="Book Antiqua" w:hAnsi="Book Antiqua"/>
                <w:sz w:val="18"/>
              </w:rPr>
              <w:t>г</w:t>
            </w:r>
            <w:r>
              <w:rPr>
                <w:rFonts w:ascii="Book Antiqua" w:hAnsi="Book Antiqua"/>
                <w:spacing w:val="-1"/>
                <w:sz w:val="18"/>
              </w:rPr>
              <w:t> </w:t>
            </w:r>
            <w:r>
              <w:rPr>
                <w:rFonts w:ascii="Book Antiqua" w:hAnsi="Book Antiqua"/>
                <w:sz w:val="18"/>
              </w:rPr>
              <w:t>в</w:t>
            </w:r>
            <w:r>
              <w:rPr>
                <w:rFonts w:ascii="Book Antiqua" w:hAnsi="Book Antiqua"/>
                <w:spacing w:val="-3"/>
                <w:sz w:val="18"/>
              </w:rPr>
              <w:t> </w:t>
            </w:r>
            <w:r>
              <w:rPr>
                <w:rFonts w:ascii="Book Antiqua" w:hAnsi="Book Antiqua"/>
                <w:sz w:val="18"/>
              </w:rPr>
              <w:t>сутки</w:t>
            </w:r>
            <w:r>
              <w:rPr>
                <w:rFonts w:ascii="Book Antiqua" w:hAnsi="Book Antiqua"/>
                <w:spacing w:val="-1"/>
                <w:sz w:val="18"/>
              </w:rPr>
              <w:t> </w:t>
            </w:r>
            <w:r>
              <w:rPr>
                <w:rFonts w:ascii="Book Antiqua" w:hAnsi="Book Antiqua"/>
                <w:sz w:val="18"/>
              </w:rPr>
              <w:t>(при</w:t>
            </w:r>
            <w:r>
              <w:rPr>
                <w:rFonts w:ascii="Book Antiqua" w:hAnsi="Book Antiqua"/>
                <w:spacing w:val="1"/>
                <w:sz w:val="18"/>
              </w:rPr>
              <w:t> </w:t>
            </w:r>
            <w:r>
              <w:rPr>
                <w:rFonts w:ascii="Book Antiqua" w:hAnsi="Book Antiqua"/>
                <w:sz w:val="18"/>
              </w:rPr>
              <w:t>t</w:t>
            </w:r>
            <w:r>
              <w:rPr>
                <w:rFonts w:ascii="Book Antiqua" w:hAnsi="Book Antiqua"/>
                <w:spacing w:val="-2"/>
                <w:sz w:val="18"/>
              </w:rPr>
              <w:t> </w:t>
            </w:r>
            <w:r>
              <w:rPr>
                <w:rFonts w:ascii="Book Antiqua" w:hAnsi="Book Antiqua"/>
                <w:sz w:val="18"/>
              </w:rPr>
              <w:t>тела</w:t>
            </w:r>
            <w:r>
              <w:rPr>
                <w:rFonts w:ascii="Book Antiqua" w:hAnsi="Book Antiqua"/>
                <w:spacing w:val="1"/>
                <w:sz w:val="18"/>
              </w:rPr>
              <w:t> </w:t>
            </w:r>
            <w:r>
              <w:rPr>
                <w:rFonts w:ascii="Book Antiqua" w:hAnsi="Book Antiqua"/>
                <w:sz w:val="18"/>
              </w:rPr>
              <w:t>&gt;</w:t>
            </w:r>
            <w:r>
              <w:rPr>
                <w:rFonts w:ascii="Book Antiqua" w:hAnsi="Book Antiqua"/>
                <w:spacing w:val="-2"/>
                <w:sz w:val="18"/>
              </w:rPr>
              <w:t> </w:t>
            </w:r>
            <w:r>
              <w:rPr>
                <w:rFonts w:ascii="Book Antiqua" w:hAnsi="Book Antiqua"/>
                <w:sz w:val="18"/>
              </w:rPr>
              <w:t>38,0</w:t>
            </w:r>
            <w:r>
              <w:rPr>
                <w:rFonts w:ascii="Book Antiqua" w:hAnsi="Book Antiqua"/>
                <w:spacing w:val="-1"/>
                <w:sz w:val="18"/>
              </w:rPr>
              <w:t> </w:t>
            </w:r>
            <w:r>
              <w:rPr>
                <w:rFonts w:ascii="Book Antiqua" w:hAnsi="Book Antiqua"/>
                <w:spacing w:val="-5"/>
                <w:sz w:val="18"/>
              </w:rPr>
              <w:t>ºС)</w:t>
            </w:r>
          </w:p>
        </w:tc>
      </w:tr>
      <w:tr>
        <w:trPr>
          <w:trHeight w:val="427" w:hRule="atLeast"/>
        </w:trPr>
        <w:tc>
          <w:tcPr>
            <w:tcW w:w="848" w:type="dxa"/>
            <w:vMerge w:val="restart"/>
          </w:tcPr>
          <w:p>
            <w:pPr>
              <w:pStyle w:val="TableParagraph"/>
              <w:spacing w:before="202"/>
              <w:rPr>
                <w:b/>
                <w:sz w:val="20"/>
              </w:rPr>
            </w:pPr>
          </w:p>
          <w:p>
            <w:pPr>
              <w:pStyle w:val="TableParagraph"/>
              <w:spacing w:line="235" w:lineRule="auto" w:before="1"/>
              <w:ind w:left="106" w:right="152"/>
              <w:rPr>
                <w:b/>
                <w:sz w:val="13"/>
              </w:rPr>
            </w:pPr>
            <w:r>
              <w:rPr>
                <w:b/>
                <w:spacing w:val="-2"/>
                <w:sz w:val="20"/>
              </w:rPr>
              <w:t>Схема </w:t>
            </w:r>
            <w:r>
              <w:rPr>
                <w:b/>
                <w:position w:val="-6"/>
                <w:sz w:val="20"/>
              </w:rPr>
              <w:t>3 </w:t>
            </w:r>
            <w:r>
              <w:rPr>
                <w:b/>
                <w:sz w:val="13"/>
              </w:rPr>
              <w:t>1,4</w:t>
            </w:r>
          </w:p>
        </w:tc>
        <w:tc>
          <w:tcPr>
            <w:tcW w:w="708" w:type="dxa"/>
          </w:tcPr>
          <w:p>
            <w:pPr>
              <w:pStyle w:val="TableParagraph"/>
              <w:spacing w:before="91"/>
              <w:ind w:left="103"/>
              <w:rPr>
                <w:b/>
                <w:sz w:val="13"/>
              </w:rPr>
            </w:pPr>
            <w:r>
              <w:rPr>
                <w:b/>
                <w:spacing w:val="-5"/>
                <w:position w:val="-6"/>
                <w:sz w:val="20"/>
              </w:rPr>
              <w:t>1</w:t>
            </w:r>
            <w:r>
              <w:rPr>
                <w:b/>
                <w:spacing w:val="-5"/>
                <w:sz w:val="13"/>
              </w:rPr>
              <w:t>3</w:t>
            </w:r>
          </w:p>
        </w:tc>
        <w:tc>
          <w:tcPr>
            <w:tcW w:w="3505" w:type="dxa"/>
          </w:tcPr>
          <w:p>
            <w:pPr>
              <w:pStyle w:val="TableParagraph"/>
              <w:spacing w:before="3"/>
              <w:ind w:left="102"/>
              <w:rPr>
                <w:b/>
                <w:position w:val="7"/>
                <w:sz w:val="13"/>
              </w:rPr>
            </w:pPr>
            <w:r>
              <w:rPr>
                <w:rFonts w:ascii="Book Antiqua" w:hAnsi="Book Antiqua"/>
                <w:spacing w:val="-2"/>
                <w:sz w:val="20"/>
              </w:rPr>
              <w:t>Нирматрелвир+Ритонавир</w:t>
            </w:r>
            <w:r>
              <w:rPr>
                <w:rFonts w:ascii="Book Antiqua" w:hAnsi="Book Antiqua"/>
                <w:spacing w:val="22"/>
                <w:sz w:val="20"/>
              </w:rPr>
              <w:t> </w:t>
            </w:r>
            <w:r>
              <w:rPr>
                <w:b/>
                <w:spacing w:val="-10"/>
                <w:position w:val="7"/>
                <w:sz w:val="13"/>
              </w:rPr>
              <w:t>9</w:t>
            </w:r>
          </w:p>
        </w:tc>
        <w:tc>
          <w:tcPr>
            <w:tcW w:w="9669" w:type="dxa"/>
          </w:tcPr>
          <w:p>
            <w:pPr>
              <w:pStyle w:val="TableParagraph"/>
              <w:spacing w:line="200" w:lineRule="atLeast"/>
              <w:ind w:left="98"/>
              <w:rPr>
                <w:sz w:val="18"/>
              </w:rPr>
            </w:pPr>
            <w:r>
              <w:rPr>
                <w:sz w:val="18"/>
              </w:rPr>
              <w:t>300</w:t>
            </w:r>
            <w:r>
              <w:rPr>
                <w:spacing w:val="-4"/>
                <w:sz w:val="18"/>
              </w:rPr>
              <w:t> </w:t>
            </w:r>
            <w:r>
              <w:rPr>
                <w:sz w:val="18"/>
              </w:rPr>
              <w:t>мг</w:t>
            </w:r>
            <w:r>
              <w:rPr>
                <w:spacing w:val="-3"/>
                <w:sz w:val="18"/>
              </w:rPr>
              <w:t> </w:t>
            </w:r>
            <w:r>
              <w:rPr>
                <w:sz w:val="18"/>
              </w:rPr>
              <w:t>нирматрелвира</w:t>
            </w:r>
            <w:r>
              <w:rPr>
                <w:spacing w:val="-4"/>
                <w:sz w:val="18"/>
              </w:rPr>
              <w:t> </w:t>
            </w:r>
            <w:r>
              <w:rPr>
                <w:sz w:val="18"/>
              </w:rPr>
              <w:t>+</w:t>
            </w:r>
            <w:r>
              <w:rPr>
                <w:spacing w:val="-4"/>
                <w:sz w:val="18"/>
              </w:rPr>
              <w:t> </w:t>
            </w:r>
            <w:r>
              <w:rPr>
                <w:sz w:val="18"/>
              </w:rPr>
              <w:t>100</w:t>
            </w:r>
            <w:r>
              <w:rPr>
                <w:spacing w:val="-2"/>
                <w:sz w:val="18"/>
              </w:rPr>
              <w:t> </w:t>
            </w:r>
            <w:r>
              <w:rPr>
                <w:sz w:val="18"/>
              </w:rPr>
              <w:t>мг</w:t>
            </w:r>
            <w:r>
              <w:rPr>
                <w:spacing w:val="-5"/>
                <w:sz w:val="18"/>
              </w:rPr>
              <w:t> </w:t>
            </w:r>
            <w:r>
              <w:rPr>
                <w:sz w:val="18"/>
              </w:rPr>
              <w:t>ритонавира</w:t>
            </w:r>
            <w:r>
              <w:rPr>
                <w:spacing w:val="-4"/>
                <w:sz w:val="18"/>
              </w:rPr>
              <w:t> </w:t>
            </w:r>
            <w:r>
              <w:rPr>
                <w:sz w:val="18"/>
              </w:rPr>
              <w:t>два</w:t>
            </w:r>
            <w:r>
              <w:rPr>
                <w:spacing w:val="-4"/>
                <w:sz w:val="18"/>
              </w:rPr>
              <w:t> </w:t>
            </w:r>
            <w:r>
              <w:rPr>
                <w:sz w:val="18"/>
              </w:rPr>
              <w:t>раза</w:t>
            </w:r>
            <w:r>
              <w:rPr>
                <w:spacing w:val="-4"/>
                <w:sz w:val="18"/>
              </w:rPr>
              <w:t> </w:t>
            </w:r>
            <w:r>
              <w:rPr>
                <w:sz w:val="18"/>
              </w:rPr>
              <w:t>в</w:t>
            </w:r>
            <w:r>
              <w:rPr>
                <w:spacing w:val="-4"/>
                <w:sz w:val="18"/>
              </w:rPr>
              <w:t> </w:t>
            </w:r>
            <w:r>
              <w:rPr>
                <w:sz w:val="18"/>
              </w:rPr>
              <w:t>сутки</w:t>
            </w:r>
            <w:r>
              <w:rPr>
                <w:spacing w:val="-4"/>
                <w:sz w:val="18"/>
              </w:rPr>
              <w:t> </w:t>
            </w:r>
            <w:r>
              <w:rPr>
                <w:sz w:val="18"/>
              </w:rPr>
              <w:t>(каждые</w:t>
            </w:r>
            <w:r>
              <w:rPr>
                <w:spacing w:val="-4"/>
                <w:sz w:val="18"/>
              </w:rPr>
              <w:t> </w:t>
            </w:r>
            <w:r>
              <w:rPr>
                <w:sz w:val="18"/>
              </w:rPr>
              <w:t>12</w:t>
            </w:r>
            <w:r>
              <w:rPr>
                <w:spacing w:val="-2"/>
                <w:sz w:val="18"/>
              </w:rPr>
              <w:t> </w:t>
            </w:r>
            <w:r>
              <w:rPr>
                <w:sz w:val="18"/>
              </w:rPr>
              <w:t>часов).</w:t>
            </w:r>
            <w:r>
              <w:rPr>
                <w:spacing w:val="-3"/>
                <w:sz w:val="18"/>
              </w:rPr>
              <w:t> </w:t>
            </w:r>
            <w:r>
              <w:rPr>
                <w:sz w:val="18"/>
              </w:rPr>
              <w:t>Суточная</w:t>
            </w:r>
            <w:r>
              <w:rPr>
                <w:spacing w:val="-2"/>
                <w:sz w:val="18"/>
              </w:rPr>
              <w:t> </w:t>
            </w:r>
            <w:r>
              <w:rPr>
                <w:sz w:val="18"/>
              </w:rPr>
              <w:t>доза</w:t>
            </w:r>
            <w:r>
              <w:rPr>
                <w:spacing w:val="-6"/>
                <w:sz w:val="18"/>
              </w:rPr>
              <w:t> </w:t>
            </w:r>
            <w:r>
              <w:rPr>
                <w:sz w:val="18"/>
              </w:rPr>
              <w:t>составляет</w:t>
            </w:r>
            <w:r>
              <w:rPr>
                <w:spacing w:val="-3"/>
                <w:sz w:val="18"/>
              </w:rPr>
              <w:t> </w:t>
            </w:r>
            <w:r>
              <w:rPr>
                <w:sz w:val="18"/>
              </w:rPr>
              <w:t>600</w:t>
            </w:r>
            <w:r>
              <w:rPr>
                <w:spacing w:val="-4"/>
                <w:sz w:val="18"/>
              </w:rPr>
              <w:t> </w:t>
            </w:r>
            <w:r>
              <w:rPr>
                <w:sz w:val="18"/>
              </w:rPr>
              <w:t>мг нирматрелвира + 200 мг ритонавира.</w:t>
            </w:r>
            <w:r>
              <w:rPr>
                <w:spacing w:val="40"/>
                <w:sz w:val="18"/>
              </w:rPr>
              <w:t> </w:t>
            </w:r>
            <w:r>
              <w:rPr>
                <w:sz w:val="18"/>
              </w:rPr>
              <w:t>Продолжительность курса лечения - 5 суток.</w:t>
            </w:r>
          </w:p>
        </w:tc>
      </w:tr>
      <w:tr>
        <w:trPr>
          <w:trHeight w:val="462" w:hRule="atLeast"/>
        </w:trPr>
        <w:tc>
          <w:tcPr>
            <w:tcW w:w="848" w:type="dxa"/>
            <w:vMerge/>
            <w:tcBorders>
              <w:top w:val="nil"/>
            </w:tcBorders>
          </w:tcPr>
          <w:p>
            <w:pPr>
              <w:rPr>
                <w:sz w:val="2"/>
                <w:szCs w:val="2"/>
              </w:rPr>
            </w:pPr>
          </w:p>
        </w:tc>
        <w:tc>
          <w:tcPr>
            <w:tcW w:w="708" w:type="dxa"/>
          </w:tcPr>
          <w:p>
            <w:pPr>
              <w:pStyle w:val="TableParagraph"/>
              <w:spacing w:before="114"/>
              <w:ind w:left="103"/>
              <w:rPr>
                <w:b/>
                <w:sz w:val="20"/>
              </w:rPr>
            </w:pPr>
            <w:r>
              <w:rPr>
                <w:b/>
                <w:spacing w:val="-10"/>
                <w:sz w:val="20"/>
              </w:rPr>
              <w:t>2</w:t>
            </w:r>
          </w:p>
        </w:tc>
        <w:tc>
          <w:tcPr>
            <w:tcW w:w="3505" w:type="dxa"/>
          </w:tcPr>
          <w:p>
            <w:pPr>
              <w:pStyle w:val="TableParagraph"/>
              <w:spacing w:before="106"/>
              <w:ind w:left="102"/>
              <w:rPr>
                <w:b/>
                <w:position w:val="7"/>
                <w:sz w:val="13"/>
              </w:rPr>
            </w:pPr>
            <w:r>
              <w:rPr>
                <w:rFonts w:ascii="Book Antiqua" w:hAnsi="Book Antiqua"/>
                <w:sz w:val="20"/>
              </w:rPr>
              <w:t>ИФН-α,</w:t>
            </w:r>
            <w:r>
              <w:rPr>
                <w:rFonts w:ascii="Book Antiqua" w:hAnsi="Book Antiqua"/>
                <w:spacing w:val="-10"/>
                <w:sz w:val="20"/>
              </w:rPr>
              <w:t> </w:t>
            </w:r>
            <w:r>
              <w:rPr>
                <w:rFonts w:ascii="Book Antiqua" w:hAnsi="Book Antiqua"/>
                <w:sz w:val="20"/>
              </w:rPr>
              <w:t>интраназальные</w:t>
            </w:r>
            <w:r>
              <w:rPr>
                <w:rFonts w:ascii="Book Antiqua" w:hAnsi="Book Antiqua"/>
                <w:spacing w:val="-10"/>
                <w:sz w:val="20"/>
              </w:rPr>
              <w:t> </w:t>
            </w:r>
            <w:r>
              <w:rPr>
                <w:rFonts w:ascii="Book Antiqua" w:hAnsi="Book Antiqua"/>
                <w:sz w:val="20"/>
              </w:rPr>
              <w:t>формы</w:t>
            </w:r>
            <w:r>
              <w:rPr>
                <w:rFonts w:ascii="Book Antiqua" w:hAnsi="Book Antiqua"/>
                <w:spacing w:val="-8"/>
                <w:sz w:val="20"/>
              </w:rPr>
              <w:t> </w:t>
            </w:r>
            <w:r>
              <w:rPr>
                <w:b/>
                <w:spacing w:val="-10"/>
                <w:position w:val="7"/>
                <w:sz w:val="13"/>
              </w:rPr>
              <w:t>5</w:t>
            </w:r>
          </w:p>
        </w:tc>
        <w:tc>
          <w:tcPr>
            <w:tcW w:w="9669" w:type="dxa"/>
          </w:tcPr>
          <w:p>
            <w:pPr>
              <w:pStyle w:val="TableParagraph"/>
              <w:spacing w:line="222" w:lineRule="exact"/>
              <w:ind w:left="98" w:right="1248"/>
              <w:rPr>
                <w:rFonts w:ascii="Book Antiqua" w:hAnsi="Book Antiqua"/>
                <w:sz w:val="18"/>
              </w:rPr>
            </w:pPr>
            <w:r>
              <w:rPr>
                <w:rFonts w:ascii="Book Antiqua" w:hAnsi="Book Antiqua"/>
                <w:sz w:val="18"/>
              </w:rPr>
              <w:t>В</w:t>
            </w:r>
            <w:r>
              <w:rPr>
                <w:rFonts w:ascii="Book Antiqua" w:hAnsi="Book Antiqua"/>
                <w:spacing w:val="-5"/>
                <w:sz w:val="18"/>
              </w:rPr>
              <w:t> </w:t>
            </w:r>
            <w:r>
              <w:rPr>
                <w:rFonts w:ascii="Book Antiqua" w:hAnsi="Book Antiqua"/>
                <w:sz w:val="18"/>
              </w:rPr>
              <w:t>соответствии</w:t>
            </w:r>
            <w:r>
              <w:rPr>
                <w:rFonts w:ascii="Book Antiqua" w:hAnsi="Book Antiqua"/>
                <w:spacing w:val="-6"/>
                <w:sz w:val="18"/>
              </w:rPr>
              <w:t> </w:t>
            </w:r>
            <w:r>
              <w:rPr>
                <w:rFonts w:ascii="Book Antiqua" w:hAnsi="Book Antiqua"/>
                <w:sz w:val="18"/>
              </w:rPr>
              <w:t>с</w:t>
            </w:r>
            <w:r>
              <w:rPr>
                <w:rFonts w:ascii="Book Antiqua" w:hAnsi="Book Antiqua"/>
                <w:spacing w:val="-6"/>
                <w:sz w:val="18"/>
              </w:rPr>
              <w:t> </w:t>
            </w:r>
            <w:r>
              <w:rPr>
                <w:rFonts w:ascii="Book Antiqua" w:hAnsi="Book Antiqua"/>
                <w:sz w:val="18"/>
              </w:rPr>
              <w:t>инструкцией</w:t>
            </w:r>
            <w:r>
              <w:rPr>
                <w:rFonts w:ascii="Book Antiqua" w:hAnsi="Book Antiqua"/>
                <w:spacing w:val="-6"/>
                <w:sz w:val="18"/>
              </w:rPr>
              <w:t> </w:t>
            </w:r>
            <w:r>
              <w:rPr>
                <w:rFonts w:ascii="Book Antiqua" w:hAnsi="Book Antiqua"/>
                <w:sz w:val="18"/>
              </w:rPr>
              <w:t>по</w:t>
            </w:r>
            <w:r>
              <w:rPr>
                <w:rFonts w:ascii="Book Antiqua" w:hAnsi="Book Antiqua"/>
                <w:spacing w:val="-5"/>
                <w:sz w:val="18"/>
              </w:rPr>
              <w:t> </w:t>
            </w:r>
            <w:r>
              <w:rPr>
                <w:rFonts w:ascii="Book Antiqua" w:hAnsi="Book Antiqua"/>
                <w:sz w:val="18"/>
              </w:rPr>
              <w:t>применению</w:t>
            </w:r>
            <w:r>
              <w:rPr>
                <w:rFonts w:ascii="Book Antiqua" w:hAnsi="Book Antiqua"/>
                <w:spacing w:val="-5"/>
                <w:sz w:val="18"/>
              </w:rPr>
              <w:t> </w:t>
            </w:r>
            <w:r>
              <w:rPr>
                <w:rFonts w:ascii="Book Antiqua" w:hAnsi="Book Antiqua"/>
                <w:sz w:val="18"/>
              </w:rPr>
              <w:t>препарата</w:t>
            </w:r>
            <w:r>
              <w:rPr>
                <w:rFonts w:ascii="Book Antiqua" w:hAnsi="Book Antiqua"/>
                <w:spacing w:val="-6"/>
                <w:sz w:val="18"/>
              </w:rPr>
              <w:t> </w:t>
            </w:r>
            <w:r>
              <w:rPr>
                <w:rFonts w:ascii="Book Antiqua" w:hAnsi="Book Antiqua"/>
                <w:sz w:val="18"/>
              </w:rPr>
              <w:t>(спрей,</w:t>
            </w:r>
            <w:r>
              <w:rPr>
                <w:rFonts w:ascii="Book Antiqua" w:hAnsi="Book Antiqua"/>
                <w:spacing w:val="-5"/>
                <w:sz w:val="18"/>
              </w:rPr>
              <w:t> </w:t>
            </w:r>
            <w:r>
              <w:rPr>
                <w:rFonts w:ascii="Book Antiqua" w:hAnsi="Book Antiqua"/>
                <w:sz w:val="18"/>
              </w:rPr>
              <w:t>капли,</w:t>
            </w:r>
            <w:r>
              <w:rPr>
                <w:rFonts w:ascii="Book Antiqua" w:hAnsi="Book Antiqua"/>
                <w:spacing w:val="-5"/>
                <w:sz w:val="18"/>
              </w:rPr>
              <w:t> </w:t>
            </w:r>
            <w:r>
              <w:rPr>
                <w:rFonts w:ascii="Book Antiqua" w:hAnsi="Book Antiqua"/>
                <w:sz w:val="18"/>
              </w:rPr>
              <w:t>раствор,</w:t>
            </w:r>
            <w:r>
              <w:rPr>
                <w:rFonts w:ascii="Book Antiqua" w:hAnsi="Book Antiqua"/>
                <w:spacing w:val="-5"/>
                <w:sz w:val="18"/>
              </w:rPr>
              <w:t> </w:t>
            </w:r>
            <w:r>
              <w:rPr>
                <w:rFonts w:ascii="Book Antiqua" w:hAnsi="Book Antiqua"/>
                <w:sz w:val="18"/>
              </w:rPr>
              <w:t>лиофилизат</w:t>
            </w:r>
            <w:r>
              <w:rPr>
                <w:rFonts w:ascii="Book Antiqua" w:hAnsi="Book Antiqua"/>
                <w:spacing w:val="-5"/>
                <w:sz w:val="18"/>
              </w:rPr>
              <w:t> </w:t>
            </w:r>
            <w:r>
              <w:rPr>
                <w:rFonts w:ascii="Book Antiqua" w:hAnsi="Book Antiqua"/>
                <w:sz w:val="18"/>
              </w:rPr>
              <w:t>для приготовления раствора, гель или мазь)</w:t>
            </w:r>
          </w:p>
        </w:tc>
      </w:tr>
      <w:tr>
        <w:trPr>
          <w:trHeight w:val="414" w:hRule="atLeast"/>
        </w:trPr>
        <w:tc>
          <w:tcPr>
            <w:tcW w:w="848" w:type="dxa"/>
            <w:vMerge/>
            <w:tcBorders>
              <w:top w:val="nil"/>
            </w:tcBorders>
          </w:tcPr>
          <w:p>
            <w:pPr>
              <w:rPr>
                <w:sz w:val="2"/>
                <w:szCs w:val="2"/>
              </w:rPr>
            </w:pPr>
          </w:p>
        </w:tc>
        <w:tc>
          <w:tcPr>
            <w:tcW w:w="708" w:type="dxa"/>
          </w:tcPr>
          <w:p>
            <w:pPr>
              <w:pStyle w:val="TableParagraph"/>
              <w:spacing w:before="89"/>
              <w:ind w:left="103"/>
              <w:rPr>
                <w:b/>
                <w:sz w:val="20"/>
              </w:rPr>
            </w:pPr>
            <w:r>
              <w:rPr>
                <w:b/>
                <w:spacing w:val="-10"/>
                <w:sz w:val="20"/>
              </w:rPr>
              <w:t>3</w:t>
            </w:r>
          </w:p>
        </w:tc>
        <w:tc>
          <w:tcPr>
            <w:tcW w:w="3505" w:type="dxa"/>
          </w:tcPr>
          <w:p>
            <w:pPr>
              <w:pStyle w:val="TableParagraph"/>
              <w:spacing w:before="2"/>
              <w:ind w:left="102"/>
              <w:rPr>
                <w:rFonts w:ascii="Book Antiqua" w:hAnsi="Book Antiqua"/>
                <w:sz w:val="20"/>
              </w:rPr>
            </w:pPr>
            <w:r>
              <w:rPr>
                <w:rFonts w:ascii="Book Antiqua" w:hAnsi="Book Antiqua"/>
                <w:spacing w:val="-2"/>
                <w:sz w:val="20"/>
              </w:rPr>
              <w:t>Парацетамол</w:t>
            </w:r>
          </w:p>
        </w:tc>
        <w:tc>
          <w:tcPr>
            <w:tcW w:w="9669" w:type="dxa"/>
          </w:tcPr>
          <w:p>
            <w:pPr>
              <w:pStyle w:val="TableParagraph"/>
              <w:spacing w:before="2"/>
              <w:ind w:left="98"/>
              <w:rPr>
                <w:rFonts w:ascii="Book Antiqua" w:hAnsi="Book Antiqua"/>
                <w:sz w:val="18"/>
              </w:rPr>
            </w:pPr>
            <w:r>
              <w:rPr>
                <w:rFonts w:ascii="Book Antiqua" w:hAnsi="Book Antiqua"/>
                <w:sz w:val="18"/>
              </w:rPr>
              <w:t>1-2 табл.</w:t>
            </w:r>
            <w:r>
              <w:rPr>
                <w:rFonts w:ascii="Book Antiqua" w:hAnsi="Book Antiqua"/>
                <w:spacing w:val="-1"/>
                <w:sz w:val="18"/>
              </w:rPr>
              <w:t> </w:t>
            </w:r>
            <w:r>
              <w:rPr>
                <w:rFonts w:ascii="Book Antiqua" w:hAnsi="Book Antiqua"/>
                <w:sz w:val="18"/>
              </w:rPr>
              <w:t>(500-1000</w:t>
            </w:r>
            <w:r>
              <w:rPr>
                <w:rFonts w:ascii="Book Antiqua" w:hAnsi="Book Antiqua"/>
                <w:spacing w:val="-1"/>
                <w:sz w:val="18"/>
              </w:rPr>
              <w:t> </w:t>
            </w:r>
            <w:r>
              <w:rPr>
                <w:rFonts w:ascii="Book Antiqua" w:hAnsi="Book Antiqua"/>
                <w:sz w:val="18"/>
              </w:rPr>
              <w:t>мг)</w:t>
            </w:r>
            <w:r>
              <w:rPr>
                <w:rFonts w:ascii="Book Antiqua" w:hAnsi="Book Antiqua"/>
                <w:spacing w:val="-3"/>
                <w:sz w:val="18"/>
              </w:rPr>
              <w:t> </w:t>
            </w:r>
            <w:r>
              <w:rPr>
                <w:rFonts w:ascii="Book Antiqua" w:hAnsi="Book Antiqua"/>
                <w:sz w:val="18"/>
              </w:rPr>
              <w:t>2-3 р/сут, не</w:t>
            </w:r>
            <w:r>
              <w:rPr>
                <w:rFonts w:ascii="Book Antiqua" w:hAnsi="Book Antiqua"/>
                <w:spacing w:val="-1"/>
                <w:sz w:val="18"/>
              </w:rPr>
              <w:t> </w:t>
            </w:r>
            <w:r>
              <w:rPr>
                <w:rFonts w:ascii="Book Antiqua" w:hAnsi="Book Antiqua"/>
                <w:sz w:val="18"/>
              </w:rPr>
              <w:t>более</w:t>
            </w:r>
            <w:r>
              <w:rPr>
                <w:rFonts w:ascii="Book Antiqua" w:hAnsi="Book Antiqua"/>
                <w:spacing w:val="-1"/>
                <w:sz w:val="18"/>
              </w:rPr>
              <w:t> </w:t>
            </w:r>
            <w:r>
              <w:rPr>
                <w:rFonts w:ascii="Book Antiqua" w:hAnsi="Book Antiqua"/>
                <w:sz w:val="18"/>
              </w:rPr>
              <w:t>4</w:t>
            </w:r>
            <w:r>
              <w:rPr>
                <w:rFonts w:ascii="Book Antiqua" w:hAnsi="Book Antiqua"/>
                <w:spacing w:val="-1"/>
                <w:sz w:val="18"/>
              </w:rPr>
              <w:t> </w:t>
            </w:r>
            <w:r>
              <w:rPr>
                <w:rFonts w:ascii="Book Antiqua" w:hAnsi="Book Antiqua"/>
                <w:sz w:val="18"/>
              </w:rPr>
              <w:t>г</w:t>
            </w:r>
            <w:r>
              <w:rPr>
                <w:rFonts w:ascii="Book Antiqua" w:hAnsi="Book Antiqua"/>
                <w:spacing w:val="-1"/>
                <w:sz w:val="18"/>
              </w:rPr>
              <w:t> </w:t>
            </w:r>
            <w:r>
              <w:rPr>
                <w:rFonts w:ascii="Book Antiqua" w:hAnsi="Book Antiqua"/>
                <w:sz w:val="18"/>
              </w:rPr>
              <w:t>в</w:t>
            </w:r>
            <w:r>
              <w:rPr>
                <w:rFonts w:ascii="Book Antiqua" w:hAnsi="Book Antiqua"/>
                <w:spacing w:val="-3"/>
                <w:sz w:val="18"/>
              </w:rPr>
              <w:t> </w:t>
            </w:r>
            <w:r>
              <w:rPr>
                <w:rFonts w:ascii="Book Antiqua" w:hAnsi="Book Antiqua"/>
                <w:sz w:val="18"/>
              </w:rPr>
              <w:t>сутки</w:t>
            </w:r>
            <w:r>
              <w:rPr>
                <w:rFonts w:ascii="Book Antiqua" w:hAnsi="Book Antiqua"/>
                <w:spacing w:val="-1"/>
                <w:sz w:val="18"/>
              </w:rPr>
              <w:t> </w:t>
            </w:r>
            <w:r>
              <w:rPr>
                <w:rFonts w:ascii="Book Antiqua" w:hAnsi="Book Antiqua"/>
                <w:sz w:val="18"/>
              </w:rPr>
              <w:t>(при</w:t>
            </w:r>
            <w:r>
              <w:rPr>
                <w:rFonts w:ascii="Book Antiqua" w:hAnsi="Book Antiqua"/>
                <w:spacing w:val="1"/>
                <w:sz w:val="18"/>
              </w:rPr>
              <w:t> </w:t>
            </w:r>
            <w:r>
              <w:rPr>
                <w:rFonts w:ascii="Book Antiqua" w:hAnsi="Book Antiqua"/>
                <w:sz w:val="18"/>
              </w:rPr>
              <w:t>t</w:t>
            </w:r>
            <w:r>
              <w:rPr>
                <w:rFonts w:ascii="Book Antiqua" w:hAnsi="Book Antiqua"/>
                <w:spacing w:val="-2"/>
                <w:sz w:val="18"/>
              </w:rPr>
              <w:t> </w:t>
            </w:r>
            <w:r>
              <w:rPr>
                <w:rFonts w:ascii="Book Antiqua" w:hAnsi="Book Antiqua"/>
                <w:sz w:val="18"/>
              </w:rPr>
              <w:t>тела</w:t>
            </w:r>
            <w:r>
              <w:rPr>
                <w:rFonts w:ascii="Book Antiqua" w:hAnsi="Book Antiqua"/>
                <w:spacing w:val="1"/>
                <w:sz w:val="18"/>
              </w:rPr>
              <w:t> </w:t>
            </w:r>
            <w:r>
              <w:rPr>
                <w:rFonts w:ascii="Book Antiqua" w:hAnsi="Book Antiqua"/>
                <w:sz w:val="18"/>
              </w:rPr>
              <w:t>&gt;</w:t>
            </w:r>
            <w:r>
              <w:rPr>
                <w:rFonts w:ascii="Book Antiqua" w:hAnsi="Book Antiqua"/>
                <w:spacing w:val="-2"/>
                <w:sz w:val="18"/>
              </w:rPr>
              <w:t> </w:t>
            </w:r>
            <w:r>
              <w:rPr>
                <w:rFonts w:ascii="Book Antiqua" w:hAnsi="Book Antiqua"/>
                <w:sz w:val="18"/>
              </w:rPr>
              <w:t>38,0</w:t>
            </w:r>
            <w:r>
              <w:rPr>
                <w:rFonts w:ascii="Book Antiqua" w:hAnsi="Book Antiqua"/>
                <w:spacing w:val="-1"/>
                <w:sz w:val="18"/>
              </w:rPr>
              <w:t> </w:t>
            </w:r>
            <w:r>
              <w:rPr>
                <w:rFonts w:ascii="Book Antiqua" w:hAnsi="Book Antiqua"/>
                <w:spacing w:val="-5"/>
                <w:sz w:val="18"/>
              </w:rPr>
              <w:t>ºС)</w:t>
            </w:r>
          </w:p>
        </w:tc>
      </w:tr>
      <w:tr>
        <w:trPr>
          <w:trHeight w:val="313" w:hRule="atLeast"/>
        </w:trPr>
        <w:tc>
          <w:tcPr>
            <w:tcW w:w="848" w:type="dxa"/>
            <w:vMerge w:val="restart"/>
          </w:tcPr>
          <w:p>
            <w:pPr>
              <w:pStyle w:val="TableParagraph"/>
              <w:spacing w:before="126"/>
              <w:rPr>
                <w:b/>
                <w:sz w:val="20"/>
              </w:rPr>
            </w:pPr>
          </w:p>
          <w:p>
            <w:pPr>
              <w:pStyle w:val="TableParagraph"/>
              <w:spacing w:line="235" w:lineRule="auto"/>
              <w:ind w:left="106" w:right="152"/>
              <w:rPr>
                <w:b/>
                <w:sz w:val="13"/>
              </w:rPr>
            </w:pPr>
            <w:r>
              <w:rPr>
                <w:b/>
                <w:spacing w:val="-2"/>
                <w:sz w:val="20"/>
              </w:rPr>
              <w:t>Схема </w:t>
            </w:r>
            <w:r>
              <w:rPr>
                <w:b/>
                <w:position w:val="-6"/>
                <w:sz w:val="20"/>
              </w:rPr>
              <w:t>4 </w:t>
            </w:r>
            <w:r>
              <w:rPr>
                <w:b/>
                <w:sz w:val="13"/>
              </w:rPr>
              <w:t>1,4</w:t>
            </w:r>
          </w:p>
        </w:tc>
        <w:tc>
          <w:tcPr>
            <w:tcW w:w="708" w:type="dxa"/>
          </w:tcPr>
          <w:p>
            <w:pPr>
              <w:pStyle w:val="TableParagraph"/>
              <w:spacing w:before="34"/>
              <w:ind w:left="103"/>
              <w:rPr>
                <w:sz w:val="13"/>
              </w:rPr>
            </w:pPr>
            <w:r>
              <w:rPr>
                <w:b/>
                <w:position w:val="-6"/>
                <w:sz w:val="20"/>
              </w:rPr>
              <w:t>1 </w:t>
            </w:r>
            <w:r>
              <w:rPr>
                <w:spacing w:val="-10"/>
                <w:sz w:val="13"/>
              </w:rPr>
              <w:t>3</w:t>
            </w:r>
          </w:p>
        </w:tc>
        <w:tc>
          <w:tcPr>
            <w:tcW w:w="3505" w:type="dxa"/>
          </w:tcPr>
          <w:p>
            <w:pPr>
              <w:pStyle w:val="TableParagraph"/>
              <w:spacing w:before="39"/>
              <w:ind w:left="102"/>
              <w:rPr>
                <w:b/>
                <w:sz w:val="20"/>
              </w:rPr>
            </w:pPr>
            <w:r>
              <w:rPr>
                <w:sz w:val="20"/>
              </w:rPr>
              <w:t>Умифеновир</w:t>
            </w:r>
            <w:r>
              <w:rPr>
                <w:spacing w:val="-13"/>
                <w:sz w:val="20"/>
              </w:rPr>
              <w:t> </w:t>
            </w:r>
            <w:r>
              <w:rPr>
                <w:b/>
                <w:spacing w:val="-10"/>
                <w:sz w:val="20"/>
                <w:vertAlign w:val="superscript"/>
              </w:rPr>
              <w:t>5</w:t>
            </w:r>
          </w:p>
        </w:tc>
        <w:tc>
          <w:tcPr>
            <w:tcW w:w="9669" w:type="dxa"/>
          </w:tcPr>
          <w:p>
            <w:pPr>
              <w:pStyle w:val="TableParagraph"/>
              <w:spacing w:before="2"/>
              <w:ind w:left="98"/>
              <w:rPr>
                <w:sz w:val="18"/>
              </w:rPr>
            </w:pPr>
            <w:r>
              <w:rPr>
                <w:sz w:val="18"/>
              </w:rPr>
              <w:t>200</w:t>
            </w:r>
            <w:r>
              <w:rPr>
                <w:spacing w:val="-2"/>
                <w:sz w:val="18"/>
              </w:rPr>
              <w:t> </w:t>
            </w:r>
            <w:r>
              <w:rPr>
                <w:sz w:val="18"/>
              </w:rPr>
              <w:t>мг 4</w:t>
            </w:r>
            <w:r>
              <w:rPr>
                <w:spacing w:val="-2"/>
                <w:sz w:val="18"/>
              </w:rPr>
              <w:t> </w:t>
            </w:r>
            <w:r>
              <w:rPr>
                <w:sz w:val="18"/>
              </w:rPr>
              <w:t>р/сут в</w:t>
            </w:r>
            <w:r>
              <w:rPr>
                <w:spacing w:val="-2"/>
                <w:sz w:val="18"/>
              </w:rPr>
              <w:t> </w:t>
            </w:r>
            <w:r>
              <w:rPr>
                <w:sz w:val="18"/>
              </w:rPr>
              <w:t>течение</w:t>
            </w:r>
            <w:r>
              <w:rPr>
                <w:spacing w:val="-1"/>
                <w:sz w:val="18"/>
              </w:rPr>
              <w:t> </w:t>
            </w:r>
            <w:r>
              <w:rPr>
                <w:sz w:val="18"/>
              </w:rPr>
              <w:t>5-7</w:t>
            </w:r>
            <w:r>
              <w:rPr>
                <w:spacing w:val="-1"/>
                <w:sz w:val="18"/>
              </w:rPr>
              <w:t> </w:t>
            </w:r>
            <w:r>
              <w:rPr>
                <w:spacing w:val="-4"/>
                <w:sz w:val="18"/>
              </w:rPr>
              <w:t>дней</w:t>
            </w:r>
          </w:p>
        </w:tc>
      </w:tr>
      <w:tr>
        <w:trPr>
          <w:trHeight w:val="426" w:hRule="atLeast"/>
        </w:trPr>
        <w:tc>
          <w:tcPr>
            <w:tcW w:w="848" w:type="dxa"/>
            <w:vMerge/>
            <w:tcBorders>
              <w:top w:val="nil"/>
            </w:tcBorders>
          </w:tcPr>
          <w:p>
            <w:pPr>
              <w:rPr>
                <w:sz w:val="2"/>
                <w:szCs w:val="2"/>
              </w:rPr>
            </w:pPr>
          </w:p>
        </w:tc>
        <w:tc>
          <w:tcPr>
            <w:tcW w:w="708" w:type="dxa"/>
          </w:tcPr>
          <w:p>
            <w:pPr>
              <w:pStyle w:val="TableParagraph"/>
              <w:spacing w:before="93"/>
              <w:ind w:left="103"/>
              <w:rPr>
                <w:b/>
                <w:sz w:val="20"/>
              </w:rPr>
            </w:pPr>
            <w:r>
              <w:rPr>
                <w:b/>
                <w:spacing w:val="-10"/>
                <w:sz w:val="20"/>
              </w:rPr>
              <w:t>2</w:t>
            </w:r>
          </w:p>
        </w:tc>
        <w:tc>
          <w:tcPr>
            <w:tcW w:w="3505" w:type="dxa"/>
          </w:tcPr>
          <w:p>
            <w:pPr>
              <w:pStyle w:val="TableParagraph"/>
              <w:spacing w:before="93"/>
              <w:ind w:left="102"/>
              <w:rPr>
                <w:b/>
                <w:sz w:val="20"/>
              </w:rPr>
            </w:pPr>
            <w:r>
              <w:rPr>
                <w:sz w:val="20"/>
              </w:rPr>
              <w:t>ИФН-α,</w:t>
            </w:r>
            <w:r>
              <w:rPr>
                <w:spacing w:val="-9"/>
                <w:sz w:val="20"/>
              </w:rPr>
              <w:t> </w:t>
            </w:r>
            <w:r>
              <w:rPr>
                <w:sz w:val="20"/>
              </w:rPr>
              <w:t>интраназальные</w:t>
            </w:r>
            <w:r>
              <w:rPr>
                <w:spacing w:val="-9"/>
                <w:sz w:val="20"/>
              </w:rPr>
              <w:t> </w:t>
            </w:r>
            <w:r>
              <w:rPr>
                <w:sz w:val="20"/>
              </w:rPr>
              <w:t>формы</w:t>
            </w:r>
            <w:r>
              <w:rPr>
                <w:spacing w:val="-7"/>
                <w:sz w:val="20"/>
              </w:rPr>
              <w:t> </w:t>
            </w:r>
            <w:r>
              <w:rPr>
                <w:b/>
                <w:spacing w:val="-10"/>
                <w:sz w:val="20"/>
                <w:vertAlign w:val="superscript"/>
              </w:rPr>
              <w:t>5</w:t>
            </w:r>
          </w:p>
        </w:tc>
        <w:tc>
          <w:tcPr>
            <w:tcW w:w="9669" w:type="dxa"/>
          </w:tcPr>
          <w:p>
            <w:pPr>
              <w:pStyle w:val="TableParagraph"/>
              <w:spacing w:line="206" w:lineRule="exact"/>
              <w:ind w:left="98"/>
              <w:rPr>
                <w:sz w:val="18"/>
              </w:rPr>
            </w:pPr>
            <w:r>
              <w:rPr>
                <w:sz w:val="18"/>
              </w:rPr>
              <w:t>В</w:t>
            </w:r>
            <w:r>
              <w:rPr>
                <w:spacing w:val="-4"/>
                <w:sz w:val="18"/>
              </w:rPr>
              <w:t> </w:t>
            </w:r>
            <w:r>
              <w:rPr>
                <w:sz w:val="18"/>
              </w:rPr>
              <w:t>соответствии</w:t>
            </w:r>
            <w:r>
              <w:rPr>
                <w:spacing w:val="-5"/>
                <w:sz w:val="18"/>
              </w:rPr>
              <w:t> </w:t>
            </w:r>
            <w:r>
              <w:rPr>
                <w:sz w:val="18"/>
              </w:rPr>
              <w:t>с</w:t>
            </w:r>
            <w:r>
              <w:rPr>
                <w:spacing w:val="-5"/>
                <w:sz w:val="18"/>
              </w:rPr>
              <w:t> </w:t>
            </w:r>
            <w:r>
              <w:rPr>
                <w:sz w:val="18"/>
              </w:rPr>
              <w:t>инструкцией</w:t>
            </w:r>
            <w:r>
              <w:rPr>
                <w:spacing w:val="-5"/>
                <w:sz w:val="18"/>
              </w:rPr>
              <w:t> </w:t>
            </w:r>
            <w:r>
              <w:rPr>
                <w:sz w:val="18"/>
              </w:rPr>
              <w:t>по</w:t>
            </w:r>
            <w:r>
              <w:rPr>
                <w:spacing w:val="-3"/>
                <w:sz w:val="18"/>
              </w:rPr>
              <w:t> </w:t>
            </w:r>
            <w:r>
              <w:rPr>
                <w:sz w:val="18"/>
              </w:rPr>
              <w:t>применению</w:t>
            </w:r>
            <w:r>
              <w:rPr>
                <w:spacing w:val="-4"/>
                <w:sz w:val="18"/>
              </w:rPr>
              <w:t> </w:t>
            </w:r>
            <w:r>
              <w:rPr>
                <w:sz w:val="18"/>
              </w:rPr>
              <w:t>препарата</w:t>
            </w:r>
            <w:r>
              <w:rPr>
                <w:spacing w:val="-5"/>
                <w:sz w:val="18"/>
              </w:rPr>
              <w:t> </w:t>
            </w:r>
            <w:r>
              <w:rPr>
                <w:sz w:val="18"/>
              </w:rPr>
              <w:t>(спрей,</w:t>
            </w:r>
            <w:r>
              <w:rPr>
                <w:spacing w:val="-4"/>
                <w:sz w:val="18"/>
              </w:rPr>
              <w:t> </w:t>
            </w:r>
            <w:r>
              <w:rPr>
                <w:sz w:val="18"/>
              </w:rPr>
              <w:t>капли,</w:t>
            </w:r>
            <w:r>
              <w:rPr>
                <w:spacing w:val="-4"/>
                <w:sz w:val="18"/>
              </w:rPr>
              <w:t> </w:t>
            </w:r>
            <w:r>
              <w:rPr>
                <w:sz w:val="18"/>
              </w:rPr>
              <w:t>раствор,</w:t>
            </w:r>
            <w:r>
              <w:rPr>
                <w:spacing w:val="-1"/>
                <w:sz w:val="18"/>
              </w:rPr>
              <w:t> </w:t>
            </w:r>
            <w:r>
              <w:rPr>
                <w:sz w:val="18"/>
              </w:rPr>
              <w:t>лиофилизат</w:t>
            </w:r>
            <w:r>
              <w:rPr>
                <w:spacing w:val="-6"/>
                <w:sz w:val="18"/>
              </w:rPr>
              <w:t> </w:t>
            </w:r>
            <w:r>
              <w:rPr>
                <w:sz w:val="18"/>
              </w:rPr>
              <w:t>для</w:t>
            </w:r>
            <w:r>
              <w:rPr>
                <w:spacing w:val="-3"/>
                <w:sz w:val="18"/>
              </w:rPr>
              <w:t> </w:t>
            </w:r>
            <w:r>
              <w:rPr>
                <w:sz w:val="18"/>
              </w:rPr>
              <w:t>приготовления</w:t>
            </w:r>
            <w:r>
              <w:rPr>
                <w:spacing w:val="-3"/>
                <w:sz w:val="18"/>
              </w:rPr>
              <w:t> </w:t>
            </w:r>
            <w:r>
              <w:rPr>
                <w:sz w:val="18"/>
              </w:rPr>
              <w:t>раствора, гель или мазь)</w:t>
            </w:r>
          </w:p>
        </w:tc>
      </w:tr>
      <w:tr>
        <w:trPr>
          <w:trHeight w:val="415" w:hRule="atLeast"/>
        </w:trPr>
        <w:tc>
          <w:tcPr>
            <w:tcW w:w="848" w:type="dxa"/>
            <w:vMerge/>
            <w:tcBorders>
              <w:top w:val="nil"/>
            </w:tcBorders>
          </w:tcPr>
          <w:p>
            <w:pPr>
              <w:rPr>
                <w:sz w:val="2"/>
                <w:szCs w:val="2"/>
              </w:rPr>
            </w:pPr>
          </w:p>
        </w:tc>
        <w:tc>
          <w:tcPr>
            <w:tcW w:w="708" w:type="dxa"/>
          </w:tcPr>
          <w:p>
            <w:pPr>
              <w:pStyle w:val="TableParagraph"/>
              <w:spacing w:before="88"/>
              <w:ind w:left="103"/>
              <w:rPr>
                <w:b/>
                <w:sz w:val="20"/>
              </w:rPr>
            </w:pPr>
            <w:r>
              <w:rPr>
                <w:b/>
                <w:spacing w:val="-10"/>
                <w:sz w:val="20"/>
              </w:rPr>
              <w:t>3</w:t>
            </w:r>
          </w:p>
        </w:tc>
        <w:tc>
          <w:tcPr>
            <w:tcW w:w="3505" w:type="dxa"/>
          </w:tcPr>
          <w:p>
            <w:pPr>
              <w:pStyle w:val="TableParagraph"/>
              <w:spacing w:before="88"/>
              <w:ind w:left="102"/>
              <w:rPr>
                <w:sz w:val="20"/>
              </w:rPr>
            </w:pPr>
            <w:r>
              <w:rPr>
                <w:spacing w:val="-2"/>
                <w:sz w:val="20"/>
              </w:rPr>
              <w:t>Парацетамол</w:t>
            </w:r>
          </w:p>
        </w:tc>
        <w:tc>
          <w:tcPr>
            <w:tcW w:w="9669" w:type="dxa"/>
          </w:tcPr>
          <w:p>
            <w:pPr>
              <w:pStyle w:val="TableParagraph"/>
              <w:spacing w:before="100"/>
              <w:ind w:left="98"/>
              <w:rPr>
                <w:sz w:val="18"/>
              </w:rPr>
            </w:pPr>
            <w:r>
              <w:rPr>
                <w:sz w:val="18"/>
              </w:rPr>
              <w:t>1-2</w:t>
            </w:r>
            <w:r>
              <w:rPr>
                <w:spacing w:val="-3"/>
                <w:sz w:val="18"/>
              </w:rPr>
              <w:t> </w:t>
            </w:r>
            <w:r>
              <w:rPr>
                <w:sz w:val="18"/>
              </w:rPr>
              <w:t>табл.</w:t>
            </w:r>
            <w:r>
              <w:rPr>
                <w:spacing w:val="-1"/>
                <w:sz w:val="18"/>
              </w:rPr>
              <w:t> </w:t>
            </w:r>
            <w:r>
              <w:rPr>
                <w:sz w:val="18"/>
              </w:rPr>
              <w:t>(500-1000</w:t>
            </w:r>
            <w:r>
              <w:rPr>
                <w:spacing w:val="-1"/>
                <w:sz w:val="18"/>
              </w:rPr>
              <w:t> </w:t>
            </w:r>
            <w:r>
              <w:rPr>
                <w:sz w:val="18"/>
              </w:rPr>
              <w:t>мг)</w:t>
            </w:r>
            <w:r>
              <w:rPr>
                <w:spacing w:val="-1"/>
                <w:sz w:val="18"/>
              </w:rPr>
              <w:t> </w:t>
            </w:r>
            <w:r>
              <w:rPr>
                <w:sz w:val="18"/>
              </w:rPr>
              <w:t>2-3</w:t>
            </w:r>
            <w:r>
              <w:rPr>
                <w:spacing w:val="-2"/>
                <w:sz w:val="18"/>
              </w:rPr>
              <w:t> </w:t>
            </w:r>
            <w:r>
              <w:rPr>
                <w:sz w:val="18"/>
              </w:rPr>
              <w:t>р/сут,</w:t>
            </w:r>
            <w:r>
              <w:rPr>
                <w:spacing w:val="-1"/>
                <w:sz w:val="18"/>
              </w:rPr>
              <w:t> </w:t>
            </w:r>
            <w:r>
              <w:rPr>
                <w:sz w:val="18"/>
              </w:rPr>
              <w:t>не</w:t>
            </w:r>
            <w:r>
              <w:rPr>
                <w:spacing w:val="-2"/>
                <w:sz w:val="18"/>
              </w:rPr>
              <w:t> </w:t>
            </w:r>
            <w:r>
              <w:rPr>
                <w:sz w:val="18"/>
              </w:rPr>
              <w:t>более</w:t>
            </w:r>
            <w:r>
              <w:rPr>
                <w:spacing w:val="-2"/>
                <w:sz w:val="18"/>
              </w:rPr>
              <w:t> </w:t>
            </w:r>
            <w:r>
              <w:rPr>
                <w:sz w:val="18"/>
              </w:rPr>
              <w:t>4</w:t>
            </w:r>
            <w:r>
              <w:rPr>
                <w:spacing w:val="-1"/>
                <w:sz w:val="18"/>
              </w:rPr>
              <w:t> </w:t>
            </w:r>
            <w:r>
              <w:rPr>
                <w:sz w:val="18"/>
              </w:rPr>
              <w:t>г</w:t>
            </w:r>
            <w:r>
              <w:rPr>
                <w:spacing w:val="-1"/>
                <w:sz w:val="18"/>
              </w:rPr>
              <w:t> </w:t>
            </w:r>
            <w:r>
              <w:rPr>
                <w:sz w:val="18"/>
              </w:rPr>
              <w:t>в</w:t>
            </w:r>
            <w:r>
              <w:rPr>
                <w:spacing w:val="-2"/>
                <w:sz w:val="18"/>
              </w:rPr>
              <w:t> </w:t>
            </w:r>
            <w:r>
              <w:rPr>
                <w:sz w:val="18"/>
              </w:rPr>
              <w:t>сутки</w:t>
            </w:r>
            <w:r>
              <w:rPr>
                <w:spacing w:val="-3"/>
                <w:sz w:val="18"/>
              </w:rPr>
              <w:t> </w:t>
            </w:r>
            <w:r>
              <w:rPr>
                <w:sz w:val="18"/>
              </w:rPr>
              <w:t>(при</w:t>
            </w:r>
            <w:r>
              <w:rPr>
                <w:spacing w:val="-2"/>
                <w:sz w:val="18"/>
              </w:rPr>
              <w:t> </w:t>
            </w:r>
            <w:r>
              <w:rPr>
                <w:sz w:val="18"/>
              </w:rPr>
              <w:t>температуре</w:t>
            </w:r>
            <w:r>
              <w:rPr>
                <w:spacing w:val="-2"/>
                <w:sz w:val="18"/>
              </w:rPr>
              <w:t> </w:t>
            </w:r>
            <w:r>
              <w:rPr>
                <w:sz w:val="18"/>
              </w:rPr>
              <w:t>тела</w:t>
            </w:r>
            <w:r>
              <w:rPr>
                <w:spacing w:val="-3"/>
                <w:sz w:val="18"/>
              </w:rPr>
              <w:t> </w:t>
            </w:r>
            <w:r>
              <w:rPr>
                <w:sz w:val="18"/>
              </w:rPr>
              <w:t>&gt;</w:t>
            </w:r>
            <w:r>
              <w:rPr>
                <w:spacing w:val="-2"/>
                <w:sz w:val="18"/>
              </w:rPr>
              <w:t> </w:t>
            </w:r>
            <w:r>
              <w:rPr>
                <w:sz w:val="18"/>
              </w:rPr>
              <w:t>38,0 </w:t>
            </w:r>
            <w:r>
              <w:rPr>
                <w:spacing w:val="-5"/>
                <w:sz w:val="18"/>
              </w:rPr>
              <w:t>ºС)</w:t>
            </w:r>
          </w:p>
        </w:tc>
      </w:tr>
    </w:tbl>
    <w:p>
      <w:pPr>
        <w:spacing w:before="87"/>
        <w:ind w:left="0" w:right="15" w:firstLine="0"/>
        <w:jc w:val="center"/>
        <w:rPr>
          <w:rFonts w:ascii="Calibri"/>
          <w:sz w:val="22"/>
        </w:rPr>
      </w:pPr>
      <w:r>
        <w:rPr>
          <w:rFonts w:ascii="Calibri"/>
          <w:spacing w:val="-5"/>
          <w:sz w:val="22"/>
        </w:rPr>
        <w:t>207</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48"/>
        <w:gridCol w:w="708"/>
        <w:gridCol w:w="3505"/>
        <w:gridCol w:w="9669"/>
      </w:tblGrid>
      <w:tr>
        <w:trPr>
          <w:trHeight w:val="885" w:hRule="atLeast"/>
        </w:trPr>
        <w:tc>
          <w:tcPr>
            <w:tcW w:w="848" w:type="dxa"/>
            <w:vMerge w:val="restart"/>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91"/>
              <w:rPr>
                <w:sz w:val="20"/>
              </w:rPr>
            </w:pPr>
          </w:p>
          <w:p>
            <w:pPr>
              <w:pStyle w:val="TableParagraph"/>
              <w:spacing w:line="235" w:lineRule="auto"/>
              <w:ind w:left="106" w:right="152"/>
              <w:rPr>
                <w:b/>
                <w:sz w:val="13"/>
              </w:rPr>
            </w:pPr>
            <w:bookmarkStart w:name="209" w:id="250"/>
            <w:bookmarkEnd w:id="250"/>
            <w:r>
              <w:rPr/>
            </w:r>
            <w:r>
              <w:rPr>
                <w:b/>
                <w:spacing w:val="-2"/>
                <w:sz w:val="20"/>
              </w:rPr>
              <w:t>Схема </w:t>
            </w:r>
            <w:r>
              <w:rPr>
                <w:b/>
                <w:position w:val="-6"/>
                <w:sz w:val="20"/>
              </w:rPr>
              <w:t>5 </w:t>
            </w:r>
            <w:r>
              <w:rPr>
                <w:b/>
                <w:sz w:val="13"/>
              </w:rPr>
              <w:t>2, 4</w:t>
            </w:r>
          </w:p>
        </w:tc>
        <w:tc>
          <w:tcPr>
            <w:tcW w:w="708" w:type="dxa"/>
            <w:vMerge w:val="restart"/>
          </w:tcPr>
          <w:p>
            <w:pPr>
              <w:pStyle w:val="TableParagraph"/>
              <w:rPr>
                <w:sz w:val="13"/>
              </w:rPr>
            </w:pPr>
          </w:p>
          <w:p>
            <w:pPr>
              <w:pStyle w:val="TableParagraph"/>
              <w:rPr>
                <w:sz w:val="13"/>
              </w:rPr>
            </w:pPr>
          </w:p>
          <w:p>
            <w:pPr>
              <w:pStyle w:val="TableParagraph"/>
              <w:rPr>
                <w:sz w:val="13"/>
              </w:rPr>
            </w:pPr>
          </w:p>
          <w:p>
            <w:pPr>
              <w:pStyle w:val="TableParagraph"/>
              <w:rPr>
                <w:sz w:val="13"/>
              </w:rPr>
            </w:pPr>
          </w:p>
          <w:p>
            <w:pPr>
              <w:pStyle w:val="TableParagraph"/>
              <w:rPr>
                <w:sz w:val="13"/>
              </w:rPr>
            </w:pPr>
          </w:p>
          <w:p>
            <w:pPr>
              <w:pStyle w:val="TableParagraph"/>
              <w:spacing w:before="31"/>
              <w:rPr>
                <w:sz w:val="13"/>
              </w:rPr>
            </w:pPr>
          </w:p>
          <w:p>
            <w:pPr>
              <w:pStyle w:val="TableParagraph"/>
              <w:spacing w:before="1"/>
              <w:ind w:left="103"/>
              <w:rPr>
                <w:sz w:val="13"/>
              </w:rPr>
            </w:pPr>
            <w:r>
              <w:rPr>
                <w:b/>
                <w:position w:val="-6"/>
                <w:sz w:val="20"/>
              </w:rPr>
              <w:t>1 </w:t>
            </w:r>
            <w:r>
              <w:rPr>
                <w:spacing w:val="-10"/>
                <w:sz w:val="13"/>
              </w:rPr>
              <w:t>3</w:t>
            </w:r>
          </w:p>
        </w:tc>
        <w:tc>
          <w:tcPr>
            <w:tcW w:w="3505" w:type="dxa"/>
          </w:tcPr>
          <w:p>
            <w:pPr>
              <w:pStyle w:val="TableParagraph"/>
              <w:spacing w:before="101"/>
              <w:rPr>
                <w:sz w:val="20"/>
              </w:rPr>
            </w:pPr>
          </w:p>
          <w:p>
            <w:pPr>
              <w:pStyle w:val="TableParagraph"/>
              <w:ind w:left="102"/>
              <w:rPr>
                <w:b/>
                <w:sz w:val="20"/>
              </w:rPr>
            </w:pPr>
            <w:r>
              <w:rPr>
                <w:spacing w:val="-2"/>
                <w:sz w:val="20"/>
              </w:rPr>
              <w:t>Фавипиравир</w:t>
            </w:r>
            <w:r>
              <w:rPr>
                <w:spacing w:val="7"/>
                <w:sz w:val="20"/>
              </w:rPr>
              <w:t> </w:t>
            </w:r>
            <w:r>
              <w:rPr>
                <w:b/>
                <w:spacing w:val="-10"/>
                <w:sz w:val="20"/>
                <w:vertAlign w:val="superscript"/>
              </w:rPr>
              <w:t>5</w:t>
            </w:r>
          </w:p>
        </w:tc>
        <w:tc>
          <w:tcPr>
            <w:tcW w:w="9669" w:type="dxa"/>
          </w:tcPr>
          <w:p>
            <w:pPr>
              <w:pStyle w:val="TableParagraph"/>
              <w:spacing w:before="9"/>
              <w:ind w:left="98"/>
              <w:rPr>
                <w:sz w:val="18"/>
              </w:rPr>
            </w:pPr>
            <w:r>
              <w:rPr>
                <w:sz w:val="18"/>
              </w:rPr>
              <w:t>Для</w:t>
            </w:r>
            <w:r>
              <w:rPr>
                <w:spacing w:val="-1"/>
                <w:sz w:val="18"/>
              </w:rPr>
              <w:t> </w:t>
            </w:r>
            <w:r>
              <w:rPr>
                <w:sz w:val="18"/>
              </w:rPr>
              <w:t>пациентов</w:t>
            </w:r>
            <w:r>
              <w:rPr>
                <w:spacing w:val="-2"/>
                <w:sz w:val="18"/>
              </w:rPr>
              <w:t> </w:t>
            </w:r>
            <w:r>
              <w:rPr>
                <w:sz w:val="18"/>
              </w:rPr>
              <w:t>с</w:t>
            </w:r>
            <w:r>
              <w:rPr>
                <w:spacing w:val="-2"/>
                <w:sz w:val="18"/>
              </w:rPr>
              <w:t> </w:t>
            </w:r>
            <w:r>
              <w:rPr>
                <w:sz w:val="18"/>
              </w:rPr>
              <w:t>массой</w:t>
            </w:r>
            <w:r>
              <w:rPr>
                <w:spacing w:val="-3"/>
                <w:sz w:val="18"/>
              </w:rPr>
              <w:t> </w:t>
            </w:r>
            <w:r>
              <w:rPr>
                <w:sz w:val="18"/>
              </w:rPr>
              <w:t>тела</w:t>
            </w:r>
            <w:r>
              <w:rPr>
                <w:spacing w:val="-2"/>
                <w:sz w:val="18"/>
              </w:rPr>
              <w:t> </w:t>
            </w:r>
            <w:r>
              <w:rPr>
                <w:sz w:val="18"/>
              </w:rPr>
              <w:t>˂75 </w:t>
            </w:r>
            <w:r>
              <w:rPr>
                <w:spacing w:val="-5"/>
                <w:sz w:val="18"/>
              </w:rPr>
              <w:t>кг:</w:t>
            </w:r>
          </w:p>
          <w:p>
            <w:pPr>
              <w:pStyle w:val="TableParagraph"/>
              <w:spacing w:line="256" w:lineRule="auto" w:before="14"/>
              <w:ind w:left="98" w:right="3175"/>
              <w:rPr>
                <w:sz w:val="18"/>
              </w:rPr>
            </w:pPr>
            <w:r>
              <w:rPr>
                <w:sz w:val="18"/>
              </w:rPr>
              <w:t>по</w:t>
            </w:r>
            <w:r>
              <w:rPr>
                <w:spacing w:val="-1"/>
                <w:sz w:val="18"/>
              </w:rPr>
              <w:t> </w:t>
            </w:r>
            <w:r>
              <w:rPr>
                <w:sz w:val="18"/>
              </w:rPr>
              <w:t>1600</w:t>
            </w:r>
            <w:r>
              <w:rPr>
                <w:spacing w:val="-1"/>
                <w:sz w:val="18"/>
              </w:rPr>
              <w:t> </w:t>
            </w:r>
            <w:r>
              <w:rPr>
                <w:sz w:val="18"/>
              </w:rPr>
              <w:t>мг</w:t>
            </w:r>
            <w:r>
              <w:rPr>
                <w:spacing w:val="-2"/>
                <w:sz w:val="18"/>
              </w:rPr>
              <w:t> </w:t>
            </w:r>
            <w:r>
              <w:rPr>
                <w:sz w:val="18"/>
              </w:rPr>
              <w:t>2</w:t>
            </w:r>
            <w:r>
              <w:rPr>
                <w:spacing w:val="-3"/>
                <w:sz w:val="18"/>
              </w:rPr>
              <w:t> </w:t>
            </w:r>
            <w:r>
              <w:rPr>
                <w:sz w:val="18"/>
              </w:rPr>
              <w:t>р/сут</w:t>
            </w:r>
            <w:r>
              <w:rPr>
                <w:spacing w:val="-2"/>
                <w:sz w:val="18"/>
              </w:rPr>
              <w:t> </w:t>
            </w:r>
            <w:r>
              <w:rPr>
                <w:sz w:val="18"/>
              </w:rPr>
              <w:t>в</w:t>
            </w:r>
            <w:r>
              <w:rPr>
                <w:spacing w:val="-3"/>
                <w:sz w:val="18"/>
              </w:rPr>
              <w:t> </w:t>
            </w:r>
            <w:r>
              <w:rPr>
                <w:sz w:val="18"/>
              </w:rPr>
              <w:t>1-й</w:t>
            </w:r>
            <w:r>
              <w:rPr>
                <w:spacing w:val="-3"/>
                <w:sz w:val="18"/>
              </w:rPr>
              <w:t> </w:t>
            </w:r>
            <w:r>
              <w:rPr>
                <w:sz w:val="18"/>
              </w:rPr>
              <w:t>день</w:t>
            </w:r>
            <w:r>
              <w:rPr>
                <w:spacing w:val="-3"/>
                <w:sz w:val="18"/>
              </w:rPr>
              <w:t> </w:t>
            </w:r>
            <w:r>
              <w:rPr>
                <w:sz w:val="18"/>
              </w:rPr>
              <w:t>и</w:t>
            </w:r>
            <w:r>
              <w:rPr>
                <w:spacing w:val="-5"/>
                <w:sz w:val="18"/>
              </w:rPr>
              <w:t> </w:t>
            </w:r>
            <w:r>
              <w:rPr>
                <w:sz w:val="18"/>
              </w:rPr>
              <w:t>далее</w:t>
            </w:r>
            <w:r>
              <w:rPr>
                <w:spacing w:val="-3"/>
                <w:sz w:val="18"/>
              </w:rPr>
              <w:t> </w:t>
            </w:r>
            <w:r>
              <w:rPr>
                <w:sz w:val="18"/>
              </w:rPr>
              <w:t>по</w:t>
            </w:r>
            <w:r>
              <w:rPr>
                <w:spacing w:val="-1"/>
                <w:sz w:val="18"/>
              </w:rPr>
              <w:t> </w:t>
            </w:r>
            <w:r>
              <w:rPr>
                <w:sz w:val="18"/>
              </w:rPr>
              <w:t>600</w:t>
            </w:r>
            <w:r>
              <w:rPr>
                <w:spacing w:val="-3"/>
                <w:sz w:val="18"/>
              </w:rPr>
              <w:t> </w:t>
            </w:r>
            <w:r>
              <w:rPr>
                <w:sz w:val="18"/>
              </w:rPr>
              <w:t>мг</w:t>
            </w:r>
            <w:r>
              <w:rPr>
                <w:spacing w:val="-4"/>
                <w:sz w:val="18"/>
              </w:rPr>
              <w:t> </w:t>
            </w:r>
            <w:r>
              <w:rPr>
                <w:sz w:val="18"/>
              </w:rPr>
              <w:t>2</w:t>
            </w:r>
            <w:r>
              <w:rPr>
                <w:spacing w:val="-1"/>
                <w:sz w:val="18"/>
              </w:rPr>
              <w:t> </w:t>
            </w:r>
            <w:r>
              <w:rPr>
                <w:sz w:val="18"/>
              </w:rPr>
              <w:t>р/сут</w:t>
            </w:r>
            <w:r>
              <w:rPr>
                <w:spacing w:val="-2"/>
                <w:sz w:val="18"/>
              </w:rPr>
              <w:t> </w:t>
            </w:r>
            <w:r>
              <w:rPr>
                <w:sz w:val="18"/>
              </w:rPr>
              <w:t>со</w:t>
            </w:r>
            <w:r>
              <w:rPr>
                <w:spacing w:val="-3"/>
                <w:sz w:val="18"/>
              </w:rPr>
              <w:t> </w:t>
            </w:r>
            <w:r>
              <w:rPr>
                <w:sz w:val="18"/>
              </w:rPr>
              <w:t>2</w:t>
            </w:r>
            <w:r>
              <w:rPr>
                <w:spacing w:val="-1"/>
                <w:sz w:val="18"/>
              </w:rPr>
              <w:t> </w:t>
            </w:r>
            <w:r>
              <w:rPr>
                <w:sz w:val="18"/>
              </w:rPr>
              <w:t>по</w:t>
            </w:r>
            <w:r>
              <w:rPr>
                <w:spacing w:val="-3"/>
                <w:sz w:val="18"/>
              </w:rPr>
              <w:t> </w:t>
            </w:r>
            <w:r>
              <w:rPr>
                <w:sz w:val="18"/>
              </w:rPr>
              <w:t>10</w:t>
            </w:r>
            <w:r>
              <w:rPr>
                <w:spacing w:val="-1"/>
                <w:sz w:val="18"/>
              </w:rPr>
              <w:t> </w:t>
            </w:r>
            <w:r>
              <w:rPr>
                <w:sz w:val="18"/>
              </w:rPr>
              <w:t>дни</w:t>
            </w:r>
            <w:r>
              <w:rPr>
                <w:spacing w:val="-3"/>
                <w:sz w:val="18"/>
              </w:rPr>
              <w:t> </w:t>
            </w:r>
            <w:r>
              <w:rPr>
                <w:sz w:val="18"/>
              </w:rPr>
              <w:t>(таблетки). Для пациентов с массой тела 75 кг и более:</w:t>
            </w:r>
          </w:p>
          <w:p>
            <w:pPr>
              <w:pStyle w:val="TableParagraph"/>
              <w:spacing w:line="192" w:lineRule="exact"/>
              <w:ind w:left="98"/>
              <w:rPr>
                <w:sz w:val="18"/>
              </w:rPr>
            </w:pPr>
            <w:r>
              <w:rPr>
                <w:sz w:val="18"/>
              </w:rPr>
              <w:t>по</w:t>
            </w:r>
            <w:r>
              <w:rPr>
                <w:spacing w:val="-2"/>
                <w:sz w:val="18"/>
              </w:rPr>
              <w:t> </w:t>
            </w:r>
            <w:r>
              <w:rPr>
                <w:sz w:val="18"/>
              </w:rPr>
              <w:t>1800 мг</w:t>
            </w:r>
            <w:r>
              <w:rPr>
                <w:spacing w:val="-1"/>
                <w:sz w:val="18"/>
              </w:rPr>
              <w:t> </w:t>
            </w:r>
            <w:r>
              <w:rPr>
                <w:sz w:val="18"/>
              </w:rPr>
              <w:t>2</w:t>
            </w:r>
            <w:r>
              <w:rPr>
                <w:spacing w:val="-1"/>
                <w:sz w:val="18"/>
              </w:rPr>
              <w:t> </w:t>
            </w:r>
            <w:r>
              <w:rPr>
                <w:sz w:val="18"/>
              </w:rPr>
              <w:t>раза/сут</w:t>
            </w:r>
            <w:r>
              <w:rPr>
                <w:spacing w:val="-3"/>
                <w:sz w:val="18"/>
              </w:rPr>
              <w:t> </w:t>
            </w:r>
            <w:r>
              <w:rPr>
                <w:sz w:val="18"/>
              </w:rPr>
              <w:t>в</w:t>
            </w:r>
            <w:r>
              <w:rPr>
                <w:spacing w:val="-2"/>
                <w:sz w:val="18"/>
              </w:rPr>
              <w:t> </w:t>
            </w:r>
            <w:r>
              <w:rPr>
                <w:sz w:val="18"/>
              </w:rPr>
              <w:t>1-й</w:t>
            </w:r>
            <w:r>
              <w:rPr>
                <w:spacing w:val="-1"/>
                <w:sz w:val="18"/>
              </w:rPr>
              <w:t> </w:t>
            </w:r>
            <w:r>
              <w:rPr>
                <w:sz w:val="18"/>
              </w:rPr>
              <w:t>день,</w:t>
            </w:r>
            <w:r>
              <w:rPr>
                <w:spacing w:val="-1"/>
                <w:sz w:val="18"/>
              </w:rPr>
              <w:t> </w:t>
            </w:r>
            <w:r>
              <w:rPr>
                <w:sz w:val="18"/>
              </w:rPr>
              <w:t>далее</w:t>
            </w:r>
            <w:r>
              <w:rPr>
                <w:spacing w:val="-2"/>
                <w:sz w:val="18"/>
              </w:rPr>
              <w:t> </w:t>
            </w:r>
            <w:r>
              <w:rPr>
                <w:sz w:val="18"/>
              </w:rPr>
              <w:t>по</w:t>
            </w:r>
            <w:r>
              <w:rPr>
                <w:spacing w:val="1"/>
                <w:sz w:val="18"/>
              </w:rPr>
              <w:t> </w:t>
            </w:r>
            <w:r>
              <w:rPr>
                <w:sz w:val="18"/>
              </w:rPr>
              <w:t>800</w:t>
            </w:r>
            <w:r>
              <w:rPr>
                <w:spacing w:val="-2"/>
                <w:sz w:val="18"/>
              </w:rPr>
              <w:t> </w:t>
            </w:r>
            <w:r>
              <w:rPr>
                <w:sz w:val="18"/>
              </w:rPr>
              <w:t>мг</w:t>
            </w:r>
            <w:r>
              <w:rPr>
                <w:spacing w:val="-3"/>
                <w:sz w:val="18"/>
              </w:rPr>
              <w:t> </w:t>
            </w:r>
            <w:r>
              <w:rPr>
                <w:sz w:val="18"/>
              </w:rPr>
              <w:t>2</w:t>
            </w:r>
            <w:r>
              <w:rPr>
                <w:spacing w:val="-1"/>
                <w:sz w:val="18"/>
              </w:rPr>
              <w:t> </w:t>
            </w:r>
            <w:r>
              <w:rPr>
                <w:sz w:val="18"/>
              </w:rPr>
              <w:t>раза/сут</w:t>
            </w:r>
            <w:r>
              <w:rPr>
                <w:spacing w:val="-3"/>
                <w:sz w:val="18"/>
              </w:rPr>
              <w:t> </w:t>
            </w:r>
            <w:r>
              <w:rPr>
                <w:sz w:val="18"/>
              </w:rPr>
              <w:t>со 2</w:t>
            </w:r>
            <w:r>
              <w:rPr>
                <w:spacing w:val="-1"/>
                <w:sz w:val="18"/>
              </w:rPr>
              <w:t> </w:t>
            </w:r>
            <w:r>
              <w:rPr>
                <w:sz w:val="18"/>
              </w:rPr>
              <w:t>по 10 день</w:t>
            </w:r>
            <w:r>
              <w:rPr>
                <w:spacing w:val="-1"/>
                <w:sz w:val="18"/>
              </w:rPr>
              <w:t> </w:t>
            </w:r>
            <w:r>
              <w:rPr>
                <w:spacing w:val="-2"/>
                <w:sz w:val="18"/>
              </w:rPr>
              <w:t>(таблетки).</w:t>
            </w:r>
          </w:p>
        </w:tc>
      </w:tr>
      <w:tr>
        <w:trPr>
          <w:trHeight w:val="301" w:hRule="atLeast"/>
        </w:trPr>
        <w:tc>
          <w:tcPr>
            <w:tcW w:w="848" w:type="dxa"/>
            <w:vMerge/>
            <w:tcBorders>
              <w:top w:val="nil"/>
            </w:tcBorders>
          </w:tcPr>
          <w:p>
            <w:pPr>
              <w:rPr>
                <w:sz w:val="2"/>
                <w:szCs w:val="2"/>
              </w:rPr>
            </w:pPr>
          </w:p>
        </w:tc>
        <w:tc>
          <w:tcPr>
            <w:tcW w:w="708" w:type="dxa"/>
            <w:vMerge/>
            <w:tcBorders>
              <w:top w:val="nil"/>
            </w:tcBorders>
          </w:tcPr>
          <w:p>
            <w:pPr>
              <w:rPr>
                <w:sz w:val="2"/>
                <w:szCs w:val="2"/>
              </w:rPr>
            </w:pPr>
          </w:p>
        </w:tc>
        <w:tc>
          <w:tcPr>
            <w:tcW w:w="13174" w:type="dxa"/>
            <w:gridSpan w:val="2"/>
          </w:tcPr>
          <w:p>
            <w:pPr>
              <w:pStyle w:val="TableParagraph"/>
              <w:spacing w:before="38"/>
              <w:ind w:left="102"/>
              <w:rPr>
                <w:sz w:val="20"/>
              </w:rPr>
            </w:pPr>
            <w:r>
              <w:rPr>
                <w:spacing w:val="-5"/>
                <w:sz w:val="20"/>
              </w:rPr>
              <w:t>или</w:t>
            </w:r>
          </w:p>
        </w:tc>
      </w:tr>
      <w:tr>
        <w:trPr>
          <w:trHeight w:val="885" w:hRule="atLeast"/>
        </w:trPr>
        <w:tc>
          <w:tcPr>
            <w:tcW w:w="848" w:type="dxa"/>
            <w:vMerge/>
            <w:tcBorders>
              <w:top w:val="nil"/>
            </w:tcBorders>
          </w:tcPr>
          <w:p>
            <w:pPr>
              <w:rPr>
                <w:sz w:val="2"/>
                <w:szCs w:val="2"/>
              </w:rPr>
            </w:pPr>
          </w:p>
        </w:tc>
        <w:tc>
          <w:tcPr>
            <w:tcW w:w="708" w:type="dxa"/>
            <w:vMerge/>
            <w:tcBorders>
              <w:top w:val="nil"/>
            </w:tcBorders>
          </w:tcPr>
          <w:p>
            <w:pPr>
              <w:rPr>
                <w:sz w:val="2"/>
                <w:szCs w:val="2"/>
              </w:rPr>
            </w:pPr>
          </w:p>
        </w:tc>
        <w:tc>
          <w:tcPr>
            <w:tcW w:w="3505" w:type="dxa"/>
          </w:tcPr>
          <w:p>
            <w:pPr>
              <w:pStyle w:val="TableParagraph"/>
              <w:spacing w:before="100"/>
              <w:rPr>
                <w:sz w:val="20"/>
              </w:rPr>
            </w:pPr>
          </w:p>
          <w:p>
            <w:pPr>
              <w:pStyle w:val="TableParagraph"/>
              <w:ind w:left="102"/>
              <w:rPr>
                <w:sz w:val="20"/>
              </w:rPr>
            </w:pPr>
            <w:r>
              <w:rPr>
                <w:spacing w:val="-2"/>
                <w:sz w:val="20"/>
              </w:rPr>
              <w:t>Фавипиравир+Цинка</w:t>
            </w:r>
            <w:r>
              <w:rPr>
                <w:spacing w:val="8"/>
                <w:sz w:val="20"/>
              </w:rPr>
              <w:t> </w:t>
            </w:r>
            <w:r>
              <w:rPr>
                <w:spacing w:val="-2"/>
                <w:sz w:val="20"/>
              </w:rPr>
              <w:t>глюконат</w:t>
            </w:r>
            <w:r>
              <w:rPr>
                <w:spacing w:val="-2"/>
                <w:sz w:val="20"/>
                <w:vertAlign w:val="superscript"/>
              </w:rPr>
              <w:t>5</w:t>
            </w:r>
          </w:p>
        </w:tc>
        <w:tc>
          <w:tcPr>
            <w:tcW w:w="9669" w:type="dxa"/>
          </w:tcPr>
          <w:p>
            <w:pPr>
              <w:pStyle w:val="TableParagraph"/>
              <w:spacing w:before="10"/>
              <w:ind w:left="98"/>
              <w:rPr>
                <w:sz w:val="18"/>
              </w:rPr>
            </w:pPr>
            <w:r>
              <w:rPr>
                <w:sz w:val="18"/>
              </w:rPr>
              <w:t>Для</w:t>
            </w:r>
            <w:r>
              <w:rPr>
                <w:spacing w:val="-1"/>
                <w:sz w:val="18"/>
              </w:rPr>
              <w:t> </w:t>
            </w:r>
            <w:r>
              <w:rPr>
                <w:sz w:val="18"/>
              </w:rPr>
              <w:t>пациентов</w:t>
            </w:r>
            <w:r>
              <w:rPr>
                <w:spacing w:val="-2"/>
                <w:sz w:val="18"/>
              </w:rPr>
              <w:t> </w:t>
            </w:r>
            <w:r>
              <w:rPr>
                <w:sz w:val="18"/>
              </w:rPr>
              <w:t>с</w:t>
            </w:r>
            <w:r>
              <w:rPr>
                <w:spacing w:val="-2"/>
                <w:sz w:val="18"/>
              </w:rPr>
              <w:t> </w:t>
            </w:r>
            <w:r>
              <w:rPr>
                <w:sz w:val="18"/>
              </w:rPr>
              <w:t>массой</w:t>
            </w:r>
            <w:r>
              <w:rPr>
                <w:spacing w:val="-3"/>
                <w:sz w:val="18"/>
              </w:rPr>
              <w:t> </w:t>
            </w:r>
            <w:r>
              <w:rPr>
                <w:sz w:val="18"/>
              </w:rPr>
              <w:t>тела</w:t>
            </w:r>
            <w:r>
              <w:rPr>
                <w:spacing w:val="-2"/>
                <w:sz w:val="18"/>
              </w:rPr>
              <w:t> </w:t>
            </w:r>
            <w:r>
              <w:rPr>
                <w:sz w:val="18"/>
              </w:rPr>
              <w:t>˂75 </w:t>
            </w:r>
            <w:r>
              <w:rPr>
                <w:spacing w:val="-5"/>
                <w:sz w:val="18"/>
              </w:rPr>
              <w:t>кг:</w:t>
            </w:r>
          </w:p>
          <w:p>
            <w:pPr>
              <w:pStyle w:val="TableParagraph"/>
              <w:spacing w:line="256" w:lineRule="auto" w:before="14"/>
              <w:ind w:left="98" w:right="3170"/>
              <w:rPr>
                <w:sz w:val="18"/>
              </w:rPr>
            </w:pPr>
            <w:r>
              <w:rPr>
                <w:sz w:val="18"/>
              </w:rPr>
              <w:t>по</w:t>
            </w:r>
            <w:r>
              <w:rPr>
                <w:spacing w:val="-2"/>
                <w:sz w:val="18"/>
              </w:rPr>
              <w:t> </w:t>
            </w:r>
            <w:r>
              <w:rPr>
                <w:sz w:val="18"/>
              </w:rPr>
              <w:t>1600</w:t>
            </w:r>
            <w:r>
              <w:rPr>
                <w:spacing w:val="-2"/>
                <w:sz w:val="18"/>
              </w:rPr>
              <w:t> </w:t>
            </w:r>
            <w:r>
              <w:rPr>
                <w:sz w:val="18"/>
              </w:rPr>
              <w:t>мг</w:t>
            </w:r>
            <w:r>
              <w:rPr>
                <w:spacing w:val="-2"/>
                <w:sz w:val="18"/>
              </w:rPr>
              <w:t> </w:t>
            </w:r>
            <w:r>
              <w:rPr>
                <w:sz w:val="18"/>
              </w:rPr>
              <w:t>2</w:t>
            </w:r>
            <w:r>
              <w:rPr>
                <w:spacing w:val="-3"/>
                <w:sz w:val="18"/>
              </w:rPr>
              <w:t> </w:t>
            </w:r>
            <w:r>
              <w:rPr>
                <w:sz w:val="18"/>
              </w:rPr>
              <w:t>р/сут</w:t>
            </w:r>
            <w:r>
              <w:rPr>
                <w:spacing w:val="-2"/>
                <w:sz w:val="18"/>
              </w:rPr>
              <w:t> </w:t>
            </w:r>
            <w:r>
              <w:rPr>
                <w:sz w:val="18"/>
              </w:rPr>
              <w:t>в</w:t>
            </w:r>
            <w:r>
              <w:rPr>
                <w:spacing w:val="-3"/>
                <w:sz w:val="18"/>
              </w:rPr>
              <w:t> </w:t>
            </w:r>
            <w:r>
              <w:rPr>
                <w:sz w:val="18"/>
              </w:rPr>
              <w:t>1-й</w:t>
            </w:r>
            <w:r>
              <w:rPr>
                <w:spacing w:val="-3"/>
                <w:sz w:val="18"/>
              </w:rPr>
              <w:t> </w:t>
            </w:r>
            <w:r>
              <w:rPr>
                <w:sz w:val="18"/>
              </w:rPr>
              <w:t>день</w:t>
            </w:r>
            <w:r>
              <w:rPr>
                <w:spacing w:val="-3"/>
                <w:sz w:val="18"/>
              </w:rPr>
              <w:t> </w:t>
            </w:r>
            <w:r>
              <w:rPr>
                <w:sz w:val="18"/>
              </w:rPr>
              <w:t>и</w:t>
            </w:r>
            <w:r>
              <w:rPr>
                <w:spacing w:val="-5"/>
                <w:sz w:val="18"/>
              </w:rPr>
              <w:t> </w:t>
            </w:r>
            <w:r>
              <w:rPr>
                <w:sz w:val="18"/>
              </w:rPr>
              <w:t>далее</w:t>
            </w:r>
            <w:r>
              <w:rPr>
                <w:spacing w:val="-3"/>
                <w:sz w:val="18"/>
              </w:rPr>
              <w:t> </w:t>
            </w:r>
            <w:r>
              <w:rPr>
                <w:sz w:val="18"/>
              </w:rPr>
              <w:t>по</w:t>
            </w:r>
            <w:r>
              <w:rPr>
                <w:spacing w:val="-2"/>
                <w:sz w:val="18"/>
              </w:rPr>
              <w:t> </w:t>
            </w:r>
            <w:r>
              <w:rPr>
                <w:sz w:val="18"/>
              </w:rPr>
              <w:t>600</w:t>
            </w:r>
            <w:r>
              <w:rPr>
                <w:spacing w:val="-3"/>
                <w:sz w:val="18"/>
              </w:rPr>
              <w:t> </w:t>
            </w:r>
            <w:r>
              <w:rPr>
                <w:sz w:val="18"/>
              </w:rPr>
              <w:t>мг</w:t>
            </w:r>
            <w:r>
              <w:rPr>
                <w:spacing w:val="-4"/>
                <w:sz w:val="18"/>
              </w:rPr>
              <w:t> </w:t>
            </w:r>
            <w:r>
              <w:rPr>
                <w:sz w:val="18"/>
              </w:rPr>
              <w:t>2</w:t>
            </w:r>
            <w:r>
              <w:rPr>
                <w:spacing w:val="-2"/>
                <w:sz w:val="18"/>
              </w:rPr>
              <w:t> </w:t>
            </w:r>
            <w:r>
              <w:rPr>
                <w:sz w:val="18"/>
              </w:rPr>
              <w:t>р/сут</w:t>
            </w:r>
            <w:r>
              <w:rPr>
                <w:spacing w:val="-2"/>
                <w:sz w:val="18"/>
              </w:rPr>
              <w:t> </w:t>
            </w:r>
            <w:r>
              <w:rPr>
                <w:sz w:val="18"/>
              </w:rPr>
              <w:t>со</w:t>
            </w:r>
            <w:r>
              <w:rPr>
                <w:spacing w:val="-3"/>
                <w:sz w:val="18"/>
              </w:rPr>
              <w:t> </w:t>
            </w:r>
            <w:r>
              <w:rPr>
                <w:sz w:val="18"/>
              </w:rPr>
              <w:t>2</w:t>
            </w:r>
            <w:r>
              <w:rPr>
                <w:spacing w:val="-2"/>
                <w:sz w:val="18"/>
              </w:rPr>
              <w:t> </w:t>
            </w:r>
            <w:r>
              <w:rPr>
                <w:sz w:val="18"/>
              </w:rPr>
              <w:t>по</w:t>
            </w:r>
            <w:r>
              <w:rPr>
                <w:spacing w:val="-1"/>
                <w:sz w:val="18"/>
              </w:rPr>
              <w:t> </w:t>
            </w:r>
            <w:r>
              <w:rPr>
                <w:sz w:val="18"/>
              </w:rPr>
              <w:t>5</w:t>
            </w:r>
            <w:r>
              <w:rPr>
                <w:spacing w:val="-2"/>
                <w:sz w:val="18"/>
              </w:rPr>
              <w:t> </w:t>
            </w:r>
            <w:r>
              <w:rPr>
                <w:sz w:val="18"/>
              </w:rPr>
              <w:t>день</w:t>
            </w:r>
            <w:r>
              <w:rPr>
                <w:spacing w:val="-3"/>
                <w:sz w:val="18"/>
              </w:rPr>
              <w:t> </w:t>
            </w:r>
            <w:r>
              <w:rPr>
                <w:sz w:val="18"/>
              </w:rPr>
              <w:t>(таблетки). Для пациентов с массой тела 75 кг и более:</w:t>
            </w:r>
          </w:p>
          <w:p>
            <w:pPr>
              <w:pStyle w:val="TableParagraph"/>
              <w:spacing w:line="192" w:lineRule="exact"/>
              <w:ind w:left="98"/>
              <w:rPr>
                <w:sz w:val="18"/>
              </w:rPr>
            </w:pPr>
            <w:r>
              <w:rPr>
                <w:sz w:val="18"/>
              </w:rPr>
              <w:t>по</w:t>
            </w:r>
            <w:r>
              <w:rPr>
                <w:spacing w:val="-2"/>
                <w:sz w:val="18"/>
              </w:rPr>
              <w:t> </w:t>
            </w:r>
            <w:r>
              <w:rPr>
                <w:sz w:val="18"/>
              </w:rPr>
              <w:t>1800 мг</w:t>
            </w:r>
            <w:r>
              <w:rPr>
                <w:spacing w:val="-1"/>
                <w:sz w:val="18"/>
              </w:rPr>
              <w:t> </w:t>
            </w:r>
            <w:r>
              <w:rPr>
                <w:sz w:val="18"/>
              </w:rPr>
              <w:t>2</w:t>
            </w:r>
            <w:r>
              <w:rPr>
                <w:spacing w:val="-1"/>
                <w:sz w:val="18"/>
              </w:rPr>
              <w:t> </w:t>
            </w:r>
            <w:r>
              <w:rPr>
                <w:sz w:val="18"/>
              </w:rPr>
              <w:t>раза/сут</w:t>
            </w:r>
            <w:r>
              <w:rPr>
                <w:spacing w:val="-1"/>
                <w:sz w:val="18"/>
              </w:rPr>
              <w:t> </w:t>
            </w:r>
            <w:r>
              <w:rPr>
                <w:sz w:val="18"/>
              </w:rPr>
              <w:t>в</w:t>
            </w:r>
            <w:r>
              <w:rPr>
                <w:spacing w:val="-2"/>
                <w:sz w:val="18"/>
              </w:rPr>
              <w:t> </w:t>
            </w:r>
            <w:r>
              <w:rPr>
                <w:sz w:val="18"/>
              </w:rPr>
              <w:t>1-й</w:t>
            </w:r>
            <w:r>
              <w:rPr>
                <w:spacing w:val="-2"/>
                <w:sz w:val="18"/>
              </w:rPr>
              <w:t> </w:t>
            </w:r>
            <w:r>
              <w:rPr>
                <w:sz w:val="18"/>
              </w:rPr>
              <w:t>день, далее</w:t>
            </w:r>
            <w:r>
              <w:rPr>
                <w:spacing w:val="-2"/>
                <w:sz w:val="18"/>
              </w:rPr>
              <w:t> </w:t>
            </w:r>
            <w:r>
              <w:rPr>
                <w:sz w:val="18"/>
              </w:rPr>
              <w:t>по 800</w:t>
            </w:r>
            <w:r>
              <w:rPr>
                <w:spacing w:val="-2"/>
                <w:sz w:val="18"/>
              </w:rPr>
              <w:t> </w:t>
            </w:r>
            <w:r>
              <w:rPr>
                <w:sz w:val="18"/>
              </w:rPr>
              <w:t>мг</w:t>
            </w:r>
            <w:r>
              <w:rPr>
                <w:spacing w:val="-2"/>
                <w:sz w:val="18"/>
              </w:rPr>
              <w:t> </w:t>
            </w:r>
            <w:r>
              <w:rPr>
                <w:sz w:val="18"/>
              </w:rPr>
              <w:t>2</w:t>
            </w:r>
            <w:r>
              <w:rPr>
                <w:spacing w:val="-2"/>
                <w:sz w:val="18"/>
              </w:rPr>
              <w:t> </w:t>
            </w:r>
            <w:r>
              <w:rPr>
                <w:sz w:val="18"/>
              </w:rPr>
              <w:t>раза/сут</w:t>
            </w:r>
            <w:r>
              <w:rPr>
                <w:spacing w:val="-3"/>
                <w:sz w:val="18"/>
              </w:rPr>
              <w:t> </w:t>
            </w:r>
            <w:r>
              <w:rPr>
                <w:sz w:val="18"/>
              </w:rPr>
              <w:t>со</w:t>
            </w:r>
            <w:r>
              <w:rPr>
                <w:spacing w:val="1"/>
                <w:sz w:val="18"/>
              </w:rPr>
              <w:t> </w:t>
            </w:r>
            <w:r>
              <w:rPr>
                <w:sz w:val="18"/>
              </w:rPr>
              <w:t>2</w:t>
            </w:r>
            <w:r>
              <w:rPr>
                <w:spacing w:val="-2"/>
                <w:sz w:val="18"/>
              </w:rPr>
              <w:t> </w:t>
            </w:r>
            <w:r>
              <w:rPr>
                <w:sz w:val="18"/>
              </w:rPr>
              <w:t>по</w:t>
            </w:r>
            <w:r>
              <w:rPr>
                <w:spacing w:val="4"/>
                <w:sz w:val="18"/>
              </w:rPr>
              <w:t> </w:t>
            </w:r>
            <w:r>
              <w:rPr>
                <w:sz w:val="18"/>
              </w:rPr>
              <w:t>5</w:t>
            </w:r>
            <w:r>
              <w:rPr>
                <w:spacing w:val="-2"/>
                <w:sz w:val="18"/>
              </w:rPr>
              <w:t> </w:t>
            </w:r>
            <w:r>
              <w:rPr>
                <w:sz w:val="18"/>
              </w:rPr>
              <w:t>день </w:t>
            </w:r>
            <w:r>
              <w:rPr>
                <w:spacing w:val="-2"/>
                <w:sz w:val="18"/>
              </w:rPr>
              <w:t>(таблетки).</w:t>
            </w:r>
          </w:p>
        </w:tc>
      </w:tr>
      <w:tr>
        <w:trPr>
          <w:trHeight w:val="426" w:hRule="atLeast"/>
        </w:trPr>
        <w:tc>
          <w:tcPr>
            <w:tcW w:w="848" w:type="dxa"/>
            <w:vMerge/>
            <w:tcBorders>
              <w:top w:val="nil"/>
            </w:tcBorders>
          </w:tcPr>
          <w:p>
            <w:pPr>
              <w:rPr>
                <w:sz w:val="2"/>
                <w:szCs w:val="2"/>
              </w:rPr>
            </w:pPr>
          </w:p>
        </w:tc>
        <w:tc>
          <w:tcPr>
            <w:tcW w:w="708" w:type="dxa"/>
          </w:tcPr>
          <w:p>
            <w:pPr>
              <w:pStyle w:val="TableParagraph"/>
              <w:spacing w:before="99"/>
              <w:ind w:left="103"/>
              <w:rPr>
                <w:b/>
                <w:sz w:val="20"/>
              </w:rPr>
            </w:pPr>
            <w:r>
              <w:rPr>
                <w:b/>
                <w:spacing w:val="-10"/>
                <w:sz w:val="20"/>
              </w:rPr>
              <w:t>2</w:t>
            </w:r>
          </w:p>
        </w:tc>
        <w:tc>
          <w:tcPr>
            <w:tcW w:w="3505" w:type="dxa"/>
          </w:tcPr>
          <w:p>
            <w:pPr>
              <w:pStyle w:val="TableParagraph"/>
              <w:spacing w:before="99"/>
              <w:ind w:left="102"/>
              <w:rPr>
                <w:b/>
                <w:sz w:val="20"/>
              </w:rPr>
            </w:pPr>
            <w:r>
              <w:rPr>
                <w:sz w:val="20"/>
              </w:rPr>
              <w:t>ИФН-α,</w:t>
            </w:r>
            <w:r>
              <w:rPr>
                <w:spacing w:val="-9"/>
                <w:sz w:val="20"/>
              </w:rPr>
              <w:t> </w:t>
            </w:r>
            <w:r>
              <w:rPr>
                <w:sz w:val="20"/>
              </w:rPr>
              <w:t>интраназальные</w:t>
            </w:r>
            <w:r>
              <w:rPr>
                <w:spacing w:val="-9"/>
                <w:sz w:val="20"/>
              </w:rPr>
              <w:t> </w:t>
            </w:r>
            <w:r>
              <w:rPr>
                <w:sz w:val="20"/>
              </w:rPr>
              <w:t>формы</w:t>
            </w:r>
            <w:r>
              <w:rPr>
                <w:spacing w:val="-7"/>
                <w:sz w:val="20"/>
              </w:rPr>
              <w:t> </w:t>
            </w:r>
            <w:r>
              <w:rPr>
                <w:b/>
                <w:spacing w:val="-10"/>
                <w:sz w:val="20"/>
                <w:vertAlign w:val="superscript"/>
              </w:rPr>
              <w:t>5</w:t>
            </w:r>
          </w:p>
        </w:tc>
        <w:tc>
          <w:tcPr>
            <w:tcW w:w="9669" w:type="dxa"/>
          </w:tcPr>
          <w:p>
            <w:pPr>
              <w:pStyle w:val="TableParagraph"/>
              <w:spacing w:line="206" w:lineRule="exact"/>
              <w:ind w:left="144" w:right="2187" w:hanging="46"/>
              <w:rPr>
                <w:sz w:val="18"/>
              </w:rPr>
            </w:pPr>
            <w:r>
              <w:rPr>
                <w:sz w:val="18"/>
              </w:rPr>
              <w:t>В</w:t>
            </w:r>
            <w:r>
              <w:rPr>
                <w:spacing w:val="-5"/>
                <w:sz w:val="18"/>
              </w:rPr>
              <w:t> </w:t>
            </w:r>
            <w:r>
              <w:rPr>
                <w:sz w:val="18"/>
              </w:rPr>
              <w:t>соответствии</w:t>
            </w:r>
            <w:r>
              <w:rPr>
                <w:spacing w:val="-6"/>
                <w:sz w:val="18"/>
              </w:rPr>
              <w:t> </w:t>
            </w:r>
            <w:r>
              <w:rPr>
                <w:sz w:val="18"/>
              </w:rPr>
              <w:t>с</w:t>
            </w:r>
            <w:r>
              <w:rPr>
                <w:spacing w:val="-6"/>
                <w:sz w:val="18"/>
              </w:rPr>
              <w:t> </w:t>
            </w:r>
            <w:r>
              <w:rPr>
                <w:sz w:val="18"/>
              </w:rPr>
              <w:t>инструкцией</w:t>
            </w:r>
            <w:r>
              <w:rPr>
                <w:spacing w:val="-6"/>
                <w:sz w:val="18"/>
              </w:rPr>
              <w:t> </w:t>
            </w:r>
            <w:r>
              <w:rPr>
                <w:sz w:val="18"/>
              </w:rPr>
              <w:t>по</w:t>
            </w:r>
            <w:r>
              <w:rPr>
                <w:spacing w:val="-4"/>
                <w:sz w:val="18"/>
              </w:rPr>
              <w:t> </w:t>
            </w:r>
            <w:r>
              <w:rPr>
                <w:sz w:val="18"/>
              </w:rPr>
              <w:t>применению</w:t>
            </w:r>
            <w:r>
              <w:rPr>
                <w:spacing w:val="-5"/>
                <w:sz w:val="18"/>
              </w:rPr>
              <w:t> </w:t>
            </w:r>
            <w:r>
              <w:rPr>
                <w:sz w:val="18"/>
              </w:rPr>
              <w:t>препарата</w:t>
            </w:r>
            <w:r>
              <w:rPr>
                <w:spacing w:val="-6"/>
                <w:sz w:val="18"/>
              </w:rPr>
              <w:t> </w:t>
            </w:r>
            <w:r>
              <w:rPr>
                <w:sz w:val="18"/>
              </w:rPr>
              <w:t>(спрей,</w:t>
            </w:r>
            <w:r>
              <w:rPr>
                <w:spacing w:val="-5"/>
                <w:sz w:val="18"/>
              </w:rPr>
              <w:t> </w:t>
            </w:r>
            <w:r>
              <w:rPr>
                <w:sz w:val="18"/>
              </w:rPr>
              <w:t>капли,</w:t>
            </w:r>
            <w:r>
              <w:rPr>
                <w:spacing w:val="-5"/>
                <w:sz w:val="18"/>
              </w:rPr>
              <w:t> </w:t>
            </w:r>
            <w:r>
              <w:rPr>
                <w:sz w:val="18"/>
              </w:rPr>
              <w:t>раствор,</w:t>
            </w:r>
            <w:r>
              <w:rPr>
                <w:spacing w:val="-1"/>
                <w:sz w:val="18"/>
              </w:rPr>
              <w:t> </w:t>
            </w:r>
            <w:r>
              <w:rPr>
                <w:sz w:val="18"/>
              </w:rPr>
              <w:t>лиофилизат для приготовления раствора, гель или мазь)</w:t>
            </w:r>
          </w:p>
        </w:tc>
      </w:tr>
      <w:tr>
        <w:trPr>
          <w:trHeight w:val="474" w:hRule="atLeast"/>
        </w:trPr>
        <w:tc>
          <w:tcPr>
            <w:tcW w:w="848" w:type="dxa"/>
            <w:vMerge/>
            <w:tcBorders>
              <w:top w:val="nil"/>
            </w:tcBorders>
          </w:tcPr>
          <w:p>
            <w:pPr>
              <w:rPr>
                <w:sz w:val="2"/>
                <w:szCs w:val="2"/>
              </w:rPr>
            </w:pPr>
          </w:p>
        </w:tc>
        <w:tc>
          <w:tcPr>
            <w:tcW w:w="708" w:type="dxa"/>
          </w:tcPr>
          <w:p>
            <w:pPr>
              <w:pStyle w:val="TableParagraph"/>
              <w:spacing w:before="122"/>
              <w:ind w:left="103"/>
              <w:rPr>
                <w:b/>
                <w:sz w:val="20"/>
              </w:rPr>
            </w:pPr>
            <w:r>
              <w:rPr>
                <w:b/>
                <w:spacing w:val="-10"/>
                <w:sz w:val="20"/>
              </w:rPr>
              <w:t>3</w:t>
            </w:r>
          </w:p>
        </w:tc>
        <w:tc>
          <w:tcPr>
            <w:tcW w:w="3505" w:type="dxa"/>
          </w:tcPr>
          <w:p>
            <w:pPr>
              <w:pStyle w:val="TableParagraph"/>
              <w:spacing w:line="230" w:lineRule="atLeast"/>
              <w:ind w:left="102"/>
              <w:rPr>
                <w:sz w:val="20"/>
              </w:rPr>
            </w:pPr>
            <w:r>
              <w:rPr>
                <w:sz w:val="20"/>
              </w:rPr>
              <w:t>Будесонид</w:t>
            </w:r>
            <w:r>
              <w:rPr>
                <w:spacing w:val="-13"/>
                <w:sz w:val="20"/>
              </w:rPr>
              <w:t> </w:t>
            </w:r>
            <w:r>
              <w:rPr>
                <w:sz w:val="20"/>
              </w:rPr>
              <w:t>(порошок</w:t>
            </w:r>
            <w:r>
              <w:rPr>
                <w:spacing w:val="-12"/>
                <w:sz w:val="20"/>
              </w:rPr>
              <w:t> </w:t>
            </w:r>
            <w:r>
              <w:rPr>
                <w:sz w:val="20"/>
              </w:rPr>
              <w:t>для</w:t>
            </w:r>
            <w:r>
              <w:rPr>
                <w:spacing w:val="-13"/>
                <w:sz w:val="20"/>
              </w:rPr>
              <w:t> </w:t>
            </w:r>
            <w:r>
              <w:rPr>
                <w:sz w:val="20"/>
              </w:rPr>
              <w:t>ингаляций </w:t>
            </w:r>
            <w:r>
              <w:rPr>
                <w:spacing w:val="-2"/>
                <w:sz w:val="20"/>
              </w:rPr>
              <w:t>дозированный)</w:t>
            </w:r>
          </w:p>
        </w:tc>
        <w:tc>
          <w:tcPr>
            <w:tcW w:w="9669" w:type="dxa"/>
          </w:tcPr>
          <w:p>
            <w:pPr>
              <w:pStyle w:val="TableParagraph"/>
              <w:spacing w:before="9"/>
              <w:ind w:left="98"/>
              <w:rPr>
                <w:sz w:val="18"/>
              </w:rPr>
            </w:pPr>
            <w:r>
              <w:rPr>
                <w:sz w:val="18"/>
              </w:rPr>
              <w:t>По</w:t>
            </w:r>
            <w:r>
              <w:rPr>
                <w:spacing w:val="-1"/>
                <w:sz w:val="18"/>
              </w:rPr>
              <w:t> </w:t>
            </w:r>
            <w:r>
              <w:rPr>
                <w:sz w:val="18"/>
              </w:rPr>
              <w:t>800</w:t>
            </w:r>
            <w:r>
              <w:rPr>
                <w:spacing w:val="-2"/>
                <w:sz w:val="18"/>
              </w:rPr>
              <w:t> </w:t>
            </w:r>
            <w:r>
              <w:rPr>
                <w:sz w:val="18"/>
              </w:rPr>
              <w:t>мкг</w:t>
            </w:r>
            <w:r>
              <w:rPr>
                <w:spacing w:val="-1"/>
                <w:sz w:val="18"/>
              </w:rPr>
              <w:t> </w:t>
            </w:r>
            <w:r>
              <w:rPr>
                <w:sz w:val="18"/>
              </w:rPr>
              <w:t>2</w:t>
            </w:r>
            <w:r>
              <w:rPr>
                <w:spacing w:val="-2"/>
                <w:sz w:val="18"/>
              </w:rPr>
              <w:t> </w:t>
            </w:r>
            <w:r>
              <w:rPr>
                <w:sz w:val="18"/>
              </w:rPr>
              <w:t>раза</w:t>
            </w:r>
            <w:r>
              <w:rPr>
                <w:spacing w:val="-1"/>
                <w:sz w:val="18"/>
              </w:rPr>
              <w:t> </w:t>
            </w:r>
            <w:r>
              <w:rPr>
                <w:sz w:val="18"/>
              </w:rPr>
              <w:t>в</w:t>
            </w:r>
            <w:r>
              <w:rPr>
                <w:spacing w:val="-2"/>
                <w:sz w:val="18"/>
              </w:rPr>
              <w:t> </w:t>
            </w:r>
            <w:r>
              <w:rPr>
                <w:sz w:val="18"/>
              </w:rPr>
              <w:t>сутки до</w:t>
            </w:r>
            <w:r>
              <w:rPr>
                <w:spacing w:val="-2"/>
                <w:sz w:val="18"/>
              </w:rPr>
              <w:t> </w:t>
            </w:r>
            <w:r>
              <w:rPr>
                <w:sz w:val="18"/>
              </w:rPr>
              <w:t>выздоровления,</w:t>
            </w:r>
            <w:r>
              <w:rPr>
                <w:spacing w:val="-2"/>
                <w:sz w:val="18"/>
              </w:rPr>
              <w:t> </w:t>
            </w:r>
            <w:r>
              <w:rPr>
                <w:sz w:val="18"/>
              </w:rPr>
              <w:t>но не</w:t>
            </w:r>
            <w:r>
              <w:rPr>
                <w:spacing w:val="-2"/>
                <w:sz w:val="18"/>
              </w:rPr>
              <w:t> </w:t>
            </w:r>
            <w:r>
              <w:rPr>
                <w:sz w:val="18"/>
              </w:rPr>
              <w:t>более</w:t>
            </w:r>
            <w:r>
              <w:rPr>
                <w:spacing w:val="-2"/>
                <w:sz w:val="18"/>
              </w:rPr>
              <w:t> </w:t>
            </w:r>
            <w:r>
              <w:rPr>
                <w:sz w:val="18"/>
              </w:rPr>
              <w:t>14</w:t>
            </w:r>
            <w:r>
              <w:rPr>
                <w:spacing w:val="-1"/>
                <w:sz w:val="18"/>
              </w:rPr>
              <w:t> </w:t>
            </w:r>
            <w:r>
              <w:rPr>
                <w:spacing w:val="-4"/>
                <w:sz w:val="18"/>
              </w:rPr>
              <w:t>суток</w:t>
            </w:r>
          </w:p>
        </w:tc>
      </w:tr>
      <w:tr>
        <w:trPr>
          <w:trHeight w:val="366" w:hRule="atLeast"/>
        </w:trPr>
        <w:tc>
          <w:tcPr>
            <w:tcW w:w="848" w:type="dxa"/>
            <w:vMerge/>
            <w:tcBorders>
              <w:top w:val="nil"/>
            </w:tcBorders>
          </w:tcPr>
          <w:p>
            <w:pPr>
              <w:rPr>
                <w:sz w:val="2"/>
                <w:szCs w:val="2"/>
              </w:rPr>
            </w:pPr>
          </w:p>
        </w:tc>
        <w:tc>
          <w:tcPr>
            <w:tcW w:w="708" w:type="dxa"/>
          </w:tcPr>
          <w:p>
            <w:pPr>
              <w:pStyle w:val="TableParagraph"/>
              <w:spacing w:before="69"/>
              <w:ind w:left="103"/>
              <w:rPr>
                <w:b/>
                <w:sz w:val="20"/>
              </w:rPr>
            </w:pPr>
            <w:r>
              <w:rPr>
                <w:b/>
                <w:spacing w:val="-10"/>
                <w:sz w:val="20"/>
              </w:rPr>
              <w:t>4</w:t>
            </w:r>
          </w:p>
        </w:tc>
        <w:tc>
          <w:tcPr>
            <w:tcW w:w="3505" w:type="dxa"/>
          </w:tcPr>
          <w:p>
            <w:pPr>
              <w:pStyle w:val="TableParagraph"/>
              <w:spacing w:before="69"/>
              <w:ind w:left="102"/>
              <w:rPr>
                <w:sz w:val="20"/>
              </w:rPr>
            </w:pPr>
            <w:r>
              <w:rPr>
                <w:spacing w:val="-2"/>
                <w:sz w:val="20"/>
              </w:rPr>
              <w:t>Парацетамол</w:t>
            </w:r>
          </w:p>
        </w:tc>
        <w:tc>
          <w:tcPr>
            <w:tcW w:w="9669" w:type="dxa"/>
          </w:tcPr>
          <w:p>
            <w:pPr>
              <w:pStyle w:val="TableParagraph"/>
              <w:spacing w:before="81"/>
              <w:ind w:left="98"/>
              <w:rPr>
                <w:sz w:val="18"/>
              </w:rPr>
            </w:pPr>
            <w:r>
              <w:rPr>
                <w:sz w:val="18"/>
              </w:rPr>
              <w:t>1-2</w:t>
            </w:r>
            <w:r>
              <w:rPr>
                <w:spacing w:val="-3"/>
                <w:sz w:val="18"/>
              </w:rPr>
              <w:t> </w:t>
            </w:r>
            <w:r>
              <w:rPr>
                <w:sz w:val="18"/>
              </w:rPr>
              <w:t>табл.</w:t>
            </w:r>
            <w:r>
              <w:rPr>
                <w:spacing w:val="-1"/>
                <w:sz w:val="18"/>
              </w:rPr>
              <w:t> </w:t>
            </w:r>
            <w:r>
              <w:rPr>
                <w:sz w:val="18"/>
              </w:rPr>
              <w:t>(500-1000 мг)</w:t>
            </w:r>
            <w:r>
              <w:rPr>
                <w:spacing w:val="-2"/>
                <w:sz w:val="18"/>
              </w:rPr>
              <w:t> </w:t>
            </w:r>
            <w:r>
              <w:rPr>
                <w:sz w:val="18"/>
              </w:rPr>
              <w:t>2-3</w:t>
            </w:r>
            <w:r>
              <w:rPr>
                <w:spacing w:val="-2"/>
                <w:sz w:val="18"/>
              </w:rPr>
              <w:t> </w:t>
            </w:r>
            <w:r>
              <w:rPr>
                <w:sz w:val="18"/>
              </w:rPr>
              <w:t>р/сут, не</w:t>
            </w:r>
            <w:r>
              <w:rPr>
                <w:spacing w:val="-3"/>
                <w:sz w:val="18"/>
              </w:rPr>
              <w:t> </w:t>
            </w:r>
            <w:r>
              <w:rPr>
                <w:sz w:val="18"/>
              </w:rPr>
              <w:t>более</w:t>
            </w:r>
            <w:r>
              <w:rPr>
                <w:spacing w:val="-2"/>
                <w:sz w:val="18"/>
              </w:rPr>
              <w:t> </w:t>
            </w:r>
            <w:r>
              <w:rPr>
                <w:sz w:val="18"/>
              </w:rPr>
              <w:t>4 г</w:t>
            </w:r>
            <w:r>
              <w:rPr>
                <w:spacing w:val="-1"/>
                <w:sz w:val="18"/>
              </w:rPr>
              <w:t> </w:t>
            </w:r>
            <w:r>
              <w:rPr>
                <w:sz w:val="18"/>
              </w:rPr>
              <w:t>в</w:t>
            </w:r>
            <w:r>
              <w:rPr>
                <w:spacing w:val="-3"/>
                <w:sz w:val="18"/>
              </w:rPr>
              <w:t> </w:t>
            </w:r>
            <w:r>
              <w:rPr>
                <w:sz w:val="18"/>
              </w:rPr>
              <w:t>сутки</w:t>
            </w:r>
            <w:r>
              <w:rPr>
                <w:spacing w:val="-2"/>
                <w:sz w:val="18"/>
              </w:rPr>
              <w:t> </w:t>
            </w:r>
            <w:r>
              <w:rPr>
                <w:sz w:val="18"/>
              </w:rPr>
              <w:t>(при</w:t>
            </w:r>
            <w:r>
              <w:rPr>
                <w:spacing w:val="2"/>
                <w:sz w:val="18"/>
              </w:rPr>
              <w:t> </w:t>
            </w:r>
            <w:r>
              <w:rPr>
                <w:sz w:val="18"/>
              </w:rPr>
              <w:t>температуре</w:t>
            </w:r>
            <w:r>
              <w:rPr>
                <w:spacing w:val="-3"/>
                <w:sz w:val="18"/>
              </w:rPr>
              <w:t> </w:t>
            </w:r>
            <w:r>
              <w:rPr>
                <w:sz w:val="18"/>
              </w:rPr>
              <w:t>тела</w:t>
            </w:r>
            <w:r>
              <w:rPr>
                <w:spacing w:val="-2"/>
                <w:sz w:val="18"/>
              </w:rPr>
              <w:t> </w:t>
            </w:r>
            <w:r>
              <w:rPr>
                <w:sz w:val="18"/>
              </w:rPr>
              <w:t>&gt;</w:t>
            </w:r>
            <w:r>
              <w:rPr>
                <w:spacing w:val="-2"/>
                <w:sz w:val="18"/>
              </w:rPr>
              <w:t> </w:t>
            </w:r>
            <w:r>
              <w:rPr>
                <w:sz w:val="18"/>
              </w:rPr>
              <w:t>38,0 </w:t>
            </w:r>
            <w:r>
              <w:rPr>
                <w:spacing w:val="-5"/>
                <w:sz w:val="18"/>
              </w:rPr>
              <w:t>ºС)</w:t>
            </w:r>
          </w:p>
        </w:tc>
      </w:tr>
      <w:tr>
        <w:trPr>
          <w:trHeight w:val="414" w:hRule="atLeast"/>
        </w:trPr>
        <w:tc>
          <w:tcPr>
            <w:tcW w:w="848" w:type="dxa"/>
            <w:vMerge w:val="restart"/>
          </w:tcPr>
          <w:p>
            <w:pPr>
              <w:pStyle w:val="TableParagraph"/>
              <w:rPr>
                <w:sz w:val="20"/>
              </w:rPr>
            </w:pPr>
          </w:p>
          <w:p>
            <w:pPr>
              <w:pStyle w:val="TableParagraph"/>
              <w:spacing w:before="229"/>
              <w:rPr>
                <w:sz w:val="20"/>
              </w:rPr>
            </w:pPr>
          </w:p>
          <w:p>
            <w:pPr>
              <w:pStyle w:val="TableParagraph"/>
              <w:spacing w:line="235" w:lineRule="auto"/>
              <w:ind w:left="106" w:right="152"/>
              <w:rPr>
                <w:b/>
                <w:sz w:val="13"/>
              </w:rPr>
            </w:pPr>
            <w:r>
              <w:rPr>
                <w:b/>
                <w:spacing w:val="-2"/>
                <w:sz w:val="20"/>
              </w:rPr>
              <w:t>Схема </w:t>
            </w:r>
            <w:r>
              <w:rPr>
                <w:b/>
                <w:position w:val="-6"/>
                <w:sz w:val="20"/>
              </w:rPr>
              <w:t>6 </w:t>
            </w:r>
            <w:r>
              <w:rPr>
                <w:b/>
                <w:sz w:val="13"/>
              </w:rPr>
              <w:t>2, 4</w:t>
            </w:r>
          </w:p>
        </w:tc>
        <w:tc>
          <w:tcPr>
            <w:tcW w:w="708" w:type="dxa"/>
          </w:tcPr>
          <w:p>
            <w:pPr>
              <w:pStyle w:val="TableParagraph"/>
              <w:spacing w:line="121" w:lineRule="exact" w:before="21"/>
              <w:ind w:left="203"/>
              <w:rPr>
                <w:rFonts w:ascii="Book Antiqua"/>
                <w:b/>
                <w:sz w:val="13"/>
              </w:rPr>
            </w:pPr>
            <w:r>
              <w:rPr>
                <w:rFonts w:ascii="Book Antiqua"/>
                <w:b/>
                <w:spacing w:val="-10"/>
                <w:sz w:val="13"/>
              </w:rPr>
              <w:t>3</w:t>
            </w:r>
          </w:p>
          <w:p>
            <w:pPr>
              <w:pStyle w:val="TableParagraph"/>
              <w:spacing w:line="205" w:lineRule="exact"/>
              <w:ind w:left="103"/>
              <w:rPr>
                <w:rFonts w:ascii="Book Antiqua"/>
                <w:b/>
                <w:sz w:val="20"/>
              </w:rPr>
            </w:pPr>
            <w:r>
              <w:rPr>
                <w:rFonts w:ascii="Book Antiqua"/>
                <w:b/>
                <w:spacing w:val="-10"/>
                <w:sz w:val="20"/>
              </w:rPr>
              <w:t>1</w:t>
            </w:r>
          </w:p>
        </w:tc>
        <w:tc>
          <w:tcPr>
            <w:tcW w:w="3505" w:type="dxa"/>
          </w:tcPr>
          <w:p>
            <w:pPr>
              <w:pStyle w:val="TableParagraph"/>
              <w:spacing w:before="6"/>
              <w:ind w:left="102"/>
              <w:rPr>
                <w:b/>
                <w:position w:val="7"/>
                <w:sz w:val="13"/>
              </w:rPr>
            </w:pPr>
            <w:r>
              <w:rPr>
                <w:rFonts w:ascii="Book Antiqua" w:hAnsi="Book Antiqua"/>
                <w:spacing w:val="-2"/>
                <w:sz w:val="20"/>
              </w:rPr>
              <w:t>Молнупиравир</w:t>
            </w:r>
            <w:r>
              <w:rPr>
                <w:rFonts w:ascii="Book Antiqua" w:hAnsi="Book Antiqua"/>
                <w:spacing w:val="10"/>
                <w:sz w:val="20"/>
              </w:rPr>
              <w:t> </w:t>
            </w:r>
            <w:r>
              <w:rPr>
                <w:b/>
                <w:spacing w:val="-10"/>
                <w:position w:val="7"/>
                <w:sz w:val="13"/>
              </w:rPr>
              <w:t>7</w:t>
            </w:r>
          </w:p>
        </w:tc>
        <w:tc>
          <w:tcPr>
            <w:tcW w:w="9669" w:type="dxa"/>
          </w:tcPr>
          <w:p>
            <w:pPr>
              <w:pStyle w:val="TableParagraph"/>
              <w:spacing w:before="6"/>
              <w:ind w:left="98"/>
              <w:rPr>
                <w:rFonts w:ascii="Book Antiqua" w:hAnsi="Book Antiqua"/>
                <w:sz w:val="18"/>
              </w:rPr>
            </w:pPr>
            <w:r>
              <w:rPr>
                <w:rFonts w:ascii="Book Antiqua" w:hAnsi="Book Antiqua"/>
                <w:sz w:val="18"/>
              </w:rPr>
              <w:t>800</w:t>
            </w:r>
            <w:r>
              <w:rPr>
                <w:rFonts w:ascii="Book Antiqua" w:hAnsi="Book Antiqua"/>
                <w:spacing w:val="-2"/>
                <w:sz w:val="18"/>
              </w:rPr>
              <w:t> </w:t>
            </w:r>
            <w:r>
              <w:rPr>
                <w:rFonts w:ascii="Book Antiqua" w:hAnsi="Book Antiqua"/>
                <w:sz w:val="18"/>
              </w:rPr>
              <w:t>мг</w:t>
            </w:r>
            <w:r>
              <w:rPr>
                <w:rFonts w:ascii="Book Antiqua" w:hAnsi="Book Antiqua"/>
                <w:spacing w:val="-1"/>
                <w:sz w:val="18"/>
              </w:rPr>
              <w:t> </w:t>
            </w:r>
            <w:r>
              <w:rPr>
                <w:rFonts w:ascii="Book Antiqua" w:hAnsi="Book Antiqua"/>
                <w:sz w:val="18"/>
              </w:rPr>
              <w:t>(4</w:t>
            </w:r>
            <w:r>
              <w:rPr>
                <w:rFonts w:ascii="Book Antiqua" w:hAnsi="Book Antiqua"/>
                <w:spacing w:val="1"/>
                <w:sz w:val="18"/>
              </w:rPr>
              <w:t> </w:t>
            </w:r>
            <w:r>
              <w:rPr>
                <w:rFonts w:ascii="Book Antiqua" w:hAnsi="Book Antiqua"/>
                <w:sz w:val="18"/>
              </w:rPr>
              <w:t>капсулы</w:t>
            </w:r>
            <w:r>
              <w:rPr>
                <w:rFonts w:ascii="Book Antiqua" w:hAnsi="Book Antiqua"/>
                <w:spacing w:val="-2"/>
                <w:sz w:val="18"/>
              </w:rPr>
              <w:t> </w:t>
            </w:r>
            <w:r>
              <w:rPr>
                <w:rFonts w:ascii="Book Antiqua" w:hAnsi="Book Antiqua"/>
                <w:sz w:val="18"/>
              </w:rPr>
              <w:t>по 200</w:t>
            </w:r>
            <w:r>
              <w:rPr>
                <w:rFonts w:ascii="Book Antiqua" w:hAnsi="Book Antiqua"/>
                <w:spacing w:val="-2"/>
                <w:sz w:val="18"/>
              </w:rPr>
              <w:t> </w:t>
            </w:r>
            <w:r>
              <w:rPr>
                <w:rFonts w:ascii="Book Antiqua" w:hAnsi="Book Antiqua"/>
                <w:sz w:val="18"/>
              </w:rPr>
              <w:t>мг)</w:t>
            </w:r>
            <w:r>
              <w:rPr>
                <w:rFonts w:ascii="Book Antiqua" w:hAnsi="Book Antiqua"/>
                <w:spacing w:val="-2"/>
                <w:sz w:val="18"/>
              </w:rPr>
              <w:t> </w:t>
            </w:r>
            <w:r>
              <w:rPr>
                <w:rFonts w:ascii="Book Antiqua" w:hAnsi="Book Antiqua"/>
                <w:sz w:val="18"/>
              </w:rPr>
              <w:t>перорально</w:t>
            </w:r>
            <w:r>
              <w:rPr>
                <w:rFonts w:ascii="Book Antiqua" w:hAnsi="Book Antiqua"/>
                <w:spacing w:val="-1"/>
                <w:sz w:val="18"/>
              </w:rPr>
              <w:t> </w:t>
            </w:r>
            <w:r>
              <w:rPr>
                <w:rFonts w:ascii="Book Antiqua" w:hAnsi="Book Antiqua"/>
                <w:sz w:val="18"/>
              </w:rPr>
              <w:t>каждые</w:t>
            </w:r>
            <w:r>
              <w:rPr>
                <w:rFonts w:ascii="Book Antiqua" w:hAnsi="Book Antiqua"/>
                <w:spacing w:val="-3"/>
                <w:sz w:val="18"/>
              </w:rPr>
              <w:t> </w:t>
            </w:r>
            <w:r>
              <w:rPr>
                <w:rFonts w:ascii="Book Antiqua" w:hAnsi="Book Antiqua"/>
                <w:sz w:val="18"/>
              </w:rPr>
              <w:t>12</w:t>
            </w:r>
            <w:r>
              <w:rPr>
                <w:rFonts w:ascii="Book Antiqua" w:hAnsi="Book Antiqua"/>
                <w:spacing w:val="-2"/>
                <w:sz w:val="18"/>
              </w:rPr>
              <w:t> </w:t>
            </w:r>
            <w:r>
              <w:rPr>
                <w:rFonts w:ascii="Book Antiqua" w:hAnsi="Book Antiqua"/>
                <w:sz w:val="18"/>
              </w:rPr>
              <w:t>часов, курс</w:t>
            </w:r>
            <w:r>
              <w:rPr>
                <w:rFonts w:ascii="Book Antiqua" w:hAnsi="Book Antiqua"/>
                <w:spacing w:val="-2"/>
                <w:sz w:val="18"/>
              </w:rPr>
              <w:t> </w:t>
            </w:r>
            <w:r>
              <w:rPr>
                <w:rFonts w:ascii="Book Antiqua" w:hAnsi="Book Antiqua"/>
                <w:sz w:val="18"/>
              </w:rPr>
              <w:t>не более</w:t>
            </w:r>
            <w:r>
              <w:rPr>
                <w:rFonts w:ascii="Book Antiqua" w:hAnsi="Book Antiqua"/>
                <w:spacing w:val="-3"/>
                <w:sz w:val="18"/>
              </w:rPr>
              <w:t> </w:t>
            </w:r>
            <w:r>
              <w:rPr>
                <w:rFonts w:ascii="Book Antiqua" w:hAnsi="Book Antiqua"/>
                <w:sz w:val="18"/>
              </w:rPr>
              <w:t>5</w:t>
            </w:r>
            <w:r>
              <w:rPr>
                <w:rFonts w:ascii="Book Antiqua" w:hAnsi="Book Antiqua"/>
                <w:spacing w:val="1"/>
                <w:sz w:val="18"/>
              </w:rPr>
              <w:t> </w:t>
            </w:r>
            <w:r>
              <w:rPr>
                <w:rFonts w:ascii="Book Antiqua" w:hAnsi="Book Antiqua"/>
                <w:spacing w:val="-4"/>
                <w:sz w:val="18"/>
              </w:rPr>
              <w:t>дней</w:t>
            </w:r>
          </w:p>
        </w:tc>
      </w:tr>
      <w:tr>
        <w:trPr>
          <w:trHeight w:val="463" w:hRule="atLeast"/>
        </w:trPr>
        <w:tc>
          <w:tcPr>
            <w:tcW w:w="848" w:type="dxa"/>
            <w:vMerge/>
            <w:tcBorders>
              <w:top w:val="nil"/>
            </w:tcBorders>
          </w:tcPr>
          <w:p>
            <w:pPr>
              <w:rPr>
                <w:sz w:val="2"/>
                <w:szCs w:val="2"/>
              </w:rPr>
            </w:pPr>
          </w:p>
        </w:tc>
        <w:tc>
          <w:tcPr>
            <w:tcW w:w="708" w:type="dxa"/>
          </w:tcPr>
          <w:p>
            <w:pPr>
              <w:pStyle w:val="TableParagraph"/>
              <w:spacing w:before="5"/>
              <w:ind w:left="103"/>
              <w:rPr>
                <w:rFonts w:ascii="Book Antiqua"/>
                <w:b/>
                <w:sz w:val="20"/>
              </w:rPr>
            </w:pPr>
            <w:r>
              <w:rPr>
                <w:rFonts w:ascii="Book Antiqua"/>
                <w:b/>
                <w:spacing w:val="-10"/>
                <w:sz w:val="20"/>
              </w:rPr>
              <w:t>2</w:t>
            </w:r>
          </w:p>
        </w:tc>
        <w:tc>
          <w:tcPr>
            <w:tcW w:w="3505" w:type="dxa"/>
          </w:tcPr>
          <w:p>
            <w:pPr>
              <w:pStyle w:val="TableParagraph"/>
              <w:spacing w:before="5"/>
              <w:ind w:left="102"/>
              <w:rPr>
                <w:b/>
                <w:position w:val="7"/>
                <w:sz w:val="13"/>
              </w:rPr>
            </w:pPr>
            <w:r>
              <w:rPr>
                <w:rFonts w:ascii="Book Antiqua" w:hAnsi="Book Antiqua"/>
                <w:sz w:val="20"/>
              </w:rPr>
              <w:t>ИФН-α,</w:t>
            </w:r>
            <w:r>
              <w:rPr>
                <w:rFonts w:ascii="Book Antiqua" w:hAnsi="Book Antiqua"/>
                <w:spacing w:val="-10"/>
                <w:sz w:val="20"/>
              </w:rPr>
              <w:t> </w:t>
            </w:r>
            <w:r>
              <w:rPr>
                <w:rFonts w:ascii="Book Antiqua" w:hAnsi="Book Antiqua"/>
                <w:sz w:val="20"/>
              </w:rPr>
              <w:t>интраназальные</w:t>
            </w:r>
            <w:r>
              <w:rPr>
                <w:rFonts w:ascii="Book Antiqua" w:hAnsi="Book Antiqua"/>
                <w:spacing w:val="-10"/>
                <w:sz w:val="20"/>
              </w:rPr>
              <w:t> </w:t>
            </w:r>
            <w:r>
              <w:rPr>
                <w:rFonts w:ascii="Book Antiqua" w:hAnsi="Book Antiqua"/>
                <w:sz w:val="20"/>
              </w:rPr>
              <w:t>формы</w:t>
            </w:r>
            <w:r>
              <w:rPr>
                <w:rFonts w:ascii="Book Antiqua" w:hAnsi="Book Antiqua"/>
                <w:spacing w:val="-8"/>
                <w:sz w:val="20"/>
              </w:rPr>
              <w:t> </w:t>
            </w:r>
            <w:r>
              <w:rPr>
                <w:b/>
                <w:spacing w:val="-10"/>
                <w:position w:val="7"/>
                <w:sz w:val="13"/>
              </w:rPr>
              <w:t>5</w:t>
            </w:r>
          </w:p>
        </w:tc>
        <w:tc>
          <w:tcPr>
            <w:tcW w:w="9669" w:type="dxa"/>
          </w:tcPr>
          <w:p>
            <w:pPr>
              <w:pStyle w:val="TableParagraph"/>
              <w:spacing w:line="220" w:lineRule="atLeast"/>
              <w:ind w:left="98" w:right="1362"/>
              <w:rPr>
                <w:rFonts w:ascii="Book Antiqua" w:hAnsi="Book Antiqua"/>
                <w:sz w:val="18"/>
              </w:rPr>
            </w:pPr>
            <w:r>
              <w:rPr>
                <w:rFonts w:ascii="Book Antiqua" w:hAnsi="Book Antiqua"/>
                <w:sz w:val="18"/>
              </w:rPr>
              <w:t>В</w:t>
            </w:r>
            <w:r>
              <w:rPr>
                <w:rFonts w:ascii="Book Antiqua" w:hAnsi="Book Antiqua"/>
                <w:spacing w:val="-5"/>
                <w:sz w:val="18"/>
              </w:rPr>
              <w:t> </w:t>
            </w:r>
            <w:r>
              <w:rPr>
                <w:rFonts w:ascii="Book Antiqua" w:hAnsi="Book Antiqua"/>
                <w:sz w:val="18"/>
              </w:rPr>
              <w:t>соответствии</w:t>
            </w:r>
            <w:r>
              <w:rPr>
                <w:rFonts w:ascii="Book Antiqua" w:hAnsi="Book Antiqua"/>
                <w:spacing w:val="-6"/>
                <w:sz w:val="18"/>
              </w:rPr>
              <w:t> </w:t>
            </w:r>
            <w:r>
              <w:rPr>
                <w:rFonts w:ascii="Book Antiqua" w:hAnsi="Book Antiqua"/>
                <w:sz w:val="18"/>
              </w:rPr>
              <w:t>с</w:t>
            </w:r>
            <w:r>
              <w:rPr>
                <w:rFonts w:ascii="Book Antiqua" w:hAnsi="Book Antiqua"/>
                <w:spacing w:val="-6"/>
                <w:sz w:val="18"/>
              </w:rPr>
              <w:t> </w:t>
            </w:r>
            <w:r>
              <w:rPr>
                <w:rFonts w:ascii="Book Antiqua" w:hAnsi="Book Antiqua"/>
                <w:sz w:val="18"/>
              </w:rPr>
              <w:t>инструкцией</w:t>
            </w:r>
            <w:r>
              <w:rPr>
                <w:rFonts w:ascii="Book Antiqua" w:hAnsi="Book Antiqua"/>
                <w:spacing w:val="-6"/>
                <w:sz w:val="18"/>
              </w:rPr>
              <w:t> </w:t>
            </w:r>
            <w:r>
              <w:rPr>
                <w:rFonts w:ascii="Book Antiqua" w:hAnsi="Book Antiqua"/>
                <w:sz w:val="18"/>
              </w:rPr>
              <w:t>по</w:t>
            </w:r>
            <w:r>
              <w:rPr>
                <w:rFonts w:ascii="Book Antiqua" w:hAnsi="Book Antiqua"/>
                <w:spacing w:val="-5"/>
                <w:sz w:val="18"/>
              </w:rPr>
              <w:t> </w:t>
            </w:r>
            <w:r>
              <w:rPr>
                <w:rFonts w:ascii="Book Antiqua" w:hAnsi="Book Antiqua"/>
                <w:sz w:val="18"/>
              </w:rPr>
              <w:t>применению</w:t>
            </w:r>
            <w:r>
              <w:rPr>
                <w:rFonts w:ascii="Book Antiqua" w:hAnsi="Book Antiqua"/>
                <w:spacing w:val="-5"/>
                <w:sz w:val="18"/>
              </w:rPr>
              <w:t> </w:t>
            </w:r>
            <w:r>
              <w:rPr>
                <w:rFonts w:ascii="Book Antiqua" w:hAnsi="Book Antiqua"/>
                <w:sz w:val="18"/>
              </w:rPr>
              <w:t>препарата</w:t>
            </w:r>
            <w:r>
              <w:rPr>
                <w:rFonts w:ascii="Book Antiqua" w:hAnsi="Book Antiqua"/>
                <w:spacing w:val="-6"/>
                <w:sz w:val="18"/>
              </w:rPr>
              <w:t> </w:t>
            </w:r>
            <w:r>
              <w:rPr>
                <w:rFonts w:ascii="Book Antiqua" w:hAnsi="Book Antiqua"/>
                <w:sz w:val="18"/>
              </w:rPr>
              <w:t>(спрей,</w:t>
            </w:r>
            <w:r>
              <w:rPr>
                <w:rFonts w:ascii="Book Antiqua" w:hAnsi="Book Antiqua"/>
                <w:spacing w:val="-5"/>
                <w:sz w:val="18"/>
              </w:rPr>
              <w:t> </w:t>
            </w:r>
            <w:r>
              <w:rPr>
                <w:rFonts w:ascii="Book Antiqua" w:hAnsi="Book Antiqua"/>
                <w:sz w:val="18"/>
              </w:rPr>
              <w:t>капли,</w:t>
            </w:r>
            <w:r>
              <w:rPr>
                <w:rFonts w:ascii="Book Antiqua" w:hAnsi="Book Antiqua"/>
                <w:spacing w:val="-5"/>
                <w:sz w:val="18"/>
              </w:rPr>
              <w:t> </w:t>
            </w:r>
            <w:r>
              <w:rPr>
                <w:rFonts w:ascii="Book Antiqua" w:hAnsi="Book Antiqua"/>
                <w:sz w:val="18"/>
              </w:rPr>
              <w:t>раствор,</w:t>
            </w:r>
            <w:r>
              <w:rPr>
                <w:rFonts w:ascii="Book Antiqua" w:hAnsi="Book Antiqua"/>
                <w:spacing w:val="-5"/>
                <w:sz w:val="18"/>
              </w:rPr>
              <w:t> </w:t>
            </w:r>
            <w:r>
              <w:rPr>
                <w:rFonts w:ascii="Book Antiqua" w:hAnsi="Book Antiqua"/>
                <w:sz w:val="18"/>
              </w:rPr>
              <w:t>лиофилизат для приготовления раствора, гель или мазь)</w:t>
            </w:r>
          </w:p>
        </w:tc>
      </w:tr>
      <w:tr>
        <w:trPr>
          <w:trHeight w:val="510" w:hRule="atLeast"/>
        </w:trPr>
        <w:tc>
          <w:tcPr>
            <w:tcW w:w="848" w:type="dxa"/>
            <w:vMerge/>
            <w:tcBorders>
              <w:top w:val="nil"/>
            </w:tcBorders>
          </w:tcPr>
          <w:p>
            <w:pPr>
              <w:rPr>
                <w:sz w:val="2"/>
                <w:szCs w:val="2"/>
              </w:rPr>
            </w:pPr>
          </w:p>
        </w:tc>
        <w:tc>
          <w:tcPr>
            <w:tcW w:w="708" w:type="dxa"/>
          </w:tcPr>
          <w:p>
            <w:pPr>
              <w:pStyle w:val="TableParagraph"/>
              <w:spacing w:before="5"/>
              <w:ind w:left="103"/>
              <w:rPr>
                <w:rFonts w:ascii="Book Antiqua"/>
                <w:sz w:val="20"/>
              </w:rPr>
            </w:pPr>
            <w:r>
              <w:rPr>
                <w:rFonts w:ascii="Book Antiqua"/>
                <w:spacing w:val="-10"/>
                <w:sz w:val="20"/>
              </w:rPr>
              <w:t>3</w:t>
            </w:r>
          </w:p>
        </w:tc>
        <w:tc>
          <w:tcPr>
            <w:tcW w:w="3505" w:type="dxa"/>
          </w:tcPr>
          <w:p>
            <w:pPr>
              <w:pStyle w:val="TableParagraph"/>
              <w:spacing w:line="250" w:lineRule="atLeast"/>
              <w:ind w:left="102" w:right="853"/>
              <w:rPr>
                <w:rFonts w:ascii="Book Antiqua" w:hAnsi="Book Antiqua"/>
                <w:sz w:val="20"/>
              </w:rPr>
            </w:pPr>
            <w:r>
              <w:rPr>
                <w:rFonts w:ascii="Book Antiqua" w:hAnsi="Book Antiqua"/>
                <w:sz w:val="20"/>
              </w:rPr>
              <w:t>Будесонид (порошок для ингаляций</w:t>
            </w:r>
            <w:r>
              <w:rPr>
                <w:rFonts w:ascii="Book Antiqua" w:hAnsi="Book Antiqua"/>
                <w:spacing w:val="-13"/>
                <w:sz w:val="20"/>
              </w:rPr>
              <w:t> </w:t>
            </w:r>
            <w:r>
              <w:rPr>
                <w:rFonts w:ascii="Book Antiqua" w:hAnsi="Book Antiqua"/>
                <w:sz w:val="20"/>
              </w:rPr>
              <w:t>дозированный)</w:t>
            </w:r>
          </w:p>
        </w:tc>
        <w:tc>
          <w:tcPr>
            <w:tcW w:w="9669" w:type="dxa"/>
          </w:tcPr>
          <w:p>
            <w:pPr>
              <w:pStyle w:val="TableParagraph"/>
              <w:spacing w:before="5"/>
              <w:ind w:left="98"/>
              <w:rPr>
                <w:rFonts w:ascii="Book Antiqua" w:hAnsi="Book Antiqua"/>
                <w:sz w:val="18"/>
              </w:rPr>
            </w:pPr>
            <w:r>
              <w:rPr>
                <w:rFonts w:ascii="Book Antiqua" w:hAnsi="Book Antiqua"/>
                <w:sz w:val="18"/>
              </w:rPr>
              <w:t>По</w:t>
            </w:r>
            <w:r>
              <w:rPr>
                <w:rFonts w:ascii="Book Antiqua" w:hAnsi="Book Antiqua"/>
                <w:spacing w:val="-3"/>
                <w:sz w:val="18"/>
              </w:rPr>
              <w:t> </w:t>
            </w:r>
            <w:r>
              <w:rPr>
                <w:rFonts w:ascii="Book Antiqua" w:hAnsi="Book Antiqua"/>
                <w:sz w:val="18"/>
              </w:rPr>
              <w:t>800</w:t>
            </w:r>
            <w:r>
              <w:rPr>
                <w:rFonts w:ascii="Book Antiqua" w:hAnsi="Book Antiqua"/>
                <w:spacing w:val="-1"/>
                <w:sz w:val="18"/>
              </w:rPr>
              <w:t> </w:t>
            </w:r>
            <w:r>
              <w:rPr>
                <w:rFonts w:ascii="Book Antiqua" w:hAnsi="Book Antiqua"/>
                <w:sz w:val="18"/>
              </w:rPr>
              <w:t>мкг</w:t>
            </w:r>
            <w:r>
              <w:rPr>
                <w:rFonts w:ascii="Book Antiqua" w:hAnsi="Book Antiqua"/>
                <w:spacing w:val="-2"/>
                <w:sz w:val="18"/>
              </w:rPr>
              <w:t> </w:t>
            </w:r>
            <w:r>
              <w:rPr>
                <w:rFonts w:ascii="Book Antiqua" w:hAnsi="Book Antiqua"/>
                <w:sz w:val="18"/>
              </w:rPr>
              <w:t>2</w:t>
            </w:r>
            <w:r>
              <w:rPr>
                <w:rFonts w:ascii="Book Antiqua" w:hAnsi="Book Antiqua"/>
                <w:spacing w:val="-1"/>
                <w:sz w:val="18"/>
              </w:rPr>
              <w:t> </w:t>
            </w:r>
            <w:r>
              <w:rPr>
                <w:rFonts w:ascii="Book Antiqua" w:hAnsi="Book Antiqua"/>
                <w:sz w:val="18"/>
              </w:rPr>
              <w:t>раза в</w:t>
            </w:r>
            <w:r>
              <w:rPr>
                <w:rFonts w:ascii="Book Antiqua" w:hAnsi="Book Antiqua"/>
                <w:spacing w:val="-1"/>
                <w:sz w:val="18"/>
              </w:rPr>
              <w:t> </w:t>
            </w:r>
            <w:r>
              <w:rPr>
                <w:rFonts w:ascii="Book Antiqua" w:hAnsi="Book Antiqua"/>
                <w:sz w:val="18"/>
              </w:rPr>
              <w:t>сутки</w:t>
            </w:r>
            <w:r>
              <w:rPr>
                <w:rFonts w:ascii="Book Antiqua" w:hAnsi="Book Antiqua"/>
                <w:spacing w:val="-2"/>
                <w:sz w:val="18"/>
              </w:rPr>
              <w:t> </w:t>
            </w:r>
            <w:r>
              <w:rPr>
                <w:rFonts w:ascii="Book Antiqua" w:hAnsi="Book Antiqua"/>
                <w:sz w:val="18"/>
              </w:rPr>
              <w:t>до</w:t>
            </w:r>
            <w:r>
              <w:rPr>
                <w:rFonts w:ascii="Book Antiqua" w:hAnsi="Book Antiqua"/>
                <w:spacing w:val="-3"/>
                <w:sz w:val="18"/>
              </w:rPr>
              <w:t> </w:t>
            </w:r>
            <w:r>
              <w:rPr>
                <w:rFonts w:ascii="Book Antiqua" w:hAnsi="Book Antiqua"/>
                <w:sz w:val="18"/>
              </w:rPr>
              <w:t>выздоровления,</w:t>
            </w:r>
            <w:r>
              <w:rPr>
                <w:rFonts w:ascii="Book Antiqua" w:hAnsi="Book Antiqua"/>
                <w:spacing w:val="-1"/>
                <w:sz w:val="18"/>
              </w:rPr>
              <w:t> </w:t>
            </w:r>
            <w:r>
              <w:rPr>
                <w:rFonts w:ascii="Book Antiqua" w:hAnsi="Book Antiqua"/>
                <w:sz w:val="18"/>
              </w:rPr>
              <w:t>но</w:t>
            </w:r>
            <w:r>
              <w:rPr>
                <w:rFonts w:ascii="Book Antiqua" w:hAnsi="Book Antiqua"/>
                <w:spacing w:val="-1"/>
                <w:sz w:val="18"/>
              </w:rPr>
              <w:t> </w:t>
            </w:r>
            <w:r>
              <w:rPr>
                <w:rFonts w:ascii="Book Antiqua" w:hAnsi="Book Antiqua"/>
                <w:sz w:val="18"/>
              </w:rPr>
              <w:t>не</w:t>
            </w:r>
            <w:r>
              <w:rPr>
                <w:rFonts w:ascii="Book Antiqua" w:hAnsi="Book Antiqua"/>
                <w:spacing w:val="-2"/>
                <w:sz w:val="18"/>
              </w:rPr>
              <w:t> </w:t>
            </w:r>
            <w:r>
              <w:rPr>
                <w:rFonts w:ascii="Book Antiqua" w:hAnsi="Book Antiqua"/>
                <w:sz w:val="18"/>
              </w:rPr>
              <w:t>более</w:t>
            </w:r>
            <w:r>
              <w:rPr>
                <w:rFonts w:ascii="Book Antiqua" w:hAnsi="Book Antiqua"/>
                <w:spacing w:val="-3"/>
                <w:sz w:val="18"/>
              </w:rPr>
              <w:t> </w:t>
            </w:r>
            <w:r>
              <w:rPr>
                <w:rFonts w:ascii="Book Antiqua" w:hAnsi="Book Antiqua"/>
                <w:sz w:val="18"/>
              </w:rPr>
              <w:t>14 </w:t>
            </w:r>
            <w:r>
              <w:rPr>
                <w:rFonts w:ascii="Book Antiqua" w:hAnsi="Book Antiqua"/>
                <w:spacing w:val="-2"/>
                <w:sz w:val="18"/>
              </w:rPr>
              <w:t>суток</w:t>
            </w:r>
          </w:p>
        </w:tc>
      </w:tr>
      <w:tr>
        <w:trPr>
          <w:trHeight w:val="414" w:hRule="atLeast"/>
        </w:trPr>
        <w:tc>
          <w:tcPr>
            <w:tcW w:w="848" w:type="dxa"/>
            <w:vMerge/>
            <w:tcBorders>
              <w:top w:val="nil"/>
            </w:tcBorders>
          </w:tcPr>
          <w:p>
            <w:pPr>
              <w:rPr>
                <w:sz w:val="2"/>
                <w:szCs w:val="2"/>
              </w:rPr>
            </w:pPr>
          </w:p>
        </w:tc>
        <w:tc>
          <w:tcPr>
            <w:tcW w:w="708" w:type="dxa"/>
          </w:tcPr>
          <w:p>
            <w:pPr>
              <w:pStyle w:val="TableParagraph"/>
              <w:spacing w:before="4"/>
              <w:ind w:left="103"/>
              <w:rPr>
                <w:rFonts w:ascii="Book Antiqua"/>
                <w:b/>
                <w:sz w:val="20"/>
              </w:rPr>
            </w:pPr>
            <w:r>
              <w:rPr>
                <w:rFonts w:ascii="Book Antiqua"/>
                <w:b/>
                <w:spacing w:val="-10"/>
                <w:sz w:val="20"/>
              </w:rPr>
              <w:t>4</w:t>
            </w:r>
          </w:p>
        </w:tc>
        <w:tc>
          <w:tcPr>
            <w:tcW w:w="3505" w:type="dxa"/>
          </w:tcPr>
          <w:p>
            <w:pPr>
              <w:pStyle w:val="TableParagraph"/>
              <w:spacing w:before="4"/>
              <w:ind w:left="102"/>
              <w:rPr>
                <w:rFonts w:ascii="Book Antiqua" w:hAnsi="Book Antiqua"/>
                <w:sz w:val="20"/>
              </w:rPr>
            </w:pPr>
            <w:r>
              <w:rPr>
                <w:rFonts w:ascii="Book Antiqua" w:hAnsi="Book Antiqua"/>
                <w:spacing w:val="-2"/>
                <w:sz w:val="20"/>
              </w:rPr>
              <w:t>Парацетамол</w:t>
            </w:r>
          </w:p>
        </w:tc>
        <w:tc>
          <w:tcPr>
            <w:tcW w:w="9669" w:type="dxa"/>
          </w:tcPr>
          <w:p>
            <w:pPr>
              <w:pStyle w:val="TableParagraph"/>
              <w:spacing w:before="5"/>
              <w:ind w:left="98"/>
              <w:rPr>
                <w:rFonts w:ascii="Book Antiqua" w:hAnsi="Book Antiqua"/>
                <w:sz w:val="18"/>
              </w:rPr>
            </w:pPr>
            <w:r>
              <w:rPr>
                <w:rFonts w:ascii="Book Antiqua" w:hAnsi="Book Antiqua"/>
                <w:sz w:val="18"/>
              </w:rPr>
              <w:t>1-2 табл.</w:t>
            </w:r>
            <w:r>
              <w:rPr>
                <w:rFonts w:ascii="Book Antiqua" w:hAnsi="Book Antiqua"/>
                <w:spacing w:val="-1"/>
                <w:sz w:val="18"/>
              </w:rPr>
              <w:t> </w:t>
            </w:r>
            <w:r>
              <w:rPr>
                <w:rFonts w:ascii="Book Antiqua" w:hAnsi="Book Antiqua"/>
                <w:sz w:val="18"/>
              </w:rPr>
              <w:t>(500-1000</w:t>
            </w:r>
            <w:r>
              <w:rPr>
                <w:rFonts w:ascii="Book Antiqua" w:hAnsi="Book Antiqua"/>
                <w:spacing w:val="-1"/>
                <w:sz w:val="18"/>
              </w:rPr>
              <w:t> </w:t>
            </w:r>
            <w:r>
              <w:rPr>
                <w:rFonts w:ascii="Book Antiqua" w:hAnsi="Book Antiqua"/>
                <w:sz w:val="18"/>
              </w:rPr>
              <w:t>мг)</w:t>
            </w:r>
            <w:r>
              <w:rPr>
                <w:rFonts w:ascii="Book Antiqua" w:hAnsi="Book Antiqua"/>
                <w:spacing w:val="-3"/>
                <w:sz w:val="18"/>
              </w:rPr>
              <w:t> </w:t>
            </w:r>
            <w:r>
              <w:rPr>
                <w:rFonts w:ascii="Book Antiqua" w:hAnsi="Book Antiqua"/>
                <w:sz w:val="18"/>
              </w:rPr>
              <w:t>2-3 р/сут, не</w:t>
            </w:r>
            <w:r>
              <w:rPr>
                <w:rFonts w:ascii="Book Antiqua" w:hAnsi="Book Antiqua"/>
                <w:spacing w:val="-1"/>
                <w:sz w:val="18"/>
              </w:rPr>
              <w:t> </w:t>
            </w:r>
            <w:r>
              <w:rPr>
                <w:rFonts w:ascii="Book Antiqua" w:hAnsi="Book Antiqua"/>
                <w:sz w:val="18"/>
              </w:rPr>
              <w:t>более</w:t>
            </w:r>
            <w:r>
              <w:rPr>
                <w:rFonts w:ascii="Book Antiqua" w:hAnsi="Book Antiqua"/>
                <w:spacing w:val="-1"/>
                <w:sz w:val="18"/>
              </w:rPr>
              <w:t> </w:t>
            </w:r>
            <w:r>
              <w:rPr>
                <w:rFonts w:ascii="Book Antiqua" w:hAnsi="Book Antiqua"/>
                <w:sz w:val="18"/>
              </w:rPr>
              <w:t>4</w:t>
            </w:r>
            <w:r>
              <w:rPr>
                <w:rFonts w:ascii="Book Antiqua" w:hAnsi="Book Antiqua"/>
                <w:spacing w:val="-1"/>
                <w:sz w:val="18"/>
              </w:rPr>
              <w:t> </w:t>
            </w:r>
            <w:r>
              <w:rPr>
                <w:rFonts w:ascii="Book Antiqua" w:hAnsi="Book Antiqua"/>
                <w:sz w:val="18"/>
              </w:rPr>
              <w:t>г</w:t>
            </w:r>
            <w:r>
              <w:rPr>
                <w:rFonts w:ascii="Book Antiqua" w:hAnsi="Book Antiqua"/>
                <w:spacing w:val="-1"/>
                <w:sz w:val="18"/>
              </w:rPr>
              <w:t> </w:t>
            </w:r>
            <w:r>
              <w:rPr>
                <w:rFonts w:ascii="Book Antiqua" w:hAnsi="Book Antiqua"/>
                <w:sz w:val="18"/>
              </w:rPr>
              <w:t>в</w:t>
            </w:r>
            <w:r>
              <w:rPr>
                <w:rFonts w:ascii="Book Antiqua" w:hAnsi="Book Antiqua"/>
                <w:spacing w:val="-3"/>
                <w:sz w:val="18"/>
              </w:rPr>
              <w:t> </w:t>
            </w:r>
            <w:r>
              <w:rPr>
                <w:rFonts w:ascii="Book Antiqua" w:hAnsi="Book Antiqua"/>
                <w:sz w:val="18"/>
              </w:rPr>
              <w:t>сутки</w:t>
            </w:r>
            <w:r>
              <w:rPr>
                <w:rFonts w:ascii="Book Antiqua" w:hAnsi="Book Antiqua"/>
                <w:spacing w:val="-1"/>
                <w:sz w:val="18"/>
              </w:rPr>
              <w:t> </w:t>
            </w:r>
            <w:r>
              <w:rPr>
                <w:rFonts w:ascii="Book Antiqua" w:hAnsi="Book Antiqua"/>
                <w:sz w:val="18"/>
              </w:rPr>
              <w:t>(при</w:t>
            </w:r>
            <w:r>
              <w:rPr>
                <w:rFonts w:ascii="Book Antiqua" w:hAnsi="Book Antiqua"/>
                <w:spacing w:val="1"/>
                <w:sz w:val="18"/>
              </w:rPr>
              <w:t> </w:t>
            </w:r>
            <w:r>
              <w:rPr>
                <w:rFonts w:ascii="Book Antiqua" w:hAnsi="Book Antiqua"/>
                <w:sz w:val="18"/>
              </w:rPr>
              <w:t>t</w:t>
            </w:r>
            <w:r>
              <w:rPr>
                <w:rFonts w:ascii="Book Antiqua" w:hAnsi="Book Antiqua"/>
                <w:spacing w:val="-2"/>
                <w:sz w:val="18"/>
              </w:rPr>
              <w:t> </w:t>
            </w:r>
            <w:r>
              <w:rPr>
                <w:rFonts w:ascii="Book Antiqua" w:hAnsi="Book Antiqua"/>
                <w:sz w:val="18"/>
              </w:rPr>
              <w:t>тела</w:t>
            </w:r>
            <w:r>
              <w:rPr>
                <w:rFonts w:ascii="Book Antiqua" w:hAnsi="Book Antiqua"/>
                <w:spacing w:val="1"/>
                <w:sz w:val="18"/>
              </w:rPr>
              <w:t> </w:t>
            </w:r>
            <w:r>
              <w:rPr>
                <w:rFonts w:ascii="Book Antiqua" w:hAnsi="Book Antiqua"/>
                <w:sz w:val="18"/>
              </w:rPr>
              <w:t>&gt;</w:t>
            </w:r>
            <w:r>
              <w:rPr>
                <w:rFonts w:ascii="Book Antiqua" w:hAnsi="Book Antiqua"/>
                <w:spacing w:val="-2"/>
                <w:sz w:val="18"/>
              </w:rPr>
              <w:t> </w:t>
            </w:r>
            <w:r>
              <w:rPr>
                <w:rFonts w:ascii="Book Antiqua" w:hAnsi="Book Antiqua"/>
                <w:sz w:val="18"/>
              </w:rPr>
              <w:t>38,0</w:t>
            </w:r>
            <w:r>
              <w:rPr>
                <w:rFonts w:ascii="Book Antiqua" w:hAnsi="Book Antiqua"/>
                <w:spacing w:val="-1"/>
                <w:sz w:val="18"/>
              </w:rPr>
              <w:t> </w:t>
            </w:r>
            <w:r>
              <w:rPr>
                <w:rFonts w:ascii="Book Antiqua" w:hAnsi="Book Antiqua"/>
                <w:spacing w:val="-5"/>
                <w:sz w:val="18"/>
              </w:rPr>
              <w:t>ºС)</w:t>
            </w:r>
          </w:p>
        </w:tc>
      </w:tr>
      <w:tr>
        <w:trPr>
          <w:trHeight w:val="426" w:hRule="atLeast"/>
        </w:trPr>
        <w:tc>
          <w:tcPr>
            <w:tcW w:w="848" w:type="dxa"/>
            <w:vMerge w:val="restart"/>
          </w:tcPr>
          <w:p>
            <w:pPr>
              <w:pStyle w:val="TableParagraph"/>
              <w:rPr>
                <w:sz w:val="20"/>
              </w:rPr>
            </w:pPr>
          </w:p>
          <w:p>
            <w:pPr>
              <w:pStyle w:val="TableParagraph"/>
              <w:rPr>
                <w:sz w:val="20"/>
              </w:rPr>
            </w:pPr>
          </w:p>
          <w:p>
            <w:pPr>
              <w:pStyle w:val="TableParagraph"/>
              <w:spacing w:before="2"/>
              <w:rPr>
                <w:sz w:val="20"/>
              </w:rPr>
            </w:pPr>
          </w:p>
          <w:p>
            <w:pPr>
              <w:pStyle w:val="TableParagraph"/>
              <w:spacing w:line="235" w:lineRule="auto"/>
              <w:ind w:left="106" w:right="152"/>
              <w:rPr>
                <w:b/>
                <w:sz w:val="13"/>
              </w:rPr>
            </w:pPr>
            <w:r>
              <w:rPr>
                <w:b/>
                <w:spacing w:val="-2"/>
                <w:sz w:val="20"/>
              </w:rPr>
              <w:t>Схема </w:t>
            </w:r>
            <w:r>
              <w:rPr>
                <w:b/>
                <w:spacing w:val="-4"/>
                <w:position w:val="-6"/>
                <w:sz w:val="20"/>
              </w:rPr>
              <w:t>7</w:t>
            </w:r>
            <w:r>
              <w:rPr>
                <w:b/>
                <w:spacing w:val="-4"/>
                <w:sz w:val="13"/>
              </w:rPr>
              <w:t>2,4</w:t>
            </w:r>
          </w:p>
        </w:tc>
        <w:tc>
          <w:tcPr>
            <w:tcW w:w="708" w:type="dxa"/>
          </w:tcPr>
          <w:p>
            <w:pPr>
              <w:pStyle w:val="TableParagraph"/>
              <w:spacing w:before="3"/>
              <w:ind w:left="103"/>
              <w:rPr>
                <w:rFonts w:ascii="Book Antiqua"/>
                <w:b/>
                <w:sz w:val="13"/>
              </w:rPr>
            </w:pPr>
            <w:r>
              <w:rPr>
                <w:rFonts w:ascii="Book Antiqua"/>
                <w:b/>
                <w:spacing w:val="-5"/>
                <w:position w:val="-4"/>
                <w:sz w:val="20"/>
              </w:rPr>
              <w:t>1</w:t>
            </w:r>
            <w:r>
              <w:rPr>
                <w:rFonts w:ascii="Book Antiqua"/>
                <w:b/>
                <w:spacing w:val="-5"/>
                <w:sz w:val="13"/>
              </w:rPr>
              <w:t>3</w:t>
            </w:r>
          </w:p>
        </w:tc>
        <w:tc>
          <w:tcPr>
            <w:tcW w:w="3505" w:type="dxa"/>
          </w:tcPr>
          <w:p>
            <w:pPr>
              <w:pStyle w:val="TableParagraph"/>
              <w:spacing w:before="4"/>
              <w:ind w:left="152"/>
              <w:rPr>
                <w:b/>
                <w:position w:val="7"/>
                <w:sz w:val="13"/>
              </w:rPr>
            </w:pPr>
            <w:r>
              <w:rPr>
                <w:rFonts w:ascii="Book Antiqua" w:hAnsi="Book Antiqua"/>
                <w:spacing w:val="-2"/>
                <w:sz w:val="20"/>
              </w:rPr>
              <w:t>Нирматрелвир+Ритонавир</w:t>
            </w:r>
            <w:r>
              <w:rPr>
                <w:rFonts w:ascii="Book Antiqua" w:hAnsi="Book Antiqua"/>
                <w:spacing w:val="20"/>
                <w:sz w:val="20"/>
              </w:rPr>
              <w:t> </w:t>
            </w:r>
            <w:r>
              <w:rPr>
                <w:b/>
                <w:spacing w:val="-10"/>
                <w:position w:val="7"/>
                <w:sz w:val="13"/>
              </w:rPr>
              <w:t>9</w:t>
            </w:r>
          </w:p>
        </w:tc>
        <w:tc>
          <w:tcPr>
            <w:tcW w:w="9669" w:type="dxa"/>
          </w:tcPr>
          <w:p>
            <w:pPr>
              <w:pStyle w:val="TableParagraph"/>
              <w:spacing w:line="206" w:lineRule="exact"/>
              <w:ind w:left="98" w:right="1248"/>
              <w:rPr>
                <w:sz w:val="18"/>
              </w:rPr>
            </w:pPr>
            <w:r>
              <w:rPr>
                <w:sz w:val="18"/>
              </w:rPr>
              <w:t>300</w:t>
            </w:r>
            <w:r>
              <w:rPr>
                <w:spacing w:val="-4"/>
                <w:sz w:val="18"/>
              </w:rPr>
              <w:t> </w:t>
            </w:r>
            <w:r>
              <w:rPr>
                <w:sz w:val="18"/>
              </w:rPr>
              <w:t>мг</w:t>
            </w:r>
            <w:r>
              <w:rPr>
                <w:spacing w:val="-3"/>
                <w:sz w:val="18"/>
              </w:rPr>
              <w:t> </w:t>
            </w:r>
            <w:r>
              <w:rPr>
                <w:sz w:val="18"/>
              </w:rPr>
              <w:t>нирматрелвира</w:t>
            </w:r>
            <w:r>
              <w:rPr>
                <w:spacing w:val="-2"/>
                <w:sz w:val="18"/>
              </w:rPr>
              <w:t> </w:t>
            </w:r>
            <w:r>
              <w:rPr>
                <w:sz w:val="18"/>
              </w:rPr>
              <w:t>+</w:t>
            </w:r>
            <w:r>
              <w:rPr>
                <w:spacing w:val="-4"/>
                <w:sz w:val="18"/>
              </w:rPr>
              <w:t> </w:t>
            </w:r>
            <w:r>
              <w:rPr>
                <w:sz w:val="18"/>
              </w:rPr>
              <w:t>100</w:t>
            </w:r>
            <w:r>
              <w:rPr>
                <w:spacing w:val="-2"/>
                <w:sz w:val="18"/>
              </w:rPr>
              <w:t> </w:t>
            </w:r>
            <w:r>
              <w:rPr>
                <w:sz w:val="18"/>
              </w:rPr>
              <w:t>мг</w:t>
            </w:r>
            <w:r>
              <w:rPr>
                <w:spacing w:val="-5"/>
                <w:sz w:val="18"/>
              </w:rPr>
              <w:t> </w:t>
            </w:r>
            <w:r>
              <w:rPr>
                <w:sz w:val="18"/>
              </w:rPr>
              <w:t>ритонавира</w:t>
            </w:r>
            <w:r>
              <w:rPr>
                <w:spacing w:val="-4"/>
                <w:sz w:val="18"/>
              </w:rPr>
              <w:t> </w:t>
            </w:r>
            <w:r>
              <w:rPr>
                <w:sz w:val="18"/>
              </w:rPr>
              <w:t>два</w:t>
            </w:r>
            <w:r>
              <w:rPr>
                <w:spacing w:val="-4"/>
                <w:sz w:val="18"/>
              </w:rPr>
              <w:t> </w:t>
            </w:r>
            <w:r>
              <w:rPr>
                <w:sz w:val="18"/>
              </w:rPr>
              <w:t>раза</w:t>
            </w:r>
            <w:r>
              <w:rPr>
                <w:spacing w:val="-4"/>
                <w:sz w:val="18"/>
              </w:rPr>
              <w:t> </w:t>
            </w:r>
            <w:r>
              <w:rPr>
                <w:sz w:val="18"/>
              </w:rPr>
              <w:t>в</w:t>
            </w:r>
            <w:r>
              <w:rPr>
                <w:spacing w:val="-4"/>
                <w:sz w:val="18"/>
              </w:rPr>
              <w:t> </w:t>
            </w:r>
            <w:r>
              <w:rPr>
                <w:sz w:val="18"/>
              </w:rPr>
              <w:t>сутки</w:t>
            </w:r>
            <w:r>
              <w:rPr>
                <w:spacing w:val="-4"/>
                <w:sz w:val="18"/>
              </w:rPr>
              <w:t> </w:t>
            </w:r>
            <w:r>
              <w:rPr>
                <w:sz w:val="18"/>
              </w:rPr>
              <w:t>(каждые</w:t>
            </w:r>
            <w:r>
              <w:rPr>
                <w:spacing w:val="-4"/>
                <w:sz w:val="18"/>
              </w:rPr>
              <w:t> </w:t>
            </w:r>
            <w:r>
              <w:rPr>
                <w:sz w:val="18"/>
              </w:rPr>
              <w:t>12</w:t>
            </w:r>
            <w:r>
              <w:rPr>
                <w:spacing w:val="-2"/>
                <w:sz w:val="18"/>
              </w:rPr>
              <w:t> </w:t>
            </w:r>
            <w:r>
              <w:rPr>
                <w:sz w:val="18"/>
              </w:rPr>
              <w:t>часов).</w:t>
            </w:r>
            <w:r>
              <w:rPr>
                <w:spacing w:val="-3"/>
                <w:sz w:val="18"/>
              </w:rPr>
              <w:t> </w:t>
            </w:r>
            <w:r>
              <w:rPr>
                <w:sz w:val="18"/>
              </w:rPr>
              <w:t>Суточная</w:t>
            </w:r>
            <w:r>
              <w:rPr>
                <w:spacing w:val="-2"/>
                <w:sz w:val="18"/>
              </w:rPr>
              <w:t> </w:t>
            </w:r>
            <w:r>
              <w:rPr>
                <w:sz w:val="18"/>
              </w:rPr>
              <w:t>доза</w:t>
            </w:r>
            <w:r>
              <w:rPr>
                <w:spacing w:val="-6"/>
                <w:sz w:val="18"/>
              </w:rPr>
              <w:t> </w:t>
            </w:r>
            <w:r>
              <w:rPr>
                <w:sz w:val="18"/>
              </w:rPr>
              <w:t>составляет 600 мг нирматрелвира + 200 мг ритонавира.</w:t>
            </w:r>
            <w:r>
              <w:rPr>
                <w:spacing w:val="40"/>
                <w:sz w:val="18"/>
              </w:rPr>
              <w:t> </w:t>
            </w:r>
            <w:r>
              <w:rPr>
                <w:sz w:val="18"/>
              </w:rPr>
              <w:t>Продолжительность курса лечения - 5 суток.</w:t>
            </w:r>
          </w:p>
        </w:tc>
      </w:tr>
      <w:tr>
        <w:trPr>
          <w:trHeight w:val="462" w:hRule="atLeast"/>
        </w:trPr>
        <w:tc>
          <w:tcPr>
            <w:tcW w:w="848" w:type="dxa"/>
            <w:vMerge/>
            <w:tcBorders>
              <w:top w:val="nil"/>
            </w:tcBorders>
          </w:tcPr>
          <w:p>
            <w:pPr>
              <w:rPr>
                <w:sz w:val="2"/>
                <w:szCs w:val="2"/>
              </w:rPr>
            </w:pPr>
          </w:p>
        </w:tc>
        <w:tc>
          <w:tcPr>
            <w:tcW w:w="708" w:type="dxa"/>
          </w:tcPr>
          <w:p>
            <w:pPr>
              <w:pStyle w:val="TableParagraph"/>
              <w:spacing w:before="3"/>
              <w:ind w:left="103"/>
              <w:rPr>
                <w:rFonts w:ascii="Book Antiqua"/>
                <w:b/>
                <w:sz w:val="20"/>
              </w:rPr>
            </w:pPr>
            <w:r>
              <w:rPr>
                <w:rFonts w:ascii="Book Antiqua"/>
                <w:b/>
                <w:spacing w:val="-10"/>
                <w:sz w:val="20"/>
              </w:rPr>
              <w:t>2</w:t>
            </w:r>
          </w:p>
        </w:tc>
        <w:tc>
          <w:tcPr>
            <w:tcW w:w="3505" w:type="dxa"/>
          </w:tcPr>
          <w:p>
            <w:pPr>
              <w:pStyle w:val="TableParagraph"/>
              <w:spacing w:before="104"/>
              <w:ind w:left="102"/>
              <w:rPr>
                <w:b/>
                <w:position w:val="7"/>
                <w:sz w:val="13"/>
              </w:rPr>
            </w:pPr>
            <w:r>
              <w:rPr>
                <w:rFonts w:ascii="Book Antiqua" w:hAnsi="Book Antiqua"/>
                <w:sz w:val="20"/>
              </w:rPr>
              <w:t>ИФН-α,</w:t>
            </w:r>
            <w:r>
              <w:rPr>
                <w:rFonts w:ascii="Book Antiqua" w:hAnsi="Book Antiqua"/>
                <w:spacing w:val="-10"/>
                <w:sz w:val="20"/>
              </w:rPr>
              <w:t> </w:t>
            </w:r>
            <w:r>
              <w:rPr>
                <w:rFonts w:ascii="Book Antiqua" w:hAnsi="Book Antiqua"/>
                <w:sz w:val="20"/>
              </w:rPr>
              <w:t>интраназальные</w:t>
            </w:r>
            <w:r>
              <w:rPr>
                <w:rFonts w:ascii="Book Antiqua" w:hAnsi="Book Antiqua"/>
                <w:spacing w:val="-10"/>
                <w:sz w:val="20"/>
              </w:rPr>
              <w:t> </w:t>
            </w:r>
            <w:r>
              <w:rPr>
                <w:rFonts w:ascii="Book Antiqua" w:hAnsi="Book Antiqua"/>
                <w:sz w:val="20"/>
              </w:rPr>
              <w:t>формы</w:t>
            </w:r>
            <w:r>
              <w:rPr>
                <w:rFonts w:ascii="Book Antiqua" w:hAnsi="Book Antiqua"/>
                <w:spacing w:val="-8"/>
                <w:sz w:val="20"/>
              </w:rPr>
              <w:t> </w:t>
            </w:r>
            <w:r>
              <w:rPr>
                <w:b/>
                <w:spacing w:val="-10"/>
                <w:position w:val="7"/>
                <w:sz w:val="13"/>
              </w:rPr>
              <w:t>5</w:t>
            </w:r>
          </w:p>
        </w:tc>
        <w:tc>
          <w:tcPr>
            <w:tcW w:w="9669" w:type="dxa"/>
          </w:tcPr>
          <w:p>
            <w:pPr>
              <w:pStyle w:val="TableParagraph"/>
              <w:spacing w:line="220" w:lineRule="atLeast"/>
              <w:ind w:left="98" w:right="1248"/>
              <w:rPr>
                <w:rFonts w:ascii="Book Antiqua" w:hAnsi="Book Antiqua"/>
                <w:sz w:val="18"/>
              </w:rPr>
            </w:pPr>
            <w:r>
              <w:rPr>
                <w:rFonts w:ascii="Book Antiqua" w:hAnsi="Book Antiqua"/>
                <w:sz w:val="18"/>
              </w:rPr>
              <w:t>В</w:t>
            </w:r>
            <w:r>
              <w:rPr>
                <w:rFonts w:ascii="Book Antiqua" w:hAnsi="Book Antiqua"/>
                <w:spacing w:val="-5"/>
                <w:sz w:val="18"/>
              </w:rPr>
              <w:t> </w:t>
            </w:r>
            <w:r>
              <w:rPr>
                <w:rFonts w:ascii="Book Antiqua" w:hAnsi="Book Antiqua"/>
                <w:sz w:val="18"/>
              </w:rPr>
              <w:t>соответствии</w:t>
            </w:r>
            <w:r>
              <w:rPr>
                <w:rFonts w:ascii="Book Antiqua" w:hAnsi="Book Antiqua"/>
                <w:spacing w:val="-6"/>
                <w:sz w:val="18"/>
              </w:rPr>
              <w:t> </w:t>
            </w:r>
            <w:r>
              <w:rPr>
                <w:rFonts w:ascii="Book Antiqua" w:hAnsi="Book Antiqua"/>
                <w:sz w:val="18"/>
              </w:rPr>
              <w:t>с</w:t>
            </w:r>
            <w:r>
              <w:rPr>
                <w:rFonts w:ascii="Book Antiqua" w:hAnsi="Book Antiqua"/>
                <w:spacing w:val="-6"/>
                <w:sz w:val="18"/>
              </w:rPr>
              <w:t> </w:t>
            </w:r>
            <w:r>
              <w:rPr>
                <w:rFonts w:ascii="Book Antiqua" w:hAnsi="Book Antiqua"/>
                <w:sz w:val="18"/>
              </w:rPr>
              <w:t>инструкцией</w:t>
            </w:r>
            <w:r>
              <w:rPr>
                <w:rFonts w:ascii="Book Antiqua" w:hAnsi="Book Antiqua"/>
                <w:spacing w:val="-6"/>
                <w:sz w:val="18"/>
              </w:rPr>
              <w:t> </w:t>
            </w:r>
            <w:r>
              <w:rPr>
                <w:rFonts w:ascii="Book Antiqua" w:hAnsi="Book Antiqua"/>
                <w:sz w:val="18"/>
              </w:rPr>
              <w:t>по</w:t>
            </w:r>
            <w:r>
              <w:rPr>
                <w:rFonts w:ascii="Book Antiqua" w:hAnsi="Book Antiqua"/>
                <w:spacing w:val="-5"/>
                <w:sz w:val="18"/>
              </w:rPr>
              <w:t> </w:t>
            </w:r>
            <w:r>
              <w:rPr>
                <w:rFonts w:ascii="Book Antiqua" w:hAnsi="Book Antiqua"/>
                <w:sz w:val="18"/>
              </w:rPr>
              <w:t>применению</w:t>
            </w:r>
            <w:r>
              <w:rPr>
                <w:rFonts w:ascii="Book Antiqua" w:hAnsi="Book Antiqua"/>
                <w:spacing w:val="-4"/>
                <w:sz w:val="18"/>
              </w:rPr>
              <w:t> </w:t>
            </w:r>
            <w:r>
              <w:rPr>
                <w:rFonts w:ascii="Book Antiqua" w:hAnsi="Book Antiqua"/>
                <w:sz w:val="18"/>
              </w:rPr>
              <w:t>препарата</w:t>
            </w:r>
            <w:r>
              <w:rPr>
                <w:rFonts w:ascii="Book Antiqua" w:hAnsi="Book Antiqua"/>
                <w:spacing w:val="-6"/>
                <w:sz w:val="18"/>
              </w:rPr>
              <w:t> </w:t>
            </w:r>
            <w:r>
              <w:rPr>
                <w:rFonts w:ascii="Book Antiqua" w:hAnsi="Book Antiqua"/>
                <w:sz w:val="18"/>
              </w:rPr>
              <w:t>(спрей,</w:t>
            </w:r>
            <w:r>
              <w:rPr>
                <w:rFonts w:ascii="Book Antiqua" w:hAnsi="Book Antiqua"/>
                <w:spacing w:val="-5"/>
                <w:sz w:val="18"/>
              </w:rPr>
              <w:t> </w:t>
            </w:r>
            <w:r>
              <w:rPr>
                <w:rFonts w:ascii="Book Antiqua" w:hAnsi="Book Antiqua"/>
                <w:sz w:val="18"/>
              </w:rPr>
              <w:t>капли,</w:t>
            </w:r>
            <w:r>
              <w:rPr>
                <w:rFonts w:ascii="Book Antiqua" w:hAnsi="Book Antiqua"/>
                <w:spacing w:val="-5"/>
                <w:sz w:val="18"/>
              </w:rPr>
              <w:t> </w:t>
            </w:r>
            <w:r>
              <w:rPr>
                <w:rFonts w:ascii="Book Antiqua" w:hAnsi="Book Antiqua"/>
                <w:sz w:val="18"/>
              </w:rPr>
              <w:t>раствор,</w:t>
            </w:r>
            <w:r>
              <w:rPr>
                <w:rFonts w:ascii="Book Antiqua" w:hAnsi="Book Antiqua"/>
                <w:spacing w:val="-5"/>
                <w:sz w:val="18"/>
              </w:rPr>
              <w:t> </w:t>
            </w:r>
            <w:r>
              <w:rPr>
                <w:rFonts w:ascii="Book Antiqua" w:hAnsi="Book Antiqua"/>
                <w:sz w:val="18"/>
              </w:rPr>
              <w:t>лиофилизат</w:t>
            </w:r>
            <w:r>
              <w:rPr>
                <w:rFonts w:ascii="Book Antiqua" w:hAnsi="Book Antiqua"/>
                <w:spacing w:val="-5"/>
                <w:sz w:val="18"/>
              </w:rPr>
              <w:t> </w:t>
            </w:r>
            <w:r>
              <w:rPr>
                <w:rFonts w:ascii="Book Antiqua" w:hAnsi="Book Antiqua"/>
                <w:sz w:val="18"/>
              </w:rPr>
              <w:t>для приготовления раствора, гель или мазь)</w:t>
            </w:r>
          </w:p>
        </w:tc>
      </w:tr>
      <w:tr>
        <w:trPr>
          <w:trHeight w:val="511" w:hRule="atLeast"/>
        </w:trPr>
        <w:tc>
          <w:tcPr>
            <w:tcW w:w="848" w:type="dxa"/>
            <w:vMerge/>
            <w:tcBorders>
              <w:top w:val="nil"/>
            </w:tcBorders>
          </w:tcPr>
          <w:p>
            <w:pPr>
              <w:rPr>
                <w:sz w:val="2"/>
                <w:szCs w:val="2"/>
              </w:rPr>
            </w:pPr>
          </w:p>
        </w:tc>
        <w:tc>
          <w:tcPr>
            <w:tcW w:w="708" w:type="dxa"/>
          </w:tcPr>
          <w:p>
            <w:pPr>
              <w:pStyle w:val="TableParagraph"/>
              <w:spacing w:before="3"/>
              <w:ind w:left="103"/>
              <w:rPr>
                <w:rFonts w:ascii="Book Antiqua"/>
                <w:b/>
                <w:sz w:val="20"/>
              </w:rPr>
            </w:pPr>
            <w:r>
              <w:rPr>
                <w:rFonts w:ascii="Book Antiqua"/>
                <w:b/>
                <w:spacing w:val="-10"/>
                <w:sz w:val="20"/>
              </w:rPr>
              <w:t>3</w:t>
            </w:r>
          </w:p>
        </w:tc>
        <w:tc>
          <w:tcPr>
            <w:tcW w:w="3505" w:type="dxa"/>
          </w:tcPr>
          <w:p>
            <w:pPr>
              <w:pStyle w:val="TableParagraph"/>
              <w:spacing w:line="250" w:lineRule="atLeast"/>
              <w:ind w:left="102" w:right="853"/>
              <w:rPr>
                <w:rFonts w:ascii="Book Antiqua" w:hAnsi="Book Antiqua"/>
                <w:sz w:val="20"/>
              </w:rPr>
            </w:pPr>
            <w:r>
              <w:rPr>
                <w:rFonts w:ascii="Book Antiqua" w:hAnsi="Book Antiqua"/>
                <w:sz w:val="20"/>
              </w:rPr>
              <w:t>Будесонид (порошок для ингаляций</w:t>
            </w:r>
            <w:r>
              <w:rPr>
                <w:rFonts w:ascii="Book Antiqua" w:hAnsi="Book Antiqua"/>
                <w:spacing w:val="-13"/>
                <w:sz w:val="20"/>
              </w:rPr>
              <w:t> </w:t>
            </w:r>
            <w:r>
              <w:rPr>
                <w:rFonts w:ascii="Book Antiqua" w:hAnsi="Book Antiqua"/>
                <w:sz w:val="20"/>
              </w:rPr>
              <w:t>дозированный)</w:t>
            </w:r>
          </w:p>
        </w:tc>
        <w:tc>
          <w:tcPr>
            <w:tcW w:w="9669" w:type="dxa"/>
          </w:tcPr>
          <w:p>
            <w:pPr>
              <w:pStyle w:val="TableParagraph"/>
              <w:spacing w:before="3"/>
              <w:ind w:left="98"/>
              <w:rPr>
                <w:rFonts w:ascii="Book Antiqua" w:hAnsi="Book Antiqua"/>
                <w:sz w:val="18"/>
              </w:rPr>
            </w:pPr>
            <w:r>
              <w:rPr>
                <w:rFonts w:ascii="Book Antiqua" w:hAnsi="Book Antiqua"/>
                <w:sz w:val="18"/>
              </w:rPr>
              <w:t>По</w:t>
            </w:r>
            <w:r>
              <w:rPr>
                <w:rFonts w:ascii="Book Antiqua" w:hAnsi="Book Antiqua"/>
                <w:spacing w:val="-3"/>
                <w:sz w:val="18"/>
              </w:rPr>
              <w:t> </w:t>
            </w:r>
            <w:r>
              <w:rPr>
                <w:rFonts w:ascii="Book Antiqua" w:hAnsi="Book Antiqua"/>
                <w:sz w:val="18"/>
              </w:rPr>
              <w:t>800</w:t>
            </w:r>
            <w:r>
              <w:rPr>
                <w:rFonts w:ascii="Book Antiqua" w:hAnsi="Book Antiqua"/>
                <w:spacing w:val="-1"/>
                <w:sz w:val="18"/>
              </w:rPr>
              <w:t> </w:t>
            </w:r>
            <w:r>
              <w:rPr>
                <w:rFonts w:ascii="Book Antiqua" w:hAnsi="Book Antiqua"/>
                <w:sz w:val="18"/>
              </w:rPr>
              <w:t>мкг</w:t>
            </w:r>
            <w:r>
              <w:rPr>
                <w:rFonts w:ascii="Book Antiqua" w:hAnsi="Book Antiqua"/>
                <w:spacing w:val="-2"/>
                <w:sz w:val="18"/>
              </w:rPr>
              <w:t> </w:t>
            </w:r>
            <w:r>
              <w:rPr>
                <w:rFonts w:ascii="Book Antiqua" w:hAnsi="Book Antiqua"/>
                <w:sz w:val="18"/>
              </w:rPr>
              <w:t>2</w:t>
            </w:r>
            <w:r>
              <w:rPr>
                <w:rFonts w:ascii="Book Antiqua" w:hAnsi="Book Antiqua"/>
                <w:spacing w:val="-1"/>
                <w:sz w:val="18"/>
              </w:rPr>
              <w:t> </w:t>
            </w:r>
            <w:r>
              <w:rPr>
                <w:rFonts w:ascii="Book Antiqua" w:hAnsi="Book Antiqua"/>
                <w:sz w:val="18"/>
              </w:rPr>
              <w:t>раза в</w:t>
            </w:r>
            <w:r>
              <w:rPr>
                <w:rFonts w:ascii="Book Antiqua" w:hAnsi="Book Antiqua"/>
                <w:spacing w:val="-1"/>
                <w:sz w:val="18"/>
              </w:rPr>
              <w:t> </w:t>
            </w:r>
            <w:r>
              <w:rPr>
                <w:rFonts w:ascii="Book Antiqua" w:hAnsi="Book Antiqua"/>
                <w:sz w:val="18"/>
              </w:rPr>
              <w:t>сутки</w:t>
            </w:r>
            <w:r>
              <w:rPr>
                <w:rFonts w:ascii="Book Antiqua" w:hAnsi="Book Antiqua"/>
                <w:spacing w:val="-2"/>
                <w:sz w:val="18"/>
              </w:rPr>
              <w:t> </w:t>
            </w:r>
            <w:r>
              <w:rPr>
                <w:rFonts w:ascii="Book Antiqua" w:hAnsi="Book Antiqua"/>
                <w:sz w:val="18"/>
              </w:rPr>
              <w:t>до</w:t>
            </w:r>
            <w:r>
              <w:rPr>
                <w:rFonts w:ascii="Book Antiqua" w:hAnsi="Book Antiqua"/>
                <w:spacing w:val="-3"/>
                <w:sz w:val="18"/>
              </w:rPr>
              <w:t> </w:t>
            </w:r>
            <w:r>
              <w:rPr>
                <w:rFonts w:ascii="Book Antiqua" w:hAnsi="Book Antiqua"/>
                <w:sz w:val="18"/>
              </w:rPr>
              <w:t>выздоровления,</w:t>
            </w:r>
            <w:r>
              <w:rPr>
                <w:rFonts w:ascii="Book Antiqua" w:hAnsi="Book Antiqua"/>
                <w:spacing w:val="-1"/>
                <w:sz w:val="18"/>
              </w:rPr>
              <w:t> </w:t>
            </w:r>
            <w:r>
              <w:rPr>
                <w:rFonts w:ascii="Book Antiqua" w:hAnsi="Book Antiqua"/>
                <w:sz w:val="18"/>
              </w:rPr>
              <w:t>но</w:t>
            </w:r>
            <w:r>
              <w:rPr>
                <w:rFonts w:ascii="Book Antiqua" w:hAnsi="Book Antiqua"/>
                <w:spacing w:val="-1"/>
                <w:sz w:val="18"/>
              </w:rPr>
              <w:t> </w:t>
            </w:r>
            <w:r>
              <w:rPr>
                <w:rFonts w:ascii="Book Antiqua" w:hAnsi="Book Antiqua"/>
                <w:sz w:val="18"/>
              </w:rPr>
              <w:t>не</w:t>
            </w:r>
            <w:r>
              <w:rPr>
                <w:rFonts w:ascii="Book Antiqua" w:hAnsi="Book Antiqua"/>
                <w:spacing w:val="-2"/>
                <w:sz w:val="18"/>
              </w:rPr>
              <w:t> </w:t>
            </w:r>
            <w:r>
              <w:rPr>
                <w:rFonts w:ascii="Book Antiqua" w:hAnsi="Book Antiqua"/>
                <w:sz w:val="18"/>
              </w:rPr>
              <w:t>более</w:t>
            </w:r>
            <w:r>
              <w:rPr>
                <w:rFonts w:ascii="Book Antiqua" w:hAnsi="Book Antiqua"/>
                <w:spacing w:val="-3"/>
                <w:sz w:val="18"/>
              </w:rPr>
              <w:t> </w:t>
            </w:r>
            <w:r>
              <w:rPr>
                <w:rFonts w:ascii="Book Antiqua" w:hAnsi="Book Antiqua"/>
                <w:sz w:val="18"/>
              </w:rPr>
              <w:t>14 </w:t>
            </w:r>
            <w:r>
              <w:rPr>
                <w:rFonts w:ascii="Book Antiqua" w:hAnsi="Book Antiqua"/>
                <w:spacing w:val="-2"/>
                <w:sz w:val="18"/>
              </w:rPr>
              <w:t>суток</w:t>
            </w:r>
          </w:p>
        </w:tc>
      </w:tr>
      <w:tr>
        <w:trPr>
          <w:trHeight w:val="414" w:hRule="atLeast"/>
        </w:trPr>
        <w:tc>
          <w:tcPr>
            <w:tcW w:w="848" w:type="dxa"/>
            <w:vMerge/>
            <w:tcBorders>
              <w:top w:val="nil"/>
            </w:tcBorders>
          </w:tcPr>
          <w:p>
            <w:pPr>
              <w:rPr>
                <w:sz w:val="2"/>
                <w:szCs w:val="2"/>
              </w:rPr>
            </w:pPr>
          </w:p>
        </w:tc>
        <w:tc>
          <w:tcPr>
            <w:tcW w:w="708" w:type="dxa"/>
          </w:tcPr>
          <w:p>
            <w:pPr>
              <w:pStyle w:val="TableParagraph"/>
              <w:spacing w:before="2"/>
              <w:ind w:left="103"/>
              <w:rPr>
                <w:rFonts w:ascii="Book Antiqua"/>
                <w:b/>
                <w:sz w:val="20"/>
              </w:rPr>
            </w:pPr>
            <w:r>
              <w:rPr>
                <w:rFonts w:ascii="Book Antiqua"/>
                <w:b/>
                <w:spacing w:val="-10"/>
                <w:sz w:val="20"/>
              </w:rPr>
              <w:t>4</w:t>
            </w:r>
          </w:p>
        </w:tc>
        <w:tc>
          <w:tcPr>
            <w:tcW w:w="3505" w:type="dxa"/>
          </w:tcPr>
          <w:p>
            <w:pPr>
              <w:pStyle w:val="TableParagraph"/>
              <w:spacing w:before="3"/>
              <w:ind w:left="102"/>
              <w:rPr>
                <w:rFonts w:ascii="Book Antiqua" w:hAnsi="Book Antiqua"/>
                <w:sz w:val="20"/>
              </w:rPr>
            </w:pPr>
            <w:r>
              <w:rPr>
                <w:rFonts w:ascii="Book Antiqua" w:hAnsi="Book Antiqua"/>
                <w:spacing w:val="-2"/>
                <w:sz w:val="20"/>
              </w:rPr>
              <w:t>Парацетамол</w:t>
            </w:r>
          </w:p>
        </w:tc>
        <w:tc>
          <w:tcPr>
            <w:tcW w:w="9669" w:type="dxa"/>
          </w:tcPr>
          <w:p>
            <w:pPr>
              <w:pStyle w:val="TableParagraph"/>
              <w:spacing w:before="3"/>
              <w:ind w:left="98"/>
              <w:rPr>
                <w:rFonts w:ascii="Book Antiqua" w:hAnsi="Book Antiqua"/>
                <w:sz w:val="18"/>
              </w:rPr>
            </w:pPr>
            <w:r>
              <w:rPr>
                <w:rFonts w:ascii="Book Antiqua" w:hAnsi="Book Antiqua"/>
                <w:sz w:val="18"/>
              </w:rPr>
              <w:t>1-2</w:t>
            </w:r>
            <w:r>
              <w:rPr>
                <w:rFonts w:ascii="Book Antiqua" w:hAnsi="Book Antiqua"/>
                <w:spacing w:val="-2"/>
                <w:sz w:val="18"/>
              </w:rPr>
              <w:t> </w:t>
            </w:r>
            <w:r>
              <w:rPr>
                <w:rFonts w:ascii="Book Antiqua" w:hAnsi="Book Antiqua"/>
                <w:sz w:val="18"/>
              </w:rPr>
              <w:t>табл.</w:t>
            </w:r>
            <w:r>
              <w:rPr>
                <w:rFonts w:ascii="Book Antiqua" w:hAnsi="Book Antiqua"/>
                <w:spacing w:val="-1"/>
                <w:sz w:val="18"/>
              </w:rPr>
              <w:t> </w:t>
            </w:r>
            <w:r>
              <w:rPr>
                <w:rFonts w:ascii="Book Antiqua" w:hAnsi="Book Antiqua"/>
                <w:sz w:val="18"/>
              </w:rPr>
              <w:t>(500-1000</w:t>
            </w:r>
            <w:r>
              <w:rPr>
                <w:rFonts w:ascii="Book Antiqua" w:hAnsi="Book Antiqua"/>
                <w:spacing w:val="-1"/>
                <w:sz w:val="18"/>
              </w:rPr>
              <w:t> </w:t>
            </w:r>
            <w:r>
              <w:rPr>
                <w:rFonts w:ascii="Book Antiqua" w:hAnsi="Book Antiqua"/>
                <w:sz w:val="18"/>
              </w:rPr>
              <w:t>мг)</w:t>
            </w:r>
            <w:r>
              <w:rPr>
                <w:rFonts w:ascii="Book Antiqua" w:hAnsi="Book Antiqua"/>
                <w:spacing w:val="-3"/>
                <w:sz w:val="18"/>
              </w:rPr>
              <w:t> </w:t>
            </w:r>
            <w:r>
              <w:rPr>
                <w:rFonts w:ascii="Book Antiqua" w:hAnsi="Book Antiqua"/>
                <w:sz w:val="18"/>
              </w:rPr>
              <w:t>2-3</w:t>
            </w:r>
            <w:r>
              <w:rPr>
                <w:rFonts w:ascii="Book Antiqua" w:hAnsi="Book Antiqua"/>
                <w:spacing w:val="1"/>
                <w:sz w:val="18"/>
              </w:rPr>
              <w:t> </w:t>
            </w:r>
            <w:r>
              <w:rPr>
                <w:rFonts w:ascii="Book Antiqua" w:hAnsi="Book Antiqua"/>
                <w:sz w:val="18"/>
              </w:rPr>
              <w:t>р/сут,</w:t>
            </w:r>
            <w:r>
              <w:rPr>
                <w:rFonts w:ascii="Book Antiqua" w:hAnsi="Book Antiqua"/>
                <w:spacing w:val="-1"/>
                <w:sz w:val="18"/>
              </w:rPr>
              <w:t> </w:t>
            </w:r>
            <w:r>
              <w:rPr>
                <w:rFonts w:ascii="Book Antiqua" w:hAnsi="Book Antiqua"/>
                <w:sz w:val="18"/>
              </w:rPr>
              <w:t>не</w:t>
            </w:r>
            <w:r>
              <w:rPr>
                <w:rFonts w:ascii="Book Antiqua" w:hAnsi="Book Antiqua"/>
                <w:spacing w:val="-1"/>
                <w:sz w:val="18"/>
              </w:rPr>
              <w:t> </w:t>
            </w:r>
            <w:r>
              <w:rPr>
                <w:rFonts w:ascii="Book Antiqua" w:hAnsi="Book Antiqua"/>
                <w:sz w:val="18"/>
              </w:rPr>
              <w:t>более 4</w:t>
            </w:r>
            <w:r>
              <w:rPr>
                <w:rFonts w:ascii="Book Antiqua" w:hAnsi="Book Antiqua"/>
                <w:spacing w:val="-2"/>
                <w:sz w:val="18"/>
              </w:rPr>
              <w:t> </w:t>
            </w:r>
            <w:r>
              <w:rPr>
                <w:rFonts w:ascii="Book Antiqua" w:hAnsi="Book Antiqua"/>
                <w:sz w:val="18"/>
              </w:rPr>
              <w:t>г в</w:t>
            </w:r>
            <w:r>
              <w:rPr>
                <w:rFonts w:ascii="Book Antiqua" w:hAnsi="Book Antiqua"/>
                <w:spacing w:val="-3"/>
                <w:sz w:val="18"/>
              </w:rPr>
              <w:t> </w:t>
            </w:r>
            <w:r>
              <w:rPr>
                <w:rFonts w:ascii="Book Antiqua" w:hAnsi="Book Antiqua"/>
                <w:sz w:val="18"/>
              </w:rPr>
              <w:t>сутки</w:t>
            </w:r>
            <w:r>
              <w:rPr>
                <w:rFonts w:ascii="Book Antiqua" w:hAnsi="Book Antiqua"/>
                <w:spacing w:val="-2"/>
                <w:sz w:val="18"/>
              </w:rPr>
              <w:t> </w:t>
            </w:r>
            <w:r>
              <w:rPr>
                <w:rFonts w:ascii="Book Antiqua" w:hAnsi="Book Antiqua"/>
                <w:sz w:val="18"/>
              </w:rPr>
              <w:t>(при</w:t>
            </w:r>
            <w:r>
              <w:rPr>
                <w:rFonts w:ascii="Book Antiqua" w:hAnsi="Book Antiqua"/>
                <w:spacing w:val="2"/>
                <w:sz w:val="18"/>
              </w:rPr>
              <w:t> </w:t>
            </w:r>
            <w:r>
              <w:rPr>
                <w:rFonts w:ascii="Book Antiqua" w:hAnsi="Book Antiqua"/>
                <w:sz w:val="18"/>
              </w:rPr>
              <w:t>t</w:t>
            </w:r>
            <w:r>
              <w:rPr>
                <w:rFonts w:ascii="Book Antiqua" w:hAnsi="Book Antiqua"/>
                <w:spacing w:val="-2"/>
                <w:sz w:val="18"/>
              </w:rPr>
              <w:t> </w:t>
            </w:r>
            <w:r>
              <w:rPr>
                <w:rFonts w:ascii="Book Antiqua" w:hAnsi="Book Antiqua"/>
                <w:sz w:val="18"/>
              </w:rPr>
              <w:t>тела</w:t>
            </w:r>
            <w:r>
              <w:rPr>
                <w:rFonts w:ascii="Book Antiqua" w:hAnsi="Book Antiqua"/>
                <w:spacing w:val="1"/>
                <w:sz w:val="18"/>
              </w:rPr>
              <w:t> </w:t>
            </w:r>
            <w:r>
              <w:rPr>
                <w:rFonts w:ascii="Book Antiqua" w:hAnsi="Book Antiqua"/>
                <w:sz w:val="18"/>
              </w:rPr>
              <w:t>&gt;</w:t>
            </w:r>
            <w:r>
              <w:rPr>
                <w:rFonts w:ascii="Book Antiqua" w:hAnsi="Book Antiqua"/>
                <w:spacing w:val="-2"/>
                <w:sz w:val="18"/>
              </w:rPr>
              <w:t> </w:t>
            </w:r>
            <w:r>
              <w:rPr>
                <w:rFonts w:ascii="Book Antiqua" w:hAnsi="Book Antiqua"/>
                <w:sz w:val="18"/>
              </w:rPr>
              <w:t>38,0</w:t>
            </w:r>
            <w:r>
              <w:rPr>
                <w:rFonts w:ascii="Book Antiqua" w:hAnsi="Book Antiqua"/>
                <w:spacing w:val="-1"/>
                <w:sz w:val="18"/>
              </w:rPr>
              <w:t> </w:t>
            </w:r>
            <w:r>
              <w:rPr>
                <w:rFonts w:ascii="Book Antiqua" w:hAnsi="Book Antiqua"/>
                <w:spacing w:val="-5"/>
                <w:sz w:val="18"/>
              </w:rPr>
              <w:t>ºС)</w:t>
            </w:r>
          </w:p>
        </w:tc>
      </w:tr>
      <w:tr>
        <w:trPr>
          <w:trHeight w:val="335" w:hRule="atLeast"/>
        </w:trPr>
        <w:tc>
          <w:tcPr>
            <w:tcW w:w="848" w:type="dxa"/>
            <w:vMerge w:val="restart"/>
          </w:tcPr>
          <w:p>
            <w:pPr>
              <w:pStyle w:val="TableParagraph"/>
              <w:spacing w:before="167"/>
              <w:rPr>
                <w:sz w:val="20"/>
              </w:rPr>
            </w:pPr>
          </w:p>
          <w:p>
            <w:pPr>
              <w:pStyle w:val="TableParagraph"/>
              <w:spacing w:line="235" w:lineRule="auto" w:before="1"/>
              <w:ind w:left="106" w:right="152"/>
              <w:rPr>
                <w:b/>
                <w:sz w:val="13"/>
              </w:rPr>
            </w:pPr>
            <w:r>
              <w:rPr>
                <w:b/>
                <w:spacing w:val="-2"/>
                <w:sz w:val="20"/>
              </w:rPr>
              <w:t>Схема </w:t>
            </w:r>
            <w:r>
              <w:rPr>
                <w:b/>
                <w:position w:val="-6"/>
                <w:sz w:val="20"/>
              </w:rPr>
              <w:t>8 </w:t>
            </w:r>
            <w:r>
              <w:rPr>
                <w:b/>
                <w:sz w:val="13"/>
              </w:rPr>
              <w:t>2, 4</w:t>
            </w:r>
          </w:p>
        </w:tc>
        <w:tc>
          <w:tcPr>
            <w:tcW w:w="708" w:type="dxa"/>
          </w:tcPr>
          <w:p>
            <w:pPr>
              <w:pStyle w:val="TableParagraph"/>
              <w:spacing w:before="44"/>
              <w:ind w:left="103"/>
              <w:rPr>
                <w:sz w:val="13"/>
              </w:rPr>
            </w:pPr>
            <w:r>
              <w:rPr>
                <w:b/>
                <w:position w:val="-6"/>
                <w:sz w:val="20"/>
              </w:rPr>
              <w:t>1 </w:t>
            </w:r>
            <w:r>
              <w:rPr>
                <w:spacing w:val="-10"/>
                <w:sz w:val="13"/>
              </w:rPr>
              <w:t>3</w:t>
            </w:r>
          </w:p>
        </w:tc>
        <w:tc>
          <w:tcPr>
            <w:tcW w:w="3505" w:type="dxa"/>
          </w:tcPr>
          <w:p>
            <w:pPr>
              <w:pStyle w:val="TableParagraph"/>
              <w:spacing w:before="48"/>
              <w:ind w:left="102"/>
              <w:rPr>
                <w:b/>
                <w:sz w:val="20"/>
              </w:rPr>
            </w:pPr>
            <w:r>
              <w:rPr>
                <w:sz w:val="20"/>
              </w:rPr>
              <w:t>Умифеновир</w:t>
            </w:r>
            <w:r>
              <w:rPr>
                <w:spacing w:val="-13"/>
                <w:sz w:val="20"/>
              </w:rPr>
              <w:t> </w:t>
            </w:r>
            <w:r>
              <w:rPr>
                <w:b/>
                <w:spacing w:val="-10"/>
                <w:sz w:val="20"/>
                <w:vertAlign w:val="superscript"/>
              </w:rPr>
              <w:t>5</w:t>
            </w:r>
          </w:p>
        </w:tc>
        <w:tc>
          <w:tcPr>
            <w:tcW w:w="9669" w:type="dxa"/>
          </w:tcPr>
          <w:p>
            <w:pPr>
              <w:pStyle w:val="TableParagraph"/>
              <w:spacing w:before="2"/>
              <w:ind w:left="98"/>
              <w:rPr>
                <w:sz w:val="18"/>
              </w:rPr>
            </w:pPr>
            <w:r>
              <w:rPr>
                <w:sz w:val="18"/>
              </w:rPr>
              <w:t>200</w:t>
            </w:r>
            <w:r>
              <w:rPr>
                <w:spacing w:val="-2"/>
                <w:sz w:val="18"/>
              </w:rPr>
              <w:t> </w:t>
            </w:r>
            <w:r>
              <w:rPr>
                <w:sz w:val="18"/>
              </w:rPr>
              <w:t>мг 4</w:t>
            </w:r>
            <w:r>
              <w:rPr>
                <w:spacing w:val="-2"/>
                <w:sz w:val="18"/>
              </w:rPr>
              <w:t> </w:t>
            </w:r>
            <w:r>
              <w:rPr>
                <w:sz w:val="18"/>
              </w:rPr>
              <w:t>р/сут в</w:t>
            </w:r>
            <w:r>
              <w:rPr>
                <w:spacing w:val="-2"/>
                <w:sz w:val="18"/>
              </w:rPr>
              <w:t> </w:t>
            </w:r>
            <w:r>
              <w:rPr>
                <w:sz w:val="18"/>
              </w:rPr>
              <w:t>течение</w:t>
            </w:r>
            <w:r>
              <w:rPr>
                <w:spacing w:val="-1"/>
                <w:sz w:val="18"/>
              </w:rPr>
              <w:t> </w:t>
            </w:r>
            <w:r>
              <w:rPr>
                <w:sz w:val="18"/>
              </w:rPr>
              <w:t>5-7</w:t>
            </w:r>
            <w:r>
              <w:rPr>
                <w:spacing w:val="-1"/>
                <w:sz w:val="18"/>
              </w:rPr>
              <w:t> </w:t>
            </w:r>
            <w:r>
              <w:rPr>
                <w:spacing w:val="-4"/>
                <w:sz w:val="18"/>
              </w:rPr>
              <w:t>дней</w:t>
            </w:r>
          </w:p>
        </w:tc>
      </w:tr>
      <w:tr>
        <w:trPr>
          <w:trHeight w:val="429" w:hRule="atLeast"/>
        </w:trPr>
        <w:tc>
          <w:tcPr>
            <w:tcW w:w="848" w:type="dxa"/>
            <w:vMerge/>
            <w:tcBorders>
              <w:top w:val="nil"/>
            </w:tcBorders>
          </w:tcPr>
          <w:p>
            <w:pPr>
              <w:rPr>
                <w:sz w:val="2"/>
                <w:szCs w:val="2"/>
              </w:rPr>
            </w:pPr>
          </w:p>
        </w:tc>
        <w:tc>
          <w:tcPr>
            <w:tcW w:w="708" w:type="dxa"/>
          </w:tcPr>
          <w:p>
            <w:pPr>
              <w:pStyle w:val="TableParagraph"/>
              <w:spacing w:before="96"/>
              <w:ind w:left="103"/>
              <w:rPr>
                <w:b/>
                <w:sz w:val="20"/>
              </w:rPr>
            </w:pPr>
            <w:r>
              <w:rPr>
                <w:b/>
                <w:spacing w:val="-10"/>
                <w:sz w:val="20"/>
              </w:rPr>
              <w:t>2</w:t>
            </w:r>
          </w:p>
        </w:tc>
        <w:tc>
          <w:tcPr>
            <w:tcW w:w="3505" w:type="dxa"/>
          </w:tcPr>
          <w:p>
            <w:pPr>
              <w:pStyle w:val="TableParagraph"/>
              <w:spacing w:before="96"/>
              <w:ind w:left="102"/>
              <w:rPr>
                <w:b/>
                <w:sz w:val="20"/>
              </w:rPr>
            </w:pPr>
            <w:r>
              <w:rPr>
                <w:sz w:val="20"/>
              </w:rPr>
              <w:t>ИФН-α,</w:t>
            </w:r>
            <w:r>
              <w:rPr>
                <w:spacing w:val="-9"/>
                <w:sz w:val="20"/>
              </w:rPr>
              <w:t> </w:t>
            </w:r>
            <w:r>
              <w:rPr>
                <w:sz w:val="20"/>
              </w:rPr>
              <w:t>интраназальные</w:t>
            </w:r>
            <w:r>
              <w:rPr>
                <w:spacing w:val="-9"/>
                <w:sz w:val="20"/>
              </w:rPr>
              <w:t> </w:t>
            </w:r>
            <w:r>
              <w:rPr>
                <w:sz w:val="20"/>
              </w:rPr>
              <w:t>формы</w:t>
            </w:r>
            <w:r>
              <w:rPr>
                <w:spacing w:val="-7"/>
                <w:sz w:val="20"/>
              </w:rPr>
              <w:t> </w:t>
            </w:r>
            <w:r>
              <w:rPr>
                <w:b/>
                <w:spacing w:val="-10"/>
                <w:sz w:val="20"/>
                <w:vertAlign w:val="superscript"/>
              </w:rPr>
              <w:t>5</w:t>
            </w:r>
          </w:p>
        </w:tc>
        <w:tc>
          <w:tcPr>
            <w:tcW w:w="9669" w:type="dxa"/>
          </w:tcPr>
          <w:p>
            <w:pPr>
              <w:pStyle w:val="TableParagraph"/>
              <w:spacing w:line="206" w:lineRule="exact"/>
              <w:ind w:left="144" w:right="2187" w:hanging="46"/>
              <w:rPr>
                <w:sz w:val="18"/>
              </w:rPr>
            </w:pPr>
            <w:r>
              <w:rPr>
                <w:sz w:val="18"/>
              </w:rPr>
              <w:t>В</w:t>
            </w:r>
            <w:r>
              <w:rPr>
                <w:spacing w:val="-5"/>
                <w:sz w:val="18"/>
              </w:rPr>
              <w:t> </w:t>
            </w:r>
            <w:r>
              <w:rPr>
                <w:sz w:val="18"/>
              </w:rPr>
              <w:t>соответствии</w:t>
            </w:r>
            <w:r>
              <w:rPr>
                <w:spacing w:val="-6"/>
                <w:sz w:val="18"/>
              </w:rPr>
              <w:t> </w:t>
            </w:r>
            <w:r>
              <w:rPr>
                <w:sz w:val="18"/>
              </w:rPr>
              <w:t>с</w:t>
            </w:r>
            <w:r>
              <w:rPr>
                <w:spacing w:val="-6"/>
                <w:sz w:val="18"/>
              </w:rPr>
              <w:t> </w:t>
            </w:r>
            <w:r>
              <w:rPr>
                <w:sz w:val="18"/>
              </w:rPr>
              <w:t>инструкцией</w:t>
            </w:r>
            <w:r>
              <w:rPr>
                <w:spacing w:val="-6"/>
                <w:sz w:val="18"/>
              </w:rPr>
              <w:t> </w:t>
            </w:r>
            <w:r>
              <w:rPr>
                <w:sz w:val="18"/>
              </w:rPr>
              <w:t>по</w:t>
            </w:r>
            <w:r>
              <w:rPr>
                <w:spacing w:val="-4"/>
                <w:sz w:val="18"/>
              </w:rPr>
              <w:t> </w:t>
            </w:r>
            <w:r>
              <w:rPr>
                <w:sz w:val="18"/>
              </w:rPr>
              <w:t>применению</w:t>
            </w:r>
            <w:r>
              <w:rPr>
                <w:spacing w:val="-5"/>
                <w:sz w:val="18"/>
              </w:rPr>
              <w:t> </w:t>
            </w:r>
            <w:r>
              <w:rPr>
                <w:sz w:val="18"/>
              </w:rPr>
              <w:t>препарата</w:t>
            </w:r>
            <w:r>
              <w:rPr>
                <w:spacing w:val="-6"/>
                <w:sz w:val="18"/>
              </w:rPr>
              <w:t> </w:t>
            </w:r>
            <w:r>
              <w:rPr>
                <w:sz w:val="18"/>
              </w:rPr>
              <w:t>(спрей,</w:t>
            </w:r>
            <w:r>
              <w:rPr>
                <w:spacing w:val="-5"/>
                <w:sz w:val="18"/>
              </w:rPr>
              <w:t> </w:t>
            </w:r>
            <w:r>
              <w:rPr>
                <w:sz w:val="18"/>
              </w:rPr>
              <w:t>капли,</w:t>
            </w:r>
            <w:r>
              <w:rPr>
                <w:spacing w:val="-5"/>
                <w:sz w:val="18"/>
              </w:rPr>
              <w:t> </w:t>
            </w:r>
            <w:r>
              <w:rPr>
                <w:sz w:val="18"/>
              </w:rPr>
              <w:t>раствор,</w:t>
            </w:r>
            <w:r>
              <w:rPr>
                <w:spacing w:val="-1"/>
                <w:sz w:val="18"/>
              </w:rPr>
              <w:t> </w:t>
            </w:r>
            <w:r>
              <w:rPr>
                <w:sz w:val="18"/>
              </w:rPr>
              <w:t>лиофилизат для приготовления раствора, гель или мазь)</w:t>
            </w:r>
          </w:p>
        </w:tc>
      </w:tr>
      <w:tr>
        <w:trPr>
          <w:trHeight w:val="472" w:hRule="atLeast"/>
        </w:trPr>
        <w:tc>
          <w:tcPr>
            <w:tcW w:w="848" w:type="dxa"/>
            <w:vMerge/>
            <w:tcBorders>
              <w:top w:val="nil"/>
            </w:tcBorders>
          </w:tcPr>
          <w:p>
            <w:pPr>
              <w:rPr>
                <w:sz w:val="2"/>
                <w:szCs w:val="2"/>
              </w:rPr>
            </w:pPr>
          </w:p>
        </w:tc>
        <w:tc>
          <w:tcPr>
            <w:tcW w:w="708" w:type="dxa"/>
          </w:tcPr>
          <w:p>
            <w:pPr>
              <w:pStyle w:val="TableParagraph"/>
              <w:spacing w:before="117"/>
              <w:ind w:left="103"/>
              <w:rPr>
                <w:b/>
                <w:sz w:val="20"/>
              </w:rPr>
            </w:pPr>
            <w:r>
              <w:rPr>
                <w:b/>
                <w:spacing w:val="-10"/>
                <w:sz w:val="20"/>
              </w:rPr>
              <w:t>3</w:t>
            </w:r>
          </w:p>
        </w:tc>
        <w:tc>
          <w:tcPr>
            <w:tcW w:w="3505" w:type="dxa"/>
          </w:tcPr>
          <w:p>
            <w:pPr>
              <w:pStyle w:val="TableParagraph"/>
              <w:spacing w:line="230" w:lineRule="atLeast"/>
              <w:ind w:left="102"/>
              <w:rPr>
                <w:sz w:val="20"/>
              </w:rPr>
            </w:pPr>
            <w:r>
              <w:rPr>
                <w:sz w:val="20"/>
              </w:rPr>
              <w:t>Будесонид</w:t>
            </w:r>
            <w:r>
              <w:rPr>
                <w:spacing w:val="-13"/>
                <w:sz w:val="20"/>
              </w:rPr>
              <w:t> </w:t>
            </w:r>
            <w:r>
              <w:rPr>
                <w:sz w:val="20"/>
              </w:rPr>
              <w:t>(порошок</w:t>
            </w:r>
            <w:r>
              <w:rPr>
                <w:spacing w:val="-12"/>
                <w:sz w:val="20"/>
              </w:rPr>
              <w:t> </w:t>
            </w:r>
            <w:r>
              <w:rPr>
                <w:sz w:val="20"/>
              </w:rPr>
              <w:t>для</w:t>
            </w:r>
            <w:r>
              <w:rPr>
                <w:spacing w:val="-13"/>
                <w:sz w:val="20"/>
              </w:rPr>
              <w:t> </w:t>
            </w:r>
            <w:r>
              <w:rPr>
                <w:sz w:val="20"/>
              </w:rPr>
              <w:t>ингаляций </w:t>
            </w:r>
            <w:r>
              <w:rPr>
                <w:spacing w:val="-2"/>
                <w:sz w:val="20"/>
              </w:rPr>
              <w:t>дозированный)</w:t>
            </w:r>
          </w:p>
        </w:tc>
        <w:tc>
          <w:tcPr>
            <w:tcW w:w="9669" w:type="dxa"/>
          </w:tcPr>
          <w:p>
            <w:pPr>
              <w:pStyle w:val="TableParagraph"/>
              <w:spacing w:before="2"/>
              <w:ind w:left="98"/>
              <w:rPr>
                <w:sz w:val="18"/>
              </w:rPr>
            </w:pPr>
            <w:r>
              <w:rPr>
                <w:sz w:val="18"/>
              </w:rPr>
              <w:t>По</w:t>
            </w:r>
            <w:r>
              <w:rPr>
                <w:spacing w:val="-1"/>
                <w:sz w:val="18"/>
              </w:rPr>
              <w:t> </w:t>
            </w:r>
            <w:r>
              <w:rPr>
                <w:sz w:val="18"/>
              </w:rPr>
              <w:t>800</w:t>
            </w:r>
            <w:r>
              <w:rPr>
                <w:spacing w:val="-2"/>
                <w:sz w:val="18"/>
              </w:rPr>
              <w:t> </w:t>
            </w:r>
            <w:r>
              <w:rPr>
                <w:sz w:val="18"/>
              </w:rPr>
              <w:t>мкг</w:t>
            </w:r>
            <w:r>
              <w:rPr>
                <w:spacing w:val="-1"/>
                <w:sz w:val="18"/>
              </w:rPr>
              <w:t> </w:t>
            </w:r>
            <w:r>
              <w:rPr>
                <w:sz w:val="18"/>
              </w:rPr>
              <w:t>2</w:t>
            </w:r>
            <w:r>
              <w:rPr>
                <w:spacing w:val="-2"/>
                <w:sz w:val="18"/>
              </w:rPr>
              <w:t> </w:t>
            </w:r>
            <w:r>
              <w:rPr>
                <w:sz w:val="18"/>
              </w:rPr>
              <w:t>раза</w:t>
            </w:r>
            <w:r>
              <w:rPr>
                <w:spacing w:val="-1"/>
                <w:sz w:val="18"/>
              </w:rPr>
              <w:t> </w:t>
            </w:r>
            <w:r>
              <w:rPr>
                <w:sz w:val="18"/>
              </w:rPr>
              <w:t>в</w:t>
            </w:r>
            <w:r>
              <w:rPr>
                <w:spacing w:val="-2"/>
                <w:sz w:val="18"/>
              </w:rPr>
              <w:t> </w:t>
            </w:r>
            <w:r>
              <w:rPr>
                <w:sz w:val="18"/>
              </w:rPr>
              <w:t>сутки до</w:t>
            </w:r>
            <w:r>
              <w:rPr>
                <w:spacing w:val="-2"/>
                <w:sz w:val="18"/>
              </w:rPr>
              <w:t> </w:t>
            </w:r>
            <w:r>
              <w:rPr>
                <w:sz w:val="18"/>
              </w:rPr>
              <w:t>выздоровления,</w:t>
            </w:r>
            <w:r>
              <w:rPr>
                <w:spacing w:val="-2"/>
                <w:sz w:val="18"/>
              </w:rPr>
              <w:t> </w:t>
            </w:r>
            <w:r>
              <w:rPr>
                <w:sz w:val="18"/>
              </w:rPr>
              <w:t>но не</w:t>
            </w:r>
            <w:r>
              <w:rPr>
                <w:spacing w:val="-2"/>
                <w:sz w:val="18"/>
              </w:rPr>
              <w:t> </w:t>
            </w:r>
            <w:r>
              <w:rPr>
                <w:sz w:val="18"/>
              </w:rPr>
              <w:t>более</w:t>
            </w:r>
            <w:r>
              <w:rPr>
                <w:spacing w:val="-2"/>
                <w:sz w:val="18"/>
              </w:rPr>
              <w:t> </w:t>
            </w:r>
            <w:r>
              <w:rPr>
                <w:sz w:val="18"/>
              </w:rPr>
              <w:t>14</w:t>
            </w:r>
            <w:r>
              <w:rPr>
                <w:spacing w:val="-1"/>
                <w:sz w:val="18"/>
              </w:rPr>
              <w:t> </w:t>
            </w:r>
            <w:r>
              <w:rPr>
                <w:spacing w:val="-4"/>
                <w:sz w:val="18"/>
              </w:rPr>
              <w:t>суток</w:t>
            </w:r>
          </w:p>
        </w:tc>
      </w:tr>
    </w:tbl>
    <w:p>
      <w:pPr>
        <w:pStyle w:val="BodyText"/>
        <w:spacing w:before="118"/>
        <w:ind w:left="0"/>
        <w:jc w:val="left"/>
        <w:rPr>
          <w:sz w:val="22"/>
        </w:rPr>
      </w:pPr>
    </w:p>
    <w:p>
      <w:pPr>
        <w:spacing w:before="0"/>
        <w:ind w:left="0" w:right="15" w:firstLine="0"/>
        <w:jc w:val="center"/>
        <w:rPr>
          <w:rFonts w:ascii="Calibri"/>
          <w:sz w:val="22"/>
        </w:rPr>
      </w:pPr>
      <w:r>
        <w:rPr>
          <w:rFonts w:ascii="Calibri"/>
          <w:spacing w:val="-5"/>
          <w:sz w:val="22"/>
        </w:rPr>
        <w:t>208</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48"/>
        <w:gridCol w:w="708"/>
        <w:gridCol w:w="3505"/>
        <w:gridCol w:w="9669"/>
      </w:tblGrid>
      <w:tr>
        <w:trPr>
          <w:trHeight w:val="414" w:hRule="atLeast"/>
        </w:trPr>
        <w:tc>
          <w:tcPr>
            <w:tcW w:w="848" w:type="dxa"/>
          </w:tcPr>
          <w:p>
            <w:pPr>
              <w:pStyle w:val="TableParagraph"/>
              <w:rPr>
                <w:sz w:val="16"/>
              </w:rPr>
            </w:pPr>
          </w:p>
        </w:tc>
        <w:tc>
          <w:tcPr>
            <w:tcW w:w="708" w:type="dxa"/>
          </w:tcPr>
          <w:p>
            <w:pPr>
              <w:pStyle w:val="TableParagraph"/>
              <w:spacing w:before="96"/>
              <w:ind w:left="103"/>
              <w:rPr>
                <w:b/>
                <w:sz w:val="20"/>
              </w:rPr>
            </w:pPr>
            <w:bookmarkStart w:name="210" w:id="251"/>
            <w:bookmarkEnd w:id="251"/>
            <w:r>
              <w:rPr/>
            </w:r>
            <w:r>
              <w:rPr>
                <w:b/>
                <w:spacing w:val="-10"/>
                <w:sz w:val="20"/>
              </w:rPr>
              <w:t>4</w:t>
            </w:r>
          </w:p>
        </w:tc>
        <w:tc>
          <w:tcPr>
            <w:tcW w:w="3505" w:type="dxa"/>
          </w:tcPr>
          <w:p>
            <w:pPr>
              <w:pStyle w:val="TableParagraph"/>
              <w:spacing w:before="10"/>
              <w:ind w:left="102"/>
              <w:rPr>
                <w:sz w:val="20"/>
              </w:rPr>
            </w:pPr>
            <w:r>
              <w:rPr>
                <w:spacing w:val="-2"/>
                <w:sz w:val="20"/>
              </w:rPr>
              <w:t>Парацетамол</w:t>
            </w:r>
          </w:p>
        </w:tc>
        <w:tc>
          <w:tcPr>
            <w:tcW w:w="9669" w:type="dxa"/>
          </w:tcPr>
          <w:p>
            <w:pPr>
              <w:pStyle w:val="TableParagraph"/>
              <w:spacing w:before="107"/>
              <w:ind w:left="98"/>
              <w:rPr>
                <w:sz w:val="18"/>
              </w:rPr>
            </w:pPr>
            <w:r>
              <w:rPr>
                <w:sz w:val="18"/>
              </w:rPr>
              <w:t>1-2</w:t>
            </w:r>
            <w:r>
              <w:rPr>
                <w:spacing w:val="-3"/>
                <w:sz w:val="18"/>
              </w:rPr>
              <w:t> </w:t>
            </w:r>
            <w:r>
              <w:rPr>
                <w:sz w:val="18"/>
              </w:rPr>
              <w:t>табл.</w:t>
            </w:r>
            <w:r>
              <w:rPr>
                <w:spacing w:val="-1"/>
                <w:sz w:val="18"/>
              </w:rPr>
              <w:t> </w:t>
            </w:r>
            <w:r>
              <w:rPr>
                <w:sz w:val="18"/>
              </w:rPr>
              <w:t>(500-1000</w:t>
            </w:r>
            <w:r>
              <w:rPr>
                <w:spacing w:val="-1"/>
                <w:sz w:val="18"/>
              </w:rPr>
              <w:t> </w:t>
            </w:r>
            <w:r>
              <w:rPr>
                <w:sz w:val="18"/>
              </w:rPr>
              <w:t>мг)</w:t>
            </w:r>
            <w:r>
              <w:rPr>
                <w:spacing w:val="-1"/>
                <w:sz w:val="18"/>
              </w:rPr>
              <w:t> </w:t>
            </w:r>
            <w:r>
              <w:rPr>
                <w:sz w:val="18"/>
              </w:rPr>
              <w:t>2-3</w:t>
            </w:r>
            <w:r>
              <w:rPr>
                <w:spacing w:val="-2"/>
                <w:sz w:val="18"/>
              </w:rPr>
              <w:t> </w:t>
            </w:r>
            <w:r>
              <w:rPr>
                <w:sz w:val="18"/>
              </w:rPr>
              <w:t>р/сут,</w:t>
            </w:r>
            <w:r>
              <w:rPr>
                <w:spacing w:val="-1"/>
                <w:sz w:val="18"/>
              </w:rPr>
              <w:t> </w:t>
            </w:r>
            <w:r>
              <w:rPr>
                <w:sz w:val="18"/>
              </w:rPr>
              <w:t>не</w:t>
            </w:r>
            <w:r>
              <w:rPr>
                <w:spacing w:val="-2"/>
                <w:sz w:val="18"/>
              </w:rPr>
              <w:t> </w:t>
            </w:r>
            <w:r>
              <w:rPr>
                <w:sz w:val="18"/>
              </w:rPr>
              <w:t>более</w:t>
            </w:r>
            <w:r>
              <w:rPr>
                <w:spacing w:val="-2"/>
                <w:sz w:val="18"/>
              </w:rPr>
              <w:t> </w:t>
            </w:r>
            <w:r>
              <w:rPr>
                <w:sz w:val="18"/>
              </w:rPr>
              <w:t>4</w:t>
            </w:r>
            <w:r>
              <w:rPr>
                <w:spacing w:val="-1"/>
                <w:sz w:val="18"/>
              </w:rPr>
              <w:t> </w:t>
            </w:r>
            <w:r>
              <w:rPr>
                <w:sz w:val="18"/>
              </w:rPr>
              <w:t>г</w:t>
            </w:r>
            <w:r>
              <w:rPr>
                <w:spacing w:val="-1"/>
                <w:sz w:val="18"/>
              </w:rPr>
              <w:t> </w:t>
            </w:r>
            <w:r>
              <w:rPr>
                <w:sz w:val="18"/>
              </w:rPr>
              <w:t>в</w:t>
            </w:r>
            <w:r>
              <w:rPr>
                <w:spacing w:val="-2"/>
                <w:sz w:val="18"/>
              </w:rPr>
              <w:t> </w:t>
            </w:r>
            <w:r>
              <w:rPr>
                <w:sz w:val="18"/>
              </w:rPr>
              <w:t>сутки</w:t>
            </w:r>
            <w:r>
              <w:rPr>
                <w:spacing w:val="-3"/>
                <w:sz w:val="18"/>
              </w:rPr>
              <w:t> </w:t>
            </w:r>
            <w:r>
              <w:rPr>
                <w:sz w:val="18"/>
              </w:rPr>
              <w:t>(при</w:t>
            </w:r>
            <w:r>
              <w:rPr>
                <w:spacing w:val="-2"/>
                <w:sz w:val="18"/>
              </w:rPr>
              <w:t> </w:t>
            </w:r>
            <w:r>
              <w:rPr>
                <w:sz w:val="18"/>
              </w:rPr>
              <w:t>температуре</w:t>
            </w:r>
            <w:r>
              <w:rPr>
                <w:spacing w:val="-2"/>
                <w:sz w:val="18"/>
              </w:rPr>
              <w:t> </w:t>
            </w:r>
            <w:r>
              <w:rPr>
                <w:sz w:val="18"/>
              </w:rPr>
              <w:t>тела</w:t>
            </w:r>
            <w:r>
              <w:rPr>
                <w:spacing w:val="-3"/>
                <w:sz w:val="18"/>
              </w:rPr>
              <w:t> </w:t>
            </w:r>
            <w:r>
              <w:rPr>
                <w:sz w:val="18"/>
              </w:rPr>
              <w:t>&gt;</w:t>
            </w:r>
            <w:r>
              <w:rPr>
                <w:spacing w:val="-2"/>
                <w:sz w:val="18"/>
              </w:rPr>
              <w:t> </w:t>
            </w:r>
            <w:r>
              <w:rPr>
                <w:sz w:val="18"/>
              </w:rPr>
              <w:t>38,0 </w:t>
            </w:r>
            <w:r>
              <w:rPr>
                <w:spacing w:val="-5"/>
                <w:sz w:val="18"/>
              </w:rPr>
              <w:t>ºС)</w:t>
            </w:r>
          </w:p>
        </w:tc>
      </w:tr>
      <w:tr>
        <w:trPr>
          <w:trHeight w:val="635" w:hRule="atLeast"/>
        </w:trPr>
        <w:tc>
          <w:tcPr>
            <w:tcW w:w="848" w:type="dxa"/>
            <w:vMerge w:val="restart"/>
          </w:tcPr>
          <w:p>
            <w:pPr>
              <w:pStyle w:val="TableParagraph"/>
              <w:rPr>
                <w:sz w:val="20"/>
              </w:rPr>
            </w:pPr>
          </w:p>
          <w:p>
            <w:pPr>
              <w:pStyle w:val="TableParagraph"/>
              <w:spacing w:before="63"/>
              <w:rPr>
                <w:sz w:val="20"/>
              </w:rPr>
            </w:pPr>
          </w:p>
          <w:p>
            <w:pPr>
              <w:pStyle w:val="TableParagraph"/>
              <w:spacing w:line="235" w:lineRule="auto" w:before="1"/>
              <w:ind w:left="106" w:right="152"/>
              <w:rPr>
                <w:b/>
                <w:sz w:val="13"/>
              </w:rPr>
            </w:pPr>
            <w:r>
              <w:rPr>
                <w:b/>
                <w:spacing w:val="-2"/>
                <w:sz w:val="20"/>
              </w:rPr>
              <w:t>Схема </w:t>
            </w:r>
            <w:r>
              <w:rPr>
                <w:b/>
                <w:position w:val="-6"/>
                <w:sz w:val="20"/>
              </w:rPr>
              <w:t>9 </w:t>
            </w:r>
            <w:r>
              <w:rPr>
                <w:b/>
                <w:sz w:val="13"/>
              </w:rPr>
              <w:t>2, 4</w:t>
            </w:r>
          </w:p>
        </w:tc>
        <w:tc>
          <w:tcPr>
            <w:tcW w:w="708" w:type="dxa"/>
          </w:tcPr>
          <w:p>
            <w:pPr>
              <w:pStyle w:val="TableParagraph"/>
              <w:spacing w:before="206"/>
              <w:ind w:left="103"/>
              <w:rPr>
                <w:b/>
                <w:sz w:val="20"/>
              </w:rPr>
            </w:pPr>
            <w:r>
              <w:rPr>
                <w:b/>
                <w:spacing w:val="-10"/>
                <w:sz w:val="20"/>
              </w:rPr>
              <w:t>1</w:t>
            </w:r>
          </w:p>
        </w:tc>
        <w:tc>
          <w:tcPr>
            <w:tcW w:w="3505" w:type="dxa"/>
          </w:tcPr>
          <w:p>
            <w:pPr>
              <w:pStyle w:val="TableParagraph"/>
              <w:spacing w:before="9"/>
              <w:ind w:left="102"/>
              <w:rPr>
                <w:sz w:val="18"/>
              </w:rPr>
            </w:pPr>
            <w:r>
              <w:rPr>
                <w:sz w:val="18"/>
              </w:rPr>
              <w:t>Синтетическая</w:t>
            </w:r>
            <w:r>
              <w:rPr>
                <w:spacing w:val="-5"/>
                <w:sz w:val="18"/>
              </w:rPr>
              <w:t> </w:t>
            </w:r>
            <w:r>
              <w:rPr>
                <w:sz w:val="18"/>
              </w:rPr>
              <w:t>малая</w:t>
            </w:r>
            <w:r>
              <w:rPr>
                <w:spacing w:val="-4"/>
                <w:sz w:val="18"/>
              </w:rPr>
              <w:t> </w:t>
            </w:r>
            <w:r>
              <w:rPr>
                <w:spacing w:val="-2"/>
                <w:sz w:val="18"/>
              </w:rPr>
              <w:t>интерферирующая</w:t>
            </w:r>
          </w:p>
          <w:p>
            <w:pPr>
              <w:pStyle w:val="TableParagraph"/>
              <w:spacing w:line="206" w:lineRule="exact"/>
              <w:ind w:left="102"/>
              <w:rPr>
                <w:sz w:val="18"/>
              </w:rPr>
            </w:pPr>
            <w:r>
              <w:rPr>
                <w:sz w:val="18"/>
              </w:rPr>
              <w:t>рибонуклеиновая</w:t>
            </w:r>
            <w:r>
              <w:rPr>
                <w:spacing w:val="-12"/>
                <w:sz w:val="18"/>
              </w:rPr>
              <w:t> </w:t>
            </w:r>
            <w:r>
              <w:rPr>
                <w:sz w:val="18"/>
              </w:rPr>
              <w:t>кислота</w:t>
            </w:r>
            <w:r>
              <w:rPr>
                <w:spacing w:val="-11"/>
                <w:sz w:val="18"/>
              </w:rPr>
              <w:t> </w:t>
            </w:r>
            <w:r>
              <w:rPr>
                <w:sz w:val="18"/>
              </w:rPr>
              <w:t>(миРНК) </w:t>
            </w:r>
            <w:r>
              <w:rPr>
                <w:spacing w:val="-2"/>
                <w:sz w:val="18"/>
              </w:rPr>
              <w:t>[двуцепочечная]</w:t>
            </w:r>
          </w:p>
        </w:tc>
        <w:tc>
          <w:tcPr>
            <w:tcW w:w="9669" w:type="dxa"/>
          </w:tcPr>
          <w:p>
            <w:pPr>
              <w:pStyle w:val="TableParagraph"/>
              <w:spacing w:before="9"/>
              <w:ind w:left="98"/>
              <w:rPr>
                <w:sz w:val="18"/>
              </w:rPr>
            </w:pPr>
            <w:r>
              <w:rPr>
                <w:sz w:val="18"/>
              </w:rPr>
              <w:t>Три</w:t>
            </w:r>
            <w:r>
              <w:rPr>
                <w:spacing w:val="-4"/>
                <w:sz w:val="18"/>
              </w:rPr>
              <w:t> </w:t>
            </w:r>
            <w:r>
              <w:rPr>
                <w:sz w:val="18"/>
              </w:rPr>
              <w:t>приема</w:t>
            </w:r>
            <w:r>
              <w:rPr>
                <w:spacing w:val="-4"/>
                <w:sz w:val="18"/>
              </w:rPr>
              <w:t> </w:t>
            </w:r>
            <w:r>
              <w:rPr>
                <w:sz w:val="18"/>
              </w:rPr>
              <w:t>с</w:t>
            </w:r>
            <w:r>
              <w:rPr>
                <w:spacing w:val="-4"/>
                <w:sz w:val="18"/>
              </w:rPr>
              <w:t> </w:t>
            </w:r>
            <w:r>
              <w:rPr>
                <w:sz w:val="18"/>
              </w:rPr>
              <w:t>перерывом</w:t>
            </w:r>
            <w:r>
              <w:rPr>
                <w:spacing w:val="-2"/>
                <w:sz w:val="18"/>
              </w:rPr>
              <w:t> </w:t>
            </w:r>
            <w:r>
              <w:rPr>
                <w:sz w:val="18"/>
              </w:rPr>
              <w:t>6-7</w:t>
            </w:r>
            <w:r>
              <w:rPr>
                <w:spacing w:val="-2"/>
                <w:sz w:val="18"/>
              </w:rPr>
              <w:t> </w:t>
            </w:r>
            <w:r>
              <w:rPr>
                <w:sz w:val="18"/>
              </w:rPr>
              <w:t>часов.</w:t>
            </w:r>
            <w:r>
              <w:rPr>
                <w:spacing w:val="-3"/>
                <w:sz w:val="18"/>
              </w:rPr>
              <w:t> </w:t>
            </w:r>
            <w:r>
              <w:rPr>
                <w:sz w:val="18"/>
              </w:rPr>
              <w:t>Разовая</w:t>
            </w:r>
            <w:r>
              <w:rPr>
                <w:spacing w:val="-2"/>
                <w:sz w:val="18"/>
              </w:rPr>
              <w:t> </w:t>
            </w:r>
            <w:r>
              <w:rPr>
                <w:sz w:val="18"/>
              </w:rPr>
              <w:t>доза</w:t>
            </w:r>
            <w:r>
              <w:rPr>
                <w:spacing w:val="-2"/>
                <w:sz w:val="18"/>
              </w:rPr>
              <w:t> </w:t>
            </w:r>
            <w:r>
              <w:rPr>
                <w:sz w:val="18"/>
              </w:rPr>
              <w:t>составляет</w:t>
            </w:r>
            <w:r>
              <w:rPr>
                <w:spacing w:val="-3"/>
                <w:sz w:val="18"/>
              </w:rPr>
              <w:t> </w:t>
            </w:r>
            <w:r>
              <w:rPr>
                <w:sz w:val="18"/>
              </w:rPr>
              <w:t>1,85</w:t>
            </w:r>
            <w:r>
              <w:rPr>
                <w:spacing w:val="-2"/>
                <w:sz w:val="18"/>
              </w:rPr>
              <w:t> </w:t>
            </w:r>
            <w:r>
              <w:rPr>
                <w:sz w:val="18"/>
              </w:rPr>
              <w:t>мг,</w:t>
            </w:r>
            <w:r>
              <w:rPr>
                <w:spacing w:val="-3"/>
                <w:sz w:val="18"/>
              </w:rPr>
              <w:t> </w:t>
            </w:r>
            <w:r>
              <w:rPr>
                <w:sz w:val="18"/>
              </w:rPr>
              <w:t>суточная</w:t>
            </w:r>
            <w:r>
              <w:rPr>
                <w:spacing w:val="-1"/>
                <w:sz w:val="18"/>
              </w:rPr>
              <w:t> </w:t>
            </w:r>
            <w:r>
              <w:rPr>
                <w:sz w:val="18"/>
              </w:rPr>
              <w:t>–</w:t>
            </w:r>
            <w:r>
              <w:rPr>
                <w:spacing w:val="-4"/>
                <w:sz w:val="18"/>
              </w:rPr>
              <w:t> </w:t>
            </w:r>
            <w:r>
              <w:rPr>
                <w:sz w:val="18"/>
              </w:rPr>
              <w:t>5,55</w:t>
            </w:r>
            <w:r>
              <w:rPr>
                <w:spacing w:val="-4"/>
                <w:sz w:val="18"/>
              </w:rPr>
              <w:t> </w:t>
            </w:r>
            <w:r>
              <w:rPr>
                <w:sz w:val="18"/>
              </w:rPr>
              <w:t>мг.</w:t>
            </w:r>
            <w:r>
              <w:rPr>
                <w:spacing w:val="-4"/>
                <w:sz w:val="18"/>
              </w:rPr>
              <w:t> </w:t>
            </w:r>
            <w:r>
              <w:rPr>
                <w:sz w:val="18"/>
              </w:rPr>
              <w:t>Курс</w:t>
            </w:r>
            <w:r>
              <w:rPr>
                <w:spacing w:val="-4"/>
                <w:sz w:val="18"/>
              </w:rPr>
              <w:t> </w:t>
            </w:r>
            <w:r>
              <w:rPr>
                <w:sz w:val="18"/>
              </w:rPr>
              <w:t>лечения –до</w:t>
            </w:r>
            <w:r>
              <w:rPr>
                <w:spacing w:val="-4"/>
                <w:sz w:val="18"/>
              </w:rPr>
              <w:t> </w:t>
            </w:r>
            <w:r>
              <w:rPr>
                <w:sz w:val="18"/>
              </w:rPr>
              <w:t>7</w:t>
            </w:r>
            <w:r>
              <w:rPr>
                <w:spacing w:val="-2"/>
                <w:sz w:val="18"/>
              </w:rPr>
              <w:t> </w:t>
            </w:r>
            <w:r>
              <w:rPr>
                <w:sz w:val="18"/>
              </w:rPr>
              <w:t>дней</w:t>
            </w:r>
            <w:r>
              <w:rPr>
                <w:spacing w:val="-4"/>
                <w:sz w:val="18"/>
              </w:rPr>
              <w:t> </w:t>
            </w:r>
            <w:r>
              <w:rPr>
                <w:sz w:val="18"/>
              </w:rPr>
              <w:t>(до</w:t>
            </w:r>
            <w:r>
              <w:rPr>
                <w:spacing w:val="-4"/>
                <w:sz w:val="18"/>
              </w:rPr>
              <w:t> </w:t>
            </w:r>
            <w:r>
              <w:rPr>
                <w:sz w:val="18"/>
              </w:rPr>
              <w:t>21 </w:t>
            </w:r>
            <w:r>
              <w:rPr>
                <w:spacing w:val="-2"/>
                <w:sz w:val="18"/>
              </w:rPr>
              <w:t>ингаляций).</w:t>
            </w:r>
          </w:p>
        </w:tc>
      </w:tr>
      <w:tr>
        <w:trPr>
          <w:trHeight w:val="426" w:hRule="atLeast"/>
        </w:trPr>
        <w:tc>
          <w:tcPr>
            <w:tcW w:w="848" w:type="dxa"/>
            <w:vMerge/>
            <w:tcBorders>
              <w:top w:val="nil"/>
            </w:tcBorders>
          </w:tcPr>
          <w:p>
            <w:pPr>
              <w:rPr>
                <w:sz w:val="2"/>
                <w:szCs w:val="2"/>
              </w:rPr>
            </w:pPr>
          </w:p>
        </w:tc>
        <w:tc>
          <w:tcPr>
            <w:tcW w:w="708" w:type="dxa"/>
          </w:tcPr>
          <w:p>
            <w:pPr>
              <w:pStyle w:val="TableParagraph"/>
              <w:spacing w:before="100"/>
              <w:ind w:left="103"/>
              <w:rPr>
                <w:b/>
                <w:sz w:val="20"/>
              </w:rPr>
            </w:pPr>
            <w:r>
              <w:rPr>
                <w:b/>
                <w:spacing w:val="-10"/>
                <w:sz w:val="20"/>
              </w:rPr>
              <w:t>2</w:t>
            </w:r>
          </w:p>
        </w:tc>
        <w:tc>
          <w:tcPr>
            <w:tcW w:w="3505" w:type="dxa"/>
          </w:tcPr>
          <w:p>
            <w:pPr>
              <w:pStyle w:val="TableParagraph"/>
              <w:spacing w:before="100"/>
              <w:ind w:left="102"/>
              <w:rPr>
                <w:b/>
                <w:sz w:val="20"/>
              </w:rPr>
            </w:pPr>
            <w:r>
              <w:rPr>
                <w:sz w:val="20"/>
              </w:rPr>
              <w:t>ИФН-α,</w:t>
            </w:r>
            <w:r>
              <w:rPr>
                <w:spacing w:val="-9"/>
                <w:sz w:val="20"/>
              </w:rPr>
              <w:t> </w:t>
            </w:r>
            <w:r>
              <w:rPr>
                <w:sz w:val="20"/>
              </w:rPr>
              <w:t>интраназальные</w:t>
            </w:r>
            <w:r>
              <w:rPr>
                <w:spacing w:val="-9"/>
                <w:sz w:val="20"/>
              </w:rPr>
              <w:t> </w:t>
            </w:r>
            <w:r>
              <w:rPr>
                <w:sz w:val="20"/>
              </w:rPr>
              <w:t>формы</w:t>
            </w:r>
            <w:r>
              <w:rPr>
                <w:spacing w:val="-7"/>
                <w:sz w:val="20"/>
              </w:rPr>
              <w:t> </w:t>
            </w:r>
            <w:r>
              <w:rPr>
                <w:b/>
                <w:spacing w:val="-10"/>
                <w:sz w:val="20"/>
                <w:vertAlign w:val="superscript"/>
              </w:rPr>
              <w:t>5</w:t>
            </w:r>
          </w:p>
        </w:tc>
        <w:tc>
          <w:tcPr>
            <w:tcW w:w="9669" w:type="dxa"/>
          </w:tcPr>
          <w:p>
            <w:pPr>
              <w:pStyle w:val="TableParagraph"/>
              <w:spacing w:line="206" w:lineRule="exact"/>
              <w:ind w:left="144" w:right="2187" w:hanging="46"/>
              <w:rPr>
                <w:sz w:val="18"/>
              </w:rPr>
            </w:pPr>
            <w:r>
              <w:rPr>
                <w:sz w:val="18"/>
              </w:rPr>
              <w:t>В</w:t>
            </w:r>
            <w:r>
              <w:rPr>
                <w:spacing w:val="-5"/>
                <w:sz w:val="18"/>
              </w:rPr>
              <w:t> </w:t>
            </w:r>
            <w:r>
              <w:rPr>
                <w:sz w:val="18"/>
              </w:rPr>
              <w:t>соответствии</w:t>
            </w:r>
            <w:r>
              <w:rPr>
                <w:spacing w:val="-6"/>
                <w:sz w:val="18"/>
              </w:rPr>
              <w:t> </w:t>
            </w:r>
            <w:r>
              <w:rPr>
                <w:sz w:val="18"/>
              </w:rPr>
              <w:t>с</w:t>
            </w:r>
            <w:r>
              <w:rPr>
                <w:spacing w:val="-6"/>
                <w:sz w:val="18"/>
              </w:rPr>
              <w:t> </w:t>
            </w:r>
            <w:r>
              <w:rPr>
                <w:sz w:val="18"/>
              </w:rPr>
              <w:t>инструкцией</w:t>
            </w:r>
            <w:r>
              <w:rPr>
                <w:spacing w:val="-6"/>
                <w:sz w:val="18"/>
              </w:rPr>
              <w:t> </w:t>
            </w:r>
            <w:r>
              <w:rPr>
                <w:sz w:val="18"/>
              </w:rPr>
              <w:t>по</w:t>
            </w:r>
            <w:r>
              <w:rPr>
                <w:spacing w:val="-4"/>
                <w:sz w:val="18"/>
              </w:rPr>
              <w:t> </w:t>
            </w:r>
            <w:r>
              <w:rPr>
                <w:sz w:val="18"/>
              </w:rPr>
              <w:t>применению</w:t>
            </w:r>
            <w:r>
              <w:rPr>
                <w:spacing w:val="-5"/>
                <w:sz w:val="18"/>
              </w:rPr>
              <w:t> </w:t>
            </w:r>
            <w:r>
              <w:rPr>
                <w:sz w:val="18"/>
              </w:rPr>
              <w:t>препарата</w:t>
            </w:r>
            <w:r>
              <w:rPr>
                <w:spacing w:val="-6"/>
                <w:sz w:val="18"/>
              </w:rPr>
              <w:t> </w:t>
            </w:r>
            <w:r>
              <w:rPr>
                <w:sz w:val="18"/>
              </w:rPr>
              <w:t>(спрей,</w:t>
            </w:r>
            <w:r>
              <w:rPr>
                <w:spacing w:val="-5"/>
                <w:sz w:val="18"/>
              </w:rPr>
              <w:t> </w:t>
            </w:r>
            <w:r>
              <w:rPr>
                <w:sz w:val="18"/>
              </w:rPr>
              <w:t>капли,</w:t>
            </w:r>
            <w:r>
              <w:rPr>
                <w:spacing w:val="-5"/>
                <w:sz w:val="18"/>
              </w:rPr>
              <w:t> </w:t>
            </w:r>
            <w:r>
              <w:rPr>
                <w:sz w:val="18"/>
              </w:rPr>
              <w:t>раствор,</w:t>
            </w:r>
            <w:r>
              <w:rPr>
                <w:spacing w:val="-1"/>
                <w:sz w:val="18"/>
              </w:rPr>
              <w:t> </w:t>
            </w:r>
            <w:r>
              <w:rPr>
                <w:sz w:val="18"/>
              </w:rPr>
              <w:t>лиофилизат для приготовления раствора, гель или мазь)</w:t>
            </w:r>
          </w:p>
        </w:tc>
      </w:tr>
      <w:tr>
        <w:trPr>
          <w:trHeight w:val="417" w:hRule="atLeast"/>
        </w:trPr>
        <w:tc>
          <w:tcPr>
            <w:tcW w:w="848" w:type="dxa"/>
            <w:vMerge/>
            <w:tcBorders>
              <w:top w:val="nil"/>
            </w:tcBorders>
          </w:tcPr>
          <w:p>
            <w:pPr>
              <w:rPr>
                <w:sz w:val="2"/>
                <w:szCs w:val="2"/>
              </w:rPr>
            </w:pPr>
          </w:p>
        </w:tc>
        <w:tc>
          <w:tcPr>
            <w:tcW w:w="708" w:type="dxa"/>
          </w:tcPr>
          <w:p>
            <w:pPr>
              <w:pStyle w:val="TableParagraph"/>
              <w:spacing w:before="94"/>
              <w:ind w:left="103"/>
              <w:rPr>
                <w:b/>
                <w:sz w:val="20"/>
              </w:rPr>
            </w:pPr>
            <w:r>
              <w:rPr>
                <w:b/>
                <w:spacing w:val="-10"/>
                <w:sz w:val="20"/>
              </w:rPr>
              <w:t>3</w:t>
            </w:r>
          </w:p>
        </w:tc>
        <w:tc>
          <w:tcPr>
            <w:tcW w:w="3505" w:type="dxa"/>
          </w:tcPr>
          <w:p>
            <w:pPr>
              <w:pStyle w:val="TableParagraph"/>
              <w:spacing w:before="11"/>
              <w:ind w:left="102"/>
              <w:rPr>
                <w:sz w:val="20"/>
              </w:rPr>
            </w:pPr>
            <w:r>
              <w:rPr>
                <w:spacing w:val="-2"/>
                <w:sz w:val="20"/>
              </w:rPr>
              <w:t>Парацетамол</w:t>
            </w:r>
          </w:p>
        </w:tc>
        <w:tc>
          <w:tcPr>
            <w:tcW w:w="9669" w:type="dxa"/>
          </w:tcPr>
          <w:p>
            <w:pPr>
              <w:pStyle w:val="TableParagraph"/>
              <w:spacing w:before="106"/>
              <w:ind w:left="98"/>
              <w:rPr>
                <w:sz w:val="18"/>
              </w:rPr>
            </w:pPr>
            <w:r>
              <w:rPr>
                <w:sz w:val="18"/>
              </w:rPr>
              <w:t>1-2</w:t>
            </w:r>
            <w:r>
              <w:rPr>
                <w:spacing w:val="-3"/>
                <w:sz w:val="18"/>
              </w:rPr>
              <w:t> </w:t>
            </w:r>
            <w:r>
              <w:rPr>
                <w:sz w:val="18"/>
              </w:rPr>
              <w:t>табл.</w:t>
            </w:r>
            <w:r>
              <w:rPr>
                <w:spacing w:val="-1"/>
                <w:sz w:val="18"/>
              </w:rPr>
              <w:t> </w:t>
            </w:r>
            <w:r>
              <w:rPr>
                <w:sz w:val="18"/>
              </w:rPr>
              <w:t>(500-1000</w:t>
            </w:r>
            <w:r>
              <w:rPr>
                <w:spacing w:val="-1"/>
                <w:sz w:val="18"/>
              </w:rPr>
              <w:t> </w:t>
            </w:r>
            <w:r>
              <w:rPr>
                <w:sz w:val="18"/>
              </w:rPr>
              <w:t>мг)</w:t>
            </w:r>
            <w:r>
              <w:rPr>
                <w:spacing w:val="-1"/>
                <w:sz w:val="18"/>
              </w:rPr>
              <w:t> </w:t>
            </w:r>
            <w:r>
              <w:rPr>
                <w:sz w:val="18"/>
              </w:rPr>
              <w:t>2-3</w:t>
            </w:r>
            <w:r>
              <w:rPr>
                <w:spacing w:val="-2"/>
                <w:sz w:val="18"/>
              </w:rPr>
              <w:t> </w:t>
            </w:r>
            <w:r>
              <w:rPr>
                <w:sz w:val="18"/>
              </w:rPr>
              <w:t>р/сут,</w:t>
            </w:r>
            <w:r>
              <w:rPr>
                <w:spacing w:val="-1"/>
                <w:sz w:val="18"/>
              </w:rPr>
              <w:t> </w:t>
            </w:r>
            <w:r>
              <w:rPr>
                <w:sz w:val="18"/>
              </w:rPr>
              <w:t>не</w:t>
            </w:r>
            <w:r>
              <w:rPr>
                <w:spacing w:val="-2"/>
                <w:sz w:val="18"/>
              </w:rPr>
              <w:t> </w:t>
            </w:r>
            <w:r>
              <w:rPr>
                <w:sz w:val="18"/>
              </w:rPr>
              <w:t>более</w:t>
            </w:r>
            <w:r>
              <w:rPr>
                <w:spacing w:val="-2"/>
                <w:sz w:val="18"/>
              </w:rPr>
              <w:t> </w:t>
            </w:r>
            <w:r>
              <w:rPr>
                <w:sz w:val="18"/>
              </w:rPr>
              <w:t>4</w:t>
            </w:r>
            <w:r>
              <w:rPr>
                <w:spacing w:val="-1"/>
                <w:sz w:val="18"/>
              </w:rPr>
              <w:t> </w:t>
            </w:r>
            <w:r>
              <w:rPr>
                <w:sz w:val="18"/>
              </w:rPr>
              <w:t>г</w:t>
            </w:r>
            <w:r>
              <w:rPr>
                <w:spacing w:val="-1"/>
                <w:sz w:val="18"/>
              </w:rPr>
              <w:t> </w:t>
            </w:r>
            <w:r>
              <w:rPr>
                <w:sz w:val="18"/>
              </w:rPr>
              <w:t>в</w:t>
            </w:r>
            <w:r>
              <w:rPr>
                <w:spacing w:val="-2"/>
                <w:sz w:val="18"/>
              </w:rPr>
              <w:t> </w:t>
            </w:r>
            <w:r>
              <w:rPr>
                <w:sz w:val="18"/>
              </w:rPr>
              <w:t>сутки</w:t>
            </w:r>
            <w:r>
              <w:rPr>
                <w:spacing w:val="-3"/>
                <w:sz w:val="18"/>
              </w:rPr>
              <w:t> </w:t>
            </w:r>
            <w:r>
              <w:rPr>
                <w:sz w:val="18"/>
              </w:rPr>
              <w:t>(при</w:t>
            </w:r>
            <w:r>
              <w:rPr>
                <w:spacing w:val="-2"/>
                <w:sz w:val="18"/>
              </w:rPr>
              <w:t> </w:t>
            </w:r>
            <w:r>
              <w:rPr>
                <w:sz w:val="18"/>
              </w:rPr>
              <w:t>температуре</w:t>
            </w:r>
            <w:r>
              <w:rPr>
                <w:spacing w:val="-2"/>
                <w:sz w:val="18"/>
              </w:rPr>
              <w:t> </w:t>
            </w:r>
            <w:r>
              <w:rPr>
                <w:sz w:val="18"/>
              </w:rPr>
              <w:t>тела</w:t>
            </w:r>
            <w:r>
              <w:rPr>
                <w:spacing w:val="-3"/>
                <w:sz w:val="18"/>
              </w:rPr>
              <w:t> </w:t>
            </w:r>
            <w:r>
              <w:rPr>
                <w:sz w:val="18"/>
              </w:rPr>
              <w:t>&gt;</w:t>
            </w:r>
            <w:r>
              <w:rPr>
                <w:spacing w:val="-2"/>
                <w:sz w:val="18"/>
              </w:rPr>
              <w:t> </w:t>
            </w:r>
            <w:r>
              <w:rPr>
                <w:sz w:val="18"/>
              </w:rPr>
              <w:t>38,0 </w:t>
            </w:r>
            <w:r>
              <w:rPr>
                <w:spacing w:val="-5"/>
                <w:sz w:val="18"/>
              </w:rPr>
              <w:t>ºС)</w:t>
            </w:r>
          </w:p>
        </w:tc>
      </w:tr>
    </w:tbl>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219"/>
        <w:ind w:left="0"/>
        <w:jc w:val="left"/>
        <w:rPr>
          <w:sz w:val="22"/>
        </w:rPr>
      </w:pPr>
    </w:p>
    <w:p>
      <w:pPr>
        <w:spacing w:before="0"/>
        <w:ind w:left="0" w:right="15" w:firstLine="0"/>
        <w:jc w:val="center"/>
        <w:rPr>
          <w:rFonts w:ascii="Calibri"/>
          <w:sz w:val="22"/>
        </w:rPr>
      </w:pPr>
      <w:r>
        <w:rPr>
          <w:rFonts w:ascii="Calibri"/>
          <w:spacing w:val="-5"/>
          <w:sz w:val="22"/>
        </w:rPr>
        <w:t>209</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45"/>
        <w:gridCol w:w="708"/>
        <w:gridCol w:w="3536"/>
        <w:gridCol w:w="9640"/>
      </w:tblGrid>
      <w:tr>
        <w:trPr>
          <w:trHeight w:val="613" w:hRule="atLeast"/>
        </w:trPr>
        <w:tc>
          <w:tcPr>
            <w:tcW w:w="14729" w:type="dxa"/>
            <w:gridSpan w:val="4"/>
            <w:shd w:val="clear" w:color="auto" w:fill="9CC2E4"/>
          </w:tcPr>
          <w:p>
            <w:pPr>
              <w:pStyle w:val="TableParagraph"/>
              <w:spacing w:before="250"/>
              <w:ind w:left="814"/>
              <w:rPr>
                <w:b/>
                <w:sz w:val="22"/>
              </w:rPr>
            </w:pPr>
            <w:bookmarkStart w:name="211" w:id="252"/>
            <w:bookmarkEnd w:id="252"/>
            <w:r>
              <w:rPr/>
            </w:r>
            <w:r>
              <w:rPr>
                <w:b/>
                <w:sz w:val="22"/>
              </w:rPr>
              <w:t>Легкое</w:t>
            </w:r>
            <w:r>
              <w:rPr>
                <w:b/>
                <w:spacing w:val="-6"/>
                <w:sz w:val="22"/>
              </w:rPr>
              <w:t> </w:t>
            </w:r>
            <w:r>
              <w:rPr>
                <w:b/>
                <w:sz w:val="22"/>
              </w:rPr>
              <w:t>течение</w:t>
            </w:r>
            <w:r>
              <w:rPr>
                <w:b/>
                <w:spacing w:val="-6"/>
                <w:sz w:val="22"/>
              </w:rPr>
              <w:t> </w:t>
            </w:r>
            <w:r>
              <w:rPr>
                <w:b/>
                <w:sz w:val="22"/>
              </w:rPr>
              <w:t>(пациенты</w:t>
            </w:r>
            <w:r>
              <w:rPr>
                <w:b/>
                <w:spacing w:val="-6"/>
                <w:sz w:val="22"/>
              </w:rPr>
              <w:t> </w:t>
            </w:r>
            <w:r>
              <w:rPr>
                <w:b/>
                <w:sz w:val="22"/>
              </w:rPr>
              <w:t>с</w:t>
            </w:r>
            <w:r>
              <w:rPr>
                <w:b/>
                <w:spacing w:val="-5"/>
                <w:sz w:val="22"/>
              </w:rPr>
              <w:t> </w:t>
            </w:r>
            <w:r>
              <w:rPr>
                <w:b/>
                <w:sz w:val="22"/>
              </w:rPr>
              <w:t>высоким</w:t>
            </w:r>
            <w:r>
              <w:rPr>
                <w:b/>
                <w:spacing w:val="-6"/>
                <w:sz w:val="22"/>
              </w:rPr>
              <w:t> </w:t>
            </w:r>
            <w:r>
              <w:rPr>
                <w:b/>
                <w:sz w:val="22"/>
              </w:rPr>
              <w:t>индексом</w:t>
            </w:r>
            <w:r>
              <w:rPr>
                <w:b/>
                <w:spacing w:val="-8"/>
                <w:sz w:val="22"/>
              </w:rPr>
              <w:t> </w:t>
            </w:r>
            <w:r>
              <w:rPr>
                <w:b/>
                <w:sz w:val="22"/>
              </w:rPr>
              <w:t>коморбидности)</w:t>
            </w:r>
            <w:r>
              <w:rPr>
                <w:b/>
                <w:spacing w:val="-5"/>
                <w:sz w:val="22"/>
              </w:rPr>
              <w:t> </w:t>
            </w:r>
            <w:r>
              <w:rPr>
                <w:b/>
                <w:sz w:val="22"/>
              </w:rPr>
              <w:t>или</w:t>
            </w:r>
            <w:r>
              <w:rPr>
                <w:b/>
                <w:spacing w:val="-9"/>
                <w:sz w:val="22"/>
              </w:rPr>
              <w:t> </w:t>
            </w:r>
            <w:r>
              <w:rPr>
                <w:b/>
                <w:sz w:val="22"/>
              </w:rPr>
              <w:t>среднетяжелое</w:t>
            </w:r>
            <w:r>
              <w:rPr>
                <w:b/>
                <w:spacing w:val="-5"/>
                <w:sz w:val="22"/>
              </w:rPr>
              <w:t> </w:t>
            </w:r>
            <w:r>
              <w:rPr>
                <w:b/>
                <w:spacing w:val="-2"/>
                <w:sz w:val="22"/>
              </w:rPr>
              <w:t>течение</w:t>
            </w:r>
          </w:p>
        </w:tc>
      </w:tr>
      <w:tr>
        <w:trPr>
          <w:trHeight w:val="918" w:hRule="atLeast"/>
        </w:trPr>
        <w:tc>
          <w:tcPr>
            <w:tcW w:w="845" w:type="dxa"/>
            <w:vMerge w:val="restart"/>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48"/>
              <w:rPr>
                <w:sz w:val="20"/>
              </w:rPr>
            </w:pPr>
          </w:p>
          <w:p>
            <w:pPr>
              <w:pStyle w:val="TableParagraph"/>
              <w:ind w:left="106" w:right="149"/>
              <w:rPr>
                <w:b/>
                <w:sz w:val="20"/>
              </w:rPr>
            </w:pPr>
            <w:r>
              <w:rPr>
                <w:b/>
                <w:spacing w:val="-2"/>
                <w:sz w:val="20"/>
              </w:rPr>
              <w:t>Схема </w:t>
            </w:r>
            <w:r>
              <w:rPr>
                <w:b/>
                <w:spacing w:val="-10"/>
                <w:sz w:val="20"/>
              </w:rPr>
              <w:t>1</w:t>
            </w:r>
          </w:p>
        </w:tc>
        <w:tc>
          <w:tcPr>
            <w:tcW w:w="708" w:type="dxa"/>
            <w:vMerge w:val="restart"/>
          </w:tcPr>
          <w:p>
            <w:pPr>
              <w:pStyle w:val="TableParagraph"/>
              <w:rPr>
                <w:sz w:val="20"/>
              </w:rPr>
            </w:pPr>
          </w:p>
          <w:p>
            <w:pPr>
              <w:pStyle w:val="TableParagraph"/>
              <w:rPr>
                <w:sz w:val="20"/>
              </w:rPr>
            </w:pPr>
          </w:p>
          <w:p>
            <w:pPr>
              <w:pStyle w:val="TableParagraph"/>
              <w:rPr>
                <w:sz w:val="20"/>
              </w:rPr>
            </w:pPr>
          </w:p>
          <w:p>
            <w:pPr>
              <w:pStyle w:val="TableParagraph"/>
              <w:spacing w:before="48"/>
              <w:rPr>
                <w:sz w:val="20"/>
              </w:rPr>
            </w:pPr>
          </w:p>
          <w:p>
            <w:pPr>
              <w:pStyle w:val="TableParagraph"/>
              <w:ind w:left="2"/>
              <w:jc w:val="center"/>
              <w:rPr>
                <w:sz w:val="20"/>
              </w:rPr>
            </w:pPr>
            <w:r>
              <w:rPr>
                <w:spacing w:val="-10"/>
                <w:sz w:val="20"/>
              </w:rPr>
              <w:t>1</w:t>
            </w:r>
          </w:p>
        </w:tc>
        <w:tc>
          <w:tcPr>
            <w:tcW w:w="3536" w:type="dxa"/>
          </w:tcPr>
          <w:p>
            <w:pPr>
              <w:pStyle w:val="TableParagraph"/>
              <w:spacing w:before="93"/>
              <w:rPr>
                <w:sz w:val="20"/>
              </w:rPr>
            </w:pPr>
          </w:p>
          <w:p>
            <w:pPr>
              <w:pStyle w:val="TableParagraph"/>
              <w:spacing w:before="1"/>
              <w:ind w:left="105"/>
              <w:rPr>
                <w:b/>
                <w:position w:val="8"/>
                <w:sz w:val="16"/>
              </w:rPr>
            </w:pPr>
            <w:r>
              <w:rPr>
                <w:sz w:val="20"/>
              </w:rPr>
              <w:t>Фавипиравир</w:t>
            </w:r>
            <w:r>
              <w:rPr>
                <w:spacing w:val="-5"/>
                <w:sz w:val="20"/>
              </w:rPr>
              <w:t> </w:t>
            </w:r>
            <w:r>
              <w:rPr>
                <w:b/>
                <w:spacing w:val="-10"/>
                <w:position w:val="8"/>
                <w:sz w:val="16"/>
              </w:rPr>
              <w:t>5</w:t>
            </w:r>
          </w:p>
        </w:tc>
        <w:tc>
          <w:tcPr>
            <w:tcW w:w="9640" w:type="dxa"/>
          </w:tcPr>
          <w:p>
            <w:pPr>
              <w:pStyle w:val="TableParagraph"/>
              <w:spacing w:line="229" w:lineRule="exact" w:before="9"/>
              <w:ind w:left="99"/>
              <w:rPr>
                <w:sz w:val="20"/>
              </w:rPr>
            </w:pPr>
            <w:r>
              <w:rPr>
                <w:sz w:val="20"/>
              </w:rPr>
              <w:t>Для</w:t>
            </w:r>
            <w:r>
              <w:rPr>
                <w:spacing w:val="-6"/>
                <w:sz w:val="20"/>
              </w:rPr>
              <w:t> </w:t>
            </w:r>
            <w:r>
              <w:rPr>
                <w:sz w:val="20"/>
              </w:rPr>
              <w:t>пациентов</w:t>
            </w:r>
            <w:r>
              <w:rPr>
                <w:spacing w:val="-5"/>
                <w:sz w:val="20"/>
              </w:rPr>
              <w:t> </w:t>
            </w:r>
            <w:r>
              <w:rPr>
                <w:sz w:val="20"/>
              </w:rPr>
              <w:t>с</w:t>
            </w:r>
            <w:r>
              <w:rPr>
                <w:spacing w:val="-4"/>
                <w:sz w:val="20"/>
              </w:rPr>
              <w:t> </w:t>
            </w:r>
            <w:r>
              <w:rPr>
                <w:sz w:val="20"/>
              </w:rPr>
              <w:t>массой</w:t>
            </w:r>
            <w:r>
              <w:rPr>
                <w:spacing w:val="-5"/>
                <w:sz w:val="20"/>
              </w:rPr>
              <w:t> </w:t>
            </w:r>
            <w:r>
              <w:rPr>
                <w:sz w:val="20"/>
              </w:rPr>
              <w:t>тела</w:t>
            </w:r>
            <w:r>
              <w:rPr>
                <w:spacing w:val="-4"/>
                <w:sz w:val="20"/>
              </w:rPr>
              <w:t> </w:t>
            </w:r>
            <w:r>
              <w:rPr>
                <w:sz w:val="20"/>
              </w:rPr>
              <w:t>˂75</w:t>
            </w:r>
            <w:r>
              <w:rPr>
                <w:spacing w:val="-3"/>
                <w:sz w:val="20"/>
              </w:rPr>
              <w:t> </w:t>
            </w:r>
            <w:r>
              <w:rPr>
                <w:spacing w:val="-5"/>
                <w:sz w:val="20"/>
              </w:rPr>
              <w:t>кг:</w:t>
            </w:r>
          </w:p>
          <w:p>
            <w:pPr>
              <w:pStyle w:val="TableParagraph"/>
              <w:ind w:left="99" w:right="2325"/>
              <w:rPr>
                <w:sz w:val="20"/>
              </w:rPr>
            </w:pPr>
            <w:r>
              <w:rPr>
                <w:sz w:val="20"/>
              </w:rPr>
              <w:t>по</w:t>
            </w:r>
            <w:r>
              <w:rPr>
                <w:spacing w:val="-2"/>
                <w:sz w:val="20"/>
              </w:rPr>
              <w:t> </w:t>
            </w:r>
            <w:r>
              <w:rPr>
                <w:sz w:val="20"/>
              </w:rPr>
              <w:t>1600</w:t>
            </w:r>
            <w:r>
              <w:rPr>
                <w:spacing w:val="-5"/>
                <w:sz w:val="20"/>
              </w:rPr>
              <w:t> </w:t>
            </w:r>
            <w:r>
              <w:rPr>
                <w:sz w:val="20"/>
              </w:rPr>
              <w:t>мг</w:t>
            </w:r>
            <w:r>
              <w:rPr>
                <w:spacing w:val="-4"/>
                <w:sz w:val="20"/>
              </w:rPr>
              <w:t> </w:t>
            </w:r>
            <w:r>
              <w:rPr>
                <w:sz w:val="20"/>
              </w:rPr>
              <w:t>2</w:t>
            </w:r>
            <w:r>
              <w:rPr>
                <w:spacing w:val="-2"/>
                <w:sz w:val="20"/>
              </w:rPr>
              <w:t> </w:t>
            </w:r>
            <w:r>
              <w:rPr>
                <w:sz w:val="20"/>
              </w:rPr>
              <w:t>р/сут</w:t>
            </w:r>
            <w:r>
              <w:rPr>
                <w:spacing w:val="-4"/>
                <w:sz w:val="20"/>
              </w:rPr>
              <w:t> </w:t>
            </w:r>
            <w:r>
              <w:rPr>
                <w:sz w:val="20"/>
              </w:rPr>
              <w:t>в</w:t>
            </w:r>
            <w:r>
              <w:rPr>
                <w:spacing w:val="-4"/>
                <w:sz w:val="20"/>
              </w:rPr>
              <w:t> </w:t>
            </w:r>
            <w:r>
              <w:rPr>
                <w:sz w:val="20"/>
              </w:rPr>
              <w:t>1-й</w:t>
            </w:r>
            <w:r>
              <w:rPr>
                <w:spacing w:val="-4"/>
                <w:sz w:val="20"/>
              </w:rPr>
              <w:t> </w:t>
            </w:r>
            <w:r>
              <w:rPr>
                <w:sz w:val="20"/>
              </w:rPr>
              <w:t>день</w:t>
            </w:r>
            <w:r>
              <w:rPr>
                <w:spacing w:val="-1"/>
                <w:sz w:val="20"/>
              </w:rPr>
              <w:t> </w:t>
            </w:r>
            <w:r>
              <w:rPr>
                <w:sz w:val="20"/>
              </w:rPr>
              <w:t>и</w:t>
            </w:r>
            <w:r>
              <w:rPr>
                <w:spacing w:val="-4"/>
                <w:sz w:val="20"/>
              </w:rPr>
              <w:t> </w:t>
            </w:r>
            <w:r>
              <w:rPr>
                <w:sz w:val="20"/>
              </w:rPr>
              <w:t>далее по</w:t>
            </w:r>
            <w:r>
              <w:rPr>
                <w:spacing w:val="-2"/>
                <w:sz w:val="20"/>
              </w:rPr>
              <w:t> </w:t>
            </w:r>
            <w:r>
              <w:rPr>
                <w:sz w:val="20"/>
              </w:rPr>
              <w:t>600</w:t>
            </w:r>
            <w:r>
              <w:rPr>
                <w:spacing w:val="-2"/>
                <w:sz w:val="20"/>
              </w:rPr>
              <w:t> </w:t>
            </w:r>
            <w:r>
              <w:rPr>
                <w:sz w:val="20"/>
              </w:rPr>
              <w:t>мг</w:t>
            </w:r>
            <w:r>
              <w:rPr>
                <w:spacing w:val="-6"/>
                <w:sz w:val="20"/>
              </w:rPr>
              <w:t> </w:t>
            </w:r>
            <w:r>
              <w:rPr>
                <w:sz w:val="20"/>
              </w:rPr>
              <w:t>2</w:t>
            </w:r>
            <w:r>
              <w:rPr>
                <w:spacing w:val="-2"/>
                <w:sz w:val="20"/>
              </w:rPr>
              <w:t> </w:t>
            </w:r>
            <w:r>
              <w:rPr>
                <w:sz w:val="20"/>
              </w:rPr>
              <w:t>р/сут со</w:t>
            </w:r>
            <w:r>
              <w:rPr>
                <w:spacing w:val="-4"/>
                <w:sz w:val="20"/>
              </w:rPr>
              <w:t> </w:t>
            </w:r>
            <w:r>
              <w:rPr>
                <w:sz w:val="20"/>
              </w:rPr>
              <w:t>2</w:t>
            </w:r>
            <w:r>
              <w:rPr>
                <w:spacing w:val="-2"/>
                <w:sz w:val="20"/>
              </w:rPr>
              <w:t> </w:t>
            </w:r>
            <w:r>
              <w:rPr>
                <w:sz w:val="20"/>
              </w:rPr>
              <w:t>по</w:t>
            </w:r>
            <w:r>
              <w:rPr>
                <w:spacing w:val="-2"/>
                <w:sz w:val="20"/>
              </w:rPr>
              <w:t> </w:t>
            </w:r>
            <w:r>
              <w:rPr>
                <w:sz w:val="20"/>
              </w:rPr>
              <w:t>10</w:t>
            </w:r>
            <w:r>
              <w:rPr>
                <w:spacing w:val="-2"/>
                <w:sz w:val="20"/>
              </w:rPr>
              <w:t> </w:t>
            </w:r>
            <w:r>
              <w:rPr>
                <w:sz w:val="20"/>
              </w:rPr>
              <w:t>день</w:t>
            </w:r>
            <w:r>
              <w:rPr>
                <w:spacing w:val="-3"/>
                <w:sz w:val="20"/>
              </w:rPr>
              <w:t> </w:t>
            </w:r>
            <w:r>
              <w:rPr>
                <w:sz w:val="20"/>
              </w:rPr>
              <w:t>(таблетки). Для пациентов с массой тела 75 кг и более:</w:t>
            </w:r>
          </w:p>
          <w:p>
            <w:pPr>
              <w:pStyle w:val="TableParagraph"/>
              <w:spacing w:line="201" w:lineRule="exact"/>
              <w:ind w:left="99"/>
              <w:rPr>
                <w:sz w:val="20"/>
              </w:rPr>
            </w:pPr>
            <w:r>
              <w:rPr>
                <w:sz w:val="20"/>
              </w:rPr>
              <w:t>по</w:t>
            </w:r>
            <w:r>
              <w:rPr>
                <w:spacing w:val="-3"/>
                <w:sz w:val="20"/>
              </w:rPr>
              <w:t> </w:t>
            </w:r>
            <w:r>
              <w:rPr>
                <w:sz w:val="20"/>
              </w:rPr>
              <w:t>1800</w:t>
            </w:r>
            <w:r>
              <w:rPr>
                <w:spacing w:val="-5"/>
                <w:sz w:val="20"/>
              </w:rPr>
              <w:t> </w:t>
            </w:r>
            <w:r>
              <w:rPr>
                <w:sz w:val="20"/>
              </w:rPr>
              <w:t>мг</w:t>
            </w:r>
            <w:r>
              <w:rPr>
                <w:spacing w:val="-4"/>
                <w:sz w:val="20"/>
              </w:rPr>
              <w:t> </w:t>
            </w:r>
            <w:r>
              <w:rPr>
                <w:sz w:val="20"/>
              </w:rPr>
              <w:t>2</w:t>
            </w:r>
            <w:r>
              <w:rPr>
                <w:spacing w:val="-2"/>
                <w:sz w:val="20"/>
              </w:rPr>
              <w:t> </w:t>
            </w:r>
            <w:r>
              <w:rPr>
                <w:sz w:val="20"/>
              </w:rPr>
              <w:t>раза/сут</w:t>
            </w:r>
            <w:r>
              <w:rPr>
                <w:spacing w:val="-5"/>
                <w:sz w:val="20"/>
              </w:rPr>
              <w:t> </w:t>
            </w:r>
            <w:r>
              <w:rPr>
                <w:sz w:val="20"/>
              </w:rPr>
              <w:t>в</w:t>
            </w:r>
            <w:r>
              <w:rPr>
                <w:spacing w:val="-4"/>
                <w:sz w:val="20"/>
              </w:rPr>
              <w:t> </w:t>
            </w:r>
            <w:r>
              <w:rPr>
                <w:sz w:val="20"/>
              </w:rPr>
              <w:t>1-й</w:t>
            </w:r>
            <w:r>
              <w:rPr>
                <w:spacing w:val="-4"/>
                <w:sz w:val="20"/>
              </w:rPr>
              <w:t> </w:t>
            </w:r>
            <w:r>
              <w:rPr>
                <w:sz w:val="20"/>
              </w:rPr>
              <w:t>день,</w:t>
            </w:r>
            <w:r>
              <w:rPr>
                <w:spacing w:val="-3"/>
                <w:sz w:val="20"/>
              </w:rPr>
              <w:t> </w:t>
            </w:r>
            <w:r>
              <w:rPr>
                <w:sz w:val="20"/>
              </w:rPr>
              <w:t>далее</w:t>
            </w:r>
            <w:r>
              <w:rPr>
                <w:spacing w:val="-1"/>
                <w:sz w:val="20"/>
              </w:rPr>
              <w:t> </w:t>
            </w:r>
            <w:r>
              <w:rPr>
                <w:sz w:val="20"/>
              </w:rPr>
              <w:t>по</w:t>
            </w:r>
            <w:r>
              <w:rPr>
                <w:spacing w:val="-2"/>
                <w:sz w:val="20"/>
              </w:rPr>
              <w:t> </w:t>
            </w:r>
            <w:r>
              <w:rPr>
                <w:sz w:val="20"/>
              </w:rPr>
              <w:t>800</w:t>
            </w:r>
            <w:r>
              <w:rPr>
                <w:spacing w:val="-2"/>
                <w:sz w:val="20"/>
              </w:rPr>
              <w:t> </w:t>
            </w:r>
            <w:r>
              <w:rPr>
                <w:sz w:val="20"/>
              </w:rPr>
              <w:t>мг</w:t>
            </w:r>
            <w:r>
              <w:rPr>
                <w:spacing w:val="-6"/>
                <w:sz w:val="20"/>
              </w:rPr>
              <w:t> </w:t>
            </w:r>
            <w:r>
              <w:rPr>
                <w:sz w:val="20"/>
              </w:rPr>
              <w:t>2</w:t>
            </w:r>
            <w:r>
              <w:rPr>
                <w:spacing w:val="-3"/>
                <w:sz w:val="20"/>
              </w:rPr>
              <w:t> </w:t>
            </w:r>
            <w:r>
              <w:rPr>
                <w:sz w:val="20"/>
              </w:rPr>
              <w:t>раза/сут</w:t>
            </w:r>
            <w:r>
              <w:rPr>
                <w:spacing w:val="-4"/>
                <w:sz w:val="20"/>
              </w:rPr>
              <w:t> </w:t>
            </w:r>
            <w:r>
              <w:rPr>
                <w:sz w:val="20"/>
              </w:rPr>
              <w:t>со</w:t>
            </w:r>
            <w:r>
              <w:rPr>
                <w:spacing w:val="-2"/>
                <w:sz w:val="20"/>
              </w:rPr>
              <w:t> </w:t>
            </w:r>
            <w:r>
              <w:rPr>
                <w:sz w:val="20"/>
              </w:rPr>
              <w:t>2</w:t>
            </w:r>
            <w:r>
              <w:rPr>
                <w:spacing w:val="-2"/>
                <w:sz w:val="20"/>
              </w:rPr>
              <w:t> </w:t>
            </w:r>
            <w:r>
              <w:rPr>
                <w:sz w:val="20"/>
              </w:rPr>
              <w:t>по</w:t>
            </w:r>
            <w:r>
              <w:rPr>
                <w:spacing w:val="-3"/>
                <w:sz w:val="20"/>
              </w:rPr>
              <w:t> </w:t>
            </w:r>
            <w:r>
              <w:rPr>
                <w:sz w:val="20"/>
              </w:rPr>
              <w:t>10</w:t>
            </w:r>
            <w:r>
              <w:rPr>
                <w:spacing w:val="-2"/>
                <w:sz w:val="20"/>
              </w:rPr>
              <w:t> </w:t>
            </w:r>
            <w:r>
              <w:rPr>
                <w:sz w:val="20"/>
              </w:rPr>
              <w:t>день</w:t>
            </w:r>
            <w:r>
              <w:rPr>
                <w:spacing w:val="-3"/>
                <w:sz w:val="20"/>
              </w:rPr>
              <w:t> </w:t>
            </w:r>
            <w:r>
              <w:rPr>
                <w:spacing w:val="-2"/>
                <w:sz w:val="20"/>
              </w:rPr>
              <w:t>(таблетки).</w:t>
            </w:r>
          </w:p>
        </w:tc>
      </w:tr>
      <w:tr>
        <w:trPr>
          <w:trHeight w:val="34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13176" w:type="dxa"/>
            <w:gridSpan w:val="2"/>
          </w:tcPr>
          <w:p>
            <w:pPr>
              <w:pStyle w:val="TableParagraph"/>
              <w:spacing w:before="63"/>
              <w:ind w:left="105"/>
              <w:rPr>
                <w:sz w:val="20"/>
              </w:rPr>
            </w:pPr>
            <w:r>
              <w:rPr>
                <w:spacing w:val="-5"/>
                <w:sz w:val="20"/>
              </w:rPr>
              <w:t>или</w:t>
            </w:r>
          </w:p>
        </w:tc>
      </w:tr>
      <w:tr>
        <w:trPr>
          <w:trHeight w:val="87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before="99"/>
              <w:rPr>
                <w:sz w:val="20"/>
              </w:rPr>
            </w:pPr>
          </w:p>
          <w:p>
            <w:pPr>
              <w:pStyle w:val="TableParagraph"/>
              <w:ind w:left="105"/>
              <w:rPr>
                <w:b/>
                <w:sz w:val="20"/>
              </w:rPr>
            </w:pPr>
            <w:r>
              <w:rPr>
                <w:b/>
                <w:color w:val="1F487C"/>
                <w:spacing w:val="-2"/>
                <w:sz w:val="20"/>
              </w:rPr>
              <w:t>Фавипиравир+Цинка</w:t>
            </w:r>
            <w:r>
              <w:rPr>
                <w:b/>
                <w:color w:val="1F487C"/>
                <w:spacing w:val="9"/>
                <w:sz w:val="20"/>
              </w:rPr>
              <w:t> </w:t>
            </w:r>
            <w:r>
              <w:rPr>
                <w:b/>
                <w:color w:val="1F487C"/>
                <w:spacing w:val="-2"/>
                <w:sz w:val="20"/>
              </w:rPr>
              <w:t>глюконат</w:t>
            </w:r>
            <w:r>
              <w:rPr>
                <w:b/>
                <w:color w:val="1F487C"/>
                <w:spacing w:val="-2"/>
                <w:sz w:val="20"/>
                <w:vertAlign w:val="superscript"/>
              </w:rPr>
              <w:t>5</w:t>
            </w:r>
          </w:p>
        </w:tc>
        <w:tc>
          <w:tcPr>
            <w:tcW w:w="9640" w:type="dxa"/>
          </w:tcPr>
          <w:p>
            <w:pPr>
              <w:pStyle w:val="TableParagraph"/>
              <w:spacing w:before="10"/>
              <w:ind w:left="99"/>
              <w:rPr>
                <w:sz w:val="18"/>
              </w:rPr>
            </w:pPr>
            <w:r>
              <w:rPr>
                <w:sz w:val="18"/>
              </w:rPr>
              <w:t>Для</w:t>
            </w:r>
            <w:r>
              <w:rPr>
                <w:spacing w:val="-1"/>
                <w:sz w:val="18"/>
              </w:rPr>
              <w:t> </w:t>
            </w:r>
            <w:r>
              <w:rPr>
                <w:sz w:val="18"/>
              </w:rPr>
              <w:t>пациентов</w:t>
            </w:r>
            <w:r>
              <w:rPr>
                <w:spacing w:val="-2"/>
                <w:sz w:val="18"/>
              </w:rPr>
              <w:t> </w:t>
            </w:r>
            <w:r>
              <w:rPr>
                <w:sz w:val="18"/>
              </w:rPr>
              <w:t>с</w:t>
            </w:r>
            <w:r>
              <w:rPr>
                <w:spacing w:val="-2"/>
                <w:sz w:val="18"/>
              </w:rPr>
              <w:t> </w:t>
            </w:r>
            <w:r>
              <w:rPr>
                <w:sz w:val="18"/>
              </w:rPr>
              <w:t>массой</w:t>
            </w:r>
            <w:r>
              <w:rPr>
                <w:spacing w:val="-3"/>
                <w:sz w:val="18"/>
              </w:rPr>
              <w:t> </w:t>
            </w:r>
            <w:r>
              <w:rPr>
                <w:sz w:val="18"/>
              </w:rPr>
              <w:t>тела</w:t>
            </w:r>
            <w:r>
              <w:rPr>
                <w:spacing w:val="-2"/>
                <w:sz w:val="18"/>
              </w:rPr>
              <w:t> </w:t>
            </w:r>
            <w:r>
              <w:rPr>
                <w:sz w:val="18"/>
              </w:rPr>
              <w:t>˂75 </w:t>
            </w:r>
            <w:r>
              <w:rPr>
                <w:spacing w:val="-5"/>
                <w:sz w:val="18"/>
              </w:rPr>
              <w:t>кг:</w:t>
            </w:r>
          </w:p>
          <w:p>
            <w:pPr>
              <w:pStyle w:val="TableParagraph"/>
              <w:spacing w:line="256" w:lineRule="auto" w:before="13"/>
              <w:ind w:left="99" w:right="3140"/>
              <w:rPr>
                <w:sz w:val="18"/>
              </w:rPr>
            </w:pPr>
            <w:r>
              <w:rPr>
                <w:sz w:val="18"/>
              </w:rPr>
              <w:t>по</w:t>
            </w:r>
            <w:r>
              <w:rPr>
                <w:spacing w:val="-2"/>
                <w:sz w:val="18"/>
              </w:rPr>
              <w:t> </w:t>
            </w:r>
            <w:r>
              <w:rPr>
                <w:sz w:val="18"/>
              </w:rPr>
              <w:t>1600</w:t>
            </w:r>
            <w:r>
              <w:rPr>
                <w:spacing w:val="-2"/>
                <w:sz w:val="18"/>
              </w:rPr>
              <w:t> </w:t>
            </w:r>
            <w:r>
              <w:rPr>
                <w:sz w:val="18"/>
              </w:rPr>
              <w:t>мг</w:t>
            </w:r>
            <w:r>
              <w:rPr>
                <w:spacing w:val="-2"/>
                <w:sz w:val="18"/>
              </w:rPr>
              <w:t> </w:t>
            </w:r>
            <w:r>
              <w:rPr>
                <w:sz w:val="18"/>
              </w:rPr>
              <w:t>2</w:t>
            </w:r>
            <w:r>
              <w:rPr>
                <w:spacing w:val="-3"/>
                <w:sz w:val="18"/>
              </w:rPr>
              <w:t> </w:t>
            </w:r>
            <w:r>
              <w:rPr>
                <w:sz w:val="18"/>
              </w:rPr>
              <w:t>р/сут</w:t>
            </w:r>
            <w:r>
              <w:rPr>
                <w:spacing w:val="-2"/>
                <w:sz w:val="18"/>
              </w:rPr>
              <w:t> </w:t>
            </w:r>
            <w:r>
              <w:rPr>
                <w:sz w:val="18"/>
              </w:rPr>
              <w:t>в</w:t>
            </w:r>
            <w:r>
              <w:rPr>
                <w:spacing w:val="-3"/>
                <w:sz w:val="18"/>
              </w:rPr>
              <w:t> </w:t>
            </w:r>
            <w:r>
              <w:rPr>
                <w:sz w:val="18"/>
              </w:rPr>
              <w:t>1-й</w:t>
            </w:r>
            <w:r>
              <w:rPr>
                <w:spacing w:val="-3"/>
                <w:sz w:val="18"/>
              </w:rPr>
              <w:t> </w:t>
            </w:r>
            <w:r>
              <w:rPr>
                <w:sz w:val="18"/>
              </w:rPr>
              <w:t>день</w:t>
            </w:r>
            <w:r>
              <w:rPr>
                <w:spacing w:val="-3"/>
                <w:sz w:val="18"/>
              </w:rPr>
              <w:t> </w:t>
            </w:r>
            <w:r>
              <w:rPr>
                <w:sz w:val="18"/>
              </w:rPr>
              <w:t>и</w:t>
            </w:r>
            <w:r>
              <w:rPr>
                <w:spacing w:val="-5"/>
                <w:sz w:val="18"/>
              </w:rPr>
              <w:t> </w:t>
            </w:r>
            <w:r>
              <w:rPr>
                <w:sz w:val="18"/>
              </w:rPr>
              <w:t>далее</w:t>
            </w:r>
            <w:r>
              <w:rPr>
                <w:spacing w:val="-3"/>
                <w:sz w:val="18"/>
              </w:rPr>
              <w:t> </w:t>
            </w:r>
            <w:r>
              <w:rPr>
                <w:sz w:val="18"/>
              </w:rPr>
              <w:t>по</w:t>
            </w:r>
            <w:r>
              <w:rPr>
                <w:spacing w:val="-2"/>
                <w:sz w:val="18"/>
              </w:rPr>
              <w:t> </w:t>
            </w:r>
            <w:r>
              <w:rPr>
                <w:sz w:val="18"/>
              </w:rPr>
              <w:t>600</w:t>
            </w:r>
            <w:r>
              <w:rPr>
                <w:spacing w:val="-3"/>
                <w:sz w:val="18"/>
              </w:rPr>
              <w:t> </w:t>
            </w:r>
            <w:r>
              <w:rPr>
                <w:sz w:val="18"/>
              </w:rPr>
              <w:t>мг</w:t>
            </w:r>
            <w:r>
              <w:rPr>
                <w:spacing w:val="-4"/>
                <w:sz w:val="18"/>
              </w:rPr>
              <w:t> </w:t>
            </w:r>
            <w:r>
              <w:rPr>
                <w:sz w:val="18"/>
              </w:rPr>
              <w:t>2</w:t>
            </w:r>
            <w:r>
              <w:rPr>
                <w:spacing w:val="-2"/>
                <w:sz w:val="18"/>
              </w:rPr>
              <w:t> </w:t>
            </w:r>
            <w:r>
              <w:rPr>
                <w:sz w:val="18"/>
              </w:rPr>
              <w:t>р/сут</w:t>
            </w:r>
            <w:r>
              <w:rPr>
                <w:spacing w:val="-2"/>
                <w:sz w:val="18"/>
              </w:rPr>
              <w:t> </w:t>
            </w:r>
            <w:r>
              <w:rPr>
                <w:sz w:val="18"/>
              </w:rPr>
              <w:t>со</w:t>
            </w:r>
            <w:r>
              <w:rPr>
                <w:spacing w:val="-3"/>
                <w:sz w:val="18"/>
              </w:rPr>
              <w:t> </w:t>
            </w:r>
            <w:r>
              <w:rPr>
                <w:sz w:val="18"/>
              </w:rPr>
              <w:t>2</w:t>
            </w:r>
            <w:r>
              <w:rPr>
                <w:spacing w:val="-2"/>
                <w:sz w:val="18"/>
              </w:rPr>
              <w:t> </w:t>
            </w:r>
            <w:r>
              <w:rPr>
                <w:sz w:val="18"/>
              </w:rPr>
              <w:t>по</w:t>
            </w:r>
            <w:r>
              <w:rPr>
                <w:spacing w:val="-1"/>
                <w:sz w:val="18"/>
              </w:rPr>
              <w:t> </w:t>
            </w:r>
            <w:r>
              <w:rPr>
                <w:sz w:val="18"/>
              </w:rPr>
              <w:t>5</w:t>
            </w:r>
            <w:r>
              <w:rPr>
                <w:spacing w:val="-2"/>
                <w:sz w:val="18"/>
              </w:rPr>
              <w:t> </w:t>
            </w:r>
            <w:r>
              <w:rPr>
                <w:sz w:val="18"/>
              </w:rPr>
              <w:t>день</w:t>
            </w:r>
            <w:r>
              <w:rPr>
                <w:spacing w:val="-3"/>
                <w:sz w:val="18"/>
              </w:rPr>
              <w:t> </w:t>
            </w:r>
            <w:r>
              <w:rPr>
                <w:sz w:val="18"/>
              </w:rPr>
              <w:t>(таблетки). Для пациентов с массой тела 75 кг и более:</w:t>
            </w:r>
          </w:p>
          <w:p>
            <w:pPr>
              <w:pStyle w:val="TableParagraph"/>
              <w:spacing w:line="177" w:lineRule="exact"/>
              <w:ind w:left="99"/>
              <w:rPr>
                <w:sz w:val="18"/>
              </w:rPr>
            </w:pPr>
            <w:r>
              <w:rPr>
                <w:color w:val="1F487C"/>
                <w:sz w:val="18"/>
              </w:rPr>
              <w:t>по</w:t>
            </w:r>
            <w:r>
              <w:rPr>
                <w:color w:val="1F487C"/>
                <w:spacing w:val="-2"/>
                <w:sz w:val="18"/>
              </w:rPr>
              <w:t> </w:t>
            </w:r>
            <w:r>
              <w:rPr>
                <w:color w:val="1F487C"/>
                <w:sz w:val="18"/>
              </w:rPr>
              <w:t>1800 мг</w:t>
            </w:r>
            <w:r>
              <w:rPr>
                <w:color w:val="1F487C"/>
                <w:spacing w:val="-1"/>
                <w:sz w:val="18"/>
              </w:rPr>
              <w:t> </w:t>
            </w:r>
            <w:r>
              <w:rPr>
                <w:color w:val="1F487C"/>
                <w:sz w:val="18"/>
              </w:rPr>
              <w:t>2</w:t>
            </w:r>
            <w:r>
              <w:rPr>
                <w:color w:val="1F487C"/>
                <w:spacing w:val="-1"/>
                <w:sz w:val="18"/>
              </w:rPr>
              <w:t> </w:t>
            </w:r>
            <w:r>
              <w:rPr>
                <w:color w:val="1F487C"/>
                <w:sz w:val="18"/>
              </w:rPr>
              <w:t>раза/сут</w:t>
            </w:r>
            <w:r>
              <w:rPr>
                <w:color w:val="1F487C"/>
                <w:spacing w:val="-1"/>
                <w:sz w:val="18"/>
              </w:rPr>
              <w:t> </w:t>
            </w:r>
            <w:r>
              <w:rPr>
                <w:color w:val="1F487C"/>
                <w:sz w:val="18"/>
              </w:rPr>
              <w:t>в</w:t>
            </w:r>
            <w:r>
              <w:rPr>
                <w:color w:val="1F487C"/>
                <w:spacing w:val="-2"/>
                <w:sz w:val="18"/>
              </w:rPr>
              <w:t> </w:t>
            </w:r>
            <w:r>
              <w:rPr>
                <w:color w:val="1F487C"/>
                <w:sz w:val="18"/>
              </w:rPr>
              <w:t>1-й</w:t>
            </w:r>
            <w:r>
              <w:rPr>
                <w:color w:val="1F487C"/>
                <w:spacing w:val="-1"/>
                <w:sz w:val="18"/>
              </w:rPr>
              <w:t> </w:t>
            </w:r>
            <w:r>
              <w:rPr>
                <w:color w:val="1F487C"/>
                <w:sz w:val="18"/>
              </w:rPr>
              <w:t>день,</w:t>
            </w:r>
            <w:r>
              <w:rPr>
                <w:color w:val="1F487C"/>
                <w:spacing w:val="-1"/>
                <w:sz w:val="18"/>
              </w:rPr>
              <w:t> </w:t>
            </w:r>
            <w:r>
              <w:rPr>
                <w:color w:val="1F487C"/>
                <w:sz w:val="18"/>
              </w:rPr>
              <w:t>далее</w:t>
            </w:r>
            <w:r>
              <w:rPr>
                <w:color w:val="1F487C"/>
                <w:spacing w:val="-2"/>
                <w:sz w:val="18"/>
              </w:rPr>
              <w:t> </w:t>
            </w:r>
            <w:r>
              <w:rPr>
                <w:color w:val="1F487C"/>
                <w:sz w:val="18"/>
              </w:rPr>
              <w:t>по</w:t>
            </w:r>
            <w:r>
              <w:rPr>
                <w:color w:val="1F487C"/>
                <w:spacing w:val="1"/>
                <w:sz w:val="18"/>
              </w:rPr>
              <w:t> </w:t>
            </w:r>
            <w:r>
              <w:rPr>
                <w:color w:val="1F487C"/>
                <w:sz w:val="18"/>
              </w:rPr>
              <w:t>800</w:t>
            </w:r>
            <w:r>
              <w:rPr>
                <w:color w:val="1F487C"/>
                <w:spacing w:val="-2"/>
                <w:sz w:val="18"/>
              </w:rPr>
              <w:t> </w:t>
            </w:r>
            <w:r>
              <w:rPr>
                <w:color w:val="1F487C"/>
                <w:sz w:val="18"/>
              </w:rPr>
              <w:t>мг</w:t>
            </w:r>
            <w:r>
              <w:rPr>
                <w:color w:val="1F487C"/>
                <w:spacing w:val="-3"/>
                <w:sz w:val="18"/>
              </w:rPr>
              <w:t> </w:t>
            </w:r>
            <w:r>
              <w:rPr>
                <w:color w:val="1F487C"/>
                <w:sz w:val="18"/>
              </w:rPr>
              <w:t>2</w:t>
            </w:r>
            <w:r>
              <w:rPr>
                <w:color w:val="1F487C"/>
                <w:spacing w:val="-1"/>
                <w:sz w:val="18"/>
              </w:rPr>
              <w:t> </w:t>
            </w:r>
            <w:r>
              <w:rPr>
                <w:color w:val="1F487C"/>
                <w:sz w:val="18"/>
              </w:rPr>
              <w:t>раза/сут</w:t>
            </w:r>
            <w:r>
              <w:rPr>
                <w:color w:val="1F487C"/>
                <w:spacing w:val="-3"/>
                <w:sz w:val="18"/>
              </w:rPr>
              <w:t> </w:t>
            </w:r>
            <w:r>
              <w:rPr>
                <w:color w:val="1F487C"/>
                <w:sz w:val="18"/>
              </w:rPr>
              <w:t>со 2</w:t>
            </w:r>
            <w:r>
              <w:rPr>
                <w:color w:val="1F487C"/>
                <w:spacing w:val="-1"/>
                <w:sz w:val="18"/>
              </w:rPr>
              <w:t> </w:t>
            </w:r>
            <w:r>
              <w:rPr>
                <w:color w:val="1F487C"/>
                <w:sz w:val="18"/>
              </w:rPr>
              <w:t>по 5</w:t>
            </w:r>
            <w:r>
              <w:rPr>
                <w:color w:val="1F487C"/>
                <w:spacing w:val="-2"/>
                <w:sz w:val="18"/>
              </w:rPr>
              <w:t> </w:t>
            </w:r>
            <w:r>
              <w:rPr>
                <w:color w:val="1F487C"/>
                <w:sz w:val="18"/>
              </w:rPr>
              <w:t>день</w:t>
            </w:r>
            <w:r>
              <w:rPr>
                <w:color w:val="1F487C"/>
                <w:spacing w:val="-1"/>
                <w:sz w:val="18"/>
              </w:rPr>
              <w:t> </w:t>
            </w:r>
            <w:r>
              <w:rPr>
                <w:color w:val="1F487C"/>
                <w:spacing w:val="-2"/>
                <w:sz w:val="18"/>
              </w:rPr>
              <w:t>(таблетки).</w:t>
            </w:r>
          </w:p>
        </w:tc>
      </w:tr>
      <w:tr>
        <w:trPr>
          <w:trHeight w:val="460" w:hRule="atLeast"/>
        </w:trPr>
        <w:tc>
          <w:tcPr>
            <w:tcW w:w="845" w:type="dxa"/>
            <w:vMerge/>
            <w:tcBorders>
              <w:top w:val="nil"/>
            </w:tcBorders>
          </w:tcPr>
          <w:p>
            <w:pPr>
              <w:rPr>
                <w:sz w:val="2"/>
                <w:szCs w:val="2"/>
              </w:rPr>
            </w:pPr>
          </w:p>
        </w:tc>
        <w:tc>
          <w:tcPr>
            <w:tcW w:w="708" w:type="dxa"/>
          </w:tcPr>
          <w:p>
            <w:pPr>
              <w:pStyle w:val="TableParagraph"/>
              <w:spacing w:before="122"/>
              <w:ind w:left="2"/>
              <w:jc w:val="center"/>
              <w:rPr>
                <w:sz w:val="20"/>
              </w:rPr>
            </w:pPr>
            <w:r>
              <w:rPr>
                <w:spacing w:val="-10"/>
                <w:sz w:val="20"/>
              </w:rPr>
              <w:t>2</w:t>
            </w:r>
          </w:p>
        </w:tc>
        <w:tc>
          <w:tcPr>
            <w:tcW w:w="3536" w:type="dxa"/>
          </w:tcPr>
          <w:p>
            <w:pPr>
              <w:pStyle w:val="TableParagraph"/>
              <w:spacing w:before="94"/>
              <w:ind w:left="105"/>
              <w:rPr>
                <w:b/>
                <w:position w:val="8"/>
                <w:sz w:val="16"/>
              </w:rPr>
            </w:pPr>
            <w:r>
              <w:rPr>
                <w:sz w:val="20"/>
              </w:rPr>
              <w:t>ИФН-α,</w:t>
            </w:r>
            <w:r>
              <w:rPr>
                <w:spacing w:val="-9"/>
                <w:sz w:val="20"/>
              </w:rPr>
              <w:t> </w:t>
            </w:r>
            <w:r>
              <w:rPr>
                <w:sz w:val="20"/>
              </w:rPr>
              <w:t>интраназальные</w:t>
            </w:r>
            <w:r>
              <w:rPr>
                <w:spacing w:val="-9"/>
                <w:sz w:val="20"/>
              </w:rPr>
              <w:t> </w:t>
            </w:r>
            <w:r>
              <w:rPr>
                <w:sz w:val="20"/>
              </w:rPr>
              <w:t>формы</w:t>
            </w:r>
            <w:r>
              <w:rPr>
                <w:spacing w:val="-7"/>
                <w:sz w:val="20"/>
              </w:rPr>
              <w:t> </w:t>
            </w:r>
            <w:r>
              <w:rPr>
                <w:b/>
                <w:spacing w:val="-10"/>
                <w:position w:val="8"/>
                <w:sz w:val="16"/>
              </w:rPr>
              <w:t>5</w:t>
            </w:r>
          </w:p>
        </w:tc>
        <w:tc>
          <w:tcPr>
            <w:tcW w:w="9640" w:type="dxa"/>
          </w:tcPr>
          <w:p>
            <w:pPr>
              <w:pStyle w:val="TableParagraph"/>
              <w:spacing w:line="230" w:lineRule="atLeast"/>
              <w:ind w:left="99" w:right="9"/>
              <w:rPr>
                <w:sz w:val="20"/>
              </w:rPr>
            </w:pPr>
            <w:r>
              <w:rPr>
                <w:sz w:val="20"/>
              </w:rPr>
              <w:t>В</w:t>
            </w:r>
            <w:r>
              <w:rPr>
                <w:spacing w:val="-6"/>
                <w:sz w:val="20"/>
              </w:rPr>
              <w:t> </w:t>
            </w:r>
            <w:r>
              <w:rPr>
                <w:sz w:val="20"/>
              </w:rPr>
              <w:t>соответствии</w:t>
            </w:r>
            <w:r>
              <w:rPr>
                <w:spacing w:val="-6"/>
                <w:sz w:val="20"/>
              </w:rPr>
              <w:t> </w:t>
            </w:r>
            <w:r>
              <w:rPr>
                <w:sz w:val="20"/>
              </w:rPr>
              <w:t>с</w:t>
            </w:r>
            <w:r>
              <w:rPr>
                <w:spacing w:val="-5"/>
                <w:sz w:val="20"/>
              </w:rPr>
              <w:t> </w:t>
            </w:r>
            <w:r>
              <w:rPr>
                <w:sz w:val="20"/>
              </w:rPr>
              <w:t>инструкцией</w:t>
            </w:r>
            <w:r>
              <w:rPr>
                <w:spacing w:val="-6"/>
                <w:sz w:val="20"/>
              </w:rPr>
              <w:t> </w:t>
            </w:r>
            <w:r>
              <w:rPr>
                <w:sz w:val="20"/>
              </w:rPr>
              <w:t>по</w:t>
            </w:r>
            <w:r>
              <w:rPr>
                <w:spacing w:val="-4"/>
                <w:sz w:val="20"/>
              </w:rPr>
              <w:t> </w:t>
            </w:r>
            <w:r>
              <w:rPr>
                <w:sz w:val="20"/>
              </w:rPr>
              <w:t>применению</w:t>
            </w:r>
            <w:r>
              <w:rPr>
                <w:spacing w:val="-3"/>
                <w:sz w:val="20"/>
              </w:rPr>
              <w:t> </w:t>
            </w:r>
            <w:r>
              <w:rPr>
                <w:sz w:val="20"/>
              </w:rPr>
              <w:t>препарата</w:t>
            </w:r>
            <w:r>
              <w:rPr>
                <w:spacing w:val="-5"/>
                <w:sz w:val="20"/>
              </w:rPr>
              <w:t> </w:t>
            </w:r>
            <w:r>
              <w:rPr>
                <w:sz w:val="20"/>
              </w:rPr>
              <w:t>(спрей,</w:t>
            </w:r>
            <w:r>
              <w:rPr>
                <w:spacing w:val="-5"/>
                <w:sz w:val="20"/>
              </w:rPr>
              <w:t> </w:t>
            </w:r>
            <w:r>
              <w:rPr>
                <w:sz w:val="20"/>
              </w:rPr>
              <w:t>капли,</w:t>
            </w:r>
            <w:r>
              <w:rPr>
                <w:spacing w:val="-5"/>
                <w:sz w:val="20"/>
              </w:rPr>
              <w:t> </w:t>
            </w:r>
            <w:r>
              <w:rPr>
                <w:sz w:val="20"/>
              </w:rPr>
              <w:t>раствор, лиофилизат</w:t>
            </w:r>
            <w:r>
              <w:rPr>
                <w:spacing w:val="-6"/>
                <w:sz w:val="20"/>
              </w:rPr>
              <w:t> </w:t>
            </w:r>
            <w:r>
              <w:rPr>
                <w:sz w:val="20"/>
              </w:rPr>
              <w:t>для приготовления раствора, гель или мазь)</w:t>
            </w:r>
          </w:p>
        </w:tc>
      </w:tr>
      <w:tr>
        <w:trPr>
          <w:trHeight w:val="460" w:hRule="atLeast"/>
        </w:trPr>
        <w:tc>
          <w:tcPr>
            <w:tcW w:w="845" w:type="dxa"/>
            <w:vMerge/>
            <w:tcBorders>
              <w:top w:val="nil"/>
            </w:tcBorders>
          </w:tcPr>
          <w:p>
            <w:pPr>
              <w:rPr>
                <w:sz w:val="2"/>
                <w:szCs w:val="2"/>
              </w:rPr>
            </w:pPr>
          </w:p>
        </w:tc>
        <w:tc>
          <w:tcPr>
            <w:tcW w:w="708" w:type="dxa"/>
          </w:tcPr>
          <w:p>
            <w:pPr>
              <w:pStyle w:val="TableParagraph"/>
              <w:spacing w:before="122"/>
              <w:ind w:left="2"/>
              <w:jc w:val="center"/>
              <w:rPr>
                <w:sz w:val="20"/>
              </w:rPr>
            </w:pPr>
            <w:r>
              <w:rPr>
                <w:spacing w:val="-10"/>
                <w:sz w:val="20"/>
              </w:rPr>
              <w:t>3</w:t>
            </w:r>
          </w:p>
        </w:tc>
        <w:tc>
          <w:tcPr>
            <w:tcW w:w="3536" w:type="dxa"/>
          </w:tcPr>
          <w:p>
            <w:pPr>
              <w:pStyle w:val="TableParagraph"/>
              <w:spacing w:line="230" w:lineRule="atLeast"/>
              <w:ind w:left="105"/>
              <w:rPr>
                <w:sz w:val="20"/>
              </w:rPr>
            </w:pPr>
            <w:r>
              <w:rPr>
                <w:sz w:val="20"/>
              </w:rPr>
              <w:t>Будесонид</w:t>
            </w:r>
            <w:r>
              <w:rPr>
                <w:spacing w:val="-13"/>
                <w:sz w:val="20"/>
              </w:rPr>
              <w:t> </w:t>
            </w:r>
            <w:r>
              <w:rPr>
                <w:sz w:val="20"/>
              </w:rPr>
              <w:t>(порошок</w:t>
            </w:r>
            <w:r>
              <w:rPr>
                <w:spacing w:val="-12"/>
                <w:sz w:val="20"/>
              </w:rPr>
              <w:t> </w:t>
            </w:r>
            <w:r>
              <w:rPr>
                <w:sz w:val="20"/>
              </w:rPr>
              <w:t>для</w:t>
            </w:r>
            <w:r>
              <w:rPr>
                <w:spacing w:val="-13"/>
                <w:sz w:val="20"/>
              </w:rPr>
              <w:t> </w:t>
            </w:r>
            <w:r>
              <w:rPr>
                <w:sz w:val="20"/>
              </w:rPr>
              <w:t>ингаляций </w:t>
            </w:r>
            <w:r>
              <w:rPr>
                <w:spacing w:val="-2"/>
                <w:sz w:val="20"/>
              </w:rPr>
              <w:t>дозированный)</w:t>
            </w:r>
          </w:p>
        </w:tc>
        <w:tc>
          <w:tcPr>
            <w:tcW w:w="9640" w:type="dxa"/>
          </w:tcPr>
          <w:p>
            <w:pPr>
              <w:pStyle w:val="TableParagraph"/>
              <w:spacing w:before="122"/>
              <w:ind w:left="99"/>
              <w:rPr>
                <w:sz w:val="20"/>
              </w:rPr>
            </w:pPr>
            <w:r>
              <w:rPr>
                <w:sz w:val="20"/>
              </w:rPr>
              <w:t>По</w:t>
            </w:r>
            <w:r>
              <w:rPr>
                <w:spacing w:val="-3"/>
                <w:sz w:val="20"/>
              </w:rPr>
              <w:t> </w:t>
            </w:r>
            <w:r>
              <w:rPr>
                <w:sz w:val="20"/>
              </w:rPr>
              <w:t>800</w:t>
            </w:r>
            <w:r>
              <w:rPr>
                <w:spacing w:val="-6"/>
                <w:sz w:val="20"/>
              </w:rPr>
              <w:t> </w:t>
            </w:r>
            <w:r>
              <w:rPr>
                <w:sz w:val="20"/>
              </w:rPr>
              <w:t>мкг</w:t>
            </w:r>
            <w:r>
              <w:rPr>
                <w:spacing w:val="-5"/>
                <w:sz w:val="20"/>
              </w:rPr>
              <w:t> </w:t>
            </w:r>
            <w:r>
              <w:rPr>
                <w:sz w:val="20"/>
              </w:rPr>
              <w:t>2</w:t>
            </w:r>
            <w:r>
              <w:rPr>
                <w:spacing w:val="-2"/>
                <w:sz w:val="20"/>
              </w:rPr>
              <w:t> </w:t>
            </w:r>
            <w:r>
              <w:rPr>
                <w:sz w:val="20"/>
              </w:rPr>
              <w:t>раза</w:t>
            </w:r>
            <w:r>
              <w:rPr>
                <w:spacing w:val="-4"/>
                <w:sz w:val="20"/>
              </w:rPr>
              <w:t> </w:t>
            </w:r>
            <w:r>
              <w:rPr>
                <w:sz w:val="20"/>
              </w:rPr>
              <w:t>в</w:t>
            </w:r>
            <w:r>
              <w:rPr>
                <w:spacing w:val="-5"/>
                <w:sz w:val="20"/>
              </w:rPr>
              <w:t> </w:t>
            </w:r>
            <w:r>
              <w:rPr>
                <w:sz w:val="20"/>
              </w:rPr>
              <w:t>сутки</w:t>
            </w:r>
            <w:r>
              <w:rPr>
                <w:spacing w:val="-5"/>
                <w:sz w:val="20"/>
              </w:rPr>
              <w:t> </w:t>
            </w:r>
            <w:r>
              <w:rPr>
                <w:sz w:val="20"/>
              </w:rPr>
              <w:t>до</w:t>
            </w:r>
            <w:r>
              <w:rPr>
                <w:spacing w:val="-3"/>
                <w:sz w:val="20"/>
              </w:rPr>
              <w:t> </w:t>
            </w:r>
            <w:r>
              <w:rPr>
                <w:sz w:val="20"/>
              </w:rPr>
              <w:t>выздоровления,</w:t>
            </w:r>
            <w:r>
              <w:rPr>
                <w:spacing w:val="-4"/>
                <w:sz w:val="20"/>
              </w:rPr>
              <w:t> </w:t>
            </w:r>
            <w:r>
              <w:rPr>
                <w:sz w:val="20"/>
              </w:rPr>
              <w:t>но</w:t>
            </w:r>
            <w:r>
              <w:rPr>
                <w:spacing w:val="-3"/>
                <w:sz w:val="20"/>
              </w:rPr>
              <w:t> </w:t>
            </w:r>
            <w:r>
              <w:rPr>
                <w:sz w:val="20"/>
              </w:rPr>
              <w:t>не</w:t>
            </w:r>
            <w:r>
              <w:rPr>
                <w:spacing w:val="-2"/>
                <w:sz w:val="20"/>
              </w:rPr>
              <w:t> </w:t>
            </w:r>
            <w:r>
              <w:rPr>
                <w:sz w:val="20"/>
              </w:rPr>
              <w:t>более</w:t>
            </w:r>
            <w:r>
              <w:rPr>
                <w:spacing w:val="-1"/>
                <w:sz w:val="20"/>
              </w:rPr>
              <w:t> </w:t>
            </w:r>
            <w:r>
              <w:rPr>
                <w:sz w:val="20"/>
              </w:rPr>
              <w:t>14</w:t>
            </w:r>
            <w:r>
              <w:rPr>
                <w:spacing w:val="-3"/>
                <w:sz w:val="20"/>
              </w:rPr>
              <w:t> </w:t>
            </w:r>
            <w:r>
              <w:rPr>
                <w:spacing w:val="-2"/>
                <w:sz w:val="20"/>
              </w:rPr>
              <w:t>суток</w:t>
            </w:r>
          </w:p>
        </w:tc>
      </w:tr>
      <w:tr>
        <w:trPr>
          <w:trHeight w:val="263" w:hRule="atLeast"/>
        </w:trPr>
        <w:tc>
          <w:tcPr>
            <w:tcW w:w="845" w:type="dxa"/>
            <w:vMerge/>
            <w:tcBorders>
              <w:top w:val="nil"/>
            </w:tcBorders>
          </w:tcPr>
          <w:p>
            <w:pPr>
              <w:rPr>
                <w:sz w:val="2"/>
                <w:szCs w:val="2"/>
              </w:rPr>
            </w:pPr>
          </w:p>
        </w:tc>
        <w:tc>
          <w:tcPr>
            <w:tcW w:w="708" w:type="dxa"/>
          </w:tcPr>
          <w:p>
            <w:pPr>
              <w:pStyle w:val="TableParagraph"/>
              <w:spacing w:line="220" w:lineRule="exact" w:before="23"/>
              <w:ind w:left="2"/>
              <w:jc w:val="center"/>
              <w:rPr>
                <w:sz w:val="20"/>
              </w:rPr>
            </w:pPr>
            <w:r>
              <w:rPr>
                <w:spacing w:val="-10"/>
                <w:sz w:val="20"/>
              </w:rPr>
              <w:t>4</w:t>
            </w:r>
          </w:p>
        </w:tc>
        <w:tc>
          <w:tcPr>
            <w:tcW w:w="3536" w:type="dxa"/>
          </w:tcPr>
          <w:p>
            <w:pPr>
              <w:pStyle w:val="TableParagraph"/>
              <w:spacing w:line="220" w:lineRule="exact" w:before="23"/>
              <w:ind w:left="105"/>
              <w:rPr>
                <w:sz w:val="20"/>
              </w:rPr>
            </w:pPr>
            <w:r>
              <w:rPr>
                <w:spacing w:val="-2"/>
                <w:sz w:val="20"/>
              </w:rPr>
              <w:t>Парацетамол</w:t>
            </w:r>
          </w:p>
        </w:tc>
        <w:tc>
          <w:tcPr>
            <w:tcW w:w="9640" w:type="dxa"/>
          </w:tcPr>
          <w:p>
            <w:pPr>
              <w:pStyle w:val="TableParagraph"/>
              <w:spacing w:line="220" w:lineRule="exact" w:before="23"/>
              <w:ind w:left="99"/>
              <w:rPr>
                <w:sz w:val="20"/>
              </w:rPr>
            </w:pPr>
            <w:r>
              <w:rPr>
                <w:sz w:val="20"/>
              </w:rPr>
              <w:t>1-2</w:t>
            </w:r>
            <w:r>
              <w:rPr>
                <w:spacing w:val="-3"/>
                <w:sz w:val="20"/>
              </w:rPr>
              <w:t> </w:t>
            </w:r>
            <w:r>
              <w:rPr>
                <w:sz w:val="20"/>
              </w:rPr>
              <w:t>табл.</w:t>
            </w:r>
            <w:r>
              <w:rPr>
                <w:spacing w:val="-4"/>
                <w:sz w:val="20"/>
              </w:rPr>
              <w:t> </w:t>
            </w:r>
            <w:r>
              <w:rPr>
                <w:sz w:val="20"/>
              </w:rPr>
              <w:t>(500-1000</w:t>
            </w:r>
            <w:r>
              <w:rPr>
                <w:spacing w:val="-3"/>
                <w:sz w:val="20"/>
              </w:rPr>
              <w:t> </w:t>
            </w:r>
            <w:r>
              <w:rPr>
                <w:sz w:val="20"/>
              </w:rPr>
              <w:t>мг)</w:t>
            </w:r>
            <w:r>
              <w:rPr>
                <w:spacing w:val="-5"/>
                <w:sz w:val="20"/>
              </w:rPr>
              <w:t> </w:t>
            </w:r>
            <w:r>
              <w:rPr>
                <w:sz w:val="20"/>
              </w:rPr>
              <w:t>2-3</w:t>
            </w:r>
            <w:r>
              <w:rPr>
                <w:spacing w:val="-6"/>
                <w:sz w:val="20"/>
              </w:rPr>
              <w:t> </w:t>
            </w:r>
            <w:r>
              <w:rPr>
                <w:sz w:val="20"/>
              </w:rPr>
              <w:t>р/сут,</w:t>
            </w:r>
            <w:r>
              <w:rPr>
                <w:spacing w:val="-3"/>
                <w:sz w:val="20"/>
              </w:rPr>
              <w:t> </w:t>
            </w:r>
            <w:r>
              <w:rPr>
                <w:sz w:val="20"/>
              </w:rPr>
              <w:t>не</w:t>
            </w:r>
            <w:r>
              <w:rPr>
                <w:spacing w:val="-4"/>
                <w:sz w:val="20"/>
              </w:rPr>
              <w:t> </w:t>
            </w:r>
            <w:r>
              <w:rPr>
                <w:sz w:val="20"/>
              </w:rPr>
              <w:t>более</w:t>
            </w:r>
            <w:r>
              <w:rPr>
                <w:spacing w:val="-3"/>
                <w:sz w:val="20"/>
              </w:rPr>
              <w:t> </w:t>
            </w:r>
            <w:r>
              <w:rPr>
                <w:sz w:val="20"/>
              </w:rPr>
              <w:t>4</w:t>
            </w:r>
            <w:r>
              <w:rPr>
                <w:spacing w:val="-3"/>
                <w:sz w:val="20"/>
              </w:rPr>
              <w:t> </w:t>
            </w:r>
            <w:r>
              <w:rPr>
                <w:sz w:val="20"/>
              </w:rPr>
              <w:t>г</w:t>
            </w:r>
            <w:r>
              <w:rPr>
                <w:spacing w:val="-5"/>
                <w:sz w:val="20"/>
              </w:rPr>
              <w:t> </w:t>
            </w:r>
            <w:r>
              <w:rPr>
                <w:sz w:val="20"/>
              </w:rPr>
              <w:t>в</w:t>
            </w:r>
            <w:r>
              <w:rPr>
                <w:spacing w:val="-3"/>
                <w:sz w:val="20"/>
              </w:rPr>
              <w:t> </w:t>
            </w:r>
            <w:r>
              <w:rPr>
                <w:sz w:val="20"/>
              </w:rPr>
              <w:t>сутки</w:t>
            </w:r>
            <w:r>
              <w:rPr>
                <w:spacing w:val="-5"/>
                <w:sz w:val="20"/>
              </w:rPr>
              <w:t> </w:t>
            </w:r>
            <w:r>
              <w:rPr>
                <w:sz w:val="20"/>
              </w:rPr>
              <w:t>(при</w:t>
            </w:r>
            <w:r>
              <w:rPr>
                <w:spacing w:val="-4"/>
                <w:sz w:val="20"/>
              </w:rPr>
              <w:t> </w:t>
            </w:r>
            <w:r>
              <w:rPr>
                <w:sz w:val="20"/>
              </w:rPr>
              <w:t>температуре</w:t>
            </w:r>
            <w:r>
              <w:rPr>
                <w:spacing w:val="-4"/>
                <w:sz w:val="20"/>
              </w:rPr>
              <w:t> </w:t>
            </w:r>
            <w:r>
              <w:rPr>
                <w:sz w:val="20"/>
              </w:rPr>
              <w:t>тела</w:t>
            </w:r>
            <w:r>
              <w:rPr>
                <w:spacing w:val="-4"/>
                <w:sz w:val="20"/>
              </w:rPr>
              <w:t> </w:t>
            </w:r>
            <w:r>
              <w:rPr>
                <w:sz w:val="20"/>
              </w:rPr>
              <w:t>&gt;</w:t>
            </w:r>
            <w:r>
              <w:rPr>
                <w:spacing w:val="-3"/>
                <w:sz w:val="20"/>
              </w:rPr>
              <w:t> </w:t>
            </w:r>
            <w:r>
              <w:rPr>
                <w:sz w:val="20"/>
              </w:rPr>
              <w:t>38,0</w:t>
            </w:r>
            <w:r>
              <w:rPr>
                <w:spacing w:val="-3"/>
                <w:sz w:val="20"/>
              </w:rPr>
              <w:t> </w:t>
            </w:r>
            <w:r>
              <w:rPr>
                <w:spacing w:val="-5"/>
                <w:sz w:val="20"/>
              </w:rPr>
              <w:t>ºС)</w:t>
            </w:r>
          </w:p>
        </w:tc>
      </w:tr>
      <w:tr>
        <w:trPr>
          <w:trHeight w:val="254" w:hRule="atLeast"/>
        </w:trPr>
        <w:tc>
          <w:tcPr>
            <w:tcW w:w="845" w:type="dxa"/>
            <w:vMerge/>
            <w:tcBorders>
              <w:top w:val="nil"/>
            </w:tcBorders>
          </w:tcPr>
          <w:p>
            <w:pPr>
              <w:rPr>
                <w:sz w:val="2"/>
                <w:szCs w:val="2"/>
              </w:rPr>
            </w:pPr>
          </w:p>
        </w:tc>
        <w:tc>
          <w:tcPr>
            <w:tcW w:w="708" w:type="dxa"/>
            <w:vMerge w:val="restart"/>
          </w:tcPr>
          <w:p>
            <w:pPr>
              <w:pStyle w:val="TableParagraph"/>
              <w:rPr>
                <w:sz w:val="13"/>
              </w:rPr>
            </w:pPr>
          </w:p>
          <w:p>
            <w:pPr>
              <w:pStyle w:val="TableParagraph"/>
              <w:rPr>
                <w:sz w:val="13"/>
              </w:rPr>
            </w:pPr>
          </w:p>
          <w:p>
            <w:pPr>
              <w:pStyle w:val="TableParagraph"/>
              <w:rPr>
                <w:sz w:val="13"/>
              </w:rPr>
            </w:pPr>
          </w:p>
          <w:p>
            <w:pPr>
              <w:pStyle w:val="TableParagraph"/>
              <w:rPr>
                <w:sz w:val="13"/>
              </w:rPr>
            </w:pPr>
          </w:p>
          <w:p>
            <w:pPr>
              <w:pStyle w:val="TableParagraph"/>
              <w:rPr>
                <w:sz w:val="13"/>
              </w:rPr>
            </w:pPr>
          </w:p>
          <w:p>
            <w:pPr>
              <w:pStyle w:val="TableParagraph"/>
              <w:rPr>
                <w:sz w:val="13"/>
              </w:rPr>
            </w:pPr>
          </w:p>
          <w:p>
            <w:pPr>
              <w:pStyle w:val="TableParagraph"/>
              <w:rPr>
                <w:sz w:val="13"/>
              </w:rPr>
            </w:pPr>
          </w:p>
          <w:p>
            <w:pPr>
              <w:pStyle w:val="TableParagraph"/>
              <w:spacing w:before="34"/>
              <w:rPr>
                <w:sz w:val="13"/>
              </w:rPr>
            </w:pPr>
          </w:p>
          <w:p>
            <w:pPr>
              <w:pStyle w:val="TableParagraph"/>
              <w:ind w:left="5"/>
              <w:jc w:val="center"/>
              <w:rPr>
                <w:sz w:val="13"/>
              </w:rPr>
            </w:pPr>
            <w:r>
              <w:rPr>
                <w:spacing w:val="-5"/>
                <w:position w:val="-6"/>
                <w:sz w:val="20"/>
              </w:rPr>
              <w:t>5</w:t>
            </w:r>
            <w:r>
              <w:rPr>
                <w:spacing w:val="-5"/>
                <w:sz w:val="13"/>
              </w:rPr>
              <w:t>8</w:t>
            </w:r>
          </w:p>
        </w:tc>
        <w:tc>
          <w:tcPr>
            <w:tcW w:w="3536" w:type="dxa"/>
          </w:tcPr>
          <w:p>
            <w:pPr>
              <w:pStyle w:val="TableParagraph"/>
              <w:spacing w:line="216" w:lineRule="exact" w:before="18"/>
              <w:ind w:left="105"/>
              <w:rPr>
                <w:sz w:val="20"/>
              </w:rPr>
            </w:pPr>
            <w:r>
              <w:rPr>
                <w:spacing w:val="-2"/>
                <w:sz w:val="20"/>
              </w:rPr>
              <w:t>Ривароксабан</w:t>
            </w:r>
          </w:p>
        </w:tc>
        <w:tc>
          <w:tcPr>
            <w:tcW w:w="9640" w:type="dxa"/>
          </w:tcPr>
          <w:p>
            <w:pPr>
              <w:pStyle w:val="TableParagraph"/>
              <w:spacing w:line="216" w:lineRule="exact" w:before="18"/>
              <w:ind w:left="99"/>
              <w:rPr>
                <w:sz w:val="20"/>
              </w:rPr>
            </w:pPr>
            <w:r>
              <w:rPr>
                <w:sz w:val="20"/>
              </w:rPr>
              <w:t>10</w:t>
            </w:r>
            <w:r>
              <w:rPr>
                <w:spacing w:val="-2"/>
                <w:sz w:val="20"/>
              </w:rPr>
              <w:t> </w:t>
            </w:r>
            <w:r>
              <w:rPr>
                <w:sz w:val="20"/>
              </w:rPr>
              <w:t>мг</w:t>
            </w:r>
            <w:r>
              <w:rPr>
                <w:spacing w:val="-4"/>
                <w:sz w:val="20"/>
              </w:rPr>
              <w:t> </w:t>
            </w:r>
            <w:r>
              <w:rPr>
                <w:sz w:val="20"/>
              </w:rPr>
              <w:t>1</w:t>
            </w:r>
            <w:r>
              <w:rPr>
                <w:spacing w:val="-3"/>
                <w:sz w:val="20"/>
              </w:rPr>
              <w:t> </w:t>
            </w:r>
            <w:r>
              <w:rPr>
                <w:sz w:val="20"/>
              </w:rPr>
              <w:t>р/сут</w:t>
            </w:r>
            <w:r>
              <w:rPr>
                <w:spacing w:val="-2"/>
                <w:sz w:val="20"/>
              </w:rPr>
              <w:t> </w:t>
            </w:r>
            <w:r>
              <w:rPr>
                <w:sz w:val="20"/>
              </w:rPr>
              <w:t>вплоть</w:t>
            </w:r>
            <w:r>
              <w:rPr>
                <w:spacing w:val="-2"/>
                <w:sz w:val="20"/>
              </w:rPr>
              <w:t> </w:t>
            </w:r>
            <w:r>
              <w:rPr>
                <w:sz w:val="20"/>
              </w:rPr>
              <w:t>до</w:t>
            </w:r>
            <w:r>
              <w:rPr>
                <w:spacing w:val="-3"/>
                <w:sz w:val="20"/>
              </w:rPr>
              <w:t> </w:t>
            </w:r>
            <w:r>
              <w:rPr>
                <w:sz w:val="20"/>
              </w:rPr>
              <w:t>30</w:t>
            </w:r>
            <w:r>
              <w:rPr>
                <w:spacing w:val="-2"/>
                <w:sz w:val="20"/>
              </w:rPr>
              <w:t> </w:t>
            </w:r>
            <w:r>
              <w:rPr>
                <w:spacing w:val="-4"/>
                <w:sz w:val="20"/>
              </w:rPr>
              <w:t>дней</w:t>
            </w:r>
          </w:p>
        </w:tc>
      </w:tr>
      <w:tr>
        <w:trPr>
          <w:trHeight w:val="256"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13176" w:type="dxa"/>
            <w:gridSpan w:val="2"/>
          </w:tcPr>
          <w:p>
            <w:pPr>
              <w:pStyle w:val="TableParagraph"/>
              <w:spacing w:line="219" w:lineRule="exact" w:before="18"/>
              <w:ind w:left="105"/>
              <w:rPr>
                <w:sz w:val="20"/>
              </w:rPr>
            </w:pPr>
            <w:r>
              <w:rPr>
                <w:spacing w:val="-5"/>
                <w:sz w:val="20"/>
              </w:rPr>
              <w:t>или</w:t>
            </w:r>
          </w:p>
        </w:tc>
      </w:tr>
      <w:tr>
        <w:trPr>
          <w:trHeight w:val="253"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line="216" w:lineRule="exact" w:before="17"/>
              <w:ind w:left="105"/>
              <w:rPr>
                <w:sz w:val="20"/>
              </w:rPr>
            </w:pPr>
            <w:r>
              <w:rPr>
                <w:spacing w:val="-2"/>
                <w:sz w:val="20"/>
              </w:rPr>
              <w:t>Апиксабан</w:t>
            </w:r>
          </w:p>
        </w:tc>
        <w:tc>
          <w:tcPr>
            <w:tcW w:w="9640" w:type="dxa"/>
          </w:tcPr>
          <w:p>
            <w:pPr>
              <w:pStyle w:val="TableParagraph"/>
              <w:spacing w:line="216" w:lineRule="exact" w:before="17"/>
              <w:ind w:left="99"/>
              <w:rPr>
                <w:sz w:val="20"/>
              </w:rPr>
            </w:pPr>
            <w:r>
              <w:rPr>
                <w:sz w:val="20"/>
              </w:rPr>
              <w:t>2,5</w:t>
            </w:r>
            <w:r>
              <w:rPr>
                <w:spacing w:val="-2"/>
                <w:sz w:val="20"/>
              </w:rPr>
              <w:t> </w:t>
            </w:r>
            <w:r>
              <w:rPr>
                <w:sz w:val="20"/>
              </w:rPr>
              <w:t>мг</w:t>
            </w:r>
            <w:r>
              <w:rPr>
                <w:spacing w:val="-6"/>
                <w:sz w:val="20"/>
              </w:rPr>
              <w:t> </w:t>
            </w:r>
            <w:r>
              <w:rPr>
                <w:sz w:val="20"/>
              </w:rPr>
              <w:t>2</w:t>
            </w:r>
            <w:r>
              <w:rPr>
                <w:spacing w:val="-1"/>
                <w:sz w:val="20"/>
              </w:rPr>
              <w:t> </w:t>
            </w:r>
            <w:r>
              <w:rPr>
                <w:sz w:val="20"/>
              </w:rPr>
              <w:t>р/сут</w:t>
            </w:r>
            <w:r>
              <w:rPr>
                <w:spacing w:val="-4"/>
                <w:sz w:val="20"/>
              </w:rPr>
              <w:t> </w:t>
            </w:r>
            <w:r>
              <w:rPr>
                <w:sz w:val="20"/>
              </w:rPr>
              <w:t>вплоть</w:t>
            </w:r>
            <w:r>
              <w:rPr>
                <w:spacing w:val="-3"/>
                <w:sz w:val="20"/>
              </w:rPr>
              <w:t> </w:t>
            </w:r>
            <w:r>
              <w:rPr>
                <w:sz w:val="20"/>
              </w:rPr>
              <w:t>до</w:t>
            </w:r>
            <w:r>
              <w:rPr>
                <w:spacing w:val="-2"/>
                <w:sz w:val="20"/>
              </w:rPr>
              <w:t> </w:t>
            </w:r>
            <w:r>
              <w:rPr>
                <w:sz w:val="20"/>
              </w:rPr>
              <w:t>30</w:t>
            </w:r>
            <w:r>
              <w:rPr>
                <w:spacing w:val="-2"/>
                <w:sz w:val="20"/>
              </w:rPr>
              <w:t> </w:t>
            </w:r>
            <w:r>
              <w:rPr>
                <w:spacing w:val="-4"/>
                <w:sz w:val="20"/>
              </w:rPr>
              <w:t>дней</w:t>
            </w:r>
          </w:p>
        </w:tc>
      </w:tr>
      <w:tr>
        <w:trPr>
          <w:trHeight w:val="254"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13176" w:type="dxa"/>
            <w:gridSpan w:val="2"/>
          </w:tcPr>
          <w:p>
            <w:pPr>
              <w:pStyle w:val="TableParagraph"/>
              <w:spacing w:line="217" w:lineRule="exact" w:before="17"/>
              <w:ind w:left="105"/>
              <w:rPr>
                <w:sz w:val="20"/>
              </w:rPr>
            </w:pPr>
            <w:r>
              <w:rPr>
                <w:spacing w:val="-5"/>
                <w:sz w:val="20"/>
              </w:rPr>
              <w:t>или</w:t>
            </w:r>
          </w:p>
        </w:tc>
      </w:tr>
      <w:tr>
        <w:trPr>
          <w:trHeight w:val="46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before="92"/>
              <w:ind w:left="105"/>
              <w:rPr>
                <w:b/>
                <w:position w:val="8"/>
                <w:sz w:val="16"/>
              </w:rPr>
            </w:pPr>
            <w:r>
              <w:rPr>
                <w:sz w:val="20"/>
              </w:rPr>
              <w:t>Дабигатрана</w:t>
            </w:r>
            <w:r>
              <w:rPr>
                <w:spacing w:val="-12"/>
                <w:sz w:val="20"/>
              </w:rPr>
              <w:t> </w:t>
            </w:r>
            <w:r>
              <w:rPr>
                <w:sz w:val="20"/>
              </w:rPr>
              <w:t>этексилат</w:t>
            </w:r>
            <w:r>
              <w:rPr>
                <w:spacing w:val="-12"/>
                <w:sz w:val="20"/>
              </w:rPr>
              <w:t> </w:t>
            </w:r>
            <w:r>
              <w:rPr>
                <w:b/>
                <w:spacing w:val="-10"/>
                <w:position w:val="8"/>
                <w:sz w:val="16"/>
              </w:rPr>
              <w:t>6</w:t>
            </w:r>
          </w:p>
        </w:tc>
        <w:tc>
          <w:tcPr>
            <w:tcW w:w="9640" w:type="dxa"/>
          </w:tcPr>
          <w:p>
            <w:pPr>
              <w:pStyle w:val="TableParagraph"/>
              <w:spacing w:before="5"/>
              <w:ind w:left="99"/>
              <w:rPr>
                <w:sz w:val="20"/>
              </w:rPr>
            </w:pPr>
            <w:r>
              <w:rPr>
                <w:sz w:val="20"/>
              </w:rPr>
              <w:t>110</w:t>
            </w:r>
            <w:r>
              <w:rPr>
                <w:spacing w:val="-1"/>
                <w:sz w:val="20"/>
              </w:rPr>
              <w:t> </w:t>
            </w:r>
            <w:r>
              <w:rPr>
                <w:sz w:val="20"/>
              </w:rPr>
              <w:t>мг</w:t>
            </w:r>
            <w:r>
              <w:rPr>
                <w:spacing w:val="-4"/>
                <w:sz w:val="20"/>
              </w:rPr>
              <w:t> </w:t>
            </w:r>
            <w:r>
              <w:rPr>
                <w:sz w:val="20"/>
              </w:rPr>
              <w:t>2 </w:t>
            </w:r>
            <w:r>
              <w:rPr>
                <w:spacing w:val="-2"/>
                <w:sz w:val="20"/>
              </w:rPr>
              <w:t>раза/сут;</w:t>
            </w:r>
          </w:p>
          <w:p>
            <w:pPr>
              <w:pStyle w:val="TableParagraph"/>
              <w:spacing w:line="205" w:lineRule="exact"/>
              <w:ind w:left="99"/>
              <w:rPr>
                <w:sz w:val="20"/>
              </w:rPr>
            </w:pPr>
            <w:r>
              <w:rPr>
                <w:sz w:val="20"/>
              </w:rPr>
              <w:t>75</w:t>
            </w:r>
            <w:r>
              <w:rPr>
                <w:spacing w:val="-4"/>
                <w:sz w:val="20"/>
              </w:rPr>
              <w:t> </w:t>
            </w:r>
            <w:r>
              <w:rPr>
                <w:sz w:val="20"/>
              </w:rPr>
              <w:t>мг</w:t>
            </w:r>
            <w:r>
              <w:rPr>
                <w:spacing w:val="-5"/>
                <w:sz w:val="20"/>
              </w:rPr>
              <w:t> </w:t>
            </w:r>
            <w:r>
              <w:rPr>
                <w:sz w:val="20"/>
              </w:rPr>
              <w:t>2</w:t>
            </w:r>
            <w:r>
              <w:rPr>
                <w:spacing w:val="-5"/>
                <w:sz w:val="20"/>
              </w:rPr>
              <w:t> </w:t>
            </w:r>
            <w:r>
              <w:rPr>
                <w:sz w:val="20"/>
              </w:rPr>
              <w:t>раза/сут</w:t>
            </w:r>
            <w:r>
              <w:rPr>
                <w:spacing w:val="-5"/>
                <w:sz w:val="20"/>
              </w:rPr>
              <w:t> </w:t>
            </w:r>
            <w:r>
              <w:rPr>
                <w:sz w:val="20"/>
              </w:rPr>
              <w:t>у</w:t>
            </w:r>
            <w:r>
              <w:rPr>
                <w:spacing w:val="-4"/>
                <w:sz w:val="20"/>
              </w:rPr>
              <w:t> </w:t>
            </w:r>
            <w:r>
              <w:rPr>
                <w:sz w:val="20"/>
              </w:rPr>
              <w:t>больных</w:t>
            </w:r>
            <w:r>
              <w:rPr>
                <w:spacing w:val="-3"/>
                <w:sz w:val="20"/>
              </w:rPr>
              <w:t> </w:t>
            </w:r>
            <w:r>
              <w:rPr>
                <w:sz w:val="20"/>
              </w:rPr>
              <w:t>с</w:t>
            </w:r>
            <w:r>
              <w:rPr>
                <w:spacing w:val="-6"/>
                <w:sz w:val="20"/>
              </w:rPr>
              <w:t> </w:t>
            </w:r>
            <w:r>
              <w:rPr>
                <w:sz w:val="20"/>
              </w:rPr>
              <w:t>клиренсом</w:t>
            </w:r>
            <w:r>
              <w:rPr>
                <w:spacing w:val="-3"/>
                <w:sz w:val="20"/>
              </w:rPr>
              <w:t> </w:t>
            </w:r>
            <w:r>
              <w:rPr>
                <w:sz w:val="20"/>
              </w:rPr>
              <w:t>креатинина</w:t>
            </w:r>
            <w:r>
              <w:rPr>
                <w:spacing w:val="-5"/>
                <w:sz w:val="20"/>
              </w:rPr>
              <w:t> </w:t>
            </w:r>
            <w:r>
              <w:rPr>
                <w:sz w:val="20"/>
              </w:rPr>
              <w:t>30-49</w:t>
            </w:r>
            <w:r>
              <w:rPr>
                <w:spacing w:val="-3"/>
                <w:sz w:val="20"/>
              </w:rPr>
              <w:t> </w:t>
            </w:r>
            <w:r>
              <w:rPr>
                <w:sz w:val="20"/>
              </w:rPr>
              <w:t>мл/мин</w:t>
            </w:r>
            <w:r>
              <w:rPr>
                <w:spacing w:val="-4"/>
                <w:sz w:val="20"/>
              </w:rPr>
              <w:t> </w:t>
            </w:r>
            <w:r>
              <w:rPr>
                <w:sz w:val="20"/>
              </w:rPr>
              <w:t>вплоть</w:t>
            </w:r>
            <w:r>
              <w:rPr>
                <w:spacing w:val="-3"/>
                <w:sz w:val="20"/>
              </w:rPr>
              <w:t> </w:t>
            </w:r>
            <w:r>
              <w:rPr>
                <w:sz w:val="20"/>
              </w:rPr>
              <w:t>до</w:t>
            </w:r>
            <w:r>
              <w:rPr>
                <w:spacing w:val="-4"/>
                <w:sz w:val="20"/>
              </w:rPr>
              <w:t> </w:t>
            </w:r>
            <w:r>
              <w:rPr>
                <w:sz w:val="20"/>
              </w:rPr>
              <w:t>30</w:t>
            </w:r>
            <w:r>
              <w:rPr>
                <w:spacing w:val="-3"/>
                <w:sz w:val="20"/>
              </w:rPr>
              <w:t> </w:t>
            </w:r>
            <w:r>
              <w:rPr>
                <w:spacing w:val="-4"/>
                <w:sz w:val="20"/>
              </w:rPr>
              <w:t>дней</w:t>
            </w:r>
          </w:p>
        </w:tc>
      </w:tr>
      <w:tr>
        <w:trPr>
          <w:trHeight w:val="23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line="205" w:lineRule="exact" w:before="4"/>
              <w:ind w:left="105"/>
              <w:rPr>
                <w:sz w:val="20"/>
              </w:rPr>
            </w:pPr>
            <w:r>
              <w:rPr>
                <w:spacing w:val="-5"/>
                <w:sz w:val="20"/>
              </w:rPr>
              <w:t>или</w:t>
            </w:r>
          </w:p>
        </w:tc>
        <w:tc>
          <w:tcPr>
            <w:tcW w:w="9640" w:type="dxa"/>
          </w:tcPr>
          <w:p>
            <w:pPr>
              <w:pStyle w:val="TableParagraph"/>
              <w:rPr>
                <w:sz w:val="16"/>
              </w:rPr>
            </w:pPr>
          </w:p>
        </w:tc>
      </w:tr>
      <w:tr>
        <w:trPr>
          <w:trHeight w:val="921"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before="4"/>
              <w:ind w:left="105" w:right="114"/>
              <w:rPr>
                <w:sz w:val="20"/>
              </w:rPr>
            </w:pPr>
            <w:r>
              <w:rPr>
                <w:sz w:val="20"/>
              </w:rPr>
              <w:t>Тедиксабан</w:t>
            </w:r>
            <w:r>
              <w:rPr>
                <w:spacing w:val="-13"/>
                <w:sz w:val="20"/>
              </w:rPr>
              <w:t> </w:t>
            </w:r>
            <w:r>
              <w:rPr>
                <w:sz w:val="20"/>
              </w:rPr>
              <w:t>(N-(5-Хлорпиридин-2-ил)- </w:t>
            </w:r>
            <w:r>
              <w:rPr>
                <w:spacing w:val="-2"/>
                <w:sz w:val="20"/>
              </w:rPr>
              <w:t>5-метил-2-(4-(N- метилацетимидамидо)бензамидо)бенз</w:t>
            </w:r>
          </w:p>
          <w:p>
            <w:pPr>
              <w:pStyle w:val="TableParagraph"/>
              <w:spacing w:line="206" w:lineRule="exact" w:before="1"/>
              <w:ind w:left="105"/>
              <w:rPr>
                <w:sz w:val="20"/>
              </w:rPr>
            </w:pPr>
            <w:r>
              <w:rPr>
                <w:sz w:val="20"/>
              </w:rPr>
              <w:t>амида</w:t>
            </w:r>
            <w:r>
              <w:rPr>
                <w:spacing w:val="-8"/>
                <w:sz w:val="20"/>
              </w:rPr>
              <w:t> </w:t>
            </w:r>
            <w:r>
              <w:rPr>
                <w:spacing w:val="-2"/>
                <w:sz w:val="20"/>
              </w:rPr>
              <w:t>гидрохлорид)</w:t>
            </w:r>
          </w:p>
        </w:tc>
        <w:tc>
          <w:tcPr>
            <w:tcW w:w="9640" w:type="dxa"/>
          </w:tcPr>
          <w:p>
            <w:pPr>
              <w:pStyle w:val="TableParagraph"/>
              <w:spacing w:before="119"/>
              <w:rPr>
                <w:sz w:val="20"/>
              </w:rPr>
            </w:pPr>
          </w:p>
          <w:p>
            <w:pPr>
              <w:pStyle w:val="TableParagraph"/>
              <w:ind w:left="99"/>
              <w:rPr>
                <w:sz w:val="20"/>
              </w:rPr>
            </w:pPr>
            <w:r>
              <w:rPr>
                <w:sz w:val="20"/>
              </w:rPr>
              <w:t>60</w:t>
            </w:r>
            <w:r>
              <w:rPr>
                <w:spacing w:val="-2"/>
                <w:sz w:val="20"/>
              </w:rPr>
              <w:t> </w:t>
            </w:r>
            <w:r>
              <w:rPr>
                <w:sz w:val="20"/>
              </w:rPr>
              <w:t>мг</w:t>
            </w:r>
            <w:r>
              <w:rPr>
                <w:spacing w:val="-3"/>
                <w:sz w:val="20"/>
              </w:rPr>
              <w:t> </w:t>
            </w:r>
            <w:r>
              <w:rPr>
                <w:sz w:val="20"/>
              </w:rPr>
              <w:t>1</w:t>
            </w:r>
            <w:r>
              <w:rPr>
                <w:spacing w:val="-4"/>
                <w:sz w:val="20"/>
              </w:rPr>
              <w:t> </w:t>
            </w:r>
            <w:r>
              <w:rPr>
                <w:sz w:val="20"/>
              </w:rPr>
              <w:t>раз</w:t>
            </w:r>
            <w:r>
              <w:rPr>
                <w:spacing w:val="-2"/>
                <w:sz w:val="20"/>
              </w:rPr>
              <w:t> </w:t>
            </w:r>
            <w:r>
              <w:rPr>
                <w:sz w:val="20"/>
              </w:rPr>
              <w:t>в</w:t>
            </w:r>
            <w:r>
              <w:rPr>
                <w:spacing w:val="-3"/>
                <w:sz w:val="20"/>
              </w:rPr>
              <w:t> </w:t>
            </w:r>
            <w:r>
              <w:rPr>
                <w:sz w:val="20"/>
              </w:rPr>
              <w:t>сутки</w:t>
            </w:r>
            <w:r>
              <w:rPr>
                <w:spacing w:val="-4"/>
                <w:sz w:val="20"/>
              </w:rPr>
              <w:t> </w:t>
            </w:r>
            <w:r>
              <w:rPr>
                <w:sz w:val="20"/>
              </w:rPr>
              <w:t>вплоть</w:t>
            </w:r>
            <w:r>
              <w:rPr>
                <w:spacing w:val="-2"/>
                <w:sz w:val="20"/>
              </w:rPr>
              <w:t> </w:t>
            </w:r>
            <w:r>
              <w:rPr>
                <w:sz w:val="20"/>
              </w:rPr>
              <w:t>до</w:t>
            </w:r>
            <w:r>
              <w:rPr>
                <w:spacing w:val="-1"/>
                <w:sz w:val="20"/>
              </w:rPr>
              <w:t> </w:t>
            </w:r>
            <w:r>
              <w:rPr>
                <w:sz w:val="20"/>
              </w:rPr>
              <w:t>30</w:t>
            </w:r>
            <w:r>
              <w:rPr>
                <w:spacing w:val="-2"/>
                <w:sz w:val="20"/>
              </w:rPr>
              <w:t> </w:t>
            </w:r>
            <w:r>
              <w:rPr>
                <w:spacing w:val="-4"/>
                <w:sz w:val="20"/>
              </w:rPr>
              <w:t>дней</w:t>
            </w:r>
          </w:p>
        </w:tc>
      </w:tr>
      <w:tr>
        <w:trPr>
          <w:trHeight w:val="275" w:hRule="atLeast"/>
        </w:trPr>
        <w:tc>
          <w:tcPr>
            <w:tcW w:w="845" w:type="dxa"/>
            <w:vMerge w:val="restart"/>
          </w:tcPr>
          <w:p>
            <w:pPr>
              <w:pStyle w:val="TableParagraph"/>
              <w:rPr>
                <w:sz w:val="20"/>
              </w:rPr>
            </w:pPr>
          </w:p>
          <w:p>
            <w:pPr>
              <w:pStyle w:val="TableParagraph"/>
              <w:rPr>
                <w:sz w:val="20"/>
              </w:rPr>
            </w:pPr>
          </w:p>
          <w:p>
            <w:pPr>
              <w:pStyle w:val="TableParagraph"/>
              <w:spacing w:before="54"/>
              <w:rPr>
                <w:sz w:val="20"/>
              </w:rPr>
            </w:pPr>
          </w:p>
          <w:p>
            <w:pPr>
              <w:pStyle w:val="TableParagraph"/>
              <w:ind w:left="106" w:right="149"/>
              <w:rPr>
                <w:b/>
                <w:sz w:val="20"/>
              </w:rPr>
            </w:pPr>
            <w:r>
              <w:rPr>
                <w:b/>
                <w:spacing w:val="-2"/>
                <w:sz w:val="20"/>
              </w:rPr>
              <w:t>Схема </w:t>
            </w:r>
            <w:r>
              <w:rPr>
                <w:b/>
                <w:spacing w:val="-10"/>
                <w:sz w:val="20"/>
              </w:rPr>
              <w:t>2</w:t>
            </w:r>
          </w:p>
        </w:tc>
        <w:tc>
          <w:tcPr>
            <w:tcW w:w="708" w:type="dxa"/>
          </w:tcPr>
          <w:p>
            <w:pPr>
              <w:pStyle w:val="TableParagraph"/>
              <w:spacing w:before="25"/>
              <w:ind w:left="2"/>
              <w:jc w:val="center"/>
              <w:rPr>
                <w:sz w:val="20"/>
              </w:rPr>
            </w:pPr>
            <w:r>
              <w:rPr>
                <w:spacing w:val="-10"/>
                <w:sz w:val="20"/>
              </w:rPr>
              <w:t>1</w:t>
            </w:r>
          </w:p>
        </w:tc>
        <w:tc>
          <w:tcPr>
            <w:tcW w:w="3536" w:type="dxa"/>
          </w:tcPr>
          <w:p>
            <w:pPr>
              <w:pStyle w:val="TableParagraph"/>
              <w:spacing w:line="256" w:lineRule="exact"/>
              <w:ind w:left="105"/>
              <w:rPr>
                <w:b/>
                <w:position w:val="8"/>
                <w:sz w:val="16"/>
              </w:rPr>
            </w:pPr>
            <w:r>
              <w:rPr>
                <w:spacing w:val="-2"/>
                <w:sz w:val="20"/>
              </w:rPr>
              <w:t>Молнупиравир</w:t>
            </w:r>
            <w:r>
              <w:rPr>
                <w:spacing w:val="8"/>
                <w:sz w:val="20"/>
              </w:rPr>
              <w:t> </w:t>
            </w:r>
            <w:r>
              <w:rPr>
                <w:b/>
                <w:spacing w:val="-10"/>
                <w:position w:val="8"/>
                <w:sz w:val="16"/>
              </w:rPr>
              <w:t>7</w:t>
            </w:r>
          </w:p>
        </w:tc>
        <w:tc>
          <w:tcPr>
            <w:tcW w:w="9640" w:type="dxa"/>
          </w:tcPr>
          <w:p>
            <w:pPr>
              <w:pStyle w:val="TableParagraph"/>
              <w:spacing w:before="25"/>
              <w:ind w:left="99"/>
              <w:rPr>
                <w:sz w:val="20"/>
              </w:rPr>
            </w:pPr>
            <w:r>
              <w:rPr>
                <w:sz w:val="20"/>
              </w:rPr>
              <w:t>800</w:t>
            </w:r>
            <w:r>
              <w:rPr>
                <w:spacing w:val="-4"/>
                <w:sz w:val="20"/>
              </w:rPr>
              <w:t> </w:t>
            </w:r>
            <w:r>
              <w:rPr>
                <w:sz w:val="20"/>
              </w:rPr>
              <w:t>мг</w:t>
            </w:r>
            <w:r>
              <w:rPr>
                <w:spacing w:val="-7"/>
                <w:sz w:val="20"/>
              </w:rPr>
              <w:t> </w:t>
            </w:r>
            <w:r>
              <w:rPr>
                <w:sz w:val="20"/>
              </w:rPr>
              <w:t>(4</w:t>
            </w:r>
            <w:r>
              <w:rPr>
                <w:spacing w:val="-3"/>
                <w:sz w:val="20"/>
              </w:rPr>
              <w:t> </w:t>
            </w:r>
            <w:r>
              <w:rPr>
                <w:sz w:val="20"/>
              </w:rPr>
              <w:t>капсулы</w:t>
            </w:r>
            <w:r>
              <w:rPr>
                <w:spacing w:val="-4"/>
                <w:sz w:val="20"/>
              </w:rPr>
              <w:t> </w:t>
            </w:r>
            <w:r>
              <w:rPr>
                <w:sz w:val="20"/>
              </w:rPr>
              <w:t>по</w:t>
            </w:r>
            <w:r>
              <w:rPr>
                <w:spacing w:val="-3"/>
                <w:sz w:val="20"/>
              </w:rPr>
              <w:t> </w:t>
            </w:r>
            <w:r>
              <w:rPr>
                <w:sz w:val="20"/>
              </w:rPr>
              <w:t>200</w:t>
            </w:r>
            <w:r>
              <w:rPr>
                <w:spacing w:val="-4"/>
                <w:sz w:val="20"/>
              </w:rPr>
              <w:t> </w:t>
            </w:r>
            <w:r>
              <w:rPr>
                <w:sz w:val="20"/>
              </w:rPr>
              <w:t>мг)</w:t>
            </w:r>
            <w:r>
              <w:rPr>
                <w:spacing w:val="-4"/>
                <w:sz w:val="20"/>
              </w:rPr>
              <w:t> </w:t>
            </w:r>
            <w:r>
              <w:rPr>
                <w:sz w:val="20"/>
              </w:rPr>
              <w:t>перорально</w:t>
            </w:r>
            <w:r>
              <w:rPr>
                <w:spacing w:val="-3"/>
                <w:sz w:val="20"/>
              </w:rPr>
              <w:t> </w:t>
            </w:r>
            <w:r>
              <w:rPr>
                <w:sz w:val="20"/>
              </w:rPr>
              <w:t>каждые</w:t>
            </w:r>
            <w:r>
              <w:rPr>
                <w:spacing w:val="-4"/>
                <w:sz w:val="20"/>
              </w:rPr>
              <w:t> </w:t>
            </w:r>
            <w:r>
              <w:rPr>
                <w:sz w:val="20"/>
              </w:rPr>
              <w:t>12</w:t>
            </w:r>
            <w:r>
              <w:rPr>
                <w:spacing w:val="-3"/>
                <w:sz w:val="20"/>
              </w:rPr>
              <w:t> </w:t>
            </w:r>
            <w:r>
              <w:rPr>
                <w:sz w:val="20"/>
              </w:rPr>
              <w:t>часов,</w:t>
            </w:r>
            <w:r>
              <w:rPr>
                <w:spacing w:val="-5"/>
                <w:sz w:val="20"/>
              </w:rPr>
              <w:t> </w:t>
            </w:r>
            <w:r>
              <w:rPr>
                <w:sz w:val="20"/>
              </w:rPr>
              <w:t>курс</w:t>
            </w:r>
            <w:r>
              <w:rPr>
                <w:spacing w:val="-4"/>
                <w:sz w:val="20"/>
              </w:rPr>
              <w:t> </w:t>
            </w:r>
            <w:r>
              <w:rPr>
                <w:sz w:val="20"/>
              </w:rPr>
              <w:t>не</w:t>
            </w:r>
            <w:r>
              <w:rPr>
                <w:spacing w:val="-4"/>
                <w:sz w:val="20"/>
              </w:rPr>
              <w:t> </w:t>
            </w:r>
            <w:r>
              <w:rPr>
                <w:sz w:val="20"/>
              </w:rPr>
              <w:t>более</w:t>
            </w:r>
            <w:r>
              <w:rPr>
                <w:spacing w:val="-4"/>
                <w:sz w:val="20"/>
              </w:rPr>
              <w:t> </w:t>
            </w:r>
            <w:r>
              <w:rPr>
                <w:sz w:val="20"/>
              </w:rPr>
              <w:t>5</w:t>
            </w:r>
            <w:r>
              <w:rPr>
                <w:spacing w:val="-3"/>
                <w:sz w:val="20"/>
              </w:rPr>
              <w:t> </w:t>
            </w:r>
            <w:r>
              <w:rPr>
                <w:spacing w:val="-4"/>
                <w:sz w:val="20"/>
              </w:rPr>
              <w:t>дней</w:t>
            </w:r>
          </w:p>
        </w:tc>
      </w:tr>
      <w:tr>
        <w:trPr>
          <w:trHeight w:val="558" w:hRule="atLeast"/>
        </w:trPr>
        <w:tc>
          <w:tcPr>
            <w:tcW w:w="845" w:type="dxa"/>
            <w:vMerge/>
            <w:tcBorders>
              <w:top w:val="nil"/>
            </w:tcBorders>
          </w:tcPr>
          <w:p>
            <w:pPr>
              <w:rPr>
                <w:sz w:val="2"/>
                <w:szCs w:val="2"/>
              </w:rPr>
            </w:pPr>
          </w:p>
        </w:tc>
        <w:tc>
          <w:tcPr>
            <w:tcW w:w="708" w:type="dxa"/>
          </w:tcPr>
          <w:p>
            <w:pPr>
              <w:pStyle w:val="TableParagraph"/>
              <w:spacing w:before="166"/>
              <w:ind w:left="2"/>
              <w:jc w:val="center"/>
              <w:rPr>
                <w:sz w:val="20"/>
              </w:rPr>
            </w:pPr>
            <w:r>
              <w:rPr>
                <w:spacing w:val="-10"/>
                <w:sz w:val="20"/>
              </w:rPr>
              <w:t>2</w:t>
            </w:r>
          </w:p>
        </w:tc>
        <w:tc>
          <w:tcPr>
            <w:tcW w:w="3536" w:type="dxa"/>
          </w:tcPr>
          <w:p>
            <w:pPr>
              <w:pStyle w:val="TableParagraph"/>
              <w:spacing w:before="138"/>
              <w:ind w:left="105"/>
              <w:rPr>
                <w:b/>
                <w:position w:val="8"/>
                <w:sz w:val="16"/>
              </w:rPr>
            </w:pPr>
            <w:r>
              <w:rPr>
                <w:sz w:val="20"/>
              </w:rPr>
              <w:t>ИФН-α,</w:t>
            </w:r>
            <w:r>
              <w:rPr>
                <w:spacing w:val="-9"/>
                <w:sz w:val="20"/>
              </w:rPr>
              <w:t> </w:t>
            </w:r>
            <w:r>
              <w:rPr>
                <w:sz w:val="20"/>
              </w:rPr>
              <w:t>интраназальные</w:t>
            </w:r>
            <w:r>
              <w:rPr>
                <w:spacing w:val="-9"/>
                <w:sz w:val="20"/>
              </w:rPr>
              <w:t> </w:t>
            </w:r>
            <w:r>
              <w:rPr>
                <w:sz w:val="20"/>
              </w:rPr>
              <w:t>формы</w:t>
            </w:r>
            <w:r>
              <w:rPr>
                <w:spacing w:val="-7"/>
                <w:sz w:val="20"/>
              </w:rPr>
              <w:t> </w:t>
            </w:r>
            <w:r>
              <w:rPr>
                <w:b/>
                <w:spacing w:val="-10"/>
                <w:position w:val="8"/>
                <w:sz w:val="16"/>
              </w:rPr>
              <w:t>5</w:t>
            </w:r>
          </w:p>
        </w:tc>
        <w:tc>
          <w:tcPr>
            <w:tcW w:w="9640" w:type="dxa"/>
          </w:tcPr>
          <w:p>
            <w:pPr>
              <w:pStyle w:val="TableParagraph"/>
              <w:spacing w:line="237" w:lineRule="auto" w:before="55"/>
              <w:ind w:left="99"/>
              <w:rPr>
                <w:sz w:val="20"/>
              </w:rPr>
            </w:pPr>
            <w:r>
              <w:rPr>
                <w:sz w:val="20"/>
              </w:rPr>
              <w:t>В</w:t>
            </w:r>
            <w:r>
              <w:rPr>
                <w:spacing w:val="-6"/>
                <w:sz w:val="20"/>
              </w:rPr>
              <w:t> </w:t>
            </w:r>
            <w:r>
              <w:rPr>
                <w:sz w:val="20"/>
              </w:rPr>
              <w:t>соответствии</w:t>
            </w:r>
            <w:r>
              <w:rPr>
                <w:spacing w:val="-6"/>
                <w:sz w:val="20"/>
              </w:rPr>
              <w:t> </w:t>
            </w:r>
            <w:r>
              <w:rPr>
                <w:sz w:val="20"/>
              </w:rPr>
              <w:t>с</w:t>
            </w:r>
            <w:r>
              <w:rPr>
                <w:spacing w:val="-5"/>
                <w:sz w:val="20"/>
              </w:rPr>
              <w:t> </w:t>
            </w:r>
            <w:r>
              <w:rPr>
                <w:sz w:val="20"/>
              </w:rPr>
              <w:t>инструкцией</w:t>
            </w:r>
            <w:r>
              <w:rPr>
                <w:spacing w:val="-6"/>
                <w:sz w:val="20"/>
              </w:rPr>
              <w:t> </w:t>
            </w:r>
            <w:r>
              <w:rPr>
                <w:sz w:val="20"/>
              </w:rPr>
              <w:t>по</w:t>
            </w:r>
            <w:r>
              <w:rPr>
                <w:spacing w:val="-4"/>
                <w:sz w:val="20"/>
              </w:rPr>
              <w:t> </w:t>
            </w:r>
            <w:r>
              <w:rPr>
                <w:sz w:val="20"/>
              </w:rPr>
              <w:t>применению</w:t>
            </w:r>
            <w:r>
              <w:rPr>
                <w:spacing w:val="-4"/>
                <w:sz w:val="20"/>
              </w:rPr>
              <w:t> </w:t>
            </w:r>
            <w:r>
              <w:rPr>
                <w:sz w:val="20"/>
              </w:rPr>
              <w:t>препарата</w:t>
            </w:r>
            <w:r>
              <w:rPr>
                <w:spacing w:val="-5"/>
                <w:sz w:val="20"/>
              </w:rPr>
              <w:t> </w:t>
            </w:r>
            <w:r>
              <w:rPr>
                <w:sz w:val="20"/>
              </w:rPr>
              <w:t>(спрей,</w:t>
            </w:r>
            <w:r>
              <w:rPr>
                <w:spacing w:val="-5"/>
                <w:sz w:val="20"/>
              </w:rPr>
              <w:t> </w:t>
            </w:r>
            <w:r>
              <w:rPr>
                <w:sz w:val="20"/>
              </w:rPr>
              <w:t>капли,</w:t>
            </w:r>
            <w:r>
              <w:rPr>
                <w:spacing w:val="-5"/>
                <w:sz w:val="20"/>
              </w:rPr>
              <w:t> </w:t>
            </w:r>
            <w:r>
              <w:rPr>
                <w:sz w:val="20"/>
              </w:rPr>
              <w:t>раствор, </w:t>
            </w:r>
            <w:r>
              <w:rPr>
                <w:b/>
                <w:color w:val="1F487C"/>
                <w:sz w:val="20"/>
              </w:rPr>
              <w:t>л</w:t>
            </w:r>
            <w:r>
              <w:rPr>
                <w:sz w:val="20"/>
              </w:rPr>
              <w:t>иофилизат</w:t>
            </w:r>
            <w:r>
              <w:rPr>
                <w:spacing w:val="-6"/>
                <w:sz w:val="20"/>
              </w:rPr>
              <w:t> </w:t>
            </w:r>
            <w:r>
              <w:rPr>
                <w:sz w:val="20"/>
              </w:rPr>
              <w:t>для приготовления раствора, гель или мазь)</w:t>
            </w:r>
          </w:p>
        </w:tc>
      </w:tr>
      <w:tr>
        <w:trPr>
          <w:trHeight w:val="503" w:hRule="atLeast"/>
        </w:trPr>
        <w:tc>
          <w:tcPr>
            <w:tcW w:w="845" w:type="dxa"/>
            <w:vMerge/>
            <w:tcBorders>
              <w:top w:val="nil"/>
            </w:tcBorders>
          </w:tcPr>
          <w:p>
            <w:pPr>
              <w:rPr>
                <w:sz w:val="2"/>
                <w:szCs w:val="2"/>
              </w:rPr>
            </w:pPr>
          </w:p>
        </w:tc>
        <w:tc>
          <w:tcPr>
            <w:tcW w:w="708" w:type="dxa"/>
          </w:tcPr>
          <w:p>
            <w:pPr>
              <w:pStyle w:val="TableParagraph"/>
              <w:spacing w:before="139"/>
              <w:ind w:left="2"/>
              <w:jc w:val="center"/>
              <w:rPr>
                <w:sz w:val="20"/>
              </w:rPr>
            </w:pPr>
            <w:r>
              <w:rPr>
                <w:spacing w:val="-10"/>
                <w:sz w:val="20"/>
              </w:rPr>
              <w:t>3</w:t>
            </w:r>
          </w:p>
        </w:tc>
        <w:tc>
          <w:tcPr>
            <w:tcW w:w="3536" w:type="dxa"/>
          </w:tcPr>
          <w:p>
            <w:pPr>
              <w:pStyle w:val="TableParagraph"/>
              <w:spacing w:line="230" w:lineRule="atLeast" w:before="23"/>
              <w:ind w:left="105"/>
              <w:rPr>
                <w:sz w:val="20"/>
              </w:rPr>
            </w:pPr>
            <w:r>
              <w:rPr>
                <w:sz w:val="20"/>
              </w:rPr>
              <w:t>Будесонид</w:t>
            </w:r>
            <w:r>
              <w:rPr>
                <w:spacing w:val="-13"/>
                <w:sz w:val="20"/>
              </w:rPr>
              <w:t> </w:t>
            </w:r>
            <w:r>
              <w:rPr>
                <w:sz w:val="20"/>
              </w:rPr>
              <w:t>(порошок</w:t>
            </w:r>
            <w:r>
              <w:rPr>
                <w:spacing w:val="-12"/>
                <w:sz w:val="20"/>
              </w:rPr>
              <w:t> </w:t>
            </w:r>
            <w:r>
              <w:rPr>
                <w:sz w:val="20"/>
              </w:rPr>
              <w:t>для</w:t>
            </w:r>
            <w:r>
              <w:rPr>
                <w:spacing w:val="-13"/>
                <w:sz w:val="20"/>
              </w:rPr>
              <w:t> </w:t>
            </w:r>
            <w:r>
              <w:rPr>
                <w:sz w:val="20"/>
              </w:rPr>
              <w:t>ингаляций </w:t>
            </w:r>
            <w:r>
              <w:rPr>
                <w:spacing w:val="-2"/>
                <w:sz w:val="20"/>
              </w:rPr>
              <w:t>дозированный)</w:t>
            </w:r>
          </w:p>
        </w:tc>
        <w:tc>
          <w:tcPr>
            <w:tcW w:w="9640" w:type="dxa"/>
          </w:tcPr>
          <w:p>
            <w:pPr>
              <w:pStyle w:val="TableParagraph"/>
              <w:spacing w:before="139"/>
              <w:ind w:left="99"/>
              <w:rPr>
                <w:sz w:val="20"/>
              </w:rPr>
            </w:pPr>
            <w:r>
              <w:rPr>
                <w:sz w:val="20"/>
              </w:rPr>
              <w:t>По</w:t>
            </w:r>
            <w:r>
              <w:rPr>
                <w:spacing w:val="-3"/>
                <w:sz w:val="20"/>
              </w:rPr>
              <w:t> </w:t>
            </w:r>
            <w:r>
              <w:rPr>
                <w:sz w:val="20"/>
              </w:rPr>
              <w:t>800</w:t>
            </w:r>
            <w:r>
              <w:rPr>
                <w:spacing w:val="-6"/>
                <w:sz w:val="20"/>
              </w:rPr>
              <w:t> </w:t>
            </w:r>
            <w:r>
              <w:rPr>
                <w:sz w:val="20"/>
              </w:rPr>
              <w:t>мкг</w:t>
            </w:r>
            <w:r>
              <w:rPr>
                <w:spacing w:val="-5"/>
                <w:sz w:val="20"/>
              </w:rPr>
              <w:t> </w:t>
            </w:r>
            <w:r>
              <w:rPr>
                <w:sz w:val="20"/>
              </w:rPr>
              <w:t>2</w:t>
            </w:r>
            <w:r>
              <w:rPr>
                <w:spacing w:val="-2"/>
                <w:sz w:val="20"/>
              </w:rPr>
              <w:t> </w:t>
            </w:r>
            <w:r>
              <w:rPr>
                <w:sz w:val="20"/>
              </w:rPr>
              <w:t>раза</w:t>
            </w:r>
            <w:r>
              <w:rPr>
                <w:spacing w:val="-4"/>
                <w:sz w:val="20"/>
              </w:rPr>
              <w:t> </w:t>
            </w:r>
            <w:r>
              <w:rPr>
                <w:sz w:val="20"/>
              </w:rPr>
              <w:t>в</w:t>
            </w:r>
            <w:r>
              <w:rPr>
                <w:spacing w:val="-5"/>
                <w:sz w:val="20"/>
              </w:rPr>
              <w:t> </w:t>
            </w:r>
            <w:r>
              <w:rPr>
                <w:sz w:val="20"/>
              </w:rPr>
              <w:t>сутки</w:t>
            </w:r>
            <w:r>
              <w:rPr>
                <w:spacing w:val="-4"/>
                <w:sz w:val="20"/>
              </w:rPr>
              <w:t> </w:t>
            </w:r>
            <w:r>
              <w:rPr>
                <w:sz w:val="20"/>
              </w:rPr>
              <w:t>до</w:t>
            </w:r>
            <w:r>
              <w:rPr>
                <w:spacing w:val="-1"/>
                <w:sz w:val="20"/>
              </w:rPr>
              <w:t> </w:t>
            </w:r>
            <w:r>
              <w:rPr>
                <w:sz w:val="20"/>
              </w:rPr>
              <w:t>выздоровления,</w:t>
            </w:r>
            <w:r>
              <w:rPr>
                <w:spacing w:val="-4"/>
                <w:sz w:val="20"/>
              </w:rPr>
              <w:t> </w:t>
            </w:r>
            <w:r>
              <w:rPr>
                <w:sz w:val="20"/>
              </w:rPr>
              <w:t>но</w:t>
            </w:r>
            <w:r>
              <w:rPr>
                <w:spacing w:val="-3"/>
                <w:sz w:val="20"/>
              </w:rPr>
              <w:t> </w:t>
            </w:r>
            <w:r>
              <w:rPr>
                <w:sz w:val="20"/>
              </w:rPr>
              <w:t>не</w:t>
            </w:r>
            <w:r>
              <w:rPr>
                <w:spacing w:val="-2"/>
                <w:sz w:val="20"/>
              </w:rPr>
              <w:t> </w:t>
            </w:r>
            <w:r>
              <w:rPr>
                <w:sz w:val="20"/>
              </w:rPr>
              <w:t>более</w:t>
            </w:r>
            <w:r>
              <w:rPr>
                <w:spacing w:val="-1"/>
                <w:sz w:val="20"/>
              </w:rPr>
              <w:t> </w:t>
            </w:r>
            <w:r>
              <w:rPr>
                <w:sz w:val="20"/>
              </w:rPr>
              <w:t>14</w:t>
            </w:r>
            <w:r>
              <w:rPr>
                <w:spacing w:val="-3"/>
                <w:sz w:val="20"/>
              </w:rPr>
              <w:t> </w:t>
            </w:r>
            <w:r>
              <w:rPr>
                <w:spacing w:val="-2"/>
                <w:sz w:val="20"/>
              </w:rPr>
              <w:t>суток</w:t>
            </w:r>
          </w:p>
        </w:tc>
      </w:tr>
      <w:tr>
        <w:trPr>
          <w:trHeight w:val="282" w:hRule="atLeast"/>
        </w:trPr>
        <w:tc>
          <w:tcPr>
            <w:tcW w:w="845" w:type="dxa"/>
            <w:vMerge/>
            <w:tcBorders>
              <w:top w:val="nil"/>
            </w:tcBorders>
          </w:tcPr>
          <w:p>
            <w:pPr>
              <w:rPr>
                <w:sz w:val="2"/>
                <w:szCs w:val="2"/>
              </w:rPr>
            </w:pPr>
          </w:p>
        </w:tc>
        <w:tc>
          <w:tcPr>
            <w:tcW w:w="708" w:type="dxa"/>
          </w:tcPr>
          <w:p>
            <w:pPr>
              <w:pStyle w:val="TableParagraph"/>
              <w:spacing w:before="28"/>
              <w:ind w:left="2"/>
              <w:jc w:val="center"/>
              <w:rPr>
                <w:sz w:val="20"/>
              </w:rPr>
            </w:pPr>
            <w:r>
              <w:rPr>
                <w:spacing w:val="-10"/>
                <w:sz w:val="20"/>
              </w:rPr>
              <w:t>4</w:t>
            </w:r>
          </w:p>
        </w:tc>
        <w:tc>
          <w:tcPr>
            <w:tcW w:w="3536" w:type="dxa"/>
          </w:tcPr>
          <w:p>
            <w:pPr>
              <w:pStyle w:val="TableParagraph"/>
              <w:spacing w:before="28"/>
              <w:ind w:left="105"/>
              <w:rPr>
                <w:sz w:val="20"/>
              </w:rPr>
            </w:pPr>
            <w:r>
              <w:rPr>
                <w:spacing w:val="-2"/>
                <w:sz w:val="20"/>
              </w:rPr>
              <w:t>Парацетамол</w:t>
            </w:r>
          </w:p>
        </w:tc>
        <w:tc>
          <w:tcPr>
            <w:tcW w:w="9640" w:type="dxa"/>
          </w:tcPr>
          <w:p>
            <w:pPr>
              <w:pStyle w:val="TableParagraph"/>
              <w:spacing w:before="28"/>
              <w:ind w:left="99"/>
              <w:rPr>
                <w:sz w:val="20"/>
              </w:rPr>
            </w:pPr>
            <w:r>
              <w:rPr>
                <w:sz w:val="20"/>
              </w:rPr>
              <w:t>1-2</w:t>
            </w:r>
            <w:r>
              <w:rPr>
                <w:spacing w:val="-3"/>
                <w:sz w:val="20"/>
              </w:rPr>
              <w:t> </w:t>
            </w:r>
            <w:r>
              <w:rPr>
                <w:sz w:val="20"/>
              </w:rPr>
              <w:t>табл.</w:t>
            </w:r>
            <w:r>
              <w:rPr>
                <w:spacing w:val="-4"/>
                <w:sz w:val="20"/>
              </w:rPr>
              <w:t> </w:t>
            </w:r>
            <w:r>
              <w:rPr>
                <w:sz w:val="20"/>
              </w:rPr>
              <w:t>(500-1000</w:t>
            </w:r>
            <w:r>
              <w:rPr>
                <w:spacing w:val="-3"/>
                <w:sz w:val="20"/>
              </w:rPr>
              <w:t> </w:t>
            </w:r>
            <w:r>
              <w:rPr>
                <w:sz w:val="20"/>
              </w:rPr>
              <w:t>мг)</w:t>
            </w:r>
            <w:r>
              <w:rPr>
                <w:spacing w:val="-5"/>
                <w:sz w:val="20"/>
              </w:rPr>
              <w:t> </w:t>
            </w:r>
            <w:r>
              <w:rPr>
                <w:sz w:val="20"/>
              </w:rPr>
              <w:t>2-3</w:t>
            </w:r>
            <w:r>
              <w:rPr>
                <w:spacing w:val="-6"/>
                <w:sz w:val="20"/>
              </w:rPr>
              <w:t> </w:t>
            </w:r>
            <w:r>
              <w:rPr>
                <w:sz w:val="20"/>
              </w:rPr>
              <w:t>р/сут,</w:t>
            </w:r>
            <w:r>
              <w:rPr>
                <w:spacing w:val="-3"/>
                <w:sz w:val="20"/>
              </w:rPr>
              <w:t> </w:t>
            </w:r>
            <w:r>
              <w:rPr>
                <w:sz w:val="20"/>
              </w:rPr>
              <w:t>не</w:t>
            </w:r>
            <w:r>
              <w:rPr>
                <w:spacing w:val="-4"/>
                <w:sz w:val="20"/>
              </w:rPr>
              <w:t> </w:t>
            </w:r>
            <w:r>
              <w:rPr>
                <w:sz w:val="20"/>
              </w:rPr>
              <w:t>более</w:t>
            </w:r>
            <w:r>
              <w:rPr>
                <w:spacing w:val="-3"/>
                <w:sz w:val="20"/>
              </w:rPr>
              <w:t> </w:t>
            </w:r>
            <w:r>
              <w:rPr>
                <w:sz w:val="20"/>
              </w:rPr>
              <w:t>4</w:t>
            </w:r>
            <w:r>
              <w:rPr>
                <w:spacing w:val="-3"/>
                <w:sz w:val="20"/>
              </w:rPr>
              <w:t> </w:t>
            </w:r>
            <w:r>
              <w:rPr>
                <w:sz w:val="20"/>
              </w:rPr>
              <w:t>г</w:t>
            </w:r>
            <w:r>
              <w:rPr>
                <w:spacing w:val="-5"/>
                <w:sz w:val="20"/>
              </w:rPr>
              <w:t> </w:t>
            </w:r>
            <w:r>
              <w:rPr>
                <w:sz w:val="20"/>
              </w:rPr>
              <w:t>в</w:t>
            </w:r>
            <w:r>
              <w:rPr>
                <w:spacing w:val="-3"/>
                <w:sz w:val="20"/>
              </w:rPr>
              <w:t> </w:t>
            </w:r>
            <w:r>
              <w:rPr>
                <w:sz w:val="20"/>
              </w:rPr>
              <w:t>сутки</w:t>
            </w:r>
            <w:r>
              <w:rPr>
                <w:spacing w:val="-5"/>
                <w:sz w:val="20"/>
              </w:rPr>
              <w:t> </w:t>
            </w:r>
            <w:r>
              <w:rPr>
                <w:sz w:val="20"/>
              </w:rPr>
              <w:t>(при</w:t>
            </w:r>
            <w:r>
              <w:rPr>
                <w:spacing w:val="-4"/>
                <w:sz w:val="20"/>
              </w:rPr>
              <w:t> </w:t>
            </w:r>
            <w:r>
              <w:rPr>
                <w:sz w:val="20"/>
              </w:rPr>
              <w:t>температуре</w:t>
            </w:r>
            <w:r>
              <w:rPr>
                <w:spacing w:val="-4"/>
                <w:sz w:val="20"/>
              </w:rPr>
              <w:t> </w:t>
            </w:r>
            <w:r>
              <w:rPr>
                <w:sz w:val="20"/>
              </w:rPr>
              <w:t>тела</w:t>
            </w:r>
            <w:r>
              <w:rPr>
                <w:spacing w:val="-4"/>
                <w:sz w:val="20"/>
              </w:rPr>
              <w:t> </w:t>
            </w:r>
            <w:r>
              <w:rPr>
                <w:sz w:val="20"/>
              </w:rPr>
              <w:t>&gt;</w:t>
            </w:r>
            <w:r>
              <w:rPr>
                <w:spacing w:val="-3"/>
                <w:sz w:val="20"/>
              </w:rPr>
              <w:t> </w:t>
            </w:r>
            <w:r>
              <w:rPr>
                <w:sz w:val="20"/>
              </w:rPr>
              <w:t>38,0</w:t>
            </w:r>
            <w:r>
              <w:rPr>
                <w:spacing w:val="-3"/>
                <w:sz w:val="20"/>
              </w:rPr>
              <w:t> </w:t>
            </w:r>
            <w:r>
              <w:rPr>
                <w:spacing w:val="-5"/>
                <w:sz w:val="20"/>
              </w:rPr>
              <w:t>ºС)</w:t>
            </w:r>
          </w:p>
        </w:tc>
      </w:tr>
      <w:tr>
        <w:trPr>
          <w:trHeight w:val="283" w:hRule="atLeast"/>
        </w:trPr>
        <w:tc>
          <w:tcPr>
            <w:tcW w:w="845" w:type="dxa"/>
            <w:vMerge/>
            <w:tcBorders>
              <w:top w:val="nil"/>
            </w:tcBorders>
          </w:tcPr>
          <w:p>
            <w:pPr>
              <w:rPr>
                <w:sz w:val="2"/>
                <w:szCs w:val="2"/>
              </w:rPr>
            </w:pPr>
          </w:p>
        </w:tc>
        <w:tc>
          <w:tcPr>
            <w:tcW w:w="708" w:type="dxa"/>
          </w:tcPr>
          <w:p>
            <w:pPr>
              <w:pStyle w:val="TableParagraph"/>
              <w:spacing w:before="28"/>
              <w:ind w:left="2"/>
              <w:jc w:val="center"/>
              <w:rPr>
                <w:sz w:val="20"/>
              </w:rPr>
            </w:pPr>
            <w:r>
              <w:rPr>
                <w:spacing w:val="-10"/>
                <w:sz w:val="20"/>
              </w:rPr>
              <w:t>4</w:t>
            </w:r>
          </w:p>
        </w:tc>
        <w:tc>
          <w:tcPr>
            <w:tcW w:w="3536" w:type="dxa"/>
          </w:tcPr>
          <w:p>
            <w:pPr>
              <w:pStyle w:val="TableParagraph"/>
              <w:spacing w:before="28"/>
              <w:ind w:left="105"/>
              <w:rPr>
                <w:sz w:val="20"/>
              </w:rPr>
            </w:pPr>
            <w:r>
              <w:rPr>
                <w:spacing w:val="-2"/>
                <w:sz w:val="20"/>
              </w:rPr>
              <w:t>Тофацитиниб</w:t>
            </w:r>
          </w:p>
        </w:tc>
        <w:tc>
          <w:tcPr>
            <w:tcW w:w="9640" w:type="dxa"/>
          </w:tcPr>
          <w:p>
            <w:pPr>
              <w:pStyle w:val="TableParagraph"/>
              <w:spacing w:before="28"/>
              <w:ind w:left="99"/>
              <w:rPr>
                <w:sz w:val="20"/>
              </w:rPr>
            </w:pPr>
            <w:r>
              <w:rPr>
                <w:sz w:val="20"/>
              </w:rPr>
              <w:t>10</w:t>
            </w:r>
            <w:r>
              <w:rPr>
                <w:spacing w:val="-2"/>
                <w:sz w:val="20"/>
              </w:rPr>
              <w:t> </w:t>
            </w:r>
            <w:r>
              <w:rPr>
                <w:sz w:val="20"/>
              </w:rPr>
              <w:t>мг</w:t>
            </w:r>
            <w:r>
              <w:rPr>
                <w:spacing w:val="-3"/>
                <w:sz w:val="20"/>
              </w:rPr>
              <w:t> </w:t>
            </w:r>
            <w:r>
              <w:rPr>
                <w:sz w:val="20"/>
              </w:rPr>
              <w:t>2</w:t>
            </w:r>
            <w:r>
              <w:rPr>
                <w:spacing w:val="-3"/>
                <w:sz w:val="20"/>
              </w:rPr>
              <w:t> </w:t>
            </w:r>
            <w:r>
              <w:rPr>
                <w:sz w:val="20"/>
              </w:rPr>
              <w:t>р/сут</w:t>
            </w:r>
            <w:r>
              <w:rPr>
                <w:spacing w:val="-3"/>
                <w:sz w:val="20"/>
              </w:rPr>
              <w:t> </w:t>
            </w:r>
            <w:r>
              <w:rPr>
                <w:sz w:val="20"/>
              </w:rPr>
              <w:t>в</w:t>
            </w:r>
            <w:r>
              <w:rPr>
                <w:spacing w:val="-4"/>
                <w:sz w:val="20"/>
              </w:rPr>
              <w:t> </w:t>
            </w:r>
            <w:r>
              <w:rPr>
                <w:sz w:val="20"/>
              </w:rPr>
              <w:t>течение</w:t>
            </w:r>
            <w:r>
              <w:rPr>
                <w:spacing w:val="-2"/>
                <w:sz w:val="20"/>
              </w:rPr>
              <w:t> </w:t>
            </w:r>
            <w:r>
              <w:rPr>
                <w:sz w:val="20"/>
              </w:rPr>
              <w:t>7-14</w:t>
            </w:r>
            <w:r>
              <w:rPr>
                <w:spacing w:val="-4"/>
                <w:sz w:val="20"/>
              </w:rPr>
              <w:t> дней</w:t>
            </w:r>
          </w:p>
        </w:tc>
      </w:tr>
    </w:tbl>
    <w:p>
      <w:pPr>
        <w:spacing w:before="85"/>
        <w:ind w:left="0" w:right="15" w:firstLine="0"/>
        <w:jc w:val="center"/>
        <w:rPr>
          <w:rFonts w:ascii="Calibri"/>
          <w:sz w:val="22"/>
        </w:rPr>
      </w:pPr>
      <w:r>
        <w:rPr>
          <w:rFonts w:ascii="Calibri"/>
          <w:spacing w:val="-5"/>
          <w:sz w:val="22"/>
        </w:rPr>
        <w:t>210</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45"/>
        <w:gridCol w:w="708"/>
        <w:gridCol w:w="3536"/>
        <w:gridCol w:w="9640"/>
      </w:tblGrid>
      <w:tr>
        <w:trPr>
          <w:trHeight w:val="282" w:hRule="atLeast"/>
        </w:trPr>
        <w:tc>
          <w:tcPr>
            <w:tcW w:w="845" w:type="dxa"/>
            <w:vMerge w:val="restart"/>
          </w:tcPr>
          <w:p>
            <w:pPr>
              <w:pStyle w:val="TableParagraph"/>
              <w:rPr>
                <w:sz w:val="18"/>
              </w:rPr>
            </w:pPr>
          </w:p>
        </w:tc>
        <w:tc>
          <w:tcPr>
            <w:tcW w:w="708" w:type="dxa"/>
            <w:vMerge w:val="restart"/>
          </w:tcPr>
          <w:p>
            <w:pPr>
              <w:pStyle w:val="TableParagraph"/>
              <w:rPr>
                <w:sz w:val="18"/>
              </w:rPr>
            </w:pPr>
          </w:p>
        </w:tc>
        <w:tc>
          <w:tcPr>
            <w:tcW w:w="13176" w:type="dxa"/>
            <w:gridSpan w:val="2"/>
          </w:tcPr>
          <w:p>
            <w:pPr>
              <w:pStyle w:val="TableParagraph"/>
              <w:spacing w:line="227" w:lineRule="exact" w:before="36"/>
              <w:ind w:left="105"/>
              <w:rPr>
                <w:sz w:val="20"/>
              </w:rPr>
            </w:pPr>
            <w:bookmarkStart w:name="212" w:id="253"/>
            <w:bookmarkEnd w:id="253"/>
            <w:r>
              <w:rPr/>
            </w:r>
            <w:r>
              <w:rPr>
                <w:spacing w:val="-5"/>
                <w:sz w:val="20"/>
              </w:rPr>
              <w:t>или</w:t>
            </w:r>
          </w:p>
        </w:tc>
      </w:tr>
      <w:tr>
        <w:trPr>
          <w:trHeight w:val="282"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line="227" w:lineRule="exact" w:before="36"/>
              <w:ind w:left="105"/>
              <w:rPr>
                <w:sz w:val="20"/>
              </w:rPr>
            </w:pPr>
            <w:r>
              <w:rPr>
                <w:spacing w:val="-2"/>
                <w:sz w:val="20"/>
              </w:rPr>
              <w:t>Барицитиниб</w:t>
            </w:r>
          </w:p>
        </w:tc>
        <w:tc>
          <w:tcPr>
            <w:tcW w:w="9640" w:type="dxa"/>
          </w:tcPr>
          <w:p>
            <w:pPr>
              <w:pStyle w:val="TableParagraph"/>
              <w:spacing w:line="227" w:lineRule="exact" w:before="36"/>
              <w:ind w:left="99"/>
              <w:rPr>
                <w:sz w:val="20"/>
              </w:rPr>
            </w:pPr>
            <w:r>
              <w:rPr>
                <w:sz w:val="20"/>
              </w:rPr>
              <w:t>4</w:t>
            </w:r>
            <w:r>
              <w:rPr>
                <w:spacing w:val="-2"/>
                <w:sz w:val="20"/>
              </w:rPr>
              <w:t> </w:t>
            </w:r>
            <w:r>
              <w:rPr>
                <w:sz w:val="20"/>
              </w:rPr>
              <w:t>мг</w:t>
            </w:r>
            <w:r>
              <w:rPr>
                <w:spacing w:val="-4"/>
                <w:sz w:val="20"/>
              </w:rPr>
              <w:t> </w:t>
            </w:r>
            <w:r>
              <w:rPr>
                <w:sz w:val="20"/>
              </w:rPr>
              <w:t>1</w:t>
            </w:r>
            <w:r>
              <w:rPr>
                <w:spacing w:val="-3"/>
                <w:sz w:val="20"/>
              </w:rPr>
              <w:t> </w:t>
            </w:r>
            <w:r>
              <w:rPr>
                <w:sz w:val="20"/>
              </w:rPr>
              <w:t>р/сут</w:t>
            </w:r>
            <w:r>
              <w:rPr>
                <w:spacing w:val="-3"/>
                <w:sz w:val="20"/>
              </w:rPr>
              <w:t> </w:t>
            </w:r>
            <w:r>
              <w:rPr>
                <w:sz w:val="20"/>
              </w:rPr>
              <w:t>в</w:t>
            </w:r>
            <w:r>
              <w:rPr>
                <w:spacing w:val="-4"/>
                <w:sz w:val="20"/>
              </w:rPr>
              <w:t> </w:t>
            </w:r>
            <w:r>
              <w:rPr>
                <w:sz w:val="20"/>
              </w:rPr>
              <w:t>течение</w:t>
            </w:r>
            <w:r>
              <w:rPr>
                <w:spacing w:val="-2"/>
                <w:sz w:val="20"/>
              </w:rPr>
              <w:t> </w:t>
            </w:r>
            <w:r>
              <w:rPr>
                <w:sz w:val="20"/>
              </w:rPr>
              <w:t>7-14</w:t>
            </w:r>
            <w:r>
              <w:rPr>
                <w:spacing w:val="-2"/>
                <w:sz w:val="20"/>
              </w:rPr>
              <w:t> </w:t>
            </w:r>
            <w:r>
              <w:rPr>
                <w:spacing w:val="-4"/>
                <w:sz w:val="20"/>
              </w:rPr>
              <w:t>дней</w:t>
            </w:r>
          </w:p>
        </w:tc>
      </w:tr>
      <w:tr>
        <w:trPr>
          <w:trHeight w:val="282"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13176" w:type="dxa"/>
            <w:gridSpan w:val="2"/>
          </w:tcPr>
          <w:p>
            <w:pPr>
              <w:pStyle w:val="TableParagraph"/>
              <w:spacing w:line="227" w:lineRule="exact" w:before="35"/>
              <w:ind w:left="105"/>
              <w:rPr>
                <w:sz w:val="20"/>
              </w:rPr>
            </w:pPr>
            <w:r>
              <w:rPr>
                <w:spacing w:val="-5"/>
                <w:sz w:val="20"/>
              </w:rPr>
              <w:t>или</w:t>
            </w:r>
          </w:p>
        </w:tc>
      </w:tr>
      <w:tr>
        <w:trPr>
          <w:trHeight w:val="282"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line="227" w:lineRule="exact" w:before="35"/>
              <w:ind w:left="105"/>
              <w:rPr>
                <w:sz w:val="20"/>
              </w:rPr>
            </w:pPr>
            <w:r>
              <w:rPr>
                <w:spacing w:val="-2"/>
                <w:sz w:val="20"/>
              </w:rPr>
              <w:t>Упадацитиниб</w:t>
            </w:r>
          </w:p>
        </w:tc>
        <w:tc>
          <w:tcPr>
            <w:tcW w:w="9640" w:type="dxa"/>
          </w:tcPr>
          <w:p>
            <w:pPr>
              <w:pStyle w:val="TableParagraph"/>
              <w:spacing w:line="227" w:lineRule="exact" w:before="35"/>
              <w:ind w:left="99"/>
              <w:rPr>
                <w:sz w:val="20"/>
              </w:rPr>
            </w:pPr>
            <w:r>
              <w:rPr>
                <w:sz w:val="20"/>
              </w:rPr>
              <w:t>15</w:t>
            </w:r>
            <w:r>
              <w:rPr>
                <w:spacing w:val="-2"/>
                <w:sz w:val="20"/>
              </w:rPr>
              <w:t> </w:t>
            </w:r>
            <w:r>
              <w:rPr>
                <w:sz w:val="20"/>
              </w:rPr>
              <w:t>мг</w:t>
            </w:r>
            <w:r>
              <w:rPr>
                <w:spacing w:val="-3"/>
                <w:sz w:val="20"/>
              </w:rPr>
              <w:t> </w:t>
            </w:r>
            <w:r>
              <w:rPr>
                <w:sz w:val="20"/>
              </w:rPr>
              <w:t>1</w:t>
            </w:r>
            <w:r>
              <w:rPr>
                <w:spacing w:val="-3"/>
                <w:sz w:val="20"/>
              </w:rPr>
              <w:t> </w:t>
            </w:r>
            <w:r>
              <w:rPr>
                <w:sz w:val="20"/>
              </w:rPr>
              <w:t>р/сут</w:t>
            </w:r>
            <w:r>
              <w:rPr>
                <w:spacing w:val="-3"/>
                <w:sz w:val="20"/>
              </w:rPr>
              <w:t> </w:t>
            </w:r>
            <w:r>
              <w:rPr>
                <w:sz w:val="20"/>
              </w:rPr>
              <w:t>в</w:t>
            </w:r>
            <w:r>
              <w:rPr>
                <w:spacing w:val="-4"/>
                <w:sz w:val="20"/>
              </w:rPr>
              <w:t> </w:t>
            </w:r>
            <w:r>
              <w:rPr>
                <w:sz w:val="20"/>
              </w:rPr>
              <w:t>течение</w:t>
            </w:r>
            <w:r>
              <w:rPr>
                <w:spacing w:val="-2"/>
                <w:sz w:val="20"/>
              </w:rPr>
              <w:t> </w:t>
            </w:r>
            <w:r>
              <w:rPr>
                <w:sz w:val="20"/>
              </w:rPr>
              <w:t>7-14</w:t>
            </w:r>
            <w:r>
              <w:rPr>
                <w:spacing w:val="-4"/>
                <w:sz w:val="20"/>
              </w:rPr>
              <w:t> дней</w:t>
            </w:r>
          </w:p>
        </w:tc>
      </w:tr>
      <w:tr>
        <w:trPr>
          <w:trHeight w:val="256" w:hRule="atLeast"/>
        </w:trPr>
        <w:tc>
          <w:tcPr>
            <w:tcW w:w="845" w:type="dxa"/>
            <w:vMerge/>
            <w:tcBorders>
              <w:top w:val="nil"/>
            </w:tcBorders>
          </w:tcPr>
          <w:p>
            <w:pPr>
              <w:rPr>
                <w:sz w:val="2"/>
                <w:szCs w:val="2"/>
              </w:rPr>
            </w:pPr>
          </w:p>
        </w:tc>
        <w:tc>
          <w:tcPr>
            <w:tcW w:w="708" w:type="dxa"/>
            <w:vMerge w:val="restart"/>
          </w:tcPr>
          <w:p>
            <w:pPr>
              <w:pStyle w:val="TableParagraph"/>
              <w:rPr>
                <w:sz w:val="13"/>
              </w:rPr>
            </w:pPr>
          </w:p>
          <w:p>
            <w:pPr>
              <w:pStyle w:val="TableParagraph"/>
              <w:rPr>
                <w:sz w:val="13"/>
              </w:rPr>
            </w:pPr>
          </w:p>
          <w:p>
            <w:pPr>
              <w:pStyle w:val="TableParagraph"/>
              <w:rPr>
                <w:sz w:val="13"/>
              </w:rPr>
            </w:pPr>
          </w:p>
          <w:p>
            <w:pPr>
              <w:pStyle w:val="TableParagraph"/>
              <w:rPr>
                <w:sz w:val="13"/>
              </w:rPr>
            </w:pPr>
          </w:p>
          <w:p>
            <w:pPr>
              <w:pStyle w:val="TableParagraph"/>
              <w:rPr>
                <w:sz w:val="13"/>
              </w:rPr>
            </w:pPr>
          </w:p>
          <w:p>
            <w:pPr>
              <w:pStyle w:val="TableParagraph"/>
              <w:rPr>
                <w:sz w:val="13"/>
              </w:rPr>
            </w:pPr>
          </w:p>
          <w:p>
            <w:pPr>
              <w:pStyle w:val="TableParagraph"/>
              <w:rPr>
                <w:sz w:val="13"/>
              </w:rPr>
            </w:pPr>
          </w:p>
          <w:p>
            <w:pPr>
              <w:pStyle w:val="TableParagraph"/>
              <w:spacing w:before="60"/>
              <w:rPr>
                <w:sz w:val="13"/>
              </w:rPr>
            </w:pPr>
          </w:p>
          <w:p>
            <w:pPr>
              <w:pStyle w:val="TableParagraph"/>
              <w:spacing w:before="1"/>
              <w:ind w:left="5"/>
              <w:jc w:val="center"/>
              <w:rPr>
                <w:sz w:val="13"/>
              </w:rPr>
            </w:pPr>
            <w:r>
              <w:rPr>
                <w:spacing w:val="-5"/>
                <w:position w:val="-6"/>
                <w:sz w:val="20"/>
              </w:rPr>
              <w:t>5</w:t>
            </w:r>
            <w:r>
              <w:rPr>
                <w:spacing w:val="-5"/>
                <w:sz w:val="13"/>
              </w:rPr>
              <w:t>8</w:t>
            </w:r>
          </w:p>
        </w:tc>
        <w:tc>
          <w:tcPr>
            <w:tcW w:w="3536" w:type="dxa"/>
          </w:tcPr>
          <w:p>
            <w:pPr>
              <w:pStyle w:val="TableParagraph"/>
              <w:spacing w:line="213" w:lineRule="exact" w:before="23"/>
              <w:ind w:left="105"/>
              <w:rPr>
                <w:sz w:val="20"/>
              </w:rPr>
            </w:pPr>
            <w:r>
              <w:rPr>
                <w:spacing w:val="-2"/>
                <w:sz w:val="20"/>
              </w:rPr>
              <w:t>Ривароксабан</w:t>
            </w:r>
          </w:p>
        </w:tc>
        <w:tc>
          <w:tcPr>
            <w:tcW w:w="9640" w:type="dxa"/>
          </w:tcPr>
          <w:p>
            <w:pPr>
              <w:pStyle w:val="TableParagraph"/>
              <w:spacing w:line="213" w:lineRule="exact" w:before="23"/>
              <w:ind w:left="99"/>
              <w:rPr>
                <w:sz w:val="20"/>
              </w:rPr>
            </w:pPr>
            <w:r>
              <w:rPr>
                <w:sz w:val="20"/>
              </w:rPr>
              <w:t>10</w:t>
            </w:r>
            <w:r>
              <w:rPr>
                <w:spacing w:val="-2"/>
                <w:sz w:val="20"/>
              </w:rPr>
              <w:t> </w:t>
            </w:r>
            <w:r>
              <w:rPr>
                <w:sz w:val="20"/>
              </w:rPr>
              <w:t>мг</w:t>
            </w:r>
            <w:r>
              <w:rPr>
                <w:spacing w:val="-4"/>
                <w:sz w:val="20"/>
              </w:rPr>
              <w:t> </w:t>
            </w:r>
            <w:r>
              <w:rPr>
                <w:sz w:val="20"/>
              </w:rPr>
              <w:t>1</w:t>
            </w:r>
            <w:r>
              <w:rPr>
                <w:spacing w:val="-3"/>
                <w:sz w:val="20"/>
              </w:rPr>
              <w:t> </w:t>
            </w:r>
            <w:r>
              <w:rPr>
                <w:sz w:val="20"/>
              </w:rPr>
              <w:t>р/сут</w:t>
            </w:r>
            <w:r>
              <w:rPr>
                <w:spacing w:val="-4"/>
                <w:sz w:val="20"/>
              </w:rPr>
              <w:t> </w:t>
            </w:r>
            <w:r>
              <w:rPr>
                <w:sz w:val="20"/>
              </w:rPr>
              <w:t>вплоть</w:t>
            </w:r>
            <w:r>
              <w:rPr>
                <w:spacing w:val="-2"/>
                <w:sz w:val="20"/>
              </w:rPr>
              <w:t> </w:t>
            </w:r>
            <w:r>
              <w:rPr>
                <w:sz w:val="20"/>
              </w:rPr>
              <w:t>до</w:t>
            </w:r>
            <w:r>
              <w:rPr>
                <w:spacing w:val="-3"/>
                <w:sz w:val="20"/>
              </w:rPr>
              <w:t> </w:t>
            </w:r>
            <w:r>
              <w:rPr>
                <w:sz w:val="20"/>
              </w:rPr>
              <w:t>30</w:t>
            </w:r>
            <w:r>
              <w:rPr>
                <w:spacing w:val="-2"/>
                <w:sz w:val="20"/>
              </w:rPr>
              <w:t> </w:t>
            </w:r>
            <w:r>
              <w:rPr>
                <w:spacing w:val="-4"/>
                <w:sz w:val="20"/>
              </w:rPr>
              <w:t>дней</w:t>
            </w:r>
          </w:p>
        </w:tc>
      </w:tr>
      <w:tr>
        <w:trPr>
          <w:trHeight w:val="254"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13176" w:type="dxa"/>
            <w:gridSpan w:val="2"/>
          </w:tcPr>
          <w:p>
            <w:pPr>
              <w:pStyle w:val="TableParagraph"/>
              <w:spacing w:line="213" w:lineRule="exact" w:before="20"/>
              <w:ind w:left="105"/>
              <w:rPr>
                <w:sz w:val="20"/>
              </w:rPr>
            </w:pPr>
            <w:r>
              <w:rPr>
                <w:spacing w:val="-5"/>
                <w:sz w:val="20"/>
              </w:rPr>
              <w:t>или</w:t>
            </w:r>
          </w:p>
        </w:tc>
      </w:tr>
      <w:tr>
        <w:trPr>
          <w:trHeight w:val="256"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line="216" w:lineRule="exact" w:before="21"/>
              <w:ind w:left="105"/>
              <w:rPr>
                <w:sz w:val="20"/>
              </w:rPr>
            </w:pPr>
            <w:r>
              <w:rPr>
                <w:spacing w:val="-2"/>
                <w:sz w:val="20"/>
              </w:rPr>
              <w:t>Апиксабан</w:t>
            </w:r>
          </w:p>
        </w:tc>
        <w:tc>
          <w:tcPr>
            <w:tcW w:w="9640" w:type="dxa"/>
          </w:tcPr>
          <w:p>
            <w:pPr>
              <w:pStyle w:val="TableParagraph"/>
              <w:spacing w:line="216" w:lineRule="exact" w:before="21"/>
              <w:ind w:left="99"/>
              <w:rPr>
                <w:sz w:val="20"/>
              </w:rPr>
            </w:pPr>
            <w:r>
              <w:rPr>
                <w:sz w:val="20"/>
              </w:rPr>
              <w:t>2,5</w:t>
            </w:r>
            <w:r>
              <w:rPr>
                <w:spacing w:val="-2"/>
                <w:sz w:val="20"/>
              </w:rPr>
              <w:t> </w:t>
            </w:r>
            <w:r>
              <w:rPr>
                <w:sz w:val="20"/>
              </w:rPr>
              <w:t>мг</w:t>
            </w:r>
            <w:r>
              <w:rPr>
                <w:spacing w:val="-6"/>
                <w:sz w:val="20"/>
              </w:rPr>
              <w:t> </w:t>
            </w:r>
            <w:r>
              <w:rPr>
                <w:sz w:val="20"/>
              </w:rPr>
              <w:t>2</w:t>
            </w:r>
            <w:r>
              <w:rPr>
                <w:spacing w:val="-1"/>
                <w:sz w:val="20"/>
              </w:rPr>
              <w:t> </w:t>
            </w:r>
            <w:r>
              <w:rPr>
                <w:sz w:val="20"/>
              </w:rPr>
              <w:t>р/сут</w:t>
            </w:r>
            <w:r>
              <w:rPr>
                <w:spacing w:val="-4"/>
                <w:sz w:val="20"/>
              </w:rPr>
              <w:t> </w:t>
            </w:r>
            <w:r>
              <w:rPr>
                <w:sz w:val="20"/>
              </w:rPr>
              <w:t>вплоть</w:t>
            </w:r>
            <w:r>
              <w:rPr>
                <w:spacing w:val="-3"/>
                <w:sz w:val="20"/>
              </w:rPr>
              <w:t> </w:t>
            </w:r>
            <w:r>
              <w:rPr>
                <w:sz w:val="20"/>
              </w:rPr>
              <w:t>до</w:t>
            </w:r>
            <w:r>
              <w:rPr>
                <w:spacing w:val="-2"/>
                <w:sz w:val="20"/>
              </w:rPr>
              <w:t> </w:t>
            </w:r>
            <w:r>
              <w:rPr>
                <w:sz w:val="20"/>
              </w:rPr>
              <w:t>30</w:t>
            </w:r>
            <w:r>
              <w:rPr>
                <w:spacing w:val="-2"/>
                <w:sz w:val="20"/>
              </w:rPr>
              <w:t> </w:t>
            </w:r>
            <w:r>
              <w:rPr>
                <w:spacing w:val="-4"/>
                <w:sz w:val="20"/>
              </w:rPr>
              <w:t>дней</w:t>
            </w:r>
          </w:p>
        </w:tc>
      </w:tr>
      <w:tr>
        <w:trPr>
          <w:trHeight w:val="253"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13176" w:type="dxa"/>
            <w:gridSpan w:val="2"/>
          </w:tcPr>
          <w:p>
            <w:pPr>
              <w:pStyle w:val="TableParagraph"/>
              <w:spacing w:line="214" w:lineRule="exact" w:before="20"/>
              <w:ind w:left="105"/>
              <w:rPr>
                <w:sz w:val="20"/>
              </w:rPr>
            </w:pPr>
            <w:r>
              <w:rPr>
                <w:spacing w:val="-5"/>
                <w:sz w:val="20"/>
              </w:rPr>
              <w:t>или</w:t>
            </w:r>
          </w:p>
        </w:tc>
      </w:tr>
      <w:tr>
        <w:trPr>
          <w:trHeight w:val="46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before="94"/>
              <w:ind w:left="105"/>
              <w:rPr>
                <w:b/>
                <w:position w:val="8"/>
                <w:sz w:val="16"/>
              </w:rPr>
            </w:pPr>
            <w:r>
              <w:rPr>
                <w:sz w:val="20"/>
              </w:rPr>
              <w:t>Дабигатрана</w:t>
            </w:r>
            <w:r>
              <w:rPr>
                <w:spacing w:val="-12"/>
                <w:sz w:val="20"/>
              </w:rPr>
              <w:t> </w:t>
            </w:r>
            <w:r>
              <w:rPr>
                <w:sz w:val="20"/>
              </w:rPr>
              <w:t>этексилат</w:t>
            </w:r>
            <w:r>
              <w:rPr>
                <w:spacing w:val="-12"/>
                <w:sz w:val="20"/>
              </w:rPr>
              <w:t> </w:t>
            </w:r>
            <w:r>
              <w:rPr>
                <w:b/>
                <w:spacing w:val="-10"/>
                <w:position w:val="8"/>
                <w:sz w:val="16"/>
              </w:rPr>
              <w:t>6</w:t>
            </w:r>
          </w:p>
        </w:tc>
        <w:tc>
          <w:tcPr>
            <w:tcW w:w="9640" w:type="dxa"/>
          </w:tcPr>
          <w:p>
            <w:pPr>
              <w:pStyle w:val="TableParagraph"/>
              <w:spacing w:before="7"/>
              <w:ind w:left="99"/>
              <w:rPr>
                <w:sz w:val="20"/>
              </w:rPr>
            </w:pPr>
            <w:r>
              <w:rPr>
                <w:sz w:val="20"/>
              </w:rPr>
              <w:t>110</w:t>
            </w:r>
            <w:r>
              <w:rPr>
                <w:spacing w:val="-1"/>
                <w:sz w:val="20"/>
              </w:rPr>
              <w:t> </w:t>
            </w:r>
            <w:r>
              <w:rPr>
                <w:sz w:val="20"/>
              </w:rPr>
              <w:t>мг</w:t>
            </w:r>
            <w:r>
              <w:rPr>
                <w:spacing w:val="-4"/>
                <w:sz w:val="20"/>
              </w:rPr>
              <w:t> </w:t>
            </w:r>
            <w:r>
              <w:rPr>
                <w:sz w:val="20"/>
              </w:rPr>
              <w:t>2 </w:t>
            </w:r>
            <w:r>
              <w:rPr>
                <w:spacing w:val="-2"/>
                <w:sz w:val="20"/>
              </w:rPr>
              <w:t>раза/сут;</w:t>
            </w:r>
          </w:p>
          <w:p>
            <w:pPr>
              <w:pStyle w:val="TableParagraph"/>
              <w:spacing w:line="202" w:lineRule="exact" w:before="1"/>
              <w:ind w:left="99"/>
              <w:rPr>
                <w:sz w:val="20"/>
              </w:rPr>
            </w:pPr>
            <w:r>
              <w:rPr>
                <w:sz w:val="20"/>
              </w:rPr>
              <w:t>75</w:t>
            </w:r>
            <w:r>
              <w:rPr>
                <w:spacing w:val="-4"/>
                <w:sz w:val="20"/>
              </w:rPr>
              <w:t> </w:t>
            </w:r>
            <w:r>
              <w:rPr>
                <w:sz w:val="20"/>
              </w:rPr>
              <w:t>мг</w:t>
            </w:r>
            <w:r>
              <w:rPr>
                <w:spacing w:val="-5"/>
                <w:sz w:val="20"/>
              </w:rPr>
              <w:t> </w:t>
            </w:r>
            <w:r>
              <w:rPr>
                <w:sz w:val="20"/>
              </w:rPr>
              <w:t>2</w:t>
            </w:r>
            <w:r>
              <w:rPr>
                <w:spacing w:val="-6"/>
                <w:sz w:val="20"/>
              </w:rPr>
              <w:t> </w:t>
            </w:r>
            <w:r>
              <w:rPr>
                <w:sz w:val="20"/>
              </w:rPr>
              <w:t>раза/сут</w:t>
            </w:r>
            <w:r>
              <w:rPr>
                <w:spacing w:val="-3"/>
                <w:sz w:val="20"/>
              </w:rPr>
              <w:t> </w:t>
            </w:r>
            <w:r>
              <w:rPr>
                <w:sz w:val="20"/>
              </w:rPr>
              <w:t>у</w:t>
            </w:r>
            <w:r>
              <w:rPr>
                <w:spacing w:val="-4"/>
                <w:sz w:val="20"/>
              </w:rPr>
              <w:t> </w:t>
            </w:r>
            <w:r>
              <w:rPr>
                <w:sz w:val="20"/>
              </w:rPr>
              <w:t>больных</w:t>
            </w:r>
            <w:r>
              <w:rPr>
                <w:spacing w:val="-3"/>
                <w:sz w:val="20"/>
              </w:rPr>
              <w:t> </w:t>
            </w:r>
            <w:r>
              <w:rPr>
                <w:sz w:val="20"/>
              </w:rPr>
              <w:t>с</w:t>
            </w:r>
            <w:r>
              <w:rPr>
                <w:spacing w:val="-6"/>
                <w:sz w:val="20"/>
              </w:rPr>
              <w:t> </w:t>
            </w:r>
            <w:r>
              <w:rPr>
                <w:sz w:val="20"/>
              </w:rPr>
              <w:t>клиренсом</w:t>
            </w:r>
            <w:r>
              <w:rPr>
                <w:spacing w:val="-4"/>
                <w:sz w:val="20"/>
              </w:rPr>
              <w:t> </w:t>
            </w:r>
            <w:r>
              <w:rPr>
                <w:sz w:val="20"/>
              </w:rPr>
              <w:t>креатинина</w:t>
            </w:r>
            <w:r>
              <w:rPr>
                <w:spacing w:val="-4"/>
                <w:sz w:val="20"/>
              </w:rPr>
              <w:t> </w:t>
            </w:r>
            <w:r>
              <w:rPr>
                <w:sz w:val="20"/>
              </w:rPr>
              <w:t>30-49</w:t>
            </w:r>
            <w:r>
              <w:rPr>
                <w:spacing w:val="-4"/>
                <w:sz w:val="20"/>
              </w:rPr>
              <w:t> </w:t>
            </w:r>
            <w:r>
              <w:rPr>
                <w:sz w:val="20"/>
              </w:rPr>
              <w:t>мл/мин</w:t>
            </w:r>
            <w:r>
              <w:rPr>
                <w:spacing w:val="-4"/>
                <w:sz w:val="20"/>
              </w:rPr>
              <w:t> </w:t>
            </w:r>
            <w:r>
              <w:rPr>
                <w:sz w:val="20"/>
              </w:rPr>
              <w:t>вплоть</w:t>
            </w:r>
            <w:r>
              <w:rPr>
                <w:spacing w:val="-2"/>
                <w:sz w:val="20"/>
              </w:rPr>
              <w:t> </w:t>
            </w:r>
            <w:r>
              <w:rPr>
                <w:sz w:val="20"/>
              </w:rPr>
              <w:t>до</w:t>
            </w:r>
            <w:r>
              <w:rPr>
                <w:spacing w:val="-5"/>
                <w:sz w:val="20"/>
              </w:rPr>
              <w:t> </w:t>
            </w:r>
            <w:r>
              <w:rPr>
                <w:sz w:val="20"/>
              </w:rPr>
              <w:t>30</w:t>
            </w:r>
            <w:r>
              <w:rPr>
                <w:spacing w:val="-3"/>
                <w:sz w:val="20"/>
              </w:rPr>
              <w:t> </w:t>
            </w:r>
            <w:r>
              <w:rPr>
                <w:spacing w:val="-4"/>
                <w:sz w:val="20"/>
              </w:rPr>
              <w:t>дней</w:t>
            </w:r>
          </w:p>
        </w:tc>
      </w:tr>
      <w:tr>
        <w:trPr>
          <w:trHeight w:val="23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line="203" w:lineRule="exact" w:before="7"/>
              <w:ind w:left="105"/>
              <w:rPr>
                <w:sz w:val="20"/>
              </w:rPr>
            </w:pPr>
            <w:r>
              <w:rPr>
                <w:spacing w:val="-5"/>
                <w:sz w:val="20"/>
              </w:rPr>
              <w:t>или</w:t>
            </w:r>
          </w:p>
        </w:tc>
        <w:tc>
          <w:tcPr>
            <w:tcW w:w="9640" w:type="dxa"/>
          </w:tcPr>
          <w:p>
            <w:pPr>
              <w:pStyle w:val="TableParagraph"/>
              <w:rPr>
                <w:sz w:val="16"/>
              </w:rPr>
            </w:pPr>
          </w:p>
        </w:tc>
      </w:tr>
      <w:tr>
        <w:trPr>
          <w:trHeight w:val="966"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line="244" w:lineRule="auto"/>
              <w:ind w:left="105" w:right="168"/>
              <w:rPr>
                <w:sz w:val="20"/>
              </w:rPr>
            </w:pPr>
            <w:r>
              <w:rPr>
                <w:sz w:val="20"/>
              </w:rPr>
              <w:t>Тедиксабан </w:t>
            </w:r>
            <w:r>
              <w:rPr>
                <w:b/>
                <w:position w:val="8"/>
                <w:sz w:val="16"/>
              </w:rPr>
              <w:t>10</w:t>
            </w:r>
            <w:r>
              <w:rPr>
                <w:b/>
                <w:spacing w:val="35"/>
                <w:position w:val="8"/>
                <w:sz w:val="16"/>
              </w:rPr>
              <w:t> </w:t>
            </w:r>
            <w:r>
              <w:rPr>
                <w:sz w:val="20"/>
              </w:rPr>
              <w:t>(N-(5-Хлорпиридин-2- </w:t>
            </w:r>
            <w:r>
              <w:rPr>
                <w:spacing w:val="-2"/>
                <w:sz w:val="20"/>
              </w:rPr>
              <w:t>ил)-5-метил-2-(4-(N- метилацетимидамидо)бензамидо)бенз</w:t>
            </w:r>
          </w:p>
          <w:p>
            <w:pPr>
              <w:pStyle w:val="TableParagraph"/>
              <w:spacing w:line="200" w:lineRule="exact"/>
              <w:ind w:left="105"/>
              <w:rPr>
                <w:sz w:val="20"/>
              </w:rPr>
            </w:pPr>
            <w:r>
              <w:rPr>
                <w:sz w:val="20"/>
              </w:rPr>
              <w:t>амида</w:t>
            </w:r>
            <w:r>
              <w:rPr>
                <w:spacing w:val="-8"/>
                <w:sz w:val="20"/>
              </w:rPr>
              <w:t> </w:t>
            </w:r>
            <w:r>
              <w:rPr>
                <w:spacing w:val="-2"/>
                <w:sz w:val="20"/>
              </w:rPr>
              <w:t>гидрохлорид)</w:t>
            </w:r>
          </w:p>
        </w:tc>
        <w:tc>
          <w:tcPr>
            <w:tcW w:w="9640" w:type="dxa"/>
          </w:tcPr>
          <w:p>
            <w:pPr>
              <w:pStyle w:val="TableParagraph"/>
              <w:spacing w:before="144"/>
              <w:rPr>
                <w:sz w:val="20"/>
              </w:rPr>
            </w:pPr>
          </w:p>
          <w:p>
            <w:pPr>
              <w:pStyle w:val="TableParagraph"/>
              <w:ind w:left="99"/>
              <w:rPr>
                <w:sz w:val="20"/>
              </w:rPr>
            </w:pPr>
            <w:r>
              <w:rPr>
                <w:sz w:val="20"/>
              </w:rPr>
              <w:t>60</w:t>
            </w:r>
            <w:r>
              <w:rPr>
                <w:spacing w:val="-2"/>
                <w:sz w:val="20"/>
              </w:rPr>
              <w:t> </w:t>
            </w:r>
            <w:r>
              <w:rPr>
                <w:sz w:val="20"/>
              </w:rPr>
              <w:t>мг</w:t>
            </w:r>
            <w:r>
              <w:rPr>
                <w:spacing w:val="-3"/>
                <w:sz w:val="20"/>
              </w:rPr>
              <w:t> </w:t>
            </w:r>
            <w:r>
              <w:rPr>
                <w:sz w:val="20"/>
              </w:rPr>
              <w:t>1</w:t>
            </w:r>
            <w:r>
              <w:rPr>
                <w:spacing w:val="-4"/>
                <w:sz w:val="20"/>
              </w:rPr>
              <w:t> </w:t>
            </w:r>
            <w:r>
              <w:rPr>
                <w:sz w:val="20"/>
              </w:rPr>
              <w:t>раз</w:t>
            </w:r>
            <w:r>
              <w:rPr>
                <w:spacing w:val="-2"/>
                <w:sz w:val="20"/>
              </w:rPr>
              <w:t> </w:t>
            </w:r>
            <w:r>
              <w:rPr>
                <w:sz w:val="20"/>
              </w:rPr>
              <w:t>в</w:t>
            </w:r>
            <w:r>
              <w:rPr>
                <w:spacing w:val="-3"/>
                <w:sz w:val="20"/>
              </w:rPr>
              <w:t> </w:t>
            </w:r>
            <w:r>
              <w:rPr>
                <w:sz w:val="20"/>
              </w:rPr>
              <w:t>сутки</w:t>
            </w:r>
            <w:r>
              <w:rPr>
                <w:spacing w:val="-4"/>
                <w:sz w:val="20"/>
              </w:rPr>
              <w:t> </w:t>
            </w:r>
            <w:r>
              <w:rPr>
                <w:sz w:val="20"/>
              </w:rPr>
              <w:t>вплоть</w:t>
            </w:r>
            <w:r>
              <w:rPr>
                <w:spacing w:val="-2"/>
                <w:sz w:val="20"/>
              </w:rPr>
              <w:t> </w:t>
            </w:r>
            <w:r>
              <w:rPr>
                <w:sz w:val="20"/>
              </w:rPr>
              <w:t>до</w:t>
            </w:r>
            <w:r>
              <w:rPr>
                <w:spacing w:val="-1"/>
                <w:sz w:val="20"/>
              </w:rPr>
              <w:t> </w:t>
            </w:r>
            <w:r>
              <w:rPr>
                <w:sz w:val="20"/>
              </w:rPr>
              <w:t>30</w:t>
            </w:r>
            <w:r>
              <w:rPr>
                <w:spacing w:val="-2"/>
                <w:sz w:val="20"/>
              </w:rPr>
              <w:t> </w:t>
            </w:r>
            <w:r>
              <w:rPr>
                <w:spacing w:val="-4"/>
                <w:sz w:val="20"/>
              </w:rPr>
              <w:t>дней</w:t>
            </w:r>
          </w:p>
        </w:tc>
      </w:tr>
      <w:tr>
        <w:trPr>
          <w:trHeight w:val="458" w:hRule="atLeast"/>
        </w:trPr>
        <w:tc>
          <w:tcPr>
            <w:tcW w:w="845" w:type="dxa"/>
            <w:vMerge w:val="restart"/>
          </w:tcPr>
          <w:p>
            <w:pPr>
              <w:pStyle w:val="TableParagraph"/>
              <w:spacing w:line="237" w:lineRule="auto" w:before="8"/>
              <w:ind w:left="106" w:right="149"/>
              <w:rPr>
                <w:b/>
                <w:sz w:val="20"/>
              </w:rPr>
            </w:pPr>
            <w:r>
              <w:rPr>
                <w:b/>
                <w:spacing w:val="-2"/>
                <w:sz w:val="20"/>
              </w:rPr>
              <w:t>Схема </w:t>
            </w:r>
            <w:r>
              <w:rPr>
                <w:b/>
                <w:spacing w:val="-10"/>
                <w:sz w:val="20"/>
              </w:rPr>
              <w:t>3</w:t>
            </w:r>
          </w:p>
        </w:tc>
        <w:tc>
          <w:tcPr>
            <w:tcW w:w="708" w:type="dxa"/>
          </w:tcPr>
          <w:p>
            <w:pPr>
              <w:pStyle w:val="TableParagraph"/>
              <w:spacing w:before="6"/>
              <w:ind w:left="2"/>
              <w:jc w:val="center"/>
              <w:rPr>
                <w:sz w:val="20"/>
              </w:rPr>
            </w:pPr>
            <w:r>
              <w:rPr>
                <w:spacing w:val="-10"/>
                <w:sz w:val="20"/>
              </w:rPr>
              <w:t>1</w:t>
            </w:r>
          </w:p>
        </w:tc>
        <w:tc>
          <w:tcPr>
            <w:tcW w:w="3536" w:type="dxa"/>
          </w:tcPr>
          <w:p>
            <w:pPr>
              <w:pStyle w:val="TableParagraph"/>
              <w:ind w:left="155"/>
              <w:rPr>
                <w:b/>
                <w:position w:val="8"/>
                <w:sz w:val="16"/>
              </w:rPr>
            </w:pPr>
            <w:r>
              <w:rPr>
                <w:rFonts w:ascii="Book Antiqua" w:hAnsi="Book Antiqua"/>
                <w:spacing w:val="-2"/>
                <w:sz w:val="20"/>
              </w:rPr>
              <w:t>Нирматрелвир+Ритонавир</w:t>
            </w:r>
            <w:r>
              <w:rPr>
                <w:rFonts w:ascii="Book Antiqua" w:hAnsi="Book Antiqua"/>
                <w:spacing w:val="20"/>
                <w:sz w:val="20"/>
              </w:rPr>
              <w:t> </w:t>
            </w:r>
            <w:r>
              <w:rPr>
                <w:b/>
                <w:spacing w:val="-10"/>
                <w:position w:val="8"/>
                <w:sz w:val="16"/>
              </w:rPr>
              <w:t>9</w:t>
            </w:r>
          </w:p>
        </w:tc>
        <w:tc>
          <w:tcPr>
            <w:tcW w:w="9640" w:type="dxa"/>
          </w:tcPr>
          <w:p>
            <w:pPr>
              <w:pStyle w:val="TableParagraph"/>
              <w:spacing w:line="228" w:lineRule="exact"/>
              <w:ind w:left="99"/>
              <w:rPr>
                <w:sz w:val="20"/>
              </w:rPr>
            </w:pPr>
            <w:r>
              <w:rPr>
                <w:sz w:val="20"/>
              </w:rPr>
              <w:t>300</w:t>
            </w:r>
            <w:r>
              <w:rPr>
                <w:spacing w:val="-3"/>
                <w:sz w:val="20"/>
              </w:rPr>
              <w:t> </w:t>
            </w:r>
            <w:r>
              <w:rPr>
                <w:sz w:val="20"/>
              </w:rPr>
              <w:t>мг</w:t>
            </w:r>
            <w:r>
              <w:rPr>
                <w:spacing w:val="-5"/>
                <w:sz w:val="20"/>
              </w:rPr>
              <w:t> </w:t>
            </w:r>
            <w:r>
              <w:rPr>
                <w:sz w:val="20"/>
              </w:rPr>
              <w:t>нирматрелвира</w:t>
            </w:r>
            <w:r>
              <w:rPr>
                <w:spacing w:val="-4"/>
                <w:sz w:val="20"/>
              </w:rPr>
              <w:t> </w:t>
            </w:r>
            <w:r>
              <w:rPr>
                <w:sz w:val="20"/>
              </w:rPr>
              <w:t>+</w:t>
            </w:r>
            <w:r>
              <w:rPr>
                <w:spacing w:val="-4"/>
                <w:sz w:val="20"/>
              </w:rPr>
              <w:t> </w:t>
            </w:r>
            <w:r>
              <w:rPr>
                <w:sz w:val="20"/>
              </w:rPr>
              <w:t>100</w:t>
            </w:r>
            <w:r>
              <w:rPr>
                <w:spacing w:val="-6"/>
                <w:sz w:val="20"/>
              </w:rPr>
              <w:t> </w:t>
            </w:r>
            <w:r>
              <w:rPr>
                <w:sz w:val="20"/>
              </w:rPr>
              <w:t>мг</w:t>
            </w:r>
            <w:r>
              <w:rPr>
                <w:spacing w:val="-5"/>
                <w:sz w:val="20"/>
              </w:rPr>
              <w:t> </w:t>
            </w:r>
            <w:r>
              <w:rPr>
                <w:sz w:val="20"/>
              </w:rPr>
              <w:t>ритонавира</w:t>
            </w:r>
            <w:r>
              <w:rPr>
                <w:spacing w:val="-4"/>
                <w:sz w:val="20"/>
              </w:rPr>
              <w:t> </w:t>
            </w:r>
            <w:r>
              <w:rPr>
                <w:sz w:val="20"/>
              </w:rPr>
              <w:t>два</w:t>
            </w:r>
            <w:r>
              <w:rPr>
                <w:spacing w:val="-5"/>
                <w:sz w:val="20"/>
              </w:rPr>
              <w:t> </w:t>
            </w:r>
            <w:r>
              <w:rPr>
                <w:sz w:val="20"/>
              </w:rPr>
              <w:t>раза</w:t>
            </w:r>
            <w:r>
              <w:rPr>
                <w:spacing w:val="-4"/>
                <w:sz w:val="20"/>
              </w:rPr>
              <w:t> </w:t>
            </w:r>
            <w:r>
              <w:rPr>
                <w:sz w:val="20"/>
              </w:rPr>
              <w:t>в</w:t>
            </w:r>
            <w:r>
              <w:rPr>
                <w:spacing w:val="-5"/>
                <w:sz w:val="20"/>
              </w:rPr>
              <w:t> </w:t>
            </w:r>
            <w:r>
              <w:rPr>
                <w:sz w:val="20"/>
              </w:rPr>
              <w:t>сутки</w:t>
            </w:r>
            <w:r>
              <w:rPr>
                <w:spacing w:val="-5"/>
                <w:sz w:val="20"/>
              </w:rPr>
              <w:t> </w:t>
            </w:r>
            <w:r>
              <w:rPr>
                <w:sz w:val="20"/>
              </w:rPr>
              <w:t>(каждые</w:t>
            </w:r>
            <w:r>
              <w:rPr>
                <w:spacing w:val="-4"/>
                <w:sz w:val="20"/>
              </w:rPr>
              <w:t> </w:t>
            </w:r>
            <w:r>
              <w:rPr>
                <w:sz w:val="20"/>
              </w:rPr>
              <w:t>12</w:t>
            </w:r>
            <w:r>
              <w:rPr>
                <w:spacing w:val="-3"/>
                <w:sz w:val="20"/>
              </w:rPr>
              <w:t> </w:t>
            </w:r>
            <w:r>
              <w:rPr>
                <w:sz w:val="20"/>
              </w:rPr>
              <w:t>часов). Продолжительность</w:t>
            </w:r>
            <w:r>
              <w:rPr>
                <w:spacing w:val="-4"/>
                <w:sz w:val="20"/>
              </w:rPr>
              <w:t> </w:t>
            </w:r>
            <w:r>
              <w:rPr>
                <w:sz w:val="20"/>
              </w:rPr>
              <w:t>курса лечения - 5 суток.</w:t>
            </w:r>
          </w:p>
        </w:tc>
      </w:tr>
      <w:tr>
        <w:trPr>
          <w:trHeight w:val="460" w:hRule="atLeast"/>
        </w:trPr>
        <w:tc>
          <w:tcPr>
            <w:tcW w:w="845" w:type="dxa"/>
            <w:vMerge/>
            <w:tcBorders>
              <w:top w:val="nil"/>
            </w:tcBorders>
          </w:tcPr>
          <w:p>
            <w:pPr>
              <w:rPr>
                <w:sz w:val="2"/>
                <w:szCs w:val="2"/>
              </w:rPr>
            </w:pPr>
          </w:p>
        </w:tc>
        <w:tc>
          <w:tcPr>
            <w:tcW w:w="708" w:type="dxa"/>
          </w:tcPr>
          <w:p>
            <w:pPr>
              <w:pStyle w:val="TableParagraph"/>
              <w:spacing w:before="5"/>
              <w:ind w:left="2"/>
              <w:jc w:val="center"/>
              <w:rPr>
                <w:sz w:val="20"/>
              </w:rPr>
            </w:pPr>
            <w:r>
              <w:rPr>
                <w:spacing w:val="-10"/>
                <w:sz w:val="20"/>
              </w:rPr>
              <w:t>2</w:t>
            </w:r>
          </w:p>
        </w:tc>
        <w:tc>
          <w:tcPr>
            <w:tcW w:w="3536" w:type="dxa"/>
          </w:tcPr>
          <w:p>
            <w:pPr>
              <w:pStyle w:val="TableParagraph"/>
              <w:spacing w:before="92"/>
              <w:ind w:left="105"/>
              <w:rPr>
                <w:b/>
                <w:position w:val="8"/>
                <w:sz w:val="16"/>
              </w:rPr>
            </w:pPr>
            <w:r>
              <w:rPr>
                <w:sz w:val="20"/>
              </w:rPr>
              <w:t>ИФН-α,</w:t>
            </w:r>
            <w:r>
              <w:rPr>
                <w:spacing w:val="-9"/>
                <w:sz w:val="20"/>
              </w:rPr>
              <w:t> </w:t>
            </w:r>
            <w:r>
              <w:rPr>
                <w:sz w:val="20"/>
              </w:rPr>
              <w:t>интраназальные</w:t>
            </w:r>
            <w:r>
              <w:rPr>
                <w:spacing w:val="-9"/>
                <w:sz w:val="20"/>
              </w:rPr>
              <w:t> </w:t>
            </w:r>
            <w:r>
              <w:rPr>
                <w:sz w:val="20"/>
              </w:rPr>
              <w:t>формы</w:t>
            </w:r>
            <w:r>
              <w:rPr>
                <w:spacing w:val="-7"/>
                <w:sz w:val="20"/>
              </w:rPr>
              <w:t> </w:t>
            </w:r>
            <w:r>
              <w:rPr>
                <w:b/>
                <w:spacing w:val="-10"/>
                <w:position w:val="8"/>
                <w:sz w:val="16"/>
              </w:rPr>
              <w:t>5</w:t>
            </w:r>
          </w:p>
        </w:tc>
        <w:tc>
          <w:tcPr>
            <w:tcW w:w="9640" w:type="dxa"/>
          </w:tcPr>
          <w:p>
            <w:pPr>
              <w:pStyle w:val="TableParagraph"/>
              <w:spacing w:line="230" w:lineRule="atLeast"/>
              <w:ind w:left="99" w:right="9"/>
              <w:rPr>
                <w:sz w:val="20"/>
              </w:rPr>
            </w:pPr>
            <w:r>
              <w:rPr>
                <w:sz w:val="20"/>
              </w:rPr>
              <w:t>В</w:t>
            </w:r>
            <w:r>
              <w:rPr>
                <w:spacing w:val="-6"/>
                <w:sz w:val="20"/>
              </w:rPr>
              <w:t> </w:t>
            </w:r>
            <w:r>
              <w:rPr>
                <w:sz w:val="20"/>
              </w:rPr>
              <w:t>соответствии</w:t>
            </w:r>
            <w:r>
              <w:rPr>
                <w:spacing w:val="-6"/>
                <w:sz w:val="20"/>
              </w:rPr>
              <w:t> </w:t>
            </w:r>
            <w:r>
              <w:rPr>
                <w:sz w:val="20"/>
              </w:rPr>
              <w:t>с</w:t>
            </w:r>
            <w:r>
              <w:rPr>
                <w:spacing w:val="-5"/>
                <w:sz w:val="20"/>
              </w:rPr>
              <w:t> </w:t>
            </w:r>
            <w:r>
              <w:rPr>
                <w:sz w:val="20"/>
              </w:rPr>
              <w:t>инструкцией</w:t>
            </w:r>
            <w:r>
              <w:rPr>
                <w:spacing w:val="-6"/>
                <w:sz w:val="20"/>
              </w:rPr>
              <w:t> </w:t>
            </w:r>
            <w:r>
              <w:rPr>
                <w:sz w:val="20"/>
              </w:rPr>
              <w:t>по</w:t>
            </w:r>
            <w:r>
              <w:rPr>
                <w:spacing w:val="-4"/>
                <w:sz w:val="20"/>
              </w:rPr>
              <w:t> </w:t>
            </w:r>
            <w:r>
              <w:rPr>
                <w:sz w:val="20"/>
              </w:rPr>
              <w:t>применению</w:t>
            </w:r>
            <w:r>
              <w:rPr>
                <w:spacing w:val="-3"/>
                <w:sz w:val="20"/>
              </w:rPr>
              <w:t> </w:t>
            </w:r>
            <w:r>
              <w:rPr>
                <w:sz w:val="20"/>
              </w:rPr>
              <w:t>препарата</w:t>
            </w:r>
            <w:r>
              <w:rPr>
                <w:spacing w:val="-5"/>
                <w:sz w:val="20"/>
              </w:rPr>
              <w:t> </w:t>
            </w:r>
            <w:r>
              <w:rPr>
                <w:sz w:val="20"/>
              </w:rPr>
              <w:t>(спрей,</w:t>
            </w:r>
            <w:r>
              <w:rPr>
                <w:spacing w:val="-5"/>
                <w:sz w:val="20"/>
              </w:rPr>
              <w:t> </w:t>
            </w:r>
            <w:r>
              <w:rPr>
                <w:sz w:val="20"/>
              </w:rPr>
              <w:t>капли,</w:t>
            </w:r>
            <w:r>
              <w:rPr>
                <w:spacing w:val="-5"/>
                <w:sz w:val="20"/>
              </w:rPr>
              <w:t> </w:t>
            </w:r>
            <w:r>
              <w:rPr>
                <w:sz w:val="20"/>
              </w:rPr>
              <w:t>раствор, лиофилизат</w:t>
            </w:r>
            <w:r>
              <w:rPr>
                <w:spacing w:val="-6"/>
                <w:sz w:val="20"/>
              </w:rPr>
              <w:t> </w:t>
            </w:r>
            <w:r>
              <w:rPr>
                <w:sz w:val="20"/>
              </w:rPr>
              <w:t>для приготовления раствора, гель или мазь)</w:t>
            </w:r>
          </w:p>
        </w:tc>
      </w:tr>
      <w:tr>
        <w:trPr>
          <w:trHeight w:val="460" w:hRule="atLeast"/>
        </w:trPr>
        <w:tc>
          <w:tcPr>
            <w:tcW w:w="845" w:type="dxa"/>
            <w:vMerge/>
            <w:tcBorders>
              <w:top w:val="nil"/>
            </w:tcBorders>
          </w:tcPr>
          <w:p>
            <w:pPr>
              <w:rPr>
                <w:sz w:val="2"/>
                <w:szCs w:val="2"/>
              </w:rPr>
            </w:pPr>
          </w:p>
        </w:tc>
        <w:tc>
          <w:tcPr>
            <w:tcW w:w="708" w:type="dxa"/>
          </w:tcPr>
          <w:p>
            <w:pPr>
              <w:pStyle w:val="TableParagraph"/>
              <w:spacing w:before="5"/>
              <w:ind w:left="2"/>
              <w:jc w:val="center"/>
              <w:rPr>
                <w:sz w:val="20"/>
              </w:rPr>
            </w:pPr>
            <w:r>
              <w:rPr>
                <w:spacing w:val="-10"/>
                <w:sz w:val="20"/>
              </w:rPr>
              <w:t>3</w:t>
            </w:r>
          </w:p>
        </w:tc>
        <w:tc>
          <w:tcPr>
            <w:tcW w:w="3536" w:type="dxa"/>
          </w:tcPr>
          <w:p>
            <w:pPr>
              <w:pStyle w:val="TableParagraph"/>
              <w:spacing w:line="230" w:lineRule="atLeast"/>
              <w:ind w:left="105"/>
              <w:rPr>
                <w:sz w:val="20"/>
              </w:rPr>
            </w:pPr>
            <w:r>
              <w:rPr>
                <w:sz w:val="20"/>
              </w:rPr>
              <w:t>Будесонид</w:t>
            </w:r>
            <w:r>
              <w:rPr>
                <w:spacing w:val="-13"/>
                <w:sz w:val="20"/>
              </w:rPr>
              <w:t> </w:t>
            </w:r>
            <w:r>
              <w:rPr>
                <w:sz w:val="20"/>
              </w:rPr>
              <w:t>(порошок</w:t>
            </w:r>
            <w:r>
              <w:rPr>
                <w:spacing w:val="-12"/>
                <w:sz w:val="20"/>
              </w:rPr>
              <w:t> </w:t>
            </w:r>
            <w:r>
              <w:rPr>
                <w:sz w:val="20"/>
              </w:rPr>
              <w:t>для</w:t>
            </w:r>
            <w:r>
              <w:rPr>
                <w:spacing w:val="-13"/>
                <w:sz w:val="20"/>
              </w:rPr>
              <w:t> </w:t>
            </w:r>
            <w:r>
              <w:rPr>
                <w:sz w:val="20"/>
              </w:rPr>
              <w:t>ингаляций </w:t>
            </w:r>
            <w:r>
              <w:rPr>
                <w:spacing w:val="-2"/>
                <w:sz w:val="20"/>
              </w:rPr>
              <w:t>дозированный)</w:t>
            </w:r>
          </w:p>
        </w:tc>
        <w:tc>
          <w:tcPr>
            <w:tcW w:w="9640" w:type="dxa"/>
          </w:tcPr>
          <w:p>
            <w:pPr>
              <w:pStyle w:val="TableParagraph"/>
              <w:spacing w:before="5"/>
              <w:ind w:left="99"/>
              <w:rPr>
                <w:sz w:val="20"/>
              </w:rPr>
            </w:pPr>
            <w:r>
              <w:rPr>
                <w:sz w:val="20"/>
              </w:rPr>
              <w:t>По</w:t>
            </w:r>
            <w:r>
              <w:rPr>
                <w:spacing w:val="-3"/>
                <w:sz w:val="20"/>
              </w:rPr>
              <w:t> </w:t>
            </w:r>
            <w:r>
              <w:rPr>
                <w:sz w:val="20"/>
              </w:rPr>
              <w:t>800</w:t>
            </w:r>
            <w:r>
              <w:rPr>
                <w:spacing w:val="-6"/>
                <w:sz w:val="20"/>
              </w:rPr>
              <w:t> </w:t>
            </w:r>
            <w:r>
              <w:rPr>
                <w:sz w:val="20"/>
              </w:rPr>
              <w:t>мкг</w:t>
            </w:r>
            <w:r>
              <w:rPr>
                <w:spacing w:val="-5"/>
                <w:sz w:val="20"/>
              </w:rPr>
              <w:t> </w:t>
            </w:r>
            <w:r>
              <w:rPr>
                <w:sz w:val="20"/>
              </w:rPr>
              <w:t>2</w:t>
            </w:r>
            <w:r>
              <w:rPr>
                <w:spacing w:val="-2"/>
                <w:sz w:val="20"/>
              </w:rPr>
              <w:t> </w:t>
            </w:r>
            <w:r>
              <w:rPr>
                <w:sz w:val="20"/>
              </w:rPr>
              <w:t>раза</w:t>
            </w:r>
            <w:r>
              <w:rPr>
                <w:spacing w:val="-4"/>
                <w:sz w:val="20"/>
              </w:rPr>
              <w:t> </w:t>
            </w:r>
            <w:r>
              <w:rPr>
                <w:sz w:val="20"/>
              </w:rPr>
              <w:t>в</w:t>
            </w:r>
            <w:r>
              <w:rPr>
                <w:spacing w:val="-5"/>
                <w:sz w:val="20"/>
              </w:rPr>
              <w:t> </w:t>
            </w:r>
            <w:r>
              <w:rPr>
                <w:sz w:val="20"/>
              </w:rPr>
              <w:t>сутки</w:t>
            </w:r>
            <w:r>
              <w:rPr>
                <w:spacing w:val="-5"/>
                <w:sz w:val="20"/>
              </w:rPr>
              <w:t> </w:t>
            </w:r>
            <w:r>
              <w:rPr>
                <w:sz w:val="20"/>
              </w:rPr>
              <w:t>до</w:t>
            </w:r>
            <w:r>
              <w:rPr>
                <w:spacing w:val="-3"/>
                <w:sz w:val="20"/>
              </w:rPr>
              <w:t> </w:t>
            </w:r>
            <w:r>
              <w:rPr>
                <w:sz w:val="20"/>
              </w:rPr>
              <w:t>выздоровления,</w:t>
            </w:r>
            <w:r>
              <w:rPr>
                <w:spacing w:val="-4"/>
                <w:sz w:val="20"/>
              </w:rPr>
              <w:t> </w:t>
            </w:r>
            <w:r>
              <w:rPr>
                <w:sz w:val="20"/>
              </w:rPr>
              <w:t>но</w:t>
            </w:r>
            <w:r>
              <w:rPr>
                <w:spacing w:val="-3"/>
                <w:sz w:val="20"/>
              </w:rPr>
              <w:t> </w:t>
            </w:r>
            <w:r>
              <w:rPr>
                <w:sz w:val="20"/>
              </w:rPr>
              <w:t>не</w:t>
            </w:r>
            <w:r>
              <w:rPr>
                <w:spacing w:val="-2"/>
                <w:sz w:val="20"/>
              </w:rPr>
              <w:t> </w:t>
            </w:r>
            <w:r>
              <w:rPr>
                <w:sz w:val="20"/>
              </w:rPr>
              <w:t>более</w:t>
            </w:r>
            <w:r>
              <w:rPr>
                <w:spacing w:val="-1"/>
                <w:sz w:val="20"/>
              </w:rPr>
              <w:t> </w:t>
            </w:r>
            <w:r>
              <w:rPr>
                <w:sz w:val="20"/>
              </w:rPr>
              <w:t>14</w:t>
            </w:r>
            <w:r>
              <w:rPr>
                <w:spacing w:val="-3"/>
                <w:sz w:val="20"/>
              </w:rPr>
              <w:t> </w:t>
            </w:r>
            <w:r>
              <w:rPr>
                <w:spacing w:val="-2"/>
                <w:sz w:val="20"/>
              </w:rPr>
              <w:t>суток</w:t>
            </w:r>
          </w:p>
        </w:tc>
      </w:tr>
      <w:tr>
        <w:trPr>
          <w:trHeight w:val="230" w:hRule="atLeast"/>
        </w:trPr>
        <w:tc>
          <w:tcPr>
            <w:tcW w:w="845" w:type="dxa"/>
            <w:vMerge/>
            <w:tcBorders>
              <w:top w:val="nil"/>
            </w:tcBorders>
          </w:tcPr>
          <w:p>
            <w:pPr>
              <w:rPr>
                <w:sz w:val="2"/>
                <w:szCs w:val="2"/>
              </w:rPr>
            </w:pPr>
          </w:p>
        </w:tc>
        <w:tc>
          <w:tcPr>
            <w:tcW w:w="708" w:type="dxa"/>
          </w:tcPr>
          <w:p>
            <w:pPr>
              <w:pStyle w:val="TableParagraph"/>
              <w:spacing w:line="205" w:lineRule="exact" w:before="5"/>
              <w:ind w:left="2"/>
              <w:jc w:val="center"/>
              <w:rPr>
                <w:sz w:val="20"/>
              </w:rPr>
            </w:pPr>
            <w:r>
              <w:rPr>
                <w:spacing w:val="-10"/>
                <w:sz w:val="20"/>
              </w:rPr>
              <w:t>4</w:t>
            </w:r>
          </w:p>
        </w:tc>
        <w:tc>
          <w:tcPr>
            <w:tcW w:w="3536" w:type="dxa"/>
          </w:tcPr>
          <w:p>
            <w:pPr>
              <w:pStyle w:val="TableParagraph"/>
              <w:spacing w:line="205" w:lineRule="exact" w:before="5"/>
              <w:ind w:left="105"/>
              <w:rPr>
                <w:sz w:val="20"/>
              </w:rPr>
            </w:pPr>
            <w:r>
              <w:rPr>
                <w:spacing w:val="-2"/>
                <w:sz w:val="20"/>
              </w:rPr>
              <w:t>Парацетамол</w:t>
            </w:r>
          </w:p>
        </w:tc>
        <w:tc>
          <w:tcPr>
            <w:tcW w:w="9640" w:type="dxa"/>
          </w:tcPr>
          <w:p>
            <w:pPr>
              <w:pStyle w:val="TableParagraph"/>
              <w:spacing w:line="205" w:lineRule="exact" w:before="5"/>
              <w:ind w:left="99"/>
              <w:rPr>
                <w:sz w:val="20"/>
              </w:rPr>
            </w:pPr>
            <w:r>
              <w:rPr>
                <w:sz w:val="20"/>
              </w:rPr>
              <w:t>1-2</w:t>
            </w:r>
            <w:r>
              <w:rPr>
                <w:spacing w:val="-3"/>
                <w:sz w:val="20"/>
              </w:rPr>
              <w:t> </w:t>
            </w:r>
            <w:r>
              <w:rPr>
                <w:sz w:val="20"/>
              </w:rPr>
              <w:t>табл.</w:t>
            </w:r>
            <w:r>
              <w:rPr>
                <w:spacing w:val="-4"/>
                <w:sz w:val="20"/>
              </w:rPr>
              <w:t> </w:t>
            </w:r>
            <w:r>
              <w:rPr>
                <w:sz w:val="20"/>
              </w:rPr>
              <w:t>(500-1000</w:t>
            </w:r>
            <w:r>
              <w:rPr>
                <w:spacing w:val="-3"/>
                <w:sz w:val="20"/>
              </w:rPr>
              <w:t> </w:t>
            </w:r>
            <w:r>
              <w:rPr>
                <w:sz w:val="20"/>
              </w:rPr>
              <w:t>мг)</w:t>
            </w:r>
            <w:r>
              <w:rPr>
                <w:spacing w:val="-5"/>
                <w:sz w:val="20"/>
              </w:rPr>
              <w:t> </w:t>
            </w:r>
            <w:r>
              <w:rPr>
                <w:sz w:val="20"/>
              </w:rPr>
              <w:t>2-3</w:t>
            </w:r>
            <w:r>
              <w:rPr>
                <w:spacing w:val="-6"/>
                <w:sz w:val="20"/>
              </w:rPr>
              <w:t> </w:t>
            </w:r>
            <w:r>
              <w:rPr>
                <w:sz w:val="20"/>
              </w:rPr>
              <w:t>р/сут,</w:t>
            </w:r>
            <w:r>
              <w:rPr>
                <w:spacing w:val="-3"/>
                <w:sz w:val="20"/>
              </w:rPr>
              <w:t> </w:t>
            </w:r>
            <w:r>
              <w:rPr>
                <w:sz w:val="20"/>
              </w:rPr>
              <w:t>не</w:t>
            </w:r>
            <w:r>
              <w:rPr>
                <w:spacing w:val="-4"/>
                <w:sz w:val="20"/>
              </w:rPr>
              <w:t> </w:t>
            </w:r>
            <w:r>
              <w:rPr>
                <w:sz w:val="20"/>
              </w:rPr>
              <w:t>более</w:t>
            </w:r>
            <w:r>
              <w:rPr>
                <w:spacing w:val="-3"/>
                <w:sz w:val="20"/>
              </w:rPr>
              <w:t> </w:t>
            </w:r>
            <w:r>
              <w:rPr>
                <w:sz w:val="20"/>
              </w:rPr>
              <w:t>4</w:t>
            </w:r>
            <w:r>
              <w:rPr>
                <w:spacing w:val="-3"/>
                <w:sz w:val="20"/>
              </w:rPr>
              <w:t> </w:t>
            </w:r>
            <w:r>
              <w:rPr>
                <w:sz w:val="20"/>
              </w:rPr>
              <w:t>г</w:t>
            </w:r>
            <w:r>
              <w:rPr>
                <w:spacing w:val="-5"/>
                <w:sz w:val="20"/>
              </w:rPr>
              <w:t> </w:t>
            </w:r>
            <w:r>
              <w:rPr>
                <w:sz w:val="20"/>
              </w:rPr>
              <w:t>в</w:t>
            </w:r>
            <w:r>
              <w:rPr>
                <w:spacing w:val="-3"/>
                <w:sz w:val="20"/>
              </w:rPr>
              <w:t> </w:t>
            </w:r>
            <w:r>
              <w:rPr>
                <w:sz w:val="20"/>
              </w:rPr>
              <w:t>сутки</w:t>
            </w:r>
            <w:r>
              <w:rPr>
                <w:spacing w:val="-5"/>
                <w:sz w:val="20"/>
              </w:rPr>
              <w:t> </w:t>
            </w:r>
            <w:r>
              <w:rPr>
                <w:sz w:val="20"/>
              </w:rPr>
              <w:t>(при</w:t>
            </w:r>
            <w:r>
              <w:rPr>
                <w:spacing w:val="-4"/>
                <w:sz w:val="20"/>
              </w:rPr>
              <w:t> </w:t>
            </w:r>
            <w:r>
              <w:rPr>
                <w:sz w:val="20"/>
              </w:rPr>
              <w:t>температуре</w:t>
            </w:r>
            <w:r>
              <w:rPr>
                <w:spacing w:val="-4"/>
                <w:sz w:val="20"/>
              </w:rPr>
              <w:t> </w:t>
            </w:r>
            <w:r>
              <w:rPr>
                <w:sz w:val="20"/>
              </w:rPr>
              <w:t>тела</w:t>
            </w:r>
            <w:r>
              <w:rPr>
                <w:spacing w:val="-4"/>
                <w:sz w:val="20"/>
              </w:rPr>
              <w:t> </w:t>
            </w:r>
            <w:r>
              <w:rPr>
                <w:sz w:val="20"/>
              </w:rPr>
              <w:t>&gt;</w:t>
            </w:r>
            <w:r>
              <w:rPr>
                <w:spacing w:val="-3"/>
                <w:sz w:val="20"/>
              </w:rPr>
              <w:t> </w:t>
            </w:r>
            <w:r>
              <w:rPr>
                <w:sz w:val="20"/>
              </w:rPr>
              <w:t>38,0</w:t>
            </w:r>
            <w:r>
              <w:rPr>
                <w:spacing w:val="-3"/>
                <w:sz w:val="20"/>
              </w:rPr>
              <w:t> </w:t>
            </w:r>
            <w:r>
              <w:rPr>
                <w:spacing w:val="-5"/>
                <w:sz w:val="20"/>
              </w:rPr>
              <w:t>ºС)</w:t>
            </w:r>
          </w:p>
        </w:tc>
      </w:tr>
      <w:tr>
        <w:trPr>
          <w:trHeight w:val="230" w:hRule="atLeast"/>
        </w:trPr>
        <w:tc>
          <w:tcPr>
            <w:tcW w:w="845" w:type="dxa"/>
            <w:vMerge/>
            <w:tcBorders>
              <w:top w:val="nil"/>
            </w:tcBorders>
          </w:tcPr>
          <w:p>
            <w:pPr>
              <w:rPr>
                <w:sz w:val="2"/>
                <w:szCs w:val="2"/>
              </w:rPr>
            </w:pPr>
          </w:p>
        </w:tc>
        <w:tc>
          <w:tcPr>
            <w:tcW w:w="708" w:type="dxa"/>
            <w:vMerge w:val="restart"/>
          </w:tcPr>
          <w:p>
            <w:pPr>
              <w:pStyle w:val="TableParagraph"/>
              <w:spacing w:before="4"/>
              <w:ind w:left="2"/>
              <w:jc w:val="center"/>
              <w:rPr>
                <w:sz w:val="20"/>
              </w:rPr>
            </w:pPr>
            <w:r>
              <w:rPr>
                <w:spacing w:val="-10"/>
                <w:sz w:val="20"/>
              </w:rPr>
              <w:t>5</w:t>
            </w:r>
          </w:p>
        </w:tc>
        <w:tc>
          <w:tcPr>
            <w:tcW w:w="3536" w:type="dxa"/>
          </w:tcPr>
          <w:p>
            <w:pPr>
              <w:pStyle w:val="TableParagraph"/>
              <w:spacing w:line="205" w:lineRule="exact" w:before="4"/>
              <w:ind w:left="105"/>
              <w:rPr>
                <w:sz w:val="20"/>
              </w:rPr>
            </w:pPr>
            <w:r>
              <w:rPr>
                <w:spacing w:val="-2"/>
                <w:sz w:val="20"/>
              </w:rPr>
              <w:t>Тофацитиниб</w:t>
            </w:r>
          </w:p>
        </w:tc>
        <w:tc>
          <w:tcPr>
            <w:tcW w:w="9640" w:type="dxa"/>
          </w:tcPr>
          <w:p>
            <w:pPr>
              <w:pStyle w:val="TableParagraph"/>
              <w:spacing w:line="205" w:lineRule="exact" w:before="4"/>
              <w:ind w:left="99"/>
              <w:rPr>
                <w:sz w:val="20"/>
              </w:rPr>
            </w:pPr>
            <w:r>
              <w:rPr>
                <w:sz w:val="20"/>
              </w:rPr>
              <w:t>10</w:t>
            </w:r>
            <w:r>
              <w:rPr>
                <w:spacing w:val="-2"/>
                <w:sz w:val="20"/>
              </w:rPr>
              <w:t> </w:t>
            </w:r>
            <w:r>
              <w:rPr>
                <w:sz w:val="20"/>
              </w:rPr>
              <w:t>мг</w:t>
            </w:r>
            <w:r>
              <w:rPr>
                <w:spacing w:val="-3"/>
                <w:sz w:val="20"/>
              </w:rPr>
              <w:t> </w:t>
            </w:r>
            <w:r>
              <w:rPr>
                <w:sz w:val="20"/>
              </w:rPr>
              <w:t>2</w:t>
            </w:r>
            <w:r>
              <w:rPr>
                <w:spacing w:val="-3"/>
                <w:sz w:val="20"/>
              </w:rPr>
              <w:t> </w:t>
            </w:r>
            <w:r>
              <w:rPr>
                <w:sz w:val="20"/>
              </w:rPr>
              <w:t>р/сут</w:t>
            </w:r>
            <w:r>
              <w:rPr>
                <w:spacing w:val="-3"/>
                <w:sz w:val="20"/>
              </w:rPr>
              <w:t> </w:t>
            </w:r>
            <w:r>
              <w:rPr>
                <w:sz w:val="20"/>
              </w:rPr>
              <w:t>в</w:t>
            </w:r>
            <w:r>
              <w:rPr>
                <w:spacing w:val="-4"/>
                <w:sz w:val="20"/>
              </w:rPr>
              <w:t> </w:t>
            </w:r>
            <w:r>
              <w:rPr>
                <w:sz w:val="20"/>
              </w:rPr>
              <w:t>течение</w:t>
            </w:r>
            <w:r>
              <w:rPr>
                <w:spacing w:val="-2"/>
                <w:sz w:val="20"/>
              </w:rPr>
              <w:t> </w:t>
            </w:r>
            <w:r>
              <w:rPr>
                <w:sz w:val="20"/>
              </w:rPr>
              <w:t>7-14</w:t>
            </w:r>
            <w:r>
              <w:rPr>
                <w:spacing w:val="-4"/>
                <w:sz w:val="20"/>
              </w:rPr>
              <w:t> дней</w:t>
            </w:r>
          </w:p>
        </w:tc>
      </w:tr>
      <w:tr>
        <w:trPr>
          <w:trHeight w:val="23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13176" w:type="dxa"/>
            <w:gridSpan w:val="2"/>
          </w:tcPr>
          <w:p>
            <w:pPr>
              <w:pStyle w:val="TableParagraph"/>
              <w:spacing w:line="206" w:lineRule="exact" w:before="4"/>
              <w:ind w:left="105"/>
              <w:rPr>
                <w:sz w:val="20"/>
              </w:rPr>
            </w:pPr>
            <w:r>
              <w:rPr>
                <w:spacing w:val="-5"/>
                <w:sz w:val="20"/>
              </w:rPr>
              <w:t>или</w:t>
            </w:r>
          </w:p>
        </w:tc>
      </w:tr>
      <w:tr>
        <w:trPr>
          <w:trHeight w:val="23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line="206" w:lineRule="exact" w:before="4"/>
              <w:ind w:left="105"/>
              <w:rPr>
                <w:sz w:val="20"/>
              </w:rPr>
            </w:pPr>
            <w:r>
              <w:rPr>
                <w:spacing w:val="-2"/>
                <w:sz w:val="20"/>
              </w:rPr>
              <w:t>Барицитиниб</w:t>
            </w:r>
          </w:p>
        </w:tc>
        <w:tc>
          <w:tcPr>
            <w:tcW w:w="9640" w:type="dxa"/>
          </w:tcPr>
          <w:p>
            <w:pPr>
              <w:pStyle w:val="TableParagraph"/>
              <w:spacing w:line="206" w:lineRule="exact" w:before="4"/>
              <w:ind w:left="99"/>
              <w:rPr>
                <w:sz w:val="20"/>
              </w:rPr>
            </w:pPr>
            <w:r>
              <w:rPr>
                <w:sz w:val="20"/>
              </w:rPr>
              <w:t>4</w:t>
            </w:r>
            <w:r>
              <w:rPr>
                <w:spacing w:val="-2"/>
                <w:sz w:val="20"/>
              </w:rPr>
              <w:t> </w:t>
            </w:r>
            <w:r>
              <w:rPr>
                <w:sz w:val="20"/>
              </w:rPr>
              <w:t>мг</w:t>
            </w:r>
            <w:r>
              <w:rPr>
                <w:spacing w:val="-4"/>
                <w:sz w:val="20"/>
              </w:rPr>
              <w:t> </w:t>
            </w:r>
            <w:r>
              <w:rPr>
                <w:sz w:val="20"/>
              </w:rPr>
              <w:t>1</w:t>
            </w:r>
            <w:r>
              <w:rPr>
                <w:spacing w:val="-3"/>
                <w:sz w:val="20"/>
              </w:rPr>
              <w:t> </w:t>
            </w:r>
            <w:r>
              <w:rPr>
                <w:sz w:val="20"/>
              </w:rPr>
              <w:t>р/сут</w:t>
            </w:r>
            <w:r>
              <w:rPr>
                <w:spacing w:val="-4"/>
                <w:sz w:val="20"/>
              </w:rPr>
              <w:t> </w:t>
            </w:r>
            <w:r>
              <w:rPr>
                <w:sz w:val="20"/>
              </w:rPr>
              <w:t>в</w:t>
            </w:r>
            <w:r>
              <w:rPr>
                <w:spacing w:val="-3"/>
                <w:sz w:val="20"/>
              </w:rPr>
              <w:t> </w:t>
            </w:r>
            <w:r>
              <w:rPr>
                <w:sz w:val="20"/>
              </w:rPr>
              <w:t>течение</w:t>
            </w:r>
            <w:r>
              <w:rPr>
                <w:spacing w:val="-3"/>
                <w:sz w:val="20"/>
              </w:rPr>
              <w:t> </w:t>
            </w:r>
            <w:r>
              <w:rPr>
                <w:sz w:val="20"/>
              </w:rPr>
              <w:t>7-14</w:t>
            </w:r>
            <w:r>
              <w:rPr>
                <w:spacing w:val="-1"/>
                <w:sz w:val="20"/>
              </w:rPr>
              <w:t> </w:t>
            </w:r>
            <w:r>
              <w:rPr>
                <w:spacing w:val="-4"/>
                <w:sz w:val="20"/>
              </w:rPr>
              <w:t>дней</w:t>
            </w:r>
          </w:p>
        </w:tc>
      </w:tr>
      <w:tr>
        <w:trPr>
          <w:trHeight w:val="23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13176" w:type="dxa"/>
            <w:gridSpan w:val="2"/>
          </w:tcPr>
          <w:p>
            <w:pPr>
              <w:pStyle w:val="TableParagraph"/>
              <w:spacing w:line="206" w:lineRule="exact" w:before="4"/>
              <w:ind w:left="105"/>
              <w:rPr>
                <w:sz w:val="20"/>
              </w:rPr>
            </w:pPr>
            <w:r>
              <w:rPr>
                <w:spacing w:val="-5"/>
                <w:sz w:val="20"/>
              </w:rPr>
              <w:t>или</w:t>
            </w:r>
          </w:p>
        </w:tc>
      </w:tr>
      <w:tr>
        <w:trPr>
          <w:trHeight w:val="23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line="206" w:lineRule="exact" w:before="3"/>
              <w:ind w:left="105"/>
              <w:rPr>
                <w:sz w:val="20"/>
              </w:rPr>
            </w:pPr>
            <w:r>
              <w:rPr>
                <w:spacing w:val="-2"/>
                <w:sz w:val="20"/>
              </w:rPr>
              <w:t>Упадацитиниб</w:t>
            </w:r>
          </w:p>
        </w:tc>
        <w:tc>
          <w:tcPr>
            <w:tcW w:w="9640" w:type="dxa"/>
          </w:tcPr>
          <w:p>
            <w:pPr>
              <w:pStyle w:val="TableParagraph"/>
              <w:spacing w:line="206" w:lineRule="exact" w:before="3"/>
              <w:ind w:left="99"/>
              <w:rPr>
                <w:sz w:val="20"/>
              </w:rPr>
            </w:pPr>
            <w:r>
              <w:rPr>
                <w:sz w:val="20"/>
              </w:rPr>
              <w:t>15</w:t>
            </w:r>
            <w:r>
              <w:rPr>
                <w:spacing w:val="-2"/>
                <w:sz w:val="20"/>
              </w:rPr>
              <w:t> </w:t>
            </w:r>
            <w:r>
              <w:rPr>
                <w:sz w:val="20"/>
              </w:rPr>
              <w:t>мг</w:t>
            </w:r>
            <w:r>
              <w:rPr>
                <w:spacing w:val="-4"/>
                <w:sz w:val="20"/>
              </w:rPr>
              <w:t> </w:t>
            </w:r>
            <w:r>
              <w:rPr>
                <w:sz w:val="20"/>
              </w:rPr>
              <w:t>1</w:t>
            </w:r>
            <w:r>
              <w:rPr>
                <w:spacing w:val="-3"/>
                <w:sz w:val="20"/>
              </w:rPr>
              <w:t> </w:t>
            </w:r>
            <w:r>
              <w:rPr>
                <w:sz w:val="20"/>
              </w:rPr>
              <w:t>р/сут</w:t>
            </w:r>
            <w:r>
              <w:rPr>
                <w:spacing w:val="-2"/>
                <w:sz w:val="20"/>
              </w:rPr>
              <w:t> </w:t>
            </w:r>
            <w:r>
              <w:rPr>
                <w:sz w:val="20"/>
              </w:rPr>
              <w:t>в</w:t>
            </w:r>
            <w:r>
              <w:rPr>
                <w:spacing w:val="-3"/>
                <w:sz w:val="20"/>
              </w:rPr>
              <w:t> </w:t>
            </w:r>
            <w:r>
              <w:rPr>
                <w:sz w:val="20"/>
              </w:rPr>
              <w:t>течение</w:t>
            </w:r>
            <w:r>
              <w:rPr>
                <w:spacing w:val="-3"/>
                <w:sz w:val="20"/>
              </w:rPr>
              <w:t> </w:t>
            </w:r>
            <w:r>
              <w:rPr>
                <w:sz w:val="20"/>
              </w:rPr>
              <w:t>7-14</w:t>
            </w:r>
            <w:r>
              <w:rPr>
                <w:spacing w:val="-4"/>
                <w:sz w:val="20"/>
              </w:rPr>
              <w:t> дней</w:t>
            </w:r>
          </w:p>
        </w:tc>
      </w:tr>
      <w:tr>
        <w:trPr>
          <w:trHeight w:val="230" w:hRule="atLeast"/>
        </w:trPr>
        <w:tc>
          <w:tcPr>
            <w:tcW w:w="845" w:type="dxa"/>
            <w:vMerge/>
            <w:tcBorders>
              <w:top w:val="nil"/>
            </w:tcBorders>
          </w:tcPr>
          <w:p>
            <w:pPr>
              <w:rPr>
                <w:sz w:val="2"/>
                <w:szCs w:val="2"/>
              </w:rPr>
            </w:pPr>
          </w:p>
        </w:tc>
        <w:tc>
          <w:tcPr>
            <w:tcW w:w="708" w:type="dxa"/>
            <w:vMerge w:val="restart"/>
          </w:tcPr>
          <w:p>
            <w:pPr>
              <w:pStyle w:val="TableParagraph"/>
              <w:spacing w:line="153" w:lineRule="auto" w:before="40"/>
              <w:ind w:left="5"/>
              <w:jc w:val="center"/>
              <w:rPr>
                <w:sz w:val="13"/>
              </w:rPr>
            </w:pPr>
            <w:r>
              <w:rPr>
                <w:spacing w:val="-5"/>
                <w:position w:val="-6"/>
                <w:sz w:val="20"/>
              </w:rPr>
              <w:t>6</w:t>
            </w:r>
            <w:r>
              <w:rPr>
                <w:spacing w:val="-5"/>
                <w:sz w:val="13"/>
              </w:rPr>
              <w:t>8</w:t>
            </w:r>
          </w:p>
        </w:tc>
        <w:tc>
          <w:tcPr>
            <w:tcW w:w="3536" w:type="dxa"/>
          </w:tcPr>
          <w:p>
            <w:pPr>
              <w:pStyle w:val="TableParagraph"/>
              <w:spacing w:line="206" w:lineRule="exact" w:before="3"/>
              <w:ind w:left="105"/>
              <w:rPr>
                <w:sz w:val="20"/>
              </w:rPr>
            </w:pPr>
            <w:r>
              <w:rPr>
                <w:spacing w:val="-2"/>
                <w:sz w:val="20"/>
              </w:rPr>
              <w:t>Ривароксабан</w:t>
            </w:r>
          </w:p>
        </w:tc>
        <w:tc>
          <w:tcPr>
            <w:tcW w:w="9640" w:type="dxa"/>
          </w:tcPr>
          <w:p>
            <w:pPr>
              <w:pStyle w:val="TableParagraph"/>
              <w:spacing w:line="206" w:lineRule="exact" w:before="3"/>
              <w:ind w:left="99"/>
              <w:rPr>
                <w:sz w:val="20"/>
              </w:rPr>
            </w:pPr>
            <w:r>
              <w:rPr>
                <w:sz w:val="20"/>
              </w:rPr>
              <w:t>10</w:t>
            </w:r>
            <w:r>
              <w:rPr>
                <w:spacing w:val="-2"/>
                <w:sz w:val="20"/>
              </w:rPr>
              <w:t> </w:t>
            </w:r>
            <w:r>
              <w:rPr>
                <w:sz w:val="20"/>
              </w:rPr>
              <w:t>мг</w:t>
            </w:r>
            <w:r>
              <w:rPr>
                <w:spacing w:val="-4"/>
                <w:sz w:val="20"/>
              </w:rPr>
              <w:t> </w:t>
            </w:r>
            <w:r>
              <w:rPr>
                <w:sz w:val="20"/>
              </w:rPr>
              <w:t>1</w:t>
            </w:r>
            <w:r>
              <w:rPr>
                <w:spacing w:val="-3"/>
                <w:sz w:val="20"/>
              </w:rPr>
              <w:t> </w:t>
            </w:r>
            <w:r>
              <w:rPr>
                <w:sz w:val="20"/>
              </w:rPr>
              <w:t>р/сут</w:t>
            </w:r>
            <w:r>
              <w:rPr>
                <w:spacing w:val="-4"/>
                <w:sz w:val="20"/>
              </w:rPr>
              <w:t> </w:t>
            </w:r>
            <w:r>
              <w:rPr>
                <w:sz w:val="20"/>
              </w:rPr>
              <w:t>вплоть</w:t>
            </w:r>
            <w:r>
              <w:rPr>
                <w:spacing w:val="-2"/>
                <w:sz w:val="20"/>
              </w:rPr>
              <w:t> </w:t>
            </w:r>
            <w:r>
              <w:rPr>
                <w:sz w:val="20"/>
              </w:rPr>
              <w:t>до</w:t>
            </w:r>
            <w:r>
              <w:rPr>
                <w:spacing w:val="-3"/>
                <w:sz w:val="20"/>
              </w:rPr>
              <w:t> </w:t>
            </w:r>
            <w:r>
              <w:rPr>
                <w:sz w:val="20"/>
              </w:rPr>
              <w:t>30</w:t>
            </w:r>
            <w:r>
              <w:rPr>
                <w:spacing w:val="-2"/>
                <w:sz w:val="20"/>
              </w:rPr>
              <w:t> </w:t>
            </w:r>
            <w:r>
              <w:rPr>
                <w:spacing w:val="-4"/>
                <w:sz w:val="20"/>
              </w:rPr>
              <w:t>дней</w:t>
            </w:r>
          </w:p>
        </w:tc>
      </w:tr>
      <w:tr>
        <w:trPr>
          <w:trHeight w:val="23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13176" w:type="dxa"/>
            <w:gridSpan w:val="2"/>
          </w:tcPr>
          <w:p>
            <w:pPr>
              <w:pStyle w:val="TableParagraph"/>
              <w:spacing w:line="207" w:lineRule="exact" w:before="3"/>
              <w:ind w:left="105"/>
              <w:rPr>
                <w:sz w:val="20"/>
              </w:rPr>
            </w:pPr>
            <w:r>
              <w:rPr>
                <w:spacing w:val="-5"/>
                <w:sz w:val="20"/>
              </w:rPr>
              <w:t>или</w:t>
            </w:r>
          </w:p>
        </w:tc>
      </w:tr>
      <w:tr>
        <w:trPr>
          <w:trHeight w:val="23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line="207" w:lineRule="exact" w:before="3"/>
              <w:ind w:left="105"/>
              <w:rPr>
                <w:sz w:val="20"/>
              </w:rPr>
            </w:pPr>
            <w:r>
              <w:rPr>
                <w:spacing w:val="-2"/>
                <w:sz w:val="20"/>
              </w:rPr>
              <w:t>Апиксабан</w:t>
            </w:r>
          </w:p>
        </w:tc>
        <w:tc>
          <w:tcPr>
            <w:tcW w:w="9640" w:type="dxa"/>
          </w:tcPr>
          <w:p>
            <w:pPr>
              <w:pStyle w:val="TableParagraph"/>
              <w:spacing w:line="207" w:lineRule="exact" w:before="3"/>
              <w:ind w:left="99"/>
              <w:rPr>
                <w:sz w:val="20"/>
              </w:rPr>
            </w:pPr>
            <w:r>
              <w:rPr>
                <w:sz w:val="20"/>
              </w:rPr>
              <w:t>2,5</w:t>
            </w:r>
            <w:r>
              <w:rPr>
                <w:spacing w:val="-2"/>
                <w:sz w:val="20"/>
              </w:rPr>
              <w:t> </w:t>
            </w:r>
            <w:r>
              <w:rPr>
                <w:sz w:val="20"/>
              </w:rPr>
              <w:t>мг</w:t>
            </w:r>
            <w:r>
              <w:rPr>
                <w:spacing w:val="-6"/>
                <w:sz w:val="20"/>
              </w:rPr>
              <w:t> </w:t>
            </w:r>
            <w:r>
              <w:rPr>
                <w:sz w:val="20"/>
              </w:rPr>
              <w:t>2</w:t>
            </w:r>
            <w:r>
              <w:rPr>
                <w:spacing w:val="-1"/>
                <w:sz w:val="20"/>
              </w:rPr>
              <w:t> </w:t>
            </w:r>
            <w:r>
              <w:rPr>
                <w:sz w:val="20"/>
              </w:rPr>
              <w:t>р/сут</w:t>
            </w:r>
            <w:r>
              <w:rPr>
                <w:spacing w:val="-4"/>
                <w:sz w:val="20"/>
              </w:rPr>
              <w:t> </w:t>
            </w:r>
            <w:r>
              <w:rPr>
                <w:sz w:val="20"/>
              </w:rPr>
              <w:t>вплоть</w:t>
            </w:r>
            <w:r>
              <w:rPr>
                <w:spacing w:val="-3"/>
                <w:sz w:val="20"/>
              </w:rPr>
              <w:t> </w:t>
            </w:r>
            <w:r>
              <w:rPr>
                <w:sz w:val="20"/>
              </w:rPr>
              <w:t>до</w:t>
            </w:r>
            <w:r>
              <w:rPr>
                <w:spacing w:val="-2"/>
                <w:sz w:val="20"/>
              </w:rPr>
              <w:t> </w:t>
            </w:r>
            <w:r>
              <w:rPr>
                <w:sz w:val="20"/>
              </w:rPr>
              <w:t>30</w:t>
            </w:r>
            <w:r>
              <w:rPr>
                <w:spacing w:val="-2"/>
                <w:sz w:val="20"/>
              </w:rPr>
              <w:t> </w:t>
            </w:r>
            <w:r>
              <w:rPr>
                <w:spacing w:val="-4"/>
                <w:sz w:val="20"/>
              </w:rPr>
              <w:t>дней</w:t>
            </w:r>
          </w:p>
        </w:tc>
      </w:tr>
      <w:tr>
        <w:trPr>
          <w:trHeight w:val="23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13176" w:type="dxa"/>
            <w:gridSpan w:val="2"/>
          </w:tcPr>
          <w:p>
            <w:pPr>
              <w:pStyle w:val="TableParagraph"/>
              <w:spacing w:line="207" w:lineRule="exact" w:before="3"/>
              <w:ind w:left="105"/>
              <w:rPr>
                <w:sz w:val="20"/>
              </w:rPr>
            </w:pPr>
            <w:r>
              <w:rPr>
                <w:spacing w:val="-5"/>
                <w:sz w:val="20"/>
              </w:rPr>
              <w:t>или</w:t>
            </w:r>
          </w:p>
        </w:tc>
      </w:tr>
      <w:tr>
        <w:trPr>
          <w:trHeight w:val="460" w:hRule="atLeast"/>
        </w:trPr>
        <w:tc>
          <w:tcPr>
            <w:tcW w:w="845" w:type="dxa"/>
            <w:vMerge/>
            <w:tcBorders>
              <w:top w:val="nil"/>
            </w:tcBorders>
          </w:tcPr>
          <w:p>
            <w:pPr>
              <w:rPr>
                <w:sz w:val="2"/>
                <w:szCs w:val="2"/>
              </w:rPr>
            </w:pPr>
          </w:p>
        </w:tc>
        <w:tc>
          <w:tcPr>
            <w:tcW w:w="708" w:type="dxa"/>
            <w:vMerge/>
            <w:tcBorders>
              <w:top w:val="nil"/>
            </w:tcBorders>
          </w:tcPr>
          <w:p>
            <w:pPr>
              <w:rPr>
                <w:sz w:val="2"/>
                <w:szCs w:val="2"/>
              </w:rPr>
            </w:pPr>
          </w:p>
        </w:tc>
        <w:tc>
          <w:tcPr>
            <w:tcW w:w="3536" w:type="dxa"/>
          </w:tcPr>
          <w:p>
            <w:pPr>
              <w:pStyle w:val="TableParagraph"/>
              <w:spacing w:before="117"/>
              <w:ind w:left="105"/>
              <w:rPr>
                <w:b/>
                <w:sz w:val="20"/>
              </w:rPr>
            </w:pPr>
            <w:r>
              <w:rPr>
                <w:spacing w:val="-2"/>
                <w:sz w:val="20"/>
              </w:rPr>
              <w:t>Дабигатрана</w:t>
            </w:r>
            <w:r>
              <w:rPr>
                <w:spacing w:val="7"/>
                <w:sz w:val="20"/>
              </w:rPr>
              <w:t> </w:t>
            </w:r>
            <w:r>
              <w:rPr>
                <w:spacing w:val="-2"/>
                <w:sz w:val="20"/>
              </w:rPr>
              <w:t>этексилат</w:t>
            </w:r>
            <w:r>
              <w:rPr>
                <w:b/>
                <w:spacing w:val="-2"/>
                <w:sz w:val="20"/>
                <w:vertAlign w:val="superscript"/>
              </w:rPr>
              <w:t>6</w:t>
            </w:r>
          </w:p>
        </w:tc>
        <w:tc>
          <w:tcPr>
            <w:tcW w:w="9640" w:type="dxa"/>
          </w:tcPr>
          <w:p>
            <w:pPr>
              <w:pStyle w:val="TableParagraph"/>
              <w:spacing w:before="2"/>
              <w:ind w:left="99"/>
              <w:rPr>
                <w:sz w:val="20"/>
              </w:rPr>
            </w:pPr>
            <w:r>
              <w:rPr>
                <w:sz w:val="20"/>
              </w:rPr>
              <w:t>110</w:t>
            </w:r>
            <w:r>
              <w:rPr>
                <w:spacing w:val="-1"/>
                <w:sz w:val="20"/>
              </w:rPr>
              <w:t> </w:t>
            </w:r>
            <w:r>
              <w:rPr>
                <w:sz w:val="20"/>
              </w:rPr>
              <w:t>мг</w:t>
            </w:r>
            <w:r>
              <w:rPr>
                <w:spacing w:val="-4"/>
                <w:sz w:val="20"/>
              </w:rPr>
              <w:t> </w:t>
            </w:r>
            <w:r>
              <w:rPr>
                <w:sz w:val="20"/>
              </w:rPr>
              <w:t>2 </w:t>
            </w:r>
            <w:r>
              <w:rPr>
                <w:spacing w:val="-2"/>
                <w:sz w:val="20"/>
              </w:rPr>
              <w:t>раза/сут;</w:t>
            </w:r>
          </w:p>
          <w:p>
            <w:pPr>
              <w:pStyle w:val="TableParagraph"/>
              <w:spacing w:line="208" w:lineRule="exact" w:before="1"/>
              <w:ind w:left="99"/>
              <w:rPr>
                <w:sz w:val="20"/>
              </w:rPr>
            </w:pPr>
            <w:r>
              <w:rPr>
                <w:sz w:val="20"/>
              </w:rPr>
              <w:t>75</w:t>
            </w:r>
            <w:r>
              <w:rPr>
                <w:spacing w:val="-4"/>
                <w:sz w:val="20"/>
              </w:rPr>
              <w:t> </w:t>
            </w:r>
            <w:r>
              <w:rPr>
                <w:sz w:val="20"/>
              </w:rPr>
              <w:t>мг</w:t>
            </w:r>
            <w:r>
              <w:rPr>
                <w:spacing w:val="-5"/>
                <w:sz w:val="20"/>
              </w:rPr>
              <w:t> </w:t>
            </w:r>
            <w:r>
              <w:rPr>
                <w:sz w:val="20"/>
              </w:rPr>
              <w:t>2</w:t>
            </w:r>
            <w:r>
              <w:rPr>
                <w:spacing w:val="-6"/>
                <w:sz w:val="20"/>
              </w:rPr>
              <w:t> </w:t>
            </w:r>
            <w:r>
              <w:rPr>
                <w:sz w:val="20"/>
              </w:rPr>
              <w:t>раза/сут</w:t>
            </w:r>
            <w:r>
              <w:rPr>
                <w:spacing w:val="-3"/>
                <w:sz w:val="20"/>
              </w:rPr>
              <w:t> </w:t>
            </w:r>
            <w:r>
              <w:rPr>
                <w:sz w:val="20"/>
              </w:rPr>
              <w:t>у</w:t>
            </w:r>
            <w:r>
              <w:rPr>
                <w:spacing w:val="-4"/>
                <w:sz w:val="20"/>
              </w:rPr>
              <w:t> </w:t>
            </w:r>
            <w:r>
              <w:rPr>
                <w:sz w:val="20"/>
              </w:rPr>
              <w:t>больных</w:t>
            </w:r>
            <w:r>
              <w:rPr>
                <w:spacing w:val="-3"/>
                <w:sz w:val="20"/>
              </w:rPr>
              <w:t> </w:t>
            </w:r>
            <w:r>
              <w:rPr>
                <w:sz w:val="20"/>
              </w:rPr>
              <w:t>с</w:t>
            </w:r>
            <w:r>
              <w:rPr>
                <w:spacing w:val="-6"/>
                <w:sz w:val="20"/>
              </w:rPr>
              <w:t> </w:t>
            </w:r>
            <w:r>
              <w:rPr>
                <w:sz w:val="20"/>
              </w:rPr>
              <w:t>клиренсом</w:t>
            </w:r>
            <w:r>
              <w:rPr>
                <w:spacing w:val="-4"/>
                <w:sz w:val="20"/>
              </w:rPr>
              <w:t> </w:t>
            </w:r>
            <w:r>
              <w:rPr>
                <w:sz w:val="20"/>
              </w:rPr>
              <w:t>креатинина</w:t>
            </w:r>
            <w:r>
              <w:rPr>
                <w:spacing w:val="-4"/>
                <w:sz w:val="20"/>
              </w:rPr>
              <w:t> </w:t>
            </w:r>
            <w:r>
              <w:rPr>
                <w:sz w:val="20"/>
              </w:rPr>
              <w:t>30-49</w:t>
            </w:r>
            <w:r>
              <w:rPr>
                <w:spacing w:val="-4"/>
                <w:sz w:val="20"/>
              </w:rPr>
              <w:t> </w:t>
            </w:r>
            <w:r>
              <w:rPr>
                <w:sz w:val="20"/>
              </w:rPr>
              <w:t>мл/мин</w:t>
            </w:r>
            <w:r>
              <w:rPr>
                <w:spacing w:val="-4"/>
                <w:sz w:val="20"/>
              </w:rPr>
              <w:t> </w:t>
            </w:r>
            <w:r>
              <w:rPr>
                <w:sz w:val="20"/>
              </w:rPr>
              <w:t>вплоть</w:t>
            </w:r>
            <w:r>
              <w:rPr>
                <w:spacing w:val="-2"/>
                <w:sz w:val="20"/>
              </w:rPr>
              <w:t> </w:t>
            </w:r>
            <w:r>
              <w:rPr>
                <w:sz w:val="20"/>
              </w:rPr>
              <w:t>до</w:t>
            </w:r>
            <w:r>
              <w:rPr>
                <w:spacing w:val="-5"/>
                <w:sz w:val="20"/>
              </w:rPr>
              <w:t> </w:t>
            </w:r>
            <w:r>
              <w:rPr>
                <w:sz w:val="20"/>
              </w:rPr>
              <w:t>30</w:t>
            </w:r>
            <w:r>
              <w:rPr>
                <w:spacing w:val="-3"/>
                <w:sz w:val="20"/>
              </w:rPr>
              <w:t> </w:t>
            </w:r>
            <w:r>
              <w:rPr>
                <w:spacing w:val="-4"/>
                <w:sz w:val="20"/>
              </w:rPr>
              <w:t>дней</w:t>
            </w:r>
          </w:p>
        </w:tc>
      </w:tr>
      <w:tr>
        <w:trPr>
          <w:trHeight w:val="229" w:hRule="atLeast"/>
        </w:trPr>
        <w:tc>
          <w:tcPr>
            <w:tcW w:w="845" w:type="dxa"/>
          </w:tcPr>
          <w:p>
            <w:pPr>
              <w:pStyle w:val="TableParagraph"/>
              <w:rPr>
                <w:sz w:val="16"/>
              </w:rPr>
            </w:pPr>
          </w:p>
        </w:tc>
        <w:tc>
          <w:tcPr>
            <w:tcW w:w="708" w:type="dxa"/>
          </w:tcPr>
          <w:p>
            <w:pPr>
              <w:pStyle w:val="TableParagraph"/>
              <w:rPr>
                <w:sz w:val="16"/>
              </w:rPr>
            </w:pPr>
          </w:p>
        </w:tc>
        <w:tc>
          <w:tcPr>
            <w:tcW w:w="3536" w:type="dxa"/>
          </w:tcPr>
          <w:p>
            <w:pPr>
              <w:pStyle w:val="TableParagraph"/>
              <w:spacing w:line="208" w:lineRule="exact" w:before="2"/>
              <w:ind w:left="105"/>
              <w:rPr>
                <w:sz w:val="20"/>
              </w:rPr>
            </w:pPr>
            <w:r>
              <w:rPr>
                <w:spacing w:val="-5"/>
                <w:sz w:val="20"/>
              </w:rPr>
              <w:t>или</w:t>
            </w:r>
          </w:p>
        </w:tc>
        <w:tc>
          <w:tcPr>
            <w:tcW w:w="9640" w:type="dxa"/>
          </w:tcPr>
          <w:p>
            <w:pPr>
              <w:pStyle w:val="TableParagraph"/>
              <w:rPr>
                <w:sz w:val="16"/>
              </w:rPr>
            </w:pPr>
          </w:p>
        </w:tc>
      </w:tr>
    </w:tbl>
    <w:p>
      <w:pPr>
        <w:pStyle w:val="BodyText"/>
        <w:spacing w:before="45"/>
        <w:ind w:left="0"/>
        <w:jc w:val="left"/>
        <w:rPr>
          <w:sz w:val="22"/>
        </w:rPr>
      </w:pPr>
    </w:p>
    <w:p>
      <w:pPr>
        <w:spacing w:before="0"/>
        <w:ind w:left="0" w:right="15" w:firstLine="0"/>
        <w:jc w:val="center"/>
        <w:rPr>
          <w:rFonts w:ascii="Calibri"/>
          <w:sz w:val="22"/>
        </w:rPr>
      </w:pPr>
      <w:r>
        <w:rPr>
          <w:rFonts w:ascii="Calibri"/>
          <w:spacing w:val="-5"/>
          <w:sz w:val="22"/>
        </w:rPr>
        <w:t>211</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45"/>
        <w:gridCol w:w="708"/>
        <w:gridCol w:w="3536"/>
        <w:gridCol w:w="9640"/>
      </w:tblGrid>
      <w:tr>
        <w:trPr>
          <w:trHeight w:val="966" w:hRule="atLeast"/>
        </w:trPr>
        <w:tc>
          <w:tcPr>
            <w:tcW w:w="845" w:type="dxa"/>
          </w:tcPr>
          <w:p>
            <w:pPr>
              <w:pStyle w:val="TableParagraph"/>
              <w:rPr>
                <w:sz w:val="18"/>
              </w:rPr>
            </w:pPr>
          </w:p>
        </w:tc>
        <w:tc>
          <w:tcPr>
            <w:tcW w:w="708" w:type="dxa"/>
          </w:tcPr>
          <w:p>
            <w:pPr>
              <w:pStyle w:val="TableParagraph"/>
              <w:rPr>
                <w:sz w:val="18"/>
              </w:rPr>
            </w:pPr>
          </w:p>
        </w:tc>
        <w:tc>
          <w:tcPr>
            <w:tcW w:w="3536" w:type="dxa"/>
          </w:tcPr>
          <w:p>
            <w:pPr>
              <w:pStyle w:val="TableParagraph"/>
              <w:spacing w:line="244" w:lineRule="auto" w:before="3"/>
              <w:ind w:left="105" w:right="168"/>
              <w:rPr>
                <w:sz w:val="20"/>
              </w:rPr>
            </w:pPr>
            <w:bookmarkStart w:name="213" w:id="254"/>
            <w:bookmarkEnd w:id="254"/>
            <w:r>
              <w:rPr/>
            </w:r>
            <w:r>
              <w:rPr>
                <w:sz w:val="20"/>
              </w:rPr>
              <w:t>Тедиксабан </w:t>
            </w:r>
            <w:r>
              <w:rPr>
                <w:b/>
                <w:position w:val="8"/>
                <w:sz w:val="16"/>
              </w:rPr>
              <w:t>10</w:t>
            </w:r>
            <w:r>
              <w:rPr>
                <w:b/>
                <w:spacing w:val="35"/>
                <w:position w:val="8"/>
                <w:sz w:val="16"/>
              </w:rPr>
              <w:t> </w:t>
            </w:r>
            <w:r>
              <w:rPr>
                <w:sz w:val="20"/>
              </w:rPr>
              <w:t>(N-(5-Хлорпиридин-2- </w:t>
            </w:r>
            <w:r>
              <w:rPr>
                <w:spacing w:val="-2"/>
                <w:sz w:val="20"/>
              </w:rPr>
              <w:t>ил)-5-метил-2-(4-(N- метилацетимидамидо)бензамидо)бенз</w:t>
            </w:r>
          </w:p>
          <w:p>
            <w:pPr>
              <w:pStyle w:val="TableParagraph"/>
              <w:spacing w:line="197" w:lineRule="exact"/>
              <w:ind w:left="105"/>
              <w:rPr>
                <w:sz w:val="20"/>
              </w:rPr>
            </w:pPr>
            <w:r>
              <w:rPr>
                <w:sz w:val="20"/>
              </w:rPr>
              <w:t>амида</w:t>
            </w:r>
            <w:r>
              <w:rPr>
                <w:spacing w:val="-8"/>
                <w:sz w:val="20"/>
              </w:rPr>
              <w:t> </w:t>
            </w:r>
            <w:r>
              <w:rPr>
                <w:spacing w:val="-2"/>
                <w:sz w:val="20"/>
              </w:rPr>
              <w:t>гидрохлорид)</w:t>
            </w:r>
          </w:p>
        </w:tc>
        <w:tc>
          <w:tcPr>
            <w:tcW w:w="9640" w:type="dxa"/>
          </w:tcPr>
          <w:p>
            <w:pPr>
              <w:pStyle w:val="TableParagraph"/>
              <w:spacing w:before="146"/>
              <w:rPr>
                <w:sz w:val="20"/>
              </w:rPr>
            </w:pPr>
          </w:p>
          <w:p>
            <w:pPr>
              <w:pStyle w:val="TableParagraph"/>
              <w:ind w:left="99"/>
              <w:rPr>
                <w:sz w:val="20"/>
              </w:rPr>
            </w:pPr>
            <w:r>
              <w:rPr>
                <w:sz w:val="20"/>
              </w:rPr>
              <w:t>60</w:t>
            </w:r>
            <w:r>
              <w:rPr>
                <w:spacing w:val="-2"/>
                <w:sz w:val="20"/>
              </w:rPr>
              <w:t> </w:t>
            </w:r>
            <w:r>
              <w:rPr>
                <w:sz w:val="20"/>
              </w:rPr>
              <w:t>мг</w:t>
            </w:r>
            <w:r>
              <w:rPr>
                <w:spacing w:val="-3"/>
                <w:sz w:val="20"/>
              </w:rPr>
              <w:t> </w:t>
            </w:r>
            <w:r>
              <w:rPr>
                <w:sz w:val="20"/>
              </w:rPr>
              <w:t>1</w:t>
            </w:r>
            <w:r>
              <w:rPr>
                <w:spacing w:val="-4"/>
                <w:sz w:val="20"/>
              </w:rPr>
              <w:t> </w:t>
            </w:r>
            <w:r>
              <w:rPr>
                <w:sz w:val="20"/>
              </w:rPr>
              <w:t>раз</w:t>
            </w:r>
            <w:r>
              <w:rPr>
                <w:spacing w:val="-2"/>
                <w:sz w:val="20"/>
              </w:rPr>
              <w:t> </w:t>
            </w:r>
            <w:r>
              <w:rPr>
                <w:sz w:val="20"/>
              </w:rPr>
              <w:t>в</w:t>
            </w:r>
            <w:r>
              <w:rPr>
                <w:spacing w:val="-3"/>
                <w:sz w:val="20"/>
              </w:rPr>
              <w:t> </w:t>
            </w:r>
            <w:r>
              <w:rPr>
                <w:sz w:val="20"/>
              </w:rPr>
              <w:t>сутки</w:t>
            </w:r>
            <w:r>
              <w:rPr>
                <w:spacing w:val="-4"/>
                <w:sz w:val="20"/>
              </w:rPr>
              <w:t> </w:t>
            </w:r>
            <w:r>
              <w:rPr>
                <w:sz w:val="20"/>
              </w:rPr>
              <w:t>вплоть</w:t>
            </w:r>
            <w:r>
              <w:rPr>
                <w:spacing w:val="-2"/>
                <w:sz w:val="20"/>
              </w:rPr>
              <w:t> </w:t>
            </w:r>
            <w:r>
              <w:rPr>
                <w:sz w:val="20"/>
              </w:rPr>
              <w:t>до</w:t>
            </w:r>
            <w:r>
              <w:rPr>
                <w:spacing w:val="-1"/>
                <w:sz w:val="20"/>
              </w:rPr>
              <w:t> </w:t>
            </w:r>
            <w:r>
              <w:rPr>
                <w:sz w:val="20"/>
              </w:rPr>
              <w:t>30</w:t>
            </w:r>
            <w:r>
              <w:rPr>
                <w:spacing w:val="-2"/>
                <w:sz w:val="20"/>
              </w:rPr>
              <w:t> </w:t>
            </w:r>
            <w:r>
              <w:rPr>
                <w:spacing w:val="-4"/>
                <w:sz w:val="20"/>
              </w:rPr>
              <w:t>дней</w:t>
            </w:r>
          </w:p>
        </w:tc>
      </w:tr>
    </w:tbl>
    <w:p>
      <w:pPr>
        <w:pStyle w:val="BodyText"/>
        <w:spacing w:before="22"/>
        <w:ind w:left="0"/>
        <w:jc w:val="left"/>
        <w:rPr>
          <w:sz w:val="20"/>
        </w:rPr>
      </w:pPr>
    </w:p>
    <w:p>
      <w:pPr>
        <w:pStyle w:val="ListParagraph"/>
        <w:numPr>
          <w:ilvl w:val="0"/>
          <w:numId w:val="115"/>
        </w:numPr>
        <w:tabs>
          <w:tab w:pos="444" w:val="left" w:leader="none"/>
        </w:tabs>
        <w:spacing w:line="240" w:lineRule="auto" w:before="1" w:after="0"/>
        <w:ind w:left="444" w:right="0" w:hanging="150"/>
        <w:jc w:val="left"/>
        <w:rPr>
          <w:sz w:val="20"/>
        </w:rPr>
      </w:pPr>
      <w:r>
        <w:rPr>
          <w:sz w:val="20"/>
        </w:rPr>
        <w:t>–</w:t>
      </w:r>
      <w:r>
        <w:rPr>
          <w:spacing w:val="-5"/>
          <w:sz w:val="20"/>
        </w:rPr>
        <w:t> </w:t>
      </w:r>
      <w:r>
        <w:rPr>
          <w:sz w:val="20"/>
        </w:rPr>
        <w:t>схема</w:t>
      </w:r>
      <w:r>
        <w:rPr>
          <w:spacing w:val="-5"/>
          <w:sz w:val="20"/>
        </w:rPr>
        <w:t> </w:t>
      </w:r>
      <w:r>
        <w:rPr>
          <w:sz w:val="20"/>
        </w:rPr>
        <w:t>назначается</w:t>
      </w:r>
      <w:r>
        <w:rPr>
          <w:spacing w:val="-6"/>
          <w:sz w:val="20"/>
        </w:rPr>
        <w:t> </w:t>
      </w:r>
      <w:r>
        <w:rPr>
          <w:sz w:val="20"/>
        </w:rPr>
        <w:t>при</w:t>
      </w:r>
      <w:r>
        <w:rPr>
          <w:spacing w:val="-5"/>
          <w:sz w:val="20"/>
        </w:rPr>
        <w:t> </w:t>
      </w:r>
      <w:r>
        <w:rPr>
          <w:sz w:val="20"/>
        </w:rPr>
        <w:t>повышении</w:t>
      </w:r>
      <w:r>
        <w:rPr>
          <w:spacing w:val="-6"/>
          <w:sz w:val="20"/>
        </w:rPr>
        <w:t> </w:t>
      </w:r>
      <w:r>
        <w:rPr>
          <w:sz w:val="20"/>
        </w:rPr>
        <w:t>температуры</w:t>
      </w:r>
      <w:r>
        <w:rPr>
          <w:spacing w:val="-5"/>
          <w:sz w:val="20"/>
        </w:rPr>
        <w:t> </w:t>
      </w:r>
      <w:r>
        <w:rPr>
          <w:sz w:val="20"/>
        </w:rPr>
        <w:t>теле</w:t>
      </w:r>
      <w:r>
        <w:rPr>
          <w:spacing w:val="-5"/>
          <w:sz w:val="20"/>
        </w:rPr>
        <w:t> </w:t>
      </w:r>
      <w:r>
        <w:rPr>
          <w:sz w:val="20"/>
        </w:rPr>
        <w:t>&lt;38</w:t>
      </w:r>
      <w:r>
        <w:rPr>
          <w:rFonts w:ascii="Calibri" w:hAnsi="Calibri"/>
          <w:sz w:val="20"/>
        </w:rPr>
        <w:t>°</w:t>
      </w:r>
      <w:r>
        <w:rPr>
          <w:sz w:val="20"/>
        </w:rPr>
        <w:t>C</w:t>
      </w:r>
      <w:r>
        <w:rPr>
          <w:spacing w:val="-6"/>
          <w:sz w:val="20"/>
        </w:rPr>
        <w:t> </w:t>
      </w:r>
      <w:r>
        <w:rPr>
          <w:sz w:val="20"/>
        </w:rPr>
        <w:t>в</w:t>
      </w:r>
      <w:r>
        <w:rPr>
          <w:spacing w:val="-6"/>
          <w:sz w:val="20"/>
        </w:rPr>
        <w:t> </w:t>
      </w:r>
      <w:r>
        <w:rPr>
          <w:sz w:val="20"/>
        </w:rPr>
        <w:t>течение</w:t>
      </w:r>
      <w:r>
        <w:rPr>
          <w:spacing w:val="-5"/>
          <w:sz w:val="20"/>
        </w:rPr>
        <w:t> </w:t>
      </w:r>
      <w:r>
        <w:rPr>
          <w:sz w:val="20"/>
        </w:rPr>
        <w:t>менее</w:t>
      </w:r>
      <w:r>
        <w:rPr>
          <w:spacing w:val="-5"/>
          <w:sz w:val="20"/>
        </w:rPr>
        <w:t> </w:t>
      </w:r>
      <w:r>
        <w:rPr>
          <w:sz w:val="20"/>
        </w:rPr>
        <w:t>3</w:t>
      </w:r>
      <w:r>
        <w:rPr>
          <w:spacing w:val="-4"/>
          <w:sz w:val="20"/>
        </w:rPr>
        <w:t> </w:t>
      </w:r>
      <w:r>
        <w:rPr>
          <w:spacing w:val="-2"/>
          <w:sz w:val="20"/>
        </w:rPr>
        <w:t>дней;</w:t>
      </w:r>
    </w:p>
    <w:p>
      <w:pPr>
        <w:pStyle w:val="ListParagraph"/>
        <w:numPr>
          <w:ilvl w:val="0"/>
          <w:numId w:val="115"/>
        </w:numPr>
        <w:tabs>
          <w:tab w:pos="444" w:val="left" w:leader="none"/>
        </w:tabs>
        <w:spacing w:line="240" w:lineRule="auto" w:before="0" w:after="0"/>
        <w:ind w:left="444" w:right="0" w:hanging="150"/>
        <w:jc w:val="left"/>
        <w:rPr>
          <w:sz w:val="20"/>
        </w:rPr>
      </w:pPr>
      <w:r>
        <w:rPr>
          <w:sz w:val="20"/>
        </w:rPr>
        <w:t>–</w:t>
      </w:r>
      <w:r>
        <w:rPr>
          <w:spacing w:val="-5"/>
          <w:sz w:val="20"/>
        </w:rPr>
        <w:t> </w:t>
      </w:r>
      <w:r>
        <w:rPr>
          <w:sz w:val="20"/>
        </w:rPr>
        <w:t>схема</w:t>
      </w:r>
      <w:r>
        <w:rPr>
          <w:spacing w:val="-5"/>
          <w:sz w:val="20"/>
        </w:rPr>
        <w:t> </w:t>
      </w:r>
      <w:r>
        <w:rPr>
          <w:sz w:val="20"/>
        </w:rPr>
        <w:t>назначается</w:t>
      </w:r>
      <w:r>
        <w:rPr>
          <w:spacing w:val="-6"/>
          <w:sz w:val="20"/>
        </w:rPr>
        <w:t> </w:t>
      </w:r>
      <w:r>
        <w:rPr>
          <w:sz w:val="20"/>
        </w:rPr>
        <w:t>при</w:t>
      </w:r>
      <w:r>
        <w:rPr>
          <w:spacing w:val="-5"/>
          <w:sz w:val="20"/>
        </w:rPr>
        <w:t> </w:t>
      </w:r>
      <w:r>
        <w:rPr>
          <w:sz w:val="20"/>
        </w:rPr>
        <w:t>повышении</w:t>
      </w:r>
      <w:r>
        <w:rPr>
          <w:spacing w:val="-6"/>
          <w:sz w:val="20"/>
        </w:rPr>
        <w:t> </w:t>
      </w:r>
      <w:r>
        <w:rPr>
          <w:sz w:val="20"/>
        </w:rPr>
        <w:t>температуры</w:t>
      </w:r>
      <w:r>
        <w:rPr>
          <w:spacing w:val="-5"/>
          <w:sz w:val="20"/>
        </w:rPr>
        <w:t> </w:t>
      </w:r>
      <w:r>
        <w:rPr>
          <w:sz w:val="20"/>
        </w:rPr>
        <w:t>тела</w:t>
      </w:r>
      <w:r>
        <w:rPr>
          <w:spacing w:val="-5"/>
          <w:sz w:val="20"/>
        </w:rPr>
        <w:t> </w:t>
      </w:r>
      <w:r>
        <w:rPr>
          <w:sz w:val="20"/>
        </w:rPr>
        <w:t>&lt;38</w:t>
      </w:r>
      <w:r>
        <w:rPr>
          <w:rFonts w:ascii="Calibri" w:hAnsi="Calibri"/>
          <w:sz w:val="20"/>
        </w:rPr>
        <w:t>°</w:t>
      </w:r>
      <w:r>
        <w:rPr>
          <w:sz w:val="20"/>
        </w:rPr>
        <w:t>C</w:t>
      </w:r>
      <w:r>
        <w:rPr>
          <w:spacing w:val="-6"/>
          <w:sz w:val="20"/>
        </w:rPr>
        <w:t> </w:t>
      </w:r>
      <w:r>
        <w:rPr>
          <w:sz w:val="20"/>
        </w:rPr>
        <w:t>более</w:t>
      </w:r>
      <w:r>
        <w:rPr>
          <w:spacing w:val="-5"/>
          <w:sz w:val="20"/>
        </w:rPr>
        <w:t> </w:t>
      </w:r>
      <w:r>
        <w:rPr>
          <w:sz w:val="20"/>
        </w:rPr>
        <w:t>3</w:t>
      </w:r>
      <w:r>
        <w:rPr>
          <w:spacing w:val="-4"/>
          <w:sz w:val="20"/>
        </w:rPr>
        <w:t> </w:t>
      </w:r>
      <w:r>
        <w:rPr>
          <w:spacing w:val="-2"/>
          <w:sz w:val="20"/>
        </w:rPr>
        <w:t>дней;</w:t>
      </w:r>
    </w:p>
    <w:p>
      <w:pPr>
        <w:pStyle w:val="ListParagraph"/>
        <w:numPr>
          <w:ilvl w:val="0"/>
          <w:numId w:val="115"/>
        </w:numPr>
        <w:tabs>
          <w:tab w:pos="526" w:val="left" w:leader="none"/>
        </w:tabs>
        <w:spacing w:line="240" w:lineRule="auto" w:before="0" w:after="0"/>
        <w:ind w:left="294" w:right="396" w:firstLine="0"/>
        <w:jc w:val="left"/>
        <w:rPr>
          <w:sz w:val="20"/>
        </w:rPr>
      </w:pPr>
      <w:r>
        <w:rPr>
          <w:sz w:val="20"/>
        </w:rPr>
        <w:t>─</w:t>
      </w:r>
      <w:r>
        <w:rPr>
          <w:spacing w:val="79"/>
          <w:sz w:val="20"/>
        </w:rPr>
        <w:t> </w:t>
      </w:r>
      <w:r>
        <w:rPr>
          <w:sz w:val="20"/>
        </w:rPr>
        <w:t>при</w:t>
      </w:r>
      <w:r>
        <w:rPr>
          <w:spacing w:val="77"/>
          <w:sz w:val="20"/>
        </w:rPr>
        <w:t> </w:t>
      </w:r>
      <w:r>
        <w:rPr>
          <w:sz w:val="20"/>
        </w:rPr>
        <w:t>возможности</w:t>
      </w:r>
      <w:r>
        <w:rPr>
          <w:spacing w:val="77"/>
          <w:sz w:val="20"/>
        </w:rPr>
        <w:t> </w:t>
      </w:r>
      <w:r>
        <w:rPr>
          <w:sz w:val="20"/>
        </w:rPr>
        <w:t>организации</w:t>
      </w:r>
      <w:r>
        <w:rPr>
          <w:spacing w:val="80"/>
          <w:sz w:val="20"/>
        </w:rPr>
        <w:t> </w:t>
      </w:r>
      <w:r>
        <w:rPr>
          <w:sz w:val="20"/>
        </w:rPr>
        <w:t>лечения</w:t>
      </w:r>
      <w:r>
        <w:rPr>
          <w:spacing w:val="78"/>
          <w:sz w:val="20"/>
        </w:rPr>
        <w:t> </w:t>
      </w:r>
      <w:r>
        <w:rPr>
          <w:sz w:val="20"/>
        </w:rPr>
        <w:t>в</w:t>
      </w:r>
      <w:r>
        <w:rPr>
          <w:spacing w:val="80"/>
          <w:sz w:val="20"/>
        </w:rPr>
        <w:t> </w:t>
      </w:r>
      <w:r>
        <w:rPr>
          <w:sz w:val="20"/>
        </w:rPr>
        <w:t>дневном</w:t>
      </w:r>
      <w:r>
        <w:rPr>
          <w:spacing w:val="79"/>
          <w:sz w:val="20"/>
        </w:rPr>
        <w:t> </w:t>
      </w:r>
      <w:r>
        <w:rPr>
          <w:sz w:val="20"/>
        </w:rPr>
        <w:t>стационаре</w:t>
      </w:r>
      <w:r>
        <w:rPr>
          <w:spacing w:val="78"/>
          <w:sz w:val="20"/>
        </w:rPr>
        <w:t> </w:t>
      </w:r>
      <w:r>
        <w:rPr>
          <w:sz w:val="20"/>
        </w:rPr>
        <w:t>рассмотреть</w:t>
      </w:r>
      <w:r>
        <w:rPr>
          <w:spacing w:val="78"/>
          <w:sz w:val="20"/>
        </w:rPr>
        <w:t> </w:t>
      </w:r>
      <w:r>
        <w:rPr>
          <w:sz w:val="20"/>
        </w:rPr>
        <w:t>альтернативное</w:t>
      </w:r>
      <w:r>
        <w:rPr>
          <w:spacing w:val="78"/>
          <w:sz w:val="20"/>
        </w:rPr>
        <w:t> </w:t>
      </w:r>
      <w:r>
        <w:rPr>
          <w:sz w:val="20"/>
        </w:rPr>
        <w:t>этиотропное</w:t>
      </w:r>
      <w:r>
        <w:rPr>
          <w:spacing w:val="78"/>
          <w:sz w:val="20"/>
        </w:rPr>
        <w:t> </w:t>
      </w:r>
      <w:r>
        <w:rPr>
          <w:sz w:val="20"/>
        </w:rPr>
        <w:t>лечение</w:t>
      </w:r>
      <w:r>
        <w:rPr>
          <w:spacing w:val="78"/>
          <w:sz w:val="20"/>
        </w:rPr>
        <w:t> </w:t>
      </w:r>
      <w:r>
        <w:rPr>
          <w:sz w:val="20"/>
        </w:rPr>
        <w:t>вируснейтрализующими</w:t>
      </w:r>
      <w:r>
        <w:rPr>
          <w:spacing w:val="77"/>
          <w:sz w:val="20"/>
        </w:rPr>
        <w:t> </w:t>
      </w:r>
      <w:r>
        <w:rPr>
          <w:sz w:val="20"/>
        </w:rPr>
        <w:t>антителами</w:t>
      </w:r>
      <w:r>
        <w:rPr>
          <w:spacing w:val="80"/>
          <w:sz w:val="20"/>
        </w:rPr>
        <w:t> </w:t>
      </w:r>
      <w:r>
        <w:rPr>
          <w:sz w:val="20"/>
        </w:rPr>
        <w:t>или иммуноглобулином человека против COVID-19 для пациентов с высоким индексом коморбидности или беременным;</w:t>
      </w:r>
    </w:p>
    <w:p>
      <w:pPr>
        <w:pStyle w:val="ListParagraph"/>
        <w:numPr>
          <w:ilvl w:val="0"/>
          <w:numId w:val="115"/>
        </w:numPr>
        <w:tabs>
          <w:tab w:pos="444" w:val="left" w:leader="none"/>
        </w:tabs>
        <w:spacing w:line="240" w:lineRule="auto" w:before="0" w:after="0"/>
        <w:ind w:left="294" w:right="398" w:firstLine="0"/>
        <w:jc w:val="both"/>
        <w:rPr>
          <w:sz w:val="20"/>
        </w:rPr>
      </w:pPr>
      <w:r>
        <w:rPr>
          <w:sz w:val="20"/>
        </w:rPr>
        <w:t>─</w:t>
      </w:r>
      <w:r>
        <w:rPr>
          <w:spacing w:val="-7"/>
          <w:sz w:val="20"/>
        </w:rPr>
        <w:t> </w:t>
      </w:r>
      <w:r>
        <w:rPr>
          <w:sz w:val="20"/>
        </w:rPr>
        <w:t>рекомендуется</w:t>
      </w:r>
      <w:r>
        <w:rPr>
          <w:spacing w:val="-6"/>
          <w:sz w:val="20"/>
        </w:rPr>
        <w:t> </w:t>
      </w:r>
      <w:r>
        <w:rPr>
          <w:sz w:val="20"/>
        </w:rPr>
        <w:t>назначение</w:t>
      </w:r>
      <w:r>
        <w:rPr>
          <w:spacing w:val="-5"/>
          <w:sz w:val="20"/>
        </w:rPr>
        <w:t> </w:t>
      </w:r>
      <w:r>
        <w:rPr>
          <w:sz w:val="20"/>
        </w:rPr>
        <w:t>перорального</w:t>
      </w:r>
      <w:r>
        <w:rPr>
          <w:spacing w:val="-4"/>
          <w:sz w:val="20"/>
        </w:rPr>
        <w:t> </w:t>
      </w:r>
      <w:r>
        <w:rPr>
          <w:sz w:val="20"/>
        </w:rPr>
        <w:t>антикоагулянта при</w:t>
      </w:r>
      <w:r>
        <w:rPr>
          <w:spacing w:val="-6"/>
          <w:sz w:val="20"/>
        </w:rPr>
        <w:t> </w:t>
      </w:r>
      <w:r>
        <w:rPr>
          <w:sz w:val="20"/>
        </w:rPr>
        <w:t>наличии</w:t>
      </w:r>
      <w:r>
        <w:rPr>
          <w:spacing w:val="-6"/>
          <w:sz w:val="20"/>
        </w:rPr>
        <w:t> </w:t>
      </w:r>
      <w:r>
        <w:rPr>
          <w:sz w:val="20"/>
        </w:rPr>
        <w:t>факторов</w:t>
      </w:r>
      <w:r>
        <w:rPr>
          <w:spacing w:val="-6"/>
          <w:sz w:val="20"/>
        </w:rPr>
        <w:t> </w:t>
      </w:r>
      <w:r>
        <w:rPr>
          <w:sz w:val="20"/>
        </w:rPr>
        <w:t>риска</w:t>
      </w:r>
      <w:r>
        <w:rPr>
          <w:spacing w:val="-6"/>
          <w:sz w:val="20"/>
        </w:rPr>
        <w:t> </w:t>
      </w:r>
      <w:r>
        <w:rPr>
          <w:sz w:val="20"/>
        </w:rPr>
        <w:t>тромбообразования</w:t>
      </w:r>
      <w:r>
        <w:rPr>
          <w:spacing w:val="-6"/>
          <w:sz w:val="20"/>
        </w:rPr>
        <w:t> </w:t>
      </w:r>
      <w:r>
        <w:rPr>
          <w:sz w:val="20"/>
        </w:rPr>
        <w:t>(пациентам</w:t>
      </w:r>
      <w:r>
        <w:rPr>
          <w:spacing w:val="-4"/>
          <w:sz w:val="20"/>
        </w:rPr>
        <w:t> </w:t>
      </w:r>
      <w:r>
        <w:rPr>
          <w:sz w:val="20"/>
        </w:rPr>
        <w:t>с</w:t>
      </w:r>
      <w:r>
        <w:rPr>
          <w:spacing w:val="-5"/>
          <w:sz w:val="20"/>
        </w:rPr>
        <w:t> </w:t>
      </w:r>
      <w:r>
        <w:rPr>
          <w:sz w:val="20"/>
        </w:rPr>
        <w:t>сильно</w:t>
      </w:r>
      <w:r>
        <w:rPr>
          <w:spacing w:val="-4"/>
          <w:sz w:val="20"/>
        </w:rPr>
        <w:t> </w:t>
      </w:r>
      <w:r>
        <w:rPr>
          <w:sz w:val="20"/>
        </w:rPr>
        <w:t>ограниченной</w:t>
      </w:r>
      <w:r>
        <w:rPr>
          <w:spacing w:val="-4"/>
          <w:sz w:val="20"/>
        </w:rPr>
        <w:t> </w:t>
      </w:r>
      <w:r>
        <w:rPr>
          <w:sz w:val="20"/>
        </w:rPr>
        <w:t>подвижностью,</w:t>
      </w:r>
      <w:r>
        <w:rPr>
          <w:spacing w:val="-5"/>
          <w:sz w:val="20"/>
        </w:rPr>
        <w:t> </w:t>
      </w:r>
      <w:r>
        <w:rPr>
          <w:sz w:val="20"/>
        </w:rPr>
        <w:t>наличием ТГВ/ТЭЛА</w:t>
      </w:r>
      <w:r>
        <w:rPr>
          <w:spacing w:val="-9"/>
          <w:sz w:val="20"/>
        </w:rPr>
        <w:t> </w:t>
      </w:r>
      <w:r>
        <w:rPr>
          <w:sz w:val="20"/>
        </w:rPr>
        <w:t>в</w:t>
      </w:r>
      <w:r>
        <w:rPr>
          <w:spacing w:val="-9"/>
          <w:sz w:val="20"/>
        </w:rPr>
        <w:t> </w:t>
      </w:r>
      <w:r>
        <w:rPr>
          <w:sz w:val="20"/>
        </w:rPr>
        <w:t>анамнезе,</w:t>
      </w:r>
      <w:r>
        <w:rPr>
          <w:spacing w:val="-8"/>
          <w:sz w:val="20"/>
        </w:rPr>
        <w:t> </w:t>
      </w:r>
      <w:r>
        <w:rPr>
          <w:sz w:val="20"/>
        </w:rPr>
        <w:t>активным</w:t>
      </w:r>
      <w:r>
        <w:rPr>
          <w:spacing w:val="-7"/>
          <w:sz w:val="20"/>
        </w:rPr>
        <w:t> </w:t>
      </w:r>
      <w:r>
        <w:rPr>
          <w:sz w:val="20"/>
        </w:rPr>
        <w:t>злокачественным</w:t>
      </w:r>
      <w:r>
        <w:rPr>
          <w:spacing w:val="-7"/>
          <w:sz w:val="20"/>
        </w:rPr>
        <w:t> </w:t>
      </w:r>
      <w:r>
        <w:rPr>
          <w:sz w:val="20"/>
        </w:rPr>
        <w:t>новообразованием,</w:t>
      </w:r>
      <w:r>
        <w:rPr>
          <w:spacing w:val="-9"/>
          <w:sz w:val="20"/>
        </w:rPr>
        <w:t> </w:t>
      </w:r>
      <w:r>
        <w:rPr>
          <w:sz w:val="20"/>
        </w:rPr>
        <w:t>крупной</w:t>
      </w:r>
      <w:r>
        <w:rPr>
          <w:spacing w:val="-10"/>
          <w:sz w:val="20"/>
        </w:rPr>
        <w:t> </w:t>
      </w:r>
      <w:r>
        <w:rPr>
          <w:sz w:val="20"/>
        </w:rPr>
        <w:t>операцией</w:t>
      </w:r>
      <w:r>
        <w:rPr>
          <w:spacing w:val="-10"/>
          <w:sz w:val="20"/>
        </w:rPr>
        <w:t> </w:t>
      </w:r>
      <w:r>
        <w:rPr>
          <w:sz w:val="20"/>
        </w:rPr>
        <w:t>или</w:t>
      </w:r>
      <w:r>
        <w:rPr>
          <w:spacing w:val="-10"/>
          <w:sz w:val="20"/>
        </w:rPr>
        <w:t> </w:t>
      </w:r>
      <w:r>
        <w:rPr>
          <w:sz w:val="20"/>
        </w:rPr>
        <w:t>травмой</w:t>
      </w:r>
      <w:r>
        <w:rPr>
          <w:spacing w:val="-10"/>
          <w:sz w:val="20"/>
        </w:rPr>
        <w:t> </w:t>
      </w:r>
      <w:r>
        <w:rPr>
          <w:sz w:val="20"/>
        </w:rPr>
        <w:t>в</w:t>
      </w:r>
      <w:r>
        <w:rPr>
          <w:spacing w:val="-9"/>
          <w:sz w:val="20"/>
        </w:rPr>
        <w:t> </w:t>
      </w:r>
      <w:r>
        <w:rPr>
          <w:sz w:val="20"/>
        </w:rPr>
        <w:t>предшествующий</w:t>
      </w:r>
      <w:r>
        <w:rPr>
          <w:spacing w:val="-10"/>
          <w:sz w:val="20"/>
        </w:rPr>
        <w:t> </w:t>
      </w:r>
      <w:r>
        <w:rPr>
          <w:sz w:val="20"/>
        </w:rPr>
        <w:t>месяц,</w:t>
      </w:r>
      <w:r>
        <w:rPr>
          <w:spacing w:val="-9"/>
          <w:sz w:val="20"/>
        </w:rPr>
        <w:t> </w:t>
      </w:r>
      <w:r>
        <w:rPr>
          <w:sz w:val="20"/>
        </w:rPr>
        <w:t>носителям</w:t>
      </w:r>
      <w:r>
        <w:rPr>
          <w:spacing w:val="-6"/>
          <w:sz w:val="20"/>
        </w:rPr>
        <w:t> </w:t>
      </w:r>
      <w:r>
        <w:rPr>
          <w:sz w:val="20"/>
        </w:rPr>
        <w:t>ряда</w:t>
      </w:r>
      <w:r>
        <w:rPr>
          <w:spacing w:val="-8"/>
          <w:sz w:val="20"/>
        </w:rPr>
        <w:t> </w:t>
      </w:r>
      <w:r>
        <w:rPr>
          <w:sz w:val="20"/>
        </w:rPr>
        <w:t>тромбофилий</w:t>
      </w:r>
      <w:r>
        <w:rPr>
          <w:spacing w:val="-10"/>
          <w:sz w:val="20"/>
        </w:rPr>
        <w:t> </w:t>
      </w:r>
      <w:r>
        <w:rPr>
          <w:sz w:val="20"/>
        </w:rPr>
        <w:t>(дефициты антитромбина,</w:t>
      </w:r>
      <w:r>
        <w:rPr>
          <w:spacing w:val="-13"/>
          <w:sz w:val="20"/>
        </w:rPr>
        <w:t> </w:t>
      </w:r>
      <w:r>
        <w:rPr>
          <w:sz w:val="20"/>
        </w:rPr>
        <w:t>протеинов</w:t>
      </w:r>
      <w:r>
        <w:rPr>
          <w:spacing w:val="-12"/>
          <w:sz w:val="20"/>
        </w:rPr>
        <w:t> </w:t>
      </w:r>
      <w:r>
        <w:rPr>
          <w:sz w:val="20"/>
        </w:rPr>
        <w:t>С</w:t>
      </w:r>
      <w:r>
        <w:rPr>
          <w:spacing w:val="-12"/>
          <w:sz w:val="20"/>
        </w:rPr>
        <w:t> </w:t>
      </w:r>
      <w:r>
        <w:rPr>
          <w:sz w:val="20"/>
        </w:rPr>
        <w:t>или</w:t>
      </w:r>
      <w:r>
        <w:rPr>
          <w:spacing w:val="-13"/>
          <w:sz w:val="20"/>
        </w:rPr>
        <w:t> </w:t>
      </w:r>
      <w:r>
        <w:rPr>
          <w:sz w:val="20"/>
        </w:rPr>
        <w:t>S,</w:t>
      </w:r>
      <w:r>
        <w:rPr>
          <w:spacing w:val="-12"/>
          <w:sz w:val="20"/>
        </w:rPr>
        <w:t> </w:t>
      </w:r>
      <w:r>
        <w:rPr>
          <w:sz w:val="20"/>
        </w:rPr>
        <w:t>антифосфолипидный</w:t>
      </w:r>
      <w:r>
        <w:rPr>
          <w:spacing w:val="-10"/>
          <w:sz w:val="20"/>
        </w:rPr>
        <w:t> </w:t>
      </w:r>
      <w:r>
        <w:rPr>
          <w:sz w:val="20"/>
        </w:rPr>
        <w:t>синдром,</w:t>
      </w:r>
      <w:r>
        <w:rPr>
          <w:spacing w:val="-12"/>
          <w:sz w:val="20"/>
        </w:rPr>
        <w:t> </w:t>
      </w:r>
      <w:r>
        <w:rPr>
          <w:sz w:val="20"/>
        </w:rPr>
        <w:t>фактор</w:t>
      </w:r>
      <w:r>
        <w:rPr>
          <w:spacing w:val="-12"/>
          <w:sz w:val="20"/>
        </w:rPr>
        <w:t> </w:t>
      </w:r>
      <w:r>
        <w:rPr>
          <w:sz w:val="20"/>
        </w:rPr>
        <w:t>V</w:t>
      </w:r>
      <w:r>
        <w:rPr>
          <w:spacing w:val="-13"/>
          <w:sz w:val="20"/>
        </w:rPr>
        <w:t> </w:t>
      </w:r>
      <w:r>
        <w:rPr>
          <w:sz w:val="20"/>
        </w:rPr>
        <w:t>Лейден,</w:t>
      </w:r>
      <w:r>
        <w:rPr>
          <w:spacing w:val="-10"/>
          <w:sz w:val="20"/>
        </w:rPr>
        <w:t> </w:t>
      </w:r>
      <w:r>
        <w:rPr>
          <w:sz w:val="20"/>
        </w:rPr>
        <w:t>мутация</w:t>
      </w:r>
      <w:r>
        <w:rPr>
          <w:spacing w:val="-11"/>
          <w:sz w:val="20"/>
        </w:rPr>
        <w:t> </w:t>
      </w:r>
      <w:r>
        <w:rPr>
          <w:sz w:val="20"/>
        </w:rPr>
        <w:t>гена</w:t>
      </w:r>
      <w:r>
        <w:rPr>
          <w:spacing w:val="-10"/>
          <w:sz w:val="20"/>
        </w:rPr>
        <w:t> </w:t>
      </w:r>
      <w:r>
        <w:rPr>
          <w:sz w:val="20"/>
        </w:rPr>
        <w:t>протромбина</w:t>
      </w:r>
      <w:r>
        <w:rPr>
          <w:spacing w:val="-10"/>
          <w:sz w:val="20"/>
        </w:rPr>
        <w:t> </w:t>
      </w:r>
      <w:r>
        <w:rPr>
          <w:sz w:val="20"/>
        </w:rPr>
        <w:t>G-20210A),</w:t>
      </w:r>
      <w:r>
        <w:rPr>
          <w:spacing w:val="-12"/>
          <w:sz w:val="20"/>
        </w:rPr>
        <w:t> </w:t>
      </w:r>
      <w:r>
        <w:rPr>
          <w:sz w:val="20"/>
        </w:rPr>
        <w:t>а</w:t>
      </w:r>
      <w:r>
        <w:rPr>
          <w:spacing w:val="-12"/>
          <w:sz w:val="20"/>
        </w:rPr>
        <w:t> </w:t>
      </w:r>
      <w:r>
        <w:rPr>
          <w:sz w:val="20"/>
        </w:rPr>
        <w:t>также</w:t>
      </w:r>
      <w:r>
        <w:rPr>
          <w:spacing w:val="-10"/>
          <w:sz w:val="20"/>
        </w:rPr>
        <w:t> </w:t>
      </w:r>
      <w:r>
        <w:rPr>
          <w:sz w:val="20"/>
        </w:rPr>
        <w:t>при</w:t>
      </w:r>
      <w:r>
        <w:rPr>
          <w:spacing w:val="-13"/>
          <w:sz w:val="20"/>
        </w:rPr>
        <w:t> </w:t>
      </w:r>
      <w:r>
        <w:rPr>
          <w:sz w:val="20"/>
        </w:rPr>
        <w:t>сочетании</w:t>
      </w:r>
      <w:r>
        <w:rPr>
          <w:spacing w:val="-11"/>
          <w:sz w:val="20"/>
        </w:rPr>
        <w:t> </w:t>
      </w:r>
      <w:r>
        <w:rPr>
          <w:sz w:val="20"/>
        </w:rPr>
        <w:t>дополнительных</w:t>
      </w:r>
      <w:r>
        <w:rPr>
          <w:spacing w:val="-11"/>
          <w:sz w:val="20"/>
        </w:rPr>
        <w:t> </w:t>
      </w:r>
      <w:r>
        <w:rPr>
          <w:sz w:val="20"/>
        </w:rPr>
        <w:t>факторов риска ТГВ/ТЭЛА: сердечная/дыхательная недостаточность, ожирение, системное заболевание соединительной ткани, гормональная заместительная терапия, прием оральных контрацептивов);</w:t>
      </w:r>
    </w:p>
    <w:p>
      <w:pPr>
        <w:pStyle w:val="ListParagraph"/>
        <w:numPr>
          <w:ilvl w:val="0"/>
          <w:numId w:val="115"/>
        </w:numPr>
        <w:tabs>
          <w:tab w:pos="444" w:val="left" w:leader="none"/>
        </w:tabs>
        <w:spacing w:line="240" w:lineRule="auto" w:before="11" w:after="0"/>
        <w:ind w:left="444" w:right="0" w:hanging="150"/>
        <w:jc w:val="both"/>
        <w:rPr>
          <w:sz w:val="20"/>
        </w:rPr>
      </w:pPr>
      <w:r>
        <w:rPr>
          <w:sz w:val="20"/>
        </w:rPr>
        <w:t>–</w:t>
      </w:r>
      <w:r>
        <w:rPr>
          <w:spacing w:val="-7"/>
          <w:sz w:val="20"/>
        </w:rPr>
        <w:t> </w:t>
      </w:r>
      <w:r>
        <w:rPr>
          <w:sz w:val="20"/>
        </w:rPr>
        <w:t>в</w:t>
      </w:r>
      <w:r>
        <w:rPr>
          <w:spacing w:val="-8"/>
          <w:sz w:val="20"/>
        </w:rPr>
        <w:t> </w:t>
      </w:r>
      <w:r>
        <w:rPr>
          <w:sz w:val="20"/>
        </w:rPr>
        <w:t>течение</w:t>
      </w:r>
      <w:r>
        <w:rPr>
          <w:spacing w:val="-7"/>
          <w:sz w:val="20"/>
        </w:rPr>
        <w:t> </w:t>
      </w:r>
      <w:r>
        <w:rPr>
          <w:sz w:val="20"/>
        </w:rPr>
        <w:t>первых</w:t>
      </w:r>
      <w:r>
        <w:rPr>
          <w:spacing w:val="-6"/>
          <w:sz w:val="20"/>
        </w:rPr>
        <w:t> </w:t>
      </w:r>
      <w:r>
        <w:rPr>
          <w:sz w:val="20"/>
        </w:rPr>
        <w:t>7</w:t>
      </w:r>
      <w:r>
        <w:rPr>
          <w:spacing w:val="-6"/>
          <w:sz w:val="20"/>
        </w:rPr>
        <w:t> </w:t>
      </w:r>
      <w:r>
        <w:rPr>
          <w:sz w:val="20"/>
        </w:rPr>
        <w:t>дней</w:t>
      </w:r>
      <w:r>
        <w:rPr>
          <w:spacing w:val="-6"/>
          <w:sz w:val="20"/>
        </w:rPr>
        <w:t> </w:t>
      </w:r>
      <w:r>
        <w:rPr>
          <w:sz w:val="20"/>
        </w:rPr>
        <w:t>болезни</w:t>
      </w:r>
      <w:r>
        <w:rPr>
          <w:spacing w:val="-8"/>
          <w:sz w:val="20"/>
        </w:rPr>
        <w:t> </w:t>
      </w:r>
      <w:r>
        <w:rPr>
          <w:sz w:val="20"/>
        </w:rPr>
        <w:t>или</w:t>
      </w:r>
      <w:r>
        <w:rPr>
          <w:spacing w:val="-7"/>
          <w:sz w:val="20"/>
        </w:rPr>
        <w:t> </w:t>
      </w:r>
      <w:r>
        <w:rPr>
          <w:sz w:val="20"/>
        </w:rPr>
        <w:t>при</w:t>
      </w:r>
      <w:r>
        <w:rPr>
          <w:spacing w:val="-6"/>
          <w:sz w:val="20"/>
        </w:rPr>
        <w:t> </w:t>
      </w:r>
      <w:r>
        <w:rPr>
          <w:sz w:val="20"/>
        </w:rPr>
        <w:t>положительном</w:t>
      </w:r>
      <w:r>
        <w:rPr>
          <w:spacing w:val="-6"/>
          <w:sz w:val="20"/>
        </w:rPr>
        <w:t> </w:t>
      </w:r>
      <w:r>
        <w:rPr>
          <w:sz w:val="20"/>
        </w:rPr>
        <w:t>результате</w:t>
      </w:r>
      <w:r>
        <w:rPr>
          <w:spacing w:val="-8"/>
          <w:sz w:val="20"/>
        </w:rPr>
        <w:t> </w:t>
      </w:r>
      <w:r>
        <w:rPr>
          <w:sz w:val="20"/>
        </w:rPr>
        <w:t>лабораторного</w:t>
      </w:r>
      <w:r>
        <w:rPr>
          <w:spacing w:val="-6"/>
          <w:sz w:val="20"/>
        </w:rPr>
        <w:t> </w:t>
      </w:r>
      <w:r>
        <w:rPr>
          <w:sz w:val="20"/>
        </w:rPr>
        <w:t>обследования</w:t>
      </w:r>
      <w:r>
        <w:rPr>
          <w:spacing w:val="-8"/>
          <w:sz w:val="20"/>
        </w:rPr>
        <w:t> </w:t>
      </w:r>
      <w:r>
        <w:rPr>
          <w:sz w:val="20"/>
        </w:rPr>
        <w:t>на</w:t>
      </w:r>
      <w:r>
        <w:rPr>
          <w:spacing w:val="-5"/>
          <w:sz w:val="20"/>
        </w:rPr>
        <w:t> </w:t>
      </w:r>
      <w:r>
        <w:rPr>
          <w:sz w:val="20"/>
        </w:rPr>
        <w:t>РНК</w:t>
      </w:r>
      <w:r>
        <w:rPr>
          <w:spacing w:val="2"/>
          <w:sz w:val="20"/>
        </w:rPr>
        <w:t> </w:t>
      </w:r>
      <w:r>
        <w:rPr>
          <w:sz w:val="20"/>
        </w:rPr>
        <w:t>SARS-CoV-2</w:t>
      </w:r>
      <w:r>
        <w:rPr>
          <w:spacing w:val="-6"/>
          <w:sz w:val="20"/>
        </w:rPr>
        <w:t> </w:t>
      </w:r>
      <w:r>
        <w:rPr>
          <w:sz w:val="20"/>
        </w:rPr>
        <w:t>или</w:t>
      </w:r>
      <w:r>
        <w:rPr>
          <w:spacing w:val="-7"/>
          <w:sz w:val="20"/>
        </w:rPr>
        <w:t> </w:t>
      </w:r>
      <w:r>
        <w:rPr>
          <w:sz w:val="20"/>
        </w:rPr>
        <w:t>антигены</w:t>
      </w:r>
      <w:r>
        <w:rPr>
          <w:spacing w:val="-7"/>
          <w:sz w:val="20"/>
        </w:rPr>
        <w:t> </w:t>
      </w:r>
      <w:r>
        <w:rPr>
          <w:sz w:val="20"/>
        </w:rPr>
        <w:t>SARS-CoV-</w:t>
      </w:r>
      <w:r>
        <w:rPr>
          <w:spacing w:val="-5"/>
          <w:sz w:val="20"/>
        </w:rPr>
        <w:t>2;</w:t>
      </w:r>
    </w:p>
    <w:p>
      <w:pPr>
        <w:pStyle w:val="ListParagraph"/>
        <w:numPr>
          <w:ilvl w:val="0"/>
          <w:numId w:val="115"/>
        </w:numPr>
        <w:tabs>
          <w:tab w:pos="444" w:val="left" w:leader="none"/>
        </w:tabs>
        <w:spacing w:line="240" w:lineRule="auto" w:before="0" w:after="0"/>
        <w:ind w:left="444" w:right="0" w:hanging="150"/>
        <w:jc w:val="both"/>
        <w:rPr>
          <w:sz w:val="20"/>
        </w:rPr>
      </w:pPr>
      <w:r>
        <w:rPr>
          <w:sz w:val="20"/>
        </w:rPr>
        <w:t>─</w:t>
      </w:r>
      <w:r>
        <w:rPr>
          <w:spacing w:val="-10"/>
          <w:sz w:val="20"/>
        </w:rPr>
        <w:t> </w:t>
      </w:r>
      <w:r>
        <w:rPr>
          <w:sz w:val="20"/>
        </w:rPr>
        <w:t>эффективность</w:t>
      </w:r>
      <w:r>
        <w:rPr>
          <w:spacing w:val="-9"/>
          <w:sz w:val="20"/>
        </w:rPr>
        <w:t> </w:t>
      </w:r>
      <w:r>
        <w:rPr>
          <w:sz w:val="20"/>
        </w:rPr>
        <w:t>дабигатрана</w:t>
      </w:r>
      <w:r>
        <w:rPr>
          <w:spacing w:val="-10"/>
          <w:sz w:val="20"/>
        </w:rPr>
        <w:t> </w:t>
      </w:r>
      <w:r>
        <w:rPr>
          <w:sz w:val="20"/>
        </w:rPr>
        <w:t>этексилата</w:t>
      </w:r>
      <w:r>
        <w:rPr>
          <w:spacing w:val="-9"/>
          <w:sz w:val="20"/>
        </w:rPr>
        <w:t> </w:t>
      </w:r>
      <w:r>
        <w:rPr>
          <w:sz w:val="20"/>
        </w:rPr>
        <w:t>в</w:t>
      </w:r>
      <w:r>
        <w:rPr>
          <w:spacing w:val="-11"/>
          <w:sz w:val="20"/>
        </w:rPr>
        <w:t> </w:t>
      </w:r>
      <w:r>
        <w:rPr>
          <w:sz w:val="20"/>
        </w:rPr>
        <w:t>профилактике</w:t>
      </w:r>
      <w:r>
        <w:rPr>
          <w:spacing w:val="-9"/>
          <w:sz w:val="20"/>
        </w:rPr>
        <w:t> </w:t>
      </w:r>
      <w:r>
        <w:rPr>
          <w:sz w:val="20"/>
        </w:rPr>
        <w:t>ТГВ/ТЭЛА</w:t>
      </w:r>
      <w:r>
        <w:rPr>
          <w:spacing w:val="-8"/>
          <w:sz w:val="20"/>
        </w:rPr>
        <w:t> </w:t>
      </w:r>
      <w:r>
        <w:rPr>
          <w:sz w:val="20"/>
        </w:rPr>
        <w:t>изучена</w:t>
      </w:r>
      <w:r>
        <w:rPr>
          <w:spacing w:val="-10"/>
          <w:sz w:val="20"/>
        </w:rPr>
        <w:t> </w:t>
      </w:r>
      <w:r>
        <w:rPr>
          <w:sz w:val="20"/>
        </w:rPr>
        <w:t>только</w:t>
      </w:r>
      <w:r>
        <w:rPr>
          <w:spacing w:val="-8"/>
          <w:sz w:val="20"/>
        </w:rPr>
        <w:t> </w:t>
      </w:r>
      <w:r>
        <w:rPr>
          <w:sz w:val="20"/>
        </w:rPr>
        <w:t>при</w:t>
      </w:r>
      <w:r>
        <w:rPr>
          <w:spacing w:val="-11"/>
          <w:sz w:val="20"/>
        </w:rPr>
        <w:t> </w:t>
      </w:r>
      <w:r>
        <w:rPr>
          <w:sz w:val="20"/>
        </w:rPr>
        <w:t>крупных</w:t>
      </w:r>
      <w:r>
        <w:rPr>
          <w:spacing w:val="-8"/>
          <w:sz w:val="20"/>
        </w:rPr>
        <w:t> </w:t>
      </w:r>
      <w:r>
        <w:rPr>
          <w:sz w:val="20"/>
        </w:rPr>
        <w:t>ортопедических</w:t>
      </w:r>
      <w:r>
        <w:rPr>
          <w:spacing w:val="-9"/>
          <w:sz w:val="20"/>
        </w:rPr>
        <w:t> </w:t>
      </w:r>
      <w:r>
        <w:rPr>
          <w:spacing w:val="-2"/>
          <w:sz w:val="20"/>
        </w:rPr>
        <w:t>вмешательствах.</w:t>
      </w:r>
    </w:p>
    <w:p>
      <w:pPr>
        <w:pStyle w:val="ListParagraph"/>
        <w:numPr>
          <w:ilvl w:val="0"/>
          <w:numId w:val="115"/>
        </w:numPr>
        <w:tabs>
          <w:tab w:pos="458" w:val="left" w:leader="none"/>
        </w:tabs>
        <w:spacing w:line="240" w:lineRule="auto" w:before="0" w:after="0"/>
        <w:ind w:left="294" w:right="398" w:firstLine="0"/>
        <w:jc w:val="both"/>
        <w:rPr>
          <w:sz w:val="20"/>
        </w:rPr>
      </w:pPr>
      <w:r>
        <w:rPr>
          <w:sz w:val="20"/>
        </w:rPr>
        <w:t>–</w:t>
      </w:r>
      <w:r>
        <w:rPr>
          <w:spacing w:val="34"/>
          <w:sz w:val="20"/>
        </w:rPr>
        <w:t> </w:t>
      </w:r>
      <w:r>
        <w:rPr>
          <w:sz w:val="20"/>
        </w:rPr>
        <w:t>пероральный</w:t>
      </w:r>
      <w:r>
        <w:rPr>
          <w:spacing w:val="11"/>
          <w:sz w:val="20"/>
        </w:rPr>
        <w:t> </w:t>
      </w:r>
      <w:r>
        <w:rPr>
          <w:sz w:val="20"/>
        </w:rPr>
        <w:t>прием</w:t>
      </w:r>
      <w:r>
        <w:rPr>
          <w:spacing w:val="13"/>
          <w:sz w:val="20"/>
        </w:rPr>
        <w:t> </w:t>
      </w:r>
      <w:r>
        <w:rPr>
          <w:sz w:val="20"/>
        </w:rPr>
        <w:t>молнупиравира</w:t>
      </w:r>
      <w:r>
        <w:rPr>
          <w:spacing w:val="11"/>
          <w:sz w:val="20"/>
        </w:rPr>
        <w:t> </w:t>
      </w:r>
      <w:r>
        <w:rPr>
          <w:sz w:val="20"/>
        </w:rPr>
        <w:t>должен</w:t>
      </w:r>
      <w:r>
        <w:rPr>
          <w:spacing w:val="13"/>
          <w:sz w:val="20"/>
        </w:rPr>
        <w:t> </w:t>
      </w:r>
      <w:r>
        <w:rPr>
          <w:sz w:val="20"/>
        </w:rPr>
        <w:t>быть</w:t>
      </w:r>
      <w:r>
        <w:rPr>
          <w:spacing w:val="13"/>
          <w:sz w:val="20"/>
        </w:rPr>
        <w:t> </w:t>
      </w:r>
      <w:r>
        <w:rPr>
          <w:sz w:val="20"/>
        </w:rPr>
        <w:t>начат</w:t>
      </w:r>
      <w:r>
        <w:rPr>
          <w:spacing w:val="11"/>
          <w:sz w:val="20"/>
        </w:rPr>
        <w:t> </w:t>
      </w:r>
      <w:r>
        <w:rPr>
          <w:sz w:val="20"/>
        </w:rPr>
        <w:t>как</w:t>
      </w:r>
      <w:r>
        <w:rPr>
          <w:spacing w:val="11"/>
          <w:sz w:val="20"/>
        </w:rPr>
        <w:t> </w:t>
      </w:r>
      <w:r>
        <w:rPr>
          <w:sz w:val="20"/>
        </w:rPr>
        <w:t>можно</w:t>
      </w:r>
      <w:r>
        <w:rPr>
          <w:spacing w:val="12"/>
          <w:sz w:val="20"/>
        </w:rPr>
        <w:t> </w:t>
      </w:r>
      <w:r>
        <w:rPr>
          <w:sz w:val="20"/>
        </w:rPr>
        <w:t>раньше</w:t>
      </w:r>
      <w:r>
        <w:rPr>
          <w:spacing w:val="13"/>
          <w:sz w:val="20"/>
        </w:rPr>
        <w:t> </w:t>
      </w:r>
      <w:r>
        <w:rPr>
          <w:sz w:val="20"/>
        </w:rPr>
        <w:t>после</w:t>
      </w:r>
      <w:r>
        <w:rPr>
          <w:spacing w:val="11"/>
          <w:sz w:val="20"/>
        </w:rPr>
        <w:t> </w:t>
      </w:r>
      <w:r>
        <w:rPr>
          <w:sz w:val="20"/>
        </w:rPr>
        <w:t>постановки</w:t>
      </w:r>
      <w:r>
        <w:rPr>
          <w:spacing w:val="10"/>
          <w:sz w:val="20"/>
        </w:rPr>
        <w:t> </w:t>
      </w:r>
      <w:r>
        <w:rPr>
          <w:sz w:val="20"/>
        </w:rPr>
        <w:t>диагноза</w:t>
      </w:r>
      <w:r>
        <w:rPr>
          <w:spacing w:val="12"/>
          <w:sz w:val="20"/>
        </w:rPr>
        <w:t> </w:t>
      </w:r>
      <w:r>
        <w:rPr>
          <w:sz w:val="20"/>
        </w:rPr>
        <w:t>новой</w:t>
      </w:r>
      <w:r>
        <w:rPr>
          <w:spacing w:val="10"/>
          <w:sz w:val="20"/>
        </w:rPr>
        <w:t> </w:t>
      </w:r>
      <w:r>
        <w:rPr>
          <w:sz w:val="20"/>
        </w:rPr>
        <w:t>коронавирусной</w:t>
      </w:r>
      <w:r>
        <w:rPr>
          <w:spacing w:val="12"/>
          <w:sz w:val="20"/>
        </w:rPr>
        <w:t> </w:t>
      </w:r>
      <w:r>
        <w:rPr>
          <w:sz w:val="20"/>
        </w:rPr>
        <w:t>инфекции</w:t>
      </w:r>
      <w:r>
        <w:rPr>
          <w:spacing w:val="10"/>
          <w:sz w:val="20"/>
        </w:rPr>
        <w:t> </w:t>
      </w:r>
      <w:r>
        <w:rPr>
          <w:sz w:val="20"/>
        </w:rPr>
        <w:t>(COVID-19)</w:t>
      </w:r>
      <w:r>
        <w:rPr>
          <w:spacing w:val="12"/>
          <w:sz w:val="20"/>
        </w:rPr>
        <w:t> </w:t>
      </w:r>
      <w:r>
        <w:rPr>
          <w:sz w:val="20"/>
        </w:rPr>
        <w:t>и/или</w:t>
      </w:r>
      <w:r>
        <w:rPr>
          <w:spacing w:val="10"/>
          <w:sz w:val="20"/>
        </w:rPr>
        <w:t> </w:t>
      </w:r>
      <w:r>
        <w:rPr>
          <w:sz w:val="20"/>
        </w:rPr>
        <w:t>в</w:t>
      </w:r>
      <w:r>
        <w:rPr>
          <w:spacing w:val="11"/>
          <w:sz w:val="20"/>
        </w:rPr>
        <w:t> </w:t>
      </w:r>
      <w:r>
        <w:rPr>
          <w:sz w:val="20"/>
        </w:rPr>
        <w:t>течение </w:t>
      </w:r>
      <w:r>
        <w:rPr>
          <w:spacing w:val="-2"/>
          <w:sz w:val="20"/>
        </w:rPr>
        <w:t>5 дней после появления первых симптомов</w:t>
      </w:r>
      <w:r>
        <w:rPr>
          <w:spacing w:val="-3"/>
          <w:sz w:val="20"/>
        </w:rPr>
        <w:t> </w:t>
      </w:r>
      <w:r>
        <w:rPr>
          <w:spacing w:val="-2"/>
          <w:sz w:val="20"/>
        </w:rPr>
        <w:t>заболевания в популяции взрослых пациентов</w:t>
      </w:r>
      <w:r>
        <w:rPr>
          <w:spacing w:val="-3"/>
          <w:sz w:val="20"/>
        </w:rPr>
        <w:t> </w:t>
      </w:r>
      <w:r>
        <w:rPr>
          <w:spacing w:val="-2"/>
          <w:sz w:val="20"/>
        </w:rPr>
        <w:t>легкого и</w:t>
      </w:r>
      <w:r>
        <w:rPr>
          <w:spacing w:val="-3"/>
          <w:sz w:val="20"/>
        </w:rPr>
        <w:t> </w:t>
      </w:r>
      <w:r>
        <w:rPr>
          <w:spacing w:val="-2"/>
          <w:sz w:val="20"/>
        </w:rPr>
        <w:t>среднетяжелого течения, в</w:t>
      </w:r>
      <w:r>
        <w:rPr>
          <w:spacing w:val="-3"/>
          <w:sz w:val="20"/>
        </w:rPr>
        <w:t> </w:t>
      </w:r>
      <w:r>
        <w:rPr>
          <w:spacing w:val="-2"/>
          <w:sz w:val="20"/>
        </w:rPr>
        <w:t>том числе с высоким риском прогрессирования </w:t>
      </w:r>
      <w:r>
        <w:rPr>
          <w:sz w:val="20"/>
        </w:rPr>
        <w:t>до тяжелого течения заболевания</w:t>
      </w:r>
    </w:p>
    <w:p>
      <w:pPr>
        <w:pStyle w:val="ListParagraph"/>
        <w:numPr>
          <w:ilvl w:val="0"/>
          <w:numId w:val="115"/>
        </w:numPr>
        <w:tabs>
          <w:tab w:pos="444" w:val="left" w:leader="none"/>
        </w:tabs>
        <w:spacing w:line="229" w:lineRule="exact" w:before="1" w:after="0"/>
        <w:ind w:left="444" w:right="0" w:hanging="150"/>
        <w:jc w:val="both"/>
        <w:rPr>
          <w:sz w:val="20"/>
        </w:rPr>
      </w:pPr>
      <w:r>
        <w:rPr>
          <w:sz w:val="20"/>
        </w:rPr>
        <w:t>–</w:t>
      </w:r>
      <w:r>
        <w:rPr>
          <w:spacing w:val="-7"/>
          <w:sz w:val="20"/>
        </w:rPr>
        <w:t> </w:t>
      </w:r>
      <w:r>
        <w:rPr>
          <w:sz w:val="20"/>
        </w:rPr>
        <w:t>при</w:t>
      </w:r>
      <w:r>
        <w:rPr>
          <w:spacing w:val="-7"/>
          <w:sz w:val="20"/>
        </w:rPr>
        <w:t> </w:t>
      </w:r>
      <w:r>
        <w:rPr>
          <w:sz w:val="20"/>
        </w:rPr>
        <w:t>наличии</w:t>
      </w:r>
      <w:r>
        <w:rPr>
          <w:spacing w:val="-8"/>
          <w:sz w:val="20"/>
        </w:rPr>
        <w:t> </w:t>
      </w:r>
      <w:r>
        <w:rPr>
          <w:sz w:val="20"/>
        </w:rPr>
        <w:t>дополнительных</w:t>
      </w:r>
      <w:r>
        <w:rPr>
          <w:spacing w:val="-6"/>
          <w:sz w:val="20"/>
        </w:rPr>
        <w:t> </w:t>
      </w:r>
      <w:r>
        <w:rPr>
          <w:sz w:val="20"/>
        </w:rPr>
        <w:t>фактров</w:t>
      </w:r>
      <w:r>
        <w:rPr>
          <w:spacing w:val="-8"/>
          <w:sz w:val="20"/>
        </w:rPr>
        <w:t> </w:t>
      </w:r>
      <w:r>
        <w:rPr>
          <w:sz w:val="20"/>
        </w:rPr>
        <w:t>риска</w:t>
      </w:r>
      <w:r>
        <w:rPr>
          <w:spacing w:val="-8"/>
          <w:sz w:val="20"/>
        </w:rPr>
        <w:t> </w:t>
      </w:r>
      <w:r>
        <w:rPr>
          <w:sz w:val="20"/>
        </w:rPr>
        <w:t>ТГВ/ТЭЛА</w:t>
      </w:r>
      <w:r>
        <w:rPr>
          <w:spacing w:val="-7"/>
          <w:sz w:val="20"/>
        </w:rPr>
        <w:t> </w:t>
      </w:r>
      <w:r>
        <w:rPr>
          <w:sz w:val="20"/>
        </w:rPr>
        <w:t>и</w:t>
      </w:r>
      <w:r>
        <w:rPr>
          <w:spacing w:val="-4"/>
          <w:sz w:val="20"/>
        </w:rPr>
        <w:t> </w:t>
      </w:r>
      <w:r>
        <w:rPr>
          <w:sz w:val="20"/>
        </w:rPr>
        <w:t>низком</w:t>
      </w:r>
      <w:r>
        <w:rPr>
          <w:spacing w:val="-6"/>
          <w:sz w:val="20"/>
        </w:rPr>
        <w:t> </w:t>
      </w:r>
      <w:r>
        <w:rPr>
          <w:sz w:val="20"/>
        </w:rPr>
        <w:t>риске</w:t>
      </w:r>
      <w:r>
        <w:rPr>
          <w:spacing w:val="-8"/>
          <w:sz w:val="20"/>
        </w:rPr>
        <w:t> </w:t>
      </w:r>
      <w:r>
        <w:rPr>
          <w:sz w:val="20"/>
        </w:rPr>
        <w:t>кровотечений</w:t>
      </w:r>
      <w:r>
        <w:rPr>
          <w:spacing w:val="-7"/>
          <w:sz w:val="20"/>
        </w:rPr>
        <w:t> </w:t>
      </w:r>
      <w:r>
        <w:rPr>
          <w:sz w:val="20"/>
        </w:rPr>
        <w:t>у</w:t>
      </w:r>
      <w:r>
        <w:rPr>
          <w:spacing w:val="-7"/>
          <w:sz w:val="20"/>
        </w:rPr>
        <w:t> </w:t>
      </w:r>
      <w:r>
        <w:rPr>
          <w:sz w:val="20"/>
        </w:rPr>
        <w:t>больных,</w:t>
      </w:r>
      <w:r>
        <w:rPr>
          <w:spacing w:val="-7"/>
          <w:sz w:val="20"/>
        </w:rPr>
        <w:t> </w:t>
      </w:r>
      <w:r>
        <w:rPr>
          <w:sz w:val="20"/>
        </w:rPr>
        <w:t>не</w:t>
      </w:r>
      <w:r>
        <w:rPr>
          <w:spacing w:val="-5"/>
          <w:sz w:val="20"/>
        </w:rPr>
        <w:t> </w:t>
      </w:r>
      <w:r>
        <w:rPr>
          <w:sz w:val="20"/>
        </w:rPr>
        <w:t>получающих</w:t>
      </w:r>
      <w:r>
        <w:rPr>
          <w:spacing w:val="-6"/>
          <w:sz w:val="20"/>
        </w:rPr>
        <w:t> </w:t>
      </w:r>
      <w:r>
        <w:rPr>
          <w:sz w:val="20"/>
        </w:rPr>
        <w:t>антикоагулянты</w:t>
      </w:r>
      <w:r>
        <w:rPr>
          <w:spacing w:val="-7"/>
          <w:sz w:val="20"/>
        </w:rPr>
        <w:t> </w:t>
      </w:r>
      <w:r>
        <w:rPr>
          <w:sz w:val="20"/>
        </w:rPr>
        <w:t>по</w:t>
      </w:r>
      <w:r>
        <w:rPr>
          <w:spacing w:val="-6"/>
          <w:sz w:val="20"/>
        </w:rPr>
        <w:t> </w:t>
      </w:r>
      <w:r>
        <w:rPr>
          <w:sz w:val="20"/>
        </w:rPr>
        <w:t>другим</w:t>
      </w:r>
      <w:r>
        <w:rPr>
          <w:spacing w:val="-6"/>
          <w:sz w:val="20"/>
        </w:rPr>
        <w:t> </w:t>
      </w:r>
      <w:r>
        <w:rPr>
          <w:spacing w:val="-2"/>
          <w:sz w:val="20"/>
        </w:rPr>
        <w:t>показаниям</w:t>
      </w:r>
    </w:p>
    <w:p>
      <w:pPr>
        <w:pStyle w:val="ListParagraph"/>
        <w:numPr>
          <w:ilvl w:val="0"/>
          <w:numId w:val="115"/>
        </w:numPr>
        <w:tabs>
          <w:tab w:pos="442" w:val="left" w:leader="none"/>
        </w:tabs>
        <w:spacing w:line="240" w:lineRule="auto" w:before="0" w:after="0"/>
        <w:ind w:left="294" w:right="397" w:firstLine="0"/>
        <w:jc w:val="both"/>
        <w:rPr>
          <w:sz w:val="20"/>
        </w:rPr>
      </w:pPr>
      <w:r>
        <w:rPr>
          <w:sz w:val="20"/>
        </w:rPr>
        <w:t>-</w:t>
      </w:r>
      <w:r>
        <w:rPr>
          <w:spacing w:val="-8"/>
          <w:sz w:val="20"/>
        </w:rPr>
        <w:t> </w:t>
      </w:r>
      <w:r>
        <w:rPr>
          <w:sz w:val="20"/>
        </w:rPr>
        <w:t>пероральный</w:t>
      </w:r>
      <w:r>
        <w:rPr>
          <w:spacing w:val="-7"/>
          <w:sz w:val="20"/>
        </w:rPr>
        <w:t> </w:t>
      </w:r>
      <w:r>
        <w:rPr>
          <w:sz w:val="20"/>
        </w:rPr>
        <w:t>прием</w:t>
      </w:r>
      <w:r>
        <w:rPr>
          <w:spacing w:val="-4"/>
          <w:sz w:val="20"/>
        </w:rPr>
        <w:t> </w:t>
      </w:r>
      <w:r>
        <w:rPr>
          <w:sz w:val="20"/>
        </w:rPr>
        <w:t>препарата</w:t>
      </w:r>
      <w:r>
        <w:rPr>
          <w:spacing w:val="-6"/>
          <w:sz w:val="20"/>
        </w:rPr>
        <w:t> </w:t>
      </w:r>
      <w:r>
        <w:rPr>
          <w:sz w:val="20"/>
        </w:rPr>
        <w:t>нирматрелвир+ритонавир</w:t>
      </w:r>
      <w:r>
        <w:rPr>
          <w:spacing w:val="-6"/>
          <w:sz w:val="20"/>
        </w:rPr>
        <w:t> </w:t>
      </w:r>
      <w:r>
        <w:rPr>
          <w:sz w:val="20"/>
        </w:rPr>
        <w:t>должен</w:t>
      </w:r>
      <w:r>
        <w:rPr>
          <w:spacing w:val="-8"/>
          <w:sz w:val="20"/>
        </w:rPr>
        <w:t> </w:t>
      </w:r>
      <w:r>
        <w:rPr>
          <w:sz w:val="20"/>
        </w:rPr>
        <w:t>быть</w:t>
      </w:r>
      <w:r>
        <w:rPr>
          <w:spacing w:val="-6"/>
          <w:sz w:val="20"/>
        </w:rPr>
        <w:t> </w:t>
      </w:r>
      <w:r>
        <w:rPr>
          <w:sz w:val="20"/>
        </w:rPr>
        <w:t>начат</w:t>
      </w:r>
      <w:r>
        <w:rPr>
          <w:spacing w:val="-7"/>
          <w:sz w:val="20"/>
        </w:rPr>
        <w:t> </w:t>
      </w:r>
      <w:r>
        <w:rPr>
          <w:sz w:val="20"/>
        </w:rPr>
        <w:t>как</w:t>
      </w:r>
      <w:r>
        <w:rPr>
          <w:spacing w:val="-7"/>
          <w:sz w:val="20"/>
        </w:rPr>
        <w:t> </w:t>
      </w:r>
      <w:r>
        <w:rPr>
          <w:sz w:val="20"/>
        </w:rPr>
        <w:t>можно</w:t>
      </w:r>
      <w:r>
        <w:rPr>
          <w:spacing w:val="-6"/>
          <w:sz w:val="20"/>
        </w:rPr>
        <w:t> </w:t>
      </w:r>
      <w:r>
        <w:rPr>
          <w:sz w:val="20"/>
        </w:rPr>
        <w:t>раньше</w:t>
      </w:r>
      <w:r>
        <w:rPr>
          <w:spacing w:val="-6"/>
          <w:sz w:val="20"/>
        </w:rPr>
        <w:t> </w:t>
      </w:r>
      <w:r>
        <w:rPr>
          <w:sz w:val="20"/>
        </w:rPr>
        <w:t>после</w:t>
      </w:r>
      <w:r>
        <w:rPr>
          <w:spacing w:val="-6"/>
          <w:sz w:val="20"/>
        </w:rPr>
        <w:t> </w:t>
      </w:r>
      <w:r>
        <w:rPr>
          <w:sz w:val="20"/>
        </w:rPr>
        <w:t>постановки</w:t>
      </w:r>
      <w:r>
        <w:rPr>
          <w:spacing w:val="-8"/>
          <w:sz w:val="20"/>
        </w:rPr>
        <w:t> </w:t>
      </w:r>
      <w:r>
        <w:rPr>
          <w:sz w:val="20"/>
        </w:rPr>
        <w:t>диагноза</w:t>
      </w:r>
      <w:r>
        <w:rPr>
          <w:spacing w:val="-6"/>
          <w:sz w:val="20"/>
        </w:rPr>
        <w:t> </w:t>
      </w:r>
      <w:r>
        <w:rPr>
          <w:sz w:val="20"/>
        </w:rPr>
        <w:t>новой</w:t>
      </w:r>
      <w:r>
        <w:rPr>
          <w:spacing w:val="-8"/>
          <w:sz w:val="20"/>
        </w:rPr>
        <w:t> </w:t>
      </w:r>
      <w:r>
        <w:rPr>
          <w:sz w:val="20"/>
        </w:rPr>
        <w:t>коронавирусной</w:t>
      </w:r>
      <w:r>
        <w:rPr>
          <w:spacing w:val="-8"/>
          <w:sz w:val="20"/>
        </w:rPr>
        <w:t> </w:t>
      </w:r>
      <w:r>
        <w:rPr>
          <w:sz w:val="20"/>
        </w:rPr>
        <w:t>инфекции</w:t>
      </w:r>
      <w:r>
        <w:rPr>
          <w:spacing w:val="-8"/>
          <w:sz w:val="20"/>
        </w:rPr>
        <w:t> </w:t>
      </w:r>
      <w:r>
        <w:rPr>
          <w:sz w:val="20"/>
        </w:rPr>
        <w:t>(COVID-19) и/или</w:t>
      </w:r>
      <w:r>
        <w:rPr>
          <w:spacing w:val="-6"/>
          <w:sz w:val="20"/>
        </w:rPr>
        <w:t> </w:t>
      </w:r>
      <w:r>
        <w:rPr>
          <w:sz w:val="20"/>
        </w:rPr>
        <w:t>в</w:t>
      </w:r>
      <w:r>
        <w:rPr>
          <w:spacing w:val="-3"/>
          <w:sz w:val="20"/>
        </w:rPr>
        <w:t> </w:t>
      </w:r>
      <w:r>
        <w:rPr>
          <w:sz w:val="20"/>
        </w:rPr>
        <w:t>течение</w:t>
      </w:r>
      <w:r>
        <w:rPr>
          <w:spacing w:val="-4"/>
          <w:sz w:val="20"/>
        </w:rPr>
        <w:t> </w:t>
      </w:r>
      <w:r>
        <w:rPr>
          <w:sz w:val="20"/>
        </w:rPr>
        <w:t>5</w:t>
      </w:r>
      <w:r>
        <w:rPr>
          <w:spacing w:val="-1"/>
          <w:sz w:val="20"/>
        </w:rPr>
        <w:t> </w:t>
      </w:r>
      <w:r>
        <w:rPr>
          <w:sz w:val="20"/>
        </w:rPr>
        <w:t>дней</w:t>
      </w:r>
      <w:r>
        <w:rPr>
          <w:spacing w:val="-3"/>
          <w:sz w:val="20"/>
        </w:rPr>
        <w:t> </w:t>
      </w:r>
      <w:r>
        <w:rPr>
          <w:sz w:val="20"/>
        </w:rPr>
        <w:t>после</w:t>
      </w:r>
      <w:r>
        <w:rPr>
          <w:spacing w:val="-4"/>
          <w:sz w:val="20"/>
        </w:rPr>
        <w:t> </w:t>
      </w:r>
      <w:r>
        <w:rPr>
          <w:sz w:val="20"/>
        </w:rPr>
        <w:t>появления</w:t>
      </w:r>
      <w:r>
        <w:rPr>
          <w:spacing w:val="-3"/>
          <w:sz w:val="20"/>
        </w:rPr>
        <w:t> </w:t>
      </w:r>
      <w:r>
        <w:rPr>
          <w:sz w:val="20"/>
        </w:rPr>
        <w:t>первых</w:t>
      </w:r>
      <w:r>
        <w:rPr>
          <w:spacing w:val="-3"/>
          <w:sz w:val="20"/>
        </w:rPr>
        <w:t> </w:t>
      </w:r>
      <w:r>
        <w:rPr>
          <w:sz w:val="20"/>
        </w:rPr>
        <w:t>симптомов</w:t>
      </w:r>
      <w:r>
        <w:rPr>
          <w:spacing w:val="-5"/>
          <w:sz w:val="20"/>
        </w:rPr>
        <w:t> </w:t>
      </w:r>
      <w:r>
        <w:rPr>
          <w:sz w:val="20"/>
        </w:rPr>
        <w:t>заболевания</w:t>
      </w:r>
      <w:r>
        <w:rPr>
          <w:spacing w:val="-3"/>
          <w:sz w:val="20"/>
        </w:rPr>
        <w:t> </w:t>
      </w:r>
      <w:r>
        <w:rPr>
          <w:sz w:val="20"/>
        </w:rPr>
        <w:t>в</w:t>
      </w:r>
      <w:r>
        <w:rPr>
          <w:spacing w:val="-3"/>
          <w:sz w:val="20"/>
        </w:rPr>
        <w:t> </w:t>
      </w:r>
      <w:r>
        <w:rPr>
          <w:sz w:val="20"/>
        </w:rPr>
        <w:t>популяции</w:t>
      </w:r>
      <w:r>
        <w:rPr>
          <w:spacing w:val="-6"/>
          <w:sz w:val="20"/>
        </w:rPr>
        <w:t> </w:t>
      </w:r>
      <w:r>
        <w:rPr>
          <w:sz w:val="20"/>
        </w:rPr>
        <w:t>взрослых</w:t>
      </w:r>
      <w:r>
        <w:rPr>
          <w:spacing w:val="-1"/>
          <w:sz w:val="20"/>
        </w:rPr>
        <w:t> </w:t>
      </w:r>
      <w:r>
        <w:rPr>
          <w:sz w:val="20"/>
        </w:rPr>
        <w:t>пациентов</w:t>
      </w:r>
      <w:r>
        <w:rPr>
          <w:spacing w:val="-3"/>
          <w:sz w:val="20"/>
        </w:rPr>
        <w:t> </w:t>
      </w:r>
      <w:r>
        <w:rPr>
          <w:sz w:val="20"/>
        </w:rPr>
        <w:t>легкого</w:t>
      </w:r>
      <w:r>
        <w:rPr>
          <w:spacing w:val="-4"/>
          <w:sz w:val="20"/>
        </w:rPr>
        <w:t> </w:t>
      </w:r>
      <w:r>
        <w:rPr>
          <w:sz w:val="20"/>
        </w:rPr>
        <w:t>и</w:t>
      </w:r>
      <w:r>
        <w:rPr>
          <w:spacing w:val="-6"/>
          <w:sz w:val="20"/>
        </w:rPr>
        <w:t> </w:t>
      </w:r>
      <w:r>
        <w:rPr>
          <w:sz w:val="20"/>
        </w:rPr>
        <w:t>среднетяжелого</w:t>
      </w:r>
      <w:r>
        <w:rPr>
          <w:spacing w:val="-4"/>
          <w:sz w:val="20"/>
        </w:rPr>
        <w:t> </w:t>
      </w:r>
      <w:r>
        <w:rPr>
          <w:sz w:val="20"/>
        </w:rPr>
        <w:t>течения,</w:t>
      </w:r>
      <w:r>
        <w:rPr>
          <w:spacing w:val="-4"/>
          <w:sz w:val="20"/>
        </w:rPr>
        <w:t> </w:t>
      </w:r>
      <w:r>
        <w:rPr>
          <w:sz w:val="20"/>
        </w:rPr>
        <w:t>в</w:t>
      </w:r>
      <w:r>
        <w:rPr>
          <w:spacing w:val="-5"/>
          <w:sz w:val="20"/>
        </w:rPr>
        <w:t> </w:t>
      </w:r>
      <w:r>
        <w:rPr>
          <w:sz w:val="20"/>
        </w:rPr>
        <w:t>том</w:t>
      </w:r>
      <w:r>
        <w:rPr>
          <w:spacing w:val="-3"/>
          <w:sz w:val="20"/>
        </w:rPr>
        <w:t> </w:t>
      </w:r>
      <w:r>
        <w:rPr>
          <w:sz w:val="20"/>
        </w:rPr>
        <w:t>числе</w:t>
      </w:r>
      <w:r>
        <w:rPr>
          <w:spacing w:val="-2"/>
          <w:sz w:val="20"/>
        </w:rPr>
        <w:t> </w:t>
      </w:r>
      <w:r>
        <w:rPr>
          <w:sz w:val="20"/>
        </w:rPr>
        <w:t>с</w:t>
      </w:r>
      <w:r>
        <w:rPr>
          <w:spacing w:val="-4"/>
          <w:sz w:val="20"/>
        </w:rPr>
        <w:t> </w:t>
      </w:r>
      <w:r>
        <w:rPr>
          <w:sz w:val="20"/>
        </w:rPr>
        <w:t>высоким</w:t>
      </w:r>
      <w:r>
        <w:rPr>
          <w:spacing w:val="-3"/>
          <w:sz w:val="20"/>
        </w:rPr>
        <w:t> </w:t>
      </w:r>
      <w:r>
        <w:rPr>
          <w:sz w:val="20"/>
        </w:rPr>
        <w:t>риском прогрессирования до тяжелого течения заболевания.</w:t>
      </w:r>
      <w:r>
        <w:rPr>
          <w:spacing w:val="40"/>
          <w:sz w:val="20"/>
        </w:rPr>
        <w:t> </w:t>
      </w:r>
      <w:r>
        <w:rPr>
          <w:sz w:val="20"/>
        </w:rPr>
        <w:t>Рекомендуется завершение полного 5-дневного курса лечения, даже если после начала терапии пациенту требуется госпитализация в связи с прогрессированием заболевания COVID-19 до тяжелого лечения.</w:t>
      </w:r>
    </w:p>
    <w:p>
      <w:pPr>
        <w:spacing w:line="259" w:lineRule="auto" w:before="0"/>
        <w:ind w:left="294" w:right="396" w:firstLine="0"/>
        <w:jc w:val="both"/>
        <w:rPr>
          <w:sz w:val="20"/>
        </w:rPr>
      </w:pPr>
      <w:r>
        <w:rPr>
          <w:sz w:val="20"/>
          <w:u w:val="single"/>
        </w:rPr>
        <w:t>Антибактериальная</w:t>
      </w:r>
      <w:r>
        <w:rPr>
          <w:spacing w:val="-6"/>
          <w:sz w:val="20"/>
          <w:u w:val="single"/>
        </w:rPr>
        <w:t> </w:t>
      </w:r>
      <w:r>
        <w:rPr>
          <w:sz w:val="20"/>
          <w:u w:val="single"/>
        </w:rPr>
        <w:t>терапия</w:t>
      </w:r>
      <w:r>
        <w:rPr>
          <w:spacing w:val="-6"/>
          <w:sz w:val="20"/>
          <w:u w:val="single"/>
        </w:rPr>
        <w:t> </w:t>
      </w:r>
      <w:r>
        <w:rPr>
          <w:sz w:val="20"/>
          <w:u w:val="single"/>
        </w:rPr>
        <w:t>длительностью</w:t>
      </w:r>
      <w:r>
        <w:rPr>
          <w:spacing w:val="-8"/>
          <w:sz w:val="20"/>
          <w:u w:val="single"/>
        </w:rPr>
        <w:t> </w:t>
      </w:r>
      <w:r>
        <w:rPr>
          <w:sz w:val="20"/>
          <w:u w:val="single"/>
        </w:rPr>
        <w:t>3-7</w:t>
      </w:r>
      <w:r>
        <w:rPr>
          <w:spacing w:val="-7"/>
          <w:sz w:val="20"/>
          <w:u w:val="single"/>
        </w:rPr>
        <w:t> </w:t>
      </w:r>
      <w:r>
        <w:rPr>
          <w:sz w:val="20"/>
          <w:u w:val="single"/>
        </w:rPr>
        <w:t>дней</w:t>
      </w:r>
      <w:r>
        <w:rPr>
          <w:spacing w:val="-7"/>
          <w:sz w:val="20"/>
          <w:u w:val="single"/>
        </w:rPr>
        <w:t> </w:t>
      </w:r>
      <w:r>
        <w:rPr>
          <w:sz w:val="20"/>
          <w:u w:val="single"/>
        </w:rPr>
        <w:t>назначается</w:t>
      </w:r>
      <w:r>
        <w:rPr>
          <w:spacing w:val="-6"/>
          <w:sz w:val="20"/>
          <w:u w:val="single"/>
        </w:rPr>
        <w:t> </w:t>
      </w:r>
      <w:r>
        <w:rPr>
          <w:sz w:val="20"/>
          <w:u w:val="single"/>
        </w:rPr>
        <w:t>в</w:t>
      </w:r>
      <w:r>
        <w:rPr>
          <w:spacing w:val="-8"/>
          <w:sz w:val="20"/>
          <w:u w:val="single"/>
        </w:rPr>
        <w:t> </w:t>
      </w:r>
      <w:r>
        <w:rPr>
          <w:sz w:val="20"/>
          <w:u w:val="single"/>
        </w:rPr>
        <w:t>соответствии</w:t>
      </w:r>
      <w:r>
        <w:rPr>
          <w:spacing w:val="-9"/>
          <w:sz w:val="20"/>
          <w:u w:val="single"/>
        </w:rPr>
        <w:t> </w:t>
      </w:r>
      <w:r>
        <w:rPr>
          <w:sz w:val="20"/>
          <w:u w:val="single"/>
        </w:rPr>
        <w:t>с</w:t>
      </w:r>
      <w:r>
        <w:rPr>
          <w:spacing w:val="-7"/>
          <w:sz w:val="20"/>
          <w:u w:val="single"/>
        </w:rPr>
        <w:t> </w:t>
      </w:r>
      <w:r>
        <w:rPr>
          <w:sz w:val="20"/>
          <w:u w:val="single"/>
        </w:rPr>
        <w:t>разделом</w:t>
      </w:r>
      <w:r>
        <w:rPr>
          <w:spacing w:val="-7"/>
          <w:sz w:val="20"/>
          <w:u w:val="single"/>
        </w:rPr>
        <w:t> </w:t>
      </w:r>
      <w:r>
        <w:rPr>
          <w:sz w:val="20"/>
          <w:u w:val="single"/>
        </w:rPr>
        <w:t>5.4</w:t>
      </w:r>
      <w:r>
        <w:rPr>
          <w:spacing w:val="-7"/>
          <w:sz w:val="20"/>
          <w:u w:val="single"/>
        </w:rPr>
        <w:t> </w:t>
      </w:r>
      <w:r>
        <w:rPr>
          <w:sz w:val="20"/>
          <w:u w:val="single"/>
        </w:rPr>
        <w:t>только</w:t>
      </w:r>
      <w:r>
        <w:rPr>
          <w:spacing w:val="-5"/>
          <w:sz w:val="20"/>
          <w:u w:val="single"/>
        </w:rPr>
        <w:t> </w:t>
      </w:r>
      <w:r>
        <w:rPr>
          <w:sz w:val="20"/>
          <w:u w:val="single"/>
        </w:rPr>
        <w:t>при</w:t>
      </w:r>
      <w:r>
        <w:rPr>
          <w:spacing w:val="-7"/>
          <w:sz w:val="20"/>
          <w:u w:val="single"/>
        </w:rPr>
        <w:t> </w:t>
      </w:r>
      <w:r>
        <w:rPr>
          <w:sz w:val="20"/>
          <w:u w:val="single"/>
        </w:rPr>
        <w:t>наличии</w:t>
      </w:r>
      <w:r>
        <w:rPr>
          <w:spacing w:val="-9"/>
          <w:sz w:val="20"/>
          <w:u w:val="single"/>
        </w:rPr>
        <w:t> </w:t>
      </w:r>
      <w:r>
        <w:rPr>
          <w:sz w:val="20"/>
          <w:u w:val="single"/>
        </w:rPr>
        <w:t>убедительных</w:t>
      </w:r>
      <w:r>
        <w:rPr>
          <w:spacing w:val="-4"/>
          <w:sz w:val="20"/>
          <w:u w:val="single"/>
        </w:rPr>
        <w:t> </w:t>
      </w:r>
      <w:r>
        <w:rPr>
          <w:sz w:val="20"/>
          <w:u w:val="single"/>
        </w:rPr>
        <w:t>признаков</w:t>
      </w:r>
      <w:r>
        <w:rPr>
          <w:spacing w:val="-6"/>
          <w:sz w:val="20"/>
          <w:u w:val="single"/>
        </w:rPr>
        <w:t> </w:t>
      </w:r>
      <w:r>
        <w:rPr>
          <w:sz w:val="20"/>
          <w:u w:val="single"/>
        </w:rPr>
        <w:t>присоединения</w:t>
      </w:r>
      <w:r>
        <w:rPr>
          <w:spacing w:val="-8"/>
          <w:sz w:val="20"/>
          <w:u w:val="single"/>
        </w:rPr>
        <w:t> </w:t>
      </w:r>
      <w:r>
        <w:rPr>
          <w:sz w:val="20"/>
          <w:u w:val="single"/>
        </w:rPr>
        <w:t>бактериальной</w:t>
      </w:r>
      <w:r>
        <w:rPr>
          <w:sz w:val="20"/>
        </w:rPr>
        <w:t> </w:t>
      </w:r>
      <w:r>
        <w:rPr>
          <w:sz w:val="20"/>
          <w:u w:val="single"/>
        </w:rPr>
        <w:t>инфекции, включая лейкоцитоз &gt; 12x109/л (при отсутствии предшествующего применения глюкокортикостероидов), палочкоядерный сдвиг ≥ 10%, появление гнойной</w:t>
      </w:r>
      <w:r>
        <w:rPr>
          <w:sz w:val="20"/>
        </w:rPr>
        <w:t> </w:t>
      </w:r>
      <w:r>
        <w:rPr>
          <w:sz w:val="20"/>
          <w:u w:val="single"/>
        </w:rPr>
        <w:t>мокроты, повышение уровня прокальцитонина (при уровне прокальцитонина ≤0,1 нг/мл вероятность бактериальной инфекции является низкой, при уровне ≥0,5 нг/мл</w:t>
      </w:r>
      <w:r>
        <w:rPr>
          <w:sz w:val="20"/>
        </w:rPr>
        <w:t> </w:t>
      </w:r>
      <w:r>
        <w:rPr>
          <w:sz w:val="20"/>
          <w:u w:val="single"/>
        </w:rPr>
        <w:t>вероятность бактериальной инфекции является высокой).</w:t>
      </w:r>
    </w:p>
    <w:p>
      <w:pPr>
        <w:pStyle w:val="ListParagraph"/>
        <w:numPr>
          <w:ilvl w:val="0"/>
          <w:numId w:val="115"/>
        </w:numPr>
        <w:tabs>
          <w:tab w:pos="494" w:val="left" w:leader="none"/>
        </w:tabs>
        <w:spacing w:line="259" w:lineRule="auto" w:before="158" w:after="0"/>
        <w:ind w:left="294" w:right="399" w:firstLine="0"/>
        <w:jc w:val="both"/>
        <w:rPr>
          <w:sz w:val="20"/>
          <w:u w:val="single"/>
        </w:rPr>
      </w:pPr>
      <w:r>
        <w:rPr>
          <w:sz w:val="20"/>
          <w:u w:val="single"/>
        </w:rPr>
        <w:t> – эффективность тедиксабана (N-(5-Хлорпиридин-2-ил)-5-метил-2-(4-(N-метилацетимидамидо)бензамидо)бензамида гидрохлорид)</w:t>
      </w:r>
      <w:r>
        <w:rPr>
          <w:sz w:val="20"/>
        </w:rPr>
        <w:t> в профилактике ТГВ/ТЭЛА изучена в исследовании у пациентов с COVID-19 и при крупных ортопедических вмешательствах.</w:t>
      </w: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177"/>
        <w:ind w:left="0"/>
        <w:jc w:val="left"/>
        <w:rPr>
          <w:sz w:val="22"/>
        </w:rPr>
      </w:pPr>
    </w:p>
    <w:p>
      <w:pPr>
        <w:spacing w:before="0"/>
        <w:ind w:left="0" w:right="15" w:firstLine="0"/>
        <w:jc w:val="center"/>
        <w:rPr>
          <w:rFonts w:ascii="Calibri"/>
          <w:sz w:val="22"/>
        </w:rPr>
      </w:pPr>
      <w:r>
        <w:rPr>
          <w:rFonts w:ascii="Calibri"/>
          <w:spacing w:val="-5"/>
          <w:sz w:val="22"/>
        </w:rPr>
        <w:t>212</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Heading3"/>
        <w:spacing w:before="148"/>
        <w:ind w:left="0" w:right="26"/>
        <w:jc w:val="right"/>
      </w:pPr>
      <w:bookmarkStart w:name="_TOC_250005" w:id="255"/>
      <w:bookmarkStart w:name="214" w:id="256"/>
      <w:r>
        <w:rPr>
          <w:b w:val="0"/>
        </w:rPr>
      </w:r>
      <w:r>
        <w:rPr>
          <w:color w:val="1F487C"/>
          <w:spacing w:val="-2"/>
        </w:rPr>
        <w:t>Приложение</w:t>
      </w:r>
      <w:r>
        <w:rPr>
          <w:color w:val="1F487C"/>
          <w:spacing w:val="2"/>
        </w:rPr>
        <w:t> </w:t>
      </w:r>
      <w:r>
        <w:rPr>
          <w:color w:val="1F487C"/>
          <w:spacing w:val="-2"/>
        </w:rPr>
        <w:t>8-</w:t>
      </w:r>
      <w:bookmarkEnd w:id="255"/>
      <w:r>
        <w:rPr>
          <w:color w:val="1F487C"/>
          <w:spacing w:val="-10"/>
        </w:rPr>
        <w:t>2</w:t>
      </w:r>
    </w:p>
    <w:p>
      <w:pPr>
        <w:spacing w:before="141"/>
        <w:ind w:left="4942" w:right="0" w:firstLine="0"/>
        <w:jc w:val="left"/>
        <w:rPr>
          <w:b/>
          <w:sz w:val="24"/>
        </w:rPr>
      </w:pPr>
      <w:r>
        <w:rPr>
          <w:b/>
          <w:sz w:val="24"/>
        </w:rPr>
        <w:t>Рекомендованные</w:t>
      </w:r>
      <w:r>
        <w:rPr>
          <w:b/>
          <w:spacing w:val="-14"/>
          <w:sz w:val="24"/>
        </w:rPr>
        <w:t> </w:t>
      </w:r>
      <w:r>
        <w:rPr>
          <w:b/>
          <w:sz w:val="24"/>
        </w:rPr>
        <w:t>схемы</w:t>
      </w:r>
      <w:r>
        <w:rPr>
          <w:b/>
          <w:spacing w:val="-12"/>
          <w:sz w:val="24"/>
        </w:rPr>
        <w:t> </w:t>
      </w:r>
      <w:r>
        <w:rPr>
          <w:b/>
          <w:sz w:val="24"/>
        </w:rPr>
        <w:t>лечения</w:t>
      </w:r>
      <w:r>
        <w:rPr>
          <w:b/>
          <w:spacing w:val="-13"/>
          <w:sz w:val="24"/>
        </w:rPr>
        <w:t> </w:t>
      </w:r>
      <w:r>
        <w:rPr>
          <w:b/>
          <w:sz w:val="24"/>
        </w:rPr>
        <w:t>в</w:t>
      </w:r>
      <w:r>
        <w:rPr>
          <w:b/>
          <w:spacing w:val="-13"/>
          <w:sz w:val="24"/>
        </w:rPr>
        <w:t> </w:t>
      </w:r>
      <w:r>
        <w:rPr>
          <w:b/>
          <w:sz w:val="24"/>
        </w:rPr>
        <w:t>условиях</w:t>
      </w:r>
      <w:r>
        <w:rPr>
          <w:b/>
          <w:spacing w:val="-13"/>
          <w:sz w:val="24"/>
        </w:rPr>
        <w:t> </w:t>
      </w:r>
      <w:r>
        <w:rPr>
          <w:b/>
          <w:spacing w:val="-2"/>
          <w:sz w:val="24"/>
        </w:rPr>
        <w:t>стационара</w:t>
      </w:r>
    </w:p>
    <w:p>
      <w:pPr>
        <w:pStyle w:val="BodyText"/>
        <w:spacing w:before="38"/>
        <w:ind w:left="0"/>
        <w:jc w:val="left"/>
        <w:rPr>
          <w:b/>
          <w:sz w:val="20"/>
        </w:rPr>
      </w:pPr>
    </w:p>
    <w:tbl>
      <w:tblPr>
        <w:tblW w:w="0" w:type="auto"/>
        <w:jc w:val="left"/>
        <w:tblInd w:w="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31"/>
        <w:gridCol w:w="447"/>
        <w:gridCol w:w="3664"/>
        <w:gridCol w:w="9502"/>
      </w:tblGrid>
      <w:tr>
        <w:trPr>
          <w:trHeight w:val="465" w:hRule="atLeast"/>
        </w:trPr>
        <w:tc>
          <w:tcPr>
            <w:tcW w:w="1131" w:type="dxa"/>
          </w:tcPr>
          <w:p>
            <w:pPr>
              <w:pStyle w:val="TableParagraph"/>
              <w:rPr>
                <w:sz w:val="18"/>
              </w:rPr>
            </w:pPr>
          </w:p>
        </w:tc>
        <w:tc>
          <w:tcPr>
            <w:tcW w:w="447" w:type="dxa"/>
          </w:tcPr>
          <w:p>
            <w:pPr>
              <w:pStyle w:val="TableParagraph"/>
              <w:spacing w:before="110"/>
              <w:ind w:left="112"/>
              <w:rPr>
                <w:b/>
                <w:sz w:val="22"/>
              </w:rPr>
            </w:pPr>
            <w:r>
              <w:rPr>
                <w:b/>
                <w:spacing w:val="-10"/>
                <w:sz w:val="22"/>
              </w:rPr>
              <w:t>№</w:t>
            </w:r>
          </w:p>
        </w:tc>
        <w:tc>
          <w:tcPr>
            <w:tcW w:w="3664" w:type="dxa"/>
          </w:tcPr>
          <w:p>
            <w:pPr>
              <w:pStyle w:val="TableParagraph"/>
              <w:spacing w:before="110"/>
              <w:ind w:left="114"/>
              <w:rPr>
                <w:b/>
                <w:sz w:val="22"/>
              </w:rPr>
            </w:pPr>
            <w:r>
              <w:rPr>
                <w:b/>
                <w:spacing w:val="-2"/>
                <w:sz w:val="22"/>
              </w:rPr>
              <w:t>Препарат</w:t>
            </w:r>
          </w:p>
        </w:tc>
        <w:tc>
          <w:tcPr>
            <w:tcW w:w="9502" w:type="dxa"/>
          </w:tcPr>
          <w:p>
            <w:pPr>
              <w:pStyle w:val="TableParagraph"/>
              <w:spacing w:before="110"/>
              <w:ind w:left="109"/>
              <w:rPr>
                <w:b/>
                <w:sz w:val="22"/>
              </w:rPr>
            </w:pPr>
            <w:r>
              <w:rPr>
                <w:b/>
                <w:sz w:val="22"/>
              </w:rPr>
              <w:t>Режим</w:t>
            </w:r>
            <w:r>
              <w:rPr>
                <w:b/>
                <w:spacing w:val="-5"/>
                <w:sz w:val="22"/>
              </w:rPr>
              <w:t> </w:t>
            </w:r>
            <w:r>
              <w:rPr>
                <w:b/>
                <w:spacing w:val="-2"/>
                <w:sz w:val="22"/>
              </w:rPr>
              <w:t>дозирования</w:t>
            </w:r>
          </w:p>
        </w:tc>
      </w:tr>
      <w:tr>
        <w:trPr>
          <w:trHeight w:val="1708" w:hRule="atLeast"/>
        </w:trPr>
        <w:tc>
          <w:tcPr>
            <w:tcW w:w="14744" w:type="dxa"/>
            <w:gridSpan w:val="4"/>
            <w:shd w:val="clear" w:color="auto" w:fill="9CC2E4"/>
          </w:tcPr>
          <w:p>
            <w:pPr>
              <w:pStyle w:val="TableParagraph"/>
              <w:spacing w:before="8"/>
              <w:ind w:left="4502"/>
              <w:rPr>
                <w:b/>
                <w:sz w:val="20"/>
              </w:rPr>
            </w:pPr>
            <w:r>
              <w:rPr>
                <w:b/>
                <w:sz w:val="20"/>
              </w:rPr>
              <w:t>Легкое</w:t>
            </w:r>
            <w:r>
              <w:rPr>
                <w:b/>
                <w:spacing w:val="-8"/>
                <w:sz w:val="20"/>
              </w:rPr>
              <w:t> </w:t>
            </w:r>
            <w:r>
              <w:rPr>
                <w:b/>
                <w:sz w:val="20"/>
              </w:rPr>
              <w:t>течение</w:t>
            </w:r>
            <w:r>
              <w:rPr>
                <w:b/>
                <w:spacing w:val="-8"/>
                <w:sz w:val="20"/>
              </w:rPr>
              <w:t> </w:t>
            </w:r>
            <w:r>
              <w:rPr>
                <w:b/>
                <w:sz w:val="20"/>
              </w:rPr>
              <w:t>(с</w:t>
            </w:r>
            <w:r>
              <w:rPr>
                <w:b/>
                <w:spacing w:val="-5"/>
                <w:sz w:val="20"/>
              </w:rPr>
              <w:t> </w:t>
            </w:r>
            <w:r>
              <w:rPr>
                <w:b/>
                <w:sz w:val="20"/>
              </w:rPr>
              <w:t>факторами</w:t>
            </w:r>
            <w:r>
              <w:rPr>
                <w:b/>
                <w:spacing w:val="-8"/>
                <w:sz w:val="20"/>
              </w:rPr>
              <w:t> </w:t>
            </w:r>
            <w:r>
              <w:rPr>
                <w:b/>
                <w:sz w:val="20"/>
              </w:rPr>
              <w:t>риска</w:t>
            </w:r>
            <w:r>
              <w:rPr>
                <w:b/>
                <w:spacing w:val="-7"/>
                <w:sz w:val="20"/>
              </w:rPr>
              <w:t> </w:t>
            </w:r>
            <w:r>
              <w:rPr>
                <w:b/>
                <w:sz w:val="20"/>
              </w:rPr>
              <w:t>прогрессии</w:t>
            </w:r>
            <w:r>
              <w:rPr>
                <w:b/>
                <w:spacing w:val="-7"/>
                <w:sz w:val="20"/>
              </w:rPr>
              <w:t> </w:t>
            </w:r>
            <w:r>
              <w:rPr>
                <w:b/>
                <w:spacing w:val="-2"/>
                <w:sz w:val="20"/>
              </w:rPr>
              <w:t>заболевания*):</w:t>
            </w:r>
          </w:p>
          <w:p>
            <w:pPr>
              <w:pStyle w:val="TableParagraph"/>
              <w:spacing w:before="15"/>
              <w:ind w:left="116"/>
              <w:rPr>
                <w:b/>
                <w:sz w:val="20"/>
              </w:rPr>
            </w:pPr>
            <w:r>
              <w:rPr>
                <w:b/>
                <w:sz w:val="20"/>
              </w:rPr>
              <w:t>При</w:t>
            </w:r>
            <w:r>
              <w:rPr>
                <w:b/>
                <w:spacing w:val="-7"/>
                <w:sz w:val="20"/>
              </w:rPr>
              <w:t> </w:t>
            </w:r>
            <w:r>
              <w:rPr>
                <w:b/>
                <w:sz w:val="20"/>
              </w:rPr>
              <w:t>наличии</w:t>
            </w:r>
            <w:r>
              <w:rPr>
                <w:b/>
                <w:spacing w:val="-7"/>
                <w:sz w:val="20"/>
              </w:rPr>
              <w:t> </w:t>
            </w:r>
            <w:r>
              <w:rPr>
                <w:b/>
                <w:sz w:val="20"/>
              </w:rPr>
              <w:t>патологических</w:t>
            </w:r>
            <w:r>
              <w:rPr>
                <w:b/>
                <w:spacing w:val="-5"/>
                <w:sz w:val="20"/>
              </w:rPr>
              <w:t> </w:t>
            </w:r>
            <w:r>
              <w:rPr>
                <w:b/>
                <w:sz w:val="20"/>
              </w:rPr>
              <w:t>изменений</w:t>
            </w:r>
            <w:r>
              <w:rPr>
                <w:b/>
                <w:spacing w:val="-7"/>
                <w:sz w:val="20"/>
              </w:rPr>
              <w:t> </w:t>
            </w:r>
            <w:r>
              <w:rPr>
                <w:b/>
                <w:sz w:val="20"/>
              </w:rPr>
              <w:t>в</w:t>
            </w:r>
            <w:r>
              <w:rPr>
                <w:b/>
                <w:spacing w:val="-7"/>
                <w:sz w:val="20"/>
              </w:rPr>
              <w:t> </w:t>
            </w:r>
            <w:r>
              <w:rPr>
                <w:b/>
                <w:sz w:val="20"/>
              </w:rPr>
              <w:t>легких</w:t>
            </w:r>
            <w:r>
              <w:rPr>
                <w:b/>
                <w:spacing w:val="-5"/>
                <w:sz w:val="20"/>
              </w:rPr>
              <w:t> </w:t>
            </w:r>
            <w:r>
              <w:rPr>
                <w:b/>
                <w:sz w:val="20"/>
              </w:rPr>
              <w:t>и/или</w:t>
            </w:r>
            <w:r>
              <w:rPr>
                <w:b/>
                <w:spacing w:val="-7"/>
                <w:sz w:val="20"/>
              </w:rPr>
              <w:t> </w:t>
            </w:r>
            <w:r>
              <w:rPr>
                <w:b/>
                <w:sz w:val="20"/>
              </w:rPr>
              <w:t>факторов</w:t>
            </w:r>
            <w:r>
              <w:rPr>
                <w:b/>
                <w:spacing w:val="-7"/>
                <w:sz w:val="20"/>
              </w:rPr>
              <w:t> </w:t>
            </w:r>
            <w:r>
              <w:rPr>
                <w:b/>
                <w:sz w:val="20"/>
              </w:rPr>
              <w:t>риска</w:t>
            </w:r>
            <w:r>
              <w:rPr>
                <w:b/>
                <w:spacing w:val="-4"/>
                <w:sz w:val="20"/>
              </w:rPr>
              <w:t> </w:t>
            </w:r>
            <w:r>
              <w:rPr>
                <w:b/>
                <w:sz w:val="20"/>
              </w:rPr>
              <w:t>прогрессии</w:t>
            </w:r>
            <w:r>
              <w:rPr>
                <w:b/>
                <w:spacing w:val="-6"/>
                <w:sz w:val="20"/>
              </w:rPr>
              <w:t> </w:t>
            </w:r>
            <w:r>
              <w:rPr>
                <w:b/>
                <w:sz w:val="20"/>
              </w:rPr>
              <w:t>заболевания</w:t>
            </w:r>
            <w:r>
              <w:rPr>
                <w:b/>
                <w:spacing w:val="-6"/>
                <w:sz w:val="20"/>
              </w:rPr>
              <w:t> </w:t>
            </w:r>
            <w:r>
              <w:rPr>
                <w:b/>
                <w:sz w:val="20"/>
              </w:rPr>
              <w:t>в</w:t>
            </w:r>
            <w:r>
              <w:rPr>
                <w:b/>
                <w:spacing w:val="-7"/>
                <w:sz w:val="20"/>
              </w:rPr>
              <w:t> </w:t>
            </w:r>
            <w:r>
              <w:rPr>
                <w:b/>
                <w:sz w:val="20"/>
              </w:rPr>
              <w:t>сочетании</w:t>
            </w:r>
            <w:r>
              <w:rPr>
                <w:b/>
                <w:spacing w:val="-6"/>
                <w:sz w:val="20"/>
              </w:rPr>
              <w:t> </w:t>
            </w:r>
            <w:r>
              <w:rPr>
                <w:b/>
                <w:sz w:val="20"/>
              </w:rPr>
              <w:t>с</w:t>
            </w:r>
            <w:r>
              <w:rPr>
                <w:b/>
                <w:spacing w:val="-7"/>
                <w:sz w:val="20"/>
              </w:rPr>
              <w:t> </w:t>
            </w:r>
            <w:r>
              <w:rPr>
                <w:b/>
                <w:sz w:val="20"/>
              </w:rPr>
              <w:t>двумя</w:t>
            </w:r>
            <w:r>
              <w:rPr>
                <w:b/>
                <w:spacing w:val="-6"/>
                <w:sz w:val="20"/>
              </w:rPr>
              <w:t> </w:t>
            </w:r>
            <w:r>
              <w:rPr>
                <w:b/>
                <w:sz w:val="20"/>
              </w:rPr>
              <w:t>и</w:t>
            </w:r>
            <w:r>
              <w:rPr>
                <w:b/>
                <w:spacing w:val="-9"/>
                <w:sz w:val="20"/>
              </w:rPr>
              <w:t> </w:t>
            </w:r>
            <w:r>
              <w:rPr>
                <w:b/>
                <w:sz w:val="20"/>
              </w:rPr>
              <w:t>более</w:t>
            </w:r>
            <w:r>
              <w:rPr>
                <w:b/>
                <w:spacing w:val="-6"/>
                <w:sz w:val="20"/>
              </w:rPr>
              <w:t> </w:t>
            </w:r>
            <w:r>
              <w:rPr>
                <w:b/>
                <w:spacing w:val="-2"/>
                <w:sz w:val="20"/>
              </w:rPr>
              <w:t>признаками:</w:t>
            </w:r>
          </w:p>
          <w:p>
            <w:pPr>
              <w:pStyle w:val="TableParagraph"/>
              <w:numPr>
                <w:ilvl w:val="0"/>
                <w:numId w:val="116"/>
              </w:numPr>
              <w:tabs>
                <w:tab w:pos="235" w:val="left" w:leader="none"/>
              </w:tabs>
              <w:spacing w:line="240" w:lineRule="auto" w:before="15" w:after="0"/>
              <w:ind w:left="235" w:right="0" w:hanging="119"/>
              <w:jc w:val="left"/>
              <w:rPr>
                <w:b/>
                <w:sz w:val="20"/>
              </w:rPr>
            </w:pPr>
            <w:r>
              <w:rPr>
                <w:b/>
                <w:sz w:val="20"/>
              </w:rPr>
              <w:t>SpO2</w:t>
            </w:r>
            <w:r>
              <w:rPr>
                <w:b/>
                <w:spacing w:val="-2"/>
                <w:sz w:val="20"/>
              </w:rPr>
              <w:t> </w:t>
            </w:r>
            <w:r>
              <w:rPr>
                <w:b/>
                <w:sz w:val="20"/>
              </w:rPr>
              <w:t>-</w:t>
            </w:r>
            <w:r>
              <w:rPr>
                <w:b/>
                <w:spacing w:val="-3"/>
                <w:sz w:val="20"/>
              </w:rPr>
              <w:t> </w:t>
            </w:r>
            <w:r>
              <w:rPr>
                <w:b/>
                <w:sz w:val="20"/>
              </w:rPr>
              <w:t>97</w:t>
            </w:r>
            <w:r>
              <w:rPr>
                <w:b/>
                <w:spacing w:val="-3"/>
                <w:sz w:val="20"/>
              </w:rPr>
              <w:t> </w:t>
            </w:r>
            <w:r>
              <w:rPr>
                <w:b/>
                <w:sz w:val="20"/>
              </w:rPr>
              <w:t>и</w:t>
            </w:r>
            <w:r>
              <w:rPr>
                <w:b/>
                <w:spacing w:val="-4"/>
                <w:sz w:val="20"/>
              </w:rPr>
              <w:t> </w:t>
            </w:r>
            <w:r>
              <w:rPr>
                <w:b/>
                <w:sz w:val="20"/>
              </w:rPr>
              <w:t>выше,</w:t>
            </w:r>
            <w:r>
              <w:rPr>
                <w:b/>
                <w:spacing w:val="-6"/>
                <w:sz w:val="20"/>
              </w:rPr>
              <w:t> </w:t>
            </w:r>
            <w:r>
              <w:rPr>
                <w:b/>
                <w:sz w:val="20"/>
              </w:rPr>
              <w:t>без</w:t>
            </w:r>
            <w:r>
              <w:rPr>
                <w:b/>
                <w:spacing w:val="-4"/>
                <w:sz w:val="20"/>
              </w:rPr>
              <w:t> </w:t>
            </w:r>
            <w:r>
              <w:rPr>
                <w:b/>
                <w:sz w:val="20"/>
              </w:rPr>
              <w:t>признаков</w:t>
            </w:r>
            <w:r>
              <w:rPr>
                <w:b/>
                <w:spacing w:val="-4"/>
                <w:sz w:val="20"/>
              </w:rPr>
              <w:t> </w:t>
            </w:r>
            <w:r>
              <w:rPr>
                <w:b/>
                <w:spacing w:val="-2"/>
                <w:sz w:val="20"/>
              </w:rPr>
              <w:t>одышки;</w:t>
            </w:r>
          </w:p>
          <w:p>
            <w:pPr>
              <w:pStyle w:val="TableParagraph"/>
              <w:numPr>
                <w:ilvl w:val="0"/>
                <w:numId w:val="116"/>
              </w:numPr>
              <w:tabs>
                <w:tab w:pos="235" w:val="left" w:leader="none"/>
              </w:tabs>
              <w:spacing w:line="240" w:lineRule="auto" w:before="12" w:after="0"/>
              <w:ind w:left="235" w:right="0" w:hanging="119"/>
              <w:jc w:val="left"/>
              <w:rPr>
                <w:b/>
                <w:sz w:val="20"/>
              </w:rPr>
            </w:pPr>
            <w:r>
              <w:rPr>
                <w:b/>
                <w:sz w:val="20"/>
              </w:rPr>
              <w:t>3N</w:t>
            </w:r>
            <w:r>
              <w:rPr>
                <w:b/>
                <w:spacing w:val="-3"/>
                <w:sz w:val="20"/>
              </w:rPr>
              <w:t> </w:t>
            </w:r>
            <w:r>
              <w:rPr>
                <w:b/>
                <w:sz w:val="20"/>
              </w:rPr>
              <w:t>≤</w:t>
            </w:r>
            <w:r>
              <w:rPr>
                <w:b/>
                <w:spacing w:val="-3"/>
                <w:sz w:val="20"/>
              </w:rPr>
              <w:t> </w:t>
            </w:r>
            <w:r>
              <w:rPr>
                <w:b/>
                <w:sz w:val="20"/>
              </w:rPr>
              <w:t>уровень</w:t>
            </w:r>
            <w:r>
              <w:rPr>
                <w:b/>
                <w:spacing w:val="-3"/>
                <w:sz w:val="20"/>
              </w:rPr>
              <w:t> </w:t>
            </w:r>
            <w:r>
              <w:rPr>
                <w:b/>
                <w:sz w:val="20"/>
              </w:rPr>
              <w:t>СРБ</w:t>
            </w:r>
            <w:r>
              <w:rPr>
                <w:b/>
                <w:spacing w:val="-3"/>
                <w:sz w:val="20"/>
              </w:rPr>
              <w:t> </w:t>
            </w:r>
            <w:r>
              <w:rPr>
                <w:b/>
                <w:sz w:val="20"/>
              </w:rPr>
              <w:t>≤</w:t>
            </w:r>
            <w:r>
              <w:rPr>
                <w:b/>
                <w:spacing w:val="-4"/>
                <w:sz w:val="20"/>
              </w:rPr>
              <w:t> </w:t>
            </w:r>
            <w:r>
              <w:rPr>
                <w:b/>
                <w:spacing w:val="-5"/>
                <w:sz w:val="20"/>
              </w:rPr>
              <w:t>6N;</w:t>
            </w:r>
          </w:p>
          <w:p>
            <w:pPr>
              <w:pStyle w:val="TableParagraph"/>
              <w:numPr>
                <w:ilvl w:val="0"/>
                <w:numId w:val="116"/>
              </w:numPr>
              <w:tabs>
                <w:tab w:pos="235" w:val="left" w:leader="none"/>
              </w:tabs>
              <w:spacing w:line="240" w:lineRule="auto" w:before="15" w:after="0"/>
              <w:ind w:left="235" w:right="0" w:hanging="119"/>
              <w:jc w:val="left"/>
              <w:rPr>
                <w:b/>
                <w:sz w:val="20"/>
              </w:rPr>
            </w:pPr>
            <w:r>
              <w:rPr>
                <w:b/>
                <w:sz w:val="20"/>
              </w:rPr>
              <w:t>температура</w:t>
            </w:r>
            <w:r>
              <w:rPr>
                <w:b/>
                <w:spacing w:val="-5"/>
                <w:sz w:val="20"/>
              </w:rPr>
              <w:t> </w:t>
            </w:r>
            <w:r>
              <w:rPr>
                <w:b/>
                <w:sz w:val="20"/>
              </w:rPr>
              <w:t>тела</w:t>
            </w:r>
            <w:r>
              <w:rPr>
                <w:b/>
                <w:spacing w:val="-7"/>
                <w:sz w:val="20"/>
              </w:rPr>
              <w:t> </w:t>
            </w:r>
            <w:r>
              <w:rPr>
                <w:b/>
                <w:sz w:val="20"/>
              </w:rPr>
              <w:t>37,5-37,9</w:t>
            </w:r>
            <w:r>
              <w:rPr>
                <w:b/>
                <w:spacing w:val="-4"/>
                <w:sz w:val="20"/>
              </w:rPr>
              <w:t> </w:t>
            </w:r>
            <w:r>
              <w:rPr>
                <w:b/>
                <w:sz w:val="20"/>
              </w:rPr>
              <w:t>°C</w:t>
            </w:r>
            <w:r>
              <w:rPr>
                <w:b/>
                <w:spacing w:val="-6"/>
                <w:sz w:val="20"/>
              </w:rPr>
              <w:t> </w:t>
            </w:r>
            <w:r>
              <w:rPr>
                <w:b/>
                <w:sz w:val="20"/>
              </w:rPr>
              <w:t>в</w:t>
            </w:r>
            <w:r>
              <w:rPr>
                <w:b/>
                <w:spacing w:val="-5"/>
                <w:sz w:val="20"/>
              </w:rPr>
              <w:t> </w:t>
            </w:r>
            <w:r>
              <w:rPr>
                <w:b/>
                <w:sz w:val="20"/>
              </w:rPr>
              <w:t>течение</w:t>
            </w:r>
            <w:r>
              <w:rPr>
                <w:b/>
                <w:spacing w:val="-5"/>
                <w:sz w:val="20"/>
              </w:rPr>
              <w:t> </w:t>
            </w:r>
            <w:r>
              <w:rPr>
                <w:b/>
                <w:sz w:val="20"/>
              </w:rPr>
              <w:t>3-5</w:t>
            </w:r>
            <w:r>
              <w:rPr>
                <w:b/>
                <w:spacing w:val="-7"/>
                <w:sz w:val="20"/>
              </w:rPr>
              <w:t> </w:t>
            </w:r>
            <w:r>
              <w:rPr>
                <w:b/>
                <w:spacing w:val="-2"/>
                <w:sz w:val="20"/>
              </w:rPr>
              <w:t>дней;</w:t>
            </w:r>
          </w:p>
          <w:p>
            <w:pPr>
              <w:pStyle w:val="TableParagraph"/>
              <w:numPr>
                <w:ilvl w:val="0"/>
                <w:numId w:val="116"/>
              </w:numPr>
              <w:tabs>
                <w:tab w:pos="235" w:val="left" w:leader="none"/>
              </w:tabs>
              <w:spacing w:line="240" w:lineRule="auto" w:before="14" w:after="0"/>
              <w:ind w:left="235" w:right="0" w:hanging="119"/>
              <w:jc w:val="left"/>
              <w:rPr>
                <w:b/>
                <w:sz w:val="20"/>
              </w:rPr>
            </w:pPr>
            <w:r>
              <w:rPr>
                <w:b/>
                <w:sz w:val="20"/>
              </w:rPr>
              <w:t>число</w:t>
            </w:r>
            <w:r>
              <w:rPr>
                <w:b/>
                <w:spacing w:val="-7"/>
                <w:sz w:val="20"/>
              </w:rPr>
              <w:t> </w:t>
            </w:r>
            <w:r>
              <w:rPr>
                <w:b/>
                <w:sz w:val="20"/>
              </w:rPr>
              <w:t>лейкоцитов</w:t>
            </w:r>
            <w:r>
              <w:rPr>
                <w:b/>
                <w:spacing w:val="-4"/>
                <w:sz w:val="20"/>
              </w:rPr>
              <w:t> </w:t>
            </w:r>
            <w:r>
              <w:rPr>
                <w:b/>
                <w:sz w:val="20"/>
              </w:rPr>
              <w:t>-</w:t>
            </w:r>
            <w:r>
              <w:rPr>
                <w:b/>
                <w:spacing w:val="-9"/>
                <w:sz w:val="20"/>
              </w:rPr>
              <w:t> </w:t>
            </w:r>
            <w:r>
              <w:rPr>
                <w:b/>
                <w:sz w:val="20"/>
              </w:rPr>
              <w:t>3,5-</w:t>
            </w:r>
            <w:r>
              <w:rPr>
                <w:b/>
                <w:spacing w:val="-2"/>
                <w:sz w:val="20"/>
              </w:rPr>
              <w:t>4,0×109/л;</w:t>
            </w:r>
          </w:p>
          <w:p>
            <w:pPr>
              <w:pStyle w:val="TableParagraph"/>
              <w:numPr>
                <w:ilvl w:val="0"/>
                <w:numId w:val="116"/>
              </w:numPr>
              <w:tabs>
                <w:tab w:pos="235" w:val="left" w:leader="none"/>
              </w:tabs>
              <w:spacing w:line="217" w:lineRule="exact" w:before="13" w:after="0"/>
              <w:ind w:left="235" w:right="0" w:hanging="119"/>
              <w:jc w:val="left"/>
              <w:rPr>
                <w:b/>
                <w:sz w:val="20"/>
              </w:rPr>
            </w:pPr>
            <w:r>
              <w:rPr>
                <w:b/>
                <w:sz w:val="20"/>
              </w:rPr>
              <w:t>абсолютное</w:t>
            </w:r>
            <w:r>
              <w:rPr>
                <w:b/>
                <w:spacing w:val="-9"/>
                <w:sz w:val="20"/>
              </w:rPr>
              <w:t> </w:t>
            </w:r>
            <w:r>
              <w:rPr>
                <w:b/>
                <w:sz w:val="20"/>
              </w:rPr>
              <w:t>число</w:t>
            </w:r>
            <w:r>
              <w:rPr>
                <w:b/>
                <w:spacing w:val="-8"/>
                <w:sz w:val="20"/>
              </w:rPr>
              <w:t> </w:t>
            </w:r>
            <w:r>
              <w:rPr>
                <w:b/>
                <w:sz w:val="20"/>
              </w:rPr>
              <w:t>лимфоцитов</w:t>
            </w:r>
            <w:r>
              <w:rPr>
                <w:b/>
                <w:spacing w:val="-6"/>
                <w:sz w:val="20"/>
              </w:rPr>
              <w:t> </w:t>
            </w:r>
            <w:r>
              <w:rPr>
                <w:b/>
                <w:sz w:val="20"/>
              </w:rPr>
              <w:t>-</w:t>
            </w:r>
            <w:r>
              <w:rPr>
                <w:b/>
                <w:spacing w:val="-8"/>
                <w:sz w:val="20"/>
              </w:rPr>
              <w:t> </w:t>
            </w:r>
            <w:r>
              <w:rPr>
                <w:b/>
                <w:sz w:val="20"/>
              </w:rPr>
              <w:t>1,5-</w:t>
            </w:r>
            <w:r>
              <w:rPr>
                <w:b/>
                <w:spacing w:val="-2"/>
                <w:sz w:val="20"/>
              </w:rPr>
              <w:t>2,0×10</w:t>
            </w:r>
            <w:r>
              <w:rPr>
                <w:b/>
                <w:spacing w:val="-2"/>
                <w:sz w:val="20"/>
                <w:vertAlign w:val="superscript"/>
              </w:rPr>
              <w:t>9</w:t>
            </w:r>
            <w:r>
              <w:rPr>
                <w:b/>
                <w:spacing w:val="-2"/>
                <w:sz w:val="20"/>
                <w:vertAlign w:val="baseline"/>
              </w:rPr>
              <w:t>/л</w:t>
            </w:r>
          </w:p>
        </w:tc>
      </w:tr>
      <w:tr>
        <w:trPr>
          <w:trHeight w:val="933" w:hRule="atLeast"/>
        </w:trPr>
        <w:tc>
          <w:tcPr>
            <w:tcW w:w="1131" w:type="dxa"/>
            <w:vMerge w:val="restart"/>
          </w:tcPr>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rPr>
                <w:b/>
                <w:sz w:val="20"/>
              </w:rPr>
            </w:pPr>
          </w:p>
          <w:p>
            <w:pPr>
              <w:pStyle w:val="TableParagraph"/>
              <w:spacing w:before="64"/>
              <w:rPr>
                <w:b/>
                <w:sz w:val="20"/>
              </w:rPr>
            </w:pPr>
          </w:p>
          <w:p>
            <w:pPr>
              <w:pStyle w:val="TableParagraph"/>
              <w:ind w:left="116"/>
              <w:rPr>
                <w:b/>
                <w:sz w:val="20"/>
              </w:rPr>
            </w:pPr>
            <w:r>
              <w:rPr>
                <w:b/>
                <w:sz w:val="20"/>
              </w:rPr>
              <w:t>Схема</w:t>
            </w:r>
            <w:r>
              <w:rPr>
                <w:b/>
                <w:spacing w:val="-4"/>
                <w:sz w:val="20"/>
              </w:rPr>
              <w:t> </w:t>
            </w:r>
            <w:r>
              <w:rPr>
                <w:b/>
                <w:spacing w:val="-10"/>
                <w:sz w:val="20"/>
              </w:rPr>
              <w:t>1</w:t>
            </w:r>
          </w:p>
        </w:tc>
        <w:tc>
          <w:tcPr>
            <w:tcW w:w="447" w:type="dxa"/>
            <w:vMerge w:val="restart"/>
          </w:tcPr>
          <w:p>
            <w:pPr>
              <w:pStyle w:val="TableParagraph"/>
              <w:spacing w:before="7"/>
              <w:ind w:left="8" w:right="1"/>
              <w:jc w:val="center"/>
              <w:rPr>
                <w:sz w:val="20"/>
              </w:rPr>
            </w:pPr>
            <w:r>
              <w:rPr>
                <w:spacing w:val="-10"/>
                <w:sz w:val="20"/>
              </w:rPr>
              <w:t>1</w:t>
            </w:r>
          </w:p>
        </w:tc>
        <w:tc>
          <w:tcPr>
            <w:tcW w:w="3664" w:type="dxa"/>
          </w:tcPr>
          <w:p>
            <w:pPr>
              <w:pStyle w:val="TableParagraph"/>
              <w:spacing w:before="122"/>
              <w:rPr>
                <w:b/>
                <w:sz w:val="20"/>
              </w:rPr>
            </w:pPr>
          </w:p>
          <w:p>
            <w:pPr>
              <w:pStyle w:val="TableParagraph"/>
              <w:ind w:left="104"/>
              <w:rPr>
                <w:sz w:val="20"/>
              </w:rPr>
            </w:pPr>
            <w:r>
              <w:rPr>
                <w:spacing w:val="-2"/>
                <w:sz w:val="20"/>
              </w:rPr>
              <w:t>Фавипиравир</w:t>
            </w:r>
            <w:r>
              <w:rPr>
                <w:spacing w:val="7"/>
                <w:sz w:val="20"/>
              </w:rPr>
              <w:t> </w:t>
            </w:r>
            <w:r>
              <w:rPr>
                <w:spacing w:val="-10"/>
                <w:sz w:val="20"/>
                <w:vertAlign w:val="superscript"/>
              </w:rPr>
              <w:t>5</w:t>
            </w:r>
          </w:p>
        </w:tc>
        <w:tc>
          <w:tcPr>
            <w:tcW w:w="9502" w:type="dxa"/>
          </w:tcPr>
          <w:p>
            <w:pPr>
              <w:pStyle w:val="TableParagraph"/>
              <w:spacing w:before="7"/>
              <w:ind w:left="99"/>
              <w:rPr>
                <w:sz w:val="20"/>
              </w:rPr>
            </w:pPr>
            <w:r>
              <w:rPr>
                <w:sz w:val="20"/>
              </w:rPr>
              <w:t>Для</w:t>
            </w:r>
            <w:r>
              <w:rPr>
                <w:spacing w:val="-6"/>
                <w:sz w:val="20"/>
              </w:rPr>
              <w:t> </w:t>
            </w:r>
            <w:r>
              <w:rPr>
                <w:sz w:val="20"/>
              </w:rPr>
              <w:t>пациентов</w:t>
            </w:r>
            <w:r>
              <w:rPr>
                <w:spacing w:val="-5"/>
                <w:sz w:val="20"/>
              </w:rPr>
              <w:t> </w:t>
            </w:r>
            <w:r>
              <w:rPr>
                <w:sz w:val="20"/>
              </w:rPr>
              <w:t>с</w:t>
            </w:r>
            <w:r>
              <w:rPr>
                <w:spacing w:val="-4"/>
                <w:sz w:val="20"/>
              </w:rPr>
              <w:t> </w:t>
            </w:r>
            <w:r>
              <w:rPr>
                <w:sz w:val="20"/>
              </w:rPr>
              <w:t>массой</w:t>
            </w:r>
            <w:r>
              <w:rPr>
                <w:spacing w:val="-5"/>
                <w:sz w:val="20"/>
              </w:rPr>
              <w:t> </w:t>
            </w:r>
            <w:r>
              <w:rPr>
                <w:sz w:val="20"/>
              </w:rPr>
              <w:t>тела</w:t>
            </w:r>
            <w:r>
              <w:rPr>
                <w:spacing w:val="-4"/>
                <w:sz w:val="20"/>
              </w:rPr>
              <w:t> </w:t>
            </w:r>
            <w:r>
              <w:rPr>
                <w:sz w:val="20"/>
              </w:rPr>
              <w:t>˂75</w:t>
            </w:r>
            <w:r>
              <w:rPr>
                <w:spacing w:val="-3"/>
                <w:sz w:val="20"/>
              </w:rPr>
              <w:t> </w:t>
            </w:r>
            <w:r>
              <w:rPr>
                <w:spacing w:val="-5"/>
                <w:sz w:val="20"/>
              </w:rPr>
              <w:t>кг:</w:t>
            </w:r>
          </w:p>
          <w:p>
            <w:pPr>
              <w:pStyle w:val="TableParagraph"/>
              <w:ind w:left="99" w:right="2191"/>
              <w:rPr>
                <w:sz w:val="20"/>
              </w:rPr>
            </w:pPr>
            <w:r>
              <w:rPr>
                <w:sz w:val="20"/>
              </w:rPr>
              <w:t>по</w:t>
            </w:r>
            <w:r>
              <w:rPr>
                <w:spacing w:val="-2"/>
                <w:sz w:val="20"/>
              </w:rPr>
              <w:t> </w:t>
            </w:r>
            <w:r>
              <w:rPr>
                <w:sz w:val="20"/>
              </w:rPr>
              <w:t>1600</w:t>
            </w:r>
            <w:r>
              <w:rPr>
                <w:spacing w:val="-5"/>
                <w:sz w:val="20"/>
              </w:rPr>
              <w:t> </w:t>
            </w:r>
            <w:r>
              <w:rPr>
                <w:sz w:val="20"/>
              </w:rPr>
              <w:t>мг</w:t>
            </w:r>
            <w:r>
              <w:rPr>
                <w:spacing w:val="-4"/>
                <w:sz w:val="20"/>
              </w:rPr>
              <w:t> </w:t>
            </w:r>
            <w:r>
              <w:rPr>
                <w:sz w:val="20"/>
              </w:rPr>
              <w:t>2</w:t>
            </w:r>
            <w:r>
              <w:rPr>
                <w:spacing w:val="-2"/>
                <w:sz w:val="20"/>
              </w:rPr>
              <w:t> </w:t>
            </w:r>
            <w:r>
              <w:rPr>
                <w:sz w:val="20"/>
              </w:rPr>
              <w:t>р/сут</w:t>
            </w:r>
            <w:r>
              <w:rPr>
                <w:spacing w:val="-2"/>
                <w:sz w:val="20"/>
              </w:rPr>
              <w:t> </w:t>
            </w:r>
            <w:r>
              <w:rPr>
                <w:sz w:val="20"/>
              </w:rPr>
              <w:t>в</w:t>
            </w:r>
            <w:r>
              <w:rPr>
                <w:spacing w:val="-4"/>
                <w:sz w:val="20"/>
              </w:rPr>
              <w:t> </w:t>
            </w:r>
            <w:r>
              <w:rPr>
                <w:sz w:val="20"/>
              </w:rPr>
              <w:t>1-й</w:t>
            </w:r>
            <w:r>
              <w:rPr>
                <w:spacing w:val="-4"/>
                <w:sz w:val="20"/>
              </w:rPr>
              <w:t> </w:t>
            </w:r>
            <w:r>
              <w:rPr>
                <w:sz w:val="20"/>
              </w:rPr>
              <w:t>день</w:t>
            </w:r>
            <w:r>
              <w:rPr>
                <w:spacing w:val="-1"/>
                <w:sz w:val="20"/>
              </w:rPr>
              <w:t> </w:t>
            </w:r>
            <w:r>
              <w:rPr>
                <w:sz w:val="20"/>
              </w:rPr>
              <w:t>и</w:t>
            </w:r>
            <w:r>
              <w:rPr>
                <w:spacing w:val="-4"/>
                <w:sz w:val="20"/>
              </w:rPr>
              <w:t> </w:t>
            </w:r>
            <w:r>
              <w:rPr>
                <w:sz w:val="20"/>
              </w:rPr>
              <w:t>далее по</w:t>
            </w:r>
            <w:r>
              <w:rPr>
                <w:spacing w:val="-2"/>
                <w:sz w:val="20"/>
              </w:rPr>
              <w:t> </w:t>
            </w:r>
            <w:r>
              <w:rPr>
                <w:sz w:val="20"/>
              </w:rPr>
              <w:t>600</w:t>
            </w:r>
            <w:r>
              <w:rPr>
                <w:spacing w:val="-2"/>
                <w:sz w:val="20"/>
              </w:rPr>
              <w:t> </w:t>
            </w:r>
            <w:r>
              <w:rPr>
                <w:sz w:val="20"/>
              </w:rPr>
              <w:t>мг</w:t>
            </w:r>
            <w:r>
              <w:rPr>
                <w:spacing w:val="-6"/>
                <w:sz w:val="20"/>
              </w:rPr>
              <w:t> </w:t>
            </w:r>
            <w:r>
              <w:rPr>
                <w:sz w:val="20"/>
              </w:rPr>
              <w:t>2</w:t>
            </w:r>
            <w:r>
              <w:rPr>
                <w:spacing w:val="-2"/>
                <w:sz w:val="20"/>
              </w:rPr>
              <w:t> </w:t>
            </w:r>
            <w:r>
              <w:rPr>
                <w:sz w:val="20"/>
              </w:rPr>
              <w:t>р/сут</w:t>
            </w:r>
            <w:r>
              <w:rPr>
                <w:spacing w:val="-4"/>
                <w:sz w:val="20"/>
              </w:rPr>
              <w:t> </w:t>
            </w:r>
            <w:r>
              <w:rPr>
                <w:sz w:val="20"/>
              </w:rPr>
              <w:t>со</w:t>
            </w:r>
            <w:r>
              <w:rPr>
                <w:spacing w:val="-4"/>
                <w:sz w:val="20"/>
              </w:rPr>
              <w:t> </w:t>
            </w:r>
            <w:r>
              <w:rPr>
                <w:sz w:val="20"/>
              </w:rPr>
              <w:t>2</w:t>
            </w:r>
            <w:r>
              <w:rPr>
                <w:spacing w:val="-2"/>
                <w:sz w:val="20"/>
              </w:rPr>
              <w:t> </w:t>
            </w:r>
            <w:r>
              <w:rPr>
                <w:sz w:val="20"/>
              </w:rPr>
              <w:t>по</w:t>
            </w:r>
            <w:r>
              <w:rPr>
                <w:spacing w:val="-2"/>
                <w:sz w:val="20"/>
              </w:rPr>
              <w:t> </w:t>
            </w:r>
            <w:r>
              <w:rPr>
                <w:sz w:val="20"/>
              </w:rPr>
              <w:t>10</w:t>
            </w:r>
            <w:r>
              <w:rPr>
                <w:spacing w:val="-2"/>
                <w:sz w:val="20"/>
              </w:rPr>
              <w:t> </w:t>
            </w:r>
            <w:r>
              <w:rPr>
                <w:sz w:val="20"/>
              </w:rPr>
              <w:t>день</w:t>
            </w:r>
            <w:r>
              <w:rPr>
                <w:spacing w:val="-3"/>
                <w:sz w:val="20"/>
              </w:rPr>
              <w:t> </w:t>
            </w:r>
            <w:r>
              <w:rPr>
                <w:sz w:val="20"/>
              </w:rPr>
              <w:t>(таблетки). Для пациентов с массой тела 75 кг и более:</w:t>
            </w:r>
          </w:p>
          <w:p>
            <w:pPr>
              <w:pStyle w:val="TableParagraph"/>
              <w:spacing w:line="216" w:lineRule="exact"/>
              <w:ind w:left="109"/>
              <w:rPr>
                <w:sz w:val="20"/>
              </w:rPr>
            </w:pPr>
            <w:r>
              <w:rPr>
                <w:sz w:val="20"/>
              </w:rPr>
              <w:t>по</w:t>
            </w:r>
            <w:r>
              <w:rPr>
                <w:spacing w:val="-3"/>
                <w:sz w:val="20"/>
              </w:rPr>
              <w:t> </w:t>
            </w:r>
            <w:r>
              <w:rPr>
                <w:sz w:val="20"/>
              </w:rPr>
              <w:t>1800</w:t>
            </w:r>
            <w:r>
              <w:rPr>
                <w:spacing w:val="-5"/>
                <w:sz w:val="20"/>
              </w:rPr>
              <w:t> </w:t>
            </w:r>
            <w:r>
              <w:rPr>
                <w:sz w:val="20"/>
              </w:rPr>
              <w:t>мг</w:t>
            </w:r>
            <w:r>
              <w:rPr>
                <w:spacing w:val="-4"/>
                <w:sz w:val="20"/>
              </w:rPr>
              <w:t> </w:t>
            </w:r>
            <w:r>
              <w:rPr>
                <w:sz w:val="20"/>
              </w:rPr>
              <w:t>2</w:t>
            </w:r>
            <w:r>
              <w:rPr>
                <w:spacing w:val="-2"/>
                <w:sz w:val="20"/>
              </w:rPr>
              <w:t> </w:t>
            </w:r>
            <w:r>
              <w:rPr>
                <w:sz w:val="20"/>
              </w:rPr>
              <w:t>раза/сут</w:t>
            </w:r>
            <w:r>
              <w:rPr>
                <w:spacing w:val="-5"/>
                <w:sz w:val="20"/>
              </w:rPr>
              <w:t> </w:t>
            </w:r>
            <w:r>
              <w:rPr>
                <w:sz w:val="20"/>
              </w:rPr>
              <w:t>в</w:t>
            </w:r>
            <w:r>
              <w:rPr>
                <w:spacing w:val="-4"/>
                <w:sz w:val="20"/>
              </w:rPr>
              <w:t> </w:t>
            </w:r>
            <w:r>
              <w:rPr>
                <w:sz w:val="20"/>
              </w:rPr>
              <w:t>1-й</w:t>
            </w:r>
            <w:r>
              <w:rPr>
                <w:spacing w:val="-4"/>
                <w:sz w:val="20"/>
              </w:rPr>
              <w:t> </w:t>
            </w:r>
            <w:r>
              <w:rPr>
                <w:sz w:val="20"/>
              </w:rPr>
              <w:t>день,</w:t>
            </w:r>
            <w:r>
              <w:rPr>
                <w:spacing w:val="-3"/>
                <w:sz w:val="20"/>
              </w:rPr>
              <w:t> </w:t>
            </w:r>
            <w:r>
              <w:rPr>
                <w:sz w:val="20"/>
              </w:rPr>
              <w:t>далее</w:t>
            </w:r>
            <w:r>
              <w:rPr>
                <w:spacing w:val="-1"/>
                <w:sz w:val="20"/>
              </w:rPr>
              <w:t> </w:t>
            </w:r>
            <w:r>
              <w:rPr>
                <w:sz w:val="20"/>
              </w:rPr>
              <w:t>по</w:t>
            </w:r>
            <w:r>
              <w:rPr>
                <w:spacing w:val="-2"/>
                <w:sz w:val="20"/>
              </w:rPr>
              <w:t> </w:t>
            </w:r>
            <w:r>
              <w:rPr>
                <w:sz w:val="20"/>
              </w:rPr>
              <w:t>800</w:t>
            </w:r>
            <w:r>
              <w:rPr>
                <w:spacing w:val="-2"/>
                <w:sz w:val="20"/>
              </w:rPr>
              <w:t> </w:t>
            </w:r>
            <w:r>
              <w:rPr>
                <w:sz w:val="20"/>
              </w:rPr>
              <w:t>мг</w:t>
            </w:r>
            <w:r>
              <w:rPr>
                <w:spacing w:val="-6"/>
                <w:sz w:val="20"/>
              </w:rPr>
              <w:t> </w:t>
            </w:r>
            <w:r>
              <w:rPr>
                <w:sz w:val="20"/>
              </w:rPr>
              <w:t>2</w:t>
            </w:r>
            <w:r>
              <w:rPr>
                <w:spacing w:val="-3"/>
                <w:sz w:val="20"/>
              </w:rPr>
              <w:t> </w:t>
            </w:r>
            <w:r>
              <w:rPr>
                <w:sz w:val="20"/>
              </w:rPr>
              <w:t>раза/сут</w:t>
            </w:r>
            <w:r>
              <w:rPr>
                <w:spacing w:val="-4"/>
                <w:sz w:val="20"/>
              </w:rPr>
              <w:t> </w:t>
            </w:r>
            <w:r>
              <w:rPr>
                <w:sz w:val="20"/>
              </w:rPr>
              <w:t>со</w:t>
            </w:r>
            <w:r>
              <w:rPr>
                <w:spacing w:val="-2"/>
                <w:sz w:val="20"/>
              </w:rPr>
              <w:t> </w:t>
            </w:r>
            <w:r>
              <w:rPr>
                <w:sz w:val="20"/>
              </w:rPr>
              <w:t>2</w:t>
            </w:r>
            <w:r>
              <w:rPr>
                <w:spacing w:val="-2"/>
                <w:sz w:val="20"/>
              </w:rPr>
              <w:t> </w:t>
            </w:r>
            <w:r>
              <w:rPr>
                <w:sz w:val="20"/>
              </w:rPr>
              <w:t>по</w:t>
            </w:r>
            <w:r>
              <w:rPr>
                <w:spacing w:val="-3"/>
                <w:sz w:val="20"/>
              </w:rPr>
              <w:t> </w:t>
            </w:r>
            <w:r>
              <w:rPr>
                <w:sz w:val="20"/>
              </w:rPr>
              <w:t>10</w:t>
            </w:r>
            <w:r>
              <w:rPr>
                <w:spacing w:val="-2"/>
                <w:sz w:val="20"/>
              </w:rPr>
              <w:t> </w:t>
            </w:r>
            <w:r>
              <w:rPr>
                <w:sz w:val="20"/>
              </w:rPr>
              <w:t>день</w:t>
            </w:r>
            <w:r>
              <w:rPr>
                <w:spacing w:val="-3"/>
                <w:sz w:val="20"/>
              </w:rPr>
              <w:t> </w:t>
            </w:r>
            <w:r>
              <w:rPr>
                <w:spacing w:val="-2"/>
                <w:sz w:val="20"/>
              </w:rPr>
              <w:t>(таблетки).</w:t>
            </w:r>
          </w:p>
        </w:tc>
      </w:tr>
      <w:tr>
        <w:trPr>
          <w:trHeight w:val="290"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30"/>
              <w:ind w:left="114"/>
              <w:rPr>
                <w:sz w:val="20"/>
              </w:rPr>
            </w:pPr>
            <w:r>
              <w:rPr>
                <w:spacing w:val="-5"/>
                <w:sz w:val="20"/>
              </w:rPr>
              <w:t>или</w:t>
            </w:r>
          </w:p>
        </w:tc>
      </w:tr>
      <w:tr>
        <w:trPr>
          <w:trHeight w:val="1218"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rPr>
                <w:b/>
                <w:sz w:val="20"/>
              </w:rPr>
            </w:pPr>
          </w:p>
          <w:p>
            <w:pPr>
              <w:pStyle w:val="TableParagraph"/>
              <w:spacing w:before="4"/>
              <w:rPr>
                <w:b/>
                <w:sz w:val="20"/>
              </w:rPr>
            </w:pPr>
          </w:p>
          <w:p>
            <w:pPr>
              <w:pStyle w:val="TableParagraph"/>
              <w:ind w:left="114"/>
              <w:rPr>
                <w:b/>
                <w:position w:val="8"/>
                <w:sz w:val="16"/>
              </w:rPr>
            </w:pPr>
            <w:r>
              <w:rPr>
                <w:spacing w:val="-2"/>
                <w:sz w:val="20"/>
              </w:rPr>
              <w:t>Фавипиравир+Цинка</w:t>
            </w:r>
            <w:r>
              <w:rPr>
                <w:spacing w:val="8"/>
                <w:sz w:val="20"/>
              </w:rPr>
              <w:t> </w:t>
            </w:r>
            <w:r>
              <w:rPr>
                <w:spacing w:val="-2"/>
                <w:sz w:val="20"/>
              </w:rPr>
              <w:t>глюконат</w:t>
            </w:r>
            <w:r>
              <w:rPr>
                <w:spacing w:val="11"/>
                <w:sz w:val="20"/>
              </w:rPr>
              <w:t> </w:t>
            </w:r>
            <w:r>
              <w:rPr>
                <w:b/>
                <w:spacing w:val="-10"/>
                <w:position w:val="8"/>
                <w:sz w:val="16"/>
              </w:rPr>
              <w:t>2</w:t>
            </w:r>
          </w:p>
        </w:tc>
        <w:tc>
          <w:tcPr>
            <w:tcW w:w="9502" w:type="dxa"/>
          </w:tcPr>
          <w:p>
            <w:pPr>
              <w:pStyle w:val="TableParagraph"/>
              <w:spacing w:before="5"/>
              <w:ind w:left="109"/>
              <w:rPr>
                <w:sz w:val="20"/>
              </w:rPr>
            </w:pPr>
            <w:r>
              <w:rPr>
                <w:spacing w:val="-2"/>
                <w:sz w:val="20"/>
              </w:rPr>
              <w:t>Таблетки:</w:t>
            </w:r>
          </w:p>
          <w:p>
            <w:pPr>
              <w:pStyle w:val="TableParagraph"/>
              <w:spacing w:before="15"/>
              <w:ind w:left="109"/>
              <w:rPr>
                <w:sz w:val="20"/>
              </w:rPr>
            </w:pPr>
            <w:r>
              <w:rPr>
                <w:sz w:val="20"/>
              </w:rPr>
              <w:t>для</w:t>
            </w:r>
            <w:r>
              <w:rPr>
                <w:spacing w:val="-3"/>
                <w:sz w:val="20"/>
              </w:rPr>
              <w:t> </w:t>
            </w:r>
            <w:r>
              <w:rPr>
                <w:sz w:val="20"/>
              </w:rPr>
              <w:t>пациентов</w:t>
            </w:r>
            <w:r>
              <w:rPr>
                <w:spacing w:val="-5"/>
                <w:sz w:val="20"/>
              </w:rPr>
              <w:t> </w:t>
            </w:r>
            <w:r>
              <w:rPr>
                <w:sz w:val="20"/>
              </w:rPr>
              <w:t>с</w:t>
            </w:r>
            <w:r>
              <w:rPr>
                <w:spacing w:val="-5"/>
                <w:sz w:val="20"/>
              </w:rPr>
              <w:t> </w:t>
            </w:r>
            <w:r>
              <w:rPr>
                <w:sz w:val="20"/>
              </w:rPr>
              <w:t>массой</w:t>
            </w:r>
            <w:r>
              <w:rPr>
                <w:spacing w:val="-5"/>
                <w:sz w:val="20"/>
              </w:rPr>
              <w:t> </w:t>
            </w:r>
            <w:r>
              <w:rPr>
                <w:sz w:val="20"/>
              </w:rPr>
              <w:t>тела</w:t>
            </w:r>
            <w:r>
              <w:rPr>
                <w:spacing w:val="-2"/>
                <w:sz w:val="20"/>
              </w:rPr>
              <w:t> </w:t>
            </w:r>
            <w:r>
              <w:rPr>
                <w:sz w:val="20"/>
              </w:rPr>
              <w:t>˂</w:t>
            </w:r>
            <w:r>
              <w:rPr>
                <w:spacing w:val="-5"/>
                <w:sz w:val="20"/>
              </w:rPr>
              <w:t> </w:t>
            </w:r>
            <w:r>
              <w:rPr>
                <w:sz w:val="20"/>
              </w:rPr>
              <w:t>75</w:t>
            </w:r>
            <w:r>
              <w:rPr>
                <w:spacing w:val="-3"/>
                <w:sz w:val="20"/>
              </w:rPr>
              <w:t> </w:t>
            </w:r>
            <w:r>
              <w:rPr>
                <w:spacing w:val="-5"/>
                <w:sz w:val="20"/>
              </w:rPr>
              <w:t>кг:</w:t>
            </w:r>
          </w:p>
          <w:p>
            <w:pPr>
              <w:pStyle w:val="TableParagraph"/>
              <w:spacing w:line="254" w:lineRule="auto" w:before="12"/>
              <w:ind w:left="109" w:right="3148"/>
              <w:rPr>
                <w:sz w:val="20"/>
              </w:rPr>
            </w:pPr>
            <w:r>
              <w:rPr>
                <w:sz w:val="20"/>
              </w:rPr>
              <w:t>по</w:t>
            </w:r>
            <w:r>
              <w:rPr>
                <w:spacing w:val="-2"/>
                <w:sz w:val="20"/>
              </w:rPr>
              <w:t> </w:t>
            </w:r>
            <w:r>
              <w:rPr>
                <w:sz w:val="20"/>
              </w:rPr>
              <w:t>1600</w:t>
            </w:r>
            <w:r>
              <w:rPr>
                <w:spacing w:val="-5"/>
                <w:sz w:val="20"/>
              </w:rPr>
              <w:t> </w:t>
            </w:r>
            <w:r>
              <w:rPr>
                <w:sz w:val="20"/>
              </w:rPr>
              <w:t>мг</w:t>
            </w:r>
            <w:r>
              <w:rPr>
                <w:spacing w:val="-4"/>
                <w:sz w:val="20"/>
              </w:rPr>
              <w:t> </w:t>
            </w:r>
            <w:r>
              <w:rPr>
                <w:sz w:val="20"/>
              </w:rPr>
              <w:t>2</w:t>
            </w:r>
            <w:r>
              <w:rPr>
                <w:spacing w:val="-2"/>
                <w:sz w:val="20"/>
              </w:rPr>
              <w:t> </w:t>
            </w:r>
            <w:r>
              <w:rPr>
                <w:sz w:val="20"/>
              </w:rPr>
              <w:t>р/сут</w:t>
            </w:r>
            <w:r>
              <w:rPr>
                <w:spacing w:val="-4"/>
                <w:sz w:val="20"/>
              </w:rPr>
              <w:t> </w:t>
            </w:r>
            <w:r>
              <w:rPr>
                <w:sz w:val="20"/>
              </w:rPr>
              <w:t>в</w:t>
            </w:r>
            <w:r>
              <w:rPr>
                <w:spacing w:val="-4"/>
                <w:sz w:val="20"/>
              </w:rPr>
              <w:t> </w:t>
            </w:r>
            <w:r>
              <w:rPr>
                <w:sz w:val="20"/>
              </w:rPr>
              <w:t>1-й</w:t>
            </w:r>
            <w:r>
              <w:rPr>
                <w:spacing w:val="-4"/>
                <w:sz w:val="20"/>
              </w:rPr>
              <w:t> </w:t>
            </w:r>
            <w:r>
              <w:rPr>
                <w:sz w:val="20"/>
              </w:rPr>
              <w:t>день</w:t>
            </w:r>
            <w:r>
              <w:rPr>
                <w:spacing w:val="-1"/>
                <w:sz w:val="20"/>
              </w:rPr>
              <w:t> </w:t>
            </w:r>
            <w:r>
              <w:rPr>
                <w:sz w:val="20"/>
              </w:rPr>
              <w:t>и</w:t>
            </w:r>
            <w:r>
              <w:rPr>
                <w:spacing w:val="-4"/>
                <w:sz w:val="20"/>
              </w:rPr>
              <w:t> </w:t>
            </w:r>
            <w:r>
              <w:rPr>
                <w:sz w:val="20"/>
              </w:rPr>
              <w:t>далее по</w:t>
            </w:r>
            <w:r>
              <w:rPr>
                <w:spacing w:val="-2"/>
                <w:sz w:val="20"/>
              </w:rPr>
              <w:t> </w:t>
            </w:r>
            <w:r>
              <w:rPr>
                <w:sz w:val="20"/>
              </w:rPr>
              <w:t>600</w:t>
            </w:r>
            <w:r>
              <w:rPr>
                <w:spacing w:val="-2"/>
                <w:sz w:val="20"/>
              </w:rPr>
              <w:t> </w:t>
            </w:r>
            <w:r>
              <w:rPr>
                <w:sz w:val="20"/>
              </w:rPr>
              <w:t>мг</w:t>
            </w:r>
            <w:r>
              <w:rPr>
                <w:spacing w:val="-6"/>
                <w:sz w:val="20"/>
              </w:rPr>
              <w:t> </w:t>
            </w:r>
            <w:r>
              <w:rPr>
                <w:sz w:val="20"/>
              </w:rPr>
              <w:t>2</w:t>
            </w:r>
            <w:r>
              <w:rPr>
                <w:spacing w:val="-2"/>
                <w:sz w:val="20"/>
              </w:rPr>
              <w:t> </w:t>
            </w:r>
            <w:r>
              <w:rPr>
                <w:sz w:val="20"/>
              </w:rPr>
              <w:t>р/сут</w:t>
            </w:r>
            <w:r>
              <w:rPr>
                <w:spacing w:val="-4"/>
                <w:sz w:val="20"/>
              </w:rPr>
              <w:t> </w:t>
            </w:r>
            <w:r>
              <w:rPr>
                <w:sz w:val="20"/>
              </w:rPr>
              <w:t>со</w:t>
            </w:r>
            <w:r>
              <w:rPr>
                <w:spacing w:val="-4"/>
                <w:sz w:val="20"/>
              </w:rPr>
              <w:t> </w:t>
            </w:r>
            <w:r>
              <w:rPr>
                <w:sz w:val="20"/>
              </w:rPr>
              <w:t>2</w:t>
            </w:r>
            <w:r>
              <w:rPr>
                <w:spacing w:val="-2"/>
                <w:sz w:val="20"/>
              </w:rPr>
              <w:t> </w:t>
            </w:r>
            <w:r>
              <w:rPr>
                <w:sz w:val="20"/>
              </w:rPr>
              <w:t>по</w:t>
            </w:r>
            <w:r>
              <w:rPr>
                <w:spacing w:val="-2"/>
                <w:sz w:val="20"/>
              </w:rPr>
              <w:t> </w:t>
            </w:r>
            <w:r>
              <w:rPr>
                <w:sz w:val="20"/>
              </w:rPr>
              <w:t>10</w:t>
            </w:r>
            <w:r>
              <w:rPr>
                <w:spacing w:val="-2"/>
                <w:sz w:val="20"/>
              </w:rPr>
              <w:t> </w:t>
            </w:r>
            <w:r>
              <w:rPr>
                <w:sz w:val="20"/>
              </w:rPr>
              <w:t>день; для пациентов с массой тела 75 кг и более:</w:t>
            </w:r>
          </w:p>
          <w:p>
            <w:pPr>
              <w:pStyle w:val="TableParagraph"/>
              <w:spacing w:line="217" w:lineRule="exact" w:before="2"/>
              <w:ind w:left="109"/>
              <w:rPr>
                <w:sz w:val="20"/>
              </w:rPr>
            </w:pPr>
            <w:r>
              <w:rPr>
                <w:sz w:val="20"/>
              </w:rPr>
              <w:t>по</w:t>
            </w:r>
            <w:r>
              <w:rPr>
                <w:spacing w:val="-3"/>
                <w:sz w:val="20"/>
              </w:rPr>
              <w:t> </w:t>
            </w:r>
            <w:r>
              <w:rPr>
                <w:sz w:val="20"/>
              </w:rPr>
              <w:t>1800</w:t>
            </w:r>
            <w:r>
              <w:rPr>
                <w:spacing w:val="-4"/>
                <w:sz w:val="20"/>
              </w:rPr>
              <w:t> </w:t>
            </w:r>
            <w:r>
              <w:rPr>
                <w:sz w:val="20"/>
              </w:rPr>
              <w:t>мг</w:t>
            </w:r>
            <w:r>
              <w:rPr>
                <w:spacing w:val="-4"/>
                <w:sz w:val="20"/>
              </w:rPr>
              <w:t> </w:t>
            </w:r>
            <w:r>
              <w:rPr>
                <w:sz w:val="20"/>
              </w:rPr>
              <w:t>2</w:t>
            </w:r>
            <w:r>
              <w:rPr>
                <w:spacing w:val="-2"/>
                <w:sz w:val="20"/>
              </w:rPr>
              <w:t> </w:t>
            </w:r>
            <w:r>
              <w:rPr>
                <w:sz w:val="20"/>
              </w:rPr>
              <w:t>раза/сут</w:t>
            </w:r>
            <w:r>
              <w:rPr>
                <w:spacing w:val="-4"/>
                <w:sz w:val="20"/>
              </w:rPr>
              <w:t> </w:t>
            </w:r>
            <w:r>
              <w:rPr>
                <w:sz w:val="20"/>
              </w:rPr>
              <w:t>в</w:t>
            </w:r>
            <w:r>
              <w:rPr>
                <w:spacing w:val="-4"/>
                <w:sz w:val="20"/>
              </w:rPr>
              <w:t> </w:t>
            </w:r>
            <w:r>
              <w:rPr>
                <w:sz w:val="20"/>
              </w:rPr>
              <w:t>1-й</w:t>
            </w:r>
            <w:r>
              <w:rPr>
                <w:spacing w:val="-4"/>
                <w:sz w:val="20"/>
              </w:rPr>
              <w:t> </w:t>
            </w:r>
            <w:r>
              <w:rPr>
                <w:sz w:val="20"/>
              </w:rPr>
              <w:t>день,</w:t>
            </w:r>
            <w:r>
              <w:rPr>
                <w:spacing w:val="-3"/>
                <w:sz w:val="20"/>
              </w:rPr>
              <w:t> </w:t>
            </w:r>
            <w:r>
              <w:rPr>
                <w:sz w:val="20"/>
              </w:rPr>
              <w:t>далее по</w:t>
            </w:r>
            <w:r>
              <w:rPr>
                <w:spacing w:val="-2"/>
                <w:sz w:val="20"/>
              </w:rPr>
              <w:t> </w:t>
            </w:r>
            <w:r>
              <w:rPr>
                <w:sz w:val="20"/>
              </w:rPr>
              <w:t>800</w:t>
            </w:r>
            <w:r>
              <w:rPr>
                <w:spacing w:val="-2"/>
                <w:sz w:val="20"/>
              </w:rPr>
              <w:t> </w:t>
            </w:r>
            <w:r>
              <w:rPr>
                <w:sz w:val="20"/>
              </w:rPr>
              <w:t>мг</w:t>
            </w:r>
            <w:r>
              <w:rPr>
                <w:spacing w:val="-6"/>
                <w:sz w:val="20"/>
              </w:rPr>
              <w:t> </w:t>
            </w:r>
            <w:r>
              <w:rPr>
                <w:sz w:val="20"/>
              </w:rPr>
              <w:t>2</w:t>
            </w:r>
            <w:r>
              <w:rPr>
                <w:spacing w:val="-2"/>
                <w:sz w:val="20"/>
              </w:rPr>
              <w:t> </w:t>
            </w:r>
            <w:r>
              <w:rPr>
                <w:sz w:val="20"/>
              </w:rPr>
              <w:t>раза/сут</w:t>
            </w:r>
            <w:r>
              <w:rPr>
                <w:spacing w:val="-4"/>
                <w:sz w:val="20"/>
              </w:rPr>
              <w:t> </w:t>
            </w:r>
            <w:r>
              <w:rPr>
                <w:sz w:val="20"/>
              </w:rPr>
              <w:t>со</w:t>
            </w:r>
            <w:r>
              <w:rPr>
                <w:spacing w:val="-2"/>
                <w:sz w:val="20"/>
              </w:rPr>
              <w:t> </w:t>
            </w:r>
            <w:r>
              <w:rPr>
                <w:sz w:val="20"/>
              </w:rPr>
              <w:t>2</w:t>
            </w:r>
            <w:r>
              <w:rPr>
                <w:spacing w:val="-2"/>
                <w:sz w:val="20"/>
              </w:rPr>
              <w:t> </w:t>
            </w:r>
            <w:r>
              <w:rPr>
                <w:sz w:val="20"/>
              </w:rPr>
              <w:t>по</w:t>
            </w:r>
            <w:r>
              <w:rPr>
                <w:spacing w:val="-2"/>
                <w:sz w:val="20"/>
              </w:rPr>
              <w:t> </w:t>
            </w:r>
            <w:r>
              <w:rPr>
                <w:sz w:val="20"/>
              </w:rPr>
              <w:t>10</w:t>
            </w:r>
            <w:r>
              <w:rPr>
                <w:spacing w:val="-2"/>
                <w:sz w:val="20"/>
              </w:rPr>
              <w:t> день.</w:t>
            </w:r>
          </w:p>
        </w:tc>
      </w:tr>
      <w:tr>
        <w:trPr>
          <w:trHeight w:val="290"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28"/>
              <w:ind w:left="114"/>
              <w:rPr>
                <w:sz w:val="20"/>
              </w:rPr>
            </w:pPr>
            <w:r>
              <w:rPr>
                <w:spacing w:val="-5"/>
                <w:sz w:val="20"/>
              </w:rPr>
              <w:t>или</w:t>
            </w:r>
          </w:p>
        </w:tc>
      </w:tr>
      <w:tr>
        <w:trPr>
          <w:trHeight w:val="717"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211"/>
              <w:ind w:left="114"/>
              <w:rPr>
                <w:b/>
                <w:position w:val="8"/>
                <w:sz w:val="16"/>
              </w:rPr>
            </w:pPr>
            <w:r>
              <w:rPr>
                <w:spacing w:val="-2"/>
                <w:sz w:val="20"/>
              </w:rPr>
              <w:t>Фавипиравир</w:t>
            </w:r>
            <w:r>
              <w:rPr>
                <w:spacing w:val="7"/>
                <w:sz w:val="20"/>
              </w:rPr>
              <w:t> </w:t>
            </w:r>
            <w:r>
              <w:rPr>
                <w:b/>
                <w:spacing w:val="-10"/>
                <w:position w:val="8"/>
                <w:sz w:val="16"/>
              </w:rPr>
              <w:t>2</w:t>
            </w:r>
          </w:p>
        </w:tc>
        <w:tc>
          <w:tcPr>
            <w:tcW w:w="9502" w:type="dxa"/>
          </w:tcPr>
          <w:p>
            <w:pPr>
              <w:pStyle w:val="TableParagraph"/>
              <w:spacing w:before="4"/>
              <w:ind w:left="109"/>
              <w:rPr>
                <w:sz w:val="20"/>
              </w:rPr>
            </w:pPr>
            <w:r>
              <w:rPr>
                <w:sz w:val="20"/>
              </w:rPr>
              <w:t>Раствор</w:t>
            </w:r>
            <w:r>
              <w:rPr>
                <w:spacing w:val="-5"/>
                <w:sz w:val="20"/>
              </w:rPr>
              <w:t> </w:t>
            </w:r>
            <w:r>
              <w:rPr>
                <w:sz w:val="20"/>
              </w:rPr>
              <w:t>для</w:t>
            </w:r>
            <w:r>
              <w:rPr>
                <w:spacing w:val="-7"/>
                <w:sz w:val="20"/>
              </w:rPr>
              <w:t> </w:t>
            </w:r>
            <w:r>
              <w:rPr>
                <w:spacing w:val="-2"/>
                <w:sz w:val="20"/>
              </w:rPr>
              <w:t>инфузий:</w:t>
            </w:r>
          </w:p>
          <w:p>
            <w:pPr>
              <w:pStyle w:val="TableParagraph"/>
              <w:spacing w:line="230" w:lineRule="atLeast" w:before="4"/>
              <w:ind w:left="109"/>
              <w:rPr>
                <w:sz w:val="20"/>
              </w:rPr>
            </w:pPr>
            <w:r>
              <w:rPr>
                <w:sz w:val="20"/>
              </w:rPr>
              <w:t>внутривенно</w:t>
            </w:r>
            <w:r>
              <w:rPr>
                <w:spacing w:val="-2"/>
                <w:sz w:val="20"/>
              </w:rPr>
              <w:t> </w:t>
            </w:r>
            <w:r>
              <w:rPr>
                <w:sz w:val="20"/>
              </w:rPr>
              <w:t>капельно</w:t>
            </w:r>
            <w:r>
              <w:rPr>
                <w:spacing w:val="-2"/>
                <w:sz w:val="20"/>
              </w:rPr>
              <w:t> </w:t>
            </w:r>
            <w:r>
              <w:rPr>
                <w:sz w:val="20"/>
              </w:rPr>
              <w:t>в</w:t>
            </w:r>
            <w:r>
              <w:rPr>
                <w:spacing w:val="-4"/>
                <w:sz w:val="20"/>
              </w:rPr>
              <w:t> </w:t>
            </w:r>
            <w:r>
              <w:rPr>
                <w:sz w:val="20"/>
              </w:rPr>
              <w:t>течение</w:t>
            </w:r>
            <w:r>
              <w:rPr>
                <w:spacing w:val="-3"/>
                <w:sz w:val="20"/>
              </w:rPr>
              <w:t> </w:t>
            </w:r>
            <w:r>
              <w:rPr>
                <w:sz w:val="20"/>
              </w:rPr>
              <w:t>2</w:t>
            </w:r>
            <w:r>
              <w:rPr>
                <w:spacing w:val="-2"/>
                <w:sz w:val="20"/>
              </w:rPr>
              <w:t> </w:t>
            </w:r>
            <w:r>
              <w:rPr>
                <w:sz w:val="20"/>
              </w:rPr>
              <w:t>часов</w:t>
            </w:r>
            <w:r>
              <w:rPr>
                <w:spacing w:val="-4"/>
                <w:sz w:val="20"/>
              </w:rPr>
              <w:t> </w:t>
            </w:r>
            <w:r>
              <w:rPr>
                <w:sz w:val="20"/>
              </w:rPr>
              <w:t>по</w:t>
            </w:r>
            <w:r>
              <w:rPr>
                <w:spacing w:val="-2"/>
                <w:sz w:val="20"/>
              </w:rPr>
              <w:t> </w:t>
            </w:r>
            <w:r>
              <w:rPr>
                <w:sz w:val="20"/>
              </w:rPr>
              <w:t>1600</w:t>
            </w:r>
            <w:r>
              <w:rPr>
                <w:spacing w:val="-2"/>
                <w:sz w:val="20"/>
              </w:rPr>
              <w:t> </w:t>
            </w:r>
            <w:r>
              <w:rPr>
                <w:sz w:val="20"/>
              </w:rPr>
              <w:t>мг</w:t>
            </w:r>
            <w:r>
              <w:rPr>
                <w:spacing w:val="-6"/>
                <w:sz w:val="20"/>
              </w:rPr>
              <w:t> </w:t>
            </w:r>
            <w:r>
              <w:rPr>
                <w:sz w:val="20"/>
              </w:rPr>
              <w:t>2</w:t>
            </w:r>
            <w:r>
              <w:rPr>
                <w:spacing w:val="-2"/>
                <w:sz w:val="20"/>
              </w:rPr>
              <w:t> </w:t>
            </w:r>
            <w:r>
              <w:rPr>
                <w:sz w:val="20"/>
              </w:rPr>
              <w:t>раза</w:t>
            </w:r>
            <w:r>
              <w:rPr>
                <w:spacing w:val="-3"/>
                <w:sz w:val="20"/>
              </w:rPr>
              <w:t> </w:t>
            </w:r>
            <w:r>
              <w:rPr>
                <w:sz w:val="20"/>
              </w:rPr>
              <w:t>в</w:t>
            </w:r>
            <w:r>
              <w:rPr>
                <w:spacing w:val="-4"/>
                <w:sz w:val="20"/>
              </w:rPr>
              <w:t> </w:t>
            </w:r>
            <w:r>
              <w:rPr>
                <w:sz w:val="20"/>
              </w:rPr>
              <w:t>1-й</w:t>
            </w:r>
            <w:r>
              <w:rPr>
                <w:spacing w:val="-4"/>
                <w:sz w:val="20"/>
              </w:rPr>
              <w:t> </w:t>
            </w:r>
            <w:r>
              <w:rPr>
                <w:sz w:val="20"/>
              </w:rPr>
              <w:t>день</w:t>
            </w:r>
            <w:r>
              <w:rPr>
                <w:spacing w:val="-3"/>
                <w:sz w:val="20"/>
              </w:rPr>
              <w:t> </w:t>
            </w:r>
            <w:r>
              <w:rPr>
                <w:sz w:val="20"/>
              </w:rPr>
              <w:t>терапии,</w:t>
            </w:r>
            <w:r>
              <w:rPr>
                <w:spacing w:val="-1"/>
                <w:sz w:val="20"/>
              </w:rPr>
              <w:t> </w:t>
            </w:r>
            <w:r>
              <w:rPr>
                <w:sz w:val="20"/>
              </w:rPr>
              <w:t>далее по</w:t>
            </w:r>
            <w:r>
              <w:rPr>
                <w:spacing w:val="-2"/>
                <w:sz w:val="20"/>
              </w:rPr>
              <w:t> </w:t>
            </w:r>
            <w:r>
              <w:rPr>
                <w:sz w:val="20"/>
              </w:rPr>
              <w:t>800</w:t>
            </w:r>
            <w:r>
              <w:rPr>
                <w:spacing w:val="-2"/>
                <w:sz w:val="20"/>
              </w:rPr>
              <w:t> </w:t>
            </w:r>
            <w:r>
              <w:rPr>
                <w:sz w:val="20"/>
              </w:rPr>
              <w:t>мг</w:t>
            </w:r>
            <w:r>
              <w:rPr>
                <w:spacing w:val="-6"/>
                <w:sz w:val="20"/>
              </w:rPr>
              <w:t> </w:t>
            </w:r>
            <w:r>
              <w:rPr>
                <w:sz w:val="20"/>
              </w:rPr>
              <w:t>2</w:t>
            </w:r>
            <w:r>
              <w:rPr>
                <w:spacing w:val="-2"/>
                <w:sz w:val="20"/>
              </w:rPr>
              <w:t> </w:t>
            </w:r>
            <w:r>
              <w:rPr>
                <w:sz w:val="20"/>
              </w:rPr>
              <w:t>раза</w:t>
            </w:r>
            <w:r>
              <w:rPr>
                <w:spacing w:val="-3"/>
                <w:sz w:val="20"/>
              </w:rPr>
              <w:t> </w:t>
            </w:r>
            <w:r>
              <w:rPr>
                <w:sz w:val="20"/>
              </w:rPr>
              <w:t>в</w:t>
            </w:r>
            <w:r>
              <w:rPr>
                <w:spacing w:val="-4"/>
                <w:sz w:val="20"/>
              </w:rPr>
              <w:t> </w:t>
            </w:r>
            <w:r>
              <w:rPr>
                <w:sz w:val="20"/>
              </w:rPr>
              <w:t>день, соответственно, со 2-го по 10-й день терапии</w:t>
            </w:r>
          </w:p>
        </w:tc>
      </w:tr>
      <w:tr>
        <w:trPr>
          <w:trHeight w:val="73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217"/>
              <w:ind w:left="104"/>
              <w:rPr>
                <w:b/>
                <w:position w:val="8"/>
                <w:sz w:val="16"/>
              </w:rPr>
            </w:pPr>
            <w:r>
              <w:rPr>
                <w:spacing w:val="-2"/>
                <w:sz w:val="20"/>
              </w:rPr>
              <w:t>Ремдесивир</w:t>
            </w:r>
            <w:r>
              <w:rPr>
                <w:spacing w:val="6"/>
                <w:sz w:val="20"/>
              </w:rPr>
              <w:t> </w:t>
            </w:r>
            <w:r>
              <w:rPr>
                <w:b/>
                <w:spacing w:val="-10"/>
                <w:position w:val="8"/>
                <w:sz w:val="16"/>
              </w:rPr>
              <w:t>2</w:t>
            </w:r>
          </w:p>
        </w:tc>
        <w:tc>
          <w:tcPr>
            <w:tcW w:w="9502" w:type="dxa"/>
          </w:tcPr>
          <w:p>
            <w:pPr>
              <w:pStyle w:val="TableParagraph"/>
              <w:spacing w:line="254" w:lineRule="auto" w:before="3"/>
              <w:ind w:left="109" w:right="3498" w:hanging="10"/>
              <w:rPr>
                <w:sz w:val="20"/>
              </w:rPr>
            </w:pPr>
            <w:r>
              <w:rPr>
                <w:sz w:val="20"/>
              </w:rPr>
              <w:t>1-й</w:t>
            </w:r>
            <w:r>
              <w:rPr>
                <w:spacing w:val="-5"/>
                <w:sz w:val="20"/>
              </w:rPr>
              <w:t> </w:t>
            </w:r>
            <w:r>
              <w:rPr>
                <w:sz w:val="20"/>
              </w:rPr>
              <w:t>день:</w:t>
            </w:r>
            <w:r>
              <w:rPr>
                <w:spacing w:val="-5"/>
                <w:sz w:val="20"/>
              </w:rPr>
              <w:t> </w:t>
            </w:r>
            <w:r>
              <w:rPr>
                <w:sz w:val="20"/>
              </w:rPr>
              <w:t>200</w:t>
            </w:r>
            <w:r>
              <w:rPr>
                <w:spacing w:val="-4"/>
                <w:sz w:val="20"/>
              </w:rPr>
              <w:t> </w:t>
            </w:r>
            <w:r>
              <w:rPr>
                <w:sz w:val="20"/>
              </w:rPr>
              <w:t>мг</w:t>
            </w:r>
            <w:r>
              <w:rPr>
                <w:spacing w:val="-5"/>
                <w:sz w:val="20"/>
              </w:rPr>
              <w:t> </w:t>
            </w:r>
            <w:r>
              <w:rPr>
                <w:sz w:val="20"/>
              </w:rPr>
              <w:t>(в</w:t>
            </w:r>
            <w:r>
              <w:rPr>
                <w:spacing w:val="-5"/>
                <w:sz w:val="20"/>
              </w:rPr>
              <w:t> </w:t>
            </w:r>
            <w:r>
              <w:rPr>
                <w:sz w:val="20"/>
              </w:rPr>
              <w:t>0,9</w:t>
            </w:r>
            <w:r>
              <w:rPr>
                <w:spacing w:val="-6"/>
                <w:sz w:val="20"/>
              </w:rPr>
              <w:t> </w:t>
            </w:r>
            <w:r>
              <w:rPr>
                <w:sz w:val="20"/>
              </w:rPr>
              <w:t>%</w:t>
            </w:r>
            <w:r>
              <w:rPr>
                <w:spacing w:val="-5"/>
                <w:sz w:val="20"/>
              </w:rPr>
              <w:t> </w:t>
            </w:r>
            <w:r>
              <w:rPr>
                <w:sz w:val="20"/>
              </w:rPr>
              <w:t>растворе</w:t>
            </w:r>
            <w:r>
              <w:rPr>
                <w:spacing w:val="-5"/>
                <w:sz w:val="20"/>
              </w:rPr>
              <w:t> </w:t>
            </w:r>
            <w:r>
              <w:rPr>
                <w:sz w:val="20"/>
              </w:rPr>
              <w:t>натрия</w:t>
            </w:r>
            <w:r>
              <w:rPr>
                <w:spacing w:val="-2"/>
                <w:sz w:val="20"/>
              </w:rPr>
              <w:t> </w:t>
            </w:r>
            <w:r>
              <w:rPr>
                <w:sz w:val="20"/>
              </w:rPr>
              <w:t>хлорида)</w:t>
            </w:r>
            <w:r>
              <w:rPr>
                <w:spacing w:val="-5"/>
                <w:sz w:val="20"/>
              </w:rPr>
              <w:t> </w:t>
            </w:r>
            <w:r>
              <w:rPr>
                <w:sz w:val="20"/>
              </w:rPr>
              <w:t>однократно</w:t>
            </w:r>
            <w:r>
              <w:rPr>
                <w:spacing w:val="-4"/>
                <w:sz w:val="20"/>
              </w:rPr>
              <w:t> </w:t>
            </w:r>
            <w:r>
              <w:rPr>
                <w:sz w:val="20"/>
              </w:rPr>
              <w:t>в/в. Со 2-го дня: 100 мг в/в 1 р/сут.</w:t>
            </w:r>
          </w:p>
          <w:p>
            <w:pPr>
              <w:pStyle w:val="TableParagraph"/>
              <w:spacing w:line="219" w:lineRule="exact" w:before="2"/>
              <w:ind w:left="109"/>
              <w:rPr>
                <w:sz w:val="20"/>
              </w:rPr>
            </w:pPr>
            <w:r>
              <w:rPr>
                <w:sz w:val="20"/>
              </w:rPr>
              <w:t>Общий</w:t>
            </w:r>
            <w:r>
              <w:rPr>
                <w:spacing w:val="-6"/>
                <w:sz w:val="20"/>
              </w:rPr>
              <w:t> </w:t>
            </w:r>
            <w:r>
              <w:rPr>
                <w:sz w:val="20"/>
              </w:rPr>
              <w:t>курс</w:t>
            </w:r>
            <w:r>
              <w:rPr>
                <w:spacing w:val="-4"/>
                <w:sz w:val="20"/>
              </w:rPr>
              <w:t> </w:t>
            </w:r>
            <w:r>
              <w:rPr>
                <w:sz w:val="20"/>
              </w:rPr>
              <w:t>не</w:t>
            </w:r>
            <w:r>
              <w:rPr>
                <w:spacing w:val="-4"/>
                <w:sz w:val="20"/>
              </w:rPr>
              <w:t> </w:t>
            </w:r>
            <w:r>
              <w:rPr>
                <w:sz w:val="20"/>
              </w:rPr>
              <w:t>более</w:t>
            </w:r>
            <w:r>
              <w:rPr>
                <w:spacing w:val="-4"/>
                <w:sz w:val="20"/>
              </w:rPr>
              <w:t> </w:t>
            </w:r>
            <w:r>
              <w:rPr>
                <w:sz w:val="20"/>
              </w:rPr>
              <w:t>10</w:t>
            </w:r>
            <w:r>
              <w:rPr>
                <w:spacing w:val="-3"/>
                <w:sz w:val="20"/>
              </w:rPr>
              <w:t> </w:t>
            </w:r>
            <w:r>
              <w:rPr>
                <w:spacing w:val="-4"/>
                <w:sz w:val="20"/>
              </w:rPr>
              <w:t>дней</w:t>
            </w:r>
          </w:p>
        </w:tc>
      </w:tr>
      <w:tr>
        <w:trPr>
          <w:trHeight w:val="36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63"/>
              <w:ind w:left="104"/>
              <w:rPr>
                <w:sz w:val="20"/>
              </w:rPr>
            </w:pPr>
            <w:r>
              <w:rPr>
                <w:spacing w:val="-5"/>
                <w:sz w:val="20"/>
              </w:rPr>
              <w:t>или</w:t>
            </w:r>
          </w:p>
        </w:tc>
      </w:tr>
      <w:tr>
        <w:trPr>
          <w:trHeight w:val="55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127"/>
              <w:ind w:left="104"/>
              <w:rPr>
                <w:b/>
                <w:position w:val="8"/>
                <w:sz w:val="16"/>
              </w:rPr>
            </w:pPr>
            <w:r>
              <w:rPr>
                <w:sz w:val="20"/>
              </w:rPr>
              <w:t>Молнупиравир</w:t>
            </w:r>
            <w:r>
              <w:rPr>
                <w:spacing w:val="-7"/>
                <w:sz w:val="20"/>
              </w:rPr>
              <w:t> </w:t>
            </w:r>
            <w:r>
              <w:rPr>
                <w:b/>
                <w:spacing w:val="-10"/>
                <w:position w:val="8"/>
                <w:sz w:val="16"/>
              </w:rPr>
              <w:t>4</w:t>
            </w:r>
          </w:p>
        </w:tc>
        <w:tc>
          <w:tcPr>
            <w:tcW w:w="9502" w:type="dxa"/>
          </w:tcPr>
          <w:p>
            <w:pPr>
              <w:pStyle w:val="TableParagraph"/>
              <w:spacing w:before="2"/>
              <w:ind w:left="99"/>
              <w:rPr>
                <w:sz w:val="20"/>
              </w:rPr>
            </w:pPr>
            <w:r>
              <w:rPr>
                <w:sz w:val="20"/>
              </w:rPr>
              <w:t>800</w:t>
            </w:r>
            <w:r>
              <w:rPr>
                <w:spacing w:val="-4"/>
                <w:sz w:val="20"/>
              </w:rPr>
              <w:t> </w:t>
            </w:r>
            <w:r>
              <w:rPr>
                <w:sz w:val="20"/>
              </w:rPr>
              <w:t>мг</w:t>
            </w:r>
            <w:r>
              <w:rPr>
                <w:spacing w:val="-4"/>
                <w:sz w:val="20"/>
              </w:rPr>
              <w:t> </w:t>
            </w:r>
            <w:r>
              <w:rPr>
                <w:sz w:val="20"/>
              </w:rPr>
              <w:t>перорально</w:t>
            </w:r>
            <w:r>
              <w:rPr>
                <w:spacing w:val="-4"/>
                <w:sz w:val="20"/>
              </w:rPr>
              <w:t> </w:t>
            </w:r>
            <w:r>
              <w:rPr>
                <w:sz w:val="20"/>
              </w:rPr>
              <w:t>каждые</w:t>
            </w:r>
            <w:r>
              <w:rPr>
                <w:spacing w:val="-4"/>
                <w:sz w:val="20"/>
              </w:rPr>
              <w:t> </w:t>
            </w:r>
            <w:r>
              <w:rPr>
                <w:sz w:val="20"/>
              </w:rPr>
              <w:t>12</w:t>
            </w:r>
            <w:r>
              <w:rPr>
                <w:spacing w:val="-3"/>
                <w:sz w:val="20"/>
              </w:rPr>
              <w:t> </w:t>
            </w:r>
            <w:r>
              <w:rPr>
                <w:sz w:val="20"/>
              </w:rPr>
              <w:t>часов,</w:t>
            </w:r>
            <w:r>
              <w:rPr>
                <w:spacing w:val="-4"/>
                <w:sz w:val="20"/>
              </w:rPr>
              <w:t> </w:t>
            </w:r>
            <w:r>
              <w:rPr>
                <w:sz w:val="20"/>
              </w:rPr>
              <w:t>курс</w:t>
            </w:r>
            <w:r>
              <w:rPr>
                <w:spacing w:val="-4"/>
                <w:sz w:val="20"/>
              </w:rPr>
              <w:t> </w:t>
            </w:r>
            <w:r>
              <w:rPr>
                <w:sz w:val="20"/>
              </w:rPr>
              <w:t>не</w:t>
            </w:r>
            <w:r>
              <w:rPr>
                <w:spacing w:val="-4"/>
                <w:sz w:val="20"/>
              </w:rPr>
              <w:t> </w:t>
            </w:r>
            <w:r>
              <w:rPr>
                <w:sz w:val="20"/>
              </w:rPr>
              <w:t>более</w:t>
            </w:r>
            <w:r>
              <w:rPr>
                <w:spacing w:val="-4"/>
                <w:sz w:val="20"/>
              </w:rPr>
              <w:t> </w:t>
            </w:r>
            <w:r>
              <w:rPr>
                <w:sz w:val="20"/>
              </w:rPr>
              <w:t>5</w:t>
            </w:r>
            <w:r>
              <w:rPr>
                <w:spacing w:val="-3"/>
                <w:sz w:val="20"/>
              </w:rPr>
              <w:t> </w:t>
            </w:r>
            <w:r>
              <w:rPr>
                <w:spacing w:val="-4"/>
                <w:sz w:val="20"/>
              </w:rPr>
              <w:t>дней</w:t>
            </w:r>
          </w:p>
        </w:tc>
      </w:tr>
      <w:tr>
        <w:trPr>
          <w:trHeight w:val="24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23" w:lineRule="exact" w:before="2"/>
              <w:ind w:left="114"/>
              <w:rPr>
                <w:sz w:val="20"/>
              </w:rPr>
            </w:pPr>
            <w:r>
              <w:rPr>
                <w:spacing w:val="-5"/>
                <w:sz w:val="20"/>
              </w:rPr>
              <w:t>или</w:t>
            </w:r>
          </w:p>
        </w:tc>
      </w:tr>
    </w:tbl>
    <w:p>
      <w:pPr>
        <w:spacing w:before="139"/>
        <w:ind w:left="0" w:right="15" w:firstLine="0"/>
        <w:jc w:val="center"/>
        <w:rPr>
          <w:rFonts w:ascii="Calibri"/>
          <w:sz w:val="22"/>
        </w:rPr>
      </w:pPr>
      <w:r>
        <w:rPr>
          <w:rFonts w:ascii="Calibri"/>
          <w:spacing w:val="-5"/>
          <w:sz w:val="22"/>
        </w:rPr>
        <w:t>213</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31"/>
        <w:gridCol w:w="447"/>
        <w:gridCol w:w="3664"/>
        <w:gridCol w:w="9502"/>
      </w:tblGrid>
      <w:tr>
        <w:trPr>
          <w:trHeight w:val="947" w:hRule="atLeast"/>
        </w:trPr>
        <w:tc>
          <w:tcPr>
            <w:tcW w:w="1131" w:type="dxa"/>
            <w:vMerge w:val="restart"/>
          </w:tcPr>
          <w:p>
            <w:pPr>
              <w:pStyle w:val="TableParagraph"/>
              <w:rPr>
                <w:sz w:val="18"/>
              </w:rPr>
            </w:pPr>
          </w:p>
        </w:tc>
        <w:tc>
          <w:tcPr>
            <w:tcW w:w="447" w:type="dxa"/>
            <w:vMerge w:val="restart"/>
          </w:tcPr>
          <w:p>
            <w:pPr>
              <w:pStyle w:val="TableParagraph"/>
              <w:rPr>
                <w:sz w:val="18"/>
              </w:rPr>
            </w:pPr>
          </w:p>
        </w:tc>
        <w:tc>
          <w:tcPr>
            <w:tcW w:w="3664" w:type="dxa"/>
          </w:tcPr>
          <w:p>
            <w:pPr>
              <w:pStyle w:val="TableParagraph"/>
              <w:spacing w:before="101"/>
              <w:rPr>
                <w:sz w:val="20"/>
              </w:rPr>
            </w:pPr>
          </w:p>
          <w:p>
            <w:pPr>
              <w:pStyle w:val="TableParagraph"/>
              <w:ind w:left="114"/>
              <w:rPr>
                <w:b/>
                <w:position w:val="8"/>
                <w:sz w:val="16"/>
              </w:rPr>
            </w:pPr>
            <w:bookmarkStart w:name="215" w:id="257"/>
            <w:bookmarkEnd w:id="257"/>
            <w:r>
              <w:rPr/>
            </w:r>
            <w:r>
              <w:rPr>
                <w:spacing w:val="-2"/>
                <w:sz w:val="20"/>
              </w:rPr>
              <w:t>Нирматрелвир+Ритонавир</w:t>
            </w:r>
            <w:r>
              <w:rPr>
                <w:spacing w:val="19"/>
                <w:sz w:val="20"/>
              </w:rPr>
              <w:t> </w:t>
            </w:r>
            <w:r>
              <w:rPr>
                <w:b/>
                <w:spacing w:val="-10"/>
                <w:position w:val="8"/>
                <w:sz w:val="16"/>
              </w:rPr>
              <w:t>4</w:t>
            </w:r>
          </w:p>
        </w:tc>
        <w:tc>
          <w:tcPr>
            <w:tcW w:w="9502" w:type="dxa"/>
          </w:tcPr>
          <w:p>
            <w:pPr>
              <w:pStyle w:val="TableParagraph"/>
              <w:spacing w:before="17"/>
              <w:rPr>
                <w:sz w:val="20"/>
              </w:rPr>
            </w:pPr>
          </w:p>
          <w:p>
            <w:pPr>
              <w:pStyle w:val="TableParagraph"/>
              <w:ind w:left="99" w:right="216"/>
              <w:rPr>
                <w:sz w:val="20"/>
              </w:rPr>
            </w:pPr>
            <w:r>
              <w:rPr>
                <w:sz w:val="20"/>
              </w:rPr>
              <w:t>300</w:t>
            </w:r>
            <w:r>
              <w:rPr>
                <w:spacing w:val="-2"/>
                <w:sz w:val="20"/>
              </w:rPr>
              <w:t> </w:t>
            </w:r>
            <w:r>
              <w:rPr>
                <w:sz w:val="20"/>
              </w:rPr>
              <w:t>мг</w:t>
            </w:r>
            <w:r>
              <w:rPr>
                <w:spacing w:val="-4"/>
                <w:sz w:val="20"/>
              </w:rPr>
              <w:t> </w:t>
            </w:r>
            <w:r>
              <w:rPr>
                <w:sz w:val="20"/>
              </w:rPr>
              <w:t>нирматрелвира</w:t>
            </w:r>
            <w:r>
              <w:rPr>
                <w:spacing w:val="-1"/>
                <w:sz w:val="20"/>
              </w:rPr>
              <w:t> </w:t>
            </w:r>
            <w:r>
              <w:rPr>
                <w:sz w:val="20"/>
              </w:rPr>
              <w:t>+</w:t>
            </w:r>
            <w:r>
              <w:rPr>
                <w:spacing w:val="-3"/>
                <w:sz w:val="20"/>
              </w:rPr>
              <w:t> </w:t>
            </w:r>
            <w:r>
              <w:rPr>
                <w:sz w:val="20"/>
              </w:rPr>
              <w:t>100</w:t>
            </w:r>
            <w:r>
              <w:rPr>
                <w:spacing w:val="-5"/>
                <w:sz w:val="20"/>
              </w:rPr>
              <w:t> </w:t>
            </w:r>
            <w:r>
              <w:rPr>
                <w:sz w:val="20"/>
              </w:rPr>
              <w:t>мг</w:t>
            </w:r>
            <w:r>
              <w:rPr>
                <w:spacing w:val="-4"/>
                <w:sz w:val="20"/>
              </w:rPr>
              <w:t> </w:t>
            </w:r>
            <w:r>
              <w:rPr>
                <w:sz w:val="20"/>
              </w:rPr>
              <w:t>ритонавира</w:t>
            </w:r>
            <w:r>
              <w:rPr>
                <w:spacing w:val="-1"/>
                <w:sz w:val="20"/>
              </w:rPr>
              <w:t> </w:t>
            </w:r>
            <w:r>
              <w:rPr>
                <w:sz w:val="20"/>
              </w:rPr>
              <w:t>два</w:t>
            </w:r>
            <w:r>
              <w:rPr>
                <w:spacing w:val="-4"/>
                <w:sz w:val="20"/>
              </w:rPr>
              <w:t> </w:t>
            </w:r>
            <w:r>
              <w:rPr>
                <w:sz w:val="20"/>
              </w:rPr>
              <w:t>раза</w:t>
            </w:r>
            <w:r>
              <w:rPr>
                <w:spacing w:val="-3"/>
                <w:sz w:val="20"/>
              </w:rPr>
              <w:t> </w:t>
            </w:r>
            <w:r>
              <w:rPr>
                <w:sz w:val="20"/>
              </w:rPr>
              <w:t>в</w:t>
            </w:r>
            <w:r>
              <w:rPr>
                <w:spacing w:val="-4"/>
                <w:sz w:val="20"/>
              </w:rPr>
              <w:t> </w:t>
            </w:r>
            <w:r>
              <w:rPr>
                <w:sz w:val="20"/>
              </w:rPr>
              <w:t>сутки</w:t>
            </w:r>
            <w:r>
              <w:rPr>
                <w:spacing w:val="-4"/>
                <w:sz w:val="20"/>
              </w:rPr>
              <w:t> </w:t>
            </w:r>
            <w:r>
              <w:rPr>
                <w:sz w:val="20"/>
              </w:rPr>
              <w:t>(каждые</w:t>
            </w:r>
            <w:r>
              <w:rPr>
                <w:spacing w:val="-3"/>
                <w:sz w:val="20"/>
              </w:rPr>
              <w:t> </w:t>
            </w:r>
            <w:r>
              <w:rPr>
                <w:sz w:val="20"/>
              </w:rPr>
              <w:t>12</w:t>
            </w:r>
            <w:r>
              <w:rPr>
                <w:spacing w:val="-2"/>
                <w:sz w:val="20"/>
              </w:rPr>
              <w:t> </w:t>
            </w:r>
            <w:r>
              <w:rPr>
                <w:sz w:val="20"/>
              </w:rPr>
              <w:t>часов).</w:t>
            </w:r>
            <w:r>
              <w:rPr>
                <w:spacing w:val="40"/>
                <w:sz w:val="20"/>
              </w:rPr>
              <w:t> </w:t>
            </w:r>
            <w:r>
              <w:rPr>
                <w:sz w:val="20"/>
              </w:rPr>
              <w:t>Суточная</w:t>
            </w:r>
            <w:r>
              <w:rPr>
                <w:spacing w:val="-4"/>
                <w:sz w:val="20"/>
              </w:rPr>
              <w:t> </w:t>
            </w:r>
            <w:r>
              <w:rPr>
                <w:sz w:val="20"/>
              </w:rPr>
              <w:t>доза</w:t>
            </w:r>
            <w:r>
              <w:rPr>
                <w:spacing w:val="-3"/>
                <w:sz w:val="20"/>
              </w:rPr>
              <w:t> </w:t>
            </w:r>
            <w:r>
              <w:rPr>
                <w:sz w:val="20"/>
              </w:rPr>
              <w:t>составляет 600 мг нирматрелвира + 200 мг ритонавира.</w:t>
            </w:r>
            <w:r>
              <w:rPr>
                <w:spacing w:val="40"/>
                <w:sz w:val="20"/>
              </w:rPr>
              <w:t> </w:t>
            </w:r>
            <w:r>
              <w:rPr>
                <w:sz w:val="20"/>
              </w:rPr>
              <w:t>Продолжительность курса лечения - 5 суток.</w:t>
            </w:r>
          </w:p>
        </w:tc>
      </w:tr>
      <w:tr>
        <w:trPr>
          <w:trHeight w:val="24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15" w:lineRule="exact" w:before="9"/>
              <w:ind w:left="114"/>
              <w:rPr>
                <w:sz w:val="20"/>
              </w:rPr>
            </w:pPr>
            <w:r>
              <w:rPr>
                <w:spacing w:val="-5"/>
                <w:sz w:val="20"/>
              </w:rPr>
              <w:t>или</w:t>
            </w:r>
          </w:p>
        </w:tc>
      </w:tr>
      <w:tr>
        <w:trPr>
          <w:trHeight w:val="556"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35" w:lineRule="auto" w:before="29"/>
              <w:ind w:left="114" w:right="699"/>
              <w:rPr>
                <w:b/>
                <w:position w:val="8"/>
                <w:sz w:val="16"/>
              </w:rPr>
            </w:pPr>
            <w:r>
              <w:rPr>
                <w:spacing w:val="-2"/>
                <w:sz w:val="20"/>
              </w:rPr>
              <w:t>Иммуноглобулин </w:t>
            </w:r>
            <w:r>
              <w:rPr>
                <w:spacing w:val="-2"/>
                <w:sz w:val="20"/>
              </w:rPr>
              <w:t>человека </w:t>
            </w:r>
            <w:r>
              <w:rPr>
                <w:sz w:val="20"/>
              </w:rPr>
              <w:t>против COVID-19 </w:t>
            </w:r>
            <w:r>
              <w:rPr>
                <w:b/>
                <w:position w:val="8"/>
                <w:sz w:val="16"/>
              </w:rPr>
              <w:t>2</w:t>
            </w:r>
          </w:p>
        </w:tc>
        <w:tc>
          <w:tcPr>
            <w:tcW w:w="9502" w:type="dxa"/>
          </w:tcPr>
          <w:p>
            <w:pPr>
              <w:pStyle w:val="TableParagraph"/>
              <w:spacing w:before="8"/>
              <w:ind w:left="109"/>
              <w:rPr>
                <w:sz w:val="20"/>
              </w:rPr>
            </w:pPr>
            <w:r>
              <w:rPr>
                <w:sz w:val="20"/>
              </w:rPr>
              <w:t>1</w:t>
            </w:r>
            <w:r>
              <w:rPr>
                <w:spacing w:val="-5"/>
                <w:sz w:val="20"/>
              </w:rPr>
              <w:t> </w:t>
            </w:r>
            <w:r>
              <w:rPr>
                <w:sz w:val="20"/>
              </w:rPr>
              <w:t>мл</w:t>
            </w:r>
            <w:r>
              <w:rPr>
                <w:spacing w:val="-7"/>
                <w:sz w:val="20"/>
              </w:rPr>
              <w:t> </w:t>
            </w:r>
            <w:r>
              <w:rPr>
                <w:sz w:val="20"/>
              </w:rPr>
              <w:t>на</w:t>
            </w:r>
            <w:r>
              <w:rPr>
                <w:spacing w:val="-6"/>
                <w:sz w:val="20"/>
              </w:rPr>
              <w:t> </w:t>
            </w:r>
            <w:r>
              <w:rPr>
                <w:sz w:val="20"/>
              </w:rPr>
              <w:t>кг</w:t>
            </w:r>
            <w:r>
              <w:rPr>
                <w:spacing w:val="-6"/>
                <w:sz w:val="20"/>
              </w:rPr>
              <w:t> </w:t>
            </w:r>
            <w:r>
              <w:rPr>
                <w:sz w:val="20"/>
              </w:rPr>
              <w:t>массы</w:t>
            </w:r>
            <w:r>
              <w:rPr>
                <w:spacing w:val="-6"/>
                <w:sz w:val="20"/>
              </w:rPr>
              <w:t> </w:t>
            </w:r>
            <w:r>
              <w:rPr>
                <w:sz w:val="20"/>
              </w:rPr>
              <w:t>тела</w:t>
            </w:r>
            <w:r>
              <w:rPr>
                <w:spacing w:val="-6"/>
                <w:sz w:val="20"/>
              </w:rPr>
              <w:t> </w:t>
            </w:r>
            <w:r>
              <w:rPr>
                <w:sz w:val="20"/>
              </w:rPr>
              <w:t>однократно</w:t>
            </w:r>
            <w:r>
              <w:rPr>
                <w:spacing w:val="-4"/>
                <w:sz w:val="20"/>
              </w:rPr>
              <w:t> </w:t>
            </w:r>
            <w:r>
              <w:rPr>
                <w:sz w:val="20"/>
              </w:rPr>
              <w:t>внутривенно</w:t>
            </w:r>
            <w:r>
              <w:rPr>
                <w:spacing w:val="-5"/>
                <w:sz w:val="20"/>
              </w:rPr>
              <w:t> </w:t>
            </w:r>
            <w:r>
              <w:rPr>
                <w:sz w:val="20"/>
              </w:rPr>
              <w:t>капельно</w:t>
            </w:r>
            <w:r>
              <w:rPr>
                <w:spacing w:val="-5"/>
                <w:sz w:val="20"/>
              </w:rPr>
              <w:t> </w:t>
            </w:r>
            <w:r>
              <w:rPr>
                <w:sz w:val="20"/>
              </w:rPr>
              <w:t>без</w:t>
            </w:r>
            <w:r>
              <w:rPr>
                <w:spacing w:val="-6"/>
                <w:sz w:val="20"/>
              </w:rPr>
              <w:t> </w:t>
            </w:r>
            <w:r>
              <w:rPr>
                <w:spacing w:val="-2"/>
                <w:sz w:val="20"/>
              </w:rPr>
              <w:t>разведения</w:t>
            </w:r>
          </w:p>
        </w:tc>
      </w:tr>
      <w:tr>
        <w:trPr>
          <w:trHeight w:val="336"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54"/>
              <w:ind w:left="114"/>
              <w:rPr>
                <w:sz w:val="20"/>
              </w:rPr>
            </w:pPr>
            <w:r>
              <w:rPr>
                <w:spacing w:val="-5"/>
                <w:sz w:val="20"/>
              </w:rPr>
              <w:t>или</w:t>
            </w:r>
          </w:p>
        </w:tc>
      </w:tr>
      <w:tr>
        <w:trPr>
          <w:trHeight w:val="70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37" w:lineRule="auto" w:before="9"/>
              <w:ind w:left="114" w:right="180"/>
              <w:rPr>
                <w:sz w:val="20"/>
              </w:rPr>
            </w:pPr>
            <w:r>
              <w:rPr>
                <w:sz w:val="20"/>
              </w:rPr>
              <w:t>Синтетическая малая </w:t>
            </w:r>
            <w:r>
              <w:rPr>
                <w:spacing w:val="-2"/>
                <w:sz w:val="20"/>
              </w:rPr>
              <w:t>интерферирующая рибонуклеиновая</w:t>
            </w:r>
          </w:p>
          <w:p>
            <w:pPr>
              <w:pStyle w:val="TableParagraph"/>
              <w:spacing w:line="217" w:lineRule="exact" w:before="1"/>
              <w:ind w:left="114"/>
              <w:rPr>
                <w:sz w:val="20"/>
              </w:rPr>
            </w:pPr>
            <w:r>
              <w:rPr>
                <w:sz w:val="20"/>
              </w:rPr>
              <w:t>кислота</w:t>
            </w:r>
            <w:r>
              <w:rPr>
                <w:spacing w:val="-10"/>
                <w:sz w:val="20"/>
              </w:rPr>
              <w:t> </w:t>
            </w:r>
            <w:r>
              <w:rPr>
                <w:sz w:val="20"/>
              </w:rPr>
              <w:t>(миРНК)</w:t>
            </w:r>
            <w:r>
              <w:rPr>
                <w:spacing w:val="-9"/>
                <w:sz w:val="20"/>
              </w:rPr>
              <w:t> </w:t>
            </w:r>
            <w:r>
              <w:rPr>
                <w:spacing w:val="-2"/>
                <w:sz w:val="20"/>
              </w:rPr>
              <w:t>[двуцепочечная]</w:t>
            </w:r>
          </w:p>
        </w:tc>
        <w:tc>
          <w:tcPr>
            <w:tcW w:w="9502" w:type="dxa"/>
          </w:tcPr>
          <w:p>
            <w:pPr>
              <w:pStyle w:val="TableParagraph"/>
              <w:spacing w:before="8"/>
              <w:ind w:left="109" w:right="1657"/>
              <w:rPr>
                <w:sz w:val="20"/>
              </w:rPr>
            </w:pPr>
            <w:r>
              <w:rPr>
                <w:sz w:val="20"/>
              </w:rPr>
              <w:t>Три</w:t>
            </w:r>
            <w:r>
              <w:rPr>
                <w:spacing w:val="-4"/>
                <w:sz w:val="20"/>
              </w:rPr>
              <w:t> </w:t>
            </w:r>
            <w:r>
              <w:rPr>
                <w:sz w:val="20"/>
              </w:rPr>
              <w:t>приема</w:t>
            </w:r>
            <w:r>
              <w:rPr>
                <w:spacing w:val="-3"/>
                <w:sz w:val="20"/>
              </w:rPr>
              <w:t> </w:t>
            </w:r>
            <w:r>
              <w:rPr>
                <w:sz w:val="20"/>
              </w:rPr>
              <w:t>с</w:t>
            </w:r>
            <w:r>
              <w:rPr>
                <w:spacing w:val="-3"/>
                <w:sz w:val="20"/>
              </w:rPr>
              <w:t> </w:t>
            </w:r>
            <w:r>
              <w:rPr>
                <w:sz w:val="20"/>
              </w:rPr>
              <w:t>перерывом</w:t>
            </w:r>
            <w:r>
              <w:rPr>
                <w:spacing w:val="-2"/>
                <w:sz w:val="20"/>
              </w:rPr>
              <w:t> </w:t>
            </w:r>
            <w:r>
              <w:rPr>
                <w:sz w:val="20"/>
              </w:rPr>
              <w:t>6-7</w:t>
            </w:r>
            <w:r>
              <w:rPr>
                <w:spacing w:val="-5"/>
                <w:sz w:val="20"/>
              </w:rPr>
              <w:t> </w:t>
            </w:r>
            <w:r>
              <w:rPr>
                <w:sz w:val="20"/>
              </w:rPr>
              <w:t>часов.</w:t>
            </w:r>
            <w:r>
              <w:rPr>
                <w:spacing w:val="-3"/>
                <w:sz w:val="20"/>
              </w:rPr>
              <w:t> </w:t>
            </w:r>
            <w:r>
              <w:rPr>
                <w:sz w:val="20"/>
              </w:rPr>
              <w:t>Разовая</w:t>
            </w:r>
            <w:r>
              <w:rPr>
                <w:spacing w:val="-4"/>
                <w:sz w:val="20"/>
              </w:rPr>
              <w:t> </w:t>
            </w:r>
            <w:r>
              <w:rPr>
                <w:sz w:val="20"/>
              </w:rPr>
              <w:t>доза</w:t>
            </w:r>
            <w:r>
              <w:rPr>
                <w:spacing w:val="-3"/>
                <w:sz w:val="20"/>
              </w:rPr>
              <w:t> </w:t>
            </w:r>
            <w:r>
              <w:rPr>
                <w:sz w:val="20"/>
              </w:rPr>
              <w:t>составляет</w:t>
            </w:r>
            <w:r>
              <w:rPr>
                <w:spacing w:val="-4"/>
                <w:sz w:val="20"/>
              </w:rPr>
              <w:t> </w:t>
            </w:r>
            <w:r>
              <w:rPr>
                <w:sz w:val="20"/>
              </w:rPr>
              <w:t>1,85</w:t>
            </w:r>
            <w:r>
              <w:rPr>
                <w:spacing w:val="-2"/>
                <w:sz w:val="20"/>
              </w:rPr>
              <w:t> </w:t>
            </w:r>
            <w:r>
              <w:rPr>
                <w:sz w:val="20"/>
              </w:rPr>
              <w:t>мг,</w:t>
            </w:r>
            <w:r>
              <w:rPr>
                <w:spacing w:val="-3"/>
                <w:sz w:val="20"/>
              </w:rPr>
              <w:t> </w:t>
            </w:r>
            <w:r>
              <w:rPr>
                <w:sz w:val="20"/>
              </w:rPr>
              <w:t>суточная –</w:t>
            </w:r>
            <w:r>
              <w:rPr>
                <w:spacing w:val="-4"/>
                <w:sz w:val="20"/>
              </w:rPr>
              <w:t> </w:t>
            </w:r>
            <w:r>
              <w:rPr>
                <w:sz w:val="20"/>
              </w:rPr>
              <w:t>5,55</w:t>
            </w:r>
            <w:r>
              <w:rPr>
                <w:spacing w:val="-7"/>
                <w:sz w:val="20"/>
              </w:rPr>
              <w:t> </w:t>
            </w:r>
            <w:r>
              <w:rPr>
                <w:sz w:val="20"/>
              </w:rPr>
              <w:t>мг. Курс лечения –до 7 дней (до 21 ингаляций).</w:t>
            </w:r>
          </w:p>
        </w:tc>
      </w:tr>
      <w:tr>
        <w:trPr>
          <w:trHeight w:val="313" w:hRule="atLeast"/>
        </w:trPr>
        <w:tc>
          <w:tcPr>
            <w:tcW w:w="1131" w:type="dxa"/>
            <w:vMerge/>
            <w:tcBorders>
              <w:top w:val="nil"/>
            </w:tcBorders>
          </w:tcPr>
          <w:p>
            <w:pPr>
              <w:rPr>
                <w:sz w:val="2"/>
                <w:szCs w:val="2"/>
              </w:rPr>
            </w:pPr>
          </w:p>
        </w:tc>
        <w:tc>
          <w:tcPr>
            <w:tcW w:w="447" w:type="dxa"/>
            <w:vMerge w:val="restart"/>
          </w:tcPr>
          <w:p>
            <w:pPr>
              <w:pStyle w:val="TableParagraph"/>
              <w:spacing w:before="7"/>
              <w:ind w:left="112"/>
              <w:rPr>
                <w:sz w:val="20"/>
              </w:rPr>
            </w:pPr>
            <w:r>
              <w:rPr>
                <w:spacing w:val="-10"/>
                <w:sz w:val="20"/>
              </w:rPr>
              <w:t>2</w:t>
            </w:r>
          </w:p>
        </w:tc>
        <w:tc>
          <w:tcPr>
            <w:tcW w:w="13166" w:type="dxa"/>
            <w:gridSpan w:val="2"/>
          </w:tcPr>
          <w:p>
            <w:pPr>
              <w:pStyle w:val="TableParagraph"/>
              <w:spacing w:before="43"/>
              <w:ind w:left="114"/>
              <w:rPr>
                <w:sz w:val="20"/>
              </w:rPr>
            </w:pPr>
            <w:r>
              <w:rPr>
                <w:spacing w:val="-2"/>
                <w:sz w:val="20"/>
              </w:rPr>
              <w:t>Ингибиторы</w:t>
            </w:r>
            <w:r>
              <w:rPr>
                <w:spacing w:val="11"/>
                <w:sz w:val="20"/>
              </w:rPr>
              <w:t> </w:t>
            </w:r>
            <w:r>
              <w:rPr>
                <w:spacing w:val="-2"/>
                <w:sz w:val="20"/>
              </w:rPr>
              <w:t>янус-киназ:</w:t>
            </w:r>
          </w:p>
        </w:tc>
      </w:tr>
      <w:tr>
        <w:trPr>
          <w:trHeight w:val="31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40"/>
              <w:ind w:left="114"/>
              <w:rPr>
                <w:sz w:val="20"/>
              </w:rPr>
            </w:pPr>
            <w:r>
              <w:rPr>
                <w:spacing w:val="-2"/>
                <w:sz w:val="20"/>
              </w:rPr>
              <w:t>Барицитиниб</w:t>
            </w:r>
          </w:p>
        </w:tc>
        <w:tc>
          <w:tcPr>
            <w:tcW w:w="9502" w:type="dxa"/>
          </w:tcPr>
          <w:p>
            <w:pPr>
              <w:pStyle w:val="TableParagraph"/>
              <w:spacing w:before="7"/>
              <w:ind w:left="109"/>
              <w:rPr>
                <w:sz w:val="20"/>
              </w:rPr>
            </w:pPr>
            <w:r>
              <w:rPr>
                <w:sz w:val="20"/>
              </w:rPr>
              <w:t>4</w:t>
            </w:r>
            <w:r>
              <w:rPr>
                <w:spacing w:val="-2"/>
                <w:sz w:val="20"/>
              </w:rPr>
              <w:t> </w:t>
            </w:r>
            <w:r>
              <w:rPr>
                <w:sz w:val="20"/>
              </w:rPr>
              <w:t>мг</w:t>
            </w:r>
            <w:r>
              <w:rPr>
                <w:spacing w:val="-3"/>
                <w:sz w:val="20"/>
              </w:rPr>
              <w:t> </w:t>
            </w:r>
            <w:r>
              <w:rPr>
                <w:sz w:val="20"/>
              </w:rPr>
              <w:t>1</w:t>
            </w:r>
            <w:r>
              <w:rPr>
                <w:spacing w:val="-4"/>
                <w:sz w:val="20"/>
              </w:rPr>
              <w:t> </w:t>
            </w:r>
            <w:r>
              <w:rPr>
                <w:sz w:val="20"/>
              </w:rPr>
              <w:t>р/сут</w:t>
            </w:r>
            <w:r>
              <w:rPr>
                <w:spacing w:val="-3"/>
                <w:sz w:val="20"/>
              </w:rPr>
              <w:t> </w:t>
            </w:r>
            <w:r>
              <w:rPr>
                <w:sz w:val="20"/>
              </w:rPr>
              <w:t>в</w:t>
            </w:r>
            <w:r>
              <w:rPr>
                <w:spacing w:val="-3"/>
                <w:sz w:val="20"/>
              </w:rPr>
              <w:t> </w:t>
            </w:r>
            <w:r>
              <w:rPr>
                <w:sz w:val="20"/>
              </w:rPr>
              <w:t>течение</w:t>
            </w:r>
            <w:r>
              <w:rPr>
                <w:spacing w:val="-3"/>
                <w:sz w:val="20"/>
              </w:rPr>
              <w:t> </w:t>
            </w:r>
            <w:r>
              <w:rPr>
                <w:sz w:val="20"/>
              </w:rPr>
              <w:t>7-14</w:t>
            </w:r>
            <w:r>
              <w:rPr>
                <w:spacing w:val="-1"/>
                <w:sz w:val="20"/>
              </w:rPr>
              <w:t> </w:t>
            </w:r>
            <w:r>
              <w:rPr>
                <w:spacing w:val="-4"/>
                <w:sz w:val="20"/>
              </w:rPr>
              <w:t>дней</w:t>
            </w:r>
          </w:p>
        </w:tc>
      </w:tr>
      <w:tr>
        <w:trPr>
          <w:trHeight w:val="24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18" w:lineRule="exact" w:before="6"/>
              <w:ind w:left="114"/>
              <w:rPr>
                <w:sz w:val="20"/>
              </w:rPr>
            </w:pPr>
            <w:r>
              <w:rPr>
                <w:spacing w:val="-5"/>
                <w:sz w:val="20"/>
              </w:rPr>
              <w:t>или</w:t>
            </w:r>
          </w:p>
        </w:tc>
      </w:tr>
      <w:tr>
        <w:trPr>
          <w:trHeight w:val="306"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37"/>
              <w:ind w:left="114"/>
              <w:rPr>
                <w:sz w:val="20"/>
              </w:rPr>
            </w:pPr>
            <w:r>
              <w:rPr>
                <w:spacing w:val="-2"/>
                <w:sz w:val="20"/>
              </w:rPr>
              <w:t>Тофацитиниб</w:t>
            </w:r>
          </w:p>
        </w:tc>
        <w:tc>
          <w:tcPr>
            <w:tcW w:w="9502" w:type="dxa"/>
          </w:tcPr>
          <w:p>
            <w:pPr>
              <w:pStyle w:val="TableParagraph"/>
              <w:spacing w:before="6"/>
              <w:ind w:left="109"/>
              <w:rPr>
                <w:sz w:val="20"/>
              </w:rPr>
            </w:pPr>
            <w:r>
              <w:rPr>
                <w:sz w:val="20"/>
              </w:rPr>
              <w:t>10</w:t>
            </w:r>
            <w:r>
              <w:rPr>
                <w:spacing w:val="-2"/>
                <w:sz w:val="20"/>
              </w:rPr>
              <w:t> </w:t>
            </w:r>
            <w:r>
              <w:rPr>
                <w:sz w:val="20"/>
              </w:rPr>
              <w:t>мг</w:t>
            </w:r>
            <w:r>
              <w:rPr>
                <w:spacing w:val="-4"/>
                <w:sz w:val="20"/>
              </w:rPr>
              <w:t> </w:t>
            </w:r>
            <w:r>
              <w:rPr>
                <w:sz w:val="20"/>
              </w:rPr>
              <w:t>2</w:t>
            </w:r>
            <w:r>
              <w:rPr>
                <w:spacing w:val="-3"/>
                <w:sz w:val="20"/>
              </w:rPr>
              <w:t> </w:t>
            </w:r>
            <w:r>
              <w:rPr>
                <w:sz w:val="20"/>
              </w:rPr>
              <w:t>р/сут</w:t>
            </w:r>
            <w:r>
              <w:rPr>
                <w:spacing w:val="-2"/>
                <w:sz w:val="20"/>
              </w:rPr>
              <w:t> </w:t>
            </w:r>
            <w:r>
              <w:rPr>
                <w:sz w:val="20"/>
              </w:rPr>
              <w:t>в</w:t>
            </w:r>
            <w:r>
              <w:rPr>
                <w:spacing w:val="-3"/>
                <w:sz w:val="20"/>
              </w:rPr>
              <w:t> </w:t>
            </w:r>
            <w:r>
              <w:rPr>
                <w:sz w:val="20"/>
              </w:rPr>
              <w:t>течение</w:t>
            </w:r>
            <w:r>
              <w:rPr>
                <w:spacing w:val="-3"/>
                <w:sz w:val="20"/>
              </w:rPr>
              <w:t> </w:t>
            </w:r>
            <w:r>
              <w:rPr>
                <w:sz w:val="20"/>
              </w:rPr>
              <w:t>7-14</w:t>
            </w:r>
            <w:r>
              <w:rPr>
                <w:spacing w:val="-4"/>
                <w:sz w:val="20"/>
              </w:rPr>
              <w:t> дней</w:t>
            </w:r>
          </w:p>
        </w:tc>
      </w:tr>
      <w:tr>
        <w:trPr>
          <w:trHeight w:val="307"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40"/>
              <w:ind w:left="114"/>
              <w:rPr>
                <w:sz w:val="20"/>
              </w:rPr>
            </w:pPr>
            <w:r>
              <w:rPr>
                <w:spacing w:val="-5"/>
                <w:sz w:val="20"/>
              </w:rPr>
              <w:t>или</w:t>
            </w:r>
          </w:p>
        </w:tc>
      </w:tr>
      <w:tr>
        <w:trPr>
          <w:trHeight w:val="275"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22"/>
              <w:ind w:left="114"/>
              <w:rPr>
                <w:sz w:val="20"/>
              </w:rPr>
            </w:pPr>
            <w:r>
              <w:rPr>
                <w:spacing w:val="-2"/>
                <w:sz w:val="20"/>
              </w:rPr>
              <w:t>Упадацитиниб</w:t>
            </w:r>
          </w:p>
        </w:tc>
        <w:tc>
          <w:tcPr>
            <w:tcW w:w="9502" w:type="dxa"/>
          </w:tcPr>
          <w:p>
            <w:pPr>
              <w:pStyle w:val="TableParagraph"/>
              <w:spacing w:before="22"/>
              <w:ind w:left="109"/>
              <w:rPr>
                <w:sz w:val="20"/>
              </w:rPr>
            </w:pPr>
            <w:r>
              <w:rPr>
                <w:sz w:val="20"/>
              </w:rPr>
              <w:t>15</w:t>
            </w:r>
            <w:r>
              <w:rPr>
                <w:spacing w:val="-2"/>
                <w:sz w:val="20"/>
              </w:rPr>
              <w:t> </w:t>
            </w:r>
            <w:r>
              <w:rPr>
                <w:sz w:val="20"/>
              </w:rPr>
              <w:t>мг</w:t>
            </w:r>
            <w:r>
              <w:rPr>
                <w:spacing w:val="-3"/>
                <w:sz w:val="20"/>
              </w:rPr>
              <w:t> </w:t>
            </w:r>
            <w:r>
              <w:rPr>
                <w:sz w:val="20"/>
              </w:rPr>
              <w:t>1</w:t>
            </w:r>
            <w:r>
              <w:rPr>
                <w:spacing w:val="-4"/>
                <w:sz w:val="20"/>
              </w:rPr>
              <w:t> </w:t>
            </w:r>
            <w:r>
              <w:rPr>
                <w:sz w:val="20"/>
              </w:rPr>
              <w:t>р/сут</w:t>
            </w:r>
            <w:r>
              <w:rPr>
                <w:spacing w:val="-3"/>
                <w:sz w:val="20"/>
              </w:rPr>
              <w:t> </w:t>
            </w:r>
            <w:r>
              <w:rPr>
                <w:sz w:val="20"/>
              </w:rPr>
              <w:t>в</w:t>
            </w:r>
            <w:r>
              <w:rPr>
                <w:spacing w:val="-3"/>
                <w:sz w:val="20"/>
              </w:rPr>
              <w:t> </w:t>
            </w:r>
            <w:r>
              <w:rPr>
                <w:sz w:val="20"/>
              </w:rPr>
              <w:t>течение</w:t>
            </w:r>
            <w:r>
              <w:rPr>
                <w:spacing w:val="-3"/>
                <w:sz w:val="20"/>
              </w:rPr>
              <w:t> </w:t>
            </w:r>
            <w:r>
              <w:rPr>
                <w:sz w:val="20"/>
              </w:rPr>
              <w:t>7-14</w:t>
            </w:r>
            <w:r>
              <w:rPr>
                <w:spacing w:val="-4"/>
                <w:sz w:val="20"/>
              </w:rPr>
              <w:t> дней</w:t>
            </w:r>
          </w:p>
        </w:tc>
      </w:tr>
      <w:tr>
        <w:trPr>
          <w:trHeight w:val="27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20"/>
              <w:ind w:left="114"/>
              <w:rPr>
                <w:sz w:val="20"/>
              </w:rPr>
            </w:pPr>
            <w:r>
              <w:rPr>
                <w:spacing w:val="-2"/>
                <w:sz w:val="20"/>
              </w:rPr>
              <w:t>и/или</w:t>
            </w:r>
          </w:p>
        </w:tc>
      </w:tr>
      <w:tr>
        <w:trPr>
          <w:trHeight w:val="27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19"/>
              <w:ind w:left="114"/>
              <w:rPr>
                <w:sz w:val="20"/>
              </w:rPr>
            </w:pPr>
            <w:r>
              <w:rPr>
                <w:spacing w:val="-2"/>
                <w:sz w:val="20"/>
              </w:rPr>
              <w:t>Ингибиторы</w:t>
            </w:r>
            <w:r>
              <w:rPr>
                <w:spacing w:val="13"/>
                <w:sz w:val="20"/>
              </w:rPr>
              <w:t> </w:t>
            </w:r>
            <w:r>
              <w:rPr>
                <w:spacing w:val="-2"/>
                <w:sz w:val="20"/>
              </w:rPr>
              <w:t>IL-6/рецептора</w:t>
            </w:r>
            <w:r>
              <w:rPr>
                <w:spacing w:val="13"/>
                <w:sz w:val="20"/>
              </w:rPr>
              <w:t> </w:t>
            </w:r>
            <w:r>
              <w:rPr>
                <w:spacing w:val="-2"/>
                <w:sz w:val="20"/>
              </w:rPr>
              <w:t>IL-</w:t>
            </w:r>
            <w:r>
              <w:rPr>
                <w:spacing w:val="-10"/>
                <w:sz w:val="20"/>
              </w:rPr>
              <w:t>6</w:t>
            </w:r>
          </w:p>
        </w:tc>
      </w:tr>
      <w:tr>
        <w:trPr>
          <w:trHeight w:val="47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120"/>
              <w:ind w:left="114"/>
              <w:rPr>
                <w:sz w:val="20"/>
              </w:rPr>
            </w:pPr>
            <w:r>
              <w:rPr>
                <w:spacing w:val="-2"/>
                <w:sz w:val="20"/>
              </w:rPr>
              <w:t>Левилимаб</w:t>
            </w:r>
          </w:p>
        </w:tc>
        <w:tc>
          <w:tcPr>
            <w:tcW w:w="9502" w:type="dxa"/>
          </w:tcPr>
          <w:p>
            <w:pPr>
              <w:pStyle w:val="TableParagraph"/>
              <w:spacing w:before="5"/>
              <w:ind w:left="109"/>
              <w:rPr>
                <w:sz w:val="20"/>
              </w:rPr>
            </w:pPr>
            <w:r>
              <w:rPr>
                <w:sz w:val="20"/>
              </w:rPr>
              <w:t>324</w:t>
            </w:r>
            <w:r>
              <w:rPr>
                <w:spacing w:val="-6"/>
                <w:sz w:val="20"/>
              </w:rPr>
              <w:t> </w:t>
            </w:r>
            <w:r>
              <w:rPr>
                <w:sz w:val="20"/>
              </w:rPr>
              <w:t>мг</w:t>
            </w:r>
            <w:r>
              <w:rPr>
                <w:spacing w:val="-9"/>
                <w:sz w:val="20"/>
              </w:rPr>
              <w:t> </w:t>
            </w:r>
            <w:r>
              <w:rPr>
                <w:sz w:val="20"/>
              </w:rPr>
              <w:t>(два</w:t>
            </w:r>
            <w:r>
              <w:rPr>
                <w:spacing w:val="-7"/>
                <w:sz w:val="20"/>
              </w:rPr>
              <w:t> </w:t>
            </w:r>
            <w:r>
              <w:rPr>
                <w:sz w:val="20"/>
              </w:rPr>
              <w:t>преднаполненных</w:t>
            </w:r>
            <w:r>
              <w:rPr>
                <w:spacing w:val="-6"/>
                <w:sz w:val="20"/>
              </w:rPr>
              <w:t> </w:t>
            </w:r>
            <w:r>
              <w:rPr>
                <w:sz w:val="20"/>
              </w:rPr>
              <w:t>шприца</w:t>
            </w:r>
            <w:r>
              <w:rPr>
                <w:spacing w:val="-5"/>
                <w:sz w:val="20"/>
              </w:rPr>
              <w:t> </w:t>
            </w:r>
            <w:r>
              <w:rPr>
                <w:sz w:val="20"/>
              </w:rPr>
              <w:t>по</w:t>
            </w:r>
            <w:r>
              <w:rPr>
                <w:spacing w:val="-5"/>
                <w:sz w:val="20"/>
              </w:rPr>
              <w:t> </w:t>
            </w:r>
            <w:r>
              <w:rPr>
                <w:sz w:val="20"/>
              </w:rPr>
              <w:t>162</w:t>
            </w:r>
            <w:r>
              <w:rPr>
                <w:spacing w:val="-6"/>
                <w:sz w:val="20"/>
              </w:rPr>
              <w:t> </w:t>
            </w:r>
            <w:r>
              <w:rPr>
                <w:sz w:val="20"/>
              </w:rPr>
              <w:t>мг/0,9</w:t>
            </w:r>
            <w:r>
              <w:rPr>
                <w:spacing w:val="-6"/>
                <w:sz w:val="20"/>
              </w:rPr>
              <w:t> </w:t>
            </w:r>
            <w:r>
              <w:rPr>
                <w:sz w:val="20"/>
              </w:rPr>
              <w:t>мл)</w:t>
            </w:r>
            <w:r>
              <w:rPr>
                <w:spacing w:val="-8"/>
                <w:sz w:val="20"/>
              </w:rPr>
              <w:t> </w:t>
            </w:r>
            <w:r>
              <w:rPr>
                <w:sz w:val="20"/>
              </w:rPr>
              <w:t>подкожно</w:t>
            </w:r>
            <w:r>
              <w:rPr>
                <w:spacing w:val="-6"/>
                <w:sz w:val="20"/>
              </w:rPr>
              <w:t> </w:t>
            </w:r>
            <w:r>
              <w:rPr>
                <w:spacing w:val="-2"/>
                <w:sz w:val="20"/>
              </w:rPr>
              <w:t>однократно.</w:t>
            </w:r>
          </w:p>
          <w:p>
            <w:pPr>
              <w:pStyle w:val="TableParagraph"/>
              <w:spacing w:line="220" w:lineRule="exact"/>
              <w:ind w:left="109"/>
              <w:rPr>
                <w:sz w:val="20"/>
              </w:rPr>
            </w:pPr>
            <w:r>
              <w:rPr>
                <w:sz w:val="20"/>
              </w:rPr>
              <w:t>При</w:t>
            </w:r>
            <w:r>
              <w:rPr>
                <w:spacing w:val="-11"/>
                <w:sz w:val="20"/>
              </w:rPr>
              <w:t> </w:t>
            </w:r>
            <w:r>
              <w:rPr>
                <w:sz w:val="20"/>
              </w:rPr>
              <w:t>недостаточном</w:t>
            </w:r>
            <w:r>
              <w:rPr>
                <w:spacing w:val="-8"/>
                <w:sz w:val="20"/>
              </w:rPr>
              <w:t> </w:t>
            </w:r>
            <w:r>
              <w:rPr>
                <w:sz w:val="20"/>
              </w:rPr>
              <w:t>эффекте</w:t>
            </w:r>
            <w:r>
              <w:rPr>
                <w:spacing w:val="-8"/>
                <w:sz w:val="20"/>
              </w:rPr>
              <w:t> </w:t>
            </w:r>
            <w:r>
              <w:rPr>
                <w:sz w:val="20"/>
              </w:rPr>
              <w:t>повторить</w:t>
            </w:r>
            <w:r>
              <w:rPr>
                <w:spacing w:val="-6"/>
                <w:sz w:val="20"/>
              </w:rPr>
              <w:t> </w:t>
            </w:r>
            <w:r>
              <w:rPr>
                <w:sz w:val="20"/>
              </w:rPr>
              <w:t>введение</w:t>
            </w:r>
            <w:r>
              <w:rPr>
                <w:spacing w:val="-8"/>
                <w:sz w:val="20"/>
              </w:rPr>
              <w:t> </w:t>
            </w:r>
            <w:r>
              <w:rPr>
                <w:sz w:val="20"/>
              </w:rPr>
              <w:t>подкожно/внутривенно</w:t>
            </w:r>
            <w:r>
              <w:rPr>
                <w:spacing w:val="-8"/>
                <w:sz w:val="20"/>
              </w:rPr>
              <w:t> </w:t>
            </w:r>
            <w:r>
              <w:rPr>
                <w:sz w:val="20"/>
              </w:rPr>
              <w:t>через</w:t>
            </w:r>
            <w:r>
              <w:rPr>
                <w:spacing w:val="-9"/>
                <w:sz w:val="20"/>
              </w:rPr>
              <w:t> </w:t>
            </w:r>
            <w:r>
              <w:rPr>
                <w:sz w:val="20"/>
              </w:rPr>
              <w:t>24</w:t>
            </w:r>
            <w:r>
              <w:rPr>
                <w:spacing w:val="-9"/>
                <w:sz w:val="20"/>
              </w:rPr>
              <w:t> </w:t>
            </w:r>
            <w:r>
              <w:rPr>
                <w:spacing w:val="-4"/>
                <w:sz w:val="20"/>
              </w:rPr>
              <w:t>часа</w:t>
            </w:r>
          </w:p>
        </w:tc>
      </w:tr>
      <w:tr>
        <w:trPr>
          <w:trHeight w:val="27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19"/>
              <w:ind w:left="114"/>
              <w:rPr>
                <w:sz w:val="20"/>
              </w:rPr>
            </w:pPr>
            <w:r>
              <w:rPr>
                <w:spacing w:val="-5"/>
                <w:sz w:val="20"/>
              </w:rPr>
              <w:t>или</w:t>
            </w:r>
          </w:p>
        </w:tc>
      </w:tr>
      <w:tr>
        <w:trPr>
          <w:trHeight w:val="73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19"/>
              <w:rPr>
                <w:sz w:val="20"/>
              </w:rPr>
            </w:pPr>
          </w:p>
          <w:p>
            <w:pPr>
              <w:pStyle w:val="TableParagraph"/>
              <w:ind w:left="114"/>
              <w:rPr>
                <w:sz w:val="20"/>
              </w:rPr>
            </w:pPr>
            <w:r>
              <w:rPr>
                <w:spacing w:val="-2"/>
                <w:sz w:val="20"/>
              </w:rPr>
              <w:t>Олокизумаб</w:t>
            </w:r>
          </w:p>
        </w:tc>
        <w:tc>
          <w:tcPr>
            <w:tcW w:w="9502" w:type="dxa"/>
          </w:tcPr>
          <w:p>
            <w:pPr>
              <w:pStyle w:val="TableParagraph"/>
              <w:spacing w:before="4"/>
              <w:ind w:left="109"/>
              <w:rPr>
                <w:sz w:val="20"/>
              </w:rPr>
            </w:pPr>
            <w:r>
              <w:rPr>
                <w:sz w:val="20"/>
              </w:rPr>
              <w:t>64</w:t>
            </w:r>
            <w:r>
              <w:rPr>
                <w:spacing w:val="-3"/>
                <w:sz w:val="20"/>
              </w:rPr>
              <w:t> </w:t>
            </w:r>
            <w:r>
              <w:rPr>
                <w:sz w:val="20"/>
              </w:rPr>
              <w:t>мг</w:t>
            </w:r>
            <w:r>
              <w:rPr>
                <w:spacing w:val="-4"/>
                <w:sz w:val="20"/>
              </w:rPr>
              <w:t> </w:t>
            </w:r>
            <w:r>
              <w:rPr>
                <w:sz w:val="20"/>
              </w:rPr>
              <w:t>(1</w:t>
            </w:r>
            <w:r>
              <w:rPr>
                <w:spacing w:val="-2"/>
                <w:sz w:val="20"/>
              </w:rPr>
              <w:t> </w:t>
            </w:r>
            <w:r>
              <w:rPr>
                <w:sz w:val="20"/>
              </w:rPr>
              <w:t>флакон</w:t>
            </w:r>
            <w:r>
              <w:rPr>
                <w:spacing w:val="-4"/>
                <w:sz w:val="20"/>
              </w:rPr>
              <w:t> </w:t>
            </w:r>
            <w:r>
              <w:rPr>
                <w:sz w:val="20"/>
              </w:rPr>
              <w:t>160</w:t>
            </w:r>
            <w:r>
              <w:rPr>
                <w:spacing w:val="-2"/>
                <w:sz w:val="20"/>
              </w:rPr>
              <w:t> </w:t>
            </w:r>
            <w:r>
              <w:rPr>
                <w:sz w:val="20"/>
              </w:rPr>
              <w:t>мг/мл,</w:t>
            </w:r>
            <w:r>
              <w:rPr>
                <w:spacing w:val="-3"/>
                <w:sz w:val="20"/>
              </w:rPr>
              <w:t> </w:t>
            </w:r>
            <w:r>
              <w:rPr>
                <w:sz w:val="20"/>
              </w:rPr>
              <w:t>0,4</w:t>
            </w:r>
            <w:r>
              <w:rPr>
                <w:spacing w:val="-2"/>
                <w:sz w:val="20"/>
              </w:rPr>
              <w:t> </w:t>
            </w:r>
            <w:r>
              <w:rPr>
                <w:sz w:val="20"/>
              </w:rPr>
              <w:t>мл)</w:t>
            </w:r>
            <w:r>
              <w:rPr>
                <w:spacing w:val="-3"/>
                <w:sz w:val="20"/>
              </w:rPr>
              <w:t> </w:t>
            </w:r>
            <w:r>
              <w:rPr>
                <w:spacing w:val="-2"/>
                <w:sz w:val="20"/>
              </w:rPr>
              <w:t>подкожно.</w:t>
            </w:r>
          </w:p>
          <w:p>
            <w:pPr>
              <w:pStyle w:val="TableParagraph"/>
              <w:spacing w:line="240" w:lineRule="atLeast"/>
              <w:ind w:left="109" w:right="2191"/>
              <w:rPr>
                <w:sz w:val="20"/>
              </w:rPr>
            </w:pPr>
            <w:r>
              <w:rPr>
                <w:sz w:val="20"/>
              </w:rPr>
              <w:t>При</w:t>
            </w:r>
            <w:r>
              <w:rPr>
                <w:spacing w:val="-8"/>
                <w:sz w:val="20"/>
              </w:rPr>
              <w:t> </w:t>
            </w:r>
            <w:r>
              <w:rPr>
                <w:sz w:val="20"/>
              </w:rPr>
              <w:t>недостаточном</w:t>
            </w:r>
            <w:r>
              <w:rPr>
                <w:spacing w:val="-6"/>
                <w:sz w:val="20"/>
              </w:rPr>
              <w:t> </w:t>
            </w:r>
            <w:r>
              <w:rPr>
                <w:sz w:val="20"/>
              </w:rPr>
              <w:t>эффекте</w:t>
            </w:r>
            <w:r>
              <w:rPr>
                <w:spacing w:val="-5"/>
                <w:sz w:val="20"/>
              </w:rPr>
              <w:t> </w:t>
            </w:r>
            <w:r>
              <w:rPr>
                <w:sz w:val="20"/>
              </w:rPr>
              <w:t>повторить</w:t>
            </w:r>
            <w:r>
              <w:rPr>
                <w:spacing w:val="-7"/>
                <w:sz w:val="20"/>
              </w:rPr>
              <w:t> </w:t>
            </w:r>
            <w:r>
              <w:rPr>
                <w:sz w:val="20"/>
              </w:rPr>
              <w:t>введение</w:t>
            </w:r>
            <w:r>
              <w:rPr>
                <w:spacing w:val="-5"/>
                <w:sz w:val="20"/>
              </w:rPr>
              <w:t> </w:t>
            </w:r>
            <w:r>
              <w:rPr>
                <w:sz w:val="20"/>
              </w:rPr>
              <w:t>внутривенно</w:t>
            </w:r>
            <w:r>
              <w:rPr>
                <w:spacing w:val="-6"/>
                <w:sz w:val="20"/>
              </w:rPr>
              <w:t> </w:t>
            </w:r>
            <w:r>
              <w:rPr>
                <w:sz w:val="20"/>
              </w:rPr>
              <w:t>через</w:t>
            </w:r>
            <w:r>
              <w:rPr>
                <w:spacing w:val="-7"/>
                <w:sz w:val="20"/>
              </w:rPr>
              <w:t> </w:t>
            </w:r>
            <w:r>
              <w:rPr>
                <w:sz w:val="20"/>
              </w:rPr>
              <w:t>24</w:t>
            </w:r>
            <w:r>
              <w:rPr>
                <w:spacing w:val="-9"/>
                <w:sz w:val="20"/>
              </w:rPr>
              <w:t> </w:t>
            </w:r>
            <w:r>
              <w:rPr>
                <w:sz w:val="20"/>
              </w:rPr>
              <w:t>часа. Суммарно вводить не более 256 мг.</w:t>
            </w:r>
          </w:p>
        </w:tc>
      </w:tr>
      <w:tr>
        <w:trPr>
          <w:trHeight w:val="27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18"/>
              <w:ind w:left="114"/>
              <w:rPr>
                <w:sz w:val="20"/>
              </w:rPr>
            </w:pPr>
            <w:r>
              <w:rPr>
                <w:spacing w:val="-2"/>
                <w:sz w:val="20"/>
              </w:rPr>
              <w:t>и/или</w:t>
            </w:r>
          </w:p>
        </w:tc>
      </w:tr>
      <w:tr>
        <w:trPr>
          <w:trHeight w:val="27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17"/>
              <w:ind w:left="114"/>
              <w:rPr>
                <w:sz w:val="20"/>
              </w:rPr>
            </w:pPr>
            <w:r>
              <w:rPr>
                <w:sz w:val="20"/>
              </w:rPr>
              <w:t>Ингибиторы</w:t>
            </w:r>
            <w:r>
              <w:rPr>
                <w:spacing w:val="-12"/>
                <w:sz w:val="20"/>
              </w:rPr>
              <w:t> </w:t>
            </w:r>
            <w:r>
              <w:rPr>
                <w:sz w:val="20"/>
              </w:rPr>
              <w:t>рецептора</w:t>
            </w:r>
            <w:r>
              <w:rPr>
                <w:spacing w:val="-11"/>
                <w:sz w:val="20"/>
              </w:rPr>
              <w:t> </w:t>
            </w:r>
            <w:r>
              <w:rPr>
                <w:sz w:val="20"/>
              </w:rPr>
              <w:t>IL-</w:t>
            </w:r>
            <w:r>
              <w:rPr>
                <w:spacing w:val="-10"/>
                <w:sz w:val="20"/>
              </w:rPr>
              <w:t>1</w:t>
            </w:r>
          </w:p>
        </w:tc>
      </w:tr>
      <w:tr>
        <w:trPr>
          <w:trHeight w:val="27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17"/>
              <w:ind w:left="114"/>
              <w:rPr>
                <w:sz w:val="20"/>
              </w:rPr>
            </w:pPr>
            <w:r>
              <w:rPr>
                <w:spacing w:val="-5"/>
                <w:sz w:val="20"/>
              </w:rPr>
              <w:t>или</w:t>
            </w:r>
          </w:p>
        </w:tc>
      </w:tr>
      <w:tr>
        <w:trPr>
          <w:trHeight w:val="976"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137"/>
              <w:rPr>
                <w:sz w:val="20"/>
              </w:rPr>
            </w:pPr>
          </w:p>
          <w:p>
            <w:pPr>
              <w:pStyle w:val="TableParagraph"/>
              <w:ind w:left="114"/>
              <w:rPr>
                <w:sz w:val="20"/>
              </w:rPr>
            </w:pPr>
            <w:r>
              <w:rPr>
                <w:spacing w:val="-2"/>
                <w:sz w:val="20"/>
              </w:rPr>
              <w:t>Анакинра</w:t>
            </w:r>
          </w:p>
        </w:tc>
        <w:tc>
          <w:tcPr>
            <w:tcW w:w="9502" w:type="dxa"/>
          </w:tcPr>
          <w:p>
            <w:pPr>
              <w:pStyle w:val="TableParagraph"/>
              <w:spacing w:line="254" w:lineRule="auto" w:before="2"/>
              <w:ind w:left="109" w:right="5528"/>
              <w:rPr>
                <w:sz w:val="20"/>
              </w:rPr>
            </w:pPr>
            <w:r>
              <w:rPr>
                <w:sz w:val="20"/>
              </w:rPr>
              <w:t>200</w:t>
            </w:r>
            <w:r>
              <w:rPr>
                <w:spacing w:val="-8"/>
                <w:sz w:val="20"/>
              </w:rPr>
              <w:t> </w:t>
            </w:r>
            <w:r>
              <w:rPr>
                <w:sz w:val="20"/>
              </w:rPr>
              <w:t>мг</w:t>
            </w:r>
            <w:r>
              <w:rPr>
                <w:spacing w:val="-10"/>
                <w:sz w:val="20"/>
              </w:rPr>
              <w:t> </w:t>
            </w:r>
            <w:r>
              <w:rPr>
                <w:sz w:val="20"/>
              </w:rPr>
              <w:t>подкожно</w:t>
            </w:r>
            <w:r>
              <w:rPr>
                <w:spacing w:val="-7"/>
                <w:sz w:val="20"/>
              </w:rPr>
              <w:t> </w:t>
            </w:r>
            <w:r>
              <w:rPr>
                <w:sz w:val="20"/>
              </w:rPr>
              <w:t>–</w:t>
            </w:r>
            <w:r>
              <w:rPr>
                <w:spacing w:val="-8"/>
                <w:sz w:val="20"/>
              </w:rPr>
              <w:t> </w:t>
            </w:r>
            <w:r>
              <w:rPr>
                <w:sz w:val="20"/>
              </w:rPr>
              <w:t>однократное</w:t>
            </w:r>
            <w:r>
              <w:rPr>
                <w:spacing w:val="-9"/>
                <w:sz w:val="20"/>
              </w:rPr>
              <w:t> </w:t>
            </w:r>
            <w:r>
              <w:rPr>
                <w:sz w:val="20"/>
              </w:rPr>
              <w:t>введение; </w:t>
            </w:r>
            <w:r>
              <w:rPr>
                <w:spacing w:val="-4"/>
                <w:sz w:val="20"/>
              </w:rPr>
              <w:t>или</w:t>
            </w:r>
          </w:p>
          <w:p>
            <w:pPr>
              <w:pStyle w:val="TableParagraph"/>
              <w:spacing w:line="229" w:lineRule="exact"/>
              <w:ind w:left="109"/>
              <w:rPr>
                <w:sz w:val="20"/>
              </w:rPr>
            </w:pPr>
            <w:r>
              <w:rPr>
                <w:sz w:val="20"/>
              </w:rPr>
              <w:t>200</w:t>
            </w:r>
            <w:r>
              <w:rPr>
                <w:spacing w:val="-5"/>
                <w:sz w:val="20"/>
              </w:rPr>
              <w:t> </w:t>
            </w:r>
            <w:r>
              <w:rPr>
                <w:sz w:val="20"/>
              </w:rPr>
              <w:t>мг</w:t>
            </w:r>
            <w:r>
              <w:rPr>
                <w:spacing w:val="-7"/>
                <w:sz w:val="20"/>
              </w:rPr>
              <w:t> </w:t>
            </w:r>
            <w:r>
              <w:rPr>
                <w:sz w:val="20"/>
              </w:rPr>
              <w:t>каждые</w:t>
            </w:r>
            <w:r>
              <w:rPr>
                <w:spacing w:val="-5"/>
                <w:sz w:val="20"/>
              </w:rPr>
              <w:t> </w:t>
            </w:r>
            <w:r>
              <w:rPr>
                <w:sz w:val="20"/>
              </w:rPr>
              <w:t>12</w:t>
            </w:r>
            <w:r>
              <w:rPr>
                <w:spacing w:val="-5"/>
                <w:sz w:val="20"/>
              </w:rPr>
              <w:t> </w:t>
            </w:r>
            <w:r>
              <w:rPr>
                <w:sz w:val="20"/>
              </w:rPr>
              <w:t>часов</w:t>
            </w:r>
            <w:r>
              <w:rPr>
                <w:spacing w:val="-7"/>
                <w:sz w:val="20"/>
              </w:rPr>
              <w:t> </w:t>
            </w:r>
            <w:r>
              <w:rPr>
                <w:sz w:val="20"/>
              </w:rPr>
              <w:t>внутривенно</w:t>
            </w:r>
            <w:r>
              <w:rPr>
                <w:spacing w:val="-4"/>
                <w:sz w:val="20"/>
              </w:rPr>
              <w:t> </w:t>
            </w:r>
            <w:r>
              <w:rPr>
                <w:sz w:val="20"/>
              </w:rPr>
              <w:t>или</w:t>
            </w:r>
            <w:r>
              <w:rPr>
                <w:spacing w:val="-7"/>
                <w:sz w:val="20"/>
              </w:rPr>
              <w:t> </w:t>
            </w:r>
            <w:r>
              <w:rPr>
                <w:sz w:val="20"/>
              </w:rPr>
              <w:t>подкожно</w:t>
            </w:r>
            <w:r>
              <w:rPr>
                <w:spacing w:val="-5"/>
                <w:sz w:val="20"/>
              </w:rPr>
              <w:t> </w:t>
            </w:r>
            <w:r>
              <w:rPr>
                <w:sz w:val="20"/>
              </w:rPr>
              <w:t>(суммарная</w:t>
            </w:r>
            <w:r>
              <w:rPr>
                <w:spacing w:val="-6"/>
                <w:sz w:val="20"/>
              </w:rPr>
              <w:t> </w:t>
            </w:r>
            <w:r>
              <w:rPr>
                <w:sz w:val="20"/>
              </w:rPr>
              <w:t>доза</w:t>
            </w:r>
            <w:r>
              <w:rPr>
                <w:spacing w:val="-6"/>
                <w:sz w:val="20"/>
              </w:rPr>
              <w:t> </w:t>
            </w:r>
            <w:r>
              <w:rPr>
                <w:sz w:val="20"/>
              </w:rPr>
              <w:t>400</w:t>
            </w:r>
            <w:r>
              <w:rPr>
                <w:spacing w:val="-7"/>
                <w:sz w:val="20"/>
              </w:rPr>
              <w:t> </w:t>
            </w:r>
            <w:r>
              <w:rPr>
                <w:sz w:val="20"/>
              </w:rPr>
              <w:t>мг/сутки)</w:t>
            </w:r>
            <w:r>
              <w:rPr>
                <w:spacing w:val="-6"/>
                <w:sz w:val="20"/>
              </w:rPr>
              <w:t> </w:t>
            </w:r>
            <w:r>
              <w:rPr>
                <w:sz w:val="20"/>
              </w:rPr>
              <w:t>в</w:t>
            </w:r>
            <w:r>
              <w:rPr>
                <w:spacing w:val="-6"/>
                <w:sz w:val="20"/>
              </w:rPr>
              <w:t> </w:t>
            </w:r>
            <w:r>
              <w:rPr>
                <w:sz w:val="20"/>
              </w:rPr>
              <w:t>течение</w:t>
            </w:r>
            <w:r>
              <w:rPr>
                <w:spacing w:val="-6"/>
                <w:sz w:val="20"/>
              </w:rPr>
              <w:t> </w:t>
            </w:r>
            <w:r>
              <w:rPr>
                <w:sz w:val="20"/>
              </w:rPr>
              <w:t>одного</w:t>
            </w:r>
            <w:r>
              <w:rPr>
                <w:spacing w:val="-5"/>
                <w:sz w:val="20"/>
              </w:rPr>
              <w:t> </w:t>
            </w:r>
            <w:r>
              <w:rPr>
                <w:spacing w:val="-4"/>
                <w:sz w:val="20"/>
              </w:rPr>
              <w:t>дня.</w:t>
            </w:r>
          </w:p>
          <w:p>
            <w:pPr>
              <w:pStyle w:val="TableParagraph"/>
              <w:spacing w:line="222" w:lineRule="exact" w:before="15"/>
              <w:ind w:left="109"/>
              <w:rPr>
                <w:sz w:val="20"/>
              </w:rPr>
            </w:pPr>
            <w:r>
              <w:rPr>
                <w:sz w:val="20"/>
              </w:rPr>
              <w:t>Для</w:t>
            </w:r>
            <w:r>
              <w:rPr>
                <w:spacing w:val="-7"/>
                <w:sz w:val="20"/>
              </w:rPr>
              <w:t> </w:t>
            </w:r>
            <w:r>
              <w:rPr>
                <w:sz w:val="20"/>
              </w:rPr>
              <w:t>внутривенного</w:t>
            </w:r>
            <w:r>
              <w:rPr>
                <w:spacing w:val="-5"/>
                <w:sz w:val="20"/>
              </w:rPr>
              <w:t> </w:t>
            </w:r>
            <w:r>
              <w:rPr>
                <w:sz w:val="20"/>
              </w:rPr>
              <w:t>введения</w:t>
            </w:r>
            <w:r>
              <w:rPr>
                <w:spacing w:val="-7"/>
                <w:sz w:val="20"/>
              </w:rPr>
              <w:t> </w:t>
            </w:r>
            <w:r>
              <w:rPr>
                <w:sz w:val="20"/>
              </w:rPr>
              <w:t>100</w:t>
            </w:r>
            <w:r>
              <w:rPr>
                <w:spacing w:val="-5"/>
                <w:sz w:val="20"/>
              </w:rPr>
              <w:t> </w:t>
            </w:r>
            <w:r>
              <w:rPr>
                <w:sz w:val="20"/>
              </w:rPr>
              <w:t>мг/0,67мл</w:t>
            </w:r>
            <w:r>
              <w:rPr>
                <w:spacing w:val="-3"/>
                <w:sz w:val="20"/>
              </w:rPr>
              <w:t> </w:t>
            </w:r>
            <w:r>
              <w:rPr>
                <w:sz w:val="20"/>
              </w:rPr>
              <w:t>анакинры</w:t>
            </w:r>
            <w:r>
              <w:rPr>
                <w:spacing w:val="-5"/>
                <w:sz w:val="20"/>
              </w:rPr>
              <w:t> </w:t>
            </w:r>
            <w:r>
              <w:rPr>
                <w:sz w:val="20"/>
              </w:rPr>
              <w:t>разводятся</w:t>
            </w:r>
            <w:r>
              <w:rPr>
                <w:spacing w:val="-4"/>
                <w:sz w:val="20"/>
              </w:rPr>
              <w:t> </w:t>
            </w:r>
            <w:r>
              <w:rPr>
                <w:sz w:val="20"/>
              </w:rPr>
              <w:t>в</w:t>
            </w:r>
            <w:r>
              <w:rPr>
                <w:spacing w:val="-7"/>
                <w:sz w:val="20"/>
              </w:rPr>
              <w:t> </w:t>
            </w:r>
            <w:r>
              <w:rPr>
                <w:sz w:val="20"/>
              </w:rPr>
              <w:t>100</w:t>
            </w:r>
            <w:r>
              <w:rPr>
                <w:spacing w:val="-4"/>
                <w:sz w:val="20"/>
              </w:rPr>
              <w:t> </w:t>
            </w:r>
            <w:r>
              <w:rPr>
                <w:sz w:val="20"/>
              </w:rPr>
              <w:t>мл</w:t>
            </w:r>
            <w:r>
              <w:rPr>
                <w:spacing w:val="-7"/>
                <w:sz w:val="20"/>
              </w:rPr>
              <w:t> </w:t>
            </w:r>
            <w:r>
              <w:rPr>
                <w:sz w:val="20"/>
              </w:rPr>
              <w:t>0,9%</w:t>
            </w:r>
            <w:r>
              <w:rPr>
                <w:spacing w:val="-3"/>
                <w:sz w:val="20"/>
              </w:rPr>
              <w:t> </w:t>
            </w:r>
            <w:r>
              <w:rPr>
                <w:sz w:val="20"/>
              </w:rPr>
              <w:t>раствора</w:t>
            </w:r>
            <w:r>
              <w:rPr>
                <w:spacing w:val="-6"/>
                <w:sz w:val="20"/>
              </w:rPr>
              <w:t> </w:t>
            </w:r>
            <w:r>
              <w:rPr>
                <w:spacing w:val="-2"/>
                <w:sz w:val="20"/>
              </w:rPr>
              <w:t>NaCl.</w:t>
            </w:r>
          </w:p>
        </w:tc>
      </w:tr>
    </w:tbl>
    <w:p>
      <w:pPr>
        <w:spacing w:before="167"/>
        <w:ind w:left="0" w:right="15" w:firstLine="0"/>
        <w:jc w:val="center"/>
        <w:rPr>
          <w:rFonts w:ascii="Calibri"/>
          <w:sz w:val="22"/>
        </w:rPr>
      </w:pPr>
      <w:r>
        <w:rPr>
          <w:rFonts w:ascii="Calibri"/>
          <w:spacing w:val="-5"/>
          <w:sz w:val="22"/>
        </w:rPr>
        <w:t>214</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31"/>
        <w:gridCol w:w="447"/>
        <w:gridCol w:w="3664"/>
        <w:gridCol w:w="9502"/>
      </w:tblGrid>
      <w:tr>
        <w:trPr>
          <w:trHeight w:val="726" w:hRule="atLeast"/>
        </w:trPr>
        <w:tc>
          <w:tcPr>
            <w:tcW w:w="1131" w:type="dxa"/>
          </w:tcPr>
          <w:p>
            <w:pPr>
              <w:pStyle w:val="TableParagraph"/>
              <w:rPr>
                <w:sz w:val="18"/>
              </w:rPr>
            </w:pPr>
          </w:p>
        </w:tc>
        <w:tc>
          <w:tcPr>
            <w:tcW w:w="447" w:type="dxa"/>
          </w:tcPr>
          <w:p>
            <w:pPr>
              <w:pStyle w:val="TableParagraph"/>
              <w:spacing w:before="10"/>
              <w:ind w:left="112"/>
              <w:rPr>
                <w:sz w:val="20"/>
              </w:rPr>
            </w:pPr>
            <w:bookmarkStart w:name="216" w:id="258"/>
            <w:bookmarkEnd w:id="258"/>
            <w:r>
              <w:rPr/>
            </w:r>
            <w:r>
              <w:rPr>
                <w:spacing w:val="-10"/>
                <w:sz w:val="20"/>
              </w:rPr>
              <w:t>3</w:t>
            </w:r>
          </w:p>
        </w:tc>
        <w:tc>
          <w:tcPr>
            <w:tcW w:w="13166" w:type="dxa"/>
            <w:gridSpan w:val="2"/>
          </w:tcPr>
          <w:p>
            <w:pPr>
              <w:pStyle w:val="TableParagraph"/>
              <w:spacing w:before="10"/>
              <w:ind w:left="114"/>
              <w:rPr>
                <w:sz w:val="21"/>
              </w:rPr>
            </w:pPr>
            <w:r>
              <w:rPr>
                <w:sz w:val="20"/>
              </w:rPr>
              <w:t>Антикоагулянтный</w:t>
            </w:r>
            <w:r>
              <w:rPr>
                <w:spacing w:val="-6"/>
                <w:sz w:val="20"/>
              </w:rPr>
              <w:t> </w:t>
            </w:r>
            <w:r>
              <w:rPr>
                <w:sz w:val="20"/>
              </w:rPr>
              <w:t>препарат</w:t>
            </w:r>
            <w:r>
              <w:rPr>
                <w:spacing w:val="-6"/>
                <w:sz w:val="20"/>
              </w:rPr>
              <w:t> </w:t>
            </w:r>
            <w:r>
              <w:rPr>
                <w:sz w:val="20"/>
              </w:rPr>
              <w:t>для</w:t>
            </w:r>
            <w:r>
              <w:rPr>
                <w:spacing w:val="-6"/>
                <w:sz w:val="20"/>
              </w:rPr>
              <w:t> </w:t>
            </w:r>
            <w:r>
              <w:rPr>
                <w:sz w:val="20"/>
              </w:rPr>
              <w:t>парентерального</w:t>
            </w:r>
            <w:r>
              <w:rPr>
                <w:spacing w:val="-4"/>
                <w:sz w:val="20"/>
              </w:rPr>
              <w:t> </w:t>
            </w:r>
            <w:r>
              <w:rPr>
                <w:sz w:val="20"/>
              </w:rPr>
              <w:t>введения</w:t>
            </w:r>
            <w:r>
              <w:rPr>
                <w:spacing w:val="-6"/>
                <w:sz w:val="20"/>
              </w:rPr>
              <w:t> </w:t>
            </w:r>
            <w:r>
              <w:rPr>
                <w:sz w:val="20"/>
              </w:rPr>
              <w:t>в</w:t>
            </w:r>
            <w:r>
              <w:rPr>
                <w:spacing w:val="-6"/>
                <w:sz w:val="20"/>
              </w:rPr>
              <w:t> </w:t>
            </w:r>
            <w:r>
              <w:rPr>
                <w:sz w:val="20"/>
              </w:rPr>
              <w:t>профилактической</w:t>
            </w:r>
            <w:r>
              <w:rPr>
                <w:spacing w:val="-6"/>
                <w:sz w:val="20"/>
              </w:rPr>
              <w:t> </w:t>
            </w:r>
            <w:r>
              <w:rPr>
                <w:sz w:val="20"/>
              </w:rPr>
              <w:t>дозе или</w:t>
            </w:r>
            <w:r>
              <w:rPr>
                <w:spacing w:val="-6"/>
                <w:sz w:val="20"/>
              </w:rPr>
              <w:t> </w:t>
            </w:r>
            <w:r>
              <w:rPr>
                <w:sz w:val="21"/>
              </w:rPr>
              <w:t>тедиксабан</w:t>
            </w:r>
            <w:r>
              <w:rPr>
                <w:spacing w:val="-5"/>
                <w:sz w:val="21"/>
              </w:rPr>
              <w:t> </w:t>
            </w:r>
            <w:r>
              <w:rPr>
                <w:sz w:val="21"/>
              </w:rPr>
              <w:t>(N-(5-Хлорпиридин-2-ил)-5-метил-2-(4-(N- метилацетимидамидо)бензамидо)бензамида гидрохлорид)</w:t>
            </w:r>
          </w:p>
          <w:p>
            <w:pPr>
              <w:pStyle w:val="TableParagraph"/>
              <w:spacing w:line="214" w:lineRule="exact"/>
              <w:ind w:left="114"/>
              <w:rPr>
                <w:sz w:val="20"/>
              </w:rPr>
            </w:pPr>
            <w:r>
              <w:rPr>
                <w:sz w:val="20"/>
              </w:rPr>
              <w:t>см.</w:t>
            </w:r>
            <w:r>
              <w:rPr>
                <w:spacing w:val="-9"/>
                <w:sz w:val="20"/>
              </w:rPr>
              <w:t> </w:t>
            </w:r>
            <w:r>
              <w:rPr>
                <w:sz w:val="20"/>
              </w:rPr>
              <w:t>Приложение</w:t>
            </w:r>
            <w:r>
              <w:rPr>
                <w:spacing w:val="-8"/>
                <w:sz w:val="20"/>
              </w:rPr>
              <w:t> </w:t>
            </w:r>
            <w:r>
              <w:rPr>
                <w:sz w:val="20"/>
              </w:rPr>
              <w:t>7-</w:t>
            </w:r>
            <w:r>
              <w:rPr>
                <w:spacing w:val="-10"/>
                <w:sz w:val="20"/>
              </w:rPr>
              <w:t>1</w:t>
            </w:r>
          </w:p>
        </w:tc>
      </w:tr>
      <w:tr>
        <w:trPr>
          <w:trHeight w:val="1708" w:hRule="atLeast"/>
        </w:trPr>
        <w:tc>
          <w:tcPr>
            <w:tcW w:w="14744" w:type="dxa"/>
            <w:gridSpan w:val="4"/>
            <w:shd w:val="clear" w:color="auto" w:fill="9CC2E4"/>
          </w:tcPr>
          <w:p>
            <w:pPr>
              <w:pStyle w:val="TableParagraph"/>
              <w:spacing w:before="9"/>
              <w:ind w:left="6291"/>
              <w:rPr>
                <w:b/>
                <w:sz w:val="20"/>
              </w:rPr>
            </w:pPr>
            <w:r>
              <w:rPr>
                <w:b/>
                <w:spacing w:val="-2"/>
                <w:sz w:val="20"/>
              </w:rPr>
              <w:t>Среднетяжелое</w:t>
            </w:r>
            <w:r>
              <w:rPr>
                <w:b/>
                <w:spacing w:val="8"/>
                <w:sz w:val="20"/>
              </w:rPr>
              <w:t> </w:t>
            </w:r>
            <w:r>
              <w:rPr>
                <w:b/>
                <w:spacing w:val="-2"/>
                <w:sz w:val="20"/>
              </w:rPr>
              <w:t>течение</w:t>
            </w:r>
          </w:p>
          <w:p>
            <w:pPr>
              <w:pStyle w:val="TableParagraph"/>
              <w:spacing w:before="14"/>
              <w:ind w:left="116"/>
              <w:rPr>
                <w:b/>
                <w:sz w:val="20"/>
              </w:rPr>
            </w:pPr>
            <w:r>
              <w:rPr>
                <w:b/>
                <w:sz w:val="20"/>
              </w:rPr>
              <w:t>При</w:t>
            </w:r>
            <w:r>
              <w:rPr>
                <w:b/>
                <w:spacing w:val="-7"/>
                <w:sz w:val="20"/>
              </w:rPr>
              <w:t> </w:t>
            </w:r>
            <w:r>
              <w:rPr>
                <w:b/>
                <w:sz w:val="20"/>
              </w:rPr>
              <w:t>наличии</w:t>
            </w:r>
            <w:r>
              <w:rPr>
                <w:b/>
                <w:spacing w:val="-7"/>
                <w:sz w:val="20"/>
              </w:rPr>
              <w:t> </w:t>
            </w:r>
            <w:r>
              <w:rPr>
                <w:b/>
                <w:sz w:val="20"/>
              </w:rPr>
              <w:t>изменений</w:t>
            </w:r>
            <w:r>
              <w:rPr>
                <w:b/>
                <w:spacing w:val="-6"/>
                <w:sz w:val="20"/>
              </w:rPr>
              <w:t> </w:t>
            </w:r>
            <w:r>
              <w:rPr>
                <w:b/>
                <w:sz w:val="20"/>
              </w:rPr>
              <w:t>в</w:t>
            </w:r>
            <w:r>
              <w:rPr>
                <w:b/>
                <w:spacing w:val="-8"/>
                <w:sz w:val="20"/>
              </w:rPr>
              <w:t> </w:t>
            </w:r>
            <w:r>
              <w:rPr>
                <w:b/>
                <w:sz w:val="20"/>
              </w:rPr>
              <w:t>легких</w:t>
            </w:r>
            <w:r>
              <w:rPr>
                <w:b/>
                <w:spacing w:val="-6"/>
                <w:sz w:val="20"/>
              </w:rPr>
              <w:t> </w:t>
            </w:r>
            <w:r>
              <w:rPr>
                <w:b/>
                <w:sz w:val="20"/>
              </w:rPr>
              <w:t>и/или</w:t>
            </w:r>
            <w:r>
              <w:rPr>
                <w:b/>
                <w:spacing w:val="-7"/>
                <w:sz w:val="20"/>
              </w:rPr>
              <w:t> </w:t>
            </w:r>
            <w:r>
              <w:rPr>
                <w:b/>
                <w:sz w:val="20"/>
              </w:rPr>
              <w:t>факторов</w:t>
            </w:r>
            <w:r>
              <w:rPr>
                <w:b/>
                <w:spacing w:val="-6"/>
                <w:sz w:val="20"/>
              </w:rPr>
              <w:t> </w:t>
            </w:r>
            <w:r>
              <w:rPr>
                <w:b/>
                <w:sz w:val="20"/>
              </w:rPr>
              <w:t>риска</w:t>
            </w:r>
            <w:r>
              <w:rPr>
                <w:b/>
                <w:spacing w:val="-6"/>
                <w:sz w:val="20"/>
              </w:rPr>
              <w:t> </w:t>
            </w:r>
            <w:r>
              <w:rPr>
                <w:b/>
                <w:sz w:val="20"/>
              </w:rPr>
              <w:t>прогрессии</w:t>
            </w:r>
            <w:r>
              <w:rPr>
                <w:b/>
                <w:spacing w:val="-5"/>
                <w:sz w:val="20"/>
              </w:rPr>
              <w:t> </w:t>
            </w:r>
            <w:r>
              <w:rPr>
                <w:b/>
                <w:sz w:val="20"/>
              </w:rPr>
              <w:t>заболевания</w:t>
            </w:r>
            <w:r>
              <w:rPr>
                <w:b/>
                <w:spacing w:val="-4"/>
                <w:sz w:val="20"/>
              </w:rPr>
              <w:t> </w:t>
            </w:r>
            <w:r>
              <w:rPr>
                <w:b/>
                <w:sz w:val="20"/>
              </w:rPr>
              <w:t>в</w:t>
            </w:r>
            <w:r>
              <w:rPr>
                <w:b/>
                <w:spacing w:val="-7"/>
                <w:sz w:val="20"/>
              </w:rPr>
              <w:t> </w:t>
            </w:r>
            <w:r>
              <w:rPr>
                <w:b/>
                <w:sz w:val="20"/>
              </w:rPr>
              <w:t>сочетании</w:t>
            </w:r>
            <w:r>
              <w:rPr>
                <w:b/>
                <w:spacing w:val="-7"/>
                <w:sz w:val="20"/>
              </w:rPr>
              <w:t> </w:t>
            </w:r>
            <w:r>
              <w:rPr>
                <w:b/>
                <w:sz w:val="20"/>
              </w:rPr>
              <w:t>с</w:t>
            </w:r>
            <w:r>
              <w:rPr>
                <w:b/>
                <w:spacing w:val="-6"/>
                <w:sz w:val="20"/>
              </w:rPr>
              <w:t> </w:t>
            </w:r>
            <w:r>
              <w:rPr>
                <w:b/>
                <w:sz w:val="20"/>
              </w:rPr>
              <w:t>двумя</w:t>
            </w:r>
            <w:r>
              <w:rPr>
                <w:b/>
                <w:spacing w:val="-7"/>
                <w:sz w:val="20"/>
              </w:rPr>
              <w:t> </w:t>
            </w:r>
            <w:r>
              <w:rPr>
                <w:b/>
                <w:sz w:val="20"/>
              </w:rPr>
              <w:t>и</w:t>
            </w:r>
            <w:r>
              <w:rPr>
                <w:b/>
                <w:spacing w:val="-6"/>
                <w:sz w:val="20"/>
              </w:rPr>
              <w:t> </w:t>
            </w:r>
            <w:r>
              <w:rPr>
                <w:b/>
                <w:sz w:val="20"/>
              </w:rPr>
              <w:t>более</w:t>
            </w:r>
            <w:r>
              <w:rPr>
                <w:b/>
                <w:spacing w:val="-7"/>
                <w:sz w:val="20"/>
              </w:rPr>
              <w:t> </w:t>
            </w:r>
            <w:r>
              <w:rPr>
                <w:b/>
                <w:spacing w:val="-2"/>
                <w:sz w:val="20"/>
              </w:rPr>
              <w:t>признаками:</w:t>
            </w:r>
          </w:p>
          <w:p>
            <w:pPr>
              <w:pStyle w:val="TableParagraph"/>
              <w:numPr>
                <w:ilvl w:val="0"/>
                <w:numId w:val="117"/>
              </w:numPr>
              <w:tabs>
                <w:tab w:pos="235" w:val="left" w:leader="none"/>
              </w:tabs>
              <w:spacing w:line="240" w:lineRule="auto" w:before="15" w:after="0"/>
              <w:ind w:left="235" w:right="0" w:hanging="119"/>
              <w:jc w:val="left"/>
              <w:rPr>
                <w:b/>
                <w:sz w:val="20"/>
              </w:rPr>
            </w:pPr>
            <w:r>
              <w:rPr>
                <w:b/>
                <w:sz w:val="20"/>
              </w:rPr>
              <w:t>SpO2</w:t>
            </w:r>
            <w:r>
              <w:rPr>
                <w:b/>
                <w:spacing w:val="-7"/>
                <w:sz w:val="20"/>
              </w:rPr>
              <w:t> </w:t>
            </w:r>
            <w:r>
              <w:rPr>
                <w:b/>
                <w:sz w:val="20"/>
              </w:rPr>
              <w:t>94-96%</w:t>
            </w:r>
            <w:r>
              <w:rPr>
                <w:b/>
                <w:spacing w:val="-7"/>
                <w:sz w:val="20"/>
              </w:rPr>
              <w:t> </w:t>
            </w:r>
            <w:r>
              <w:rPr>
                <w:b/>
                <w:sz w:val="20"/>
              </w:rPr>
              <w:t>одышка</w:t>
            </w:r>
            <w:r>
              <w:rPr>
                <w:b/>
                <w:spacing w:val="-7"/>
                <w:sz w:val="20"/>
              </w:rPr>
              <w:t> </w:t>
            </w:r>
            <w:r>
              <w:rPr>
                <w:b/>
                <w:sz w:val="20"/>
              </w:rPr>
              <w:t>при</w:t>
            </w:r>
            <w:r>
              <w:rPr>
                <w:b/>
                <w:spacing w:val="-7"/>
                <w:sz w:val="20"/>
              </w:rPr>
              <w:t> </w:t>
            </w:r>
            <w:r>
              <w:rPr>
                <w:b/>
                <w:sz w:val="20"/>
              </w:rPr>
              <w:t>физической</w:t>
            </w:r>
            <w:r>
              <w:rPr>
                <w:b/>
                <w:spacing w:val="-7"/>
                <w:sz w:val="20"/>
              </w:rPr>
              <w:t> </w:t>
            </w:r>
            <w:r>
              <w:rPr>
                <w:b/>
                <w:spacing w:val="-2"/>
                <w:sz w:val="20"/>
              </w:rPr>
              <w:t>нагрузке;</w:t>
            </w:r>
          </w:p>
          <w:p>
            <w:pPr>
              <w:pStyle w:val="TableParagraph"/>
              <w:numPr>
                <w:ilvl w:val="0"/>
                <w:numId w:val="117"/>
              </w:numPr>
              <w:tabs>
                <w:tab w:pos="235" w:val="left" w:leader="none"/>
              </w:tabs>
              <w:spacing w:line="240" w:lineRule="auto" w:before="12" w:after="0"/>
              <w:ind w:left="235" w:right="0" w:hanging="119"/>
              <w:jc w:val="left"/>
              <w:rPr>
                <w:b/>
                <w:sz w:val="20"/>
              </w:rPr>
            </w:pPr>
            <w:r>
              <w:rPr>
                <w:b/>
                <w:sz w:val="20"/>
              </w:rPr>
              <w:t>6N</w:t>
            </w:r>
            <w:r>
              <w:rPr>
                <w:b/>
                <w:spacing w:val="-3"/>
                <w:sz w:val="20"/>
              </w:rPr>
              <w:t> </w:t>
            </w:r>
            <w:r>
              <w:rPr>
                <w:b/>
                <w:sz w:val="20"/>
              </w:rPr>
              <w:t>≤</w:t>
            </w:r>
            <w:r>
              <w:rPr>
                <w:b/>
                <w:spacing w:val="-3"/>
                <w:sz w:val="20"/>
              </w:rPr>
              <w:t> </w:t>
            </w:r>
            <w:r>
              <w:rPr>
                <w:b/>
                <w:sz w:val="20"/>
              </w:rPr>
              <w:t>уровень</w:t>
            </w:r>
            <w:r>
              <w:rPr>
                <w:b/>
                <w:spacing w:val="-3"/>
                <w:sz w:val="20"/>
              </w:rPr>
              <w:t> </w:t>
            </w:r>
            <w:r>
              <w:rPr>
                <w:b/>
                <w:sz w:val="20"/>
              </w:rPr>
              <w:t>СРБ</w:t>
            </w:r>
            <w:r>
              <w:rPr>
                <w:b/>
                <w:spacing w:val="-3"/>
                <w:sz w:val="20"/>
              </w:rPr>
              <w:t> </w:t>
            </w:r>
            <w:r>
              <w:rPr>
                <w:b/>
                <w:sz w:val="20"/>
              </w:rPr>
              <w:t>&lt;</w:t>
            </w:r>
            <w:r>
              <w:rPr>
                <w:b/>
                <w:spacing w:val="-3"/>
                <w:sz w:val="20"/>
              </w:rPr>
              <w:t> </w:t>
            </w:r>
            <w:r>
              <w:rPr>
                <w:b/>
                <w:spacing w:val="-5"/>
                <w:sz w:val="20"/>
              </w:rPr>
              <w:t>9N;</w:t>
            </w:r>
          </w:p>
          <w:p>
            <w:pPr>
              <w:pStyle w:val="TableParagraph"/>
              <w:numPr>
                <w:ilvl w:val="0"/>
                <w:numId w:val="117"/>
              </w:numPr>
              <w:tabs>
                <w:tab w:pos="235" w:val="left" w:leader="none"/>
              </w:tabs>
              <w:spacing w:line="240" w:lineRule="auto" w:before="15" w:after="0"/>
              <w:ind w:left="235" w:right="0" w:hanging="119"/>
              <w:jc w:val="left"/>
              <w:rPr>
                <w:b/>
                <w:sz w:val="20"/>
              </w:rPr>
            </w:pPr>
            <w:r>
              <w:rPr>
                <w:b/>
                <w:sz w:val="20"/>
              </w:rPr>
              <w:t>температура</w:t>
            </w:r>
            <w:r>
              <w:rPr>
                <w:b/>
                <w:spacing w:val="-5"/>
                <w:sz w:val="20"/>
              </w:rPr>
              <w:t> </w:t>
            </w:r>
            <w:r>
              <w:rPr>
                <w:b/>
                <w:sz w:val="20"/>
              </w:rPr>
              <w:t>тела</w:t>
            </w:r>
            <w:r>
              <w:rPr>
                <w:b/>
                <w:spacing w:val="-3"/>
                <w:sz w:val="20"/>
              </w:rPr>
              <w:t> </w:t>
            </w:r>
            <w:r>
              <w:rPr>
                <w:b/>
                <w:sz w:val="20"/>
              </w:rPr>
              <w:t>-</w:t>
            </w:r>
            <w:r>
              <w:rPr>
                <w:b/>
                <w:spacing w:val="-4"/>
                <w:sz w:val="20"/>
              </w:rPr>
              <w:t> </w:t>
            </w:r>
            <w:r>
              <w:rPr>
                <w:b/>
                <w:sz w:val="20"/>
              </w:rPr>
              <w:t>38°C</w:t>
            </w:r>
            <w:r>
              <w:rPr>
                <w:b/>
                <w:spacing w:val="-5"/>
                <w:sz w:val="20"/>
              </w:rPr>
              <w:t> </w:t>
            </w:r>
            <w:r>
              <w:rPr>
                <w:b/>
                <w:sz w:val="20"/>
              </w:rPr>
              <w:t>в</w:t>
            </w:r>
            <w:r>
              <w:rPr>
                <w:b/>
                <w:spacing w:val="-5"/>
                <w:sz w:val="20"/>
              </w:rPr>
              <w:t> </w:t>
            </w:r>
            <w:r>
              <w:rPr>
                <w:b/>
                <w:sz w:val="20"/>
              </w:rPr>
              <w:t>течение</w:t>
            </w:r>
            <w:r>
              <w:rPr>
                <w:b/>
                <w:spacing w:val="-4"/>
                <w:sz w:val="20"/>
              </w:rPr>
              <w:t> </w:t>
            </w:r>
            <w:r>
              <w:rPr>
                <w:b/>
                <w:sz w:val="20"/>
              </w:rPr>
              <w:t>3-5</w:t>
            </w:r>
            <w:r>
              <w:rPr>
                <w:b/>
                <w:spacing w:val="-4"/>
                <w:sz w:val="20"/>
              </w:rPr>
              <w:t> </w:t>
            </w:r>
            <w:r>
              <w:rPr>
                <w:b/>
                <w:spacing w:val="-2"/>
                <w:sz w:val="20"/>
              </w:rPr>
              <w:t>дней;</w:t>
            </w:r>
          </w:p>
          <w:p>
            <w:pPr>
              <w:pStyle w:val="TableParagraph"/>
              <w:numPr>
                <w:ilvl w:val="0"/>
                <w:numId w:val="117"/>
              </w:numPr>
              <w:tabs>
                <w:tab w:pos="235" w:val="left" w:leader="none"/>
              </w:tabs>
              <w:spacing w:line="240" w:lineRule="auto" w:before="15" w:after="0"/>
              <w:ind w:left="235" w:right="0" w:hanging="119"/>
              <w:jc w:val="left"/>
              <w:rPr>
                <w:b/>
                <w:sz w:val="20"/>
              </w:rPr>
            </w:pPr>
            <w:r>
              <w:rPr>
                <w:b/>
                <w:sz w:val="20"/>
              </w:rPr>
              <w:t>число</w:t>
            </w:r>
            <w:r>
              <w:rPr>
                <w:b/>
                <w:spacing w:val="-7"/>
                <w:sz w:val="20"/>
              </w:rPr>
              <w:t> </w:t>
            </w:r>
            <w:r>
              <w:rPr>
                <w:b/>
                <w:sz w:val="20"/>
              </w:rPr>
              <w:t>лейкоцитов</w:t>
            </w:r>
            <w:r>
              <w:rPr>
                <w:b/>
                <w:spacing w:val="-4"/>
                <w:sz w:val="20"/>
              </w:rPr>
              <w:t> </w:t>
            </w:r>
            <w:r>
              <w:rPr>
                <w:b/>
                <w:sz w:val="20"/>
              </w:rPr>
              <w:t>-</w:t>
            </w:r>
            <w:r>
              <w:rPr>
                <w:b/>
                <w:spacing w:val="-9"/>
                <w:sz w:val="20"/>
              </w:rPr>
              <w:t> </w:t>
            </w:r>
            <w:r>
              <w:rPr>
                <w:b/>
                <w:sz w:val="20"/>
              </w:rPr>
              <w:t>3,0-</w:t>
            </w:r>
            <w:r>
              <w:rPr>
                <w:b/>
                <w:spacing w:val="-2"/>
                <w:sz w:val="20"/>
              </w:rPr>
              <w:t>3,5×109/л;</w:t>
            </w:r>
          </w:p>
          <w:p>
            <w:pPr>
              <w:pStyle w:val="TableParagraph"/>
              <w:numPr>
                <w:ilvl w:val="0"/>
                <w:numId w:val="117"/>
              </w:numPr>
              <w:tabs>
                <w:tab w:pos="235" w:val="left" w:leader="none"/>
              </w:tabs>
              <w:spacing w:line="217" w:lineRule="exact" w:before="12" w:after="0"/>
              <w:ind w:left="235" w:right="0" w:hanging="119"/>
              <w:jc w:val="left"/>
              <w:rPr>
                <w:b/>
                <w:sz w:val="20"/>
              </w:rPr>
            </w:pPr>
            <w:r>
              <w:rPr>
                <w:b/>
                <w:sz w:val="20"/>
              </w:rPr>
              <w:t>абсолютное</w:t>
            </w:r>
            <w:r>
              <w:rPr>
                <w:b/>
                <w:spacing w:val="-9"/>
                <w:sz w:val="20"/>
              </w:rPr>
              <w:t> </w:t>
            </w:r>
            <w:r>
              <w:rPr>
                <w:b/>
                <w:sz w:val="20"/>
              </w:rPr>
              <w:t>число</w:t>
            </w:r>
            <w:r>
              <w:rPr>
                <w:b/>
                <w:spacing w:val="-8"/>
                <w:sz w:val="20"/>
              </w:rPr>
              <w:t> </w:t>
            </w:r>
            <w:r>
              <w:rPr>
                <w:b/>
                <w:sz w:val="20"/>
              </w:rPr>
              <w:t>лимфоцитов</w:t>
            </w:r>
            <w:r>
              <w:rPr>
                <w:b/>
                <w:spacing w:val="-6"/>
                <w:sz w:val="20"/>
              </w:rPr>
              <w:t> </w:t>
            </w:r>
            <w:r>
              <w:rPr>
                <w:b/>
                <w:sz w:val="20"/>
              </w:rPr>
              <w:t>-</w:t>
            </w:r>
            <w:r>
              <w:rPr>
                <w:b/>
                <w:spacing w:val="-8"/>
                <w:sz w:val="20"/>
              </w:rPr>
              <w:t> </w:t>
            </w:r>
            <w:r>
              <w:rPr>
                <w:b/>
                <w:sz w:val="20"/>
              </w:rPr>
              <w:t>1,0-</w:t>
            </w:r>
            <w:r>
              <w:rPr>
                <w:b/>
                <w:spacing w:val="-2"/>
                <w:sz w:val="20"/>
              </w:rPr>
              <w:t>1,5×109/л</w:t>
            </w:r>
          </w:p>
        </w:tc>
      </w:tr>
      <w:tr>
        <w:trPr>
          <w:trHeight w:val="933" w:hRule="atLeast"/>
        </w:trPr>
        <w:tc>
          <w:tcPr>
            <w:tcW w:w="1131" w:type="dxa"/>
            <w:vMerge w:val="restart"/>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70"/>
              <w:rPr>
                <w:sz w:val="20"/>
              </w:rPr>
            </w:pPr>
          </w:p>
          <w:p>
            <w:pPr>
              <w:pStyle w:val="TableParagraph"/>
              <w:ind w:left="116"/>
              <w:rPr>
                <w:b/>
                <w:sz w:val="20"/>
              </w:rPr>
            </w:pPr>
            <w:r>
              <w:rPr>
                <w:b/>
                <w:sz w:val="20"/>
              </w:rPr>
              <w:t>Схема</w:t>
            </w:r>
            <w:r>
              <w:rPr>
                <w:b/>
                <w:spacing w:val="-4"/>
                <w:sz w:val="20"/>
              </w:rPr>
              <w:t> </w:t>
            </w:r>
            <w:r>
              <w:rPr>
                <w:b/>
                <w:spacing w:val="-10"/>
                <w:sz w:val="20"/>
              </w:rPr>
              <w:t>1</w:t>
            </w:r>
          </w:p>
        </w:tc>
        <w:tc>
          <w:tcPr>
            <w:tcW w:w="447" w:type="dxa"/>
            <w:vMerge w:val="restart"/>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92"/>
              <w:rPr>
                <w:sz w:val="20"/>
              </w:rPr>
            </w:pPr>
          </w:p>
          <w:p>
            <w:pPr>
              <w:pStyle w:val="TableParagraph"/>
              <w:ind w:left="112"/>
              <w:rPr>
                <w:sz w:val="20"/>
              </w:rPr>
            </w:pPr>
            <w:r>
              <w:rPr>
                <w:spacing w:val="-10"/>
                <w:sz w:val="20"/>
              </w:rPr>
              <w:t>1</w:t>
            </w:r>
          </w:p>
        </w:tc>
        <w:tc>
          <w:tcPr>
            <w:tcW w:w="3664" w:type="dxa"/>
          </w:tcPr>
          <w:p>
            <w:pPr>
              <w:pStyle w:val="TableParagraph"/>
              <w:spacing w:before="122"/>
              <w:rPr>
                <w:sz w:val="20"/>
              </w:rPr>
            </w:pPr>
          </w:p>
          <w:p>
            <w:pPr>
              <w:pStyle w:val="TableParagraph"/>
              <w:spacing w:before="1"/>
              <w:ind w:left="114"/>
              <w:rPr>
                <w:sz w:val="20"/>
              </w:rPr>
            </w:pPr>
            <w:r>
              <w:rPr>
                <w:spacing w:val="-2"/>
                <w:sz w:val="20"/>
              </w:rPr>
              <w:t>Фавипиравир</w:t>
            </w:r>
            <w:r>
              <w:rPr>
                <w:spacing w:val="7"/>
                <w:sz w:val="20"/>
              </w:rPr>
              <w:t> </w:t>
            </w:r>
            <w:r>
              <w:rPr>
                <w:spacing w:val="-10"/>
                <w:sz w:val="20"/>
                <w:vertAlign w:val="superscript"/>
              </w:rPr>
              <w:t>5</w:t>
            </w:r>
          </w:p>
        </w:tc>
        <w:tc>
          <w:tcPr>
            <w:tcW w:w="9502" w:type="dxa"/>
          </w:tcPr>
          <w:p>
            <w:pPr>
              <w:pStyle w:val="TableParagraph"/>
              <w:spacing w:before="7"/>
              <w:ind w:left="99"/>
              <w:rPr>
                <w:sz w:val="20"/>
              </w:rPr>
            </w:pPr>
            <w:r>
              <w:rPr>
                <w:sz w:val="20"/>
              </w:rPr>
              <w:t>Для</w:t>
            </w:r>
            <w:r>
              <w:rPr>
                <w:spacing w:val="-6"/>
                <w:sz w:val="20"/>
              </w:rPr>
              <w:t> </w:t>
            </w:r>
            <w:r>
              <w:rPr>
                <w:sz w:val="20"/>
              </w:rPr>
              <w:t>пациентов</w:t>
            </w:r>
            <w:r>
              <w:rPr>
                <w:spacing w:val="-5"/>
                <w:sz w:val="20"/>
              </w:rPr>
              <w:t> </w:t>
            </w:r>
            <w:r>
              <w:rPr>
                <w:sz w:val="20"/>
              </w:rPr>
              <w:t>с</w:t>
            </w:r>
            <w:r>
              <w:rPr>
                <w:spacing w:val="-4"/>
                <w:sz w:val="20"/>
              </w:rPr>
              <w:t> </w:t>
            </w:r>
            <w:r>
              <w:rPr>
                <w:sz w:val="20"/>
              </w:rPr>
              <w:t>массой</w:t>
            </w:r>
            <w:r>
              <w:rPr>
                <w:spacing w:val="-5"/>
                <w:sz w:val="20"/>
              </w:rPr>
              <w:t> </w:t>
            </w:r>
            <w:r>
              <w:rPr>
                <w:sz w:val="20"/>
              </w:rPr>
              <w:t>тела</w:t>
            </w:r>
            <w:r>
              <w:rPr>
                <w:spacing w:val="-4"/>
                <w:sz w:val="20"/>
              </w:rPr>
              <w:t> </w:t>
            </w:r>
            <w:r>
              <w:rPr>
                <w:sz w:val="20"/>
              </w:rPr>
              <w:t>˂75</w:t>
            </w:r>
            <w:r>
              <w:rPr>
                <w:spacing w:val="-3"/>
                <w:sz w:val="20"/>
              </w:rPr>
              <w:t> </w:t>
            </w:r>
            <w:r>
              <w:rPr>
                <w:spacing w:val="-5"/>
                <w:sz w:val="20"/>
              </w:rPr>
              <w:t>кг:</w:t>
            </w:r>
          </w:p>
          <w:p>
            <w:pPr>
              <w:pStyle w:val="TableParagraph"/>
              <w:ind w:left="99" w:right="2191"/>
              <w:rPr>
                <w:sz w:val="20"/>
              </w:rPr>
            </w:pPr>
            <w:r>
              <w:rPr>
                <w:sz w:val="20"/>
              </w:rPr>
              <w:t>по</w:t>
            </w:r>
            <w:r>
              <w:rPr>
                <w:spacing w:val="-2"/>
                <w:sz w:val="20"/>
              </w:rPr>
              <w:t> </w:t>
            </w:r>
            <w:r>
              <w:rPr>
                <w:sz w:val="20"/>
              </w:rPr>
              <w:t>1600</w:t>
            </w:r>
            <w:r>
              <w:rPr>
                <w:spacing w:val="-5"/>
                <w:sz w:val="20"/>
              </w:rPr>
              <w:t> </w:t>
            </w:r>
            <w:r>
              <w:rPr>
                <w:sz w:val="20"/>
              </w:rPr>
              <w:t>мг</w:t>
            </w:r>
            <w:r>
              <w:rPr>
                <w:spacing w:val="-4"/>
                <w:sz w:val="20"/>
              </w:rPr>
              <w:t> </w:t>
            </w:r>
            <w:r>
              <w:rPr>
                <w:sz w:val="20"/>
              </w:rPr>
              <w:t>2</w:t>
            </w:r>
            <w:r>
              <w:rPr>
                <w:spacing w:val="-2"/>
                <w:sz w:val="20"/>
              </w:rPr>
              <w:t> </w:t>
            </w:r>
            <w:r>
              <w:rPr>
                <w:sz w:val="20"/>
              </w:rPr>
              <w:t>р/сут</w:t>
            </w:r>
            <w:r>
              <w:rPr>
                <w:spacing w:val="-4"/>
                <w:sz w:val="20"/>
              </w:rPr>
              <w:t> </w:t>
            </w:r>
            <w:r>
              <w:rPr>
                <w:sz w:val="20"/>
              </w:rPr>
              <w:t>в</w:t>
            </w:r>
            <w:r>
              <w:rPr>
                <w:spacing w:val="-4"/>
                <w:sz w:val="20"/>
              </w:rPr>
              <w:t> </w:t>
            </w:r>
            <w:r>
              <w:rPr>
                <w:sz w:val="20"/>
              </w:rPr>
              <w:t>1-й</w:t>
            </w:r>
            <w:r>
              <w:rPr>
                <w:spacing w:val="-4"/>
                <w:sz w:val="20"/>
              </w:rPr>
              <w:t> </w:t>
            </w:r>
            <w:r>
              <w:rPr>
                <w:sz w:val="20"/>
              </w:rPr>
              <w:t>день</w:t>
            </w:r>
            <w:r>
              <w:rPr>
                <w:spacing w:val="-1"/>
                <w:sz w:val="20"/>
              </w:rPr>
              <w:t> </w:t>
            </w:r>
            <w:r>
              <w:rPr>
                <w:sz w:val="20"/>
              </w:rPr>
              <w:t>и</w:t>
            </w:r>
            <w:r>
              <w:rPr>
                <w:spacing w:val="-4"/>
                <w:sz w:val="20"/>
              </w:rPr>
              <w:t> </w:t>
            </w:r>
            <w:r>
              <w:rPr>
                <w:sz w:val="20"/>
              </w:rPr>
              <w:t>далее по</w:t>
            </w:r>
            <w:r>
              <w:rPr>
                <w:spacing w:val="-2"/>
                <w:sz w:val="20"/>
              </w:rPr>
              <w:t> </w:t>
            </w:r>
            <w:r>
              <w:rPr>
                <w:sz w:val="20"/>
              </w:rPr>
              <w:t>600</w:t>
            </w:r>
            <w:r>
              <w:rPr>
                <w:spacing w:val="-2"/>
                <w:sz w:val="20"/>
              </w:rPr>
              <w:t> </w:t>
            </w:r>
            <w:r>
              <w:rPr>
                <w:sz w:val="20"/>
              </w:rPr>
              <w:t>мг</w:t>
            </w:r>
            <w:r>
              <w:rPr>
                <w:spacing w:val="-6"/>
                <w:sz w:val="20"/>
              </w:rPr>
              <w:t> </w:t>
            </w:r>
            <w:r>
              <w:rPr>
                <w:sz w:val="20"/>
              </w:rPr>
              <w:t>2</w:t>
            </w:r>
            <w:r>
              <w:rPr>
                <w:spacing w:val="-2"/>
                <w:sz w:val="20"/>
              </w:rPr>
              <w:t> </w:t>
            </w:r>
            <w:r>
              <w:rPr>
                <w:sz w:val="20"/>
              </w:rPr>
              <w:t>р/сут</w:t>
            </w:r>
            <w:r>
              <w:rPr>
                <w:spacing w:val="-4"/>
                <w:sz w:val="20"/>
              </w:rPr>
              <w:t> </w:t>
            </w:r>
            <w:r>
              <w:rPr>
                <w:sz w:val="20"/>
              </w:rPr>
              <w:t>со</w:t>
            </w:r>
            <w:r>
              <w:rPr>
                <w:spacing w:val="-4"/>
                <w:sz w:val="20"/>
              </w:rPr>
              <w:t> </w:t>
            </w:r>
            <w:r>
              <w:rPr>
                <w:sz w:val="20"/>
              </w:rPr>
              <w:t>2</w:t>
            </w:r>
            <w:r>
              <w:rPr>
                <w:spacing w:val="-2"/>
                <w:sz w:val="20"/>
              </w:rPr>
              <w:t> </w:t>
            </w:r>
            <w:r>
              <w:rPr>
                <w:sz w:val="20"/>
              </w:rPr>
              <w:t>по</w:t>
            </w:r>
            <w:r>
              <w:rPr>
                <w:spacing w:val="-2"/>
                <w:sz w:val="20"/>
              </w:rPr>
              <w:t> </w:t>
            </w:r>
            <w:r>
              <w:rPr>
                <w:sz w:val="20"/>
              </w:rPr>
              <w:t>10</w:t>
            </w:r>
            <w:r>
              <w:rPr>
                <w:spacing w:val="-2"/>
                <w:sz w:val="20"/>
              </w:rPr>
              <w:t> </w:t>
            </w:r>
            <w:r>
              <w:rPr>
                <w:sz w:val="20"/>
              </w:rPr>
              <w:t>день</w:t>
            </w:r>
            <w:r>
              <w:rPr>
                <w:spacing w:val="-3"/>
                <w:sz w:val="20"/>
              </w:rPr>
              <w:t> </w:t>
            </w:r>
            <w:r>
              <w:rPr>
                <w:sz w:val="20"/>
              </w:rPr>
              <w:t>(таблетки). Для пациентов с массой тела 75 кг и более:</w:t>
            </w:r>
          </w:p>
          <w:p>
            <w:pPr>
              <w:pStyle w:val="TableParagraph"/>
              <w:spacing w:line="215" w:lineRule="exact" w:before="1"/>
              <w:ind w:left="99"/>
              <w:rPr>
                <w:sz w:val="20"/>
              </w:rPr>
            </w:pPr>
            <w:r>
              <w:rPr>
                <w:sz w:val="20"/>
              </w:rPr>
              <w:t>по</w:t>
            </w:r>
            <w:r>
              <w:rPr>
                <w:spacing w:val="-3"/>
                <w:sz w:val="20"/>
              </w:rPr>
              <w:t> </w:t>
            </w:r>
            <w:r>
              <w:rPr>
                <w:sz w:val="20"/>
              </w:rPr>
              <w:t>1800</w:t>
            </w:r>
            <w:r>
              <w:rPr>
                <w:spacing w:val="-5"/>
                <w:sz w:val="20"/>
              </w:rPr>
              <w:t> </w:t>
            </w:r>
            <w:r>
              <w:rPr>
                <w:sz w:val="20"/>
              </w:rPr>
              <w:t>мг</w:t>
            </w:r>
            <w:r>
              <w:rPr>
                <w:spacing w:val="-4"/>
                <w:sz w:val="20"/>
              </w:rPr>
              <w:t> </w:t>
            </w:r>
            <w:r>
              <w:rPr>
                <w:sz w:val="20"/>
              </w:rPr>
              <w:t>2</w:t>
            </w:r>
            <w:r>
              <w:rPr>
                <w:spacing w:val="-2"/>
                <w:sz w:val="20"/>
              </w:rPr>
              <w:t> </w:t>
            </w:r>
            <w:r>
              <w:rPr>
                <w:sz w:val="20"/>
              </w:rPr>
              <w:t>раза/сут</w:t>
            </w:r>
            <w:r>
              <w:rPr>
                <w:spacing w:val="-5"/>
                <w:sz w:val="20"/>
              </w:rPr>
              <w:t> </w:t>
            </w:r>
            <w:r>
              <w:rPr>
                <w:sz w:val="20"/>
              </w:rPr>
              <w:t>в</w:t>
            </w:r>
            <w:r>
              <w:rPr>
                <w:spacing w:val="-4"/>
                <w:sz w:val="20"/>
              </w:rPr>
              <w:t> </w:t>
            </w:r>
            <w:r>
              <w:rPr>
                <w:sz w:val="20"/>
              </w:rPr>
              <w:t>1-й</w:t>
            </w:r>
            <w:r>
              <w:rPr>
                <w:spacing w:val="-4"/>
                <w:sz w:val="20"/>
              </w:rPr>
              <w:t> </w:t>
            </w:r>
            <w:r>
              <w:rPr>
                <w:sz w:val="20"/>
              </w:rPr>
              <w:t>день,</w:t>
            </w:r>
            <w:r>
              <w:rPr>
                <w:spacing w:val="-3"/>
                <w:sz w:val="20"/>
              </w:rPr>
              <w:t> </w:t>
            </w:r>
            <w:r>
              <w:rPr>
                <w:sz w:val="20"/>
              </w:rPr>
              <w:t>далее</w:t>
            </w:r>
            <w:r>
              <w:rPr>
                <w:spacing w:val="-1"/>
                <w:sz w:val="20"/>
              </w:rPr>
              <w:t> </w:t>
            </w:r>
            <w:r>
              <w:rPr>
                <w:sz w:val="20"/>
              </w:rPr>
              <w:t>по</w:t>
            </w:r>
            <w:r>
              <w:rPr>
                <w:spacing w:val="-2"/>
                <w:sz w:val="20"/>
              </w:rPr>
              <w:t> </w:t>
            </w:r>
            <w:r>
              <w:rPr>
                <w:sz w:val="20"/>
              </w:rPr>
              <w:t>800</w:t>
            </w:r>
            <w:r>
              <w:rPr>
                <w:spacing w:val="-2"/>
                <w:sz w:val="20"/>
              </w:rPr>
              <w:t> </w:t>
            </w:r>
            <w:r>
              <w:rPr>
                <w:sz w:val="20"/>
              </w:rPr>
              <w:t>мг</w:t>
            </w:r>
            <w:r>
              <w:rPr>
                <w:spacing w:val="-6"/>
                <w:sz w:val="20"/>
              </w:rPr>
              <w:t> </w:t>
            </w:r>
            <w:r>
              <w:rPr>
                <w:sz w:val="20"/>
              </w:rPr>
              <w:t>2</w:t>
            </w:r>
            <w:r>
              <w:rPr>
                <w:spacing w:val="-3"/>
                <w:sz w:val="20"/>
              </w:rPr>
              <w:t> </w:t>
            </w:r>
            <w:r>
              <w:rPr>
                <w:sz w:val="20"/>
              </w:rPr>
              <w:t>раза/сут</w:t>
            </w:r>
            <w:r>
              <w:rPr>
                <w:spacing w:val="-4"/>
                <w:sz w:val="20"/>
              </w:rPr>
              <w:t> </w:t>
            </w:r>
            <w:r>
              <w:rPr>
                <w:sz w:val="20"/>
              </w:rPr>
              <w:t>со</w:t>
            </w:r>
            <w:r>
              <w:rPr>
                <w:spacing w:val="-2"/>
                <w:sz w:val="20"/>
              </w:rPr>
              <w:t> </w:t>
            </w:r>
            <w:r>
              <w:rPr>
                <w:sz w:val="20"/>
              </w:rPr>
              <w:t>2</w:t>
            </w:r>
            <w:r>
              <w:rPr>
                <w:spacing w:val="-2"/>
                <w:sz w:val="20"/>
              </w:rPr>
              <w:t> </w:t>
            </w:r>
            <w:r>
              <w:rPr>
                <w:sz w:val="20"/>
              </w:rPr>
              <w:t>по</w:t>
            </w:r>
            <w:r>
              <w:rPr>
                <w:spacing w:val="-3"/>
                <w:sz w:val="20"/>
              </w:rPr>
              <w:t> </w:t>
            </w:r>
            <w:r>
              <w:rPr>
                <w:sz w:val="20"/>
              </w:rPr>
              <w:t>10</w:t>
            </w:r>
            <w:r>
              <w:rPr>
                <w:spacing w:val="-2"/>
                <w:sz w:val="20"/>
              </w:rPr>
              <w:t> </w:t>
            </w:r>
            <w:r>
              <w:rPr>
                <w:sz w:val="20"/>
              </w:rPr>
              <w:t>день</w:t>
            </w:r>
            <w:r>
              <w:rPr>
                <w:spacing w:val="-3"/>
                <w:sz w:val="20"/>
              </w:rPr>
              <w:t> </w:t>
            </w:r>
            <w:r>
              <w:rPr>
                <w:spacing w:val="-2"/>
                <w:sz w:val="20"/>
              </w:rPr>
              <w:t>(таблетки).</w:t>
            </w:r>
          </w:p>
        </w:tc>
      </w:tr>
      <w:tr>
        <w:trPr>
          <w:trHeight w:val="335"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6"/>
              <w:ind w:left="114"/>
              <w:rPr>
                <w:sz w:val="20"/>
              </w:rPr>
            </w:pPr>
            <w:r>
              <w:rPr>
                <w:spacing w:val="-5"/>
                <w:sz w:val="20"/>
              </w:rPr>
              <w:t>или</w:t>
            </w:r>
          </w:p>
        </w:tc>
      </w:tr>
      <w:tr>
        <w:trPr>
          <w:trHeight w:val="1219"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72" w:lineRule="exact"/>
              <w:ind w:left="114"/>
              <w:rPr>
                <w:b/>
                <w:position w:val="8"/>
                <w:sz w:val="16"/>
              </w:rPr>
            </w:pPr>
            <w:r>
              <w:rPr>
                <w:spacing w:val="-2"/>
                <w:sz w:val="20"/>
              </w:rPr>
              <w:t>Фавипиравир+Цинк</w:t>
            </w:r>
            <w:r>
              <w:rPr>
                <w:spacing w:val="9"/>
                <w:sz w:val="20"/>
              </w:rPr>
              <w:t> </w:t>
            </w:r>
            <w:r>
              <w:rPr>
                <w:b/>
                <w:spacing w:val="-10"/>
                <w:position w:val="8"/>
                <w:sz w:val="16"/>
              </w:rPr>
              <w:t>2</w:t>
            </w:r>
          </w:p>
        </w:tc>
        <w:tc>
          <w:tcPr>
            <w:tcW w:w="9502" w:type="dxa"/>
          </w:tcPr>
          <w:p>
            <w:pPr>
              <w:pStyle w:val="TableParagraph"/>
              <w:spacing w:before="6"/>
              <w:ind w:left="109"/>
              <w:rPr>
                <w:sz w:val="20"/>
              </w:rPr>
            </w:pPr>
            <w:r>
              <w:rPr>
                <w:spacing w:val="-2"/>
                <w:sz w:val="20"/>
              </w:rPr>
              <w:t>Таблетки:</w:t>
            </w:r>
          </w:p>
          <w:p>
            <w:pPr>
              <w:pStyle w:val="TableParagraph"/>
              <w:spacing w:before="13"/>
              <w:ind w:left="109"/>
              <w:rPr>
                <w:sz w:val="20"/>
              </w:rPr>
            </w:pPr>
            <w:r>
              <w:rPr>
                <w:sz w:val="20"/>
              </w:rPr>
              <w:t>для</w:t>
            </w:r>
            <w:r>
              <w:rPr>
                <w:spacing w:val="-3"/>
                <w:sz w:val="20"/>
              </w:rPr>
              <w:t> </w:t>
            </w:r>
            <w:r>
              <w:rPr>
                <w:sz w:val="20"/>
              </w:rPr>
              <w:t>пациентов</w:t>
            </w:r>
            <w:r>
              <w:rPr>
                <w:spacing w:val="-5"/>
                <w:sz w:val="20"/>
              </w:rPr>
              <w:t> </w:t>
            </w:r>
            <w:r>
              <w:rPr>
                <w:sz w:val="20"/>
              </w:rPr>
              <w:t>с</w:t>
            </w:r>
            <w:r>
              <w:rPr>
                <w:spacing w:val="-5"/>
                <w:sz w:val="20"/>
              </w:rPr>
              <w:t> </w:t>
            </w:r>
            <w:r>
              <w:rPr>
                <w:sz w:val="20"/>
              </w:rPr>
              <w:t>массой</w:t>
            </w:r>
            <w:r>
              <w:rPr>
                <w:spacing w:val="-5"/>
                <w:sz w:val="20"/>
              </w:rPr>
              <w:t> </w:t>
            </w:r>
            <w:r>
              <w:rPr>
                <w:sz w:val="20"/>
              </w:rPr>
              <w:t>тела</w:t>
            </w:r>
            <w:r>
              <w:rPr>
                <w:spacing w:val="-2"/>
                <w:sz w:val="20"/>
              </w:rPr>
              <w:t> </w:t>
            </w:r>
            <w:r>
              <w:rPr>
                <w:sz w:val="20"/>
              </w:rPr>
              <w:t>˂</w:t>
            </w:r>
            <w:r>
              <w:rPr>
                <w:spacing w:val="-5"/>
                <w:sz w:val="20"/>
              </w:rPr>
              <w:t> </w:t>
            </w:r>
            <w:r>
              <w:rPr>
                <w:sz w:val="20"/>
              </w:rPr>
              <w:t>75</w:t>
            </w:r>
            <w:r>
              <w:rPr>
                <w:spacing w:val="-3"/>
                <w:sz w:val="20"/>
              </w:rPr>
              <w:t> </w:t>
            </w:r>
            <w:r>
              <w:rPr>
                <w:spacing w:val="-5"/>
                <w:sz w:val="20"/>
              </w:rPr>
              <w:t>кг:</w:t>
            </w:r>
          </w:p>
          <w:p>
            <w:pPr>
              <w:pStyle w:val="TableParagraph"/>
              <w:spacing w:line="254" w:lineRule="auto" w:before="14"/>
              <w:ind w:left="109" w:right="3148"/>
              <w:rPr>
                <w:sz w:val="20"/>
              </w:rPr>
            </w:pPr>
            <w:r>
              <w:rPr>
                <w:sz w:val="20"/>
              </w:rPr>
              <w:t>по</w:t>
            </w:r>
            <w:r>
              <w:rPr>
                <w:spacing w:val="-2"/>
                <w:sz w:val="20"/>
              </w:rPr>
              <w:t> </w:t>
            </w:r>
            <w:r>
              <w:rPr>
                <w:sz w:val="20"/>
              </w:rPr>
              <w:t>1600</w:t>
            </w:r>
            <w:r>
              <w:rPr>
                <w:spacing w:val="-5"/>
                <w:sz w:val="20"/>
              </w:rPr>
              <w:t> </w:t>
            </w:r>
            <w:r>
              <w:rPr>
                <w:sz w:val="20"/>
              </w:rPr>
              <w:t>мг</w:t>
            </w:r>
            <w:r>
              <w:rPr>
                <w:spacing w:val="-4"/>
                <w:sz w:val="20"/>
              </w:rPr>
              <w:t> </w:t>
            </w:r>
            <w:r>
              <w:rPr>
                <w:sz w:val="20"/>
              </w:rPr>
              <w:t>2</w:t>
            </w:r>
            <w:r>
              <w:rPr>
                <w:spacing w:val="-2"/>
                <w:sz w:val="20"/>
              </w:rPr>
              <w:t> </w:t>
            </w:r>
            <w:r>
              <w:rPr>
                <w:sz w:val="20"/>
              </w:rPr>
              <w:t>р/сут</w:t>
            </w:r>
            <w:r>
              <w:rPr>
                <w:spacing w:val="-4"/>
                <w:sz w:val="20"/>
              </w:rPr>
              <w:t> </w:t>
            </w:r>
            <w:r>
              <w:rPr>
                <w:sz w:val="20"/>
              </w:rPr>
              <w:t>в</w:t>
            </w:r>
            <w:r>
              <w:rPr>
                <w:spacing w:val="-4"/>
                <w:sz w:val="20"/>
              </w:rPr>
              <w:t> </w:t>
            </w:r>
            <w:r>
              <w:rPr>
                <w:sz w:val="20"/>
              </w:rPr>
              <w:t>1-й</w:t>
            </w:r>
            <w:r>
              <w:rPr>
                <w:spacing w:val="-4"/>
                <w:sz w:val="20"/>
              </w:rPr>
              <w:t> </w:t>
            </w:r>
            <w:r>
              <w:rPr>
                <w:sz w:val="20"/>
              </w:rPr>
              <w:t>день</w:t>
            </w:r>
            <w:r>
              <w:rPr>
                <w:spacing w:val="-1"/>
                <w:sz w:val="20"/>
              </w:rPr>
              <w:t> </w:t>
            </w:r>
            <w:r>
              <w:rPr>
                <w:sz w:val="20"/>
              </w:rPr>
              <w:t>и</w:t>
            </w:r>
            <w:r>
              <w:rPr>
                <w:spacing w:val="-4"/>
                <w:sz w:val="20"/>
              </w:rPr>
              <w:t> </w:t>
            </w:r>
            <w:r>
              <w:rPr>
                <w:sz w:val="20"/>
              </w:rPr>
              <w:t>далее по</w:t>
            </w:r>
            <w:r>
              <w:rPr>
                <w:spacing w:val="-2"/>
                <w:sz w:val="20"/>
              </w:rPr>
              <w:t> </w:t>
            </w:r>
            <w:r>
              <w:rPr>
                <w:sz w:val="20"/>
              </w:rPr>
              <w:t>600</w:t>
            </w:r>
            <w:r>
              <w:rPr>
                <w:spacing w:val="-2"/>
                <w:sz w:val="20"/>
              </w:rPr>
              <w:t> </w:t>
            </w:r>
            <w:r>
              <w:rPr>
                <w:sz w:val="20"/>
              </w:rPr>
              <w:t>мг</w:t>
            </w:r>
            <w:r>
              <w:rPr>
                <w:spacing w:val="-6"/>
                <w:sz w:val="20"/>
              </w:rPr>
              <w:t> </w:t>
            </w:r>
            <w:r>
              <w:rPr>
                <w:sz w:val="20"/>
              </w:rPr>
              <w:t>2</w:t>
            </w:r>
            <w:r>
              <w:rPr>
                <w:spacing w:val="-2"/>
                <w:sz w:val="20"/>
              </w:rPr>
              <w:t> </w:t>
            </w:r>
            <w:r>
              <w:rPr>
                <w:sz w:val="20"/>
              </w:rPr>
              <w:t>р/сут</w:t>
            </w:r>
            <w:r>
              <w:rPr>
                <w:spacing w:val="-4"/>
                <w:sz w:val="20"/>
              </w:rPr>
              <w:t> </w:t>
            </w:r>
            <w:r>
              <w:rPr>
                <w:sz w:val="20"/>
              </w:rPr>
              <w:t>со</w:t>
            </w:r>
            <w:r>
              <w:rPr>
                <w:spacing w:val="-4"/>
                <w:sz w:val="20"/>
              </w:rPr>
              <w:t> </w:t>
            </w:r>
            <w:r>
              <w:rPr>
                <w:sz w:val="20"/>
              </w:rPr>
              <w:t>2</w:t>
            </w:r>
            <w:r>
              <w:rPr>
                <w:spacing w:val="-2"/>
                <w:sz w:val="20"/>
              </w:rPr>
              <w:t> </w:t>
            </w:r>
            <w:r>
              <w:rPr>
                <w:sz w:val="20"/>
              </w:rPr>
              <w:t>по</w:t>
            </w:r>
            <w:r>
              <w:rPr>
                <w:spacing w:val="-2"/>
                <w:sz w:val="20"/>
              </w:rPr>
              <w:t> </w:t>
            </w:r>
            <w:r>
              <w:rPr>
                <w:sz w:val="20"/>
              </w:rPr>
              <w:t>10</w:t>
            </w:r>
            <w:r>
              <w:rPr>
                <w:spacing w:val="-2"/>
                <w:sz w:val="20"/>
              </w:rPr>
              <w:t> </w:t>
            </w:r>
            <w:r>
              <w:rPr>
                <w:sz w:val="20"/>
              </w:rPr>
              <w:t>день; для пациентов с массой тела 75 кг и более:</w:t>
            </w:r>
          </w:p>
          <w:p>
            <w:pPr>
              <w:pStyle w:val="TableParagraph"/>
              <w:spacing w:line="218" w:lineRule="exact"/>
              <w:ind w:left="109"/>
              <w:rPr>
                <w:sz w:val="20"/>
              </w:rPr>
            </w:pPr>
            <w:r>
              <w:rPr>
                <w:sz w:val="20"/>
              </w:rPr>
              <w:t>по</w:t>
            </w:r>
            <w:r>
              <w:rPr>
                <w:spacing w:val="-3"/>
                <w:sz w:val="20"/>
              </w:rPr>
              <w:t> </w:t>
            </w:r>
            <w:r>
              <w:rPr>
                <w:sz w:val="20"/>
              </w:rPr>
              <w:t>1800</w:t>
            </w:r>
            <w:r>
              <w:rPr>
                <w:spacing w:val="-5"/>
                <w:sz w:val="20"/>
              </w:rPr>
              <w:t> </w:t>
            </w:r>
            <w:r>
              <w:rPr>
                <w:sz w:val="20"/>
              </w:rPr>
              <w:t>мг</w:t>
            </w:r>
            <w:r>
              <w:rPr>
                <w:spacing w:val="-4"/>
                <w:sz w:val="20"/>
              </w:rPr>
              <w:t> </w:t>
            </w:r>
            <w:r>
              <w:rPr>
                <w:sz w:val="20"/>
              </w:rPr>
              <w:t>2</w:t>
            </w:r>
            <w:r>
              <w:rPr>
                <w:spacing w:val="-2"/>
                <w:sz w:val="20"/>
              </w:rPr>
              <w:t> </w:t>
            </w:r>
            <w:r>
              <w:rPr>
                <w:sz w:val="20"/>
              </w:rPr>
              <w:t>раза/сут</w:t>
            </w:r>
            <w:r>
              <w:rPr>
                <w:spacing w:val="-1"/>
                <w:sz w:val="20"/>
              </w:rPr>
              <w:t> </w:t>
            </w:r>
            <w:r>
              <w:rPr>
                <w:sz w:val="20"/>
              </w:rPr>
              <w:t>в</w:t>
            </w:r>
            <w:r>
              <w:rPr>
                <w:spacing w:val="-4"/>
                <w:sz w:val="20"/>
              </w:rPr>
              <w:t> </w:t>
            </w:r>
            <w:r>
              <w:rPr>
                <w:sz w:val="20"/>
              </w:rPr>
              <w:t>1-й</w:t>
            </w:r>
            <w:r>
              <w:rPr>
                <w:spacing w:val="-4"/>
                <w:sz w:val="20"/>
              </w:rPr>
              <w:t> </w:t>
            </w:r>
            <w:r>
              <w:rPr>
                <w:sz w:val="20"/>
              </w:rPr>
              <w:t>день,</w:t>
            </w:r>
            <w:r>
              <w:rPr>
                <w:spacing w:val="-4"/>
                <w:sz w:val="20"/>
              </w:rPr>
              <w:t> </w:t>
            </w:r>
            <w:r>
              <w:rPr>
                <w:sz w:val="20"/>
              </w:rPr>
              <w:t>далее по</w:t>
            </w:r>
            <w:r>
              <w:rPr>
                <w:spacing w:val="-2"/>
                <w:sz w:val="20"/>
              </w:rPr>
              <w:t> </w:t>
            </w:r>
            <w:r>
              <w:rPr>
                <w:sz w:val="20"/>
              </w:rPr>
              <w:t>800</w:t>
            </w:r>
            <w:r>
              <w:rPr>
                <w:spacing w:val="-2"/>
                <w:sz w:val="20"/>
              </w:rPr>
              <w:t> </w:t>
            </w:r>
            <w:r>
              <w:rPr>
                <w:sz w:val="20"/>
              </w:rPr>
              <w:t>мг</w:t>
            </w:r>
            <w:r>
              <w:rPr>
                <w:spacing w:val="-6"/>
                <w:sz w:val="20"/>
              </w:rPr>
              <w:t> </w:t>
            </w:r>
            <w:r>
              <w:rPr>
                <w:sz w:val="20"/>
              </w:rPr>
              <w:t>2</w:t>
            </w:r>
            <w:r>
              <w:rPr>
                <w:spacing w:val="-2"/>
                <w:sz w:val="20"/>
              </w:rPr>
              <w:t> </w:t>
            </w:r>
            <w:r>
              <w:rPr>
                <w:sz w:val="20"/>
              </w:rPr>
              <w:t>раза/сут</w:t>
            </w:r>
            <w:r>
              <w:rPr>
                <w:spacing w:val="-4"/>
                <w:sz w:val="20"/>
              </w:rPr>
              <w:t> </w:t>
            </w:r>
            <w:r>
              <w:rPr>
                <w:sz w:val="20"/>
              </w:rPr>
              <w:t>со</w:t>
            </w:r>
            <w:r>
              <w:rPr>
                <w:spacing w:val="-3"/>
                <w:sz w:val="20"/>
              </w:rPr>
              <w:t> </w:t>
            </w:r>
            <w:r>
              <w:rPr>
                <w:sz w:val="20"/>
              </w:rPr>
              <w:t>2</w:t>
            </w:r>
            <w:r>
              <w:rPr>
                <w:spacing w:val="-2"/>
                <w:sz w:val="20"/>
              </w:rPr>
              <w:t> </w:t>
            </w:r>
            <w:r>
              <w:rPr>
                <w:sz w:val="20"/>
              </w:rPr>
              <w:t>по</w:t>
            </w:r>
            <w:r>
              <w:rPr>
                <w:spacing w:val="-2"/>
                <w:sz w:val="20"/>
              </w:rPr>
              <w:t> </w:t>
            </w:r>
            <w:r>
              <w:rPr>
                <w:sz w:val="20"/>
              </w:rPr>
              <w:t>10</w:t>
            </w:r>
            <w:r>
              <w:rPr>
                <w:spacing w:val="-2"/>
                <w:sz w:val="20"/>
              </w:rPr>
              <w:t> день.</w:t>
            </w:r>
          </w:p>
        </w:tc>
      </w:tr>
      <w:tr>
        <w:trPr>
          <w:trHeight w:val="33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5"/>
              <w:ind w:left="114"/>
              <w:rPr>
                <w:sz w:val="20"/>
              </w:rPr>
            </w:pPr>
            <w:r>
              <w:rPr>
                <w:spacing w:val="-5"/>
                <w:sz w:val="20"/>
              </w:rPr>
              <w:t>или</w:t>
            </w:r>
          </w:p>
        </w:tc>
      </w:tr>
      <w:tr>
        <w:trPr>
          <w:trHeight w:val="719"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ind w:left="114"/>
              <w:rPr>
                <w:b/>
                <w:position w:val="8"/>
                <w:sz w:val="16"/>
              </w:rPr>
            </w:pPr>
            <w:r>
              <w:rPr>
                <w:spacing w:val="-2"/>
                <w:sz w:val="20"/>
              </w:rPr>
              <w:t>Фавипиравир</w:t>
            </w:r>
            <w:r>
              <w:rPr>
                <w:spacing w:val="7"/>
                <w:sz w:val="20"/>
              </w:rPr>
              <w:t> </w:t>
            </w:r>
            <w:r>
              <w:rPr>
                <w:b/>
                <w:spacing w:val="-10"/>
                <w:position w:val="8"/>
                <w:sz w:val="16"/>
              </w:rPr>
              <w:t>2</w:t>
            </w:r>
          </w:p>
        </w:tc>
        <w:tc>
          <w:tcPr>
            <w:tcW w:w="9502" w:type="dxa"/>
          </w:tcPr>
          <w:p>
            <w:pPr>
              <w:pStyle w:val="TableParagraph"/>
              <w:spacing w:before="7"/>
              <w:ind w:left="109"/>
              <w:rPr>
                <w:sz w:val="20"/>
              </w:rPr>
            </w:pPr>
            <w:r>
              <w:rPr>
                <w:sz w:val="20"/>
              </w:rPr>
              <w:t>Раствор</w:t>
            </w:r>
            <w:r>
              <w:rPr>
                <w:spacing w:val="-5"/>
                <w:sz w:val="20"/>
              </w:rPr>
              <w:t> </w:t>
            </w:r>
            <w:r>
              <w:rPr>
                <w:sz w:val="20"/>
              </w:rPr>
              <w:t>для</w:t>
            </w:r>
            <w:r>
              <w:rPr>
                <w:spacing w:val="-7"/>
                <w:sz w:val="20"/>
              </w:rPr>
              <w:t> </w:t>
            </w:r>
            <w:r>
              <w:rPr>
                <w:spacing w:val="-2"/>
                <w:sz w:val="20"/>
              </w:rPr>
              <w:t>инфузий:</w:t>
            </w:r>
          </w:p>
          <w:p>
            <w:pPr>
              <w:pStyle w:val="TableParagraph"/>
              <w:spacing w:line="230" w:lineRule="atLeast" w:before="2"/>
              <w:ind w:left="109"/>
              <w:rPr>
                <w:sz w:val="20"/>
              </w:rPr>
            </w:pPr>
            <w:r>
              <w:rPr>
                <w:sz w:val="20"/>
              </w:rPr>
              <w:t>внутривенно</w:t>
            </w:r>
            <w:r>
              <w:rPr>
                <w:spacing w:val="-2"/>
                <w:sz w:val="20"/>
              </w:rPr>
              <w:t> </w:t>
            </w:r>
            <w:r>
              <w:rPr>
                <w:sz w:val="20"/>
              </w:rPr>
              <w:t>капельно в</w:t>
            </w:r>
            <w:r>
              <w:rPr>
                <w:spacing w:val="-4"/>
                <w:sz w:val="20"/>
              </w:rPr>
              <w:t> </w:t>
            </w:r>
            <w:r>
              <w:rPr>
                <w:sz w:val="20"/>
              </w:rPr>
              <w:t>течение</w:t>
            </w:r>
            <w:r>
              <w:rPr>
                <w:spacing w:val="-3"/>
                <w:sz w:val="20"/>
              </w:rPr>
              <w:t> </w:t>
            </w:r>
            <w:r>
              <w:rPr>
                <w:sz w:val="20"/>
              </w:rPr>
              <w:t>2</w:t>
            </w:r>
            <w:r>
              <w:rPr>
                <w:spacing w:val="-2"/>
                <w:sz w:val="20"/>
              </w:rPr>
              <w:t> </w:t>
            </w:r>
            <w:r>
              <w:rPr>
                <w:sz w:val="20"/>
              </w:rPr>
              <w:t>часов</w:t>
            </w:r>
            <w:r>
              <w:rPr>
                <w:spacing w:val="-4"/>
                <w:sz w:val="20"/>
              </w:rPr>
              <w:t> </w:t>
            </w:r>
            <w:r>
              <w:rPr>
                <w:sz w:val="20"/>
              </w:rPr>
              <w:t>по</w:t>
            </w:r>
            <w:r>
              <w:rPr>
                <w:spacing w:val="-2"/>
                <w:sz w:val="20"/>
              </w:rPr>
              <w:t> </w:t>
            </w:r>
            <w:r>
              <w:rPr>
                <w:sz w:val="20"/>
              </w:rPr>
              <w:t>1600</w:t>
            </w:r>
            <w:r>
              <w:rPr>
                <w:spacing w:val="-2"/>
                <w:sz w:val="20"/>
              </w:rPr>
              <w:t> </w:t>
            </w:r>
            <w:r>
              <w:rPr>
                <w:sz w:val="20"/>
              </w:rPr>
              <w:t>мг</w:t>
            </w:r>
            <w:r>
              <w:rPr>
                <w:spacing w:val="-6"/>
                <w:sz w:val="20"/>
              </w:rPr>
              <w:t> </w:t>
            </w:r>
            <w:r>
              <w:rPr>
                <w:sz w:val="20"/>
              </w:rPr>
              <w:t>2</w:t>
            </w:r>
            <w:r>
              <w:rPr>
                <w:spacing w:val="-2"/>
                <w:sz w:val="20"/>
              </w:rPr>
              <w:t> </w:t>
            </w:r>
            <w:r>
              <w:rPr>
                <w:sz w:val="20"/>
              </w:rPr>
              <w:t>раза</w:t>
            </w:r>
            <w:r>
              <w:rPr>
                <w:spacing w:val="-3"/>
                <w:sz w:val="20"/>
              </w:rPr>
              <w:t> </w:t>
            </w:r>
            <w:r>
              <w:rPr>
                <w:sz w:val="20"/>
              </w:rPr>
              <w:t>в</w:t>
            </w:r>
            <w:r>
              <w:rPr>
                <w:spacing w:val="-4"/>
                <w:sz w:val="20"/>
              </w:rPr>
              <w:t> </w:t>
            </w:r>
            <w:r>
              <w:rPr>
                <w:sz w:val="20"/>
              </w:rPr>
              <w:t>1-й</w:t>
            </w:r>
            <w:r>
              <w:rPr>
                <w:spacing w:val="-4"/>
                <w:sz w:val="20"/>
              </w:rPr>
              <w:t> </w:t>
            </w:r>
            <w:r>
              <w:rPr>
                <w:sz w:val="20"/>
              </w:rPr>
              <w:t>день</w:t>
            </w:r>
            <w:r>
              <w:rPr>
                <w:spacing w:val="-3"/>
                <w:sz w:val="20"/>
              </w:rPr>
              <w:t> </w:t>
            </w:r>
            <w:r>
              <w:rPr>
                <w:sz w:val="20"/>
              </w:rPr>
              <w:t>терапии,</w:t>
            </w:r>
            <w:r>
              <w:rPr>
                <w:spacing w:val="-1"/>
                <w:sz w:val="20"/>
              </w:rPr>
              <w:t> </w:t>
            </w:r>
            <w:r>
              <w:rPr>
                <w:sz w:val="20"/>
              </w:rPr>
              <w:t>далее по</w:t>
            </w:r>
            <w:r>
              <w:rPr>
                <w:spacing w:val="-2"/>
                <w:sz w:val="20"/>
              </w:rPr>
              <w:t> </w:t>
            </w:r>
            <w:r>
              <w:rPr>
                <w:sz w:val="20"/>
              </w:rPr>
              <w:t>800</w:t>
            </w:r>
            <w:r>
              <w:rPr>
                <w:spacing w:val="-2"/>
                <w:sz w:val="20"/>
              </w:rPr>
              <w:t> </w:t>
            </w:r>
            <w:r>
              <w:rPr>
                <w:sz w:val="20"/>
              </w:rPr>
              <w:t>мг</w:t>
            </w:r>
            <w:r>
              <w:rPr>
                <w:spacing w:val="-6"/>
                <w:sz w:val="20"/>
              </w:rPr>
              <w:t> </w:t>
            </w:r>
            <w:r>
              <w:rPr>
                <w:sz w:val="20"/>
              </w:rPr>
              <w:t>2</w:t>
            </w:r>
            <w:r>
              <w:rPr>
                <w:spacing w:val="-2"/>
                <w:sz w:val="20"/>
              </w:rPr>
              <w:t> </w:t>
            </w:r>
            <w:r>
              <w:rPr>
                <w:sz w:val="20"/>
              </w:rPr>
              <w:t>раза</w:t>
            </w:r>
            <w:r>
              <w:rPr>
                <w:spacing w:val="-3"/>
                <w:sz w:val="20"/>
              </w:rPr>
              <w:t> </w:t>
            </w:r>
            <w:r>
              <w:rPr>
                <w:sz w:val="20"/>
              </w:rPr>
              <w:t>в</w:t>
            </w:r>
            <w:r>
              <w:rPr>
                <w:spacing w:val="-4"/>
                <w:sz w:val="20"/>
              </w:rPr>
              <w:t> </w:t>
            </w:r>
            <w:r>
              <w:rPr>
                <w:sz w:val="20"/>
              </w:rPr>
              <w:t>день, соответственно, со 2-го по 10-й день терапии</w:t>
            </w:r>
          </w:p>
        </w:tc>
      </w:tr>
      <w:tr>
        <w:trPr>
          <w:trHeight w:val="33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70" w:lineRule="exact"/>
              <w:ind w:left="114"/>
              <w:rPr>
                <w:b/>
                <w:position w:val="8"/>
                <w:sz w:val="16"/>
              </w:rPr>
            </w:pPr>
            <w:r>
              <w:rPr>
                <w:sz w:val="20"/>
              </w:rPr>
              <w:t>Молнупиравир</w:t>
            </w:r>
            <w:r>
              <w:rPr>
                <w:spacing w:val="-7"/>
                <w:sz w:val="20"/>
              </w:rPr>
              <w:t> </w:t>
            </w:r>
            <w:r>
              <w:rPr>
                <w:b/>
                <w:spacing w:val="-10"/>
                <w:position w:val="8"/>
                <w:sz w:val="16"/>
              </w:rPr>
              <w:t>4</w:t>
            </w:r>
          </w:p>
        </w:tc>
        <w:tc>
          <w:tcPr>
            <w:tcW w:w="9502" w:type="dxa"/>
          </w:tcPr>
          <w:p>
            <w:pPr>
              <w:pStyle w:val="TableParagraph"/>
              <w:spacing w:before="4"/>
              <w:ind w:left="109"/>
              <w:rPr>
                <w:sz w:val="20"/>
              </w:rPr>
            </w:pPr>
            <w:r>
              <w:rPr>
                <w:sz w:val="20"/>
              </w:rPr>
              <w:t>800</w:t>
            </w:r>
            <w:r>
              <w:rPr>
                <w:spacing w:val="-4"/>
                <w:sz w:val="20"/>
              </w:rPr>
              <w:t> </w:t>
            </w:r>
            <w:r>
              <w:rPr>
                <w:sz w:val="20"/>
              </w:rPr>
              <w:t>мг</w:t>
            </w:r>
            <w:r>
              <w:rPr>
                <w:spacing w:val="-4"/>
                <w:sz w:val="20"/>
              </w:rPr>
              <w:t> </w:t>
            </w:r>
            <w:r>
              <w:rPr>
                <w:sz w:val="20"/>
              </w:rPr>
              <w:t>перорально</w:t>
            </w:r>
            <w:r>
              <w:rPr>
                <w:spacing w:val="-4"/>
                <w:sz w:val="20"/>
              </w:rPr>
              <w:t> </w:t>
            </w:r>
            <w:r>
              <w:rPr>
                <w:sz w:val="20"/>
              </w:rPr>
              <w:t>каждые</w:t>
            </w:r>
            <w:r>
              <w:rPr>
                <w:spacing w:val="-4"/>
                <w:sz w:val="20"/>
              </w:rPr>
              <w:t> </w:t>
            </w:r>
            <w:r>
              <w:rPr>
                <w:sz w:val="20"/>
              </w:rPr>
              <w:t>12</w:t>
            </w:r>
            <w:r>
              <w:rPr>
                <w:spacing w:val="-3"/>
                <w:sz w:val="20"/>
              </w:rPr>
              <w:t> </w:t>
            </w:r>
            <w:r>
              <w:rPr>
                <w:sz w:val="20"/>
              </w:rPr>
              <w:t>часов,</w:t>
            </w:r>
            <w:r>
              <w:rPr>
                <w:spacing w:val="-4"/>
                <w:sz w:val="20"/>
              </w:rPr>
              <w:t> </w:t>
            </w:r>
            <w:r>
              <w:rPr>
                <w:sz w:val="20"/>
              </w:rPr>
              <w:t>курс</w:t>
            </w:r>
            <w:r>
              <w:rPr>
                <w:spacing w:val="-4"/>
                <w:sz w:val="20"/>
              </w:rPr>
              <w:t> </w:t>
            </w:r>
            <w:r>
              <w:rPr>
                <w:sz w:val="20"/>
              </w:rPr>
              <w:t>не</w:t>
            </w:r>
            <w:r>
              <w:rPr>
                <w:spacing w:val="-4"/>
                <w:sz w:val="20"/>
              </w:rPr>
              <w:t> </w:t>
            </w:r>
            <w:r>
              <w:rPr>
                <w:sz w:val="20"/>
              </w:rPr>
              <w:t>более</w:t>
            </w:r>
            <w:r>
              <w:rPr>
                <w:spacing w:val="-4"/>
                <w:sz w:val="20"/>
              </w:rPr>
              <w:t> </w:t>
            </w:r>
            <w:r>
              <w:rPr>
                <w:sz w:val="20"/>
              </w:rPr>
              <w:t>5</w:t>
            </w:r>
            <w:r>
              <w:rPr>
                <w:spacing w:val="-3"/>
                <w:sz w:val="20"/>
              </w:rPr>
              <w:t> </w:t>
            </w:r>
            <w:r>
              <w:rPr>
                <w:spacing w:val="-4"/>
                <w:sz w:val="20"/>
              </w:rPr>
              <w:t>дней</w:t>
            </w:r>
          </w:p>
        </w:tc>
      </w:tr>
      <w:tr>
        <w:trPr>
          <w:trHeight w:val="33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4"/>
              <w:ind w:left="114"/>
              <w:rPr>
                <w:sz w:val="20"/>
              </w:rPr>
            </w:pPr>
            <w:r>
              <w:rPr>
                <w:spacing w:val="-5"/>
                <w:sz w:val="20"/>
              </w:rPr>
              <w:t>или</w:t>
            </w:r>
          </w:p>
        </w:tc>
      </w:tr>
      <w:tr>
        <w:trPr>
          <w:trHeight w:val="59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148"/>
              <w:ind w:left="114"/>
              <w:rPr>
                <w:b/>
                <w:position w:val="8"/>
                <w:sz w:val="16"/>
              </w:rPr>
            </w:pPr>
            <w:r>
              <w:rPr>
                <w:spacing w:val="-2"/>
                <w:sz w:val="20"/>
              </w:rPr>
              <w:t>Нирматрелвир+Ритонавир</w:t>
            </w:r>
            <w:r>
              <w:rPr>
                <w:spacing w:val="19"/>
                <w:sz w:val="20"/>
              </w:rPr>
              <w:t> </w:t>
            </w:r>
            <w:r>
              <w:rPr>
                <w:b/>
                <w:spacing w:val="-10"/>
                <w:position w:val="8"/>
                <w:sz w:val="16"/>
              </w:rPr>
              <w:t>4</w:t>
            </w:r>
          </w:p>
        </w:tc>
        <w:tc>
          <w:tcPr>
            <w:tcW w:w="9502" w:type="dxa"/>
          </w:tcPr>
          <w:p>
            <w:pPr>
              <w:pStyle w:val="TableParagraph"/>
              <w:spacing w:before="63"/>
              <w:ind w:left="109" w:right="216"/>
              <w:rPr>
                <w:sz w:val="20"/>
              </w:rPr>
            </w:pPr>
            <w:r>
              <w:rPr>
                <w:sz w:val="20"/>
              </w:rPr>
              <w:t>300</w:t>
            </w:r>
            <w:r>
              <w:rPr>
                <w:spacing w:val="-3"/>
                <w:sz w:val="20"/>
              </w:rPr>
              <w:t> </w:t>
            </w:r>
            <w:r>
              <w:rPr>
                <w:sz w:val="20"/>
              </w:rPr>
              <w:t>мг</w:t>
            </w:r>
            <w:r>
              <w:rPr>
                <w:spacing w:val="-5"/>
                <w:sz w:val="20"/>
              </w:rPr>
              <w:t> </w:t>
            </w:r>
            <w:r>
              <w:rPr>
                <w:sz w:val="20"/>
              </w:rPr>
              <w:t>нирматрелвира</w:t>
            </w:r>
            <w:r>
              <w:rPr>
                <w:spacing w:val="-4"/>
                <w:sz w:val="20"/>
              </w:rPr>
              <w:t> </w:t>
            </w:r>
            <w:r>
              <w:rPr>
                <w:sz w:val="20"/>
              </w:rPr>
              <w:t>+</w:t>
            </w:r>
            <w:r>
              <w:rPr>
                <w:spacing w:val="-4"/>
                <w:sz w:val="20"/>
              </w:rPr>
              <w:t> </w:t>
            </w:r>
            <w:r>
              <w:rPr>
                <w:sz w:val="20"/>
              </w:rPr>
              <w:t>100</w:t>
            </w:r>
            <w:r>
              <w:rPr>
                <w:spacing w:val="-5"/>
                <w:sz w:val="20"/>
              </w:rPr>
              <w:t> </w:t>
            </w:r>
            <w:r>
              <w:rPr>
                <w:sz w:val="20"/>
              </w:rPr>
              <w:t>мг</w:t>
            </w:r>
            <w:r>
              <w:rPr>
                <w:spacing w:val="-5"/>
                <w:sz w:val="20"/>
              </w:rPr>
              <w:t> </w:t>
            </w:r>
            <w:r>
              <w:rPr>
                <w:sz w:val="20"/>
              </w:rPr>
              <w:t>ритонавира два</w:t>
            </w:r>
            <w:r>
              <w:rPr>
                <w:spacing w:val="-5"/>
                <w:sz w:val="20"/>
              </w:rPr>
              <w:t> </w:t>
            </w:r>
            <w:r>
              <w:rPr>
                <w:sz w:val="20"/>
              </w:rPr>
              <w:t>раза</w:t>
            </w:r>
            <w:r>
              <w:rPr>
                <w:spacing w:val="-4"/>
                <w:sz w:val="20"/>
              </w:rPr>
              <w:t> </w:t>
            </w:r>
            <w:r>
              <w:rPr>
                <w:sz w:val="20"/>
              </w:rPr>
              <w:t>в</w:t>
            </w:r>
            <w:r>
              <w:rPr>
                <w:spacing w:val="-5"/>
                <w:sz w:val="20"/>
              </w:rPr>
              <w:t> </w:t>
            </w:r>
            <w:r>
              <w:rPr>
                <w:sz w:val="20"/>
              </w:rPr>
              <w:t>сутки</w:t>
            </w:r>
            <w:r>
              <w:rPr>
                <w:spacing w:val="-5"/>
                <w:sz w:val="20"/>
              </w:rPr>
              <w:t> </w:t>
            </w:r>
            <w:r>
              <w:rPr>
                <w:sz w:val="20"/>
              </w:rPr>
              <w:t>(каждые</w:t>
            </w:r>
            <w:r>
              <w:rPr>
                <w:spacing w:val="-4"/>
                <w:sz w:val="20"/>
              </w:rPr>
              <w:t> </w:t>
            </w:r>
            <w:r>
              <w:rPr>
                <w:sz w:val="20"/>
              </w:rPr>
              <w:t>12</w:t>
            </w:r>
            <w:r>
              <w:rPr>
                <w:spacing w:val="-3"/>
                <w:sz w:val="20"/>
              </w:rPr>
              <w:t> </w:t>
            </w:r>
            <w:r>
              <w:rPr>
                <w:sz w:val="20"/>
              </w:rPr>
              <w:t>часов). Суточная</w:t>
            </w:r>
            <w:r>
              <w:rPr>
                <w:spacing w:val="-5"/>
                <w:sz w:val="20"/>
              </w:rPr>
              <w:t> </w:t>
            </w:r>
            <w:r>
              <w:rPr>
                <w:sz w:val="20"/>
              </w:rPr>
              <w:t>доза</w:t>
            </w:r>
            <w:r>
              <w:rPr>
                <w:spacing w:val="-4"/>
                <w:sz w:val="20"/>
              </w:rPr>
              <w:t> </w:t>
            </w:r>
            <w:r>
              <w:rPr>
                <w:sz w:val="20"/>
              </w:rPr>
              <w:t>составляет 600 мг нирматрелвира + 200 мг ритонавира.</w:t>
            </w:r>
            <w:r>
              <w:rPr>
                <w:spacing w:val="40"/>
                <w:sz w:val="20"/>
              </w:rPr>
              <w:t> </w:t>
            </w:r>
            <w:r>
              <w:rPr>
                <w:sz w:val="20"/>
              </w:rPr>
              <w:t>Продолжительность курса лечения - 5 суток.</w:t>
            </w:r>
          </w:p>
        </w:tc>
      </w:tr>
      <w:tr>
        <w:trPr>
          <w:trHeight w:val="26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3"/>
              <w:ind w:left="114"/>
              <w:rPr>
                <w:sz w:val="20"/>
              </w:rPr>
            </w:pPr>
            <w:r>
              <w:rPr>
                <w:spacing w:val="-5"/>
                <w:sz w:val="20"/>
              </w:rPr>
              <w:t>или</w:t>
            </w:r>
          </w:p>
        </w:tc>
      </w:tr>
      <w:tr>
        <w:trPr>
          <w:trHeight w:val="73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2"/>
              <w:ind w:left="114"/>
              <w:rPr>
                <w:sz w:val="20"/>
              </w:rPr>
            </w:pPr>
            <w:r>
              <w:rPr>
                <w:spacing w:val="-2"/>
                <w:sz w:val="20"/>
              </w:rPr>
              <w:t>Ремдесивир</w:t>
            </w:r>
          </w:p>
        </w:tc>
        <w:tc>
          <w:tcPr>
            <w:tcW w:w="9502" w:type="dxa"/>
          </w:tcPr>
          <w:p>
            <w:pPr>
              <w:pStyle w:val="TableParagraph"/>
              <w:spacing w:line="254" w:lineRule="auto" w:before="2"/>
              <w:ind w:left="109" w:right="2694"/>
              <w:rPr>
                <w:sz w:val="20"/>
              </w:rPr>
            </w:pPr>
            <w:r>
              <w:rPr>
                <w:sz w:val="20"/>
              </w:rPr>
              <w:t>1-й</w:t>
            </w:r>
            <w:r>
              <w:rPr>
                <w:spacing w:val="-6"/>
                <w:sz w:val="20"/>
              </w:rPr>
              <w:t> </w:t>
            </w:r>
            <w:r>
              <w:rPr>
                <w:sz w:val="20"/>
              </w:rPr>
              <w:t>день:</w:t>
            </w:r>
            <w:r>
              <w:rPr>
                <w:spacing w:val="-5"/>
                <w:sz w:val="20"/>
              </w:rPr>
              <w:t> </w:t>
            </w:r>
            <w:r>
              <w:rPr>
                <w:sz w:val="20"/>
              </w:rPr>
              <w:t>200</w:t>
            </w:r>
            <w:r>
              <w:rPr>
                <w:spacing w:val="-4"/>
                <w:sz w:val="20"/>
              </w:rPr>
              <w:t> </w:t>
            </w:r>
            <w:r>
              <w:rPr>
                <w:sz w:val="20"/>
              </w:rPr>
              <w:t>мг</w:t>
            </w:r>
            <w:r>
              <w:rPr>
                <w:spacing w:val="-6"/>
                <w:sz w:val="20"/>
              </w:rPr>
              <w:t> </w:t>
            </w:r>
            <w:r>
              <w:rPr>
                <w:sz w:val="20"/>
              </w:rPr>
              <w:t>(в</w:t>
            </w:r>
            <w:r>
              <w:rPr>
                <w:spacing w:val="-6"/>
                <w:sz w:val="20"/>
              </w:rPr>
              <w:t> </w:t>
            </w:r>
            <w:r>
              <w:rPr>
                <w:sz w:val="20"/>
              </w:rPr>
              <w:t>0,9</w:t>
            </w:r>
            <w:r>
              <w:rPr>
                <w:spacing w:val="-7"/>
                <w:sz w:val="20"/>
              </w:rPr>
              <w:t> </w:t>
            </w:r>
            <w:r>
              <w:rPr>
                <w:sz w:val="20"/>
              </w:rPr>
              <w:t>%</w:t>
            </w:r>
            <w:r>
              <w:rPr>
                <w:spacing w:val="-6"/>
                <w:sz w:val="20"/>
              </w:rPr>
              <w:t> </w:t>
            </w:r>
            <w:r>
              <w:rPr>
                <w:sz w:val="20"/>
              </w:rPr>
              <w:t>растворе</w:t>
            </w:r>
            <w:r>
              <w:rPr>
                <w:spacing w:val="-5"/>
                <w:sz w:val="20"/>
              </w:rPr>
              <w:t> </w:t>
            </w:r>
            <w:r>
              <w:rPr>
                <w:sz w:val="20"/>
              </w:rPr>
              <w:t>натрия</w:t>
            </w:r>
            <w:r>
              <w:rPr>
                <w:spacing w:val="-6"/>
                <w:sz w:val="20"/>
              </w:rPr>
              <w:t> </w:t>
            </w:r>
            <w:r>
              <w:rPr>
                <w:sz w:val="20"/>
              </w:rPr>
              <w:t>хлорида)</w:t>
            </w:r>
            <w:r>
              <w:rPr>
                <w:spacing w:val="-5"/>
                <w:sz w:val="20"/>
              </w:rPr>
              <w:t> </w:t>
            </w:r>
            <w:r>
              <w:rPr>
                <w:sz w:val="20"/>
              </w:rPr>
              <w:t>однократно внутривенно Со 2-го дня: 100 мг в/в 1 р/сут.</w:t>
            </w:r>
          </w:p>
          <w:p>
            <w:pPr>
              <w:pStyle w:val="TableParagraph"/>
              <w:spacing w:line="220" w:lineRule="exact" w:before="2"/>
              <w:ind w:left="109"/>
              <w:rPr>
                <w:sz w:val="20"/>
              </w:rPr>
            </w:pPr>
            <w:r>
              <w:rPr>
                <w:sz w:val="20"/>
              </w:rPr>
              <w:t>Общий</w:t>
            </w:r>
            <w:r>
              <w:rPr>
                <w:spacing w:val="-6"/>
                <w:sz w:val="20"/>
              </w:rPr>
              <w:t> </w:t>
            </w:r>
            <w:r>
              <w:rPr>
                <w:sz w:val="20"/>
              </w:rPr>
              <w:t>курс</w:t>
            </w:r>
            <w:r>
              <w:rPr>
                <w:spacing w:val="-4"/>
                <w:sz w:val="20"/>
              </w:rPr>
              <w:t> </w:t>
            </w:r>
            <w:r>
              <w:rPr>
                <w:sz w:val="20"/>
              </w:rPr>
              <w:t>не</w:t>
            </w:r>
            <w:r>
              <w:rPr>
                <w:spacing w:val="-4"/>
                <w:sz w:val="20"/>
              </w:rPr>
              <w:t> </w:t>
            </w:r>
            <w:r>
              <w:rPr>
                <w:sz w:val="20"/>
              </w:rPr>
              <w:t>более</w:t>
            </w:r>
            <w:r>
              <w:rPr>
                <w:spacing w:val="-4"/>
                <w:sz w:val="20"/>
              </w:rPr>
              <w:t> </w:t>
            </w:r>
            <w:r>
              <w:rPr>
                <w:sz w:val="20"/>
              </w:rPr>
              <w:t>10</w:t>
            </w:r>
            <w:r>
              <w:rPr>
                <w:spacing w:val="-3"/>
                <w:sz w:val="20"/>
              </w:rPr>
              <w:t> </w:t>
            </w:r>
            <w:r>
              <w:rPr>
                <w:spacing w:val="-4"/>
                <w:sz w:val="20"/>
              </w:rPr>
              <w:t>дней</w:t>
            </w:r>
          </w:p>
        </w:tc>
      </w:tr>
      <w:tr>
        <w:trPr>
          <w:trHeight w:val="24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23" w:lineRule="exact" w:before="2"/>
              <w:ind w:left="114"/>
              <w:rPr>
                <w:sz w:val="20"/>
              </w:rPr>
            </w:pPr>
            <w:r>
              <w:rPr>
                <w:spacing w:val="-5"/>
                <w:sz w:val="20"/>
              </w:rPr>
              <w:t>или</w:t>
            </w:r>
          </w:p>
        </w:tc>
      </w:tr>
    </w:tbl>
    <w:p>
      <w:pPr>
        <w:spacing w:before="129"/>
        <w:ind w:left="0" w:right="15" w:firstLine="0"/>
        <w:jc w:val="center"/>
        <w:rPr>
          <w:rFonts w:ascii="Calibri"/>
          <w:sz w:val="22"/>
        </w:rPr>
      </w:pPr>
      <w:r>
        <w:rPr>
          <w:rFonts w:ascii="Calibri"/>
          <w:spacing w:val="-5"/>
          <w:sz w:val="22"/>
        </w:rPr>
        <w:t>215</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31"/>
        <w:gridCol w:w="447"/>
        <w:gridCol w:w="3664"/>
        <w:gridCol w:w="9502"/>
      </w:tblGrid>
      <w:tr>
        <w:trPr>
          <w:trHeight w:val="520" w:hRule="atLeast"/>
        </w:trPr>
        <w:tc>
          <w:tcPr>
            <w:tcW w:w="1131" w:type="dxa"/>
            <w:vMerge w:val="restart"/>
          </w:tcPr>
          <w:p>
            <w:pPr>
              <w:pStyle w:val="TableParagraph"/>
              <w:rPr>
                <w:sz w:val="18"/>
              </w:rPr>
            </w:pPr>
          </w:p>
        </w:tc>
        <w:tc>
          <w:tcPr>
            <w:tcW w:w="447" w:type="dxa"/>
            <w:vMerge w:val="restart"/>
          </w:tcPr>
          <w:p>
            <w:pPr>
              <w:pStyle w:val="TableParagraph"/>
              <w:rPr>
                <w:sz w:val="18"/>
              </w:rPr>
            </w:pPr>
          </w:p>
        </w:tc>
        <w:tc>
          <w:tcPr>
            <w:tcW w:w="3664" w:type="dxa"/>
          </w:tcPr>
          <w:p>
            <w:pPr>
              <w:pStyle w:val="TableParagraph"/>
              <w:spacing w:line="227" w:lineRule="exact" w:before="10"/>
              <w:ind w:left="114"/>
              <w:rPr>
                <w:sz w:val="20"/>
              </w:rPr>
            </w:pPr>
            <w:bookmarkStart w:name="217" w:id="259"/>
            <w:bookmarkEnd w:id="259"/>
            <w:r>
              <w:rPr/>
            </w:r>
            <w:r>
              <w:rPr>
                <w:sz w:val="20"/>
              </w:rPr>
              <w:t>Иммуноглобулин</w:t>
            </w:r>
            <w:r>
              <w:rPr>
                <w:spacing w:val="-11"/>
                <w:sz w:val="20"/>
              </w:rPr>
              <w:t> </w:t>
            </w:r>
            <w:r>
              <w:rPr>
                <w:sz w:val="20"/>
              </w:rPr>
              <w:t>человека</w:t>
            </w:r>
            <w:r>
              <w:rPr>
                <w:spacing w:val="-8"/>
                <w:sz w:val="20"/>
              </w:rPr>
              <w:t> </w:t>
            </w:r>
            <w:r>
              <w:rPr>
                <w:spacing w:val="-2"/>
                <w:sz w:val="20"/>
              </w:rPr>
              <w:t>против</w:t>
            </w:r>
          </w:p>
          <w:p>
            <w:pPr>
              <w:pStyle w:val="TableParagraph"/>
              <w:spacing w:line="264" w:lineRule="exact"/>
              <w:ind w:left="114"/>
              <w:rPr>
                <w:b/>
                <w:position w:val="8"/>
                <w:sz w:val="16"/>
              </w:rPr>
            </w:pPr>
            <w:r>
              <w:rPr>
                <w:sz w:val="20"/>
              </w:rPr>
              <w:t>COVID-19</w:t>
            </w:r>
            <w:r>
              <w:rPr>
                <w:spacing w:val="-7"/>
                <w:sz w:val="20"/>
              </w:rPr>
              <w:t> </w:t>
            </w:r>
            <w:r>
              <w:rPr>
                <w:b/>
                <w:spacing w:val="-10"/>
                <w:position w:val="8"/>
                <w:sz w:val="16"/>
              </w:rPr>
              <w:t>2</w:t>
            </w:r>
          </w:p>
        </w:tc>
        <w:tc>
          <w:tcPr>
            <w:tcW w:w="9502" w:type="dxa"/>
          </w:tcPr>
          <w:p>
            <w:pPr>
              <w:pStyle w:val="TableParagraph"/>
              <w:spacing w:before="10"/>
              <w:ind w:left="109"/>
              <w:rPr>
                <w:sz w:val="20"/>
              </w:rPr>
            </w:pPr>
            <w:r>
              <w:rPr>
                <w:sz w:val="20"/>
              </w:rPr>
              <w:t>1</w:t>
            </w:r>
            <w:r>
              <w:rPr>
                <w:spacing w:val="-5"/>
                <w:sz w:val="20"/>
              </w:rPr>
              <w:t> </w:t>
            </w:r>
            <w:r>
              <w:rPr>
                <w:sz w:val="20"/>
              </w:rPr>
              <w:t>мл</w:t>
            </w:r>
            <w:r>
              <w:rPr>
                <w:spacing w:val="-7"/>
                <w:sz w:val="20"/>
              </w:rPr>
              <w:t> </w:t>
            </w:r>
            <w:r>
              <w:rPr>
                <w:sz w:val="20"/>
              </w:rPr>
              <w:t>на</w:t>
            </w:r>
            <w:r>
              <w:rPr>
                <w:spacing w:val="-6"/>
                <w:sz w:val="20"/>
              </w:rPr>
              <w:t> </w:t>
            </w:r>
            <w:r>
              <w:rPr>
                <w:sz w:val="20"/>
              </w:rPr>
              <w:t>кг</w:t>
            </w:r>
            <w:r>
              <w:rPr>
                <w:spacing w:val="-6"/>
                <w:sz w:val="20"/>
              </w:rPr>
              <w:t> </w:t>
            </w:r>
            <w:r>
              <w:rPr>
                <w:sz w:val="20"/>
              </w:rPr>
              <w:t>массы</w:t>
            </w:r>
            <w:r>
              <w:rPr>
                <w:spacing w:val="-6"/>
                <w:sz w:val="20"/>
              </w:rPr>
              <w:t> </w:t>
            </w:r>
            <w:r>
              <w:rPr>
                <w:sz w:val="20"/>
              </w:rPr>
              <w:t>тела</w:t>
            </w:r>
            <w:r>
              <w:rPr>
                <w:spacing w:val="-6"/>
                <w:sz w:val="20"/>
              </w:rPr>
              <w:t> </w:t>
            </w:r>
            <w:r>
              <w:rPr>
                <w:sz w:val="20"/>
              </w:rPr>
              <w:t>однократно</w:t>
            </w:r>
            <w:r>
              <w:rPr>
                <w:spacing w:val="-4"/>
                <w:sz w:val="20"/>
              </w:rPr>
              <w:t> </w:t>
            </w:r>
            <w:r>
              <w:rPr>
                <w:sz w:val="20"/>
              </w:rPr>
              <w:t>внутривенно</w:t>
            </w:r>
            <w:r>
              <w:rPr>
                <w:spacing w:val="-5"/>
                <w:sz w:val="20"/>
              </w:rPr>
              <w:t> </w:t>
            </w:r>
            <w:r>
              <w:rPr>
                <w:sz w:val="20"/>
              </w:rPr>
              <w:t>капельно</w:t>
            </w:r>
            <w:r>
              <w:rPr>
                <w:spacing w:val="-5"/>
                <w:sz w:val="20"/>
              </w:rPr>
              <w:t> </w:t>
            </w:r>
            <w:r>
              <w:rPr>
                <w:sz w:val="20"/>
              </w:rPr>
              <w:t>без</w:t>
            </w:r>
            <w:r>
              <w:rPr>
                <w:spacing w:val="-6"/>
                <w:sz w:val="20"/>
              </w:rPr>
              <w:t> </w:t>
            </w:r>
            <w:r>
              <w:rPr>
                <w:spacing w:val="-2"/>
                <w:sz w:val="20"/>
              </w:rPr>
              <w:t>разведения</w:t>
            </w:r>
          </w:p>
        </w:tc>
      </w:tr>
      <w:tr>
        <w:trPr>
          <w:trHeight w:val="36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9"/>
              <w:ind w:left="114"/>
              <w:rPr>
                <w:sz w:val="20"/>
              </w:rPr>
            </w:pPr>
            <w:r>
              <w:rPr>
                <w:spacing w:val="-5"/>
                <w:sz w:val="20"/>
              </w:rPr>
              <w:t>или</w:t>
            </w:r>
          </w:p>
        </w:tc>
      </w:tr>
      <w:tr>
        <w:trPr>
          <w:trHeight w:val="70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30" w:lineRule="atLeast"/>
              <w:ind w:left="114" w:right="180"/>
              <w:rPr>
                <w:sz w:val="20"/>
              </w:rPr>
            </w:pPr>
            <w:r>
              <w:rPr>
                <w:sz w:val="20"/>
              </w:rPr>
              <w:t>Синтетическая малая </w:t>
            </w:r>
            <w:r>
              <w:rPr>
                <w:spacing w:val="-2"/>
                <w:sz w:val="20"/>
              </w:rPr>
              <w:t>интерферирующая рибонуклеиновая </w:t>
            </w:r>
            <w:r>
              <w:rPr>
                <w:sz w:val="20"/>
              </w:rPr>
              <w:t>кислота (миРНК) [двуцепочечная]</w:t>
            </w:r>
          </w:p>
        </w:tc>
        <w:tc>
          <w:tcPr>
            <w:tcW w:w="9502" w:type="dxa"/>
          </w:tcPr>
          <w:p>
            <w:pPr>
              <w:pStyle w:val="TableParagraph"/>
              <w:spacing w:line="254" w:lineRule="auto" w:before="9"/>
              <w:ind w:left="109" w:right="1657"/>
              <w:rPr>
                <w:sz w:val="20"/>
              </w:rPr>
            </w:pPr>
            <w:r>
              <w:rPr>
                <w:sz w:val="20"/>
              </w:rPr>
              <w:t>Два</w:t>
            </w:r>
            <w:r>
              <w:rPr>
                <w:spacing w:val="-5"/>
                <w:sz w:val="20"/>
              </w:rPr>
              <w:t> </w:t>
            </w:r>
            <w:r>
              <w:rPr>
                <w:sz w:val="20"/>
              </w:rPr>
              <w:t>приема</w:t>
            </w:r>
            <w:r>
              <w:rPr>
                <w:spacing w:val="-4"/>
                <w:sz w:val="20"/>
              </w:rPr>
              <w:t> </w:t>
            </w:r>
            <w:r>
              <w:rPr>
                <w:sz w:val="20"/>
              </w:rPr>
              <w:t>с</w:t>
            </w:r>
            <w:r>
              <w:rPr>
                <w:spacing w:val="-4"/>
                <w:sz w:val="20"/>
              </w:rPr>
              <w:t> </w:t>
            </w:r>
            <w:r>
              <w:rPr>
                <w:sz w:val="20"/>
              </w:rPr>
              <w:t>перерывом</w:t>
            </w:r>
            <w:r>
              <w:rPr>
                <w:spacing w:val="-3"/>
                <w:sz w:val="20"/>
              </w:rPr>
              <w:t> </w:t>
            </w:r>
            <w:r>
              <w:rPr>
                <w:sz w:val="20"/>
              </w:rPr>
              <w:t>7-8</w:t>
            </w:r>
            <w:r>
              <w:rPr>
                <w:spacing w:val="-5"/>
                <w:sz w:val="20"/>
              </w:rPr>
              <w:t> </w:t>
            </w:r>
            <w:r>
              <w:rPr>
                <w:sz w:val="20"/>
              </w:rPr>
              <w:t>часов.</w:t>
            </w:r>
            <w:r>
              <w:rPr>
                <w:spacing w:val="-4"/>
                <w:sz w:val="20"/>
              </w:rPr>
              <w:t> </w:t>
            </w:r>
            <w:r>
              <w:rPr>
                <w:sz w:val="20"/>
              </w:rPr>
              <w:t>Разовая</w:t>
            </w:r>
            <w:r>
              <w:rPr>
                <w:spacing w:val="-5"/>
                <w:sz w:val="20"/>
              </w:rPr>
              <w:t> </w:t>
            </w:r>
            <w:r>
              <w:rPr>
                <w:sz w:val="20"/>
              </w:rPr>
              <w:t>доза</w:t>
            </w:r>
            <w:r>
              <w:rPr>
                <w:spacing w:val="-4"/>
                <w:sz w:val="20"/>
              </w:rPr>
              <w:t> </w:t>
            </w:r>
            <w:r>
              <w:rPr>
                <w:sz w:val="20"/>
              </w:rPr>
              <w:t>составляет</w:t>
            </w:r>
            <w:r>
              <w:rPr>
                <w:spacing w:val="-5"/>
                <w:sz w:val="20"/>
              </w:rPr>
              <w:t> </w:t>
            </w:r>
            <w:r>
              <w:rPr>
                <w:sz w:val="20"/>
              </w:rPr>
              <w:t>1,85</w:t>
            </w:r>
            <w:r>
              <w:rPr>
                <w:spacing w:val="-3"/>
                <w:sz w:val="20"/>
              </w:rPr>
              <w:t> </w:t>
            </w:r>
            <w:r>
              <w:rPr>
                <w:sz w:val="20"/>
              </w:rPr>
              <w:t>мг,</w:t>
            </w:r>
            <w:r>
              <w:rPr>
                <w:spacing w:val="-4"/>
                <w:sz w:val="20"/>
              </w:rPr>
              <w:t> </w:t>
            </w:r>
            <w:r>
              <w:rPr>
                <w:sz w:val="20"/>
              </w:rPr>
              <w:t>суточная –</w:t>
            </w:r>
            <w:r>
              <w:rPr>
                <w:spacing w:val="-5"/>
                <w:sz w:val="20"/>
              </w:rPr>
              <w:t> </w:t>
            </w:r>
            <w:r>
              <w:rPr>
                <w:sz w:val="20"/>
              </w:rPr>
              <w:t>3,7</w:t>
            </w:r>
            <w:r>
              <w:rPr>
                <w:spacing w:val="-3"/>
                <w:sz w:val="20"/>
              </w:rPr>
              <w:t> </w:t>
            </w:r>
            <w:r>
              <w:rPr>
                <w:sz w:val="20"/>
              </w:rPr>
              <w:t>мг. Курс лечения – 14 дней (28 ингаляций).</w:t>
            </w:r>
          </w:p>
        </w:tc>
      </w:tr>
      <w:tr>
        <w:trPr>
          <w:trHeight w:val="705" w:hRule="atLeast"/>
        </w:trPr>
        <w:tc>
          <w:tcPr>
            <w:tcW w:w="1131" w:type="dxa"/>
            <w:vMerge/>
            <w:tcBorders>
              <w:top w:val="nil"/>
            </w:tcBorders>
          </w:tcPr>
          <w:p>
            <w:pPr>
              <w:rPr>
                <w:sz w:val="2"/>
                <w:szCs w:val="2"/>
              </w:rPr>
            </w:pPr>
          </w:p>
        </w:tc>
        <w:tc>
          <w:tcPr>
            <w:tcW w:w="447" w:type="dxa"/>
            <w:vMerge w:val="restart"/>
          </w:tcPr>
          <w:p>
            <w:pPr>
              <w:pStyle w:val="TableParagraph"/>
              <w:spacing w:before="8"/>
              <w:ind w:left="112"/>
              <w:rPr>
                <w:sz w:val="20"/>
              </w:rPr>
            </w:pPr>
            <w:r>
              <w:rPr>
                <w:spacing w:val="-10"/>
                <w:sz w:val="20"/>
              </w:rPr>
              <w:t>2</w:t>
            </w:r>
          </w:p>
        </w:tc>
        <w:tc>
          <w:tcPr>
            <w:tcW w:w="3664" w:type="dxa"/>
          </w:tcPr>
          <w:p>
            <w:pPr>
              <w:pStyle w:val="TableParagraph"/>
              <w:spacing w:before="8"/>
              <w:ind w:left="104"/>
              <w:rPr>
                <w:sz w:val="20"/>
              </w:rPr>
            </w:pPr>
            <w:r>
              <w:rPr>
                <w:spacing w:val="-2"/>
                <w:sz w:val="20"/>
              </w:rPr>
              <w:t>Левилимаб</w:t>
            </w:r>
          </w:p>
        </w:tc>
        <w:tc>
          <w:tcPr>
            <w:tcW w:w="9502" w:type="dxa"/>
          </w:tcPr>
          <w:p>
            <w:pPr>
              <w:pStyle w:val="TableParagraph"/>
              <w:spacing w:before="8"/>
              <w:ind w:left="99"/>
              <w:rPr>
                <w:sz w:val="20"/>
              </w:rPr>
            </w:pPr>
            <w:r>
              <w:rPr>
                <w:sz w:val="20"/>
              </w:rPr>
              <w:t>324</w:t>
            </w:r>
            <w:r>
              <w:rPr>
                <w:spacing w:val="-6"/>
                <w:sz w:val="20"/>
              </w:rPr>
              <w:t> </w:t>
            </w:r>
            <w:r>
              <w:rPr>
                <w:sz w:val="20"/>
              </w:rPr>
              <w:t>мг</w:t>
            </w:r>
            <w:r>
              <w:rPr>
                <w:spacing w:val="-8"/>
                <w:sz w:val="20"/>
              </w:rPr>
              <w:t> </w:t>
            </w:r>
            <w:r>
              <w:rPr>
                <w:sz w:val="20"/>
              </w:rPr>
              <w:t>(два</w:t>
            </w:r>
            <w:r>
              <w:rPr>
                <w:spacing w:val="-6"/>
                <w:sz w:val="20"/>
              </w:rPr>
              <w:t> </w:t>
            </w:r>
            <w:r>
              <w:rPr>
                <w:sz w:val="20"/>
              </w:rPr>
              <w:t>преднаполненных</w:t>
            </w:r>
            <w:r>
              <w:rPr>
                <w:spacing w:val="-2"/>
                <w:sz w:val="20"/>
              </w:rPr>
              <w:t> </w:t>
            </w:r>
            <w:r>
              <w:rPr>
                <w:sz w:val="20"/>
              </w:rPr>
              <w:t>шприца</w:t>
            </w:r>
            <w:r>
              <w:rPr>
                <w:spacing w:val="-5"/>
                <w:sz w:val="20"/>
              </w:rPr>
              <w:t> </w:t>
            </w:r>
            <w:r>
              <w:rPr>
                <w:sz w:val="20"/>
              </w:rPr>
              <w:t>по</w:t>
            </w:r>
            <w:r>
              <w:rPr>
                <w:spacing w:val="-5"/>
                <w:sz w:val="20"/>
              </w:rPr>
              <w:t> </w:t>
            </w:r>
            <w:r>
              <w:rPr>
                <w:sz w:val="20"/>
              </w:rPr>
              <w:t>162</w:t>
            </w:r>
            <w:r>
              <w:rPr>
                <w:spacing w:val="-5"/>
                <w:sz w:val="20"/>
              </w:rPr>
              <w:t> </w:t>
            </w:r>
            <w:r>
              <w:rPr>
                <w:sz w:val="20"/>
              </w:rPr>
              <w:t>мг/0,9</w:t>
            </w:r>
            <w:r>
              <w:rPr>
                <w:spacing w:val="-5"/>
                <w:sz w:val="20"/>
              </w:rPr>
              <w:t> </w:t>
            </w:r>
            <w:r>
              <w:rPr>
                <w:sz w:val="20"/>
              </w:rPr>
              <w:t>мл)</w:t>
            </w:r>
            <w:r>
              <w:rPr>
                <w:spacing w:val="-7"/>
                <w:sz w:val="20"/>
              </w:rPr>
              <w:t> </w:t>
            </w:r>
            <w:r>
              <w:rPr>
                <w:sz w:val="20"/>
              </w:rPr>
              <w:t>внутривенно</w:t>
            </w:r>
            <w:r>
              <w:rPr>
                <w:spacing w:val="-5"/>
                <w:sz w:val="20"/>
              </w:rPr>
              <w:t> </w:t>
            </w:r>
            <w:r>
              <w:rPr>
                <w:sz w:val="20"/>
              </w:rPr>
              <w:t>однократно,</w:t>
            </w:r>
            <w:r>
              <w:rPr>
                <w:spacing w:val="-1"/>
                <w:sz w:val="20"/>
              </w:rPr>
              <w:t> </w:t>
            </w:r>
            <w:r>
              <w:rPr>
                <w:sz w:val="20"/>
              </w:rPr>
              <w:t>разводя</w:t>
            </w:r>
            <w:r>
              <w:rPr>
                <w:spacing w:val="-7"/>
                <w:sz w:val="20"/>
              </w:rPr>
              <w:t> </w:t>
            </w:r>
            <w:r>
              <w:rPr>
                <w:sz w:val="20"/>
              </w:rPr>
              <w:t>в</w:t>
            </w:r>
            <w:r>
              <w:rPr>
                <w:spacing w:val="-7"/>
                <w:sz w:val="20"/>
              </w:rPr>
              <w:t> </w:t>
            </w:r>
            <w:r>
              <w:rPr>
                <w:sz w:val="20"/>
              </w:rPr>
              <w:t>100</w:t>
            </w:r>
            <w:r>
              <w:rPr>
                <w:spacing w:val="-5"/>
                <w:sz w:val="20"/>
              </w:rPr>
              <w:t> </w:t>
            </w:r>
            <w:r>
              <w:rPr>
                <w:sz w:val="20"/>
              </w:rPr>
              <w:t>мл</w:t>
            </w:r>
            <w:r>
              <w:rPr>
                <w:spacing w:val="-6"/>
                <w:sz w:val="20"/>
              </w:rPr>
              <w:t> </w:t>
            </w:r>
            <w:r>
              <w:rPr>
                <w:spacing w:val="-4"/>
                <w:sz w:val="20"/>
              </w:rPr>
              <w:t>0,9%</w:t>
            </w:r>
          </w:p>
          <w:p>
            <w:pPr>
              <w:pStyle w:val="TableParagraph"/>
              <w:spacing w:line="230" w:lineRule="atLeast"/>
              <w:ind w:left="99"/>
              <w:rPr>
                <w:sz w:val="20"/>
              </w:rPr>
            </w:pPr>
            <w:r>
              <w:rPr>
                <w:sz w:val="20"/>
              </w:rPr>
              <w:t>раствора</w:t>
            </w:r>
            <w:r>
              <w:rPr>
                <w:spacing w:val="-5"/>
                <w:sz w:val="20"/>
              </w:rPr>
              <w:t> </w:t>
            </w:r>
            <w:r>
              <w:rPr>
                <w:sz w:val="20"/>
              </w:rPr>
              <w:t>NaCl,</w:t>
            </w:r>
            <w:r>
              <w:rPr>
                <w:spacing w:val="-5"/>
                <w:sz w:val="20"/>
              </w:rPr>
              <w:t> </w:t>
            </w:r>
            <w:r>
              <w:rPr>
                <w:sz w:val="20"/>
              </w:rPr>
              <w:t>вводят</w:t>
            </w:r>
            <w:r>
              <w:rPr>
                <w:spacing w:val="-6"/>
                <w:sz w:val="20"/>
              </w:rPr>
              <w:t> </w:t>
            </w:r>
            <w:r>
              <w:rPr>
                <w:sz w:val="20"/>
              </w:rPr>
              <w:t>внутривенно</w:t>
            </w:r>
            <w:r>
              <w:rPr>
                <w:spacing w:val="-4"/>
                <w:sz w:val="20"/>
              </w:rPr>
              <w:t> </w:t>
            </w:r>
            <w:r>
              <w:rPr>
                <w:sz w:val="20"/>
              </w:rPr>
              <w:t>капельно</w:t>
            </w:r>
            <w:r>
              <w:rPr>
                <w:spacing w:val="-4"/>
                <w:sz w:val="20"/>
              </w:rPr>
              <w:t> </w:t>
            </w:r>
            <w:r>
              <w:rPr>
                <w:sz w:val="20"/>
              </w:rPr>
              <w:t>в</w:t>
            </w:r>
            <w:r>
              <w:rPr>
                <w:spacing w:val="-6"/>
                <w:sz w:val="20"/>
              </w:rPr>
              <w:t> </w:t>
            </w:r>
            <w:r>
              <w:rPr>
                <w:sz w:val="20"/>
              </w:rPr>
              <w:t>течение</w:t>
            </w:r>
            <w:r>
              <w:rPr>
                <w:spacing w:val="-5"/>
                <w:sz w:val="20"/>
              </w:rPr>
              <w:t> </w:t>
            </w:r>
            <w:r>
              <w:rPr>
                <w:sz w:val="20"/>
              </w:rPr>
              <w:t>60</w:t>
            </w:r>
            <w:r>
              <w:rPr>
                <w:spacing w:val="-4"/>
                <w:sz w:val="20"/>
              </w:rPr>
              <w:t> </w:t>
            </w:r>
            <w:r>
              <w:rPr>
                <w:sz w:val="20"/>
              </w:rPr>
              <w:t>минут).</w:t>
            </w:r>
            <w:r>
              <w:rPr>
                <w:spacing w:val="-5"/>
                <w:sz w:val="20"/>
              </w:rPr>
              <w:t> </w:t>
            </w:r>
            <w:r>
              <w:rPr>
                <w:sz w:val="20"/>
              </w:rPr>
              <w:t>При</w:t>
            </w:r>
            <w:r>
              <w:rPr>
                <w:spacing w:val="-6"/>
                <w:sz w:val="20"/>
              </w:rPr>
              <w:t> </w:t>
            </w:r>
            <w:r>
              <w:rPr>
                <w:sz w:val="20"/>
              </w:rPr>
              <w:t>недостаточном</w:t>
            </w:r>
            <w:r>
              <w:rPr>
                <w:spacing w:val="-4"/>
                <w:sz w:val="20"/>
              </w:rPr>
              <w:t> </w:t>
            </w:r>
            <w:r>
              <w:rPr>
                <w:sz w:val="20"/>
              </w:rPr>
              <w:t>эффекте</w:t>
            </w:r>
            <w:r>
              <w:rPr>
                <w:spacing w:val="-5"/>
                <w:sz w:val="20"/>
              </w:rPr>
              <w:t> </w:t>
            </w:r>
            <w:r>
              <w:rPr>
                <w:sz w:val="20"/>
              </w:rPr>
              <w:t>повторить введение через 12 ч.</w:t>
            </w:r>
          </w:p>
        </w:tc>
      </w:tr>
      <w:tr>
        <w:trPr>
          <w:trHeight w:val="287"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7"/>
              <w:ind w:left="114"/>
              <w:rPr>
                <w:sz w:val="20"/>
              </w:rPr>
            </w:pPr>
            <w:r>
              <w:rPr>
                <w:spacing w:val="-5"/>
                <w:sz w:val="20"/>
              </w:rPr>
              <w:t>или</w:t>
            </w:r>
          </w:p>
        </w:tc>
      </w:tr>
      <w:tr>
        <w:trPr>
          <w:trHeight w:val="717"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7"/>
              <w:ind w:left="114"/>
              <w:rPr>
                <w:sz w:val="20"/>
              </w:rPr>
            </w:pPr>
            <w:r>
              <w:rPr>
                <w:spacing w:val="-2"/>
                <w:sz w:val="20"/>
              </w:rPr>
              <w:t>Олокизумаб</w:t>
            </w:r>
          </w:p>
        </w:tc>
        <w:tc>
          <w:tcPr>
            <w:tcW w:w="9502" w:type="dxa"/>
          </w:tcPr>
          <w:p>
            <w:pPr>
              <w:pStyle w:val="TableParagraph"/>
              <w:spacing w:before="7"/>
              <w:ind w:left="109"/>
              <w:rPr>
                <w:sz w:val="20"/>
              </w:rPr>
            </w:pPr>
            <w:r>
              <w:rPr>
                <w:sz w:val="20"/>
              </w:rPr>
              <w:t>64</w:t>
            </w:r>
            <w:r>
              <w:rPr>
                <w:spacing w:val="-2"/>
                <w:sz w:val="20"/>
              </w:rPr>
              <w:t> </w:t>
            </w:r>
            <w:r>
              <w:rPr>
                <w:sz w:val="20"/>
              </w:rPr>
              <w:t>–</w:t>
            </w:r>
            <w:r>
              <w:rPr>
                <w:spacing w:val="-4"/>
                <w:sz w:val="20"/>
              </w:rPr>
              <w:t> </w:t>
            </w:r>
            <w:r>
              <w:rPr>
                <w:sz w:val="20"/>
              </w:rPr>
              <w:t>128</w:t>
            </w:r>
            <w:r>
              <w:rPr>
                <w:spacing w:val="-5"/>
                <w:sz w:val="20"/>
              </w:rPr>
              <w:t> </w:t>
            </w:r>
            <w:r>
              <w:rPr>
                <w:sz w:val="20"/>
              </w:rPr>
              <w:t>мг</w:t>
            </w:r>
            <w:r>
              <w:rPr>
                <w:spacing w:val="-4"/>
                <w:sz w:val="20"/>
              </w:rPr>
              <w:t> </w:t>
            </w:r>
            <w:r>
              <w:rPr>
                <w:sz w:val="20"/>
              </w:rPr>
              <w:t>(1</w:t>
            </w:r>
            <w:r>
              <w:rPr>
                <w:spacing w:val="-2"/>
                <w:sz w:val="20"/>
              </w:rPr>
              <w:t> </w:t>
            </w:r>
            <w:r>
              <w:rPr>
                <w:sz w:val="20"/>
              </w:rPr>
              <w:t>или</w:t>
            </w:r>
            <w:r>
              <w:rPr>
                <w:spacing w:val="-4"/>
                <w:sz w:val="20"/>
              </w:rPr>
              <w:t> </w:t>
            </w:r>
            <w:r>
              <w:rPr>
                <w:sz w:val="20"/>
              </w:rPr>
              <w:t>2</w:t>
            </w:r>
            <w:r>
              <w:rPr>
                <w:spacing w:val="-2"/>
                <w:sz w:val="20"/>
              </w:rPr>
              <w:t> </w:t>
            </w:r>
            <w:r>
              <w:rPr>
                <w:sz w:val="20"/>
              </w:rPr>
              <w:t>флакона</w:t>
            </w:r>
            <w:r>
              <w:rPr>
                <w:spacing w:val="-1"/>
                <w:sz w:val="20"/>
              </w:rPr>
              <w:t> </w:t>
            </w:r>
            <w:r>
              <w:rPr>
                <w:sz w:val="20"/>
              </w:rPr>
              <w:t>по</w:t>
            </w:r>
            <w:r>
              <w:rPr>
                <w:spacing w:val="-2"/>
                <w:sz w:val="20"/>
              </w:rPr>
              <w:t> </w:t>
            </w:r>
            <w:r>
              <w:rPr>
                <w:sz w:val="20"/>
              </w:rPr>
              <w:t>160</w:t>
            </w:r>
            <w:r>
              <w:rPr>
                <w:spacing w:val="-2"/>
                <w:sz w:val="20"/>
              </w:rPr>
              <w:t> </w:t>
            </w:r>
            <w:r>
              <w:rPr>
                <w:sz w:val="20"/>
              </w:rPr>
              <w:t>мг/мл,</w:t>
            </w:r>
            <w:r>
              <w:rPr>
                <w:spacing w:val="-3"/>
                <w:sz w:val="20"/>
              </w:rPr>
              <w:t> </w:t>
            </w:r>
            <w:r>
              <w:rPr>
                <w:sz w:val="20"/>
              </w:rPr>
              <w:t>0,4</w:t>
            </w:r>
            <w:r>
              <w:rPr>
                <w:spacing w:val="-2"/>
                <w:sz w:val="20"/>
              </w:rPr>
              <w:t> </w:t>
            </w:r>
            <w:r>
              <w:rPr>
                <w:sz w:val="20"/>
              </w:rPr>
              <w:t>мл)</w:t>
            </w:r>
            <w:r>
              <w:rPr>
                <w:spacing w:val="-5"/>
                <w:sz w:val="20"/>
              </w:rPr>
              <w:t> </w:t>
            </w:r>
            <w:r>
              <w:rPr>
                <w:sz w:val="20"/>
              </w:rPr>
              <w:t>разводят</w:t>
            </w:r>
            <w:r>
              <w:rPr>
                <w:spacing w:val="-4"/>
                <w:sz w:val="20"/>
              </w:rPr>
              <w:t> </w:t>
            </w:r>
            <w:r>
              <w:rPr>
                <w:sz w:val="20"/>
              </w:rPr>
              <w:t>в</w:t>
            </w:r>
            <w:r>
              <w:rPr>
                <w:spacing w:val="-4"/>
                <w:sz w:val="20"/>
              </w:rPr>
              <w:t> </w:t>
            </w:r>
            <w:r>
              <w:rPr>
                <w:sz w:val="20"/>
              </w:rPr>
              <w:t>100</w:t>
            </w:r>
            <w:r>
              <w:rPr>
                <w:spacing w:val="-2"/>
                <w:sz w:val="20"/>
              </w:rPr>
              <w:t> </w:t>
            </w:r>
            <w:r>
              <w:rPr>
                <w:sz w:val="20"/>
              </w:rPr>
              <w:t>мл</w:t>
            </w:r>
            <w:r>
              <w:rPr>
                <w:spacing w:val="-4"/>
                <w:sz w:val="20"/>
              </w:rPr>
              <w:t> </w:t>
            </w:r>
            <w:r>
              <w:rPr>
                <w:sz w:val="20"/>
              </w:rPr>
              <w:t>0,9%</w:t>
            </w:r>
            <w:r>
              <w:rPr>
                <w:spacing w:val="-4"/>
                <w:sz w:val="20"/>
              </w:rPr>
              <w:t> </w:t>
            </w:r>
            <w:r>
              <w:rPr>
                <w:sz w:val="20"/>
              </w:rPr>
              <w:t>раствора</w:t>
            </w:r>
            <w:r>
              <w:rPr>
                <w:spacing w:val="-3"/>
                <w:sz w:val="20"/>
              </w:rPr>
              <w:t> </w:t>
            </w:r>
            <w:r>
              <w:rPr>
                <w:sz w:val="20"/>
              </w:rPr>
              <w:t>NaCl,</w:t>
            </w:r>
            <w:r>
              <w:rPr>
                <w:spacing w:val="-3"/>
                <w:sz w:val="20"/>
              </w:rPr>
              <w:t> </w:t>
            </w:r>
            <w:r>
              <w:rPr>
                <w:sz w:val="20"/>
              </w:rPr>
              <w:t>вввводят внутривенно капельно в течение 60 минут)</w:t>
            </w:r>
          </w:p>
          <w:p>
            <w:pPr>
              <w:pStyle w:val="TableParagraph"/>
              <w:spacing w:line="215" w:lineRule="exact" w:before="15"/>
              <w:ind w:left="109"/>
              <w:rPr>
                <w:sz w:val="20"/>
              </w:rPr>
            </w:pPr>
            <w:r>
              <w:rPr>
                <w:sz w:val="20"/>
              </w:rPr>
              <w:t>При</w:t>
            </w:r>
            <w:r>
              <w:rPr>
                <w:spacing w:val="-8"/>
                <w:sz w:val="20"/>
              </w:rPr>
              <w:t> </w:t>
            </w:r>
            <w:r>
              <w:rPr>
                <w:sz w:val="20"/>
              </w:rPr>
              <w:t>недостаточном</w:t>
            </w:r>
            <w:r>
              <w:rPr>
                <w:spacing w:val="-5"/>
                <w:sz w:val="20"/>
              </w:rPr>
              <w:t> </w:t>
            </w:r>
            <w:r>
              <w:rPr>
                <w:sz w:val="20"/>
              </w:rPr>
              <w:t>эффекте</w:t>
            </w:r>
            <w:r>
              <w:rPr>
                <w:spacing w:val="-5"/>
                <w:sz w:val="20"/>
              </w:rPr>
              <w:t> </w:t>
            </w:r>
            <w:r>
              <w:rPr>
                <w:sz w:val="20"/>
              </w:rPr>
              <w:t>повторить</w:t>
            </w:r>
            <w:r>
              <w:rPr>
                <w:spacing w:val="-6"/>
                <w:sz w:val="20"/>
              </w:rPr>
              <w:t> </w:t>
            </w:r>
            <w:r>
              <w:rPr>
                <w:sz w:val="20"/>
              </w:rPr>
              <w:t>введение</w:t>
            </w:r>
            <w:r>
              <w:rPr>
                <w:spacing w:val="-6"/>
                <w:sz w:val="20"/>
              </w:rPr>
              <w:t> </w:t>
            </w:r>
            <w:r>
              <w:rPr>
                <w:sz w:val="20"/>
              </w:rPr>
              <w:t>через</w:t>
            </w:r>
            <w:r>
              <w:rPr>
                <w:spacing w:val="-7"/>
                <w:sz w:val="20"/>
              </w:rPr>
              <w:t> </w:t>
            </w:r>
            <w:r>
              <w:rPr>
                <w:sz w:val="20"/>
              </w:rPr>
              <w:t>12</w:t>
            </w:r>
            <w:r>
              <w:rPr>
                <w:spacing w:val="-5"/>
                <w:sz w:val="20"/>
              </w:rPr>
              <w:t> </w:t>
            </w:r>
            <w:r>
              <w:rPr>
                <w:sz w:val="20"/>
              </w:rPr>
              <w:t>ч.</w:t>
            </w:r>
            <w:r>
              <w:rPr>
                <w:spacing w:val="-7"/>
                <w:sz w:val="20"/>
              </w:rPr>
              <w:t> </w:t>
            </w:r>
            <w:r>
              <w:rPr>
                <w:sz w:val="20"/>
              </w:rPr>
              <w:t>Суммарно</w:t>
            </w:r>
            <w:r>
              <w:rPr>
                <w:spacing w:val="-5"/>
                <w:sz w:val="20"/>
              </w:rPr>
              <w:t> </w:t>
            </w:r>
            <w:r>
              <w:rPr>
                <w:sz w:val="20"/>
              </w:rPr>
              <w:t>вводить</w:t>
            </w:r>
            <w:r>
              <w:rPr>
                <w:spacing w:val="-5"/>
                <w:sz w:val="20"/>
              </w:rPr>
              <w:t> </w:t>
            </w:r>
            <w:r>
              <w:rPr>
                <w:sz w:val="20"/>
              </w:rPr>
              <w:t>не</w:t>
            </w:r>
            <w:r>
              <w:rPr>
                <w:spacing w:val="-6"/>
                <w:sz w:val="20"/>
              </w:rPr>
              <w:t> </w:t>
            </w:r>
            <w:r>
              <w:rPr>
                <w:sz w:val="20"/>
              </w:rPr>
              <w:t>более</w:t>
            </w:r>
            <w:r>
              <w:rPr>
                <w:spacing w:val="-6"/>
                <w:sz w:val="20"/>
              </w:rPr>
              <w:t> </w:t>
            </w:r>
            <w:r>
              <w:rPr>
                <w:sz w:val="20"/>
              </w:rPr>
              <w:t>256</w:t>
            </w:r>
            <w:r>
              <w:rPr>
                <w:spacing w:val="-6"/>
                <w:sz w:val="20"/>
              </w:rPr>
              <w:t> </w:t>
            </w:r>
            <w:r>
              <w:rPr>
                <w:spacing w:val="-5"/>
                <w:sz w:val="20"/>
              </w:rPr>
              <w:t>мг.</w:t>
            </w:r>
          </w:p>
        </w:tc>
      </w:tr>
      <w:tr>
        <w:trPr>
          <w:trHeight w:val="28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6"/>
              <w:ind w:left="114"/>
              <w:rPr>
                <w:sz w:val="20"/>
              </w:rPr>
            </w:pPr>
            <w:r>
              <w:rPr>
                <w:spacing w:val="-5"/>
                <w:sz w:val="20"/>
              </w:rPr>
              <w:t>или</w:t>
            </w:r>
          </w:p>
        </w:tc>
      </w:tr>
      <w:tr>
        <w:trPr>
          <w:trHeight w:val="347"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6"/>
              <w:ind w:left="114"/>
              <w:rPr>
                <w:sz w:val="20"/>
              </w:rPr>
            </w:pPr>
            <w:r>
              <w:rPr>
                <w:spacing w:val="-2"/>
                <w:sz w:val="20"/>
              </w:rPr>
              <w:t>Тоцилизумаб</w:t>
            </w:r>
          </w:p>
        </w:tc>
        <w:tc>
          <w:tcPr>
            <w:tcW w:w="9502" w:type="dxa"/>
          </w:tcPr>
          <w:p>
            <w:pPr>
              <w:pStyle w:val="TableParagraph"/>
              <w:spacing w:before="6"/>
              <w:ind w:left="109"/>
              <w:rPr>
                <w:sz w:val="20"/>
              </w:rPr>
            </w:pPr>
            <w:r>
              <w:rPr>
                <w:sz w:val="20"/>
              </w:rPr>
              <w:t>4</w:t>
            </w:r>
            <w:r>
              <w:rPr>
                <w:spacing w:val="-2"/>
                <w:sz w:val="20"/>
              </w:rPr>
              <w:t> </w:t>
            </w:r>
            <w:r>
              <w:rPr>
                <w:sz w:val="20"/>
              </w:rPr>
              <w:t>мг</w:t>
            </w:r>
            <w:r>
              <w:rPr>
                <w:spacing w:val="-4"/>
                <w:sz w:val="20"/>
              </w:rPr>
              <w:t> </w:t>
            </w:r>
            <w:r>
              <w:rPr>
                <w:sz w:val="20"/>
              </w:rPr>
              <w:t>на</w:t>
            </w:r>
            <w:r>
              <w:rPr>
                <w:spacing w:val="-4"/>
                <w:sz w:val="20"/>
              </w:rPr>
              <w:t> </w:t>
            </w:r>
            <w:r>
              <w:rPr>
                <w:sz w:val="20"/>
              </w:rPr>
              <w:t>кг</w:t>
            </w:r>
            <w:r>
              <w:rPr>
                <w:spacing w:val="-4"/>
                <w:sz w:val="20"/>
              </w:rPr>
              <w:t> </w:t>
            </w:r>
            <w:r>
              <w:rPr>
                <w:sz w:val="20"/>
              </w:rPr>
              <w:t>массы</w:t>
            </w:r>
            <w:r>
              <w:rPr>
                <w:spacing w:val="-2"/>
                <w:sz w:val="20"/>
              </w:rPr>
              <w:t> </w:t>
            </w:r>
            <w:r>
              <w:rPr>
                <w:sz w:val="20"/>
              </w:rPr>
              <w:t>тела</w:t>
            </w:r>
            <w:r>
              <w:rPr>
                <w:spacing w:val="-2"/>
                <w:sz w:val="20"/>
              </w:rPr>
              <w:t> внутривенно</w:t>
            </w:r>
          </w:p>
        </w:tc>
      </w:tr>
      <w:tr>
        <w:trPr>
          <w:trHeight w:val="24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rPr>
                <w:sz w:val="16"/>
              </w:rPr>
            </w:pPr>
          </w:p>
        </w:tc>
      </w:tr>
      <w:tr>
        <w:trPr>
          <w:trHeight w:val="350"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rPr>
                <w:sz w:val="18"/>
              </w:rPr>
            </w:pPr>
          </w:p>
        </w:tc>
        <w:tc>
          <w:tcPr>
            <w:tcW w:w="9502" w:type="dxa"/>
          </w:tcPr>
          <w:p>
            <w:pPr>
              <w:pStyle w:val="TableParagraph"/>
              <w:rPr>
                <w:sz w:val="18"/>
              </w:rPr>
            </w:pPr>
          </w:p>
        </w:tc>
      </w:tr>
      <w:tr>
        <w:trPr>
          <w:trHeight w:val="24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19" w:lineRule="exact" w:before="5"/>
              <w:ind w:left="114"/>
              <w:rPr>
                <w:sz w:val="20"/>
              </w:rPr>
            </w:pPr>
            <w:r>
              <w:rPr>
                <w:spacing w:val="-5"/>
                <w:sz w:val="20"/>
              </w:rPr>
              <w:t>или</w:t>
            </w:r>
          </w:p>
        </w:tc>
      </w:tr>
      <w:tr>
        <w:trPr>
          <w:trHeight w:val="337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5"/>
              <w:ind w:left="114"/>
              <w:rPr>
                <w:sz w:val="20"/>
              </w:rPr>
            </w:pPr>
            <w:r>
              <w:rPr>
                <w:spacing w:val="-2"/>
                <w:sz w:val="20"/>
              </w:rPr>
              <w:t>Анакинра</w:t>
            </w:r>
          </w:p>
        </w:tc>
        <w:tc>
          <w:tcPr>
            <w:tcW w:w="9502" w:type="dxa"/>
          </w:tcPr>
          <w:p>
            <w:pPr>
              <w:pStyle w:val="TableParagraph"/>
              <w:spacing w:before="5"/>
              <w:ind w:left="109"/>
              <w:rPr>
                <w:sz w:val="20"/>
              </w:rPr>
            </w:pPr>
            <w:r>
              <w:rPr>
                <w:sz w:val="20"/>
              </w:rPr>
              <w:t>Анакинра</w:t>
            </w:r>
            <w:r>
              <w:rPr>
                <w:spacing w:val="-5"/>
                <w:sz w:val="20"/>
              </w:rPr>
              <w:t> </w:t>
            </w:r>
            <w:r>
              <w:rPr>
                <w:sz w:val="20"/>
              </w:rPr>
              <w:t>может</w:t>
            </w:r>
            <w:r>
              <w:rPr>
                <w:spacing w:val="-4"/>
                <w:sz w:val="20"/>
              </w:rPr>
              <w:t> </w:t>
            </w:r>
            <w:r>
              <w:rPr>
                <w:sz w:val="20"/>
              </w:rPr>
              <w:t>назначаться</w:t>
            </w:r>
            <w:r>
              <w:rPr>
                <w:spacing w:val="-7"/>
                <w:sz w:val="20"/>
              </w:rPr>
              <w:t> </w:t>
            </w:r>
            <w:r>
              <w:rPr>
                <w:sz w:val="20"/>
              </w:rPr>
              <w:t>в</w:t>
            </w:r>
            <w:r>
              <w:rPr>
                <w:spacing w:val="-7"/>
                <w:sz w:val="20"/>
              </w:rPr>
              <w:t> </w:t>
            </w:r>
            <w:r>
              <w:rPr>
                <w:sz w:val="20"/>
              </w:rPr>
              <w:t>схемах</w:t>
            </w:r>
            <w:r>
              <w:rPr>
                <w:spacing w:val="-5"/>
                <w:sz w:val="20"/>
              </w:rPr>
              <w:t> </w:t>
            </w:r>
            <w:r>
              <w:rPr>
                <w:sz w:val="20"/>
              </w:rPr>
              <w:t>гибкого</w:t>
            </w:r>
            <w:r>
              <w:rPr>
                <w:spacing w:val="-5"/>
                <w:sz w:val="20"/>
              </w:rPr>
              <w:t> </w:t>
            </w:r>
            <w:r>
              <w:rPr>
                <w:sz w:val="20"/>
              </w:rPr>
              <w:t>дозирования</w:t>
            </w:r>
            <w:r>
              <w:rPr>
                <w:spacing w:val="-7"/>
                <w:sz w:val="20"/>
              </w:rPr>
              <w:t> </w:t>
            </w:r>
            <w:r>
              <w:rPr>
                <w:sz w:val="20"/>
              </w:rPr>
              <w:t>(внутривенное</w:t>
            </w:r>
            <w:r>
              <w:rPr>
                <w:spacing w:val="-6"/>
                <w:sz w:val="20"/>
              </w:rPr>
              <w:t> </w:t>
            </w:r>
            <w:r>
              <w:rPr>
                <w:sz w:val="20"/>
              </w:rPr>
              <w:t>введение).</w:t>
            </w:r>
            <w:r>
              <w:rPr>
                <w:spacing w:val="-6"/>
                <w:sz w:val="20"/>
              </w:rPr>
              <w:t> </w:t>
            </w:r>
            <w:r>
              <w:rPr>
                <w:sz w:val="20"/>
              </w:rPr>
              <w:t>Для</w:t>
            </w:r>
            <w:r>
              <w:rPr>
                <w:spacing w:val="-7"/>
                <w:sz w:val="20"/>
              </w:rPr>
              <w:t> </w:t>
            </w:r>
            <w:r>
              <w:rPr>
                <w:sz w:val="20"/>
              </w:rPr>
              <w:t>внутривенного введения 100 мг/0,67мл анакинры разводятся в 100 мл 0,9% раствора NaCl.</w:t>
            </w:r>
          </w:p>
          <w:p>
            <w:pPr>
              <w:pStyle w:val="TableParagraph"/>
              <w:spacing w:before="12"/>
              <w:ind w:left="109"/>
              <w:rPr>
                <w:sz w:val="20"/>
              </w:rPr>
            </w:pPr>
            <w:r>
              <w:rPr>
                <w:sz w:val="20"/>
              </w:rPr>
              <w:t>Курс</w:t>
            </w:r>
            <w:r>
              <w:rPr>
                <w:spacing w:val="-7"/>
                <w:sz w:val="20"/>
              </w:rPr>
              <w:t> </w:t>
            </w:r>
            <w:r>
              <w:rPr>
                <w:sz w:val="20"/>
              </w:rPr>
              <w:t>5</w:t>
            </w:r>
            <w:r>
              <w:rPr>
                <w:spacing w:val="-6"/>
                <w:sz w:val="20"/>
              </w:rPr>
              <w:t> </w:t>
            </w:r>
            <w:r>
              <w:rPr>
                <w:sz w:val="20"/>
              </w:rPr>
              <w:t>дней</w:t>
            </w:r>
            <w:r>
              <w:rPr>
                <w:spacing w:val="-8"/>
                <w:sz w:val="20"/>
              </w:rPr>
              <w:t> </w:t>
            </w:r>
            <w:r>
              <w:rPr>
                <w:sz w:val="20"/>
              </w:rPr>
              <w:t>(внутривенное</w:t>
            </w:r>
            <w:r>
              <w:rPr>
                <w:spacing w:val="-5"/>
                <w:sz w:val="20"/>
              </w:rPr>
              <w:t> </w:t>
            </w:r>
            <w:r>
              <w:rPr>
                <w:spacing w:val="-2"/>
                <w:sz w:val="20"/>
              </w:rPr>
              <w:t>введение):</w:t>
            </w:r>
          </w:p>
          <w:p>
            <w:pPr>
              <w:pStyle w:val="TableParagraph"/>
              <w:tabs>
                <w:tab w:pos="807" w:val="left" w:leader="none"/>
              </w:tabs>
              <w:spacing w:before="15"/>
              <w:ind w:left="109"/>
              <w:rPr>
                <w:sz w:val="20"/>
              </w:rPr>
            </w:pPr>
            <w:r>
              <w:rPr>
                <w:spacing w:val="-10"/>
                <w:sz w:val="20"/>
              </w:rPr>
              <w:t>−</w:t>
            </w:r>
            <w:r>
              <w:rPr>
                <w:sz w:val="20"/>
              </w:rPr>
              <w:tab/>
              <w:t>200</w:t>
            </w:r>
            <w:r>
              <w:rPr>
                <w:spacing w:val="-3"/>
                <w:sz w:val="20"/>
              </w:rPr>
              <w:t> </w:t>
            </w:r>
            <w:r>
              <w:rPr>
                <w:sz w:val="20"/>
              </w:rPr>
              <w:t>мг</w:t>
            </w:r>
            <w:r>
              <w:rPr>
                <w:spacing w:val="-5"/>
                <w:sz w:val="20"/>
              </w:rPr>
              <w:t> </w:t>
            </w:r>
            <w:r>
              <w:rPr>
                <w:sz w:val="20"/>
              </w:rPr>
              <w:t>каждые</w:t>
            </w:r>
            <w:r>
              <w:rPr>
                <w:spacing w:val="-4"/>
                <w:sz w:val="20"/>
              </w:rPr>
              <w:t> </w:t>
            </w:r>
            <w:r>
              <w:rPr>
                <w:sz w:val="20"/>
              </w:rPr>
              <w:t>12</w:t>
            </w:r>
            <w:r>
              <w:rPr>
                <w:spacing w:val="-2"/>
                <w:sz w:val="20"/>
              </w:rPr>
              <w:t> </w:t>
            </w:r>
            <w:r>
              <w:rPr>
                <w:sz w:val="20"/>
              </w:rPr>
              <w:t>часов</w:t>
            </w:r>
            <w:r>
              <w:rPr>
                <w:spacing w:val="-5"/>
                <w:sz w:val="20"/>
              </w:rPr>
              <w:t> </w:t>
            </w:r>
            <w:r>
              <w:rPr>
                <w:sz w:val="20"/>
              </w:rPr>
              <w:t>(суммарная</w:t>
            </w:r>
            <w:r>
              <w:rPr>
                <w:spacing w:val="-5"/>
                <w:sz w:val="20"/>
              </w:rPr>
              <w:t> </w:t>
            </w:r>
            <w:r>
              <w:rPr>
                <w:sz w:val="20"/>
              </w:rPr>
              <w:t>доза</w:t>
            </w:r>
            <w:r>
              <w:rPr>
                <w:spacing w:val="-3"/>
                <w:sz w:val="20"/>
              </w:rPr>
              <w:t> </w:t>
            </w:r>
            <w:r>
              <w:rPr>
                <w:sz w:val="20"/>
              </w:rPr>
              <w:t>400</w:t>
            </w:r>
            <w:r>
              <w:rPr>
                <w:spacing w:val="-6"/>
                <w:sz w:val="20"/>
              </w:rPr>
              <w:t> </w:t>
            </w:r>
            <w:r>
              <w:rPr>
                <w:sz w:val="20"/>
              </w:rPr>
              <w:t>мг/сутки)</w:t>
            </w:r>
            <w:r>
              <w:rPr>
                <w:spacing w:val="2"/>
                <w:sz w:val="20"/>
              </w:rPr>
              <w:t> </w:t>
            </w:r>
            <w:r>
              <w:rPr>
                <w:sz w:val="20"/>
              </w:rPr>
              <w:t>–</w:t>
            </w:r>
            <w:r>
              <w:rPr>
                <w:spacing w:val="-3"/>
                <w:sz w:val="20"/>
              </w:rPr>
              <w:t> </w:t>
            </w:r>
            <w:r>
              <w:rPr>
                <w:sz w:val="20"/>
              </w:rPr>
              <w:t>в</w:t>
            </w:r>
            <w:r>
              <w:rPr>
                <w:spacing w:val="-4"/>
                <w:sz w:val="20"/>
              </w:rPr>
              <w:t> </w:t>
            </w:r>
            <w:r>
              <w:rPr>
                <w:sz w:val="20"/>
              </w:rPr>
              <w:t>1-3</w:t>
            </w:r>
            <w:r>
              <w:rPr>
                <w:spacing w:val="-3"/>
                <w:sz w:val="20"/>
              </w:rPr>
              <w:t> </w:t>
            </w:r>
            <w:r>
              <w:rPr>
                <w:spacing w:val="-4"/>
                <w:sz w:val="20"/>
              </w:rPr>
              <w:t>дни;</w:t>
            </w:r>
          </w:p>
          <w:p>
            <w:pPr>
              <w:pStyle w:val="TableParagraph"/>
              <w:tabs>
                <w:tab w:pos="807" w:val="left" w:leader="none"/>
              </w:tabs>
              <w:spacing w:before="15"/>
              <w:ind w:left="109"/>
              <w:rPr>
                <w:sz w:val="20"/>
              </w:rPr>
            </w:pPr>
            <w:r>
              <w:rPr>
                <w:spacing w:val="-10"/>
                <w:sz w:val="20"/>
              </w:rPr>
              <w:t>−</w:t>
            </w:r>
            <w:r>
              <w:rPr>
                <w:sz w:val="20"/>
              </w:rPr>
              <w:tab/>
              <w:t>100</w:t>
            </w:r>
            <w:r>
              <w:rPr>
                <w:spacing w:val="-3"/>
                <w:sz w:val="20"/>
              </w:rPr>
              <w:t> </w:t>
            </w:r>
            <w:r>
              <w:rPr>
                <w:sz w:val="20"/>
              </w:rPr>
              <w:t>мг</w:t>
            </w:r>
            <w:r>
              <w:rPr>
                <w:spacing w:val="-5"/>
                <w:sz w:val="20"/>
              </w:rPr>
              <w:t> </w:t>
            </w:r>
            <w:r>
              <w:rPr>
                <w:sz w:val="20"/>
              </w:rPr>
              <w:t>каждые</w:t>
            </w:r>
            <w:r>
              <w:rPr>
                <w:spacing w:val="-4"/>
                <w:sz w:val="20"/>
              </w:rPr>
              <w:t> </w:t>
            </w:r>
            <w:r>
              <w:rPr>
                <w:sz w:val="20"/>
              </w:rPr>
              <w:t>12</w:t>
            </w:r>
            <w:r>
              <w:rPr>
                <w:spacing w:val="-3"/>
                <w:sz w:val="20"/>
              </w:rPr>
              <w:t> </w:t>
            </w:r>
            <w:r>
              <w:rPr>
                <w:sz w:val="20"/>
              </w:rPr>
              <w:t>часов</w:t>
            </w:r>
            <w:r>
              <w:rPr>
                <w:spacing w:val="-5"/>
                <w:sz w:val="20"/>
              </w:rPr>
              <w:t> </w:t>
            </w:r>
            <w:r>
              <w:rPr>
                <w:sz w:val="20"/>
              </w:rPr>
              <w:t>(суммарная</w:t>
            </w:r>
            <w:r>
              <w:rPr>
                <w:spacing w:val="-5"/>
                <w:sz w:val="20"/>
              </w:rPr>
              <w:t> </w:t>
            </w:r>
            <w:r>
              <w:rPr>
                <w:sz w:val="20"/>
              </w:rPr>
              <w:t>доза</w:t>
            </w:r>
            <w:r>
              <w:rPr>
                <w:spacing w:val="-4"/>
                <w:sz w:val="20"/>
              </w:rPr>
              <w:t> </w:t>
            </w:r>
            <w:r>
              <w:rPr>
                <w:sz w:val="20"/>
              </w:rPr>
              <w:t>200</w:t>
            </w:r>
            <w:r>
              <w:rPr>
                <w:spacing w:val="-5"/>
                <w:sz w:val="20"/>
              </w:rPr>
              <w:t> </w:t>
            </w:r>
            <w:r>
              <w:rPr>
                <w:sz w:val="20"/>
              </w:rPr>
              <w:t>мг/сутки)</w:t>
            </w:r>
            <w:r>
              <w:rPr>
                <w:spacing w:val="1"/>
                <w:sz w:val="20"/>
              </w:rPr>
              <w:t> </w:t>
            </w:r>
            <w:r>
              <w:rPr>
                <w:sz w:val="20"/>
              </w:rPr>
              <w:t>–</w:t>
            </w:r>
            <w:r>
              <w:rPr>
                <w:spacing w:val="-3"/>
                <w:sz w:val="20"/>
              </w:rPr>
              <w:t> </w:t>
            </w:r>
            <w:r>
              <w:rPr>
                <w:sz w:val="20"/>
              </w:rPr>
              <w:t>4</w:t>
            </w:r>
            <w:r>
              <w:rPr>
                <w:spacing w:val="-2"/>
                <w:sz w:val="20"/>
              </w:rPr>
              <w:t> день;</w:t>
            </w:r>
          </w:p>
          <w:p>
            <w:pPr>
              <w:pStyle w:val="TableParagraph"/>
              <w:tabs>
                <w:tab w:pos="807" w:val="left" w:leader="none"/>
              </w:tabs>
              <w:spacing w:before="12"/>
              <w:ind w:left="109"/>
              <w:rPr>
                <w:sz w:val="20"/>
              </w:rPr>
            </w:pPr>
            <w:r>
              <w:rPr>
                <w:spacing w:val="-10"/>
                <w:sz w:val="20"/>
              </w:rPr>
              <w:t>−</w:t>
            </w:r>
            <w:r>
              <w:rPr>
                <w:sz w:val="20"/>
              </w:rPr>
              <w:tab/>
              <w:t>100</w:t>
            </w:r>
            <w:r>
              <w:rPr>
                <w:spacing w:val="-4"/>
                <w:sz w:val="20"/>
              </w:rPr>
              <w:t> </w:t>
            </w:r>
            <w:r>
              <w:rPr>
                <w:sz w:val="20"/>
              </w:rPr>
              <w:t>мг</w:t>
            </w:r>
            <w:r>
              <w:rPr>
                <w:spacing w:val="-7"/>
                <w:sz w:val="20"/>
              </w:rPr>
              <w:t> </w:t>
            </w:r>
            <w:r>
              <w:rPr>
                <w:sz w:val="20"/>
              </w:rPr>
              <w:t>однократно</w:t>
            </w:r>
            <w:r>
              <w:rPr>
                <w:spacing w:val="-4"/>
                <w:sz w:val="20"/>
              </w:rPr>
              <w:t> </w:t>
            </w:r>
            <w:r>
              <w:rPr>
                <w:sz w:val="20"/>
              </w:rPr>
              <w:t>на</w:t>
            </w:r>
            <w:r>
              <w:rPr>
                <w:spacing w:val="-4"/>
                <w:sz w:val="20"/>
              </w:rPr>
              <w:t> </w:t>
            </w:r>
            <w:r>
              <w:rPr>
                <w:sz w:val="20"/>
              </w:rPr>
              <w:t>5</w:t>
            </w:r>
            <w:r>
              <w:rPr>
                <w:spacing w:val="-3"/>
                <w:sz w:val="20"/>
              </w:rPr>
              <w:t> </w:t>
            </w:r>
            <w:r>
              <w:rPr>
                <w:spacing w:val="-4"/>
                <w:sz w:val="20"/>
              </w:rPr>
              <w:t>день.</w:t>
            </w:r>
          </w:p>
          <w:p>
            <w:pPr>
              <w:pStyle w:val="TableParagraph"/>
              <w:spacing w:before="15"/>
              <w:ind w:left="109"/>
              <w:rPr>
                <w:sz w:val="20"/>
              </w:rPr>
            </w:pPr>
            <w:r>
              <w:rPr>
                <w:sz w:val="20"/>
              </w:rPr>
              <w:t>При</w:t>
            </w:r>
            <w:r>
              <w:rPr>
                <w:spacing w:val="-5"/>
                <w:sz w:val="20"/>
              </w:rPr>
              <w:t> </w:t>
            </w:r>
            <w:r>
              <w:rPr>
                <w:sz w:val="20"/>
              </w:rPr>
              <w:t>неэффективности</w:t>
            </w:r>
            <w:r>
              <w:rPr>
                <w:spacing w:val="-5"/>
                <w:sz w:val="20"/>
              </w:rPr>
              <w:t> </w:t>
            </w:r>
            <w:r>
              <w:rPr>
                <w:sz w:val="20"/>
              </w:rPr>
              <w:t>терапии</w:t>
            </w:r>
            <w:r>
              <w:rPr>
                <w:spacing w:val="-5"/>
                <w:sz w:val="20"/>
              </w:rPr>
              <w:t> </w:t>
            </w:r>
            <w:r>
              <w:rPr>
                <w:sz w:val="20"/>
              </w:rPr>
              <w:t>в</w:t>
            </w:r>
            <w:r>
              <w:rPr>
                <w:spacing w:val="-3"/>
                <w:sz w:val="20"/>
              </w:rPr>
              <w:t> </w:t>
            </w:r>
            <w:r>
              <w:rPr>
                <w:sz w:val="20"/>
              </w:rPr>
              <w:t>течение</w:t>
            </w:r>
            <w:r>
              <w:rPr>
                <w:spacing w:val="-5"/>
                <w:sz w:val="20"/>
              </w:rPr>
              <w:t> </w:t>
            </w:r>
            <w:r>
              <w:rPr>
                <w:sz w:val="20"/>
              </w:rPr>
              <w:t>первых</w:t>
            </w:r>
            <w:r>
              <w:rPr>
                <w:spacing w:val="-4"/>
                <w:sz w:val="20"/>
              </w:rPr>
              <w:t> </w:t>
            </w:r>
            <w:r>
              <w:rPr>
                <w:sz w:val="20"/>
              </w:rPr>
              <w:t>3-х</w:t>
            </w:r>
            <w:r>
              <w:rPr>
                <w:spacing w:val="-4"/>
                <w:sz w:val="20"/>
              </w:rPr>
              <w:t> </w:t>
            </w:r>
            <w:r>
              <w:rPr>
                <w:sz w:val="20"/>
              </w:rPr>
              <w:t>дней,</w:t>
            </w:r>
            <w:r>
              <w:rPr>
                <w:spacing w:val="-5"/>
                <w:sz w:val="20"/>
              </w:rPr>
              <w:t> </w:t>
            </w:r>
            <w:r>
              <w:rPr>
                <w:sz w:val="20"/>
              </w:rPr>
              <w:t>допустимо</w:t>
            </w:r>
            <w:r>
              <w:rPr>
                <w:spacing w:val="-4"/>
                <w:sz w:val="20"/>
              </w:rPr>
              <w:t> </w:t>
            </w:r>
            <w:r>
              <w:rPr>
                <w:sz w:val="20"/>
              </w:rPr>
              <w:t>переключение</w:t>
            </w:r>
            <w:r>
              <w:rPr>
                <w:spacing w:val="-5"/>
                <w:sz w:val="20"/>
              </w:rPr>
              <w:t> </w:t>
            </w:r>
            <w:r>
              <w:rPr>
                <w:sz w:val="20"/>
              </w:rPr>
              <w:t>на</w:t>
            </w:r>
            <w:r>
              <w:rPr>
                <w:spacing w:val="-5"/>
                <w:sz w:val="20"/>
              </w:rPr>
              <w:t> </w:t>
            </w:r>
            <w:r>
              <w:rPr>
                <w:sz w:val="20"/>
              </w:rPr>
              <w:t>ингибитор</w:t>
            </w:r>
            <w:r>
              <w:rPr>
                <w:spacing w:val="-4"/>
                <w:sz w:val="20"/>
              </w:rPr>
              <w:t> </w:t>
            </w:r>
            <w:r>
              <w:rPr>
                <w:sz w:val="20"/>
              </w:rPr>
              <w:t>ИЛ-6 (внутривенное введение) или продолжить терапию до 5 дней.</w:t>
            </w:r>
          </w:p>
          <w:p>
            <w:pPr>
              <w:pStyle w:val="TableParagraph"/>
              <w:spacing w:before="12"/>
              <w:ind w:left="109" w:right="216"/>
              <w:rPr>
                <w:sz w:val="20"/>
              </w:rPr>
            </w:pPr>
            <w:r>
              <w:rPr>
                <w:sz w:val="20"/>
              </w:rPr>
              <w:t>При</w:t>
            </w:r>
            <w:r>
              <w:rPr>
                <w:spacing w:val="-8"/>
                <w:sz w:val="20"/>
              </w:rPr>
              <w:t> </w:t>
            </w:r>
            <w:r>
              <w:rPr>
                <w:sz w:val="20"/>
              </w:rPr>
              <w:t>достижении</w:t>
            </w:r>
            <w:r>
              <w:rPr>
                <w:spacing w:val="-8"/>
                <w:sz w:val="20"/>
              </w:rPr>
              <w:t> </w:t>
            </w:r>
            <w:r>
              <w:rPr>
                <w:sz w:val="20"/>
              </w:rPr>
              <w:t>досрочного</w:t>
            </w:r>
            <w:r>
              <w:rPr>
                <w:spacing w:val="-6"/>
                <w:sz w:val="20"/>
              </w:rPr>
              <w:t> </w:t>
            </w:r>
            <w:r>
              <w:rPr>
                <w:sz w:val="20"/>
              </w:rPr>
              <w:t>положительного</w:t>
            </w:r>
            <w:r>
              <w:rPr>
                <w:spacing w:val="-6"/>
                <w:sz w:val="20"/>
              </w:rPr>
              <w:t> </w:t>
            </w:r>
            <w:r>
              <w:rPr>
                <w:sz w:val="20"/>
              </w:rPr>
              <w:t>эффекта</w:t>
            </w:r>
            <w:r>
              <w:rPr>
                <w:spacing w:val="-5"/>
                <w:sz w:val="20"/>
              </w:rPr>
              <w:t> </w:t>
            </w:r>
            <w:r>
              <w:rPr>
                <w:sz w:val="20"/>
              </w:rPr>
              <w:t>возможно</w:t>
            </w:r>
            <w:r>
              <w:rPr>
                <w:spacing w:val="-6"/>
                <w:sz w:val="20"/>
              </w:rPr>
              <w:t> </w:t>
            </w:r>
            <w:r>
              <w:rPr>
                <w:sz w:val="20"/>
              </w:rPr>
              <w:t>сокращение</w:t>
            </w:r>
            <w:r>
              <w:rPr>
                <w:spacing w:val="-7"/>
                <w:sz w:val="20"/>
              </w:rPr>
              <w:t> </w:t>
            </w:r>
            <w:r>
              <w:rPr>
                <w:sz w:val="20"/>
              </w:rPr>
              <w:t>длительности</w:t>
            </w:r>
            <w:r>
              <w:rPr>
                <w:spacing w:val="-8"/>
                <w:sz w:val="20"/>
              </w:rPr>
              <w:t> </w:t>
            </w:r>
            <w:r>
              <w:rPr>
                <w:sz w:val="20"/>
              </w:rPr>
              <w:t>курса</w:t>
            </w:r>
            <w:r>
              <w:rPr>
                <w:spacing w:val="-7"/>
                <w:sz w:val="20"/>
              </w:rPr>
              <w:t> </w:t>
            </w:r>
            <w:r>
              <w:rPr>
                <w:sz w:val="20"/>
              </w:rPr>
              <w:t>терапии или редуцирование дозы.</w:t>
            </w:r>
          </w:p>
          <w:p>
            <w:pPr>
              <w:pStyle w:val="TableParagraph"/>
              <w:spacing w:before="15"/>
              <w:ind w:left="109"/>
              <w:rPr>
                <w:sz w:val="20"/>
              </w:rPr>
            </w:pPr>
            <w:r>
              <w:rPr>
                <w:sz w:val="20"/>
              </w:rPr>
              <w:t>Курс</w:t>
            </w:r>
            <w:r>
              <w:rPr>
                <w:spacing w:val="-7"/>
                <w:sz w:val="20"/>
              </w:rPr>
              <w:t> </w:t>
            </w:r>
            <w:r>
              <w:rPr>
                <w:sz w:val="20"/>
              </w:rPr>
              <w:t>3</w:t>
            </w:r>
            <w:r>
              <w:rPr>
                <w:spacing w:val="-5"/>
                <w:sz w:val="20"/>
              </w:rPr>
              <w:t> </w:t>
            </w:r>
            <w:r>
              <w:rPr>
                <w:sz w:val="20"/>
              </w:rPr>
              <w:t>дня</w:t>
            </w:r>
            <w:r>
              <w:rPr>
                <w:spacing w:val="-8"/>
                <w:sz w:val="20"/>
              </w:rPr>
              <w:t> </w:t>
            </w:r>
            <w:r>
              <w:rPr>
                <w:sz w:val="20"/>
              </w:rPr>
              <w:t>(внутривенное</w:t>
            </w:r>
            <w:r>
              <w:rPr>
                <w:spacing w:val="-6"/>
                <w:sz w:val="20"/>
              </w:rPr>
              <w:t> </w:t>
            </w:r>
            <w:r>
              <w:rPr>
                <w:spacing w:val="-2"/>
                <w:sz w:val="20"/>
              </w:rPr>
              <w:t>введение):</w:t>
            </w:r>
          </w:p>
          <w:p>
            <w:pPr>
              <w:pStyle w:val="TableParagraph"/>
              <w:tabs>
                <w:tab w:pos="807" w:val="left" w:leader="none"/>
              </w:tabs>
              <w:spacing w:before="15"/>
              <w:ind w:left="109"/>
              <w:rPr>
                <w:sz w:val="20"/>
              </w:rPr>
            </w:pPr>
            <w:r>
              <w:rPr>
                <w:spacing w:val="-10"/>
                <w:sz w:val="20"/>
              </w:rPr>
              <w:t>−</w:t>
            </w:r>
            <w:r>
              <w:rPr>
                <w:sz w:val="20"/>
              </w:rPr>
              <w:tab/>
              <w:t>200</w:t>
            </w:r>
            <w:r>
              <w:rPr>
                <w:spacing w:val="-3"/>
                <w:sz w:val="20"/>
              </w:rPr>
              <w:t> </w:t>
            </w:r>
            <w:r>
              <w:rPr>
                <w:sz w:val="20"/>
              </w:rPr>
              <w:t>мг</w:t>
            </w:r>
            <w:r>
              <w:rPr>
                <w:spacing w:val="-5"/>
                <w:sz w:val="20"/>
              </w:rPr>
              <w:t> </w:t>
            </w:r>
            <w:r>
              <w:rPr>
                <w:sz w:val="20"/>
              </w:rPr>
              <w:t>каждые</w:t>
            </w:r>
            <w:r>
              <w:rPr>
                <w:spacing w:val="-4"/>
                <w:sz w:val="20"/>
              </w:rPr>
              <w:t> </w:t>
            </w:r>
            <w:r>
              <w:rPr>
                <w:sz w:val="20"/>
              </w:rPr>
              <w:t>12</w:t>
            </w:r>
            <w:r>
              <w:rPr>
                <w:spacing w:val="-3"/>
                <w:sz w:val="20"/>
              </w:rPr>
              <w:t> </w:t>
            </w:r>
            <w:r>
              <w:rPr>
                <w:sz w:val="20"/>
              </w:rPr>
              <w:t>часов</w:t>
            </w:r>
            <w:r>
              <w:rPr>
                <w:spacing w:val="-5"/>
                <w:sz w:val="20"/>
              </w:rPr>
              <w:t> </w:t>
            </w:r>
            <w:r>
              <w:rPr>
                <w:sz w:val="20"/>
              </w:rPr>
              <w:t>(суммарная</w:t>
            </w:r>
            <w:r>
              <w:rPr>
                <w:spacing w:val="-5"/>
                <w:sz w:val="20"/>
              </w:rPr>
              <w:t> </w:t>
            </w:r>
            <w:r>
              <w:rPr>
                <w:sz w:val="20"/>
              </w:rPr>
              <w:t>доза</w:t>
            </w:r>
            <w:r>
              <w:rPr>
                <w:spacing w:val="-4"/>
                <w:sz w:val="20"/>
              </w:rPr>
              <w:t> </w:t>
            </w:r>
            <w:r>
              <w:rPr>
                <w:sz w:val="20"/>
              </w:rPr>
              <w:t>400</w:t>
            </w:r>
            <w:r>
              <w:rPr>
                <w:spacing w:val="-5"/>
                <w:sz w:val="20"/>
              </w:rPr>
              <w:t> </w:t>
            </w:r>
            <w:r>
              <w:rPr>
                <w:sz w:val="20"/>
              </w:rPr>
              <w:t>мг/сутки)</w:t>
            </w:r>
            <w:r>
              <w:rPr>
                <w:spacing w:val="1"/>
                <w:sz w:val="20"/>
              </w:rPr>
              <w:t> </w:t>
            </w:r>
            <w:r>
              <w:rPr>
                <w:sz w:val="20"/>
              </w:rPr>
              <w:t>–</w:t>
            </w:r>
            <w:r>
              <w:rPr>
                <w:spacing w:val="-3"/>
                <w:sz w:val="20"/>
              </w:rPr>
              <w:t> </w:t>
            </w:r>
            <w:r>
              <w:rPr>
                <w:sz w:val="20"/>
              </w:rPr>
              <w:t>1</w:t>
            </w:r>
            <w:r>
              <w:rPr>
                <w:spacing w:val="-2"/>
                <w:sz w:val="20"/>
              </w:rPr>
              <w:t> день;</w:t>
            </w:r>
          </w:p>
          <w:p>
            <w:pPr>
              <w:pStyle w:val="TableParagraph"/>
              <w:tabs>
                <w:tab w:pos="807" w:val="left" w:leader="none"/>
              </w:tabs>
              <w:spacing w:before="12"/>
              <w:ind w:left="109"/>
              <w:rPr>
                <w:sz w:val="20"/>
              </w:rPr>
            </w:pPr>
            <w:r>
              <w:rPr>
                <w:spacing w:val="-10"/>
                <w:sz w:val="20"/>
              </w:rPr>
              <w:t>−</w:t>
            </w:r>
            <w:r>
              <w:rPr>
                <w:sz w:val="20"/>
              </w:rPr>
              <w:tab/>
              <w:t>100</w:t>
            </w:r>
            <w:r>
              <w:rPr>
                <w:spacing w:val="-3"/>
                <w:sz w:val="20"/>
              </w:rPr>
              <w:t> </w:t>
            </w:r>
            <w:r>
              <w:rPr>
                <w:sz w:val="20"/>
              </w:rPr>
              <w:t>мг</w:t>
            </w:r>
            <w:r>
              <w:rPr>
                <w:spacing w:val="-5"/>
                <w:sz w:val="20"/>
              </w:rPr>
              <w:t> </w:t>
            </w:r>
            <w:r>
              <w:rPr>
                <w:sz w:val="20"/>
              </w:rPr>
              <w:t>каждые</w:t>
            </w:r>
            <w:r>
              <w:rPr>
                <w:spacing w:val="-4"/>
                <w:sz w:val="20"/>
              </w:rPr>
              <w:t> </w:t>
            </w:r>
            <w:r>
              <w:rPr>
                <w:sz w:val="20"/>
              </w:rPr>
              <w:t>12</w:t>
            </w:r>
            <w:r>
              <w:rPr>
                <w:spacing w:val="-3"/>
                <w:sz w:val="20"/>
              </w:rPr>
              <w:t> </w:t>
            </w:r>
            <w:r>
              <w:rPr>
                <w:sz w:val="20"/>
              </w:rPr>
              <w:t>часов</w:t>
            </w:r>
            <w:r>
              <w:rPr>
                <w:spacing w:val="-5"/>
                <w:sz w:val="20"/>
              </w:rPr>
              <w:t> </w:t>
            </w:r>
            <w:r>
              <w:rPr>
                <w:sz w:val="20"/>
              </w:rPr>
              <w:t>(суммарная</w:t>
            </w:r>
            <w:r>
              <w:rPr>
                <w:spacing w:val="-5"/>
                <w:sz w:val="20"/>
              </w:rPr>
              <w:t> </w:t>
            </w:r>
            <w:r>
              <w:rPr>
                <w:sz w:val="20"/>
              </w:rPr>
              <w:t>доза</w:t>
            </w:r>
            <w:r>
              <w:rPr>
                <w:spacing w:val="-4"/>
                <w:sz w:val="20"/>
              </w:rPr>
              <w:t> </w:t>
            </w:r>
            <w:r>
              <w:rPr>
                <w:sz w:val="20"/>
              </w:rPr>
              <w:t>200</w:t>
            </w:r>
            <w:r>
              <w:rPr>
                <w:spacing w:val="-5"/>
                <w:sz w:val="20"/>
              </w:rPr>
              <w:t> </w:t>
            </w:r>
            <w:r>
              <w:rPr>
                <w:sz w:val="20"/>
              </w:rPr>
              <w:t>мг/сутки)</w:t>
            </w:r>
            <w:r>
              <w:rPr>
                <w:spacing w:val="1"/>
                <w:sz w:val="20"/>
              </w:rPr>
              <w:t> </w:t>
            </w:r>
            <w:r>
              <w:rPr>
                <w:sz w:val="20"/>
              </w:rPr>
              <w:t>–</w:t>
            </w:r>
            <w:r>
              <w:rPr>
                <w:spacing w:val="-3"/>
                <w:sz w:val="20"/>
              </w:rPr>
              <w:t> </w:t>
            </w:r>
            <w:r>
              <w:rPr>
                <w:sz w:val="20"/>
              </w:rPr>
              <w:t>2</w:t>
            </w:r>
            <w:r>
              <w:rPr>
                <w:spacing w:val="-2"/>
                <w:sz w:val="20"/>
              </w:rPr>
              <w:t> день;</w:t>
            </w:r>
          </w:p>
          <w:p>
            <w:pPr>
              <w:pStyle w:val="TableParagraph"/>
              <w:tabs>
                <w:tab w:pos="807" w:val="left" w:leader="none"/>
              </w:tabs>
              <w:spacing w:line="222" w:lineRule="exact" w:before="15"/>
              <w:ind w:left="109"/>
              <w:rPr>
                <w:sz w:val="20"/>
              </w:rPr>
            </w:pPr>
            <w:r>
              <w:rPr>
                <w:spacing w:val="-10"/>
                <w:sz w:val="20"/>
              </w:rPr>
              <w:t>−</w:t>
            </w:r>
            <w:r>
              <w:rPr>
                <w:sz w:val="20"/>
              </w:rPr>
              <w:tab/>
              <w:t>100</w:t>
            </w:r>
            <w:r>
              <w:rPr>
                <w:spacing w:val="-4"/>
                <w:sz w:val="20"/>
              </w:rPr>
              <w:t> </w:t>
            </w:r>
            <w:r>
              <w:rPr>
                <w:sz w:val="20"/>
              </w:rPr>
              <w:t>мг</w:t>
            </w:r>
            <w:r>
              <w:rPr>
                <w:spacing w:val="-7"/>
                <w:sz w:val="20"/>
              </w:rPr>
              <w:t> </w:t>
            </w:r>
            <w:r>
              <w:rPr>
                <w:sz w:val="20"/>
              </w:rPr>
              <w:t>однократно</w:t>
            </w:r>
            <w:r>
              <w:rPr>
                <w:spacing w:val="-4"/>
                <w:sz w:val="20"/>
              </w:rPr>
              <w:t> </w:t>
            </w:r>
            <w:r>
              <w:rPr>
                <w:sz w:val="20"/>
              </w:rPr>
              <w:t>на</w:t>
            </w:r>
            <w:r>
              <w:rPr>
                <w:spacing w:val="-4"/>
                <w:sz w:val="20"/>
              </w:rPr>
              <w:t> </w:t>
            </w:r>
            <w:r>
              <w:rPr>
                <w:sz w:val="20"/>
              </w:rPr>
              <w:t>3</w:t>
            </w:r>
            <w:r>
              <w:rPr>
                <w:spacing w:val="-3"/>
                <w:sz w:val="20"/>
              </w:rPr>
              <w:t> </w:t>
            </w:r>
            <w:r>
              <w:rPr>
                <w:spacing w:val="-4"/>
                <w:sz w:val="20"/>
              </w:rPr>
              <w:t>день.</w:t>
            </w:r>
          </w:p>
        </w:tc>
      </w:tr>
    </w:tbl>
    <w:p>
      <w:pPr>
        <w:pStyle w:val="BodyText"/>
        <w:spacing w:before="219"/>
        <w:ind w:left="0"/>
        <w:jc w:val="left"/>
        <w:rPr>
          <w:sz w:val="22"/>
        </w:rPr>
      </w:pPr>
    </w:p>
    <w:p>
      <w:pPr>
        <w:spacing w:before="0"/>
        <w:ind w:left="0" w:right="15" w:firstLine="0"/>
        <w:jc w:val="center"/>
        <w:rPr>
          <w:rFonts w:ascii="Calibri"/>
          <w:sz w:val="22"/>
        </w:rPr>
      </w:pPr>
      <w:r>
        <w:rPr>
          <w:rFonts w:ascii="Calibri"/>
          <w:spacing w:val="-5"/>
          <w:sz w:val="22"/>
        </w:rPr>
        <w:t>216</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31"/>
        <w:gridCol w:w="447"/>
        <w:gridCol w:w="3664"/>
        <w:gridCol w:w="9502"/>
      </w:tblGrid>
      <w:tr>
        <w:trPr>
          <w:trHeight w:val="474" w:hRule="atLeast"/>
        </w:trPr>
        <w:tc>
          <w:tcPr>
            <w:tcW w:w="1131" w:type="dxa"/>
            <w:vMerge w:val="restart"/>
          </w:tcPr>
          <w:p>
            <w:pPr>
              <w:pStyle w:val="TableParagraph"/>
              <w:rPr>
                <w:sz w:val="18"/>
              </w:rPr>
            </w:pPr>
          </w:p>
        </w:tc>
        <w:tc>
          <w:tcPr>
            <w:tcW w:w="447" w:type="dxa"/>
          </w:tcPr>
          <w:p>
            <w:pPr>
              <w:pStyle w:val="TableParagraph"/>
              <w:rPr>
                <w:sz w:val="18"/>
              </w:rPr>
            </w:pPr>
          </w:p>
        </w:tc>
        <w:tc>
          <w:tcPr>
            <w:tcW w:w="3664" w:type="dxa"/>
          </w:tcPr>
          <w:p>
            <w:pPr>
              <w:pStyle w:val="TableParagraph"/>
              <w:rPr>
                <w:sz w:val="18"/>
              </w:rPr>
            </w:pPr>
          </w:p>
        </w:tc>
        <w:tc>
          <w:tcPr>
            <w:tcW w:w="9502" w:type="dxa"/>
          </w:tcPr>
          <w:p>
            <w:pPr>
              <w:pStyle w:val="TableParagraph"/>
              <w:spacing w:line="230" w:lineRule="atLeast"/>
              <w:ind w:left="109" w:right="216"/>
              <w:rPr>
                <w:sz w:val="20"/>
              </w:rPr>
            </w:pPr>
            <w:bookmarkStart w:name="218" w:id="260"/>
            <w:bookmarkEnd w:id="260"/>
            <w:r>
              <w:rPr/>
            </w:r>
            <w:r>
              <w:rPr>
                <w:sz w:val="20"/>
              </w:rPr>
              <w:t>При</w:t>
            </w:r>
            <w:r>
              <w:rPr>
                <w:spacing w:val="-8"/>
                <w:sz w:val="20"/>
              </w:rPr>
              <w:t> </w:t>
            </w:r>
            <w:r>
              <w:rPr>
                <w:sz w:val="20"/>
              </w:rPr>
              <w:t>достижении</w:t>
            </w:r>
            <w:r>
              <w:rPr>
                <w:spacing w:val="-8"/>
                <w:sz w:val="20"/>
              </w:rPr>
              <w:t> </w:t>
            </w:r>
            <w:r>
              <w:rPr>
                <w:sz w:val="20"/>
              </w:rPr>
              <w:t>досрочного</w:t>
            </w:r>
            <w:r>
              <w:rPr>
                <w:spacing w:val="-6"/>
                <w:sz w:val="20"/>
              </w:rPr>
              <w:t> </w:t>
            </w:r>
            <w:r>
              <w:rPr>
                <w:sz w:val="20"/>
              </w:rPr>
              <w:t>положительного</w:t>
            </w:r>
            <w:r>
              <w:rPr>
                <w:spacing w:val="-6"/>
                <w:sz w:val="20"/>
              </w:rPr>
              <w:t> </w:t>
            </w:r>
            <w:r>
              <w:rPr>
                <w:sz w:val="20"/>
              </w:rPr>
              <w:t>эффекта</w:t>
            </w:r>
            <w:r>
              <w:rPr>
                <w:spacing w:val="-5"/>
                <w:sz w:val="20"/>
              </w:rPr>
              <w:t> </w:t>
            </w:r>
            <w:r>
              <w:rPr>
                <w:sz w:val="20"/>
              </w:rPr>
              <w:t>возможно</w:t>
            </w:r>
            <w:r>
              <w:rPr>
                <w:spacing w:val="-6"/>
                <w:sz w:val="20"/>
              </w:rPr>
              <w:t> </w:t>
            </w:r>
            <w:r>
              <w:rPr>
                <w:sz w:val="20"/>
              </w:rPr>
              <w:t>сокращение</w:t>
            </w:r>
            <w:r>
              <w:rPr>
                <w:spacing w:val="-7"/>
                <w:sz w:val="20"/>
              </w:rPr>
              <w:t> </w:t>
            </w:r>
            <w:r>
              <w:rPr>
                <w:sz w:val="20"/>
              </w:rPr>
              <w:t>длительности</w:t>
            </w:r>
            <w:r>
              <w:rPr>
                <w:spacing w:val="-8"/>
                <w:sz w:val="20"/>
              </w:rPr>
              <w:t> </w:t>
            </w:r>
            <w:r>
              <w:rPr>
                <w:sz w:val="20"/>
              </w:rPr>
              <w:t>курса</w:t>
            </w:r>
            <w:r>
              <w:rPr>
                <w:spacing w:val="-7"/>
                <w:sz w:val="20"/>
              </w:rPr>
              <w:t> </w:t>
            </w:r>
            <w:r>
              <w:rPr>
                <w:sz w:val="20"/>
              </w:rPr>
              <w:t>терапии или редуцирование дозы.</w:t>
            </w:r>
          </w:p>
        </w:tc>
      </w:tr>
      <w:tr>
        <w:trPr>
          <w:trHeight w:val="731" w:hRule="atLeast"/>
        </w:trPr>
        <w:tc>
          <w:tcPr>
            <w:tcW w:w="1131" w:type="dxa"/>
            <w:vMerge/>
            <w:tcBorders>
              <w:top w:val="nil"/>
            </w:tcBorders>
          </w:tcPr>
          <w:p>
            <w:pPr>
              <w:rPr>
                <w:sz w:val="2"/>
                <w:szCs w:val="2"/>
              </w:rPr>
            </w:pPr>
          </w:p>
        </w:tc>
        <w:tc>
          <w:tcPr>
            <w:tcW w:w="447" w:type="dxa"/>
            <w:vMerge w:val="restart"/>
          </w:tcPr>
          <w:p>
            <w:pPr>
              <w:pStyle w:val="TableParagraph"/>
              <w:spacing w:before="9"/>
              <w:ind w:left="112"/>
              <w:rPr>
                <w:sz w:val="20"/>
              </w:rPr>
            </w:pPr>
            <w:r>
              <w:rPr>
                <w:spacing w:val="-10"/>
                <w:sz w:val="20"/>
              </w:rPr>
              <w:t>3</w:t>
            </w:r>
          </w:p>
        </w:tc>
        <w:tc>
          <w:tcPr>
            <w:tcW w:w="3664" w:type="dxa"/>
          </w:tcPr>
          <w:p>
            <w:pPr>
              <w:pStyle w:val="TableParagraph"/>
              <w:spacing w:before="223"/>
              <w:ind w:left="114"/>
              <w:rPr>
                <w:b/>
                <w:position w:val="8"/>
                <w:sz w:val="16"/>
              </w:rPr>
            </w:pPr>
            <w:r>
              <w:rPr>
                <w:spacing w:val="-2"/>
                <w:sz w:val="20"/>
              </w:rPr>
              <w:t>Метилпреднизолон</w:t>
            </w:r>
            <w:r>
              <w:rPr>
                <w:spacing w:val="15"/>
                <w:sz w:val="20"/>
              </w:rPr>
              <w:t> </w:t>
            </w:r>
            <w:r>
              <w:rPr>
                <w:b/>
                <w:spacing w:val="-10"/>
                <w:position w:val="8"/>
                <w:sz w:val="16"/>
              </w:rPr>
              <w:t>3</w:t>
            </w:r>
          </w:p>
        </w:tc>
        <w:tc>
          <w:tcPr>
            <w:tcW w:w="9502" w:type="dxa"/>
          </w:tcPr>
          <w:p>
            <w:pPr>
              <w:pStyle w:val="TableParagraph"/>
              <w:spacing w:before="9"/>
              <w:ind w:left="109"/>
              <w:rPr>
                <w:sz w:val="20"/>
              </w:rPr>
            </w:pPr>
            <w:r>
              <w:rPr>
                <w:sz w:val="20"/>
              </w:rPr>
              <w:t>60</w:t>
            </w:r>
            <w:r>
              <w:rPr>
                <w:spacing w:val="-7"/>
                <w:sz w:val="20"/>
              </w:rPr>
              <w:t> </w:t>
            </w:r>
            <w:r>
              <w:rPr>
                <w:sz w:val="20"/>
              </w:rPr>
              <w:t>мг/введение/внутривенно</w:t>
            </w:r>
            <w:r>
              <w:rPr>
                <w:spacing w:val="-6"/>
                <w:sz w:val="20"/>
              </w:rPr>
              <w:t> </w:t>
            </w:r>
            <w:r>
              <w:rPr>
                <w:sz w:val="20"/>
              </w:rPr>
              <w:t>каждые</w:t>
            </w:r>
            <w:r>
              <w:rPr>
                <w:spacing w:val="-7"/>
                <w:sz w:val="20"/>
              </w:rPr>
              <w:t> </w:t>
            </w:r>
            <w:r>
              <w:rPr>
                <w:sz w:val="20"/>
              </w:rPr>
              <w:t>8</w:t>
            </w:r>
            <w:r>
              <w:rPr>
                <w:spacing w:val="-6"/>
                <w:sz w:val="20"/>
              </w:rPr>
              <w:t> </w:t>
            </w:r>
            <w:r>
              <w:rPr>
                <w:sz w:val="20"/>
              </w:rPr>
              <w:t>ч.</w:t>
            </w:r>
            <w:r>
              <w:rPr>
                <w:spacing w:val="-7"/>
                <w:sz w:val="20"/>
              </w:rPr>
              <w:t> </w:t>
            </w:r>
            <w:r>
              <w:rPr>
                <w:sz w:val="20"/>
              </w:rPr>
              <w:t>Максимальная</w:t>
            </w:r>
            <w:r>
              <w:rPr>
                <w:spacing w:val="-8"/>
                <w:sz w:val="20"/>
              </w:rPr>
              <w:t> </w:t>
            </w:r>
            <w:r>
              <w:rPr>
                <w:sz w:val="20"/>
              </w:rPr>
              <w:t>доза</w:t>
            </w:r>
            <w:r>
              <w:rPr>
                <w:spacing w:val="-7"/>
                <w:sz w:val="20"/>
              </w:rPr>
              <w:t> </w:t>
            </w:r>
            <w:r>
              <w:rPr>
                <w:sz w:val="20"/>
              </w:rPr>
              <w:t>применяется</w:t>
            </w:r>
            <w:r>
              <w:rPr>
                <w:spacing w:val="-8"/>
                <w:sz w:val="20"/>
              </w:rPr>
              <w:t> </w:t>
            </w:r>
            <w:r>
              <w:rPr>
                <w:sz w:val="20"/>
              </w:rPr>
              <w:t>в</w:t>
            </w:r>
            <w:r>
              <w:rPr>
                <w:spacing w:val="-5"/>
                <w:sz w:val="20"/>
              </w:rPr>
              <w:t> </w:t>
            </w:r>
            <w:r>
              <w:rPr>
                <w:sz w:val="20"/>
              </w:rPr>
              <w:t>течение</w:t>
            </w:r>
            <w:r>
              <w:rPr>
                <w:spacing w:val="-8"/>
                <w:sz w:val="20"/>
              </w:rPr>
              <w:t> </w:t>
            </w:r>
            <w:r>
              <w:rPr>
                <w:sz w:val="20"/>
              </w:rPr>
              <w:t>3-4</w:t>
            </w:r>
            <w:r>
              <w:rPr>
                <w:spacing w:val="-6"/>
                <w:sz w:val="20"/>
              </w:rPr>
              <w:t> </w:t>
            </w:r>
            <w:r>
              <w:rPr>
                <w:spacing w:val="-2"/>
                <w:sz w:val="20"/>
              </w:rPr>
              <w:t>суток.</w:t>
            </w:r>
          </w:p>
          <w:p>
            <w:pPr>
              <w:pStyle w:val="TableParagraph"/>
              <w:spacing w:line="240" w:lineRule="atLeast"/>
              <w:ind w:left="109" w:right="1169"/>
              <w:rPr>
                <w:sz w:val="20"/>
              </w:rPr>
            </w:pPr>
            <w:r>
              <w:rPr>
                <w:sz w:val="20"/>
              </w:rPr>
              <w:t>Доза</w:t>
            </w:r>
            <w:r>
              <w:rPr>
                <w:spacing w:val="-3"/>
                <w:sz w:val="20"/>
              </w:rPr>
              <w:t> </w:t>
            </w:r>
            <w:r>
              <w:rPr>
                <w:sz w:val="20"/>
              </w:rPr>
              <w:t>ГКС</w:t>
            </w:r>
            <w:r>
              <w:rPr>
                <w:spacing w:val="-4"/>
                <w:sz w:val="20"/>
              </w:rPr>
              <w:t> </w:t>
            </w:r>
            <w:r>
              <w:rPr>
                <w:sz w:val="20"/>
              </w:rPr>
              <w:t>снижается</w:t>
            </w:r>
            <w:r>
              <w:rPr>
                <w:spacing w:val="-4"/>
                <w:sz w:val="20"/>
              </w:rPr>
              <w:t> </w:t>
            </w:r>
            <w:r>
              <w:rPr>
                <w:sz w:val="20"/>
              </w:rPr>
              <w:t>на</w:t>
            </w:r>
            <w:r>
              <w:rPr>
                <w:spacing w:val="-4"/>
                <w:sz w:val="20"/>
              </w:rPr>
              <w:t> </w:t>
            </w:r>
            <w:r>
              <w:rPr>
                <w:sz w:val="20"/>
              </w:rPr>
              <w:t>20-25%</w:t>
            </w:r>
            <w:r>
              <w:rPr>
                <w:spacing w:val="-4"/>
                <w:sz w:val="20"/>
              </w:rPr>
              <w:t> </w:t>
            </w:r>
            <w:r>
              <w:rPr>
                <w:sz w:val="20"/>
              </w:rPr>
              <w:t>на</w:t>
            </w:r>
            <w:r>
              <w:rPr>
                <w:spacing w:val="-3"/>
                <w:sz w:val="20"/>
              </w:rPr>
              <w:t> </w:t>
            </w:r>
            <w:r>
              <w:rPr>
                <w:sz w:val="20"/>
              </w:rPr>
              <w:t>введение</w:t>
            </w:r>
            <w:r>
              <w:rPr>
                <w:spacing w:val="-3"/>
                <w:sz w:val="20"/>
              </w:rPr>
              <w:t> </w:t>
            </w:r>
            <w:r>
              <w:rPr>
                <w:sz w:val="20"/>
              </w:rPr>
              <w:t>каждые</w:t>
            </w:r>
            <w:r>
              <w:rPr>
                <w:spacing w:val="-3"/>
                <w:sz w:val="20"/>
              </w:rPr>
              <w:t> </w:t>
            </w:r>
            <w:r>
              <w:rPr>
                <w:sz w:val="20"/>
              </w:rPr>
              <w:t>1-2</w:t>
            </w:r>
            <w:r>
              <w:rPr>
                <w:spacing w:val="-2"/>
                <w:sz w:val="20"/>
              </w:rPr>
              <w:t> </w:t>
            </w:r>
            <w:r>
              <w:rPr>
                <w:sz w:val="20"/>
              </w:rPr>
              <w:t>суток,</w:t>
            </w:r>
            <w:r>
              <w:rPr>
                <w:spacing w:val="-3"/>
                <w:sz w:val="20"/>
              </w:rPr>
              <w:t> </w:t>
            </w:r>
            <w:r>
              <w:rPr>
                <w:sz w:val="20"/>
              </w:rPr>
              <w:t>далее</w:t>
            </w:r>
            <w:r>
              <w:rPr>
                <w:spacing w:val="-3"/>
                <w:sz w:val="20"/>
              </w:rPr>
              <w:t> </w:t>
            </w:r>
            <w:r>
              <w:rPr>
                <w:sz w:val="20"/>
              </w:rPr>
              <w:t>на</w:t>
            </w:r>
            <w:r>
              <w:rPr>
                <w:spacing w:val="-3"/>
                <w:sz w:val="20"/>
              </w:rPr>
              <w:t> </w:t>
            </w:r>
            <w:r>
              <w:rPr>
                <w:sz w:val="20"/>
              </w:rPr>
              <w:t>50%</w:t>
            </w:r>
            <w:r>
              <w:rPr>
                <w:spacing w:val="-4"/>
                <w:sz w:val="20"/>
              </w:rPr>
              <w:t> </w:t>
            </w:r>
            <w:r>
              <w:rPr>
                <w:sz w:val="20"/>
              </w:rPr>
              <w:t>каждые</w:t>
            </w:r>
            <w:r>
              <w:rPr>
                <w:spacing w:val="-1"/>
                <w:sz w:val="20"/>
              </w:rPr>
              <w:t> </w:t>
            </w:r>
            <w:r>
              <w:rPr>
                <w:sz w:val="20"/>
              </w:rPr>
              <w:t>1-2</w:t>
            </w:r>
            <w:r>
              <w:rPr>
                <w:spacing w:val="-2"/>
                <w:sz w:val="20"/>
              </w:rPr>
              <w:t> </w:t>
            </w:r>
            <w:r>
              <w:rPr>
                <w:sz w:val="20"/>
              </w:rPr>
              <w:t>суток до полной отмены.</w:t>
            </w:r>
          </w:p>
        </w:tc>
      </w:tr>
      <w:tr>
        <w:trPr>
          <w:trHeight w:val="28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28"/>
              <w:ind w:left="114"/>
              <w:rPr>
                <w:sz w:val="20"/>
              </w:rPr>
            </w:pPr>
            <w:r>
              <w:rPr>
                <w:spacing w:val="-5"/>
                <w:sz w:val="20"/>
              </w:rPr>
              <w:t>или</w:t>
            </w:r>
          </w:p>
        </w:tc>
      </w:tr>
      <w:tr>
        <w:trPr>
          <w:trHeight w:val="705"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211"/>
              <w:ind w:left="114"/>
              <w:rPr>
                <w:b/>
                <w:position w:val="8"/>
                <w:sz w:val="16"/>
              </w:rPr>
            </w:pPr>
            <w:r>
              <w:rPr>
                <w:sz w:val="20"/>
              </w:rPr>
              <w:t>Дексаметазон</w:t>
            </w:r>
            <w:r>
              <w:rPr>
                <w:spacing w:val="-11"/>
                <w:sz w:val="20"/>
              </w:rPr>
              <w:t> </w:t>
            </w:r>
            <w:r>
              <w:rPr>
                <w:b/>
                <w:spacing w:val="-10"/>
                <w:position w:val="8"/>
                <w:sz w:val="16"/>
              </w:rPr>
              <w:t>3</w:t>
            </w:r>
          </w:p>
        </w:tc>
        <w:tc>
          <w:tcPr>
            <w:tcW w:w="9502" w:type="dxa"/>
          </w:tcPr>
          <w:p>
            <w:pPr>
              <w:pStyle w:val="TableParagraph"/>
              <w:spacing w:before="8"/>
              <w:ind w:left="109"/>
              <w:rPr>
                <w:sz w:val="20"/>
              </w:rPr>
            </w:pPr>
            <w:r>
              <w:rPr>
                <w:sz w:val="20"/>
              </w:rPr>
              <w:t>16-24</w:t>
            </w:r>
            <w:r>
              <w:rPr>
                <w:spacing w:val="-6"/>
                <w:sz w:val="20"/>
              </w:rPr>
              <w:t> </w:t>
            </w:r>
            <w:r>
              <w:rPr>
                <w:sz w:val="20"/>
              </w:rPr>
              <w:t>мг/сутки</w:t>
            </w:r>
            <w:r>
              <w:rPr>
                <w:spacing w:val="-8"/>
                <w:sz w:val="20"/>
              </w:rPr>
              <w:t> </w:t>
            </w:r>
            <w:r>
              <w:rPr>
                <w:sz w:val="20"/>
              </w:rPr>
              <w:t>внутривенно</w:t>
            </w:r>
            <w:r>
              <w:rPr>
                <w:spacing w:val="-4"/>
                <w:sz w:val="20"/>
              </w:rPr>
              <w:t> </w:t>
            </w:r>
            <w:r>
              <w:rPr>
                <w:sz w:val="20"/>
              </w:rPr>
              <w:t>в</w:t>
            </w:r>
            <w:r>
              <w:rPr>
                <w:spacing w:val="-7"/>
                <w:sz w:val="20"/>
              </w:rPr>
              <w:t> </w:t>
            </w:r>
            <w:r>
              <w:rPr>
                <w:sz w:val="20"/>
              </w:rPr>
              <w:t>зависимости</w:t>
            </w:r>
            <w:r>
              <w:rPr>
                <w:spacing w:val="-8"/>
                <w:sz w:val="20"/>
              </w:rPr>
              <w:t> </w:t>
            </w:r>
            <w:r>
              <w:rPr>
                <w:sz w:val="20"/>
              </w:rPr>
              <w:t>от</w:t>
            </w:r>
            <w:r>
              <w:rPr>
                <w:spacing w:val="-8"/>
                <w:sz w:val="20"/>
              </w:rPr>
              <w:t> </w:t>
            </w:r>
            <w:r>
              <w:rPr>
                <w:sz w:val="20"/>
              </w:rPr>
              <w:t>тяжести</w:t>
            </w:r>
            <w:r>
              <w:rPr>
                <w:spacing w:val="-7"/>
                <w:sz w:val="20"/>
              </w:rPr>
              <w:t> </w:t>
            </w:r>
            <w:r>
              <w:rPr>
                <w:sz w:val="20"/>
              </w:rPr>
              <w:t>состояния</w:t>
            </w:r>
            <w:r>
              <w:rPr>
                <w:spacing w:val="-8"/>
                <w:sz w:val="20"/>
              </w:rPr>
              <w:t> </w:t>
            </w:r>
            <w:r>
              <w:rPr>
                <w:sz w:val="20"/>
              </w:rPr>
              <w:t>пациента</w:t>
            </w:r>
            <w:r>
              <w:rPr>
                <w:spacing w:val="-6"/>
                <w:sz w:val="20"/>
              </w:rPr>
              <w:t> </w:t>
            </w:r>
            <w:r>
              <w:rPr>
                <w:sz w:val="20"/>
              </w:rPr>
              <w:t>за</w:t>
            </w:r>
            <w:r>
              <w:rPr>
                <w:spacing w:val="-7"/>
                <w:sz w:val="20"/>
              </w:rPr>
              <w:t> </w:t>
            </w:r>
            <w:r>
              <w:rPr>
                <w:sz w:val="20"/>
              </w:rPr>
              <w:t>2</w:t>
            </w:r>
            <w:r>
              <w:rPr>
                <w:spacing w:val="-6"/>
                <w:sz w:val="20"/>
              </w:rPr>
              <w:t> </w:t>
            </w:r>
            <w:r>
              <w:rPr>
                <w:sz w:val="20"/>
              </w:rPr>
              <w:t>введения.</w:t>
            </w:r>
            <w:r>
              <w:rPr>
                <w:spacing w:val="-6"/>
                <w:sz w:val="20"/>
              </w:rPr>
              <w:t> </w:t>
            </w:r>
            <w:r>
              <w:rPr>
                <w:spacing w:val="-2"/>
                <w:sz w:val="20"/>
              </w:rPr>
              <w:t>Максимальная</w:t>
            </w:r>
          </w:p>
          <w:p>
            <w:pPr>
              <w:pStyle w:val="TableParagraph"/>
              <w:spacing w:line="230" w:lineRule="atLeast"/>
              <w:ind w:left="109" w:right="216"/>
              <w:rPr>
                <w:sz w:val="20"/>
              </w:rPr>
            </w:pPr>
            <w:r>
              <w:rPr>
                <w:sz w:val="20"/>
              </w:rPr>
              <w:t>доза</w:t>
            </w:r>
            <w:r>
              <w:rPr>
                <w:spacing w:val="-4"/>
                <w:sz w:val="20"/>
              </w:rPr>
              <w:t> </w:t>
            </w:r>
            <w:r>
              <w:rPr>
                <w:sz w:val="20"/>
              </w:rPr>
              <w:t>применяется</w:t>
            </w:r>
            <w:r>
              <w:rPr>
                <w:spacing w:val="-4"/>
                <w:sz w:val="20"/>
              </w:rPr>
              <w:t> </w:t>
            </w:r>
            <w:r>
              <w:rPr>
                <w:sz w:val="20"/>
              </w:rPr>
              <w:t>в</w:t>
            </w:r>
            <w:r>
              <w:rPr>
                <w:spacing w:val="-2"/>
                <w:sz w:val="20"/>
              </w:rPr>
              <w:t> </w:t>
            </w:r>
            <w:r>
              <w:rPr>
                <w:sz w:val="20"/>
              </w:rPr>
              <w:t>течение</w:t>
            </w:r>
            <w:r>
              <w:rPr>
                <w:spacing w:val="-4"/>
                <w:sz w:val="20"/>
              </w:rPr>
              <w:t> </w:t>
            </w:r>
            <w:r>
              <w:rPr>
                <w:sz w:val="20"/>
              </w:rPr>
              <w:t>3-4</w:t>
            </w:r>
            <w:r>
              <w:rPr>
                <w:spacing w:val="-3"/>
                <w:sz w:val="20"/>
              </w:rPr>
              <w:t> </w:t>
            </w:r>
            <w:r>
              <w:rPr>
                <w:sz w:val="20"/>
              </w:rPr>
              <w:t>суток.</w:t>
            </w:r>
            <w:r>
              <w:rPr>
                <w:spacing w:val="-4"/>
                <w:sz w:val="20"/>
              </w:rPr>
              <w:t> </w:t>
            </w:r>
            <w:r>
              <w:rPr>
                <w:sz w:val="20"/>
              </w:rPr>
              <w:t>Доза</w:t>
            </w:r>
            <w:r>
              <w:rPr>
                <w:spacing w:val="-4"/>
                <w:sz w:val="20"/>
              </w:rPr>
              <w:t> </w:t>
            </w:r>
            <w:r>
              <w:rPr>
                <w:sz w:val="20"/>
              </w:rPr>
              <w:t>ГКС</w:t>
            </w:r>
            <w:r>
              <w:rPr>
                <w:spacing w:val="-4"/>
                <w:sz w:val="20"/>
              </w:rPr>
              <w:t> </w:t>
            </w:r>
            <w:r>
              <w:rPr>
                <w:sz w:val="20"/>
              </w:rPr>
              <w:t>снижается</w:t>
            </w:r>
            <w:r>
              <w:rPr>
                <w:spacing w:val="-4"/>
                <w:sz w:val="20"/>
              </w:rPr>
              <w:t> </w:t>
            </w:r>
            <w:r>
              <w:rPr>
                <w:sz w:val="20"/>
              </w:rPr>
              <w:t>на</w:t>
            </w:r>
            <w:r>
              <w:rPr>
                <w:spacing w:val="-4"/>
                <w:sz w:val="20"/>
              </w:rPr>
              <w:t> </w:t>
            </w:r>
            <w:r>
              <w:rPr>
                <w:sz w:val="20"/>
              </w:rPr>
              <w:t>20-25%</w:t>
            </w:r>
            <w:r>
              <w:rPr>
                <w:spacing w:val="-4"/>
                <w:sz w:val="20"/>
              </w:rPr>
              <w:t> </w:t>
            </w:r>
            <w:r>
              <w:rPr>
                <w:sz w:val="20"/>
              </w:rPr>
              <w:t>на</w:t>
            </w:r>
            <w:r>
              <w:rPr>
                <w:spacing w:val="-4"/>
                <w:sz w:val="20"/>
              </w:rPr>
              <w:t> </w:t>
            </w:r>
            <w:r>
              <w:rPr>
                <w:sz w:val="20"/>
              </w:rPr>
              <w:t>введение</w:t>
            </w:r>
            <w:r>
              <w:rPr>
                <w:spacing w:val="-2"/>
                <w:sz w:val="20"/>
              </w:rPr>
              <w:t> </w:t>
            </w:r>
            <w:r>
              <w:rPr>
                <w:sz w:val="20"/>
              </w:rPr>
              <w:t>каждые</w:t>
            </w:r>
            <w:r>
              <w:rPr>
                <w:spacing w:val="-4"/>
                <w:sz w:val="20"/>
              </w:rPr>
              <w:t> </w:t>
            </w:r>
            <w:r>
              <w:rPr>
                <w:sz w:val="20"/>
              </w:rPr>
              <w:t>1-2</w:t>
            </w:r>
            <w:r>
              <w:rPr>
                <w:spacing w:val="-3"/>
                <w:sz w:val="20"/>
              </w:rPr>
              <w:t> </w:t>
            </w:r>
            <w:r>
              <w:rPr>
                <w:sz w:val="20"/>
              </w:rPr>
              <w:t>суток,</w:t>
            </w:r>
            <w:r>
              <w:rPr>
                <w:spacing w:val="-4"/>
                <w:sz w:val="20"/>
              </w:rPr>
              <w:t> </w:t>
            </w:r>
            <w:r>
              <w:rPr>
                <w:sz w:val="20"/>
              </w:rPr>
              <w:t>далее на 50% каждые 1-2 суток до полной отмены;</w:t>
            </w:r>
          </w:p>
        </w:tc>
      </w:tr>
      <w:tr>
        <w:trPr>
          <w:trHeight w:val="702" w:hRule="atLeast"/>
        </w:trPr>
        <w:tc>
          <w:tcPr>
            <w:tcW w:w="1131" w:type="dxa"/>
            <w:vMerge/>
            <w:tcBorders>
              <w:top w:val="nil"/>
            </w:tcBorders>
          </w:tcPr>
          <w:p>
            <w:pPr>
              <w:rPr>
                <w:sz w:val="2"/>
                <w:szCs w:val="2"/>
              </w:rPr>
            </w:pPr>
          </w:p>
        </w:tc>
        <w:tc>
          <w:tcPr>
            <w:tcW w:w="447" w:type="dxa"/>
          </w:tcPr>
          <w:p>
            <w:pPr>
              <w:pStyle w:val="TableParagraph"/>
              <w:spacing w:before="8"/>
              <w:rPr>
                <w:sz w:val="20"/>
              </w:rPr>
            </w:pPr>
          </w:p>
          <w:p>
            <w:pPr>
              <w:pStyle w:val="TableParagraph"/>
              <w:ind w:left="112"/>
              <w:rPr>
                <w:b/>
                <w:sz w:val="20"/>
              </w:rPr>
            </w:pPr>
            <w:r>
              <w:rPr>
                <w:b/>
                <w:spacing w:val="-10"/>
                <w:sz w:val="20"/>
              </w:rPr>
              <w:t>4</w:t>
            </w:r>
          </w:p>
        </w:tc>
        <w:tc>
          <w:tcPr>
            <w:tcW w:w="13166" w:type="dxa"/>
            <w:gridSpan w:val="2"/>
          </w:tcPr>
          <w:p>
            <w:pPr>
              <w:pStyle w:val="TableParagraph"/>
              <w:spacing w:before="7"/>
              <w:ind w:left="114" w:right="429"/>
              <w:rPr>
                <w:sz w:val="20"/>
              </w:rPr>
            </w:pPr>
            <w:r>
              <w:rPr>
                <w:sz w:val="20"/>
              </w:rPr>
              <w:t>Антикоагулянтный</w:t>
            </w:r>
            <w:r>
              <w:rPr>
                <w:spacing w:val="-5"/>
                <w:sz w:val="20"/>
              </w:rPr>
              <w:t> </w:t>
            </w:r>
            <w:r>
              <w:rPr>
                <w:sz w:val="20"/>
              </w:rPr>
              <w:t>препарат</w:t>
            </w:r>
            <w:r>
              <w:rPr>
                <w:spacing w:val="-5"/>
                <w:sz w:val="20"/>
              </w:rPr>
              <w:t> </w:t>
            </w:r>
            <w:r>
              <w:rPr>
                <w:sz w:val="20"/>
              </w:rPr>
              <w:t>для</w:t>
            </w:r>
            <w:r>
              <w:rPr>
                <w:spacing w:val="-5"/>
                <w:sz w:val="20"/>
              </w:rPr>
              <w:t> </w:t>
            </w:r>
            <w:r>
              <w:rPr>
                <w:sz w:val="20"/>
              </w:rPr>
              <w:t>парентерального</w:t>
            </w:r>
            <w:r>
              <w:rPr>
                <w:spacing w:val="-3"/>
                <w:sz w:val="20"/>
              </w:rPr>
              <w:t> </w:t>
            </w:r>
            <w:r>
              <w:rPr>
                <w:sz w:val="20"/>
              </w:rPr>
              <w:t>введения</w:t>
            </w:r>
            <w:r>
              <w:rPr>
                <w:spacing w:val="-5"/>
                <w:sz w:val="20"/>
              </w:rPr>
              <w:t> </w:t>
            </w:r>
            <w:r>
              <w:rPr>
                <w:sz w:val="20"/>
              </w:rPr>
              <w:t>(предпочтительно</w:t>
            </w:r>
            <w:r>
              <w:rPr>
                <w:spacing w:val="-3"/>
                <w:sz w:val="20"/>
              </w:rPr>
              <w:t> </w:t>
            </w:r>
            <w:r>
              <w:rPr>
                <w:sz w:val="20"/>
              </w:rPr>
              <w:t>НМГ/НФГ</w:t>
            </w:r>
            <w:r>
              <w:rPr>
                <w:spacing w:val="-4"/>
                <w:sz w:val="20"/>
              </w:rPr>
              <w:t> </w:t>
            </w:r>
            <w:r>
              <w:rPr>
                <w:sz w:val="20"/>
              </w:rPr>
              <w:t>в</w:t>
            </w:r>
            <w:r>
              <w:rPr>
                <w:spacing w:val="-5"/>
                <w:sz w:val="20"/>
              </w:rPr>
              <w:t> </w:t>
            </w:r>
            <w:r>
              <w:rPr>
                <w:sz w:val="20"/>
              </w:rPr>
              <w:t>лечебных</w:t>
            </w:r>
            <w:r>
              <w:rPr>
                <w:spacing w:val="-3"/>
                <w:sz w:val="20"/>
              </w:rPr>
              <w:t> </w:t>
            </w:r>
            <w:r>
              <w:rPr>
                <w:sz w:val="20"/>
              </w:rPr>
              <w:t>дозах)</w:t>
            </w:r>
            <w:r>
              <w:rPr>
                <w:spacing w:val="-3"/>
                <w:sz w:val="20"/>
              </w:rPr>
              <w:t> </w:t>
            </w:r>
            <w:r>
              <w:rPr>
                <w:sz w:val="20"/>
              </w:rPr>
              <w:t>или</w:t>
            </w:r>
            <w:r>
              <w:rPr>
                <w:spacing w:val="-3"/>
                <w:sz w:val="20"/>
              </w:rPr>
              <w:t> </w:t>
            </w:r>
            <w:r>
              <w:rPr>
                <w:sz w:val="20"/>
              </w:rPr>
              <w:t>тедиксабан</w:t>
            </w:r>
            <w:r>
              <w:rPr>
                <w:spacing w:val="-5"/>
                <w:sz w:val="20"/>
              </w:rPr>
              <w:t> </w:t>
            </w:r>
            <w:r>
              <w:rPr>
                <w:sz w:val="20"/>
              </w:rPr>
              <w:t>(N-(5-Хлорпиридин-2- ил)-5-метил-2-(4-(N-метилацетимидамидо)бензамидо)бензамида гидрохлорид)</w:t>
            </w:r>
          </w:p>
          <w:p>
            <w:pPr>
              <w:pStyle w:val="TableParagraph"/>
              <w:spacing w:line="215" w:lineRule="exact" w:before="1"/>
              <w:ind w:left="114"/>
              <w:rPr>
                <w:sz w:val="20"/>
              </w:rPr>
            </w:pPr>
            <w:r>
              <w:rPr>
                <w:sz w:val="20"/>
              </w:rPr>
              <w:t>см.</w:t>
            </w:r>
            <w:r>
              <w:rPr>
                <w:spacing w:val="-9"/>
                <w:sz w:val="20"/>
              </w:rPr>
              <w:t> </w:t>
            </w:r>
            <w:r>
              <w:rPr>
                <w:sz w:val="20"/>
              </w:rPr>
              <w:t>Приложение</w:t>
            </w:r>
            <w:r>
              <w:rPr>
                <w:spacing w:val="-8"/>
                <w:sz w:val="20"/>
              </w:rPr>
              <w:t> </w:t>
            </w:r>
            <w:r>
              <w:rPr>
                <w:sz w:val="20"/>
              </w:rPr>
              <w:t>7-</w:t>
            </w:r>
            <w:r>
              <w:rPr>
                <w:spacing w:val="-10"/>
                <w:sz w:val="20"/>
              </w:rPr>
              <w:t>1</w:t>
            </w:r>
          </w:p>
        </w:tc>
      </w:tr>
      <w:tr>
        <w:trPr>
          <w:trHeight w:val="935" w:hRule="atLeast"/>
        </w:trPr>
        <w:tc>
          <w:tcPr>
            <w:tcW w:w="1131" w:type="dxa"/>
            <w:vMerge w:val="restart"/>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32"/>
              <w:rPr>
                <w:sz w:val="20"/>
              </w:rPr>
            </w:pPr>
          </w:p>
          <w:p>
            <w:pPr>
              <w:pStyle w:val="TableParagraph"/>
              <w:ind w:left="116"/>
              <w:rPr>
                <w:b/>
                <w:sz w:val="20"/>
              </w:rPr>
            </w:pPr>
            <w:r>
              <w:rPr>
                <w:b/>
                <w:sz w:val="20"/>
              </w:rPr>
              <w:t>Схема</w:t>
            </w:r>
            <w:r>
              <w:rPr>
                <w:b/>
                <w:spacing w:val="-4"/>
                <w:sz w:val="20"/>
              </w:rPr>
              <w:t> </w:t>
            </w:r>
            <w:r>
              <w:rPr>
                <w:b/>
                <w:spacing w:val="-10"/>
                <w:sz w:val="20"/>
              </w:rPr>
              <w:t>2</w:t>
            </w:r>
          </w:p>
        </w:tc>
        <w:tc>
          <w:tcPr>
            <w:tcW w:w="447" w:type="dxa"/>
            <w:vMerge w:val="restart"/>
          </w:tcPr>
          <w:p>
            <w:pPr>
              <w:pStyle w:val="TableParagraph"/>
              <w:spacing w:before="9"/>
              <w:ind w:left="112"/>
              <w:rPr>
                <w:sz w:val="20"/>
              </w:rPr>
            </w:pPr>
            <w:r>
              <w:rPr>
                <w:spacing w:val="-10"/>
                <w:sz w:val="20"/>
              </w:rPr>
              <w:t>1</w:t>
            </w:r>
          </w:p>
        </w:tc>
        <w:tc>
          <w:tcPr>
            <w:tcW w:w="3664" w:type="dxa"/>
          </w:tcPr>
          <w:p>
            <w:pPr>
              <w:pStyle w:val="TableParagraph"/>
              <w:spacing w:before="122"/>
              <w:rPr>
                <w:sz w:val="20"/>
              </w:rPr>
            </w:pPr>
          </w:p>
          <w:p>
            <w:pPr>
              <w:pStyle w:val="TableParagraph"/>
              <w:ind w:left="104"/>
              <w:rPr>
                <w:sz w:val="20"/>
              </w:rPr>
            </w:pPr>
            <w:r>
              <w:rPr>
                <w:spacing w:val="-2"/>
                <w:sz w:val="20"/>
              </w:rPr>
              <w:t>Фавипиравир</w:t>
            </w:r>
            <w:r>
              <w:rPr>
                <w:spacing w:val="7"/>
                <w:sz w:val="20"/>
              </w:rPr>
              <w:t> </w:t>
            </w:r>
            <w:r>
              <w:rPr>
                <w:spacing w:val="-10"/>
                <w:sz w:val="20"/>
                <w:vertAlign w:val="superscript"/>
              </w:rPr>
              <w:t>5</w:t>
            </w:r>
          </w:p>
        </w:tc>
        <w:tc>
          <w:tcPr>
            <w:tcW w:w="9502" w:type="dxa"/>
          </w:tcPr>
          <w:p>
            <w:pPr>
              <w:pStyle w:val="TableParagraph"/>
              <w:spacing w:before="7"/>
              <w:ind w:left="99"/>
              <w:rPr>
                <w:sz w:val="20"/>
              </w:rPr>
            </w:pPr>
            <w:r>
              <w:rPr>
                <w:sz w:val="20"/>
              </w:rPr>
              <w:t>Для</w:t>
            </w:r>
            <w:r>
              <w:rPr>
                <w:spacing w:val="-6"/>
                <w:sz w:val="20"/>
              </w:rPr>
              <w:t> </w:t>
            </w:r>
            <w:r>
              <w:rPr>
                <w:sz w:val="20"/>
              </w:rPr>
              <w:t>пациентов</w:t>
            </w:r>
            <w:r>
              <w:rPr>
                <w:spacing w:val="-5"/>
                <w:sz w:val="20"/>
              </w:rPr>
              <w:t> </w:t>
            </w:r>
            <w:r>
              <w:rPr>
                <w:sz w:val="20"/>
              </w:rPr>
              <w:t>с</w:t>
            </w:r>
            <w:r>
              <w:rPr>
                <w:spacing w:val="-4"/>
                <w:sz w:val="20"/>
              </w:rPr>
              <w:t> </w:t>
            </w:r>
            <w:r>
              <w:rPr>
                <w:sz w:val="20"/>
              </w:rPr>
              <w:t>массой</w:t>
            </w:r>
            <w:r>
              <w:rPr>
                <w:spacing w:val="-5"/>
                <w:sz w:val="20"/>
              </w:rPr>
              <w:t> </w:t>
            </w:r>
            <w:r>
              <w:rPr>
                <w:sz w:val="20"/>
              </w:rPr>
              <w:t>тела</w:t>
            </w:r>
            <w:r>
              <w:rPr>
                <w:spacing w:val="-4"/>
                <w:sz w:val="20"/>
              </w:rPr>
              <w:t> </w:t>
            </w:r>
            <w:r>
              <w:rPr>
                <w:sz w:val="20"/>
              </w:rPr>
              <w:t>˂75</w:t>
            </w:r>
            <w:r>
              <w:rPr>
                <w:spacing w:val="-3"/>
                <w:sz w:val="20"/>
              </w:rPr>
              <w:t> </w:t>
            </w:r>
            <w:r>
              <w:rPr>
                <w:spacing w:val="-5"/>
                <w:sz w:val="20"/>
              </w:rPr>
              <w:t>кг:</w:t>
            </w:r>
          </w:p>
          <w:p>
            <w:pPr>
              <w:pStyle w:val="TableParagraph"/>
              <w:ind w:left="99" w:right="2191"/>
              <w:rPr>
                <w:sz w:val="20"/>
              </w:rPr>
            </w:pPr>
            <w:r>
              <w:rPr>
                <w:sz w:val="20"/>
              </w:rPr>
              <w:t>по</w:t>
            </w:r>
            <w:r>
              <w:rPr>
                <w:spacing w:val="-2"/>
                <w:sz w:val="20"/>
              </w:rPr>
              <w:t> </w:t>
            </w:r>
            <w:r>
              <w:rPr>
                <w:sz w:val="20"/>
              </w:rPr>
              <w:t>1600</w:t>
            </w:r>
            <w:r>
              <w:rPr>
                <w:spacing w:val="-5"/>
                <w:sz w:val="20"/>
              </w:rPr>
              <w:t> </w:t>
            </w:r>
            <w:r>
              <w:rPr>
                <w:sz w:val="20"/>
              </w:rPr>
              <w:t>мг</w:t>
            </w:r>
            <w:r>
              <w:rPr>
                <w:spacing w:val="-4"/>
                <w:sz w:val="20"/>
              </w:rPr>
              <w:t> </w:t>
            </w:r>
            <w:r>
              <w:rPr>
                <w:sz w:val="20"/>
              </w:rPr>
              <w:t>2</w:t>
            </w:r>
            <w:r>
              <w:rPr>
                <w:spacing w:val="-2"/>
                <w:sz w:val="20"/>
              </w:rPr>
              <w:t> </w:t>
            </w:r>
            <w:r>
              <w:rPr>
                <w:sz w:val="20"/>
              </w:rPr>
              <w:t>р/сут</w:t>
            </w:r>
            <w:r>
              <w:rPr>
                <w:spacing w:val="-4"/>
                <w:sz w:val="20"/>
              </w:rPr>
              <w:t> </w:t>
            </w:r>
            <w:r>
              <w:rPr>
                <w:sz w:val="20"/>
              </w:rPr>
              <w:t>в</w:t>
            </w:r>
            <w:r>
              <w:rPr>
                <w:spacing w:val="-4"/>
                <w:sz w:val="20"/>
              </w:rPr>
              <w:t> </w:t>
            </w:r>
            <w:r>
              <w:rPr>
                <w:sz w:val="20"/>
              </w:rPr>
              <w:t>1-й</w:t>
            </w:r>
            <w:r>
              <w:rPr>
                <w:spacing w:val="-4"/>
                <w:sz w:val="20"/>
              </w:rPr>
              <w:t> </w:t>
            </w:r>
            <w:r>
              <w:rPr>
                <w:sz w:val="20"/>
              </w:rPr>
              <w:t>день</w:t>
            </w:r>
            <w:r>
              <w:rPr>
                <w:spacing w:val="-1"/>
                <w:sz w:val="20"/>
              </w:rPr>
              <w:t> </w:t>
            </w:r>
            <w:r>
              <w:rPr>
                <w:sz w:val="20"/>
              </w:rPr>
              <w:t>и</w:t>
            </w:r>
            <w:r>
              <w:rPr>
                <w:spacing w:val="-4"/>
                <w:sz w:val="20"/>
              </w:rPr>
              <w:t> </w:t>
            </w:r>
            <w:r>
              <w:rPr>
                <w:sz w:val="20"/>
              </w:rPr>
              <w:t>далее по</w:t>
            </w:r>
            <w:r>
              <w:rPr>
                <w:spacing w:val="-2"/>
                <w:sz w:val="20"/>
              </w:rPr>
              <w:t> </w:t>
            </w:r>
            <w:r>
              <w:rPr>
                <w:sz w:val="20"/>
              </w:rPr>
              <w:t>600</w:t>
            </w:r>
            <w:r>
              <w:rPr>
                <w:spacing w:val="-2"/>
                <w:sz w:val="20"/>
              </w:rPr>
              <w:t> </w:t>
            </w:r>
            <w:r>
              <w:rPr>
                <w:sz w:val="20"/>
              </w:rPr>
              <w:t>мг</w:t>
            </w:r>
            <w:r>
              <w:rPr>
                <w:spacing w:val="-6"/>
                <w:sz w:val="20"/>
              </w:rPr>
              <w:t> </w:t>
            </w:r>
            <w:r>
              <w:rPr>
                <w:sz w:val="20"/>
              </w:rPr>
              <w:t>2</w:t>
            </w:r>
            <w:r>
              <w:rPr>
                <w:spacing w:val="-2"/>
                <w:sz w:val="20"/>
              </w:rPr>
              <w:t> </w:t>
            </w:r>
            <w:r>
              <w:rPr>
                <w:sz w:val="20"/>
              </w:rPr>
              <w:t>р/сут</w:t>
            </w:r>
            <w:r>
              <w:rPr>
                <w:spacing w:val="-4"/>
                <w:sz w:val="20"/>
              </w:rPr>
              <w:t> </w:t>
            </w:r>
            <w:r>
              <w:rPr>
                <w:sz w:val="20"/>
              </w:rPr>
              <w:t>со</w:t>
            </w:r>
            <w:r>
              <w:rPr>
                <w:spacing w:val="-4"/>
                <w:sz w:val="20"/>
              </w:rPr>
              <w:t> </w:t>
            </w:r>
            <w:r>
              <w:rPr>
                <w:sz w:val="20"/>
              </w:rPr>
              <w:t>2</w:t>
            </w:r>
            <w:r>
              <w:rPr>
                <w:spacing w:val="-2"/>
                <w:sz w:val="20"/>
              </w:rPr>
              <w:t> </w:t>
            </w:r>
            <w:r>
              <w:rPr>
                <w:sz w:val="20"/>
              </w:rPr>
              <w:t>по</w:t>
            </w:r>
            <w:r>
              <w:rPr>
                <w:spacing w:val="-2"/>
                <w:sz w:val="20"/>
              </w:rPr>
              <w:t> </w:t>
            </w:r>
            <w:r>
              <w:rPr>
                <w:sz w:val="20"/>
              </w:rPr>
              <w:t>10</w:t>
            </w:r>
            <w:r>
              <w:rPr>
                <w:spacing w:val="-2"/>
                <w:sz w:val="20"/>
              </w:rPr>
              <w:t> </w:t>
            </w:r>
            <w:r>
              <w:rPr>
                <w:sz w:val="20"/>
              </w:rPr>
              <w:t>день</w:t>
            </w:r>
            <w:r>
              <w:rPr>
                <w:spacing w:val="-3"/>
                <w:sz w:val="20"/>
              </w:rPr>
              <w:t> </w:t>
            </w:r>
            <w:r>
              <w:rPr>
                <w:sz w:val="20"/>
              </w:rPr>
              <w:t>(таблетки). Для пациентов с массой тела 75 кг и более:</w:t>
            </w:r>
          </w:p>
          <w:p>
            <w:pPr>
              <w:pStyle w:val="TableParagraph"/>
              <w:spacing w:line="218" w:lineRule="exact"/>
              <w:ind w:left="109"/>
              <w:rPr>
                <w:sz w:val="20"/>
              </w:rPr>
            </w:pPr>
            <w:r>
              <w:rPr>
                <w:sz w:val="20"/>
              </w:rPr>
              <w:t>по</w:t>
            </w:r>
            <w:r>
              <w:rPr>
                <w:spacing w:val="-3"/>
                <w:sz w:val="20"/>
              </w:rPr>
              <w:t> </w:t>
            </w:r>
            <w:r>
              <w:rPr>
                <w:sz w:val="20"/>
              </w:rPr>
              <w:t>1800</w:t>
            </w:r>
            <w:r>
              <w:rPr>
                <w:spacing w:val="-5"/>
                <w:sz w:val="20"/>
              </w:rPr>
              <w:t> </w:t>
            </w:r>
            <w:r>
              <w:rPr>
                <w:sz w:val="20"/>
              </w:rPr>
              <w:t>мг</w:t>
            </w:r>
            <w:r>
              <w:rPr>
                <w:spacing w:val="-4"/>
                <w:sz w:val="20"/>
              </w:rPr>
              <w:t> </w:t>
            </w:r>
            <w:r>
              <w:rPr>
                <w:sz w:val="20"/>
              </w:rPr>
              <w:t>2</w:t>
            </w:r>
            <w:r>
              <w:rPr>
                <w:spacing w:val="-2"/>
                <w:sz w:val="20"/>
              </w:rPr>
              <w:t> </w:t>
            </w:r>
            <w:r>
              <w:rPr>
                <w:sz w:val="20"/>
              </w:rPr>
              <w:t>раза/сут</w:t>
            </w:r>
            <w:r>
              <w:rPr>
                <w:spacing w:val="-5"/>
                <w:sz w:val="20"/>
              </w:rPr>
              <w:t> </w:t>
            </w:r>
            <w:r>
              <w:rPr>
                <w:sz w:val="20"/>
              </w:rPr>
              <w:t>в</w:t>
            </w:r>
            <w:r>
              <w:rPr>
                <w:spacing w:val="-4"/>
                <w:sz w:val="20"/>
              </w:rPr>
              <w:t> </w:t>
            </w:r>
            <w:r>
              <w:rPr>
                <w:sz w:val="20"/>
              </w:rPr>
              <w:t>1-й</w:t>
            </w:r>
            <w:r>
              <w:rPr>
                <w:spacing w:val="-4"/>
                <w:sz w:val="20"/>
              </w:rPr>
              <w:t> </w:t>
            </w:r>
            <w:r>
              <w:rPr>
                <w:sz w:val="20"/>
              </w:rPr>
              <w:t>день,</w:t>
            </w:r>
            <w:r>
              <w:rPr>
                <w:spacing w:val="-3"/>
                <w:sz w:val="20"/>
              </w:rPr>
              <w:t> </w:t>
            </w:r>
            <w:r>
              <w:rPr>
                <w:sz w:val="20"/>
              </w:rPr>
              <w:t>далее</w:t>
            </w:r>
            <w:r>
              <w:rPr>
                <w:spacing w:val="-1"/>
                <w:sz w:val="20"/>
              </w:rPr>
              <w:t> </w:t>
            </w:r>
            <w:r>
              <w:rPr>
                <w:sz w:val="20"/>
              </w:rPr>
              <w:t>по</w:t>
            </w:r>
            <w:r>
              <w:rPr>
                <w:spacing w:val="-2"/>
                <w:sz w:val="20"/>
              </w:rPr>
              <w:t> </w:t>
            </w:r>
            <w:r>
              <w:rPr>
                <w:sz w:val="20"/>
              </w:rPr>
              <w:t>800</w:t>
            </w:r>
            <w:r>
              <w:rPr>
                <w:spacing w:val="-2"/>
                <w:sz w:val="20"/>
              </w:rPr>
              <w:t> </w:t>
            </w:r>
            <w:r>
              <w:rPr>
                <w:sz w:val="20"/>
              </w:rPr>
              <w:t>мг</w:t>
            </w:r>
            <w:r>
              <w:rPr>
                <w:spacing w:val="-6"/>
                <w:sz w:val="20"/>
              </w:rPr>
              <w:t> </w:t>
            </w:r>
            <w:r>
              <w:rPr>
                <w:sz w:val="20"/>
              </w:rPr>
              <w:t>2</w:t>
            </w:r>
            <w:r>
              <w:rPr>
                <w:spacing w:val="-3"/>
                <w:sz w:val="20"/>
              </w:rPr>
              <w:t> </w:t>
            </w:r>
            <w:r>
              <w:rPr>
                <w:sz w:val="20"/>
              </w:rPr>
              <w:t>раза/сут</w:t>
            </w:r>
            <w:r>
              <w:rPr>
                <w:spacing w:val="-4"/>
                <w:sz w:val="20"/>
              </w:rPr>
              <w:t> </w:t>
            </w:r>
            <w:r>
              <w:rPr>
                <w:sz w:val="20"/>
              </w:rPr>
              <w:t>со</w:t>
            </w:r>
            <w:r>
              <w:rPr>
                <w:spacing w:val="-2"/>
                <w:sz w:val="20"/>
              </w:rPr>
              <w:t> </w:t>
            </w:r>
            <w:r>
              <w:rPr>
                <w:sz w:val="20"/>
              </w:rPr>
              <w:t>2</w:t>
            </w:r>
            <w:r>
              <w:rPr>
                <w:spacing w:val="-2"/>
                <w:sz w:val="20"/>
              </w:rPr>
              <w:t> </w:t>
            </w:r>
            <w:r>
              <w:rPr>
                <w:sz w:val="20"/>
              </w:rPr>
              <w:t>по</w:t>
            </w:r>
            <w:r>
              <w:rPr>
                <w:spacing w:val="-3"/>
                <w:sz w:val="20"/>
              </w:rPr>
              <w:t> </w:t>
            </w:r>
            <w:r>
              <w:rPr>
                <w:sz w:val="20"/>
              </w:rPr>
              <w:t>10</w:t>
            </w:r>
            <w:r>
              <w:rPr>
                <w:spacing w:val="-2"/>
                <w:sz w:val="20"/>
              </w:rPr>
              <w:t> </w:t>
            </w:r>
            <w:r>
              <w:rPr>
                <w:sz w:val="20"/>
              </w:rPr>
              <w:t>день</w:t>
            </w:r>
            <w:r>
              <w:rPr>
                <w:spacing w:val="-3"/>
                <w:sz w:val="20"/>
              </w:rPr>
              <w:t> </w:t>
            </w:r>
            <w:r>
              <w:rPr>
                <w:spacing w:val="-2"/>
                <w:sz w:val="20"/>
              </w:rPr>
              <w:t>(таблетки).</w:t>
            </w:r>
          </w:p>
        </w:tc>
      </w:tr>
      <w:tr>
        <w:trPr>
          <w:trHeight w:val="24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16" w:lineRule="exact" w:before="6"/>
              <w:ind w:left="114"/>
              <w:rPr>
                <w:sz w:val="20"/>
              </w:rPr>
            </w:pPr>
            <w:r>
              <w:rPr>
                <w:spacing w:val="-5"/>
                <w:sz w:val="20"/>
              </w:rPr>
              <w:t>или</w:t>
            </w:r>
          </w:p>
        </w:tc>
      </w:tr>
      <w:tr>
        <w:trPr>
          <w:trHeight w:val="1466"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1"/>
              <w:ind w:left="104"/>
              <w:rPr>
                <w:b/>
                <w:position w:val="8"/>
                <w:sz w:val="16"/>
              </w:rPr>
            </w:pPr>
            <w:r>
              <w:rPr>
                <w:spacing w:val="-2"/>
                <w:sz w:val="20"/>
              </w:rPr>
              <w:t>Фавипиравир+Цинк</w:t>
            </w:r>
            <w:r>
              <w:rPr>
                <w:spacing w:val="9"/>
                <w:sz w:val="20"/>
              </w:rPr>
              <w:t> </w:t>
            </w:r>
            <w:r>
              <w:rPr>
                <w:b/>
                <w:spacing w:val="-10"/>
                <w:position w:val="8"/>
                <w:sz w:val="16"/>
              </w:rPr>
              <w:t>2</w:t>
            </w:r>
          </w:p>
        </w:tc>
        <w:tc>
          <w:tcPr>
            <w:tcW w:w="9502" w:type="dxa"/>
          </w:tcPr>
          <w:p>
            <w:pPr>
              <w:pStyle w:val="TableParagraph"/>
              <w:spacing w:before="8"/>
              <w:ind w:left="109"/>
              <w:rPr>
                <w:sz w:val="20"/>
              </w:rPr>
            </w:pPr>
            <w:r>
              <w:rPr>
                <w:spacing w:val="-2"/>
                <w:sz w:val="20"/>
              </w:rPr>
              <w:t>Таблетки:</w:t>
            </w:r>
          </w:p>
          <w:p>
            <w:pPr>
              <w:pStyle w:val="TableParagraph"/>
              <w:spacing w:before="12"/>
              <w:ind w:left="109"/>
              <w:rPr>
                <w:sz w:val="20"/>
              </w:rPr>
            </w:pPr>
            <w:r>
              <w:rPr>
                <w:sz w:val="20"/>
              </w:rPr>
              <w:t>для</w:t>
            </w:r>
            <w:r>
              <w:rPr>
                <w:spacing w:val="-3"/>
                <w:sz w:val="20"/>
              </w:rPr>
              <w:t> </w:t>
            </w:r>
            <w:r>
              <w:rPr>
                <w:sz w:val="20"/>
              </w:rPr>
              <w:t>пациентов</w:t>
            </w:r>
            <w:r>
              <w:rPr>
                <w:spacing w:val="-5"/>
                <w:sz w:val="20"/>
              </w:rPr>
              <w:t> </w:t>
            </w:r>
            <w:r>
              <w:rPr>
                <w:sz w:val="20"/>
              </w:rPr>
              <w:t>с</w:t>
            </w:r>
            <w:r>
              <w:rPr>
                <w:spacing w:val="-5"/>
                <w:sz w:val="20"/>
              </w:rPr>
              <w:t> </w:t>
            </w:r>
            <w:r>
              <w:rPr>
                <w:sz w:val="20"/>
              </w:rPr>
              <w:t>массой</w:t>
            </w:r>
            <w:r>
              <w:rPr>
                <w:spacing w:val="-5"/>
                <w:sz w:val="20"/>
              </w:rPr>
              <w:t> </w:t>
            </w:r>
            <w:r>
              <w:rPr>
                <w:sz w:val="20"/>
              </w:rPr>
              <w:t>тела</w:t>
            </w:r>
            <w:r>
              <w:rPr>
                <w:spacing w:val="-2"/>
                <w:sz w:val="20"/>
              </w:rPr>
              <w:t> </w:t>
            </w:r>
            <w:r>
              <w:rPr>
                <w:sz w:val="20"/>
              </w:rPr>
              <w:t>˂</w:t>
            </w:r>
            <w:r>
              <w:rPr>
                <w:spacing w:val="-5"/>
                <w:sz w:val="20"/>
              </w:rPr>
              <w:t> </w:t>
            </w:r>
            <w:r>
              <w:rPr>
                <w:sz w:val="20"/>
              </w:rPr>
              <w:t>75</w:t>
            </w:r>
            <w:r>
              <w:rPr>
                <w:spacing w:val="-3"/>
                <w:sz w:val="20"/>
              </w:rPr>
              <w:t> </w:t>
            </w:r>
            <w:r>
              <w:rPr>
                <w:spacing w:val="-5"/>
                <w:sz w:val="20"/>
              </w:rPr>
              <w:t>кг:</w:t>
            </w:r>
          </w:p>
          <w:p>
            <w:pPr>
              <w:pStyle w:val="TableParagraph"/>
              <w:spacing w:line="254" w:lineRule="auto" w:before="15"/>
              <w:ind w:left="109" w:right="3148"/>
              <w:rPr>
                <w:sz w:val="20"/>
              </w:rPr>
            </w:pPr>
            <w:r>
              <w:rPr>
                <w:sz w:val="20"/>
              </w:rPr>
              <w:t>по</w:t>
            </w:r>
            <w:r>
              <w:rPr>
                <w:spacing w:val="-2"/>
                <w:sz w:val="20"/>
              </w:rPr>
              <w:t> </w:t>
            </w:r>
            <w:r>
              <w:rPr>
                <w:sz w:val="20"/>
              </w:rPr>
              <w:t>1600</w:t>
            </w:r>
            <w:r>
              <w:rPr>
                <w:spacing w:val="-5"/>
                <w:sz w:val="20"/>
              </w:rPr>
              <w:t> </w:t>
            </w:r>
            <w:r>
              <w:rPr>
                <w:sz w:val="20"/>
              </w:rPr>
              <w:t>мг</w:t>
            </w:r>
            <w:r>
              <w:rPr>
                <w:spacing w:val="-4"/>
                <w:sz w:val="20"/>
              </w:rPr>
              <w:t> </w:t>
            </w:r>
            <w:r>
              <w:rPr>
                <w:sz w:val="20"/>
              </w:rPr>
              <w:t>2</w:t>
            </w:r>
            <w:r>
              <w:rPr>
                <w:spacing w:val="-2"/>
                <w:sz w:val="20"/>
              </w:rPr>
              <w:t> </w:t>
            </w:r>
            <w:r>
              <w:rPr>
                <w:sz w:val="20"/>
              </w:rPr>
              <w:t>р/сут</w:t>
            </w:r>
            <w:r>
              <w:rPr>
                <w:spacing w:val="-4"/>
                <w:sz w:val="20"/>
              </w:rPr>
              <w:t> </w:t>
            </w:r>
            <w:r>
              <w:rPr>
                <w:sz w:val="20"/>
              </w:rPr>
              <w:t>в</w:t>
            </w:r>
            <w:r>
              <w:rPr>
                <w:spacing w:val="-4"/>
                <w:sz w:val="20"/>
              </w:rPr>
              <w:t> </w:t>
            </w:r>
            <w:r>
              <w:rPr>
                <w:sz w:val="20"/>
              </w:rPr>
              <w:t>1-й</w:t>
            </w:r>
            <w:r>
              <w:rPr>
                <w:spacing w:val="-4"/>
                <w:sz w:val="20"/>
              </w:rPr>
              <w:t> </w:t>
            </w:r>
            <w:r>
              <w:rPr>
                <w:sz w:val="20"/>
              </w:rPr>
              <w:t>день</w:t>
            </w:r>
            <w:r>
              <w:rPr>
                <w:spacing w:val="-1"/>
                <w:sz w:val="20"/>
              </w:rPr>
              <w:t> </w:t>
            </w:r>
            <w:r>
              <w:rPr>
                <w:sz w:val="20"/>
              </w:rPr>
              <w:t>и</w:t>
            </w:r>
            <w:r>
              <w:rPr>
                <w:spacing w:val="-4"/>
                <w:sz w:val="20"/>
              </w:rPr>
              <w:t> </w:t>
            </w:r>
            <w:r>
              <w:rPr>
                <w:sz w:val="20"/>
              </w:rPr>
              <w:t>далее по</w:t>
            </w:r>
            <w:r>
              <w:rPr>
                <w:spacing w:val="-2"/>
                <w:sz w:val="20"/>
              </w:rPr>
              <w:t> </w:t>
            </w:r>
            <w:r>
              <w:rPr>
                <w:sz w:val="20"/>
              </w:rPr>
              <w:t>600</w:t>
            </w:r>
            <w:r>
              <w:rPr>
                <w:spacing w:val="-2"/>
                <w:sz w:val="20"/>
              </w:rPr>
              <w:t> </w:t>
            </w:r>
            <w:r>
              <w:rPr>
                <w:sz w:val="20"/>
              </w:rPr>
              <w:t>мг</w:t>
            </w:r>
            <w:r>
              <w:rPr>
                <w:spacing w:val="-6"/>
                <w:sz w:val="20"/>
              </w:rPr>
              <w:t> </w:t>
            </w:r>
            <w:r>
              <w:rPr>
                <w:sz w:val="20"/>
              </w:rPr>
              <w:t>2</w:t>
            </w:r>
            <w:r>
              <w:rPr>
                <w:spacing w:val="-2"/>
                <w:sz w:val="20"/>
              </w:rPr>
              <w:t> </w:t>
            </w:r>
            <w:r>
              <w:rPr>
                <w:sz w:val="20"/>
              </w:rPr>
              <w:t>р/сут</w:t>
            </w:r>
            <w:r>
              <w:rPr>
                <w:spacing w:val="-4"/>
                <w:sz w:val="20"/>
              </w:rPr>
              <w:t> </w:t>
            </w:r>
            <w:r>
              <w:rPr>
                <w:sz w:val="20"/>
              </w:rPr>
              <w:t>со</w:t>
            </w:r>
            <w:r>
              <w:rPr>
                <w:spacing w:val="-4"/>
                <w:sz w:val="20"/>
              </w:rPr>
              <w:t> </w:t>
            </w:r>
            <w:r>
              <w:rPr>
                <w:sz w:val="20"/>
              </w:rPr>
              <w:t>2</w:t>
            </w:r>
            <w:r>
              <w:rPr>
                <w:spacing w:val="-2"/>
                <w:sz w:val="20"/>
              </w:rPr>
              <w:t> </w:t>
            </w:r>
            <w:r>
              <w:rPr>
                <w:sz w:val="20"/>
              </w:rPr>
              <w:t>по</w:t>
            </w:r>
            <w:r>
              <w:rPr>
                <w:spacing w:val="-2"/>
                <w:sz w:val="20"/>
              </w:rPr>
              <w:t> </w:t>
            </w:r>
            <w:r>
              <w:rPr>
                <w:sz w:val="20"/>
              </w:rPr>
              <w:t>10</w:t>
            </w:r>
            <w:r>
              <w:rPr>
                <w:spacing w:val="-2"/>
                <w:sz w:val="20"/>
              </w:rPr>
              <w:t> </w:t>
            </w:r>
            <w:r>
              <w:rPr>
                <w:sz w:val="20"/>
              </w:rPr>
              <w:t>день; для пациентов с массой тела 75 кг и более:</w:t>
            </w:r>
          </w:p>
          <w:p>
            <w:pPr>
              <w:pStyle w:val="TableParagraph"/>
              <w:spacing w:line="229" w:lineRule="exact"/>
              <w:ind w:left="109"/>
              <w:rPr>
                <w:sz w:val="20"/>
              </w:rPr>
            </w:pPr>
            <w:r>
              <w:rPr>
                <w:sz w:val="20"/>
              </w:rPr>
              <w:t>по</w:t>
            </w:r>
            <w:r>
              <w:rPr>
                <w:spacing w:val="-3"/>
                <w:sz w:val="20"/>
              </w:rPr>
              <w:t> </w:t>
            </w:r>
            <w:r>
              <w:rPr>
                <w:sz w:val="20"/>
              </w:rPr>
              <w:t>1800</w:t>
            </w:r>
            <w:r>
              <w:rPr>
                <w:spacing w:val="-5"/>
                <w:sz w:val="20"/>
              </w:rPr>
              <w:t> </w:t>
            </w:r>
            <w:r>
              <w:rPr>
                <w:sz w:val="20"/>
              </w:rPr>
              <w:t>мг</w:t>
            </w:r>
            <w:r>
              <w:rPr>
                <w:spacing w:val="-4"/>
                <w:sz w:val="20"/>
              </w:rPr>
              <w:t> </w:t>
            </w:r>
            <w:r>
              <w:rPr>
                <w:sz w:val="20"/>
              </w:rPr>
              <w:t>2</w:t>
            </w:r>
            <w:r>
              <w:rPr>
                <w:spacing w:val="-2"/>
                <w:sz w:val="20"/>
              </w:rPr>
              <w:t> </w:t>
            </w:r>
            <w:r>
              <w:rPr>
                <w:sz w:val="20"/>
              </w:rPr>
              <w:t>раза/сут</w:t>
            </w:r>
            <w:r>
              <w:rPr>
                <w:spacing w:val="-1"/>
                <w:sz w:val="20"/>
              </w:rPr>
              <w:t> </w:t>
            </w:r>
            <w:r>
              <w:rPr>
                <w:sz w:val="20"/>
              </w:rPr>
              <w:t>в</w:t>
            </w:r>
            <w:r>
              <w:rPr>
                <w:spacing w:val="-4"/>
                <w:sz w:val="20"/>
              </w:rPr>
              <w:t> </w:t>
            </w:r>
            <w:r>
              <w:rPr>
                <w:sz w:val="20"/>
              </w:rPr>
              <w:t>1-й</w:t>
            </w:r>
            <w:r>
              <w:rPr>
                <w:spacing w:val="-4"/>
                <w:sz w:val="20"/>
              </w:rPr>
              <w:t> </w:t>
            </w:r>
            <w:r>
              <w:rPr>
                <w:sz w:val="20"/>
              </w:rPr>
              <w:t>день,</w:t>
            </w:r>
            <w:r>
              <w:rPr>
                <w:spacing w:val="-4"/>
                <w:sz w:val="20"/>
              </w:rPr>
              <w:t> </w:t>
            </w:r>
            <w:r>
              <w:rPr>
                <w:sz w:val="20"/>
              </w:rPr>
              <w:t>далее по</w:t>
            </w:r>
            <w:r>
              <w:rPr>
                <w:spacing w:val="-2"/>
                <w:sz w:val="20"/>
              </w:rPr>
              <w:t> </w:t>
            </w:r>
            <w:r>
              <w:rPr>
                <w:sz w:val="20"/>
              </w:rPr>
              <w:t>800</w:t>
            </w:r>
            <w:r>
              <w:rPr>
                <w:spacing w:val="-2"/>
                <w:sz w:val="20"/>
              </w:rPr>
              <w:t> </w:t>
            </w:r>
            <w:r>
              <w:rPr>
                <w:sz w:val="20"/>
              </w:rPr>
              <w:t>мг</w:t>
            </w:r>
            <w:r>
              <w:rPr>
                <w:spacing w:val="-6"/>
                <w:sz w:val="20"/>
              </w:rPr>
              <w:t> </w:t>
            </w:r>
            <w:r>
              <w:rPr>
                <w:sz w:val="20"/>
              </w:rPr>
              <w:t>2</w:t>
            </w:r>
            <w:r>
              <w:rPr>
                <w:spacing w:val="-2"/>
                <w:sz w:val="20"/>
              </w:rPr>
              <w:t> </w:t>
            </w:r>
            <w:r>
              <w:rPr>
                <w:sz w:val="20"/>
              </w:rPr>
              <w:t>раза/сут</w:t>
            </w:r>
            <w:r>
              <w:rPr>
                <w:spacing w:val="-4"/>
                <w:sz w:val="20"/>
              </w:rPr>
              <w:t> </w:t>
            </w:r>
            <w:r>
              <w:rPr>
                <w:sz w:val="20"/>
              </w:rPr>
              <w:t>со</w:t>
            </w:r>
            <w:r>
              <w:rPr>
                <w:spacing w:val="-3"/>
                <w:sz w:val="20"/>
              </w:rPr>
              <w:t> </w:t>
            </w:r>
            <w:r>
              <w:rPr>
                <w:sz w:val="20"/>
              </w:rPr>
              <w:t>2</w:t>
            </w:r>
            <w:r>
              <w:rPr>
                <w:spacing w:val="-2"/>
                <w:sz w:val="20"/>
              </w:rPr>
              <w:t> </w:t>
            </w:r>
            <w:r>
              <w:rPr>
                <w:sz w:val="20"/>
              </w:rPr>
              <w:t>по</w:t>
            </w:r>
            <w:r>
              <w:rPr>
                <w:spacing w:val="-2"/>
                <w:sz w:val="20"/>
              </w:rPr>
              <w:t> </w:t>
            </w:r>
            <w:r>
              <w:rPr>
                <w:sz w:val="20"/>
              </w:rPr>
              <w:t>10</w:t>
            </w:r>
            <w:r>
              <w:rPr>
                <w:spacing w:val="-2"/>
                <w:sz w:val="20"/>
              </w:rPr>
              <w:t> день.</w:t>
            </w:r>
          </w:p>
        </w:tc>
      </w:tr>
      <w:tr>
        <w:trPr>
          <w:trHeight w:val="24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17" w:lineRule="exact" w:before="4"/>
              <w:ind w:left="114"/>
              <w:rPr>
                <w:sz w:val="20"/>
              </w:rPr>
            </w:pPr>
            <w:r>
              <w:rPr>
                <w:spacing w:val="-5"/>
                <w:sz w:val="20"/>
              </w:rPr>
              <w:t>или</w:t>
            </w:r>
          </w:p>
        </w:tc>
      </w:tr>
      <w:tr>
        <w:trPr>
          <w:trHeight w:val="720"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ind w:left="114"/>
              <w:rPr>
                <w:b/>
                <w:position w:val="8"/>
                <w:sz w:val="16"/>
              </w:rPr>
            </w:pPr>
            <w:r>
              <w:rPr>
                <w:spacing w:val="-2"/>
                <w:sz w:val="20"/>
              </w:rPr>
              <w:t>Фавипиравир</w:t>
            </w:r>
            <w:r>
              <w:rPr>
                <w:spacing w:val="7"/>
                <w:sz w:val="20"/>
              </w:rPr>
              <w:t> </w:t>
            </w:r>
            <w:r>
              <w:rPr>
                <w:b/>
                <w:spacing w:val="-10"/>
                <w:position w:val="8"/>
                <w:sz w:val="16"/>
              </w:rPr>
              <w:t>2</w:t>
            </w:r>
          </w:p>
        </w:tc>
        <w:tc>
          <w:tcPr>
            <w:tcW w:w="9502" w:type="dxa"/>
          </w:tcPr>
          <w:p>
            <w:pPr>
              <w:pStyle w:val="TableParagraph"/>
              <w:spacing w:before="6"/>
              <w:ind w:left="109"/>
              <w:rPr>
                <w:sz w:val="20"/>
              </w:rPr>
            </w:pPr>
            <w:r>
              <w:rPr>
                <w:sz w:val="20"/>
              </w:rPr>
              <w:t>Раствор</w:t>
            </w:r>
            <w:r>
              <w:rPr>
                <w:spacing w:val="-6"/>
                <w:sz w:val="20"/>
              </w:rPr>
              <w:t> </w:t>
            </w:r>
            <w:r>
              <w:rPr>
                <w:sz w:val="20"/>
              </w:rPr>
              <w:t>для</w:t>
            </w:r>
            <w:r>
              <w:rPr>
                <w:spacing w:val="-7"/>
                <w:sz w:val="20"/>
              </w:rPr>
              <w:t> </w:t>
            </w:r>
            <w:r>
              <w:rPr>
                <w:spacing w:val="-2"/>
                <w:sz w:val="20"/>
              </w:rPr>
              <w:t>инфузий:</w:t>
            </w:r>
          </w:p>
          <w:p>
            <w:pPr>
              <w:pStyle w:val="TableParagraph"/>
              <w:spacing w:line="230" w:lineRule="atLeast" w:before="4"/>
              <w:ind w:left="109"/>
              <w:rPr>
                <w:sz w:val="20"/>
              </w:rPr>
            </w:pPr>
            <w:r>
              <w:rPr>
                <w:sz w:val="20"/>
              </w:rPr>
              <w:t>внутривенно</w:t>
            </w:r>
            <w:r>
              <w:rPr>
                <w:spacing w:val="-2"/>
                <w:sz w:val="20"/>
              </w:rPr>
              <w:t> </w:t>
            </w:r>
            <w:r>
              <w:rPr>
                <w:sz w:val="20"/>
              </w:rPr>
              <w:t>капельно в</w:t>
            </w:r>
            <w:r>
              <w:rPr>
                <w:spacing w:val="-4"/>
                <w:sz w:val="20"/>
              </w:rPr>
              <w:t> </w:t>
            </w:r>
            <w:r>
              <w:rPr>
                <w:sz w:val="20"/>
              </w:rPr>
              <w:t>течение</w:t>
            </w:r>
            <w:r>
              <w:rPr>
                <w:spacing w:val="-3"/>
                <w:sz w:val="20"/>
              </w:rPr>
              <w:t> </w:t>
            </w:r>
            <w:r>
              <w:rPr>
                <w:sz w:val="20"/>
              </w:rPr>
              <w:t>2</w:t>
            </w:r>
            <w:r>
              <w:rPr>
                <w:spacing w:val="-2"/>
                <w:sz w:val="20"/>
              </w:rPr>
              <w:t> </w:t>
            </w:r>
            <w:r>
              <w:rPr>
                <w:sz w:val="20"/>
              </w:rPr>
              <w:t>часов</w:t>
            </w:r>
            <w:r>
              <w:rPr>
                <w:spacing w:val="-4"/>
                <w:sz w:val="20"/>
              </w:rPr>
              <w:t> </w:t>
            </w:r>
            <w:r>
              <w:rPr>
                <w:sz w:val="20"/>
              </w:rPr>
              <w:t>по</w:t>
            </w:r>
            <w:r>
              <w:rPr>
                <w:spacing w:val="-2"/>
                <w:sz w:val="20"/>
              </w:rPr>
              <w:t> </w:t>
            </w:r>
            <w:r>
              <w:rPr>
                <w:sz w:val="20"/>
              </w:rPr>
              <w:t>1600</w:t>
            </w:r>
            <w:r>
              <w:rPr>
                <w:spacing w:val="-2"/>
                <w:sz w:val="20"/>
              </w:rPr>
              <w:t> </w:t>
            </w:r>
            <w:r>
              <w:rPr>
                <w:sz w:val="20"/>
              </w:rPr>
              <w:t>мг</w:t>
            </w:r>
            <w:r>
              <w:rPr>
                <w:spacing w:val="-6"/>
                <w:sz w:val="20"/>
              </w:rPr>
              <w:t> </w:t>
            </w:r>
            <w:r>
              <w:rPr>
                <w:sz w:val="20"/>
              </w:rPr>
              <w:t>2</w:t>
            </w:r>
            <w:r>
              <w:rPr>
                <w:spacing w:val="-2"/>
                <w:sz w:val="20"/>
              </w:rPr>
              <w:t> </w:t>
            </w:r>
            <w:r>
              <w:rPr>
                <w:sz w:val="20"/>
              </w:rPr>
              <w:t>раза</w:t>
            </w:r>
            <w:r>
              <w:rPr>
                <w:spacing w:val="-3"/>
                <w:sz w:val="20"/>
              </w:rPr>
              <w:t> </w:t>
            </w:r>
            <w:r>
              <w:rPr>
                <w:sz w:val="20"/>
              </w:rPr>
              <w:t>в</w:t>
            </w:r>
            <w:r>
              <w:rPr>
                <w:spacing w:val="-4"/>
                <w:sz w:val="20"/>
              </w:rPr>
              <w:t> </w:t>
            </w:r>
            <w:r>
              <w:rPr>
                <w:sz w:val="20"/>
              </w:rPr>
              <w:t>1-й</w:t>
            </w:r>
            <w:r>
              <w:rPr>
                <w:spacing w:val="-4"/>
                <w:sz w:val="20"/>
              </w:rPr>
              <w:t> </w:t>
            </w:r>
            <w:r>
              <w:rPr>
                <w:sz w:val="20"/>
              </w:rPr>
              <w:t>день</w:t>
            </w:r>
            <w:r>
              <w:rPr>
                <w:spacing w:val="-3"/>
                <w:sz w:val="20"/>
              </w:rPr>
              <w:t> </w:t>
            </w:r>
            <w:r>
              <w:rPr>
                <w:sz w:val="20"/>
              </w:rPr>
              <w:t>терапии,</w:t>
            </w:r>
            <w:r>
              <w:rPr>
                <w:spacing w:val="-1"/>
                <w:sz w:val="20"/>
              </w:rPr>
              <w:t> </w:t>
            </w:r>
            <w:r>
              <w:rPr>
                <w:sz w:val="20"/>
              </w:rPr>
              <w:t>далее по</w:t>
            </w:r>
            <w:r>
              <w:rPr>
                <w:spacing w:val="-2"/>
                <w:sz w:val="20"/>
              </w:rPr>
              <w:t> </w:t>
            </w:r>
            <w:r>
              <w:rPr>
                <w:sz w:val="20"/>
              </w:rPr>
              <w:t>800</w:t>
            </w:r>
            <w:r>
              <w:rPr>
                <w:spacing w:val="-2"/>
                <w:sz w:val="20"/>
              </w:rPr>
              <w:t> </w:t>
            </w:r>
            <w:r>
              <w:rPr>
                <w:sz w:val="20"/>
              </w:rPr>
              <w:t>мг</w:t>
            </w:r>
            <w:r>
              <w:rPr>
                <w:spacing w:val="-6"/>
                <w:sz w:val="20"/>
              </w:rPr>
              <w:t> </w:t>
            </w:r>
            <w:r>
              <w:rPr>
                <w:sz w:val="20"/>
              </w:rPr>
              <w:t>2</w:t>
            </w:r>
            <w:r>
              <w:rPr>
                <w:spacing w:val="-2"/>
                <w:sz w:val="20"/>
              </w:rPr>
              <w:t> </w:t>
            </w:r>
            <w:r>
              <w:rPr>
                <w:sz w:val="20"/>
              </w:rPr>
              <w:t>раза</w:t>
            </w:r>
            <w:r>
              <w:rPr>
                <w:spacing w:val="-3"/>
                <w:sz w:val="20"/>
              </w:rPr>
              <w:t> </w:t>
            </w:r>
            <w:r>
              <w:rPr>
                <w:sz w:val="20"/>
              </w:rPr>
              <w:t>в</w:t>
            </w:r>
            <w:r>
              <w:rPr>
                <w:spacing w:val="-4"/>
                <w:sz w:val="20"/>
              </w:rPr>
              <w:t> </w:t>
            </w:r>
            <w:r>
              <w:rPr>
                <w:sz w:val="20"/>
              </w:rPr>
              <w:t>день, соответственно, со 2-го по 10-й день терапии</w:t>
            </w:r>
          </w:p>
        </w:tc>
      </w:tr>
      <w:tr>
        <w:trPr>
          <w:trHeight w:val="24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21" w:lineRule="exact" w:before="3"/>
              <w:ind w:left="114"/>
              <w:rPr>
                <w:sz w:val="20"/>
              </w:rPr>
            </w:pPr>
            <w:r>
              <w:rPr>
                <w:spacing w:val="-5"/>
                <w:sz w:val="20"/>
              </w:rPr>
              <w:t>или</w:t>
            </w:r>
          </w:p>
        </w:tc>
      </w:tr>
      <w:tr>
        <w:trPr>
          <w:trHeight w:val="73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217"/>
              <w:ind w:left="104"/>
              <w:rPr>
                <w:b/>
                <w:position w:val="8"/>
                <w:sz w:val="16"/>
              </w:rPr>
            </w:pPr>
            <w:r>
              <w:rPr>
                <w:spacing w:val="-2"/>
                <w:sz w:val="20"/>
              </w:rPr>
              <w:t>Ремдесивир</w:t>
            </w:r>
            <w:r>
              <w:rPr>
                <w:spacing w:val="-10"/>
                <w:sz w:val="20"/>
              </w:rPr>
              <w:t> </w:t>
            </w:r>
            <w:r>
              <w:rPr>
                <w:b/>
                <w:spacing w:val="-10"/>
                <w:position w:val="8"/>
                <w:sz w:val="16"/>
              </w:rPr>
              <w:t>2</w:t>
            </w:r>
          </w:p>
        </w:tc>
        <w:tc>
          <w:tcPr>
            <w:tcW w:w="9502" w:type="dxa"/>
          </w:tcPr>
          <w:p>
            <w:pPr>
              <w:pStyle w:val="TableParagraph"/>
              <w:spacing w:line="252" w:lineRule="auto" w:before="3"/>
              <w:ind w:left="109" w:right="3498"/>
              <w:rPr>
                <w:sz w:val="20"/>
              </w:rPr>
            </w:pPr>
            <w:r>
              <w:rPr>
                <w:sz w:val="20"/>
              </w:rPr>
              <w:t>1-й</w:t>
            </w:r>
            <w:r>
              <w:rPr>
                <w:spacing w:val="-5"/>
                <w:sz w:val="20"/>
              </w:rPr>
              <w:t> </w:t>
            </w:r>
            <w:r>
              <w:rPr>
                <w:sz w:val="20"/>
              </w:rPr>
              <w:t>день:</w:t>
            </w:r>
            <w:r>
              <w:rPr>
                <w:spacing w:val="-5"/>
                <w:sz w:val="20"/>
              </w:rPr>
              <w:t> </w:t>
            </w:r>
            <w:r>
              <w:rPr>
                <w:sz w:val="20"/>
              </w:rPr>
              <w:t>200</w:t>
            </w:r>
            <w:r>
              <w:rPr>
                <w:spacing w:val="-4"/>
                <w:sz w:val="20"/>
              </w:rPr>
              <w:t> </w:t>
            </w:r>
            <w:r>
              <w:rPr>
                <w:sz w:val="20"/>
              </w:rPr>
              <w:t>мг</w:t>
            </w:r>
            <w:r>
              <w:rPr>
                <w:spacing w:val="-5"/>
                <w:sz w:val="20"/>
              </w:rPr>
              <w:t> </w:t>
            </w:r>
            <w:r>
              <w:rPr>
                <w:sz w:val="20"/>
              </w:rPr>
              <w:t>(в</w:t>
            </w:r>
            <w:r>
              <w:rPr>
                <w:spacing w:val="-5"/>
                <w:sz w:val="20"/>
              </w:rPr>
              <w:t> </w:t>
            </w:r>
            <w:r>
              <w:rPr>
                <w:sz w:val="20"/>
              </w:rPr>
              <w:t>0,9</w:t>
            </w:r>
            <w:r>
              <w:rPr>
                <w:spacing w:val="-6"/>
                <w:sz w:val="20"/>
              </w:rPr>
              <w:t> </w:t>
            </w:r>
            <w:r>
              <w:rPr>
                <w:sz w:val="20"/>
              </w:rPr>
              <w:t>%</w:t>
            </w:r>
            <w:r>
              <w:rPr>
                <w:spacing w:val="-5"/>
                <w:sz w:val="20"/>
              </w:rPr>
              <w:t> </w:t>
            </w:r>
            <w:r>
              <w:rPr>
                <w:sz w:val="20"/>
              </w:rPr>
              <w:t>растворе</w:t>
            </w:r>
            <w:r>
              <w:rPr>
                <w:spacing w:val="-5"/>
                <w:sz w:val="20"/>
              </w:rPr>
              <w:t> </w:t>
            </w:r>
            <w:r>
              <w:rPr>
                <w:sz w:val="20"/>
              </w:rPr>
              <w:t>натрия</w:t>
            </w:r>
            <w:r>
              <w:rPr>
                <w:spacing w:val="-5"/>
                <w:sz w:val="20"/>
              </w:rPr>
              <w:t> </w:t>
            </w:r>
            <w:r>
              <w:rPr>
                <w:sz w:val="20"/>
              </w:rPr>
              <w:t>хлорида)</w:t>
            </w:r>
            <w:r>
              <w:rPr>
                <w:spacing w:val="-5"/>
                <w:sz w:val="20"/>
              </w:rPr>
              <w:t> </w:t>
            </w:r>
            <w:r>
              <w:rPr>
                <w:sz w:val="20"/>
              </w:rPr>
              <w:t>однократно</w:t>
            </w:r>
            <w:r>
              <w:rPr>
                <w:spacing w:val="-4"/>
                <w:sz w:val="20"/>
              </w:rPr>
              <w:t> </w:t>
            </w:r>
            <w:r>
              <w:rPr>
                <w:sz w:val="20"/>
              </w:rPr>
              <w:t>в/в. Со 2-го дня: 100 мг в/в 1 р/сут.</w:t>
            </w:r>
          </w:p>
          <w:p>
            <w:pPr>
              <w:pStyle w:val="TableParagraph"/>
              <w:spacing w:line="221" w:lineRule="exact" w:before="4"/>
              <w:ind w:left="109"/>
              <w:rPr>
                <w:sz w:val="20"/>
              </w:rPr>
            </w:pPr>
            <w:r>
              <w:rPr>
                <w:sz w:val="20"/>
              </w:rPr>
              <w:t>Общий</w:t>
            </w:r>
            <w:r>
              <w:rPr>
                <w:spacing w:val="-6"/>
                <w:sz w:val="20"/>
              </w:rPr>
              <w:t> </w:t>
            </w:r>
            <w:r>
              <w:rPr>
                <w:sz w:val="20"/>
              </w:rPr>
              <w:t>курс</w:t>
            </w:r>
            <w:r>
              <w:rPr>
                <w:spacing w:val="-4"/>
                <w:sz w:val="20"/>
              </w:rPr>
              <w:t> </w:t>
            </w:r>
            <w:r>
              <w:rPr>
                <w:sz w:val="20"/>
              </w:rPr>
              <w:t>не</w:t>
            </w:r>
            <w:r>
              <w:rPr>
                <w:spacing w:val="-4"/>
                <w:sz w:val="20"/>
              </w:rPr>
              <w:t> </w:t>
            </w:r>
            <w:r>
              <w:rPr>
                <w:sz w:val="20"/>
              </w:rPr>
              <w:t>более</w:t>
            </w:r>
            <w:r>
              <w:rPr>
                <w:spacing w:val="-4"/>
                <w:sz w:val="20"/>
              </w:rPr>
              <w:t> </w:t>
            </w:r>
            <w:r>
              <w:rPr>
                <w:sz w:val="20"/>
              </w:rPr>
              <w:t>10</w:t>
            </w:r>
            <w:r>
              <w:rPr>
                <w:spacing w:val="-3"/>
                <w:sz w:val="20"/>
              </w:rPr>
              <w:t> </w:t>
            </w:r>
            <w:r>
              <w:rPr>
                <w:spacing w:val="-4"/>
                <w:sz w:val="20"/>
              </w:rPr>
              <w:t>дней</w:t>
            </w:r>
          </w:p>
        </w:tc>
      </w:tr>
      <w:tr>
        <w:trPr>
          <w:trHeight w:val="24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22" w:lineRule="exact" w:before="2"/>
              <w:ind w:left="114"/>
              <w:rPr>
                <w:sz w:val="20"/>
              </w:rPr>
            </w:pPr>
            <w:r>
              <w:rPr>
                <w:spacing w:val="-5"/>
                <w:sz w:val="20"/>
              </w:rPr>
              <w:t>или</w:t>
            </w:r>
          </w:p>
        </w:tc>
      </w:tr>
      <w:tr>
        <w:trPr>
          <w:trHeight w:val="287"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68" w:lineRule="exact"/>
              <w:ind w:left="104"/>
              <w:rPr>
                <w:b/>
                <w:position w:val="8"/>
                <w:sz w:val="16"/>
              </w:rPr>
            </w:pPr>
            <w:r>
              <w:rPr>
                <w:sz w:val="20"/>
              </w:rPr>
              <w:t>Молнупиравир</w:t>
            </w:r>
            <w:r>
              <w:rPr>
                <w:spacing w:val="-7"/>
                <w:sz w:val="20"/>
              </w:rPr>
              <w:t> </w:t>
            </w:r>
            <w:r>
              <w:rPr>
                <w:b/>
                <w:spacing w:val="-10"/>
                <w:position w:val="8"/>
                <w:sz w:val="16"/>
              </w:rPr>
              <w:t>4</w:t>
            </w:r>
          </w:p>
        </w:tc>
        <w:tc>
          <w:tcPr>
            <w:tcW w:w="9502" w:type="dxa"/>
          </w:tcPr>
          <w:p>
            <w:pPr>
              <w:pStyle w:val="TableParagraph"/>
              <w:spacing w:before="2"/>
              <w:ind w:left="109"/>
              <w:rPr>
                <w:sz w:val="20"/>
              </w:rPr>
            </w:pPr>
            <w:r>
              <w:rPr>
                <w:sz w:val="20"/>
              </w:rPr>
              <w:t>800</w:t>
            </w:r>
            <w:r>
              <w:rPr>
                <w:spacing w:val="-4"/>
                <w:sz w:val="20"/>
              </w:rPr>
              <w:t> </w:t>
            </w:r>
            <w:r>
              <w:rPr>
                <w:sz w:val="20"/>
              </w:rPr>
              <w:t>мг</w:t>
            </w:r>
            <w:r>
              <w:rPr>
                <w:spacing w:val="-4"/>
                <w:sz w:val="20"/>
              </w:rPr>
              <w:t> </w:t>
            </w:r>
            <w:r>
              <w:rPr>
                <w:sz w:val="20"/>
              </w:rPr>
              <w:t>перорально</w:t>
            </w:r>
            <w:r>
              <w:rPr>
                <w:spacing w:val="-4"/>
                <w:sz w:val="20"/>
              </w:rPr>
              <w:t> </w:t>
            </w:r>
            <w:r>
              <w:rPr>
                <w:sz w:val="20"/>
              </w:rPr>
              <w:t>каждые</w:t>
            </w:r>
            <w:r>
              <w:rPr>
                <w:spacing w:val="-4"/>
                <w:sz w:val="20"/>
              </w:rPr>
              <w:t> </w:t>
            </w:r>
            <w:r>
              <w:rPr>
                <w:sz w:val="20"/>
              </w:rPr>
              <w:t>12</w:t>
            </w:r>
            <w:r>
              <w:rPr>
                <w:spacing w:val="-3"/>
                <w:sz w:val="20"/>
              </w:rPr>
              <w:t> </w:t>
            </w:r>
            <w:r>
              <w:rPr>
                <w:sz w:val="20"/>
              </w:rPr>
              <w:t>часов,</w:t>
            </w:r>
            <w:r>
              <w:rPr>
                <w:spacing w:val="-4"/>
                <w:sz w:val="20"/>
              </w:rPr>
              <w:t> </w:t>
            </w:r>
            <w:r>
              <w:rPr>
                <w:sz w:val="20"/>
              </w:rPr>
              <w:t>курс</w:t>
            </w:r>
            <w:r>
              <w:rPr>
                <w:spacing w:val="-4"/>
                <w:sz w:val="20"/>
              </w:rPr>
              <w:t> </w:t>
            </w:r>
            <w:r>
              <w:rPr>
                <w:sz w:val="20"/>
              </w:rPr>
              <w:t>не</w:t>
            </w:r>
            <w:r>
              <w:rPr>
                <w:spacing w:val="-4"/>
                <w:sz w:val="20"/>
              </w:rPr>
              <w:t> </w:t>
            </w:r>
            <w:r>
              <w:rPr>
                <w:sz w:val="20"/>
              </w:rPr>
              <w:t>более</w:t>
            </w:r>
            <w:r>
              <w:rPr>
                <w:spacing w:val="-4"/>
                <w:sz w:val="20"/>
              </w:rPr>
              <w:t> </w:t>
            </w:r>
            <w:r>
              <w:rPr>
                <w:sz w:val="20"/>
              </w:rPr>
              <w:t>5</w:t>
            </w:r>
            <w:r>
              <w:rPr>
                <w:spacing w:val="-3"/>
                <w:sz w:val="20"/>
              </w:rPr>
              <w:t> </w:t>
            </w:r>
            <w:r>
              <w:rPr>
                <w:spacing w:val="-4"/>
                <w:sz w:val="20"/>
              </w:rPr>
              <w:t>дней</w:t>
            </w:r>
          </w:p>
        </w:tc>
      </w:tr>
      <w:tr>
        <w:trPr>
          <w:trHeight w:val="35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57"/>
              <w:ind w:left="104"/>
              <w:rPr>
                <w:sz w:val="20"/>
              </w:rPr>
            </w:pPr>
            <w:r>
              <w:rPr>
                <w:spacing w:val="-5"/>
                <w:sz w:val="20"/>
              </w:rPr>
              <w:t>или</w:t>
            </w:r>
          </w:p>
        </w:tc>
      </w:tr>
    </w:tbl>
    <w:p>
      <w:pPr>
        <w:spacing w:before="222"/>
        <w:ind w:left="0" w:right="15" w:firstLine="0"/>
        <w:jc w:val="center"/>
        <w:rPr>
          <w:rFonts w:ascii="Calibri"/>
          <w:sz w:val="22"/>
        </w:rPr>
      </w:pPr>
      <w:r>
        <w:rPr>
          <w:rFonts w:ascii="Calibri"/>
          <w:spacing w:val="-5"/>
          <w:sz w:val="22"/>
        </w:rPr>
        <w:t>217</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31"/>
        <w:gridCol w:w="447"/>
        <w:gridCol w:w="3664"/>
        <w:gridCol w:w="9502"/>
      </w:tblGrid>
      <w:tr>
        <w:trPr>
          <w:trHeight w:val="529" w:hRule="atLeast"/>
        </w:trPr>
        <w:tc>
          <w:tcPr>
            <w:tcW w:w="1131" w:type="dxa"/>
            <w:vMerge w:val="restart"/>
          </w:tcPr>
          <w:p>
            <w:pPr>
              <w:pStyle w:val="TableParagraph"/>
              <w:rPr>
                <w:sz w:val="18"/>
              </w:rPr>
            </w:pPr>
          </w:p>
        </w:tc>
        <w:tc>
          <w:tcPr>
            <w:tcW w:w="447" w:type="dxa"/>
            <w:vMerge w:val="restart"/>
          </w:tcPr>
          <w:p>
            <w:pPr>
              <w:pStyle w:val="TableParagraph"/>
              <w:rPr>
                <w:sz w:val="18"/>
              </w:rPr>
            </w:pPr>
          </w:p>
        </w:tc>
        <w:tc>
          <w:tcPr>
            <w:tcW w:w="3664" w:type="dxa"/>
          </w:tcPr>
          <w:p>
            <w:pPr>
              <w:pStyle w:val="TableParagraph"/>
              <w:spacing w:before="123"/>
              <w:ind w:left="104"/>
              <w:rPr>
                <w:b/>
                <w:position w:val="8"/>
                <w:sz w:val="16"/>
              </w:rPr>
            </w:pPr>
            <w:bookmarkStart w:name="219" w:id="261"/>
            <w:bookmarkEnd w:id="261"/>
            <w:r>
              <w:rPr/>
            </w:r>
            <w:r>
              <w:rPr>
                <w:spacing w:val="-2"/>
                <w:sz w:val="20"/>
              </w:rPr>
              <w:t>Нирматрелвир+Ритонавир</w:t>
            </w:r>
            <w:r>
              <w:rPr>
                <w:spacing w:val="19"/>
                <w:sz w:val="20"/>
              </w:rPr>
              <w:t> </w:t>
            </w:r>
            <w:r>
              <w:rPr>
                <w:b/>
                <w:spacing w:val="-10"/>
                <w:position w:val="8"/>
                <w:sz w:val="16"/>
              </w:rPr>
              <w:t>4</w:t>
            </w:r>
          </w:p>
        </w:tc>
        <w:tc>
          <w:tcPr>
            <w:tcW w:w="9502" w:type="dxa"/>
          </w:tcPr>
          <w:p>
            <w:pPr>
              <w:pStyle w:val="TableParagraph"/>
              <w:spacing w:before="10"/>
              <w:ind w:left="99"/>
              <w:rPr>
                <w:sz w:val="20"/>
              </w:rPr>
            </w:pPr>
            <w:r>
              <w:rPr>
                <w:sz w:val="20"/>
              </w:rPr>
              <w:t>300</w:t>
            </w:r>
            <w:r>
              <w:rPr>
                <w:spacing w:val="10"/>
                <w:sz w:val="20"/>
              </w:rPr>
              <w:t> </w:t>
            </w:r>
            <w:r>
              <w:rPr>
                <w:sz w:val="20"/>
              </w:rPr>
              <w:t>мг</w:t>
            </w:r>
            <w:r>
              <w:rPr>
                <w:spacing w:val="11"/>
                <w:sz w:val="20"/>
              </w:rPr>
              <w:t> </w:t>
            </w:r>
            <w:r>
              <w:rPr>
                <w:sz w:val="20"/>
              </w:rPr>
              <w:t>нирматрелвира</w:t>
            </w:r>
            <w:r>
              <w:rPr>
                <w:spacing w:val="11"/>
                <w:sz w:val="20"/>
              </w:rPr>
              <w:t> </w:t>
            </w:r>
            <w:r>
              <w:rPr>
                <w:sz w:val="20"/>
              </w:rPr>
              <w:t>+</w:t>
            </w:r>
            <w:r>
              <w:rPr>
                <w:spacing w:val="12"/>
                <w:sz w:val="20"/>
              </w:rPr>
              <w:t> </w:t>
            </w:r>
            <w:r>
              <w:rPr>
                <w:sz w:val="20"/>
              </w:rPr>
              <w:t>100</w:t>
            </w:r>
            <w:r>
              <w:rPr>
                <w:spacing w:val="12"/>
                <w:sz w:val="20"/>
              </w:rPr>
              <w:t> </w:t>
            </w:r>
            <w:r>
              <w:rPr>
                <w:sz w:val="20"/>
              </w:rPr>
              <w:t>мг</w:t>
            </w:r>
            <w:r>
              <w:rPr>
                <w:spacing w:val="9"/>
                <w:sz w:val="20"/>
              </w:rPr>
              <w:t> </w:t>
            </w:r>
            <w:r>
              <w:rPr>
                <w:sz w:val="20"/>
              </w:rPr>
              <w:t>ритонавира</w:t>
            </w:r>
            <w:r>
              <w:rPr>
                <w:spacing w:val="16"/>
                <w:sz w:val="20"/>
              </w:rPr>
              <w:t> </w:t>
            </w:r>
            <w:r>
              <w:rPr>
                <w:sz w:val="20"/>
              </w:rPr>
              <w:t>два</w:t>
            </w:r>
            <w:r>
              <w:rPr>
                <w:spacing w:val="12"/>
                <w:sz w:val="20"/>
              </w:rPr>
              <w:t> </w:t>
            </w:r>
            <w:r>
              <w:rPr>
                <w:sz w:val="20"/>
              </w:rPr>
              <w:t>раза</w:t>
            </w:r>
            <w:r>
              <w:rPr>
                <w:spacing w:val="12"/>
                <w:sz w:val="20"/>
              </w:rPr>
              <w:t> </w:t>
            </w:r>
            <w:r>
              <w:rPr>
                <w:sz w:val="20"/>
              </w:rPr>
              <w:t>в</w:t>
            </w:r>
            <w:r>
              <w:rPr>
                <w:spacing w:val="9"/>
                <w:sz w:val="20"/>
              </w:rPr>
              <w:t> </w:t>
            </w:r>
            <w:r>
              <w:rPr>
                <w:sz w:val="20"/>
              </w:rPr>
              <w:t>сутки</w:t>
            </w:r>
            <w:r>
              <w:rPr>
                <w:spacing w:val="10"/>
                <w:sz w:val="20"/>
              </w:rPr>
              <w:t> </w:t>
            </w:r>
            <w:r>
              <w:rPr>
                <w:sz w:val="20"/>
              </w:rPr>
              <w:t>(каждые</w:t>
            </w:r>
            <w:r>
              <w:rPr>
                <w:spacing w:val="12"/>
                <w:sz w:val="20"/>
              </w:rPr>
              <w:t> </w:t>
            </w:r>
            <w:r>
              <w:rPr>
                <w:sz w:val="20"/>
              </w:rPr>
              <w:t>12</w:t>
            </w:r>
            <w:r>
              <w:rPr>
                <w:spacing w:val="12"/>
                <w:sz w:val="20"/>
              </w:rPr>
              <w:t> </w:t>
            </w:r>
            <w:r>
              <w:rPr>
                <w:sz w:val="20"/>
              </w:rPr>
              <w:t>часов).</w:t>
            </w:r>
            <w:r>
              <w:rPr>
                <w:spacing w:val="13"/>
                <w:sz w:val="20"/>
              </w:rPr>
              <w:t> </w:t>
            </w:r>
            <w:r>
              <w:rPr>
                <w:sz w:val="20"/>
              </w:rPr>
              <w:t>Суточная</w:t>
            </w:r>
            <w:r>
              <w:rPr>
                <w:spacing w:val="11"/>
                <w:sz w:val="20"/>
              </w:rPr>
              <w:t> </w:t>
            </w:r>
            <w:r>
              <w:rPr>
                <w:sz w:val="20"/>
              </w:rPr>
              <w:t>доза</w:t>
            </w:r>
            <w:r>
              <w:rPr>
                <w:spacing w:val="11"/>
                <w:sz w:val="20"/>
              </w:rPr>
              <w:t> </w:t>
            </w:r>
            <w:r>
              <w:rPr>
                <w:spacing w:val="-2"/>
                <w:sz w:val="20"/>
              </w:rPr>
              <w:t>составляет</w:t>
            </w:r>
          </w:p>
          <w:p>
            <w:pPr>
              <w:pStyle w:val="TableParagraph"/>
              <w:spacing w:before="33"/>
              <w:ind w:left="99"/>
              <w:rPr>
                <w:sz w:val="20"/>
              </w:rPr>
            </w:pPr>
            <w:r>
              <w:rPr>
                <w:sz w:val="20"/>
              </w:rPr>
              <w:t>600</w:t>
            </w:r>
            <w:r>
              <w:rPr>
                <w:spacing w:val="-5"/>
                <w:sz w:val="20"/>
              </w:rPr>
              <w:t> </w:t>
            </w:r>
            <w:r>
              <w:rPr>
                <w:sz w:val="20"/>
              </w:rPr>
              <w:t>мг</w:t>
            </w:r>
            <w:r>
              <w:rPr>
                <w:spacing w:val="-7"/>
                <w:sz w:val="20"/>
              </w:rPr>
              <w:t> </w:t>
            </w:r>
            <w:r>
              <w:rPr>
                <w:sz w:val="20"/>
              </w:rPr>
              <w:t>нирматрелвира</w:t>
            </w:r>
            <w:r>
              <w:rPr>
                <w:spacing w:val="-5"/>
                <w:sz w:val="20"/>
              </w:rPr>
              <w:t> </w:t>
            </w:r>
            <w:r>
              <w:rPr>
                <w:sz w:val="20"/>
              </w:rPr>
              <w:t>+</w:t>
            </w:r>
            <w:r>
              <w:rPr>
                <w:spacing w:val="-6"/>
                <w:sz w:val="20"/>
              </w:rPr>
              <w:t> </w:t>
            </w:r>
            <w:r>
              <w:rPr>
                <w:sz w:val="20"/>
              </w:rPr>
              <w:t>200</w:t>
            </w:r>
            <w:r>
              <w:rPr>
                <w:spacing w:val="-7"/>
                <w:sz w:val="20"/>
              </w:rPr>
              <w:t> </w:t>
            </w:r>
            <w:r>
              <w:rPr>
                <w:sz w:val="20"/>
              </w:rPr>
              <w:t>мг</w:t>
            </w:r>
            <w:r>
              <w:rPr>
                <w:spacing w:val="-6"/>
                <w:sz w:val="20"/>
              </w:rPr>
              <w:t> </w:t>
            </w:r>
            <w:r>
              <w:rPr>
                <w:sz w:val="20"/>
              </w:rPr>
              <w:t>ритонавира.</w:t>
            </w:r>
            <w:r>
              <w:rPr>
                <w:spacing w:val="39"/>
                <w:sz w:val="20"/>
              </w:rPr>
              <w:t> </w:t>
            </w:r>
            <w:r>
              <w:rPr>
                <w:sz w:val="20"/>
              </w:rPr>
              <w:t>Продолжительность</w:t>
            </w:r>
            <w:r>
              <w:rPr>
                <w:spacing w:val="-3"/>
                <w:sz w:val="20"/>
              </w:rPr>
              <w:t> </w:t>
            </w:r>
            <w:r>
              <w:rPr>
                <w:sz w:val="20"/>
              </w:rPr>
              <w:t>курса</w:t>
            </w:r>
            <w:r>
              <w:rPr>
                <w:spacing w:val="-6"/>
                <w:sz w:val="20"/>
              </w:rPr>
              <w:t> </w:t>
            </w:r>
            <w:r>
              <w:rPr>
                <w:sz w:val="20"/>
              </w:rPr>
              <w:t>лечения</w:t>
            </w:r>
            <w:r>
              <w:rPr>
                <w:spacing w:val="1"/>
                <w:sz w:val="20"/>
              </w:rPr>
              <w:t> </w:t>
            </w:r>
            <w:r>
              <w:rPr>
                <w:sz w:val="20"/>
              </w:rPr>
              <w:t>-</w:t>
            </w:r>
            <w:r>
              <w:rPr>
                <w:spacing w:val="-5"/>
                <w:sz w:val="20"/>
              </w:rPr>
              <w:t> </w:t>
            </w:r>
            <w:r>
              <w:rPr>
                <w:sz w:val="20"/>
              </w:rPr>
              <w:t>5</w:t>
            </w:r>
            <w:r>
              <w:rPr>
                <w:spacing w:val="-5"/>
                <w:sz w:val="20"/>
              </w:rPr>
              <w:t> </w:t>
            </w:r>
            <w:r>
              <w:rPr>
                <w:spacing w:val="-2"/>
                <w:sz w:val="20"/>
              </w:rPr>
              <w:t>суток.</w:t>
            </w:r>
          </w:p>
        </w:tc>
      </w:tr>
      <w:tr>
        <w:trPr>
          <w:trHeight w:val="350"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9"/>
              <w:ind w:left="104"/>
              <w:rPr>
                <w:sz w:val="20"/>
              </w:rPr>
            </w:pPr>
            <w:r>
              <w:rPr>
                <w:spacing w:val="-5"/>
                <w:sz w:val="20"/>
              </w:rPr>
              <w:t>или</w:t>
            </w:r>
          </w:p>
        </w:tc>
      </w:tr>
      <w:tr>
        <w:trPr>
          <w:trHeight w:val="518"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27" w:lineRule="exact" w:before="9"/>
              <w:ind w:left="104"/>
              <w:rPr>
                <w:sz w:val="20"/>
              </w:rPr>
            </w:pPr>
            <w:r>
              <w:rPr>
                <w:sz w:val="20"/>
              </w:rPr>
              <w:t>Иммуноглобулин</w:t>
            </w:r>
            <w:r>
              <w:rPr>
                <w:spacing w:val="-11"/>
                <w:sz w:val="20"/>
              </w:rPr>
              <w:t> </w:t>
            </w:r>
            <w:r>
              <w:rPr>
                <w:sz w:val="20"/>
              </w:rPr>
              <w:t>человека</w:t>
            </w:r>
            <w:r>
              <w:rPr>
                <w:spacing w:val="-8"/>
                <w:sz w:val="20"/>
              </w:rPr>
              <w:t> </w:t>
            </w:r>
            <w:r>
              <w:rPr>
                <w:spacing w:val="-2"/>
                <w:sz w:val="20"/>
              </w:rPr>
              <w:t>против</w:t>
            </w:r>
          </w:p>
          <w:p>
            <w:pPr>
              <w:pStyle w:val="TableParagraph"/>
              <w:spacing w:line="262" w:lineRule="exact"/>
              <w:ind w:left="104"/>
              <w:rPr>
                <w:b/>
                <w:position w:val="8"/>
                <w:sz w:val="16"/>
              </w:rPr>
            </w:pPr>
            <w:r>
              <w:rPr>
                <w:sz w:val="20"/>
              </w:rPr>
              <w:t>COVID-19</w:t>
            </w:r>
            <w:r>
              <w:rPr>
                <w:spacing w:val="-7"/>
                <w:sz w:val="20"/>
              </w:rPr>
              <w:t> </w:t>
            </w:r>
            <w:r>
              <w:rPr>
                <w:b/>
                <w:spacing w:val="-10"/>
                <w:position w:val="8"/>
                <w:sz w:val="16"/>
              </w:rPr>
              <w:t>2</w:t>
            </w:r>
          </w:p>
        </w:tc>
        <w:tc>
          <w:tcPr>
            <w:tcW w:w="9502" w:type="dxa"/>
          </w:tcPr>
          <w:p>
            <w:pPr>
              <w:pStyle w:val="TableParagraph"/>
              <w:spacing w:before="9"/>
              <w:ind w:left="99"/>
              <w:rPr>
                <w:sz w:val="20"/>
              </w:rPr>
            </w:pPr>
            <w:r>
              <w:rPr>
                <w:sz w:val="20"/>
              </w:rPr>
              <w:t>1</w:t>
            </w:r>
            <w:r>
              <w:rPr>
                <w:spacing w:val="-5"/>
                <w:sz w:val="20"/>
              </w:rPr>
              <w:t> </w:t>
            </w:r>
            <w:r>
              <w:rPr>
                <w:sz w:val="20"/>
              </w:rPr>
              <w:t>мл</w:t>
            </w:r>
            <w:r>
              <w:rPr>
                <w:spacing w:val="-7"/>
                <w:sz w:val="20"/>
              </w:rPr>
              <w:t> </w:t>
            </w:r>
            <w:r>
              <w:rPr>
                <w:sz w:val="20"/>
              </w:rPr>
              <w:t>на</w:t>
            </w:r>
            <w:r>
              <w:rPr>
                <w:spacing w:val="-6"/>
                <w:sz w:val="20"/>
              </w:rPr>
              <w:t> </w:t>
            </w:r>
            <w:r>
              <w:rPr>
                <w:sz w:val="20"/>
              </w:rPr>
              <w:t>кг</w:t>
            </w:r>
            <w:r>
              <w:rPr>
                <w:spacing w:val="-6"/>
                <w:sz w:val="20"/>
              </w:rPr>
              <w:t> </w:t>
            </w:r>
            <w:r>
              <w:rPr>
                <w:sz w:val="20"/>
              </w:rPr>
              <w:t>массы</w:t>
            </w:r>
            <w:r>
              <w:rPr>
                <w:spacing w:val="-6"/>
                <w:sz w:val="20"/>
              </w:rPr>
              <w:t> </w:t>
            </w:r>
            <w:r>
              <w:rPr>
                <w:sz w:val="20"/>
              </w:rPr>
              <w:t>тела</w:t>
            </w:r>
            <w:r>
              <w:rPr>
                <w:spacing w:val="-6"/>
                <w:sz w:val="20"/>
              </w:rPr>
              <w:t> </w:t>
            </w:r>
            <w:r>
              <w:rPr>
                <w:sz w:val="20"/>
              </w:rPr>
              <w:t>однократно</w:t>
            </w:r>
            <w:r>
              <w:rPr>
                <w:spacing w:val="-4"/>
                <w:sz w:val="20"/>
              </w:rPr>
              <w:t> </w:t>
            </w:r>
            <w:r>
              <w:rPr>
                <w:sz w:val="20"/>
              </w:rPr>
              <w:t>внутривенно</w:t>
            </w:r>
            <w:r>
              <w:rPr>
                <w:spacing w:val="-5"/>
                <w:sz w:val="20"/>
              </w:rPr>
              <w:t> </w:t>
            </w:r>
            <w:r>
              <w:rPr>
                <w:sz w:val="20"/>
              </w:rPr>
              <w:t>капельно</w:t>
            </w:r>
            <w:r>
              <w:rPr>
                <w:spacing w:val="-5"/>
                <w:sz w:val="20"/>
              </w:rPr>
              <w:t> </w:t>
            </w:r>
            <w:r>
              <w:rPr>
                <w:sz w:val="20"/>
              </w:rPr>
              <w:t>без</w:t>
            </w:r>
            <w:r>
              <w:rPr>
                <w:spacing w:val="-6"/>
                <w:sz w:val="20"/>
              </w:rPr>
              <w:t> </w:t>
            </w:r>
            <w:r>
              <w:rPr>
                <w:spacing w:val="-2"/>
                <w:sz w:val="20"/>
              </w:rPr>
              <w:t>разведения</w:t>
            </w:r>
          </w:p>
        </w:tc>
      </w:tr>
      <w:tr>
        <w:trPr>
          <w:trHeight w:val="350"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11"/>
              <w:ind w:left="104"/>
              <w:rPr>
                <w:sz w:val="20"/>
              </w:rPr>
            </w:pPr>
            <w:r>
              <w:rPr>
                <w:spacing w:val="-5"/>
                <w:sz w:val="20"/>
              </w:rPr>
              <w:t>или</w:t>
            </w:r>
          </w:p>
        </w:tc>
      </w:tr>
      <w:tr>
        <w:trPr>
          <w:trHeight w:val="705"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30" w:lineRule="atLeast"/>
              <w:ind w:left="104" w:right="180"/>
              <w:rPr>
                <w:sz w:val="20"/>
              </w:rPr>
            </w:pPr>
            <w:r>
              <w:rPr>
                <w:sz w:val="20"/>
              </w:rPr>
              <w:t>Синтетическая малая </w:t>
            </w:r>
            <w:r>
              <w:rPr>
                <w:spacing w:val="-2"/>
                <w:sz w:val="20"/>
              </w:rPr>
              <w:t>интерферирующая рибонуклеиновая </w:t>
            </w:r>
            <w:r>
              <w:rPr>
                <w:sz w:val="20"/>
              </w:rPr>
              <w:t>кислота (миРНК) [двуцепочечная]</w:t>
            </w:r>
          </w:p>
        </w:tc>
        <w:tc>
          <w:tcPr>
            <w:tcW w:w="9502" w:type="dxa"/>
          </w:tcPr>
          <w:p>
            <w:pPr>
              <w:pStyle w:val="TableParagraph"/>
              <w:spacing w:line="252" w:lineRule="auto" w:before="11"/>
              <w:ind w:left="99" w:right="1657" w:firstLine="9"/>
              <w:rPr>
                <w:sz w:val="20"/>
              </w:rPr>
            </w:pPr>
            <w:r>
              <w:rPr>
                <w:sz w:val="20"/>
              </w:rPr>
              <w:t>Два</w:t>
            </w:r>
            <w:r>
              <w:rPr>
                <w:spacing w:val="-4"/>
                <w:sz w:val="20"/>
              </w:rPr>
              <w:t> </w:t>
            </w:r>
            <w:r>
              <w:rPr>
                <w:sz w:val="20"/>
              </w:rPr>
              <w:t>приема</w:t>
            </w:r>
            <w:r>
              <w:rPr>
                <w:spacing w:val="-4"/>
                <w:sz w:val="20"/>
              </w:rPr>
              <w:t> </w:t>
            </w:r>
            <w:r>
              <w:rPr>
                <w:sz w:val="20"/>
              </w:rPr>
              <w:t>с</w:t>
            </w:r>
            <w:r>
              <w:rPr>
                <w:spacing w:val="-4"/>
                <w:sz w:val="20"/>
              </w:rPr>
              <w:t> </w:t>
            </w:r>
            <w:r>
              <w:rPr>
                <w:sz w:val="20"/>
              </w:rPr>
              <w:t>перерывом</w:t>
            </w:r>
            <w:r>
              <w:rPr>
                <w:spacing w:val="-3"/>
                <w:sz w:val="20"/>
              </w:rPr>
              <w:t> </w:t>
            </w:r>
            <w:r>
              <w:rPr>
                <w:sz w:val="20"/>
              </w:rPr>
              <w:t>7-8</w:t>
            </w:r>
            <w:r>
              <w:rPr>
                <w:spacing w:val="-5"/>
                <w:sz w:val="20"/>
              </w:rPr>
              <w:t> </w:t>
            </w:r>
            <w:r>
              <w:rPr>
                <w:sz w:val="20"/>
              </w:rPr>
              <w:t>часов.</w:t>
            </w:r>
            <w:r>
              <w:rPr>
                <w:spacing w:val="-4"/>
                <w:sz w:val="20"/>
              </w:rPr>
              <w:t> </w:t>
            </w:r>
            <w:r>
              <w:rPr>
                <w:sz w:val="20"/>
              </w:rPr>
              <w:t>Разовая</w:t>
            </w:r>
            <w:r>
              <w:rPr>
                <w:spacing w:val="-4"/>
                <w:sz w:val="20"/>
              </w:rPr>
              <w:t> </w:t>
            </w:r>
            <w:r>
              <w:rPr>
                <w:sz w:val="20"/>
              </w:rPr>
              <w:t>доза</w:t>
            </w:r>
            <w:r>
              <w:rPr>
                <w:spacing w:val="-4"/>
                <w:sz w:val="20"/>
              </w:rPr>
              <w:t> </w:t>
            </w:r>
            <w:r>
              <w:rPr>
                <w:sz w:val="20"/>
              </w:rPr>
              <w:t>составляет</w:t>
            </w:r>
            <w:r>
              <w:rPr>
                <w:spacing w:val="-4"/>
                <w:sz w:val="20"/>
              </w:rPr>
              <w:t> </w:t>
            </w:r>
            <w:r>
              <w:rPr>
                <w:sz w:val="20"/>
              </w:rPr>
              <w:t>1,85</w:t>
            </w:r>
            <w:r>
              <w:rPr>
                <w:spacing w:val="-3"/>
                <w:sz w:val="20"/>
              </w:rPr>
              <w:t> </w:t>
            </w:r>
            <w:r>
              <w:rPr>
                <w:sz w:val="20"/>
              </w:rPr>
              <w:t>мг,</w:t>
            </w:r>
            <w:r>
              <w:rPr>
                <w:spacing w:val="-4"/>
                <w:sz w:val="20"/>
              </w:rPr>
              <w:t> </w:t>
            </w:r>
            <w:r>
              <w:rPr>
                <w:sz w:val="20"/>
              </w:rPr>
              <w:t>суточная –</w:t>
            </w:r>
            <w:r>
              <w:rPr>
                <w:spacing w:val="-4"/>
                <w:sz w:val="20"/>
              </w:rPr>
              <w:t> </w:t>
            </w:r>
            <w:r>
              <w:rPr>
                <w:sz w:val="20"/>
              </w:rPr>
              <w:t>3,7</w:t>
            </w:r>
            <w:r>
              <w:rPr>
                <w:spacing w:val="-3"/>
                <w:sz w:val="20"/>
              </w:rPr>
              <w:t> </w:t>
            </w:r>
            <w:r>
              <w:rPr>
                <w:sz w:val="20"/>
              </w:rPr>
              <w:t>мг. Курс лечения – 14 дней (28 ингаляций).</w:t>
            </w:r>
          </w:p>
        </w:tc>
      </w:tr>
      <w:tr>
        <w:trPr>
          <w:trHeight w:val="1192" w:hRule="atLeast"/>
        </w:trPr>
        <w:tc>
          <w:tcPr>
            <w:tcW w:w="1131" w:type="dxa"/>
            <w:vMerge/>
            <w:tcBorders>
              <w:top w:val="nil"/>
            </w:tcBorders>
          </w:tcPr>
          <w:p>
            <w:pPr>
              <w:rPr>
                <w:sz w:val="2"/>
                <w:szCs w:val="2"/>
              </w:rPr>
            </w:pPr>
          </w:p>
        </w:tc>
        <w:tc>
          <w:tcPr>
            <w:tcW w:w="447" w:type="dxa"/>
            <w:vMerge w:val="restart"/>
          </w:tcPr>
          <w:p>
            <w:pPr>
              <w:pStyle w:val="TableParagraph"/>
              <w:rPr>
                <w:sz w:val="20"/>
              </w:rPr>
            </w:pPr>
          </w:p>
          <w:p>
            <w:pPr>
              <w:pStyle w:val="TableParagraph"/>
              <w:rPr>
                <w:sz w:val="20"/>
              </w:rPr>
            </w:pPr>
          </w:p>
          <w:p>
            <w:pPr>
              <w:pStyle w:val="TableParagraph"/>
              <w:rPr>
                <w:sz w:val="20"/>
              </w:rPr>
            </w:pPr>
          </w:p>
          <w:p>
            <w:pPr>
              <w:pStyle w:val="TableParagraph"/>
              <w:spacing w:before="111"/>
              <w:rPr>
                <w:sz w:val="20"/>
              </w:rPr>
            </w:pPr>
          </w:p>
          <w:p>
            <w:pPr>
              <w:pStyle w:val="TableParagraph"/>
              <w:ind w:left="8" w:right="1"/>
              <w:jc w:val="center"/>
              <w:rPr>
                <w:sz w:val="20"/>
              </w:rPr>
            </w:pPr>
            <w:r>
              <w:rPr>
                <w:spacing w:val="-10"/>
                <w:sz w:val="20"/>
              </w:rPr>
              <w:t>2</w:t>
            </w:r>
          </w:p>
        </w:tc>
        <w:tc>
          <w:tcPr>
            <w:tcW w:w="3664" w:type="dxa"/>
          </w:tcPr>
          <w:p>
            <w:pPr>
              <w:pStyle w:val="TableParagraph"/>
              <w:rPr>
                <w:sz w:val="20"/>
              </w:rPr>
            </w:pPr>
          </w:p>
          <w:p>
            <w:pPr>
              <w:pStyle w:val="TableParagraph"/>
              <w:spacing w:before="22"/>
              <w:rPr>
                <w:sz w:val="20"/>
              </w:rPr>
            </w:pPr>
          </w:p>
          <w:p>
            <w:pPr>
              <w:pStyle w:val="TableParagraph"/>
              <w:ind w:left="114"/>
              <w:rPr>
                <w:sz w:val="20"/>
              </w:rPr>
            </w:pPr>
            <w:r>
              <w:rPr>
                <w:spacing w:val="-2"/>
                <w:sz w:val="20"/>
              </w:rPr>
              <w:t>Метилпреднизолон</w:t>
            </w:r>
          </w:p>
        </w:tc>
        <w:tc>
          <w:tcPr>
            <w:tcW w:w="9502" w:type="dxa"/>
          </w:tcPr>
          <w:p>
            <w:pPr>
              <w:pStyle w:val="TableParagraph"/>
              <w:spacing w:line="247" w:lineRule="auto" w:before="7"/>
              <w:ind w:left="99" w:right="216"/>
              <w:rPr>
                <w:b/>
                <w:sz w:val="20"/>
              </w:rPr>
            </w:pPr>
            <w:r>
              <w:rPr>
                <w:sz w:val="20"/>
              </w:rPr>
              <w:t>125</w:t>
            </w:r>
            <w:r>
              <w:rPr>
                <w:spacing w:val="-3"/>
                <w:sz w:val="20"/>
              </w:rPr>
              <w:t> </w:t>
            </w:r>
            <w:r>
              <w:rPr>
                <w:sz w:val="20"/>
              </w:rPr>
              <w:t>мг/введение/внутривенно</w:t>
            </w:r>
            <w:r>
              <w:rPr>
                <w:spacing w:val="-3"/>
                <w:sz w:val="20"/>
              </w:rPr>
              <w:t> </w:t>
            </w:r>
            <w:r>
              <w:rPr>
                <w:sz w:val="20"/>
              </w:rPr>
              <w:t>каждые</w:t>
            </w:r>
            <w:r>
              <w:rPr>
                <w:spacing w:val="-4"/>
                <w:sz w:val="20"/>
              </w:rPr>
              <w:t> </w:t>
            </w:r>
            <w:r>
              <w:rPr>
                <w:sz w:val="20"/>
              </w:rPr>
              <w:t>12</w:t>
            </w:r>
            <w:r>
              <w:rPr>
                <w:spacing w:val="-3"/>
                <w:sz w:val="20"/>
              </w:rPr>
              <w:t> </w:t>
            </w:r>
            <w:r>
              <w:rPr>
                <w:sz w:val="20"/>
              </w:rPr>
              <w:t>ч.</w:t>
            </w:r>
            <w:r>
              <w:rPr>
                <w:spacing w:val="-4"/>
                <w:sz w:val="20"/>
              </w:rPr>
              <w:t> </w:t>
            </w:r>
            <w:r>
              <w:rPr>
                <w:sz w:val="20"/>
              </w:rPr>
              <w:t>Максимальная</w:t>
            </w:r>
            <w:r>
              <w:rPr>
                <w:spacing w:val="-5"/>
                <w:sz w:val="20"/>
              </w:rPr>
              <w:t> </w:t>
            </w:r>
            <w:r>
              <w:rPr>
                <w:sz w:val="20"/>
              </w:rPr>
              <w:t>доза</w:t>
            </w:r>
            <w:r>
              <w:rPr>
                <w:spacing w:val="-4"/>
                <w:sz w:val="20"/>
              </w:rPr>
              <w:t> </w:t>
            </w:r>
            <w:r>
              <w:rPr>
                <w:sz w:val="20"/>
              </w:rPr>
              <w:t>применяется</w:t>
            </w:r>
            <w:r>
              <w:rPr>
                <w:spacing w:val="-5"/>
                <w:sz w:val="20"/>
              </w:rPr>
              <w:t> </w:t>
            </w:r>
            <w:r>
              <w:rPr>
                <w:sz w:val="20"/>
              </w:rPr>
              <w:t>в</w:t>
            </w:r>
            <w:r>
              <w:rPr>
                <w:spacing w:val="-2"/>
                <w:sz w:val="20"/>
              </w:rPr>
              <w:t> </w:t>
            </w:r>
            <w:r>
              <w:rPr>
                <w:sz w:val="20"/>
              </w:rPr>
              <w:t>течение</w:t>
            </w:r>
            <w:r>
              <w:rPr>
                <w:spacing w:val="-4"/>
                <w:sz w:val="20"/>
              </w:rPr>
              <w:t> </w:t>
            </w:r>
            <w:r>
              <w:rPr>
                <w:sz w:val="20"/>
              </w:rPr>
              <w:t>3-4</w:t>
            </w:r>
            <w:r>
              <w:rPr>
                <w:spacing w:val="-3"/>
                <w:sz w:val="20"/>
              </w:rPr>
              <w:t> </w:t>
            </w:r>
            <w:r>
              <w:rPr>
                <w:sz w:val="20"/>
              </w:rPr>
              <w:t>суток.</w:t>
            </w:r>
            <w:r>
              <w:rPr>
                <w:spacing w:val="-4"/>
                <w:sz w:val="20"/>
              </w:rPr>
              <w:t> </w:t>
            </w:r>
            <w:r>
              <w:rPr>
                <w:sz w:val="20"/>
              </w:rPr>
              <w:t>Доза</w:t>
            </w:r>
            <w:r>
              <w:rPr>
                <w:spacing w:val="-4"/>
                <w:sz w:val="20"/>
              </w:rPr>
              <w:t> </w:t>
            </w:r>
            <w:r>
              <w:rPr>
                <w:sz w:val="20"/>
              </w:rPr>
              <w:t>ГКС снижается на 20-25% на введение каждые 1-2 суток, далее на 50% каждые 1-2 суток до полной отмены. </w:t>
            </w:r>
            <w:r>
              <w:rPr>
                <w:b/>
                <w:spacing w:val="-4"/>
                <w:sz w:val="20"/>
              </w:rPr>
              <w:t>или</w:t>
            </w:r>
          </w:p>
          <w:p>
            <w:pPr>
              <w:pStyle w:val="TableParagraph"/>
              <w:spacing w:line="230" w:lineRule="atLeast"/>
              <w:ind w:left="109" w:right="580"/>
              <w:rPr>
                <w:sz w:val="20"/>
              </w:rPr>
            </w:pPr>
            <w:r>
              <w:rPr>
                <w:sz w:val="20"/>
              </w:rPr>
              <w:t>250 мг/введение/в/в</w:t>
            </w:r>
            <w:r>
              <w:rPr>
                <w:spacing w:val="-1"/>
                <w:sz w:val="20"/>
              </w:rPr>
              <w:t> </w:t>
            </w:r>
            <w:r>
              <w:rPr>
                <w:sz w:val="20"/>
              </w:rPr>
              <w:t>один</w:t>
            </w:r>
            <w:r>
              <w:rPr>
                <w:spacing w:val="-1"/>
                <w:sz w:val="20"/>
              </w:rPr>
              <w:t> </w:t>
            </w:r>
            <w:r>
              <w:rPr>
                <w:sz w:val="20"/>
              </w:rPr>
              <w:t>раз в</w:t>
            </w:r>
            <w:r>
              <w:rPr>
                <w:spacing w:val="-1"/>
                <w:sz w:val="20"/>
              </w:rPr>
              <w:t> </w:t>
            </w:r>
            <w:r>
              <w:rPr>
                <w:sz w:val="20"/>
              </w:rPr>
              <w:t>сутки</w:t>
            </w:r>
            <w:r>
              <w:rPr>
                <w:spacing w:val="-1"/>
                <w:sz w:val="20"/>
              </w:rPr>
              <w:t> </w:t>
            </w:r>
            <w:r>
              <w:rPr>
                <w:sz w:val="20"/>
              </w:rPr>
              <w:t>в течение 3-х суток, с постепенным снижением дозы на 20-25% на</w:t>
            </w:r>
            <w:r>
              <w:rPr>
                <w:spacing w:val="-3"/>
                <w:sz w:val="20"/>
              </w:rPr>
              <w:t> </w:t>
            </w:r>
            <w:r>
              <w:rPr>
                <w:sz w:val="20"/>
              </w:rPr>
              <w:t>введение</w:t>
            </w:r>
            <w:r>
              <w:rPr>
                <w:spacing w:val="-3"/>
                <w:sz w:val="20"/>
              </w:rPr>
              <w:t> </w:t>
            </w:r>
            <w:r>
              <w:rPr>
                <w:sz w:val="20"/>
              </w:rPr>
              <w:t>каждые</w:t>
            </w:r>
            <w:r>
              <w:rPr>
                <w:spacing w:val="-3"/>
                <w:sz w:val="20"/>
              </w:rPr>
              <w:t> </w:t>
            </w:r>
            <w:r>
              <w:rPr>
                <w:sz w:val="20"/>
              </w:rPr>
              <w:t>1-2</w:t>
            </w:r>
            <w:r>
              <w:rPr>
                <w:spacing w:val="-2"/>
                <w:sz w:val="20"/>
              </w:rPr>
              <w:t> </w:t>
            </w:r>
            <w:r>
              <w:rPr>
                <w:sz w:val="20"/>
              </w:rPr>
              <w:t>суток</w:t>
            </w:r>
            <w:r>
              <w:rPr>
                <w:spacing w:val="-4"/>
                <w:sz w:val="20"/>
              </w:rPr>
              <w:t> </w:t>
            </w:r>
            <w:r>
              <w:rPr>
                <w:sz w:val="20"/>
              </w:rPr>
              <w:t>в</w:t>
            </w:r>
            <w:r>
              <w:rPr>
                <w:spacing w:val="-4"/>
                <w:sz w:val="20"/>
              </w:rPr>
              <w:t> </w:t>
            </w:r>
            <w:r>
              <w:rPr>
                <w:sz w:val="20"/>
              </w:rPr>
              <w:t>течение</w:t>
            </w:r>
            <w:r>
              <w:rPr>
                <w:spacing w:val="-3"/>
                <w:sz w:val="20"/>
              </w:rPr>
              <w:t> </w:t>
            </w:r>
            <w:r>
              <w:rPr>
                <w:sz w:val="20"/>
              </w:rPr>
              <w:t>3-4</w:t>
            </w:r>
            <w:r>
              <w:rPr>
                <w:spacing w:val="-2"/>
                <w:sz w:val="20"/>
              </w:rPr>
              <w:t> </w:t>
            </w:r>
            <w:r>
              <w:rPr>
                <w:sz w:val="20"/>
              </w:rPr>
              <w:t>суток,</w:t>
            </w:r>
            <w:r>
              <w:rPr>
                <w:spacing w:val="-3"/>
                <w:sz w:val="20"/>
              </w:rPr>
              <w:t> </w:t>
            </w:r>
            <w:r>
              <w:rPr>
                <w:sz w:val="20"/>
              </w:rPr>
              <w:t>далее</w:t>
            </w:r>
            <w:r>
              <w:rPr>
                <w:spacing w:val="-3"/>
                <w:sz w:val="20"/>
              </w:rPr>
              <w:t> </w:t>
            </w:r>
            <w:r>
              <w:rPr>
                <w:sz w:val="20"/>
              </w:rPr>
              <w:t>на</w:t>
            </w:r>
            <w:r>
              <w:rPr>
                <w:spacing w:val="-3"/>
                <w:sz w:val="20"/>
              </w:rPr>
              <w:t> </w:t>
            </w:r>
            <w:r>
              <w:rPr>
                <w:sz w:val="20"/>
              </w:rPr>
              <w:t>50%</w:t>
            </w:r>
            <w:r>
              <w:rPr>
                <w:spacing w:val="-4"/>
                <w:sz w:val="20"/>
              </w:rPr>
              <w:t> </w:t>
            </w:r>
            <w:r>
              <w:rPr>
                <w:sz w:val="20"/>
              </w:rPr>
              <w:t>каждые</w:t>
            </w:r>
            <w:r>
              <w:rPr>
                <w:spacing w:val="-3"/>
                <w:sz w:val="20"/>
              </w:rPr>
              <w:t> </w:t>
            </w:r>
            <w:r>
              <w:rPr>
                <w:sz w:val="20"/>
              </w:rPr>
              <w:t>1-2</w:t>
            </w:r>
            <w:r>
              <w:rPr>
                <w:spacing w:val="-2"/>
                <w:sz w:val="20"/>
              </w:rPr>
              <w:t> </w:t>
            </w:r>
            <w:r>
              <w:rPr>
                <w:sz w:val="20"/>
              </w:rPr>
              <w:t>суток</w:t>
            </w:r>
            <w:r>
              <w:rPr>
                <w:spacing w:val="-4"/>
                <w:sz w:val="20"/>
              </w:rPr>
              <w:t> </w:t>
            </w:r>
            <w:r>
              <w:rPr>
                <w:sz w:val="20"/>
              </w:rPr>
              <w:t>до</w:t>
            </w:r>
            <w:r>
              <w:rPr>
                <w:spacing w:val="-2"/>
                <w:sz w:val="20"/>
              </w:rPr>
              <w:t> </w:t>
            </w:r>
            <w:r>
              <w:rPr>
                <w:sz w:val="20"/>
              </w:rPr>
              <w:t>полной</w:t>
            </w:r>
            <w:r>
              <w:rPr>
                <w:spacing w:val="-4"/>
                <w:sz w:val="20"/>
              </w:rPr>
              <w:t> </w:t>
            </w:r>
            <w:r>
              <w:rPr>
                <w:sz w:val="20"/>
              </w:rPr>
              <w:t>отмены.</w:t>
            </w:r>
          </w:p>
        </w:tc>
      </w:tr>
      <w:tr>
        <w:trPr>
          <w:trHeight w:val="244"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18" w:lineRule="exact" w:before="6"/>
              <w:ind w:left="114"/>
              <w:rPr>
                <w:sz w:val="20"/>
              </w:rPr>
            </w:pPr>
            <w:r>
              <w:rPr>
                <w:spacing w:val="-5"/>
                <w:sz w:val="20"/>
              </w:rPr>
              <w:t>или</w:t>
            </w:r>
          </w:p>
        </w:tc>
        <w:tc>
          <w:tcPr>
            <w:tcW w:w="9502" w:type="dxa"/>
          </w:tcPr>
          <w:p>
            <w:pPr>
              <w:pStyle w:val="TableParagraph"/>
              <w:rPr>
                <w:sz w:val="16"/>
              </w:rPr>
            </w:pPr>
          </w:p>
        </w:tc>
      </w:tr>
      <w:tr>
        <w:trPr>
          <w:trHeight w:val="837"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73"/>
              <w:rPr>
                <w:sz w:val="20"/>
              </w:rPr>
            </w:pPr>
          </w:p>
          <w:p>
            <w:pPr>
              <w:pStyle w:val="TableParagraph"/>
              <w:spacing w:before="1"/>
              <w:ind w:left="114"/>
              <w:rPr>
                <w:sz w:val="20"/>
              </w:rPr>
            </w:pPr>
            <w:r>
              <w:rPr>
                <w:spacing w:val="-2"/>
                <w:sz w:val="20"/>
              </w:rPr>
              <w:t>Дексаметазон</w:t>
            </w:r>
          </w:p>
        </w:tc>
        <w:tc>
          <w:tcPr>
            <w:tcW w:w="9502" w:type="dxa"/>
          </w:tcPr>
          <w:p>
            <w:pPr>
              <w:pStyle w:val="TableParagraph"/>
              <w:spacing w:before="6"/>
              <w:ind w:left="99" w:right="331"/>
              <w:rPr>
                <w:sz w:val="20"/>
              </w:rPr>
            </w:pPr>
            <w:r>
              <w:rPr>
                <w:sz w:val="20"/>
              </w:rPr>
              <w:t>16-20</w:t>
            </w:r>
            <w:r>
              <w:rPr>
                <w:spacing w:val="-4"/>
                <w:sz w:val="20"/>
              </w:rPr>
              <w:t> </w:t>
            </w:r>
            <w:r>
              <w:rPr>
                <w:sz w:val="20"/>
              </w:rPr>
              <w:t>мг/сутки</w:t>
            </w:r>
            <w:r>
              <w:rPr>
                <w:spacing w:val="-5"/>
                <w:sz w:val="20"/>
              </w:rPr>
              <w:t> </w:t>
            </w:r>
            <w:r>
              <w:rPr>
                <w:sz w:val="20"/>
              </w:rPr>
              <w:t>внутривенно</w:t>
            </w:r>
            <w:r>
              <w:rPr>
                <w:spacing w:val="-2"/>
                <w:sz w:val="20"/>
              </w:rPr>
              <w:t> </w:t>
            </w:r>
            <w:r>
              <w:rPr>
                <w:sz w:val="20"/>
              </w:rPr>
              <w:t>в</w:t>
            </w:r>
            <w:r>
              <w:rPr>
                <w:spacing w:val="-5"/>
                <w:sz w:val="20"/>
              </w:rPr>
              <w:t> </w:t>
            </w:r>
            <w:r>
              <w:rPr>
                <w:sz w:val="20"/>
              </w:rPr>
              <w:t>зависимости</w:t>
            </w:r>
            <w:r>
              <w:rPr>
                <w:spacing w:val="-6"/>
                <w:sz w:val="20"/>
              </w:rPr>
              <w:t> </w:t>
            </w:r>
            <w:r>
              <w:rPr>
                <w:sz w:val="20"/>
              </w:rPr>
              <w:t>от</w:t>
            </w:r>
            <w:r>
              <w:rPr>
                <w:spacing w:val="-5"/>
                <w:sz w:val="20"/>
              </w:rPr>
              <w:t> </w:t>
            </w:r>
            <w:r>
              <w:rPr>
                <w:sz w:val="20"/>
              </w:rPr>
              <w:t>тяжести</w:t>
            </w:r>
            <w:r>
              <w:rPr>
                <w:spacing w:val="-5"/>
                <w:sz w:val="20"/>
              </w:rPr>
              <w:t> </w:t>
            </w:r>
            <w:r>
              <w:rPr>
                <w:sz w:val="20"/>
              </w:rPr>
              <w:t>состояния</w:t>
            </w:r>
            <w:r>
              <w:rPr>
                <w:spacing w:val="-5"/>
                <w:sz w:val="20"/>
              </w:rPr>
              <w:t> </w:t>
            </w:r>
            <w:r>
              <w:rPr>
                <w:sz w:val="20"/>
              </w:rPr>
              <w:t>пациента</w:t>
            </w:r>
            <w:r>
              <w:rPr>
                <w:spacing w:val="-5"/>
                <w:sz w:val="20"/>
              </w:rPr>
              <w:t> </w:t>
            </w:r>
            <w:r>
              <w:rPr>
                <w:sz w:val="20"/>
              </w:rPr>
              <w:t>за</w:t>
            </w:r>
            <w:r>
              <w:rPr>
                <w:spacing w:val="-5"/>
                <w:sz w:val="20"/>
              </w:rPr>
              <w:t> </w:t>
            </w:r>
            <w:r>
              <w:rPr>
                <w:sz w:val="20"/>
              </w:rPr>
              <w:t>2</w:t>
            </w:r>
            <w:r>
              <w:rPr>
                <w:spacing w:val="-4"/>
                <w:sz w:val="20"/>
              </w:rPr>
              <w:t> </w:t>
            </w:r>
            <w:r>
              <w:rPr>
                <w:sz w:val="20"/>
              </w:rPr>
              <w:t>введения.</w:t>
            </w:r>
            <w:r>
              <w:rPr>
                <w:spacing w:val="-5"/>
                <w:sz w:val="20"/>
              </w:rPr>
              <w:t> </w:t>
            </w:r>
            <w:r>
              <w:rPr>
                <w:sz w:val="20"/>
              </w:rPr>
              <w:t>Максимальная доза применяется в течение 3-4 суток. Доза ГКС снижается на 20-25% на введение каждые 1-2 суток, далее на 50% каждые 1-2 суток до полной отмены</w:t>
            </w:r>
          </w:p>
        </w:tc>
      </w:tr>
      <w:tr>
        <w:trPr>
          <w:trHeight w:val="474" w:hRule="atLeast"/>
        </w:trPr>
        <w:tc>
          <w:tcPr>
            <w:tcW w:w="1131" w:type="dxa"/>
            <w:vMerge/>
            <w:tcBorders>
              <w:top w:val="nil"/>
            </w:tcBorders>
          </w:tcPr>
          <w:p>
            <w:pPr>
              <w:rPr>
                <w:sz w:val="2"/>
                <w:szCs w:val="2"/>
              </w:rPr>
            </w:pPr>
          </w:p>
        </w:tc>
        <w:tc>
          <w:tcPr>
            <w:tcW w:w="447" w:type="dxa"/>
          </w:tcPr>
          <w:p>
            <w:pPr>
              <w:pStyle w:val="TableParagraph"/>
              <w:spacing w:before="120"/>
              <w:ind w:left="8" w:right="1"/>
              <w:jc w:val="center"/>
              <w:rPr>
                <w:sz w:val="20"/>
              </w:rPr>
            </w:pPr>
            <w:r>
              <w:rPr>
                <w:spacing w:val="-10"/>
                <w:sz w:val="20"/>
              </w:rPr>
              <w:t>3</w:t>
            </w:r>
          </w:p>
        </w:tc>
        <w:tc>
          <w:tcPr>
            <w:tcW w:w="13166" w:type="dxa"/>
            <w:gridSpan w:val="2"/>
          </w:tcPr>
          <w:p>
            <w:pPr>
              <w:pStyle w:val="TableParagraph"/>
              <w:spacing w:line="230" w:lineRule="atLeast"/>
              <w:ind w:left="104" w:right="3120"/>
              <w:rPr>
                <w:sz w:val="20"/>
              </w:rPr>
            </w:pPr>
            <w:r>
              <w:rPr>
                <w:sz w:val="20"/>
              </w:rPr>
              <w:t>При</w:t>
            </w:r>
            <w:r>
              <w:rPr>
                <w:spacing w:val="-5"/>
                <w:sz w:val="20"/>
              </w:rPr>
              <w:t> </w:t>
            </w:r>
            <w:r>
              <w:rPr>
                <w:sz w:val="20"/>
              </w:rPr>
              <w:t>лихорадке</w:t>
            </w:r>
            <w:r>
              <w:rPr>
                <w:spacing w:val="-5"/>
                <w:sz w:val="20"/>
              </w:rPr>
              <w:t> </w:t>
            </w:r>
            <w:r>
              <w:rPr>
                <w:sz w:val="20"/>
              </w:rPr>
              <w:t>(t</w:t>
            </w:r>
            <w:r>
              <w:rPr>
                <w:spacing w:val="-5"/>
                <w:sz w:val="20"/>
              </w:rPr>
              <w:t> </w:t>
            </w:r>
            <w:r>
              <w:rPr>
                <w:sz w:val="20"/>
              </w:rPr>
              <w:t>&gt;</w:t>
            </w:r>
            <w:r>
              <w:rPr>
                <w:spacing w:val="-5"/>
                <w:sz w:val="20"/>
              </w:rPr>
              <w:t> </w:t>
            </w:r>
            <w:r>
              <w:rPr>
                <w:sz w:val="20"/>
              </w:rPr>
              <w:t>38,0</w:t>
            </w:r>
            <w:r>
              <w:rPr>
                <w:spacing w:val="-4"/>
                <w:sz w:val="20"/>
              </w:rPr>
              <w:t> </w:t>
            </w:r>
            <w:r>
              <w:rPr>
                <w:sz w:val="20"/>
              </w:rPr>
              <w:t>°С)</w:t>
            </w:r>
            <w:r>
              <w:rPr>
                <w:spacing w:val="-5"/>
                <w:sz w:val="20"/>
              </w:rPr>
              <w:t> </w:t>
            </w:r>
            <w:r>
              <w:rPr>
                <w:sz w:val="20"/>
              </w:rPr>
              <w:t>более</w:t>
            </w:r>
            <w:r>
              <w:rPr>
                <w:spacing w:val="-5"/>
                <w:sz w:val="20"/>
              </w:rPr>
              <w:t> </w:t>
            </w:r>
            <w:r>
              <w:rPr>
                <w:sz w:val="20"/>
              </w:rPr>
              <w:t>3</w:t>
            </w:r>
            <w:r>
              <w:rPr>
                <w:spacing w:val="-4"/>
                <w:sz w:val="20"/>
              </w:rPr>
              <w:t> </w:t>
            </w:r>
            <w:r>
              <w:rPr>
                <w:sz w:val="20"/>
              </w:rPr>
              <w:t>дней</w:t>
            </w:r>
            <w:r>
              <w:rPr>
                <w:spacing w:val="-5"/>
                <w:sz w:val="20"/>
              </w:rPr>
              <w:t> </w:t>
            </w:r>
            <w:r>
              <w:rPr>
                <w:sz w:val="20"/>
              </w:rPr>
              <w:t>назначается</w:t>
            </w:r>
            <w:r>
              <w:rPr>
                <w:spacing w:val="-5"/>
                <w:sz w:val="20"/>
              </w:rPr>
              <w:t> </w:t>
            </w:r>
            <w:r>
              <w:rPr>
                <w:sz w:val="20"/>
              </w:rPr>
              <w:t>антибактериальная,</w:t>
            </w:r>
            <w:r>
              <w:rPr>
                <w:spacing w:val="-5"/>
                <w:sz w:val="20"/>
              </w:rPr>
              <w:t> </w:t>
            </w:r>
            <w:r>
              <w:rPr>
                <w:sz w:val="20"/>
              </w:rPr>
              <w:t>антимикотическая</w:t>
            </w:r>
            <w:r>
              <w:rPr>
                <w:spacing w:val="-3"/>
                <w:sz w:val="20"/>
              </w:rPr>
              <w:t> </w:t>
            </w:r>
            <w:r>
              <w:rPr>
                <w:sz w:val="20"/>
              </w:rPr>
              <w:t>терапия</w:t>
            </w:r>
            <w:r>
              <w:rPr>
                <w:spacing w:val="-5"/>
                <w:sz w:val="20"/>
              </w:rPr>
              <w:t> </w:t>
            </w:r>
            <w:r>
              <w:rPr>
                <w:sz w:val="20"/>
              </w:rPr>
              <w:t>по</w:t>
            </w:r>
            <w:r>
              <w:rPr>
                <w:spacing w:val="-4"/>
                <w:sz w:val="20"/>
              </w:rPr>
              <w:t> </w:t>
            </w:r>
            <w:r>
              <w:rPr>
                <w:sz w:val="20"/>
              </w:rPr>
              <w:t>показаниям в соответствии с разделом 5.4</w:t>
            </w:r>
          </w:p>
        </w:tc>
      </w:tr>
      <w:tr>
        <w:trPr>
          <w:trHeight w:val="726" w:hRule="atLeast"/>
        </w:trPr>
        <w:tc>
          <w:tcPr>
            <w:tcW w:w="1131" w:type="dxa"/>
            <w:vMerge/>
            <w:tcBorders>
              <w:top w:val="nil"/>
            </w:tcBorders>
          </w:tcPr>
          <w:p>
            <w:pPr>
              <w:rPr>
                <w:sz w:val="2"/>
                <w:szCs w:val="2"/>
              </w:rPr>
            </w:pPr>
          </w:p>
        </w:tc>
        <w:tc>
          <w:tcPr>
            <w:tcW w:w="447" w:type="dxa"/>
          </w:tcPr>
          <w:p>
            <w:pPr>
              <w:pStyle w:val="TableParagraph"/>
              <w:spacing w:before="17"/>
              <w:rPr>
                <w:sz w:val="20"/>
              </w:rPr>
            </w:pPr>
          </w:p>
          <w:p>
            <w:pPr>
              <w:pStyle w:val="TableParagraph"/>
              <w:ind w:left="8" w:right="1"/>
              <w:jc w:val="center"/>
              <w:rPr>
                <w:sz w:val="20"/>
              </w:rPr>
            </w:pPr>
            <w:r>
              <w:rPr>
                <w:spacing w:val="-10"/>
                <w:sz w:val="20"/>
              </w:rPr>
              <w:t>4</w:t>
            </w:r>
          </w:p>
        </w:tc>
        <w:tc>
          <w:tcPr>
            <w:tcW w:w="13166" w:type="dxa"/>
            <w:gridSpan w:val="2"/>
          </w:tcPr>
          <w:p>
            <w:pPr>
              <w:pStyle w:val="TableParagraph"/>
              <w:spacing w:before="5"/>
              <w:ind w:left="104" w:right="288"/>
              <w:rPr>
                <w:sz w:val="21"/>
              </w:rPr>
            </w:pPr>
            <w:r>
              <w:rPr>
                <w:sz w:val="20"/>
              </w:rPr>
              <w:t>Антикоагулянтный</w:t>
            </w:r>
            <w:r>
              <w:rPr>
                <w:spacing w:val="-6"/>
                <w:sz w:val="20"/>
              </w:rPr>
              <w:t> </w:t>
            </w:r>
            <w:r>
              <w:rPr>
                <w:sz w:val="20"/>
              </w:rPr>
              <w:t>препарат</w:t>
            </w:r>
            <w:r>
              <w:rPr>
                <w:spacing w:val="-6"/>
                <w:sz w:val="20"/>
              </w:rPr>
              <w:t> </w:t>
            </w:r>
            <w:r>
              <w:rPr>
                <w:sz w:val="20"/>
              </w:rPr>
              <w:t>для</w:t>
            </w:r>
            <w:r>
              <w:rPr>
                <w:spacing w:val="-6"/>
                <w:sz w:val="20"/>
              </w:rPr>
              <w:t> </w:t>
            </w:r>
            <w:r>
              <w:rPr>
                <w:sz w:val="20"/>
              </w:rPr>
              <w:t>парентерального</w:t>
            </w:r>
            <w:r>
              <w:rPr>
                <w:spacing w:val="-4"/>
                <w:sz w:val="20"/>
              </w:rPr>
              <w:t> </w:t>
            </w:r>
            <w:r>
              <w:rPr>
                <w:sz w:val="20"/>
              </w:rPr>
              <w:t>введения</w:t>
            </w:r>
            <w:r>
              <w:rPr>
                <w:spacing w:val="-1"/>
                <w:sz w:val="20"/>
              </w:rPr>
              <w:t> </w:t>
            </w:r>
            <w:r>
              <w:rPr>
                <w:sz w:val="20"/>
              </w:rPr>
              <w:t>(предпочтительно</w:t>
            </w:r>
            <w:r>
              <w:rPr>
                <w:spacing w:val="-4"/>
                <w:sz w:val="20"/>
              </w:rPr>
              <w:t> </w:t>
            </w:r>
            <w:r>
              <w:rPr>
                <w:sz w:val="20"/>
              </w:rPr>
              <w:t>НМГ/НФГ</w:t>
            </w:r>
            <w:r>
              <w:rPr>
                <w:spacing w:val="-5"/>
                <w:sz w:val="20"/>
              </w:rPr>
              <w:t> </w:t>
            </w:r>
            <w:r>
              <w:rPr>
                <w:sz w:val="20"/>
              </w:rPr>
              <w:t>в</w:t>
            </w:r>
            <w:r>
              <w:rPr>
                <w:spacing w:val="-6"/>
                <w:sz w:val="20"/>
              </w:rPr>
              <w:t> </w:t>
            </w:r>
            <w:r>
              <w:rPr>
                <w:sz w:val="20"/>
              </w:rPr>
              <w:t>лечебных</w:t>
            </w:r>
            <w:r>
              <w:rPr>
                <w:spacing w:val="-4"/>
                <w:sz w:val="20"/>
              </w:rPr>
              <w:t> </w:t>
            </w:r>
            <w:r>
              <w:rPr>
                <w:sz w:val="20"/>
              </w:rPr>
              <w:t>дозах) или</w:t>
            </w:r>
            <w:r>
              <w:rPr>
                <w:spacing w:val="-4"/>
                <w:sz w:val="20"/>
              </w:rPr>
              <w:t> </w:t>
            </w:r>
            <w:r>
              <w:rPr>
                <w:sz w:val="21"/>
              </w:rPr>
              <w:t>тедиксабан</w:t>
            </w:r>
            <w:r>
              <w:rPr>
                <w:spacing w:val="-5"/>
                <w:sz w:val="21"/>
              </w:rPr>
              <w:t> </w:t>
            </w:r>
            <w:r>
              <w:rPr>
                <w:sz w:val="21"/>
              </w:rPr>
              <w:t>(N-(5-Хлорпиридин-2- ил)-5-метил-2-(4-(N-метилацетимидамидо)бензамидо)бензамида гидрохлорид)</w:t>
            </w:r>
          </w:p>
          <w:p>
            <w:pPr>
              <w:pStyle w:val="TableParagraph"/>
              <w:spacing w:line="219" w:lineRule="exact"/>
              <w:ind w:left="104"/>
              <w:rPr>
                <w:sz w:val="20"/>
              </w:rPr>
            </w:pPr>
            <w:r>
              <w:rPr>
                <w:sz w:val="20"/>
              </w:rPr>
              <w:t>см.</w:t>
            </w:r>
            <w:r>
              <w:rPr>
                <w:spacing w:val="-9"/>
                <w:sz w:val="20"/>
              </w:rPr>
              <w:t> </w:t>
            </w:r>
            <w:r>
              <w:rPr>
                <w:sz w:val="20"/>
              </w:rPr>
              <w:t>Приложение</w:t>
            </w:r>
            <w:r>
              <w:rPr>
                <w:spacing w:val="-8"/>
                <w:sz w:val="20"/>
              </w:rPr>
              <w:t> </w:t>
            </w:r>
            <w:r>
              <w:rPr>
                <w:sz w:val="20"/>
              </w:rPr>
              <w:t>7-</w:t>
            </w:r>
            <w:r>
              <w:rPr>
                <w:spacing w:val="-10"/>
                <w:sz w:val="20"/>
              </w:rPr>
              <w:t>1</w:t>
            </w:r>
          </w:p>
        </w:tc>
      </w:tr>
      <w:tr>
        <w:trPr>
          <w:trHeight w:val="2440" w:hRule="atLeast"/>
        </w:trPr>
        <w:tc>
          <w:tcPr>
            <w:tcW w:w="14744" w:type="dxa"/>
            <w:gridSpan w:val="4"/>
            <w:shd w:val="clear" w:color="auto" w:fill="9CC2E4"/>
          </w:tcPr>
          <w:p>
            <w:pPr>
              <w:pStyle w:val="TableParagraph"/>
              <w:spacing w:before="4"/>
              <w:ind w:left="5768"/>
              <w:rPr>
                <w:b/>
                <w:sz w:val="20"/>
              </w:rPr>
            </w:pPr>
            <w:r>
              <w:rPr>
                <w:b/>
                <w:sz w:val="20"/>
              </w:rPr>
              <w:t>Тяжелое</w:t>
            </w:r>
            <w:r>
              <w:rPr>
                <w:b/>
                <w:spacing w:val="-6"/>
                <w:sz w:val="20"/>
              </w:rPr>
              <w:t> </w:t>
            </w:r>
            <w:r>
              <w:rPr>
                <w:b/>
                <w:sz w:val="20"/>
              </w:rPr>
              <w:t>и</w:t>
            </w:r>
            <w:r>
              <w:rPr>
                <w:b/>
                <w:spacing w:val="-5"/>
                <w:sz w:val="20"/>
              </w:rPr>
              <w:t> </w:t>
            </w:r>
            <w:r>
              <w:rPr>
                <w:b/>
                <w:sz w:val="20"/>
              </w:rPr>
              <w:t>крайне</w:t>
            </w:r>
            <w:r>
              <w:rPr>
                <w:b/>
                <w:spacing w:val="-6"/>
                <w:sz w:val="20"/>
              </w:rPr>
              <w:t> </w:t>
            </w:r>
            <w:r>
              <w:rPr>
                <w:b/>
                <w:sz w:val="20"/>
              </w:rPr>
              <w:t>тяжелое</w:t>
            </w:r>
            <w:r>
              <w:rPr>
                <w:b/>
                <w:spacing w:val="-5"/>
                <w:sz w:val="20"/>
              </w:rPr>
              <w:t> </w:t>
            </w:r>
            <w:r>
              <w:rPr>
                <w:b/>
                <w:spacing w:val="-2"/>
                <w:sz w:val="20"/>
              </w:rPr>
              <w:t>течение</w:t>
            </w:r>
          </w:p>
          <w:p>
            <w:pPr>
              <w:pStyle w:val="TableParagraph"/>
              <w:spacing w:before="15"/>
              <w:ind w:left="106"/>
              <w:rPr>
                <w:b/>
                <w:sz w:val="20"/>
              </w:rPr>
            </w:pPr>
            <w:r>
              <w:rPr>
                <w:b/>
                <w:sz w:val="20"/>
              </w:rPr>
              <w:t>При</w:t>
            </w:r>
            <w:r>
              <w:rPr>
                <w:b/>
                <w:spacing w:val="-7"/>
                <w:sz w:val="20"/>
              </w:rPr>
              <w:t> </w:t>
            </w:r>
            <w:r>
              <w:rPr>
                <w:b/>
                <w:sz w:val="20"/>
              </w:rPr>
              <w:t>наличии</w:t>
            </w:r>
            <w:r>
              <w:rPr>
                <w:b/>
                <w:spacing w:val="-7"/>
                <w:sz w:val="20"/>
              </w:rPr>
              <w:t> </w:t>
            </w:r>
            <w:r>
              <w:rPr>
                <w:b/>
                <w:sz w:val="20"/>
              </w:rPr>
              <w:t>изменений</w:t>
            </w:r>
            <w:r>
              <w:rPr>
                <w:b/>
                <w:spacing w:val="-7"/>
                <w:sz w:val="20"/>
              </w:rPr>
              <w:t> </w:t>
            </w:r>
            <w:r>
              <w:rPr>
                <w:b/>
                <w:sz w:val="20"/>
              </w:rPr>
              <w:t>в</w:t>
            </w:r>
            <w:r>
              <w:rPr>
                <w:b/>
                <w:spacing w:val="-9"/>
                <w:sz w:val="20"/>
              </w:rPr>
              <w:t> </w:t>
            </w:r>
            <w:r>
              <w:rPr>
                <w:b/>
                <w:sz w:val="20"/>
              </w:rPr>
              <w:t>легких</w:t>
            </w:r>
            <w:r>
              <w:rPr>
                <w:b/>
                <w:spacing w:val="-6"/>
                <w:sz w:val="20"/>
              </w:rPr>
              <w:t> </w:t>
            </w:r>
            <w:r>
              <w:rPr>
                <w:b/>
                <w:sz w:val="20"/>
              </w:rPr>
              <w:t>и/или</w:t>
            </w:r>
            <w:r>
              <w:rPr>
                <w:b/>
                <w:spacing w:val="-7"/>
                <w:sz w:val="20"/>
              </w:rPr>
              <w:t> </w:t>
            </w:r>
            <w:r>
              <w:rPr>
                <w:b/>
                <w:sz w:val="20"/>
              </w:rPr>
              <w:t>факторов</w:t>
            </w:r>
            <w:r>
              <w:rPr>
                <w:b/>
                <w:spacing w:val="-7"/>
                <w:sz w:val="20"/>
              </w:rPr>
              <w:t> </w:t>
            </w:r>
            <w:r>
              <w:rPr>
                <w:b/>
                <w:sz w:val="20"/>
              </w:rPr>
              <w:t>риска</w:t>
            </w:r>
            <w:r>
              <w:rPr>
                <w:b/>
                <w:spacing w:val="-6"/>
                <w:sz w:val="20"/>
              </w:rPr>
              <w:t> </w:t>
            </w:r>
            <w:r>
              <w:rPr>
                <w:b/>
                <w:sz w:val="20"/>
              </w:rPr>
              <w:t>прогрессии</w:t>
            </w:r>
            <w:r>
              <w:rPr>
                <w:b/>
                <w:spacing w:val="-7"/>
                <w:sz w:val="20"/>
              </w:rPr>
              <w:t> </w:t>
            </w:r>
            <w:r>
              <w:rPr>
                <w:b/>
                <w:sz w:val="20"/>
              </w:rPr>
              <w:t>заболевания</w:t>
            </w:r>
            <w:r>
              <w:rPr>
                <w:b/>
                <w:spacing w:val="-7"/>
                <w:sz w:val="20"/>
              </w:rPr>
              <w:t> </w:t>
            </w:r>
            <w:r>
              <w:rPr>
                <w:b/>
                <w:sz w:val="20"/>
              </w:rPr>
              <w:t>в</w:t>
            </w:r>
            <w:r>
              <w:rPr>
                <w:b/>
                <w:spacing w:val="-7"/>
                <w:sz w:val="20"/>
              </w:rPr>
              <w:t> </w:t>
            </w:r>
            <w:r>
              <w:rPr>
                <w:b/>
                <w:sz w:val="20"/>
              </w:rPr>
              <w:t>сочетании</w:t>
            </w:r>
            <w:r>
              <w:rPr>
                <w:b/>
                <w:spacing w:val="-7"/>
                <w:sz w:val="20"/>
              </w:rPr>
              <w:t> </w:t>
            </w:r>
            <w:r>
              <w:rPr>
                <w:b/>
                <w:sz w:val="20"/>
              </w:rPr>
              <w:t>с</w:t>
            </w:r>
            <w:r>
              <w:rPr>
                <w:b/>
                <w:spacing w:val="-7"/>
                <w:sz w:val="20"/>
              </w:rPr>
              <w:t> </w:t>
            </w:r>
            <w:r>
              <w:rPr>
                <w:b/>
                <w:sz w:val="20"/>
              </w:rPr>
              <w:t>двумя</w:t>
            </w:r>
            <w:r>
              <w:rPr>
                <w:b/>
                <w:spacing w:val="-7"/>
                <w:sz w:val="20"/>
              </w:rPr>
              <w:t> </w:t>
            </w:r>
            <w:r>
              <w:rPr>
                <w:b/>
                <w:sz w:val="20"/>
              </w:rPr>
              <w:t>и</w:t>
            </w:r>
            <w:r>
              <w:rPr>
                <w:b/>
                <w:spacing w:val="-7"/>
                <w:sz w:val="20"/>
              </w:rPr>
              <w:t> </w:t>
            </w:r>
            <w:r>
              <w:rPr>
                <w:b/>
                <w:sz w:val="20"/>
              </w:rPr>
              <w:t>более</w:t>
            </w:r>
            <w:r>
              <w:rPr>
                <w:b/>
                <w:spacing w:val="-7"/>
                <w:sz w:val="20"/>
              </w:rPr>
              <w:t> </w:t>
            </w:r>
            <w:r>
              <w:rPr>
                <w:b/>
                <w:spacing w:val="-2"/>
                <w:sz w:val="20"/>
              </w:rPr>
              <w:t>признаками:</w:t>
            </w:r>
          </w:p>
          <w:p>
            <w:pPr>
              <w:pStyle w:val="TableParagraph"/>
              <w:numPr>
                <w:ilvl w:val="0"/>
                <w:numId w:val="118"/>
              </w:numPr>
              <w:tabs>
                <w:tab w:pos="224" w:val="left" w:leader="none"/>
              </w:tabs>
              <w:spacing w:line="240" w:lineRule="auto" w:before="15" w:after="0"/>
              <w:ind w:left="224" w:right="0" w:hanging="118"/>
              <w:jc w:val="left"/>
              <w:rPr>
                <w:b/>
                <w:sz w:val="20"/>
              </w:rPr>
            </w:pPr>
            <w:r>
              <w:rPr>
                <w:b/>
                <w:sz w:val="20"/>
              </w:rPr>
              <w:t>SpO2</w:t>
            </w:r>
            <w:r>
              <w:rPr>
                <w:b/>
                <w:spacing w:val="-6"/>
                <w:sz w:val="20"/>
              </w:rPr>
              <w:t> </w:t>
            </w:r>
            <w:r>
              <w:rPr>
                <w:b/>
                <w:sz w:val="20"/>
              </w:rPr>
              <w:t>≤</w:t>
            </w:r>
            <w:r>
              <w:rPr>
                <w:b/>
                <w:spacing w:val="-6"/>
                <w:sz w:val="20"/>
              </w:rPr>
              <w:t> </w:t>
            </w:r>
            <w:r>
              <w:rPr>
                <w:b/>
                <w:sz w:val="20"/>
              </w:rPr>
              <w:t>93%,</w:t>
            </w:r>
            <w:r>
              <w:rPr>
                <w:b/>
                <w:spacing w:val="-5"/>
                <w:sz w:val="20"/>
              </w:rPr>
              <w:t> </w:t>
            </w:r>
            <w:r>
              <w:rPr>
                <w:b/>
                <w:sz w:val="20"/>
              </w:rPr>
              <w:t>одышка</w:t>
            </w:r>
            <w:r>
              <w:rPr>
                <w:b/>
                <w:spacing w:val="-6"/>
                <w:sz w:val="20"/>
              </w:rPr>
              <w:t> </w:t>
            </w:r>
            <w:r>
              <w:rPr>
                <w:b/>
                <w:sz w:val="20"/>
              </w:rPr>
              <w:t>в</w:t>
            </w:r>
            <w:r>
              <w:rPr>
                <w:b/>
                <w:spacing w:val="-6"/>
                <w:sz w:val="20"/>
              </w:rPr>
              <w:t> </w:t>
            </w:r>
            <w:r>
              <w:rPr>
                <w:b/>
                <w:sz w:val="20"/>
              </w:rPr>
              <w:t>покое/прогрессирующая</w:t>
            </w:r>
            <w:r>
              <w:rPr>
                <w:b/>
                <w:spacing w:val="-5"/>
                <w:sz w:val="20"/>
              </w:rPr>
              <w:t> </w:t>
            </w:r>
            <w:r>
              <w:rPr>
                <w:b/>
                <w:sz w:val="20"/>
              </w:rPr>
              <w:t>одышка</w:t>
            </w:r>
            <w:r>
              <w:rPr>
                <w:b/>
                <w:spacing w:val="-6"/>
                <w:sz w:val="20"/>
              </w:rPr>
              <w:t> </w:t>
            </w:r>
            <w:r>
              <w:rPr>
                <w:b/>
                <w:sz w:val="20"/>
              </w:rPr>
              <w:t>в</w:t>
            </w:r>
            <w:r>
              <w:rPr>
                <w:b/>
                <w:spacing w:val="-6"/>
                <w:sz w:val="20"/>
              </w:rPr>
              <w:t> </w:t>
            </w:r>
            <w:r>
              <w:rPr>
                <w:b/>
                <w:sz w:val="20"/>
              </w:rPr>
              <w:t>течение</w:t>
            </w:r>
            <w:r>
              <w:rPr>
                <w:b/>
                <w:spacing w:val="-5"/>
                <w:sz w:val="20"/>
              </w:rPr>
              <w:t> </w:t>
            </w:r>
            <w:r>
              <w:rPr>
                <w:b/>
                <w:sz w:val="20"/>
              </w:rPr>
              <w:t>первых</w:t>
            </w:r>
            <w:r>
              <w:rPr>
                <w:b/>
                <w:spacing w:val="-6"/>
                <w:sz w:val="20"/>
              </w:rPr>
              <w:t> </w:t>
            </w:r>
            <w:r>
              <w:rPr>
                <w:b/>
                <w:sz w:val="20"/>
              </w:rPr>
              <w:t>2-3</w:t>
            </w:r>
            <w:r>
              <w:rPr>
                <w:b/>
                <w:spacing w:val="-5"/>
                <w:sz w:val="20"/>
              </w:rPr>
              <w:t> </w:t>
            </w:r>
            <w:r>
              <w:rPr>
                <w:b/>
                <w:spacing w:val="-2"/>
                <w:sz w:val="20"/>
              </w:rPr>
              <w:t>дней;</w:t>
            </w:r>
          </w:p>
          <w:p>
            <w:pPr>
              <w:pStyle w:val="TableParagraph"/>
              <w:numPr>
                <w:ilvl w:val="0"/>
                <w:numId w:val="118"/>
              </w:numPr>
              <w:tabs>
                <w:tab w:pos="224" w:val="left" w:leader="none"/>
              </w:tabs>
              <w:spacing w:line="240" w:lineRule="auto" w:before="12" w:after="0"/>
              <w:ind w:left="224" w:right="0" w:hanging="118"/>
              <w:jc w:val="left"/>
              <w:rPr>
                <w:b/>
                <w:sz w:val="20"/>
              </w:rPr>
            </w:pPr>
            <w:r>
              <w:rPr>
                <w:b/>
                <w:sz w:val="20"/>
              </w:rPr>
              <w:t>температура</w:t>
            </w:r>
            <w:r>
              <w:rPr>
                <w:b/>
                <w:spacing w:val="-4"/>
                <w:sz w:val="20"/>
              </w:rPr>
              <w:t> </w:t>
            </w:r>
            <w:r>
              <w:rPr>
                <w:b/>
                <w:sz w:val="20"/>
              </w:rPr>
              <w:t>тела</w:t>
            </w:r>
            <w:r>
              <w:rPr>
                <w:b/>
                <w:spacing w:val="-5"/>
                <w:sz w:val="20"/>
              </w:rPr>
              <w:t> </w:t>
            </w:r>
            <w:r>
              <w:rPr>
                <w:b/>
                <w:sz w:val="20"/>
              </w:rPr>
              <w:t>&gt;</w:t>
            </w:r>
            <w:r>
              <w:rPr>
                <w:b/>
                <w:spacing w:val="-5"/>
                <w:sz w:val="20"/>
              </w:rPr>
              <w:t> </w:t>
            </w:r>
            <w:r>
              <w:rPr>
                <w:b/>
                <w:sz w:val="20"/>
              </w:rPr>
              <w:t>38</w:t>
            </w:r>
            <w:r>
              <w:rPr>
                <w:b/>
                <w:spacing w:val="-2"/>
                <w:sz w:val="20"/>
              </w:rPr>
              <w:t> </w:t>
            </w:r>
            <w:r>
              <w:rPr>
                <w:b/>
                <w:sz w:val="20"/>
              </w:rPr>
              <w:t>°C</w:t>
            </w:r>
            <w:r>
              <w:rPr>
                <w:b/>
                <w:spacing w:val="-7"/>
                <w:sz w:val="20"/>
              </w:rPr>
              <w:t> </w:t>
            </w:r>
            <w:r>
              <w:rPr>
                <w:b/>
                <w:sz w:val="20"/>
              </w:rPr>
              <w:t>в</w:t>
            </w:r>
            <w:r>
              <w:rPr>
                <w:b/>
                <w:spacing w:val="-3"/>
                <w:sz w:val="20"/>
              </w:rPr>
              <w:t> </w:t>
            </w:r>
            <w:r>
              <w:rPr>
                <w:b/>
                <w:sz w:val="20"/>
              </w:rPr>
              <w:t>течение</w:t>
            </w:r>
            <w:r>
              <w:rPr>
                <w:b/>
                <w:spacing w:val="-3"/>
                <w:sz w:val="20"/>
              </w:rPr>
              <w:t> </w:t>
            </w:r>
            <w:r>
              <w:rPr>
                <w:b/>
                <w:sz w:val="20"/>
              </w:rPr>
              <w:t>2-3</w:t>
            </w:r>
            <w:r>
              <w:rPr>
                <w:b/>
                <w:spacing w:val="-3"/>
                <w:sz w:val="20"/>
              </w:rPr>
              <w:t> </w:t>
            </w:r>
            <w:r>
              <w:rPr>
                <w:b/>
                <w:sz w:val="20"/>
              </w:rPr>
              <w:t>дней</w:t>
            </w:r>
            <w:r>
              <w:rPr>
                <w:b/>
                <w:spacing w:val="-5"/>
                <w:sz w:val="20"/>
              </w:rPr>
              <w:t> </w:t>
            </w:r>
            <w:r>
              <w:rPr>
                <w:b/>
                <w:spacing w:val="-10"/>
                <w:sz w:val="20"/>
              </w:rPr>
              <w:t>;</w:t>
            </w:r>
          </w:p>
          <w:p>
            <w:pPr>
              <w:pStyle w:val="TableParagraph"/>
              <w:numPr>
                <w:ilvl w:val="0"/>
                <w:numId w:val="118"/>
              </w:numPr>
              <w:tabs>
                <w:tab w:pos="224" w:val="left" w:leader="none"/>
              </w:tabs>
              <w:spacing w:line="240" w:lineRule="auto" w:before="14" w:after="0"/>
              <w:ind w:left="224" w:right="0" w:hanging="118"/>
              <w:jc w:val="left"/>
              <w:rPr>
                <w:b/>
                <w:sz w:val="20"/>
              </w:rPr>
            </w:pPr>
            <w:r>
              <w:rPr>
                <w:b/>
                <w:sz w:val="20"/>
              </w:rPr>
              <w:t>уровень</w:t>
            </w:r>
            <w:r>
              <w:rPr>
                <w:b/>
                <w:spacing w:val="-4"/>
                <w:sz w:val="20"/>
              </w:rPr>
              <w:t> </w:t>
            </w:r>
            <w:r>
              <w:rPr>
                <w:b/>
                <w:sz w:val="20"/>
              </w:rPr>
              <w:t>СРБ</w:t>
            </w:r>
            <w:r>
              <w:rPr>
                <w:b/>
                <w:spacing w:val="-3"/>
                <w:sz w:val="20"/>
              </w:rPr>
              <w:t> </w:t>
            </w:r>
            <w:r>
              <w:rPr>
                <w:b/>
                <w:sz w:val="20"/>
              </w:rPr>
              <w:t>≥</w:t>
            </w:r>
            <w:r>
              <w:rPr>
                <w:b/>
                <w:spacing w:val="-3"/>
                <w:sz w:val="20"/>
              </w:rPr>
              <w:t> </w:t>
            </w:r>
            <w:r>
              <w:rPr>
                <w:b/>
                <w:sz w:val="20"/>
              </w:rPr>
              <w:t>9N</w:t>
            </w:r>
            <w:r>
              <w:rPr>
                <w:b/>
                <w:spacing w:val="-4"/>
                <w:sz w:val="20"/>
              </w:rPr>
              <w:t> </w:t>
            </w:r>
            <w:r>
              <w:rPr>
                <w:b/>
                <w:sz w:val="20"/>
              </w:rPr>
              <w:t>или</w:t>
            </w:r>
            <w:r>
              <w:rPr>
                <w:b/>
                <w:spacing w:val="-3"/>
                <w:sz w:val="20"/>
              </w:rPr>
              <w:t> </w:t>
            </w:r>
            <w:r>
              <w:rPr>
                <w:b/>
                <w:sz w:val="20"/>
              </w:rPr>
              <w:t>рост</w:t>
            </w:r>
            <w:r>
              <w:rPr>
                <w:b/>
                <w:spacing w:val="-3"/>
                <w:sz w:val="20"/>
              </w:rPr>
              <w:t> </w:t>
            </w:r>
            <w:r>
              <w:rPr>
                <w:b/>
                <w:sz w:val="20"/>
              </w:rPr>
              <w:t>уровня</w:t>
            </w:r>
            <w:r>
              <w:rPr>
                <w:b/>
                <w:spacing w:val="-3"/>
                <w:sz w:val="20"/>
              </w:rPr>
              <w:t> </w:t>
            </w:r>
            <w:r>
              <w:rPr>
                <w:b/>
                <w:sz w:val="20"/>
              </w:rPr>
              <w:t>СРБ</w:t>
            </w:r>
            <w:r>
              <w:rPr>
                <w:b/>
                <w:spacing w:val="-4"/>
                <w:sz w:val="20"/>
              </w:rPr>
              <w:t> </w:t>
            </w:r>
            <w:r>
              <w:rPr>
                <w:b/>
                <w:sz w:val="20"/>
              </w:rPr>
              <w:t>в</w:t>
            </w:r>
            <w:r>
              <w:rPr>
                <w:b/>
                <w:spacing w:val="-3"/>
                <w:sz w:val="20"/>
              </w:rPr>
              <w:t> </w:t>
            </w:r>
            <w:r>
              <w:rPr>
                <w:b/>
                <w:sz w:val="20"/>
              </w:rPr>
              <w:t>3</w:t>
            </w:r>
            <w:r>
              <w:rPr>
                <w:b/>
                <w:spacing w:val="-2"/>
                <w:sz w:val="20"/>
              </w:rPr>
              <w:t> </w:t>
            </w:r>
            <w:r>
              <w:rPr>
                <w:b/>
                <w:sz w:val="20"/>
              </w:rPr>
              <w:t>раза</w:t>
            </w:r>
            <w:r>
              <w:rPr>
                <w:b/>
                <w:spacing w:val="-3"/>
                <w:sz w:val="20"/>
              </w:rPr>
              <w:t> </w:t>
            </w:r>
            <w:r>
              <w:rPr>
                <w:b/>
                <w:sz w:val="20"/>
              </w:rPr>
              <w:t>на</w:t>
            </w:r>
            <w:r>
              <w:rPr>
                <w:b/>
                <w:spacing w:val="-5"/>
                <w:sz w:val="20"/>
              </w:rPr>
              <w:t> </w:t>
            </w:r>
            <w:r>
              <w:rPr>
                <w:b/>
                <w:sz w:val="20"/>
              </w:rPr>
              <w:t>3-5</w:t>
            </w:r>
            <w:r>
              <w:rPr>
                <w:b/>
                <w:spacing w:val="-2"/>
                <w:sz w:val="20"/>
              </w:rPr>
              <w:t> </w:t>
            </w:r>
            <w:r>
              <w:rPr>
                <w:b/>
                <w:sz w:val="20"/>
              </w:rPr>
              <w:t>дни</w:t>
            </w:r>
            <w:r>
              <w:rPr>
                <w:b/>
                <w:spacing w:val="-3"/>
                <w:sz w:val="20"/>
              </w:rPr>
              <w:t> </w:t>
            </w:r>
            <w:r>
              <w:rPr>
                <w:b/>
                <w:spacing w:val="-2"/>
                <w:sz w:val="20"/>
              </w:rPr>
              <w:t>заболевания;</w:t>
            </w:r>
          </w:p>
          <w:p>
            <w:pPr>
              <w:pStyle w:val="TableParagraph"/>
              <w:numPr>
                <w:ilvl w:val="0"/>
                <w:numId w:val="118"/>
              </w:numPr>
              <w:tabs>
                <w:tab w:pos="224" w:val="left" w:leader="none"/>
              </w:tabs>
              <w:spacing w:line="240" w:lineRule="auto" w:before="13" w:after="0"/>
              <w:ind w:left="224" w:right="0" w:hanging="118"/>
              <w:jc w:val="left"/>
              <w:rPr>
                <w:b/>
                <w:sz w:val="20"/>
              </w:rPr>
            </w:pPr>
            <w:r>
              <w:rPr>
                <w:b/>
                <w:sz w:val="20"/>
              </w:rPr>
              <w:t>число</w:t>
            </w:r>
            <w:r>
              <w:rPr>
                <w:b/>
                <w:spacing w:val="-6"/>
                <w:sz w:val="20"/>
              </w:rPr>
              <w:t> </w:t>
            </w:r>
            <w:r>
              <w:rPr>
                <w:b/>
                <w:sz w:val="20"/>
              </w:rPr>
              <w:t>лейкоцитов</w:t>
            </w:r>
            <w:r>
              <w:rPr>
                <w:b/>
                <w:spacing w:val="-6"/>
                <w:sz w:val="20"/>
              </w:rPr>
              <w:t> </w:t>
            </w:r>
            <w:r>
              <w:rPr>
                <w:b/>
                <w:sz w:val="20"/>
              </w:rPr>
              <w:t>&lt;</w:t>
            </w:r>
            <w:r>
              <w:rPr>
                <w:b/>
                <w:spacing w:val="-8"/>
                <w:sz w:val="20"/>
              </w:rPr>
              <w:t> </w:t>
            </w:r>
            <w:r>
              <w:rPr>
                <w:b/>
                <w:spacing w:val="-2"/>
                <w:sz w:val="20"/>
              </w:rPr>
              <w:t>3,0×109/л;</w:t>
            </w:r>
          </w:p>
          <w:p>
            <w:pPr>
              <w:pStyle w:val="TableParagraph"/>
              <w:numPr>
                <w:ilvl w:val="0"/>
                <w:numId w:val="118"/>
              </w:numPr>
              <w:tabs>
                <w:tab w:pos="224" w:val="left" w:leader="none"/>
              </w:tabs>
              <w:spacing w:line="240" w:lineRule="auto" w:before="14" w:after="0"/>
              <w:ind w:left="224" w:right="0" w:hanging="118"/>
              <w:jc w:val="left"/>
              <w:rPr>
                <w:b/>
                <w:sz w:val="20"/>
              </w:rPr>
            </w:pPr>
            <w:r>
              <w:rPr>
                <w:b/>
                <w:sz w:val="20"/>
              </w:rPr>
              <w:t>абсолютное</w:t>
            </w:r>
            <w:r>
              <w:rPr>
                <w:b/>
                <w:spacing w:val="-8"/>
                <w:sz w:val="20"/>
              </w:rPr>
              <w:t> </w:t>
            </w:r>
            <w:r>
              <w:rPr>
                <w:b/>
                <w:sz w:val="20"/>
              </w:rPr>
              <w:t>число</w:t>
            </w:r>
            <w:r>
              <w:rPr>
                <w:b/>
                <w:spacing w:val="-7"/>
                <w:sz w:val="20"/>
              </w:rPr>
              <w:t> </w:t>
            </w:r>
            <w:r>
              <w:rPr>
                <w:b/>
                <w:sz w:val="20"/>
              </w:rPr>
              <w:t>лимфоцитов</w:t>
            </w:r>
            <w:r>
              <w:rPr>
                <w:b/>
                <w:spacing w:val="-7"/>
                <w:sz w:val="20"/>
              </w:rPr>
              <w:t> </w:t>
            </w:r>
            <w:r>
              <w:rPr>
                <w:b/>
                <w:sz w:val="20"/>
              </w:rPr>
              <w:t>крови</w:t>
            </w:r>
            <w:r>
              <w:rPr>
                <w:b/>
                <w:spacing w:val="-8"/>
                <w:sz w:val="20"/>
              </w:rPr>
              <w:t> </w:t>
            </w:r>
            <w:r>
              <w:rPr>
                <w:b/>
                <w:sz w:val="20"/>
              </w:rPr>
              <w:t>&lt;</w:t>
            </w:r>
            <w:r>
              <w:rPr>
                <w:b/>
                <w:spacing w:val="-8"/>
                <w:sz w:val="20"/>
              </w:rPr>
              <w:t> </w:t>
            </w:r>
            <w:r>
              <w:rPr>
                <w:b/>
                <w:spacing w:val="-2"/>
                <w:sz w:val="20"/>
              </w:rPr>
              <w:t>1,0×109/л;</w:t>
            </w:r>
          </w:p>
          <w:p>
            <w:pPr>
              <w:pStyle w:val="TableParagraph"/>
              <w:numPr>
                <w:ilvl w:val="0"/>
                <w:numId w:val="118"/>
              </w:numPr>
              <w:tabs>
                <w:tab w:pos="224" w:val="left" w:leader="none"/>
              </w:tabs>
              <w:spacing w:line="240" w:lineRule="auto" w:before="15" w:after="0"/>
              <w:ind w:left="224" w:right="0" w:hanging="118"/>
              <w:jc w:val="left"/>
              <w:rPr>
                <w:b/>
                <w:sz w:val="20"/>
              </w:rPr>
            </w:pPr>
            <w:r>
              <w:rPr>
                <w:b/>
                <w:sz w:val="20"/>
              </w:rPr>
              <w:t>уровень</w:t>
            </w:r>
            <w:r>
              <w:rPr>
                <w:b/>
                <w:spacing w:val="-5"/>
                <w:sz w:val="20"/>
              </w:rPr>
              <w:t> </w:t>
            </w:r>
            <w:r>
              <w:rPr>
                <w:b/>
                <w:sz w:val="20"/>
              </w:rPr>
              <w:t>ферритина*</w:t>
            </w:r>
            <w:r>
              <w:rPr>
                <w:b/>
                <w:spacing w:val="-4"/>
                <w:sz w:val="20"/>
              </w:rPr>
              <w:t> </w:t>
            </w:r>
            <w:r>
              <w:rPr>
                <w:b/>
                <w:sz w:val="20"/>
              </w:rPr>
              <w:t>сыворотки</w:t>
            </w:r>
            <w:r>
              <w:rPr>
                <w:b/>
                <w:spacing w:val="-5"/>
                <w:sz w:val="20"/>
              </w:rPr>
              <w:t> </w:t>
            </w:r>
            <w:r>
              <w:rPr>
                <w:b/>
                <w:sz w:val="20"/>
              </w:rPr>
              <w:t>крови</w:t>
            </w:r>
            <w:r>
              <w:rPr>
                <w:b/>
                <w:spacing w:val="-5"/>
                <w:sz w:val="20"/>
              </w:rPr>
              <w:t> </w:t>
            </w:r>
            <w:r>
              <w:rPr>
                <w:b/>
                <w:sz w:val="20"/>
              </w:rPr>
              <w:t>≥</w:t>
            </w:r>
            <w:r>
              <w:rPr>
                <w:b/>
                <w:spacing w:val="-4"/>
                <w:sz w:val="20"/>
              </w:rPr>
              <w:t> </w:t>
            </w:r>
            <w:r>
              <w:rPr>
                <w:b/>
                <w:sz w:val="20"/>
              </w:rPr>
              <w:t>2</w:t>
            </w:r>
            <w:r>
              <w:rPr>
                <w:b/>
                <w:spacing w:val="-7"/>
                <w:sz w:val="20"/>
              </w:rPr>
              <w:t> </w:t>
            </w:r>
            <w:r>
              <w:rPr>
                <w:b/>
                <w:sz w:val="20"/>
              </w:rPr>
              <w:t>норм</w:t>
            </w:r>
            <w:r>
              <w:rPr>
                <w:b/>
                <w:spacing w:val="-5"/>
                <w:sz w:val="20"/>
              </w:rPr>
              <w:t> </w:t>
            </w:r>
            <w:r>
              <w:rPr>
                <w:b/>
                <w:sz w:val="20"/>
              </w:rPr>
              <w:t>на</w:t>
            </w:r>
            <w:r>
              <w:rPr>
                <w:b/>
                <w:spacing w:val="-5"/>
                <w:sz w:val="20"/>
              </w:rPr>
              <w:t> </w:t>
            </w:r>
            <w:r>
              <w:rPr>
                <w:b/>
                <w:sz w:val="20"/>
              </w:rPr>
              <w:t>3-5</w:t>
            </w:r>
            <w:r>
              <w:rPr>
                <w:b/>
                <w:spacing w:val="-4"/>
                <w:sz w:val="20"/>
              </w:rPr>
              <w:t> </w:t>
            </w:r>
            <w:r>
              <w:rPr>
                <w:b/>
                <w:sz w:val="20"/>
              </w:rPr>
              <w:t>дни</w:t>
            </w:r>
            <w:r>
              <w:rPr>
                <w:b/>
                <w:spacing w:val="-5"/>
                <w:sz w:val="20"/>
              </w:rPr>
              <w:t> </w:t>
            </w:r>
            <w:r>
              <w:rPr>
                <w:b/>
                <w:spacing w:val="-2"/>
                <w:sz w:val="20"/>
              </w:rPr>
              <w:t>заболевания;</w:t>
            </w:r>
          </w:p>
          <w:p>
            <w:pPr>
              <w:pStyle w:val="TableParagraph"/>
              <w:numPr>
                <w:ilvl w:val="0"/>
                <w:numId w:val="118"/>
              </w:numPr>
              <w:tabs>
                <w:tab w:pos="224" w:val="left" w:leader="none"/>
              </w:tabs>
              <w:spacing w:line="240" w:lineRule="auto" w:before="12" w:after="0"/>
              <w:ind w:left="224" w:right="0" w:hanging="118"/>
              <w:jc w:val="left"/>
              <w:rPr>
                <w:b/>
                <w:sz w:val="20"/>
              </w:rPr>
            </w:pPr>
            <w:r>
              <w:rPr>
                <w:b/>
                <w:sz w:val="20"/>
              </w:rPr>
              <w:t>уровень</w:t>
            </w:r>
            <w:r>
              <w:rPr>
                <w:b/>
                <w:spacing w:val="-5"/>
                <w:sz w:val="20"/>
              </w:rPr>
              <w:t> </w:t>
            </w:r>
            <w:r>
              <w:rPr>
                <w:b/>
                <w:sz w:val="20"/>
              </w:rPr>
              <w:t>ЛДГ</w:t>
            </w:r>
            <w:r>
              <w:rPr>
                <w:b/>
                <w:spacing w:val="-5"/>
                <w:sz w:val="20"/>
              </w:rPr>
              <w:t> </w:t>
            </w:r>
            <w:r>
              <w:rPr>
                <w:b/>
                <w:sz w:val="20"/>
              </w:rPr>
              <w:t>сыворотки</w:t>
            </w:r>
            <w:r>
              <w:rPr>
                <w:b/>
                <w:spacing w:val="-6"/>
                <w:sz w:val="20"/>
              </w:rPr>
              <w:t> </w:t>
            </w:r>
            <w:r>
              <w:rPr>
                <w:b/>
                <w:sz w:val="20"/>
              </w:rPr>
              <w:t>крови≥</w:t>
            </w:r>
            <w:r>
              <w:rPr>
                <w:b/>
                <w:spacing w:val="-5"/>
                <w:sz w:val="20"/>
              </w:rPr>
              <w:t> </w:t>
            </w:r>
            <w:r>
              <w:rPr>
                <w:b/>
                <w:sz w:val="20"/>
              </w:rPr>
              <w:t>1,5</w:t>
            </w:r>
            <w:r>
              <w:rPr>
                <w:b/>
                <w:spacing w:val="-3"/>
                <w:sz w:val="20"/>
              </w:rPr>
              <w:t> </w:t>
            </w:r>
            <w:r>
              <w:rPr>
                <w:b/>
                <w:sz w:val="20"/>
              </w:rPr>
              <w:t>норм</w:t>
            </w:r>
            <w:r>
              <w:rPr>
                <w:b/>
                <w:spacing w:val="-5"/>
                <w:sz w:val="20"/>
              </w:rPr>
              <w:t> </w:t>
            </w:r>
            <w:r>
              <w:rPr>
                <w:b/>
                <w:sz w:val="20"/>
              </w:rPr>
              <w:t>на</w:t>
            </w:r>
            <w:r>
              <w:rPr>
                <w:b/>
                <w:spacing w:val="-6"/>
                <w:sz w:val="20"/>
              </w:rPr>
              <w:t> </w:t>
            </w:r>
            <w:r>
              <w:rPr>
                <w:b/>
                <w:sz w:val="20"/>
              </w:rPr>
              <w:t>3-5</w:t>
            </w:r>
            <w:r>
              <w:rPr>
                <w:b/>
                <w:spacing w:val="-3"/>
                <w:sz w:val="20"/>
              </w:rPr>
              <w:t> </w:t>
            </w:r>
            <w:r>
              <w:rPr>
                <w:b/>
                <w:sz w:val="20"/>
              </w:rPr>
              <w:t>дни</w:t>
            </w:r>
            <w:r>
              <w:rPr>
                <w:b/>
                <w:spacing w:val="-7"/>
                <w:sz w:val="20"/>
              </w:rPr>
              <w:t> </w:t>
            </w:r>
            <w:r>
              <w:rPr>
                <w:b/>
                <w:spacing w:val="-2"/>
                <w:sz w:val="20"/>
              </w:rPr>
              <w:t>заболевания;</w:t>
            </w:r>
          </w:p>
        </w:tc>
      </w:tr>
    </w:tbl>
    <w:p>
      <w:pPr>
        <w:pStyle w:val="BodyText"/>
        <w:ind w:left="0"/>
        <w:jc w:val="left"/>
        <w:rPr>
          <w:sz w:val="22"/>
        </w:rPr>
      </w:pPr>
    </w:p>
    <w:p>
      <w:pPr>
        <w:spacing w:before="0"/>
        <w:ind w:left="0" w:right="15" w:firstLine="0"/>
        <w:jc w:val="center"/>
        <w:rPr>
          <w:rFonts w:ascii="Calibri"/>
          <w:sz w:val="22"/>
        </w:rPr>
      </w:pPr>
      <w:r>
        <w:rPr>
          <w:rFonts w:ascii="Calibri"/>
          <w:spacing w:val="-5"/>
          <w:sz w:val="22"/>
        </w:rPr>
        <w:t>218</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31"/>
        <w:gridCol w:w="447"/>
        <w:gridCol w:w="3664"/>
        <w:gridCol w:w="9502"/>
      </w:tblGrid>
      <w:tr>
        <w:trPr>
          <w:trHeight w:val="731" w:hRule="atLeast"/>
        </w:trPr>
        <w:tc>
          <w:tcPr>
            <w:tcW w:w="1131" w:type="dxa"/>
            <w:vMerge w:val="restart"/>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03"/>
              <w:rPr>
                <w:sz w:val="20"/>
              </w:rPr>
            </w:pPr>
          </w:p>
          <w:p>
            <w:pPr>
              <w:pStyle w:val="TableParagraph"/>
              <w:ind w:left="106"/>
              <w:rPr>
                <w:b/>
                <w:sz w:val="20"/>
              </w:rPr>
            </w:pPr>
            <w:bookmarkStart w:name="220" w:id="262"/>
            <w:bookmarkEnd w:id="262"/>
            <w:r>
              <w:rPr/>
            </w:r>
            <w:r>
              <w:rPr>
                <w:b/>
                <w:sz w:val="20"/>
              </w:rPr>
              <w:t>Схема</w:t>
            </w:r>
            <w:r>
              <w:rPr>
                <w:b/>
                <w:spacing w:val="-4"/>
                <w:sz w:val="20"/>
              </w:rPr>
              <w:t> </w:t>
            </w:r>
            <w:r>
              <w:rPr>
                <w:b/>
                <w:spacing w:val="-10"/>
                <w:sz w:val="20"/>
              </w:rPr>
              <w:t>1</w:t>
            </w:r>
          </w:p>
        </w:tc>
        <w:tc>
          <w:tcPr>
            <w:tcW w:w="447" w:type="dxa"/>
            <w:vMerge w:val="restart"/>
          </w:tcPr>
          <w:p>
            <w:pPr>
              <w:pStyle w:val="TableParagraph"/>
              <w:spacing w:before="10"/>
              <w:ind w:left="8" w:right="1"/>
              <w:jc w:val="center"/>
              <w:rPr>
                <w:sz w:val="20"/>
              </w:rPr>
            </w:pPr>
            <w:r>
              <w:rPr>
                <w:spacing w:val="-10"/>
                <w:sz w:val="20"/>
              </w:rPr>
              <w:t>1</w:t>
            </w:r>
          </w:p>
        </w:tc>
        <w:tc>
          <w:tcPr>
            <w:tcW w:w="3664" w:type="dxa"/>
          </w:tcPr>
          <w:p>
            <w:pPr>
              <w:pStyle w:val="TableParagraph"/>
              <w:spacing w:before="24"/>
              <w:rPr>
                <w:sz w:val="20"/>
              </w:rPr>
            </w:pPr>
          </w:p>
          <w:p>
            <w:pPr>
              <w:pStyle w:val="TableParagraph"/>
              <w:ind w:left="114"/>
              <w:rPr>
                <w:sz w:val="20"/>
              </w:rPr>
            </w:pPr>
            <w:r>
              <w:rPr>
                <w:spacing w:val="-2"/>
                <w:sz w:val="20"/>
              </w:rPr>
              <w:t>Ремдесивир</w:t>
            </w:r>
          </w:p>
        </w:tc>
        <w:tc>
          <w:tcPr>
            <w:tcW w:w="9502" w:type="dxa"/>
          </w:tcPr>
          <w:p>
            <w:pPr>
              <w:pStyle w:val="TableParagraph"/>
              <w:spacing w:line="254" w:lineRule="auto" w:before="10"/>
              <w:ind w:left="109" w:right="3498"/>
              <w:rPr>
                <w:sz w:val="20"/>
              </w:rPr>
            </w:pPr>
            <w:r>
              <w:rPr>
                <w:sz w:val="20"/>
              </w:rPr>
              <w:t>1-й</w:t>
            </w:r>
            <w:r>
              <w:rPr>
                <w:spacing w:val="-5"/>
                <w:sz w:val="20"/>
              </w:rPr>
              <w:t> </w:t>
            </w:r>
            <w:r>
              <w:rPr>
                <w:sz w:val="20"/>
              </w:rPr>
              <w:t>день:</w:t>
            </w:r>
            <w:r>
              <w:rPr>
                <w:spacing w:val="-5"/>
                <w:sz w:val="20"/>
              </w:rPr>
              <w:t> </w:t>
            </w:r>
            <w:r>
              <w:rPr>
                <w:sz w:val="20"/>
              </w:rPr>
              <w:t>200</w:t>
            </w:r>
            <w:r>
              <w:rPr>
                <w:spacing w:val="-4"/>
                <w:sz w:val="20"/>
              </w:rPr>
              <w:t> </w:t>
            </w:r>
            <w:r>
              <w:rPr>
                <w:sz w:val="20"/>
              </w:rPr>
              <w:t>мг</w:t>
            </w:r>
            <w:r>
              <w:rPr>
                <w:spacing w:val="-5"/>
                <w:sz w:val="20"/>
              </w:rPr>
              <w:t> </w:t>
            </w:r>
            <w:r>
              <w:rPr>
                <w:sz w:val="20"/>
              </w:rPr>
              <w:t>(в</w:t>
            </w:r>
            <w:r>
              <w:rPr>
                <w:spacing w:val="-5"/>
                <w:sz w:val="20"/>
              </w:rPr>
              <w:t> </w:t>
            </w:r>
            <w:r>
              <w:rPr>
                <w:sz w:val="20"/>
              </w:rPr>
              <w:t>0,9</w:t>
            </w:r>
            <w:r>
              <w:rPr>
                <w:spacing w:val="-6"/>
                <w:sz w:val="20"/>
              </w:rPr>
              <w:t> </w:t>
            </w:r>
            <w:r>
              <w:rPr>
                <w:sz w:val="20"/>
              </w:rPr>
              <w:t>%</w:t>
            </w:r>
            <w:r>
              <w:rPr>
                <w:spacing w:val="-5"/>
                <w:sz w:val="20"/>
              </w:rPr>
              <w:t> </w:t>
            </w:r>
            <w:r>
              <w:rPr>
                <w:sz w:val="20"/>
              </w:rPr>
              <w:t>растворе</w:t>
            </w:r>
            <w:r>
              <w:rPr>
                <w:spacing w:val="-5"/>
                <w:sz w:val="20"/>
              </w:rPr>
              <w:t> </w:t>
            </w:r>
            <w:r>
              <w:rPr>
                <w:sz w:val="20"/>
              </w:rPr>
              <w:t>натрия</w:t>
            </w:r>
            <w:r>
              <w:rPr>
                <w:spacing w:val="-5"/>
                <w:sz w:val="20"/>
              </w:rPr>
              <w:t> </w:t>
            </w:r>
            <w:r>
              <w:rPr>
                <w:sz w:val="20"/>
              </w:rPr>
              <w:t>хлорида)</w:t>
            </w:r>
            <w:r>
              <w:rPr>
                <w:spacing w:val="-5"/>
                <w:sz w:val="20"/>
              </w:rPr>
              <w:t> </w:t>
            </w:r>
            <w:r>
              <w:rPr>
                <w:sz w:val="20"/>
              </w:rPr>
              <w:t>однократно</w:t>
            </w:r>
            <w:r>
              <w:rPr>
                <w:spacing w:val="-4"/>
                <w:sz w:val="20"/>
              </w:rPr>
              <w:t> </w:t>
            </w:r>
            <w:r>
              <w:rPr>
                <w:sz w:val="20"/>
              </w:rPr>
              <w:t>в/в. Со 2-го дня: 100 мг в/в 1 р/сут.</w:t>
            </w:r>
          </w:p>
          <w:p>
            <w:pPr>
              <w:pStyle w:val="TableParagraph"/>
              <w:spacing w:line="213" w:lineRule="exact" w:before="1"/>
              <w:ind w:left="99"/>
              <w:rPr>
                <w:sz w:val="20"/>
              </w:rPr>
            </w:pPr>
            <w:r>
              <w:rPr>
                <w:sz w:val="20"/>
              </w:rPr>
              <w:t>Общий</w:t>
            </w:r>
            <w:r>
              <w:rPr>
                <w:spacing w:val="-6"/>
                <w:sz w:val="20"/>
              </w:rPr>
              <w:t> </w:t>
            </w:r>
            <w:r>
              <w:rPr>
                <w:sz w:val="20"/>
              </w:rPr>
              <w:t>курс</w:t>
            </w:r>
            <w:r>
              <w:rPr>
                <w:spacing w:val="-4"/>
                <w:sz w:val="20"/>
              </w:rPr>
              <w:t> </w:t>
            </w:r>
            <w:r>
              <w:rPr>
                <w:sz w:val="20"/>
              </w:rPr>
              <w:t>не</w:t>
            </w:r>
            <w:r>
              <w:rPr>
                <w:spacing w:val="-4"/>
                <w:sz w:val="20"/>
              </w:rPr>
              <w:t> </w:t>
            </w:r>
            <w:r>
              <w:rPr>
                <w:sz w:val="20"/>
              </w:rPr>
              <w:t>более</w:t>
            </w:r>
            <w:r>
              <w:rPr>
                <w:spacing w:val="-4"/>
                <w:sz w:val="20"/>
              </w:rPr>
              <w:t> </w:t>
            </w:r>
            <w:r>
              <w:rPr>
                <w:sz w:val="20"/>
              </w:rPr>
              <w:t>10</w:t>
            </w:r>
            <w:r>
              <w:rPr>
                <w:spacing w:val="-3"/>
                <w:sz w:val="20"/>
              </w:rPr>
              <w:t> </w:t>
            </w:r>
            <w:r>
              <w:rPr>
                <w:spacing w:val="-4"/>
                <w:sz w:val="20"/>
              </w:rPr>
              <w:t>дней</w:t>
            </w:r>
          </w:p>
        </w:tc>
      </w:tr>
      <w:tr>
        <w:trPr>
          <w:trHeight w:val="25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18" w:lineRule="exact" w:before="14"/>
              <w:ind w:left="104"/>
              <w:rPr>
                <w:sz w:val="20"/>
              </w:rPr>
            </w:pPr>
            <w:r>
              <w:rPr>
                <w:spacing w:val="-5"/>
                <w:sz w:val="20"/>
              </w:rPr>
              <w:t>или</w:t>
            </w:r>
          </w:p>
        </w:tc>
      </w:tr>
      <w:tr>
        <w:trPr>
          <w:trHeight w:val="717"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9"/>
              <w:ind w:left="114"/>
              <w:rPr>
                <w:sz w:val="20"/>
              </w:rPr>
            </w:pPr>
            <w:r>
              <w:rPr>
                <w:spacing w:val="-2"/>
                <w:sz w:val="20"/>
              </w:rPr>
              <w:t>Фавипиравир</w:t>
            </w:r>
          </w:p>
        </w:tc>
        <w:tc>
          <w:tcPr>
            <w:tcW w:w="9502" w:type="dxa"/>
          </w:tcPr>
          <w:p>
            <w:pPr>
              <w:pStyle w:val="TableParagraph"/>
              <w:spacing w:before="9"/>
              <w:ind w:left="109"/>
              <w:rPr>
                <w:sz w:val="20"/>
              </w:rPr>
            </w:pPr>
            <w:r>
              <w:rPr>
                <w:sz w:val="20"/>
              </w:rPr>
              <w:t>Раствор</w:t>
            </w:r>
            <w:r>
              <w:rPr>
                <w:spacing w:val="-5"/>
                <w:sz w:val="20"/>
              </w:rPr>
              <w:t> </w:t>
            </w:r>
            <w:r>
              <w:rPr>
                <w:sz w:val="20"/>
              </w:rPr>
              <w:t>для</w:t>
            </w:r>
            <w:r>
              <w:rPr>
                <w:spacing w:val="-7"/>
                <w:sz w:val="20"/>
              </w:rPr>
              <w:t> </w:t>
            </w:r>
            <w:r>
              <w:rPr>
                <w:spacing w:val="-2"/>
                <w:sz w:val="20"/>
              </w:rPr>
              <w:t>инфузий:</w:t>
            </w:r>
          </w:p>
          <w:p>
            <w:pPr>
              <w:pStyle w:val="TableParagraph"/>
              <w:spacing w:line="230" w:lineRule="atLeast"/>
              <w:ind w:left="99"/>
              <w:rPr>
                <w:sz w:val="20"/>
              </w:rPr>
            </w:pPr>
            <w:r>
              <w:rPr>
                <w:sz w:val="20"/>
              </w:rPr>
              <w:t>внутривенно</w:t>
            </w:r>
            <w:r>
              <w:rPr>
                <w:spacing w:val="-2"/>
                <w:sz w:val="20"/>
              </w:rPr>
              <w:t> </w:t>
            </w:r>
            <w:r>
              <w:rPr>
                <w:sz w:val="20"/>
              </w:rPr>
              <w:t>капельно в</w:t>
            </w:r>
            <w:r>
              <w:rPr>
                <w:spacing w:val="-4"/>
                <w:sz w:val="20"/>
              </w:rPr>
              <w:t> </w:t>
            </w:r>
            <w:r>
              <w:rPr>
                <w:sz w:val="20"/>
              </w:rPr>
              <w:t>течение</w:t>
            </w:r>
            <w:r>
              <w:rPr>
                <w:spacing w:val="-3"/>
                <w:sz w:val="20"/>
              </w:rPr>
              <w:t> </w:t>
            </w:r>
            <w:r>
              <w:rPr>
                <w:sz w:val="20"/>
              </w:rPr>
              <w:t>2</w:t>
            </w:r>
            <w:r>
              <w:rPr>
                <w:spacing w:val="-2"/>
                <w:sz w:val="20"/>
              </w:rPr>
              <w:t> </w:t>
            </w:r>
            <w:r>
              <w:rPr>
                <w:sz w:val="20"/>
              </w:rPr>
              <w:t>часов</w:t>
            </w:r>
            <w:r>
              <w:rPr>
                <w:spacing w:val="-4"/>
                <w:sz w:val="20"/>
              </w:rPr>
              <w:t> </w:t>
            </w:r>
            <w:r>
              <w:rPr>
                <w:sz w:val="20"/>
              </w:rPr>
              <w:t>по</w:t>
            </w:r>
            <w:r>
              <w:rPr>
                <w:spacing w:val="-2"/>
                <w:sz w:val="20"/>
              </w:rPr>
              <w:t> </w:t>
            </w:r>
            <w:r>
              <w:rPr>
                <w:sz w:val="20"/>
              </w:rPr>
              <w:t>1600</w:t>
            </w:r>
            <w:r>
              <w:rPr>
                <w:spacing w:val="-2"/>
                <w:sz w:val="20"/>
              </w:rPr>
              <w:t> </w:t>
            </w:r>
            <w:r>
              <w:rPr>
                <w:sz w:val="20"/>
              </w:rPr>
              <w:t>мг</w:t>
            </w:r>
            <w:r>
              <w:rPr>
                <w:spacing w:val="-6"/>
                <w:sz w:val="20"/>
              </w:rPr>
              <w:t> </w:t>
            </w:r>
            <w:r>
              <w:rPr>
                <w:sz w:val="20"/>
              </w:rPr>
              <w:t>2</w:t>
            </w:r>
            <w:r>
              <w:rPr>
                <w:spacing w:val="-2"/>
                <w:sz w:val="20"/>
              </w:rPr>
              <w:t> </w:t>
            </w:r>
            <w:r>
              <w:rPr>
                <w:sz w:val="20"/>
              </w:rPr>
              <w:t>раза</w:t>
            </w:r>
            <w:r>
              <w:rPr>
                <w:spacing w:val="-3"/>
                <w:sz w:val="20"/>
              </w:rPr>
              <w:t> </w:t>
            </w:r>
            <w:r>
              <w:rPr>
                <w:sz w:val="20"/>
              </w:rPr>
              <w:t>в</w:t>
            </w:r>
            <w:r>
              <w:rPr>
                <w:spacing w:val="-4"/>
                <w:sz w:val="20"/>
              </w:rPr>
              <w:t> </w:t>
            </w:r>
            <w:r>
              <w:rPr>
                <w:sz w:val="20"/>
              </w:rPr>
              <w:t>1-й</w:t>
            </w:r>
            <w:r>
              <w:rPr>
                <w:spacing w:val="-4"/>
                <w:sz w:val="20"/>
              </w:rPr>
              <w:t> </w:t>
            </w:r>
            <w:r>
              <w:rPr>
                <w:sz w:val="20"/>
              </w:rPr>
              <w:t>день</w:t>
            </w:r>
            <w:r>
              <w:rPr>
                <w:spacing w:val="-3"/>
                <w:sz w:val="20"/>
              </w:rPr>
              <w:t> </w:t>
            </w:r>
            <w:r>
              <w:rPr>
                <w:sz w:val="20"/>
              </w:rPr>
              <w:t>терапии,</w:t>
            </w:r>
            <w:r>
              <w:rPr>
                <w:spacing w:val="-1"/>
                <w:sz w:val="20"/>
              </w:rPr>
              <w:t> </w:t>
            </w:r>
            <w:r>
              <w:rPr>
                <w:sz w:val="20"/>
              </w:rPr>
              <w:t>далее по</w:t>
            </w:r>
            <w:r>
              <w:rPr>
                <w:spacing w:val="-2"/>
                <w:sz w:val="20"/>
              </w:rPr>
              <w:t> </w:t>
            </w:r>
            <w:r>
              <w:rPr>
                <w:sz w:val="20"/>
              </w:rPr>
              <w:t>800</w:t>
            </w:r>
            <w:r>
              <w:rPr>
                <w:spacing w:val="-2"/>
                <w:sz w:val="20"/>
              </w:rPr>
              <w:t> </w:t>
            </w:r>
            <w:r>
              <w:rPr>
                <w:sz w:val="20"/>
              </w:rPr>
              <w:t>мг</w:t>
            </w:r>
            <w:r>
              <w:rPr>
                <w:spacing w:val="-6"/>
                <w:sz w:val="20"/>
              </w:rPr>
              <w:t> </w:t>
            </w:r>
            <w:r>
              <w:rPr>
                <w:sz w:val="20"/>
              </w:rPr>
              <w:t>2</w:t>
            </w:r>
            <w:r>
              <w:rPr>
                <w:spacing w:val="-2"/>
                <w:sz w:val="20"/>
              </w:rPr>
              <w:t> </w:t>
            </w:r>
            <w:r>
              <w:rPr>
                <w:sz w:val="20"/>
              </w:rPr>
              <w:t>раза</w:t>
            </w:r>
            <w:r>
              <w:rPr>
                <w:spacing w:val="-3"/>
                <w:sz w:val="20"/>
              </w:rPr>
              <w:t> </w:t>
            </w:r>
            <w:r>
              <w:rPr>
                <w:sz w:val="20"/>
              </w:rPr>
              <w:t>в</w:t>
            </w:r>
            <w:r>
              <w:rPr>
                <w:spacing w:val="-4"/>
                <w:sz w:val="20"/>
              </w:rPr>
              <w:t> </w:t>
            </w:r>
            <w:r>
              <w:rPr>
                <w:sz w:val="20"/>
              </w:rPr>
              <w:t>день, соответственно, со 2-го по 10-й день терапии</w:t>
            </w:r>
          </w:p>
        </w:tc>
      </w:tr>
      <w:tr>
        <w:trPr>
          <w:trHeight w:val="25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19" w:lineRule="exact" w:before="13"/>
              <w:ind w:left="104"/>
              <w:rPr>
                <w:sz w:val="20"/>
              </w:rPr>
            </w:pPr>
            <w:r>
              <w:rPr>
                <w:spacing w:val="-5"/>
                <w:sz w:val="20"/>
              </w:rPr>
              <w:t>или</w:t>
            </w:r>
          </w:p>
        </w:tc>
      </w:tr>
      <w:tr>
        <w:trPr>
          <w:trHeight w:val="520"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27" w:lineRule="exact" w:before="8"/>
              <w:ind w:left="114"/>
              <w:rPr>
                <w:sz w:val="20"/>
              </w:rPr>
            </w:pPr>
            <w:r>
              <w:rPr>
                <w:sz w:val="20"/>
              </w:rPr>
              <w:t>Иммуноглобулин</w:t>
            </w:r>
            <w:r>
              <w:rPr>
                <w:spacing w:val="-11"/>
                <w:sz w:val="20"/>
              </w:rPr>
              <w:t> </w:t>
            </w:r>
            <w:r>
              <w:rPr>
                <w:sz w:val="20"/>
              </w:rPr>
              <w:t>человека</w:t>
            </w:r>
            <w:r>
              <w:rPr>
                <w:spacing w:val="-8"/>
                <w:sz w:val="20"/>
              </w:rPr>
              <w:t> </w:t>
            </w:r>
            <w:r>
              <w:rPr>
                <w:spacing w:val="-2"/>
                <w:sz w:val="20"/>
              </w:rPr>
              <w:t>против</w:t>
            </w:r>
          </w:p>
          <w:p>
            <w:pPr>
              <w:pStyle w:val="TableParagraph"/>
              <w:spacing w:line="266" w:lineRule="exact"/>
              <w:ind w:left="114"/>
              <w:rPr>
                <w:b/>
                <w:position w:val="8"/>
                <w:sz w:val="16"/>
              </w:rPr>
            </w:pPr>
            <w:r>
              <w:rPr>
                <w:sz w:val="20"/>
              </w:rPr>
              <w:t>COVID-19</w:t>
            </w:r>
            <w:r>
              <w:rPr>
                <w:spacing w:val="-7"/>
                <w:sz w:val="20"/>
              </w:rPr>
              <w:t> </w:t>
            </w:r>
            <w:r>
              <w:rPr>
                <w:b/>
                <w:spacing w:val="-10"/>
                <w:position w:val="8"/>
                <w:sz w:val="16"/>
              </w:rPr>
              <w:t>2</w:t>
            </w:r>
          </w:p>
        </w:tc>
        <w:tc>
          <w:tcPr>
            <w:tcW w:w="9502" w:type="dxa"/>
          </w:tcPr>
          <w:p>
            <w:pPr>
              <w:pStyle w:val="TableParagraph"/>
              <w:spacing w:before="8"/>
              <w:ind w:left="99"/>
              <w:rPr>
                <w:sz w:val="20"/>
              </w:rPr>
            </w:pPr>
            <w:r>
              <w:rPr>
                <w:sz w:val="20"/>
              </w:rPr>
              <w:t>1</w:t>
            </w:r>
            <w:r>
              <w:rPr>
                <w:spacing w:val="-5"/>
                <w:sz w:val="20"/>
              </w:rPr>
              <w:t> </w:t>
            </w:r>
            <w:r>
              <w:rPr>
                <w:sz w:val="20"/>
              </w:rPr>
              <w:t>мл</w:t>
            </w:r>
            <w:r>
              <w:rPr>
                <w:spacing w:val="-7"/>
                <w:sz w:val="20"/>
              </w:rPr>
              <w:t> </w:t>
            </w:r>
            <w:r>
              <w:rPr>
                <w:sz w:val="20"/>
              </w:rPr>
              <w:t>на</w:t>
            </w:r>
            <w:r>
              <w:rPr>
                <w:spacing w:val="-6"/>
                <w:sz w:val="20"/>
              </w:rPr>
              <w:t> </w:t>
            </w:r>
            <w:r>
              <w:rPr>
                <w:sz w:val="20"/>
              </w:rPr>
              <w:t>кг</w:t>
            </w:r>
            <w:r>
              <w:rPr>
                <w:spacing w:val="-6"/>
                <w:sz w:val="20"/>
              </w:rPr>
              <w:t> </w:t>
            </w:r>
            <w:r>
              <w:rPr>
                <w:sz w:val="20"/>
              </w:rPr>
              <w:t>массы</w:t>
            </w:r>
            <w:r>
              <w:rPr>
                <w:spacing w:val="-6"/>
                <w:sz w:val="20"/>
              </w:rPr>
              <w:t> </w:t>
            </w:r>
            <w:r>
              <w:rPr>
                <w:sz w:val="20"/>
              </w:rPr>
              <w:t>тела</w:t>
            </w:r>
            <w:r>
              <w:rPr>
                <w:spacing w:val="-6"/>
                <w:sz w:val="20"/>
              </w:rPr>
              <w:t> </w:t>
            </w:r>
            <w:r>
              <w:rPr>
                <w:sz w:val="20"/>
              </w:rPr>
              <w:t>однократно</w:t>
            </w:r>
            <w:r>
              <w:rPr>
                <w:spacing w:val="-4"/>
                <w:sz w:val="20"/>
              </w:rPr>
              <w:t> </w:t>
            </w:r>
            <w:r>
              <w:rPr>
                <w:sz w:val="20"/>
              </w:rPr>
              <w:t>внутривенно</w:t>
            </w:r>
            <w:r>
              <w:rPr>
                <w:spacing w:val="-5"/>
                <w:sz w:val="20"/>
              </w:rPr>
              <w:t> </w:t>
            </w:r>
            <w:r>
              <w:rPr>
                <w:sz w:val="20"/>
              </w:rPr>
              <w:t>капельно</w:t>
            </w:r>
            <w:r>
              <w:rPr>
                <w:spacing w:val="-5"/>
                <w:sz w:val="20"/>
              </w:rPr>
              <w:t> </w:t>
            </w:r>
            <w:r>
              <w:rPr>
                <w:sz w:val="20"/>
              </w:rPr>
              <w:t>без</w:t>
            </w:r>
            <w:r>
              <w:rPr>
                <w:spacing w:val="-6"/>
                <w:sz w:val="20"/>
              </w:rPr>
              <w:t> </w:t>
            </w:r>
            <w:r>
              <w:rPr>
                <w:spacing w:val="-2"/>
                <w:sz w:val="20"/>
              </w:rPr>
              <w:t>разведения</w:t>
            </w:r>
          </w:p>
        </w:tc>
      </w:tr>
      <w:tr>
        <w:trPr>
          <w:trHeight w:val="976" w:hRule="atLeast"/>
        </w:trPr>
        <w:tc>
          <w:tcPr>
            <w:tcW w:w="1131" w:type="dxa"/>
            <w:vMerge/>
            <w:tcBorders>
              <w:top w:val="nil"/>
            </w:tcBorders>
          </w:tcPr>
          <w:p>
            <w:pPr>
              <w:rPr>
                <w:sz w:val="2"/>
                <w:szCs w:val="2"/>
              </w:rPr>
            </w:pPr>
          </w:p>
        </w:tc>
        <w:tc>
          <w:tcPr>
            <w:tcW w:w="447" w:type="dxa"/>
            <w:vMerge w:val="restart"/>
          </w:tcPr>
          <w:p>
            <w:pPr>
              <w:pStyle w:val="TableParagraph"/>
              <w:spacing w:before="7"/>
              <w:ind w:left="8" w:right="1"/>
              <w:jc w:val="center"/>
              <w:rPr>
                <w:sz w:val="20"/>
              </w:rPr>
            </w:pPr>
            <w:r>
              <w:rPr>
                <w:spacing w:val="-10"/>
                <w:sz w:val="20"/>
              </w:rPr>
              <w:t>2</w:t>
            </w:r>
          </w:p>
        </w:tc>
        <w:tc>
          <w:tcPr>
            <w:tcW w:w="3664" w:type="dxa"/>
          </w:tcPr>
          <w:p>
            <w:pPr>
              <w:pStyle w:val="TableParagraph"/>
              <w:spacing w:before="22"/>
              <w:rPr>
                <w:sz w:val="20"/>
              </w:rPr>
            </w:pPr>
          </w:p>
          <w:p>
            <w:pPr>
              <w:pStyle w:val="TableParagraph"/>
              <w:ind w:left="114"/>
              <w:rPr>
                <w:sz w:val="20"/>
              </w:rPr>
            </w:pPr>
            <w:r>
              <w:rPr>
                <w:spacing w:val="-2"/>
                <w:sz w:val="20"/>
              </w:rPr>
              <w:t>Тоцилизумаб</w:t>
            </w:r>
          </w:p>
        </w:tc>
        <w:tc>
          <w:tcPr>
            <w:tcW w:w="9502" w:type="dxa"/>
          </w:tcPr>
          <w:p>
            <w:pPr>
              <w:pStyle w:val="TableParagraph"/>
              <w:spacing w:before="7"/>
              <w:ind w:left="109"/>
              <w:rPr>
                <w:sz w:val="20"/>
              </w:rPr>
            </w:pPr>
            <w:r>
              <w:rPr>
                <w:sz w:val="20"/>
              </w:rPr>
              <w:t>4-8</w:t>
            </w:r>
            <w:r>
              <w:rPr>
                <w:spacing w:val="-2"/>
                <w:sz w:val="20"/>
              </w:rPr>
              <w:t> </w:t>
            </w:r>
            <w:r>
              <w:rPr>
                <w:sz w:val="20"/>
              </w:rPr>
              <w:t>мг</w:t>
            </w:r>
            <w:r>
              <w:rPr>
                <w:spacing w:val="-4"/>
                <w:sz w:val="20"/>
              </w:rPr>
              <w:t> </w:t>
            </w:r>
            <w:r>
              <w:rPr>
                <w:sz w:val="20"/>
              </w:rPr>
              <w:t>на</w:t>
            </w:r>
            <w:r>
              <w:rPr>
                <w:spacing w:val="-4"/>
                <w:sz w:val="20"/>
              </w:rPr>
              <w:t> </w:t>
            </w:r>
            <w:r>
              <w:rPr>
                <w:sz w:val="20"/>
              </w:rPr>
              <w:t>кг</w:t>
            </w:r>
            <w:r>
              <w:rPr>
                <w:spacing w:val="-4"/>
                <w:sz w:val="20"/>
              </w:rPr>
              <w:t> </w:t>
            </w:r>
            <w:r>
              <w:rPr>
                <w:sz w:val="20"/>
              </w:rPr>
              <w:t>массы</w:t>
            </w:r>
            <w:r>
              <w:rPr>
                <w:spacing w:val="-3"/>
                <w:sz w:val="20"/>
              </w:rPr>
              <w:t> </w:t>
            </w:r>
            <w:r>
              <w:rPr>
                <w:sz w:val="20"/>
              </w:rPr>
              <w:t>тела</w:t>
            </w:r>
            <w:r>
              <w:rPr>
                <w:spacing w:val="-3"/>
                <w:sz w:val="20"/>
              </w:rPr>
              <w:t> </w:t>
            </w:r>
            <w:r>
              <w:rPr>
                <w:spacing w:val="-2"/>
                <w:sz w:val="20"/>
              </w:rPr>
              <w:t>внутривенно</w:t>
            </w:r>
          </w:p>
          <w:p>
            <w:pPr>
              <w:pStyle w:val="TableParagraph"/>
              <w:spacing w:line="252" w:lineRule="auto" w:before="15"/>
              <w:ind w:left="109" w:right="3148"/>
              <w:rPr>
                <w:sz w:val="20"/>
              </w:rPr>
            </w:pPr>
            <w:r>
              <w:rPr>
                <w:sz w:val="20"/>
              </w:rPr>
              <w:t>400</w:t>
            </w:r>
            <w:r>
              <w:rPr>
                <w:spacing w:val="-4"/>
                <w:sz w:val="20"/>
              </w:rPr>
              <w:t> </w:t>
            </w:r>
            <w:r>
              <w:rPr>
                <w:sz w:val="20"/>
              </w:rPr>
              <w:t>мг</w:t>
            </w:r>
            <w:r>
              <w:rPr>
                <w:spacing w:val="-7"/>
                <w:sz w:val="20"/>
              </w:rPr>
              <w:t> </w:t>
            </w:r>
            <w:r>
              <w:rPr>
                <w:sz w:val="20"/>
              </w:rPr>
              <w:t>разводят</w:t>
            </w:r>
            <w:r>
              <w:rPr>
                <w:spacing w:val="-5"/>
                <w:sz w:val="20"/>
              </w:rPr>
              <w:t> </w:t>
            </w:r>
            <w:r>
              <w:rPr>
                <w:sz w:val="20"/>
              </w:rPr>
              <w:t>в</w:t>
            </w:r>
            <w:r>
              <w:rPr>
                <w:spacing w:val="-5"/>
                <w:sz w:val="20"/>
              </w:rPr>
              <w:t> </w:t>
            </w:r>
            <w:r>
              <w:rPr>
                <w:sz w:val="20"/>
              </w:rPr>
              <w:t>100</w:t>
            </w:r>
            <w:r>
              <w:rPr>
                <w:spacing w:val="-4"/>
                <w:sz w:val="20"/>
              </w:rPr>
              <w:t> </w:t>
            </w:r>
            <w:r>
              <w:rPr>
                <w:sz w:val="20"/>
              </w:rPr>
              <w:t>мл</w:t>
            </w:r>
            <w:r>
              <w:rPr>
                <w:spacing w:val="-5"/>
                <w:sz w:val="20"/>
              </w:rPr>
              <w:t> </w:t>
            </w:r>
            <w:r>
              <w:rPr>
                <w:sz w:val="20"/>
              </w:rPr>
              <w:t>0,9%</w:t>
            </w:r>
            <w:r>
              <w:rPr>
                <w:spacing w:val="-5"/>
                <w:sz w:val="20"/>
              </w:rPr>
              <w:t> </w:t>
            </w:r>
            <w:r>
              <w:rPr>
                <w:sz w:val="20"/>
              </w:rPr>
              <w:t>раствора</w:t>
            </w:r>
            <w:r>
              <w:rPr>
                <w:spacing w:val="-4"/>
                <w:sz w:val="20"/>
              </w:rPr>
              <w:t> </w:t>
            </w:r>
            <w:r>
              <w:rPr>
                <w:sz w:val="20"/>
              </w:rPr>
              <w:t>NaCl,</w:t>
            </w:r>
            <w:r>
              <w:rPr>
                <w:spacing w:val="-4"/>
                <w:sz w:val="20"/>
              </w:rPr>
              <w:t> </w:t>
            </w:r>
            <w:r>
              <w:rPr>
                <w:sz w:val="20"/>
              </w:rPr>
              <w:t>вводят</w:t>
            </w:r>
            <w:r>
              <w:rPr>
                <w:spacing w:val="-5"/>
                <w:sz w:val="20"/>
              </w:rPr>
              <w:t> </w:t>
            </w:r>
            <w:r>
              <w:rPr>
                <w:sz w:val="20"/>
              </w:rPr>
              <w:t>в/в</w:t>
            </w:r>
            <w:r>
              <w:rPr>
                <w:spacing w:val="-5"/>
                <w:sz w:val="20"/>
              </w:rPr>
              <w:t> </w:t>
            </w:r>
            <w:r>
              <w:rPr>
                <w:sz w:val="20"/>
              </w:rPr>
              <w:t>капельно. Вводить не более 800 мг.</w:t>
            </w:r>
          </w:p>
          <w:p>
            <w:pPr>
              <w:pStyle w:val="TableParagraph"/>
              <w:spacing w:line="218" w:lineRule="exact" w:before="4"/>
              <w:ind w:left="99"/>
              <w:rPr>
                <w:sz w:val="20"/>
              </w:rPr>
            </w:pPr>
            <w:r>
              <w:rPr>
                <w:sz w:val="20"/>
              </w:rPr>
              <w:t>При</w:t>
            </w:r>
            <w:r>
              <w:rPr>
                <w:spacing w:val="-9"/>
                <w:sz w:val="20"/>
              </w:rPr>
              <w:t> </w:t>
            </w:r>
            <w:r>
              <w:rPr>
                <w:sz w:val="20"/>
              </w:rPr>
              <w:t>недостаточном</w:t>
            </w:r>
            <w:r>
              <w:rPr>
                <w:spacing w:val="-7"/>
                <w:sz w:val="20"/>
              </w:rPr>
              <w:t> </w:t>
            </w:r>
            <w:r>
              <w:rPr>
                <w:sz w:val="20"/>
              </w:rPr>
              <w:t>эффекте</w:t>
            </w:r>
            <w:r>
              <w:rPr>
                <w:spacing w:val="-6"/>
                <w:sz w:val="20"/>
              </w:rPr>
              <w:t> </w:t>
            </w:r>
            <w:r>
              <w:rPr>
                <w:sz w:val="20"/>
              </w:rPr>
              <w:t>(не</w:t>
            </w:r>
            <w:r>
              <w:rPr>
                <w:spacing w:val="-8"/>
                <w:sz w:val="20"/>
              </w:rPr>
              <w:t> </w:t>
            </w:r>
            <w:r>
              <w:rPr>
                <w:sz w:val="20"/>
              </w:rPr>
              <w:t>купировалась</w:t>
            </w:r>
            <w:r>
              <w:rPr>
                <w:spacing w:val="-8"/>
                <w:sz w:val="20"/>
              </w:rPr>
              <w:t> </w:t>
            </w:r>
            <w:r>
              <w:rPr>
                <w:sz w:val="20"/>
              </w:rPr>
              <w:t>фебрильная</w:t>
            </w:r>
            <w:r>
              <w:rPr>
                <w:spacing w:val="-9"/>
                <w:sz w:val="20"/>
              </w:rPr>
              <w:t> </w:t>
            </w:r>
            <w:r>
              <w:rPr>
                <w:sz w:val="20"/>
              </w:rPr>
              <w:t>лихорадка)</w:t>
            </w:r>
            <w:r>
              <w:rPr>
                <w:spacing w:val="-7"/>
                <w:sz w:val="20"/>
              </w:rPr>
              <w:t> </w:t>
            </w:r>
            <w:r>
              <w:rPr>
                <w:sz w:val="20"/>
              </w:rPr>
              <w:t>повторить</w:t>
            </w:r>
            <w:r>
              <w:rPr>
                <w:spacing w:val="-8"/>
                <w:sz w:val="20"/>
              </w:rPr>
              <w:t> </w:t>
            </w:r>
            <w:r>
              <w:rPr>
                <w:sz w:val="20"/>
              </w:rPr>
              <w:t>введение</w:t>
            </w:r>
            <w:r>
              <w:rPr>
                <w:spacing w:val="-8"/>
                <w:sz w:val="20"/>
              </w:rPr>
              <w:t> </w:t>
            </w:r>
            <w:r>
              <w:rPr>
                <w:sz w:val="20"/>
              </w:rPr>
              <w:t>через</w:t>
            </w:r>
            <w:r>
              <w:rPr>
                <w:spacing w:val="-8"/>
                <w:sz w:val="20"/>
              </w:rPr>
              <w:t> </w:t>
            </w:r>
            <w:r>
              <w:rPr>
                <w:sz w:val="20"/>
              </w:rPr>
              <w:t>12</w:t>
            </w:r>
            <w:r>
              <w:rPr>
                <w:spacing w:val="-7"/>
                <w:sz w:val="20"/>
              </w:rPr>
              <w:t> </w:t>
            </w:r>
            <w:r>
              <w:rPr>
                <w:spacing w:val="-5"/>
                <w:sz w:val="20"/>
              </w:rPr>
              <w:t>ч.</w:t>
            </w:r>
          </w:p>
        </w:tc>
      </w:tr>
      <w:tr>
        <w:trPr>
          <w:trHeight w:val="249"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rPr>
                <w:sz w:val="18"/>
              </w:rPr>
            </w:pPr>
          </w:p>
        </w:tc>
      </w:tr>
      <w:tr>
        <w:trPr>
          <w:trHeight w:val="25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rPr>
                <w:sz w:val="18"/>
              </w:rPr>
            </w:pPr>
          </w:p>
        </w:tc>
        <w:tc>
          <w:tcPr>
            <w:tcW w:w="9502" w:type="dxa"/>
          </w:tcPr>
          <w:p>
            <w:pPr>
              <w:pStyle w:val="TableParagraph"/>
              <w:rPr>
                <w:sz w:val="18"/>
              </w:rPr>
            </w:pPr>
          </w:p>
        </w:tc>
      </w:tr>
      <w:tr>
        <w:trPr>
          <w:trHeight w:val="25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21" w:lineRule="exact" w:before="11"/>
              <w:ind w:left="104"/>
              <w:rPr>
                <w:sz w:val="20"/>
              </w:rPr>
            </w:pPr>
            <w:r>
              <w:rPr>
                <w:spacing w:val="-5"/>
                <w:sz w:val="20"/>
              </w:rPr>
              <w:t>или</w:t>
            </w:r>
          </w:p>
        </w:tc>
      </w:tr>
      <w:tr>
        <w:trPr>
          <w:trHeight w:val="717"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13"/>
              <w:rPr>
                <w:sz w:val="20"/>
              </w:rPr>
            </w:pPr>
          </w:p>
          <w:p>
            <w:pPr>
              <w:pStyle w:val="TableParagraph"/>
              <w:ind w:left="114"/>
              <w:rPr>
                <w:sz w:val="20"/>
              </w:rPr>
            </w:pPr>
            <w:r>
              <w:rPr>
                <w:spacing w:val="-2"/>
                <w:sz w:val="20"/>
              </w:rPr>
              <w:t>Олокизумаб</w:t>
            </w:r>
          </w:p>
        </w:tc>
        <w:tc>
          <w:tcPr>
            <w:tcW w:w="9502" w:type="dxa"/>
          </w:tcPr>
          <w:p>
            <w:pPr>
              <w:pStyle w:val="TableParagraph"/>
              <w:spacing w:before="6"/>
              <w:ind w:left="109" w:right="216"/>
              <w:rPr>
                <w:sz w:val="20"/>
              </w:rPr>
            </w:pPr>
            <w:r>
              <w:rPr>
                <w:sz w:val="20"/>
              </w:rPr>
              <w:t>128</w:t>
            </w:r>
            <w:r>
              <w:rPr>
                <w:spacing w:val="-3"/>
                <w:sz w:val="20"/>
              </w:rPr>
              <w:t> </w:t>
            </w:r>
            <w:r>
              <w:rPr>
                <w:sz w:val="20"/>
              </w:rPr>
              <w:t>мг</w:t>
            </w:r>
            <w:r>
              <w:rPr>
                <w:spacing w:val="-6"/>
                <w:sz w:val="20"/>
              </w:rPr>
              <w:t> </w:t>
            </w:r>
            <w:r>
              <w:rPr>
                <w:sz w:val="20"/>
              </w:rPr>
              <w:t>(2</w:t>
            </w:r>
            <w:r>
              <w:rPr>
                <w:spacing w:val="-3"/>
                <w:sz w:val="20"/>
              </w:rPr>
              <w:t> </w:t>
            </w:r>
            <w:r>
              <w:rPr>
                <w:sz w:val="20"/>
              </w:rPr>
              <w:t>флакона</w:t>
            </w:r>
            <w:r>
              <w:rPr>
                <w:spacing w:val="-4"/>
                <w:sz w:val="20"/>
              </w:rPr>
              <w:t> </w:t>
            </w:r>
            <w:r>
              <w:rPr>
                <w:sz w:val="20"/>
              </w:rPr>
              <w:t>по</w:t>
            </w:r>
            <w:r>
              <w:rPr>
                <w:spacing w:val="-3"/>
                <w:sz w:val="20"/>
              </w:rPr>
              <w:t> </w:t>
            </w:r>
            <w:r>
              <w:rPr>
                <w:sz w:val="20"/>
              </w:rPr>
              <w:t>160</w:t>
            </w:r>
            <w:r>
              <w:rPr>
                <w:spacing w:val="-3"/>
                <w:sz w:val="20"/>
              </w:rPr>
              <w:t> </w:t>
            </w:r>
            <w:r>
              <w:rPr>
                <w:sz w:val="20"/>
              </w:rPr>
              <w:t>мг/мл,</w:t>
            </w:r>
            <w:r>
              <w:rPr>
                <w:spacing w:val="-4"/>
                <w:sz w:val="20"/>
              </w:rPr>
              <w:t> </w:t>
            </w:r>
            <w:r>
              <w:rPr>
                <w:sz w:val="20"/>
              </w:rPr>
              <w:t>0,4</w:t>
            </w:r>
            <w:r>
              <w:rPr>
                <w:spacing w:val="-3"/>
                <w:sz w:val="20"/>
              </w:rPr>
              <w:t> </w:t>
            </w:r>
            <w:r>
              <w:rPr>
                <w:sz w:val="20"/>
              </w:rPr>
              <w:t>мл)</w:t>
            </w:r>
            <w:r>
              <w:rPr>
                <w:spacing w:val="-4"/>
                <w:sz w:val="20"/>
              </w:rPr>
              <w:t> </w:t>
            </w:r>
            <w:r>
              <w:rPr>
                <w:sz w:val="20"/>
              </w:rPr>
              <w:t>разводят</w:t>
            </w:r>
            <w:r>
              <w:rPr>
                <w:spacing w:val="-5"/>
                <w:sz w:val="20"/>
              </w:rPr>
              <w:t> </w:t>
            </w:r>
            <w:r>
              <w:rPr>
                <w:sz w:val="20"/>
              </w:rPr>
              <w:t>в</w:t>
            </w:r>
            <w:r>
              <w:rPr>
                <w:spacing w:val="-5"/>
                <w:sz w:val="20"/>
              </w:rPr>
              <w:t> </w:t>
            </w:r>
            <w:r>
              <w:rPr>
                <w:sz w:val="20"/>
              </w:rPr>
              <w:t>100</w:t>
            </w:r>
            <w:r>
              <w:rPr>
                <w:spacing w:val="-6"/>
                <w:sz w:val="20"/>
              </w:rPr>
              <w:t> </w:t>
            </w:r>
            <w:r>
              <w:rPr>
                <w:sz w:val="20"/>
              </w:rPr>
              <w:t>мл</w:t>
            </w:r>
            <w:r>
              <w:rPr>
                <w:spacing w:val="-5"/>
                <w:sz w:val="20"/>
              </w:rPr>
              <w:t> </w:t>
            </w:r>
            <w:r>
              <w:rPr>
                <w:sz w:val="20"/>
              </w:rPr>
              <w:t>0,9%</w:t>
            </w:r>
            <w:r>
              <w:rPr>
                <w:spacing w:val="-5"/>
                <w:sz w:val="20"/>
              </w:rPr>
              <w:t> </w:t>
            </w:r>
            <w:r>
              <w:rPr>
                <w:sz w:val="20"/>
              </w:rPr>
              <w:t>раствора</w:t>
            </w:r>
            <w:r>
              <w:rPr>
                <w:spacing w:val="-4"/>
                <w:sz w:val="20"/>
              </w:rPr>
              <w:t> </w:t>
            </w:r>
            <w:r>
              <w:rPr>
                <w:sz w:val="20"/>
              </w:rPr>
              <w:t>NaCl,</w:t>
            </w:r>
            <w:r>
              <w:rPr>
                <w:spacing w:val="-4"/>
                <w:sz w:val="20"/>
              </w:rPr>
              <w:t> </w:t>
            </w:r>
            <w:r>
              <w:rPr>
                <w:sz w:val="20"/>
              </w:rPr>
              <w:t>вводят</w:t>
            </w:r>
            <w:r>
              <w:rPr>
                <w:spacing w:val="-5"/>
                <w:sz w:val="20"/>
              </w:rPr>
              <w:t> </w:t>
            </w:r>
            <w:r>
              <w:rPr>
                <w:sz w:val="20"/>
              </w:rPr>
              <w:t>внутривенно капельно в течение 60 минут.</w:t>
            </w:r>
          </w:p>
          <w:p>
            <w:pPr>
              <w:pStyle w:val="TableParagraph"/>
              <w:spacing w:line="217" w:lineRule="exact" w:before="14"/>
              <w:ind w:left="99"/>
              <w:rPr>
                <w:sz w:val="20"/>
              </w:rPr>
            </w:pPr>
            <w:r>
              <w:rPr>
                <w:sz w:val="20"/>
              </w:rPr>
              <w:t>При</w:t>
            </w:r>
            <w:r>
              <w:rPr>
                <w:spacing w:val="-8"/>
                <w:sz w:val="20"/>
              </w:rPr>
              <w:t> </w:t>
            </w:r>
            <w:r>
              <w:rPr>
                <w:sz w:val="20"/>
              </w:rPr>
              <w:t>недостаточном</w:t>
            </w:r>
            <w:r>
              <w:rPr>
                <w:spacing w:val="-5"/>
                <w:sz w:val="20"/>
              </w:rPr>
              <w:t> </w:t>
            </w:r>
            <w:r>
              <w:rPr>
                <w:sz w:val="20"/>
              </w:rPr>
              <w:t>эффекте</w:t>
            </w:r>
            <w:r>
              <w:rPr>
                <w:spacing w:val="-5"/>
                <w:sz w:val="20"/>
              </w:rPr>
              <w:t> </w:t>
            </w:r>
            <w:r>
              <w:rPr>
                <w:sz w:val="20"/>
              </w:rPr>
              <w:t>повторить</w:t>
            </w:r>
            <w:r>
              <w:rPr>
                <w:spacing w:val="-6"/>
                <w:sz w:val="20"/>
              </w:rPr>
              <w:t> </w:t>
            </w:r>
            <w:r>
              <w:rPr>
                <w:sz w:val="20"/>
              </w:rPr>
              <w:t>введение</w:t>
            </w:r>
            <w:r>
              <w:rPr>
                <w:spacing w:val="-6"/>
                <w:sz w:val="20"/>
              </w:rPr>
              <w:t> </w:t>
            </w:r>
            <w:r>
              <w:rPr>
                <w:sz w:val="20"/>
              </w:rPr>
              <w:t>через</w:t>
            </w:r>
            <w:r>
              <w:rPr>
                <w:spacing w:val="-2"/>
                <w:sz w:val="20"/>
              </w:rPr>
              <w:t> </w:t>
            </w:r>
            <w:r>
              <w:rPr>
                <w:sz w:val="20"/>
              </w:rPr>
              <w:t>24</w:t>
            </w:r>
            <w:r>
              <w:rPr>
                <w:spacing w:val="-6"/>
                <w:sz w:val="20"/>
              </w:rPr>
              <w:t> </w:t>
            </w:r>
            <w:r>
              <w:rPr>
                <w:sz w:val="20"/>
              </w:rPr>
              <w:t>ч.</w:t>
            </w:r>
            <w:r>
              <w:rPr>
                <w:spacing w:val="-6"/>
                <w:sz w:val="20"/>
              </w:rPr>
              <w:t> </w:t>
            </w:r>
            <w:r>
              <w:rPr>
                <w:sz w:val="20"/>
              </w:rPr>
              <w:t>Суммарно</w:t>
            </w:r>
            <w:r>
              <w:rPr>
                <w:spacing w:val="-5"/>
                <w:sz w:val="20"/>
              </w:rPr>
              <w:t> </w:t>
            </w:r>
            <w:r>
              <w:rPr>
                <w:sz w:val="20"/>
              </w:rPr>
              <w:t>вводить</w:t>
            </w:r>
            <w:r>
              <w:rPr>
                <w:spacing w:val="-5"/>
                <w:sz w:val="20"/>
              </w:rPr>
              <w:t> </w:t>
            </w:r>
            <w:r>
              <w:rPr>
                <w:sz w:val="20"/>
              </w:rPr>
              <w:t>не</w:t>
            </w:r>
            <w:r>
              <w:rPr>
                <w:spacing w:val="-6"/>
                <w:sz w:val="20"/>
              </w:rPr>
              <w:t> </w:t>
            </w:r>
            <w:r>
              <w:rPr>
                <w:sz w:val="20"/>
              </w:rPr>
              <w:t>более</w:t>
            </w:r>
            <w:r>
              <w:rPr>
                <w:spacing w:val="-6"/>
                <w:sz w:val="20"/>
              </w:rPr>
              <w:t> </w:t>
            </w:r>
            <w:r>
              <w:rPr>
                <w:sz w:val="20"/>
              </w:rPr>
              <w:t>256</w:t>
            </w:r>
            <w:r>
              <w:rPr>
                <w:spacing w:val="-6"/>
                <w:sz w:val="20"/>
              </w:rPr>
              <w:t> </w:t>
            </w:r>
            <w:r>
              <w:rPr>
                <w:spacing w:val="-5"/>
                <w:sz w:val="20"/>
              </w:rPr>
              <w:t>мг.</w:t>
            </w:r>
          </w:p>
        </w:tc>
      </w:tr>
      <w:tr>
        <w:trPr>
          <w:trHeight w:val="25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22" w:lineRule="exact" w:before="10"/>
              <w:ind w:left="104"/>
              <w:rPr>
                <w:sz w:val="20"/>
              </w:rPr>
            </w:pPr>
            <w:r>
              <w:rPr>
                <w:spacing w:val="-5"/>
                <w:sz w:val="20"/>
              </w:rPr>
              <w:t>или</w:t>
            </w:r>
          </w:p>
        </w:tc>
      </w:tr>
      <w:tr>
        <w:trPr>
          <w:trHeight w:val="486"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127"/>
              <w:ind w:left="114"/>
              <w:rPr>
                <w:sz w:val="20"/>
              </w:rPr>
            </w:pPr>
            <w:r>
              <w:rPr>
                <w:spacing w:val="-2"/>
                <w:sz w:val="20"/>
              </w:rPr>
              <w:t>Левилимаб</w:t>
            </w:r>
          </w:p>
        </w:tc>
        <w:tc>
          <w:tcPr>
            <w:tcW w:w="9502" w:type="dxa"/>
          </w:tcPr>
          <w:p>
            <w:pPr>
              <w:pStyle w:val="TableParagraph"/>
              <w:spacing w:before="5"/>
              <w:ind w:left="99"/>
              <w:rPr>
                <w:sz w:val="20"/>
              </w:rPr>
            </w:pPr>
            <w:r>
              <w:rPr>
                <w:sz w:val="20"/>
              </w:rPr>
              <w:t>162</w:t>
            </w:r>
            <w:r>
              <w:rPr>
                <w:spacing w:val="-5"/>
                <w:sz w:val="20"/>
              </w:rPr>
              <w:t> </w:t>
            </w:r>
            <w:r>
              <w:rPr>
                <w:sz w:val="20"/>
              </w:rPr>
              <w:t>мг×4</w:t>
            </w:r>
            <w:r>
              <w:rPr>
                <w:spacing w:val="-4"/>
                <w:sz w:val="20"/>
              </w:rPr>
              <w:t> </w:t>
            </w:r>
            <w:r>
              <w:rPr>
                <w:sz w:val="20"/>
              </w:rPr>
              <w:t>однократно</w:t>
            </w:r>
            <w:r>
              <w:rPr>
                <w:spacing w:val="-4"/>
                <w:sz w:val="20"/>
              </w:rPr>
              <w:t> </w:t>
            </w:r>
            <w:r>
              <w:rPr>
                <w:sz w:val="20"/>
              </w:rPr>
              <w:t>внутривенно</w:t>
            </w:r>
            <w:r>
              <w:rPr>
                <w:spacing w:val="-3"/>
                <w:sz w:val="20"/>
              </w:rPr>
              <w:t> </w:t>
            </w:r>
            <w:r>
              <w:rPr>
                <w:sz w:val="20"/>
              </w:rPr>
              <w:t>капельно</w:t>
            </w:r>
            <w:r>
              <w:rPr>
                <w:spacing w:val="-4"/>
                <w:sz w:val="20"/>
              </w:rPr>
              <w:t> </w:t>
            </w:r>
            <w:r>
              <w:rPr>
                <w:sz w:val="20"/>
              </w:rPr>
              <w:t>в</w:t>
            </w:r>
            <w:r>
              <w:rPr>
                <w:spacing w:val="-7"/>
                <w:sz w:val="20"/>
              </w:rPr>
              <w:t> </w:t>
            </w:r>
            <w:r>
              <w:rPr>
                <w:sz w:val="20"/>
              </w:rPr>
              <w:t>течение</w:t>
            </w:r>
            <w:r>
              <w:rPr>
                <w:spacing w:val="-5"/>
                <w:sz w:val="20"/>
              </w:rPr>
              <w:t> </w:t>
            </w:r>
            <w:r>
              <w:rPr>
                <w:sz w:val="20"/>
              </w:rPr>
              <w:t>60</w:t>
            </w:r>
            <w:r>
              <w:rPr>
                <w:spacing w:val="-5"/>
                <w:sz w:val="20"/>
              </w:rPr>
              <w:t> </w:t>
            </w:r>
            <w:r>
              <w:rPr>
                <w:sz w:val="20"/>
              </w:rPr>
              <w:t>минут,</w:t>
            </w:r>
            <w:r>
              <w:rPr>
                <w:spacing w:val="-5"/>
                <w:sz w:val="20"/>
              </w:rPr>
              <w:t> </w:t>
            </w:r>
            <w:r>
              <w:rPr>
                <w:sz w:val="20"/>
              </w:rPr>
              <w:t>разводя</w:t>
            </w:r>
            <w:r>
              <w:rPr>
                <w:spacing w:val="-6"/>
                <w:sz w:val="20"/>
              </w:rPr>
              <w:t> </w:t>
            </w:r>
            <w:r>
              <w:rPr>
                <w:sz w:val="20"/>
              </w:rPr>
              <w:t>в</w:t>
            </w:r>
            <w:r>
              <w:rPr>
                <w:spacing w:val="-7"/>
                <w:sz w:val="20"/>
              </w:rPr>
              <w:t> </w:t>
            </w:r>
            <w:r>
              <w:rPr>
                <w:sz w:val="20"/>
              </w:rPr>
              <w:t>100</w:t>
            </w:r>
            <w:r>
              <w:rPr>
                <w:spacing w:val="-4"/>
                <w:sz w:val="20"/>
              </w:rPr>
              <w:t> </w:t>
            </w:r>
            <w:r>
              <w:rPr>
                <w:sz w:val="20"/>
              </w:rPr>
              <w:t>мл</w:t>
            </w:r>
            <w:r>
              <w:rPr>
                <w:spacing w:val="-6"/>
                <w:sz w:val="20"/>
              </w:rPr>
              <w:t> </w:t>
            </w:r>
            <w:r>
              <w:rPr>
                <w:sz w:val="20"/>
              </w:rPr>
              <w:t>0,9%</w:t>
            </w:r>
            <w:r>
              <w:rPr>
                <w:spacing w:val="-7"/>
                <w:sz w:val="20"/>
              </w:rPr>
              <w:t> </w:t>
            </w:r>
            <w:r>
              <w:rPr>
                <w:sz w:val="20"/>
              </w:rPr>
              <w:t>раствора</w:t>
            </w:r>
            <w:r>
              <w:rPr>
                <w:spacing w:val="-5"/>
                <w:sz w:val="20"/>
              </w:rPr>
              <w:t> </w:t>
            </w:r>
            <w:r>
              <w:rPr>
                <w:spacing w:val="-2"/>
                <w:sz w:val="20"/>
              </w:rPr>
              <w:t>NaCl.</w:t>
            </w:r>
          </w:p>
          <w:p>
            <w:pPr>
              <w:pStyle w:val="TableParagraph"/>
              <w:spacing w:line="217" w:lineRule="exact" w:before="14"/>
              <w:ind w:left="99"/>
              <w:rPr>
                <w:sz w:val="20"/>
              </w:rPr>
            </w:pPr>
            <w:r>
              <w:rPr>
                <w:sz w:val="20"/>
              </w:rPr>
              <w:t>При</w:t>
            </w:r>
            <w:r>
              <w:rPr>
                <w:spacing w:val="-9"/>
                <w:sz w:val="20"/>
              </w:rPr>
              <w:t> </w:t>
            </w:r>
            <w:r>
              <w:rPr>
                <w:sz w:val="20"/>
              </w:rPr>
              <w:t>недостаточном</w:t>
            </w:r>
            <w:r>
              <w:rPr>
                <w:spacing w:val="-6"/>
                <w:sz w:val="20"/>
              </w:rPr>
              <w:t> </w:t>
            </w:r>
            <w:r>
              <w:rPr>
                <w:sz w:val="20"/>
              </w:rPr>
              <w:t>эффекте</w:t>
            </w:r>
            <w:r>
              <w:rPr>
                <w:spacing w:val="-6"/>
                <w:sz w:val="20"/>
              </w:rPr>
              <w:t> </w:t>
            </w:r>
            <w:r>
              <w:rPr>
                <w:sz w:val="20"/>
              </w:rPr>
              <w:t>повторить</w:t>
            </w:r>
            <w:r>
              <w:rPr>
                <w:spacing w:val="-7"/>
                <w:sz w:val="20"/>
              </w:rPr>
              <w:t> </w:t>
            </w:r>
            <w:r>
              <w:rPr>
                <w:sz w:val="20"/>
              </w:rPr>
              <w:t>введение</w:t>
            </w:r>
            <w:r>
              <w:rPr>
                <w:spacing w:val="-7"/>
                <w:sz w:val="20"/>
              </w:rPr>
              <w:t> </w:t>
            </w:r>
            <w:r>
              <w:rPr>
                <w:sz w:val="20"/>
              </w:rPr>
              <w:t>через</w:t>
            </w:r>
            <w:r>
              <w:rPr>
                <w:spacing w:val="-8"/>
                <w:sz w:val="20"/>
              </w:rPr>
              <w:t> </w:t>
            </w:r>
            <w:r>
              <w:rPr>
                <w:sz w:val="20"/>
              </w:rPr>
              <w:t>12</w:t>
            </w:r>
            <w:r>
              <w:rPr>
                <w:spacing w:val="-6"/>
                <w:sz w:val="20"/>
              </w:rPr>
              <w:t> </w:t>
            </w:r>
            <w:r>
              <w:rPr>
                <w:spacing w:val="-5"/>
                <w:sz w:val="20"/>
              </w:rPr>
              <w:t>ч.</w:t>
            </w:r>
          </w:p>
        </w:tc>
      </w:tr>
      <w:tr>
        <w:trPr>
          <w:trHeight w:val="25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rPr>
                <w:sz w:val="18"/>
              </w:rPr>
            </w:pPr>
          </w:p>
        </w:tc>
      </w:tr>
      <w:tr>
        <w:trPr>
          <w:trHeight w:val="25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rPr>
                <w:sz w:val="18"/>
              </w:rPr>
            </w:pPr>
          </w:p>
        </w:tc>
        <w:tc>
          <w:tcPr>
            <w:tcW w:w="9502" w:type="dxa"/>
          </w:tcPr>
          <w:p>
            <w:pPr>
              <w:pStyle w:val="TableParagraph"/>
              <w:rPr>
                <w:sz w:val="18"/>
              </w:rPr>
            </w:pPr>
          </w:p>
        </w:tc>
      </w:tr>
      <w:tr>
        <w:trPr>
          <w:trHeight w:val="252"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23" w:lineRule="exact" w:before="9"/>
              <w:ind w:left="104"/>
              <w:rPr>
                <w:sz w:val="20"/>
              </w:rPr>
            </w:pPr>
            <w:r>
              <w:rPr>
                <w:spacing w:val="-5"/>
                <w:sz w:val="20"/>
              </w:rPr>
              <w:t>или</w:t>
            </w:r>
          </w:p>
        </w:tc>
      </w:tr>
      <w:tr>
        <w:trPr>
          <w:trHeight w:val="1679"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rPr>
                <w:sz w:val="20"/>
              </w:rPr>
            </w:pPr>
          </w:p>
          <w:p>
            <w:pPr>
              <w:pStyle w:val="TableParagraph"/>
              <w:rPr>
                <w:sz w:val="20"/>
              </w:rPr>
            </w:pPr>
          </w:p>
          <w:p>
            <w:pPr>
              <w:pStyle w:val="TableParagraph"/>
              <w:spacing w:before="30"/>
              <w:rPr>
                <w:sz w:val="20"/>
              </w:rPr>
            </w:pPr>
          </w:p>
          <w:p>
            <w:pPr>
              <w:pStyle w:val="TableParagraph"/>
              <w:ind w:left="114"/>
              <w:rPr>
                <w:sz w:val="20"/>
              </w:rPr>
            </w:pPr>
            <w:r>
              <w:rPr>
                <w:spacing w:val="-2"/>
                <w:sz w:val="20"/>
              </w:rPr>
              <w:t>Анакинра</w:t>
            </w:r>
          </w:p>
        </w:tc>
        <w:tc>
          <w:tcPr>
            <w:tcW w:w="9502" w:type="dxa"/>
          </w:tcPr>
          <w:p>
            <w:pPr>
              <w:pStyle w:val="TableParagraph"/>
              <w:spacing w:before="3"/>
              <w:ind w:left="99"/>
              <w:rPr>
                <w:sz w:val="20"/>
              </w:rPr>
            </w:pPr>
            <w:r>
              <w:rPr>
                <w:sz w:val="20"/>
              </w:rPr>
              <w:t>Препаратами</w:t>
            </w:r>
            <w:r>
              <w:rPr>
                <w:spacing w:val="-6"/>
                <w:sz w:val="20"/>
              </w:rPr>
              <w:t> </w:t>
            </w:r>
            <w:r>
              <w:rPr>
                <w:sz w:val="20"/>
              </w:rPr>
              <w:t>первой</w:t>
            </w:r>
            <w:r>
              <w:rPr>
                <w:spacing w:val="-6"/>
                <w:sz w:val="20"/>
              </w:rPr>
              <w:t> </w:t>
            </w:r>
            <w:r>
              <w:rPr>
                <w:sz w:val="20"/>
              </w:rPr>
              <w:t>линии</w:t>
            </w:r>
            <w:r>
              <w:rPr>
                <w:spacing w:val="-5"/>
                <w:sz w:val="20"/>
              </w:rPr>
              <w:t> </w:t>
            </w:r>
            <w:r>
              <w:rPr>
                <w:sz w:val="20"/>
              </w:rPr>
              <w:t>терапии</w:t>
            </w:r>
            <w:r>
              <w:rPr>
                <w:spacing w:val="-6"/>
                <w:sz w:val="20"/>
              </w:rPr>
              <w:t> </w:t>
            </w:r>
            <w:r>
              <w:rPr>
                <w:sz w:val="20"/>
              </w:rPr>
              <w:t>являются</w:t>
            </w:r>
            <w:r>
              <w:rPr>
                <w:spacing w:val="-4"/>
                <w:sz w:val="20"/>
              </w:rPr>
              <w:t> </w:t>
            </w:r>
            <w:r>
              <w:rPr>
                <w:sz w:val="20"/>
              </w:rPr>
              <w:t>ингибитор</w:t>
            </w:r>
            <w:r>
              <w:rPr>
                <w:spacing w:val="-5"/>
                <w:sz w:val="20"/>
              </w:rPr>
              <w:t> </w:t>
            </w:r>
            <w:r>
              <w:rPr>
                <w:sz w:val="20"/>
              </w:rPr>
              <w:t>ИЛ-6</w:t>
            </w:r>
            <w:r>
              <w:rPr>
                <w:spacing w:val="-5"/>
                <w:sz w:val="20"/>
              </w:rPr>
              <w:t> </w:t>
            </w:r>
            <w:r>
              <w:rPr>
                <w:sz w:val="20"/>
              </w:rPr>
              <w:t>или</w:t>
            </w:r>
            <w:r>
              <w:rPr>
                <w:spacing w:val="-6"/>
                <w:sz w:val="20"/>
              </w:rPr>
              <w:t> </w:t>
            </w:r>
            <w:r>
              <w:rPr>
                <w:sz w:val="20"/>
              </w:rPr>
              <w:t>его</w:t>
            </w:r>
            <w:r>
              <w:rPr>
                <w:spacing w:val="-5"/>
                <w:sz w:val="20"/>
              </w:rPr>
              <w:t> </w:t>
            </w:r>
            <w:r>
              <w:rPr>
                <w:sz w:val="20"/>
              </w:rPr>
              <w:t>рецептора</w:t>
            </w:r>
            <w:r>
              <w:rPr>
                <w:spacing w:val="-5"/>
                <w:sz w:val="20"/>
              </w:rPr>
              <w:t> </w:t>
            </w:r>
            <w:r>
              <w:rPr>
                <w:sz w:val="20"/>
              </w:rPr>
              <w:t>(внутривенное</w:t>
            </w:r>
            <w:r>
              <w:rPr>
                <w:spacing w:val="-5"/>
                <w:sz w:val="20"/>
              </w:rPr>
              <w:t> </w:t>
            </w:r>
            <w:r>
              <w:rPr>
                <w:sz w:val="20"/>
              </w:rPr>
              <w:t>введение), Анакинру следует рассматривать как препарат замены при отсутствии препаратов первой линии терапии, согласно следующей схеме (внутривенное введение):</w:t>
            </w:r>
          </w:p>
          <w:p>
            <w:pPr>
              <w:pStyle w:val="TableParagraph"/>
              <w:spacing w:before="13"/>
              <w:ind w:left="99"/>
              <w:rPr>
                <w:sz w:val="20"/>
              </w:rPr>
            </w:pPr>
            <w:r>
              <w:rPr>
                <w:sz w:val="20"/>
              </w:rPr>
              <w:t>−</w:t>
            </w:r>
            <w:r>
              <w:rPr>
                <w:spacing w:val="-4"/>
                <w:sz w:val="20"/>
              </w:rPr>
              <w:t> </w:t>
            </w:r>
            <w:r>
              <w:rPr>
                <w:sz w:val="20"/>
              </w:rPr>
              <w:t>200</w:t>
            </w:r>
            <w:r>
              <w:rPr>
                <w:spacing w:val="-6"/>
                <w:sz w:val="20"/>
              </w:rPr>
              <w:t> </w:t>
            </w:r>
            <w:r>
              <w:rPr>
                <w:sz w:val="20"/>
              </w:rPr>
              <w:t>мг</w:t>
            </w:r>
            <w:r>
              <w:rPr>
                <w:spacing w:val="-4"/>
                <w:sz w:val="20"/>
              </w:rPr>
              <w:t> </w:t>
            </w:r>
            <w:r>
              <w:rPr>
                <w:sz w:val="20"/>
              </w:rPr>
              <w:t>каждые</w:t>
            </w:r>
            <w:r>
              <w:rPr>
                <w:spacing w:val="-4"/>
                <w:sz w:val="20"/>
              </w:rPr>
              <w:t> </w:t>
            </w:r>
            <w:r>
              <w:rPr>
                <w:sz w:val="20"/>
              </w:rPr>
              <w:t>12</w:t>
            </w:r>
            <w:r>
              <w:rPr>
                <w:spacing w:val="-3"/>
                <w:sz w:val="20"/>
              </w:rPr>
              <w:t> </w:t>
            </w:r>
            <w:r>
              <w:rPr>
                <w:sz w:val="20"/>
              </w:rPr>
              <w:t>часов</w:t>
            </w:r>
            <w:r>
              <w:rPr>
                <w:spacing w:val="-4"/>
                <w:sz w:val="20"/>
              </w:rPr>
              <w:t> </w:t>
            </w:r>
            <w:r>
              <w:rPr>
                <w:sz w:val="20"/>
              </w:rPr>
              <w:t>(суммарная</w:t>
            </w:r>
            <w:r>
              <w:rPr>
                <w:spacing w:val="-5"/>
                <w:sz w:val="20"/>
              </w:rPr>
              <w:t> </w:t>
            </w:r>
            <w:r>
              <w:rPr>
                <w:sz w:val="20"/>
              </w:rPr>
              <w:t>доза</w:t>
            </w:r>
            <w:r>
              <w:rPr>
                <w:spacing w:val="-3"/>
                <w:sz w:val="20"/>
              </w:rPr>
              <w:t> </w:t>
            </w:r>
            <w:r>
              <w:rPr>
                <w:sz w:val="20"/>
              </w:rPr>
              <w:t>400</w:t>
            </w:r>
            <w:r>
              <w:rPr>
                <w:spacing w:val="-3"/>
                <w:sz w:val="20"/>
              </w:rPr>
              <w:t> </w:t>
            </w:r>
            <w:r>
              <w:rPr>
                <w:sz w:val="20"/>
              </w:rPr>
              <w:t>мг/сутки)</w:t>
            </w:r>
            <w:r>
              <w:rPr>
                <w:spacing w:val="1"/>
                <w:sz w:val="20"/>
              </w:rPr>
              <w:t> </w:t>
            </w:r>
            <w:r>
              <w:rPr>
                <w:sz w:val="20"/>
              </w:rPr>
              <w:t>–</w:t>
            </w:r>
            <w:r>
              <w:rPr>
                <w:spacing w:val="-3"/>
                <w:sz w:val="20"/>
              </w:rPr>
              <w:t> </w:t>
            </w:r>
            <w:r>
              <w:rPr>
                <w:sz w:val="20"/>
              </w:rPr>
              <w:t>в</w:t>
            </w:r>
            <w:r>
              <w:rPr>
                <w:spacing w:val="-4"/>
                <w:sz w:val="20"/>
              </w:rPr>
              <w:t> </w:t>
            </w:r>
            <w:r>
              <w:rPr>
                <w:sz w:val="20"/>
              </w:rPr>
              <w:t>1-3</w:t>
            </w:r>
            <w:r>
              <w:rPr>
                <w:spacing w:val="-3"/>
                <w:sz w:val="20"/>
              </w:rPr>
              <w:t> </w:t>
            </w:r>
            <w:r>
              <w:rPr>
                <w:spacing w:val="-4"/>
                <w:sz w:val="20"/>
              </w:rPr>
              <w:t>дни;</w:t>
            </w:r>
          </w:p>
          <w:p>
            <w:pPr>
              <w:pStyle w:val="TableParagraph"/>
              <w:spacing w:before="15"/>
              <w:ind w:left="99"/>
              <w:rPr>
                <w:sz w:val="20"/>
              </w:rPr>
            </w:pPr>
            <w:r>
              <w:rPr>
                <w:sz w:val="20"/>
              </w:rPr>
              <w:t>−</w:t>
            </w:r>
            <w:r>
              <w:rPr>
                <w:spacing w:val="-4"/>
                <w:sz w:val="20"/>
              </w:rPr>
              <w:t> </w:t>
            </w:r>
            <w:r>
              <w:rPr>
                <w:sz w:val="20"/>
              </w:rPr>
              <w:t>100</w:t>
            </w:r>
            <w:r>
              <w:rPr>
                <w:spacing w:val="-6"/>
                <w:sz w:val="20"/>
              </w:rPr>
              <w:t> </w:t>
            </w:r>
            <w:r>
              <w:rPr>
                <w:sz w:val="20"/>
              </w:rPr>
              <w:t>мг</w:t>
            </w:r>
            <w:r>
              <w:rPr>
                <w:spacing w:val="-4"/>
                <w:sz w:val="20"/>
              </w:rPr>
              <w:t> </w:t>
            </w:r>
            <w:r>
              <w:rPr>
                <w:sz w:val="20"/>
              </w:rPr>
              <w:t>каждые</w:t>
            </w:r>
            <w:r>
              <w:rPr>
                <w:spacing w:val="-4"/>
                <w:sz w:val="20"/>
              </w:rPr>
              <w:t> </w:t>
            </w:r>
            <w:r>
              <w:rPr>
                <w:sz w:val="20"/>
              </w:rPr>
              <w:t>12</w:t>
            </w:r>
            <w:r>
              <w:rPr>
                <w:spacing w:val="-3"/>
                <w:sz w:val="20"/>
              </w:rPr>
              <w:t> </w:t>
            </w:r>
            <w:r>
              <w:rPr>
                <w:sz w:val="20"/>
              </w:rPr>
              <w:t>часов</w:t>
            </w:r>
            <w:r>
              <w:rPr>
                <w:spacing w:val="-4"/>
                <w:sz w:val="20"/>
              </w:rPr>
              <w:t> </w:t>
            </w:r>
            <w:r>
              <w:rPr>
                <w:sz w:val="20"/>
              </w:rPr>
              <w:t>(суммарная</w:t>
            </w:r>
            <w:r>
              <w:rPr>
                <w:spacing w:val="-5"/>
                <w:sz w:val="20"/>
              </w:rPr>
              <w:t> </w:t>
            </w:r>
            <w:r>
              <w:rPr>
                <w:sz w:val="20"/>
              </w:rPr>
              <w:t>доза</w:t>
            </w:r>
            <w:r>
              <w:rPr>
                <w:spacing w:val="-3"/>
                <w:sz w:val="20"/>
              </w:rPr>
              <w:t> </w:t>
            </w:r>
            <w:r>
              <w:rPr>
                <w:sz w:val="20"/>
              </w:rPr>
              <w:t>200</w:t>
            </w:r>
            <w:r>
              <w:rPr>
                <w:spacing w:val="-3"/>
                <w:sz w:val="20"/>
              </w:rPr>
              <w:t> </w:t>
            </w:r>
            <w:r>
              <w:rPr>
                <w:sz w:val="20"/>
              </w:rPr>
              <w:t>мг/сутки)</w:t>
            </w:r>
            <w:r>
              <w:rPr>
                <w:spacing w:val="1"/>
                <w:sz w:val="20"/>
              </w:rPr>
              <w:t> </w:t>
            </w:r>
            <w:r>
              <w:rPr>
                <w:sz w:val="20"/>
              </w:rPr>
              <w:t>–</w:t>
            </w:r>
            <w:r>
              <w:rPr>
                <w:spacing w:val="-3"/>
                <w:sz w:val="20"/>
              </w:rPr>
              <w:t> </w:t>
            </w:r>
            <w:r>
              <w:rPr>
                <w:sz w:val="20"/>
              </w:rPr>
              <w:t>4</w:t>
            </w:r>
            <w:r>
              <w:rPr>
                <w:spacing w:val="-3"/>
                <w:sz w:val="20"/>
              </w:rPr>
              <w:t> </w:t>
            </w:r>
            <w:r>
              <w:rPr>
                <w:spacing w:val="-2"/>
                <w:sz w:val="20"/>
              </w:rPr>
              <w:t>день;</w:t>
            </w:r>
          </w:p>
          <w:p>
            <w:pPr>
              <w:pStyle w:val="TableParagraph"/>
              <w:spacing w:before="12"/>
              <w:ind w:left="99"/>
              <w:rPr>
                <w:sz w:val="20"/>
              </w:rPr>
            </w:pPr>
            <w:r>
              <w:rPr>
                <w:sz w:val="20"/>
              </w:rPr>
              <w:t>−</w:t>
            </w:r>
            <w:r>
              <w:rPr>
                <w:spacing w:val="-4"/>
                <w:sz w:val="20"/>
              </w:rPr>
              <w:t> </w:t>
            </w:r>
            <w:r>
              <w:rPr>
                <w:sz w:val="20"/>
              </w:rPr>
              <w:t>100</w:t>
            </w:r>
            <w:r>
              <w:rPr>
                <w:spacing w:val="-6"/>
                <w:sz w:val="20"/>
              </w:rPr>
              <w:t> </w:t>
            </w:r>
            <w:r>
              <w:rPr>
                <w:sz w:val="20"/>
              </w:rPr>
              <w:t>мг</w:t>
            </w:r>
            <w:r>
              <w:rPr>
                <w:spacing w:val="-5"/>
                <w:sz w:val="20"/>
              </w:rPr>
              <w:t> </w:t>
            </w:r>
            <w:r>
              <w:rPr>
                <w:sz w:val="20"/>
              </w:rPr>
              <w:t>однократно</w:t>
            </w:r>
            <w:r>
              <w:rPr>
                <w:spacing w:val="-3"/>
                <w:sz w:val="20"/>
              </w:rPr>
              <w:t> </w:t>
            </w:r>
            <w:r>
              <w:rPr>
                <w:sz w:val="20"/>
              </w:rPr>
              <w:t>на</w:t>
            </w:r>
            <w:r>
              <w:rPr>
                <w:spacing w:val="-4"/>
                <w:sz w:val="20"/>
              </w:rPr>
              <w:t> </w:t>
            </w:r>
            <w:r>
              <w:rPr>
                <w:sz w:val="20"/>
              </w:rPr>
              <w:t>5</w:t>
            </w:r>
            <w:r>
              <w:rPr>
                <w:spacing w:val="-3"/>
                <w:sz w:val="20"/>
              </w:rPr>
              <w:t> </w:t>
            </w:r>
            <w:r>
              <w:rPr>
                <w:spacing w:val="-4"/>
                <w:sz w:val="20"/>
              </w:rPr>
              <w:t>день.</w:t>
            </w:r>
          </w:p>
          <w:p>
            <w:pPr>
              <w:pStyle w:val="TableParagraph"/>
              <w:spacing w:line="222" w:lineRule="exact" w:before="14"/>
              <w:ind w:left="99"/>
              <w:rPr>
                <w:sz w:val="20"/>
              </w:rPr>
            </w:pPr>
            <w:r>
              <w:rPr>
                <w:sz w:val="20"/>
              </w:rPr>
              <w:t>Для</w:t>
            </w:r>
            <w:r>
              <w:rPr>
                <w:spacing w:val="-7"/>
                <w:sz w:val="20"/>
              </w:rPr>
              <w:t> </w:t>
            </w:r>
            <w:r>
              <w:rPr>
                <w:sz w:val="20"/>
              </w:rPr>
              <w:t>внутривенного</w:t>
            </w:r>
            <w:r>
              <w:rPr>
                <w:spacing w:val="-5"/>
                <w:sz w:val="20"/>
              </w:rPr>
              <w:t> </w:t>
            </w:r>
            <w:r>
              <w:rPr>
                <w:sz w:val="20"/>
              </w:rPr>
              <w:t>введения</w:t>
            </w:r>
            <w:r>
              <w:rPr>
                <w:spacing w:val="-6"/>
                <w:sz w:val="20"/>
              </w:rPr>
              <w:t> </w:t>
            </w:r>
            <w:r>
              <w:rPr>
                <w:sz w:val="20"/>
              </w:rPr>
              <w:t>100</w:t>
            </w:r>
            <w:r>
              <w:rPr>
                <w:spacing w:val="-5"/>
                <w:sz w:val="20"/>
              </w:rPr>
              <w:t> </w:t>
            </w:r>
            <w:r>
              <w:rPr>
                <w:sz w:val="20"/>
              </w:rPr>
              <w:t>мг/0,67мл</w:t>
            </w:r>
            <w:r>
              <w:rPr>
                <w:spacing w:val="-7"/>
                <w:sz w:val="20"/>
              </w:rPr>
              <w:t> </w:t>
            </w:r>
            <w:r>
              <w:rPr>
                <w:sz w:val="20"/>
              </w:rPr>
              <w:t>Анакинры</w:t>
            </w:r>
            <w:r>
              <w:rPr>
                <w:spacing w:val="-5"/>
                <w:sz w:val="20"/>
              </w:rPr>
              <w:t> </w:t>
            </w:r>
            <w:r>
              <w:rPr>
                <w:sz w:val="20"/>
              </w:rPr>
              <w:t>разводят</w:t>
            </w:r>
            <w:r>
              <w:rPr>
                <w:spacing w:val="-7"/>
                <w:sz w:val="20"/>
              </w:rPr>
              <w:t> </w:t>
            </w:r>
            <w:r>
              <w:rPr>
                <w:sz w:val="20"/>
              </w:rPr>
              <w:t>в</w:t>
            </w:r>
            <w:r>
              <w:rPr>
                <w:spacing w:val="-6"/>
                <w:sz w:val="20"/>
              </w:rPr>
              <w:t> </w:t>
            </w:r>
            <w:r>
              <w:rPr>
                <w:sz w:val="20"/>
              </w:rPr>
              <w:t>100</w:t>
            </w:r>
            <w:r>
              <w:rPr>
                <w:spacing w:val="-5"/>
                <w:sz w:val="20"/>
              </w:rPr>
              <w:t> </w:t>
            </w:r>
            <w:r>
              <w:rPr>
                <w:sz w:val="20"/>
              </w:rPr>
              <w:t>мл</w:t>
            </w:r>
            <w:r>
              <w:rPr>
                <w:spacing w:val="-7"/>
                <w:sz w:val="20"/>
              </w:rPr>
              <w:t> </w:t>
            </w:r>
            <w:r>
              <w:rPr>
                <w:sz w:val="20"/>
              </w:rPr>
              <w:t>0,9%</w:t>
            </w:r>
            <w:r>
              <w:rPr>
                <w:spacing w:val="-6"/>
                <w:sz w:val="20"/>
              </w:rPr>
              <w:t> </w:t>
            </w:r>
            <w:r>
              <w:rPr>
                <w:sz w:val="20"/>
              </w:rPr>
              <w:t>раствора</w:t>
            </w:r>
            <w:r>
              <w:rPr>
                <w:spacing w:val="-6"/>
                <w:sz w:val="20"/>
              </w:rPr>
              <w:t> </w:t>
            </w:r>
            <w:r>
              <w:rPr>
                <w:spacing w:val="-2"/>
                <w:sz w:val="20"/>
              </w:rPr>
              <w:t>NaCl.</w:t>
            </w:r>
          </w:p>
        </w:tc>
      </w:tr>
    </w:tbl>
    <w:p>
      <w:pPr>
        <w:pStyle w:val="BodyText"/>
        <w:spacing w:before="229"/>
        <w:ind w:left="0"/>
        <w:jc w:val="left"/>
        <w:rPr>
          <w:sz w:val="22"/>
        </w:rPr>
      </w:pPr>
    </w:p>
    <w:p>
      <w:pPr>
        <w:spacing w:before="0"/>
        <w:ind w:left="0" w:right="15" w:firstLine="0"/>
        <w:jc w:val="center"/>
        <w:rPr>
          <w:rFonts w:ascii="Calibri"/>
          <w:sz w:val="22"/>
        </w:rPr>
      </w:pPr>
      <w:r>
        <w:rPr>
          <w:rFonts w:ascii="Calibri"/>
          <w:spacing w:val="-5"/>
          <w:sz w:val="22"/>
        </w:rPr>
        <w:t>219</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spacing w:before="1"/>
        <w:ind w:left="0"/>
        <w:jc w:val="left"/>
        <w:rPr>
          <w:sz w:val="12"/>
        </w:rPr>
      </w:pPr>
    </w:p>
    <w:tbl>
      <w:tblPr>
        <w:tblW w:w="0" w:type="auto"/>
        <w:jc w:val="left"/>
        <w:tblInd w:w="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31"/>
        <w:gridCol w:w="447"/>
        <w:gridCol w:w="3664"/>
        <w:gridCol w:w="9502"/>
      </w:tblGrid>
      <w:tr>
        <w:trPr>
          <w:trHeight w:val="474" w:hRule="atLeast"/>
        </w:trPr>
        <w:tc>
          <w:tcPr>
            <w:tcW w:w="1131" w:type="dxa"/>
            <w:vMerge w:val="restart"/>
          </w:tcPr>
          <w:p>
            <w:pPr>
              <w:pStyle w:val="TableParagraph"/>
              <w:rPr>
                <w:sz w:val="18"/>
              </w:rPr>
            </w:pPr>
          </w:p>
        </w:tc>
        <w:tc>
          <w:tcPr>
            <w:tcW w:w="447" w:type="dxa"/>
            <w:vMerge w:val="restart"/>
          </w:tcPr>
          <w:p>
            <w:pPr>
              <w:pStyle w:val="TableParagraph"/>
              <w:rPr>
                <w:sz w:val="20"/>
              </w:rPr>
            </w:pPr>
          </w:p>
          <w:p>
            <w:pPr>
              <w:pStyle w:val="TableParagraph"/>
              <w:spacing w:before="151"/>
              <w:rPr>
                <w:sz w:val="20"/>
              </w:rPr>
            </w:pPr>
          </w:p>
          <w:p>
            <w:pPr>
              <w:pStyle w:val="TableParagraph"/>
              <w:ind w:left="8" w:right="1"/>
              <w:jc w:val="center"/>
              <w:rPr>
                <w:sz w:val="20"/>
              </w:rPr>
            </w:pPr>
            <w:bookmarkStart w:name="221" w:id="263"/>
            <w:bookmarkEnd w:id="263"/>
            <w:r>
              <w:rPr/>
            </w:r>
            <w:r>
              <w:rPr>
                <w:spacing w:val="-10"/>
                <w:sz w:val="20"/>
              </w:rPr>
              <w:t>3</w:t>
            </w:r>
          </w:p>
        </w:tc>
        <w:tc>
          <w:tcPr>
            <w:tcW w:w="3664" w:type="dxa"/>
          </w:tcPr>
          <w:p>
            <w:pPr>
              <w:pStyle w:val="TableParagraph"/>
              <w:spacing w:before="125"/>
              <w:ind w:left="114"/>
              <w:rPr>
                <w:sz w:val="20"/>
              </w:rPr>
            </w:pPr>
            <w:r>
              <w:rPr>
                <w:spacing w:val="-2"/>
                <w:sz w:val="20"/>
              </w:rPr>
              <w:t>Метилпреднизолон</w:t>
            </w:r>
          </w:p>
        </w:tc>
        <w:tc>
          <w:tcPr>
            <w:tcW w:w="9502" w:type="dxa"/>
          </w:tcPr>
          <w:p>
            <w:pPr>
              <w:pStyle w:val="TableParagraph"/>
              <w:spacing w:line="230" w:lineRule="atLeast"/>
              <w:ind w:left="99"/>
              <w:rPr>
                <w:sz w:val="20"/>
              </w:rPr>
            </w:pPr>
            <w:r>
              <w:rPr>
                <w:sz w:val="20"/>
              </w:rPr>
              <w:t>60</w:t>
            </w:r>
            <w:r>
              <w:rPr>
                <w:spacing w:val="-3"/>
                <w:sz w:val="20"/>
              </w:rPr>
              <w:t> </w:t>
            </w:r>
            <w:r>
              <w:rPr>
                <w:sz w:val="20"/>
              </w:rPr>
              <w:t>мг/введение/внутривенно</w:t>
            </w:r>
            <w:r>
              <w:rPr>
                <w:spacing w:val="-3"/>
                <w:sz w:val="20"/>
              </w:rPr>
              <w:t> </w:t>
            </w:r>
            <w:r>
              <w:rPr>
                <w:sz w:val="20"/>
              </w:rPr>
              <w:t>каждые</w:t>
            </w:r>
            <w:r>
              <w:rPr>
                <w:spacing w:val="-4"/>
                <w:sz w:val="20"/>
              </w:rPr>
              <w:t> </w:t>
            </w:r>
            <w:r>
              <w:rPr>
                <w:sz w:val="20"/>
              </w:rPr>
              <w:t>6-8</w:t>
            </w:r>
            <w:r>
              <w:rPr>
                <w:spacing w:val="-3"/>
                <w:sz w:val="20"/>
              </w:rPr>
              <w:t> </w:t>
            </w:r>
            <w:r>
              <w:rPr>
                <w:sz w:val="20"/>
              </w:rPr>
              <w:t>ч.</w:t>
            </w:r>
            <w:r>
              <w:rPr>
                <w:spacing w:val="-4"/>
                <w:sz w:val="20"/>
              </w:rPr>
              <w:t> </w:t>
            </w:r>
            <w:r>
              <w:rPr>
                <w:sz w:val="20"/>
              </w:rPr>
              <w:t>Максимальная</w:t>
            </w:r>
            <w:r>
              <w:rPr>
                <w:spacing w:val="-5"/>
                <w:sz w:val="20"/>
              </w:rPr>
              <w:t> </w:t>
            </w:r>
            <w:r>
              <w:rPr>
                <w:sz w:val="20"/>
              </w:rPr>
              <w:t>доза</w:t>
            </w:r>
            <w:r>
              <w:rPr>
                <w:spacing w:val="-4"/>
                <w:sz w:val="20"/>
              </w:rPr>
              <w:t> </w:t>
            </w:r>
            <w:r>
              <w:rPr>
                <w:sz w:val="20"/>
              </w:rPr>
              <w:t>применяется</w:t>
            </w:r>
            <w:r>
              <w:rPr>
                <w:spacing w:val="-5"/>
                <w:sz w:val="20"/>
              </w:rPr>
              <w:t> </w:t>
            </w:r>
            <w:r>
              <w:rPr>
                <w:sz w:val="20"/>
              </w:rPr>
              <w:t>в</w:t>
            </w:r>
            <w:r>
              <w:rPr>
                <w:spacing w:val="-2"/>
                <w:sz w:val="20"/>
              </w:rPr>
              <w:t> </w:t>
            </w:r>
            <w:r>
              <w:rPr>
                <w:sz w:val="20"/>
              </w:rPr>
              <w:t>течение</w:t>
            </w:r>
            <w:r>
              <w:rPr>
                <w:spacing w:val="-4"/>
                <w:sz w:val="20"/>
              </w:rPr>
              <w:t> </w:t>
            </w:r>
            <w:r>
              <w:rPr>
                <w:sz w:val="20"/>
              </w:rPr>
              <w:t>3-4</w:t>
            </w:r>
            <w:r>
              <w:rPr>
                <w:spacing w:val="-3"/>
                <w:sz w:val="20"/>
              </w:rPr>
              <w:t> </w:t>
            </w:r>
            <w:r>
              <w:rPr>
                <w:sz w:val="20"/>
              </w:rPr>
              <w:t>суток.</w:t>
            </w:r>
            <w:r>
              <w:rPr>
                <w:spacing w:val="-4"/>
                <w:sz w:val="20"/>
              </w:rPr>
              <w:t> </w:t>
            </w:r>
            <w:r>
              <w:rPr>
                <w:sz w:val="20"/>
              </w:rPr>
              <w:t>Доза</w:t>
            </w:r>
            <w:r>
              <w:rPr>
                <w:spacing w:val="-4"/>
                <w:sz w:val="20"/>
              </w:rPr>
              <w:t> </w:t>
            </w:r>
            <w:r>
              <w:rPr>
                <w:sz w:val="20"/>
              </w:rPr>
              <w:t>ГКС снижается на 20-25% на введение каждые 1-2 суток, далее на 50% каждые 1-2 суток до полной отмены.</w:t>
            </w:r>
          </w:p>
        </w:tc>
      </w:tr>
      <w:tr>
        <w:trPr>
          <w:trHeight w:val="249"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17" w:lineRule="exact" w:before="12"/>
              <w:ind w:left="104"/>
              <w:rPr>
                <w:sz w:val="20"/>
              </w:rPr>
            </w:pPr>
            <w:r>
              <w:rPr>
                <w:spacing w:val="-5"/>
                <w:sz w:val="20"/>
              </w:rPr>
              <w:t>или</w:t>
            </w:r>
          </w:p>
        </w:tc>
      </w:tr>
      <w:tr>
        <w:trPr>
          <w:trHeight w:val="705"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9"/>
              <w:rPr>
                <w:sz w:val="20"/>
              </w:rPr>
            </w:pPr>
          </w:p>
          <w:p>
            <w:pPr>
              <w:pStyle w:val="TableParagraph"/>
              <w:ind w:left="114"/>
              <w:rPr>
                <w:sz w:val="20"/>
              </w:rPr>
            </w:pPr>
            <w:r>
              <w:rPr>
                <w:spacing w:val="-2"/>
                <w:sz w:val="20"/>
              </w:rPr>
              <w:t>Дексаметазон</w:t>
            </w:r>
          </w:p>
        </w:tc>
        <w:tc>
          <w:tcPr>
            <w:tcW w:w="9502" w:type="dxa"/>
          </w:tcPr>
          <w:p>
            <w:pPr>
              <w:pStyle w:val="TableParagraph"/>
              <w:spacing w:line="230" w:lineRule="atLeast"/>
              <w:ind w:left="99" w:right="216"/>
              <w:rPr>
                <w:sz w:val="20"/>
              </w:rPr>
            </w:pPr>
            <w:r>
              <w:rPr>
                <w:sz w:val="20"/>
              </w:rPr>
              <w:t>16-24 мг/сутки внутривенно в зависимости от тяжести состояния пациента за 2 введения. Максимальная доза</w:t>
            </w:r>
            <w:r>
              <w:rPr>
                <w:spacing w:val="-4"/>
                <w:sz w:val="20"/>
              </w:rPr>
              <w:t> </w:t>
            </w:r>
            <w:r>
              <w:rPr>
                <w:sz w:val="20"/>
              </w:rPr>
              <w:t>применяется</w:t>
            </w:r>
            <w:r>
              <w:rPr>
                <w:spacing w:val="-4"/>
                <w:sz w:val="20"/>
              </w:rPr>
              <w:t> </w:t>
            </w:r>
            <w:r>
              <w:rPr>
                <w:sz w:val="20"/>
              </w:rPr>
              <w:t>в</w:t>
            </w:r>
            <w:r>
              <w:rPr>
                <w:spacing w:val="-2"/>
                <w:sz w:val="20"/>
              </w:rPr>
              <w:t> </w:t>
            </w:r>
            <w:r>
              <w:rPr>
                <w:sz w:val="20"/>
              </w:rPr>
              <w:t>течение</w:t>
            </w:r>
            <w:r>
              <w:rPr>
                <w:spacing w:val="-4"/>
                <w:sz w:val="20"/>
              </w:rPr>
              <w:t> </w:t>
            </w:r>
            <w:r>
              <w:rPr>
                <w:sz w:val="20"/>
              </w:rPr>
              <w:t>3-4</w:t>
            </w:r>
            <w:r>
              <w:rPr>
                <w:spacing w:val="-3"/>
                <w:sz w:val="20"/>
              </w:rPr>
              <w:t> </w:t>
            </w:r>
            <w:r>
              <w:rPr>
                <w:sz w:val="20"/>
              </w:rPr>
              <w:t>суток.</w:t>
            </w:r>
            <w:r>
              <w:rPr>
                <w:spacing w:val="-4"/>
                <w:sz w:val="20"/>
              </w:rPr>
              <w:t> </w:t>
            </w:r>
            <w:r>
              <w:rPr>
                <w:sz w:val="20"/>
              </w:rPr>
              <w:t>Доза</w:t>
            </w:r>
            <w:r>
              <w:rPr>
                <w:spacing w:val="-4"/>
                <w:sz w:val="20"/>
              </w:rPr>
              <w:t> </w:t>
            </w:r>
            <w:r>
              <w:rPr>
                <w:sz w:val="20"/>
              </w:rPr>
              <w:t>ГКС</w:t>
            </w:r>
            <w:r>
              <w:rPr>
                <w:spacing w:val="-4"/>
                <w:sz w:val="20"/>
              </w:rPr>
              <w:t> </w:t>
            </w:r>
            <w:r>
              <w:rPr>
                <w:sz w:val="20"/>
              </w:rPr>
              <w:t>снижается</w:t>
            </w:r>
            <w:r>
              <w:rPr>
                <w:spacing w:val="-4"/>
                <w:sz w:val="20"/>
              </w:rPr>
              <w:t> </w:t>
            </w:r>
            <w:r>
              <w:rPr>
                <w:sz w:val="20"/>
              </w:rPr>
              <w:t>на</w:t>
            </w:r>
            <w:r>
              <w:rPr>
                <w:spacing w:val="-4"/>
                <w:sz w:val="20"/>
              </w:rPr>
              <w:t> </w:t>
            </w:r>
            <w:r>
              <w:rPr>
                <w:sz w:val="20"/>
              </w:rPr>
              <w:t>20-25%</w:t>
            </w:r>
            <w:r>
              <w:rPr>
                <w:spacing w:val="-4"/>
                <w:sz w:val="20"/>
              </w:rPr>
              <w:t> </w:t>
            </w:r>
            <w:r>
              <w:rPr>
                <w:sz w:val="20"/>
              </w:rPr>
              <w:t>на</w:t>
            </w:r>
            <w:r>
              <w:rPr>
                <w:spacing w:val="-4"/>
                <w:sz w:val="20"/>
              </w:rPr>
              <w:t> </w:t>
            </w:r>
            <w:r>
              <w:rPr>
                <w:sz w:val="20"/>
              </w:rPr>
              <w:t>введение</w:t>
            </w:r>
            <w:r>
              <w:rPr>
                <w:spacing w:val="-2"/>
                <w:sz w:val="20"/>
              </w:rPr>
              <w:t> </w:t>
            </w:r>
            <w:r>
              <w:rPr>
                <w:sz w:val="20"/>
              </w:rPr>
              <w:t>каждые</w:t>
            </w:r>
            <w:r>
              <w:rPr>
                <w:spacing w:val="-4"/>
                <w:sz w:val="20"/>
              </w:rPr>
              <w:t> </w:t>
            </w:r>
            <w:r>
              <w:rPr>
                <w:sz w:val="20"/>
              </w:rPr>
              <w:t>1-2</w:t>
            </w:r>
            <w:r>
              <w:rPr>
                <w:spacing w:val="-3"/>
                <w:sz w:val="20"/>
              </w:rPr>
              <w:t> </w:t>
            </w:r>
            <w:r>
              <w:rPr>
                <w:sz w:val="20"/>
              </w:rPr>
              <w:t>суток,</w:t>
            </w:r>
            <w:r>
              <w:rPr>
                <w:spacing w:val="-4"/>
                <w:sz w:val="20"/>
              </w:rPr>
              <w:t> </w:t>
            </w:r>
            <w:r>
              <w:rPr>
                <w:sz w:val="20"/>
              </w:rPr>
              <w:t>далее на 50% каждые 1-2 суток до полной отмены.</w:t>
            </w:r>
          </w:p>
        </w:tc>
      </w:tr>
      <w:tr>
        <w:trPr>
          <w:trHeight w:val="251" w:hRule="atLeast"/>
        </w:trPr>
        <w:tc>
          <w:tcPr>
            <w:tcW w:w="1131" w:type="dxa"/>
            <w:vMerge/>
            <w:tcBorders>
              <w:top w:val="nil"/>
            </w:tcBorders>
          </w:tcPr>
          <w:p>
            <w:pPr>
              <w:rPr>
                <w:sz w:val="2"/>
                <w:szCs w:val="2"/>
              </w:rPr>
            </w:pPr>
          </w:p>
        </w:tc>
        <w:tc>
          <w:tcPr>
            <w:tcW w:w="447" w:type="dxa"/>
          </w:tcPr>
          <w:p>
            <w:pPr>
              <w:pStyle w:val="TableParagraph"/>
              <w:spacing w:line="218" w:lineRule="exact" w:before="13"/>
              <w:ind w:left="172"/>
              <w:rPr>
                <w:sz w:val="20"/>
              </w:rPr>
            </w:pPr>
            <w:r>
              <w:rPr>
                <w:spacing w:val="-10"/>
                <w:sz w:val="20"/>
              </w:rPr>
              <w:t>4</w:t>
            </w:r>
          </w:p>
        </w:tc>
        <w:tc>
          <w:tcPr>
            <w:tcW w:w="13166" w:type="dxa"/>
            <w:gridSpan w:val="2"/>
          </w:tcPr>
          <w:p>
            <w:pPr>
              <w:pStyle w:val="TableParagraph"/>
              <w:spacing w:line="218" w:lineRule="exact" w:before="13"/>
              <w:ind w:left="104"/>
              <w:rPr>
                <w:sz w:val="20"/>
              </w:rPr>
            </w:pPr>
            <w:r>
              <w:rPr>
                <w:sz w:val="20"/>
              </w:rPr>
              <w:t>Антикоагулянтный</w:t>
            </w:r>
            <w:r>
              <w:rPr>
                <w:spacing w:val="-10"/>
                <w:sz w:val="20"/>
              </w:rPr>
              <w:t> </w:t>
            </w:r>
            <w:r>
              <w:rPr>
                <w:sz w:val="20"/>
              </w:rPr>
              <w:t>препарат</w:t>
            </w:r>
            <w:r>
              <w:rPr>
                <w:spacing w:val="-10"/>
                <w:sz w:val="20"/>
              </w:rPr>
              <w:t> </w:t>
            </w:r>
            <w:r>
              <w:rPr>
                <w:sz w:val="20"/>
              </w:rPr>
              <w:t>для</w:t>
            </w:r>
            <w:r>
              <w:rPr>
                <w:spacing w:val="-9"/>
                <w:sz w:val="20"/>
              </w:rPr>
              <w:t> </w:t>
            </w:r>
            <w:r>
              <w:rPr>
                <w:sz w:val="20"/>
              </w:rPr>
              <w:t>парентерального</w:t>
            </w:r>
            <w:r>
              <w:rPr>
                <w:spacing w:val="-8"/>
                <w:sz w:val="20"/>
              </w:rPr>
              <w:t> </w:t>
            </w:r>
            <w:r>
              <w:rPr>
                <w:sz w:val="20"/>
              </w:rPr>
              <w:t>введения</w:t>
            </w:r>
            <w:r>
              <w:rPr>
                <w:spacing w:val="-10"/>
                <w:sz w:val="20"/>
              </w:rPr>
              <w:t> </w:t>
            </w:r>
            <w:r>
              <w:rPr>
                <w:sz w:val="20"/>
              </w:rPr>
              <w:t>(НМГ/НФГ</w:t>
            </w:r>
            <w:r>
              <w:rPr>
                <w:spacing w:val="-9"/>
                <w:sz w:val="20"/>
              </w:rPr>
              <w:t> </w:t>
            </w:r>
            <w:r>
              <w:rPr>
                <w:sz w:val="20"/>
              </w:rPr>
              <w:t>в</w:t>
            </w:r>
            <w:r>
              <w:rPr>
                <w:spacing w:val="-7"/>
                <w:sz w:val="20"/>
              </w:rPr>
              <w:t> </w:t>
            </w:r>
            <w:r>
              <w:rPr>
                <w:sz w:val="20"/>
              </w:rPr>
              <w:t>профилактических</w:t>
            </w:r>
            <w:r>
              <w:rPr>
                <w:spacing w:val="-8"/>
                <w:sz w:val="20"/>
              </w:rPr>
              <w:t> </w:t>
            </w:r>
            <w:r>
              <w:rPr>
                <w:sz w:val="20"/>
              </w:rPr>
              <w:t>дозах),</w:t>
            </w:r>
            <w:r>
              <w:rPr>
                <w:spacing w:val="-9"/>
                <w:sz w:val="20"/>
              </w:rPr>
              <w:t> </w:t>
            </w:r>
            <w:r>
              <w:rPr>
                <w:sz w:val="20"/>
              </w:rPr>
              <w:t>см.</w:t>
            </w:r>
            <w:r>
              <w:rPr>
                <w:spacing w:val="-9"/>
                <w:sz w:val="20"/>
              </w:rPr>
              <w:t> </w:t>
            </w:r>
            <w:r>
              <w:rPr>
                <w:sz w:val="20"/>
              </w:rPr>
              <w:t>Приложение</w:t>
            </w:r>
            <w:r>
              <w:rPr>
                <w:spacing w:val="-8"/>
                <w:sz w:val="20"/>
              </w:rPr>
              <w:t> </w:t>
            </w:r>
            <w:r>
              <w:rPr>
                <w:sz w:val="20"/>
              </w:rPr>
              <w:t>7-</w:t>
            </w:r>
            <w:r>
              <w:rPr>
                <w:spacing w:val="-10"/>
                <w:sz w:val="20"/>
              </w:rPr>
              <w:t>1</w:t>
            </w:r>
          </w:p>
        </w:tc>
      </w:tr>
      <w:tr>
        <w:trPr>
          <w:trHeight w:val="249" w:hRule="atLeast"/>
        </w:trPr>
        <w:tc>
          <w:tcPr>
            <w:tcW w:w="1131" w:type="dxa"/>
            <w:vMerge/>
            <w:tcBorders>
              <w:top w:val="nil"/>
            </w:tcBorders>
          </w:tcPr>
          <w:p>
            <w:pPr>
              <w:rPr>
                <w:sz w:val="2"/>
                <w:szCs w:val="2"/>
              </w:rPr>
            </w:pPr>
          </w:p>
        </w:tc>
        <w:tc>
          <w:tcPr>
            <w:tcW w:w="447" w:type="dxa"/>
          </w:tcPr>
          <w:p>
            <w:pPr>
              <w:pStyle w:val="TableParagraph"/>
              <w:spacing w:line="219" w:lineRule="exact" w:before="11"/>
              <w:ind w:left="172"/>
              <w:rPr>
                <w:sz w:val="20"/>
              </w:rPr>
            </w:pPr>
            <w:r>
              <w:rPr>
                <w:spacing w:val="-10"/>
                <w:sz w:val="20"/>
              </w:rPr>
              <w:t>5</w:t>
            </w:r>
          </w:p>
        </w:tc>
        <w:tc>
          <w:tcPr>
            <w:tcW w:w="13166" w:type="dxa"/>
            <w:gridSpan w:val="2"/>
          </w:tcPr>
          <w:p>
            <w:pPr>
              <w:pStyle w:val="TableParagraph"/>
              <w:spacing w:line="219" w:lineRule="exact" w:before="11"/>
              <w:ind w:left="104"/>
              <w:rPr>
                <w:sz w:val="20"/>
              </w:rPr>
            </w:pPr>
            <w:r>
              <w:rPr>
                <w:sz w:val="20"/>
              </w:rPr>
              <w:t>При</w:t>
            </w:r>
            <w:r>
              <w:rPr>
                <w:spacing w:val="-8"/>
                <w:sz w:val="20"/>
              </w:rPr>
              <w:t> </w:t>
            </w:r>
            <w:r>
              <w:rPr>
                <w:sz w:val="20"/>
              </w:rPr>
              <w:t>лихорадке</w:t>
            </w:r>
            <w:r>
              <w:rPr>
                <w:spacing w:val="-6"/>
                <w:sz w:val="20"/>
              </w:rPr>
              <w:t> </w:t>
            </w:r>
            <w:r>
              <w:rPr>
                <w:sz w:val="20"/>
              </w:rPr>
              <w:t>(t</w:t>
            </w:r>
            <w:r>
              <w:rPr>
                <w:spacing w:val="-7"/>
                <w:sz w:val="20"/>
              </w:rPr>
              <w:t> </w:t>
            </w:r>
            <w:r>
              <w:rPr>
                <w:sz w:val="20"/>
              </w:rPr>
              <w:t>&gt;</w:t>
            </w:r>
            <w:r>
              <w:rPr>
                <w:spacing w:val="-6"/>
                <w:sz w:val="20"/>
              </w:rPr>
              <w:t> </w:t>
            </w:r>
            <w:r>
              <w:rPr>
                <w:sz w:val="20"/>
              </w:rPr>
              <w:t>38,0</w:t>
            </w:r>
            <w:r>
              <w:rPr>
                <w:spacing w:val="-6"/>
                <w:sz w:val="20"/>
              </w:rPr>
              <w:t> </w:t>
            </w:r>
            <w:r>
              <w:rPr>
                <w:sz w:val="20"/>
              </w:rPr>
              <w:t>°С)</w:t>
            </w:r>
            <w:r>
              <w:rPr>
                <w:spacing w:val="-6"/>
                <w:sz w:val="20"/>
              </w:rPr>
              <w:t> </w:t>
            </w:r>
            <w:r>
              <w:rPr>
                <w:sz w:val="20"/>
              </w:rPr>
              <w:t>более</w:t>
            </w:r>
            <w:r>
              <w:rPr>
                <w:spacing w:val="-7"/>
                <w:sz w:val="20"/>
              </w:rPr>
              <w:t> </w:t>
            </w:r>
            <w:r>
              <w:rPr>
                <w:sz w:val="20"/>
              </w:rPr>
              <w:t>3</w:t>
            </w:r>
            <w:r>
              <w:rPr>
                <w:spacing w:val="-5"/>
                <w:sz w:val="20"/>
              </w:rPr>
              <w:t> </w:t>
            </w:r>
            <w:r>
              <w:rPr>
                <w:sz w:val="20"/>
              </w:rPr>
              <w:t>дней</w:t>
            </w:r>
            <w:r>
              <w:rPr>
                <w:spacing w:val="-7"/>
                <w:sz w:val="20"/>
              </w:rPr>
              <w:t> </w:t>
            </w:r>
            <w:r>
              <w:rPr>
                <w:sz w:val="20"/>
              </w:rPr>
              <w:t>назначается</w:t>
            </w:r>
            <w:r>
              <w:rPr>
                <w:spacing w:val="-7"/>
                <w:sz w:val="20"/>
              </w:rPr>
              <w:t> </w:t>
            </w:r>
            <w:r>
              <w:rPr>
                <w:sz w:val="20"/>
              </w:rPr>
              <w:t>антибактериальная,</w:t>
            </w:r>
            <w:r>
              <w:rPr>
                <w:spacing w:val="-7"/>
                <w:sz w:val="20"/>
              </w:rPr>
              <w:t> </w:t>
            </w:r>
            <w:r>
              <w:rPr>
                <w:sz w:val="20"/>
              </w:rPr>
              <w:t>антимикотическая</w:t>
            </w:r>
            <w:r>
              <w:rPr>
                <w:spacing w:val="-4"/>
                <w:sz w:val="20"/>
              </w:rPr>
              <w:t> </w:t>
            </w:r>
            <w:r>
              <w:rPr>
                <w:sz w:val="20"/>
              </w:rPr>
              <w:t>терапия</w:t>
            </w:r>
            <w:r>
              <w:rPr>
                <w:spacing w:val="-7"/>
                <w:sz w:val="20"/>
              </w:rPr>
              <w:t> </w:t>
            </w:r>
            <w:r>
              <w:rPr>
                <w:sz w:val="20"/>
              </w:rPr>
              <w:t>по</w:t>
            </w:r>
            <w:r>
              <w:rPr>
                <w:spacing w:val="-6"/>
                <w:sz w:val="20"/>
              </w:rPr>
              <w:t> </w:t>
            </w:r>
            <w:r>
              <w:rPr>
                <w:sz w:val="20"/>
              </w:rPr>
              <w:t>показаниям</w:t>
            </w:r>
            <w:r>
              <w:rPr>
                <w:spacing w:val="-6"/>
                <w:sz w:val="20"/>
              </w:rPr>
              <w:t> </w:t>
            </w:r>
            <w:r>
              <w:rPr>
                <w:sz w:val="20"/>
              </w:rPr>
              <w:t>в</w:t>
            </w:r>
            <w:r>
              <w:rPr>
                <w:spacing w:val="-7"/>
                <w:sz w:val="20"/>
              </w:rPr>
              <w:t> </w:t>
            </w:r>
            <w:r>
              <w:rPr>
                <w:sz w:val="20"/>
              </w:rPr>
              <w:t>соответствии</w:t>
            </w:r>
            <w:r>
              <w:rPr>
                <w:spacing w:val="3"/>
                <w:sz w:val="20"/>
              </w:rPr>
              <w:t> </w:t>
            </w:r>
            <w:r>
              <w:rPr>
                <w:sz w:val="20"/>
              </w:rPr>
              <w:t>с</w:t>
            </w:r>
            <w:r>
              <w:rPr>
                <w:spacing w:val="-6"/>
                <w:sz w:val="20"/>
              </w:rPr>
              <w:t> </w:t>
            </w:r>
            <w:r>
              <w:rPr>
                <w:sz w:val="20"/>
              </w:rPr>
              <w:t>разделом</w:t>
            </w:r>
            <w:r>
              <w:rPr>
                <w:spacing w:val="-6"/>
                <w:sz w:val="20"/>
              </w:rPr>
              <w:t> </w:t>
            </w:r>
            <w:r>
              <w:rPr>
                <w:spacing w:val="-4"/>
                <w:sz w:val="20"/>
              </w:rPr>
              <w:t>5.4.</w:t>
            </w:r>
          </w:p>
        </w:tc>
      </w:tr>
      <w:tr>
        <w:trPr>
          <w:trHeight w:val="733" w:hRule="atLeast"/>
        </w:trPr>
        <w:tc>
          <w:tcPr>
            <w:tcW w:w="1131" w:type="dxa"/>
            <w:vMerge w:val="restart"/>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42"/>
              <w:rPr>
                <w:sz w:val="20"/>
              </w:rPr>
            </w:pPr>
          </w:p>
          <w:p>
            <w:pPr>
              <w:pStyle w:val="TableParagraph"/>
              <w:ind w:left="106"/>
              <w:rPr>
                <w:b/>
                <w:sz w:val="20"/>
              </w:rPr>
            </w:pPr>
            <w:r>
              <w:rPr>
                <w:b/>
                <w:sz w:val="20"/>
              </w:rPr>
              <w:t>Схема</w:t>
            </w:r>
            <w:r>
              <w:rPr>
                <w:b/>
                <w:spacing w:val="-2"/>
                <w:sz w:val="20"/>
              </w:rPr>
              <w:t> </w:t>
            </w:r>
            <w:r>
              <w:rPr>
                <w:b/>
                <w:sz w:val="20"/>
              </w:rPr>
              <w:t>2</w:t>
            </w:r>
            <w:r>
              <w:rPr>
                <w:b/>
                <w:spacing w:val="-1"/>
                <w:sz w:val="20"/>
              </w:rPr>
              <w:t> </w:t>
            </w:r>
            <w:r>
              <w:rPr>
                <w:b/>
                <w:spacing w:val="-10"/>
                <w:sz w:val="20"/>
                <w:vertAlign w:val="superscript"/>
              </w:rPr>
              <w:t>1</w:t>
            </w:r>
          </w:p>
        </w:tc>
        <w:tc>
          <w:tcPr>
            <w:tcW w:w="447" w:type="dxa"/>
            <w:vMerge w:val="restart"/>
          </w:tcPr>
          <w:p>
            <w:pPr>
              <w:pStyle w:val="TableParagraph"/>
              <w:spacing w:before="8"/>
              <w:ind w:left="7" w:right="8"/>
              <w:jc w:val="center"/>
              <w:rPr>
                <w:b/>
                <w:sz w:val="20"/>
              </w:rPr>
            </w:pPr>
            <w:r>
              <w:rPr>
                <w:b/>
                <w:spacing w:val="-10"/>
                <w:sz w:val="20"/>
              </w:rPr>
              <w:t>1</w:t>
            </w:r>
          </w:p>
        </w:tc>
        <w:tc>
          <w:tcPr>
            <w:tcW w:w="3664" w:type="dxa"/>
          </w:tcPr>
          <w:p>
            <w:pPr>
              <w:pStyle w:val="TableParagraph"/>
              <w:spacing w:before="22"/>
              <w:rPr>
                <w:sz w:val="20"/>
              </w:rPr>
            </w:pPr>
          </w:p>
          <w:p>
            <w:pPr>
              <w:pStyle w:val="TableParagraph"/>
              <w:ind w:left="114"/>
              <w:rPr>
                <w:sz w:val="20"/>
              </w:rPr>
            </w:pPr>
            <w:r>
              <w:rPr>
                <w:spacing w:val="-2"/>
                <w:sz w:val="20"/>
              </w:rPr>
              <w:t>Ремдесивир</w:t>
            </w:r>
          </w:p>
        </w:tc>
        <w:tc>
          <w:tcPr>
            <w:tcW w:w="9502" w:type="dxa"/>
          </w:tcPr>
          <w:p>
            <w:pPr>
              <w:pStyle w:val="TableParagraph"/>
              <w:spacing w:line="252" w:lineRule="auto" w:before="10"/>
              <w:ind w:left="109" w:right="3498"/>
              <w:rPr>
                <w:sz w:val="20"/>
              </w:rPr>
            </w:pPr>
            <w:r>
              <w:rPr>
                <w:sz w:val="20"/>
              </w:rPr>
              <w:t>1-й</w:t>
            </w:r>
            <w:r>
              <w:rPr>
                <w:spacing w:val="-5"/>
                <w:sz w:val="20"/>
              </w:rPr>
              <w:t> </w:t>
            </w:r>
            <w:r>
              <w:rPr>
                <w:sz w:val="20"/>
              </w:rPr>
              <w:t>день:</w:t>
            </w:r>
            <w:r>
              <w:rPr>
                <w:spacing w:val="-5"/>
                <w:sz w:val="20"/>
              </w:rPr>
              <w:t> </w:t>
            </w:r>
            <w:r>
              <w:rPr>
                <w:sz w:val="20"/>
              </w:rPr>
              <w:t>200</w:t>
            </w:r>
            <w:r>
              <w:rPr>
                <w:spacing w:val="-4"/>
                <w:sz w:val="20"/>
              </w:rPr>
              <w:t> </w:t>
            </w:r>
            <w:r>
              <w:rPr>
                <w:sz w:val="20"/>
              </w:rPr>
              <w:t>мг</w:t>
            </w:r>
            <w:r>
              <w:rPr>
                <w:spacing w:val="-5"/>
                <w:sz w:val="20"/>
              </w:rPr>
              <w:t> </w:t>
            </w:r>
            <w:r>
              <w:rPr>
                <w:sz w:val="20"/>
              </w:rPr>
              <w:t>(в</w:t>
            </w:r>
            <w:r>
              <w:rPr>
                <w:spacing w:val="-5"/>
                <w:sz w:val="20"/>
              </w:rPr>
              <w:t> </w:t>
            </w:r>
            <w:r>
              <w:rPr>
                <w:sz w:val="20"/>
              </w:rPr>
              <w:t>0,9</w:t>
            </w:r>
            <w:r>
              <w:rPr>
                <w:spacing w:val="-6"/>
                <w:sz w:val="20"/>
              </w:rPr>
              <w:t> </w:t>
            </w:r>
            <w:r>
              <w:rPr>
                <w:sz w:val="20"/>
              </w:rPr>
              <w:t>%</w:t>
            </w:r>
            <w:r>
              <w:rPr>
                <w:spacing w:val="-5"/>
                <w:sz w:val="20"/>
              </w:rPr>
              <w:t> </w:t>
            </w:r>
            <w:r>
              <w:rPr>
                <w:sz w:val="20"/>
              </w:rPr>
              <w:t>растворе</w:t>
            </w:r>
            <w:r>
              <w:rPr>
                <w:spacing w:val="-5"/>
                <w:sz w:val="20"/>
              </w:rPr>
              <w:t> </w:t>
            </w:r>
            <w:r>
              <w:rPr>
                <w:sz w:val="20"/>
              </w:rPr>
              <w:t>натрия</w:t>
            </w:r>
            <w:r>
              <w:rPr>
                <w:spacing w:val="-5"/>
                <w:sz w:val="20"/>
              </w:rPr>
              <w:t> </w:t>
            </w:r>
            <w:r>
              <w:rPr>
                <w:sz w:val="20"/>
              </w:rPr>
              <w:t>хлорида)</w:t>
            </w:r>
            <w:r>
              <w:rPr>
                <w:spacing w:val="-5"/>
                <w:sz w:val="20"/>
              </w:rPr>
              <w:t> </w:t>
            </w:r>
            <w:r>
              <w:rPr>
                <w:sz w:val="20"/>
              </w:rPr>
              <w:t>однократно</w:t>
            </w:r>
            <w:r>
              <w:rPr>
                <w:spacing w:val="-4"/>
                <w:sz w:val="20"/>
              </w:rPr>
              <w:t> </w:t>
            </w:r>
            <w:r>
              <w:rPr>
                <w:sz w:val="20"/>
              </w:rPr>
              <w:t>в/в. Со 2-го дня: 100 мг в/в 1 р/сут.</w:t>
            </w:r>
          </w:p>
          <w:p>
            <w:pPr>
              <w:pStyle w:val="TableParagraph"/>
              <w:spacing w:line="217" w:lineRule="exact" w:before="4"/>
              <w:ind w:left="99"/>
              <w:rPr>
                <w:sz w:val="20"/>
              </w:rPr>
            </w:pPr>
            <w:r>
              <w:rPr>
                <w:sz w:val="20"/>
              </w:rPr>
              <w:t>Общий</w:t>
            </w:r>
            <w:r>
              <w:rPr>
                <w:spacing w:val="-6"/>
                <w:sz w:val="20"/>
              </w:rPr>
              <w:t> </w:t>
            </w:r>
            <w:r>
              <w:rPr>
                <w:sz w:val="20"/>
              </w:rPr>
              <w:t>курс</w:t>
            </w:r>
            <w:r>
              <w:rPr>
                <w:spacing w:val="-4"/>
                <w:sz w:val="20"/>
              </w:rPr>
              <w:t> </w:t>
            </w:r>
            <w:r>
              <w:rPr>
                <w:sz w:val="20"/>
              </w:rPr>
              <w:t>не</w:t>
            </w:r>
            <w:r>
              <w:rPr>
                <w:spacing w:val="-4"/>
                <w:sz w:val="20"/>
              </w:rPr>
              <w:t> </w:t>
            </w:r>
            <w:r>
              <w:rPr>
                <w:sz w:val="20"/>
              </w:rPr>
              <w:t>более</w:t>
            </w:r>
            <w:r>
              <w:rPr>
                <w:spacing w:val="-4"/>
                <w:sz w:val="20"/>
              </w:rPr>
              <w:t> </w:t>
            </w:r>
            <w:r>
              <w:rPr>
                <w:sz w:val="20"/>
              </w:rPr>
              <w:t>10</w:t>
            </w:r>
            <w:r>
              <w:rPr>
                <w:spacing w:val="-3"/>
                <w:sz w:val="20"/>
              </w:rPr>
              <w:t> </w:t>
            </w:r>
            <w:r>
              <w:rPr>
                <w:spacing w:val="-4"/>
                <w:sz w:val="20"/>
              </w:rPr>
              <w:t>дней</w:t>
            </w:r>
          </w:p>
        </w:tc>
      </w:tr>
      <w:tr>
        <w:trPr>
          <w:trHeight w:val="241"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line="215" w:lineRule="exact" w:before="7"/>
              <w:ind w:left="104"/>
              <w:rPr>
                <w:sz w:val="20"/>
              </w:rPr>
            </w:pPr>
            <w:r>
              <w:rPr>
                <w:spacing w:val="-5"/>
                <w:sz w:val="20"/>
              </w:rPr>
              <w:t>или</w:t>
            </w:r>
          </w:p>
        </w:tc>
      </w:tr>
      <w:tr>
        <w:trPr>
          <w:trHeight w:val="719"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14"/>
              <w:rPr>
                <w:sz w:val="20"/>
              </w:rPr>
            </w:pPr>
          </w:p>
          <w:p>
            <w:pPr>
              <w:pStyle w:val="TableParagraph"/>
              <w:ind w:left="114"/>
              <w:rPr>
                <w:sz w:val="20"/>
              </w:rPr>
            </w:pPr>
            <w:r>
              <w:rPr>
                <w:spacing w:val="-2"/>
                <w:sz w:val="20"/>
              </w:rPr>
              <w:t>Фавипиравир</w:t>
            </w:r>
          </w:p>
        </w:tc>
        <w:tc>
          <w:tcPr>
            <w:tcW w:w="9502" w:type="dxa"/>
          </w:tcPr>
          <w:p>
            <w:pPr>
              <w:pStyle w:val="TableParagraph"/>
              <w:spacing w:before="9"/>
              <w:ind w:left="109"/>
              <w:rPr>
                <w:sz w:val="20"/>
              </w:rPr>
            </w:pPr>
            <w:r>
              <w:rPr>
                <w:sz w:val="20"/>
              </w:rPr>
              <w:t>Раствор</w:t>
            </w:r>
            <w:r>
              <w:rPr>
                <w:spacing w:val="-6"/>
                <w:sz w:val="20"/>
              </w:rPr>
              <w:t> </w:t>
            </w:r>
            <w:r>
              <w:rPr>
                <w:sz w:val="20"/>
              </w:rPr>
              <w:t>для</w:t>
            </w:r>
            <w:r>
              <w:rPr>
                <w:spacing w:val="-7"/>
                <w:sz w:val="20"/>
              </w:rPr>
              <w:t> </w:t>
            </w:r>
            <w:r>
              <w:rPr>
                <w:spacing w:val="-2"/>
                <w:sz w:val="20"/>
              </w:rPr>
              <w:t>инфузий:</w:t>
            </w:r>
          </w:p>
          <w:p>
            <w:pPr>
              <w:pStyle w:val="TableParagraph"/>
              <w:spacing w:line="230" w:lineRule="atLeast"/>
              <w:ind w:left="99"/>
              <w:rPr>
                <w:sz w:val="20"/>
              </w:rPr>
            </w:pPr>
            <w:r>
              <w:rPr>
                <w:sz w:val="20"/>
              </w:rPr>
              <w:t>внутривенно</w:t>
            </w:r>
            <w:r>
              <w:rPr>
                <w:spacing w:val="-2"/>
                <w:sz w:val="20"/>
              </w:rPr>
              <w:t> </w:t>
            </w:r>
            <w:r>
              <w:rPr>
                <w:sz w:val="20"/>
              </w:rPr>
              <w:t>капельно в</w:t>
            </w:r>
            <w:r>
              <w:rPr>
                <w:spacing w:val="-4"/>
                <w:sz w:val="20"/>
              </w:rPr>
              <w:t> </w:t>
            </w:r>
            <w:r>
              <w:rPr>
                <w:sz w:val="20"/>
              </w:rPr>
              <w:t>течение</w:t>
            </w:r>
            <w:r>
              <w:rPr>
                <w:spacing w:val="-3"/>
                <w:sz w:val="20"/>
              </w:rPr>
              <w:t> </w:t>
            </w:r>
            <w:r>
              <w:rPr>
                <w:sz w:val="20"/>
              </w:rPr>
              <w:t>2</w:t>
            </w:r>
            <w:r>
              <w:rPr>
                <w:spacing w:val="-2"/>
                <w:sz w:val="20"/>
              </w:rPr>
              <w:t> </w:t>
            </w:r>
            <w:r>
              <w:rPr>
                <w:sz w:val="20"/>
              </w:rPr>
              <w:t>часов</w:t>
            </w:r>
            <w:r>
              <w:rPr>
                <w:spacing w:val="-4"/>
                <w:sz w:val="20"/>
              </w:rPr>
              <w:t> </w:t>
            </w:r>
            <w:r>
              <w:rPr>
                <w:sz w:val="20"/>
              </w:rPr>
              <w:t>по</w:t>
            </w:r>
            <w:r>
              <w:rPr>
                <w:spacing w:val="-2"/>
                <w:sz w:val="20"/>
              </w:rPr>
              <w:t> </w:t>
            </w:r>
            <w:r>
              <w:rPr>
                <w:sz w:val="20"/>
              </w:rPr>
              <w:t>1600</w:t>
            </w:r>
            <w:r>
              <w:rPr>
                <w:spacing w:val="-2"/>
                <w:sz w:val="20"/>
              </w:rPr>
              <w:t> </w:t>
            </w:r>
            <w:r>
              <w:rPr>
                <w:sz w:val="20"/>
              </w:rPr>
              <w:t>мг</w:t>
            </w:r>
            <w:r>
              <w:rPr>
                <w:spacing w:val="-6"/>
                <w:sz w:val="20"/>
              </w:rPr>
              <w:t> </w:t>
            </w:r>
            <w:r>
              <w:rPr>
                <w:sz w:val="20"/>
              </w:rPr>
              <w:t>2</w:t>
            </w:r>
            <w:r>
              <w:rPr>
                <w:spacing w:val="-2"/>
                <w:sz w:val="20"/>
              </w:rPr>
              <w:t> </w:t>
            </w:r>
            <w:r>
              <w:rPr>
                <w:sz w:val="20"/>
              </w:rPr>
              <w:t>раза</w:t>
            </w:r>
            <w:r>
              <w:rPr>
                <w:spacing w:val="-3"/>
                <w:sz w:val="20"/>
              </w:rPr>
              <w:t> </w:t>
            </w:r>
            <w:r>
              <w:rPr>
                <w:sz w:val="20"/>
              </w:rPr>
              <w:t>в</w:t>
            </w:r>
            <w:r>
              <w:rPr>
                <w:spacing w:val="-4"/>
                <w:sz w:val="20"/>
              </w:rPr>
              <w:t> </w:t>
            </w:r>
            <w:r>
              <w:rPr>
                <w:sz w:val="20"/>
              </w:rPr>
              <w:t>1-й</w:t>
            </w:r>
            <w:r>
              <w:rPr>
                <w:spacing w:val="-4"/>
                <w:sz w:val="20"/>
              </w:rPr>
              <w:t> </w:t>
            </w:r>
            <w:r>
              <w:rPr>
                <w:sz w:val="20"/>
              </w:rPr>
              <w:t>день</w:t>
            </w:r>
            <w:r>
              <w:rPr>
                <w:spacing w:val="-3"/>
                <w:sz w:val="20"/>
              </w:rPr>
              <w:t> </w:t>
            </w:r>
            <w:r>
              <w:rPr>
                <w:sz w:val="20"/>
              </w:rPr>
              <w:t>терапии,</w:t>
            </w:r>
            <w:r>
              <w:rPr>
                <w:spacing w:val="-1"/>
                <w:sz w:val="20"/>
              </w:rPr>
              <w:t> </w:t>
            </w:r>
            <w:r>
              <w:rPr>
                <w:sz w:val="20"/>
              </w:rPr>
              <w:t>далее по</w:t>
            </w:r>
            <w:r>
              <w:rPr>
                <w:spacing w:val="-2"/>
                <w:sz w:val="20"/>
              </w:rPr>
              <w:t> </w:t>
            </w:r>
            <w:r>
              <w:rPr>
                <w:sz w:val="20"/>
              </w:rPr>
              <w:t>800</w:t>
            </w:r>
            <w:r>
              <w:rPr>
                <w:spacing w:val="-2"/>
                <w:sz w:val="20"/>
              </w:rPr>
              <w:t> </w:t>
            </w:r>
            <w:r>
              <w:rPr>
                <w:sz w:val="20"/>
              </w:rPr>
              <w:t>мг</w:t>
            </w:r>
            <w:r>
              <w:rPr>
                <w:spacing w:val="-6"/>
                <w:sz w:val="20"/>
              </w:rPr>
              <w:t> </w:t>
            </w:r>
            <w:r>
              <w:rPr>
                <w:sz w:val="20"/>
              </w:rPr>
              <w:t>2</w:t>
            </w:r>
            <w:r>
              <w:rPr>
                <w:spacing w:val="-2"/>
                <w:sz w:val="20"/>
              </w:rPr>
              <w:t> </w:t>
            </w:r>
            <w:r>
              <w:rPr>
                <w:sz w:val="20"/>
              </w:rPr>
              <w:t>раза</w:t>
            </w:r>
            <w:r>
              <w:rPr>
                <w:spacing w:val="-3"/>
                <w:sz w:val="20"/>
              </w:rPr>
              <w:t> </w:t>
            </w:r>
            <w:r>
              <w:rPr>
                <w:sz w:val="20"/>
              </w:rPr>
              <w:t>в</w:t>
            </w:r>
            <w:r>
              <w:rPr>
                <w:spacing w:val="-4"/>
                <w:sz w:val="20"/>
              </w:rPr>
              <w:t> </w:t>
            </w:r>
            <w:r>
              <w:rPr>
                <w:sz w:val="20"/>
              </w:rPr>
              <w:t>день, соответственно, со 2-го по 10-й день терапии</w:t>
            </w:r>
          </w:p>
        </w:tc>
      </w:tr>
      <w:tr>
        <w:trPr>
          <w:trHeight w:val="326"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47"/>
              <w:ind w:left="104"/>
              <w:rPr>
                <w:sz w:val="20"/>
              </w:rPr>
            </w:pPr>
            <w:r>
              <w:rPr>
                <w:spacing w:val="-5"/>
                <w:sz w:val="20"/>
              </w:rPr>
              <w:t>или</w:t>
            </w:r>
          </w:p>
        </w:tc>
      </w:tr>
      <w:tr>
        <w:trPr>
          <w:trHeight w:val="597"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line="235" w:lineRule="auto" w:before="48"/>
              <w:ind w:left="114" w:right="588"/>
              <w:rPr>
                <w:b/>
                <w:position w:val="8"/>
                <w:sz w:val="16"/>
              </w:rPr>
            </w:pPr>
            <w:r>
              <w:rPr>
                <w:sz w:val="20"/>
              </w:rPr>
              <w:t>Иммуноглобулин</w:t>
            </w:r>
            <w:r>
              <w:rPr>
                <w:spacing w:val="-13"/>
                <w:sz w:val="20"/>
              </w:rPr>
              <w:t> </w:t>
            </w:r>
            <w:r>
              <w:rPr>
                <w:sz w:val="20"/>
              </w:rPr>
              <w:t>человека</w:t>
            </w:r>
            <w:r>
              <w:rPr>
                <w:spacing w:val="-12"/>
                <w:sz w:val="20"/>
              </w:rPr>
              <w:t> </w:t>
            </w:r>
            <w:r>
              <w:rPr>
                <w:sz w:val="20"/>
              </w:rPr>
              <w:t>против COVID-19</w:t>
            </w:r>
            <w:r>
              <w:rPr>
                <w:spacing w:val="-9"/>
                <w:sz w:val="20"/>
              </w:rPr>
              <w:t> </w:t>
            </w:r>
            <w:r>
              <w:rPr>
                <w:b/>
                <w:position w:val="8"/>
                <w:sz w:val="16"/>
              </w:rPr>
              <w:t>2</w:t>
            </w:r>
          </w:p>
        </w:tc>
        <w:tc>
          <w:tcPr>
            <w:tcW w:w="9502" w:type="dxa"/>
          </w:tcPr>
          <w:p>
            <w:pPr>
              <w:pStyle w:val="TableParagraph"/>
              <w:spacing w:before="6"/>
              <w:ind w:left="99"/>
              <w:rPr>
                <w:sz w:val="20"/>
              </w:rPr>
            </w:pPr>
            <w:r>
              <w:rPr>
                <w:sz w:val="20"/>
              </w:rPr>
              <w:t>1</w:t>
            </w:r>
            <w:r>
              <w:rPr>
                <w:spacing w:val="-5"/>
                <w:sz w:val="20"/>
              </w:rPr>
              <w:t> </w:t>
            </w:r>
            <w:r>
              <w:rPr>
                <w:sz w:val="20"/>
              </w:rPr>
              <w:t>мл</w:t>
            </w:r>
            <w:r>
              <w:rPr>
                <w:spacing w:val="-7"/>
                <w:sz w:val="20"/>
              </w:rPr>
              <w:t> </w:t>
            </w:r>
            <w:r>
              <w:rPr>
                <w:sz w:val="20"/>
              </w:rPr>
              <w:t>на</w:t>
            </w:r>
            <w:r>
              <w:rPr>
                <w:spacing w:val="-6"/>
                <w:sz w:val="20"/>
              </w:rPr>
              <w:t> </w:t>
            </w:r>
            <w:r>
              <w:rPr>
                <w:sz w:val="20"/>
              </w:rPr>
              <w:t>кг</w:t>
            </w:r>
            <w:r>
              <w:rPr>
                <w:spacing w:val="-6"/>
                <w:sz w:val="20"/>
              </w:rPr>
              <w:t> </w:t>
            </w:r>
            <w:r>
              <w:rPr>
                <w:sz w:val="20"/>
              </w:rPr>
              <w:t>массы</w:t>
            </w:r>
            <w:r>
              <w:rPr>
                <w:spacing w:val="-6"/>
                <w:sz w:val="20"/>
              </w:rPr>
              <w:t> </w:t>
            </w:r>
            <w:r>
              <w:rPr>
                <w:sz w:val="20"/>
              </w:rPr>
              <w:t>тела</w:t>
            </w:r>
            <w:r>
              <w:rPr>
                <w:spacing w:val="-6"/>
                <w:sz w:val="20"/>
              </w:rPr>
              <w:t> </w:t>
            </w:r>
            <w:r>
              <w:rPr>
                <w:sz w:val="20"/>
              </w:rPr>
              <w:t>однократно</w:t>
            </w:r>
            <w:r>
              <w:rPr>
                <w:spacing w:val="-4"/>
                <w:sz w:val="20"/>
              </w:rPr>
              <w:t> </w:t>
            </w:r>
            <w:r>
              <w:rPr>
                <w:sz w:val="20"/>
              </w:rPr>
              <w:t>внутривенно</w:t>
            </w:r>
            <w:r>
              <w:rPr>
                <w:spacing w:val="-5"/>
                <w:sz w:val="20"/>
              </w:rPr>
              <w:t> </w:t>
            </w:r>
            <w:r>
              <w:rPr>
                <w:sz w:val="20"/>
              </w:rPr>
              <w:t>капельно</w:t>
            </w:r>
            <w:r>
              <w:rPr>
                <w:spacing w:val="-5"/>
                <w:sz w:val="20"/>
              </w:rPr>
              <w:t> </w:t>
            </w:r>
            <w:r>
              <w:rPr>
                <w:sz w:val="20"/>
              </w:rPr>
              <w:t>без</w:t>
            </w:r>
            <w:r>
              <w:rPr>
                <w:spacing w:val="-6"/>
                <w:sz w:val="20"/>
              </w:rPr>
              <w:t> </w:t>
            </w:r>
            <w:r>
              <w:rPr>
                <w:spacing w:val="-2"/>
                <w:sz w:val="20"/>
              </w:rPr>
              <w:t>разведения</w:t>
            </w:r>
          </w:p>
        </w:tc>
      </w:tr>
      <w:tr>
        <w:trPr>
          <w:trHeight w:val="1216" w:hRule="atLeast"/>
        </w:trPr>
        <w:tc>
          <w:tcPr>
            <w:tcW w:w="1131" w:type="dxa"/>
            <w:vMerge/>
            <w:tcBorders>
              <w:top w:val="nil"/>
            </w:tcBorders>
          </w:tcPr>
          <w:p>
            <w:pPr>
              <w:rPr>
                <w:sz w:val="2"/>
                <w:szCs w:val="2"/>
              </w:rPr>
            </w:pPr>
          </w:p>
        </w:tc>
        <w:tc>
          <w:tcPr>
            <w:tcW w:w="447" w:type="dxa"/>
            <w:vMerge w:val="restart"/>
          </w:tcPr>
          <w:p>
            <w:pPr>
              <w:pStyle w:val="TableParagraph"/>
              <w:spacing w:before="5"/>
              <w:ind w:left="7" w:right="8"/>
              <w:jc w:val="center"/>
              <w:rPr>
                <w:b/>
                <w:sz w:val="20"/>
              </w:rPr>
            </w:pPr>
            <w:r>
              <w:rPr>
                <w:b/>
                <w:spacing w:val="-10"/>
                <w:sz w:val="20"/>
              </w:rPr>
              <w:t>2</w:t>
            </w:r>
          </w:p>
        </w:tc>
        <w:tc>
          <w:tcPr>
            <w:tcW w:w="3664" w:type="dxa"/>
          </w:tcPr>
          <w:p>
            <w:pPr>
              <w:pStyle w:val="TableParagraph"/>
              <w:rPr>
                <w:sz w:val="20"/>
              </w:rPr>
            </w:pPr>
          </w:p>
          <w:p>
            <w:pPr>
              <w:pStyle w:val="TableParagraph"/>
              <w:spacing w:before="32"/>
              <w:rPr>
                <w:sz w:val="20"/>
              </w:rPr>
            </w:pPr>
          </w:p>
          <w:p>
            <w:pPr>
              <w:pStyle w:val="TableParagraph"/>
              <w:ind w:left="114"/>
              <w:rPr>
                <w:sz w:val="20"/>
              </w:rPr>
            </w:pPr>
            <w:r>
              <w:rPr>
                <w:spacing w:val="-2"/>
                <w:sz w:val="20"/>
              </w:rPr>
              <w:t>Метилпреднизолон</w:t>
            </w:r>
          </w:p>
        </w:tc>
        <w:tc>
          <w:tcPr>
            <w:tcW w:w="9502" w:type="dxa"/>
          </w:tcPr>
          <w:p>
            <w:pPr>
              <w:pStyle w:val="TableParagraph"/>
              <w:spacing w:line="247" w:lineRule="auto" w:before="5"/>
              <w:ind w:left="109" w:right="162"/>
              <w:rPr>
                <w:b/>
                <w:sz w:val="20"/>
              </w:rPr>
            </w:pPr>
            <w:r>
              <w:rPr>
                <w:sz w:val="20"/>
              </w:rPr>
              <w:t>125</w:t>
            </w:r>
            <w:r>
              <w:rPr>
                <w:spacing w:val="-3"/>
                <w:sz w:val="20"/>
              </w:rPr>
              <w:t> </w:t>
            </w:r>
            <w:r>
              <w:rPr>
                <w:sz w:val="20"/>
              </w:rPr>
              <w:t>мг/введение/внутривенно</w:t>
            </w:r>
            <w:r>
              <w:rPr>
                <w:spacing w:val="-3"/>
                <w:sz w:val="20"/>
              </w:rPr>
              <w:t> </w:t>
            </w:r>
            <w:r>
              <w:rPr>
                <w:sz w:val="20"/>
              </w:rPr>
              <w:t>каждые</w:t>
            </w:r>
            <w:r>
              <w:rPr>
                <w:spacing w:val="-4"/>
                <w:sz w:val="20"/>
              </w:rPr>
              <w:t> </w:t>
            </w:r>
            <w:r>
              <w:rPr>
                <w:sz w:val="20"/>
              </w:rPr>
              <w:t>6-8</w:t>
            </w:r>
            <w:r>
              <w:rPr>
                <w:spacing w:val="-3"/>
                <w:sz w:val="20"/>
              </w:rPr>
              <w:t> </w:t>
            </w:r>
            <w:r>
              <w:rPr>
                <w:sz w:val="20"/>
              </w:rPr>
              <w:t>ч.</w:t>
            </w:r>
            <w:r>
              <w:rPr>
                <w:spacing w:val="-4"/>
                <w:sz w:val="20"/>
              </w:rPr>
              <w:t> </w:t>
            </w:r>
            <w:r>
              <w:rPr>
                <w:sz w:val="20"/>
              </w:rPr>
              <w:t>Максимальная</w:t>
            </w:r>
            <w:r>
              <w:rPr>
                <w:spacing w:val="-5"/>
                <w:sz w:val="20"/>
              </w:rPr>
              <w:t> </w:t>
            </w:r>
            <w:r>
              <w:rPr>
                <w:sz w:val="20"/>
              </w:rPr>
              <w:t>доза</w:t>
            </w:r>
            <w:r>
              <w:rPr>
                <w:spacing w:val="-4"/>
                <w:sz w:val="20"/>
              </w:rPr>
              <w:t> </w:t>
            </w:r>
            <w:r>
              <w:rPr>
                <w:sz w:val="20"/>
              </w:rPr>
              <w:t>применяется</w:t>
            </w:r>
            <w:r>
              <w:rPr>
                <w:spacing w:val="-5"/>
                <w:sz w:val="20"/>
              </w:rPr>
              <w:t> </w:t>
            </w:r>
            <w:r>
              <w:rPr>
                <w:sz w:val="20"/>
              </w:rPr>
              <w:t>в</w:t>
            </w:r>
            <w:r>
              <w:rPr>
                <w:spacing w:val="-2"/>
                <w:sz w:val="20"/>
              </w:rPr>
              <w:t> </w:t>
            </w:r>
            <w:r>
              <w:rPr>
                <w:sz w:val="20"/>
              </w:rPr>
              <w:t>течение</w:t>
            </w:r>
            <w:r>
              <w:rPr>
                <w:spacing w:val="-4"/>
                <w:sz w:val="20"/>
              </w:rPr>
              <w:t> </w:t>
            </w:r>
            <w:r>
              <w:rPr>
                <w:sz w:val="20"/>
              </w:rPr>
              <w:t>3-4</w:t>
            </w:r>
            <w:r>
              <w:rPr>
                <w:spacing w:val="-3"/>
                <w:sz w:val="20"/>
              </w:rPr>
              <w:t> </w:t>
            </w:r>
            <w:r>
              <w:rPr>
                <w:sz w:val="20"/>
              </w:rPr>
              <w:t>суток.</w:t>
            </w:r>
            <w:r>
              <w:rPr>
                <w:spacing w:val="-4"/>
                <w:sz w:val="20"/>
              </w:rPr>
              <w:t> </w:t>
            </w:r>
            <w:r>
              <w:rPr>
                <w:sz w:val="20"/>
              </w:rPr>
              <w:t>Доза</w:t>
            </w:r>
            <w:r>
              <w:rPr>
                <w:spacing w:val="-4"/>
                <w:sz w:val="20"/>
              </w:rPr>
              <w:t> </w:t>
            </w:r>
            <w:r>
              <w:rPr>
                <w:sz w:val="20"/>
              </w:rPr>
              <w:t>ГКС снижается на 20-25% на введение каждые 1-2 суток, далее на 50% каждые 1-2 суток до полной отмены.</w:t>
            </w:r>
            <w:r>
              <w:rPr>
                <w:spacing w:val="80"/>
                <w:sz w:val="20"/>
              </w:rPr>
              <w:t> </w:t>
            </w:r>
            <w:r>
              <w:rPr>
                <w:b/>
                <w:spacing w:val="-4"/>
                <w:sz w:val="20"/>
              </w:rPr>
              <w:t>или</w:t>
            </w:r>
          </w:p>
          <w:p>
            <w:pPr>
              <w:pStyle w:val="TableParagraph"/>
              <w:spacing w:before="7"/>
              <w:ind w:left="99" w:right="331"/>
              <w:rPr>
                <w:sz w:val="20"/>
              </w:rPr>
            </w:pPr>
            <w:r>
              <w:rPr>
                <w:sz w:val="20"/>
              </w:rPr>
              <w:t>250</w:t>
            </w:r>
            <w:r>
              <w:rPr>
                <w:spacing w:val="-2"/>
                <w:sz w:val="20"/>
              </w:rPr>
              <w:t> </w:t>
            </w:r>
            <w:r>
              <w:rPr>
                <w:sz w:val="20"/>
              </w:rPr>
              <w:t>мг/введение/в/в</w:t>
            </w:r>
            <w:r>
              <w:rPr>
                <w:spacing w:val="-4"/>
                <w:sz w:val="20"/>
              </w:rPr>
              <w:t> </w:t>
            </w:r>
            <w:r>
              <w:rPr>
                <w:sz w:val="20"/>
              </w:rPr>
              <w:t>один</w:t>
            </w:r>
            <w:r>
              <w:rPr>
                <w:spacing w:val="-4"/>
                <w:sz w:val="20"/>
              </w:rPr>
              <w:t> </w:t>
            </w:r>
            <w:r>
              <w:rPr>
                <w:sz w:val="20"/>
              </w:rPr>
              <w:t>раз</w:t>
            </w:r>
            <w:r>
              <w:rPr>
                <w:spacing w:val="-3"/>
                <w:sz w:val="20"/>
              </w:rPr>
              <w:t> </w:t>
            </w:r>
            <w:r>
              <w:rPr>
                <w:sz w:val="20"/>
              </w:rPr>
              <w:t>в</w:t>
            </w:r>
            <w:r>
              <w:rPr>
                <w:spacing w:val="-4"/>
                <w:sz w:val="20"/>
              </w:rPr>
              <w:t> </w:t>
            </w:r>
            <w:r>
              <w:rPr>
                <w:sz w:val="20"/>
              </w:rPr>
              <w:t>сутки</w:t>
            </w:r>
            <w:r>
              <w:rPr>
                <w:spacing w:val="-4"/>
                <w:sz w:val="20"/>
              </w:rPr>
              <w:t> </w:t>
            </w:r>
            <w:r>
              <w:rPr>
                <w:sz w:val="20"/>
              </w:rPr>
              <w:t>в</w:t>
            </w:r>
            <w:r>
              <w:rPr>
                <w:spacing w:val="-2"/>
                <w:sz w:val="20"/>
              </w:rPr>
              <w:t> </w:t>
            </w:r>
            <w:r>
              <w:rPr>
                <w:sz w:val="20"/>
              </w:rPr>
              <w:t>течение</w:t>
            </w:r>
            <w:r>
              <w:rPr>
                <w:spacing w:val="-3"/>
                <w:sz w:val="20"/>
              </w:rPr>
              <w:t> </w:t>
            </w:r>
            <w:r>
              <w:rPr>
                <w:sz w:val="20"/>
              </w:rPr>
              <w:t>3—4-х</w:t>
            </w:r>
            <w:r>
              <w:rPr>
                <w:spacing w:val="-2"/>
                <w:sz w:val="20"/>
              </w:rPr>
              <w:t> </w:t>
            </w:r>
            <w:r>
              <w:rPr>
                <w:sz w:val="20"/>
              </w:rPr>
              <w:t>суток,</w:t>
            </w:r>
            <w:r>
              <w:rPr>
                <w:spacing w:val="-3"/>
                <w:sz w:val="20"/>
              </w:rPr>
              <w:t> </w:t>
            </w:r>
            <w:r>
              <w:rPr>
                <w:sz w:val="20"/>
              </w:rPr>
              <w:t>с</w:t>
            </w:r>
            <w:r>
              <w:rPr>
                <w:spacing w:val="-3"/>
                <w:sz w:val="20"/>
              </w:rPr>
              <w:t> </w:t>
            </w:r>
            <w:r>
              <w:rPr>
                <w:sz w:val="20"/>
              </w:rPr>
              <w:t>постепенным</w:t>
            </w:r>
            <w:r>
              <w:rPr>
                <w:spacing w:val="-2"/>
                <w:sz w:val="20"/>
              </w:rPr>
              <w:t> </w:t>
            </w:r>
            <w:r>
              <w:rPr>
                <w:sz w:val="20"/>
              </w:rPr>
              <w:t>снижением</w:t>
            </w:r>
            <w:r>
              <w:rPr>
                <w:spacing w:val="-3"/>
                <w:sz w:val="20"/>
              </w:rPr>
              <w:t> </w:t>
            </w:r>
            <w:r>
              <w:rPr>
                <w:sz w:val="20"/>
              </w:rPr>
              <w:t>дозы</w:t>
            </w:r>
            <w:r>
              <w:rPr>
                <w:spacing w:val="-3"/>
                <w:sz w:val="20"/>
              </w:rPr>
              <w:t> </w:t>
            </w:r>
            <w:r>
              <w:rPr>
                <w:sz w:val="20"/>
              </w:rPr>
              <w:t>на</w:t>
            </w:r>
            <w:r>
              <w:rPr>
                <w:spacing w:val="-3"/>
                <w:sz w:val="20"/>
              </w:rPr>
              <w:t> </w:t>
            </w:r>
            <w:r>
              <w:rPr>
                <w:sz w:val="20"/>
              </w:rPr>
              <w:t>20-25% на введение каждые 1-2 суток, далее на 50% каждые 1-2 суток до полной отмены</w:t>
            </w:r>
          </w:p>
        </w:tc>
      </w:tr>
      <w:tr>
        <w:trPr>
          <w:trHeight w:val="335"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13166" w:type="dxa"/>
            <w:gridSpan w:val="2"/>
          </w:tcPr>
          <w:p>
            <w:pPr>
              <w:pStyle w:val="TableParagraph"/>
              <w:spacing w:before="50"/>
              <w:ind w:left="104"/>
              <w:rPr>
                <w:sz w:val="20"/>
              </w:rPr>
            </w:pPr>
            <w:r>
              <w:rPr>
                <w:spacing w:val="-5"/>
                <w:sz w:val="20"/>
              </w:rPr>
              <w:t>или</w:t>
            </w:r>
          </w:p>
        </w:tc>
      </w:tr>
      <w:tr>
        <w:trPr>
          <w:trHeight w:val="703" w:hRule="atLeast"/>
        </w:trPr>
        <w:tc>
          <w:tcPr>
            <w:tcW w:w="1131" w:type="dxa"/>
            <w:vMerge/>
            <w:tcBorders>
              <w:top w:val="nil"/>
            </w:tcBorders>
          </w:tcPr>
          <w:p>
            <w:pPr>
              <w:rPr>
                <w:sz w:val="2"/>
                <w:szCs w:val="2"/>
              </w:rPr>
            </w:pPr>
          </w:p>
        </w:tc>
        <w:tc>
          <w:tcPr>
            <w:tcW w:w="447" w:type="dxa"/>
            <w:vMerge/>
            <w:tcBorders>
              <w:top w:val="nil"/>
            </w:tcBorders>
          </w:tcPr>
          <w:p>
            <w:pPr>
              <w:rPr>
                <w:sz w:val="2"/>
                <w:szCs w:val="2"/>
              </w:rPr>
            </w:pPr>
          </w:p>
        </w:tc>
        <w:tc>
          <w:tcPr>
            <w:tcW w:w="3664" w:type="dxa"/>
          </w:tcPr>
          <w:p>
            <w:pPr>
              <w:pStyle w:val="TableParagraph"/>
              <w:spacing w:before="4"/>
              <w:rPr>
                <w:sz w:val="20"/>
              </w:rPr>
            </w:pPr>
          </w:p>
          <w:p>
            <w:pPr>
              <w:pStyle w:val="TableParagraph"/>
              <w:spacing w:before="1"/>
              <w:ind w:left="114"/>
              <w:rPr>
                <w:sz w:val="20"/>
              </w:rPr>
            </w:pPr>
            <w:r>
              <w:rPr>
                <w:spacing w:val="-2"/>
                <w:sz w:val="20"/>
              </w:rPr>
              <w:t>Дексаметазон</w:t>
            </w:r>
          </w:p>
        </w:tc>
        <w:tc>
          <w:tcPr>
            <w:tcW w:w="9502" w:type="dxa"/>
          </w:tcPr>
          <w:p>
            <w:pPr>
              <w:pStyle w:val="TableParagraph"/>
              <w:spacing w:line="237" w:lineRule="auto" w:before="6"/>
              <w:ind w:left="99"/>
              <w:rPr>
                <w:sz w:val="20"/>
              </w:rPr>
            </w:pPr>
            <w:r>
              <w:rPr>
                <w:sz w:val="20"/>
              </w:rPr>
              <w:t>24</w:t>
            </w:r>
            <w:r>
              <w:rPr>
                <w:spacing w:val="-3"/>
                <w:sz w:val="20"/>
              </w:rPr>
              <w:t> </w:t>
            </w:r>
            <w:r>
              <w:rPr>
                <w:sz w:val="20"/>
              </w:rPr>
              <w:t>мг/сутки</w:t>
            </w:r>
            <w:r>
              <w:rPr>
                <w:spacing w:val="-5"/>
                <w:sz w:val="20"/>
              </w:rPr>
              <w:t> </w:t>
            </w:r>
            <w:r>
              <w:rPr>
                <w:sz w:val="20"/>
              </w:rPr>
              <w:t>внутривенно</w:t>
            </w:r>
            <w:r>
              <w:rPr>
                <w:spacing w:val="-3"/>
                <w:sz w:val="20"/>
              </w:rPr>
              <w:t> </w:t>
            </w:r>
            <w:r>
              <w:rPr>
                <w:sz w:val="20"/>
              </w:rPr>
              <w:t>в</w:t>
            </w:r>
            <w:r>
              <w:rPr>
                <w:spacing w:val="-5"/>
                <w:sz w:val="20"/>
              </w:rPr>
              <w:t> </w:t>
            </w:r>
            <w:r>
              <w:rPr>
                <w:sz w:val="20"/>
              </w:rPr>
              <w:t>зависимости</w:t>
            </w:r>
            <w:r>
              <w:rPr>
                <w:spacing w:val="-6"/>
                <w:sz w:val="20"/>
              </w:rPr>
              <w:t> </w:t>
            </w:r>
            <w:r>
              <w:rPr>
                <w:sz w:val="20"/>
              </w:rPr>
              <w:t>от</w:t>
            </w:r>
            <w:r>
              <w:rPr>
                <w:spacing w:val="-5"/>
                <w:sz w:val="20"/>
              </w:rPr>
              <w:t> </w:t>
            </w:r>
            <w:r>
              <w:rPr>
                <w:sz w:val="20"/>
              </w:rPr>
              <w:t>тяжести</w:t>
            </w:r>
            <w:r>
              <w:rPr>
                <w:spacing w:val="-5"/>
                <w:sz w:val="20"/>
              </w:rPr>
              <w:t> </w:t>
            </w:r>
            <w:r>
              <w:rPr>
                <w:sz w:val="20"/>
              </w:rPr>
              <w:t>состояния</w:t>
            </w:r>
            <w:r>
              <w:rPr>
                <w:spacing w:val="-5"/>
                <w:sz w:val="20"/>
              </w:rPr>
              <w:t> </w:t>
            </w:r>
            <w:r>
              <w:rPr>
                <w:sz w:val="20"/>
              </w:rPr>
              <w:t>пациента</w:t>
            </w:r>
            <w:r>
              <w:rPr>
                <w:spacing w:val="-4"/>
                <w:sz w:val="20"/>
              </w:rPr>
              <w:t> </w:t>
            </w:r>
            <w:r>
              <w:rPr>
                <w:sz w:val="20"/>
              </w:rPr>
              <w:t>за</w:t>
            </w:r>
            <w:r>
              <w:rPr>
                <w:spacing w:val="-4"/>
                <w:sz w:val="20"/>
              </w:rPr>
              <w:t> </w:t>
            </w:r>
            <w:r>
              <w:rPr>
                <w:sz w:val="20"/>
              </w:rPr>
              <w:t>2</w:t>
            </w:r>
            <w:r>
              <w:rPr>
                <w:spacing w:val="-3"/>
                <w:sz w:val="20"/>
              </w:rPr>
              <w:t> </w:t>
            </w:r>
            <w:r>
              <w:rPr>
                <w:sz w:val="20"/>
              </w:rPr>
              <w:t>введения.</w:t>
            </w:r>
            <w:r>
              <w:rPr>
                <w:spacing w:val="-4"/>
                <w:sz w:val="20"/>
              </w:rPr>
              <w:t> </w:t>
            </w:r>
            <w:r>
              <w:rPr>
                <w:sz w:val="20"/>
              </w:rPr>
              <w:t>Максимальная</w:t>
            </w:r>
            <w:r>
              <w:rPr>
                <w:spacing w:val="-2"/>
                <w:sz w:val="20"/>
              </w:rPr>
              <w:t> </w:t>
            </w:r>
            <w:r>
              <w:rPr>
                <w:sz w:val="20"/>
              </w:rPr>
              <w:t>доза применяется в течение 3-4 суток. Доза ГКС снижается на 20-25% на введение каждые 1-2 суток, далее</w:t>
            </w:r>
          </w:p>
          <w:p>
            <w:pPr>
              <w:pStyle w:val="TableParagraph"/>
              <w:spacing w:line="221" w:lineRule="exact" w:before="1"/>
              <w:ind w:left="99"/>
              <w:rPr>
                <w:sz w:val="20"/>
              </w:rPr>
            </w:pPr>
            <w:r>
              <w:rPr>
                <w:sz w:val="20"/>
              </w:rPr>
              <w:t>на</w:t>
            </w:r>
            <w:r>
              <w:rPr>
                <w:spacing w:val="-4"/>
                <w:sz w:val="20"/>
              </w:rPr>
              <w:t> </w:t>
            </w:r>
            <w:r>
              <w:rPr>
                <w:sz w:val="20"/>
              </w:rPr>
              <w:t>50%</w:t>
            </w:r>
            <w:r>
              <w:rPr>
                <w:spacing w:val="-5"/>
                <w:sz w:val="20"/>
              </w:rPr>
              <w:t> </w:t>
            </w:r>
            <w:r>
              <w:rPr>
                <w:sz w:val="20"/>
              </w:rPr>
              <w:t>каждые</w:t>
            </w:r>
            <w:r>
              <w:rPr>
                <w:spacing w:val="-4"/>
                <w:sz w:val="20"/>
              </w:rPr>
              <w:t> </w:t>
            </w:r>
            <w:r>
              <w:rPr>
                <w:sz w:val="20"/>
              </w:rPr>
              <w:t>1-2</w:t>
            </w:r>
            <w:r>
              <w:rPr>
                <w:spacing w:val="-3"/>
                <w:sz w:val="20"/>
              </w:rPr>
              <w:t> </w:t>
            </w:r>
            <w:r>
              <w:rPr>
                <w:sz w:val="20"/>
              </w:rPr>
              <w:t>суток</w:t>
            </w:r>
            <w:r>
              <w:rPr>
                <w:spacing w:val="-5"/>
                <w:sz w:val="20"/>
              </w:rPr>
              <w:t> </w:t>
            </w:r>
            <w:r>
              <w:rPr>
                <w:sz w:val="20"/>
              </w:rPr>
              <w:t>до</w:t>
            </w:r>
            <w:r>
              <w:rPr>
                <w:spacing w:val="-4"/>
                <w:sz w:val="20"/>
              </w:rPr>
              <w:t> </w:t>
            </w:r>
            <w:r>
              <w:rPr>
                <w:sz w:val="20"/>
              </w:rPr>
              <w:t>полной</w:t>
            </w:r>
            <w:r>
              <w:rPr>
                <w:spacing w:val="-5"/>
                <w:sz w:val="20"/>
              </w:rPr>
              <w:t> </w:t>
            </w:r>
            <w:r>
              <w:rPr>
                <w:spacing w:val="-2"/>
                <w:sz w:val="20"/>
              </w:rPr>
              <w:t>отмены</w:t>
            </w:r>
          </w:p>
        </w:tc>
      </w:tr>
      <w:tr>
        <w:trPr>
          <w:trHeight w:val="244" w:hRule="atLeast"/>
        </w:trPr>
        <w:tc>
          <w:tcPr>
            <w:tcW w:w="1131" w:type="dxa"/>
            <w:vMerge/>
            <w:tcBorders>
              <w:top w:val="nil"/>
            </w:tcBorders>
          </w:tcPr>
          <w:p>
            <w:pPr>
              <w:rPr>
                <w:sz w:val="2"/>
                <w:szCs w:val="2"/>
              </w:rPr>
            </w:pPr>
          </w:p>
        </w:tc>
        <w:tc>
          <w:tcPr>
            <w:tcW w:w="447" w:type="dxa"/>
          </w:tcPr>
          <w:p>
            <w:pPr>
              <w:pStyle w:val="TableParagraph"/>
              <w:spacing w:line="214" w:lineRule="exact" w:before="10"/>
              <w:ind w:left="103"/>
              <w:rPr>
                <w:b/>
                <w:sz w:val="20"/>
              </w:rPr>
            </w:pPr>
            <w:r>
              <w:rPr>
                <w:b/>
                <w:spacing w:val="-10"/>
                <w:sz w:val="20"/>
              </w:rPr>
              <w:t>3</w:t>
            </w:r>
          </w:p>
        </w:tc>
        <w:tc>
          <w:tcPr>
            <w:tcW w:w="13166" w:type="dxa"/>
            <w:gridSpan w:val="2"/>
          </w:tcPr>
          <w:p>
            <w:pPr>
              <w:pStyle w:val="TableParagraph"/>
              <w:spacing w:line="221" w:lineRule="exact" w:before="3"/>
              <w:ind w:left="104"/>
              <w:rPr>
                <w:sz w:val="20"/>
              </w:rPr>
            </w:pPr>
            <w:r>
              <w:rPr>
                <w:sz w:val="20"/>
              </w:rPr>
              <w:t>Антикоагулянтный</w:t>
            </w:r>
            <w:r>
              <w:rPr>
                <w:spacing w:val="-11"/>
                <w:sz w:val="20"/>
              </w:rPr>
              <w:t> </w:t>
            </w:r>
            <w:r>
              <w:rPr>
                <w:sz w:val="20"/>
              </w:rPr>
              <w:t>препарат</w:t>
            </w:r>
            <w:r>
              <w:rPr>
                <w:spacing w:val="-10"/>
                <w:sz w:val="20"/>
              </w:rPr>
              <w:t> </w:t>
            </w:r>
            <w:r>
              <w:rPr>
                <w:sz w:val="20"/>
              </w:rPr>
              <w:t>для</w:t>
            </w:r>
            <w:r>
              <w:rPr>
                <w:spacing w:val="-10"/>
                <w:sz w:val="20"/>
              </w:rPr>
              <w:t> </w:t>
            </w:r>
            <w:r>
              <w:rPr>
                <w:sz w:val="20"/>
              </w:rPr>
              <w:t>парентерального</w:t>
            </w:r>
            <w:r>
              <w:rPr>
                <w:spacing w:val="-8"/>
                <w:sz w:val="20"/>
              </w:rPr>
              <w:t> </w:t>
            </w:r>
            <w:r>
              <w:rPr>
                <w:sz w:val="20"/>
              </w:rPr>
              <w:t>введения</w:t>
            </w:r>
            <w:r>
              <w:rPr>
                <w:spacing w:val="-7"/>
                <w:sz w:val="20"/>
              </w:rPr>
              <w:t> </w:t>
            </w:r>
            <w:r>
              <w:rPr>
                <w:sz w:val="20"/>
              </w:rPr>
              <w:t>(НМГ/НФГ</w:t>
            </w:r>
            <w:r>
              <w:rPr>
                <w:spacing w:val="-9"/>
                <w:sz w:val="20"/>
              </w:rPr>
              <w:t> </w:t>
            </w:r>
            <w:r>
              <w:rPr>
                <w:sz w:val="20"/>
              </w:rPr>
              <w:t>в</w:t>
            </w:r>
            <w:r>
              <w:rPr>
                <w:spacing w:val="-8"/>
                <w:sz w:val="20"/>
              </w:rPr>
              <w:t> </w:t>
            </w:r>
            <w:r>
              <w:rPr>
                <w:sz w:val="20"/>
              </w:rPr>
              <w:t>профилактических</w:t>
            </w:r>
            <w:r>
              <w:rPr>
                <w:spacing w:val="-8"/>
                <w:sz w:val="20"/>
              </w:rPr>
              <w:t> </w:t>
            </w:r>
            <w:r>
              <w:rPr>
                <w:sz w:val="20"/>
              </w:rPr>
              <w:t>дозах),</w:t>
            </w:r>
            <w:r>
              <w:rPr>
                <w:spacing w:val="-9"/>
                <w:sz w:val="20"/>
              </w:rPr>
              <w:t> </w:t>
            </w:r>
            <w:r>
              <w:rPr>
                <w:sz w:val="20"/>
              </w:rPr>
              <w:t>см.</w:t>
            </w:r>
            <w:r>
              <w:rPr>
                <w:spacing w:val="-8"/>
                <w:sz w:val="20"/>
              </w:rPr>
              <w:t> </w:t>
            </w:r>
            <w:r>
              <w:rPr>
                <w:sz w:val="20"/>
              </w:rPr>
              <w:t>Приложение</w:t>
            </w:r>
            <w:r>
              <w:rPr>
                <w:spacing w:val="-9"/>
                <w:sz w:val="20"/>
              </w:rPr>
              <w:t> </w:t>
            </w:r>
            <w:r>
              <w:rPr>
                <w:sz w:val="20"/>
              </w:rPr>
              <w:t>7-</w:t>
            </w:r>
            <w:r>
              <w:rPr>
                <w:spacing w:val="-10"/>
                <w:sz w:val="20"/>
              </w:rPr>
              <w:t>1</w:t>
            </w:r>
          </w:p>
        </w:tc>
      </w:tr>
      <w:tr>
        <w:trPr>
          <w:trHeight w:val="352" w:hRule="atLeast"/>
        </w:trPr>
        <w:tc>
          <w:tcPr>
            <w:tcW w:w="1131" w:type="dxa"/>
            <w:vMerge/>
            <w:tcBorders>
              <w:top w:val="nil"/>
            </w:tcBorders>
          </w:tcPr>
          <w:p>
            <w:pPr>
              <w:rPr>
                <w:sz w:val="2"/>
                <w:szCs w:val="2"/>
              </w:rPr>
            </w:pPr>
          </w:p>
        </w:tc>
        <w:tc>
          <w:tcPr>
            <w:tcW w:w="447" w:type="dxa"/>
          </w:tcPr>
          <w:p>
            <w:pPr>
              <w:pStyle w:val="TableParagraph"/>
              <w:spacing w:before="65"/>
              <w:ind w:left="103"/>
              <w:rPr>
                <w:b/>
                <w:sz w:val="20"/>
              </w:rPr>
            </w:pPr>
            <w:r>
              <w:rPr>
                <w:b/>
                <w:spacing w:val="-10"/>
                <w:sz w:val="20"/>
              </w:rPr>
              <w:t>4</w:t>
            </w:r>
          </w:p>
        </w:tc>
        <w:tc>
          <w:tcPr>
            <w:tcW w:w="13166" w:type="dxa"/>
            <w:gridSpan w:val="2"/>
          </w:tcPr>
          <w:p>
            <w:pPr>
              <w:pStyle w:val="TableParagraph"/>
              <w:spacing w:before="58"/>
              <w:ind w:left="104"/>
              <w:rPr>
                <w:sz w:val="20"/>
              </w:rPr>
            </w:pPr>
            <w:r>
              <w:rPr>
                <w:sz w:val="20"/>
              </w:rPr>
              <w:t>При</w:t>
            </w:r>
            <w:r>
              <w:rPr>
                <w:spacing w:val="-8"/>
                <w:sz w:val="20"/>
              </w:rPr>
              <w:t> </w:t>
            </w:r>
            <w:r>
              <w:rPr>
                <w:sz w:val="20"/>
              </w:rPr>
              <w:t>лихорадке</w:t>
            </w:r>
            <w:r>
              <w:rPr>
                <w:spacing w:val="-6"/>
                <w:sz w:val="20"/>
              </w:rPr>
              <w:t> </w:t>
            </w:r>
            <w:r>
              <w:rPr>
                <w:sz w:val="20"/>
              </w:rPr>
              <w:t>(t</w:t>
            </w:r>
            <w:r>
              <w:rPr>
                <w:spacing w:val="-7"/>
                <w:sz w:val="20"/>
              </w:rPr>
              <w:t> </w:t>
            </w:r>
            <w:r>
              <w:rPr>
                <w:sz w:val="20"/>
              </w:rPr>
              <w:t>&gt;</w:t>
            </w:r>
            <w:r>
              <w:rPr>
                <w:spacing w:val="-6"/>
                <w:sz w:val="20"/>
              </w:rPr>
              <w:t> </w:t>
            </w:r>
            <w:r>
              <w:rPr>
                <w:sz w:val="20"/>
              </w:rPr>
              <w:t>38,0</w:t>
            </w:r>
            <w:r>
              <w:rPr>
                <w:spacing w:val="-6"/>
                <w:sz w:val="20"/>
              </w:rPr>
              <w:t> </w:t>
            </w:r>
            <w:r>
              <w:rPr>
                <w:sz w:val="20"/>
              </w:rPr>
              <w:t>°С)</w:t>
            </w:r>
            <w:r>
              <w:rPr>
                <w:spacing w:val="-6"/>
                <w:sz w:val="20"/>
              </w:rPr>
              <w:t> </w:t>
            </w:r>
            <w:r>
              <w:rPr>
                <w:sz w:val="20"/>
              </w:rPr>
              <w:t>более</w:t>
            </w:r>
            <w:r>
              <w:rPr>
                <w:spacing w:val="-7"/>
                <w:sz w:val="20"/>
              </w:rPr>
              <w:t> </w:t>
            </w:r>
            <w:r>
              <w:rPr>
                <w:sz w:val="20"/>
              </w:rPr>
              <w:t>3</w:t>
            </w:r>
            <w:r>
              <w:rPr>
                <w:spacing w:val="-5"/>
                <w:sz w:val="20"/>
              </w:rPr>
              <w:t> </w:t>
            </w:r>
            <w:r>
              <w:rPr>
                <w:sz w:val="20"/>
              </w:rPr>
              <w:t>дней</w:t>
            </w:r>
            <w:r>
              <w:rPr>
                <w:spacing w:val="-7"/>
                <w:sz w:val="20"/>
              </w:rPr>
              <w:t> </w:t>
            </w:r>
            <w:r>
              <w:rPr>
                <w:sz w:val="20"/>
              </w:rPr>
              <w:t>назначается</w:t>
            </w:r>
            <w:r>
              <w:rPr>
                <w:spacing w:val="-7"/>
                <w:sz w:val="20"/>
              </w:rPr>
              <w:t> </w:t>
            </w:r>
            <w:r>
              <w:rPr>
                <w:sz w:val="20"/>
              </w:rPr>
              <w:t>антибактериальная,</w:t>
            </w:r>
            <w:r>
              <w:rPr>
                <w:spacing w:val="-7"/>
                <w:sz w:val="20"/>
              </w:rPr>
              <w:t> </w:t>
            </w:r>
            <w:r>
              <w:rPr>
                <w:sz w:val="20"/>
              </w:rPr>
              <w:t>антимикотическая</w:t>
            </w:r>
            <w:r>
              <w:rPr>
                <w:spacing w:val="-4"/>
                <w:sz w:val="20"/>
              </w:rPr>
              <w:t> </w:t>
            </w:r>
            <w:r>
              <w:rPr>
                <w:sz w:val="20"/>
              </w:rPr>
              <w:t>терапия</w:t>
            </w:r>
            <w:r>
              <w:rPr>
                <w:spacing w:val="-7"/>
                <w:sz w:val="20"/>
              </w:rPr>
              <w:t> </w:t>
            </w:r>
            <w:r>
              <w:rPr>
                <w:sz w:val="20"/>
              </w:rPr>
              <w:t>по</w:t>
            </w:r>
            <w:r>
              <w:rPr>
                <w:spacing w:val="-6"/>
                <w:sz w:val="20"/>
              </w:rPr>
              <w:t> </w:t>
            </w:r>
            <w:r>
              <w:rPr>
                <w:sz w:val="20"/>
              </w:rPr>
              <w:t>показаниям</w:t>
            </w:r>
            <w:r>
              <w:rPr>
                <w:spacing w:val="-6"/>
                <w:sz w:val="20"/>
              </w:rPr>
              <w:t> </w:t>
            </w:r>
            <w:r>
              <w:rPr>
                <w:sz w:val="20"/>
              </w:rPr>
              <w:t>в</w:t>
            </w:r>
            <w:r>
              <w:rPr>
                <w:spacing w:val="-7"/>
                <w:sz w:val="20"/>
              </w:rPr>
              <w:t> </w:t>
            </w:r>
            <w:r>
              <w:rPr>
                <w:sz w:val="20"/>
              </w:rPr>
              <w:t>соответствии</w:t>
            </w:r>
            <w:r>
              <w:rPr>
                <w:spacing w:val="3"/>
                <w:sz w:val="20"/>
              </w:rPr>
              <w:t> </w:t>
            </w:r>
            <w:r>
              <w:rPr>
                <w:sz w:val="20"/>
              </w:rPr>
              <w:t>с</w:t>
            </w:r>
            <w:r>
              <w:rPr>
                <w:spacing w:val="-6"/>
                <w:sz w:val="20"/>
              </w:rPr>
              <w:t> </w:t>
            </w:r>
            <w:r>
              <w:rPr>
                <w:sz w:val="20"/>
              </w:rPr>
              <w:t>разделом</w:t>
            </w:r>
            <w:r>
              <w:rPr>
                <w:spacing w:val="-6"/>
                <w:sz w:val="20"/>
              </w:rPr>
              <w:t> </w:t>
            </w:r>
            <w:r>
              <w:rPr>
                <w:spacing w:val="-5"/>
                <w:sz w:val="20"/>
              </w:rPr>
              <w:t>5.4</w:t>
            </w:r>
          </w:p>
        </w:tc>
      </w:tr>
    </w:tbl>
    <w:p>
      <w:pPr>
        <w:pStyle w:val="BodyText"/>
        <w:ind w:left="0"/>
        <w:jc w:val="left"/>
        <w:rPr>
          <w:sz w:val="17"/>
        </w:rPr>
      </w:pPr>
    </w:p>
    <w:p>
      <w:pPr>
        <w:pStyle w:val="BodyText"/>
        <w:spacing w:after="0"/>
        <w:jc w:val="left"/>
        <w:rPr>
          <w:sz w:val="17"/>
        </w:rPr>
        <w:sectPr>
          <w:pgSz w:w="16840" w:h="11900" w:orient="landscape"/>
          <w:pgMar w:header="0" w:footer="288" w:top="1340" w:bottom="480" w:left="708" w:right="708"/>
        </w:sectPr>
      </w:pPr>
    </w:p>
    <w:p>
      <w:pPr>
        <w:pStyle w:val="ListParagraph"/>
        <w:numPr>
          <w:ilvl w:val="0"/>
          <w:numId w:val="119"/>
        </w:numPr>
        <w:tabs>
          <w:tab w:pos="686" w:val="left" w:leader="none"/>
        </w:tabs>
        <w:spacing w:line="240" w:lineRule="auto" w:before="91" w:after="0"/>
        <w:ind w:left="686" w:right="0" w:hanging="248"/>
        <w:jc w:val="left"/>
        <w:rPr>
          <w:sz w:val="20"/>
        </w:rPr>
      </w:pPr>
      <w:r>
        <w:rPr>
          <w:sz w:val="20"/>
        </w:rPr>
        <w:t>К</w:t>
      </w:r>
      <w:r>
        <w:rPr>
          <w:spacing w:val="-9"/>
          <w:sz w:val="20"/>
        </w:rPr>
        <w:t> </w:t>
      </w:r>
      <w:r>
        <w:rPr>
          <w:sz w:val="20"/>
        </w:rPr>
        <w:t>факторам</w:t>
      </w:r>
      <w:r>
        <w:rPr>
          <w:spacing w:val="-6"/>
          <w:sz w:val="20"/>
        </w:rPr>
        <w:t> </w:t>
      </w:r>
      <w:r>
        <w:rPr>
          <w:sz w:val="20"/>
        </w:rPr>
        <w:t>риска</w:t>
      </w:r>
      <w:r>
        <w:rPr>
          <w:spacing w:val="-6"/>
          <w:sz w:val="20"/>
        </w:rPr>
        <w:t> </w:t>
      </w:r>
      <w:r>
        <w:rPr>
          <w:sz w:val="20"/>
        </w:rPr>
        <w:t>прогресии</w:t>
      </w:r>
      <w:r>
        <w:rPr>
          <w:spacing w:val="-8"/>
          <w:sz w:val="20"/>
        </w:rPr>
        <w:t> </w:t>
      </w:r>
      <w:r>
        <w:rPr>
          <w:sz w:val="20"/>
        </w:rPr>
        <w:t>заболевания</w:t>
      </w:r>
      <w:r>
        <w:rPr>
          <w:spacing w:val="-8"/>
          <w:sz w:val="20"/>
        </w:rPr>
        <w:t> </w:t>
      </w:r>
      <w:r>
        <w:rPr>
          <w:spacing w:val="-2"/>
          <w:sz w:val="20"/>
        </w:rPr>
        <w:t>относятся:</w:t>
      </w:r>
    </w:p>
    <w:p>
      <w:pPr>
        <w:pStyle w:val="ListParagraph"/>
        <w:numPr>
          <w:ilvl w:val="1"/>
          <w:numId w:val="119"/>
        </w:numPr>
        <w:tabs>
          <w:tab w:pos="836" w:val="left" w:leader="none"/>
        </w:tabs>
        <w:spacing w:line="240" w:lineRule="auto" w:before="36" w:after="0"/>
        <w:ind w:left="836" w:right="0" w:hanging="118"/>
        <w:jc w:val="left"/>
        <w:rPr>
          <w:sz w:val="20"/>
        </w:rPr>
      </w:pPr>
      <w:r>
        <w:rPr>
          <w:sz w:val="20"/>
        </w:rPr>
        <w:t>пожилой</w:t>
      </w:r>
      <w:r>
        <w:rPr>
          <w:spacing w:val="-3"/>
          <w:sz w:val="20"/>
        </w:rPr>
        <w:t> </w:t>
      </w:r>
      <w:r>
        <w:rPr>
          <w:sz w:val="20"/>
        </w:rPr>
        <w:t>возраст</w:t>
      </w:r>
      <w:r>
        <w:rPr>
          <w:spacing w:val="-5"/>
          <w:sz w:val="20"/>
        </w:rPr>
        <w:t> </w:t>
      </w:r>
      <w:r>
        <w:rPr>
          <w:sz w:val="20"/>
        </w:rPr>
        <w:t>≥</w:t>
      </w:r>
      <w:r>
        <w:rPr>
          <w:spacing w:val="-4"/>
          <w:sz w:val="20"/>
        </w:rPr>
        <w:t> </w:t>
      </w:r>
      <w:r>
        <w:rPr>
          <w:sz w:val="20"/>
        </w:rPr>
        <w:t>60</w:t>
      </w:r>
      <w:r>
        <w:rPr>
          <w:spacing w:val="-3"/>
          <w:sz w:val="20"/>
        </w:rPr>
        <w:t> </w:t>
      </w:r>
      <w:r>
        <w:rPr>
          <w:spacing w:val="-4"/>
          <w:sz w:val="20"/>
        </w:rPr>
        <w:t>лет;</w:t>
      </w:r>
    </w:p>
    <w:p>
      <w:pPr>
        <w:pStyle w:val="ListParagraph"/>
        <w:numPr>
          <w:ilvl w:val="1"/>
          <w:numId w:val="119"/>
        </w:numPr>
        <w:tabs>
          <w:tab w:pos="836" w:val="left" w:leader="none"/>
        </w:tabs>
        <w:spacing w:line="240" w:lineRule="auto" w:before="33" w:after="0"/>
        <w:ind w:left="836" w:right="0" w:hanging="118"/>
        <w:jc w:val="left"/>
        <w:rPr>
          <w:sz w:val="20"/>
        </w:rPr>
      </w:pPr>
      <w:r>
        <w:rPr>
          <w:spacing w:val="-2"/>
          <w:sz w:val="20"/>
        </w:rPr>
        <w:t>ожирение;</w:t>
      </w:r>
    </w:p>
    <w:p>
      <w:pPr>
        <w:spacing w:line="240" w:lineRule="auto" w:before="0"/>
        <w:rPr>
          <w:sz w:val="22"/>
        </w:rPr>
      </w:pPr>
      <w:r>
        <w:rPr/>
        <w:br w:type="column"/>
      </w:r>
      <w:r>
        <w:rPr>
          <w:sz w:val="22"/>
        </w:rPr>
      </w:r>
    </w:p>
    <w:p>
      <w:pPr>
        <w:pStyle w:val="BodyText"/>
        <w:ind w:left="0"/>
        <w:jc w:val="left"/>
        <w:rPr>
          <w:sz w:val="22"/>
        </w:rPr>
      </w:pPr>
    </w:p>
    <w:p>
      <w:pPr>
        <w:pStyle w:val="BodyText"/>
        <w:spacing w:before="230"/>
        <w:ind w:left="0"/>
        <w:jc w:val="left"/>
        <w:rPr>
          <w:sz w:val="22"/>
        </w:rPr>
      </w:pPr>
    </w:p>
    <w:p>
      <w:pPr>
        <w:spacing w:before="0"/>
        <w:ind w:left="438" w:right="0" w:firstLine="0"/>
        <w:jc w:val="left"/>
        <w:rPr>
          <w:rFonts w:ascii="Calibri"/>
          <w:sz w:val="22"/>
        </w:rPr>
      </w:pPr>
      <w:r>
        <w:rPr>
          <w:rFonts w:ascii="Calibri"/>
          <w:spacing w:val="-5"/>
          <w:sz w:val="22"/>
        </w:rPr>
        <w:t>220</w:t>
      </w:r>
    </w:p>
    <w:p>
      <w:pPr>
        <w:spacing w:line="240" w:lineRule="auto" w:before="0"/>
        <w:rPr>
          <w:rFonts w:ascii="Calibri"/>
          <w:sz w:val="20"/>
        </w:rPr>
      </w:pPr>
      <w:r>
        <w:rPr/>
        <w:br w:type="column"/>
      </w:r>
      <w:r>
        <w:rPr>
          <w:rFonts w:ascii="Calibri"/>
          <w:sz w:val="20"/>
        </w:rPr>
      </w:r>
    </w:p>
    <w:p>
      <w:pPr>
        <w:pStyle w:val="BodyText"/>
        <w:ind w:left="0"/>
        <w:jc w:val="left"/>
        <w:rPr>
          <w:rFonts w:ascii="Calibri"/>
          <w:sz w:val="20"/>
        </w:rPr>
      </w:pPr>
    </w:p>
    <w:p>
      <w:pPr>
        <w:pStyle w:val="BodyText"/>
        <w:ind w:left="0"/>
        <w:jc w:val="left"/>
        <w:rPr>
          <w:rFonts w:ascii="Calibri"/>
          <w:sz w:val="20"/>
        </w:rPr>
      </w:pPr>
    </w:p>
    <w:p>
      <w:pPr>
        <w:pStyle w:val="BodyText"/>
        <w:ind w:left="0"/>
        <w:jc w:val="left"/>
        <w:rPr>
          <w:rFonts w:ascii="Calibri"/>
          <w:sz w:val="20"/>
        </w:rPr>
      </w:pPr>
    </w:p>
    <w:p>
      <w:pPr>
        <w:pStyle w:val="BodyText"/>
        <w:spacing w:before="38"/>
        <w:ind w:left="0"/>
        <w:jc w:val="left"/>
        <w:rPr>
          <w:rFonts w:ascii="Calibri"/>
          <w:sz w:val="20"/>
        </w:rPr>
      </w:pPr>
    </w:p>
    <w:p>
      <w:pPr>
        <w:spacing w:before="0"/>
        <w:ind w:left="438" w:right="0" w:firstLine="0"/>
        <w:jc w:val="lef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left"/>
        <w:rPr>
          <w:sz w:val="20"/>
        </w:rPr>
        <w:sectPr>
          <w:type w:val="continuous"/>
          <w:pgSz w:w="16840" w:h="11900" w:orient="landscape"/>
          <w:pgMar w:header="0" w:footer="288" w:top="880" w:bottom="0" w:left="708" w:right="708"/>
          <w:cols w:num="3" w:equalWidth="0">
            <w:col w:w="5230" w:space="1868"/>
            <w:col w:w="813" w:space="5103"/>
            <w:col w:w="2410"/>
          </w:cols>
        </w:sectPr>
      </w:pPr>
    </w:p>
    <w:p>
      <w:pPr>
        <w:pStyle w:val="ListParagraph"/>
        <w:numPr>
          <w:ilvl w:val="1"/>
          <w:numId w:val="119"/>
        </w:numPr>
        <w:tabs>
          <w:tab w:pos="836" w:val="left" w:leader="none"/>
        </w:tabs>
        <w:spacing w:line="240" w:lineRule="auto" w:before="149" w:after="0"/>
        <w:ind w:left="836" w:right="0" w:hanging="118"/>
        <w:jc w:val="left"/>
        <w:rPr>
          <w:sz w:val="20"/>
        </w:rPr>
      </w:pPr>
      <w:bookmarkStart w:name="222" w:id="264"/>
      <w:bookmarkEnd w:id="264"/>
      <w:r>
        <w:rPr/>
      </w:r>
      <w:r>
        <w:rPr>
          <w:spacing w:val="-2"/>
          <w:sz w:val="20"/>
        </w:rPr>
        <w:t>сердечно-сосудистое</w:t>
      </w:r>
      <w:r>
        <w:rPr>
          <w:spacing w:val="12"/>
          <w:sz w:val="20"/>
        </w:rPr>
        <w:t> </w:t>
      </w:r>
      <w:r>
        <w:rPr>
          <w:spacing w:val="-2"/>
          <w:sz w:val="20"/>
        </w:rPr>
        <w:t>заболевание,</w:t>
      </w:r>
      <w:r>
        <w:rPr>
          <w:spacing w:val="12"/>
          <w:sz w:val="20"/>
        </w:rPr>
        <w:t> </w:t>
      </w:r>
      <w:r>
        <w:rPr>
          <w:spacing w:val="-2"/>
          <w:sz w:val="20"/>
        </w:rPr>
        <w:t>включая</w:t>
      </w:r>
      <w:r>
        <w:rPr>
          <w:spacing w:val="10"/>
          <w:sz w:val="20"/>
        </w:rPr>
        <w:t> </w:t>
      </w:r>
      <w:r>
        <w:rPr>
          <w:spacing w:val="-2"/>
          <w:sz w:val="20"/>
        </w:rPr>
        <w:t>артериальную</w:t>
      </w:r>
      <w:r>
        <w:rPr>
          <w:spacing w:val="12"/>
          <w:sz w:val="20"/>
        </w:rPr>
        <w:t> </w:t>
      </w:r>
      <w:r>
        <w:rPr>
          <w:spacing w:val="-2"/>
          <w:sz w:val="20"/>
        </w:rPr>
        <w:t>гипертензию;</w:t>
      </w:r>
    </w:p>
    <w:p>
      <w:pPr>
        <w:pStyle w:val="ListParagraph"/>
        <w:numPr>
          <w:ilvl w:val="1"/>
          <w:numId w:val="119"/>
        </w:numPr>
        <w:tabs>
          <w:tab w:pos="836" w:val="left" w:leader="none"/>
        </w:tabs>
        <w:spacing w:line="240" w:lineRule="auto" w:before="34" w:after="0"/>
        <w:ind w:left="836" w:right="0" w:hanging="118"/>
        <w:jc w:val="left"/>
        <w:rPr>
          <w:sz w:val="20"/>
        </w:rPr>
      </w:pPr>
      <w:r>
        <w:rPr>
          <w:sz w:val="20"/>
        </w:rPr>
        <w:t>хроническое</w:t>
      </w:r>
      <w:r>
        <w:rPr>
          <w:spacing w:val="-10"/>
          <w:sz w:val="20"/>
        </w:rPr>
        <w:t> </w:t>
      </w:r>
      <w:r>
        <w:rPr>
          <w:sz w:val="20"/>
        </w:rPr>
        <w:t>заболевание</w:t>
      </w:r>
      <w:r>
        <w:rPr>
          <w:spacing w:val="-8"/>
          <w:sz w:val="20"/>
        </w:rPr>
        <w:t> </w:t>
      </w:r>
      <w:r>
        <w:rPr>
          <w:sz w:val="20"/>
        </w:rPr>
        <w:t>легких,</w:t>
      </w:r>
      <w:r>
        <w:rPr>
          <w:spacing w:val="-9"/>
          <w:sz w:val="20"/>
        </w:rPr>
        <w:t> </w:t>
      </w:r>
      <w:r>
        <w:rPr>
          <w:sz w:val="20"/>
        </w:rPr>
        <w:t>включая</w:t>
      </w:r>
      <w:r>
        <w:rPr>
          <w:spacing w:val="-10"/>
          <w:sz w:val="20"/>
        </w:rPr>
        <w:t> </w:t>
      </w:r>
      <w:r>
        <w:rPr>
          <w:sz w:val="20"/>
        </w:rPr>
        <w:t>бронхиальную</w:t>
      </w:r>
      <w:r>
        <w:rPr>
          <w:spacing w:val="-10"/>
          <w:sz w:val="20"/>
        </w:rPr>
        <w:t> </w:t>
      </w:r>
      <w:r>
        <w:rPr>
          <w:sz w:val="20"/>
        </w:rPr>
        <w:t>астму,</w:t>
      </w:r>
      <w:r>
        <w:rPr>
          <w:spacing w:val="-9"/>
          <w:sz w:val="20"/>
        </w:rPr>
        <w:t> </w:t>
      </w:r>
      <w:r>
        <w:rPr>
          <w:spacing w:val="-2"/>
          <w:sz w:val="20"/>
        </w:rPr>
        <w:t>ХОБЛ;</w:t>
      </w:r>
    </w:p>
    <w:p>
      <w:pPr>
        <w:pStyle w:val="ListParagraph"/>
        <w:numPr>
          <w:ilvl w:val="1"/>
          <w:numId w:val="119"/>
        </w:numPr>
        <w:tabs>
          <w:tab w:pos="837" w:val="left" w:leader="none"/>
        </w:tabs>
        <w:spacing w:line="240" w:lineRule="auto" w:before="34" w:after="0"/>
        <w:ind w:left="837" w:right="0" w:hanging="119"/>
        <w:jc w:val="left"/>
        <w:rPr>
          <w:sz w:val="20"/>
        </w:rPr>
      </w:pPr>
      <w:r>
        <w:rPr>
          <w:sz w:val="20"/>
        </w:rPr>
        <w:t>сахарный</w:t>
      </w:r>
      <w:r>
        <w:rPr>
          <w:spacing w:val="-6"/>
          <w:sz w:val="20"/>
        </w:rPr>
        <w:t> </w:t>
      </w:r>
      <w:r>
        <w:rPr>
          <w:sz w:val="20"/>
        </w:rPr>
        <w:t>диабет</w:t>
      </w:r>
      <w:r>
        <w:rPr>
          <w:spacing w:val="-5"/>
          <w:sz w:val="20"/>
        </w:rPr>
        <w:t> </w:t>
      </w:r>
      <w:r>
        <w:rPr>
          <w:sz w:val="20"/>
        </w:rPr>
        <w:t>1</w:t>
      </w:r>
      <w:r>
        <w:rPr>
          <w:spacing w:val="-3"/>
          <w:sz w:val="20"/>
        </w:rPr>
        <w:t> </w:t>
      </w:r>
      <w:r>
        <w:rPr>
          <w:sz w:val="20"/>
        </w:rPr>
        <w:t>или</w:t>
      </w:r>
      <w:r>
        <w:rPr>
          <w:spacing w:val="-5"/>
          <w:sz w:val="20"/>
        </w:rPr>
        <w:t> </w:t>
      </w:r>
      <w:r>
        <w:rPr>
          <w:sz w:val="20"/>
        </w:rPr>
        <w:t>2</w:t>
      </w:r>
      <w:r>
        <w:rPr>
          <w:spacing w:val="-4"/>
          <w:sz w:val="20"/>
        </w:rPr>
        <w:t> </w:t>
      </w:r>
      <w:r>
        <w:rPr>
          <w:spacing w:val="-2"/>
          <w:sz w:val="20"/>
        </w:rPr>
        <w:t>типа;</w:t>
      </w:r>
    </w:p>
    <w:p>
      <w:pPr>
        <w:pStyle w:val="ListParagraph"/>
        <w:numPr>
          <w:ilvl w:val="1"/>
          <w:numId w:val="119"/>
        </w:numPr>
        <w:tabs>
          <w:tab w:pos="836" w:val="left" w:leader="none"/>
        </w:tabs>
        <w:spacing w:line="240" w:lineRule="auto" w:before="36" w:after="0"/>
        <w:ind w:left="836" w:right="0" w:hanging="118"/>
        <w:jc w:val="left"/>
        <w:rPr>
          <w:sz w:val="20"/>
        </w:rPr>
      </w:pPr>
      <w:r>
        <w:rPr>
          <w:sz w:val="20"/>
        </w:rPr>
        <w:t>хроническое</w:t>
      </w:r>
      <w:r>
        <w:rPr>
          <w:spacing w:val="-10"/>
          <w:sz w:val="20"/>
        </w:rPr>
        <w:t> </w:t>
      </w:r>
      <w:r>
        <w:rPr>
          <w:sz w:val="20"/>
        </w:rPr>
        <w:t>заболевание</w:t>
      </w:r>
      <w:r>
        <w:rPr>
          <w:spacing w:val="-9"/>
          <w:sz w:val="20"/>
        </w:rPr>
        <w:t> </w:t>
      </w:r>
      <w:r>
        <w:rPr>
          <w:sz w:val="20"/>
        </w:rPr>
        <w:t>почек,</w:t>
      </w:r>
      <w:r>
        <w:rPr>
          <w:spacing w:val="-10"/>
          <w:sz w:val="20"/>
        </w:rPr>
        <w:t> </w:t>
      </w:r>
      <w:r>
        <w:rPr>
          <w:sz w:val="20"/>
        </w:rPr>
        <w:t>включая</w:t>
      </w:r>
      <w:r>
        <w:rPr>
          <w:spacing w:val="-11"/>
          <w:sz w:val="20"/>
        </w:rPr>
        <w:t> </w:t>
      </w:r>
      <w:r>
        <w:rPr>
          <w:sz w:val="20"/>
        </w:rPr>
        <w:t>заболевания,</w:t>
      </w:r>
      <w:r>
        <w:rPr>
          <w:spacing w:val="-8"/>
          <w:sz w:val="20"/>
        </w:rPr>
        <w:t> </w:t>
      </w:r>
      <w:r>
        <w:rPr>
          <w:sz w:val="20"/>
        </w:rPr>
        <w:t>требующие</w:t>
      </w:r>
      <w:r>
        <w:rPr>
          <w:spacing w:val="-10"/>
          <w:sz w:val="20"/>
        </w:rPr>
        <w:t> </w:t>
      </w:r>
      <w:r>
        <w:rPr>
          <w:spacing w:val="-2"/>
          <w:sz w:val="20"/>
        </w:rPr>
        <w:t>диализа;</w:t>
      </w:r>
    </w:p>
    <w:p>
      <w:pPr>
        <w:pStyle w:val="ListParagraph"/>
        <w:numPr>
          <w:ilvl w:val="1"/>
          <w:numId w:val="119"/>
        </w:numPr>
        <w:tabs>
          <w:tab w:pos="836" w:val="left" w:leader="none"/>
        </w:tabs>
        <w:spacing w:line="240" w:lineRule="auto" w:before="34" w:after="0"/>
        <w:ind w:left="836" w:right="0" w:hanging="118"/>
        <w:jc w:val="left"/>
        <w:rPr>
          <w:sz w:val="20"/>
        </w:rPr>
      </w:pPr>
      <w:r>
        <w:rPr>
          <w:sz w:val="20"/>
        </w:rPr>
        <w:t>иммуносупрессия,</w:t>
      </w:r>
      <w:r>
        <w:rPr>
          <w:spacing w:val="-10"/>
          <w:sz w:val="20"/>
        </w:rPr>
        <w:t> </w:t>
      </w:r>
      <w:r>
        <w:rPr>
          <w:sz w:val="20"/>
        </w:rPr>
        <w:t>по</w:t>
      </w:r>
      <w:r>
        <w:rPr>
          <w:spacing w:val="-8"/>
          <w:sz w:val="20"/>
        </w:rPr>
        <w:t> </w:t>
      </w:r>
      <w:r>
        <w:rPr>
          <w:sz w:val="20"/>
        </w:rPr>
        <w:t>оценке</w:t>
      </w:r>
      <w:r>
        <w:rPr>
          <w:spacing w:val="-10"/>
          <w:sz w:val="20"/>
        </w:rPr>
        <w:t> </w:t>
      </w:r>
      <w:r>
        <w:rPr>
          <w:sz w:val="20"/>
        </w:rPr>
        <w:t>лечащего</w:t>
      </w:r>
      <w:r>
        <w:rPr>
          <w:spacing w:val="-8"/>
          <w:sz w:val="20"/>
        </w:rPr>
        <w:t> </w:t>
      </w:r>
      <w:r>
        <w:rPr>
          <w:spacing w:val="-2"/>
          <w:sz w:val="20"/>
        </w:rPr>
        <w:t>врача.</w:t>
      </w:r>
    </w:p>
    <w:p>
      <w:pPr>
        <w:spacing w:line="276" w:lineRule="auto" w:before="34"/>
        <w:ind w:left="438" w:right="30" w:firstLine="0"/>
        <w:jc w:val="both"/>
        <w:rPr>
          <w:sz w:val="20"/>
        </w:rPr>
      </w:pPr>
      <w:r>
        <w:rPr>
          <w:sz w:val="20"/>
        </w:rPr>
        <w:t>Примеры</w:t>
      </w:r>
      <w:r>
        <w:rPr>
          <w:spacing w:val="30"/>
          <w:sz w:val="20"/>
        </w:rPr>
        <w:t> </w:t>
      </w:r>
      <w:r>
        <w:rPr>
          <w:sz w:val="20"/>
        </w:rPr>
        <w:t>включают</w:t>
      </w:r>
      <w:r>
        <w:rPr>
          <w:spacing w:val="31"/>
          <w:sz w:val="20"/>
        </w:rPr>
        <w:t> </w:t>
      </w:r>
      <w:r>
        <w:rPr>
          <w:sz w:val="20"/>
        </w:rPr>
        <w:t>лечение</w:t>
      </w:r>
      <w:r>
        <w:rPr>
          <w:spacing w:val="30"/>
          <w:sz w:val="20"/>
        </w:rPr>
        <w:t> </w:t>
      </w:r>
      <w:r>
        <w:rPr>
          <w:sz w:val="20"/>
        </w:rPr>
        <w:t>онкологического</w:t>
      </w:r>
      <w:r>
        <w:rPr>
          <w:spacing w:val="30"/>
          <w:sz w:val="20"/>
        </w:rPr>
        <w:t> </w:t>
      </w:r>
      <w:r>
        <w:rPr>
          <w:sz w:val="20"/>
        </w:rPr>
        <w:t>заболевания,</w:t>
      </w:r>
      <w:r>
        <w:rPr>
          <w:spacing w:val="29"/>
          <w:sz w:val="20"/>
        </w:rPr>
        <w:t> </w:t>
      </w:r>
      <w:r>
        <w:rPr>
          <w:sz w:val="20"/>
        </w:rPr>
        <w:t>трансплантацию</w:t>
      </w:r>
      <w:r>
        <w:rPr>
          <w:spacing w:val="32"/>
          <w:sz w:val="20"/>
        </w:rPr>
        <w:t> </w:t>
      </w:r>
      <w:r>
        <w:rPr>
          <w:sz w:val="20"/>
        </w:rPr>
        <w:t>костного</w:t>
      </w:r>
      <w:r>
        <w:rPr>
          <w:spacing w:val="30"/>
          <w:sz w:val="20"/>
        </w:rPr>
        <w:t> </w:t>
      </w:r>
      <w:r>
        <w:rPr>
          <w:sz w:val="20"/>
        </w:rPr>
        <w:t>мозга</w:t>
      </w:r>
      <w:r>
        <w:rPr>
          <w:spacing w:val="30"/>
          <w:sz w:val="20"/>
        </w:rPr>
        <w:t> </w:t>
      </w:r>
      <w:r>
        <w:rPr>
          <w:sz w:val="20"/>
        </w:rPr>
        <w:t>или</w:t>
      </w:r>
      <w:r>
        <w:rPr>
          <w:spacing w:val="28"/>
          <w:sz w:val="20"/>
        </w:rPr>
        <w:t> </w:t>
      </w:r>
      <w:r>
        <w:rPr>
          <w:sz w:val="20"/>
        </w:rPr>
        <w:t>органов,</w:t>
      </w:r>
      <w:r>
        <w:rPr>
          <w:spacing w:val="29"/>
          <w:sz w:val="20"/>
        </w:rPr>
        <w:t> </w:t>
      </w:r>
      <w:r>
        <w:rPr>
          <w:sz w:val="20"/>
        </w:rPr>
        <w:t>иммунодефицит,</w:t>
      </w:r>
      <w:r>
        <w:rPr>
          <w:spacing w:val="32"/>
          <w:sz w:val="20"/>
        </w:rPr>
        <w:t> </w:t>
      </w:r>
      <w:r>
        <w:rPr>
          <w:sz w:val="20"/>
        </w:rPr>
        <w:t>ВИЧ-инфекция</w:t>
      </w:r>
      <w:r>
        <w:rPr>
          <w:spacing w:val="29"/>
          <w:sz w:val="20"/>
        </w:rPr>
        <w:t> </w:t>
      </w:r>
      <w:r>
        <w:rPr>
          <w:sz w:val="20"/>
        </w:rPr>
        <w:t>(при</w:t>
      </w:r>
      <w:r>
        <w:rPr>
          <w:spacing w:val="31"/>
          <w:sz w:val="20"/>
        </w:rPr>
        <w:t> </w:t>
      </w:r>
      <w:r>
        <w:rPr>
          <w:sz w:val="20"/>
        </w:rPr>
        <w:t>недостаточном</w:t>
      </w:r>
      <w:r>
        <w:rPr>
          <w:spacing w:val="30"/>
          <w:sz w:val="20"/>
        </w:rPr>
        <w:t> </w:t>
      </w:r>
      <w:r>
        <w:rPr>
          <w:sz w:val="20"/>
        </w:rPr>
        <w:t>контроле или при наличии СПИДа), серповидно-клеточную анемию, талассемию и длительное применение лекарственных препаратов, ослабляющих иммунитет. Наличие данных факторов является критерием для увеличения исходной степени тяжести течения заболевания.</w:t>
      </w:r>
    </w:p>
    <w:p>
      <w:pPr>
        <w:pStyle w:val="BodyText"/>
        <w:spacing w:before="34"/>
        <w:ind w:left="0"/>
        <w:jc w:val="left"/>
        <w:rPr>
          <w:sz w:val="20"/>
        </w:rPr>
      </w:pPr>
    </w:p>
    <w:p>
      <w:pPr>
        <w:pStyle w:val="ListParagraph"/>
        <w:numPr>
          <w:ilvl w:val="0"/>
          <w:numId w:val="120"/>
        </w:numPr>
        <w:tabs>
          <w:tab w:pos="727" w:val="left" w:leader="none"/>
        </w:tabs>
        <w:spacing w:line="240" w:lineRule="auto" w:before="0" w:after="0"/>
        <w:ind w:left="727" w:right="0" w:hanging="150"/>
        <w:jc w:val="both"/>
        <w:rPr>
          <w:sz w:val="20"/>
        </w:rPr>
      </w:pPr>
      <w:r>
        <w:rPr>
          <w:sz w:val="20"/>
        </w:rPr>
        <w:t>–</w:t>
      </w:r>
      <w:r>
        <w:rPr>
          <w:spacing w:val="-9"/>
          <w:sz w:val="20"/>
        </w:rPr>
        <w:t> </w:t>
      </w:r>
      <w:r>
        <w:rPr>
          <w:sz w:val="20"/>
        </w:rPr>
        <w:t>при</w:t>
      </w:r>
      <w:r>
        <w:rPr>
          <w:spacing w:val="-10"/>
          <w:sz w:val="20"/>
        </w:rPr>
        <w:t> </w:t>
      </w:r>
      <w:r>
        <w:rPr>
          <w:sz w:val="20"/>
        </w:rPr>
        <w:t>наличии</w:t>
      </w:r>
      <w:r>
        <w:rPr>
          <w:spacing w:val="-10"/>
          <w:sz w:val="20"/>
        </w:rPr>
        <w:t> </w:t>
      </w:r>
      <w:r>
        <w:rPr>
          <w:sz w:val="20"/>
        </w:rPr>
        <w:t>противопоказаний</w:t>
      </w:r>
      <w:r>
        <w:rPr>
          <w:spacing w:val="-11"/>
          <w:sz w:val="20"/>
        </w:rPr>
        <w:t> </w:t>
      </w:r>
      <w:r>
        <w:rPr>
          <w:sz w:val="20"/>
        </w:rPr>
        <w:t>к</w:t>
      </w:r>
      <w:r>
        <w:rPr>
          <w:spacing w:val="-10"/>
          <w:sz w:val="20"/>
        </w:rPr>
        <w:t> </w:t>
      </w:r>
      <w:r>
        <w:rPr>
          <w:sz w:val="20"/>
        </w:rPr>
        <w:t>применению</w:t>
      </w:r>
      <w:r>
        <w:rPr>
          <w:spacing w:val="-10"/>
          <w:sz w:val="20"/>
        </w:rPr>
        <w:t> </w:t>
      </w:r>
      <w:r>
        <w:rPr>
          <w:sz w:val="20"/>
        </w:rPr>
        <w:t>и/или</w:t>
      </w:r>
      <w:r>
        <w:rPr>
          <w:spacing w:val="-9"/>
          <w:sz w:val="20"/>
        </w:rPr>
        <w:t> </w:t>
      </w:r>
      <w:r>
        <w:rPr>
          <w:sz w:val="20"/>
        </w:rPr>
        <w:t>возможности</w:t>
      </w:r>
      <w:r>
        <w:rPr>
          <w:spacing w:val="-9"/>
          <w:sz w:val="20"/>
        </w:rPr>
        <w:t> </w:t>
      </w:r>
      <w:r>
        <w:rPr>
          <w:sz w:val="20"/>
        </w:rPr>
        <w:t>применения</w:t>
      </w:r>
      <w:r>
        <w:rPr>
          <w:spacing w:val="-10"/>
          <w:sz w:val="20"/>
        </w:rPr>
        <w:t> </w:t>
      </w:r>
      <w:r>
        <w:rPr>
          <w:sz w:val="20"/>
        </w:rPr>
        <w:t>генно-инженерных</w:t>
      </w:r>
      <w:r>
        <w:rPr>
          <w:spacing w:val="-9"/>
          <w:sz w:val="20"/>
        </w:rPr>
        <w:t> </w:t>
      </w:r>
      <w:r>
        <w:rPr>
          <w:sz w:val="20"/>
        </w:rPr>
        <w:t>биологических</w:t>
      </w:r>
      <w:r>
        <w:rPr>
          <w:spacing w:val="-9"/>
          <w:sz w:val="20"/>
        </w:rPr>
        <w:t> </w:t>
      </w:r>
      <w:r>
        <w:rPr>
          <w:spacing w:val="-2"/>
          <w:sz w:val="20"/>
        </w:rPr>
        <w:t>препаратов;</w:t>
      </w:r>
    </w:p>
    <w:p>
      <w:pPr>
        <w:pStyle w:val="ListParagraph"/>
        <w:numPr>
          <w:ilvl w:val="0"/>
          <w:numId w:val="120"/>
        </w:numPr>
        <w:tabs>
          <w:tab w:pos="746" w:val="left" w:leader="none"/>
        </w:tabs>
        <w:spacing w:line="276" w:lineRule="auto" w:before="34" w:after="0"/>
        <w:ind w:left="577" w:right="25" w:firstLine="0"/>
        <w:jc w:val="both"/>
        <w:rPr>
          <w:sz w:val="20"/>
        </w:rPr>
      </w:pPr>
      <w:r>
        <w:rPr>
          <w:sz w:val="20"/>
        </w:rPr>
        <w:t>– пациентам с высоким риском тяжелого течения заболевания (возраст старше 65 лет, наличие сопутствующих заболеваний (сахарный диабет, ожирение, хронические заболевания</w:t>
      </w:r>
      <w:r>
        <w:rPr>
          <w:spacing w:val="40"/>
          <w:sz w:val="20"/>
        </w:rPr>
        <w:t> </w:t>
      </w:r>
      <w:r>
        <w:rPr>
          <w:sz w:val="20"/>
        </w:rPr>
        <w:t>сердечно-сосудистой</w:t>
      </w:r>
      <w:r>
        <w:rPr>
          <w:spacing w:val="38"/>
          <w:sz w:val="20"/>
        </w:rPr>
        <w:t> </w:t>
      </w:r>
      <w:r>
        <w:rPr>
          <w:sz w:val="20"/>
        </w:rPr>
        <w:t>системы)</w:t>
      </w:r>
      <w:r>
        <w:rPr>
          <w:spacing w:val="40"/>
          <w:sz w:val="20"/>
        </w:rPr>
        <w:t> </w:t>
      </w:r>
      <w:r>
        <w:rPr>
          <w:sz w:val="20"/>
        </w:rPr>
        <w:t>в</w:t>
      </w:r>
      <w:r>
        <w:rPr>
          <w:spacing w:val="38"/>
          <w:sz w:val="20"/>
        </w:rPr>
        <w:t> </w:t>
      </w:r>
      <w:r>
        <w:rPr>
          <w:sz w:val="20"/>
        </w:rPr>
        <w:t>течение</w:t>
      </w:r>
      <w:r>
        <w:rPr>
          <w:spacing w:val="40"/>
          <w:sz w:val="20"/>
        </w:rPr>
        <w:t> </w:t>
      </w:r>
      <w:r>
        <w:rPr>
          <w:sz w:val="20"/>
        </w:rPr>
        <w:t>первых</w:t>
      </w:r>
      <w:r>
        <w:rPr>
          <w:spacing w:val="40"/>
          <w:sz w:val="20"/>
        </w:rPr>
        <w:t> </w:t>
      </w:r>
      <w:r>
        <w:rPr>
          <w:sz w:val="20"/>
        </w:rPr>
        <w:t>7</w:t>
      </w:r>
      <w:r>
        <w:rPr>
          <w:spacing w:val="40"/>
          <w:sz w:val="20"/>
        </w:rPr>
        <w:t> </w:t>
      </w:r>
      <w:r>
        <w:rPr>
          <w:sz w:val="20"/>
        </w:rPr>
        <w:t>дней</w:t>
      </w:r>
      <w:r>
        <w:rPr>
          <w:spacing w:val="40"/>
          <w:sz w:val="20"/>
        </w:rPr>
        <w:t> </w:t>
      </w:r>
      <w:r>
        <w:rPr>
          <w:sz w:val="20"/>
        </w:rPr>
        <w:t>болезни</w:t>
      </w:r>
      <w:r>
        <w:rPr>
          <w:spacing w:val="40"/>
          <w:sz w:val="20"/>
        </w:rPr>
        <w:t> </w:t>
      </w:r>
      <w:r>
        <w:rPr>
          <w:sz w:val="20"/>
        </w:rPr>
        <w:t>или</w:t>
      </w:r>
      <w:r>
        <w:rPr>
          <w:spacing w:val="40"/>
          <w:sz w:val="20"/>
        </w:rPr>
        <w:t> </w:t>
      </w:r>
      <w:r>
        <w:rPr>
          <w:sz w:val="20"/>
        </w:rPr>
        <w:t>при</w:t>
      </w:r>
      <w:r>
        <w:rPr>
          <w:spacing w:val="40"/>
          <w:sz w:val="20"/>
        </w:rPr>
        <w:t> </w:t>
      </w:r>
      <w:r>
        <w:rPr>
          <w:sz w:val="20"/>
        </w:rPr>
        <w:t>положительном</w:t>
      </w:r>
      <w:r>
        <w:rPr>
          <w:spacing w:val="40"/>
          <w:sz w:val="20"/>
        </w:rPr>
        <w:t> </w:t>
      </w:r>
      <w:r>
        <w:rPr>
          <w:sz w:val="20"/>
        </w:rPr>
        <w:t>результате</w:t>
      </w:r>
      <w:r>
        <w:rPr>
          <w:spacing w:val="40"/>
          <w:sz w:val="20"/>
        </w:rPr>
        <w:t> </w:t>
      </w:r>
      <w:r>
        <w:rPr>
          <w:sz w:val="20"/>
        </w:rPr>
        <w:t>лабораторного</w:t>
      </w:r>
      <w:r>
        <w:rPr>
          <w:spacing w:val="40"/>
          <w:sz w:val="20"/>
        </w:rPr>
        <w:t> </w:t>
      </w:r>
      <w:r>
        <w:rPr>
          <w:sz w:val="20"/>
        </w:rPr>
        <w:t>исследования</w:t>
      </w:r>
      <w:r>
        <w:rPr>
          <w:spacing w:val="39"/>
          <w:sz w:val="20"/>
        </w:rPr>
        <w:t> </w:t>
      </w:r>
      <w:r>
        <w:rPr>
          <w:sz w:val="20"/>
        </w:rPr>
        <w:t>на</w:t>
      </w:r>
      <w:r>
        <w:rPr>
          <w:spacing w:val="40"/>
          <w:sz w:val="20"/>
        </w:rPr>
        <w:t> </w:t>
      </w:r>
      <w:r>
        <w:rPr>
          <w:sz w:val="20"/>
        </w:rPr>
        <w:t>РНК</w:t>
      </w:r>
      <w:r>
        <w:rPr>
          <w:spacing w:val="39"/>
          <w:sz w:val="20"/>
        </w:rPr>
        <w:t> </w:t>
      </w:r>
      <w:r>
        <w:rPr>
          <w:sz w:val="20"/>
        </w:rPr>
        <w:t>SARS-CoV-2 или антигены SARS-CoV-2;</w:t>
      </w:r>
    </w:p>
    <w:p>
      <w:pPr>
        <w:pStyle w:val="ListParagraph"/>
        <w:numPr>
          <w:ilvl w:val="0"/>
          <w:numId w:val="120"/>
        </w:numPr>
        <w:tabs>
          <w:tab w:pos="727" w:val="left" w:leader="none"/>
        </w:tabs>
        <w:spacing w:line="240" w:lineRule="auto" w:before="0" w:after="0"/>
        <w:ind w:left="727" w:right="0" w:hanging="150"/>
        <w:jc w:val="both"/>
        <w:rPr>
          <w:sz w:val="20"/>
        </w:rPr>
      </w:pPr>
      <w:r>
        <w:rPr>
          <w:sz w:val="20"/>
        </w:rPr>
        <w:t>–</w:t>
      </w:r>
      <w:r>
        <w:rPr>
          <w:spacing w:val="-4"/>
          <w:sz w:val="20"/>
        </w:rPr>
        <w:t> </w:t>
      </w:r>
      <w:r>
        <w:rPr>
          <w:sz w:val="20"/>
        </w:rPr>
        <w:t>только</w:t>
      </w:r>
      <w:r>
        <w:rPr>
          <w:spacing w:val="-5"/>
          <w:sz w:val="20"/>
        </w:rPr>
        <w:t> </w:t>
      </w:r>
      <w:r>
        <w:rPr>
          <w:sz w:val="20"/>
        </w:rPr>
        <w:t>при</w:t>
      </w:r>
      <w:r>
        <w:rPr>
          <w:spacing w:val="-6"/>
          <w:sz w:val="20"/>
        </w:rPr>
        <w:t> </w:t>
      </w:r>
      <w:r>
        <w:rPr>
          <w:sz w:val="20"/>
        </w:rPr>
        <w:t>дыхательной</w:t>
      </w:r>
      <w:r>
        <w:rPr>
          <w:spacing w:val="-4"/>
          <w:sz w:val="20"/>
        </w:rPr>
        <w:t> </w:t>
      </w:r>
      <w:r>
        <w:rPr>
          <w:spacing w:val="-2"/>
          <w:sz w:val="20"/>
        </w:rPr>
        <w:t>недостаточности.</w:t>
      </w:r>
    </w:p>
    <w:p>
      <w:pPr>
        <w:pStyle w:val="ListParagraph"/>
        <w:numPr>
          <w:ilvl w:val="0"/>
          <w:numId w:val="120"/>
        </w:numPr>
        <w:tabs>
          <w:tab w:pos="763" w:val="left" w:leader="none"/>
        </w:tabs>
        <w:spacing w:line="276" w:lineRule="auto" w:before="34" w:after="0"/>
        <w:ind w:left="577" w:right="25" w:firstLine="0"/>
        <w:jc w:val="both"/>
        <w:rPr>
          <w:sz w:val="20"/>
        </w:rPr>
      </w:pPr>
      <w:r>
        <w:rPr>
          <w:sz w:val="20"/>
        </w:rPr>
        <w:t>пероральный</w:t>
      </w:r>
      <w:r>
        <w:rPr>
          <w:spacing w:val="34"/>
          <w:sz w:val="20"/>
        </w:rPr>
        <w:t> </w:t>
      </w:r>
      <w:r>
        <w:rPr>
          <w:sz w:val="20"/>
        </w:rPr>
        <w:t>прием</w:t>
      </w:r>
      <w:r>
        <w:rPr>
          <w:spacing w:val="36"/>
          <w:sz w:val="20"/>
        </w:rPr>
        <w:t> </w:t>
      </w:r>
      <w:r>
        <w:rPr>
          <w:sz w:val="20"/>
        </w:rPr>
        <w:t>препарата молнупиравир</w:t>
      </w:r>
      <w:r>
        <w:rPr>
          <w:spacing w:val="35"/>
          <w:sz w:val="20"/>
        </w:rPr>
        <w:t> </w:t>
      </w:r>
      <w:r>
        <w:rPr>
          <w:sz w:val="20"/>
        </w:rPr>
        <w:t>или</w:t>
      </w:r>
      <w:r>
        <w:rPr>
          <w:spacing w:val="35"/>
          <w:sz w:val="20"/>
        </w:rPr>
        <w:t> </w:t>
      </w:r>
      <w:r>
        <w:rPr>
          <w:sz w:val="20"/>
        </w:rPr>
        <w:t>препарата нирматрелвир+ритонавир</w:t>
      </w:r>
      <w:r>
        <w:rPr>
          <w:spacing w:val="34"/>
          <w:sz w:val="20"/>
        </w:rPr>
        <w:t> </w:t>
      </w:r>
      <w:r>
        <w:rPr>
          <w:sz w:val="20"/>
        </w:rPr>
        <w:t>должен быть</w:t>
      </w:r>
      <w:r>
        <w:rPr>
          <w:spacing w:val="34"/>
          <w:sz w:val="20"/>
        </w:rPr>
        <w:t> </w:t>
      </w:r>
      <w:r>
        <w:rPr>
          <w:sz w:val="20"/>
        </w:rPr>
        <w:t>начат</w:t>
      </w:r>
      <w:r>
        <w:rPr>
          <w:spacing w:val="34"/>
          <w:sz w:val="20"/>
        </w:rPr>
        <w:t> </w:t>
      </w:r>
      <w:r>
        <w:rPr>
          <w:sz w:val="20"/>
        </w:rPr>
        <w:t>как можно раньше</w:t>
      </w:r>
      <w:r>
        <w:rPr>
          <w:spacing w:val="35"/>
          <w:sz w:val="20"/>
        </w:rPr>
        <w:t> </w:t>
      </w:r>
      <w:r>
        <w:rPr>
          <w:sz w:val="20"/>
        </w:rPr>
        <w:t>после</w:t>
      </w:r>
      <w:r>
        <w:rPr>
          <w:spacing w:val="34"/>
          <w:sz w:val="20"/>
        </w:rPr>
        <w:t> </w:t>
      </w:r>
      <w:r>
        <w:rPr>
          <w:sz w:val="20"/>
        </w:rPr>
        <w:t>постановки диагноза</w:t>
      </w:r>
      <w:r>
        <w:rPr>
          <w:spacing w:val="35"/>
          <w:sz w:val="20"/>
        </w:rPr>
        <w:t> </w:t>
      </w:r>
      <w:r>
        <w:rPr>
          <w:sz w:val="20"/>
        </w:rPr>
        <w:t>COVID-19 и/или в течение 5 дней после появления первых симптомов заболевания у взрослых пациентов с легким и среднетяжелым течением, в том числе с высоким риском прогрессирования до тяжелого течения заболевания</w:t>
      </w: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187"/>
        <w:ind w:left="0"/>
        <w:jc w:val="left"/>
        <w:rPr>
          <w:sz w:val="22"/>
        </w:rPr>
      </w:pPr>
    </w:p>
    <w:p>
      <w:pPr>
        <w:spacing w:before="0"/>
        <w:ind w:left="0" w:right="15" w:firstLine="0"/>
        <w:jc w:val="center"/>
        <w:rPr>
          <w:rFonts w:ascii="Calibri"/>
          <w:sz w:val="22"/>
        </w:rPr>
      </w:pPr>
      <w:r>
        <w:rPr>
          <w:rFonts w:ascii="Calibri"/>
          <w:spacing w:val="-5"/>
          <w:sz w:val="22"/>
        </w:rPr>
        <w:t>221</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Heading3"/>
        <w:spacing w:before="63"/>
        <w:ind w:left="0" w:right="136"/>
        <w:jc w:val="right"/>
      </w:pPr>
      <w:bookmarkStart w:name="_TOC_250004" w:id="265"/>
      <w:bookmarkStart w:name="223" w:id="266"/>
      <w:r>
        <w:rPr>
          <w:b w:val="0"/>
        </w:rPr>
      </w:r>
      <w:r>
        <w:rPr>
          <w:color w:val="1F487C"/>
          <w:spacing w:val="-2"/>
        </w:rPr>
        <w:t>Приложение</w:t>
      </w:r>
      <w:r>
        <w:rPr>
          <w:color w:val="1F487C"/>
          <w:spacing w:val="1"/>
        </w:rPr>
        <w:t> </w:t>
      </w:r>
      <w:bookmarkEnd w:id="265"/>
      <w:r>
        <w:rPr>
          <w:color w:val="1F487C"/>
          <w:spacing w:val="-10"/>
        </w:rPr>
        <w:t>9</w:t>
      </w:r>
    </w:p>
    <w:p>
      <w:pPr>
        <w:spacing w:before="141"/>
        <w:ind w:left="2140" w:right="2276" w:firstLine="0"/>
        <w:jc w:val="center"/>
        <w:rPr>
          <w:b/>
          <w:sz w:val="24"/>
        </w:rPr>
      </w:pPr>
      <w:r>
        <w:rPr>
          <w:b/>
          <w:spacing w:val="-2"/>
          <w:sz w:val="24"/>
        </w:rPr>
        <w:t>Инструкция</w:t>
      </w:r>
    </w:p>
    <w:p>
      <w:pPr>
        <w:spacing w:line="278" w:lineRule="auto" w:before="41"/>
        <w:ind w:left="2135" w:right="2276" w:firstLine="0"/>
        <w:jc w:val="center"/>
        <w:rPr>
          <w:b/>
          <w:sz w:val="24"/>
        </w:rPr>
      </w:pPr>
      <w:r>
        <w:rPr>
          <w:b/>
          <w:sz w:val="24"/>
        </w:rPr>
        <w:t>по соблюдению мер инфекционной безопасности для</w:t>
      </w:r>
      <w:r>
        <w:rPr>
          <w:b/>
          <w:spacing w:val="-9"/>
          <w:sz w:val="24"/>
        </w:rPr>
        <w:t> </w:t>
      </w:r>
      <w:r>
        <w:rPr>
          <w:b/>
          <w:sz w:val="24"/>
        </w:rPr>
        <w:t>выездных</w:t>
      </w:r>
      <w:r>
        <w:rPr>
          <w:b/>
          <w:spacing w:val="-10"/>
          <w:sz w:val="24"/>
        </w:rPr>
        <w:t> </w:t>
      </w:r>
      <w:r>
        <w:rPr>
          <w:b/>
          <w:sz w:val="24"/>
        </w:rPr>
        <w:t>бригад</w:t>
      </w:r>
      <w:r>
        <w:rPr>
          <w:b/>
          <w:spacing w:val="-11"/>
          <w:sz w:val="24"/>
        </w:rPr>
        <w:t> </w:t>
      </w:r>
      <w:r>
        <w:rPr>
          <w:b/>
          <w:sz w:val="24"/>
        </w:rPr>
        <w:t>скорой</w:t>
      </w:r>
      <w:r>
        <w:rPr>
          <w:b/>
          <w:spacing w:val="-9"/>
          <w:sz w:val="24"/>
        </w:rPr>
        <w:t> </w:t>
      </w:r>
      <w:r>
        <w:rPr>
          <w:b/>
          <w:sz w:val="24"/>
        </w:rPr>
        <w:t>медицинской</w:t>
      </w:r>
      <w:r>
        <w:rPr>
          <w:b/>
          <w:spacing w:val="-11"/>
          <w:sz w:val="24"/>
        </w:rPr>
        <w:t> </w:t>
      </w:r>
      <w:r>
        <w:rPr>
          <w:b/>
          <w:sz w:val="24"/>
        </w:rPr>
        <w:t>помощи</w:t>
      </w:r>
    </w:p>
    <w:p>
      <w:pPr>
        <w:pStyle w:val="BodyText"/>
        <w:spacing w:before="221"/>
        <w:ind w:left="0"/>
        <w:jc w:val="left"/>
        <w:rPr>
          <w:b/>
          <w:sz w:val="22"/>
        </w:rPr>
      </w:pPr>
    </w:p>
    <w:p>
      <w:pPr>
        <w:pStyle w:val="ListParagraph"/>
        <w:numPr>
          <w:ilvl w:val="0"/>
          <w:numId w:val="121"/>
        </w:numPr>
        <w:tabs>
          <w:tab w:pos="563" w:val="left" w:leader="none"/>
          <w:tab w:pos="565" w:val="left" w:leader="none"/>
        </w:tabs>
        <w:spacing w:line="276" w:lineRule="auto" w:before="0" w:after="0"/>
        <w:ind w:left="565" w:right="134" w:hanging="425"/>
        <w:jc w:val="both"/>
        <w:rPr>
          <w:sz w:val="22"/>
        </w:rPr>
      </w:pPr>
      <w:r>
        <w:rPr>
          <w:sz w:val="22"/>
        </w:rPr>
        <w:t>Медицинские работники выездной бригады скорой медицинской помощи (СМП), выполняющей вызов к пациенту с подозрением на COVID-19, непосредственно перед выездом надевают СИЗ. Средства индивидуальной защиты меняются после каждого больного.</w:t>
      </w:r>
    </w:p>
    <w:p>
      <w:pPr>
        <w:pStyle w:val="ListParagraph"/>
        <w:numPr>
          <w:ilvl w:val="0"/>
          <w:numId w:val="121"/>
        </w:numPr>
        <w:tabs>
          <w:tab w:pos="563" w:val="left" w:leader="none"/>
        </w:tabs>
        <w:spacing w:line="251" w:lineRule="exact" w:before="0" w:after="0"/>
        <w:ind w:left="563" w:right="0" w:hanging="423"/>
        <w:jc w:val="both"/>
        <w:rPr>
          <w:sz w:val="22"/>
        </w:rPr>
      </w:pPr>
      <w:r>
        <w:rPr>
          <w:sz w:val="22"/>
        </w:rPr>
        <w:t>Водитель</w:t>
      </w:r>
      <w:r>
        <w:rPr>
          <w:spacing w:val="-7"/>
          <w:sz w:val="22"/>
        </w:rPr>
        <w:t> </w:t>
      </w:r>
      <w:r>
        <w:rPr>
          <w:sz w:val="22"/>
        </w:rPr>
        <w:t>выездной</w:t>
      </w:r>
      <w:r>
        <w:rPr>
          <w:spacing w:val="-7"/>
          <w:sz w:val="22"/>
        </w:rPr>
        <w:t> </w:t>
      </w:r>
      <w:r>
        <w:rPr>
          <w:sz w:val="22"/>
        </w:rPr>
        <w:t>бригады</w:t>
      </w:r>
      <w:r>
        <w:rPr>
          <w:spacing w:val="-4"/>
          <w:sz w:val="22"/>
        </w:rPr>
        <w:t> </w:t>
      </w:r>
      <w:r>
        <w:rPr>
          <w:sz w:val="22"/>
        </w:rPr>
        <w:t>СМП</w:t>
      </w:r>
      <w:r>
        <w:rPr>
          <w:spacing w:val="-7"/>
          <w:sz w:val="22"/>
        </w:rPr>
        <w:t> </w:t>
      </w:r>
      <w:r>
        <w:rPr>
          <w:sz w:val="22"/>
        </w:rPr>
        <w:t>также</w:t>
      </w:r>
      <w:r>
        <w:rPr>
          <w:spacing w:val="-6"/>
          <w:sz w:val="22"/>
        </w:rPr>
        <w:t> </w:t>
      </w:r>
      <w:r>
        <w:rPr>
          <w:sz w:val="22"/>
        </w:rPr>
        <w:t>обеспечивается</w:t>
      </w:r>
      <w:r>
        <w:rPr>
          <w:spacing w:val="-6"/>
          <w:sz w:val="22"/>
        </w:rPr>
        <w:t> </w:t>
      </w:r>
      <w:r>
        <w:rPr>
          <w:spacing w:val="-4"/>
          <w:sz w:val="22"/>
        </w:rPr>
        <w:t>СИЗ.</w:t>
      </w:r>
    </w:p>
    <w:p>
      <w:pPr>
        <w:pStyle w:val="ListParagraph"/>
        <w:numPr>
          <w:ilvl w:val="0"/>
          <w:numId w:val="121"/>
        </w:numPr>
        <w:tabs>
          <w:tab w:pos="563" w:val="left" w:leader="none"/>
          <w:tab w:pos="565" w:val="left" w:leader="none"/>
        </w:tabs>
        <w:spacing w:line="276" w:lineRule="auto" w:before="40" w:after="0"/>
        <w:ind w:left="565" w:right="134" w:hanging="425"/>
        <w:jc w:val="both"/>
        <w:rPr>
          <w:sz w:val="22"/>
        </w:rPr>
      </w:pPr>
      <w:r>
        <w:rPr>
          <w:sz w:val="22"/>
        </w:rPr>
        <w:t>В</w:t>
      </w:r>
      <w:r>
        <w:rPr>
          <w:spacing w:val="23"/>
          <w:sz w:val="22"/>
        </w:rPr>
        <w:t> </w:t>
      </w:r>
      <w:r>
        <w:rPr>
          <w:sz w:val="22"/>
        </w:rPr>
        <w:t>процессе</w:t>
      </w:r>
      <w:r>
        <w:rPr>
          <w:spacing w:val="25"/>
          <w:sz w:val="22"/>
        </w:rPr>
        <w:t> </w:t>
      </w:r>
      <w:r>
        <w:rPr>
          <w:sz w:val="22"/>
        </w:rPr>
        <w:t>медицинской</w:t>
      </w:r>
      <w:r>
        <w:rPr>
          <w:spacing w:val="21"/>
          <w:sz w:val="22"/>
        </w:rPr>
        <w:t> </w:t>
      </w:r>
      <w:r>
        <w:rPr>
          <w:sz w:val="22"/>
        </w:rPr>
        <w:t>эвакуации</w:t>
      </w:r>
      <w:r>
        <w:rPr>
          <w:spacing w:val="24"/>
          <w:sz w:val="22"/>
        </w:rPr>
        <w:t> </w:t>
      </w:r>
      <w:r>
        <w:rPr>
          <w:sz w:val="22"/>
        </w:rPr>
        <w:t>пациента</w:t>
      </w:r>
      <w:r>
        <w:rPr>
          <w:spacing w:val="22"/>
          <w:sz w:val="22"/>
        </w:rPr>
        <w:t> </w:t>
      </w:r>
      <w:r>
        <w:rPr>
          <w:sz w:val="22"/>
        </w:rPr>
        <w:t>с</w:t>
      </w:r>
      <w:r>
        <w:rPr>
          <w:spacing w:val="25"/>
          <w:sz w:val="22"/>
        </w:rPr>
        <w:t> </w:t>
      </w:r>
      <w:r>
        <w:rPr>
          <w:sz w:val="22"/>
        </w:rPr>
        <w:t>подозрением</w:t>
      </w:r>
      <w:r>
        <w:rPr>
          <w:spacing w:val="22"/>
          <w:sz w:val="22"/>
        </w:rPr>
        <w:t> </w:t>
      </w:r>
      <w:r>
        <w:rPr>
          <w:sz w:val="22"/>
        </w:rPr>
        <w:t>на</w:t>
      </w:r>
      <w:r>
        <w:rPr>
          <w:spacing w:val="24"/>
          <w:sz w:val="22"/>
        </w:rPr>
        <w:t> </w:t>
      </w:r>
      <w:r>
        <w:rPr>
          <w:sz w:val="22"/>
        </w:rPr>
        <w:t>COVID-19</w:t>
      </w:r>
      <w:r>
        <w:rPr>
          <w:spacing w:val="24"/>
          <w:sz w:val="22"/>
        </w:rPr>
        <w:t> </w:t>
      </w:r>
      <w:r>
        <w:rPr>
          <w:sz w:val="22"/>
        </w:rPr>
        <w:t>дезинфекция</w:t>
      </w:r>
      <w:r>
        <w:rPr>
          <w:spacing w:val="21"/>
          <w:sz w:val="22"/>
        </w:rPr>
        <w:t> </w:t>
      </w:r>
      <w:r>
        <w:rPr>
          <w:sz w:val="22"/>
        </w:rPr>
        <w:t>воздуха в</w:t>
      </w:r>
      <w:r>
        <w:rPr>
          <w:spacing w:val="-3"/>
          <w:sz w:val="22"/>
        </w:rPr>
        <w:t> </w:t>
      </w:r>
      <w:r>
        <w:rPr>
          <w:sz w:val="22"/>
        </w:rPr>
        <w:t>салоне автомобиля СМП обеспечивается бактерицидными облучателями закрытого типа (рециркуляторами) и (или) другими устройствами для обеззараживания воздуха и (или) поверхностей. Все перевозимые лица обеспечиваются медицинской маской.</w:t>
      </w:r>
    </w:p>
    <w:p>
      <w:pPr>
        <w:pStyle w:val="ListParagraph"/>
        <w:numPr>
          <w:ilvl w:val="0"/>
          <w:numId w:val="121"/>
        </w:numPr>
        <w:tabs>
          <w:tab w:pos="563" w:val="left" w:leader="none"/>
          <w:tab w:pos="565" w:val="left" w:leader="none"/>
        </w:tabs>
        <w:spacing w:line="276" w:lineRule="auto" w:before="0" w:after="0"/>
        <w:ind w:left="565" w:right="138" w:hanging="425"/>
        <w:jc w:val="both"/>
        <w:rPr>
          <w:sz w:val="22"/>
        </w:rPr>
      </w:pPr>
      <w:r>
        <w:rPr>
          <w:sz w:val="22"/>
        </w:rPr>
        <w:t>В случае загрязнения салона биологическим материалом от пациента с подозрением COVID-19 места загрязнения незамедлительно подвергают обеззараживанию.</w:t>
      </w:r>
    </w:p>
    <w:p>
      <w:pPr>
        <w:pStyle w:val="ListParagraph"/>
        <w:numPr>
          <w:ilvl w:val="0"/>
          <w:numId w:val="121"/>
        </w:numPr>
        <w:tabs>
          <w:tab w:pos="563" w:val="left" w:leader="none"/>
          <w:tab w:pos="565" w:val="left" w:leader="none"/>
        </w:tabs>
        <w:spacing w:line="276" w:lineRule="auto" w:before="0" w:after="0"/>
        <w:ind w:left="565" w:right="135" w:hanging="425"/>
        <w:jc w:val="both"/>
        <w:rPr>
          <w:sz w:val="22"/>
        </w:rPr>
      </w:pPr>
      <w:r>
        <w:rPr>
          <w:sz w:val="22"/>
        </w:rPr>
        <w:t>Водитель и медицинские работники выездных бригад СМП обязаны продезинфицировать обувь, СИЗ</w:t>
      </w:r>
      <w:r>
        <w:rPr>
          <w:spacing w:val="-14"/>
          <w:sz w:val="22"/>
        </w:rPr>
        <w:t> </w:t>
      </w:r>
      <w:r>
        <w:rPr>
          <w:sz w:val="22"/>
        </w:rPr>
        <w:t>рук</w:t>
      </w:r>
      <w:r>
        <w:rPr>
          <w:spacing w:val="-14"/>
          <w:sz w:val="22"/>
        </w:rPr>
        <w:t> </w:t>
      </w:r>
      <w:r>
        <w:rPr>
          <w:sz w:val="22"/>
        </w:rPr>
        <w:t>в</w:t>
      </w:r>
      <w:r>
        <w:rPr>
          <w:spacing w:val="-14"/>
          <w:sz w:val="22"/>
        </w:rPr>
        <w:t> </w:t>
      </w:r>
      <w:r>
        <w:rPr>
          <w:sz w:val="22"/>
        </w:rPr>
        <w:t>отведенных</w:t>
      </w:r>
      <w:r>
        <w:rPr>
          <w:spacing w:val="-13"/>
          <w:sz w:val="22"/>
        </w:rPr>
        <w:t> </w:t>
      </w:r>
      <w:r>
        <w:rPr>
          <w:sz w:val="22"/>
        </w:rPr>
        <w:t>местах</w:t>
      </w:r>
      <w:r>
        <w:rPr>
          <w:spacing w:val="-14"/>
          <w:sz w:val="22"/>
        </w:rPr>
        <w:t> </w:t>
      </w:r>
      <w:r>
        <w:rPr>
          <w:sz w:val="22"/>
        </w:rPr>
        <w:t>после</w:t>
      </w:r>
      <w:r>
        <w:rPr>
          <w:spacing w:val="-14"/>
          <w:sz w:val="22"/>
        </w:rPr>
        <w:t> </w:t>
      </w:r>
      <w:r>
        <w:rPr>
          <w:sz w:val="22"/>
        </w:rPr>
        <w:t>передачи</w:t>
      </w:r>
      <w:r>
        <w:rPr>
          <w:spacing w:val="-14"/>
          <w:sz w:val="22"/>
        </w:rPr>
        <w:t> </w:t>
      </w:r>
      <w:r>
        <w:rPr>
          <w:sz w:val="22"/>
        </w:rPr>
        <w:t>пациента</w:t>
      </w:r>
      <w:r>
        <w:rPr>
          <w:spacing w:val="-13"/>
          <w:sz w:val="22"/>
        </w:rPr>
        <w:t> </w:t>
      </w:r>
      <w:r>
        <w:rPr>
          <w:sz w:val="22"/>
        </w:rPr>
        <w:t>в</w:t>
      </w:r>
      <w:r>
        <w:rPr>
          <w:spacing w:val="-14"/>
          <w:sz w:val="22"/>
        </w:rPr>
        <w:t> </w:t>
      </w:r>
      <w:r>
        <w:rPr>
          <w:sz w:val="22"/>
        </w:rPr>
        <w:t>медицинскую</w:t>
      </w:r>
      <w:r>
        <w:rPr>
          <w:spacing w:val="-14"/>
          <w:sz w:val="22"/>
        </w:rPr>
        <w:t> </w:t>
      </w:r>
      <w:r>
        <w:rPr>
          <w:sz w:val="22"/>
        </w:rPr>
        <w:t>организацию,</w:t>
      </w:r>
      <w:r>
        <w:rPr>
          <w:spacing w:val="-14"/>
          <w:sz w:val="22"/>
        </w:rPr>
        <w:t> </w:t>
      </w:r>
      <w:r>
        <w:rPr>
          <w:sz w:val="22"/>
        </w:rPr>
        <w:t>оказывающую медицинскую помощь в стационарных условиях, специально созданную для данного контингента пациентов (далее – специальная медицинская организация).</w:t>
      </w:r>
    </w:p>
    <w:p>
      <w:pPr>
        <w:pStyle w:val="ListParagraph"/>
        <w:numPr>
          <w:ilvl w:val="0"/>
          <w:numId w:val="121"/>
        </w:numPr>
        <w:tabs>
          <w:tab w:pos="563" w:val="left" w:leader="none"/>
          <w:tab w:pos="565" w:val="left" w:leader="none"/>
        </w:tabs>
        <w:spacing w:line="276" w:lineRule="auto" w:before="0" w:after="0"/>
        <w:ind w:left="565" w:right="135" w:hanging="425"/>
        <w:jc w:val="both"/>
        <w:rPr>
          <w:sz w:val="22"/>
        </w:rPr>
      </w:pPr>
      <w:r>
        <w:rPr>
          <w:sz w:val="22"/>
        </w:rPr>
        <w:t>После завершения медицинской эвакуации пациента с подозрением на COVID-19 в специальную медицинскую организацию автомобиль СМП и предметы, использованные при медицинской эвакуации, обеззараживаются силами дезинфекторов на территории специальной медицинской организации на специально оборудованной площадке со стоком и ямой.</w:t>
      </w:r>
    </w:p>
    <w:p>
      <w:pPr>
        <w:pStyle w:val="ListParagraph"/>
        <w:numPr>
          <w:ilvl w:val="0"/>
          <w:numId w:val="121"/>
        </w:numPr>
        <w:tabs>
          <w:tab w:pos="563" w:val="left" w:leader="none"/>
          <w:tab w:pos="565" w:val="left" w:leader="none"/>
        </w:tabs>
        <w:spacing w:line="276" w:lineRule="auto" w:before="0" w:after="0"/>
        <w:ind w:left="565" w:right="136" w:hanging="425"/>
        <w:jc w:val="both"/>
        <w:rPr>
          <w:sz w:val="22"/>
        </w:rPr>
      </w:pPr>
      <w:r>
        <w:rPr>
          <w:sz w:val="22"/>
        </w:rPr>
        <w:t>При невозможности проведения дезинфекции салона автомобиля СМП силами дезинфекторов на территории</w:t>
      </w:r>
      <w:r>
        <w:rPr>
          <w:spacing w:val="40"/>
          <w:sz w:val="22"/>
        </w:rPr>
        <w:t>  </w:t>
      </w:r>
      <w:r>
        <w:rPr>
          <w:sz w:val="22"/>
        </w:rPr>
        <w:t>специальной</w:t>
      </w:r>
      <w:r>
        <w:rPr>
          <w:spacing w:val="40"/>
          <w:sz w:val="22"/>
        </w:rPr>
        <w:t>  </w:t>
      </w:r>
      <w:r>
        <w:rPr>
          <w:sz w:val="22"/>
        </w:rPr>
        <w:t>медицинской</w:t>
      </w:r>
      <w:r>
        <w:rPr>
          <w:spacing w:val="40"/>
          <w:sz w:val="22"/>
        </w:rPr>
        <w:t>  </w:t>
      </w:r>
      <w:r>
        <w:rPr>
          <w:sz w:val="22"/>
        </w:rPr>
        <w:t>организации</w:t>
      </w:r>
      <w:r>
        <w:rPr>
          <w:spacing w:val="40"/>
          <w:sz w:val="22"/>
        </w:rPr>
        <w:t>  </w:t>
      </w:r>
      <w:r>
        <w:rPr>
          <w:sz w:val="22"/>
        </w:rPr>
        <w:t>дезинфекция</w:t>
      </w:r>
      <w:r>
        <w:rPr>
          <w:spacing w:val="55"/>
          <w:sz w:val="22"/>
        </w:rPr>
        <w:t>  </w:t>
      </w:r>
      <w:r>
        <w:rPr>
          <w:sz w:val="22"/>
        </w:rPr>
        <w:t>проводится</w:t>
      </w:r>
      <w:r>
        <w:rPr>
          <w:spacing w:val="40"/>
          <w:sz w:val="22"/>
        </w:rPr>
        <w:t>  </w:t>
      </w:r>
      <w:r>
        <w:rPr>
          <w:sz w:val="22"/>
        </w:rPr>
        <w:t>водителем</w:t>
      </w:r>
      <w:r>
        <w:rPr>
          <w:spacing w:val="80"/>
          <w:sz w:val="22"/>
        </w:rPr>
        <w:t> </w:t>
      </w:r>
      <w:r>
        <w:rPr>
          <w:sz w:val="22"/>
        </w:rPr>
        <w:t>и медицинскими работниками выездной бригады СМП.</w:t>
      </w:r>
    </w:p>
    <w:p>
      <w:pPr>
        <w:pStyle w:val="ListParagraph"/>
        <w:numPr>
          <w:ilvl w:val="0"/>
          <w:numId w:val="121"/>
        </w:numPr>
        <w:tabs>
          <w:tab w:pos="563" w:val="left" w:leader="none"/>
          <w:tab w:pos="565" w:val="left" w:leader="none"/>
        </w:tabs>
        <w:spacing w:line="278" w:lineRule="auto" w:before="0" w:after="0"/>
        <w:ind w:left="565" w:right="137" w:hanging="425"/>
        <w:jc w:val="both"/>
        <w:rPr>
          <w:sz w:val="22"/>
        </w:rPr>
      </w:pPr>
      <w:r>
        <w:rPr>
          <w:sz w:val="22"/>
        </w:rPr>
        <w:t>Дезинфекции в салоне автомобиля СМП подвергают все поверхности в салоне, в том числе поверхности медицинских изделий.</w:t>
      </w:r>
    </w:p>
    <w:p>
      <w:pPr>
        <w:pStyle w:val="ListParagraph"/>
        <w:numPr>
          <w:ilvl w:val="0"/>
          <w:numId w:val="121"/>
        </w:numPr>
        <w:tabs>
          <w:tab w:pos="563" w:val="left" w:leader="none"/>
          <w:tab w:pos="565" w:val="left" w:leader="none"/>
        </w:tabs>
        <w:spacing w:line="276" w:lineRule="auto" w:before="0" w:after="0"/>
        <w:ind w:left="565" w:right="138" w:hanging="425"/>
        <w:jc w:val="both"/>
        <w:rPr>
          <w:sz w:val="22"/>
        </w:rPr>
      </w:pPr>
      <w:r>
        <w:rPr>
          <w:sz w:val="22"/>
        </w:rPr>
        <w:t>Обработка поверхностей проводится способом протирания ветошью, смоченной дезинфицирующим раствором, или способом орошения путем распыления дезинфицирующего </w:t>
      </w:r>
      <w:r>
        <w:rPr>
          <w:spacing w:val="-2"/>
          <w:sz w:val="22"/>
        </w:rPr>
        <w:t>раствора.</w:t>
      </w:r>
    </w:p>
    <w:p>
      <w:pPr>
        <w:pStyle w:val="ListParagraph"/>
        <w:numPr>
          <w:ilvl w:val="0"/>
          <w:numId w:val="121"/>
        </w:numPr>
        <w:tabs>
          <w:tab w:pos="563" w:val="left" w:leader="none"/>
          <w:tab w:pos="565" w:val="left" w:leader="none"/>
        </w:tabs>
        <w:spacing w:line="276" w:lineRule="auto" w:before="0" w:after="0"/>
        <w:ind w:left="565" w:right="140" w:hanging="425"/>
        <w:jc w:val="both"/>
        <w:rPr>
          <w:sz w:val="22"/>
        </w:rPr>
      </w:pPr>
      <w:r>
        <w:rPr>
          <w:sz w:val="22"/>
        </w:rPr>
        <w:t>После экспозиции дезинфицирующий раствор смывают чистой водой, протирают сухой ветошью</w:t>
      </w:r>
      <w:r>
        <w:rPr>
          <w:spacing w:val="40"/>
          <w:sz w:val="22"/>
        </w:rPr>
        <w:t> </w:t>
      </w:r>
      <w:r>
        <w:rPr>
          <w:sz w:val="22"/>
        </w:rPr>
        <w:t>с последующим проветриванием до исчезновения запаха дезинфектанта.</w:t>
      </w:r>
    </w:p>
    <w:p>
      <w:pPr>
        <w:pStyle w:val="ListParagraph"/>
        <w:numPr>
          <w:ilvl w:val="0"/>
          <w:numId w:val="121"/>
        </w:numPr>
        <w:tabs>
          <w:tab w:pos="563" w:val="left" w:leader="none"/>
          <w:tab w:pos="565" w:val="left" w:leader="none"/>
        </w:tabs>
        <w:spacing w:line="276" w:lineRule="auto" w:before="0" w:after="0"/>
        <w:ind w:left="565" w:right="138" w:hanging="425"/>
        <w:jc w:val="both"/>
        <w:rPr>
          <w:sz w:val="22"/>
        </w:rPr>
      </w:pPr>
      <w:r>
        <w:rPr>
          <w:sz w:val="22"/>
        </w:rPr>
        <w:t>СИЗ,</w:t>
      </w:r>
      <w:r>
        <w:rPr>
          <w:spacing w:val="-12"/>
          <w:sz w:val="22"/>
        </w:rPr>
        <w:t> </w:t>
      </w:r>
      <w:r>
        <w:rPr>
          <w:sz w:val="22"/>
        </w:rPr>
        <w:t>использовавшиеся</w:t>
      </w:r>
      <w:r>
        <w:rPr>
          <w:spacing w:val="-12"/>
          <w:sz w:val="22"/>
        </w:rPr>
        <w:t> </w:t>
      </w:r>
      <w:r>
        <w:rPr>
          <w:sz w:val="22"/>
        </w:rPr>
        <w:t>при</w:t>
      </w:r>
      <w:r>
        <w:rPr>
          <w:spacing w:val="-12"/>
          <w:sz w:val="22"/>
        </w:rPr>
        <w:t> </w:t>
      </w:r>
      <w:r>
        <w:rPr>
          <w:sz w:val="22"/>
        </w:rPr>
        <w:t>оказании</w:t>
      </w:r>
      <w:r>
        <w:rPr>
          <w:spacing w:val="-12"/>
          <w:sz w:val="22"/>
        </w:rPr>
        <w:t> </w:t>
      </w:r>
      <w:r>
        <w:rPr>
          <w:sz w:val="22"/>
        </w:rPr>
        <w:t>медицинской</w:t>
      </w:r>
      <w:r>
        <w:rPr>
          <w:spacing w:val="-14"/>
          <w:sz w:val="22"/>
        </w:rPr>
        <w:t> </w:t>
      </w:r>
      <w:r>
        <w:rPr>
          <w:sz w:val="22"/>
        </w:rPr>
        <w:t>помощи,</w:t>
      </w:r>
      <w:r>
        <w:rPr>
          <w:spacing w:val="-12"/>
          <w:sz w:val="22"/>
        </w:rPr>
        <w:t> </w:t>
      </w:r>
      <w:r>
        <w:rPr>
          <w:sz w:val="22"/>
        </w:rPr>
        <w:t>уборочную</w:t>
      </w:r>
      <w:r>
        <w:rPr>
          <w:spacing w:val="-11"/>
          <w:sz w:val="22"/>
        </w:rPr>
        <w:t> </w:t>
      </w:r>
      <w:r>
        <w:rPr>
          <w:sz w:val="22"/>
        </w:rPr>
        <w:t>ветошь</w:t>
      </w:r>
      <w:r>
        <w:rPr>
          <w:spacing w:val="-11"/>
          <w:sz w:val="22"/>
        </w:rPr>
        <w:t> </w:t>
      </w:r>
      <w:r>
        <w:rPr>
          <w:sz w:val="22"/>
        </w:rPr>
        <w:t>собирают</w:t>
      </w:r>
      <w:r>
        <w:rPr>
          <w:spacing w:val="-12"/>
          <w:sz w:val="22"/>
        </w:rPr>
        <w:t> </w:t>
      </w:r>
      <w:r>
        <w:rPr>
          <w:sz w:val="22"/>
        </w:rPr>
        <w:t>в</w:t>
      </w:r>
      <w:r>
        <w:rPr>
          <w:spacing w:val="-13"/>
          <w:sz w:val="22"/>
        </w:rPr>
        <w:t> </w:t>
      </w:r>
      <w:r>
        <w:rPr>
          <w:sz w:val="22"/>
        </w:rPr>
        <w:t>пакеты и сбрасывают в специальные контейнеры для отходов класса В на территории специальной медицинской организации.</w:t>
      </w:r>
    </w:p>
    <w:p>
      <w:pPr>
        <w:pStyle w:val="ListParagraph"/>
        <w:numPr>
          <w:ilvl w:val="0"/>
          <w:numId w:val="121"/>
        </w:numPr>
        <w:tabs>
          <w:tab w:pos="563" w:val="left" w:leader="none"/>
          <w:tab w:pos="565" w:val="left" w:leader="none"/>
        </w:tabs>
        <w:spacing w:line="276" w:lineRule="auto" w:before="0" w:after="0"/>
        <w:ind w:left="565" w:right="135" w:hanging="425"/>
        <w:jc w:val="both"/>
        <w:rPr>
          <w:sz w:val="22"/>
        </w:rPr>
      </w:pPr>
      <w:r>
        <w:rPr>
          <w:sz w:val="22"/>
        </w:rPr>
        <w:t>После проведения дезинфекции в салоне автомобиля СМП при возвращении выездной бригады СМП</w:t>
      </w:r>
      <w:r>
        <w:rPr>
          <w:spacing w:val="40"/>
          <w:sz w:val="22"/>
        </w:rPr>
        <w:t>  </w:t>
      </w:r>
      <w:r>
        <w:rPr>
          <w:sz w:val="22"/>
        </w:rPr>
        <w:t>на</w:t>
      </w:r>
      <w:r>
        <w:rPr>
          <w:spacing w:val="40"/>
          <w:sz w:val="22"/>
        </w:rPr>
        <w:t>  </w:t>
      </w:r>
      <w:r>
        <w:rPr>
          <w:sz w:val="22"/>
        </w:rPr>
        <w:t>станцию</w:t>
      </w:r>
      <w:r>
        <w:rPr>
          <w:spacing w:val="40"/>
          <w:sz w:val="22"/>
        </w:rPr>
        <w:t>  </w:t>
      </w:r>
      <w:r>
        <w:rPr>
          <w:sz w:val="22"/>
        </w:rPr>
        <w:t>(подстанцию,</w:t>
      </w:r>
      <w:r>
        <w:rPr>
          <w:spacing w:val="40"/>
          <w:sz w:val="22"/>
        </w:rPr>
        <w:t>  </w:t>
      </w:r>
      <w:r>
        <w:rPr>
          <w:sz w:val="22"/>
        </w:rPr>
        <w:t>отделение)</w:t>
      </w:r>
      <w:r>
        <w:rPr>
          <w:spacing w:val="40"/>
          <w:sz w:val="22"/>
        </w:rPr>
        <w:t>  </w:t>
      </w:r>
      <w:r>
        <w:rPr>
          <w:sz w:val="22"/>
        </w:rPr>
        <w:t>СМП</w:t>
      </w:r>
      <w:r>
        <w:rPr>
          <w:spacing w:val="40"/>
          <w:sz w:val="22"/>
        </w:rPr>
        <w:t>  </w:t>
      </w:r>
      <w:r>
        <w:rPr>
          <w:sz w:val="22"/>
        </w:rPr>
        <w:t>проводится</w:t>
      </w:r>
      <w:r>
        <w:rPr>
          <w:spacing w:val="40"/>
          <w:sz w:val="22"/>
        </w:rPr>
        <w:t>  </w:t>
      </w:r>
      <w:r>
        <w:rPr>
          <w:sz w:val="22"/>
        </w:rPr>
        <w:t>обеззараживание</w:t>
      </w:r>
      <w:r>
        <w:rPr>
          <w:spacing w:val="40"/>
          <w:sz w:val="22"/>
        </w:rPr>
        <w:t>  </w:t>
      </w:r>
      <w:r>
        <w:rPr>
          <w:sz w:val="22"/>
        </w:rPr>
        <w:t>воздуха и</w:t>
      </w:r>
      <w:r>
        <w:rPr>
          <w:spacing w:val="-3"/>
          <w:sz w:val="22"/>
        </w:rPr>
        <w:t> </w:t>
      </w:r>
      <w:r>
        <w:rPr>
          <w:sz w:val="22"/>
        </w:rPr>
        <w:t>поверхностей салона автомобиля СМП ультрафиолетовыми бактерицидными облучателями открытого типа с</w:t>
      </w:r>
      <w:r>
        <w:rPr>
          <w:spacing w:val="-1"/>
          <w:sz w:val="22"/>
        </w:rPr>
        <w:t> </w:t>
      </w:r>
      <w:r>
        <w:rPr>
          <w:sz w:val="22"/>
        </w:rPr>
        <w:t>обеспечением УФ-дозы не менее 25 мДж/см</w:t>
      </w:r>
      <w:r>
        <w:rPr>
          <w:sz w:val="22"/>
          <w:vertAlign w:val="superscript"/>
        </w:rPr>
        <w:t>2</w:t>
      </w:r>
      <w:r>
        <w:rPr>
          <w:sz w:val="22"/>
          <w:vertAlign w:val="baseline"/>
        </w:rPr>
        <w:t> и суммарным бактерицидным потоком излучения не ниже 100 Вт в течение 10 минут.</w:t>
      </w:r>
    </w:p>
    <w:p>
      <w:pPr>
        <w:pStyle w:val="ListParagraph"/>
        <w:numPr>
          <w:ilvl w:val="0"/>
          <w:numId w:val="121"/>
        </w:numPr>
        <w:tabs>
          <w:tab w:pos="563" w:val="left" w:leader="none"/>
          <w:tab w:pos="565" w:val="left" w:leader="none"/>
        </w:tabs>
        <w:spacing w:line="276" w:lineRule="auto" w:before="0" w:after="0"/>
        <w:ind w:left="565" w:right="138" w:hanging="425"/>
        <w:jc w:val="both"/>
        <w:rPr>
          <w:sz w:val="22"/>
        </w:rPr>
      </w:pPr>
      <w:r>
        <w:rPr>
          <w:sz w:val="22"/>
        </w:rPr>
        <w:t>Водитель и медицинские работники выездной бригады СМП после выполнения вызова обязаны пройти санитарную обработку, включающую протирание открытых участков тела кожным </w:t>
      </w:r>
      <w:r>
        <w:rPr>
          <w:spacing w:val="-2"/>
          <w:sz w:val="22"/>
        </w:rPr>
        <w:t>антисептиком.</w:t>
      </w:r>
    </w:p>
    <w:p>
      <w:pPr>
        <w:spacing w:before="216"/>
        <w:ind w:left="2141" w:right="2276" w:firstLine="0"/>
        <w:jc w:val="center"/>
        <w:rPr>
          <w:rFonts w:ascii="Calibri"/>
          <w:sz w:val="22"/>
        </w:rPr>
      </w:pPr>
      <w:r>
        <w:rPr>
          <w:rFonts w:ascii="Calibri"/>
          <w:spacing w:val="-5"/>
          <w:sz w:val="22"/>
        </w:rPr>
        <w:t>222</w:t>
      </w:r>
    </w:p>
    <w:p>
      <w:pPr>
        <w:spacing w:before="1"/>
        <w:ind w:left="0" w:right="13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footerReference w:type="default" r:id="rId67"/>
          <w:pgSz w:w="11900" w:h="16840"/>
          <w:pgMar w:header="0" w:footer="288" w:top="1680" w:bottom="480" w:left="1133" w:right="708"/>
        </w:sectPr>
      </w:pPr>
    </w:p>
    <w:p>
      <w:pPr>
        <w:pStyle w:val="Heading3"/>
        <w:spacing w:before="63"/>
        <w:ind w:left="7906"/>
        <w:jc w:val="center"/>
      </w:pPr>
      <w:bookmarkStart w:name="_TOC_250003" w:id="267"/>
      <w:bookmarkStart w:name="224" w:id="268"/>
      <w:r>
        <w:rPr>
          <w:b w:val="0"/>
        </w:rPr>
      </w:r>
      <w:r>
        <w:rPr>
          <w:color w:val="1F487C"/>
          <w:spacing w:val="-2"/>
        </w:rPr>
        <w:t>Приложение</w:t>
      </w:r>
      <w:r>
        <w:rPr>
          <w:color w:val="1F487C"/>
          <w:spacing w:val="3"/>
        </w:rPr>
        <w:t> </w:t>
      </w:r>
      <w:r>
        <w:rPr>
          <w:color w:val="1F487C"/>
          <w:spacing w:val="-2"/>
        </w:rPr>
        <w:t>10-</w:t>
      </w:r>
      <w:bookmarkEnd w:id="267"/>
      <w:r>
        <w:rPr>
          <w:color w:val="1F487C"/>
          <w:spacing w:val="-10"/>
        </w:rPr>
        <w:t>1</w:t>
      </w:r>
    </w:p>
    <w:p>
      <w:pPr>
        <w:spacing w:line="276" w:lineRule="auto" w:before="141"/>
        <w:ind w:left="362" w:right="504" w:firstLine="0"/>
        <w:jc w:val="center"/>
        <w:rPr>
          <w:b/>
          <w:sz w:val="24"/>
        </w:rPr>
      </w:pPr>
      <w:r>
        <w:rPr>
          <w:b/>
          <w:sz w:val="24"/>
        </w:rPr>
        <w:t>Алгоритм</w:t>
      </w:r>
      <w:r>
        <w:rPr>
          <w:b/>
          <w:spacing w:val="-9"/>
          <w:sz w:val="24"/>
        </w:rPr>
        <w:t> </w:t>
      </w:r>
      <w:r>
        <w:rPr>
          <w:b/>
          <w:sz w:val="24"/>
        </w:rPr>
        <w:t>действий</w:t>
      </w:r>
      <w:r>
        <w:rPr>
          <w:b/>
          <w:spacing w:val="-7"/>
          <w:sz w:val="24"/>
        </w:rPr>
        <w:t> </w:t>
      </w:r>
      <w:r>
        <w:rPr>
          <w:b/>
          <w:sz w:val="24"/>
        </w:rPr>
        <w:t>медицинских</w:t>
      </w:r>
      <w:r>
        <w:rPr>
          <w:b/>
          <w:spacing w:val="-9"/>
          <w:sz w:val="24"/>
        </w:rPr>
        <w:t> </w:t>
      </w:r>
      <w:r>
        <w:rPr>
          <w:b/>
          <w:sz w:val="24"/>
        </w:rPr>
        <w:t>работников,</w:t>
      </w:r>
      <w:r>
        <w:rPr>
          <w:b/>
          <w:spacing w:val="-9"/>
          <w:sz w:val="24"/>
        </w:rPr>
        <w:t> </w:t>
      </w:r>
      <w:r>
        <w:rPr>
          <w:b/>
          <w:sz w:val="24"/>
        </w:rPr>
        <w:t>оказывающих</w:t>
      </w:r>
      <w:r>
        <w:rPr>
          <w:b/>
          <w:spacing w:val="-4"/>
          <w:sz w:val="24"/>
        </w:rPr>
        <w:t> </w:t>
      </w:r>
      <w:r>
        <w:rPr>
          <w:b/>
          <w:sz w:val="24"/>
        </w:rPr>
        <w:t>медицинскую</w:t>
      </w:r>
      <w:r>
        <w:rPr>
          <w:b/>
          <w:spacing w:val="-10"/>
          <w:sz w:val="24"/>
        </w:rPr>
        <w:t> </w:t>
      </w:r>
      <w:r>
        <w:rPr>
          <w:b/>
          <w:sz w:val="24"/>
        </w:rPr>
        <w:t>помощь в амбулаторных условиях, в том числе на дому, пациентам с ОРВИ, гриппом, внебольничной пневмонией</w:t>
      </w:r>
    </w:p>
    <w:p>
      <w:pPr>
        <w:pStyle w:val="BodyText"/>
        <w:spacing w:before="15"/>
        <w:ind w:left="0"/>
        <w:jc w:val="left"/>
        <w:rPr>
          <w:b/>
          <w:sz w:val="20"/>
        </w:rPr>
      </w:pPr>
    </w:p>
    <w:tbl>
      <w:tblPr>
        <w:tblW w:w="0" w:type="auto"/>
        <w:jc w:val="left"/>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10"/>
        <w:gridCol w:w="3259"/>
        <w:gridCol w:w="5389"/>
      </w:tblGrid>
      <w:tr>
        <w:trPr>
          <w:trHeight w:val="868" w:hRule="atLeast"/>
        </w:trPr>
        <w:tc>
          <w:tcPr>
            <w:tcW w:w="710" w:type="dxa"/>
          </w:tcPr>
          <w:p>
            <w:pPr>
              <w:pStyle w:val="TableParagraph"/>
              <w:spacing w:before="14"/>
              <w:ind w:left="144"/>
              <w:rPr>
                <w:sz w:val="24"/>
              </w:rPr>
            </w:pPr>
            <w:r>
              <w:rPr>
                <w:spacing w:val="-10"/>
                <w:sz w:val="24"/>
              </w:rPr>
              <w:t>№</w:t>
            </w:r>
          </w:p>
        </w:tc>
        <w:tc>
          <w:tcPr>
            <w:tcW w:w="3259" w:type="dxa"/>
          </w:tcPr>
          <w:p>
            <w:pPr>
              <w:pStyle w:val="TableParagraph"/>
              <w:spacing w:before="14"/>
              <w:ind w:left="139"/>
              <w:rPr>
                <w:sz w:val="24"/>
              </w:rPr>
            </w:pPr>
            <w:r>
              <w:rPr>
                <w:sz w:val="24"/>
              </w:rPr>
              <w:t>Типовые</w:t>
            </w:r>
            <w:r>
              <w:rPr>
                <w:spacing w:val="-13"/>
                <w:sz w:val="24"/>
              </w:rPr>
              <w:t> </w:t>
            </w:r>
            <w:r>
              <w:rPr>
                <w:spacing w:val="-2"/>
                <w:sz w:val="24"/>
              </w:rPr>
              <w:t>случаи</w:t>
            </w:r>
          </w:p>
        </w:tc>
        <w:tc>
          <w:tcPr>
            <w:tcW w:w="5389" w:type="dxa"/>
          </w:tcPr>
          <w:p>
            <w:pPr>
              <w:pStyle w:val="TableParagraph"/>
              <w:spacing w:before="14"/>
              <w:ind w:left="286"/>
              <w:rPr>
                <w:sz w:val="24"/>
              </w:rPr>
            </w:pPr>
            <w:r>
              <w:rPr>
                <w:sz w:val="24"/>
              </w:rPr>
              <w:t>Тактика</w:t>
            </w:r>
            <w:r>
              <w:rPr>
                <w:spacing w:val="-12"/>
                <w:sz w:val="24"/>
              </w:rPr>
              <w:t> </w:t>
            </w:r>
            <w:r>
              <w:rPr>
                <w:spacing w:val="-2"/>
                <w:sz w:val="24"/>
              </w:rPr>
              <w:t>ведения</w:t>
            </w:r>
          </w:p>
        </w:tc>
      </w:tr>
      <w:tr>
        <w:trPr>
          <w:trHeight w:val="700" w:hRule="atLeast"/>
        </w:trPr>
        <w:tc>
          <w:tcPr>
            <w:tcW w:w="710" w:type="dxa"/>
            <w:tcBorders>
              <w:bottom w:val="nil"/>
            </w:tcBorders>
          </w:tcPr>
          <w:p>
            <w:pPr>
              <w:pStyle w:val="TableParagraph"/>
              <w:spacing w:before="10"/>
              <w:ind w:left="144"/>
              <w:rPr>
                <w:sz w:val="24"/>
              </w:rPr>
            </w:pPr>
            <w:r>
              <w:rPr>
                <w:spacing w:val="-5"/>
                <w:sz w:val="24"/>
              </w:rPr>
              <w:t>1.</w:t>
            </w:r>
          </w:p>
        </w:tc>
        <w:tc>
          <w:tcPr>
            <w:tcW w:w="3259" w:type="dxa"/>
            <w:tcBorders>
              <w:bottom w:val="nil"/>
            </w:tcBorders>
          </w:tcPr>
          <w:p>
            <w:pPr>
              <w:pStyle w:val="TableParagraph"/>
              <w:spacing w:before="10"/>
              <w:ind w:left="139"/>
              <w:rPr>
                <w:b/>
                <w:sz w:val="24"/>
              </w:rPr>
            </w:pPr>
            <w:r>
              <w:rPr>
                <w:b/>
                <w:sz w:val="24"/>
              </w:rPr>
              <w:t>ОРВИ,</w:t>
            </w:r>
            <w:r>
              <w:rPr>
                <w:b/>
                <w:spacing w:val="-13"/>
                <w:sz w:val="24"/>
              </w:rPr>
              <w:t> </w:t>
            </w:r>
            <w:r>
              <w:rPr>
                <w:b/>
                <w:sz w:val="24"/>
              </w:rPr>
              <w:t>грипп</w:t>
            </w:r>
            <w:r>
              <w:rPr>
                <w:b/>
                <w:spacing w:val="-13"/>
                <w:sz w:val="24"/>
              </w:rPr>
              <w:t> </w:t>
            </w:r>
            <w:r>
              <w:rPr>
                <w:b/>
                <w:sz w:val="24"/>
              </w:rPr>
              <w:t>легкого</w:t>
            </w:r>
            <w:r>
              <w:rPr>
                <w:b/>
                <w:spacing w:val="-13"/>
                <w:sz w:val="24"/>
              </w:rPr>
              <w:t> </w:t>
            </w:r>
            <w:r>
              <w:rPr>
                <w:b/>
                <w:sz w:val="24"/>
              </w:rPr>
              <w:t>или среднетяжелого течения</w:t>
            </w:r>
          </w:p>
        </w:tc>
        <w:tc>
          <w:tcPr>
            <w:tcW w:w="5389" w:type="dxa"/>
            <w:vMerge w:val="restart"/>
          </w:tcPr>
          <w:p>
            <w:pPr>
              <w:pStyle w:val="TableParagraph"/>
              <w:spacing w:line="276" w:lineRule="exact" w:before="10"/>
              <w:ind w:left="142"/>
              <w:rPr>
                <w:sz w:val="24"/>
              </w:rPr>
            </w:pPr>
            <w:r>
              <w:rPr>
                <w:spacing w:val="-10"/>
                <w:sz w:val="24"/>
              </w:rPr>
              <w:t>-</w:t>
            </w:r>
          </w:p>
          <w:p>
            <w:pPr>
              <w:pStyle w:val="TableParagraph"/>
              <w:ind w:left="283" w:right="286" w:hanging="142"/>
              <w:jc w:val="both"/>
              <w:rPr>
                <w:sz w:val="24"/>
              </w:rPr>
            </w:pPr>
            <w:r>
              <w:rPr>
                <w:sz w:val="24"/>
              </w:rPr>
              <w:t>- отбор мазка из носо- и ротоглотки в день обращения для проведения лабораторного исследования</w:t>
            </w:r>
            <w:r>
              <w:rPr>
                <w:spacing w:val="-11"/>
                <w:sz w:val="24"/>
              </w:rPr>
              <w:t> </w:t>
            </w:r>
            <w:r>
              <w:rPr>
                <w:sz w:val="24"/>
              </w:rPr>
              <w:t>на</w:t>
            </w:r>
            <w:r>
              <w:rPr>
                <w:spacing w:val="-11"/>
                <w:sz w:val="24"/>
              </w:rPr>
              <w:t> </w:t>
            </w:r>
            <w:r>
              <w:rPr>
                <w:sz w:val="24"/>
              </w:rPr>
              <w:t>наличие</w:t>
            </w:r>
            <w:r>
              <w:rPr>
                <w:spacing w:val="-11"/>
                <w:sz w:val="24"/>
              </w:rPr>
              <w:t> </w:t>
            </w:r>
            <w:r>
              <w:rPr>
                <w:sz w:val="24"/>
              </w:rPr>
              <w:t>возбудителя</w:t>
            </w:r>
            <w:r>
              <w:rPr>
                <w:spacing w:val="-11"/>
                <w:sz w:val="24"/>
              </w:rPr>
              <w:t> </w:t>
            </w:r>
            <w:r>
              <w:rPr>
                <w:sz w:val="24"/>
              </w:rPr>
              <w:t>COVID- 19</w:t>
            </w:r>
            <w:r>
              <w:rPr>
                <w:spacing w:val="-11"/>
                <w:sz w:val="24"/>
              </w:rPr>
              <w:t> </w:t>
            </w:r>
            <w:r>
              <w:rPr>
                <w:sz w:val="24"/>
              </w:rPr>
              <w:t>методом</w:t>
            </w:r>
            <w:r>
              <w:rPr>
                <w:spacing w:val="-12"/>
                <w:sz w:val="24"/>
              </w:rPr>
              <w:t> </w:t>
            </w:r>
            <w:r>
              <w:rPr>
                <w:sz w:val="24"/>
              </w:rPr>
              <w:t>полимеразной</w:t>
            </w:r>
            <w:r>
              <w:rPr>
                <w:spacing w:val="-10"/>
                <w:sz w:val="24"/>
              </w:rPr>
              <w:t> </w:t>
            </w:r>
            <w:r>
              <w:rPr>
                <w:sz w:val="24"/>
              </w:rPr>
              <w:t>цепной</w:t>
            </w:r>
            <w:r>
              <w:rPr>
                <w:spacing w:val="-10"/>
                <w:sz w:val="24"/>
              </w:rPr>
              <w:t> </w:t>
            </w:r>
            <w:r>
              <w:rPr>
                <w:sz w:val="24"/>
              </w:rPr>
              <w:t>реакции</w:t>
            </w:r>
            <w:r>
              <w:rPr>
                <w:spacing w:val="-12"/>
                <w:sz w:val="24"/>
              </w:rPr>
              <w:t> </w:t>
            </w:r>
            <w:r>
              <w:rPr>
                <w:sz w:val="24"/>
              </w:rPr>
              <w:t>или иммуннохроматографического анализа на наличие антигена коронавируса SARS-CoV-2</w:t>
            </w:r>
            <w:r>
              <w:rPr>
                <w:spacing w:val="40"/>
                <w:sz w:val="24"/>
              </w:rPr>
              <w:t> </w:t>
            </w:r>
            <w:r>
              <w:rPr>
                <w:sz w:val="24"/>
              </w:rPr>
              <w:t>с первичным осмотром врачом (фельдшером);</w:t>
            </w:r>
          </w:p>
          <w:p>
            <w:pPr>
              <w:pStyle w:val="TableParagraph"/>
              <w:numPr>
                <w:ilvl w:val="0"/>
                <w:numId w:val="122"/>
              </w:numPr>
              <w:tabs>
                <w:tab w:pos="284" w:val="left" w:leader="none"/>
              </w:tabs>
              <w:spacing w:line="275" w:lineRule="exact" w:before="0" w:after="0"/>
              <w:ind w:left="284" w:right="0" w:hanging="142"/>
              <w:jc w:val="both"/>
              <w:rPr>
                <w:sz w:val="24"/>
              </w:rPr>
            </w:pPr>
            <w:r>
              <w:rPr>
                <w:sz w:val="24"/>
              </w:rPr>
              <w:t>изоляция</w:t>
            </w:r>
            <w:r>
              <w:rPr>
                <w:spacing w:val="-8"/>
                <w:sz w:val="24"/>
              </w:rPr>
              <w:t> </w:t>
            </w:r>
            <w:r>
              <w:rPr>
                <w:sz w:val="24"/>
              </w:rPr>
              <w:t>на</w:t>
            </w:r>
            <w:r>
              <w:rPr>
                <w:spacing w:val="-7"/>
                <w:sz w:val="24"/>
              </w:rPr>
              <w:t> </w:t>
            </w:r>
            <w:r>
              <w:rPr>
                <w:sz w:val="24"/>
              </w:rPr>
              <w:t>дому</w:t>
            </w:r>
            <w:r>
              <w:rPr>
                <w:spacing w:val="-7"/>
                <w:sz w:val="24"/>
              </w:rPr>
              <w:t> </w:t>
            </w:r>
            <w:r>
              <w:rPr>
                <w:sz w:val="24"/>
              </w:rPr>
              <w:t>на</w:t>
            </w:r>
            <w:r>
              <w:rPr>
                <w:spacing w:val="-7"/>
                <w:sz w:val="24"/>
              </w:rPr>
              <w:t> </w:t>
            </w:r>
            <w:r>
              <w:rPr>
                <w:sz w:val="24"/>
              </w:rPr>
              <w:t>срок</w:t>
            </w:r>
            <w:r>
              <w:rPr>
                <w:spacing w:val="-6"/>
                <w:sz w:val="24"/>
              </w:rPr>
              <w:t> </w:t>
            </w:r>
            <w:r>
              <w:rPr>
                <w:spacing w:val="-2"/>
                <w:sz w:val="24"/>
              </w:rPr>
              <w:t>болезни;</w:t>
            </w:r>
          </w:p>
          <w:p>
            <w:pPr>
              <w:pStyle w:val="TableParagraph"/>
              <w:numPr>
                <w:ilvl w:val="0"/>
                <w:numId w:val="123"/>
              </w:numPr>
              <w:tabs>
                <w:tab w:pos="280" w:val="left" w:leader="none"/>
              </w:tabs>
              <w:spacing w:line="276" w:lineRule="exact" w:before="0" w:after="0"/>
              <w:ind w:left="280" w:right="0" w:hanging="138"/>
              <w:jc w:val="both"/>
              <w:rPr>
                <w:sz w:val="24"/>
              </w:rPr>
            </w:pPr>
            <w:r>
              <w:rPr>
                <w:sz w:val="24"/>
              </w:rPr>
              <w:t>изоляция</w:t>
            </w:r>
            <w:r>
              <w:rPr>
                <w:spacing w:val="-7"/>
                <w:sz w:val="24"/>
              </w:rPr>
              <w:t> </w:t>
            </w:r>
            <w:r>
              <w:rPr>
                <w:sz w:val="24"/>
              </w:rPr>
              <w:t>на</w:t>
            </w:r>
            <w:r>
              <w:rPr>
                <w:spacing w:val="-7"/>
                <w:sz w:val="24"/>
              </w:rPr>
              <w:t> </w:t>
            </w:r>
            <w:r>
              <w:rPr>
                <w:sz w:val="24"/>
              </w:rPr>
              <w:t>дому</w:t>
            </w:r>
            <w:r>
              <w:rPr>
                <w:spacing w:val="-7"/>
                <w:sz w:val="24"/>
              </w:rPr>
              <w:t> </w:t>
            </w:r>
            <w:r>
              <w:rPr>
                <w:sz w:val="24"/>
              </w:rPr>
              <w:t>на</w:t>
            </w:r>
            <w:r>
              <w:rPr>
                <w:spacing w:val="-7"/>
                <w:sz w:val="24"/>
              </w:rPr>
              <w:t> </w:t>
            </w:r>
            <w:r>
              <w:rPr>
                <w:sz w:val="24"/>
              </w:rPr>
              <w:t>срок</w:t>
            </w:r>
            <w:r>
              <w:rPr>
                <w:spacing w:val="-6"/>
                <w:sz w:val="24"/>
              </w:rPr>
              <w:t> </w:t>
            </w:r>
            <w:r>
              <w:rPr>
                <w:spacing w:val="-2"/>
                <w:sz w:val="24"/>
              </w:rPr>
              <w:t>болезни;</w:t>
            </w:r>
          </w:p>
          <w:p>
            <w:pPr>
              <w:pStyle w:val="TableParagraph"/>
              <w:numPr>
                <w:ilvl w:val="0"/>
                <w:numId w:val="123"/>
              </w:numPr>
              <w:tabs>
                <w:tab w:pos="283" w:val="left" w:leader="none"/>
                <w:tab w:pos="286" w:val="left" w:leader="none"/>
              </w:tabs>
              <w:spacing w:line="240" w:lineRule="auto" w:before="0" w:after="0"/>
              <w:ind w:left="283" w:right="284" w:hanging="142"/>
              <w:jc w:val="both"/>
              <w:rPr>
                <w:sz w:val="24"/>
              </w:rPr>
            </w:pPr>
            <w:r>
              <w:rPr>
                <w:sz w:val="24"/>
              </w:rPr>
              <w:t>создание</w:t>
            </w:r>
            <w:r>
              <w:rPr>
                <w:sz w:val="24"/>
              </w:rPr>
              <w:t> условии</w:t>
            </w:r>
            <w:r>
              <w:rPr>
                <w:spacing w:val="-3"/>
                <w:sz w:val="24"/>
              </w:rPr>
              <w:t> </w:t>
            </w:r>
            <w:r>
              <w:rPr>
                <w:sz w:val="24"/>
              </w:rPr>
              <w:t>для</w:t>
            </w:r>
            <w:r>
              <w:rPr>
                <w:spacing w:val="-4"/>
                <w:sz w:val="24"/>
              </w:rPr>
              <w:t> </w:t>
            </w:r>
            <w:r>
              <w:rPr>
                <w:sz w:val="24"/>
              </w:rPr>
              <w:t>возможности</w:t>
            </w:r>
            <w:r>
              <w:rPr>
                <w:spacing w:val="-2"/>
                <w:sz w:val="24"/>
              </w:rPr>
              <w:t> </w:t>
            </w:r>
            <w:r>
              <w:rPr>
                <w:sz w:val="24"/>
              </w:rPr>
              <w:t>получения консультации</w:t>
            </w:r>
            <w:r>
              <w:rPr>
                <w:spacing w:val="-13"/>
                <w:sz w:val="24"/>
              </w:rPr>
              <w:t> </w:t>
            </w:r>
            <w:r>
              <w:rPr>
                <w:sz w:val="24"/>
              </w:rPr>
              <w:t>дистанционным</w:t>
            </w:r>
            <w:r>
              <w:rPr>
                <w:spacing w:val="-15"/>
                <w:sz w:val="24"/>
              </w:rPr>
              <w:t> </w:t>
            </w:r>
            <w:r>
              <w:rPr>
                <w:sz w:val="24"/>
              </w:rPr>
              <w:t>способом,</w:t>
            </w:r>
            <w:r>
              <w:rPr>
                <w:spacing w:val="-15"/>
                <w:sz w:val="24"/>
              </w:rPr>
              <w:t> </w:t>
            </w:r>
            <w:r>
              <w:rPr>
                <w:sz w:val="24"/>
              </w:rPr>
              <w:t>в</w:t>
            </w:r>
            <w:r>
              <w:rPr>
                <w:spacing w:val="-15"/>
                <w:sz w:val="24"/>
              </w:rPr>
              <w:t> </w:t>
            </w:r>
            <w:r>
              <w:rPr>
                <w:sz w:val="24"/>
              </w:rPr>
              <w:t>том числе с применением телемедицинских технологий, вызова медицинского работника для оказания медицинской помощи на дому, вызова специализированной выездной бригады скорой медицинской помощи;</w:t>
            </w:r>
          </w:p>
          <w:p>
            <w:pPr>
              <w:pStyle w:val="TableParagraph"/>
              <w:numPr>
                <w:ilvl w:val="0"/>
                <w:numId w:val="123"/>
              </w:numPr>
              <w:tabs>
                <w:tab w:pos="283" w:val="left" w:leader="none"/>
                <w:tab w:pos="293" w:val="left" w:leader="none"/>
              </w:tabs>
              <w:spacing w:line="240" w:lineRule="auto" w:before="0" w:after="0"/>
              <w:ind w:left="283" w:right="286" w:hanging="142"/>
              <w:jc w:val="both"/>
              <w:rPr>
                <w:sz w:val="24"/>
              </w:rPr>
            </w:pPr>
            <w:r>
              <w:rPr>
                <w:sz w:val="24"/>
              </w:rPr>
              <w:t>закрытие</w:t>
            </w:r>
            <w:r>
              <w:rPr>
                <w:sz w:val="24"/>
              </w:rPr>
              <w:t> листка нетрудоспособности в форме электронного документа при выздоровлении без проведения лабораторного исследования на COVID-19 и без посещения медицинской </w:t>
            </w:r>
            <w:r>
              <w:rPr>
                <w:spacing w:val="-2"/>
                <w:sz w:val="24"/>
              </w:rPr>
              <w:t>организации;</w:t>
            </w:r>
          </w:p>
          <w:p>
            <w:pPr>
              <w:pStyle w:val="TableParagraph"/>
              <w:numPr>
                <w:ilvl w:val="0"/>
                <w:numId w:val="123"/>
              </w:numPr>
              <w:tabs>
                <w:tab w:pos="283" w:val="left" w:leader="none"/>
                <w:tab w:pos="373" w:val="left" w:leader="none"/>
                <w:tab w:pos="1274" w:val="left" w:leader="none"/>
                <w:tab w:pos="3599" w:val="left" w:leader="none"/>
              </w:tabs>
              <w:spacing w:line="240" w:lineRule="auto" w:before="0" w:after="0"/>
              <w:ind w:left="283" w:right="288" w:hanging="142"/>
              <w:jc w:val="both"/>
              <w:rPr>
                <w:sz w:val="24"/>
              </w:rPr>
            </w:pPr>
            <w:r>
              <w:rPr>
                <w:sz w:val="24"/>
              </w:rPr>
              <w:tab/>
              <w:t>при получении положительного результата исследования</w:t>
            </w:r>
            <w:r>
              <w:rPr>
                <w:spacing w:val="-15"/>
                <w:sz w:val="24"/>
              </w:rPr>
              <w:t> </w:t>
            </w:r>
            <w:r>
              <w:rPr>
                <w:sz w:val="24"/>
              </w:rPr>
              <w:t>на</w:t>
            </w:r>
            <w:r>
              <w:rPr>
                <w:spacing w:val="-15"/>
                <w:sz w:val="24"/>
              </w:rPr>
              <w:t> </w:t>
            </w:r>
            <w:r>
              <w:rPr>
                <w:sz w:val="24"/>
              </w:rPr>
              <w:t>COVID-19</w:t>
            </w:r>
            <w:r>
              <w:rPr>
                <w:spacing w:val="-15"/>
                <w:sz w:val="24"/>
              </w:rPr>
              <w:t> </w:t>
            </w:r>
            <w:r>
              <w:rPr>
                <w:sz w:val="24"/>
              </w:rPr>
              <w:t>—</w:t>
            </w:r>
            <w:r>
              <w:rPr>
                <w:spacing w:val="-15"/>
                <w:sz w:val="24"/>
              </w:rPr>
              <w:t> </w:t>
            </w:r>
            <w:r>
              <w:rPr>
                <w:sz w:val="24"/>
              </w:rPr>
              <w:t>тактика</w:t>
            </w:r>
            <w:r>
              <w:rPr>
                <w:spacing w:val="-15"/>
                <w:sz w:val="24"/>
              </w:rPr>
              <w:t> </w:t>
            </w:r>
            <w:r>
              <w:rPr>
                <w:sz w:val="24"/>
              </w:rPr>
              <w:t>ведения пациента</w:t>
            </w:r>
            <w:r>
              <w:rPr>
                <w:spacing w:val="80"/>
                <w:sz w:val="24"/>
              </w:rPr>
              <w:t>  </w:t>
            </w:r>
            <w:r>
              <w:rPr>
                <w:sz w:val="24"/>
              </w:rPr>
              <w:t>определяется</w:t>
            </w:r>
            <w:r>
              <w:rPr>
                <w:spacing w:val="80"/>
                <w:sz w:val="24"/>
              </w:rPr>
              <w:t>  </w:t>
            </w:r>
            <w:r>
              <w:rPr>
                <w:sz w:val="24"/>
              </w:rPr>
              <w:t>в</w:t>
            </w:r>
            <w:r>
              <w:rPr>
                <w:spacing w:val="80"/>
                <w:sz w:val="24"/>
              </w:rPr>
              <w:t>  </w:t>
            </w:r>
            <w:r>
              <w:rPr>
                <w:sz w:val="24"/>
              </w:rPr>
              <w:t>соответствии</w:t>
            </w:r>
            <w:r>
              <w:rPr>
                <w:spacing w:val="80"/>
                <w:w w:val="150"/>
                <w:sz w:val="24"/>
              </w:rPr>
              <w:t> </w:t>
            </w:r>
            <w:r>
              <w:rPr>
                <w:spacing w:val="-10"/>
                <w:sz w:val="24"/>
              </w:rPr>
              <w:t>с</w:t>
            </w:r>
            <w:r>
              <w:rPr>
                <w:sz w:val="24"/>
              </w:rPr>
              <w:tab/>
            </w:r>
            <w:r>
              <w:rPr>
                <w:spacing w:val="-2"/>
                <w:sz w:val="24"/>
              </w:rPr>
              <w:t>требованиями</w:t>
            </w:r>
            <w:r>
              <w:rPr>
                <w:sz w:val="24"/>
              </w:rPr>
              <w:tab/>
            </w:r>
            <w:r>
              <w:rPr>
                <w:spacing w:val="-2"/>
                <w:sz w:val="24"/>
              </w:rPr>
              <w:t>действующего законодательства.</w:t>
            </w:r>
          </w:p>
        </w:tc>
      </w:tr>
      <w:tr>
        <w:trPr>
          <w:trHeight w:val="7272" w:hRule="atLeast"/>
        </w:trPr>
        <w:tc>
          <w:tcPr>
            <w:tcW w:w="710" w:type="dxa"/>
            <w:tcBorders>
              <w:top w:val="nil"/>
            </w:tcBorders>
          </w:tcPr>
          <w:p>
            <w:pPr>
              <w:pStyle w:val="TableParagraph"/>
              <w:rPr>
                <w:sz w:val="22"/>
              </w:rPr>
            </w:pPr>
          </w:p>
        </w:tc>
        <w:tc>
          <w:tcPr>
            <w:tcW w:w="3259" w:type="dxa"/>
            <w:tcBorders>
              <w:top w:val="nil"/>
            </w:tcBorders>
          </w:tcPr>
          <w:p>
            <w:pPr>
              <w:pStyle w:val="TableParagraph"/>
              <w:spacing w:before="128"/>
              <w:ind w:left="139"/>
              <w:rPr>
                <w:position w:val="2"/>
                <w:sz w:val="24"/>
              </w:rPr>
            </w:pPr>
            <w:r>
              <w:rPr>
                <w:sz w:val="24"/>
              </w:rPr>
              <w:t>Наличие 2-х критериев: уровень</w:t>
            </w:r>
            <w:r>
              <w:rPr>
                <w:spacing w:val="40"/>
                <w:sz w:val="24"/>
              </w:rPr>
              <w:t> </w:t>
            </w:r>
            <w:r>
              <w:rPr>
                <w:sz w:val="24"/>
              </w:rPr>
              <w:t>насыщения</w:t>
            </w:r>
            <w:r>
              <w:rPr>
                <w:spacing w:val="40"/>
                <w:sz w:val="24"/>
              </w:rPr>
              <w:t> </w:t>
            </w:r>
            <w:r>
              <w:rPr>
                <w:sz w:val="24"/>
              </w:rPr>
              <w:t>крови </w:t>
            </w:r>
            <w:r>
              <w:rPr>
                <w:spacing w:val="-2"/>
                <w:position w:val="2"/>
                <w:sz w:val="24"/>
              </w:rPr>
              <w:t>кислородом</w:t>
            </w:r>
            <w:r>
              <w:rPr>
                <w:spacing w:val="-13"/>
                <w:position w:val="2"/>
                <w:sz w:val="24"/>
              </w:rPr>
              <w:t> </w:t>
            </w:r>
            <w:r>
              <w:rPr>
                <w:spacing w:val="-2"/>
                <w:position w:val="2"/>
                <w:sz w:val="24"/>
              </w:rPr>
              <w:t>(далее</w:t>
            </w:r>
            <w:r>
              <w:rPr>
                <w:spacing w:val="-12"/>
                <w:position w:val="2"/>
                <w:sz w:val="24"/>
              </w:rPr>
              <w:t> </w:t>
            </w:r>
            <w:r>
              <w:rPr>
                <w:spacing w:val="-2"/>
                <w:position w:val="2"/>
                <w:sz w:val="24"/>
              </w:rPr>
              <w:t>—</w:t>
            </w:r>
            <w:r>
              <w:rPr>
                <w:spacing w:val="-12"/>
                <w:position w:val="2"/>
                <w:sz w:val="24"/>
              </w:rPr>
              <w:t> </w:t>
            </w:r>
            <w:r>
              <w:rPr>
                <w:spacing w:val="-4"/>
                <w:position w:val="2"/>
                <w:sz w:val="24"/>
              </w:rPr>
              <w:t>SpO</w:t>
            </w:r>
            <w:r>
              <w:rPr>
                <w:spacing w:val="-4"/>
                <w:sz w:val="16"/>
              </w:rPr>
              <w:t>2</w:t>
            </w:r>
            <w:r>
              <w:rPr>
                <w:spacing w:val="-4"/>
                <w:position w:val="2"/>
                <w:sz w:val="24"/>
              </w:rPr>
              <w:t>)</w:t>
            </w:r>
          </w:p>
          <w:p>
            <w:pPr>
              <w:pStyle w:val="TableParagraph"/>
              <w:ind w:left="139"/>
              <w:rPr>
                <w:sz w:val="24"/>
              </w:rPr>
            </w:pPr>
            <w:r>
              <w:rPr>
                <w:sz w:val="24"/>
              </w:rPr>
              <w:t>≥</w:t>
            </w:r>
            <w:r>
              <w:rPr>
                <w:spacing w:val="-15"/>
                <w:sz w:val="24"/>
              </w:rPr>
              <w:t> </w:t>
            </w:r>
            <w:r>
              <w:rPr>
                <w:sz w:val="24"/>
              </w:rPr>
              <w:t>95%</w:t>
            </w:r>
            <w:r>
              <w:rPr>
                <w:spacing w:val="-15"/>
                <w:sz w:val="24"/>
              </w:rPr>
              <w:t> </w:t>
            </w:r>
            <w:r>
              <w:rPr>
                <w:sz w:val="24"/>
              </w:rPr>
              <w:t>(обязательный </w:t>
            </w:r>
            <w:r>
              <w:rPr>
                <w:spacing w:val="-2"/>
                <w:sz w:val="24"/>
              </w:rPr>
              <w:t>критерий);</w:t>
            </w:r>
          </w:p>
          <w:p>
            <w:pPr>
              <w:pStyle w:val="TableParagraph"/>
              <w:ind w:left="139" w:right="282"/>
              <w:jc w:val="both"/>
              <w:rPr>
                <w:sz w:val="24"/>
              </w:rPr>
            </w:pPr>
            <w:r>
              <w:rPr>
                <w:sz w:val="24"/>
              </w:rPr>
              <w:t>температура тела (далее </w:t>
            </w:r>
            <w:r>
              <w:rPr>
                <w:sz w:val="24"/>
              </w:rPr>
              <w:t>— Т) &lt; 38°С;</w:t>
            </w:r>
          </w:p>
          <w:p>
            <w:pPr>
              <w:pStyle w:val="TableParagraph"/>
              <w:tabs>
                <w:tab w:pos="1604" w:val="left" w:leader="none"/>
              </w:tabs>
              <w:ind w:left="139" w:right="281"/>
              <w:jc w:val="both"/>
              <w:rPr>
                <w:sz w:val="24"/>
              </w:rPr>
            </w:pPr>
            <w:r>
              <w:rPr>
                <w:spacing w:val="-2"/>
                <w:sz w:val="24"/>
              </w:rPr>
              <w:t>частота</w:t>
            </w:r>
            <w:r>
              <w:rPr>
                <w:sz w:val="24"/>
              </w:rPr>
              <w:tab/>
            </w:r>
            <w:r>
              <w:rPr>
                <w:spacing w:val="-2"/>
                <w:sz w:val="24"/>
              </w:rPr>
              <w:t>дыхательных </w:t>
            </w:r>
            <w:r>
              <w:rPr>
                <w:sz w:val="24"/>
              </w:rPr>
              <w:t>движений</w:t>
            </w:r>
            <w:r>
              <w:rPr>
                <w:spacing w:val="-12"/>
                <w:sz w:val="24"/>
              </w:rPr>
              <w:t> </w:t>
            </w:r>
            <w:r>
              <w:rPr>
                <w:sz w:val="24"/>
              </w:rPr>
              <w:t>(далее</w:t>
            </w:r>
            <w:r>
              <w:rPr>
                <w:spacing w:val="-12"/>
                <w:sz w:val="24"/>
              </w:rPr>
              <w:t> </w:t>
            </w:r>
            <w:r>
              <w:rPr>
                <w:sz w:val="24"/>
              </w:rPr>
              <w:t>—</w:t>
            </w:r>
            <w:r>
              <w:rPr>
                <w:spacing w:val="-13"/>
                <w:sz w:val="24"/>
              </w:rPr>
              <w:t> </w:t>
            </w:r>
            <w:r>
              <w:rPr>
                <w:sz w:val="24"/>
              </w:rPr>
              <w:t>ЧДД)</w:t>
            </w:r>
            <w:r>
              <w:rPr>
                <w:spacing w:val="-14"/>
                <w:sz w:val="24"/>
              </w:rPr>
              <w:t> </w:t>
            </w:r>
            <w:r>
              <w:rPr>
                <w:sz w:val="24"/>
              </w:rPr>
              <w:t>≤ </w:t>
            </w:r>
            <w:r>
              <w:rPr>
                <w:spacing w:val="-4"/>
                <w:sz w:val="24"/>
              </w:rPr>
              <w:t>22.</w:t>
            </w:r>
          </w:p>
        </w:tc>
        <w:tc>
          <w:tcPr>
            <w:tcW w:w="5389" w:type="dxa"/>
            <w:vMerge/>
            <w:tcBorders>
              <w:top w:val="nil"/>
            </w:tcBorders>
          </w:tcPr>
          <w:p>
            <w:pPr>
              <w:rPr>
                <w:sz w:val="2"/>
                <w:szCs w:val="2"/>
              </w:rPr>
            </w:pPr>
          </w:p>
        </w:tc>
      </w:tr>
    </w:tbl>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spacing w:before="125"/>
        <w:ind w:left="0"/>
        <w:jc w:val="left"/>
        <w:rPr>
          <w:b/>
          <w:sz w:val="22"/>
        </w:rPr>
      </w:pPr>
    </w:p>
    <w:p>
      <w:pPr>
        <w:spacing w:before="0"/>
        <w:ind w:left="2141" w:right="2276" w:firstLine="0"/>
        <w:jc w:val="center"/>
        <w:rPr>
          <w:rFonts w:ascii="Calibri"/>
          <w:sz w:val="22"/>
        </w:rPr>
      </w:pPr>
      <w:r>
        <w:rPr>
          <w:rFonts w:ascii="Calibri"/>
          <w:spacing w:val="-5"/>
          <w:sz w:val="22"/>
        </w:rPr>
        <w:t>223</w:t>
      </w:r>
    </w:p>
    <w:p>
      <w:pPr>
        <w:spacing w:before="1"/>
        <w:ind w:left="0" w:right="13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1133" w:right="708"/>
        </w:sectPr>
      </w:pPr>
    </w:p>
    <w:p>
      <w:pPr>
        <w:pStyle w:val="BodyText"/>
        <w:spacing w:before="6"/>
        <w:ind w:left="0"/>
        <w:jc w:val="left"/>
        <w:rPr>
          <w:sz w:val="2"/>
        </w:rPr>
      </w:pPr>
    </w:p>
    <w:tbl>
      <w:tblPr>
        <w:tblW w:w="0" w:type="auto"/>
        <w:jc w:val="left"/>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10"/>
        <w:gridCol w:w="3259"/>
        <w:gridCol w:w="5389"/>
      </w:tblGrid>
      <w:tr>
        <w:trPr>
          <w:trHeight w:val="9937" w:hRule="atLeast"/>
        </w:trPr>
        <w:tc>
          <w:tcPr>
            <w:tcW w:w="710" w:type="dxa"/>
          </w:tcPr>
          <w:p>
            <w:pPr>
              <w:pStyle w:val="TableParagraph"/>
              <w:spacing w:before="13"/>
              <w:ind w:left="144"/>
              <w:rPr>
                <w:sz w:val="24"/>
              </w:rPr>
            </w:pPr>
            <w:bookmarkStart w:name="225" w:id="269"/>
            <w:bookmarkEnd w:id="269"/>
            <w:r>
              <w:rPr/>
            </w:r>
            <w:r>
              <w:rPr>
                <w:spacing w:val="-5"/>
                <w:sz w:val="24"/>
              </w:rPr>
              <w:t>2.</w:t>
            </w:r>
          </w:p>
        </w:tc>
        <w:tc>
          <w:tcPr>
            <w:tcW w:w="3259" w:type="dxa"/>
          </w:tcPr>
          <w:p>
            <w:pPr>
              <w:pStyle w:val="TableParagraph"/>
              <w:spacing w:before="13"/>
              <w:ind w:left="139" w:right="282"/>
              <w:rPr>
                <w:b/>
                <w:sz w:val="24"/>
              </w:rPr>
            </w:pPr>
            <w:r>
              <w:rPr>
                <w:b/>
                <w:sz w:val="24"/>
              </w:rPr>
              <w:t>ОРВИ</w:t>
            </w:r>
            <w:r>
              <w:rPr>
                <w:b/>
                <w:spacing w:val="-15"/>
                <w:sz w:val="24"/>
              </w:rPr>
              <w:t> </w:t>
            </w:r>
            <w:r>
              <w:rPr>
                <w:b/>
                <w:sz w:val="24"/>
              </w:rPr>
              <w:t>и</w:t>
            </w:r>
            <w:r>
              <w:rPr>
                <w:b/>
                <w:spacing w:val="-15"/>
                <w:sz w:val="24"/>
              </w:rPr>
              <w:t> </w:t>
            </w:r>
            <w:r>
              <w:rPr>
                <w:b/>
                <w:sz w:val="24"/>
              </w:rPr>
              <w:t>внебольничная </w:t>
            </w:r>
            <w:r>
              <w:rPr>
                <w:b/>
                <w:spacing w:val="-2"/>
                <w:sz w:val="24"/>
              </w:rPr>
              <w:t>пневмония среднетяжелого</w:t>
            </w:r>
          </w:p>
          <w:p>
            <w:pPr>
              <w:pStyle w:val="TableParagraph"/>
              <w:tabs>
                <w:tab w:pos="1673" w:val="left" w:leader="none"/>
                <w:tab w:pos="2392" w:val="left" w:leader="none"/>
              </w:tabs>
              <w:ind w:left="139" w:right="281"/>
              <w:rPr>
                <w:b/>
                <w:sz w:val="24"/>
              </w:rPr>
            </w:pPr>
            <w:r>
              <w:rPr>
                <w:b/>
                <w:sz w:val="24"/>
              </w:rPr>
              <w:t>или тяжелого течения, </w:t>
            </w:r>
            <w:r>
              <w:rPr>
                <w:b/>
                <w:spacing w:val="-2"/>
                <w:sz w:val="24"/>
              </w:rPr>
              <w:t>тяжелые</w:t>
            </w:r>
            <w:r>
              <w:rPr>
                <w:b/>
                <w:sz w:val="24"/>
              </w:rPr>
              <w:tab/>
            </w:r>
            <w:r>
              <w:rPr>
                <w:b/>
                <w:spacing w:val="-10"/>
                <w:sz w:val="24"/>
              </w:rPr>
              <w:t>и</w:t>
            </w:r>
            <w:r>
              <w:rPr>
                <w:b/>
                <w:sz w:val="24"/>
              </w:rPr>
              <w:tab/>
            </w:r>
            <w:r>
              <w:rPr>
                <w:b/>
                <w:spacing w:val="-4"/>
                <w:sz w:val="24"/>
              </w:rPr>
              <w:t>(или) </w:t>
            </w:r>
            <w:r>
              <w:rPr>
                <w:b/>
                <w:sz w:val="24"/>
              </w:rPr>
              <w:t>осложненные формы гриппа и внебольничной </w:t>
            </w:r>
            <w:r>
              <w:rPr>
                <w:b/>
                <w:spacing w:val="-2"/>
                <w:sz w:val="24"/>
              </w:rPr>
              <w:t>пневмонии.</w:t>
            </w:r>
          </w:p>
          <w:p>
            <w:pPr>
              <w:pStyle w:val="TableParagraph"/>
              <w:spacing w:line="275" w:lineRule="exact" w:before="274"/>
              <w:ind w:left="139"/>
              <w:rPr>
                <w:sz w:val="24"/>
              </w:rPr>
            </w:pPr>
            <w:r>
              <w:rPr>
                <w:sz w:val="24"/>
              </w:rPr>
              <w:t>Наличие</w:t>
            </w:r>
            <w:r>
              <w:rPr>
                <w:spacing w:val="-9"/>
                <w:sz w:val="24"/>
              </w:rPr>
              <w:t> </w:t>
            </w:r>
            <w:r>
              <w:rPr>
                <w:sz w:val="24"/>
              </w:rPr>
              <w:t>2-х</w:t>
            </w:r>
            <w:r>
              <w:rPr>
                <w:spacing w:val="-9"/>
                <w:sz w:val="24"/>
              </w:rPr>
              <w:t> </w:t>
            </w:r>
            <w:r>
              <w:rPr>
                <w:spacing w:val="-2"/>
                <w:sz w:val="24"/>
              </w:rPr>
              <w:t>критериев:</w:t>
            </w:r>
          </w:p>
          <w:p>
            <w:pPr>
              <w:pStyle w:val="TableParagraph"/>
              <w:spacing w:line="277" w:lineRule="exact"/>
              <w:ind w:left="139"/>
              <w:rPr>
                <w:position w:val="2"/>
                <w:sz w:val="24"/>
              </w:rPr>
            </w:pPr>
            <w:r>
              <w:rPr>
                <w:position w:val="2"/>
                <w:sz w:val="24"/>
              </w:rPr>
              <w:t>-</w:t>
            </w:r>
            <w:r>
              <w:rPr>
                <w:spacing w:val="-4"/>
                <w:position w:val="2"/>
                <w:sz w:val="24"/>
              </w:rPr>
              <w:t> </w:t>
            </w:r>
            <w:r>
              <w:rPr>
                <w:position w:val="2"/>
                <w:sz w:val="24"/>
              </w:rPr>
              <w:t>SpO</w:t>
            </w:r>
            <w:r>
              <w:rPr>
                <w:sz w:val="16"/>
              </w:rPr>
              <w:t>2</w:t>
            </w:r>
            <w:r>
              <w:rPr>
                <w:spacing w:val="19"/>
                <w:sz w:val="16"/>
              </w:rPr>
              <w:t> </w:t>
            </w:r>
            <w:r>
              <w:rPr>
                <w:position w:val="2"/>
                <w:sz w:val="24"/>
              </w:rPr>
              <w:t>&lt;</w:t>
            </w:r>
            <w:r>
              <w:rPr>
                <w:spacing w:val="-5"/>
                <w:position w:val="2"/>
                <w:sz w:val="24"/>
              </w:rPr>
              <w:t> 95%</w:t>
            </w:r>
          </w:p>
          <w:p>
            <w:pPr>
              <w:pStyle w:val="TableParagraph"/>
              <w:ind w:left="139" w:right="583"/>
              <w:rPr>
                <w:sz w:val="24"/>
              </w:rPr>
            </w:pPr>
            <w:r>
              <w:rPr>
                <w:spacing w:val="-2"/>
                <w:sz w:val="24"/>
              </w:rPr>
              <w:t>(обязательный критерий);</w:t>
            </w:r>
          </w:p>
          <w:p>
            <w:pPr>
              <w:pStyle w:val="TableParagraph"/>
              <w:spacing w:line="276" w:lineRule="exact"/>
              <w:ind w:left="139"/>
              <w:rPr>
                <w:sz w:val="24"/>
              </w:rPr>
            </w:pPr>
            <w:r>
              <w:rPr>
                <w:sz w:val="24"/>
              </w:rPr>
              <w:t>-</w:t>
            </w:r>
            <w:r>
              <w:rPr>
                <w:spacing w:val="-3"/>
                <w:sz w:val="24"/>
              </w:rPr>
              <w:t> </w:t>
            </w:r>
            <w:r>
              <w:rPr>
                <w:sz w:val="24"/>
              </w:rPr>
              <w:t>Т</w:t>
            </w:r>
            <w:r>
              <w:rPr>
                <w:spacing w:val="-2"/>
                <w:sz w:val="24"/>
              </w:rPr>
              <w:t> </w:t>
            </w:r>
            <w:r>
              <w:rPr>
                <w:sz w:val="24"/>
              </w:rPr>
              <w:t>≥</w:t>
            </w:r>
            <w:r>
              <w:rPr>
                <w:spacing w:val="-2"/>
                <w:sz w:val="24"/>
              </w:rPr>
              <w:t> </w:t>
            </w:r>
            <w:r>
              <w:rPr>
                <w:sz w:val="24"/>
              </w:rPr>
              <w:t>38</w:t>
            </w:r>
            <w:r>
              <w:rPr>
                <w:spacing w:val="-2"/>
                <w:sz w:val="24"/>
              </w:rPr>
              <w:t> </w:t>
            </w:r>
            <w:r>
              <w:rPr>
                <w:spacing w:val="-5"/>
                <w:sz w:val="24"/>
              </w:rPr>
              <w:t>°С;</w:t>
            </w:r>
          </w:p>
          <w:p>
            <w:pPr>
              <w:pStyle w:val="TableParagraph"/>
              <w:ind w:left="139"/>
              <w:rPr>
                <w:sz w:val="24"/>
              </w:rPr>
            </w:pPr>
            <w:r>
              <w:rPr>
                <w:sz w:val="24"/>
              </w:rPr>
              <w:t>-</w:t>
            </w:r>
            <w:r>
              <w:rPr>
                <w:spacing w:val="-5"/>
                <w:sz w:val="24"/>
              </w:rPr>
              <w:t> </w:t>
            </w:r>
            <w:r>
              <w:rPr>
                <w:sz w:val="24"/>
              </w:rPr>
              <w:t>ЧДД</w:t>
            </w:r>
            <w:r>
              <w:rPr>
                <w:spacing w:val="-4"/>
                <w:sz w:val="24"/>
              </w:rPr>
              <w:t> </w:t>
            </w:r>
            <w:r>
              <w:rPr>
                <w:sz w:val="24"/>
              </w:rPr>
              <w:t>&gt;</w:t>
            </w:r>
            <w:r>
              <w:rPr>
                <w:spacing w:val="-4"/>
                <w:sz w:val="24"/>
              </w:rPr>
              <w:t> </w:t>
            </w:r>
            <w:r>
              <w:rPr>
                <w:spacing w:val="-5"/>
                <w:sz w:val="24"/>
              </w:rPr>
              <w:t>22.</w:t>
            </w:r>
          </w:p>
        </w:tc>
        <w:tc>
          <w:tcPr>
            <w:tcW w:w="5389" w:type="dxa"/>
          </w:tcPr>
          <w:p>
            <w:pPr>
              <w:pStyle w:val="TableParagraph"/>
              <w:numPr>
                <w:ilvl w:val="0"/>
                <w:numId w:val="124"/>
              </w:numPr>
              <w:tabs>
                <w:tab w:pos="851" w:val="left" w:leader="none"/>
              </w:tabs>
              <w:spacing w:line="240" w:lineRule="auto" w:before="13" w:after="0"/>
              <w:ind w:left="286" w:right="290" w:firstLine="0"/>
              <w:jc w:val="both"/>
              <w:rPr>
                <w:sz w:val="24"/>
              </w:rPr>
            </w:pPr>
            <w:r>
              <w:rPr>
                <w:sz w:val="24"/>
              </w:rPr>
              <w:t>госпитализация специализированной выездной бригадой скорой медицинской </w:t>
            </w:r>
            <w:r>
              <w:rPr>
                <w:spacing w:val="-2"/>
                <w:sz w:val="24"/>
              </w:rPr>
              <w:t>помощи</w:t>
            </w:r>
          </w:p>
          <w:p>
            <w:pPr>
              <w:pStyle w:val="TableParagraph"/>
              <w:tabs>
                <w:tab w:pos="1335" w:val="left" w:leader="none"/>
                <w:tab w:pos="3460" w:val="left" w:leader="none"/>
                <w:tab w:pos="3688" w:val="left" w:leader="none"/>
              </w:tabs>
              <w:ind w:left="286" w:right="287"/>
              <w:jc w:val="both"/>
              <w:rPr>
                <w:sz w:val="24"/>
              </w:rPr>
            </w:pPr>
            <w:r>
              <w:rPr>
                <w:spacing w:val="-10"/>
                <w:sz w:val="24"/>
              </w:rPr>
              <w:t>в</w:t>
            </w:r>
            <w:r>
              <w:rPr>
                <w:sz w:val="24"/>
              </w:rPr>
              <w:tab/>
            </w:r>
            <w:r>
              <w:rPr>
                <w:spacing w:val="-2"/>
                <w:sz w:val="24"/>
              </w:rPr>
              <w:t>медицинскую</w:t>
            </w:r>
            <w:r>
              <w:rPr>
                <w:sz w:val="24"/>
              </w:rPr>
              <w:tab/>
              <w:tab/>
            </w:r>
            <w:r>
              <w:rPr>
                <w:spacing w:val="-2"/>
                <w:sz w:val="24"/>
              </w:rPr>
              <w:t>организацию, </w:t>
            </w:r>
            <w:r>
              <w:rPr>
                <w:sz w:val="24"/>
              </w:rPr>
              <w:t>осуществляющую</w:t>
            </w:r>
            <w:r>
              <w:rPr>
                <w:spacing w:val="80"/>
                <w:sz w:val="24"/>
              </w:rPr>
              <w:t>  </w:t>
            </w:r>
            <w:r>
              <w:rPr>
                <w:sz w:val="24"/>
              </w:rPr>
              <w:t>медицинскую</w:t>
            </w:r>
            <w:r>
              <w:rPr>
                <w:spacing w:val="80"/>
                <w:sz w:val="24"/>
              </w:rPr>
              <w:t>  </w:t>
            </w:r>
            <w:r>
              <w:rPr>
                <w:sz w:val="24"/>
              </w:rPr>
              <w:t>помощь</w:t>
            </w:r>
            <w:r>
              <w:rPr>
                <w:spacing w:val="40"/>
                <w:sz w:val="24"/>
              </w:rPr>
              <w:t> </w:t>
            </w:r>
            <w:r>
              <w:rPr>
                <w:sz w:val="24"/>
              </w:rPr>
              <w:t>в стационарных условиях, определенную для данного контингента пациентов, исключив </w:t>
            </w:r>
            <w:r>
              <w:rPr>
                <w:spacing w:val="-2"/>
                <w:sz w:val="24"/>
              </w:rPr>
              <w:t>возможность</w:t>
            </w:r>
            <w:r>
              <w:rPr>
                <w:sz w:val="24"/>
              </w:rPr>
              <w:tab/>
            </w:r>
            <w:r>
              <w:rPr>
                <w:spacing w:val="-2"/>
                <w:sz w:val="24"/>
              </w:rPr>
              <w:t>госпитализации </w:t>
            </w:r>
            <w:r>
              <w:rPr>
                <w:sz w:val="24"/>
              </w:rPr>
              <w:t>в терапевтические, пульмонологические отделения</w:t>
            </w:r>
            <w:r>
              <w:rPr>
                <w:spacing w:val="80"/>
                <w:sz w:val="24"/>
              </w:rPr>
              <w:t>  </w:t>
            </w:r>
            <w:r>
              <w:rPr>
                <w:sz w:val="24"/>
              </w:rPr>
              <w:t>и</w:t>
            </w:r>
            <w:r>
              <w:rPr>
                <w:spacing w:val="80"/>
                <w:sz w:val="24"/>
              </w:rPr>
              <w:t>  </w:t>
            </w:r>
            <w:r>
              <w:rPr>
                <w:sz w:val="24"/>
              </w:rPr>
              <w:t>отделения</w:t>
            </w:r>
            <w:r>
              <w:rPr>
                <w:spacing w:val="80"/>
                <w:sz w:val="24"/>
              </w:rPr>
              <w:t>  </w:t>
            </w:r>
            <w:r>
              <w:rPr>
                <w:sz w:val="24"/>
              </w:rPr>
              <w:t>анестезиологии </w:t>
            </w:r>
            <w:r>
              <w:rPr>
                <w:spacing w:val="-2"/>
                <w:sz w:val="24"/>
              </w:rPr>
              <w:t>и</w:t>
            </w:r>
            <w:r>
              <w:rPr>
                <w:spacing w:val="-12"/>
                <w:sz w:val="24"/>
              </w:rPr>
              <w:t> </w:t>
            </w:r>
            <w:r>
              <w:rPr>
                <w:spacing w:val="-2"/>
                <w:sz w:val="24"/>
              </w:rPr>
              <w:t>реанимации</w:t>
            </w:r>
            <w:r>
              <w:rPr>
                <w:spacing w:val="-12"/>
                <w:sz w:val="24"/>
              </w:rPr>
              <w:t> </w:t>
            </w:r>
            <w:r>
              <w:rPr>
                <w:spacing w:val="-2"/>
                <w:sz w:val="24"/>
              </w:rPr>
              <w:t>иных</w:t>
            </w:r>
            <w:r>
              <w:rPr>
                <w:spacing w:val="-13"/>
                <w:sz w:val="24"/>
              </w:rPr>
              <w:t> </w:t>
            </w:r>
            <w:r>
              <w:rPr>
                <w:spacing w:val="-2"/>
                <w:sz w:val="24"/>
              </w:rPr>
              <w:t>медицинских</w:t>
            </w:r>
            <w:r>
              <w:rPr>
                <w:spacing w:val="-13"/>
                <w:sz w:val="24"/>
              </w:rPr>
              <w:t> </w:t>
            </w:r>
            <w:r>
              <w:rPr>
                <w:spacing w:val="-2"/>
                <w:sz w:val="24"/>
              </w:rPr>
              <w:t>организаций;</w:t>
            </w:r>
          </w:p>
          <w:p>
            <w:pPr>
              <w:pStyle w:val="TableParagraph"/>
              <w:numPr>
                <w:ilvl w:val="0"/>
                <w:numId w:val="124"/>
              </w:numPr>
              <w:tabs>
                <w:tab w:pos="424" w:val="left" w:leader="none"/>
              </w:tabs>
              <w:spacing w:line="274" w:lineRule="exact" w:before="0" w:after="0"/>
              <w:ind w:left="424" w:right="0" w:hanging="138"/>
              <w:jc w:val="both"/>
              <w:rPr>
                <w:sz w:val="24"/>
              </w:rPr>
            </w:pPr>
            <w:r>
              <w:rPr>
                <w:sz w:val="24"/>
              </w:rPr>
              <w:t>при</w:t>
            </w:r>
            <w:r>
              <w:rPr>
                <w:spacing w:val="-7"/>
                <w:sz w:val="24"/>
              </w:rPr>
              <w:t> </w:t>
            </w:r>
            <w:r>
              <w:rPr>
                <w:sz w:val="24"/>
              </w:rPr>
              <w:t>отказе</w:t>
            </w:r>
            <w:r>
              <w:rPr>
                <w:spacing w:val="-11"/>
                <w:sz w:val="24"/>
              </w:rPr>
              <w:t> </w:t>
            </w:r>
            <w:r>
              <w:rPr>
                <w:sz w:val="24"/>
              </w:rPr>
              <w:t>пациента</w:t>
            </w:r>
            <w:r>
              <w:rPr>
                <w:spacing w:val="-8"/>
                <w:sz w:val="24"/>
              </w:rPr>
              <w:t> </w:t>
            </w:r>
            <w:r>
              <w:rPr>
                <w:sz w:val="24"/>
              </w:rPr>
              <w:t>от</w:t>
            </w:r>
            <w:r>
              <w:rPr>
                <w:spacing w:val="-7"/>
                <w:sz w:val="24"/>
              </w:rPr>
              <w:t> </w:t>
            </w:r>
            <w:r>
              <w:rPr>
                <w:spacing w:val="-2"/>
                <w:sz w:val="24"/>
              </w:rPr>
              <w:t>госпитализации:</w:t>
            </w:r>
          </w:p>
          <w:p>
            <w:pPr>
              <w:pStyle w:val="TableParagraph"/>
              <w:numPr>
                <w:ilvl w:val="0"/>
                <w:numId w:val="124"/>
              </w:numPr>
              <w:tabs>
                <w:tab w:pos="479" w:val="left" w:leader="none"/>
              </w:tabs>
              <w:spacing w:line="240" w:lineRule="auto" w:before="0" w:after="0"/>
              <w:ind w:left="286" w:right="287" w:firstLine="0"/>
              <w:jc w:val="both"/>
              <w:rPr>
                <w:sz w:val="24"/>
              </w:rPr>
            </w:pPr>
            <w:r>
              <w:rPr>
                <w:sz w:val="24"/>
              </w:rPr>
              <w:t>отбор мазка из носо- и ротоглотки в день обращения для проведения лабораторного исследования</w:t>
            </w:r>
            <w:r>
              <w:rPr>
                <w:spacing w:val="-13"/>
                <w:sz w:val="24"/>
              </w:rPr>
              <w:t> </w:t>
            </w:r>
            <w:r>
              <w:rPr>
                <w:sz w:val="24"/>
              </w:rPr>
              <w:t>на</w:t>
            </w:r>
            <w:r>
              <w:rPr>
                <w:spacing w:val="-13"/>
                <w:sz w:val="24"/>
              </w:rPr>
              <w:t> </w:t>
            </w:r>
            <w:r>
              <w:rPr>
                <w:sz w:val="24"/>
              </w:rPr>
              <w:t>наличие</w:t>
            </w:r>
            <w:r>
              <w:rPr>
                <w:spacing w:val="-13"/>
                <w:sz w:val="24"/>
              </w:rPr>
              <w:t> </w:t>
            </w:r>
            <w:r>
              <w:rPr>
                <w:sz w:val="24"/>
              </w:rPr>
              <w:t>возбудителя</w:t>
            </w:r>
            <w:r>
              <w:rPr>
                <w:spacing w:val="-10"/>
                <w:sz w:val="24"/>
              </w:rPr>
              <w:t> </w:t>
            </w:r>
            <w:r>
              <w:rPr>
                <w:sz w:val="24"/>
              </w:rPr>
              <w:t>COVID- 19</w:t>
            </w:r>
            <w:r>
              <w:rPr>
                <w:spacing w:val="-12"/>
                <w:sz w:val="24"/>
              </w:rPr>
              <w:t> </w:t>
            </w:r>
            <w:r>
              <w:rPr>
                <w:sz w:val="24"/>
              </w:rPr>
              <w:t>методом</w:t>
            </w:r>
            <w:r>
              <w:rPr>
                <w:spacing w:val="-13"/>
                <w:sz w:val="24"/>
              </w:rPr>
              <w:t> </w:t>
            </w:r>
            <w:r>
              <w:rPr>
                <w:sz w:val="24"/>
              </w:rPr>
              <w:t>полимеразной</w:t>
            </w:r>
            <w:r>
              <w:rPr>
                <w:spacing w:val="-11"/>
                <w:sz w:val="24"/>
              </w:rPr>
              <w:t> </w:t>
            </w:r>
            <w:r>
              <w:rPr>
                <w:sz w:val="24"/>
              </w:rPr>
              <w:t>цепной</w:t>
            </w:r>
            <w:r>
              <w:rPr>
                <w:spacing w:val="-13"/>
                <w:sz w:val="24"/>
              </w:rPr>
              <w:t> </w:t>
            </w:r>
            <w:r>
              <w:rPr>
                <w:sz w:val="24"/>
              </w:rPr>
              <w:t>реакции</w:t>
            </w:r>
            <w:r>
              <w:rPr>
                <w:spacing w:val="-11"/>
                <w:sz w:val="24"/>
              </w:rPr>
              <w:t> </w:t>
            </w:r>
            <w:r>
              <w:rPr>
                <w:sz w:val="24"/>
              </w:rPr>
              <w:t>или иммуннохроматографического анализа на наличие антигена коронавируса SARS-CoV-2</w:t>
            </w:r>
            <w:r>
              <w:rPr>
                <w:spacing w:val="40"/>
                <w:sz w:val="24"/>
              </w:rPr>
              <w:t> </w:t>
            </w:r>
            <w:r>
              <w:rPr>
                <w:sz w:val="24"/>
              </w:rPr>
              <w:t>с первичным</w:t>
            </w:r>
            <w:r>
              <w:rPr>
                <w:spacing w:val="-1"/>
                <w:sz w:val="24"/>
              </w:rPr>
              <w:t> </w:t>
            </w:r>
            <w:r>
              <w:rPr>
                <w:sz w:val="24"/>
              </w:rPr>
              <w:t>осмотром врачом (фельдшером);</w:t>
            </w:r>
          </w:p>
          <w:p>
            <w:pPr>
              <w:pStyle w:val="TableParagraph"/>
              <w:numPr>
                <w:ilvl w:val="0"/>
                <w:numId w:val="124"/>
              </w:numPr>
              <w:tabs>
                <w:tab w:pos="508" w:val="left" w:leader="none"/>
              </w:tabs>
              <w:spacing w:line="240" w:lineRule="auto" w:before="0" w:after="0"/>
              <w:ind w:left="286" w:right="289" w:firstLine="0"/>
              <w:jc w:val="both"/>
              <w:rPr>
                <w:sz w:val="24"/>
              </w:rPr>
            </w:pPr>
            <w:r>
              <w:rPr>
                <w:sz w:val="24"/>
              </w:rPr>
              <w:t>формирование листка нетрудоспособности</w:t>
            </w:r>
            <w:r>
              <w:rPr>
                <w:spacing w:val="40"/>
                <w:sz w:val="24"/>
              </w:rPr>
              <w:t> </w:t>
            </w:r>
            <w:r>
              <w:rPr>
                <w:sz w:val="24"/>
              </w:rPr>
              <w:t>в</w:t>
            </w:r>
            <w:r>
              <w:rPr>
                <w:spacing w:val="-15"/>
                <w:sz w:val="24"/>
              </w:rPr>
              <w:t> </w:t>
            </w:r>
            <w:r>
              <w:rPr>
                <w:sz w:val="24"/>
              </w:rPr>
              <w:t>форме</w:t>
            </w:r>
            <w:r>
              <w:rPr>
                <w:spacing w:val="-15"/>
                <w:sz w:val="24"/>
              </w:rPr>
              <w:t> </w:t>
            </w:r>
            <w:r>
              <w:rPr>
                <w:sz w:val="24"/>
              </w:rPr>
              <w:t>электронного</w:t>
            </w:r>
            <w:r>
              <w:rPr>
                <w:spacing w:val="-15"/>
                <w:sz w:val="24"/>
              </w:rPr>
              <w:t> </w:t>
            </w:r>
            <w:r>
              <w:rPr>
                <w:sz w:val="24"/>
              </w:rPr>
              <w:t>документа</w:t>
            </w:r>
            <w:r>
              <w:rPr>
                <w:spacing w:val="-15"/>
                <w:sz w:val="24"/>
              </w:rPr>
              <w:t> </w:t>
            </w:r>
            <w:r>
              <w:rPr>
                <w:sz w:val="24"/>
              </w:rPr>
              <w:t>не</w:t>
            </w:r>
            <w:r>
              <w:rPr>
                <w:spacing w:val="-15"/>
                <w:sz w:val="24"/>
              </w:rPr>
              <w:t> </w:t>
            </w:r>
            <w:r>
              <w:rPr>
                <w:sz w:val="24"/>
              </w:rPr>
              <w:t>менее,</w:t>
            </w:r>
            <w:r>
              <w:rPr>
                <w:spacing w:val="-15"/>
                <w:sz w:val="24"/>
              </w:rPr>
              <w:t> </w:t>
            </w:r>
            <w:r>
              <w:rPr>
                <w:sz w:val="24"/>
              </w:rPr>
              <w:t>чем на 7 календарных дней, с возможностью </w:t>
            </w:r>
            <w:r>
              <w:rPr>
                <w:spacing w:val="-2"/>
                <w:sz w:val="24"/>
              </w:rPr>
              <w:t>продления;</w:t>
            </w:r>
          </w:p>
          <w:p>
            <w:pPr>
              <w:pStyle w:val="TableParagraph"/>
              <w:spacing w:line="275" w:lineRule="exact"/>
              <w:ind w:left="286"/>
              <w:jc w:val="both"/>
              <w:rPr>
                <w:sz w:val="24"/>
              </w:rPr>
            </w:pPr>
            <w:r>
              <w:rPr>
                <w:sz w:val="24"/>
              </w:rPr>
              <w:t>-изоляция</w:t>
            </w:r>
            <w:r>
              <w:rPr>
                <w:spacing w:val="-8"/>
                <w:sz w:val="24"/>
              </w:rPr>
              <w:t> </w:t>
            </w:r>
            <w:r>
              <w:rPr>
                <w:sz w:val="24"/>
              </w:rPr>
              <w:t>на</w:t>
            </w:r>
            <w:r>
              <w:rPr>
                <w:spacing w:val="-7"/>
                <w:sz w:val="24"/>
              </w:rPr>
              <w:t> </w:t>
            </w:r>
            <w:r>
              <w:rPr>
                <w:sz w:val="24"/>
              </w:rPr>
              <w:t>дому</w:t>
            </w:r>
            <w:r>
              <w:rPr>
                <w:spacing w:val="-7"/>
                <w:sz w:val="24"/>
              </w:rPr>
              <w:t> </w:t>
            </w:r>
            <w:r>
              <w:rPr>
                <w:sz w:val="24"/>
              </w:rPr>
              <w:t>на</w:t>
            </w:r>
            <w:r>
              <w:rPr>
                <w:spacing w:val="-8"/>
                <w:sz w:val="24"/>
              </w:rPr>
              <w:t> </w:t>
            </w:r>
            <w:r>
              <w:rPr>
                <w:sz w:val="24"/>
              </w:rPr>
              <w:t>срок</w:t>
            </w:r>
            <w:r>
              <w:rPr>
                <w:spacing w:val="-6"/>
                <w:sz w:val="24"/>
              </w:rPr>
              <w:t> </w:t>
            </w:r>
            <w:r>
              <w:rPr>
                <w:spacing w:val="-2"/>
                <w:sz w:val="24"/>
              </w:rPr>
              <w:t>болезни;</w:t>
            </w:r>
          </w:p>
          <w:p>
            <w:pPr>
              <w:pStyle w:val="TableParagraph"/>
              <w:numPr>
                <w:ilvl w:val="0"/>
                <w:numId w:val="124"/>
              </w:numPr>
              <w:tabs>
                <w:tab w:pos="578" w:val="left" w:leader="none"/>
              </w:tabs>
              <w:spacing w:line="240" w:lineRule="auto" w:before="0" w:after="0"/>
              <w:ind w:left="286" w:right="288" w:firstLine="0"/>
              <w:jc w:val="both"/>
              <w:rPr>
                <w:sz w:val="24"/>
              </w:rPr>
            </w:pPr>
            <w:r>
              <w:rPr>
                <w:sz w:val="24"/>
              </w:rPr>
              <w:t>аудио-</w:t>
            </w:r>
            <w:r>
              <w:rPr>
                <w:spacing w:val="80"/>
                <w:sz w:val="24"/>
              </w:rPr>
              <w:t> </w:t>
            </w:r>
            <w:r>
              <w:rPr>
                <w:sz w:val="24"/>
              </w:rPr>
              <w:t>и/или</w:t>
            </w:r>
            <w:r>
              <w:rPr>
                <w:spacing w:val="80"/>
                <w:sz w:val="24"/>
              </w:rPr>
              <w:t> </w:t>
            </w:r>
            <w:r>
              <w:rPr>
                <w:sz w:val="24"/>
              </w:rPr>
              <w:t>видеоконтроль</w:t>
            </w:r>
            <w:r>
              <w:rPr>
                <w:spacing w:val="80"/>
                <w:sz w:val="24"/>
              </w:rPr>
              <w:t> </w:t>
            </w:r>
            <w:r>
              <w:rPr>
                <w:sz w:val="24"/>
              </w:rPr>
              <w:t>состояния,</w:t>
            </w:r>
            <w:r>
              <w:rPr>
                <w:spacing w:val="80"/>
                <w:w w:val="150"/>
                <w:sz w:val="24"/>
              </w:rPr>
              <w:t> </w:t>
            </w:r>
            <w:r>
              <w:rPr>
                <w:sz w:val="24"/>
              </w:rPr>
              <w:t>в случае выявления ухудшения состояния</w:t>
            </w:r>
          </w:p>
          <w:p>
            <w:pPr>
              <w:pStyle w:val="TableParagraph"/>
              <w:numPr>
                <w:ilvl w:val="0"/>
                <w:numId w:val="124"/>
              </w:numPr>
              <w:tabs>
                <w:tab w:pos="484" w:val="left" w:leader="none"/>
              </w:tabs>
              <w:spacing w:line="240" w:lineRule="auto" w:before="0" w:after="0"/>
              <w:ind w:left="286" w:right="289" w:firstLine="0"/>
              <w:jc w:val="both"/>
              <w:rPr>
                <w:sz w:val="24"/>
              </w:rPr>
            </w:pPr>
            <w:r>
              <w:rPr>
                <w:sz w:val="24"/>
              </w:rPr>
              <w:t>посещение пациента врачом (фельдшером) на дому или вызов специализированной выездной бригады скорой медицинской </w:t>
            </w:r>
            <w:r>
              <w:rPr>
                <w:spacing w:val="-2"/>
                <w:sz w:val="24"/>
              </w:rPr>
              <w:t>помощи;</w:t>
            </w:r>
          </w:p>
          <w:p>
            <w:pPr>
              <w:pStyle w:val="TableParagraph"/>
              <w:numPr>
                <w:ilvl w:val="0"/>
                <w:numId w:val="124"/>
              </w:numPr>
              <w:tabs>
                <w:tab w:pos="446" w:val="left" w:leader="none"/>
              </w:tabs>
              <w:spacing w:line="240" w:lineRule="auto" w:before="0" w:after="0"/>
              <w:ind w:left="286" w:right="288" w:firstLine="0"/>
              <w:jc w:val="both"/>
              <w:rPr>
                <w:sz w:val="24"/>
              </w:rPr>
            </w:pPr>
            <w:r>
              <w:rPr>
                <w:sz w:val="24"/>
              </w:rPr>
              <w:t>выписка при выздоровлении без проведения лабораторного исследования на COVID-19;</w:t>
            </w:r>
          </w:p>
          <w:p>
            <w:pPr>
              <w:pStyle w:val="TableParagraph"/>
              <w:numPr>
                <w:ilvl w:val="0"/>
                <w:numId w:val="124"/>
              </w:numPr>
              <w:tabs>
                <w:tab w:pos="482" w:val="left" w:leader="none"/>
              </w:tabs>
              <w:spacing w:line="276" w:lineRule="exact" w:before="0" w:after="0"/>
              <w:ind w:left="286" w:right="286" w:firstLine="0"/>
              <w:jc w:val="both"/>
              <w:rPr>
                <w:sz w:val="24"/>
              </w:rPr>
            </w:pPr>
            <w:r>
              <w:rPr>
                <w:sz w:val="24"/>
              </w:rPr>
              <w:t>при получении положительного результата теста</w:t>
            </w:r>
            <w:r>
              <w:rPr>
                <w:spacing w:val="-10"/>
                <w:sz w:val="24"/>
              </w:rPr>
              <w:t> </w:t>
            </w:r>
            <w:r>
              <w:rPr>
                <w:sz w:val="24"/>
              </w:rPr>
              <w:t>на</w:t>
            </w:r>
            <w:r>
              <w:rPr>
                <w:spacing w:val="-10"/>
                <w:sz w:val="24"/>
              </w:rPr>
              <w:t> </w:t>
            </w:r>
            <w:r>
              <w:rPr>
                <w:sz w:val="24"/>
              </w:rPr>
              <w:t>COVID-19</w:t>
            </w:r>
            <w:r>
              <w:rPr>
                <w:spacing w:val="-8"/>
                <w:sz w:val="24"/>
              </w:rPr>
              <w:t> </w:t>
            </w:r>
            <w:r>
              <w:rPr>
                <w:sz w:val="24"/>
              </w:rPr>
              <w:t>-</w:t>
            </w:r>
            <w:r>
              <w:rPr>
                <w:spacing w:val="-11"/>
                <w:sz w:val="24"/>
              </w:rPr>
              <w:t> </w:t>
            </w:r>
            <w:r>
              <w:rPr>
                <w:sz w:val="24"/>
              </w:rPr>
              <w:t>тактика</w:t>
            </w:r>
            <w:r>
              <w:rPr>
                <w:spacing w:val="-10"/>
                <w:sz w:val="24"/>
              </w:rPr>
              <w:t> </w:t>
            </w:r>
            <w:r>
              <w:rPr>
                <w:sz w:val="24"/>
              </w:rPr>
              <w:t>ведения</w:t>
            </w:r>
            <w:r>
              <w:rPr>
                <w:spacing w:val="-10"/>
                <w:sz w:val="24"/>
              </w:rPr>
              <w:t> </w:t>
            </w:r>
            <w:r>
              <w:rPr>
                <w:sz w:val="24"/>
              </w:rPr>
              <w:t>пациента определяется в соответствии с требованиями действующего законодательства.</w:t>
            </w:r>
          </w:p>
        </w:tc>
      </w:tr>
      <w:tr>
        <w:trPr>
          <w:trHeight w:val="3580" w:hRule="atLeast"/>
        </w:trPr>
        <w:tc>
          <w:tcPr>
            <w:tcW w:w="710" w:type="dxa"/>
          </w:tcPr>
          <w:p>
            <w:pPr>
              <w:pStyle w:val="TableParagraph"/>
              <w:spacing w:line="271" w:lineRule="exact"/>
              <w:ind w:left="144"/>
              <w:rPr>
                <w:sz w:val="24"/>
              </w:rPr>
            </w:pPr>
            <w:r>
              <w:rPr>
                <w:spacing w:val="-5"/>
                <w:sz w:val="24"/>
              </w:rPr>
              <w:t>3.</w:t>
            </w:r>
          </w:p>
        </w:tc>
        <w:tc>
          <w:tcPr>
            <w:tcW w:w="3259" w:type="dxa"/>
          </w:tcPr>
          <w:p>
            <w:pPr>
              <w:pStyle w:val="TableParagraph"/>
              <w:ind w:left="139" w:right="282"/>
              <w:rPr>
                <w:b/>
                <w:sz w:val="24"/>
              </w:rPr>
            </w:pPr>
            <w:r>
              <w:rPr>
                <w:b/>
                <w:sz w:val="24"/>
              </w:rPr>
              <w:t>ОРВИ,</w:t>
            </w:r>
            <w:r>
              <w:rPr>
                <w:b/>
                <w:spacing w:val="-4"/>
                <w:sz w:val="24"/>
              </w:rPr>
              <w:t> </w:t>
            </w:r>
            <w:r>
              <w:rPr>
                <w:b/>
                <w:sz w:val="24"/>
              </w:rPr>
              <w:t>грипп,</w:t>
            </w:r>
            <w:r>
              <w:rPr>
                <w:b/>
                <w:spacing w:val="-5"/>
                <w:sz w:val="24"/>
              </w:rPr>
              <w:t> </w:t>
            </w:r>
            <w:r>
              <w:rPr>
                <w:b/>
                <w:sz w:val="24"/>
              </w:rPr>
              <w:t>подозрение на COVID-19</w:t>
            </w:r>
          </w:p>
          <w:p>
            <w:pPr>
              <w:pStyle w:val="TableParagraph"/>
              <w:spacing w:before="271"/>
              <w:ind w:left="139"/>
              <w:rPr>
                <w:b/>
                <w:sz w:val="24"/>
              </w:rPr>
            </w:pPr>
            <w:r>
              <w:rPr>
                <w:b/>
                <w:sz w:val="24"/>
              </w:rPr>
              <w:t>Дети</w:t>
            </w:r>
            <w:r>
              <w:rPr>
                <w:b/>
                <w:spacing w:val="-7"/>
                <w:sz w:val="24"/>
              </w:rPr>
              <w:t> </w:t>
            </w:r>
            <w:r>
              <w:rPr>
                <w:b/>
                <w:sz w:val="24"/>
              </w:rPr>
              <w:t>в</w:t>
            </w:r>
            <w:r>
              <w:rPr>
                <w:b/>
                <w:spacing w:val="-6"/>
                <w:sz w:val="24"/>
              </w:rPr>
              <w:t> </w:t>
            </w:r>
            <w:r>
              <w:rPr>
                <w:b/>
                <w:sz w:val="24"/>
              </w:rPr>
              <w:t>возрасте</w:t>
            </w:r>
            <w:r>
              <w:rPr>
                <w:b/>
                <w:spacing w:val="-7"/>
                <w:sz w:val="24"/>
              </w:rPr>
              <w:t> </w:t>
            </w:r>
            <w:r>
              <w:rPr>
                <w:b/>
                <w:sz w:val="24"/>
              </w:rPr>
              <w:t>до</w:t>
            </w:r>
            <w:r>
              <w:rPr>
                <w:b/>
                <w:spacing w:val="-7"/>
                <w:sz w:val="24"/>
              </w:rPr>
              <w:t> </w:t>
            </w:r>
            <w:r>
              <w:rPr>
                <w:b/>
                <w:sz w:val="24"/>
              </w:rPr>
              <w:t>6</w:t>
            </w:r>
            <w:r>
              <w:rPr>
                <w:b/>
                <w:spacing w:val="-6"/>
                <w:sz w:val="24"/>
              </w:rPr>
              <w:t> </w:t>
            </w:r>
            <w:r>
              <w:rPr>
                <w:b/>
                <w:spacing w:val="-5"/>
                <w:sz w:val="24"/>
              </w:rPr>
              <w:t>лет</w:t>
            </w: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spacing w:before="274"/>
              <w:rPr>
                <w:sz w:val="24"/>
              </w:rPr>
            </w:pPr>
          </w:p>
          <w:p>
            <w:pPr>
              <w:pStyle w:val="TableParagraph"/>
              <w:ind w:left="139" w:right="282"/>
              <w:rPr>
                <w:b/>
                <w:sz w:val="24"/>
              </w:rPr>
            </w:pPr>
            <w:r>
              <w:rPr>
                <w:b/>
                <w:sz w:val="24"/>
              </w:rPr>
              <w:t>Дети</w:t>
            </w:r>
            <w:r>
              <w:rPr>
                <w:b/>
                <w:spacing w:val="37"/>
                <w:sz w:val="24"/>
              </w:rPr>
              <w:t> </w:t>
            </w:r>
            <w:r>
              <w:rPr>
                <w:b/>
                <w:sz w:val="24"/>
              </w:rPr>
              <w:t>в</w:t>
            </w:r>
            <w:r>
              <w:rPr>
                <w:b/>
                <w:spacing w:val="37"/>
                <w:sz w:val="24"/>
              </w:rPr>
              <w:t> </w:t>
            </w:r>
            <w:r>
              <w:rPr>
                <w:b/>
                <w:sz w:val="24"/>
              </w:rPr>
              <w:t>возрасте</w:t>
            </w:r>
            <w:r>
              <w:rPr>
                <w:b/>
                <w:spacing w:val="35"/>
                <w:sz w:val="24"/>
              </w:rPr>
              <w:t> </w:t>
            </w:r>
            <w:r>
              <w:rPr>
                <w:b/>
                <w:sz w:val="24"/>
              </w:rPr>
              <w:t>от</w:t>
            </w:r>
            <w:r>
              <w:rPr>
                <w:b/>
                <w:spacing w:val="36"/>
                <w:sz w:val="24"/>
              </w:rPr>
              <w:t> </w:t>
            </w:r>
            <w:r>
              <w:rPr>
                <w:b/>
                <w:sz w:val="24"/>
              </w:rPr>
              <w:t>6</w:t>
            </w:r>
            <w:r>
              <w:rPr>
                <w:b/>
                <w:spacing w:val="37"/>
                <w:sz w:val="24"/>
              </w:rPr>
              <w:t> </w:t>
            </w:r>
            <w:r>
              <w:rPr>
                <w:b/>
                <w:sz w:val="24"/>
              </w:rPr>
              <w:t>лет и до 17 включительно</w:t>
            </w:r>
          </w:p>
        </w:tc>
        <w:tc>
          <w:tcPr>
            <w:tcW w:w="5389" w:type="dxa"/>
          </w:tcPr>
          <w:p>
            <w:pPr>
              <w:pStyle w:val="TableParagraph"/>
              <w:rPr>
                <w:sz w:val="24"/>
              </w:rPr>
            </w:pPr>
          </w:p>
          <w:p>
            <w:pPr>
              <w:pStyle w:val="TableParagraph"/>
              <w:rPr>
                <w:sz w:val="24"/>
              </w:rPr>
            </w:pPr>
          </w:p>
          <w:p>
            <w:pPr>
              <w:pStyle w:val="TableParagraph"/>
              <w:spacing w:before="271"/>
              <w:rPr>
                <w:sz w:val="24"/>
              </w:rPr>
            </w:pPr>
          </w:p>
          <w:p>
            <w:pPr>
              <w:pStyle w:val="TableParagraph"/>
              <w:numPr>
                <w:ilvl w:val="0"/>
                <w:numId w:val="125"/>
              </w:numPr>
              <w:tabs>
                <w:tab w:pos="465" w:val="left" w:leader="none"/>
              </w:tabs>
              <w:spacing w:line="240" w:lineRule="auto" w:before="0" w:after="0"/>
              <w:ind w:left="286" w:right="291" w:firstLine="0"/>
              <w:jc w:val="both"/>
              <w:rPr>
                <w:sz w:val="24"/>
              </w:rPr>
            </w:pPr>
            <w:r>
              <w:rPr>
                <w:sz w:val="24"/>
              </w:rPr>
              <w:t>обязательный осмотр врачом (фельдшером) на дому;</w:t>
            </w:r>
          </w:p>
          <w:p>
            <w:pPr>
              <w:pStyle w:val="TableParagraph"/>
              <w:numPr>
                <w:ilvl w:val="0"/>
                <w:numId w:val="125"/>
              </w:numPr>
              <w:tabs>
                <w:tab w:pos="549" w:val="left" w:leader="none"/>
              </w:tabs>
              <w:spacing w:line="240" w:lineRule="auto" w:before="0" w:after="0"/>
              <w:ind w:left="286" w:right="286" w:firstLine="0"/>
              <w:jc w:val="both"/>
              <w:rPr>
                <w:sz w:val="24"/>
              </w:rPr>
            </w:pPr>
            <w:r>
              <w:rPr>
                <w:sz w:val="24"/>
              </w:rPr>
              <w:t>при нарастании симптомов заболевания, ухудшении состояния, а также при появлении новых симптомов заболевания - вызов специализированной выездной бригады скорой медицинской помощи.</w:t>
            </w:r>
          </w:p>
          <w:p>
            <w:pPr>
              <w:pStyle w:val="TableParagraph"/>
              <w:numPr>
                <w:ilvl w:val="0"/>
                <w:numId w:val="125"/>
              </w:numPr>
              <w:tabs>
                <w:tab w:pos="424" w:val="left" w:leader="none"/>
              </w:tabs>
              <w:spacing w:line="255" w:lineRule="exact" w:before="274" w:after="0"/>
              <w:ind w:left="424" w:right="0" w:hanging="138"/>
              <w:jc w:val="both"/>
              <w:rPr>
                <w:sz w:val="24"/>
              </w:rPr>
            </w:pPr>
            <w:r>
              <w:rPr>
                <w:sz w:val="24"/>
              </w:rPr>
              <w:t>изоляция</w:t>
            </w:r>
            <w:r>
              <w:rPr>
                <w:spacing w:val="-7"/>
                <w:sz w:val="24"/>
              </w:rPr>
              <w:t> </w:t>
            </w:r>
            <w:r>
              <w:rPr>
                <w:sz w:val="24"/>
              </w:rPr>
              <w:t>на</w:t>
            </w:r>
            <w:r>
              <w:rPr>
                <w:spacing w:val="-7"/>
                <w:sz w:val="24"/>
              </w:rPr>
              <w:t> </w:t>
            </w:r>
            <w:r>
              <w:rPr>
                <w:sz w:val="24"/>
              </w:rPr>
              <w:t>дому</w:t>
            </w:r>
            <w:r>
              <w:rPr>
                <w:spacing w:val="-7"/>
                <w:sz w:val="24"/>
              </w:rPr>
              <w:t> </w:t>
            </w:r>
            <w:r>
              <w:rPr>
                <w:sz w:val="24"/>
              </w:rPr>
              <w:t>на</w:t>
            </w:r>
            <w:r>
              <w:rPr>
                <w:spacing w:val="-7"/>
                <w:sz w:val="24"/>
              </w:rPr>
              <w:t> </w:t>
            </w:r>
            <w:r>
              <w:rPr>
                <w:sz w:val="24"/>
              </w:rPr>
              <w:t>срок</w:t>
            </w:r>
            <w:r>
              <w:rPr>
                <w:spacing w:val="-6"/>
                <w:sz w:val="24"/>
              </w:rPr>
              <w:t> </w:t>
            </w:r>
            <w:r>
              <w:rPr>
                <w:spacing w:val="-2"/>
                <w:sz w:val="24"/>
              </w:rPr>
              <w:t>болезни;</w:t>
            </w:r>
          </w:p>
        </w:tc>
      </w:tr>
    </w:tbl>
    <w:p>
      <w:pPr>
        <w:spacing w:before="114"/>
        <w:ind w:left="2141" w:right="2276" w:firstLine="0"/>
        <w:jc w:val="center"/>
        <w:rPr>
          <w:rFonts w:ascii="Calibri"/>
          <w:sz w:val="22"/>
        </w:rPr>
      </w:pPr>
      <w:r>
        <w:rPr>
          <w:rFonts w:ascii="Calibri"/>
          <w:spacing w:val="-5"/>
          <w:sz w:val="22"/>
        </w:rPr>
        <w:t>224</w:t>
      </w:r>
    </w:p>
    <w:p>
      <w:pPr>
        <w:spacing w:before="1"/>
        <w:ind w:left="0" w:right="13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60" w:bottom="480" w:left="1133" w:right="708"/>
        </w:sectPr>
      </w:pPr>
    </w:p>
    <w:p>
      <w:pPr>
        <w:pStyle w:val="BodyText"/>
        <w:spacing w:before="6"/>
        <w:ind w:left="0"/>
        <w:jc w:val="left"/>
        <w:rPr>
          <w:sz w:val="2"/>
        </w:rPr>
      </w:pPr>
    </w:p>
    <w:tbl>
      <w:tblPr>
        <w:tblW w:w="0" w:type="auto"/>
        <w:jc w:val="left"/>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10"/>
        <w:gridCol w:w="3259"/>
        <w:gridCol w:w="5389"/>
      </w:tblGrid>
      <w:tr>
        <w:trPr>
          <w:trHeight w:val="6494" w:hRule="atLeast"/>
        </w:trPr>
        <w:tc>
          <w:tcPr>
            <w:tcW w:w="710" w:type="dxa"/>
            <w:vMerge w:val="restart"/>
          </w:tcPr>
          <w:p>
            <w:pPr>
              <w:pStyle w:val="TableParagraph"/>
              <w:rPr>
                <w:sz w:val="22"/>
              </w:rPr>
            </w:pPr>
          </w:p>
        </w:tc>
        <w:tc>
          <w:tcPr>
            <w:tcW w:w="3259" w:type="dxa"/>
            <w:tcBorders>
              <w:bottom w:val="nil"/>
            </w:tcBorders>
          </w:tcPr>
          <w:p>
            <w:pPr>
              <w:pStyle w:val="TableParagraph"/>
              <w:tabs>
                <w:tab w:pos="1779" w:val="left" w:leader="none"/>
              </w:tabs>
              <w:spacing w:before="13"/>
              <w:ind w:left="139" w:right="281"/>
              <w:rPr>
                <w:sz w:val="24"/>
              </w:rPr>
            </w:pPr>
            <w:bookmarkStart w:name="226" w:id="270"/>
            <w:bookmarkEnd w:id="270"/>
            <w:r>
              <w:rPr/>
            </w:r>
            <w:r>
              <w:rPr>
                <w:spacing w:val="-2"/>
                <w:sz w:val="24"/>
              </w:rPr>
              <w:t>Наличие</w:t>
            </w:r>
            <w:r>
              <w:rPr>
                <w:sz w:val="24"/>
              </w:rPr>
              <w:tab/>
            </w:r>
            <w:r>
              <w:rPr>
                <w:spacing w:val="-2"/>
                <w:sz w:val="24"/>
              </w:rPr>
              <w:t>следующих критериев:</w:t>
            </w:r>
          </w:p>
          <w:p>
            <w:pPr>
              <w:pStyle w:val="TableParagraph"/>
              <w:numPr>
                <w:ilvl w:val="0"/>
                <w:numId w:val="126"/>
              </w:numPr>
              <w:tabs>
                <w:tab w:pos="602" w:val="left" w:leader="none"/>
                <w:tab w:pos="1803" w:val="left" w:leader="none"/>
              </w:tabs>
              <w:spacing w:line="240" w:lineRule="auto" w:before="0" w:after="0"/>
              <w:ind w:left="139" w:right="279" w:firstLine="0"/>
              <w:jc w:val="left"/>
              <w:rPr>
                <w:position w:val="2"/>
                <w:sz w:val="24"/>
              </w:rPr>
            </w:pPr>
            <w:r>
              <w:rPr>
                <w:spacing w:val="-2"/>
                <w:sz w:val="24"/>
              </w:rPr>
              <w:t>уровень</w:t>
            </w:r>
            <w:r>
              <w:rPr>
                <w:sz w:val="24"/>
              </w:rPr>
              <w:tab/>
            </w:r>
            <w:r>
              <w:rPr>
                <w:spacing w:val="-2"/>
                <w:sz w:val="24"/>
              </w:rPr>
              <w:t>насыщения </w:t>
            </w:r>
            <w:r>
              <w:rPr>
                <w:spacing w:val="-2"/>
                <w:position w:val="2"/>
                <w:sz w:val="24"/>
              </w:rPr>
              <w:t>кислородом</w:t>
            </w:r>
            <w:r>
              <w:rPr>
                <w:spacing w:val="-13"/>
                <w:position w:val="2"/>
                <w:sz w:val="24"/>
              </w:rPr>
              <w:t> </w:t>
            </w:r>
            <w:r>
              <w:rPr>
                <w:spacing w:val="-2"/>
                <w:position w:val="2"/>
                <w:sz w:val="24"/>
              </w:rPr>
              <w:t>(далее</w:t>
            </w:r>
            <w:r>
              <w:rPr>
                <w:spacing w:val="-12"/>
                <w:position w:val="2"/>
                <w:sz w:val="24"/>
              </w:rPr>
              <w:t> </w:t>
            </w:r>
            <w:r>
              <w:rPr>
                <w:spacing w:val="-2"/>
                <w:position w:val="2"/>
                <w:sz w:val="24"/>
              </w:rPr>
              <w:t>—</w:t>
            </w:r>
            <w:r>
              <w:rPr>
                <w:spacing w:val="-12"/>
                <w:position w:val="2"/>
                <w:sz w:val="24"/>
              </w:rPr>
              <w:t> </w:t>
            </w:r>
            <w:r>
              <w:rPr>
                <w:spacing w:val="-4"/>
                <w:position w:val="2"/>
                <w:sz w:val="24"/>
              </w:rPr>
              <w:t>SpO</w:t>
            </w:r>
            <w:r>
              <w:rPr>
                <w:spacing w:val="-4"/>
                <w:sz w:val="16"/>
              </w:rPr>
              <w:t>2</w:t>
            </w:r>
            <w:r>
              <w:rPr>
                <w:spacing w:val="-4"/>
                <w:position w:val="2"/>
                <w:sz w:val="24"/>
              </w:rPr>
              <w:t>)</w:t>
            </w:r>
          </w:p>
          <w:p>
            <w:pPr>
              <w:pStyle w:val="TableParagraph"/>
              <w:spacing w:line="273" w:lineRule="exact"/>
              <w:ind w:left="139"/>
              <w:rPr>
                <w:sz w:val="24"/>
              </w:rPr>
            </w:pPr>
            <w:r>
              <w:rPr>
                <w:sz w:val="24"/>
              </w:rPr>
              <w:t>≥</w:t>
            </w:r>
            <w:r>
              <w:rPr>
                <w:spacing w:val="-2"/>
                <w:sz w:val="24"/>
              </w:rPr>
              <w:t> </w:t>
            </w:r>
            <w:r>
              <w:rPr>
                <w:spacing w:val="-4"/>
                <w:sz w:val="24"/>
              </w:rPr>
              <w:t>95%;</w:t>
            </w:r>
          </w:p>
          <w:p>
            <w:pPr>
              <w:pStyle w:val="TableParagraph"/>
              <w:spacing w:line="276" w:lineRule="exact"/>
              <w:ind w:left="139"/>
              <w:rPr>
                <w:sz w:val="24"/>
              </w:rPr>
            </w:pPr>
            <w:r>
              <w:rPr>
                <w:sz w:val="24"/>
              </w:rPr>
              <w:t>-</w:t>
            </w:r>
            <w:r>
              <w:rPr>
                <w:spacing w:val="-3"/>
                <w:sz w:val="24"/>
              </w:rPr>
              <w:t> </w:t>
            </w:r>
            <w:r>
              <w:rPr>
                <w:sz w:val="24"/>
              </w:rPr>
              <w:t>Т</w:t>
            </w:r>
            <w:r>
              <w:rPr>
                <w:spacing w:val="-2"/>
                <w:sz w:val="24"/>
              </w:rPr>
              <w:t> </w:t>
            </w:r>
            <w:r>
              <w:rPr>
                <w:sz w:val="24"/>
              </w:rPr>
              <w:t>&lt;</w:t>
            </w:r>
            <w:r>
              <w:rPr>
                <w:spacing w:val="-3"/>
                <w:sz w:val="24"/>
              </w:rPr>
              <w:t> </w:t>
            </w:r>
            <w:r>
              <w:rPr>
                <w:spacing w:val="-2"/>
                <w:sz w:val="24"/>
              </w:rPr>
              <w:t>38,5°C;</w:t>
            </w:r>
          </w:p>
          <w:p>
            <w:pPr>
              <w:pStyle w:val="TableParagraph"/>
              <w:numPr>
                <w:ilvl w:val="0"/>
                <w:numId w:val="126"/>
              </w:numPr>
              <w:tabs>
                <w:tab w:pos="484" w:val="left" w:leader="none"/>
                <w:tab w:pos="1961" w:val="left" w:leader="none"/>
                <w:tab w:pos="2731" w:val="left" w:leader="none"/>
              </w:tabs>
              <w:spacing w:line="240" w:lineRule="auto" w:before="0" w:after="0"/>
              <w:ind w:left="139" w:right="280" w:firstLine="0"/>
              <w:jc w:val="left"/>
              <w:rPr>
                <w:sz w:val="24"/>
              </w:rPr>
            </w:pPr>
            <w:r>
              <w:rPr>
                <w:spacing w:val="-2"/>
                <w:sz w:val="24"/>
              </w:rPr>
              <w:t>отсутствует</w:t>
            </w:r>
            <w:r>
              <w:rPr>
                <w:sz w:val="24"/>
              </w:rPr>
              <w:tab/>
            </w:r>
            <w:r>
              <w:rPr>
                <w:spacing w:val="-4"/>
                <w:sz w:val="24"/>
              </w:rPr>
              <w:t>сыпь</w:t>
            </w:r>
            <w:r>
              <w:rPr>
                <w:sz w:val="24"/>
              </w:rPr>
              <w:tab/>
            </w:r>
            <w:r>
              <w:rPr>
                <w:spacing w:val="-6"/>
                <w:sz w:val="24"/>
              </w:rPr>
              <w:t>на </w:t>
            </w:r>
            <w:r>
              <w:rPr>
                <w:sz w:val="24"/>
              </w:rPr>
              <w:t>кожных покровах;</w:t>
            </w:r>
          </w:p>
          <w:p>
            <w:pPr>
              <w:pStyle w:val="TableParagraph"/>
              <w:numPr>
                <w:ilvl w:val="0"/>
                <w:numId w:val="126"/>
              </w:numPr>
              <w:tabs>
                <w:tab w:pos="277" w:val="left" w:leader="none"/>
              </w:tabs>
              <w:spacing w:line="240" w:lineRule="auto" w:before="0" w:after="0"/>
              <w:ind w:left="139" w:right="569" w:firstLine="0"/>
              <w:jc w:val="left"/>
              <w:rPr>
                <w:sz w:val="24"/>
              </w:rPr>
            </w:pPr>
            <w:r>
              <w:rPr>
                <w:sz w:val="24"/>
              </w:rPr>
              <w:t>отсутствуют</w:t>
            </w:r>
            <w:r>
              <w:rPr>
                <w:spacing w:val="-15"/>
                <w:sz w:val="24"/>
              </w:rPr>
              <w:t> </w:t>
            </w:r>
            <w:r>
              <w:rPr>
                <w:sz w:val="24"/>
              </w:rPr>
              <w:t>симптомы </w:t>
            </w:r>
            <w:r>
              <w:rPr>
                <w:spacing w:val="-2"/>
                <w:sz w:val="24"/>
              </w:rPr>
              <w:t>интоксикации (слабость/вялость, </w:t>
            </w:r>
            <w:r>
              <w:rPr>
                <w:sz w:val="24"/>
              </w:rPr>
              <w:t>сонливость, боль</w:t>
            </w:r>
          </w:p>
          <w:p>
            <w:pPr>
              <w:pStyle w:val="TableParagraph"/>
              <w:tabs>
                <w:tab w:pos="597" w:val="left" w:leader="none"/>
                <w:tab w:pos="1853" w:val="left" w:leader="none"/>
                <w:tab w:pos="2739" w:val="left" w:leader="none"/>
              </w:tabs>
              <w:ind w:left="139" w:right="282"/>
              <w:rPr>
                <w:sz w:val="24"/>
              </w:rPr>
            </w:pPr>
            <w:r>
              <w:rPr>
                <w:spacing w:val="-10"/>
                <w:sz w:val="24"/>
              </w:rPr>
              <w:t>в</w:t>
            </w:r>
            <w:r>
              <w:rPr>
                <w:sz w:val="24"/>
              </w:rPr>
              <w:tab/>
            </w:r>
            <w:r>
              <w:rPr>
                <w:spacing w:val="-2"/>
                <w:sz w:val="24"/>
              </w:rPr>
              <w:t>мышцах,</w:t>
            </w:r>
            <w:r>
              <w:rPr>
                <w:sz w:val="24"/>
              </w:rPr>
              <w:tab/>
            </w:r>
            <w:r>
              <w:rPr>
                <w:spacing w:val="-4"/>
                <w:sz w:val="24"/>
              </w:rPr>
              <w:t>отказ</w:t>
            </w:r>
            <w:r>
              <w:rPr>
                <w:sz w:val="24"/>
              </w:rPr>
              <w:tab/>
            </w:r>
            <w:r>
              <w:rPr>
                <w:spacing w:val="-6"/>
                <w:sz w:val="24"/>
              </w:rPr>
              <w:t>от </w:t>
            </w:r>
            <w:r>
              <w:rPr>
                <w:spacing w:val="-2"/>
                <w:sz w:val="24"/>
              </w:rPr>
              <w:t>еды/питья);</w:t>
            </w:r>
          </w:p>
          <w:p>
            <w:pPr>
              <w:pStyle w:val="TableParagraph"/>
              <w:numPr>
                <w:ilvl w:val="0"/>
                <w:numId w:val="126"/>
              </w:numPr>
              <w:tabs>
                <w:tab w:pos="277" w:val="left" w:leader="none"/>
              </w:tabs>
              <w:spacing w:line="275" w:lineRule="exact" w:before="0" w:after="0"/>
              <w:ind w:left="277" w:right="0" w:hanging="138"/>
              <w:jc w:val="left"/>
              <w:rPr>
                <w:sz w:val="24"/>
              </w:rPr>
            </w:pPr>
            <w:r>
              <w:rPr>
                <w:spacing w:val="-2"/>
                <w:sz w:val="24"/>
              </w:rPr>
              <w:t>отсутствуют</w:t>
            </w:r>
          </w:p>
          <w:p>
            <w:pPr>
              <w:pStyle w:val="TableParagraph"/>
              <w:tabs>
                <w:tab w:pos="1033" w:val="left" w:leader="none"/>
                <w:tab w:pos="1819" w:val="left" w:leader="none"/>
                <w:tab w:pos="1850" w:val="left" w:leader="none"/>
                <w:tab w:pos="2166" w:val="left" w:leader="none"/>
              </w:tabs>
              <w:ind w:left="139" w:right="281"/>
              <w:rPr>
                <w:sz w:val="24"/>
              </w:rPr>
            </w:pPr>
            <w:r>
              <w:rPr>
                <w:spacing w:val="-2"/>
                <w:sz w:val="24"/>
              </w:rPr>
              <w:t>симптомы</w:t>
            </w:r>
            <w:r>
              <w:rPr>
                <w:sz w:val="24"/>
              </w:rPr>
              <w:tab/>
              <w:tab/>
            </w:r>
            <w:r>
              <w:rPr>
                <w:spacing w:val="-2"/>
                <w:sz w:val="24"/>
              </w:rPr>
              <w:t>поражения желудочно-кишечного тракта</w:t>
            </w:r>
            <w:r>
              <w:rPr>
                <w:sz w:val="24"/>
              </w:rPr>
              <w:tab/>
            </w:r>
            <w:r>
              <w:rPr>
                <w:spacing w:val="-4"/>
                <w:sz w:val="24"/>
              </w:rPr>
              <w:t>(боль</w:t>
            </w:r>
            <w:r>
              <w:rPr>
                <w:sz w:val="24"/>
              </w:rPr>
              <w:tab/>
            </w:r>
            <w:r>
              <w:rPr>
                <w:spacing w:val="-10"/>
                <w:sz w:val="24"/>
              </w:rPr>
              <w:t>в</w:t>
            </w:r>
            <w:r>
              <w:rPr>
                <w:sz w:val="24"/>
              </w:rPr>
              <w:tab/>
            </w:r>
            <w:r>
              <w:rPr>
                <w:spacing w:val="-2"/>
                <w:sz w:val="24"/>
              </w:rPr>
              <w:t>животе, </w:t>
            </w:r>
            <w:r>
              <w:rPr>
                <w:sz w:val="24"/>
              </w:rPr>
              <w:t>диарея, рвота);</w:t>
            </w:r>
            <w:r>
              <w:rPr>
                <w:spacing w:val="40"/>
                <w:sz w:val="24"/>
              </w:rPr>
              <w:t> </w:t>
            </w:r>
            <w:r>
              <w:rPr>
                <w:spacing w:val="-2"/>
                <w:sz w:val="24"/>
              </w:rPr>
              <w:t>отсутствуют сопутствующие </w:t>
            </w:r>
            <w:r>
              <w:rPr>
                <w:sz w:val="24"/>
              </w:rPr>
              <w:t>хронические заболевания;</w:t>
            </w:r>
          </w:p>
          <w:p>
            <w:pPr>
              <w:pStyle w:val="TableParagraph"/>
              <w:numPr>
                <w:ilvl w:val="0"/>
                <w:numId w:val="126"/>
              </w:numPr>
              <w:tabs>
                <w:tab w:pos="277" w:val="left" w:leader="none"/>
              </w:tabs>
              <w:spacing w:line="274" w:lineRule="exact" w:before="0" w:after="0"/>
              <w:ind w:left="277" w:right="0" w:hanging="138"/>
              <w:jc w:val="left"/>
              <w:rPr>
                <w:sz w:val="24"/>
              </w:rPr>
            </w:pPr>
            <w:r>
              <w:rPr>
                <w:sz w:val="24"/>
              </w:rPr>
              <w:t>ЧДД</w:t>
            </w:r>
            <w:r>
              <w:rPr>
                <w:spacing w:val="53"/>
                <w:sz w:val="24"/>
              </w:rPr>
              <w:t> </w:t>
            </w:r>
            <w:r>
              <w:rPr>
                <w:sz w:val="24"/>
              </w:rPr>
              <w:t>≤</w:t>
            </w:r>
            <w:r>
              <w:rPr>
                <w:spacing w:val="55"/>
                <w:sz w:val="24"/>
              </w:rPr>
              <w:t> </w:t>
            </w:r>
            <w:r>
              <w:rPr>
                <w:spacing w:val="-7"/>
                <w:sz w:val="24"/>
              </w:rPr>
              <w:t>22</w:t>
            </w:r>
          </w:p>
        </w:tc>
        <w:tc>
          <w:tcPr>
            <w:tcW w:w="5389" w:type="dxa"/>
            <w:tcBorders>
              <w:bottom w:val="nil"/>
            </w:tcBorders>
          </w:tcPr>
          <w:p>
            <w:pPr>
              <w:pStyle w:val="TableParagraph"/>
              <w:numPr>
                <w:ilvl w:val="0"/>
                <w:numId w:val="127"/>
              </w:numPr>
              <w:tabs>
                <w:tab w:pos="681" w:val="left" w:leader="none"/>
              </w:tabs>
              <w:spacing w:line="240" w:lineRule="auto" w:before="13" w:after="0"/>
              <w:ind w:left="286" w:right="287" w:firstLine="0"/>
              <w:jc w:val="both"/>
              <w:rPr>
                <w:sz w:val="24"/>
              </w:rPr>
            </w:pPr>
            <w:r>
              <w:rPr>
                <w:sz w:val="24"/>
              </w:rPr>
              <w:t>создание условий для возможности получения консультации дистанционным способом, в том числе с применением телемедицинских технологий, вызова медицинского работника для оказания медицинской помощи на дому, вызова специализированной выездной бригады скорой медицинской помощи;</w:t>
            </w:r>
          </w:p>
          <w:p>
            <w:pPr>
              <w:pStyle w:val="TableParagraph"/>
              <w:numPr>
                <w:ilvl w:val="0"/>
                <w:numId w:val="127"/>
              </w:numPr>
              <w:tabs>
                <w:tab w:pos="707" w:val="left" w:leader="none"/>
              </w:tabs>
              <w:spacing w:line="240" w:lineRule="auto" w:before="0" w:after="0"/>
              <w:ind w:left="286" w:right="288" w:firstLine="0"/>
              <w:jc w:val="both"/>
              <w:rPr>
                <w:sz w:val="24"/>
              </w:rPr>
            </w:pPr>
            <w:r>
              <w:rPr>
                <w:sz w:val="24"/>
              </w:rPr>
              <w:t>возможность дистанционного назначения лекарственных препаратов (за исключением первичного назначения при дистанционной консультации лекарственных препаратов, отпускаемых по рецепту на лекарственный препарат), режима дня, питьевого режима.</w:t>
            </w:r>
          </w:p>
        </w:tc>
      </w:tr>
      <w:tr>
        <w:trPr>
          <w:trHeight w:val="1093" w:hRule="atLeast"/>
        </w:trPr>
        <w:tc>
          <w:tcPr>
            <w:tcW w:w="710" w:type="dxa"/>
            <w:vMerge/>
            <w:tcBorders>
              <w:top w:val="nil"/>
            </w:tcBorders>
          </w:tcPr>
          <w:p>
            <w:pPr>
              <w:rPr>
                <w:sz w:val="2"/>
                <w:szCs w:val="2"/>
              </w:rPr>
            </w:pPr>
          </w:p>
        </w:tc>
        <w:tc>
          <w:tcPr>
            <w:tcW w:w="3259" w:type="dxa"/>
            <w:tcBorders>
              <w:top w:val="nil"/>
              <w:bottom w:val="nil"/>
            </w:tcBorders>
          </w:tcPr>
          <w:p>
            <w:pPr>
              <w:pStyle w:val="TableParagraph"/>
              <w:tabs>
                <w:tab w:pos="1764" w:val="left" w:leader="none"/>
              </w:tabs>
              <w:spacing w:before="127"/>
              <w:ind w:left="139" w:right="279"/>
              <w:jc w:val="both"/>
              <w:rPr>
                <w:b/>
                <w:sz w:val="24"/>
              </w:rPr>
            </w:pPr>
            <w:r>
              <w:rPr>
                <w:b/>
                <w:spacing w:val="-4"/>
                <w:sz w:val="24"/>
              </w:rPr>
              <w:t>При</w:t>
            </w:r>
            <w:r>
              <w:rPr>
                <w:b/>
                <w:sz w:val="24"/>
              </w:rPr>
              <w:tab/>
            </w:r>
            <w:r>
              <w:rPr>
                <w:b/>
                <w:spacing w:val="-2"/>
                <w:sz w:val="24"/>
              </w:rPr>
              <w:t>ухудшении </w:t>
            </w:r>
            <w:r>
              <w:rPr>
                <w:b/>
                <w:sz w:val="24"/>
              </w:rPr>
              <w:t>состояния ребенка (вне </w:t>
            </w:r>
            <w:r>
              <w:rPr>
                <w:b/>
                <w:spacing w:val="-2"/>
                <w:sz w:val="24"/>
              </w:rPr>
              <w:t>зависимости</w:t>
            </w:r>
            <w:r>
              <w:rPr>
                <w:b/>
                <w:spacing w:val="-6"/>
                <w:sz w:val="24"/>
              </w:rPr>
              <w:t> </w:t>
            </w:r>
            <w:r>
              <w:rPr>
                <w:b/>
                <w:spacing w:val="-2"/>
                <w:sz w:val="24"/>
              </w:rPr>
              <w:t>от</w:t>
            </w:r>
            <w:r>
              <w:rPr>
                <w:b/>
                <w:spacing w:val="-7"/>
                <w:sz w:val="24"/>
              </w:rPr>
              <w:t> </w:t>
            </w:r>
            <w:r>
              <w:rPr>
                <w:b/>
                <w:spacing w:val="-2"/>
                <w:sz w:val="24"/>
              </w:rPr>
              <w:t>возраста):</w:t>
            </w:r>
          </w:p>
        </w:tc>
        <w:tc>
          <w:tcPr>
            <w:tcW w:w="5389" w:type="dxa"/>
            <w:tcBorders>
              <w:top w:val="nil"/>
              <w:bottom w:val="nil"/>
            </w:tcBorders>
          </w:tcPr>
          <w:p>
            <w:pPr>
              <w:pStyle w:val="TableParagraph"/>
              <w:rPr>
                <w:sz w:val="22"/>
              </w:rPr>
            </w:pPr>
          </w:p>
        </w:tc>
      </w:tr>
      <w:tr>
        <w:trPr>
          <w:trHeight w:val="5089" w:hRule="atLeast"/>
        </w:trPr>
        <w:tc>
          <w:tcPr>
            <w:tcW w:w="710" w:type="dxa"/>
            <w:vMerge/>
            <w:tcBorders>
              <w:top w:val="nil"/>
            </w:tcBorders>
          </w:tcPr>
          <w:p>
            <w:pPr>
              <w:rPr>
                <w:sz w:val="2"/>
                <w:szCs w:val="2"/>
              </w:rPr>
            </w:pPr>
          </w:p>
        </w:tc>
        <w:tc>
          <w:tcPr>
            <w:tcW w:w="3259" w:type="dxa"/>
            <w:tcBorders>
              <w:top w:val="nil"/>
            </w:tcBorders>
          </w:tcPr>
          <w:p>
            <w:pPr>
              <w:pStyle w:val="TableParagraph"/>
              <w:spacing w:line="278" w:lineRule="exact" w:before="126"/>
              <w:ind w:left="139"/>
              <w:rPr>
                <w:position w:val="2"/>
                <w:sz w:val="24"/>
              </w:rPr>
            </w:pPr>
            <w:r>
              <w:rPr>
                <w:position w:val="2"/>
                <w:sz w:val="24"/>
              </w:rPr>
              <w:t>-</w:t>
            </w:r>
            <w:r>
              <w:rPr>
                <w:spacing w:val="-4"/>
                <w:position w:val="2"/>
                <w:sz w:val="24"/>
              </w:rPr>
              <w:t> </w:t>
            </w:r>
            <w:r>
              <w:rPr>
                <w:position w:val="2"/>
                <w:sz w:val="24"/>
              </w:rPr>
              <w:t>SpO</w:t>
            </w:r>
            <w:r>
              <w:rPr>
                <w:sz w:val="16"/>
              </w:rPr>
              <w:t>2</w:t>
            </w:r>
            <w:r>
              <w:rPr>
                <w:spacing w:val="19"/>
                <w:sz w:val="16"/>
              </w:rPr>
              <w:t> </w:t>
            </w:r>
            <w:r>
              <w:rPr>
                <w:position w:val="2"/>
                <w:sz w:val="24"/>
              </w:rPr>
              <w:t>≤</w:t>
            </w:r>
            <w:r>
              <w:rPr>
                <w:spacing w:val="-3"/>
                <w:position w:val="2"/>
                <w:sz w:val="24"/>
              </w:rPr>
              <w:t> </w:t>
            </w:r>
            <w:r>
              <w:rPr>
                <w:spacing w:val="-4"/>
                <w:position w:val="2"/>
                <w:sz w:val="24"/>
              </w:rPr>
              <w:t>95%;</w:t>
            </w:r>
          </w:p>
          <w:p>
            <w:pPr>
              <w:pStyle w:val="TableParagraph"/>
              <w:spacing w:line="275" w:lineRule="exact"/>
              <w:ind w:left="139"/>
              <w:rPr>
                <w:sz w:val="24"/>
              </w:rPr>
            </w:pPr>
            <w:r>
              <w:rPr>
                <w:sz w:val="24"/>
              </w:rPr>
              <w:t>-</w:t>
            </w:r>
            <w:r>
              <w:rPr>
                <w:spacing w:val="-3"/>
                <w:sz w:val="24"/>
              </w:rPr>
              <w:t> </w:t>
            </w:r>
            <w:r>
              <w:rPr>
                <w:sz w:val="24"/>
              </w:rPr>
              <w:t>Т</w:t>
            </w:r>
            <w:r>
              <w:rPr>
                <w:spacing w:val="-2"/>
                <w:sz w:val="24"/>
              </w:rPr>
              <w:t> </w:t>
            </w:r>
            <w:r>
              <w:rPr>
                <w:sz w:val="24"/>
              </w:rPr>
              <w:t>&gt;</w:t>
            </w:r>
            <w:r>
              <w:rPr>
                <w:spacing w:val="-3"/>
                <w:sz w:val="24"/>
              </w:rPr>
              <w:t> </w:t>
            </w:r>
            <w:r>
              <w:rPr>
                <w:spacing w:val="-2"/>
                <w:sz w:val="24"/>
              </w:rPr>
              <w:t>38,5°C;</w:t>
            </w:r>
          </w:p>
          <w:p>
            <w:pPr>
              <w:pStyle w:val="TableParagraph"/>
              <w:numPr>
                <w:ilvl w:val="0"/>
                <w:numId w:val="128"/>
              </w:numPr>
              <w:tabs>
                <w:tab w:pos="262" w:val="left" w:leader="none"/>
              </w:tabs>
              <w:spacing w:line="276" w:lineRule="exact" w:before="0" w:after="0"/>
              <w:ind w:left="262" w:right="0" w:hanging="123"/>
              <w:jc w:val="left"/>
              <w:rPr>
                <w:sz w:val="24"/>
              </w:rPr>
            </w:pPr>
            <w:r>
              <w:rPr>
                <w:spacing w:val="-2"/>
                <w:sz w:val="24"/>
              </w:rPr>
              <w:t>сыпь</w:t>
            </w:r>
            <w:r>
              <w:rPr>
                <w:spacing w:val="-13"/>
                <w:sz w:val="24"/>
              </w:rPr>
              <w:t> </w:t>
            </w:r>
            <w:r>
              <w:rPr>
                <w:spacing w:val="-2"/>
                <w:sz w:val="24"/>
              </w:rPr>
              <w:t>на</w:t>
            </w:r>
            <w:r>
              <w:rPr>
                <w:spacing w:val="-15"/>
                <w:sz w:val="24"/>
              </w:rPr>
              <w:t> </w:t>
            </w:r>
            <w:r>
              <w:rPr>
                <w:spacing w:val="-2"/>
                <w:sz w:val="24"/>
              </w:rPr>
              <w:t>кожных</w:t>
            </w:r>
            <w:r>
              <w:rPr>
                <w:spacing w:val="-13"/>
                <w:sz w:val="24"/>
              </w:rPr>
              <w:t> </w:t>
            </w:r>
            <w:r>
              <w:rPr>
                <w:spacing w:val="-2"/>
                <w:sz w:val="24"/>
              </w:rPr>
              <w:t>покровах;</w:t>
            </w:r>
          </w:p>
          <w:p>
            <w:pPr>
              <w:pStyle w:val="TableParagraph"/>
              <w:numPr>
                <w:ilvl w:val="0"/>
                <w:numId w:val="128"/>
              </w:numPr>
              <w:tabs>
                <w:tab w:pos="277" w:val="left" w:leader="none"/>
              </w:tabs>
              <w:spacing w:line="240" w:lineRule="auto" w:before="0" w:after="0"/>
              <w:ind w:left="139" w:right="1222" w:firstLine="0"/>
              <w:jc w:val="left"/>
              <w:rPr>
                <w:sz w:val="24"/>
              </w:rPr>
            </w:pPr>
            <w:r>
              <w:rPr>
                <w:spacing w:val="-2"/>
                <w:sz w:val="24"/>
              </w:rPr>
              <w:t>симптомы интоксикации (слабость/вялость,</w:t>
            </w:r>
          </w:p>
          <w:p>
            <w:pPr>
              <w:pStyle w:val="TableParagraph"/>
              <w:ind w:left="139" w:right="281"/>
              <w:jc w:val="both"/>
              <w:rPr>
                <w:sz w:val="24"/>
              </w:rPr>
            </w:pPr>
            <w:r>
              <w:rPr>
                <w:sz w:val="24"/>
              </w:rPr>
              <w:t>сонливость, боль в мышцах, отказ </w:t>
            </w:r>
            <w:r>
              <w:rPr>
                <w:sz w:val="24"/>
              </w:rPr>
              <w:t>от </w:t>
            </w:r>
            <w:r>
              <w:rPr>
                <w:spacing w:val="-2"/>
                <w:sz w:val="24"/>
              </w:rPr>
              <w:t>еды/питья);</w:t>
            </w:r>
          </w:p>
          <w:p>
            <w:pPr>
              <w:pStyle w:val="TableParagraph"/>
              <w:numPr>
                <w:ilvl w:val="0"/>
                <w:numId w:val="128"/>
              </w:numPr>
              <w:tabs>
                <w:tab w:pos="508" w:val="left" w:leader="none"/>
                <w:tab w:pos="1033" w:val="left" w:leader="none"/>
                <w:tab w:pos="1819" w:val="left" w:leader="none"/>
                <w:tab w:pos="1850" w:val="left" w:leader="none"/>
                <w:tab w:pos="2166" w:val="left" w:leader="none"/>
              </w:tabs>
              <w:spacing w:line="240" w:lineRule="auto" w:before="0" w:after="0"/>
              <w:ind w:left="139" w:right="281" w:firstLine="0"/>
              <w:jc w:val="left"/>
              <w:rPr>
                <w:sz w:val="24"/>
              </w:rPr>
            </w:pPr>
            <w:r>
              <w:rPr>
                <w:spacing w:val="-2"/>
                <w:sz w:val="24"/>
              </w:rPr>
              <w:t>симптомы</w:t>
            </w:r>
            <w:r>
              <w:rPr>
                <w:sz w:val="24"/>
              </w:rPr>
              <w:tab/>
              <w:tab/>
            </w:r>
            <w:r>
              <w:rPr>
                <w:spacing w:val="-2"/>
                <w:sz w:val="24"/>
              </w:rPr>
              <w:t>поражения желудочно-кишечного тракта</w:t>
            </w:r>
            <w:r>
              <w:rPr>
                <w:sz w:val="24"/>
              </w:rPr>
              <w:tab/>
            </w:r>
            <w:r>
              <w:rPr>
                <w:spacing w:val="-4"/>
                <w:sz w:val="24"/>
              </w:rPr>
              <w:t>(боль</w:t>
            </w:r>
            <w:r>
              <w:rPr>
                <w:sz w:val="24"/>
              </w:rPr>
              <w:tab/>
            </w:r>
            <w:r>
              <w:rPr>
                <w:spacing w:val="-10"/>
                <w:sz w:val="24"/>
              </w:rPr>
              <w:t>в</w:t>
            </w:r>
            <w:r>
              <w:rPr>
                <w:sz w:val="24"/>
              </w:rPr>
              <w:tab/>
            </w:r>
            <w:r>
              <w:rPr>
                <w:spacing w:val="-2"/>
                <w:sz w:val="24"/>
              </w:rPr>
              <w:t>животе, </w:t>
            </w:r>
            <w:r>
              <w:rPr>
                <w:sz w:val="24"/>
              </w:rPr>
              <w:t>диарея, рвота);</w:t>
            </w:r>
          </w:p>
          <w:p>
            <w:pPr>
              <w:pStyle w:val="TableParagraph"/>
              <w:numPr>
                <w:ilvl w:val="0"/>
                <w:numId w:val="128"/>
              </w:numPr>
              <w:tabs>
                <w:tab w:pos="315" w:val="left" w:leader="none"/>
              </w:tabs>
              <w:spacing w:line="240" w:lineRule="auto" w:before="0" w:after="0"/>
              <w:ind w:left="139" w:right="282" w:firstLine="0"/>
              <w:jc w:val="both"/>
              <w:rPr>
                <w:sz w:val="24"/>
              </w:rPr>
            </w:pPr>
            <w:r>
              <w:rPr>
                <w:sz w:val="24"/>
              </w:rPr>
              <w:t>наличие</w:t>
            </w:r>
            <w:r>
              <w:rPr>
                <w:spacing w:val="-1"/>
                <w:sz w:val="24"/>
              </w:rPr>
              <w:t> </w:t>
            </w:r>
            <w:r>
              <w:rPr>
                <w:sz w:val="24"/>
              </w:rPr>
              <w:t>сопутствующего хронического</w:t>
            </w:r>
            <w:r>
              <w:rPr>
                <w:spacing w:val="-2"/>
                <w:sz w:val="24"/>
              </w:rPr>
              <w:t> </w:t>
            </w:r>
            <w:r>
              <w:rPr>
                <w:sz w:val="24"/>
              </w:rPr>
              <w:t>заболевания;</w:t>
            </w:r>
          </w:p>
          <w:p>
            <w:pPr>
              <w:pStyle w:val="TableParagraph"/>
              <w:spacing w:line="276" w:lineRule="exact"/>
              <w:ind w:left="139" w:right="281"/>
              <w:jc w:val="both"/>
              <w:rPr>
                <w:sz w:val="24"/>
              </w:rPr>
            </w:pPr>
            <w:r>
              <w:rPr>
                <w:sz w:val="24"/>
              </w:rPr>
              <w:t>-появление симптомов обострения хронического </w:t>
            </w:r>
            <w:r>
              <w:rPr>
                <w:spacing w:val="-2"/>
                <w:sz w:val="24"/>
              </w:rPr>
              <w:t>заболевания</w:t>
            </w:r>
          </w:p>
        </w:tc>
        <w:tc>
          <w:tcPr>
            <w:tcW w:w="5389" w:type="dxa"/>
            <w:tcBorders>
              <w:top w:val="nil"/>
            </w:tcBorders>
          </w:tcPr>
          <w:p>
            <w:pPr>
              <w:pStyle w:val="TableParagraph"/>
              <w:rPr>
                <w:sz w:val="24"/>
              </w:rPr>
            </w:pPr>
          </w:p>
          <w:p>
            <w:pPr>
              <w:pStyle w:val="TableParagraph"/>
              <w:spacing w:before="127"/>
              <w:rPr>
                <w:sz w:val="24"/>
              </w:rPr>
            </w:pPr>
          </w:p>
          <w:p>
            <w:pPr>
              <w:pStyle w:val="TableParagraph"/>
              <w:ind w:left="286" w:right="288"/>
              <w:jc w:val="both"/>
              <w:rPr>
                <w:sz w:val="24"/>
              </w:rPr>
            </w:pPr>
            <w:r>
              <w:rPr>
                <w:sz w:val="24"/>
              </w:rPr>
              <w:t>- обязательный осмотр врачом (фельдшером) на дому и/или вызов специализированной выездной бригады скорой медицинской помощи</w:t>
            </w:r>
            <w:r>
              <w:rPr>
                <w:spacing w:val="80"/>
                <w:sz w:val="24"/>
              </w:rPr>
              <w:t>    </w:t>
            </w:r>
            <w:r>
              <w:rPr>
                <w:sz w:val="24"/>
              </w:rPr>
              <w:t>для</w:t>
            </w:r>
            <w:r>
              <w:rPr>
                <w:spacing w:val="80"/>
                <w:sz w:val="24"/>
              </w:rPr>
              <w:t>    </w:t>
            </w:r>
            <w:r>
              <w:rPr>
                <w:sz w:val="24"/>
              </w:rPr>
              <w:t>принятия</w:t>
            </w:r>
            <w:r>
              <w:rPr>
                <w:spacing w:val="80"/>
                <w:sz w:val="24"/>
              </w:rPr>
              <w:t>    </w:t>
            </w:r>
            <w:r>
              <w:rPr>
                <w:sz w:val="24"/>
              </w:rPr>
              <w:t>решения о госпитализации ребенка.</w:t>
            </w:r>
          </w:p>
        </w:tc>
      </w:tr>
    </w:tbl>
    <w:p>
      <w:pPr>
        <w:pStyle w:val="BodyText"/>
        <w:ind w:left="0"/>
        <w:jc w:val="left"/>
        <w:rPr>
          <w:sz w:val="22"/>
        </w:rPr>
      </w:pPr>
    </w:p>
    <w:p>
      <w:pPr>
        <w:pStyle w:val="BodyText"/>
        <w:ind w:left="0"/>
        <w:jc w:val="left"/>
        <w:rPr>
          <w:sz w:val="22"/>
        </w:rPr>
      </w:pPr>
    </w:p>
    <w:p>
      <w:pPr>
        <w:pStyle w:val="BodyText"/>
        <w:spacing w:before="194"/>
        <w:ind w:left="0"/>
        <w:jc w:val="left"/>
        <w:rPr>
          <w:sz w:val="22"/>
        </w:rPr>
      </w:pPr>
    </w:p>
    <w:p>
      <w:pPr>
        <w:spacing w:before="0"/>
        <w:ind w:left="2141" w:right="2276" w:firstLine="0"/>
        <w:jc w:val="center"/>
        <w:rPr>
          <w:rFonts w:ascii="Calibri"/>
          <w:sz w:val="22"/>
        </w:rPr>
      </w:pPr>
      <w:r>
        <w:rPr>
          <w:rFonts w:ascii="Calibri"/>
          <w:spacing w:val="-5"/>
          <w:sz w:val="22"/>
        </w:rPr>
        <w:t>225</w:t>
      </w:r>
    </w:p>
    <w:p>
      <w:pPr>
        <w:spacing w:before="1"/>
        <w:ind w:left="0" w:right="13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60" w:bottom="480" w:left="1133" w:right="708"/>
        </w:sectPr>
      </w:pPr>
    </w:p>
    <w:p>
      <w:pPr>
        <w:pStyle w:val="Heading3"/>
        <w:spacing w:line="420" w:lineRule="atLeast" w:before="83"/>
        <w:ind w:left="277" w:right="23" w:firstLine="13242"/>
        <w:jc w:val="left"/>
      </w:pPr>
      <w:bookmarkStart w:name="227" w:id="271"/>
      <w:bookmarkEnd w:id="271"/>
      <w:r>
        <w:rPr>
          <w:b w:val="0"/>
        </w:rPr>
      </w:r>
      <w:r>
        <w:rPr>
          <w:color w:val="1F487C"/>
        </w:rPr>
        <w:t>Приложение</w:t>
      </w:r>
      <w:r>
        <w:rPr>
          <w:color w:val="1F487C"/>
          <w:spacing w:val="-15"/>
        </w:rPr>
        <w:t> </w:t>
      </w:r>
      <w:r>
        <w:rPr>
          <w:color w:val="1F487C"/>
        </w:rPr>
        <w:t>10-2 </w:t>
      </w:r>
      <w:r>
        <w:rPr/>
        <w:t>Типовая схема организации медицинской помощи пациентам с ОРВИ, гриппом, новой коронавирусной инфекции (COVID-19) с легким</w:t>
      </w:r>
    </w:p>
    <w:p>
      <w:pPr>
        <w:spacing w:before="21"/>
        <w:ind w:left="6543" w:right="0" w:firstLine="0"/>
        <w:jc w:val="left"/>
        <w:rPr>
          <w:b/>
          <w:sz w:val="24"/>
        </w:rPr>
      </w:pPr>
      <w:r>
        <w:rPr>
          <w:b/>
          <w:spacing w:val="-2"/>
          <w:sz w:val="24"/>
        </w:rPr>
        <w:t>течением</w:t>
      </w:r>
      <w:r>
        <w:rPr>
          <w:b/>
          <w:spacing w:val="-1"/>
          <w:sz w:val="24"/>
        </w:rPr>
        <w:t> </w:t>
      </w:r>
      <w:r>
        <w:rPr>
          <w:b/>
          <w:spacing w:val="-2"/>
          <w:sz w:val="24"/>
        </w:rPr>
        <w:t>заболвания</w:t>
      </w:r>
    </w:p>
    <w:p>
      <w:pPr>
        <w:pStyle w:val="BodyText"/>
        <w:spacing w:before="23"/>
        <w:ind w:left="0"/>
        <w:jc w:val="left"/>
        <w:rPr>
          <w:b/>
          <w:sz w:val="20"/>
        </w:rPr>
      </w:pPr>
      <w:r>
        <w:rPr>
          <w:b/>
          <w:sz w:val="20"/>
        </w:rPr>
        <w:drawing>
          <wp:anchor distT="0" distB="0" distL="0" distR="0" allowOverlap="1" layoutInCell="1" locked="0" behindDoc="1" simplePos="0" relativeHeight="487607296">
            <wp:simplePos x="0" y="0"/>
            <wp:positionH relativeFrom="page">
              <wp:posOffset>1016656</wp:posOffset>
            </wp:positionH>
            <wp:positionV relativeFrom="paragraph">
              <wp:posOffset>176022</wp:posOffset>
            </wp:positionV>
            <wp:extent cx="8669985" cy="4191190"/>
            <wp:effectExtent l="0" t="0" r="0" b="0"/>
            <wp:wrapTopAndBottom/>
            <wp:docPr id="110" name="Image 110"/>
            <wp:cNvGraphicFramePr>
              <a:graphicFrameLocks/>
            </wp:cNvGraphicFramePr>
            <a:graphic>
              <a:graphicData uri="http://schemas.openxmlformats.org/drawingml/2006/picture">
                <pic:pic>
                  <pic:nvPicPr>
                    <pic:cNvPr id="110" name="Image 110"/>
                    <pic:cNvPicPr/>
                  </pic:nvPicPr>
                  <pic:blipFill>
                    <a:blip r:embed="rId69" cstate="print"/>
                    <a:stretch>
                      <a:fillRect/>
                    </a:stretch>
                  </pic:blipFill>
                  <pic:spPr>
                    <a:xfrm>
                      <a:off x="0" y="0"/>
                      <a:ext cx="8669985" cy="4191190"/>
                    </a:xfrm>
                    <a:prstGeom prst="rect">
                      <a:avLst/>
                    </a:prstGeom>
                  </pic:spPr>
                </pic:pic>
              </a:graphicData>
            </a:graphic>
          </wp:anchor>
        </w:drawing>
      </w:r>
    </w:p>
    <w:p>
      <w:pPr>
        <w:pStyle w:val="BodyText"/>
        <w:ind w:left="0"/>
        <w:jc w:val="left"/>
        <w:rPr>
          <w:b/>
          <w:sz w:val="22"/>
        </w:rPr>
      </w:pPr>
    </w:p>
    <w:p>
      <w:pPr>
        <w:pStyle w:val="BodyText"/>
        <w:ind w:left="0"/>
        <w:jc w:val="left"/>
        <w:rPr>
          <w:b/>
          <w:sz w:val="22"/>
        </w:rPr>
      </w:pPr>
    </w:p>
    <w:p>
      <w:pPr>
        <w:pStyle w:val="BodyText"/>
        <w:spacing w:before="21"/>
        <w:ind w:left="0"/>
        <w:jc w:val="left"/>
        <w:rPr>
          <w:b/>
          <w:sz w:val="22"/>
        </w:rPr>
      </w:pPr>
    </w:p>
    <w:p>
      <w:pPr>
        <w:spacing w:before="1"/>
        <w:ind w:left="0" w:right="15" w:firstLine="0"/>
        <w:jc w:val="center"/>
        <w:rPr>
          <w:rFonts w:ascii="Calibri"/>
          <w:sz w:val="22"/>
        </w:rPr>
      </w:pPr>
      <w:r>
        <w:rPr>
          <w:rFonts w:ascii="Calibri"/>
          <w:spacing w:val="-5"/>
          <w:sz w:val="22"/>
        </w:rPr>
        <w:t>226</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footerReference w:type="default" r:id="rId68"/>
          <w:pgSz w:w="16840" w:h="11900" w:orient="landscape"/>
          <w:pgMar w:header="0" w:footer="288" w:top="1340" w:bottom="480" w:left="708" w:right="708"/>
        </w:sectPr>
      </w:pPr>
    </w:p>
    <w:p>
      <w:pPr>
        <w:pStyle w:val="Heading3"/>
        <w:spacing w:line="410" w:lineRule="atLeast" w:before="14"/>
        <w:ind w:left="785" w:right="23" w:firstLine="12734"/>
        <w:jc w:val="left"/>
      </w:pPr>
      <w:bookmarkStart w:name="228" w:id="272"/>
      <w:bookmarkEnd w:id="272"/>
      <w:r>
        <w:rPr>
          <w:b w:val="0"/>
        </w:rPr>
      </w:r>
      <w:r>
        <w:rPr>
          <w:color w:val="1F487C"/>
        </w:rPr>
        <w:t>Приложение</w:t>
      </w:r>
      <w:r>
        <w:rPr>
          <w:color w:val="1F487C"/>
          <w:spacing w:val="-15"/>
        </w:rPr>
        <w:t> </w:t>
      </w:r>
      <w:r>
        <w:rPr>
          <w:color w:val="1F487C"/>
        </w:rPr>
        <w:t>10-3 </w:t>
      </w:r>
      <w:r>
        <w:rPr/>
        <w:t>Типовая схема организации медицинской помощи пациентам с ОРВИ, гриппом, новой коронавирусной инфекции (COVID-19)</w:t>
      </w:r>
    </w:p>
    <w:p>
      <w:pPr>
        <w:spacing w:before="29"/>
        <w:ind w:left="5507" w:right="0" w:firstLine="0"/>
        <w:jc w:val="left"/>
        <w:rPr>
          <w:b/>
          <w:sz w:val="24"/>
        </w:rPr>
      </w:pPr>
      <w:r>
        <w:rPr>
          <w:b/>
          <w:sz w:val="24"/>
        </w:rPr>
        <w:t>со</w:t>
      </w:r>
      <w:r>
        <w:rPr>
          <w:b/>
          <w:spacing w:val="-13"/>
          <w:sz w:val="24"/>
        </w:rPr>
        <w:t> </w:t>
      </w:r>
      <w:r>
        <w:rPr>
          <w:b/>
          <w:sz w:val="24"/>
        </w:rPr>
        <w:t>среднетяжелым</w:t>
      </w:r>
      <w:r>
        <w:rPr>
          <w:b/>
          <w:spacing w:val="-13"/>
          <w:sz w:val="24"/>
        </w:rPr>
        <w:t> </w:t>
      </w:r>
      <w:r>
        <w:rPr>
          <w:b/>
          <w:sz w:val="24"/>
        </w:rPr>
        <w:t>течением</w:t>
      </w:r>
      <w:r>
        <w:rPr>
          <w:b/>
          <w:spacing w:val="-13"/>
          <w:sz w:val="24"/>
        </w:rPr>
        <w:t> </w:t>
      </w:r>
      <w:r>
        <w:rPr>
          <w:b/>
          <w:spacing w:val="-2"/>
          <w:sz w:val="24"/>
        </w:rPr>
        <w:t>заболвания</w:t>
      </w:r>
    </w:p>
    <w:p>
      <w:pPr>
        <w:pStyle w:val="BodyText"/>
        <w:spacing w:before="41"/>
        <w:ind w:left="0"/>
        <w:jc w:val="left"/>
        <w:rPr>
          <w:b/>
          <w:sz w:val="20"/>
        </w:rPr>
      </w:pPr>
      <w:r>
        <w:rPr>
          <w:b/>
          <w:sz w:val="20"/>
        </w:rPr>
        <w:drawing>
          <wp:anchor distT="0" distB="0" distL="0" distR="0" allowOverlap="1" layoutInCell="1" locked="0" behindDoc="1" simplePos="0" relativeHeight="487607808">
            <wp:simplePos x="0" y="0"/>
            <wp:positionH relativeFrom="page">
              <wp:posOffset>1264432</wp:posOffset>
            </wp:positionH>
            <wp:positionV relativeFrom="paragraph">
              <wp:posOffset>187700</wp:posOffset>
            </wp:positionV>
            <wp:extent cx="8153806" cy="4221575"/>
            <wp:effectExtent l="0" t="0" r="0" b="0"/>
            <wp:wrapTopAndBottom/>
            <wp:docPr id="111" name="Image 111"/>
            <wp:cNvGraphicFramePr>
              <a:graphicFrameLocks/>
            </wp:cNvGraphicFramePr>
            <a:graphic>
              <a:graphicData uri="http://schemas.openxmlformats.org/drawingml/2006/picture">
                <pic:pic>
                  <pic:nvPicPr>
                    <pic:cNvPr id="111" name="Image 111"/>
                    <pic:cNvPicPr/>
                  </pic:nvPicPr>
                  <pic:blipFill>
                    <a:blip r:embed="rId70" cstate="print"/>
                    <a:stretch>
                      <a:fillRect/>
                    </a:stretch>
                  </pic:blipFill>
                  <pic:spPr>
                    <a:xfrm>
                      <a:off x="0" y="0"/>
                      <a:ext cx="8153806" cy="4221575"/>
                    </a:xfrm>
                    <a:prstGeom prst="rect">
                      <a:avLst/>
                    </a:prstGeom>
                  </pic:spPr>
                </pic:pic>
              </a:graphicData>
            </a:graphic>
          </wp:anchor>
        </w:drawing>
      </w:r>
    </w:p>
    <w:p>
      <w:pPr>
        <w:pStyle w:val="BodyText"/>
        <w:ind w:left="0"/>
        <w:jc w:val="left"/>
        <w:rPr>
          <w:b/>
          <w:sz w:val="22"/>
        </w:rPr>
      </w:pPr>
    </w:p>
    <w:p>
      <w:pPr>
        <w:pStyle w:val="BodyText"/>
        <w:ind w:left="0"/>
        <w:jc w:val="left"/>
        <w:rPr>
          <w:b/>
          <w:sz w:val="22"/>
        </w:rPr>
      </w:pPr>
    </w:p>
    <w:p>
      <w:pPr>
        <w:pStyle w:val="BodyText"/>
        <w:spacing w:before="36"/>
        <w:ind w:left="0"/>
        <w:jc w:val="left"/>
        <w:rPr>
          <w:b/>
          <w:sz w:val="22"/>
        </w:rPr>
      </w:pPr>
    </w:p>
    <w:p>
      <w:pPr>
        <w:spacing w:before="0"/>
        <w:ind w:left="0" w:right="15" w:firstLine="0"/>
        <w:jc w:val="center"/>
        <w:rPr>
          <w:rFonts w:ascii="Calibri"/>
          <w:sz w:val="22"/>
        </w:rPr>
      </w:pPr>
      <w:r>
        <w:rPr>
          <w:rFonts w:ascii="Calibri"/>
          <w:spacing w:val="-5"/>
          <w:sz w:val="22"/>
        </w:rPr>
        <w:t>227</w:t>
      </w:r>
    </w:p>
    <w:p>
      <w:pPr>
        <w:spacing w:before="2"/>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Heading3"/>
        <w:spacing w:line="410" w:lineRule="atLeast" w:before="14"/>
        <w:ind w:left="785" w:right="23" w:firstLine="12734"/>
        <w:jc w:val="left"/>
      </w:pPr>
      <w:bookmarkStart w:name="229" w:id="273"/>
      <w:bookmarkEnd w:id="273"/>
      <w:r>
        <w:rPr>
          <w:b w:val="0"/>
        </w:rPr>
      </w:r>
      <w:r>
        <w:rPr>
          <w:color w:val="1F487C"/>
        </w:rPr>
        <w:t>Приложение</w:t>
      </w:r>
      <w:r>
        <w:rPr>
          <w:color w:val="1F487C"/>
          <w:spacing w:val="-15"/>
        </w:rPr>
        <w:t> </w:t>
      </w:r>
      <w:r>
        <w:rPr>
          <w:color w:val="1F487C"/>
        </w:rPr>
        <w:t>10-4 </w:t>
      </w:r>
      <w:r>
        <w:rPr/>
        <w:t>Типовая схема организации медицинской помощи пациентам с ОРВИ, гриппом, новой коронавирусной инфекции (COVID-19)</w:t>
      </w:r>
    </w:p>
    <w:p>
      <w:pPr>
        <w:spacing w:before="29"/>
        <w:ind w:left="5925" w:right="0" w:firstLine="0"/>
        <w:jc w:val="left"/>
        <w:rPr>
          <w:b/>
          <w:sz w:val="24"/>
        </w:rPr>
      </w:pPr>
      <w:r>
        <w:rPr>
          <w:b/>
          <w:sz w:val="24"/>
        </w:rPr>
        <w:t>с</w:t>
      </w:r>
      <w:r>
        <w:rPr>
          <w:b/>
          <w:spacing w:val="-11"/>
          <w:sz w:val="24"/>
        </w:rPr>
        <w:t> </w:t>
      </w:r>
      <w:r>
        <w:rPr>
          <w:b/>
          <w:sz w:val="24"/>
        </w:rPr>
        <w:t>тяжелым</w:t>
      </w:r>
      <w:r>
        <w:rPr>
          <w:b/>
          <w:spacing w:val="-10"/>
          <w:sz w:val="24"/>
        </w:rPr>
        <w:t> </w:t>
      </w:r>
      <w:r>
        <w:rPr>
          <w:b/>
          <w:sz w:val="24"/>
        </w:rPr>
        <w:t>течением</w:t>
      </w:r>
      <w:r>
        <w:rPr>
          <w:b/>
          <w:spacing w:val="-11"/>
          <w:sz w:val="24"/>
        </w:rPr>
        <w:t> </w:t>
      </w:r>
      <w:r>
        <w:rPr>
          <w:b/>
          <w:spacing w:val="-2"/>
          <w:sz w:val="24"/>
        </w:rPr>
        <w:t>заболвания</w:t>
      </w:r>
    </w:p>
    <w:p>
      <w:pPr>
        <w:pStyle w:val="BodyText"/>
        <w:spacing w:before="192"/>
        <w:ind w:left="0"/>
        <w:jc w:val="left"/>
        <w:rPr>
          <w:b/>
          <w:sz w:val="20"/>
        </w:rPr>
      </w:pPr>
      <w:r>
        <w:rPr>
          <w:b/>
          <w:sz w:val="20"/>
        </w:rPr>
        <w:drawing>
          <wp:anchor distT="0" distB="0" distL="0" distR="0" allowOverlap="1" layoutInCell="1" locked="0" behindDoc="1" simplePos="0" relativeHeight="487608320">
            <wp:simplePos x="0" y="0"/>
            <wp:positionH relativeFrom="page">
              <wp:posOffset>530173</wp:posOffset>
            </wp:positionH>
            <wp:positionV relativeFrom="paragraph">
              <wp:posOffset>283547</wp:posOffset>
            </wp:positionV>
            <wp:extent cx="9641696" cy="3143250"/>
            <wp:effectExtent l="0" t="0" r="0" b="0"/>
            <wp:wrapTopAndBottom/>
            <wp:docPr id="112" name="Image 112"/>
            <wp:cNvGraphicFramePr>
              <a:graphicFrameLocks/>
            </wp:cNvGraphicFramePr>
            <a:graphic>
              <a:graphicData uri="http://schemas.openxmlformats.org/drawingml/2006/picture">
                <pic:pic>
                  <pic:nvPicPr>
                    <pic:cNvPr id="112" name="Image 112"/>
                    <pic:cNvPicPr/>
                  </pic:nvPicPr>
                  <pic:blipFill>
                    <a:blip r:embed="rId71" cstate="print"/>
                    <a:stretch>
                      <a:fillRect/>
                    </a:stretch>
                  </pic:blipFill>
                  <pic:spPr>
                    <a:xfrm>
                      <a:off x="0" y="0"/>
                      <a:ext cx="9641696" cy="3143250"/>
                    </a:xfrm>
                    <a:prstGeom prst="rect">
                      <a:avLst/>
                    </a:prstGeom>
                  </pic:spPr>
                </pic:pic>
              </a:graphicData>
            </a:graphic>
          </wp:anchor>
        </w:drawing>
      </w: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ind w:left="0"/>
        <w:jc w:val="left"/>
        <w:rPr>
          <w:b/>
          <w:sz w:val="22"/>
        </w:rPr>
      </w:pPr>
    </w:p>
    <w:p>
      <w:pPr>
        <w:pStyle w:val="BodyText"/>
        <w:spacing w:before="66"/>
        <w:ind w:left="0"/>
        <w:jc w:val="left"/>
        <w:rPr>
          <w:b/>
          <w:sz w:val="22"/>
        </w:rPr>
      </w:pPr>
    </w:p>
    <w:p>
      <w:pPr>
        <w:spacing w:before="0"/>
        <w:ind w:left="0" w:right="15" w:firstLine="0"/>
        <w:jc w:val="center"/>
        <w:rPr>
          <w:rFonts w:ascii="Calibri"/>
          <w:sz w:val="22"/>
        </w:rPr>
      </w:pPr>
      <w:r>
        <w:rPr>
          <w:rFonts w:ascii="Calibri"/>
          <w:spacing w:val="-5"/>
          <w:sz w:val="22"/>
        </w:rPr>
        <w:t>228</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24"/>
        <w:ind w:left="0"/>
        <w:jc w:val="left"/>
        <w:rPr>
          <w:sz w:val="22"/>
        </w:rPr>
      </w:pPr>
    </w:p>
    <w:p>
      <w:pPr>
        <w:spacing w:before="0"/>
        <w:ind w:left="0" w:right="15" w:firstLine="0"/>
        <w:jc w:val="center"/>
        <w:rPr>
          <w:rFonts w:ascii="Calibri"/>
          <w:sz w:val="22"/>
        </w:rPr>
      </w:pPr>
      <w:bookmarkStart w:name="230" w:id="274"/>
      <w:bookmarkEnd w:id="274"/>
      <w:r>
        <w:rPr/>
      </w:r>
      <w:r>
        <w:rPr>
          <w:rFonts w:ascii="Calibri"/>
          <w:spacing w:val="-5"/>
          <w:sz w:val="22"/>
        </w:rPr>
        <w:t>229</w:t>
      </w:r>
    </w:p>
    <w:p>
      <w:pPr>
        <w:spacing w:before="1"/>
        <w:ind w:left="0" w:right="26"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6840" w:h="11900" w:orient="landscape"/>
          <w:pgMar w:header="0" w:footer="288" w:top="1340" w:bottom="480" w:left="708" w:right="708"/>
        </w:sectPr>
      </w:pPr>
    </w:p>
    <w:p>
      <w:pPr>
        <w:pStyle w:val="Heading3"/>
        <w:spacing w:before="63"/>
        <w:ind w:left="0" w:right="705"/>
        <w:jc w:val="right"/>
      </w:pPr>
      <w:bookmarkStart w:name="_TOC_250002" w:id="275"/>
      <w:bookmarkStart w:name="231" w:id="276"/>
      <w:r>
        <w:rPr>
          <w:b w:val="0"/>
        </w:rPr>
      </w:r>
      <w:r>
        <w:rPr>
          <w:color w:val="1F487C"/>
          <w:spacing w:val="-2"/>
        </w:rPr>
        <w:t>Приложение</w:t>
      </w:r>
      <w:r>
        <w:rPr>
          <w:color w:val="1F487C"/>
          <w:spacing w:val="1"/>
        </w:rPr>
        <w:t> </w:t>
      </w:r>
      <w:bookmarkEnd w:id="275"/>
      <w:r>
        <w:rPr>
          <w:color w:val="1F487C"/>
          <w:spacing w:val="-5"/>
        </w:rPr>
        <w:t>11</w:t>
      </w:r>
    </w:p>
    <w:p>
      <w:pPr>
        <w:spacing w:before="141"/>
        <w:ind w:left="140" w:right="8" w:firstLine="0"/>
        <w:jc w:val="center"/>
        <w:rPr>
          <w:b/>
          <w:sz w:val="24"/>
        </w:rPr>
      </w:pPr>
      <w:r>
        <w:rPr>
          <w:b/>
          <w:spacing w:val="-2"/>
          <w:sz w:val="24"/>
        </w:rPr>
        <w:t>Список</w:t>
      </w:r>
      <w:r>
        <w:rPr>
          <w:b/>
          <w:spacing w:val="2"/>
          <w:sz w:val="24"/>
        </w:rPr>
        <w:t> </w:t>
      </w:r>
      <w:r>
        <w:rPr>
          <w:b/>
          <w:spacing w:val="-2"/>
          <w:sz w:val="24"/>
        </w:rPr>
        <w:t>временных</w:t>
      </w:r>
      <w:r>
        <w:rPr>
          <w:b/>
          <w:spacing w:val="1"/>
          <w:sz w:val="24"/>
        </w:rPr>
        <w:t> </w:t>
      </w:r>
      <w:r>
        <w:rPr>
          <w:b/>
          <w:spacing w:val="-2"/>
          <w:sz w:val="24"/>
        </w:rPr>
        <w:t>методических</w:t>
      </w:r>
      <w:r>
        <w:rPr>
          <w:b/>
          <w:spacing w:val="1"/>
          <w:sz w:val="24"/>
        </w:rPr>
        <w:t> </w:t>
      </w:r>
      <w:r>
        <w:rPr>
          <w:b/>
          <w:spacing w:val="-2"/>
          <w:sz w:val="24"/>
        </w:rPr>
        <w:t>рекомендаций</w:t>
      </w:r>
      <w:r>
        <w:rPr>
          <w:b/>
          <w:sz w:val="24"/>
        </w:rPr>
        <w:t> </w:t>
      </w:r>
      <w:r>
        <w:rPr>
          <w:b/>
          <w:spacing w:val="-2"/>
          <w:sz w:val="24"/>
        </w:rPr>
        <w:t>для</w:t>
      </w:r>
      <w:r>
        <w:rPr>
          <w:b/>
          <w:spacing w:val="2"/>
          <w:sz w:val="24"/>
        </w:rPr>
        <w:t> </w:t>
      </w:r>
      <w:r>
        <w:rPr>
          <w:b/>
          <w:spacing w:val="-2"/>
          <w:sz w:val="24"/>
        </w:rPr>
        <w:t>врачей</w:t>
      </w:r>
    </w:p>
    <w:p>
      <w:pPr>
        <w:pStyle w:val="BodyText"/>
        <w:spacing w:before="83"/>
        <w:ind w:left="0"/>
        <w:jc w:val="left"/>
        <w:rPr>
          <w:b/>
        </w:rPr>
      </w:pPr>
    </w:p>
    <w:p>
      <w:pPr>
        <w:pStyle w:val="ListParagraph"/>
        <w:numPr>
          <w:ilvl w:val="1"/>
          <w:numId w:val="121"/>
        </w:numPr>
        <w:tabs>
          <w:tab w:pos="1276" w:val="left" w:leader="none"/>
          <w:tab w:pos="2843" w:val="left" w:leader="none"/>
          <w:tab w:pos="4385" w:val="left" w:leader="none"/>
          <w:tab w:pos="5813" w:val="left" w:leader="none"/>
          <w:tab w:pos="6163" w:val="left" w:leader="none"/>
          <w:tab w:pos="7206" w:val="left" w:leader="none"/>
          <w:tab w:pos="8746" w:val="left" w:leader="none"/>
          <w:tab w:pos="10153" w:val="left" w:leader="none"/>
        </w:tabs>
        <w:spacing w:line="357" w:lineRule="auto" w:before="1" w:after="0"/>
        <w:ind w:left="1276" w:right="713" w:hanging="427"/>
        <w:jc w:val="left"/>
        <w:rPr>
          <w:sz w:val="24"/>
        </w:rPr>
      </w:pPr>
      <w:r>
        <w:rPr>
          <w:color w:val="0462C1"/>
          <w:spacing w:val="-2"/>
          <w:sz w:val="24"/>
          <w:u w:val="single" w:color="0462C1"/>
        </w:rPr>
        <w:t>Особенности</w:t>
      </w:r>
      <w:r>
        <w:rPr>
          <w:color w:val="0462C1"/>
          <w:sz w:val="24"/>
          <w:u w:val="single" w:color="0462C1"/>
        </w:rPr>
        <w:tab/>
      </w:r>
      <w:r>
        <w:rPr>
          <w:color w:val="0462C1"/>
          <w:spacing w:val="-2"/>
          <w:sz w:val="24"/>
          <w:u w:val="single" w:color="0462C1"/>
        </w:rPr>
        <w:t>клинических</w:t>
      </w:r>
      <w:r>
        <w:rPr>
          <w:color w:val="0462C1"/>
          <w:sz w:val="24"/>
          <w:u w:val="single" w:color="0462C1"/>
        </w:rPr>
        <w:tab/>
      </w:r>
      <w:r>
        <w:rPr>
          <w:color w:val="0462C1"/>
          <w:spacing w:val="-2"/>
          <w:sz w:val="24"/>
          <w:u w:val="single" w:color="0462C1"/>
        </w:rPr>
        <w:t>проявлений</w:t>
      </w:r>
      <w:r>
        <w:rPr>
          <w:color w:val="0462C1"/>
          <w:sz w:val="24"/>
          <w:u w:val="single" w:color="0462C1"/>
        </w:rPr>
        <w:tab/>
      </w:r>
      <w:r>
        <w:rPr>
          <w:color w:val="0462C1"/>
          <w:spacing w:val="-10"/>
          <w:sz w:val="24"/>
          <w:u w:val="single" w:color="0462C1"/>
        </w:rPr>
        <w:t>и</w:t>
      </w:r>
      <w:r>
        <w:rPr>
          <w:color w:val="0462C1"/>
          <w:sz w:val="24"/>
          <w:u w:val="single" w:color="0462C1"/>
        </w:rPr>
        <w:tab/>
      </w:r>
      <w:r>
        <w:rPr>
          <w:color w:val="0462C1"/>
          <w:spacing w:val="-2"/>
          <w:sz w:val="24"/>
          <w:u w:val="single" w:color="0462C1"/>
        </w:rPr>
        <w:t>лечения</w:t>
      </w:r>
      <w:r>
        <w:rPr>
          <w:color w:val="0462C1"/>
          <w:sz w:val="24"/>
          <w:u w:val="single" w:color="0462C1"/>
        </w:rPr>
        <w:tab/>
      </w:r>
      <w:r>
        <w:rPr>
          <w:color w:val="0462C1"/>
          <w:spacing w:val="-2"/>
          <w:sz w:val="24"/>
          <w:u w:val="single" w:color="0462C1"/>
        </w:rPr>
        <w:t>заболевания,</w:t>
      </w:r>
      <w:r>
        <w:rPr>
          <w:color w:val="0462C1"/>
          <w:sz w:val="24"/>
          <w:u w:val="single" w:color="0462C1"/>
        </w:rPr>
        <w:tab/>
      </w:r>
      <w:r>
        <w:rPr>
          <w:color w:val="0462C1"/>
          <w:spacing w:val="-2"/>
          <w:sz w:val="24"/>
          <w:u w:val="single" w:color="0462C1"/>
        </w:rPr>
        <w:t>вызванного</w:t>
      </w:r>
      <w:r>
        <w:rPr>
          <w:color w:val="0462C1"/>
          <w:sz w:val="24"/>
          <w:u w:val="single" w:color="0462C1"/>
        </w:rPr>
        <w:tab/>
      </w:r>
      <w:r>
        <w:rPr>
          <w:color w:val="0462C1"/>
          <w:spacing w:val="-4"/>
          <w:sz w:val="24"/>
          <w:u w:val="single" w:color="0462C1"/>
        </w:rPr>
        <w:t>новой</w:t>
      </w:r>
      <w:r>
        <w:rPr>
          <w:color w:val="0462C1"/>
          <w:spacing w:val="-4"/>
          <w:sz w:val="24"/>
        </w:rPr>
        <w:t> </w:t>
      </w:r>
      <w:r>
        <w:rPr>
          <w:color w:val="0462C1"/>
          <w:sz w:val="24"/>
          <w:u w:val="single" w:color="0462C1"/>
        </w:rPr>
        <w:t>коронавирусной инфекцией (COVID-19) у детей</w:t>
      </w:r>
    </w:p>
    <w:p>
      <w:pPr>
        <w:pStyle w:val="ListParagraph"/>
        <w:numPr>
          <w:ilvl w:val="1"/>
          <w:numId w:val="121"/>
        </w:numPr>
        <w:tabs>
          <w:tab w:pos="1276" w:val="left" w:leader="none"/>
        </w:tabs>
        <w:spacing w:line="357" w:lineRule="auto" w:before="4" w:after="0"/>
        <w:ind w:left="1276" w:right="712" w:hanging="427"/>
        <w:jc w:val="left"/>
        <w:rPr>
          <w:sz w:val="24"/>
        </w:rPr>
      </w:pPr>
      <w:r>
        <w:rPr>
          <w:color w:val="0462C1"/>
          <w:sz w:val="24"/>
          <w:u w:val="single" w:color="0462C1"/>
        </w:rPr>
        <w:t>Организация</w:t>
      </w:r>
      <w:r>
        <w:rPr>
          <w:color w:val="0462C1"/>
          <w:spacing w:val="80"/>
          <w:w w:val="150"/>
          <w:sz w:val="24"/>
          <w:u w:val="single" w:color="0462C1"/>
        </w:rPr>
        <w:t> </w:t>
      </w:r>
      <w:r>
        <w:rPr>
          <w:color w:val="0462C1"/>
          <w:sz w:val="24"/>
          <w:u w:val="single" w:color="0462C1"/>
        </w:rPr>
        <w:t>оказания</w:t>
      </w:r>
      <w:r>
        <w:rPr>
          <w:color w:val="0462C1"/>
          <w:spacing w:val="80"/>
          <w:w w:val="150"/>
          <w:sz w:val="24"/>
          <w:u w:val="single" w:color="0462C1"/>
        </w:rPr>
        <w:t> </w:t>
      </w:r>
      <w:r>
        <w:rPr>
          <w:color w:val="0462C1"/>
          <w:sz w:val="24"/>
          <w:u w:val="single" w:color="0462C1"/>
        </w:rPr>
        <w:t>медицинской</w:t>
      </w:r>
      <w:r>
        <w:rPr>
          <w:color w:val="0462C1"/>
          <w:spacing w:val="80"/>
          <w:w w:val="150"/>
          <w:sz w:val="24"/>
          <w:u w:val="single" w:color="0462C1"/>
        </w:rPr>
        <w:t> </w:t>
      </w:r>
      <w:r>
        <w:rPr>
          <w:color w:val="0462C1"/>
          <w:sz w:val="24"/>
          <w:u w:val="single" w:color="0462C1"/>
        </w:rPr>
        <w:t>помощи</w:t>
      </w:r>
      <w:r>
        <w:rPr>
          <w:color w:val="0462C1"/>
          <w:spacing w:val="80"/>
          <w:w w:val="150"/>
          <w:sz w:val="24"/>
          <w:u w:val="single" w:color="0462C1"/>
        </w:rPr>
        <w:t> </w:t>
      </w:r>
      <w:r>
        <w:rPr>
          <w:color w:val="0462C1"/>
          <w:sz w:val="24"/>
          <w:u w:val="single" w:color="0462C1"/>
        </w:rPr>
        <w:t>беременным,</w:t>
      </w:r>
      <w:r>
        <w:rPr>
          <w:color w:val="0462C1"/>
          <w:spacing w:val="80"/>
          <w:w w:val="150"/>
          <w:sz w:val="24"/>
          <w:u w:val="single" w:color="0462C1"/>
        </w:rPr>
        <w:t> </w:t>
      </w:r>
      <w:r>
        <w:rPr>
          <w:color w:val="0462C1"/>
          <w:sz w:val="24"/>
          <w:u w:val="single" w:color="0462C1"/>
        </w:rPr>
        <w:t>роженицам,</w:t>
      </w:r>
      <w:r>
        <w:rPr>
          <w:color w:val="0462C1"/>
          <w:spacing w:val="80"/>
          <w:w w:val="150"/>
          <w:sz w:val="24"/>
          <w:u w:val="single" w:color="0462C1"/>
        </w:rPr>
        <w:t> </w:t>
      </w:r>
      <w:r>
        <w:rPr>
          <w:color w:val="0462C1"/>
          <w:sz w:val="24"/>
          <w:u w:val="single" w:color="0462C1"/>
        </w:rPr>
        <w:t>родильницам</w:t>
      </w:r>
      <w:r>
        <w:rPr>
          <w:color w:val="0462C1"/>
          <w:sz w:val="24"/>
        </w:rPr>
        <w:t> </w:t>
      </w:r>
      <w:r>
        <w:rPr>
          <w:color w:val="0462C1"/>
          <w:sz w:val="24"/>
          <w:u w:val="single" w:color="0462C1"/>
        </w:rPr>
        <w:t>и новорожденным при новой коронавирусной инфекции COVID-19</w:t>
      </w:r>
    </w:p>
    <w:p>
      <w:pPr>
        <w:pStyle w:val="ListParagraph"/>
        <w:numPr>
          <w:ilvl w:val="1"/>
          <w:numId w:val="121"/>
        </w:numPr>
        <w:tabs>
          <w:tab w:pos="1275" w:val="left" w:leader="none"/>
        </w:tabs>
        <w:spacing w:line="240" w:lineRule="auto" w:before="5" w:after="0"/>
        <w:ind w:left="1275" w:right="0" w:hanging="426"/>
        <w:jc w:val="left"/>
        <w:rPr>
          <w:sz w:val="24"/>
        </w:rPr>
      </w:pPr>
      <w:r>
        <w:rPr>
          <w:color w:val="0462C1"/>
          <w:spacing w:val="-2"/>
          <w:sz w:val="24"/>
          <w:u w:val="single" w:color="0462C1"/>
        </w:rPr>
        <w:t>Медицинская</w:t>
      </w:r>
      <w:r>
        <w:rPr>
          <w:color w:val="0462C1"/>
          <w:sz w:val="24"/>
          <w:u w:val="single" w:color="0462C1"/>
        </w:rPr>
        <w:t> </w:t>
      </w:r>
      <w:r>
        <w:rPr>
          <w:color w:val="0462C1"/>
          <w:spacing w:val="-2"/>
          <w:sz w:val="24"/>
          <w:u w:val="single" w:color="0462C1"/>
        </w:rPr>
        <w:t>реабилитация</w:t>
      </w:r>
      <w:r>
        <w:rPr>
          <w:color w:val="0462C1"/>
          <w:spacing w:val="1"/>
          <w:sz w:val="24"/>
          <w:u w:val="single" w:color="0462C1"/>
        </w:rPr>
        <w:t> </w:t>
      </w:r>
      <w:r>
        <w:rPr>
          <w:color w:val="0462C1"/>
          <w:spacing w:val="-2"/>
          <w:sz w:val="24"/>
          <w:u w:val="single" w:color="0462C1"/>
        </w:rPr>
        <w:t>при</w:t>
      </w:r>
      <w:r>
        <w:rPr>
          <w:color w:val="0462C1"/>
          <w:spacing w:val="2"/>
          <w:sz w:val="24"/>
          <w:u w:val="single" w:color="0462C1"/>
        </w:rPr>
        <w:t> </w:t>
      </w:r>
      <w:r>
        <w:rPr>
          <w:color w:val="0462C1"/>
          <w:spacing w:val="-2"/>
          <w:sz w:val="24"/>
          <w:u w:val="single" w:color="0462C1"/>
        </w:rPr>
        <w:t>новой</w:t>
      </w:r>
      <w:r>
        <w:rPr>
          <w:color w:val="0462C1"/>
          <w:spacing w:val="-1"/>
          <w:sz w:val="24"/>
          <w:u w:val="single" w:color="0462C1"/>
        </w:rPr>
        <w:t> </w:t>
      </w:r>
      <w:r>
        <w:rPr>
          <w:color w:val="0462C1"/>
          <w:spacing w:val="-2"/>
          <w:sz w:val="24"/>
          <w:u w:val="single" w:color="0462C1"/>
        </w:rPr>
        <w:t>коронавирусной</w:t>
      </w:r>
      <w:r>
        <w:rPr>
          <w:color w:val="0462C1"/>
          <w:spacing w:val="2"/>
          <w:sz w:val="24"/>
          <w:u w:val="single" w:color="0462C1"/>
        </w:rPr>
        <w:t> </w:t>
      </w:r>
      <w:r>
        <w:rPr>
          <w:color w:val="0462C1"/>
          <w:spacing w:val="-2"/>
          <w:sz w:val="24"/>
          <w:u w:val="single" w:color="0462C1"/>
        </w:rPr>
        <w:t>инфекции</w:t>
      </w:r>
      <w:r>
        <w:rPr>
          <w:color w:val="0462C1"/>
          <w:spacing w:val="2"/>
          <w:sz w:val="24"/>
          <w:u w:val="single" w:color="0462C1"/>
        </w:rPr>
        <w:t> </w:t>
      </w:r>
      <w:r>
        <w:rPr>
          <w:color w:val="0462C1"/>
          <w:spacing w:val="-2"/>
          <w:sz w:val="24"/>
          <w:u w:val="single" w:color="0462C1"/>
        </w:rPr>
        <w:t>(COVID-</w:t>
      </w:r>
      <w:r>
        <w:rPr>
          <w:color w:val="0462C1"/>
          <w:spacing w:val="-5"/>
          <w:sz w:val="24"/>
          <w:u w:val="single" w:color="0462C1"/>
        </w:rPr>
        <w:t>19)</w:t>
      </w:r>
    </w:p>
    <w:p>
      <w:pPr>
        <w:pStyle w:val="ListParagraph"/>
        <w:numPr>
          <w:ilvl w:val="1"/>
          <w:numId w:val="121"/>
        </w:numPr>
        <w:tabs>
          <w:tab w:pos="1276" w:val="left" w:leader="none"/>
        </w:tabs>
        <w:spacing w:line="360" w:lineRule="auto" w:before="137" w:after="0"/>
        <w:ind w:left="1276" w:right="711" w:hanging="427"/>
        <w:jc w:val="both"/>
        <w:rPr>
          <w:sz w:val="24"/>
        </w:rPr>
      </w:pPr>
      <w:r>
        <w:rPr>
          <w:color w:val="0462C1"/>
          <w:sz w:val="24"/>
          <w:u w:val="single" w:color="0462C1"/>
        </w:rPr>
        <w:t>Лекарственная</w:t>
      </w:r>
      <w:r>
        <w:rPr>
          <w:color w:val="0462C1"/>
          <w:spacing w:val="-4"/>
          <w:sz w:val="24"/>
          <w:u w:val="single" w:color="0462C1"/>
        </w:rPr>
        <w:t> </w:t>
      </w:r>
      <w:r>
        <w:rPr>
          <w:color w:val="0462C1"/>
          <w:sz w:val="24"/>
          <w:u w:val="single" w:color="0462C1"/>
        </w:rPr>
        <w:t>терапия</w:t>
      </w:r>
      <w:r>
        <w:rPr>
          <w:color w:val="0462C1"/>
          <w:spacing w:val="-7"/>
          <w:sz w:val="24"/>
          <w:u w:val="single" w:color="0462C1"/>
        </w:rPr>
        <w:t> </w:t>
      </w:r>
      <w:r>
        <w:rPr>
          <w:color w:val="0462C1"/>
          <w:sz w:val="24"/>
          <w:u w:val="single" w:color="0462C1"/>
        </w:rPr>
        <w:t>острых</w:t>
      </w:r>
      <w:r>
        <w:rPr>
          <w:color w:val="0462C1"/>
          <w:spacing w:val="-4"/>
          <w:sz w:val="24"/>
          <w:u w:val="single" w:color="0462C1"/>
        </w:rPr>
        <w:t> </w:t>
      </w:r>
      <w:r>
        <w:rPr>
          <w:color w:val="0462C1"/>
          <w:sz w:val="24"/>
          <w:u w:val="single" w:color="0462C1"/>
        </w:rPr>
        <w:t>респираторных</w:t>
      </w:r>
      <w:r>
        <w:rPr>
          <w:color w:val="0462C1"/>
          <w:spacing w:val="-7"/>
          <w:sz w:val="24"/>
          <w:u w:val="single" w:color="0462C1"/>
        </w:rPr>
        <w:t> </w:t>
      </w:r>
      <w:r>
        <w:rPr>
          <w:color w:val="0462C1"/>
          <w:sz w:val="24"/>
          <w:u w:val="single" w:color="0462C1"/>
        </w:rPr>
        <w:t>вирусных</w:t>
      </w:r>
      <w:r>
        <w:rPr>
          <w:color w:val="0462C1"/>
          <w:spacing w:val="-5"/>
          <w:sz w:val="24"/>
          <w:u w:val="single" w:color="0462C1"/>
        </w:rPr>
        <w:t> </w:t>
      </w:r>
      <w:r>
        <w:rPr>
          <w:color w:val="0462C1"/>
          <w:sz w:val="24"/>
          <w:u w:val="single" w:color="0462C1"/>
        </w:rPr>
        <w:t>инфекций</w:t>
      </w:r>
      <w:r>
        <w:rPr>
          <w:color w:val="0462C1"/>
          <w:spacing w:val="-3"/>
          <w:sz w:val="24"/>
          <w:u w:val="single" w:color="0462C1"/>
        </w:rPr>
        <w:t> </w:t>
      </w:r>
      <w:r>
        <w:rPr>
          <w:color w:val="0462C1"/>
          <w:sz w:val="24"/>
          <w:u w:val="single" w:color="0462C1"/>
        </w:rPr>
        <w:t>(ОРВИ)</w:t>
      </w:r>
      <w:r>
        <w:rPr>
          <w:color w:val="0462C1"/>
          <w:spacing w:val="-6"/>
          <w:sz w:val="24"/>
          <w:u w:val="single" w:color="0462C1"/>
        </w:rPr>
        <w:t> </w:t>
      </w:r>
      <w:r>
        <w:rPr>
          <w:color w:val="0462C1"/>
          <w:sz w:val="24"/>
          <w:u w:val="single" w:color="0462C1"/>
        </w:rPr>
        <w:t>в</w:t>
      </w:r>
      <w:r>
        <w:rPr>
          <w:color w:val="0462C1"/>
          <w:spacing w:val="-5"/>
          <w:sz w:val="24"/>
          <w:u w:val="single" w:color="0462C1"/>
        </w:rPr>
        <w:t> </w:t>
      </w:r>
      <w:r>
        <w:rPr>
          <w:color w:val="0462C1"/>
          <w:sz w:val="24"/>
          <w:u w:val="single" w:color="0462C1"/>
        </w:rPr>
        <w:t>амбулаторной</w:t>
      </w:r>
      <w:r>
        <w:rPr>
          <w:color w:val="0462C1"/>
          <w:sz w:val="24"/>
        </w:rPr>
        <w:t> </w:t>
      </w:r>
      <w:r>
        <w:rPr>
          <w:color w:val="0462C1"/>
          <w:sz w:val="24"/>
          <w:u w:val="single" w:color="0462C1"/>
        </w:rPr>
        <w:t>практике в период эпидемии COVID-19</w:t>
      </w:r>
    </w:p>
    <w:p>
      <w:pPr>
        <w:pStyle w:val="ListParagraph"/>
        <w:numPr>
          <w:ilvl w:val="1"/>
          <w:numId w:val="121"/>
        </w:numPr>
        <w:tabs>
          <w:tab w:pos="1276" w:val="left" w:leader="none"/>
        </w:tabs>
        <w:spacing w:line="360" w:lineRule="auto" w:before="0" w:after="0"/>
        <w:ind w:left="1276" w:right="712" w:hanging="427"/>
        <w:jc w:val="both"/>
        <w:rPr>
          <w:sz w:val="24"/>
        </w:rPr>
      </w:pPr>
      <w:r>
        <w:rPr>
          <w:color w:val="0462C1"/>
          <w:sz w:val="24"/>
          <w:u w:val="single" w:color="0462C1"/>
        </w:rPr>
        <w:t>Методические рекомендации по организации проведения профилактических медицинских</w:t>
      </w:r>
      <w:r>
        <w:rPr>
          <w:color w:val="0462C1"/>
          <w:sz w:val="24"/>
        </w:rPr>
        <w:t> </w:t>
      </w:r>
      <w:r>
        <w:rPr>
          <w:color w:val="0462C1"/>
          <w:sz w:val="24"/>
          <w:u w:val="single" w:color="0462C1"/>
        </w:rPr>
        <w:t>осмотров и диспансеризации в условиях сохранения рисков распространения новой</w:t>
      </w:r>
      <w:r>
        <w:rPr>
          <w:color w:val="0462C1"/>
          <w:sz w:val="24"/>
        </w:rPr>
        <w:t> </w:t>
      </w:r>
      <w:r>
        <w:rPr>
          <w:color w:val="0462C1"/>
          <w:sz w:val="24"/>
          <w:u w:val="single" w:color="0462C1"/>
        </w:rPr>
        <w:t>коронавирусной инфекции (COVID-19)</w:t>
      </w:r>
    </w:p>
    <w:p>
      <w:pPr>
        <w:pStyle w:val="ListParagraph"/>
        <w:numPr>
          <w:ilvl w:val="1"/>
          <w:numId w:val="121"/>
        </w:numPr>
        <w:tabs>
          <w:tab w:pos="1276" w:val="left" w:leader="none"/>
        </w:tabs>
        <w:spacing w:line="357" w:lineRule="auto" w:before="0" w:after="0"/>
        <w:ind w:left="1276" w:right="705" w:hanging="427"/>
        <w:jc w:val="both"/>
        <w:rPr>
          <w:sz w:val="24"/>
        </w:rPr>
      </w:pPr>
      <w:r>
        <w:rPr>
          <w:color w:val="0462C1"/>
          <w:sz w:val="24"/>
          <w:u w:val="single" w:color="0462C1"/>
        </w:rPr>
        <w:t>Методические рекомендации по кодированию и выбору основного состояния в статистике</w:t>
      </w:r>
      <w:r>
        <w:rPr>
          <w:color w:val="0462C1"/>
          <w:sz w:val="24"/>
        </w:rPr>
        <w:t> </w:t>
      </w:r>
      <w:r>
        <w:rPr>
          <w:color w:val="0462C1"/>
          <w:sz w:val="24"/>
          <w:u w:val="single" w:color="0462C1"/>
        </w:rPr>
        <w:t>заболеваемости</w:t>
      </w:r>
      <w:r>
        <w:rPr>
          <w:color w:val="0462C1"/>
          <w:spacing w:val="-13"/>
          <w:sz w:val="24"/>
          <w:u w:val="single" w:color="0462C1"/>
        </w:rPr>
        <w:t> </w:t>
      </w:r>
      <w:r>
        <w:rPr>
          <w:color w:val="0462C1"/>
          <w:sz w:val="24"/>
          <w:u w:val="single" w:color="0462C1"/>
        </w:rPr>
        <w:t>и</w:t>
      </w:r>
      <w:r>
        <w:rPr>
          <w:color w:val="0462C1"/>
          <w:spacing w:val="-12"/>
          <w:sz w:val="24"/>
          <w:u w:val="single" w:color="0462C1"/>
        </w:rPr>
        <w:t> </w:t>
      </w:r>
      <w:r>
        <w:rPr>
          <w:color w:val="0462C1"/>
          <w:sz w:val="24"/>
          <w:u w:val="single" w:color="0462C1"/>
        </w:rPr>
        <w:t>первоначальной</w:t>
      </w:r>
      <w:r>
        <w:rPr>
          <w:color w:val="0462C1"/>
          <w:spacing w:val="-14"/>
          <w:sz w:val="24"/>
          <w:u w:val="single" w:color="0462C1"/>
        </w:rPr>
        <w:t> </w:t>
      </w:r>
      <w:r>
        <w:rPr>
          <w:color w:val="0462C1"/>
          <w:sz w:val="24"/>
          <w:u w:val="single" w:color="0462C1"/>
        </w:rPr>
        <w:t>причины</w:t>
      </w:r>
      <w:r>
        <w:rPr>
          <w:color w:val="0462C1"/>
          <w:spacing w:val="-13"/>
          <w:sz w:val="24"/>
          <w:u w:val="single" w:color="0462C1"/>
        </w:rPr>
        <w:t> </w:t>
      </w:r>
      <w:r>
        <w:rPr>
          <w:color w:val="0462C1"/>
          <w:sz w:val="24"/>
          <w:u w:val="single" w:color="0462C1"/>
        </w:rPr>
        <w:t>в</w:t>
      </w:r>
      <w:r>
        <w:rPr>
          <w:color w:val="0462C1"/>
          <w:spacing w:val="-13"/>
          <w:sz w:val="24"/>
          <w:u w:val="single" w:color="0462C1"/>
        </w:rPr>
        <w:t> </w:t>
      </w:r>
      <w:r>
        <w:rPr>
          <w:color w:val="0462C1"/>
          <w:sz w:val="24"/>
          <w:u w:val="single" w:color="0462C1"/>
        </w:rPr>
        <w:t>статистике</w:t>
      </w:r>
      <w:r>
        <w:rPr>
          <w:color w:val="0462C1"/>
          <w:spacing w:val="-14"/>
          <w:sz w:val="24"/>
          <w:u w:val="single" w:color="0462C1"/>
        </w:rPr>
        <w:t> </w:t>
      </w:r>
      <w:r>
        <w:rPr>
          <w:color w:val="0462C1"/>
          <w:sz w:val="24"/>
          <w:u w:val="single" w:color="0462C1"/>
        </w:rPr>
        <w:t>смертности,</w:t>
      </w:r>
      <w:r>
        <w:rPr>
          <w:color w:val="0462C1"/>
          <w:spacing w:val="-15"/>
          <w:sz w:val="24"/>
          <w:u w:val="single" w:color="0462C1"/>
        </w:rPr>
        <w:t> </w:t>
      </w:r>
      <w:r>
        <w:rPr>
          <w:color w:val="0462C1"/>
          <w:sz w:val="24"/>
          <w:u w:val="single" w:color="0462C1"/>
        </w:rPr>
        <w:t>связанных</w:t>
      </w:r>
      <w:r>
        <w:rPr>
          <w:color w:val="0462C1"/>
          <w:spacing w:val="-13"/>
          <w:sz w:val="24"/>
          <w:u w:val="single" w:color="0462C1"/>
        </w:rPr>
        <w:t> </w:t>
      </w:r>
      <w:r>
        <w:rPr>
          <w:color w:val="0462C1"/>
          <w:sz w:val="24"/>
          <w:u w:val="single" w:color="0462C1"/>
        </w:rPr>
        <w:t>с</w:t>
      </w:r>
      <w:r>
        <w:rPr>
          <w:color w:val="0462C1"/>
          <w:spacing w:val="-14"/>
          <w:sz w:val="24"/>
          <w:u w:val="single" w:color="0462C1"/>
        </w:rPr>
        <w:t> </w:t>
      </w:r>
      <w:r>
        <w:rPr>
          <w:color w:val="0462C1"/>
          <w:sz w:val="24"/>
          <w:u w:val="single" w:color="0462C1"/>
        </w:rPr>
        <w:t>COVID-19</w:t>
      </w:r>
    </w:p>
    <w:p>
      <w:pPr>
        <w:pStyle w:val="ListParagraph"/>
        <w:numPr>
          <w:ilvl w:val="1"/>
          <w:numId w:val="121"/>
        </w:numPr>
        <w:tabs>
          <w:tab w:pos="1275" w:val="left" w:leader="none"/>
        </w:tabs>
        <w:spacing w:line="240" w:lineRule="auto" w:before="2" w:after="0"/>
        <w:ind w:left="1275" w:right="0" w:hanging="426"/>
        <w:jc w:val="both"/>
        <w:rPr>
          <w:sz w:val="24"/>
        </w:rPr>
      </w:pPr>
      <w:r>
        <w:rPr>
          <w:color w:val="0462C1"/>
          <w:sz w:val="24"/>
          <w:u w:val="single" w:color="0462C1"/>
        </w:rPr>
        <w:t>Порядок</w:t>
      </w:r>
      <w:r>
        <w:rPr>
          <w:color w:val="0462C1"/>
          <w:spacing w:val="-15"/>
          <w:sz w:val="24"/>
          <w:u w:val="single" w:color="0462C1"/>
        </w:rPr>
        <w:t> </w:t>
      </w:r>
      <w:r>
        <w:rPr>
          <w:color w:val="0462C1"/>
          <w:sz w:val="24"/>
          <w:u w:val="single" w:color="0462C1"/>
        </w:rPr>
        <w:t>проведения</w:t>
      </w:r>
      <w:r>
        <w:rPr>
          <w:color w:val="0462C1"/>
          <w:spacing w:val="-15"/>
          <w:sz w:val="24"/>
          <w:u w:val="single" w:color="0462C1"/>
        </w:rPr>
        <w:t> </w:t>
      </w:r>
      <w:r>
        <w:rPr>
          <w:color w:val="0462C1"/>
          <w:sz w:val="24"/>
          <w:u w:val="single" w:color="0462C1"/>
        </w:rPr>
        <w:t>вакцинации</w:t>
      </w:r>
      <w:r>
        <w:rPr>
          <w:color w:val="0462C1"/>
          <w:spacing w:val="30"/>
          <w:sz w:val="24"/>
          <w:u w:val="single" w:color="0462C1"/>
        </w:rPr>
        <w:t> </w:t>
      </w:r>
      <w:r>
        <w:rPr>
          <w:color w:val="0462C1"/>
          <w:sz w:val="24"/>
          <w:u w:val="single" w:color="0462C1"/>
        </w:rPr>
        <w:t>против</w:t>
      </w:r>
      <w:r>
        <w:rPr>
          <w:color w:val="0462C1"/>
          <w:spacing w:val="-14"/>
          <w:sz w:val="24"/>
          <w:u w:val="single" w:color="0462C1"/>
        </w:rPr>
        <w:t> </w:t>
      </w:r>
      <w:r>
        <w:rPr>
          <w:color w:val="0462C1"/>
          <w:sz w:val="24"/>
          <w:u w:val="single" w:color="0462C1"/>
        </w:rPr>
        <w:t>новой</w:t>
      </w:r>
      <w:r>
        <w:rPr>
          <w:color w:val="0462C1"/>
          <w:spacing w:val="-14"/>
          <w:sz w:val="24"/>
          <w:u w:val="single" w:color="0462C1"/>
        </w:rPr>
        <w:t> </w:t>
      </w:r>
      <w:r>
        <w:rPr>
          <w:color w:val="0462C1"/>
          <w:sz w:val="24"/>
          <w:u w:val="single" w:color="0462C1"/>
        </w:rPr>
        <w:t>коронавирусной</w:t>
      </w:r>
      <w:r>
        <w:rPr>
          <w:color w:val="0462C1"/>
          <w:spacing w:val="-15"/>
          <w:sz w:val="24"/>
          <w:u w:val="single" w:color="0462C1"/>
        </w:rPr>
        <w:t> </w:t>
      </w:r>
      <w:r>
        <w:rPr>
          <w:color w:val="0462C1"/>
          <w:sz w:val="24"/>
          <w:u w:val="single" w:color="0462C1"/>
        </w:rPr>
        <w:t>инфекции</w:t>
      </w:r>
      <w:r>
        <w:rPr>
          <w:color w:val="0462C1"/>
          <w:spacing w:val="-12"/>
          <w:sz w:val="24"/>
          <w:u w:val="single" w:color="0462C1"/>
        </w:rPr>
        <w:t> </w:t>
      </w:r>
      <w:r>
        <w:rPr>
          <w:color w:val="0462C1"/>
          <w:sz w:val="24"/>
          <w:u w:val="single" w:color="0462C1"/>
        </w:rPr>
        <w:t>COVID-</w:t>
      </w:r>
      <w:r>
        <w:rPr>
          <w:color w:val="0462C1"/>
          <w:spacing w:val="-5"/>
          <w:sz w:val="24"/>
          <w:u w:val="single" w:color="0462C1"/>
        </w:rPr>
        <w:t>19</w:t>
      </w:r>
    </w:p>
    <w:p>
      <w:pPr>
        <w:pStyle w:val="ListParagraph"/>
        <w:numPr>
          <w:ilvl w:val="1"/>
          <w:numId w:val="121"/>
        </w:numPr>
        <w:tabs>
          <w:tab w:pos="1276" w:val="left" w:leader="none"/>
        </w:tabs>
        <w:spacing w:line="360" w:lineRule="auto" w:before="139" w:after="0"/>
        <w:ind w:left="1276" w:right="705" w:hanging="427"/>
        <w:jc w:val="both"/>
        <w:rPr>
          <w:sz w:val="24"/>
        </w:rPr>
      </w:pPr>
      <w:r>
        <w:rPr>
          <w:color w:val="0462C1"/>
          <w:sz w:val="24"/>
          <w:u w:val="single" w:color="0462C1"/>
        </w:rPr>
        <w:t>Клинические рекомендации Федерации анестезиологов-реаниматологов «Применение</w:t>
      </w:r>
      <w:r>
        <w:rPr>
          <w:color w:val="0462C1"/>
          <w:sz w:val="24"/>
        </w:rPr>
        <w:t> </w:t>
      </w:r>
      <w:r>
        <w:rPr>
          <w:color w:val="0462C1"/>
          <w:sz w:val="24"/>
          <w:u w:val="single" w:color="0462C1"/>
        </w:rPr>
        <w:t>неинвазивной вентиляции легких»</w:t>
      </w:r>
    </w:p>
    <w:p>
      <w:pPr>
        <w:pStyle w:val="ListParagraph"/>
        <w:numPr>
          <w:ilvl w:val="1"/>
          <w:numId w:val="121"/>
        </w:numPr>
        <w:tabs>
          <w:tab w:pos="1276" w:val="left" w:leader="none"/>
        </w:tabs>
        <w:spacing w:line="357" w:lineRule="auto" w:before="0" w:after="0"/>
        <w:ind w:left="1276" w:right="704" w:hanging="427"/>
        <w:jc w:val="both"/>
        <w:rPr>
          <w:sz w:val="24"/>
        </w:rPr>
      </w:pPr>
      <w:r>
        <w:rPr>
          <w:color w:val="0462C1"/>
          <w:sz w:val="24"/>
          <w:u w:val="single" w:color="0462C1"/>
        </w:rPr>
        <w:t>Клинические</w:t>
      </w:r>
      <w:r>
        <w:rPr>
          <w:color w:val="0462C1"/>
          <w:spacing w:val="80"/>
          <w:w w:val="150"/>
          <w:sz w:val="24"/>
          <w:u w:val="single" w:color="0462C1"/>
        </w:rPr>
        <w:t> </w:t>
      </w:r>
      <w:r>
        <w:rPr>
          <w:color w:val="0462C1"/>
          <w:sz w:val="24"/>
          <w:u w:val="single" w:color="0462C1"/>
        </w:rPr>
        <w:t>рекомендации</w:t>
      </w:r>
      <w:r>
        <w:rPr>
          <w:color w:val="0462C1"/>
          <w:spacing w:val="80"/>
          <w:w w:val="150"/>
          <w:sz w:val="24"/>
          <w:u w:val="single" w:color="0462C1"/>
        </w:rPr>
        <w:t> </w:t>
      </w:r>
      <w:r>
        <w:rPr>
          <w:color w:val="0462C1"/>
          <w:sz w:val="24"/>
          <w:u w:val="single" w:color="0462C1"/>
        </w:rPr>
        <w:t>Федерации</w:t>
      </w:r>
      <w:r>
        <w:rPr>
          <w:color w:val="0462C1"/>
          <w:spacing w:val="80"/>
          <w:w w:val="150"/>
          <w:sz w:val="24"/>
          <w:u w:val="single" w:color="0462C1"/>
        </w:rPr>
        <w:t> </w:t>
      </w:r>
      <w:r>
        <w:rPr>
          <w:color w:val="0462C1"/>
          <w:sz w:val="24"/>
          <w:u w:val="single" w:color="0462C1"/>
        </w:rPr>
        <w:t>анестезиологов-реаниматологов</w:t>
      </w:r>
      <w:r>
        <w:rPr>
          <w:color w:val="0462C1"/>
          <w:spacing w:val="80"/>
          <w:w w:val="150"/>
          <w:sz w:val="24"/>
          <w:u w:val="single" w:color="0462C1"/>
        </w:rPr>
        <w:t> </w:t>
      </w:r>
      <w:r>
        <w:rPr>
          <w:color w:val="0462C1"/>
          <w:sz w:val="24"/>
          <w:u w:val="single" w:color="0462C1"/>
        </w:rPr>
        <w:t>«Диагностика</w:t>
      </w:r>
      <w:r>
        <w:rPr>
          <w:color w:val="0462C1"/>
          <w:sz w:val="24"/>
        </w:rPr>
        <w:t> </w:t>
      </w:r>
      <w:r>
        <w:rPr>
          <w:color w:val="0462C1"/>
          <w:sz w:val="24"/>
          <w:u w:val="single" w:color="0462C1"/>
        </w:rPr>
        <w:t>и интенсивная терапия острого респираторного дистресс-синдрома»</w:t>
      </w:r>
    </w:p>
    <w:p>
      <w:pPr>
        <w:pStyle w:val="ListParagraph"/>
        <w:numPr>
          <w:ilvl w:val="1"/>
          <w:numId w:val="121"/>
        </w:numPr>
        <w:tabs>
          <w:tab w:pos="1276" w:val="left" w:leader="none"/>
        </w:tabs>
        <w:spacing w:line="357" w:lineRule="auto" w:before="4" w:after="0"/>
        <w:ind w:left="1276" w:right="700" w:hanging="427"/>
        <w:jc w:val="both"/>
        <w:rPr>
          <w:sz w:val="24"/>
        </w:rPr>
      </w:pPr>
      <w:r>
        <w:rPr>
          <w:color w:val="0462C1"/>
          <w:sz w:val="24"/>
          <w:u w:val="single" w:color="0462C1"/>
        </w:rPr>
        <w:t>Методические</w:t>
      </w:r>
      <w:r>
        <w:rPr>
          <w:color w:val="0462C1"/>
          <w:spacing w:val="-3"/>
          <w:sz w:val="24"/>
          <w:u w:val="single" w:color="0462C1"/>
        </w:rPr>
        <w:t> </w:t>
      </w:r>
      <w:r>
        <w:rPr>
          <w:color w:val="0462C1"/>
          <w:sz w:val="24"/>
          <w:u w:val="single" w:color="0462C1"/>
        </w:rPr>
        <w:t>рекомендации</w:t>
      </w:r>
      <w:r>
        <w:rPr>
          <w:color w:val="0462C1"/>
          <w:spacing w:val="-3"/>
          <w:sz w:val="24"/>
          <w:u w:val="single" w:color="0462C1"/>
        </w:rPr>
        <w:t> </w:t>
      </w:r>
      <w:r>
        <w:rPr>
          <w:color w:val="0462C1"/>
          <w:sz w:val="24"/>
          <w:u w:val="single" w:color="0462C1"/>
        </w:rPr>
        <w:t>Федерации</w:t>
      </w:r>
      <w:r>
        <w:rPr>
          <w:color w:val="0462C1"/>
          <w:spacing w:val="-1"/>
          <w:sz w:val="24"/>
          <w:u w:val="single" w:color="0462C1"/>
        </w:rPr>
        <w:t> </w:t>
      </w:r>
      <w:r>
        <w:rPr>
          <w:color w:val="0462C1"/>
          <w:sz w:val="24"/>
          <w:u w:val="single" w:color="0462C1"/>
        </w:rPr>
        <w:t>анестезиологов-реаниматологов</w:t>
      </w:r>
      <w:r>
        <w:rPr>
          <w:color w:val="0462C1"/>
          <w:spacing w:val="-2"/>
          <w:sz w:val="24"/>
          <w:u w:val="single" w:color="0462C1"/>
        </w:rPr>
        <w:t> </w:t>
      </w:r>
      <w:r>
        <w:rPr>
          <w:color w:val="0462C1"/>
          <w:sz w:val="24"/>
          <w:u w:val="single" w:color="0462C1"/>
        </w:rPr>
        <w:t>по</w:t>
      </w:r>
      <w:r>
        <w:rPr>
          <w:color w:val="0462C1"/>
          <w:spacing w:val="-2"/>
          <w:sz w:val="24"/>
          <w:u w:val="single" w:color="0462C1"/>
        </w:rPr>
        <w:t> </w:t>
      </w:r>
      <w:r>
        <w:rPr>
          <w:color w:val="0462C1"/>
          <w:sz w:val="24"/>
          <w:u w:val="single" w:color="0462C1"/>
        </w:rPr>
        <w:t>анестезиолого-</w:t>
      </w:r>
      <w:r>
        <w:rPr>
          <w:color w:val="0462C1"/>
          <w:sz w:val="24"/>
        </w:rPr>
        <w:t> </w:t>
      </w:r>
      <w:r>
        <w:rPr>
          <w:color w:val="0462C1"/>
          <w:sz w:val="24"/>
          <w:u w:val="single" w:color="0462C1"/>
        </w:rPr>
        <w:t>реанимационному ведению больных COVID-19</w:t>
      </w:r>
    </w:p>
    <w:p>
      <w:pPr>
        <w:pStyle w:val="ListParagraph"/>
        <w:numPr>
          <w:ilvl w:val="1"/>
          <w:numId w:val="121"/>
        </w:numPr>
        <w:tabs>
          <w:tab w:pos="1276" w:val="left" w:leader="none"/>
        </w:tabs>
        <w:spacing w:line="360" w:lineRule="auto" w:before="5" w:after="0"/>
        <w:ind w:left="1276" w:right="711" w:hanging="427"/>
        <w:jc w:val="both"/>
        <w:rPr>
          <w:sz w:val="24"/>
        </w:rPr>
      </w:pPr>
      <w:r>
        <w:rPr>
          <w:sz w:val="24"/>
        </w:rPr>
        <w:t>Рекомендации по психологическому сопровождению деятельности руководителей медицинских организаций и их структурных подразделений в условиях оказания медицинской помощи пациентам с COVID-19</w:t>
      </w:r>
    </w:p>
    <w:p>
      <w:pPr>
        <w:pStyle w:val="ListParagraph"/>
        <w:numPr>
          <w:ilvl w:val="1"/>
          <w:numId w:val="121"/>
        </w:numPr>
        <w:tabs>
          <w:tab w:pos="1276" w:val="left" w:leader="none"/>
        </w:tabs>
        <w:spacing w:line="360" w:lineRule="auto" w:before="0" w:after="0"/>
        <w:ind w:left="1276" w:right="712" w:hanging="427"/>
        <w:jc w:val="both"/>
        <w:rPr>
          <w:sz w:val="24"/>
        </w:rPr>
      </w:pPr>
      <w:r>
        <w:rPr>
          <w:sz w:val="24"/>
        </w:rPr>
        <w:t>Рекомендации по предупреждению психологического неблагополучия у медицинских работников в период пандемии COVID-19</w:t>
      </w:r>
    </w:p>
    <w:p>
      <w:pPr>
        <w:pStyle w:val="ListParagraph"/>
        <w:numPr>
          <w:ilvl w:val="1"/>
          <w:numId w:val="121"/>
        </w:numPr>
        <w:tabs>
          <w:tab w:pos="1276" w:val="left" w:leader="none"/>
        </w:tabs>
        <w:spacing w:line="360" w:lineRule="auto" w:before="0" w:after="0"/>
        <w:ind w:left="1276" w:right="706" w:hanging="427"/>
        <w:jc w:val="both"/>
        <w:rPr>
          <w:sz w:val="24"/>
        </w:rPr>
      </w:pPr>
      <w:r>
        <w:rPr>
          <w:sz w:val="24"/>
        </w:rPr>
        <w:t>Рекомендации для медицинских работников по совладанию со стрессом в условиях пандемии COVID-19</w:t>
      </w: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209"/>
        <w:ind w:left="0"/>
        <w:jc w:val="left"/>
        <w:rPr>
          <w:sz w:val="22"/>
        </w:rPr>
      </w:pPr>
    </w:p>
    <w:p>
      <w:pPr>
        <w:spacing w:before="0"/>
        <w:ind w:left="140" w:right="0" w:firstLine="0"/>
        <w:jc w:val="center"/>
        <w:rPr>
          <w:rFonts w:ascii="Calibri"/>
          <w:sz w:val="22"/>
        </w:rPr>
      </w:pPr>
      <w:r>
        <w:rPr>
          <w:rFonts w:ascii="Calibri"/>
          <w:spacing w:val="-5"/>
          <w:sz w:val="22"/>
        </w:rPr>
        <w:t>230</w:t>
      </w:r>
    </w:p>
    <w:p>
      <w:pPr>
        <w:spacing w:before="1"/>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footerReference w:type="default" r:id="rId72"/>
          <w:pgSz w:w="11900" w:h="16840"/>
          <w:pgMar w:header="0" w:footer="288" w:top="1560" w:bottom="480" w:left="283" w:right="141"/>
        </w:sectPr>
      </w:pPr>
    </w:p>
    <w:p>
      <w:pPr>
        <w:pStyle w:val="Heading1"/>
        <w:spacing w:before="64"/>
        <w:ind w:left="1556"/>
      </w:pPr>
      <w:bookmarkStart w:name="_TOC_250001" w:id="277"/>
      <w:bookmarkStart w:name="232" w:id="278"/>
      <w:r>
        <w:rPr>
          <w:b w:val="0"/>
        </w:rPr>
      </w:r>
      <w:r>
        <w:rPr>
          <w:color w:val="1F487C"/>
        </w:rPr>
        <w:t>СПИСОК</w:t>
      </w:r>
      <w:r>
        <w:rPr>
          <w:color w:val="1F487C"/>
          <w:spacing w:val="-14"/>
        </w:rPr>
        <w:t> </w:t>
      </w:r>
      <w:r>
        <w:rPr>
          <w:color w:val="1F487C"/>
        </w:rPr>
        <w:t>ИСПОЛЬЗОВАННЫХ</w:t>
      </w:r>
      <w:r>
        <w:rPr>
          <w:color w:val="1F487C"/>
          <w:spacing w:val="-14"/>
        </w:rPr>
        <w:t> </w:t>
      </w:r>
      <w:bookmarkEnd w:id="277"/>
      <w:r>
        <w:rPr>
          <w:color w:val="1F487C"/>
          <w:spacing w:val="-2"/>
        </w:rPr>
        <w:t>СОКРАЩЕНИЙ</w:t>
      </w:r>
    </w:p>
    <w:p>
      <w:pPr>
        <w:spacing w:line="312" w:lineRule="auto" w:before="202"/>
        <w:ind w:left="1700" w:right="5456" w:firstLine="0"/>
        <w:jc w:val="left"/>
        <w:rPr>
          <w:sz w:val="22"/>
        </w:rPr>
      </w:pPr>
      <w:r>
        <w:rPr>
          <w:sz w:val="22"/>
        </w:rPr>
        <w:t>АВП</w:t>
      </w:r>
      <w:r>
        <w:rPr>
          <w:spacing w:val="-10"/>
          <w:sz w:val="22"/>
        </w:rPr>
        <w:t> </w:t>
      </w:r>
      <w:r>
        <w:rPr>
          <w:sz w:val="22"/>
        </w:rPr>
        <w:t>–</w:t>
      </w:r>
      <w:r>
        <w:rPr>
          <w:spacing w:val="-9"/>
          <w:sz w:val="22"/>
        </w:rPr>
        <w:t> </w:t>
      </w:r>
      <w:r>
        <w:rPr>
          <w:sz w:val="22"/>
        </w:rPr>
        <w:t>антипсихотики</w:t>
      </w:r>
      <w:r>
        <w:rPr>
          <w:spacing w:val="-9"/>
          <w:sz w:val="22"/>
        </w:rPr>
        <w:t> </w:t>
      </w:r>
      <w:r>
        <w:rPr>
          <w:sz w:val="22"/>
        </w:rPr>
        <w:t>второго</w:t>
      </w:r>
      <w:r>
        <w:rPr>
          <w:spacing w:val="-9"/>
          <w:sz w:val="22"/>
        </w:rPr>
        <w:t> </w:t>
      </w:r>
      <w:r>
        <w:rPr>
          <w:sz w:val="22"/>
        </w:rPr>
        <w:t>поколения АЛТ – аланинаминотрансфераза</w:t>
      </w:r>
    </w:p>
    <w:p>
      <w:pPr>
        <w:spacing w:line="314" w:lineRule="auto" w:before="1"/>
        <w:ind w:left="1700" w:right="5456" w:firstLine="0"/>
        <w:jc w:val="left"/>
        <w:rPr>
          <w:sz w:val="22"/>
        </w:rPr>
      </w:pPr>
      <w:r>
        <w:rPr>
          <w:sz w:val="22"/>
        </w:rPr>
        <w:t>АПФ</w:t>
      </w:r>
      <w:r>
        <w:rPr>
          <w:spacing w:val="-13"/>
          <w:sz w:val="22"/>
        </w:rPr>
        <w:t> </w:t>
      </w:r>
      <w:r>
        <w:rPr>
          <w:sz w:val="22"/>
        </w:rPr>
        <w:t>–</w:t>
      </w:r>
      <w:r>
        <w:rPr>
          <w:spacing w:val="-12"/>
          <w:sz w:val="22"/>
        </w:rPr>
        <w:t> </w:t>
      </w:r>
      <w:r>
        <w:rPr>
          <w:sz w:val="22"/>
        </w:rPr>
        <w:t>ангиотензин-превращающий</w:t>
      </w:r>
      <w:r>
        <w:rPr>
          <w:spacing w:val="-14"/>
          <w:sz w:val="22"/>
        </w:rPr>
        <w:t> </w:t>
      </w:r>
      <w:r>
        <w:rPr>
          <w:sz w:val="22"/>
        </w:rPr>
        <w:t>фермент АСТ – аспартатаминотрансфераза</w:t>
      </w:r>
    </w:p>
    <w:p>
      <w:pPr>
        <w:spacing w:line="252" w:lineRule="exact" w:before="0"/>
        <w:ind w:left="1700" w:right="0" w:firstLine="0"/>
        <w:jc w:val="left"/>
        <w:rPr>
          <w:sz w:val="22"/>
        </w:rPr>
      </w:pPr>
      <w:r>
        <w:rPr>
          <w:sz w:val="22"/>
        </w:rPr>
        <w:t>АТФ</w:t>
      </w:r>
      <w:r>
        <w:rPr>
          <w:spacing w:val="-1"/>
          <w:sz w:val="22"/>
        </w:rPr>
        <w:t> </w:t>
      </w:r>
      <w:r>
        <w:rPr>
          <w:sz w:val="22"/>
        </w:rPr>
        <w:t>–</w:t>
      </w:r>
      <w:r>
        <w:rPr>
          <w:spacing w:val="-1"/>
          <w:sz w:val="22"/>
        </w:rPr>
        <w:t> </w:t>
      </w:r>
      <w:r>
        <w:rPr>
          <w:spacing w:val="-2"/>
          <w:sz w:val="22"/>
        </w:rPr>
        <w:t>аденозинтрифосфат</w:t>
      </w:r>
    </w:p>
    <w:p>
      <w:pPr>
        <w:spacing w:line="314" w:lineRule="auto" w:before="76"/>
        <w:ind w:left="1700" w:right="3931" w:firstLine="0"/>
        <w:jc w:val="left"/>
        <w:rPr>
          <w:sz w:val="22"/>
        </w:rPr>
      </w:pPr>
      <w:r>
        <w:rPr>
          <w:sz w:val="22"/>
        </w:rPr>
        <w:t>АЧТВ</w:t>
      </w:r>
      <w:r>
        <w:rPr>
          <w:spacing w:val="-9"/>
          <w:sz w:val="22"/>
        </w:rPr>
        <w:t> </w:t>
      </w:r>
      <w:r>
        <w:rPr>
          <w:sz w:val="22"/>
        </w:rPr>
        <w:t>-</w:t>
      </w:r>
      <w:r>
        <w:rPr>
          <w:spacing w:val="-10"/>
          <w:sz w:val="22"/>
        </w:rPr>
        <w:t> </w:t>
      </w:r>
      <w:r>
        <w:rPr>
          <w:sz w:val="22"/>
        </w:rPr>
        <w:t>активированное</w:t>
      </w:r>
      <w:r>
        <w:rPr>
          <w:spacing w:val="-8"/>
          <w:sz w:val="22"/>
        </w:rPr>
        <w:t> </w:t>
      </w:r>
      <w:r>
        <w:rPr>
          <w:sz w:val="22"/>
        </w:rPr>
        <w:t>частичное</w:t>
      </w:r>
      <w:r>
        <w:rPr>
          <w:spacing w:val="-8"/>
          <w:sz w:val="22"/>
        </w:rPr>
        <w:t> </w:t>
      </w:r>
      <w:r>
        <w:rPr>
          <w:sz w:val="22"/>
        </w:rPr>
        <w:t>тромбопластиновое</w:t>
      </w:r>
      <w:r>
        <w:rPr>
          <w:spacing w:val="-8"/>
          <w:sz w:val="22"/>
        </w:rPr>
        <w:t> </w:t>
      </w:r>
      <w:r>
        <w:rPr>
          <w:sz w:val="22"/>
        </w:rPr>
        <w:t>время БПВП – базисный противовоспалительный препарат</w:t>
      </w:r>
    </w:p>
    <w:p>
      <w:pPr>
        <w:spacing w:line="226" w:lineRule="exact" w:before="0"/>
        <w:ind w:left="1700" w:right="0" w:firstLine="0"/>
        <w:jc w:val="left"/>
        <w:rPr>
          <w:sz w:val="22"/>
        </w:rPr>
      </w:pPr>
      <w:r>
        <w:rPr>
          <w:sz w:val="22"/>
        </w:rPr>
        <w:t>в/в</w:t>
      </w:r>
      <w:r>
        <w:rPr>
          <w:spacing w:val="-2"/>
          <w:sz w:val="22"/>
        </w:rPr>
        <w:t> </w:t>
      </w:r>
      <w:r>
        <w:rPr>
          <w:sz w:val="22"/>
        </w:rPr>
        <w:t>–</w:t>
      </w:r>
      <w:r>
        <w:rPr>
          <w:spacing w:val="-1"/>
          <w:sz w:val="22"/>
        </w:rPr>
        <w:t> </w:t>
      </w:r>
      <w:r>
        <w:rPr>
          <w:spacing w:val="-2"/>
          <w:sz w:val="22"/>
        </w:rPr>
        <w:t>внутривенно</w:t>
      </w:r>
    </w:p>
    <w:p>
      <w:pPr>
        <w:spacing w:before="51"/>
        <w:ind w:left="1700" w:right="0" w:firstLine="0"/>
        <w:jc w:val="left"/>
        <w:rPr>
          <w:sz w:val="22"/>
        </w:rPr>
      </w:pPr>
      <w:r>
        <w:rPr>
          <w:sz w:val="22"/>
        </w:rPr>
        <w:t>в/м</w:t>
      </w:r>
      <w:r>
        <w:rPr>
          <w:spacing w:val="-2"/>
          <w:sz w:val="22"/>
        </w:rPr>
        <w:t> </w:t>
      </w:r>
      <w:r>
        <w:rPr>
          <w:sz w:val="22"/>
        </w:rPr>
        <w:t>–</w:t>
      </w:r>
      <w:r>
        <w:rPr>
          <w:spacing w:val="-1"/>
          <w:sz w:val="22"/>
        </w:rPr>
        <w:t> </w:t>
      </w:r>
      <w:r>
        <w:rPr>
          <w:spacing w:val="-2"/>
          <w:sz w:val="22"/>
        </w:rPr>
        <w:t>внутримышечно</w:t>
      </w:r>
    </w:p>
    <w:p>
      <w:pPr>
        <w:spacing w:before="52"/>
        <w:ind w:left="1700" w:right="0" w:firstLine="0"/>
        <w:jc w:val="left"/>
        <w:rPr>
          <w:sz w:val="22"/>
        </w:rPr>
      </w:pPr>
      <w:r>
        <w:rPr>
          <w:sz w:val="22"/>
        </w:rPr>
        <w:t>ВГН</w:t>
      </w:r>
      <w:r>
        <w:rPr>
          <w:spacing w:val="-7"/>
          <w:sz w:val="22"/>
        </w:rPr>
        <w:t> </w:t>
      </w:r>
      <w:r>
        <w:rPr>
          <w:sz w:val="22"/>
        </w:rPr>
        <w:t>–</w:t>
      </w:r>
      <w:r>
        <w:rPr>
          <w:spacing w:val="-2"/>
          <w:sz w:val="22"/>
        </w:rPr>
        <w:t> </w:t>
      </w:r>
      <w:r>
        <w:rPr>
          <w:sz w:val="22"/>
        </w:rPr>
        <w:t>верхняя</w:t>
      </w:r>
      <w:r>
        <w:rPr>
          <w:spacing w:val="-3"/>
          <w:sz w:val="22"/>
        </w:rPr>
        <w:t> </w:t>
      </w:r>
      <w:r>
        <w:rPr>
          <w:sz w:val="22"/>
        </w:rPr>
        <w:t>граница</w:t>
      </w:r>
      <w:r>
        <w:rPr>
          <w:spacing w:val="-2"/>
          <w:sz w:val="22"/>
        </w:rPr>
        <w:t> нормы</w:t>
      </w:r>
    </w:p>
    <w:p>
      <w:pPr>
        <w:spacing w:line="302" w:lineRule="auto" w:before="78"/>
        <w:ind w:left="1700" w:right="4736" w:firstLine="0"/>
        <w:jc w:val="left"/>
        <w:rPr>
          <w:sz w:val="22"/>
        </w:rPr>
      </w:pPr>
      <w:r>
        <w:rPr>
          <w:sz w:val="22"/>
        </w:rPr>
        <w:t>ВОЗ – Всемирная организация здравоохранения ГИБП</w:t>
      </w:r>
      <w:r>
        <w:rPr>
          <w:spacing w:val="-11"/>
          <w:sz w:val="22"/>
        </w:rPr>
        <w:t> </w:t>
      </w:r>
      <w:r>
        <w:rPr>
          <w:sz w:val="22"/>
        </w:rPr>
        <w:t>–</w:t>
      </w:r>
      <w:r>
        <w:rPr>
          <w:spacing w:val="-10"/>
          <w:sz w:val="22"/>
        </w:rPr>
        <w:t> </w:t>
      </w:r>
      <w:r>
        <w:rPr>
          <w:sz w:val="22"/>
        </w:rPr>
        <w:t>генно-инженерный</w:t>
      </w:r>
      <w:r>
        <w:rPr>
          <w:spacing w:val="-10"/>
          <w:sz w:val="22"/>
        </w:rPr>
        <w:t> </w:t>
      </w:r>
      <w:r>
        <w:rPr>
          <w:sz w:val="22"/>
        </w:rPr>
        <w:t>биологический</w:t>
      </w:r>
      <w:r>
        <w:rPr>
          <w:spacing w:val="-11"/>
          <w:sz w:val="22"/>
        </w:rPr>
        <w:t> </w:t>
      </w:r>
      <w:r>
        <w:rPr>
          <w:sz w:val="22"/>
        </w:rPr>
        <w:t>препарат ГКС – глюкокортикостероиды</w:t>
      </w:r>
    </w:p>
    <w:p>
      <w:pPr>
        <w:spacing w:line="237" w:lineRule="exact" w:before="0"/>
        <w:ind w:left="1700" w:right="0" w:firstLine="0"/>
        <w:jc w:val="left"/>
        <w:rPr>
          <w:sz w:val="22"/>
        </w:rPr>
      </w:pPr>
      <w:r>
        <w:rPr>
          <w:sz w:val="22"/>
        </w:rPr>
        <w:t>ГЛГ</w:t>
      </w:r>
      <w:r>
        <w:rPr>
          <w:spacing w:val="-8"/>
          <w:sz w:val="22"/>
        </w:rPr>
        <w:t> </w:t>
      </w:r>
      <w:r>
        <w:rPr>
          <w:sz w:val="22"/>
        </w:rPr>
        <w:t>–</w:t>
      </w:r>
      <w:r>
        <w:rPr>
          <w:spacing w:val="-6"/>
          <w:sz w:val="22"/>
        </w:rPr>
        <w:t> </w:t>
      </w:r>
      <w:r>
        <w:rPr>
          <w:sz w:val="22"/>
        </w:rPr>
        <w:t>гемофагоцитарный</w:t>
      </w:r>
      <w:r>
        <w:rPr>
          <w:spacing w:val="-8"/>
          <w:sz w:val="22"/>
        </w:rPr>
        <w:t> </w:t>
      </w:r>
      <w:r>
        <w:rPr>
          <w:spacing w:val="-2"/>
          <w:sz w:val="22"/>
        </w:rPr>
        <w:t>лимфогистоцитоз</w:t>
      </w:r>
    </w:p>
    <w:p>
      <w:pPr>
        <w:spacing w:line="314" w:lineRule="auto" w:before="76"/>
        <w:ind w:left="1700" w:right="6294" w:firstLine="0"/>
        <w:jc w:val="left"/>
        <w:rPr>
          <w:sz w:val="22"/>
        </w:rPr>
      </w:pPr>
      <w:r>
        <w:rPr>
          <w:sz w:val="22"/>
        </w:rPr>
        <w:t>ДН</w:t>
      </w:r>
      <w:r>
        <w:rPr>
          <w:spacing w:val="-14"/>
          <w:sz w:val="22"/>
        </w:rPr>
        <w:t> </w:t>
      </w:r>
      <w:r>
        <w:rPr>
          <w:sz w:val="22"/>
        </w:rPr>
        <w:t>–</w:t>
      </w:r>
      <w:r>
        <w:rPr>
          <w:spacing w:val="-13"/>
          <w:sz w:val="22"/>
        </w:rPr>
        <w:t> </w:t>
      </w:r>
      <w:r>
        <w:rPr>
          <w:sz w:val="22"/>
        </w:rPr>
        <w:t>дыхательная</w:t>
      </w:r>
      <w:r>
        <w:rPr>
          <w:spacing w:val="-14"/>
          <w:sz w:val="22"/>
        </w:rPr>
        <w:t> </w:t>
      </w:r>
      <w:r>
        <w:rPr>
          <w:sz w:val="22"/>
        </w:rPr>
        <w:t>недостаточность ДС – дневной стационар</w:t>
      </w:r>
    </w:p>
    <w:p>
      <w:pPr>
        <w:spacing w:line="252" w:lineRule="exact" w:before="0"/>
        <w:ind w:left="1700" w:right="0" w:firstLine="0"/>
        <w:jc w:val="left"/>
        <w:rPr>
          <w:sz w:val="22"/>
        </w:rPr>
      </w:pPr>
      <w:r>
        <w:rPr>
          <w:sz w:val="22"/>
        </w:rPr>
        <w:t>ДЭ</w:t>
      </w:r>
      <w:r>
        <w:rPr>
          <w:spacing w:val="-3"/>
          <w:sz w:val="22"/>
        </w:rPr>
        <w:t> </w:t>
      </w:r>
      <w:r>
        <w:rPr>
          <w:sz w:val="22"/>
        </w:rPr>
        <w:t>–</w:t>
      </w:r>
      <w:r>
        <w:rPr>
          <w:spacing w:val="-6"/>
          <w:sz w:val="22"/>
        </w:rPr>
        <w:t> </w:t>
      </w:r>
      <w:r>
        <w:rPr>
          <w:sz w:val="22"/>
        </w:rPr>
        <w:t>депрессивный</w:t>
      </w:r>
      <w:r>
        <w:rPr>
          <w:spacing w:val="-5"/>
          <w:sz w:val="22"/>
        </w:rPr>
        <w:t> </w:t>
      </w:r>
      <w:r>
        <w:rPr>
          <w:spacing w:val="-2"/>
          <w:sz w:val="22"/>
        </w:rPr>
        <w:t>эпизод</w:t>
      </w:r>
    </w:p>
    <w:p>
      <w:pPr>
        <w:spacing w:line="312" w:lineRule="auto" w:before="78"/>
        <w:ind w:left="1700" w:right="6294" w:firstLine="0"/>
        <w:jc w:val="left"/>
        <w:rPr>
          <w:sz w:val="22"/>
        </w:rPr>
      </w:pPr>
      <w:r>
        <w:rPr>
          <w:sz w:val="22"/>
        </w:rPr>
        <w:t>ЖКТ</w:t>
      </w:r>
      <w:r>
        <w:rPr>
          <w:spacing w:val="-2"/>
          <w:sz w:val="22"/>
        </w:rPr>
        <w:t> </w:t>
      </w:r>
      <w:r>
        <w:rPr>
          <w:sz w:val="22"/>
        </w:rPr>
        <w:t>–</w:t>
      </w:r>
      <w:r>
        <w:rPr>
          <w:spacing w:val="-1"/>
          <w:sz w:val="22"/>
        </w:rPr>
        <w:t> </w:t>
      </w:r>
      <w:r>
        <w:rPr>
          <w:sz w:val="22"/>
        </w:rPr>
        <w:t>желудочно-кишечный</w:t>
      </w:r>
      <w:r>
        <w:rPr>
          <w:spacing w:val="-1"/>
          <w:sz w:val="22"/>
        </w:rPr>
        <w:t> </w:t>
      </w:r>
      <w:r>
        <w:rPr>
          <w:sz w:val="22"/>
        </w:rPr>
        <w:t>тракт ИБС</w:t>
      </w:r>
      <w:r>
        <w:rPr>
          <w:spacing w:val="-8"/>
          <w:sz w:val="22"/>
        </w:rPr>
        <w:t> </w:t>
      </w:r>
      <w:r>
        <w:rPr>
          <w:sz w:val="22"/>
        </w:rPr>
        <w:t>–</w:t>
      </w:r>
      <w:r>
        <w:rPr>
          <w:spacing w:val="-4"/>
          <w:sz w:val="22"/>
        </w:rPr>
        <w:t> </w:t>
      </w:r>
      <w:r>
        <w:rPr>
          <w:sz w:val="22"/>
        </w:rPr>
        <w:t>ишемическая</w:t>
      </w:r>
      <w:r>
        <w:rPr>
          <w:spacing w:val="-4"/>
          <w:sz w:val="22"/>
        </w:rPr>
        <w:t> </w:t>
      </w:r>
      <w:r>
        <w:rPr>
          <w:sz w:val="22"/>
        </w:rPr>
        <w:t>болезнь</w:t>
      </w:r>
      <w:r>
        <w:rPr>
          <w:spacing w:val="-4"/>
          <w:sz w:val="22"/>
        </w:rPr>
        <w:t> </w:t>
      </w:r>
      <w:r>
        <w:rPr>
          <w:spacing w:val="-2"/>
          <w:sz w:val="22"/>
        </w:rPr>
        <w:t>сердца</w:t>
      </w:r>
    </w:p>
    <w:p>
      <w:pPr>
        <w:spacing w:before="2"/>
        <w:ind w:left="1700" w:right="0" w:firstLine="0"/>
        <w:jc w:val="left"/>
        <w:rPr>
          <w:sz w:val="22"/>
        </w:rPr>
      </w:pPr>
      <w:r>
        <w:rPr>
          <w:sz w:val="22"/>
        </w:rPr>
        <w:t>ИВЛ</w:t>
      </w:r>
      <w:r>
        <w:rPr>
          <w:spacing w:val="-7"/>
          <w:sz w:val="22"/>
        </w:rPr>
        <w:t> </w:t>
      </w:r>
      <w:r>
        <w:rPr>
          <w:sz w:val="22"/>
        </w:rPr>
        <w:t>–</w:t>
      </w:r>
      <w:r>
        <w:rPr>
          <w:spacing w:val="-7"/>
          <w:sz w:val="22"/>
        </w:rPr>
        <w:t> </w:t>
      </w:r>
      <w:r>
        <w:rPr>
          <w:sz w:val="22"/>
        </w:rPr>
        <w:t>искусственная</w:t>
      </w:r>
      <w:r>
        <w:rPr>
          <w:spacing w:val="-6"/>
          <w:sz w:val="22"/>
        </w:rPr>
        <w:t> </w:t>
      </w:r>
      <w:r>
        <w:rPr>
          <w:sz w:val="22"/>
        </w:rPr>
        <w:t>вентиляция</w:t>
      </w:r>
      <w:r>
        <w:rPr>
          <w:spacing w:val="-7"/>
          <w:sz w:val="22"/>
        </w:rPr>
        <w:t> </w:t>
      </w:r>
      <w:r>
        <w:rPr>
          <w:spacing w:val="-2"/>
          <w:sz w:val="22"/>
        </w:rPr>
        <w:t>легких</w:t>
      </w:r>
    </w:p>
    <w:p>
      <w:pPr>
        <w:spacing w:line="288" w:lineRule="auto" w:before="78"/>
        <w:ind w:left="1700" w:right="3931" w:firstLine="0"/>
        <w:jc w:val="left"/>
        <w:rPr>
          <w:sz w:val="22"/>
        </w:rPr>
      </w:pPr>
      <w:r>
        <w:rPr>
          <w:sz w:val="22"/>
        </w:rPr>
        <w:t>ИВРЗ</w:t>
      </w:r>
      <w:r>
        <w:rPr>
          <w:spacing w:val="-11"/>
          <w:sz w:val="22"/>
        </w:rPr>
        <w:t> </w:t>
      </w:r>
      <w:r>
        <w:rPr>
          <w:sz w:val="22"/>
        </w:rPr>
        <w:t>–</w:t>
      </w:r>
      <w:r>
        <w:rPr>
          <w:spacing w:val="-10"/>
          <w:sz w:val="22"/>
        </w:rPr>
        <w:t> </w:t>
      </w:r>
      <w:r>
        <w:rPr>
          <w:sz w:val="22"/>
        </w:rPr>
        <w:t>иммуновоспалительные</w:t>
      </w:r>
      <w:r>
        <w:rPr>
          <w:spacing w:val="-10"/>
          <w:sz w:val="22"/>
        </w:rPr>
        <w:t> </w:t>
      </w:r>
      <w:r>
        <w:rPr>
          <w:sz w:val="22"/>
        </w:rPr>
        <w:t>ревматические</w:t>
      </w:r>
      <w:r>
        <w:rPr>
          <w:spacing w:val="-10"/>
          <w:sz w:val="22"/>
        </w:rPr>
        <w:t> </w:t>
      </w:r>
      <w:r>
        <w:rPr>
          <w:sz w:val="22"/>
        </w:rPr>
        <w:t>заболевания ИМАО – ингибиторы моноаминоксидазы</w:t>
      </w:r>
    </w:p>
    <w:p>
      <w:pPr>
        <w:spacing w:before="26"/>
        <w:ind w:left="1700" w:right="0" w:firstLine="0"/>
        <w:jc w:val="left"/>
        <w:rPr>
          <w:sz w:val="22"/>
        </w:rPr>
      </w:pPr>
      <w:r>
        <w:rPr>
          <w:sz w:val="22"/>
        </w:rPr>
        <w:t>ИФН</w:t>
      </w:r>
      <w:r>
        <w:rPr>
          <w:spacing w:val="-2"/>
          <w:sz w:val="22"/>
        </w:rPr>
        <w:t> </w:t>
      </w:r>
      <w:r>
        <w:rPr>
          <w:sz w:val="22"/>
        </w:rPr>
        <w:t>–</w:t>
      </w:r>
      <w:r>
        <w:rPr>
          <w:spacing w:val="-1"/>
          <w:sz w:val="22"/>
        </w:rPr>
        <w:t> </w:t>
      </w:r>
      <w:r>
        <w:rPr>
          <w:spacing w:val="-2"/>
          <w:sz w:val="22"/>
        </w:rPr>
        <w:t>интерферон</w:t>
      </w:r>
    </w:p>
    <w:p>
      <w:pPr>
        <w:spacing w:line="314" w:lineRule="auto" w:before="78"/>
        <w:ind w:left="1700" w:right="5861" w:firstLine="0"/>
        <w:jc w:val="left"/>
        <w:rPr>
          <w:sz w:val="22"/>
        </w:rPr>
      </w:pPr>
      <w:r>
        <w:rPr>
          <w:sz w:val="22"/>
        </w:rPr>
        <w:t>КНР</w:t>
      </w:r>
      <w:r>
        <w:rPr>
          <w:spacing w:val="-11"/>
          <w:sz w:val="22"/>
        </w:rPr>
        <w:t> </w:t>
      </w:r>
      <w:r>
        <w:rPr>
          <w:sz w:val="22"/>
        </w:rPr>
        <w:t>–</w:t>
      </w:r>
      <w:r>
        <w:rPr>
          <w:spacing w:val="-10"/>
          <w:sz w:val="22"/>
        </w:rPr>
        <w:t> </w:t>
      </w:r>
      <w:r>
        <w:rPr>
          <w:sz w:val="22"/>
        </w:rPr>
        <w:t>Китайская</w:t>
      </w:r>
      <w:r>
        <w:rPr>
          <w:spacing w:val="-10"/>
          <w:sz w:val="22"/>
        </w:rPr>
        <w:t> </w:t>
      </w:r>
      <w:r>
        <w:rPr>
          <w:sz w:val="22"/>
        </w:rPr>
        <w:t>Народная</w:t>
      </w:r>
      <w:r>
        <w:rPr>
          <w:spacing w:val="-10"/>
          <w:sz w:val="22"/>
        </w:rPr>
        <w:t> </w:t>
      </w:r>
      <w:r>
        <w:rPr>
          <w:sz w:val="22"/>
        </w:rPr>
        <w:t>Республика КТ – компьютерная томография</w:t>
      </w:r>
    </w:p>
    <w:p>
      <w:pPr>
        <w:spacing w:line="312" w:lineRule="auto" w:before="0"/>
        <w:ind w:left="1700" w:right="4736" w:firstLine="0"/>
        <w:jc w:val="left"/>
        <w:rPr>
          <w:sz w:val="22"/>
        </w:rPr>
      </w:pPr>
      <w:r>
        <w:rPr>
          <w:sz w:val="22"/>
        </w:rPr>
        <w:t>МАНК</w:t>
      </w:r>
      <w:r>
        <w:rPr>
          <w:spacing w:val="-10"/>
          <w:sz w:val="22"/>
        </w:rPr>
        <w:t> </w:t>
      </w:r>
      <w:r>
        <w:rPr>
          <w:sz w:val="22"/>
        </w:rPr>
        <w:t>–</w:t>
      </w:r>
      <w:r>
        <w:rPr>
          <w:spacing w:val="-9"/>
          <w:sz w:val="22"/>
        </w:rPr>
        <w:t> </w:t>
      </w:r>
      <w:r>
        <w:rPr>
          <w:sz w:val="22"/>
        </w:rPr>
        <w:t>метод</w:t>
      </w:r>
      <w:r>
        <w:rPr>
          <w:spacing w:val="-9"/>
          <w:sz w:val="22"/>
        </w:rPr>
        <w:t> </w:t>
      </w:r>
      <w:r>
        <w:rPr>
          <w:sz w:val="22"/>
        </w:rPr>
        <w:t>амплификации</w:t>
      </w:r>
      <w:r>
        <w:rPr>
          <w:spacing w:val="-9"/>
          <w:sz w:val="22"/>
        </w:rPr>
        <w:t> </w:t>
      </w:r>
      <w:r>
        <w:rPr>
          <w:sz w:val="22"/>
        </w:rPr>
        <w:t>нуклеиновых</w:t>
      </w:r>
      <w:r>
        <w:rPr>
          <w:spacing w:val="-9"/>
          <w:sz w:val="22"/>
        </w:rPr>
        <w:t> </w:t>
      </w:r>
      <w:r>
        <w:rPr>
          <w:sz w:val="22"/>
        </w:rPr>
        <w:t>кислот МЕ – международные единицы измерения</w:t>
      </w:r>
    </w:p>
    <w:p>
      <w:pPr>
        <w:spacing w:line="314" w:lineRule="auto" w:before="0"/>
        <w:ind w:left="1700" w:right="4736" w:firstLine="0"/>
        <w:jc w:val="left"/>
        <w:rPr>
          <w:sz w:val="22"/>
        </w:rPr>
      </w:pPr>
      <w:r>
        <w:rPr>
          <w:sz w:val="22"/>
        </w:rPr>
        <w:t>МНО</w:t>
      </w:r>
      <w:r>
        <w:rPr>
          <w:spacing w:val="-12"/>
          <w:sz w:val="22"/>
        </w:rPr>
        <w:t> </w:t>
      </w:r>
      <w:r>
        <w:rPr>
          <w:sz w:val="22"/>
        </w:rPr>
        <w:t>–</w:t>
      </w:r>
      <w:r>
        <w:rPr>
          <w:spacing w:val="-10"/>
          <w:sz w:val="22"/>
        </w:rPr>
        <w:t> </w:t>
      </w:r>
      <w:r>
        <w:rPr>
          <w:sz w:val="22"/>
        </w:rPr>
        <w:t>международное</w:t>
      </w:r>
      <w:r>
        <w:rPr>
          <w:spacing w:val="-10"/>
          <w:sz w:val="22"/>
        </w:rPr>
        <w:t> </w:t>
      </w:r>
      <w:r>
        <w:rPr>
          <w:sz w:val="22"/>
        </w:rPr>
        <w:t>нормализованное</w:t>
      </w:r>
      <w:r>
        <w:rPr>
          <w:spacing w:val="-10"/>
          <w:sz w:val="22"/>
        </w:rPr>
        <w:t> </w:t>
      </w:r>
      <w:r>
        <w:rPr>
          <w:sz w:val="22"/>
        </w:rPr>
        <w:t>отношение МП – метипреднизолон</w:t>
      </w:r>
    </w:p>
    <w:p>
      <w:pPr>
        <w:spacing w:line="226" w:lineRule="exact" w:before="0"/>
        <w:ind w:left="1700" w:right="0" w:firstLine="0"/>
        <w:jc w:val="left"/>
        <w:rPr>
          <w:sz w:val="22"/>
        </w:rPr>
      </w:pPr>
      <w:r>
        <w:rPr>
          <w:sz w:val="22"/>
        </w:rPr>
        <w:t>МРТ</w:t>
      </w:r>
      <w:r>
        <w:rPr>
          <w:spacing w:val="-8"/>
          <w:sz w:val="22"/>
        </w:rPr>
        <w:t> </w:t>
      </w:r>
      <w:r>
        <w:rPr>
          <w:sz w:val="22"/>
        </w:rPr>
        <w:t>–</w:t>
      </w:r>
      <w:r>
        <w:rPr>
          <w:spacing w:val="-6"/>
          <w:sz w:val="22"/>
        </w:rPr>
        <w:t> </w:t>
      </w:r>
      <w:r>
        <w:rPr>
          <w:sz w:val="22"/>
        </w:rPr>
        <w:t>магнитно-резонансная</w:t>
      </w:r>
      <w:r>
        <w:rPr>
          <w:spacing w:val="-6"/>
          <w:sz w:val="22"/>
        </w:rPr>
        <w:t> </w:t>
      </w:r>
      <w:r>
        <w:rPr>
          <w:spacing w:val="-2"/>
          <w:sz w:val="22"/>
        </w:rPr>
        <w:t>томография</w:t>
      </w:r>
    </w:p>
    <w:p>
      <w:pPr>
        <w:spacing w:before="76"/>
        <w:ind w:left="1700" w:right="0" w:firstLine="0"/>
        <w:jc w:val="left"/>
        <w:rPr>
          <w:sz w:val="22"/>
        </w:rPr>
      </w:pPr>
      <w:r>
        <w:rPr>
          <w:sz w:val="22"/>
        </w:rPr>
        <w:t>НИВЛ</w:t>
      </w:r>
      <w:r>
        <w:rPr>
          <w:spacing w:val="-7"/>
          <w:sz w:val="22"/>
        </w:rPr>
        <w:t> </w:t>
      </w:r>
      <w:r>
        <w:rPr>
          <w:sz w:val="22"/>
        </w:rPr>
        <w:t>–</w:t>
      </w:r>
      <w:r>
        <w:rPr>
          <w:spacing w:val="-6"/>
          <w:sz w:val="22"/>
        </w:rPr>
        <w:t> </w:t>
      </w:r>
      <w:r>
        <w:rPr>
          <w:sz w:val="22"/>
        </w:rPr>
        <w:t>неинвазивная</w:t>
      </w:r>
      <w:r>
        <w:rPr>
          <w:spacing w:val="-7"/>
          <w:sz w:val="22"/>
        </w:rPr>
        <w:t> </w:t>
      </w:r>
      <w:r>
        <w:rPr>
          <w:sz w:val="22"/>
        </w:rPr>
        <w:t>вентиляция</w:t>
      </w:r>
      <w:r>
        <w:rPr>
          <w:spacing w:val="-6"/>
          <w:sz w:val="22"/>
        </w:rPr>
        <w:t> </w:t>
      </w:r>
      <w:r>
        <w:rPr>
          <w:spacing w:val="-2"/>
          <w:sz w:val="22"/>
        </w:rPr>
        <w:t>легких</w:t>
      </w:r>
    </w:p>
    <w:p>
      <w:pPr>
        <w:spacing w:line="288" w:lineRule="auto" w:before="78"/>
        <w:ind w:left="1700" w:right="3931" w:firstLine="0"/>
        <w:jc w:val="left"/>
        <w:rPr>
          <w:sz w:val="22"/>
        </w:rPr>
      </w:pPr>
      <w:r>
        <w:rPr>
          <w:sz w:val="22"/>
        </w:rPr>
        <w:t>НПВП</w:t>
      </w:r>
      <w:r>
        <w:rPr>
          <w:spacing w:val="-11"/>
          <w:sz w:val="22"/>
        </w:rPr>
        <w:t> </w:t>
      </w:r>
      <w:r>
        <w:rPr>
          <w:sz w:val="22"/>
        </w:rPr>
        <w:t>–</w:t>
      </w:r>
      <w:r>
        <w:rPr>
          <w:spacing w:val="-10"/>
          <w:sz w:val="22"/>
        </w:rPr>
        <w:t> </w:t>
      </w:r>
      <w:r>
        <w:rPr>
          <w:sz w:val="22"/>
        </w:rPr>
        <w:t>нестероидный</w:t>
      </w:r>
      <w:r>
        <w:rPr>
          <w:spacing w:val="-11"/>
          <w:sz w:val="22"/>
        </w:rPr>
        <w:t> </w:t>
      </w:r>
      <w:r>
        <w:rPr>
          <w:sz w:val="22"/>
        </w:rPr>
        <w:t>противовоспалительный</w:t>
      </w:r>
      <w:r>
        <w:rPr>
          <w:spacing w:val="-10"/>
          <w:sz w:val="22"/>
        </w:rPr>
        <w:t> </w:t>
      </w:r>
      <w:r>
        <w:rPr>
          <w:sz w:val="22"/>
        </w:rPr>
        <w:t>препарат НМГ – низкомолекулярный гепарин</w:t>
      </w:r>
    </w:p>
    <w:p>
      <w:pPr>
        <w:spacing w:line="314" w:lineRule="auto" w:before="28"/>
        <w:ind w:left="1700" w:right="5861" w:firstLine="0"/>
        <w:jc w:val="left"/>
        <w:rPr>
          <w:sz w:val="22"/>
        </w:rPr>
      </w:pPr>
      <w:r>
        <w:rPr>
          <w:sz w:val="22"/>
        </w:rPr>
        <w:t>НФГ</w:t>
      </w:r>
      <w:r>
        <w:rPr>
          <w:spacing w:val="-13"/>
          <w:sz w:val="22"/>
        </w:rPr>
        <w:t> </w:t>
      </w:r>
      <w:r>
        <w:rPr>
          <w:sz w:val="22"/>
        </w:rPr>
        <w:t>–</w:t>
      </w:r>
      <w:r>
        <w:rPr>
          <w:spacing w:val="-13"/>
          <w:sz w:val="22"/>
        </w:rPr>
        <w:t> </w:t>
      </w:r>
      <w:r>
        <w:rPr>
          <w:sz w:val="22"/>
        </w:rPr>
        <w:t>нефракционированный</w:t>
      </w:r>
      <w:r>
        <w:rPr>
          <w:spacing w:val="-13"/>
          <w:sz w:val="22"/>
        </w:rPr>
        <w:t> </w:t>
      </w:r>
      <w:r>
        <w:rPr>
          <w:sz w:val="22"/>
        </w:rPr>
        <w:t>гепарин ОГК – органы грудной клетки</w:t>
      </w:r>
    </w:p>
    <w:p>
      <w:pPr>
        <w:spacing w:line="314" w:lineRule="auto" w:before="0"/>
        <w:ind w:left="1700" w:right="5035" w:firstLine="0"/>
        <w:jc w:val="left"/>
        <w:rPr>
          <w:sz w:val="22"/>
        </w:rPr>
      </w:pPr>
      <w:r>
        <w:rPr>
          <w:sz w:val="22"/>
        </w:rPr>
        <w:t>ОДН – острая дыхательная недостаточность ОРВИ</w:t>
      </w:r>
      <w:r>
        <w:rPr>
          <w:spacing w:val="-9"/>
          <w:sz w:val="22"/>
        </w:rPr>
        <w:t> </w:t>
      </w:r>
      <w:r>
        <w:rPr>
          <w:sz w:val="22"/>
        </w:rPr>
        <w:t>–</w:t>
      </w:r>
      <w:r>
        <w:rPr>
          <w:spacing w:val="-8"/>
          <w:sz w:val="22"/>
        </w:rPr>
        <w:t> </w:t>
      </w:r>
      <w:r>
        <w:rPr>
          <w:sz w:val="22"/>
        </w:rPr>
        <w:t>острая</w:t>
      </w:r>
      <w:r>
        <w:rPr>
          <w:spacing w:val="-8"/>
          <w:sz w:val="22"/>
        </w:rPr>
        <w:t> </w:t>
      </w:r>
      <w:r>
        <w:rPr>
          <w:sz w:val="22"/>
        </w:rPr>
        <w:t>респираторная</w:t>
      </w:r>
      <w:r>
        <w:rPr>
          <w:spacing w:val="-9"/>
          <w:sz w:val="22"/>
        </w:rPr>
        <w:t> </w:t>
      </w:r>
      <w:r>
        <w:rPr>
          <w:sz w:val="22"/>
        </w:rPr>
        <w:t>вирусная</w:t>
      </w:r>
      <w:r>
        <w:rPr>
          <w:spacing w:val="-8"/>
          <w:sz w:val="22"/>
        </w:rPr>
        <w:t> </w:t>
      </w:r>
      <w:r>
        <w:rPr>
          <w:sz w:val="22"/>
        </w:rPr>
        <w:t>инфекция ОРИ – острая респираторная инфекция</w:t>
      </w:r>
    </w:p>
    <w:p>
      <w:pPr>
        <w:spacing w:line="314" w:lineRule="auto" w:before="0"/>
        <w:ind w:left="1700" w:right="4482" w:firstLine="0"/>
        <w:jc w:val="left"/>
        <w:rPr>
          <w:sz w:val="22"/>
        </w:rPr>
      </w:pPr>
      <w:r>
        <w:rPr>
          <w:sz w:val="22"/>
        </w:rPr>
        <w:t>ОРДС – острый респираторный дистресс-синдром ОРИТ</w:t>
      </w:r>
      <w:r>
        <w:rPr>
          <w:spacing w:val="-8"/>
          <w:sz w:val="22"/>
        </w:rPr>
        <w:t> </w:t>
      </w:r>
      <w:r>
        <w:rPr>
          <w:sz w:val="22"/>
        </w:rPr>
        <w:t>–</w:t>
      </w:r>
      <w:r>
        <w:rPr>
          <w:spacing w:val="-7"/>
          <w:sz w:val="22"/>
        </w:rPr>
        <w:t> </w:t>
      </w:r>
      <w:r>
        <w:rPr>
          <w:sz w:val="22"/>
        </w:rPr>
        <w:t>отделение</w:t>
      </w:r>
      <w:r>
        <w:rPr>
          <w:spacing w:val="-9"/>
          <w:sz w:val="22"/>
        </w:rPr>
        <w:t> </w:t>
      </w:r>
      <w:r>
        <w:rPr>
          <w:sz w:val="22"/>
        </w:rPr>
        <w:t>реанимации</w:t>
      </w:r>
      <w:r>
        <w:rPr>
          <w:spacing w:val="-8"/>
          <w:sz w:val="22"/>
        </w:rPr>
        <w:t> </w:t>
      </w:r>
      <w:r>
        <w:rPr>
          <w:sz w:val="22"/>
        </w:rPr>
        <w:t>и</w:t>
      </w:r>
      <w:r>
        <w:rPr>
          <w:spacing w:val="-7"/>
          <w:sz w:val="22"/>
        </w:rPr>
        <w:t> </w:t>
      </w:r>
      <w:r>
        <w:rPr>
          <w:sz w:val="22"/>
        </w:rPr>
        <w:t>интенсивной</w:t>
      </w:r>
      <w:r>
        <w:rPr>
          <w:spacing w:val="-8"/>
          <w:sz w:val="22"/>
        </w:rPr>
        <w:t> </w:t>
      </w:r>
      <w:r>
        <w:rPr>
          <w:sz w:val="22"/>
        </w:rPr>
        <w:t>терапии</w:t>
      </w:r>
    </w:p>
    <w:p>
      <w:pPr>
        <w:spacing w:before="118"/>
        <w:ind w:left="140" w:right="0" w:firstLine="0"/>
        <w:jc w:val="center"/>
        <w:rPr>
          <w:rFonts w:ascii="Calibri"/>
          <w:sz w:val="22"/>
        </w:rPr>
      </w:pPr>
      <w:r>
        <w:rPr>
          <w:rFonts w:ascii="Calibri"/>
          <w:spacing w:val="-5"/>
          <w:sz w:val="22"/>
        </w:rPr>
        <w:t>231</w:t>
      </w:r>
    </w:p>
    <w:p>
      <w:pPr>
        <w:spacing w:before="1"/>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spacing w:line="314" w:lineRule="auto" w:before="65"/>
        <w:ind w:left="1700" w:right="5861" w:firstLine="0"/>
        <w:jc w:val="left"/>
        <w:rPr>
          <w:sz w:val="22"/>
        </w:rPr>
      </w:pPr>
      <w:bookmarkStart w:name="233" w:id="279"/>
      <w:bookmarkEnd w:id="279"/>
      <w:r>
        <w:rPr/>
      </w:r>
      <w:r>
        <w:rPr>
          <w:sz w:val="22"/>
        </w:rPr>
        <w:t>ПЦР – полимеразная цепная реакция ПЭП</w:t>
      </w:r>
      <w:r>
        <w:rPr>
          <w:spacing w:val="-10"/>
          <w:sz w:val="22"/>
        </w:rPr>
        <w:t> </w:t>
      </w:r>
      <w:r>
        <w:rPr>
          <w:sz w:val="22"/>
        </w:rPr>
        <w:t>–</w:t>
      </w:r>
      <w:r>
        <w:rPr>
          <w:spacing w:val="-9"/>
          <w:sz w:val="22"/>
        </w:rPr>
        <w:t> </w:t>
      </w:r>
      <w:r>
        <w:rPr>
          <w:sz w:val="22"/>
        </w:rPr>
        <w:t>пероральное</w:t>
      </w:r>
      <w:r>
        <w:rPr>
          <w:spacing w:val="-12"/>
          <w:sz w:val="22"/>
        </w:rPr>
        <w:t> </w:t>
      </w:r>
      <w:r>
        <w:rPr>
          <w:sz w:val="22"/>
        </w:rPr>
        <w:t>энтеральное</w:t>
      </w:r>
      <w:r>
        <w:rPr>
          <w:spacing w:val="-9"/>
          <w:sz w:val="22"/>
        </w:rPr>
        <w:t> </w:t>
      </w:r>
      <w:r>
        <w:rPr>
          <w:sz w:val="22"/>
        </w:rPr>
        <w:t>питание</w:t>
      </w:r>
    </w:p>
    <w:p>
      <w:pPr>
        <w:spacing w:line="312" w:lineRule="auto" w:before="0"/>
        <w:ind w:left="1700" w:right="5035" w:firstLine="0"/>
        <w:jc w:val="left"/>
        <w:rPr>
          <w:sz w:val="22"/>
        </w:rPr>
      </w:pPr>
      <w:r>
        <w:rPr>
          <w:sz w:val="22"/>
        </w:rPr>
        <w:t>РДР</w:t>
      </w:r>
      <w:r>
        <w:rPr>
          <w:spacing w:val="-12"/>
          <w:sz w:val="22"/>
        </w:rPr>
        <w:t> </w:t>
      </w:r>
      <w:r>
        <w:rPr>
          <w:sz w:val="22"/>
        </w:rPr>
        <w:t>–</w:t>
      </w:r>
      <w:r>
        <w:rPr>
          <w:spacing w:val="-11"/>
          <w:sz w:val="22"/>
        </w:rPr>
        <w:t> </w:t>
      </w:r>
      <w:r>
        <w:rPr>
          <w:sz w:val="22"/>
        </w:rPr>
        <w:t>рекуррентное</w:t>
      </w:r>
      <w:r>
        <w:rPr>
          <w:spacing w:val="-11"/>
          <w:sz w:val="22"/>
        </w:rPr>
        <w:t> </w:t>
      </w:r>
      <w:r>
        <w:rPr>
          <w:sz w:val="22"/>
        </w:rPr>
        <w:t>депрессивное</w:t>
      </w:r>
      <w:r>
        <w:rPr>
          <w:spacing w:val="-11"/>
          <w:sz w:val="22"/>
        </w:rPr>
        <w:t> </w:t>
      </w:r>
      <w:r>
        <w:rPr>
          <w:sz w:val="22"/>
        </w:rPr>
        <w:t>расстройство РНК – рибонуклеиновая кислота</w:t>
      </w:r>
    </w:p>
    <w:p>
      <w:pPr>
        <w:spacing w:before="1"/>
        <w:ind w:left="1700" w:right="0" w:firstLine="0"/>
        <w:jc w:val="left"/>
        <w:rPr>
          <w:sz w:val="22"/>
        </w:rPr>
      </w:pPr>
      <w:r>
        <w:rPr>
          <w:sz w:val="22"/>
        </w:rPr>
        <w:t>САМ</w:t>
      </w:r>
      <w:r>
        <w:rPr>
          <w:spacing w:val="-5"/>
          <w:sz w:val="22"/>
        </w:rPr>
        <w:t> </w:t>
      </w:r>
      <w:r>
        <w:rPr>
          <w:sz w:val="22"/>
        </w:rPr>
        <w:t>–</w:t>
      </w:r>
      <w:r>
        <w:rPr>
          <w:spacing w:val="-4"/>
          <w:sz w:val="22"/>
        </w:rPr>
        <w:t> </w:t>
      </w:r>
      <w:r>
        <w:rPr>
          <w:sz w:val="22"/>
        </w:rPr>
        <w:t>синдром</w:t>
      </w:r>
      <w:r>
        <w:rPr>
          <w:spacing w:val="-7"/>
          <w:sz w:val="22"/>
        </w:rPr>
        <w:t> </w:t>
      </w:r>
      <w:r>
        <w:rPr>
          <w:sz w:val="22"/>
        </w:rPr>
        <w:t>активации</w:t>
      </w:r>
      <w:r>
        <w:rPr>
          <w:spacing w:val="-4"/>
          <w:sz w:val="22"/>
        </w:rPr>
        <w:t> </w:t>
      </w:r>
      <w:r>
        <w:rPr>
          <w:spacing w:val="-2"/>
          <w:sz w:val="22"/>
        </w:rPr>
        <w:t>макрофагов</w:t>
      </w:r>
    </w:p>
    <w:p>
      <w:pPr>
        <w:spacing w:line="312" w:lineRule="auto" w:before="77"/>
        <w:ind w:left="1700" w:right="5456" w:firstLine="0"/>
        <w:jc w:val="left"/>
        <w:rPr>
          <w:sz w:val="22"/>
        </w:rPr>
      </w:pPr>
      <w:r>
        <w:rPr>
          <w:sz w:val="22"/>
        </w:rPr>
        <w:t>СЗП</w:t>
      </w:r>
      <w:r>
        <w:rPr>
          <w:spacing w:val="-11"/>
          <w:sz w:val="22"/>
        </w:rPr>
        <w:t> </w:t>
      </w:r>
      <w:r>
        <w:rPr>
          <w:sz w:val="22"/>
        </w:rPr>
        <w:t>–</w:t>
      </w:r>
      <w:r>
        <w:rPr>
          <w:spacing w:val="-9"/>
          <w:sz w:val="22"/>
        </w:rPr>
        <w:t> </w:t>
      </w:r>
      <w:r>
        <w:rPr>
          <w:sz w:val="22"/>
        </w:rPr>
        <w:t>свежезамороженная</w:t>
      </w:r>
      <w:r>
        <w:rPr>
          <w:spacing w:val="-9"/>
          <w:sz w:val="22"/>
        </w:rPr>
        <w:t> </w:t>
      </w:r>
      <w:r>
        <w:rPr>
          <w:sz w:val="22"/>
        </w:rPr>
        <w:t>донорская</w:t>
      </w:r>
      <w:r>
        <w:rPr>
          <w:spacing w:val="-9"/>
          <w:sz w:val="22"/>
        </w:rPr>
        <w:t> </w:t>
      </w:r>
      <w:r>
        <w:rPr>
          <w:sz w:val="22"/>
        </w:rPr>
        <w:t>плазма СИЗ – средства индивидуальной защиты</w:t>
      </w:r>
    </w:p>
    <w:p>
      <w:pPr>
        <w:spacing w:line="314" w:lineRule="auto" w:before="2"/>
        <w:ind w:left="1700" w:right="3276" w:firstLine="0"/>
        <w:jc w:val="left"/>
        <w:rPr>
          <w:sz w:val="22"/>
        </w:rPr>
      </w:pPr>
      <w:r>
        <w:rPr>
          <w:sz w:val="22"/>
        </w:rPr>
        <w:t>СИЗОД – средства индивидуальной защиты органов дыхания СИОЗС</w:t>
      </w:r>
      <w:r>
        <w:rPr>
          <w:spacing w:val="-8"/>
          <w:sz w:val="22"/>
        </w:rPr>
        <w:t> </w:t>
      </w:r>
      <w:r>
        <w:rPr>
          <w:sz w:val="22"/>
        </w:rPr>
        <w:t>–</w:t>
      </w:r>
      <w:r>
        <w:rPr>
          <w:spacing w:val="-7"/>
          <w:sz w:val="22"/>
        </w:rPr>
        <w:t> </w:t>
      </w:r>
      <w:r>
        <w:rPr>
          <w:sz w:val="22"/>
        </w:rPr>
        <w:t>селективные</w:t>
      </w:r>
      <w:r>
        <w:rPr>
          <w:spacing w:val="-7"/>
          <w:sz w:val="22"/>
        </w:rPr>
        <w:t> </w:t>
      </w:r>
      <w:r>
        <w:rPr>
          <w:sz w:val="22"/>
        </w:rPr>
        <w:t>ингибиторы</w:t>
      </w:r>
      <w:r>
        <w:rPr>
          <w:spacing w:val="-9"/>
          <w:sz w:val="22"/>
        </w:rPr>
        <w:t> </w:t>
      </w:r>
      <w:r>
        <w:rPr>
          <w:sz w:val="22"/>
        </w:rPr>
        <w:t>обратного</w:t>
      </w:r>
      <w:r>
        <w:rPr>
          <w:spacing w:val="-7"/>
          <w:sz w:val="22"/>
        </w:rPr>
        <w:t> </w:t>
      </w:r>
      <w:r>
        <w:rPr>
          <w:sz w:val="22"/>
        </w:rPr>
        <w:t>захвата</w:t>
      </w:r>
      <w:r>
        <w:rPr>
          <w:spacing w:val="-7"/>
          <w:sz w:val="22"/>
        </w:rPr>
        <w:t> </w:t>
      </w:r>
      <w:r>
        <w:rPr>
          <w:sz w:val="22"/>
        </w:rPr>
        <w:t>серотонина</w:t>
      </w:r>
    </w:p>
    <w:p>
      <w:pPr>
        <w:spacing w:line="314" w:lineRule="auto" w:before="0"/>
        <w:ind w:left="1700" w:right="1424" w:firstLine="0"/>
        <w:jc w:val="left"/>
        <w:rPr>
          <w:sz w:val="22"/>
        </w:rPr>
      </w:pPr>
      <w:r>
        <w:rPr>
          <w:sz w:val="22"/>
        </w:rPr>
        <w:t>СИОЗСН</w:t>
      </w:r>
      <w:r>
        <w:rPr>
          <w:spacing w:val="-6"/>
          <w:sz w:val="22"/>
        </w:rPr>
        <w:t> </w:t>
      </w:r>
      <w:r>
        <w:rPr>
          <w:sz w:val="22"/>
        </w:rPr>
        <w:t>-</w:t>
      </w:r>
      <w:r>
        <w:rPr>
          <w:spacing w:val="-7"/>
          <w:sz w:val="22"/>
        </w:rPr>
        <w:t> </w:t>
      </w:r>
      <w:r>
        <w:rPr>
          <w:sz w:val="22"/>
        </w:rPr>
        <w:t>селективные</w:t>
      </w:r>
      <w:r>
        <w:rPr>
          <w:spacing w:val="-6"/>
          <w:sz w:val="22"/>
        </w:rPr>
        <w:t> </w:t>
      </w:r>
      <w:r>
        <w:rPr>
          <w:sz w:val="22"/>
        </w:rPr>
        <w:t>ингибиторы</w:t>
      </w:r>
      <w:r>
        <w:rPr>
          <w:spacing w:val="-6"/>
          <w:sz w:val="22"/>
        </w:rPr>
        <w:t> </w:t>
      </w:r>
      <w:r>
        <w:rPr>
          <w:sz w:val="22"/>
        </w:rPr>
        <w:t>обратного</w:t>
      </w:r>
      <w:r>
        <w:rPr>
          <w:spacing w:val="-6"/>
          <w:sz w:val="22"/>
        </w:rPr>
        <w:t> </w:t>
      </w:r>
      <w:r>
        <w:rPr>
          <w:sz w:val="22"/>
        </w:rPr>
        <w:t>захвата</w:t>
      </w:r>
      <w:r>
        <w:rPr>
          <w:spacing w:val="-6"/>
          <w:sz w:val="22"/>
        </w:rPr>
        <w:t> </w:t>
      </w:r>
      <w:r>
        <w:rPr>
          <w:sz w:val="22"/>
        </w:rPr>
        <w:t>серотонина</w:t>
      </w:r>
      <w:r>
        <w:rPr>
          <w:spacing w:val="-6"/>
          <w:sz w:val="22"/>
        </w:rPr>
        <w:t> </w:t>
      </w:r>
      <w:r>
        <w:rPr>
          <w:sz w:val="22"/>
        </w:rPr>
        <w:t>и</w:t>
      </w:r>
      <w:r>
        <w:rPr>
          <w:spacing w:val="-6"/>
          <w:sz w:val="22"/>
        </w:rPr>
        <w:t> </w:t>
      </w:r>
      <w:r>
        <w:rPr>
          <w:sz w:val="22"/>
        </w:rPr>
        <w:t>норадреналина СКП – стационар кратковременного пребывания</w:t>
      </w:r>
    </w:p>
    <w:p>
      <w:pPr>
        <w:spacing w:line="314" w:lineRule="auto" w:before="0"/>
        <w:ind w:left="1700" w:right="5456" w:firstLine="0"/>
        <w:jc w:val="left"/>
        <w:rPr>
          <w:sz w:val="22"/>
        </w:rPr>
      </w:pPr>
      <w:r>
        <w:rPr>
          <w:sz w:val="22"/>
        </w:rPr>
        <w:t>СКФ</w:t>
      </w:r>
      <w:r>
        <w:rPr>
          <w:spacing w:val="-9"/>
          <w:sz w:val="22"/>
        </w:rPr>
        <w:t> </w:t>
      </w:r>
      <w:r>
        <w:rPr>
          <w:sz w:val="22"/>
        </w:rPr>
        <w:t>–</w:t>
      </w:r>
      <w:r>
        <w:rPr>
          <w:spacing w:val="-9"/>
          <w:sz w:val="22"/>
        </w:rPr>
        <w:t> </w:t>
      </w:r>
      <w:r>
        <w:rPr>
          <w:sz w:val="22"/>
        </w:rPr>
        <w:t>скорость</w:t>
      </w:r>
      <w:r>
        <w:rPr>
          <w:spacing w:val="-12"/>
          <w:sz w:val="22"/>
        </w:rPr>
        <w:t> </w:t>
      </w:r>
      <w:r>
        <w:rPr>
          <w:sz w:val="22"/>
        </w:rPr>
        <w:t>клубочковой</w:t>
      </w:r>
      <w:r>
        <w:rPr>
          <w:spacing w:val="-9"/>
          <w:sz w:val="22"/>
        </w:rPr>
        <w:t> </w:t>
      </w:r>
      <w:r>
        <w:rPr>
          <w:sz w:val="22"/>
        </w:rPr>
        <w:t>фильтрации СМП – скорая медицинская помощь</w:t>
      </w:r>
    </w:p>
    <w:p>
      <w:pPr>
        <w:spacing w:line="314" w:lineRule="auto" w:before="0"/>
        <w:ind w:left="1700" w:right="5861" w:firstLine="0"/>
        <w:jc w:val="left"/>
        <w:rPr>
          <w:sz w:val="22"/>
        </w:rPr>
      </w:pPr>
      <w:r>
        <w:rPr>
          <w:sz w:val="22"/>
        </w:rPr>
        <w:t>СОЭ</w:t>
      </w:r>
      <w:r>
        <w:rPr>
          <w:spacing w:val="-10"/>
          <w:sz w:val="22"/>
        </w:rPr>
        <w:t> </w:t>
      </w:r>
      <w:r>
        <w:rPr>
          <w:sz w:val="22"/>
        </w:rPr>
        <w:t>–</w:t>
      </w:r>
      <w:r>
        <w:rPr>
          <w:spacing w:val="-10"/>
          <w:sz w:val="22"/>
        </w:rPr>
        <w:t> </w:t>
      </w:r>
      <w:r>
        <w:rPr>
          <w:sz w:val="22"/>
        </w:rPr>
        <w:t>скорость</w:t>
      </w:r>
      <w:r>
        <w:rPr>
          <w:spacing w:val="-10"/>
          <w:sz w:val="22"/>
        </w:rPr>
        <w:t> </w:t>
      </w:r>
      <w:r>
        <w:rPr>
          <w:sz w:val="22"/>
        </w:rPr>
        <w:t>оседания</w:t>
      </w:r>
      <w:r>
        <w:rPr>
          <w:spacing w:val="-10"/>
          <w:sz w:val="22"/>
        </w:rPr>
        <w:t> </w:t>
      </w:r>
      <w:r>
        <w:rPr>
          <w:sz w:val="22"/>
        </w:rPr>
        <w:t>эритроцитов СРБ – С-реактивный белок</w:t>
      </w:r>
    </w:p>
    <w:p>
      <w:pPr>
        <w:spacing w:line="252" w:lineRule="exact" w:before="0"/>
        <w:ind w:left="1700" w:right="0" w:firstLine="0"/>
        <w:jc w:val="left"/>
        <w:rPr>
          <w:sz w:val="22"/>
        </w:rPr>
      </w:pPr>
      <w:r>
        <w:rPr>
          <w:sz w:val="22"/>
        </w:rPr>
        <w:t>ТГВ</w:t>
      </w:r>
      <w:r>
        <w:rPr>
          <w:spacing w:val="-3"/>
          <w:sz w:val="22"/>
        </w:rPr>
        <w:t> </w:t>
      </w:r>
      <w:r>
        <w:rPr>
          <w:sz w:val="22"/>
        </w:rPr>
        <w:t>–</w:t>
      </w:r>
      <w:r>
        <w:rPr>
          <w:spacing w:val="-3"/>
          <w:sz w:val="22"/>
        </w:rPr>
        <w:t> </w:t>
      </w:r>
      <w:r>
        <w:rPr>
          <w:sz w:val="22"/>
        </w:rPr>
        <w:t>тромбоз</w:t>
      </w:r>
      <w:r>
        <w:rPr>
          <w:spacing w:val="-2"/>
          <w:sz w:val="22"/>
        </w:rPr>
        <w:t> </w:t>
      </w:r>
      <w:r>
        <w:rPr>
          <w:sz w:val="22"/>
        </w:rPr>
        <w:t>глубоких</w:t>
      </w:r>
      <w:r>
        <w:rPr>
          <w:spacing w:val="-4"/>
          <w:sz w:val="22"/>
        </w:rPr>
        <w:t> </w:t>
      </w:r>
      <w:r>
        <w:rPr>
          <w:spacing w:val="-5"/>
          <w:sz w:val="22"/>
        </w:rPr>
        <w:t>вен</w:t>
      </w:r>
    </w:p>
    <w:p>
      <w:pPr>
        <w:spacing w:line="314" w:lineRule="auto" w:before="68"/>
        <w:ind w:left="1700" w:right="4736" w:firstLine="0"/>
        <w:jc w:val="left"/>
        <w:rPr>
          <w:sz w:val="22"/>
        </w:rPr>
      </w:pPr>
      <w:r>
        <w:rPr>
          <w:sz w:val="22"/>
        </w:rPr>
        <w:t>ТИБ – транспортировочный изолирующий бокс ТОРИ</w:t>
      </w:r>
      <w:r>
        <w:rPr>
          <w:spacing w:val="-10"/>
          <w:sz w:val="22"/>
        </w:rPr>
        <w:t> </w:t>
      </w:r>
      <w:r>
        <w:rPr>
          <w:sz w:val="22"/>
        </w:rPr>
        <w:t>–</w:t>
      </w:r>
      <w:r>
        <w:rPr>
          <w:spacing w:val="-8"/>
          <w:sz w:val="22"/>
        </w:rPr>
        <w:t> </w:t>
      </w:r>
      <w:r>
        <w:rPr>
          <w:sz w:val="22"/>
        </w:rPr>
        <w:t>тяжелая</w:t>
      </w:r>
      <w:r>
        <w:rPr>
          <w:spacing w:val="-9"/>
          <w:sz w:val="22"/>
        </w:rPr>
        <w:t> </w:t>
      </w:r>
      <w:r>
        <w:rPr>
          <w:sz w:val="22"/>
        </w:rPr>
        <w:t>острая</w:t>
      </w:r>
      <w:r>
        <w:rPr>
          <w:spacing w:val="-8"/>
          <w:sz w:val="22"/>
        </w:rPr>
        <w:t> </w:t>
      </w:r>
      <w:r>
        <w:rPr>
          <w:sz w:val="22"/>
        </w:rPr>
        <w:t>респираторная</w:t>
      </w:r>
      <w:r>
        <w:rPr>
          <w:spacing w:val="-9"/>
          <w:sz w:val="22"/>
        </w:rPr>
        <w:t> </w:t>
      </w:r>
      <w:r>
        <w:rPr>
          <w:sz w:val="22"/>
        </w:rPr>
        <w:t>инфекция</w:t>
      </w:r>
    </w:p>
    <w:p>
      <w:pPr>
        <w:spacing w:line="314" w:lineRule="auto" w:before="0"/>
        <w:ind w:left="1700" w:right="3931" w:firstLine="0"/>
        <w:jc w:val="left"/>
        <w:rPr>
          <w:sz w:val="22"/>
        </w:rPr>
      </w:pPr>
      <w:r>
        <w:rPr>
          <w:sz w:val="22"/>
        </w:rPr>
        <w:t>ТОРС</w:t>
      </w:r>
      <w:r>
        <w:rPr>
          <w:spacing w:val="-8"/>
          <w:sz w:val="22"/>
        </w:rPr>
        <w:t> </w:t>
      </w:r>
      <w:r>
        <w:rPr>
          <w:sz w:val="22"/>
        </w:rPr>
        <w:t>(SARS)</w:t>
      </w:r>
      <w:r>
        <w:rPr>
          <w:spacing w:val="-6"/>
          <w:sz w:val="22"/>
        </w:rPr>
        <w:t> </w:t>
      </w:r>
      <w:r>
        <w:rPr>
          <w:sz w:val="22"/>
        </w:rPr>
        <w:t>–</w:t>
      </w:r>
      <w:r>
        <w:rPr>
          <w:spacing w:val="-6"/>
          <w:sz w:val="22"/>
        </w:rPr>
        <w:t> </w:t>
      </w:r>
      <w:r>
        <w:rPr>
          <w:sz w:val="22"/>
        </w:rPr>
        <w:t>тяжелый</w:t>
      </w:r>
      <w:r>
        <w:rPr>
          <w:spacing w:val="-9"/>
          <w:sz w:val="22"/>
        </w:rPr>
        <w:t> </w:t>
      </w:r>
      <w:r>
        <w:rPr>
          <w:sz w:val="22"/>
        </w:rPr>
        <w:t>острый</w:t>
      </w:r>
      <w:r>
        <w:rPr>
          <w:spacing w:val="-6"/>
          <w:sz w:val="22"/>
        </w:rPr>
        <w:t> </w:t>
      </w:r>
      <w:r>
        <w:rPr>
          <w:sz w:val="22"/>
        </w:rPr>
        <w:t>респираторный</w:t>
      </w:r>
      <w:r>
        <w:rPr>
          <w:spacing w:val="-6"/>
          <w:sz w:val="22"/>
        </w:rPr>
        <w:t> </w:t>
      </w:r>
      <w:r>
        <w:rPr>
          <w:sz w:val="22"/>
        </w:rPr>
        <w:t>синдром ТЦА – трициклические антидепрессанты</w:t>
      </w:r>
    </w:p>
    <w:p>
      <w:pPr>
        <w:spacing w:line="250" w:lineRule="exact" w:before="0"/>
        <w:ind w:left="1700" w:right="0" w:firstLine="0"/>
        <w:jc w:val="left"/>
        <w:rPr>
          <w:sz w:val="22"/>
        </w:rPr>
      </w:pPr>
      <w:r>
        <w:rPr>
          <w:sz w:val="22"/>
        </w:rPr>
        <w:t>ТЭЛА</w:t>
      </w:r>
      <w:r>
        <w:rPr>
          <w:spacing w:val="-7"/>
          <w:sz w:val="22"/>
        </w:rPr>
        <w:t> </w:t>
      </w:r>
      <w:r>
        <w:rPr>
          <w:sz w:val="22"/>
        </w:rPr>
        <w:t>–</w:t>
      </w:r>
      <w:r>
        <w:rPr>
          <w:spacing w:val="-5"/>
          <w:sz w:val="22"/>
        </w:rPr>
        <w:t> </w:t>
      </w:r>
      <w:r>
        <w:rPr>
          <w:sz w:val="22"/>
        </w:rPr>
        <w:t>тромбоэмболия</w:t>
      </w:r>
      <w:r>
        <w:rPr>
          <w:spacing w:val="-5"/>
          <w:sz w:val="22"/>
        </w:rPr>
        <w:t> </w:t>
      </w:r>
      <w:r>
        <w:rPr>
          <w:sz w:val="22"/>
        </w:rPr>
        <w:t>легочной</w:t>
      </w:r>
      <w:r>
        <w:rPr>
          <w:spacing w:val="-4"/>
          <w:sz w:val="22"/>
        </w:rPr>
        <w:t> </w:t>
      </w:r>
      <w:r>
        <w:rPr>
          <w:spacing w:val="-2"/>
          <w:sz w:val="22"/>
        </w:rPr>
        <w:t>артерии</w:t>
      </w:r>
    </w:p>
    <w:p>
      <w:pPr>
        <w:spacing w:line="314" w:lineRule="auto" w:before="78"/>
        <w:ind w:left="1700" w:right="4736" w:firstLine="0"/>
        <w:jc w:val="left"/>
        <w:rPr>
          <w:sz w:val="22"/>
        </w:rPr>
      </w:pPr>
      <w:r>
        <w:rPr>
          <w:sz w:val="22"/>
        </w:rPr>
        <w:t>УФБИ</w:t>
      </w:r>
      <w:r>
        <w:rPr>
          <w:spacing w:val="-11"/>
          <w:sz w:val="22"/>
        </w:rPr>
        <w:t> </w:t>
      </w:r>
      <w:r>
        <w:rPr>
          <w:sz w:val="22"/>
        </w:rPr>
        <w:t>–</w:t>
      </w:r>
      <w:r>
        <w:rPr>
          <w:spacing w:val="-11"/>
          <w:sz w:val="22"/>
        </w:rPr>
        <w:t> </w:t>
      </w:r>
      <w:r>
        <w:rPr>
          <w:sz w:val="22"/>
        </w:rPr>
        <w:t>ультрафиолетовое</w:t>
      </w:r>
      <w:r>
        <w:rPr>
          <w:spacing w:val="-11"/>
          <w:sz w:val="22"/>
        </w:rPr>
        <w:t> </w:t>
      </w:r>
      <w:r>
        <w:rPr>
          <w:sz w:val="22"/>
        </w:rPr>
        <w:t>бактерицидное</w:t>
      </w:r>
      <w:r>
        <w:rPr>
          <w:spacing w:val="-11"/>
          <w:sz w:val="22"/>
        </w:rPr>
        <w:t> </w:t>
      </w:r>
      <w:r>
        <w:rPr>
          <w:sz w:val="22"/>
        </w:rPr>
        <w:t>излучение ФНО-α – фактор некроза опухолей альфа</w:t>
      </w:r>
    </w:p>
    <w:p>
      <w:pPr>
        <w:spacing w:line="226" w:lineRule="exact" w:before="0"/>
        <w:ind w:left="1700" w:right="0" w:firstLine="0"/>
        <w:jc w:val="left"/>
        <w:rPr>
          <w:sz w:val="22"/>
        </w:rPr>
      </w:pPr>
      <w:r>
        <w:rPr>
          <w:sz w:val="22"/>
        </w:rPr>
        <w:t>ХБП</w:t>
      </w:r>
      <w:r>
        <w:rPr>
          <w:spacing w:val="-6"/>
          <w:sz w:val="22"/>
        </w:rPr>
        <w:t> </w:t>
      </w:r>
      <w:r>
        <w:rPr>
          <w:sz w:val="22"/>
        </w:rPr>
        <w:t>–</w:t>
      </w:r>
      <w:r>
        <w:rPr>
          <w:spacing w:val="-5"/>
          <w:sz w:val="22"/>
        </w:rPr>
        <w:t> </w:t>
      </w:r>
      <w:r>
        <w:rPr>
          <w:sz w:val="22"/>
        </w:rPr>
        <w:t>хроническая</w:t>
      </w:r>
      <w:r>
        <w:rPr>
          <w:spacing w:val="-5"/>
          <w:sz w:val="22"/>
        </w:rPr>
        <w:t> </w:t>
      </w:r>
      <w:r>
        <w:rPr>
          <w:sz w:val="22"/>
        </w:rPr>
        <w:t>болезнь</w:t>
      </w:r>
      <w:r>
        <w:rPr>
          <w:spacing w:val="-4"/>
          <w:sz w:val="22"/>
        </w:rPr>
        <w:t> почек</w:t>
      </w:r>
    </w:p>
    <w:p>
      <w:pPr>
        <w:spacing w:before="75"/>
        <w:ind w:left="1700" w:right="0" w:firstLine="0"/>
        <w:jc w:val="left"/>
        <w:rPr>
          <w:sz w:val="22"/>
        </w:rPr>
      </w:pPr>
      <w:r>
        <w:rPr>
          <w:sz w:val="22"/>
        </w:rPr>
        <w:t>ХЗП</w:t>
      </w:r>
      <w:r>
        <w:rPr>
          <w:spacing w:val="-8"/>
          <w:sz w:val="22"/>
        </w:rPr>
        <w:t> </w:t>
      </w:r>
      <w:r>
        <w:rPr>
          <w:sz w:val="22"/>
        </w:rPr>
        <w:t>–</w:t>
      </w:r>
      <w:r>
        <w:rPr>
          <w:spacing w:val="-5"/>
          <w:sz w:val="22"/>
        </w:rPr>
        <w:t> </w:t>
      </w:r>
      <w:r>
        <w:rPr>
          <w:sz w:val="22"/>
        </w:rPr>
        <w:t>хроническое</w:t>
      </w:r>
      <w:r>
        <w:rPr>
          <w:spacing w:val="-5"/>
          <w:sz w:val="22"/>
        </w:rPr>
        <w:t> </w:t>
      </w:r>
      <w:r>
        <w:rPr>
          <w:sz w:val="22"/>
        </w:rPr>
        <w:t>заболевание</w:t>
      </w:r>
      <w:r>
        <w:rPr>
          <w:spacing w:val="-5"/>
          <w:sz w:val="22"/>
        </w:rPr>
        <w:t> </w:t>
      </w:r>
      <w:r>
        <w:rPr>
          <w:spacing w:val="-2"/>
          <w:sz w:val="22"/>
        </w:rPr>
        <w:t>печени</w:t>
      </w:r>
    </w:p>
    <w:p>
      <w:pPr>
        <w:spacing w:line="314" w:lineRule="auto" w:before="78"/>
        <w:ind w:left="1700" w:right="4736" w:firstLine="0"/>
        <w:jc w:val="left"/>
        <w:rPr>
          <w:sz w:val="22"/>
        </w:rPr>
      </w:pPr>
      <w:r>
        <w:rPr>
          <w:sz w:val="22"/>
        </w:rPr>
        <w:t>ХОБЛ</w:t>
      </w:r>
      <w:r>
        <w:rPr>
          <w:spacing w:val="-10"/>
          <w:sz w:val="22"/>
        </w:rPr>
        <w:t> </w:t>
      </w:r>
      <w:r>
        <w:rPr>
          <w:sz w:val="22"/>
        </w:rPr>
        <w:t>–</w:t>
      </w:r>
      <w:r>
        <w:rPr>
          <w:spacing w:val="-9"/>
          <w:sz w:val="22"/>
        </w:rPr>
        <w:t> </w:t>
      </w:r>
      <w:r>
        <w:rPr>
          <w:sz w:val="22"/>
        </w:rPr>
        <w:t>хроническая</w:t>
      </w:r>
      <w:r>
        <w:rPr>
          <w:spacing w:val="-9"/>
          <w:sz w:val="22"/>
        </w:rPr>
        <w:t> </w:t>
      </w:r>
      <w:r>
        <w:rPr>
          <w:sz w:val="22"/>
        </w:rPr>
        <w:t>обструктивная</w:t>
      </w:r>
      <w:r>
        <w:rPr>
          <w:spacing w:val="-10"/>
          <w:sz w:val="22"/>
        </w:rPr>
        <w:t> </w:t>
      </w:r>
      <w:r>
        <w:rPr>
          <w:sz w:val="22"/>
        </w:rPr>
        <w:t>болезнь</w:t>
      </w:r>
      <w:r>
        <w:rPr>
          <w:spacing w:val="-9"/>
          <w:sz w:val="22"/>
        </w:rPr>
        <w:t> </w:t>
      </w:r>
      <w:r>
        <w:rPr>
          <w:sz w:val="22"/>
        </w:rPr>
        <w:t>легких ЭКГ – электрокардиография</w:t>
      </w:r>
    </w:p>
    <w:p>
      <w:pPr>
        <w:spacing w:line="314" w:lineRule="auto" w:before="0"/>
        <w:ind w:left="1700" w:right="4482" w:firstLine="0"/>
        <w:jc w:val="left"/>
        <w:rPr>
          <w:sz w:val="22"/>
        </w:rPr>
      </w:pPr>
      <w:r>
        <w:rPr>
          <w:sz w:val="22"/>
        </w:rPr>
        <w:t>ЭКМО</w:t>
      </w:r>
      <w:r>
        <w:rPr>
          <w:spacing w:val="-11"/>
          <w:sz w:val="22"/>
        </w:rPr>
        <w:t> </w:t>
      </w:r>
      <w:r>
        <w:rPr>
          <w:sz w:val="22"/>
        </w:rPr>
        <w:t>–</w:t>
      </w:r>
      <w:r>
        <w:rPr>
          <w:spacing w:val="-12"/>
          <w:sz w:val="22"/>
        </w:rPr>
        <w:t> </w:t>
      </w:r>
      <w:r>
        <w:rPr>
          <w:sz w:val="22"/>
        </w:rPr>
        <w:t>экстракорпоральная</w:t>
      </w:r>
      <w:r>
        <w:rPr>
          <w:spacing w:val="-11"/>
          <w:sz w:val="22"/>
        </w:rPr>
        <w:t> </w:t>
      </w:r>
      <w:r>
        <w:rPr>
          <w:sz w:val="22"/>
        </w:rPr>
        <w:t>мембранная</w:t>
      </w:r>
      <w:r>
        <w:rPr>
          <w:spacing w:val="-12"/>
          <w:sz w:val="22"/>
        </w:rPr>
        <w:t> </w:t>
      </w:r>
      <w:r>
        <w:rPr>
          <w:sz w:val="22"/>
        </w:rPr>
        <w:t>оксигенация ЭП – энтеральное питание</w:t>
      </w:r>
    </w:p>
    <w:p>
      <w:pPr>
        <w:spacing w:line="252" w:lineRule="exact" w:before="0"/>
        <w:ind w:left="1700" w:right="0" w:firstLine="0"/>
        <w:jc w:val="left"/>
        <w:rPr>
          <w:sz w:val="22"/>
        </w:rPr>
      </w:pPr>
      <w:r>
        <w:rPr>
          <w:sz w:val="22"/>
        </w:rPr>
        <w:t>anti-HBc</w:t>
      </w:r>
      <w:r>
        <w:rPr>
          <w:spacing w:val="-6"/>
          <w:sz w:val="22"/>
        </w:rPr>
        <w:t> </w:t>
      </w:r>
      <w:r>
        <w:rPr>
          <w:sz w:val="22"/>
        </w:rPr>
        <w:t>–</w:t>
      </w:r>
      <w:r>
        <w:rPr>
          <w:spacing w:val="-4"/>
          <w:sz w:val="22"/>
        </w:rPr>
        <w:t> </w:t>
      </w:r>
      <w:r>
        <w:rPr>
          <w:sz w:val="22"/>
        </w:rPr>
        <w:t>антитела</w:t>
      </w:r>
      <w:r>
        <w:rPr>
          <w:spacing w:val="-6"/>
          <w:sz w:val="22"/>
        </w:rPr>
        <w:t> </w:t>
      </w:r>
      <w:r>
        <w:rPr>
          <w:sz w:val="22"/>
        </w:rPr>
        <w:t>к</w:t>
      </w:r>
      <w:r>
        <w:rPr>
          <w:spacing w:val="-4"/>
          <w:sz w:val="22"/>
        </w:rPr>
        <w:t> </w:t>
      </w:r>
      <w:r>
        <w:rPr>
          <w:sz w:val="22"/>
        </w:rPr>
        <w:t>ядерному</w:t>
      </w:r>
      <w:r>
        <w:rPr>
          <w:spacing w:val="-4"/>
          <w:sz w:val="22"/>
        </w:rPr>
        <w:t> </w:t>
      </w:r>
      <w:r>
        <w:rPr>
          <w:sz w:val="22"/>
        </w:rPr>
        <w:t>антигену</w:t>
      </w:r>
      <w:r>
        <w:rPr>
          <w:spacing w:val="-7"/>
          <w:sz w:val="22"/>
        </w:rPr>
        <w:t> </w:t>
      </w:r>
      <w:r>
        <w:rPr>
          <w:sz w:val="22"/>
        </w:rPr>
        <w:t>вируса</w:t>
      </w:r>
      <w:r>
        <w:rPr>
          <w:spacing w:val="-7"/>
          <w:sz w:val="22"/>
        </w:rPr>
        <w:t> </w:t>
      </w:r>
      <w:r>
        <w:rPr>
          <w:sz w:val="22"/>
        </w:rPr>
        <w:t>гепатита</w:t>
      </w:r>
      <w:r>
        <w:rPr>
          <w:spacing w:val="-3"/>
          <w:sz w:val="22"/>
        </w:rPr>
        <w:t> </w:t>
      </w:r>
      <w:r>
        <w:rPr>
          <w:spacing w:val="-10"/>
          <w:sz w:val="22"/>
        </w:rPr>
        <w:t>В</w:t>
      </w:r>
    </w:p>
    <w:p>
      <w:pPr>
        <w:spacing w:line="266" w:lineRule="auto" w:before="75"/>
        <w:ind w:left="1700" w:right="0" w:firstLine="0"/>
        <w:jc w:val="left"/>
        <w:rPr>
          <w:sz w:val="22"/>
        </w:rPr>
      </w:pPr>
      <w:r>
        <w:rPr>
          <w:sz w:val="22"/>
        </w:rPr>
        <w:t>Child-Pugh</w:t>
      </w:r>
      <w:r>
        <w:rPr>
          <w:spacing w:val="40"/>
          <w:sz w:val="22"/>
        </w:rPr>
        <w:t> </w:t>
      </w:r>
      <w:r>
        <w:rPr>
          <w:sz w:val="22"/>
        </w:rPr>
        <w:t>–</w:t>
      </w:r>
      <w:r>
        <w:rPr>
          <w:spacing w:val="40"/>
          <w:sz w:val="22"/>
        </w:rPr>
        <w:t> </w:t>
      </w:r>
      <w:r>
        <w:rPr>
          <w:sz w:val="22"/>
        </w:rPr>
        <w:t>система</w:t>
      </w:r>
      <w:r>
        <w:rPr>
          <w:spacing w:val="40"/>
          <w:sz w:val="22"/>
        </w:rPr>
        <w:t> </w:t>
      </w:r>
      <w:r>
        <w:rPr>
          <w:sz w:val="22"/>
        </w:rPr>
        <w:t>оценки</w:t>
      </w:r>
      <w:r>
        <w:rPr>
          <w:spacing w:val="40"/>
          <w:sz w:val="22"/>
        </w:rPr>
        <w:t> </w:t>
      </w:r>
      <w:r>
        <w:rPr>
          <w:sz w:val="22"/>
        </w:rPr>
        <w:t>печеночной</w:t>
      </w:r>
      <w:r>
        <w:rPr>
          <w:spacing w:val="40"/>
          <w:sz w:val="22"/>
        </w:rPr>
        <w:t> </w:t>
      </w:r>
      <w:r>
        <w:rPr>
          <w:sz w:val="22"/>
        </w:rPr>
        <w:t>недостаточности,</w:t>
      </w:r>
      <w:r>
        <w:rPr>
          <w:spacing w:val="40"/>
          <w:sz w:val="22"/>
        </w:rPr>
        <w:t> </w:t>
      </w:r>
      <w:r>
        <w:rPr>
          <w:sz w:val="22"/>
        </w:rPr>
        <w:t>включает</w:t>
      </w:r>
      <w:r>
        <w:rPr>
          <w:spacing w:val="40"/>
          <w:sz w:val="22"/>
        </w:rPr>
        <w:t> </w:t>
      </w:r>
      <w:r>
        <w:rPr>
          <w:sz w:val="22"/>
        </w:rPr>
        <w:t>классы</w:t>
      </w:r>
      <w:r>
        <w:rPr>
          <w:spacing w:val="40"/>
          <w:sz w:val="22"/>
        </w:rPr>
        <w:t> </w:t>
      </w:r>
      <w:r>
        <w:rPr>
          <w:sz w:val="22"/>
        </w:rPr>
        <w:t>А</w:t>
      </w:r>
      <w:r>
        <w:rPr>
          <w:spacing w:val="40"/>
          <w:sz w:val="22"/>
        </w:rPr>
        <w:t> </w:t>
      </w:r>
      <w:r>
        <w:rPr>
          <w:sz w:val="22"/>
        </w:rPr>
        <w:t>(отсутствие печеночной недостаточности), В и С (с печеночной недостаточностью)</w:t>
      </w:r>
    </w:p>
    <w:p>
      <w:pPr>
        <w:spacing w:before="50"/>
        <w:ind w:left="1700" w:right="0" w:firstLine="0"/>
        <w:jc w:val="left"/>
        <w:rPr>
          <w:sz w:val="22"/>
        </w:rPr>
      </w:pPr>
      <w:r>
        <w:rPr>
          <w:sz w:val="22"/>
        </w:rPr>
        <w:t>COVID-19</w:t>
      </w:r>
      <w:r>
        <w:rPr>
          <w:spacing w:val="-11"/>
          <w:sz w:val="22"/>
        </w:rPr>
        <w:t> </w:t>
      </w:r>
      <w:r>
        <w:rPr>
          <w:sz w:val="22"/>
        </w:rPr>
        <w:t>–</w:t>
      </w:r>
      <w:r>
        <w:rPr>
          <w:spacing w:val="-8"/>
          <w:sz w:val="22"/>
        </w:rPr>
        <w:t> </w:t>
      </w:r>
      <w:r>
        <w:rPr>
          <w:sz w:val="22"/>
        </w:rPr>
        <w:t>инфекция,</w:t>
      </w:r>
      <w:r>
        <w:rPr>
          <w:spacing w:val="-8"/>
          <w:sz w:val="22"/>
        </w:rPr>
        <w:t> </w:t>
      </w:r>
      <w:r>
        <w:rPr>
          <w:sz w:val="22"/>
        </w:rPr>
        <w:t>вызванная</w:t>
      </w:r>
      <w:r>
        <w:rPr>
          <w:spacing w:val="-8"/>
          <w:sz w:val="22"/>
        </w:rPr>
        <w:t> </w:t>
      </w:r>
      <w:r>
        <w:rPr>
          <w:sz w:val="22"/>
        </w:rPr>
        <w:t>новым</w:t>
      </w:r>
      <w:r>
        <w:rPr>
          <w:spacing w:val="-8"/>
          <w:sz w:val="22"/>
        </w:rPr>
        <w:t> </w:t>
      </w:r>
      <w:r>
        <w:rPr>
          <w:sz w:val="22"/>
        </w:rPr>
        <w:t>коронавирусом</w:t>
      </w:r>
      <w:r>
        <w:rPr>
          <w:spacing w:val="-9"/>
          <w:sz w:val="22"/>
        </w:rPr>
        <w:t> </w:t>
      </w:r>
      <w:r>
        <w:rPr>
          <w:sz w:val="22"/>
        </w:rPr>
        <w:t>SARS-CoV-</w:t>
      </w:r>
      <w:r>
        <w:rPr>
          <w:spacing w:val="-10"/>
          <w:sz w:val="22"/>
        </w:rPr>
        <w:t>2</w:t>
      </w:r>
    </w:p>
    <w:p>
      <w:pPr>
        <w:spacing w:line="288" w:lineRule="auto" w:before="78"/>
        <w:ind w:left="1700" w:right="1054" w:firstLine="0"/>
        <w:jc w:val="left"/>
        <w:rPr>
          <w:position w:val="2"/>
          <w:sz w:val="22"/>
        </w:rPr>
      </w:pPr>
      <w:r>
        <w:rPr>
          <w:sz w:val="22"/>
        </w:rPr>
        <w:t>СРАР</w:t>
      </w:r>
      <w:r>
        <w:rPr>
          <w:spacing w:val="-6"/>
          <w:sz w:val="22"/>
        </w:rPr>
        <w:t> </w:t>
      </w:r>
      <w:r>
        <w:rPr>
          <w:sz w:val="22"/>
        </w:rPr>
        <w:t>–</w:t>
      </w:r>
      <w:r>
        <w:rPr>
          <w:spacing w:val="-5"/>
          <w:sz w:val="22"/>
        </w:rPr>
        <w:t> </w:t>
      </w:r>
      <w:r>
        <w:rPr>
          <w:sz w:val="22"/>
        </w:rPr>
        <w:t>режим</w:t>
      </w:r>
      <w:r>
        <w:rPr>
          <w:spacing w:val="-6"/>
          <w:sz w:val="22"/>
        </w:rPr>
        <w:t> </w:t>
      </w:r>
      <w:r>
        <w:rPr>
          <w:sz w:val="22"/>
        </w:rPr>
        <w:t>искусственной</w:t>
      </w:r>
      <w:r>
        <w:rPr>
          <w:spacing w:val="-5"/>
          <w:sz w:val="22"/>
        </w:rPr>
        <w:t> </w:t>
      </w:r>
      <w:r>
        <w:rPr>
          <w:sz w:val="22"/>
        </w:rPr>
        <w:t>вентиляции</w:t>
      </w:r>
      <w:r>
        <w:rPr>
          <w:spacing w:val="-6"/>
          <w:sz w:val="22"/>
        </w:rPr>
        <w:t> </w:t>
      </w:r>
      <w:r>
        <w:rPr>
          <w:sz w:val="22"/>
        </w:rPr>
        <w:t>легких</w:t>
      </w:r>
      <w:r>
        <w:rPr>
          <w:spacing w:val="-10"/>
          <w:sz w:val="22"/>
        </w:rPr>
        <w:t> </w:t>
      </w:r>
      <w:r>
        <w:rPr>
          <w:sz w:val="22"/>
        </w:rPr>
        <w:t>постоянным</w:t>
      </w:r>
      <w:r>
        <w:rPr>
          <w:spacing w:val="-5"/>
          <w:sz w:val="22"/>
        </w:rPr>
        <w:t> </w:t>
      </w:r>
      <w:r>
        <w:rPr>
          <w:sz w:val="22"/>
        </w:rPr>
        <w:t>положительным</w:t>
      </w:r>
      <w:r>
        <w:rPr>
          <w:spacing w:val="-5"/>
          <w:sz w:val="22"/>
        </w:rPr>
        <w:t> </w:t>
      </w:r>
      <w:r>
        <w:rPr>
          <w:sz w:val="22"/>
        </w:rPr>
        <w:t>давлением </w:t>
      </w:r>
      <w:r>
        <w:rPr>
          <w:position w:val="2"/>
          <w:sz w:val="22"/>
        </w:rPr>
        <w:t>FiO</w:t>
      </w:r>
      <w:r>
        <w:rPr>
          <w:sz w:val="14"/>
        </w:rPr>
        <w:t>2 </w:t>
      </w:r>
      <w:r>
        <w:rPr>
          <w:position w:val="2"/>
          <w:sz w:val="22"/>
        </w:rPr>
        <w:t>– концентрация кислорода в дыхательной смеси</w:t>
      </w:r>
    </w:p>
    <w:p>
      <w:pPr>
        <w:spacing w:line="288" w:lineRule="auto" w:before="0"/>
        <w:ind w:left="1700" w:right="4736" w:firstLine="0"/>
        <w:jc w:val="left"/>
        <w:rPr>
          <w:sz w:val="22"/>
        </w:rPr>
      </w:pPr>
      <w:r>
        <w:rPr>
          <w:sz w:val="22"/>
        </w:rPr>
        <w:t>HBsAg</w:t>
      </w:r>
      <w:r>
        <w:rPr>
          <w:spacing w:val="-7"/>
          <w:sz w:val="22"/>
        </w:rPr>
        <w:t> </w:t>
      </w:r>
      <w:r>
        <w:rPr>
          <w:sz w:val="22"/>
        </w:rPr>
        <w:t>–</w:t>
      </w:r>
      <w:r>
        <w:rPr>
          <w:spacing w:val="-6"/>
          <w:sz w:val="22"/>
        </w:rPr>
        <w:t> </w:t>
      </w:r>
      <w:r>
        <w:rPr>
          <w:sz w:val="22"/>
        </w:rPr>
        <w:t>поверхностный</w:t>
      </w:r>
      <w:r>
        <w:rPr>
          <w:spacing w:val="-9"/>
          <w:sz w:val="22"/>
        </w:rPr>
        <w:t> </w:t>
      </w:r>
      <w:r>
        <w:rPr>
          <w:sz w:val="22"/>
        </w:rPr>
        <w:t>антиген</w:t>
      </w:r>
      <w:r>
        <w:rPr>
          <w:spacing w:val="-6"/>
          <w:sz w:val="22"/>
        </w:rPr>
        <w:t> </w:t>
      </w:r>
      <w:r>
        <w:rPr>
          <w:sz w:val="22"/>
        </w:rPr>
        <w:t>вируса</w:t>
      </w:r>
      <w:r>
        <w:rPr>
          <w:spacing w:val="-9"/>
          <w:sz w:val="22"/>
        </w:rPr>
        <w:t> </w:t>
      </w:r>
      <w:r>
        <w:rPr>
          <w:sz w:val="22"/>
        </w:rPr>
        <w:t>гепатита</w:t>
      </w:r>
      <w:r>
        <w:rPr>
          <w:spacing w:val="-8"/>
          <w:sz w:val="22"/>
        </w:rPr>
        <w:t> </w:t>
      </w:r>
      <w:r>
        <w:rPr>
          <w:sz w:val="22"/>
        </w:rPr>
        <w:t>В IgM – иммуноглобулины класса М</w:t>
      </w:r>
    </w:p>
    <w:p>
      <w:pPr>
        <w:spacing w:line="288" w:lineRule="auto" w:before="1"/>
        <w:ind w:left="1700" w:right="6294" w:firstLine="0"/>
        <w:jc w:val="left"/>
        <w:rPr>
          <w:sz w:val="22"/>
        </w:rPr>
      </w:pPr>
      <w:r>
        <w:rPr>
          <w:sz w:val="22"/>
        </w:rPr>
        <w:t>IgG</w:t>
      </w:r>
      <w:r>
        <w:rPr>
          <w:spacing w:val="-10"/>
          <w:sz w:val="22"/>
        </w:rPr>
        <w:t> </w:t>
      </w:r>
      <w:r>
        <w:rPr>
          <w:sz w:val="22"/>
        </w:rPr>
        <w:t>–</w:t>
      </w:r>
      <w:r>
        <w:rPr>
          <w:spacing w:val="-9"/>
          <w:sz w:val="22"/>
        </w:rPr>
        <w:t> </w:t>
      </w:r>
      <w:r>
        <w:rPr>
          <w:sz w:val="22"/>
        </w:rPr>
        <w:t>иммуноглобулины</w:t>
      </w:r>
      <w:r>
        <w:rPr>
          <w:spacing w:val="-11"/>
          <w:sz w:val="22"/>
        </w:rPr>
        <w:t> </w:t>
      </w:r>
      <w:r>
        <w:rPr>
          <w:sz w:val="22"/>
        </w:rPr>
        <w:t>класса</w:t>
      </w:r>
      <w:r>
        <w:rPr>
          <w:spacing w:val="-8"/>
          <w:sz w:val="22"/>
        </w:rPr>
        <w:t> </w:t>
      </w:r>
      <w:r>
        <w:rPr>
          <w:sz w:val="22"/>
        </w:rPr>
        <w:t>G IgА</w:t>
      </w:r>
      <w:r>
        <w:rPr>
          <w:spacing w:val="-6"/>
          <w:sz w:val="22"/>
        </w:rPr>
        <w:t> </w:t>
      </w:r>
      <w:r>
        <w:rPr>
          <w:sz w:val="22"/>
        </w:rPr>
        <w:t>–</w:t>
      </w:r>
      <w:r>
        <w:rPr>
          <w:spacing w:val="-4"/>
          <w:sz w:val="22"/>
        </w:rPr>
        <w:t> </w:t>
      </w:r>
      <w:r>
        <w:rPr>
          <w:sz w:val="22"/>
        </w:rPr>
        <w:t>иммуноглобулины</w:t>
      </w:r>
      <w:r>
        <w:rPr>
          <w:spacing w:val="-6"/>
          <w:sz w:val="22"/>
        </w:rPr>
        <w:t> </w:t>
      </w:r>
      <w:r>
        <w:rPr>
          <w:sz w:val="22"/>
        </w:rPr>
        <w:t>класса</w:t>
      </w:r>
      <w:r>
        <w:rPr>
          <w:spacing w:val="-2"/>
          <w:sz w:val="22"/>
        </w:rPr>
        <w:t> </w:t>
      </w:r>
      <w:r>
        <w:rPr>
          <w:spacing w:val="-10"/>
          <w:sz w:val="22"/>
        </w:rPr>
        <w:t>A</w:t>
      </w:r>
    </w:p>
    <w:p>
      <w:pPr>
        <w:spacing w:line="288" w:lineRule="auto" w:before="2"/>
        <w:ind w:left="1700" w:right="4736" w:firstLine="0"/>
        <w:jc w:val="left"/>
        <w:rPr>
          <w:sz w:val="22"/>
        </w:rPr>
      </w:pPr>
      <w:r>
        <w:rPr>
          <w:sz w:val="22"/>
        </w:rPr>
        <w:t>MDR – штаммы с множественной резистентностью MERS</w:t>
      </w:r>
      <w:r>
        <w:rPr>
          <w:spacing w:val="-12"/>
          <w:sz w:val="22"/>
        </w:rPr>
        <w:t> </w:t>
      </w:r>
      <w:r>
        <w:rPr>
          <w:sz w:val="22"/>
        </w:rPr>
        <w:t>–</w:t>
      </w:r>
      <w:r>
        <w:rPr>
          <w:spacing w:val="-11"/>
          <w:sz w:val="22"/>
        </w:rPr>
        <w:t> </w:t>
      </w:r>
      <w:r>
        <w:rPr>
          <w:sz w:val="22"/>
        </w:rPr>
        <w:t>Ближневосточный</w:t>
      </w:r>
      <w:r>
        <w:rPr>
          <w:spacing w:val="-11"/>
          <w:sz w:val="22"/>
        </w:rPr>
        <w:t> </w:t>
      </w:r>
      <w:r>
        <w:rPr>
          <w:sz w:val="22"/>
        </w:rPr>
        <w:t>респираторный</w:t>
      </w:r>
      <w:r>
        <w:rPr>
          <w:spacing w:val="-11"/>
          <w:sz w:val="22"/>
        </w:rPr>
        <w:t> </w:t>
      </w:r>
      <w:r>
        <w:rPr>
          <w:sz w:val="22"/>
        </w:rPr>
        <w:t>синдром</w:t>
      </w:r>
    </w:p>
    <w:p>
      <w:pPr>
        <w:spacing w:before="28"/>
        <w:ind w:left="1700" w:right="0" w:firstLine="0"/>
        <w:jc w:val="left"/>
        <w:rPr>
          <w:sz w:val="22"/>
        </w:rPr>
      </w:pPr>
      <w:r>
        <w:rPr>
          <w:sz w:val="22"/>
        </w:rPr>
        <w:t>MERS-CoV</w:t>
      </w:r>
      <w:r>
        <w:rPr>
          <w:spacing w:val="-9"/>
          <w:sz w:val="22"/>
        </w:rPr>
        <w:t> </w:t>
      </w:r>
      <w:r>
        <w:rPr>
          <w:sz w:val="22"/>
        </w:rPr>
        <w:t>–</w:t>
      </w:r>
      <w:r>
        <w:rPr>
          <w:spacing w:val="-7"/>
          <w:sz w:val="22"/>
        </w:rPr>
        <w:t> </w:t>
      </w:r>
      <w:r>
        <w:rPr>
          <w:sz w:val="22"/>
        </w:rPr>
        <w:t>коронавирус,</w:t>
      </w:r>
      <w:r>
        <w:rPr>
          <w:spacing w:val="-7"/>
          <w:sz w:val="22"/>
        </w:rPr>
        <w:t> </w:t>
      </w:r>
      <w:r>
        <w:rPr>
          <w:sz w:val="22"/>
        </w:rPr>
        <w:t>вызвавший</w:t>
      </w:r>
      <w:r>
        <w:rPr>
          <w:spacing w:val="-7"/>
          <w:sz w:val="22"/>
        </w:rPr>
        <w:t> </w:t>
      </w:r>
      <w:r>
        <w:rPr>
          <w:sz w:val="22"/>
        </w:rPr>
        <w:t>вспышку</w:t>
      </w:r>
      <w:r>
        <w:rPr>
          <w:spacing w:val="-7"/>
          <w:sz w:val="22"/>
        </w:rPr>
        <w:t> </w:t>
      </w:r>
      <w:r>
        <w:rPr>
          <w:sz w:val="22"/>
        </w:rPr>
        <w:t>Ближневосточного</w:t>
      </w:r>
      <w:r>
        <w:rPr>
          <w:spacing w:val="-7"/>
          <w:sz w:val="22"/>
        </w:rPr>
        <w:t> </w:t>
      </w:r>
      <w:r>
        <w:rPr>
          <w:sz w:val="22"/>
        </w:rPr>
        <w:t>респираторного</w:t>
      </w:r>
      <w:r>
        <w:rPr>
          <w:spacing w:val="-7"/>
          <w:sz w:val="22"/>
        </w:rPr>
        <w:t> </w:t>
      </w:r>
      <w:r>
        <w:rPr>
          <w:spacing w:val="-2"/>
          <w:sz w:val="22"/>
        </w:rPr>
        <w:t>синдрома</w:t>
      </w:r>
    </w:p>
    <w:p>
      <w:pPr>
        <w:spacing w:before="113"/>
        <w:ind w:left="140" w:right="0" w:firstLine="0"/>
        <w:jc w:val="center"/>
        <w:rPr>
          <w:rFonts w:ascii="Calibri"/>
          <w:sz w:val="22"/>
        </w:rPr>
      </w:pPr>
      <w:r>
        <w:rPr>
          <w:rFonts w:ascii="Calibri"/>
          <w:spacing w:val="-5"/>
          <w:sz w:val="22"/>
        </w:rPr>
        <w:t>232</w:t>
      </w:r>
    </w:p>
    <w:p>
      <w:pPr>
        <w:spacing w:before="1"/>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spacing w:line="314" w:lineRule="auto" w:before="65"/>
        <w:ind w:left="1700" w:right="4017" w:firstLine="0"/>
        <w:jc w:val="left"/>
        <w:rPr>
          <w:sz w:val="22"/>
        </w:rPr>
      </w:pPr>
      <w:bookmarkStart w:name="234" w:id="280"/>
      <w:bookmarkEnd w:id="280"/>
      <w:r>
        <w:rPr/>
      </w:r>
      <w:r>
        <w:rPr>
          <w:sz w:val="22"/>
        </w:rPr>
        <w:t>MRSA</w:t>
      </w:r>
      <w:r>
        <w:rPr>
          <w:spacing w:val="-12"/>
          <w:sz w:val="22"/>
        </w:rPr>
        <w:t> </w:t>
      </w:r>
      <w:r>
        <w:rPr>
          <w:sz w:val="22"/>
        </w:rPr>
        <w:t>–</w:t>
      </w:r>
      <w:r>
        <w:rPr>
          <w:spacing w:val="-11"/>
          <w:sz w:val="22"/>
        </w:rPr>
        <w:t> </w:t>
      </w:r>
      <w:r>
        <w:rPr>
          <w:sz w:val="22"/>
        </w:rPr>
        <w:t>метициллин-резистентный</w:t>
      </w:r>
      <w:r>
        <w:rPr>
          <w:spacing w:val="-11"/>
          <w:sz w:val="22"/>
        </w:rPr>
        <w:t> </w:t>
      </w:r>
      <w:r>
        <w:rPr>
          <w:sz w:val="22"/>
        </w:rPr>
        <w:t>золотистый</w:t>
      </w:r>
      <w:r>
        <w:rPr>
          <w:spacing w:val="-11"/>
          <w:sz w:val="22"/>
        </w:rPr>
        <w:t> </w:t>
      </w:r>
      <w:r>
        <w:rPr>
          <w:sz w:val="22"/>
        </w:rPr>
        <w:t>стафилококк NT- proBNP – мозговой натрий-уретический пептид</w:t>
      </w:r>
    </w:p>
    <w:p>
      <w:pPr>
        <w:spacing w:line="227" w:lineRule="exact" w:before="0"/>
        <w:ind w:left="1700" w:right="0" w:firstLine="0"/>
        <w:jc w:val="left"/>
        <w:rPr>
          <w:position w:val="2"/>
          <w:sz w:val="22"/>
        </w:rPr>
      </w:pPr>
      <w:r>
        <w:rPr>
          <w:position w:val="2"/>
          <w:sz w:val="22"/>
        </w:rPr>
        <w:t>PaCO</w:t>
      </w:r>
      <w:r>
        <w:rPr>
          <w:sz w:val="14"/>
        </w:rPr>
        <w:t>2</w:t>
      </w:r>
      <w:r>
        <w:rPr>
          <w:spacing w:val="-4"/>
          <w:sz w:val="14"/>
        </w:rPr>
        <w:t> </w:t>
      </w:r>
      <w:r>
        <w:rPr>
          <w:position w:val="2"/>
          <w:sz w:val="22"/>
        </w:rPr>
        <w:t>–</w:t>
      </w:r>
      <w:r>
        <w:rPr>
          <w:spacing w:val="-5"/>
          <w:position w:val="2"/>
          <w:sz w:val="22"/>
        </w:rPr>
        <w:t> </w:t>
      </w:r>
      <w:r>
        <w:rPr>
          <w:position w:val="2"/>
          <w:sz w:val="22"/>
        </w:rPr>
        <w:t>парциальное</w:t>
      </w:r>
      <w:r>
        <w:rPr>
          <w:spacing w:val="-5"/>
          <w:position w:val="2"/>
          <w:sz w:val="22"/>
        </w:rPr>
        <w:t> </w:t>
      </w:r>
      <w:r>
        <w:rPr>
          <w:position w:val="2"/>
          <w:sz w:val="22"/>
        </w:rPr>
        <w:t>давление</w:t>
      </w:r>
      <w:r>
        <w:rPr>
          <w:spacing w:val="-5"/>
          <w:position w:val="2"/>
          <w:sz w:val="22"/>
        </w:rPr>
        <w:t> </w:t>
      </w:r>
      <w:r>
        <w:rPr>
          <w:position w:val="2"/>
          <w:sz w:val="22"/>
        </w:rPr>
        <w:t>в</w:t>
      </w:r>
      <w:r>
        <w:rPr>
          <w:spacing w:val="-5"/>
          <w:position w:val="2"/>
          <w:sz w:val="22"/>
        </w:rPr>
        <w:t> </w:t>
      </w:r>
      <w:r>
        <w:rPr>
          <w:position w:val="2"/>
          <w:sz w:val="22"/>
        </w:rPr>
        <w:t>крови</w:t>
      </w:r>
      <w:r>
        <w:rPr>
          <w:spacing w:val="-5"/>
          <w:position w:val="2"/>
          <w:sz w:val="22"/>
        </w:rPr>
        <w:t> </w:t>
      </w:r>
      <w:r>
        <w:rPr>
          <w:position w:val="2"/>
          <w:sz w:val="22"/>
        </w:rPr>
        <w:t>углекислого</w:t>
      </w:r>
      <w:r>
        <w:rPr>
          <w:spacing w:val="-5"/>
          <w:position w:val="2"/>
          <w:sz w:val="22"/>
        </w:rPr>
        <w:t> </w:t>
      </w:r>
      <w:r>
        <w:rPr>
          <w:spacing w:val="-4"/>
          <w:position w:val="2"/>
          <w:sz w:val="22"/>
        </w:rPr>
        <w:t>газа</w:t>
      </w:r>
    </w:p>
    <w:p>
      <w:pPr>
        <w:spacing w:before="49"/>
        <w:ind w:left="1700" w:right="0" w:firstLine="0"/>
        <w:jc w:val="left"/>
        <w:rPr>
          <w:position w:val="2"/>
          <w:sz w:val="22"/>
        </w:rPr>
      </w:pPr>
      <w:r>
        <w:rPr>
          <w:position w:val="2"/>
          <w:sz w:val="22"/>
        </w:rPr>
        <w:t>PaO</w:t>
      </w:r>
      <w:r>
        <w:rPr>
          <w:sz w:val="14"/>
        </w:rPr>
        <w:t>2</w:t>
      </w:r>
      <w:r>
        <w:rPr>
          <w:spacing w:val="-3"/>
          <w:sz w:val="14"/>
        </w:rPr>
        <w:t> </w:t>
      </w:r>
      <w:r>
        <w:rPr>
          <w:position w:val="2"/>
          <w:sz w:val="22"/>
        </w:rPr>
        <w:t>–</w:t>
      </w:r>
      <w:r>
        <w:rPr>
          <w:spacing w:val="-4"/>
          <w:position w:val="2"/>
          <w:sz w:val="22"/>
        </w:rPr>
        <w:t> </w:t>
      </w:r>
      <w:r>
        <w:rPr>
          <w:position w:val="2"/>
          <w:sz w:val="22"/>
        </w:rPr>
        <w:t>парциальное</w:t>
      </w:r>
      <w:r>
        <w:rPr>
          <w:spacing w:val="-6"/>
          <w:position w:val="2"/>
          <w:sz w:val="22"/>
        </w:rPr>
        <w:t> </w:t>
      </w:r>
      <w:r>
        <w:rPr>
          <w:position w:val="2"/>
          <w:sz w:val="22"/>
        </w:rPr>
        <w:t>давление</w:t>
      </w:r>
      <w:r>
        <w:rPr>
          <w:spacing w:val="-4"/>
          <w:position w:val="2"/>
          <w:sz w:val="22"/>
        </w:rPr>
        <w:t> </w:t>
      </w:r>
      <w:r>
        <w:rPr>
          <w:position w:val="2"/>
          <w:sz w:val="22"/>
        </w:rPr>
        <w:t>в</w:t>
      </w:r>
      <w:r>
        <w:rPr>
          <w:spacing w:val="-3"/>
          <w:position w:val="2"/>
          <w:sz w:val="22"/>
        </w:rPr>
        <w:t> </w:t>
      </w:r>
      <w:r>
        <w:rPr>
          <w:position w:val="2"/>
          <w:sz w:val="22"/>
        </w:rPr>
        <w:t>крови</w:t>
      </w:r>
      <w:r>
        <w:rPr>
          <w:spacing w:val="-4"/>
          <w:position w:val="2"/>
          <w:sz w:val="22"/>
        </w:rPr>
        <w:t> </w:t>
      </w:r>
      <w:r>
        <w:rPr>
          <w:spacing w:val="-2"/>
          <w:position w:val="2"/>
          <w:sz w:val="22"/>
        </w:rPr>
        <w:t>кислорода</w:t>
      </w:r>
    </w:p>
    <w:p>
      <w:pPr>
        <w:spacing w:before="47"/>
        <w:ind w:left="1700" w:right="179" w:firstLine="0"/>
        <w:jc w:val="left"/>
        <w:rPr>
          <w:sz w:val="22"/>
        </w:rPr>
      </w:pPr>
      <w:r>
        <w:rPr>
          <w:sz w:val="22"/>
        </w:rPr>
        <w:t>PEEP</w:t>
      </w:r>
      <w:r>
        <w:rPr>
          <w:spacing w:val="40"/>
          <w:sz w:val="22"/>
        </w:rPr>
        <w:t> </w:t>
      </w:r>
      <w:r>
        <w:rPr>
          <w:sz w:val="22"/>
        </w:rPr>
        <w:t>–</w:t>
      </w:r>
      <w:r>
        <w:rPr>
          <w:spacing w:val="40"/>
          <w:sz w:val="22"/>
        </w:rPr>
        <w:t> </w:t>
      </w:r>
      <w:r>
        <w:rPr>
          <w:sz w:val="22"/>
        </w:rPr>
        <w:t>постоянно</w:t>
      </w:r>
      <w:r>
        <w:rPr>
          <w:spacing w:val="40"/>
          <w:sz w:val="22"/>
        </w:rPr>
        <w:t> </w:t>
      </w:r>
      <w:r>
        <w:rPr>
          <w:sz w:val="22"/>
        </w:rPr>
        <w:t>положительное</w:t>
      </w:r>
      <w:r>
        <w:rPr>
          <w:spacing w:val="40"/>
          <w:sz w:val="22"/>
        </w:rPr>
        <w:t> </w:t>
      </w:r>
      <w:r>
        <w:rPr>
          <w:sz w:val="22"/>
        </w:rPr>
        <w:t>давление</w:t>
      </w:r>
      <w:r>
        <w:rPr>
          <w:spacing w:val="40"/>
          <w:sz w:val="22"/>
        </w:rPr>
        <w:t> </w:t>
      </w:r>
      <w:r>
        <w:rPr>
          <w:sz w:val="22"/>
        </w:rPr>
        <w:t>в</w:t>
      </w:r>
      <w:r>
        <w:rPr>
          <w:spacing w:val="40"/>
          <w:sz w:val="22"/>
        </w:rPr>
        <w:t> </w:t>
      </w:r>
      <w:r>
        <w:rPr>
          <w:sz w:val="22"/>
        </w:rPr>
        <w:t>дыхательных</w:t>
      </w:r>
      <w:r>
        <w:rPr>
          <w:spacing w:val="40"/>
          <w:sz w:val="22"/>
        </w:rPr>
        <w:t> </w:t>
      </w:r>
      <w:r>
        <w:rPr>
          <w:sz w:val="22"/>
        </w:rPr>
        <w:t>путях</w:t>
      </w:r>
      <w:r>
        <w:rPr>
          <w:spacing w:val="40"/>
          <w:sz w:val="22"/>
        </w:rPr>
        <w:t> </w:t>
      </w:r>
      <w:r>
        <w:rPr>
          <w:sz w:val="22"/>
        </w:rPr>
        <w:t>(Positive</w:t>
      </w:r>
      <w:r>
        <w:rPr>
          <w:spacing w:val="40"/>
          <w:sz w:val="22"/>
        </w:rPr>
        <w:t> </w:t>
      </w:r>
      <w:r>
        <w:rPr>
          <w:sz w:val="22"/>
        </w:rPr>
        <w:t>End</w:t>
      </w:r>
      <w:r>
        <w:rPr>
          <w:spacing w:val="40"/>
          <w:sz w:val="22"/>
        </w:rPr>
        <w:t> </w:t>
      </w:r>
      <w:r>
        <w:rPr>
          <w:sz w:val="22"/>
        </w:rPr>
        <w:t>Expiratory</w:t>
      </w:r>
      <w:r>
        <w:rPr>
          <w:spacing w:val="40"/>
          <w:sz w:val="22"/>
        </w:rPr>
        <w:t> </w:t>
      </w:r>
      <w:r>
        <w:rPr>
          <w:spacing w:val="-2"/>
          <w:sz w:val="22"/>
        </w:rPr>
        <w:t>Pressure)</w:t>
      </w:r>
    </w:p>
    <w:p>
      <w:pPr>
        <w:spacing w:before="16"/>
        <w:ind w:left="1700" w:right="0" w:firstLine="0"/>
        <w:jc w:val="left"/>
        <w:rPr>
          <w:position w:val="2"/>
          <w:sz w:val="22"/>
        </w:rPr>
      </w:pPr>
      <w:r>
        <w:rPr>
          <w:position w:val="2"/>
          <w:sz w:val="22"/>
        </w:rPr>
        <w:t>PvO</w:t>
      </w:r>
      <w:r>
        <w:rPr>
          <w:sz w:val="14"/>
        </w:rPr>
        <w:t>2</w:t>
      </w:r>
      <w:r>
        <w:rPr>
          <w:spacing w:val="-3"/>
          <w:sz w:val="14"/>
        </w:rPr>
        <w:t> </w:t>
      </w:r>
      <w:r>
        <w:rPr>
          <w:position w:val="2"/>
          <w:sz w:val="22"/>
        </w:rPr>
        <w:t>–</w:t>
      </w:r>
      <w:r>
        <w:rPr>
          <w:spacing w:val="-4"/>
          <w:position w:val="2"/>
          <w:sz w:val="22"/>
        </w:rPr>
        <w:t> </w:t>
      </w:r>
      <w:r>
        <w:rPr>
          <w:position w:val="2"/>
          <w:sz w:val="22"/>
        </w:rPr>
        <w:t>напряжение</w:t>
      </w:r>
      <w:r>
        <w:rPr>
          <w:spacing w:val="-4"/>
          <w:position w:val="2"/>
          <w:sz w:val="22"/>
        </w:rPr>
        <w:t> </w:t>
      </w:r>
      <w:r>
        <w:rPr>
          <w:position w:val="2"/>
          <w:sz w:val="22"/>
        </w:rPr>
        <w:t>кислорода</w:t>
      </w:r>
      <w:r>
        <w:rPr>
          <w:spacing w:val="-4"/>
          <w:position w:val="2"/>
          <w:sz w:val="22"/>
        </w:rPr>
        <w:t> </w:t>
      </w:r>
      <w:r>
        <w:rPr>
          <w:position w:val="2"/>
          <w:sz w:val="22"/>
        </w:rPr>
        <w:t>в</w:t>
      </w:r>
      <w:r>
        <w:rPr>
          <w:spacing w:val="-4"/>
          <w:position w:val="2"/>
          <w:sz w:val="22"/>
        </w:rPr>
        <w:t> </w:t>
      </w:r>
      <w:r>
        <w:rPr>
          <w:position w:val="2"/>
          <w:sz w:val="22"/>
        </w:rPr>
        <w:t>венозной</w:t>
      </w:r>
      <w:r>
        <w:rPr>
          <w:spacing w:val="-5"/>
          <w:position w:val="2"/>
          <w:sz w:val="22"/>
        </w:rPr>
        <w:t> </w:t>
      </w:r>
      <w:r>
        <w:rPr>
          <w:spacing w:val="-4"/>
          <w:position w:val="2"/>
          <w:sz w:val="22"/>
        </w:rPr>
        <w:t>крови</w:t>
      </w:r>
    </w:p>
    <w:p>
      <w:pPr>
        <w:spacing w:before="50"/>
        <w:ind w:left="1700" w:right="0" w:firstLine="0"/>
        <w:jc w:val="left"/>
        <w:rPr>
          <w:sz w:val="22"/>
        </w:rPr>
      </w:pPr>
      <w:r>
        <w:rPr>
          <w:sz w:val="22"/>
        </w:rPr>
        <w:t>SARS</w:t>
      </w:r>
      <w:r>
        <w:rPr>
          <w:spacing w:val="-7"/>
          <w:sz w:val="22"/>
        </w:rPr>
        <w:t> </w:t>
      </w:r>
      <w:r>
        <w:rPr>
          <w:sz w:val="22"/>
        </w:rPr>
        <w:t>(ТОРС)</w:t>
      </w:r>
      <w:r>
        <w:rPr>
          <w:spacing w:val="-5"/>
          <w:sz w:val="22"/>
        </w:rPr>
        <w:t> </w:t>
      </w:r>
      <w:r>
        <w:rPr>
          <w:sz w:val="22"/>
        </w:rPr>
        <w:t>–</w:t>
      </w:r>
      <w:r>
        <w:rPr>
          <w:spacing w:val="-6"/>
          <w:sz w:val="22"/>
        </w:rPr>
        <w:t> </w:t>
      </w:r>
      <w:r>
        <w:rPr>
          <w:sz w:val="22"/>
        </w:rPr>
        <w:t>тяжелый</w:t>
      </w:r>
      <w:r>
        <w:rPr>
          <w:spacing w:val="-9"/>
          <w:sz w:val="22"/>
        </w:rPr>
        <w:t> </w:t>
      </w:r>
      <w:r>
        <w:rPr>
          <w:sz w:val="22"/>
        </w:rPr>
        <w:t>острый</w:t>
      </w:r>
      <w:r>
        <w:rPr>
          <w:spacing w:val="-6"/>
          <w:sz w:val="22"/>
        </w:rPr>
        <w:t> </w:t>
      </w:r>
      <w:r>
        <w:rPr>
          <w:sz w:val="22"/>
        </w:rPr>
        <w:t>респираторный</w:t>
      </w:r>
      <w:r>
        <w:rPr>
          <w:spacing w:val="-6"/>
          <w:sz w:val="22"/>
        </w:rPr>
        <w:t> </w:t>
      </w:r>
      <w:r>
        <w:rPr>
          <w:spacing w:val="-2"/>
          <w:sz w:val="22"/>
        </w:rPr>
        <w:t>синдром</w:t>
      </w:r>
    </w:p>
    <w:p>
      <w:pPr>
        <w:spacing w:line="314" w:lineRule="auto" w:before="75"/>
        <w:ind w:left="1700" w:right="1054" w:firstLine="0"/>
        <w:jc w:val="left"/>
        <w:rPr>
          <w:sz w:val="22"/>
        </w:rPr>
      </w:pPr>
      <w:r>
        <w:rPr>
          <w:sz w:val="22"/>
        </w:rPr>
        <w:t>SARS-CoV</w:t>
      </w:r>
      <w:r>
        <w:rPr>
          <w:spacing w:val="-6"/>
          <w:sz w:val="22"/>
        </w:rPr>
        <w:t> </w:t>
      </w:r>
      <w:r>
        <w:rPr>
          <w:sz w:val="22"/>
        </w:rPr>
        <w:t>–</w:t>
      </w:r>
      <w:r>
        <w:rPr>
          <w:spacing w:val="-5"/>
          <w:sz w:val="22"/>
        </w:rPr>
        <w:t> </w:t>
      </w:r>
      <w:r>
        <w:rPr>
          <w:sz w:val="22"/>
        </w:rPr>
        <w:t>коронавирус,</w:t>
      </w:r>
      <w:r>
        <w:rPr>
          <w:spacing w:val="-5"/>
          <w:sz w:val="22"/>
        </w:rPr>
        <w:t> </w:t>
      </w:r>
      <w:r>
        <w:rPr>
          <w:sz w:val="22"/>
        </w:rPr>
        <w:t>вызвавший</w:t>
      </w:r>
      <w:r>
        <w:rPr>
          <w:spacing w:val="-5"/>
          <w:sz w:val="22"/>
        </w:rPr>
        <w:t> </w:t>
      </w:r>
      <w:r>
        <w:rPr>
          <w:sz w:val="22"/>
        </w:rPr>
        <w:t>вспышку</w:t>
      </w:r>
      <w:r>
        <w:rPr>
          <w:spacing w:val="-5"/>
          <w:sz w:val="22"/>
        </w:rPr>
        <w:t> </w:t>
      </w:r>
      <w:r>
        <w:rPr>
          <w:sz w:val="22"/>
        </w:rPr>
        <w:t>тяжелого</w:t>
      </w:r>
      <w:r>
        <w:rPr>
          <w:spacing w:val="-5"/>
          <w:sz w:val="22"/>
        </w:rPr>
        <w:t> </w:t>
      </w:r>
      <w:r>
        <w:rPr>
          <w:sz w:val="22"/>
        </w:rPr>
        <w:t>острого</w:t>
      </w:r>
      <w:r>
        <w:rPr>
          <w:spacing w:val="-7"/>
          <w:sz w:val="22"/>
        </w:rPr>
        <w:t> </w:t>
      </w:r>
      <w:r>
        <w:rPr>
          <w:sz w:val="22"/>
        </w:rPr>
        <w:t>респираторного</w:t>
      </w:r>
      <w:r>
        <w:rPr>
          <w:spacing w:val="-5"/>
          <w:sz w:val="22"/>
        </w:rPr>
        <w:t> </w:t>
      </w:r>
      <w:r>
        <w:rPr>
          <w:sz w:val="22"/>
        </w:rPr>
        <w:t>синдрома SARS-CoV-2 – новый коронавирус, вызвавший пандемию COVID-19</w:t>
      </w:r>
    </w:p>
    <w:p>
      <w:pPr>
        <w:tabs>
          <w:tab w:pos="2575" w:val="left" w:leader="none"/>
          <w:tab w:pos="2999" w:val="left" w:leader="none"/>
          <w:tab w:pos="3899" w:val="left" w:leader="none"/>
          <w:tab w:pos="8279" w:val="left" w:leader="none"/>
          <w:tab w:pos="8915" w:val="left" w:leader="none"/>
          <w:tab w:pos="9897" w:val="left" w:leader="none"/>
        </w:tabs>
        <w:spacing w:line="223" w:lineRule="exact" w:before="0"/>
        <w:ind w:left="1700" w:right="0" w:firstLine="0"/>
        <w:jc w:val="left"/>
        <w:rPr>
          <w:sz w:val="22"/>
        </w:rPr>
      </w:pPr>
      <w:r>
        <w:rPr>
          <w:spacing w:val="-4"/>
          <w:sz w:val="22"/>
        </w:rPr>
        <w:t>SOFA</w:t>
      </w:r>
      <w:r>
        <w:rPr>
          <w:sz w:val="22"/>
        </w:rPr>
        <w:tab/>
      </w:r>
      <w:r>
        <w:rPr>
          <w:spacing w:val="-10"/>
          <w:sz w:val="22"/>
        </w:rPr>
        <w:t>–</w:t>
      </w:r>
      <w:r>
        <w:rPr>
          <w:sz w:val="22"/>
        </w:rPr>
        <w:tab/>
      </w:r>
      <w:r>
        <w:rPr>
          <w:spacing w:val="-2"/>
          <w:sz w:val="22"/>
        </w:rPr>
        <w:t>шкала</w:t>
      </w:r>
      <w:r>
        <w:rPr>
          <w:sz w:val="22"/>
        </w:rPr>
        <w:tab/>
        <w:t>SOFA</w:t>
      </w:r>
      <w:r>
        <w:rPr>
          <w:spacing w:val="-9"/>
          <w:sz w:val="22"/>
        </w:rPr>
        <w:t> </w:t>
      </w:r>
      <w:r>
        <w:rPr>
          <w:sz w:val="22"/>
        </w:rPr>
        <w:t>(</w:t>
      </w:r>
      <w:r>
        <w:rPr>
          <w:b/>
          <w:sz w:val="22"/>
        </w:rPr>
        <w:t>S</w:t>
      </w:r>
      <w:r>
        <w:rPr>
          <w:sz w:val="22"/>
        </w:rPr>
        <w:t>equential</w:t>
      </w:r>
      <w:r>
        <w:rPr>
          <w:spacing w:val="-4"/>
          <w:sz w:val="22"/>
        </w:rPr>
        <w:t> </w:t>
      </w:r>
      <w:r>
        <w:rPr>
          <w:sz w:val="22"/>
        </w:rPr>
        <w:t>Organ</w:t>
      </w:r>
      <w:r>
        <w:rPr>
          <w:spacing w:val="-5"/>
          <w:sz w:val="22"/>
        </w:rPr>
        <w:t> </w:t>
      </w:r>
      <w:r>
        <w:rPr>
          <w:sz w:val="22"/>
        </w:rPr>
        <w:t>Failure</w:t>
      </w:r>
      <w:r>
        <w:rPr>
          <w:spacing w:val="-6"/>
          <w:sz w:val="22"/>
        </w:rPr>
        <w:t> </w:t>
      </w:r>
      <w:r>
        <w:rPr>
          <w:spacing w:val="-2"/>
          <w:sz w:val="22"/>
        </w:rPr>
        <w:t>Assessment)</w:t>
      </w:r>
      <w:r>
        <w:rPr>
          <w:sz w:val="22"/>
        </w:rPr>
        <w:tab/>
      </w:r>
      <w:r>
        <w:rPr>
          <w:spacing w:val="-5"/>
          <w:sz w:val="22"/>
        </w:rPr>
        <w:t>для</w:t>
      </w:r>
      <w:r>
        <w:rPr>
          <w:sz w:val="22"/>
        </w:rPr>
        <w:tab/>
      </w:r>
      <w:r>
        <w:rPr>
          <w:spacing w:val="-2"/>
          <w:sz w:val="22"/>
        </w:rPr>
        <w:t>оценки</w:t>
      </w:r>
      <w:r>
        <w:rPr>
          <w:sz w:val="22"/>
        </w:rPr>
        <w:tab/>
      </w:r>
      <w:r>
        <w:rPr>
          <w:spacing w:val="-2"/>
          <w:sz w:val="22"/>
        </w:rPr>
        <w:t>органной</w:t>
      </w:r>
    </w:p>
    <w:p>
      <w:pPr>
        <w:spacing w:before="4"/>
        <w:ind w:left="1700" w:right="0" w:firstLine="0"/>
        <w:jc w:val="left"/>
        <w:rPr>
          <w:sz w:val="22"/>
        </w:rPr>
      </w:pPr>
      <w:r>
        <w:rPr>
          <w:sz w:val="22"/>
        </w:rPr>
        <w:t>недостаточности,</w:t>
      </w:r>
      <w:r>
        <w:rPr>
          <w:spacing w:val="-7"/>
          <w:sz w:val="22"/>
        </w:rPr>
        <w:t> </w:t>
      </w:r>
      <w:r>
        <w:rPr>
          <w:sz w:val="22"/>
        </w:rPr>
        <w:t>риска</w:t>
      </w:r>
      <w:r>
        <w:rPr>
          <w:spacing w:val="-7"/>
          <w:sz w:val="22"/>
        </w:rPr>
        <w:t> </w:t>
      </w:r>
      <w:r>
        <w:rPr>
          <w:sz w:val="22"/>
        </w:rPr>
        <w:t>смертности</w:t>
      </w:r>
      <w:r>
        <w:rPr>
          <w:spacing w:val="-8"/>
          <w:sz w:val="22"/>
        </w:rPr>
        <w:t> </w:t>
      </w:r>
      <w:r>
        <w:rPr>
          <w:sz w:val="22"/>
        </w:rPr>
        <w:t>и</w:t>
      </w:r>
      <w:r>
        <w:rPr>
          <w:spacing w:val="-6"/>
          <w:sz w:val="22"/>
        </w:rPr>
        <w:t> </w:t>
      </w:r>
      <w:r>
        <w:rPr>
          <w:spacing w:val="-2"/>
          <w:sz w:val="22"/>
        </w:rPr>
        <w:t>сепсиса</w:t>
      </w:r>
    </w:p>
    <w:p>
      <w:pPr>
        <w:spacing w:line="288" w:lineRule="auto" w:before="13"/>
        <w:ind w:left="1700" w:right="3931" w:firstLine="0"/>
        <w:jc w:val="left"/>
        <w:rPr>
          <w:sz w:val="22"/>
        </w:rPr>
      </w:pPr>
      <w:r>
        <w:rPr>
          <w:position w:val="2"/>
          <w:sz w:val="22"/>
        </w:rPr>
        <w:t>SpO</w:t>
      </w:r>
      <w:r>
        <w:rPr>
          <w:sz w:val="14"/>
        </w:rPr>
        <w:t>2</w:t>
      </w:r>
      <w:r>
        <w:rPr>
          <w:spacing w:val="-5"/>
          <w:sz w:val="14"/>
        </w:rPr>
        <w:t> </w:t>
      </w:r>
      <w:r>
        <w:rPr>
          <w:position w:val="2"/>
          <w:sz w:val="22"/>
        </w:rPr>
        <w:t>–</w:t>
      </w:r>
      <w:r>
        <w:rPr>
          <w:spacing w:val="-8"/>
          <w:position w:val="2"/>
          <w:sz w:val="22"/>
        </w:rPr>
        <w:t> </w:t>
      </w:r>
      <w:r>
        <w:rPr>
          <w:position w:val="2"/>
          <w:sz w:val="22"/>
        </w:rPr>
        <w:t>уровень</w:t>
      </w:r>
      <w:r>
        <w:rPr>
          <w:spacing w:val="-8"/>
          <w:position w:val="2"/>
          <w:sz w:val="22"/>
        </w:rPr>
        <w:t> </w:t>
      </w:r>
      <w:r>
        <w:rPr>
          <w:position w:val="2"/>
          <w:sz w:val="22"/>
        </w:rPr>
        <w:t>насыщенности</w:t>
      </w:r>
      <w:r>
        <w:rPr>
          <w:spacing w:val="-8"/>
          <w:position w:val="2"/>
          <w:sz w:val="22"/>
        </w:rPr>
        <w:t> </w:t>
      </w:r>
      <w:r>
        <w:rPr>
          <w:position w:val="2"/>
          <w:sz w:val="22"/>
        </w:rPr>
        <w:t>крови</w:t>
      </w:r>
      <w:r>
        <w:rPr>
          <w:spacing w:val="-8"/>
          <w:position w:val="2"/>
          <w:sz w:val="22"/>
        </w:rPr>
        <w:t> </w:t>
      </w:r>
      <w:r>
        <w:rPr>
          <w:position w:val="2"/>
          <w:sz w:val="22"/>
        </w:rPr>
        <w:t>кислородом</w:t>
      </w:r>
      <w:r>
        <w:rPr>
          <w:spacing w:val="-8"/>
          <w:position w:val="2"/>
          <w:sz w:val="22"/>
        </w:rPr>
        <w:t> </w:t>
      </w:r>
      <w:r>
        <w:rPr>
          <w:position w:val="2"/>
          <w:sz w:val="22"/>
        </w:rPr>
        <w:t>(сатурация) </w:t>
      </w:r>
      <w:r>
        <w:rPr>
          <w:sz w:val="22"/>
        </w:rPr>
        <w:t>T – температура тела</w:t>
      </w:r>
    </w:p>
    <w:p>
      <w:pPr>
        <w:spacing w:line="288" w:lineRule="auto" w:before="0"/>
        <w:ind w:left="1700" w:right="4482" w:firstLine="0"/>
        <w:jc w:val="left"/>
        <w:rPr>
          <w:sz w:val="22"/>
        </w:rPr>
      </w:pPr>
      <w:r>
        <w:rPr>
          <w:sz w:val="22"/>
        </w:rPr>
        <w:t>Vt</w:t>
      </w:r>
      <w:r>
        <w:rPr>
          <w:spacing w:val="-5"/>
          <w:sz w:val="22"/>
        </w:rPr>
        <w:t> </w:t>
      </w:r>
      <w:r>
        <w:rPr>
          <w:sz w:val="22"/>
        </w:rPr>
        <w:t>–</w:t>
      </w:r>
      <w:r>
        <w:rPr>
          <w:spacing w:val="-6"/>
          <w:sz w:val="22"/>
        </w:rPr>
        <w:t> </w:t>
      </w:r>
      <w:r>
        <w:rPr>
          <w:sz w:val="22"/>
        </w:rPr>
        <w:t>дыхательный</w:t>
      </w:r>
      <w:r>
        <w:rPr>
          <w:spacing w:val="-6"/>
          <w:sz w:val="22"/>
        </w:rPr>
        <w:t> </w:t>
      </w:r>
      <w:r>
        <w:rPr>
          <w:sz w:val="22"/>
        </w:rPr>
        <w:t>объем</w:t>
      </w:r>
      <w:r>
        <w:rPr>
          <w:spacing w:val="-9"/>
          <w:sz w:val="22"/>
        </w:rPr>
        <w:t> </w:t>
      </w:r>
      <w:r>
        <w:rPr>
          <w:sz w:val="22"/>
        </w:rPr>
        <w:t>(мл)/масса</w:t>
      </w:r>
      <w:r>
        <w:rPr>
          <w:spacing w:val="-8"/>
          <w:sz w:val="22"/>
        </w:rPr>
        <w:t> </w:t>
      </w:r>
      <w:r>
        <w:rPr>
          <w:sz w:val="22"/>
        </w:rPr>
        <w:t>тела</w:t>
      </w:r>
      <w:r>
        <w:rPr>
          <w:spacing w:val="-8"/>
          <w:sz w:val="22"/>
        </w:rPr>
        <w:t> </w:t>
      </w:r>
      <w:r>
        <w:rPr>
          <w:sz w:val="22"/>
        </w:rPr>
        <w:t>(кг)</w:t>
      </w:r>
      <w:r>
        <w:rPr>
          <w:spacing w:val="-6"/>
          <w:sz w:val="22"/>
        </w:rPr>
        <w:t> </w:t>
      </w:r>
      <w:r>
        <w:rPr>
          <w:sz w:val="22"/>
        </w:rPr>
        <w:t>пациента XDR – штаммы с экстремальной резистентностью</w:t>
      </w: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28"/>
        <w:ind w:left="0"/>
        <w:jc w:val="left"/>
        <w:rPr>
          <w:sz w:val="22"/>
        </w:rPr>
      </w:pPr>
    </w:p>
    <w:p>
      <w:pPr>
        <w:spacing w:before="0"/>
        <w:ind w:left="140" w:right="0" w:firstLine="0"/>
        <w:jc w:val="center"/>
        <w:rPr>
          <w:rFonts w:ascii="Calibri"/>
          <w:sz w:val="22"/>
        </w:rPr>
      </w:pPr>
      <w:r>
        <w:rPr>
          <w:rFonts w:ascii="Calibri"/>
          <w:spacing w:val="-5"/>
          <w:sz w:val="22"/>
        </w:rPr>
        <w:t>233</w:t>
      </w:r>
    </w:p>
    <w:p>
      <w:pPr>
        <w:spacing w:before="1"/>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pStyle w:val="Heading1"/>
        <w:spacing w:before="64"/>
        <w:ind w:left="1556"/>
      </w:pPr>
      <w:bookmarkStart w:name="_TOC_250000" w:id="281"/>
      <w:bookmarkStart w:name="235" w:id="282"/>
      <w:r>
        <w:rPr>
          <w:b w:val="0"/>
        </w:rPr>
      </w:r>
      <w:r>
        <w:rPr>
          <w:color w:val="1F487C"/>
        </w:rPr>
        <w:t>АВТОРСКИЙ</w:t>
      </w:r>
      <w:r>
        <w:rPr>
          <w:color w:val="1F487C"/>
          <w:spacing w:val="-7"/>
        </w:rPr>
        <w:t> </w:t>
      </w:r>
      <w:bookmarkEnd w:id="281"/>
      <w:r>
        <w:rPr>
          <w:color w:val="1F487C"/>
          <w:spacing w:val="-2"/>
        </w:rPr>
        <w:t>КОЛЛЕКТИВ</w:t>
      </w:r>
    </w:p>
    <w:p>
      <w:pPr>
        <w:spacing w:line="276" w:lineRule="auto" w:before="202"/>
        <w:ind w:left="937" w:right="703" w:firstLine="704"/>
        <w:jc w:val="both"/>
        <w:rPr>
          <w:sz w:val="22"/>
        </w:rPr>
      </w:pPr>
      <w:r>
        <w:rPr>
          <w:b/>
          <w:i/>
          <w:sz w:val="22"/>
        </w:rPr>
        <w:t>Авдеев Сергей Николаевич </w:t>
      </w:r>
      <w:r>
        <w:rPr>
          <w:b/>
          <w:sz w:val="22"/>
        </w:rPr>
        <w:t>– </w:t>
      </w:r>
      <w:r>
        <w:rPr>
          <w:sz w:val="22"/>
        </w:rPr>
        <w:t>главный внештатный специалист-пульмонолог, заведующий кафедрой пульмонологии федерального государственного автономного образовательного учреждения высшего образования «Первый Московский государственный медицинский университет имени И.М. Сеченова» Минздрава России (Сеченовский Университет), заместитель директора федерального государственного бюджетного учреждения «Научно-исследовательский институт пульмонологии Федерального медико-биологического агентства»</w:t>
      </w:r>
    </w:p>
    <w:p>
      <w:pPr>
        <w:spacing w:line="276" w:lineRule="auto" w:before="0"/>
        <w:ind w:left="937" w:right="709" w:firstLine="704"/>
        <w:jc w:val="both"/>
        <w:rPr>
          <w:sz w:val="22"/>
        </w:rPr>
      </w:pPr>
      <w:r>
        <w:rPr>
          <w:b/>
          <w:i/>
          <w:sz w:val="22"/>
        </w:rPr>
        <w:t>Адамян Лейла Владимировна </w:t>
      </w:r>
      <w:r>
        <w:rPr>
          <w:b/>
          <w:sz w:val="22"/>
        </w:rPr>
        <w:t>– </w:t>
      </w:r>
      <w:r>
        <w:rPr>
          <w:sz w:val="22"/>
        </w:rPr>
        <w:t>главный внештатный специалист по гинекологии, заместитель директора по</w:t>
      </w:r>
      <w:r>
        <w:rPr>
          <w:spacing w:val="-4"/>
          <w:sz w:val="22"/>
        </w:rPr>
        <w:t> </w:t>
      </w:r>
      <w:r>
        <w:rPr>
          <w:sz w:val="22"/>
        </w:rPr>
        <w:t>научной</w:t>
      </w:r>
      <w:r>
        <w:rPr>
          <w:spacing w:val="-2"/>
          <w:sz w:val="22"/>
        </w:rPr>
        <w:t> </w:t>
      </w:r>
      <w:r>
        <w:rPr>
          <w:sz w:val="22"/>
        </w:rPr>
        <w:t>работе</w:t>
      </w:r>
      <w:r>
        <w:rPr>
          <w:spacing w:val="-1"/>
          <w:sz w:val="22"/>
        </w:rPr>
        <w:t> </w:t>
      </w:r>
      <w:r>
        <w:rPr>
          <w:sz w:val="22"/>
        </w:rPr>
        <w:t>федерального</w:t>
      </w:r>
      <w:r>
        <w:rPr>
          <w:spacing w:val="-3"/>
          <w:sz w:val="22"/>
        </w:rPr>
        <w:t> </w:t>
      </w:r>
      <w:r>
        <w:rPr>
          <w:sz w:val="22"/>
        </w:rPr>
        <w:t>государственного</w:t>
      </w:r>
      <w:r>
        <w:rPr>
          <w:spacing w:val="-3"/>
          <w:sz w:val="22"/>
        </w:rPr>
        <w:t> </w:t>
      </w:r>
      <w:r>
        <w:rPr>
          <w:sz w:val="22"/>
        </w:rPr>
        <w:t>бюджетного</w:t>
      </w:r>
      <w:r>
        <w:rPr>
          <w:spacing w:val="-3"/>
          <w:sz w:val="22"/>
        </w:rPr>
        <w:t> </w:t>
      </w:r>
      <w:r>
        <w:rPr>
          <w:sz w:val="22"/>
        </w:rPr>
        <w:t>учреждения</w:t>
      </w:r>
      <w:r>
        <w:rPr>
          <w:spacing w:val="-1"/>
          <w:sz w:val="22"/>
        </w:rPr>
        <w:t> </w:t>
      </w:r>
      <w:r>
        <w:rPr>
          <w:sz w:val="22"/>
        </w:rPr>
        <w:t>«Национальный медицинский</w:t>
      </w:r>
      <w:r>
        <w:rPr>
          <w:spacing w:val="-14"/>
          <w:sz w:val="22"/>
        </w:rPr>
        <w:t> </w:t>
      </w:r>
      <w:r>
        <w:rPr>
          <w:sz w:val="22"/>
        </w:rPr>
        <w:t>исследовательский</w:t>
      </w:r>
      <w:r>
        <w:rPr>
          <w:spacing w:val="-14"/>
          <w:sz w:val="22"/>
        </w:rPr>
        <w:t> </w:t>
      </w:r>
      <w:r>
        <w:rPr>
          <w:sz w:val="22"/>
        </w:rPr>
        <w:t>центр</w:t>
      </w:r>
      <w:r>
        <w:rPr>
          <w:spacing w:val="-14"/>
          <w:sz w:val="22"/>
        </w:rPr>
        <w:t> </w:t>
      </w:r>
      <w:r>
        <w:rPr>
          <w:sz w:val="22"/>
        </w:rPr>
        <w:t>акушерства,</w:t>
      </w:r>
      <w:r>
        <w:rPr>
          <w:spacing w:val="-13"/>
          <w:sz w:val="22"/>
        </w:rPr>
        <w:t> </w:t>
      </w:r>
      <w:r>
        <w:rPr>
          <w:sz w:val="22"/>
        </w:rPr>
        <w:t>гинекологии</w:t>
      </w:r>
      <w:r>
        <w:rPr>
          <w:spacing w:val="-14"/>
          <w:sz w:val="22"/>
        </w:rPr>
        <w:t> </w:t>
      </w:r>
      <w:r>
        <w:rPr>
          <w:sz w:val="22"/>
        </w:rPr>
        <w:t>и</w:t>
      </w:r>
      <w:r>
        <w:rPr>
          <w:spacing w:val="-14"/>
          <w:sz w:val="22"/>
        </w:rPr>
        <w:t> </w:t>
      </w:r>
      <w:r>
        <w:rPr>
          <w:sz w:val="22"/>
        </w:rPr>
        <w:t>перинатологии</w:t>
      </w:r>
      <w:r>
        <w:rPr>
          <w:spacing w:val="-14"/>
          <w:sz w:val="22"/>
        </w:rPr>
        <w:t> </w:t>
      </w:r>
      <w:r>
        <w:rPr>
          <w:sz w:val="22"/>
        </w:rPr>
        <w:t>имени</w:t>
      </w:r>
      <w:r>
        <w:rPr>
          <w:spacing w:val="-13"/>
          <w:sz w:val="22"/>
        </w:rPr>
        <w:t> </w:t>
      </w:r>
      <w:r>
        <w:rPr>
          <w:sz w:val="22"/>
        </w:rPr>
        <w:t>академика</w:t>
      </w:r>
      <w:r>
        <w:rPr>
          <w:spacing w:val="-14"/>
          <w:sz w:val="22"/>
        </w:rPr>
        <w:t> </w:t>
      </w:r>
      <w:r>
        <w:rPr>
          <w:sz w:val="22"/>
        </w:rPr>
        <w:t>В.И. Кулакова» Минздрава России</w:t>
      </w:r>
    </w:p>
    <w:p>
      <w:pPr>
        <w:spacing w:line="276" w:lineRule="auto" w:before="0"/>
        <w:ind w:left="947" w:right="706" w:firstLine="704"/>
        <w:jc w:val="both"/>
        <w:rPr>
          <w:sz w:val="22"/>
        </w:rPr>
      </w:pPr>
      <w:r>
        <w:rPr>
          <w:b/>
          <w:i/>
          <w:sz w:val="22"/>
        </w:rPr>
        <w:t>Алексеева Екатерина Иосифовна – </w:t>
      </w:r>
      <w:r>
        <w:rPr>
          <w:sz w:val="22"/>
        </w:rPr>
        <w:t>главный внештатный детский специалист-ревматолог Минздрава России, заведующая ревматологическим отделением ФГАУ «НМИЦ здоровья детей» Минздрава России, директор Клинического института детского здоровья им. Н.Ф. Филатова федерального</w:t>
      </w:r>
      <w:r>
        <w:rPr>
          <w:spacing w:val="80"/>
          <w:sz w:val="22"/>
        </w:rPr>
        <w:t> </w:t>
      </w:r>
      <w:r>
        <w:rPr>
          <w:sz w:val="22"/>
        </w:rPr>
        <w:t>государственного</w:t>
      </w:r>
      <w:r>
        <w:rPr>
          <w:spacing w:val="80"/>
          <w:sz w:val="22"/>
        </w:rPr>
        <w:t> </w:t>
      </w:r>
      <w:r>
        <w:rPr>
          <w:sz w:val="22"/>
        </w:rPr>
        <w:t>автономного</w:t>
      </w:r>
      <w:r>
        <w:rPr>
          <w:spacing w:val="80"/>
          <w:sz w:val="22"/>
        </w:rPr>
        <w:t> </w:t>
      </w:r>
      <w:r>
        <w:rPr>
          <w:sz w:val="22"/>
        </w:rPr>
        <w:t>образовательного</w:t>
      </w:r>
      <w:r>
        <w:rPr>
          <w:spacing w:val="80"/>
          <w:sz w:val="22"/>
        </w:rPr>
        <w:t> </w:t>
      </w:r>
      <w:r>
        <w:rPr>
          <w:sz w:val="22"/>
        </w:rPr>
        <w:t>учреждения</w:t>
      </w:r>
      <w:r>
        <w:rPr>
          <w:spacing w:val="80"/>
          <w:sz w:val="22"/>
        </w:rPr>
        <w:t> </w:t>
      </w:r>
      <w:r>
        <w:rPr>
          <w:sz w:val="22"/>
        </w:rPr>
        <w:t>высшего</w:t>
      </w:r>
      <w:r>
        <w:rPr>
          <w:spacing w:val="80"/>
          <w:sz w:val="22"/>
        </w:rPr>
        <w:t> </w:t>
      </w:r>
      <w:r>
        <w:rPr>
          <w:sz w:val="22"/>
        </w:rPr>
        <w:t>образования</w:t>
      </w:r>
    </w:p>
    <w:p>
      <w:pPr>
        <w:spacing w:line="276" w:lineRule="auto" w:before="0"/>
        <w:ind w:left="947" w:right="705" w:firstLine="0"/>
        <w:jc w:val="both"/>
        <w:rPr>
          <w:sz w:val="22"/>
        </w:rPr>
      </w:pPr>
      <w:r>
        <w:rPr>
          <w:sz w:val="22"/>
        </w:rPr>
        <w:t>«Первый Московский государственный медицинский университет имени И.М. Сеченова» Минздрава России (Сеченовский Университет)</w:t>
      </w:r>
    </w:p>
    <w:p>
      <w:pPr>
        <w:spacing w:line="276" w:lineRule="auto" w:before="0"/>
        <w:ind w:left="937" w:right="705" w:firstLine="704"/>
        <w:jc w:val="both"/>
        <w:rPr>
          <w:sz w:val="22"/>
        </w:rPr>
      </w:pPr>
      <w:r>
        <w:rPr>
          <w:b/>
          <w:i/>
          <w:sz w:val="22"/>
        </w:rPr>
        <w:t>Багненко Сергей Федорович – </w:t>
      </w:r>
      <w:r>
        <w:rPr>
          <w:sz w:val="22"/>
        </w:rPr>
        <w:t>ректор федерального государственного бюджетного образовательного учреждения высшего образования «Первый Санкт-Петербургский государственный медицинский университет имени академика И.П. Павлова» Минздрава России, главный внештатный специалист по скорой медицинской помощи Минздрава России</w:t>
      </w:r>
    </w:p>
    <w:p>
      <w:pPr>
        <w:spacing w:line="276" w:lineRule="auto" w:before="0"/>
        <w:ind w:left="937" w:right="705" w:firstLine="704"/>
        <w:jc w:val="both"/>
        <w:rPr>
          <w:sz w:val="22"/>
        </w:rPr>
      </w:pPr>
      <w:r>
        <w:rPr>
          <w:b/>
          <w:i/>
          <w:sz w:val="22"/>
        </w:rPr>
        <w:t>Баранов Александр Александрович </w:t>
      </w:r>
      <w:r>
        <w:rPr>
          <w:b/>
          <w:sz w:val="22"/>
        </w:rPr>
        <w:t>– </w:t>
      </w:r>
      <w:r>
        <w:rPr>
          <w:sz w:val="22"/>
        </w:rPr>
        <w:t>главный внештатный специалист-педиатр Минздрава России, профессор кафедры педиатрии и детской ревматологии Клинического института детского здоровья имени Н.Ф. Филатова ФГАОУ ВО «Первый МГМУ им. И.М. Сеченова» Минздрава России (Сеченовский Университет)</w:t>
      </w:r>
    </w:p>
    <w:p>
      <w:pPr>
        <w:spacing w:line="276" w:lineRule="auto" w:before="0"/>
        <w:ind w:left="937" w:right="706" w:firstLine="704"/>
        <w:jc w:val="both"/>
        <w:rPr>
          <w:sz w:val="22"/>
        </w:rPr>
      </w:pPr>
      <w:r>
        <w:rPr>
          <w:b/>
          <w:i/>
          <w:sz w:val="22"/>
        </w:rPr>
        <w:t>Баранова Наталья Николаевна – </w:t>
      </w:r>
      <w:r>
        <w:rPr>
          <w:sz w:val="22"/>
        </w:rPr>
        <w:t>главный врач Центра медицинской эвакуации и экстренной медицинской помощи федерального государственного бюджетного учреждения «Всероссийский центр медицины катастроф "Защита"» ФМБА России</w:t>
      </w:r>
    </w:p>
    <w:p>
      <w:pPr>
        <w:spacing w:line="276" w:lineRule="auto" w:before="0"/>
        <w:ind w:left="849" w:right="704" w:firstLine="704"/>
        <w:jc w:val="both"/>
        <w:rPr>
          <w:sz w:val="22"/>
        </w:rPr>
      </w:pPr>
      <w:r>
        <w:rPr>
          <w:b/>
          <w:i/>
          <w:sz w:val="22"/>
        </w:rPr>
        <w:t>Белевский Андрей Станиславович </w:t>
      </w:r>
      <w:r>
        <w:rPr>
          <w:sz w:val="22"/>
        </w:rPr>
        <w:t>– заведующий кафедрой пульмонологии федерального государственного автономного образовательного учреждения высшего образования «Российский национальный исследовательский медицинский университет имени Н.И. Пирогова» Минздрава России, главный внештатный специалист-пульмонолог Департамента здравоохранения Москвы</w:t>
      </w:r>
    </w:p>
    <w:p>
      <w:pPr>
        <w:spacing w:line="276" w:lineRule="auto" w:before="0"/>
        <w:ind w:left="849" w:right="706" w:firstLine="704"/>
        <w:jc w:val="both"/>
        <w:rPr>
          <w:sz w:val="22"/>
        </w:rPr>
      </w:pPr>
      <w:r>
        <w:rPr>
          <w:b/>
          <w:i/>
          <w:sz w:val="22"/>
        </w:rPr>
        <w:t>Белкин Андрей Августович – </w:t>
      </w:r>
      <w:r>
        <w:rPr>
          <w:sz w:val="22"/>
        </w:rPr>
        <w:t>главный внештатный специалист по медицинской реабилитации Минздрава</w:t>
      </w:r>
      <w:r>
        <w:rPr>
          <w:spacing w:val="80"/>
          <w:sz w:val="22"/>
        </w:rPr>
        <w:t>  </w:t>
      </w:r>
      <w:r>
        <w:rPr>
          <w:sz w:val="22"/>
        </w:rPr>
        <w:t>России</w:t>
      </w:r>
      <w:r>
        <w:rPr>
          <w:spacing w:val="80"/>
          <w:sz w:val="22"/>
        </w:rPr>
        <w:t>  </w:t>
      </w:r>
      <w:r>
        <w:rPr>
          <w:sz w:val="22"/>
        </w:rPr>
        <w:t>в</w:t>
      </w:r>
      <w:r>
        <w:rPr>
          <w:spacing w:val="80"/>
          <w:sz w:val="22"/>
        </w:rPr>
        <w:t>  </w:t>
      </w:r>
      <w:r>
        <w:rPr>
          <w:sz w:val="22"/>
        </w:rPr>
        <w:t>Уральском</w:t>
      </w:r>
      <w:r>
        <w:rPr>
          <w:spacing w:val="80"/>
          <w:sz w:val="22"/>
        </w:rPr>
        <w:t>  </w:t>
      </w:r>
      <w:r>
        <w:rPr>
          <w:sz w:val="22"/>
        </w:rPr>
        <w:t>федеральном</w:t>
      </w:r>
      <w:r>
        <w:rPr>
          <w:spacing w:val="80"/>
          <w:sz w:val="22"/>
        </w:rPr>
        <w:t>  </w:t>
      </w:r>
      <w:r>
        <w:rPr>
          <w:sz w:val="22"/>
        </w:rPr>
        <w:t>округе,</w:t>
      </w:r>
      <w:r>
        <w:rPr>
          <w:spacing w:val="80"/>
          <w:sz w:val="22"/>
        </w:rPr>
        <w:t>  </w:t>
      </w:r>
      <w:r>
        <w:rPr>
          <w:sz w:val="22"/>
        </w:rPr>
        <w:t>профессор</w:t>
      </w:r>
      <w:r>
        <w:rPr>
          <w:spacing w:val="80"/>
          <w:sz w:val="22"/>
        </w:rPr>
        <w:t>  </w:t>
      </w:r>
      <w:r>
        <w:rPr>
          <w:sz w:val="22"/>
        </w:rPr>
        <w:t>кафедры</w:t>
      </w:r>
      <w:r>
        <w:rPr>
          <w:spacing w:val="80"/>
          <w:sz w:val="22"/>
        </w:rPr>
        <w:t>  </w:t>
      </w:r>
      <w:r>
        <w:rPr>
          <w:sz w:val="22"/>
        </w:rPr>
        <w:t>физической и</w:t>
      </w:r>
      <w:r>
        <w:rPr>
          <w:spacing w:val="-3"/>
          <w:sz w:val="22"/>
        </w:rPr>
        <w:t> </w:t>
      </w:r>
      <w:r>
        <w:rPr>
          <w:sz w:val="22"/>
        </w:rPr>
        <w:t>реабилитационной медицины федерального государственного бюджетного образовательного учреждения высшего образования «Уральский государственный медицинский университет» Министерства здравоохранения Российской Федерации, директор ООО «Клинический институт мозга»</w:t>
      </w:r>
    </w:p>
    <w:p>
      <w:pPr>
        <w:spacing w:line="276" w:lineRule="auto" w:before="0"/>
        <w:ind w:left="849" w:right="705" w:firstLine="704"/>
        <w:jc w:val="both"/>
        <w:rPr>
          <w:sz w:val="22"/>
        </w:rPr>
      </w:pPr>
      <w:r>
        <w:rPr>
          <w:b/>
          <w:i/>
          <w:sz w:val="22"/>
        </w:rPr>
        <w:t>Белобородов Владимир Борисович </w:t>
      </w:r>
      <w:r>
        <w:rPr>
          <w:sz w:val="22"/>
        </w:rPr>
        <w:t>– заведующий кафедрой инфекционных болезней федерального государственного бюджетного образовательного учреждения дополнительного профессионального образования «Российская медицинская академия непрерывного профессионального образования» Минздрава России</w:t>
      </w:r>
    </w:p>
    <w:p>
      <w:pPr>
        <w:spacing w:line="276" w:lineRule="auto" w:before="0"/>
        <w:ind w:left="849" w:right="704" w:firstLine="704"/>
        <w:jc w:val="both"/>
        <w:rPr>
          <w:sz w:val="22"/>
        </w:rPr>
      </w:pPr>
      <w:r>
        <w:rPr>
          <w:b/>
          <w:i/>
          <w:sz w:val="22"/>
        </w:rPr>
        <w:t>Бодрова Резеда Ахметовна – </w:t>
      </w:r>
      <w:r>
        <w:rPr>
          <w:sz w:val="22"/>
        </w:rPr>
        <w:t>заведующая кафедрой реабилитологии и спортивной медицины Казанской государственной медицинской академии, филиала федерального государственного бюджетного</w:t>
      </w:r>
      <w:r>
        <w:rPr>
          <w:spacing w:val="72"/>
          <w:sz w:val="22"/>
        </w:rPr>
        <w:t>  </w:t>
      </w:r>
      <w:r>
        <w:rPr>
          <w:sz w:val="22"/>
        </w:rPr>
        <w:t>образовательного</w:t>
      </w:r>
      <w:r>
        <w:rPr>
          <w:spacing w:val="72"/>
          <w:sz w:val="22"/>
        </w:rPr>
        <w:t>  </w:t>
      </w:r>
      <w:r>
        <w:rPr>
          <w:sz w:val="22"/>
        </w:rPr>
        <w:t>учреждения</w:t>
      </w:r>
      <w:r>
        <w:rPr>
          <w:spacing w:val="72"/>
          <w:sz w:val="22"/>
        </w:rPr>
        <w:t>  </w:t>
      </w:r>
      <w:r>
        <w:rPr>
          <w:sz w:val="22"/>
        </w:rPr>
        <w:t>дополнительного</w:t>
      </w:r>
      <w:r>
        <w:rPr>
          <w:spacing w:val="73"/>
          <w:sz w:val="22"/>
        </w:rPr>
        <w:t>  </w:t>
      </w:r>
      <w:r>
        <w:rPr>
          <w:sz w:val="22"/>
        </w:rPr>
        <w:t>профессионального</w:t>
      </w:r>
      <w:r>
        <w:rPr>
          <w:spacing w:val="72"/>
          <w:sz w:val="22"/>
        </w:rPr>
        <w:t>  </w:t>
      </w:r>
      <w:r>
        <w:rPr>
          <w:spacing w:val="-2"/>
          <w:sz w:val="22"/>
        </w:rPr>
        <w:t>образования</w:t>
      </w:r>
    </w:p>
    <w:p>
      <w:pPr>
        <w:spacing w:line="276" w:lineRule="auto" w:before="0"/>
        <w:ind w:left="849" w:right="710" w:firstLine="0"/>
        <w:jc w:val="both"/>
        <w:rPr>
          <w:sz w:val="22"/>
        </w:rPr>
      </w:pPr>
      <w:r>
        <w:rPr>
          <w:sz w:val="22"/>
        </w:rPr>
        <w:t>«Российская медицинская академия последипломного образования» Министерства здравоохранения Российской Федерации</w:t>
      </w:r>
    </w:p>
    <w:p>
      <w:pPr>
        <w:spacing w:before="38"/>
        <w:ind w:left="140" w:right="0" w:firstLine="0"/>
        <w:jc w:val="center"/>
        <w:rPr>
          <w:rFonts w:ascii="Calibri"/>
          <w:sz w:val="22"/>
        </w:rPr>
      </w:pPr>
      <w:r>
        <w:rPr>
          <w:rFonts w:ascii="Calibri"/>
          <w:spacing w:val="-5"/>
          <w:sz w:val="22"/>
        </w:rPr>
        <w:t>234</w:t>
      </w:r>
    </w:p>
    <w:p>
      <w:pPr>
        <w:spacing w:before="2"/>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spacing w:line="276" w:lineRule="auto" w:before="65"/>
        <w:ind w:left="849" w:right="706" w:firstLine="704"/>
        <w:jc w:val="both"/>
        <w:rPr>
          <w:sz w:val="22"/>
        </w:rPr>
      </w:pPr>
      <w:bookmarkStart w:name="236" w:id="283"/>
      <w:bookmarkEnd w:id="283"/>
      <w:r>
        <w:rPr/>
      </w:r>
      <w:r>
        <w:rPr>
          <w:b/>
          <w:i/>
          <w:sz w:val="22"/>
        </w:rPr>
        <w:t>Буйлова Татьяна Валентиновна – </w:t>
      </w:r>
      <w:r>
        <w:rPr>
          <w:sz w:val="22"/>
        </w:rPr>
        <w:t>главный внештатный специалист по медицинской реабилитации</w:t>
      </w:r>
      <w:r>
        <w:rPr>
          <w:spacing w:val="-13"/>
          <w:sz w:val="22"/>
        </w:rPr>
        <w:t> </w:t>
      </w:r>
      <w:r>
        <w:rPr>
          <w:sz w:val="22"/>
        </w:rPr>
        <w:t>Минздрава</w:t>
      </w:r>
      <w:r>
        <w:rPr>
          <w:spacing w:val="-14"/>
          <w:sz w:val="22"/>
        </w:rPr>
        <w:t> </w:t>
      </w:r>
      <w:r>
        <w:rPr>
          <w:sz w:val="22"/>
        </w:rPr>
        <w:t>России</w:t>
      </w:r>
      <w:r>
        <w:rPr>
          <w:spacing w:val="-12"/>
          <w:sz w:val="22"/>
        </w:rPr>
        <w:t> </w:t>
      </w:r>
      <w:r>
        <w:rPr>
          <w:sz w:val="22"/>
        </w:rPr>
        <w:t>в</w:t>
      </w:r>
      <w:r>
        <w:rPr>
          <w:spacing w:val="-13"/>
          <w:sz w:val="22"/>
        </w:rPr>
        <w:t> </w:t>
      </w:r>
      <w:r>
        <w:rPr>
          <w:sz w:val="22"/>
        </w:rPr>
        <w:t>Приволжском</w:t>
      </w:r>
      <w:r>
        <w:rPr>
          <w:spacing w:val="-14"/>
          <w:sz w:val="22"/>
        </w:rPr>
        <w:t> </w:t>
      </w:r>
      <w:r>
        <w:rPr>
          <w:sz w:val="22"/>
        </w:rPr>
        <w:t>федеральном</w:t>
      </w:r>
      <w:r>
        <w:rPr>
          <w:spacing w:val="-14"/>
          <w:sz w:val="22"/>
        </w:rPr>
        <w:t> </w:t>
      </w:r>
      <w:r>
        <w:rPr>
          <w:sz w:val="22"/>
        </w:rPr>
        <w:t>округе,</w:t>
      </w:r>
      <w:r>
        <w:rPr>
          <w:spacing w:val="-14"/>
          <w:sz w:val="22"/>
        </w:rPr>
        <w:t> </w:t>
      </w:r>
      <w:r>
        <w:rPr>
          <w:sz w:val="22"/>
        </w:rPr>
        <w:t>директор</w:t>
      </w:r>
      <w:r>
        <w:rPr>
          <w:spacing w:val="-12"/>
          <w:sz w:val="22"/>
        </w:rPr>
        <w:t> </w:t>
      </w:r>
      <w:r>
        <w:rPr>
          <w:sz w:val="22"/>
        </w:rPr>
        <w:t>Института</w:t>
      </w:r>
      <w:r>
        <w:rPr>
          <w:spacing w:val="-14"/>
          <w:sz w:val="22"/>
        </w:rPr>
        <w:t> </w:t>
      </w:r>
      <w:r>
        <w:rPr>
          <w:sz w:val="22"/>
        </w:rPr>
        <w:t>реабилитации и</w:t>
      </w:r>
      <w:r>
        <w:rPr>
          <w:spacing w:val="-14"/>
          <w:sz w:val="22"/>
        </w:rPr>
        <w:t> </w:t>
      </w:r>
      <w:r>
        <w:rPr>
          <w:sz w:val="22"/>
        </w:rPr>
        <w:t>здоровья</w:t>
      </w:r>
      <w:r>
        <w:rPr>
          <w:spacing w:val="-14"/>
          <w:sz w:val="22"/>
        </w:rPr>
        <w:t> </w:t>
      </w:r>
      <w:r>
        <w:rPr>
          <w:sz w:val="22"/>
        </w:rPr>
        <w:t>человека</w:t>
      </w:r>
      <w:r>
        <w:rPr>
          <w:spacing w:val="-14"/>
          <w:sz w:val="22"/>
        </w:rPr>
        <w:t> </w:t>
      </w:r>
      <w:r>
        <w:rPr>
          <w:sz w:val="22"/>
        </w:rPr>
        <w:t>федерального</w:t>
      </w:r>
      <w:r>
        <w:rPr>
          <w:spacing w:val="-13"/>
          <w:sz w:val="22"/>
        </w:rPr>
        <w:t> </w:t>
      </w:r>
      <w:r>
        <w:rPr>
          <w:sz w:val="22"/>
        </w:rPr>
        <w:t>государственного</w:t>
      </w:r>
      <w:r>
        <w:rPr>
          <w:spacing w:val="-14"/>
          <w:sz w:val="22"/>
        </w:rPr>
        <w:t> </w:t>
      </w:r>
      <w:r>
        <w:rPr>
          <w:sz w:val="22"/>
        </w:rPr>
        <w:t>автономного</w:t>
      </w:r>
      <w:r>
        <w:rPr>
          <w:spacing w:val="-14"/>
          <w:sz w:val="22"/>
        </w:rPr>
        <w:t> </w:t>
      </w:r>
      <w:r>
        <w:rPr>
          <w:sz w:val="22"/>
        </w:rPr>
        <w:t>образовательного</w:t>
      </w:r>
      <w:r>
        <w:rPr>
          <w:spacing w:val="-14"/>
          <w:sz w:val="22"/>
        </w:rPr>
        <w:t> </w:t>
      </w:r>
      <w:r>
        <w:rPr>
          <w:sz w:val="22"/>
        </w:rPr>
        <w:t>учреждения</w:t>
      </w:r>
      <w:r>
        <w:rPr>
          <w:spacing w:val="-13"/>
          <w:sz w:val="22"/>
        </w:rPr>
        <w:t> </w:t>
      </w:r>
      <w:r>
        <w:rPr>
          <w:sz w:val="22"/>
        </w:rPr>
        <w:t>высшего образования «Национальный исследовательский Нижегородский</w:t>
      </w:r>
      <w:r>
        <w:rPr>
          <w:spacing w:val="-3"/>
          <w:sz w:val="22"/>
        </w:rPr>
        <w:t> </w:t>
      </w:r>
      <w:r>
        <w:rPr>
          <w:sz w:val="22"/>
        </w:rPr>
        <w:t>государственный университет им.</w:t>
      </w:r>
      <w:r>
        <w:rPr>
          <w:spacing w:val="-2"/>
          <w:sz w:val="22"/>
        </w:rPr>
        <w:t> </w:t>
      </w:r>
      <w:r>
        <w:rPr>
          <w:sz w:val="22"/>
        </w:rPr>
        <w:t>Н.И. </w:t>
      </w:r>
      <w:r>
        <w:rPr>
          <w:spacing w:val="-2"/>
          <w:sz w:val="22"/>
        </w:rPr>
        <w:t>Лобачевского»</w:t>
      </w:r>
    </w:p>
    <w:p>
      <w:pPr>
        <w:spacing w:line="276" w:lineRule="auto" w:before="0"/>
        <w:ind w:left="849" w:right="704" w:firstLine="704"/>
        <w:jc w:val="both"/>
        <w:rPr>
          <w:sz w:val="22"/>
        </w:rPr>
      </w:pPr>
      <w:r>
        <w:rPr>
          <w:b/>
          <w:i/>
          <w:sz w:val="22"/>
        </w:rPr>
        <w:t>Бойко</w:t>
      </w:r>
      <w:r>
        <w:rPr>
          <w:b/>
          <w:i/>
          <w:spacing w:val="40"/>
          <w:sz w:val="22"/>
        </w:rPr>
        <w:t>  </w:t>
      </w:r>
      <w:r>
        <w:rPr>
          <w:b/>
          <w:i/>
          <w:sz w:val="22"/>
        </w:rPr>
        <w:t>Елена</w:t>
      </w:r>
      <w:r>
        <w:rPr>
          <w:b/>
          <w:i/>
          <w:spacing w:val="80"/>
          <w:w w:val="150"/>
          <w:sz w:val="22"/>
        </w:rPr>
        <w:t> </w:t>
      </w:r>
      <w:r>
        <w:rPr>
          <w:b/>
          <w:i/>
          <w:sz w:val="22"/>
        </w:rPr>
        <w:t>Алексеевна</w:t>
      </w:r>
      <w:r>
        <w:rPr>
          <w:b/>
          <w:i/>
          <w:spacing w:val="40"/>
          <w:sz w:val="22"/>
        </w:rPr>
        <w:t>  </w:t>
      </w:r>
      <w:r>
        <w:rPr>
          <w:b/>
          <w:i/>
          <w:sz w:val="22"/>
        </w:rPr>
        <w:t>–</w:t>
      </w:r>
      <w:r>
        <w:rPr>
          <w:b/>
          <w:i/>
          <w:spacing w:val="40"/>
          <w:sz w:val="22"/>
        </w:rPr>
        <w:t>  </w:t>
      </w:r>
      <w:r>
        <w:rPr>
          <w:sz w:val="22"/>
        </w:rPr>
        <w:t>начальник</w:t>
      </w:r>
      <w:r>
        <w:rPr>
          <w:spacing w:val="40"/>
          <w:sz w:val="22"/>
        </w:rPr>
        <w:t>  </w:t>
      </w:r>
      <w:r>
        <w:rPr>
          <w:sz w:val="22"/>
        </w:rPr>
        <w:t>отдела</w:t>
      </w:r>
      <w:r>
        <w:rPr>
          <w:spacing w:val="80"/>
          <w:w w:val="150"/>
          <w:sz w:val="22"/>
        </w:rPr>
        <w:t> </w:t>
      </w:r>
      <w:r>
        <w:rPr>
          <w:sz w:val="22"/>
        </w:rPr>
        <w:t>координационно-аналитического</w:t>
      </w:r>
      <w:r>
        <w:rPr>
          <w:spacing w:val="80"/>
          <w:w w:val="150"/>
          <w:sz w:val="22"/>
        </w:rPr>
        <w:t> </w:t>
      </w:r>
      <w:r>
        <w:rPr>
          <w:sz w:val="22"/>
        </w:rPr>
        <w:t>центра по</w:t>
      </w:r>
      <w:r>
        <w:rPr>
          <w:spacing w:val="-5"/>
          <w:sz w:val="22"/>
        </w:rPr>
        <w:t> </w:t>
      </w:r>
      <w:r>
        <w:rPr>
          <w:sz w:val="22"/>
        </w:rPr>
        <w:t>обеспечению</w:t>
      </w:r>
      <w:r>
        <w:rPr>
          <w:spacing w:val="-9"/>
          <w:sz w:val="22"/>
        </w:rPr>
        <w:t> </w:t>
      </w:r>
      <w:r>
        <w:rPr>
          <w:sz w:val="22"/>
        </w:rPr>
        <w:t>химической</w:t>
      </w:r>
      <w:r>
        <w:rPr>
          <w:spacing w:val="-7"/>
          <w:sz w:val="22"/>
        </w:rPr>
        <w:t> </w:t>
      </w:r>
      <w:r>
        <w:rPr>
          <w:sz w:val="22"/>
        </w:rPr>
        <w:t>и</w:t>
      </w:r>
      <w:r>
        <w:rPr>
          <w:spacing w:val="-7"/>
          <w:sz w:val="22"/>
        </w:rPr>
        <w:t> </w:t>
      </w:r>
      <w:r>
        <w:rPr>
          <w:sz w:val="22"/>
        </w:rPr>
        <w:t>биологической</w:t>
      </w:r>
      <w:r>
        <w:rPr>
          <w:spacing w:val="-10"/>
          <w:sz w:val="22"/>
        </w:rPr>
        <w:t> </w:t>
      </w:r>
      <w:r>
        <w:rPr>
          <w:sz w:val="22"/>
        </w:rPr>
        <w:t>безопасности</w:t>
      </w:r>
      <w:r>
        <w:rPr>
          <w:spacing w:val="-8"/>
          <w:sz w:val="22"/>
        </w:rPr>
        <w:t> </w:t>
      </w:r>
      <w:r>
        <w:rPr>
          <w:sz w:val="22"/>
        </w:rPr>
        <w:t>федерального</w:t>
      </w:r>
      <w:r>
        <w:rPr>
          <w:spacing w:val="-9"/>
          <w:sz w:val="22"/>
        </w:rPr>
        <w:t> </w:t>
      </w:r>
      <w:r>
        <w:rPr>
          <w:sz w:val="22"/>
        </w:rPr>
        <w:t>государственного</w:t>
      </w:r>
      <w:r>
        <w:rPr>
          <w:spacing w:val="-9"/>
          <w:sz w:val="22"/>
        </w:rPr>
        <w:t> </w:t>
      </w:r>
      <w:r>
        <w:rPr>
          <w:sz w:val="22"/>
        </w:rPr>
        <w:t>бюджетного учреждения «Центр стратегического планирования и управления медико-биологическими рисками здоровью» ФМБА России</w:t>
      </w:r>
    </w:p>
    <w:p>
      <w:pPr>
        <w:spacing w:line="276" w:lineRule="auto" w:before="0"/>
        <w:ind w:left="849" w:right="708" w:firstLine="704"/>
        <w:jc w:val="both"/>
        <w:rPr>
          <w:sz w:val="22"/>
        </w:rPr>
      </w:pPr>
      <w:r>
        <w:rPr>
          <w:b/>
          <w:i/>
          <w:sz w:val="22"/>
        </w:rPr>
        <w:t>Брико Николай Иванович – </w:t>
      </w:r>
      <w:r>
        <w:rPr>
          <w:sz w:val="22"/>
        </w:rPr>
        <w:t>заведующий кафедрой эпидемиологии и доказательной медицины федерального</w:t>
      </w:r>
      <w:r>
        <w:rPr>
          <w:spacing w:val="80"/>
          <w:sz w:val="22"/>
        </w:rPr>
        <w:t> </w:t>
      </w:r>
      <w:r>
        <w:rPr>
          <w:sz w:val="22"/>
        </w:rPr>
        <w:t>государственного</w:t>
      </w:r>
      <w:r>
        <w:rPr>
          <w:spacing w:val="80"/>
          <w:sz w:val="22"/>
        </w:rPr>
        <w:t> </w:t>
      </w:r>
      <w:r>
        <w:rPr>
          <w:sz w:val="22"/>
        </w:rPr>
        <w:t>автономного</w:t>
      </w:r>
      <w:r>
        <w:rPr>
          <w:spacing w:val="80"/>
          <w:sz w:val="22"/>
        </w:rPr>
        <w:t> </w:t>
      </w:r>
      <w:r>
        <w:rPr>
          <w:sz w:val="22"/>
        </w:rPr>
        <w:t>образовательного</w:t>
      </w:r>
      <w:r>
        <w:rPr>
          <w:spacing w:val="80"/>
          <w:sz w:val="22"/>
        </w:rPr>
        <w:t> </w:t>
      </w:r>
      <w:r>
        <w:rPr>
          <w:sz w:val="22"/>
        </w:rPr>
        <w:t>учреждения</w:t>
      </w:r>
      <w:r>
        <w:rPr>
          <w:spacing w:val="80"/>
          <w:sz w:val="22"/>
        </w:rPr>
        <w:t> </w:t>
      </w:r>
      <w:r>
        <w:rPr>
          <w:sz w:val="22"/>
        </w:rPr>
        <w:t>высшего</w:t>
      </w:r>
      <w:r>
        <w:rPr>
          <w:spacing w:val="80"/>
          <w:sz w:val="22"/>
        </w:rPr>
        <w:t> </w:t>
      </w:r>
      <w:r>
        <w:rPr>
          <w:sz w:val="22"/>
        </w:rPr>
        <w:t>образования</w:t>
      </w:r>
    </w:p>
    <w:p>
      <w:pPr>
        <w:spacing w:line="276" w:lineRule="auto" w:before="0"/>
        <w:ind w:left="849" w:right="705" w:firstLine="0"/>
        <w:jc w:val="both"/>
        <w:rPr>
          <w:sz w:val="22"/>
        </w:rPr>
      </w:pPr>
      <w:r>
        <w:rPr>
          <w:sz w:val="22"/>
        </w:rPr>
        <w:t>«Первый Московский государственный медицинский университет имени И.М. Сеченова» Минздрава России (Сеченовский Университет)</w:t>
      </w:r>
    </w:p>
    <w:p>
      <w:pPr>
        <w:spacing w:line="276" w:lineRule="auto" w:before="0"/>
        <w:ind w:left="937" w:right="706" w:firstLine="704"/>
        <w:jc w:val="both"/>
        <w:rPr>
          <w:sz w:val="22"/>
        </w:rPr>
      </w:pPr>
      <w:r>
        <w:rPr>
          <w:b/>
          <w:i/>
          <w:sz w:val="22"/>
        </w:rPr>
        <w:t>Брусина Елена Борисовна – </w:t>
      </w:r>
      <w:r>
        <w:rPr>
          <w:sz w:val="22"/>
        </w:rPr>
        <w:t>главный</w:t>
      </w:r>
      <w:r>
        <w:rPr>
          <w:spacing w:val="-2"/>
          <w:sz w:val="22"/>
        </w:rPr>
        <w:t> </w:t>
      </w:r>
      <w:r>
        <w:rPr>
          <w:sz w:val="22"/>
        </w:rPr>
        <w:t>эпидемиолог</w:t>
      </w:r>
      <w:r>
        <w:rPr>
          <w:spacing w:val="-1"/>
          <w:sz w:val="22"/>
        </w:rPr>
        <w:t> </w:t>
      </w:r>
      <w:r>
        <w:rPr>
          <w:sz w:val="22"/>
        </w:rPr>
        <w:t>Кемеровской области, заведующая кафедрой эпидемиологии, инфекционных болезней и дерматовенерологии федерального государственного бюджетного образовательного учреждения высшего образования «Кемеровский государственный медицинский университет» Минздрава России</w:t>
      </w:r>
    </w:p>
    <w:p>
      <w:pPr>
        <w:spacing w:line="276" w:lineRule="auto" w:before="0"/>
        <w:ind w:left="937" w:right="707" w:firstLine="704"/>
        <w:jc w:val="both"/>
        <w:rPr>
          <w:sz w:val="22"/>
        </w:rPr>
      </w:pPr>
      <w:r>
        <w:rPr>
          <w:b/>
          <w:i/>
          <w:sz w:val="22"/>
        </w:rPr>
        <w:t>Вавилова Татьяна Владимировна – </w:t>
      </w:r>
      <w:r>
        <w:rPr>
          <w:sz w:val="22"/>
        </w:rPr>
        <w:t>главный внештатный специалист по клинической лабораторной</w:t>
      </w:r>
      <w:r>
        <w:rPr>
          <w:spacing w:val="80"/>
          <w:w w:val="150"/>
          <w:sz w:val="22"/>
        </w:rPr>
        <w:t> </w:t>
      </w:r>
      <w:r>
        <w:rPr>
          <w:sz w:val="22"/>
        </w:rPr>
        <w:t>диагностике</w:t>
      </w:r>
      <w:r>
        <w:rPr>
          <w:spacing w:val="80"/>
          <w:w w:val="150"/>
          <w:sz w:val="22"/>
        </w:rPr>
        <w:t> </w:t>
      </w:r>
      <w:r>
        <w:rPr>
          <w:sz w:val="22"/>
        </w:rPr>
        <w:t>Минздрава</w:t>
      </w:r>
      <w:r>
        <w:rPr>
          <w:spacing w:val="80"/>
          <w:w w:val="150"/>
          <w:sz w:val="22"/>
        </w:rPr>
        <w:t> </w:t>
      </w:r>
      <w:r>
        <w:rPr>
          <w:sz w:val="22"/>
        </w:rPr>
        <w:t>России,</w:t>
      </w:r>
      <w:r>
        <w:rPr>
          <w:spacing w:val="80"/>
          <w:w w:val="150"/>
          <w:sz w:val="22"/>
        </w:rPr>
        <w:t> </w:t>
      </w:r>
      <w:r>
        <w:rPr>
          <w:sz w:val="22"/>
        </w:rPr>
        <w:t>заведующая</w:t>
      </w:r>
      <w:r>
        <w:rPr>
          <w:spacing w:val="80"/>
          <w:w w:val="150"/>
          <w:sz w:val="22"/>
        </w:rPr>
        <w:t> </w:t>
      </w:r>
      <w:r>
        <w:rPr>
          <w:sz w:val="22"/>
        </w:rPr>
        <w:t>кафедрой</w:t>
      </w:r>
      <w:r>
        <w:rPr>
          <w:spacing w:val="80"/>
          <w:w w:val="150"/>
          <w:sz w:val="22"/>
        </w:rPr>
        <w:t> </w:t>
      </w:r>
      <w:r>
        <w:rPr>
          <w:sz w:val="22"/>
        </w:rPr>
        <w:t>лабораторной</w:t>
      </w:r>
      <w:r>
        <w:rPr>
          <w:spacing w:val="80"/>
          <w:w w:val="150"/>
          <w:sz w:val="22"/>
        </w:rPr>
        <w:t> </w:t>
      </w:r>
      <w:r>
        <w:rPr>
          <w:sz w:val="22"/>
        </w:rPr>
        <w:t>медицины</w:t>
      </w:r>
      <w:r>
        <w:rPr>
          <w:spacing w:val="80"/>
          <w:sz w:val="22"/>
        </w:rPr>
        <w:t> </w:t>
      </w:r>
      <w:r>
        <w:rPr>
          <w:sz w:val="22"/>
        </w:rPr>
        <w:t>и</w:t>
      </w:r>
      <w:r>
        <w:rPr>
          <w:spacing w:val="-3"/>
          <w:sz w:val="22"/>
        </w:rPr>
        <w:t> </w:t>
      </w:r>
      <w:r>
        <w:rPr>
          <w:sz w:val="22"/>
        </w:rPr>
        <w:t>генетики Института медицинского образования федерального государственного бюджетного учреждения «Национальный медицинский исследовательский центр имени В.А. Алмазова» Минздрава </w:t>
      </w:r>
      <w:r>
        <w:rPr>
          <w:spacing w:val="-2"/>
          <w:sz w:val="22"/>
        </w:rPr>
        <w:t>России</w:t>
      </w:r>
    </w:p>
    <w:p>
      <w:pPr>
        <w:spacing w:line="276" w:lineRule="auto" w:before="0"/>
        <w:ind w:left="937" w:right="705" w:firstLine="704"/>
        <w:jc w:val="both"/>
        <w:rPr>
          <w:sz w:val="22"/>
        </w:rPr>
      </w:pPr>
      <w:r>
        <w:rPr>
          <w:b/>
          <w:i/>
          <w:sz w:val="22"/>
        </w:rPr>
        <w:t>Вайсман</w:t>
      </w:r>
      <w:r>
        <w:rPr>
          <w:b/>
          <w:i/>
          <w:spacing w:val="61"/>
          <w:sz w:val="22"/>
        </w:rPr>
        <w:t> </w:t>
      </w:r>
      <w:r>
        <w:rPr>
          <w:b/>
          <w:i/>
          <w:sz w:val="22"/>
        </w:rPr>
        <w:t>Давид</w:t>
      </w:r>
      <w:r>
        <w:rPr>
          <w:b/>
          <w:i/>
          <w:spacing w:val="40"/>
          <w:sz w:val="22"/>
        </w:rPr>
        <w:t> </w:t>
      </w:r>
      <w:r>
        <w:rPr>
          <w:b/>
          <w:i/>
          <w:sz w:val="22"/>
        </w:rPr>
        <w:t>Шуневич</w:t>
      </w:r>
      <w:r>
        <w:rPr>
          <w:b/>
          <w:i/>
          <w:spacing w:val="63"/>
          <w:sz w:val="22"/>
        </w:rPr>
        <w:t> </w:t>
      </w:r>
      <w:r>
        <w:rPr>
          <w:sz w:val="22"/>
        </w:rPr>
        <w:t>—</w:t>
      </w:r>
      <w:r>
        <w:rPr>
          <w:spacing w:val="61"/>
          <w:sz w:val="22"/>
        </w:rPr>
        <w:t> </w:t>
      </w:r>
      <w:r>
        <w:rPr>
          <w:sz w:val="22"/>
        </w:rPr>
        <w:t>главный</w:t>
      </w:r>
      <w:r>
        <w:rPr>
          <w:spacing w:val="61"/>
          <w:sz w:val="22"/>
        </w:rPr>
        <w:t> </w:t>
      </w:r>
      <w:r>
        <w:rPr>
          <w:sz w:val="22"/>
        </w:rPr>
        <w:t>научный</w:t>
      </w:r>
      <w:r>
        <w:rPr>
          <w:spacing w:val="40"/>
          <w:sz w:val="22"/>
        </w:rPr>
        <w:t> </w:t>
      </w:r>
      <w:r>
        <w:rPr>
          <w:sz w:val="22"/>
        </w:rPr>
        <w:t>сотрудник</w:t>
      </w:r>
      <w:r>
        <w:rPr>
          <w:spacing w:val="61"/>
          <w:sz w:val="22"/>
        </w:rPr>
        <w:t> </w:t>
      </w:r>
      <w:r>
        <w:rPr>
          <w:sz w:val="22"/>
        </w:rPr>
        <w:t>отдела</w:t>
      </w:r>
      <w:r>
        <w:rPr>
          <w:spacing w:val="63"/>
          <w:sz w:val="22"/>
        </w:rPr>
        <w:t> </w:t>
      </w:r>
      <w:r>
        <w:rPr>
          <w:sz w:val="22"/>
        </w:rPr>
        <w:t>общественного</w:t>
      </w:r>
      <w:r>
        <w:rPr>
          <w:spacing w:val="63"/>
          <w:sz w:val="22"/>
        </w:rPr>
        <w:t> </w:t>
      </w:r>
      <w:r>
        <w:rPr>
          <w:sz w:val="22"/>
        </w:rPr>
        <w:t>здоровья и</w:t>
      </w:r>
      <w:r>
        <w:rPr>
          <w:spacing w:val="-2"/>
          <w:sz w:val="22"/>
        </w:rPr>
        <w:t> </w:t>
      </w:r>
      <w:r>
        <w:rPr>
          <w:sz w:val="22"/>
        </w:rPr>
        <w:t>демографии</w:t>
      </w:r>
      <w:r>
        <w:rPr>
          <w:spacing w:val="80"/>
          <w:sz w:val="22"/>
        </w:rPr>
        <w:t>  </w:t>
      </w:r>
      <w:r>
        <w:rPr>
          <w:sz w:val="22"/>
        </w:rPr>
        <w:t>федерального</w:t>
      </w:r>
      <w:r>
        <w:rPr>
          <w:spacing w:val="80"/>
          <w:sz w:val="22"/>
        </w:rPr>
        <w:t>  </w:t>
      </w:r>
      <w:r>
        <w:rPr>
          <w:sz w:val="22"/>
        </w:rPr>
        <w:t>государственного</w:t>
      </w:r>
      <w:r>
        <w:rPr>
          <w:spacing w:val="80"/>
          <w:sz w:val="22"/>
        </w:rPr>
        <w:t>  </w:t>
      </w:r>
      <w:r>
        <w:rPr>
          <w:sz w:val="22"/>
        </w:rPr>
        <w:t>бюджетного</w:t>
      </w:r>
      <w:r>
        <w:rPr>
          <w:spacing w:val="80"/>
          <w:sz w:val="22"/>
        </w:rPr>
        <w:t>  </w:t>
      </w:r>
      <w:r>
        <w:rPr>
          <w:sz w:val="22"/>
        </w:rPr>
        <w:t>учреждения</w:t>
      </w:r>
      <w:r>
        <w:rPr>
          <w:spacing w:val="80"/>
          <w:sz w:val="22"/>
        </w:rPr>
        <w:t>  </w:t>
      </w:r>
      <w:r>
        <w:rPr>
          <w:sz w:val="22"/>
        </w:rPr>
        <w:t>«Центральный научно-исследовательский институт организации и информатизации здравоохранения» Минздрава России, доктор медицинских наук</w:t>
      </w:r>
    </w:p>
    <w:p>
      <w:pPr>
        <w:spacing w:line="276" w:lineRule="auto" w:before="0"/>
        <w:ind w:left="937" w:right="708" w:firstLine="704"/>
        <w:jc w:val="both"/>
        <w:rPr>
          <w:sz w:val="22"/>
        </w:rPr>
      </w:pPr>
      <w:r>
        <w:rPr>
          <w:b/>
          <w:i/>
          <w:sz w:val="22"/>
        </w:rPr>
        <w:t>Васильева Елена Юрьевна </w:t>
      </w:r>
      <w:r>
        <w:rPr>
          <w:sz w:val="22"/>
        </w:rPr>
        <w:t>– главный врач государственного бюджетного учреждения здравоохранения</w:t>
      </w:r>
      <w:r>
        <w:rPr>
          <w:spacing w:val="-2"/>
          <w:sz w:val="22"/>
        </w:rPr>
        <w:t> </w:t>
      </w:r>
      <w:r>
        <w:rPr>
          <w:sz w:val="22"/>
        </w:rPr>
        <w:t>г.</w:t>
      </w:r>
      <w:r>
        <w:rPr>
          <w:spacing w:val="-2"/>
          <w:sz w:val="22"/>
        </w:rPr>
        <w:t> </w:t>
      </w:r>
      <w:r>
        <w:rPr>
          <w:sz w:val="22"/>
        </w:rPr>
        <w:t>Москвы</w:t>
      </w:r>
      <w:r>
        <w:rPr>
          <w:spacing w:val="-2"/>
          <w:sz w:val="22"/>
        </w:rPr>
        <w:t> </w:t>
      </w:r>
      <w:r>
        <w:rPr>
          <w:sz w:val="22"/>
        </w:rPr>
        <w:t>«Городская</w:t>
      </w:r>
      <w:r>
        <w:rPr>
          <w:spacing w:val="-3"/>
          <w:sz w:val="22"/>
        </w:rPr>
        <w:t> </w:t>
      </w:r>
      <w:r>
        <w:rPr>
          <w:sz w:val="22"/>
        </w:rPr>
        <w:t>клиническая</w:t>
      </w:r>
      <w:r>
        <w:rPr>
          <w:spacing w:val="-3"/>
          <w:sz w:val="22"/>
        </w:rPr>
        <w:t> </w:t>
      </w:r>
      <w:r>
        <w:rPr>
          <w:sz w:val="22"/>
        </w:rPr>
        <w:t>больница</w:t>
      </w:r>
      <w:r>
        <w:rPr>
          <w:spacing w:val="-2"/>
          <w:sz w:val="22"/>
        </w:rPr>
        <w:t> </w:t>
      </w:r>
      <w:r>
        <w:rPr>
          <w:sz w:val="22"/>
        </w:rPr>
        <w:t>имени</w:t>
      </w:r>
      <w:r>
        <w:rPr>
          <w:spacing w:val="-3"/>
          <w:sz w:val="22"/>
        </w:rPr>
        <w:t> </w:t>
      </w:r>
      <w:r>
        <w:rPr>
          <w:sz w:val="22"/>
        </w:rPr>
        <w:t>И.В.</w:t>
      </w:r>
      <w:r>
        <w:rPr>
          <w:spacing w:val="-2"/>
          <w:sz w:val="22"/>
        </w:rPr>
        <w:t> </w:t>
      </w:r>
      <w:r>
        <w:rPr>
          <w:sz w:val="22"/>
        </w:rPr>
        <w:t>Давыдовского</w:t>
      </w:r>
      <w:r>
        <w:rPr>
          <w:spacing w:val="-2"/>
          <w:sz w:val="22"/>
        </w:rPr>
        <w:t> </w:t>
      </w:r>
      <w:r>
        <w:rPr>
          <w:sz w:val="22"/>
        </w:rPr>
        <w:t>Департамента здравоохранения города Москвы», главный внештатный кардиолог города Москвы</w:t>
      </w:r>
    </w:p>
    <w:p>
      <w:pPr>
        <w:spacing w:line="276" w:lineRule="auto" w:before="0"/>
        <w:ind w:left="937" w:right="706" w:firstLine="704"/>
        <w:jc w:val="both"/>
        <w:rPr>
          <w:sz w:val="22"/>
        </w:rPr>
      </w:pPr>
      <w:r>
        <w:rPr>
          <w:b/>
          <w:i/>
          <w:sz w:val="22"/>
        </w:rPr>
        <w:t>Васильева</w:t>
      </w:r>
      <w:r>
        <w:rPr>
          <w:b/>
          <w:i/>
          <w:spacing w:val="-14"/>
          <w:sz w:val="22"/>
        </w:rPr>
        <w:t> </w:t>
      </w:r>
      <w:r>
        <w:rPr>
          <w:b/>
          <w:i/>
          <w:sz w:val="22"/>
        </w:rPr>
        <w:t>Ирина</w:t>
      </w:r>
      <w:r>
        <w:rPr>
          <w:b/>
          <w:i/>
          <w:spacing w:val="-14"/>
          <w:sz w:val="22"/>
        </w:rPr>
        <w:t> </w:t>
      </w:r>
      <w:r>
        <w:rPr>
          <w:b/>
          <w:i/>
          <w:sz w:val="22"/>
        </w:rPr>
        <w:t>Анатольевна</w:t>
      </w:r>
      <w:r>
        <w:rPr>
          <w:b/>
          <w:i/>
          <w:spacing w:val="-12"/>
          <w:sz w:val="22"/>
        </w:rPr>
        <w:t> </w:t>
      </w:r>
      <w:r>
        <w:rPr>
          <w:b/>
          <w:i/>
          <w:sz w:val="22"/>
        </w:rPr>
        <w:t>–</w:t>
      </w:r>
      <w:r>
        <w:rPr>
          <w:b/>
          <w:i/>
          <w:spacing w:val="-14"/>
          <w:sz w:val="22"/>
        </w:rPr>
        <w:t> </w:t>
      </w:r>
      <w:r>
        <w:rPr>
          <w:sz w:val="22"/>
        </w:rPr>
        <w:t>главный</w:t>
      </w:r>
      <w:r>
        <w:rPr>
          <w:spacing w:val="-14"/>
          <w:sz w:val="22"/>
        </w:rPr>
        <w:t> </w:t>
      </w:r>
      <w:r>
        <w:rPr>
          <w:sz w:val="22"/>
        </w:rPr>
        <w:t>внештатный</w:t>
      </w:r>
      <w:r>
        <w:rPr>
          <w:spacing w:val="-12"/>
          <w:sz w:val="22"/>
        </w:rPr>
        <w:t> </w:t>
      </w:r>
      <w:r>
        <w:rPr>
          <w:sz w:val="22"/>
        </w:rPr>
        <w:t>специалист-фтизиатр</w:t>
      </w:r>
      <w:r>
        <w:rPr>
          <w:spacing w:val="-12"/>
          <w:sz w:val="22"/>
        </w:rPr>
        <w:t> </w:t>
      </w:r>
      <w:r>
        <w:rPr>
          <w:sz w:val="22"/>
        </w:rPr>
        <w:t>Минздрава</w:t>
      </w:r>
      <w:r>
        <w:rPr>
          <w:spacing w:val="-14"/>
          <w:sz w:val="22"/>
        </w:rPr>
        <w:t> </w:t>
      </w:r>
      <w:r>
        <w:rPr>
          <w:sz w:val="22"/>
        </w:rPr>
        <w:t>России, директор федерального государственного бюджетного учреждения «Национальный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947" w:right="704" w:firstLine="704"/>
        <w:jc w:val="both"/>
        <w:rPr>
          <w:sz w:val="22"/>
        </w:rPr>
      </w:pPr>
      <w:r>
        <w:rPr>
          <w:b/>
          <w:i/>
          <w:sz w:val="22"/>
        </w:rPr>
        <w:t>Васильева Наталья Всеволодовна – </w:t>
      </w:r>
      <w:r>
        <w:rPr>
          <w:sz w:val="22"/>
        </w:rPr>
        <w:t>главный внештатный специалист по клинической микробиологии и антимикробной резистентности Министерства здравоохранения Российской Федерации</w:t>
      </w:r>
      <w:r>
        <w:rPr>
          <w:spacing w:val="-14"/>
          <w:sz w:val="22"/>
        </w:rPr>
        <w:t> </w:t>
      </w:r>
      <w:r>
        <w:rPr>
          <w:sz w:val="22"/>
        </w:rPr>
        <w:t>по</w:t>
      </w:r>
      <w:r>
        <w:rPr>
          <w:spacing w:val="-14"/>
          <w:sz w:val="22"/>
        </w:rPr>
        <w:t> </w:t>
      </w:r>
      <w:r>
        <w:rPr>
          <w:sz w:val="22"/>
        </w:rPr>
        <w:t>Северо-Западному</w:t>
      </w:r>
      <w:r>
        <w:rPr>
          <w:spacing w:val="-14"/>
          <w:sz w:val="22"/>
        </w:rPr>
        <w:t> </w:t>
      </w:r>
      <w:r>
        <w:rPr>
          <w:sz w:val="22"/>
        </w:rPr>
        <w:t>федеральному</w:t>
      </w:r>
      <w:r>
        <w:rPr>
          <w:spacing w:val="-13"/>
          <w:sz w:val="22"/>
        </w:rPr>
        <w:t> </w:t>
      </w:r>
      <w:r>
        <w:rPr>
          <w:sz w:val="22"/>
        </w:rPr>
        <w:t>округу,</w:t>
      </w:r>
      <w:r>
        <w:rPr>
          <w:spacing w:val="-14"/>
          <w:sz w:val="22"/>
        </w:rPr>
        <w:t> </w:t>
      </w:r>
      <w:r>
        <w:rPr>
          <w:sz w:val="22"/>
        </w:rPr>
        <w:t>директор</w:t>
      </w:r>
      <w:r>
        <w:rPr>
          <w:spacing w:val="-14"/>
          <w:sz w:val="22"/>
        </w:rPr>
        <w:t> </w:t>
      </w:r>
      <w:r>
        <w:rPr>
          <w:sz w:val="22"/>
        </w:rPr>
        <w:t>Научно-исследовательского</w:t>
      </w:r>
      <w:r>
        <w:rPr>
          <w:spacing w:val="-14"/>
          <w:sz w:val="22"/>
        </w:rPr>
        <w:t> </w:t>
      </w:r>
      <w:r>
        <w:rPr>
          <w:sz w:val="22"/>
        </w:rPr>
        <w:t>института медицинской микологии им. П.Н. Кашкина, заведующий кафедрой медицинской микробиологии федерального</w:t>
      </w:r>
      <w:r>
        <w:rPr>
          <w:spacing w:val="80"/>
          <w:sz w:val="22"/>
        </w:rPr>
        <w:t> </w:t>
      </w:r>
      <w:r>
        <w:rPr>
          <w:sz w:val="22"/>
        </w:rPr>
        <w:t>государственного</w:t>
      </w:r>
      <w:r>
        <w:rPr>
          <w:spacing w:val="80"/>
          <w:sz w:val="22"/>
        </w:rPr>
        <w:t> </w:t>
      </w:r>
      <w:r>
        <w:rPr>
          <w:sz w:val="22"/>
        </w:rPr>
        <w:t>бюджетного</w:t>
      </w:r>
      <w:r>
        <w:rPr>
          <w:spacing w:val="80"/>
          <w:sz w:val="22"/>
        </w:rPr>
        <w:t> </w:t>
      </w:r>
      <w:r>
        <w:rPr>
          <w:sz w:val="22"/>
        </w:rPr>
        <w:t>образовательного</w:t>
      </w:r>
      <w:r>
        <w:rPr>
          <w:spacing w:val="80"/>
          <w:sz w:val="22"/>
        </w:rPr>
        <w:t> </w:t>
      </w:r>
      <w:r>
        <w:rPr>
          <w:sz w:val="22"/>
        </w:rPr>
        <w:t>учреждения</w:t>
      </w:r>
      <w:r>
        <w:rPr>
          <w:spacing w:val="80"/>
          <w:sz w:val="22"/>
        </w:rPr>
        <w:t> </w:t>
      </w:r>
      <w:r>
        <w:rPr>
          <w:sz w:val="22"/>
        </w:rPr>
        <w:t>высшего</w:t>
      </w:r>
      <w:r>
        <w:rPr>
          <w:spacing w:val="80"/>
          <w:sz w:val="22"/>
        </w:rPr>
        <w:t> </w:t>
      </w:r>
      <w:r>
        <w:rPr>
          <w:sz w:val="22"/>
        </w:rPr>
        <w:t>образования</w:t>
      </w:r>
    </w:p>
    <w:p>
      <w:pPr>
        <w:spacing w:line="276" w:lineRule="auto" w:before="0"/>
        <w:ind w:left="947" w:right="709" w:firstLine="0"/>
        <w:jc w:val="both"/>
        <w:rPr>
          <w:sz w:val="22"/>
        </w:rPr>
      </w:pPr>
      <w:r>
        <w:rPr>
          <w:sz w:val="22"/>
        </w:rPr>
        <w:t>«Северо-Западный государственный медицинский университет имени И.И. Мечникова» Министерства здравоохранения Российской Федерации</w:t>
      </w:r>
    </w:p>
    <w:p>
      <w:pPr>
        <w:spacing w:line="276" w:lineRule="auto" w:before="0"/>
        <w:ind w:left="947" w:right="704" w:firstLine="704"/>
        <w:jc w:val="both"/>
        <w:rPr>
          <w:sz w:val="22"/>
        </w:rPr>
      </w:pPr>
      <w:r>
        <w:rPr>
          <w:b/>
          <w:i/>
          <w:sz w:val="22"/>
        </w:rPr>
        <w:t>Веселова Елена Игоревна </w:t>
      </w:r>
      <w:r>
        <w:rPr>
          <w:sz w:val="22"/>
        </w:rPr>
        <w:t>– научный сотрудник отдела инфекционной патологии федерального государственного бюджетного учреждения «Национальный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947" w:right="704" w:firstLine="704"/>
        <w:jc w:val="both"/>
        <w:rPr>
          <w:sz w:val="22"/>
        </w:rPr>
      </w:pPr>
      <w:r>
        <w:rPr>
          <w:b/>
          <w:i/>
          <w:sz w:val="22"/>
        </w:rPr>
        <w:t>Вишнева Елена Александровна </w:t>
      </w:r>
      <w:r>
        <w:rPr>
          <w:sz w:val="22"/>
        </w:rPr>
        <w:t>– заместитель руководителя по науке Научно- исследовательского института педиатрии и охраны здоровья федерального государственного бюджетного учреждения здравоохранения «Центральная клиническая больница РАН»</w:t>
      </w:r>
    </w:p>
    <w:p>
      <w:pPr>
        <w:spacing w:line="276" w:lineRule="auto" w:before="0"/>
        <w:ind w:left="947" w:right="704" w:firstLine="704"/>
        <w:jc w:val="both"/>
        <w:rPr>
          <w:sz w:val="22"/>
        </w:rPr>
      </w:pPr>
      <w:r>
        <w:rPr>
          <w:b/>
          <w:i/>
          <w:sz w:val="22"/>
        </w:rPr>
        <w:t>Волчкова Елена Васильевна </w:t>
      </w:r>
      <w:r>
        <w:rPr>
          <w:sz w:val="22"/>
        </w:rPr>
        <w:t>– заведующая кафедрой инфекционных болезней федерального государственного</w:t>
      </w:r>
      <w:r>
        <w:rPr>
          <w:spacing w:val="51"/>
          <w:sz w:val="22"/>
        </w:rPr>
        <w:t>  </w:t>
      </w:r>
      <w:r>
        <w:rPr>
          <w:sz w:val="22"/>
        </w:rPr>
        <w:t>автономного</w:t>
      </w:r>
      <w:r>
        <w:rPr>
          <w:spacing w:val="52"/>
          <w:sz w:val="22"/>
        </w:rPr>
        <w:t>  </w:t>
      </w:r>
      <w:r>
        <w:rPr>
          <w:sz w:val="22"/>
        </w:rPr>
        <w:t>образовательного</w:t>
      </w:r>
      <w:r>
        <w:rPr>
          <w:spacing w:val="52"/>
          <w:sz w:val="22"/>
        </w:rPr>
        <w:t>  </w:t>
      </w:r>
      <w:r>
        <w:rPr>
          <w:sz w:val="22"/>
        </w:rPr>
        <w:t>учреждения</w:t>
      </w:r>
      <w:r>
        <w:rPr>
          <w:spacing w:val="51"/>
          <w:sz w:val="22"/>
        </w:rPr>
        <w:t>  </w:t>
      </w:r>
      <w:r>
        <w:rPr>
          <w:sz w:val="22"/>
        </w:rPr>
        <w:t>высшего</w:t>
      </w:r>
      <w:r>
        <w:rPr>
          <w:spacing w:val="52"/>
          <w:sz w:val="22"/>
        </w:rPr>
        <w:t>  </w:t>
      </w:r>
      <w:r>
        <w:rPr>
          <w:sz w:val="22"/>
        </w:rPr>
        <w:t>образования</w:t>
      </w:r>
      <w:r>
        <w:rPr>
          <w:spacing w:val="54"/>
          <w:sz w:val="22"/>
        </w:rPr>
        <w:t>  </w:t>
      </w:r>
      <w:r>
        <w:rPr>
          <w:spacing w:val="-2"/>
          <w:sz w:val="22"/>
        </w:rPr>
        <w:t>«Первый</w:t>
      </w:r>
    </w:p>
    <w:p>
      <w:pPr>
        <w:spacing w:line="258" w:lineRule="exact" w:before="0"/>
        <w:ind w:left="140" w:right="0" w:firstLine="0"/>
        <w:jc w:val="center"/>
        <w:rPr>
          <w:rFonts w:ascii="Calibri"/>
          <w:sz w:val="22"/>
        </w:rPr>
      </w:pPr>
      <w:r>
        <w:rPr>
          <w:rFonts w:ascii="Calibri"/>
          <w:spacing w:val="-5"/>
          <w:sz w:val="22"/>
        </w:rPr>
        <w:t>235</w:t>
      </w:r>
    </w:p>
    <w:p>
      <w:pPr>
        <w:spacing w:line="221" w:lineRule="exact" w:before="0"/>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line="221" w:lineRule="exact"/>
        <w:jc w:val="right"/>
        <w:rPr>
          <w:sz w:val="20"/>
        </w:rPr>
        <w:sectPr>
          <w:pgSz w:w="11900" w:h="16840"/>
          <w:pgMar w:header="0" w:footer="288" w:top="1440" w:bottom="480" w:left="283" w:right="141"/>
        </w:sectPr>
      </w:pPr>
    </w:p>
    <w:p>
      <w:pPr>
        <w:spacing w:line="276" w:lineRule="auto" w:before="65"/>
        <w:ind w:left="947" w:right="708" w:firstLine="0"/>
        <w:jc w:val="both"/>
        <w:rPr>
          <w:sz w:val="22"/>
        </w:rPr>
      </w:pPr>
      <w:bookmarkStart w:name="237" w:id="284"/>
      <w:bookmarkEnd w:id="284"/>
      <w:r>
        <w:rPr/>
      </w:r>
      <w:r>
        <w:rPr>
          <w:sz w:val="22"/>
        </w:rPr>
        <w:t>Московский государственный медицинский университет имени И.М. Сеченова» Минздрава России (Сеченовский Университет)</w:t>
      </w:r>
    </w:p>
    <w:p>
      <w:pPr>
        <w:spacing w:line="276" w:lineRule="auto" w:before="1"/>
        <w:ind w:left="947" w:right="706" w:firstLine="704"/>
        <w:jc w:val="both"/>
        <w:rPr>
          <w:sz w:val="22"/>
        </w:rPr>
      </w:pPr>
      <w:r>
        <w:rPr>
          <w:b/>
          <w:i/>
          <w:sz w:val="22"/>
        </w:rPr>
        <w:t>Волченков Григорий Васильевич </w:t>
      </w:r>
      <w:r>
        <w:rPr>
          <w:sz w:val="22"/>
        </w:rPr>
        <w:t>– главный врач государственного бюджетного учреждения здравоохранения Владимирской области «Центр специализированной фтизиопульмонологической </w:t>
      </w:r>
      <w:r>
        <w:rPr>
          <w:spacing w:val="-2"/>
          <w:sz w:val="22"/>
        </w:rPr>
        <w:t>помощи»</w:t>
      </w:r>
    </w:p>
    <w:p>
      <w:pPr>
        <w:spacing w:line="276" w:lineRule="auto" w:before="0"/>
        <w:ind w:left="947" w:right="704" w:firstLine="704"/>
        <w:jc w:val="both"/>
        <w:rPr>
          <w:sz w:val="22"/>
        </w:rPr>
      </w:pPr>
      <w:r>
        <w:rPr>
          <w:b/>
          <w:i/>
          <w:sz w:val="22"/>
        </w:rPr>
        <w:t>Гапонова Татьяна Владимировна </w:t>
      </w:r>
      <w:r>
        <w:rPr>
          <w:sz w:val="22"/>
        </w:rPr>
        <w:t>– главный внештатный специалист-трансфузиолог Минздрава России, заместитель генерального директора по трансфузиологии федерального государственного бюджетного учреждения «Национальный медицинский исследовательский центр гематологии» Минздрава России</w:t>
      </w:r>
    </w:p>
    <w:p>
      <w:pPr>
        <w:spacing w:line="276" w:lineRule="auto" w:before="0"/>
        <w:ind w:left="937" w:right="707" w:firstLine="704"/>
        <w:jc w:val="both"/>
        <w:rPr>
          <w:sz w:val="22"/>
        </w:rPr>
      </w:pPr>
      <w:r>
        <w:rPr>
          <w:b/>
          <w:i/>
          <w:sz w:val="22"/>
        </w:rPr>
        <w:t>Годков</w:t>
      </w:r>
      <w:r>
        <w:rPr>
          <w:b/>
          <w:i/>
          <w:spacing w:val="-5"/>
          <w:sz w:val="22"/>
        </w:rPr>
        <w:t> </w:t>
      </w:r>
      <w:r>
        <w:rPr>
          <w:b/>
          <w:i/>
          <w:sz w:val="22"/>
        </w:rPr>
        <w:t>Михаил</w:t>
      </w:r>
      <w:r>
        <w:rPr>
          <w:b/>
          <w:i/>
          <w:spacing w:val="-4"/>
          <w:sz w:val="22"/>
        </w:rPr>
        <w:t> </w:t>
      </w:r>
      <w:r>
        <w:rPr>
          <w:b/>
          <w:i/>
          <w:sz w:val="22"/>
        </w:rPr>
        <w:t>Андреевич</w:t>
      </w:r>
      <w:r>
        <w:rPr>
          <w:b/>
          <w:i/>
          <w:spacing w:val="-3"/>
          <w:sz w:val="22"/>
        </w:rPr>
        <w:t> </w:t>
      </w:r>
      <w:r>
        <w:rPr>
          <w:b/>
          <w:i/>
          <w:sz w:val="22"/>
        </w:rPr>
        <w:t>–</w:t>
      </w:r>
      <w:r>
        <w:rPr>
          <w:b/>
          <w:i/>
          <w:spacing w:val="-3"/>
          <w:sz w:val="22"/>
        </w:rPr>
        <w:t> </w:t>
      </w:r>
      <w:r>
        <w:rPr>
          <w:sz w:val="22"/>
        </w:rPr>
        <w:t>заведующий</w:t>
      </w:r>
      <w:r>
        <w:rPr>
          <w:spacing w:val="-4"/>
          <w:sz w:val="22"/>
        </w:rPr>
        <w:t> </w:t>
      </w:r>
      <w:r>
        <w:rPr>
          <w:sz w:val="22"/>
        </w:rPr>
        <w:t>отделом</w:t>
      </w:r>
      <w:r>
        <w:rPr>
          <w:spacing w:val="-4"/>
          <w:sz w:val="22"/>
        </w:rPr>
        <w:t> </w:t>
      </w:r>
      <w:r>
        <w:rPr>
          <w:sz w:val="22"/>
        </w:rPr>
        <w:t>лабораторной</w:t>
      </w:r>
      <w:r>
        <w:rPr>
          <w:spacing w:val="-6"/>
          <w:sz w:val="22"/>
        </w:rPr>
        <w:t> </w:t>
      </w:r>
      <w:r>
        <w:rPr>
          <w:sz w:val="22"/>
        </w:rPr>
        <w:t>диагностики</w:t>
      </w:r>
      <w:r>
        <w:rPr>
          <w:spacing w:val="-4"/>
          <w:sz w:val="22"/>
        </w:rPr>
        <w:t> </w:t>
      </w:r>
      <w:r>
        <w:rPr>
          <w:sz w:val="22"/>
        </w:rPr>
        <w:t>государственного бюджетного</w:t>
      </w:r>
      <w:r>
        <w:rPr>
          <w:spacing w:val="-2"/>
          <w:sz w:val="22"/>
        </w:rPr>
        <w:t> </w:t>
      </w:r>
      <w:r>
        <w:rPr>
          <w:sz w:val="22"/>
        </w:rPr>
        <w:t>учреждения</w:t>
      </w:r>
      <w:r>
        <w:rPr>
          <w:spacing w:val="-4"/>
          <w:sz w:val="22"/>
        </w:rPr>
        <w:t> </w:t>
      </w:r>
      <w:r>
        <w:rPr>
          <w:sz w:val="22"/>
        </w:rPr>
        <w:t>здравоохранения</w:t>
      </w:r>
      <w:r>
        <w:rPr>
          <w:spacing w:val="-2"/>
          <w:sz w:val="22"/>
        </w:rPr>
        <w:t> </w:t>
      </w:r>
      <w:r>
        <w:rPr>
          <w:sz w:val="22"/>
        </w:rPr>
        <w:t>«Научно-исследовательский</w:t>
      </w:r>
      <w:r>
        <w:rPr>
          <w:spacing w:val="-3"/>
          <w:sz w:val="22"/>
        </w:rPr>
        <w:t> </w:t>
      </w:r>
      <w:r>
        <w:rPr>
          <w:sz w:val="22"/>
        </w:rPr>
        <w:t>институт</w:t>
      </w:r>
      <w:r>
        <w:rPr>
          <w:spacing w:val="-3"/>
          <w:sz w:val="22"/>
        </w:rPr>
        <w:t> </w:t>
      </w:r>
      <w:r>
        <w:rPr>
          <w:sz w:val="22"/>
        </w:rPr>
        <w:t>скорой</w:t>
      </w:r>
      <w:r>
        <w:rPr>
          <w:spacing w:val="-2"/>
          <w:sz w:val="22"/>
        </w:rPr>
        <w:t> </w:t>
      </w:r>
      <w:r>
        <w:rPr>
          <w:sz w:val="22"/>
        </w:rPr>
        <w:t>помощи</w:t>
      </w:r>
      <w:r>
        <w:rPr>
          <w:spacing w:val="-2"/>
          <w:sz w:val="22"/>
        </w:rPr>
        <w:t> </w:t>
      </w:r>
      <w:r>
        <w:rPr>
          <w:sz w:val="22"/>
        </w:rPr>
        <w:t>имени Н.В. Склифосовского» Департамента здравоохранения города Москвы</w:t>
      </w:r>
    </w:p>
    <w:p>
      <w:pPr>
        <w:spacing w:line="276" w:lineRule="auto" w:before="0"/>
        <w:ind w:left="937" w:right="710" w:firstLine="704"/>
        <w:jc w:val="both"/>
        <w:rPr>
          <w:sz w:val="22"/>
        </w:rPr>
      </w:pPr>
      <w:r>
        <w:rPr>
          <w:b/>
          <w:i/>
          <w:sz w:val="22"/>
        </w:rPr>
        <w:t>Гончаров Сергей Федорович </w:t>
      </w:r>
      <w:r>
        <w:rPr>
          <w:b/>
          <w:sz w:val="22"/>
        </w:rPr>
        <w:t>– </w:t>
      </w:r>
      <w:r>
        <w:rPr>
          <w:sz w:val="22"/>
        </w:rPr>
        <w:t>главный внештатный специалист по медицине катастроф Минздрава</w:t>
      </w:r>
      <w:r>
        <w:rPr>
          <w:spacing w:val="-1"/>
          <w:sz w:val="22"/>
        </w:rPr>
        <w:t> </w:t>
      </w:r>
      <w:r>
        <w:rPr>
          <w:sz w:val="22"/>
        </w:rPr>
        <w:t>России,</w:t>
      </w:r>
      <w:r>
        <w:rPr>
          <w:spacing w:val="-2"/>
          <w:sz w:val="22"/>
        </w:rPr>
        <w:t> </w:t>
      </w:r>
      <w:r>
        <w:rPr>
          <w:sz w:val="22"/>
        </w:rPr>
        <w:t>директор</w:t>
      </w:r>
      <w:r>
        <w:rPr>
          <w:spacing w:val="-1"/>
          <w:sz w:val="22"/>
        </w:rPr>
        <w:t> </w:t>
      </w:r>
      <w:r>
        <w:rPr>
          <w:sz w:val="22"/>
        </w:rPr>
        <w:t>федерального</w:t>
      </w:r>
      <w:r>
        <w:rPr>
          <w:spacing w:val="-1"/>
          <w:sz w:val="22"/>
        </w:rPr>
        <w:t> </w:t>
      </w:r>
      <w:r>
        <w:rPr>
          <w:sz w:val="22"/>
        </w:rPr>
        <w:t>государственного</w:t>
      </w:r>
      <w:r>
        <w:rPr>
          <w:spacing w:val="-2"/>
          <w:sz w:val="22"/>
        </w:rPr>
        <w:t> </w:t>
      </w:r>
      <w:r>
        <w:rPr>
          <w:sz w:val="22"/>
        </w:rPr>
        <w:t>бюджетного</w:t>
      </w:r>
      <w:r>
        <w:rPr>
          <w:spacing w:val="-2"/>
          <w:sz w:val="22"/>
        </w:rPr>
        <w:t> </w:t>
      </w:r>
      <w:r>
        <w:rPr>
          <w:sz w:val="22"/>
        </w:rPr>
        <w:t>учреждения</w:t>
      </w:r>
      <w:r>
        <w:rPr>
          <w:spacing w:val="-2"/>
          <w:sz w:val="22"/>
        </w:rPr>
        <w:t> </w:t>
      </w:r>
      <w:r>
        <w:rPr>
          <w:sz w:val="22"/>
        </w:rPr>
        <w:t>«Всероссийский центр медицины катастроф "Защита"» ФМБА России</w:t>
      </w:r>
    </w:p>
    <w:p>
      <w:pPr>
        <w:spacing w:line="276" w:lineRule="auto" w:before="0"/>
        <w:ind w:left="937" w:right="701" w:firstLine="704"/>
        <w:jc w:val="both"/>
        <w:rPr>
          <w:sz w:val="22"/>
        </w:rPr>
      </w:pPr>
      <w:r>
        <w:rPr>
          <w:b/>
          <w:i/>
          <w:sz w:val="22"/>
        </w:rPr>
        <w:t>Горшков Александр Юрьевич - </w:t>
      </w:r>
      <w:r>
        <w:rPr>
          <w:sz w:val="22"/>
        </w:rPr>
        <w:t>заместитель директора по научной и амбулаторно- поликлинической работе федерального государственного учреждения «Национальный медицинский исследовательский центр терапии и профилактической медицины» Минздрава России</w:t>
      </w:r>
    </w:p>
    <w:p>
      <w:pPr>
        <w:spacing w:line="276" w:lineRule="auto" w:before="0"/>
        <w:ind w:left="937" w:right="704" w:firstLine="704"/>
        <w:jc w:val="both"/>
        <w:rPr>
          <w:sz w:val="22"/>
        </w:rPr>
      </w:pPr>
      <w:r>
        <w:rPr>
          <w:b/>
          <w:i/>
          <w:sz w:val="22"/>
        </w:rPr>
        <w:t>Готье Сергей Владимирович – </w:t>
      </w:r>
      <w:r>
        <w:rPr>
          <w:sz w:val="22"/>
        </w:rPr>
        <w:t>главный внештатный трансплантолог Минздрава России, директор ФГБУ «НМИЦ ТИО им. ак. В.И. Шумакова» Минздрава России, заведующий кафедрой трансплантологии и искусственных органов Первого Московского государственного медицинского университета им. И.М. Сеченова</w:t>
      </w:r>
    </w:p>
    <w:p>
      <w:pPr>
        <w:spacing w:line="276" w:lineRule="auto" w:before="0"/>
        <w:ind w:left="937" w:right="705" w:firstLine="704"/>
        <w:jc w:val="both"/>
        <w:rPr>
          <w:sz w:val="22"/>
        </w:rPr>
      </w:pPr>
      <w:r>
        <w:rPr>
          <w:b/>
          <w:i/>
          <w:sz w:val="22"/>
        </w:rPr>
        <w:t>Гречко</w:t>
      </w:r>
      <w:r>
        <w:rPr>
          <w:b/>
          <w:i/>
          <w:spacing w:val="-4"/>
          <w:sz w:val="22"/>
        </w:rPr>
        <w:t> </w:t>
      </w:r>
      <w:r>
        <w:rPr>
          <w:b/>
          <w:i/>
          <w:sz w:val="22"/>
        </w:rPr>
        <w:t>Андрей</w:t>
      </w:r>
      <w:r>
        <w:rPr>
          <w:b/>
          <w:i/>
          <w:spacing w:val="-4"/>
          <w:sz w:val="22"/>
        </w:rPr>
        <w:t> </w:t>
      </w:r>
      <w:r>
        <w:rPr>
          <w:b/>
          <w:i/>
          <w:sz w:val="22"/>
        </w:rPr>
        <w:t>Вячеславович</w:t>
      </w:r>
      <w:r>
        <w:rPr>
          <w:b/>
          <w:i/>
          <w:spacing w:val="-4"/>
          <w:sz w:val="22"/>
        </w:rPr>
        <w:t> </w:t>
      </w:r>
      <w:r>
        <w:rPr>
          <w:sz w:val="22"/>
        </w:rPr>
        <w:t>–</w:t>
      </w:r>
      <w:r>
        <w:rPr>
          <w:spacing w:val="-4"/>
          <w:sz w:val="22"/>
        </w:rPr>
        <w:t> </w:t>
      </w:r>
      <w:r>
        <w:rPr>
          <w:sz w:val="22"/>
        </w:rPr>
        <w:t>директор</w:t>
      </w:r>
      <w:r>
        <w:rPr>
          <w:spacing w:val="-7"/>
          <w:sz w:val="22"/>
        </w:rPr>
        <w:t> </w:t>
      </w:r>
      <w:r>
        <w:rPr>
          <w:sz w:val="22"/>
        </w:rPr>
        <w:t>федерального</w:t>
      </w:r>
      <w:r>
        <w:rPr>
          <w:spacing w:val="-4"/>
          <w:sz w:val="22"/>
        </w:rPr>
        <w:t> </w:t>
      </w:r>
      <w:r>
        <w:rPr>
          <w:sz w:val="22"/>
        </w:rPr>
        <w:t>государственного</w:t>
      </w:r>
      <w:r>
        <w:rPr>
          <w:spacing w:val="-4"/>
          <w:sz w:val="22"/>
        </w:rPr>
        <w:t> </w:t>
      </w:r>
      <w:r>
        <w:rPr>
          <w:sz w:val="22"/>
        </w:rPr>
        <w:t>бюджетного</w:t>
      </w:r>
      <w:r>
        <w:rPr>
          <w:spacing w:val="-4"/>
          <w:sz w:val="22"/>
        </w:rPr>
        <w:t> </w:t>
      </w:r>
      <w:r>
        <w:rPr>
          <w:sz w:val="22"/>
        </w:rPr>
        <w:t>научного учреждения «Федеральный научно-клинический центр реаниматологии и реабилитологии»</w:t>
      </w:r>
    </w:p>
    <w:p>
      <w:pPr>
        <w:spacing w:line="276" w:lineRule="auto" w:before="0"/>
        <w:ind w:left="937" w:right="704" w:firstLine="704"/>
        <w:jc w:val="both"/>
        <w:rPr>
          <w:sz w:val="22"/>
        </w:rPr>
      </w:pPr>
      <w:r>
        <w:rPr>
          <w:b/>
          <w:i/>
          <w:sz w:val="22"/>
        </w:rPr>
        <w:t>Даниленко Дарья Михайловна – </w:t>
      </w:r>
      <w:r>
        <w:rPr>
          <w:sz w:val="22"/>
        </w:rPr>
        <w:t>заместитель директора по научной работе федерального государственного бюджетного учреждения «Научно-исследовательский институт гриппа им. А.А. Смородинцева» Минздрава России</w:t>
      </w:r>
    </w:p>
    <w:p>
      <w:pPr>
        <w:spacing w:line="276" w:lineRule="auto" w:before="0"/>
        <w:ind w:left="937" w:right="705" w:firstLine="704"/>
        <w:jc w:val="both"/>
        <w:rPr>
          <w:sz w:val="22"/>
        </w:rPr>
      </w:pPr>
      <w:r>
        <w:rPr>
          <w:b/>
          <w:i/>
          <w:sz w:val="22"/>
        </w:rPr>
        <w:t>Дмитриев Александр Сергеевич </w:t>
      </w:r>
      <w:r>
        <w:rPr>
          <w:sz w:val="22"/>
        </w:rPr>
        <w:t>- врач-инфекционист федерального государственного бюджетного</w:t>
      </w:r>
      <w:r>
        <w:rPr>
          <w:spacing w:val="-10"/>
          <w:sz w:val="22"/>
        </w:rPr>
        <w:t> </w:t>
      </w:r>
      <w:r>
        <w:rPr>
          <w:sz w:val="22"/>
        </w:rPr>
        <w:t>учреждения</w:t>
      </w:r>
      <w:r>
        <w:rPr>
          <w:spacing w:val="-12"/>
          <w:sz w:val="22"/>
        </w:rPr>
        <w:t> </w:t>
      </w:r>
      <w:r>
        <w:rPr>
          <w:sz w:val="22"/>
        </w:rPr>
        <w:t>«Национальный</w:t>
      </w:r>
      <w:r>
        <w:rPr>
          <w:spacing w:val="-12"/>
          <w:sz w:val="22"/>
        </w:rPr>
        <w:t> </w:t>
      </w:r>
      <w:r>
        <w:rPr>
          <w:sz w:val="22"/>
        </w:rPr>
        <w:t>медицинский</w:t>
      </w:r>
      <w:r>
        <w:rPr>
          <w:spacing w:val="-11"/>
          <w:sz w:val="22"/>
        </w:rPr>
        <w:t> </w:t>
      </w:r>
      <w:r>
        <w:rPr>
          <w:sz w:val="22"/>
        </w:rPr>
        <w:t>исследовательский</w:t>
      </w:r>
      <w:r>
        <w:rPr>
          <w:spacing w:val="-12"/>
          <w:sz w:val="22"/>
        </w:rPr>
        <w:t> </w:t>
      </w:r>
      <w:r>
        <w:rPr>
          <w:sz w:val="22"/>
        </w:rPr>
        <w:t>центр</w:t>
      </w:r>
      <w:r>
        <w:rPr>
          <w:spacing w:val="-10"/>
          <w:sz w:val="22"/>
        </w:rPr>
        <w:t> </w:t>
      </w:r>
      <w:r>
        <w:rPr>
          <w:sz w:val="22"/>
        </w:rPr>
        <w:t>фтизиопульмонологии и инфекционных заболеваний» Минздрава России, главный внештатный специалист по инфекционным болезням Минздрава России в Приволжском федеральном округе</w:t>
      </w:r>
    </w:p>
    <w:p>
      <w:pPr>
        <w:spacing w:line="276" w:lineRule="auto" w:before="0"/>
        <w:ind w:left="937" w:right="707" w:firstLine="704"/>
        <w:jc w:val="both"/>
        <w:rPr>
          <w:sz w:val="22"/>
        </w:rPr>
      </w:pPr>
      <w:r>
        <w:rPr>
          <w:b/>
          <w:i/>
          <w:sz w:val="22"/>
        </w:rPr>
        <w:t>Долгушина Наталия Витальевна </w:t>
      </w:r>
      <w:r>
        <w:rPr>
          <w:sz w:val="22"/>
        </w:rPr>
        <w:t>– заместитель директора – руководитель департамента организации</w:t>
      </w:r>
      <w:r>
        <w:rPr>
          <w:spacing w:val="40"/>
          <w:sz w:val="22"/>
        </w:rPr>
        <w:t>  </w:t>
      </w:r>
      <w:r>
        <w:rPr>
          <w:sz w:val="22"/>
        </w:rPr>
        <w:t>научной</w:t>
      </w:r>
      <w:r>
        <w:rPr>
          <w:spacing w:val="40"/>
          <w:sz w:val="22"/>
        </w:rPr>
        <w:t>  </w:t>
      </w:r>
      <w:r>
        <w:rPr>
          <w:sz w:val="22"/>
        </w:rPr>
        <w:t>деятельности</w:t>
      </w:r>
      <w:r>
        <w:rPr>
          <w:spacing w:val="40"/>
          <w:sz w:val="22"/>
        </w:rPr>
        <w:t>  </w:t>
      </w:r>
      <w:r>
        <w:rPr>
          <w:sz w:val="22"/>
        </w:rPr>
        <w:t>федерального</w:t>
      </w:r>
      <w:r>
        <w:rPr>
          <w:spacing w:val="40"/>
          <w:sz w:val="22"/>
        </w:rPr>
        <w:t>  </w:t>
      </w:r>
      <w:r>
        <w:rPr>
          <w:sz w:val="22"/>
        </w:rPr>
        <w:t>государственного</w:t>
      </w:r>
      <w:r>
        <w:rPr>
          <w:spacing w:val="40"/>
          <w:sz w:val="22"/>
        </w:rPr>
        <w:t>  </w:t>
      </w:r>
      <w:r>
        <w:rPr>
          <w:sz w:val="22"/>
        </w:rPr>
        <w:t>бюджетного</w:t>
      </w:r>
      <w:r>
        <w:rPr>
          <w:spacing w:val="40"/>
          <w:sz w:val="22"/>
        </w:rPr>
        <w:t>  </w:t>
      </w:r>
      <w:r>
        <w:rPr>
          <w:sz w:val="22"/>
        </w:rPr>
        <w:t>учреждения</w:t>
      </w:r>
    </w:p>
    <w:p>
      <w:pPr>
        <w:spacing w:line="276" w:lineRule="auto" w:before="0"/>
        <w:ind w:left="937" w:right="708" w:firstLine="0"/>
        <w:jc w:val="both"/>
        <w:rPr>
          <w:sz w:val="22"/>
        </w:rPr>
      </w:pPr>
      <w:r>
        <w:rPr>
          <w:sz w:val="22"/>
        </w:rPr>
        <w:t>«Национальный медицинский исследовательский центр акушерства, гинекологии и перинатологии имени академика В.И. Кулакова» Минздрава России, главный внештатный специалист Минздрава России по репродуктивному здоровью женщин</w:t>
      </w:r>
    </w:p>
    <w:p>
      <w:pPr>
        <w:spacing w:line="276" w:lineRule="auto" w:before="0"/>
        <w:ind w:left="937" w:right="706" w:firstLine="704"/>
        <w:jc w:val="both"/>
        <w:rPr>
          <w:sz w:val="22"/>
        </w:rPr>
      </w:pPr>
      <w:r>
        <w:rPr>
          <w:b/>
          <w:i/>
          <w:sz w:val="22"/>
        </w:rPr>
        <w:t>Драпкина Оксана Михайловна </w:t>
      </w:r>
      <w:r>
        <w:rPr>
          <w:b/>
          <w:sz w:val="22"/>
        </w:rPr>
        <w:t>– </w:t>
      </w:r>
      <w:r>
        <w:rPr>
          <w:sz w:val="22"/>
        </w:rPr>
        <w:t>главный внештатный специалист по терапии и общей врачебной профилактике, директор федерального государственного учреждения «Национальный медицинский исследовательский центр профилактической медицины» Минздрава России</w:t>
      </w:r>
    </w:p>
    <w:p>
      <w:pPr>
        <w:spacing w:line="276" w:lineRule="auto" w:before="0"/>
        <w:ind w:left="849" w:right="704" w:firstLine="851"/>
        <w:jc w:val="both"/>
        <w:rPr>
          <w:sz w:val="22"/>
        </w:rPr>
      </w:pPr>
      <w:r>
        <w:rPr>
          <w:b/>
          <w:i/>
          <w:sz w:val="22"/>
        </w:rPr>
        <w:t>Дягтярев Дмитрий Николаевич </w:t>
      </w:r>
      <w:r>
        <w:rPr>
          <w:sz w:val="22"/>
        </w:rPr>
        <w:t>– заместитель директора по научной работе федерального государственного бюджетного учреждения «Национальный медицинский исследовательский центр акушерства, гинекологии и перинатологии имени академика В.И. Кулакова» Минздрава России</w:t>
      </w:r>
    </w:p>
    <w:p>
      <w:pPr>
        <w:spacing w:line="276" w:lineRule="auto" w:before="0"/>
        <w:ind w:left="849" w:right="704" w:firstLine="851"/>
        <w:jc w:val="both"/>
        <w:rPr>
          <w:sz w:val="22"/>
        </w:rPr>
      </w:pPr>
      <w:r>
        <w:rPr>
          <w:b/>
          <w:i/>
          <w:sz w:val="22"/>
        </w:rPr>
        <w:t>Жукова</w:t>
      </w:r>
      <w:r>
        <w:rPr>
          <w:b/>
          <w:i/>
          <w:spacing w:val="69"/>
          <w:sz w:val="22"/>
        </w:rPr>
        <w:t> </w:t>
      </w:r>
      <w:r>
        <w:rPr>
          <w:b/>
          <w:i/>
          <w:sz w:val="22"/>
        </w:rPr>
        <w:t>Ольга</w:t>
      </w:r>
      <w:r>
        <w:rPr>
          <w:b/>
          <w:i/>
          <w:spacing w:val="68"/>
          <w:sz w:val="22"/>
        </w:rPr>
        <w:t> </w:t>
      </w:r>
      <w:r>
        <w:rPr>
          <w:b/>
          <w:i/>
          <w:sz w:val="22"/>
        </w:rPr>
        <w:t>Валентиновна</w:t>
      </w:r>
      <w:r>
        <w:rPr>
          <w:b/>
          <w:i/>
          <w:spacing w:val="70"/>
          <w:sz w:val="22"/>
        </w:rPr>
        <w:t> </w:t>
      </w:r>
      <w:r>
        <w:rPr>
          <w:sz w:val="22"/>
        </w:rPr>
        <w:t>–</w:t>
      </w:r>
      <w:r>
        <w:rPr>
          <w:spacing w:val="69"/>
          <w:sz w:val="22"/>
        </w:rPr>
        <w:t> </w:t>
      </w:r>
      <w:r>
        <w:rPr>
          <w:sz w:val="22"/>
        </w:rPr>
        <w:t>главный</w:t>
      </w:r>
      <w:r>
        <w:rPr>
          <w:spacing w:val="69"/>
          <w:sz w:val="22"/>
        </w:rPr>
        <w:t> </w:t>
      </w:r>
      <w:r>
        <w:rPr>
          <w:sz w:val="22"/>
        </w:rPr>
        <w:t>внештатный</w:t>
      </w:r>
      <w:r>
        <w:rPr>
          <w:spacing w:val="68"/>
          <w:sz w:val="22"/>
        </w:rPr>
        <w:t> </w:t>
      </w:r>
      <w:r>
        <w:rPr>
          <w:sz w:val="22"/>
        </w:rPr>
        <w:t>специалист</w:t>
      </w:r>
      <w:r>
        <w:rPr>
          <w:spacing w:val="69"/>
          <w:sz w:val="22"/>
        </w:rPr>
        <w:t> </w:t>
      </w:r>
      <w:r>
        <w:rPr>
          <w:sz w:val="22"/>
        </w:rPr>
        <w:t>по</w:t>
      </w:r>
      <w:r>
        <w:rPr>
          <w:spacing w:val="68"/>
          <w:sz w:val="22"/>
        </w:rPr>
        <w:t> </w:t>
      </w:r>
      <w:r>
        <w:rPr>
          <w:sz w:val="22"/>
        </w:rPr>
        <w:t>дерматовенерологии и косметологии Минздрава России в Центральном федеральном округе, главный врач государственного </w:t>
      </w:r>
      <w:r>
        <w:rPr>
          <w:spacing w:val="-2"/>
          <w:sz w:val="22"/>
        </w:rPr>
        <w:t>бюджетного учреждения здравоохранения «Московский научно-практический центр дерматовенерологии </w:t>
      </w:r>
      <w:r>
        <w:rPr>
          <w:sz w:val="22"/>
        </w:rPr>
        <w:t>и</w:t>
      </w:r>
      <w:r>
        <w:rPr>
          <w:spacing w:val="40"/>
          <w:sz w:val="22"/>
        </w:rPr>
        <w:t> </w:t>
      </w:r>
      <w:r>
        <w:rPr>
          <w:sz w:val="22"/>
        </w:rPr>
        <w:t>косметологии</w:t>
      </w:r>
      <w:r>
        <w:rPr>
          <w:spacing w:val="38"/>
          <w:sz w:val="22"/>
        </w:rPr>
        <w:t> </w:t>
      </w:r>
      <w:r>
        <w:rPr>
          <w:sz w:val="22"/>
        </w:rPr>
        <w:t>Департамента</w:t>
      </w:r>
      <w:r>
        <w:rPr>
          <w:spacing w:val="40"/>
          <w:sz w:val="22"/>
        </w:rPr>
        <w:t> </w:t>
      </w:r>
      <w:r>
        <w:rPr>
          <w:sz w:val="22"/>
        </w:rPr>
        <w:t>здравоохранения</w:t>
      </w:r>
      <w:r>
        <w:rPr>
          <w:spacing w:val="38"/>
          <w:sz w:val="22"/>
        </w:rPr>
        <w:t> </w:t>
      </w:r>
      <w:r>
        <w:rPr>
          <w:sz w:val="22"/>
        </w:rPr>
        <w:t>города</w:t>
      </w:r>
      <w:r>
        <w:rPr>
          <w:spacing w:val="40"/>
          <w:sz w:val="22"/>
        </w:rPr>
        <w:t> </w:t>
      </w:r>
      <w:r>
        <w:rPr>
          <w:sz w:val="22"/>
        </w:rPr>
        <w:t>Москвы»,</w:t>
      </w:r>
      <w:r>
        <w:rPr>
          <w:spacing w:val="40"/>
          <w:sz w:val="22"/>
        </w:rPr>
        <w:t> </w:t>
      </w:r>
      <w:r>
        <w:rPr>
          <w:sz w:val="22"/>
        </w:rPr>
        <w:t>и.о.</w:t>
      </w:r>
      <w:r>
        <w:rPr>
          <w:spacing w:val="40"/>
          <w:sz w:val="22"/>
        </w:rPr>
        <w:t> </w:t>
      </w:r>
      <w:r>
        <w:rPr>
          <w:sz w:val="22"/>
        </w:rPr>
        <w:t>заведующей</w:t>
      </w:r>
      <w:r>
        <w:rPr>
          <w:spacing w:val="38"/>
          <w:sz w:val="22"/>
        </w:rPr>
        <w:t> </w:t>
      </w:r>
      <w:r>
        <w:rPr>
          <w:sz w:val="22"/>
        </w:rPr>
        <w:t>кафедрой</w:t>
      </w:r>
      <w:r>
        <w:rPr>
          <w:spacing w:val="40"/>
          <w:sz w:val="22"/>
        </w:rPr>
        <w:t> </w:t>
      </w:r>
      <w:r>
        <w:rPr>
          <w:sz w:val="22"/>
        </w:rPr>
        <w:t>кожных</w:t>
      </w:r>
    </w:p>
    <w:p>
      <w:pPr>
        <w:pStyle w:val="BodyText"/>
        <w:spacing w:before="16"/>
        <w:ind w:left="0"/>
        <w:jc w:val="left"/>
        <w:rPr>
          <w:sz w:val="22"/>
        </w:rPr>
      </w:pPr>
    </w:p>
    <w:p>
      <w:pPr>
        <w:spacing w:before="0"/>
        <w:ind w:left="140" w:right="0" w:firstLine="0"/>
        <w:jc w:val="center"/>
        <w:rPr>
          <w:rFonts w:ascii="Calibri"/>
          <w:sz w:val="22"/>
        </w:rPr>
      </w:pPr>
      <w:r>
        <w:rPr>
          <w:rFonts w:ascii="Calibri"/>
          <w:spacing w:val="-5"/>
          <w:sz w:val="22"/>
        </w:rPr>
        <w:t>236</w:t>
      </w:r>
    </w:p>
    <w:p>
      <w:pPr>
        <w:spacing w:before="2"/>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spacing w:line="276" w:lineRule="auto" w:before="65"/>
        <w:ind w:left="849" w:right="706" w:firstLine="0"/>
        <w:jc w:val="both"/>
        <w:rPr>
          <w:sz w:val="22"/>
        </w:rPr>
      </w:pPr>
      <w:bookmarkStart w:name="238" w:id="285"/>
      <w:bookmarkEnd w:id="285"/>
      <w:r>
        <w:rPr/>
      </w:r>
      <w:r>
        <w:rPr>
          <w:sz w:val="22"/>
        </w:rPr>
        <w:t>и венерических болезней федерального государственного автономного образовательного учреждения высшего образования «Российский университет дружбы народов» Минобрнауки России</w:t>
      </w:r>
    </w:p>
    <w:p>
      <w:pPr>
        <w:spacing w:line="276" w:lineRule="auto" w:before="1"/>
        <w:ind w:left="937" w:right="703" w:firstLine="704"/>
        <w:jc w:val="both"/>
        <w:rPr>
          <w:sz w:val="22"/>
        </w:rPr>
      </w:pPr>
      <w:r>
        <w:rPr>
          <w:b/>
          <w:i/>
          <w:sz w:val="22"/>
        </w:rPr>
        <w:t>Журавель Сергей Владимирович – </w:t>
      </w:r>
      <w:r>
        <w:rPr>
          <w:sz w:val="22"/>
        </w:rPr>
        <w:t>заведующий научным отделом анестезиологии государственного бюджетного учреждения здравоохранения «Научно-исследовательский институт скорой помощи имени Н.В. Склифосовского» Департамента здравоохранения города Москвы</w:t>
      </w:r>
    </w:p>
    <w:p>
      <w:pPr>
        <w:spacing w:line="276" w:lineRule="auto" w:before="0"/>
        <w:ind w:left="937" w:right="708" w:firstLine="704"/>
        <w:jc w:val="both"/>
        <w:rPr>
          <w:sz w:val="22"/>
        </w:rPr>
      </w:pPr>
      <w:r>
        <w:rPr>
          <w:b/>
          <w:i/>
          <w:sz w:val="22"/>
        </w:rPr>
        <w:t>Забозлаев</w:t>
      </w:r>
      <w:r>
        <w:rPr>
          <w:b/>
          <w:i/>
          <w:spacing w:val="40"/>
          <w:sz w:val="22"/>
        </w:rPr>
        <w:t> </w:t>
      </w:r>
      <w:r>
        <w:rPr>
          <w:b/>
          <w:i/>
          <w:sz w:val="22"/>
        </w:rPr>
        <w:t>Федор</w:t>
      </w:r>
      <w:r>
        <w:rPr>
          <w:b/>
          <w:i/>
          <w:spacing w:val="40"/>
          <w:sz w:val="22"/>
        </w:rPr>
        <w:t> </w:t>
      </w:r>
      <w:r>
        <w:rPr>
          <w:b/>
          <w:i/>
          <w:sz w:val="22"/>
        </w:rPr>
        <w:t>Георгиевич</w:t>
      </w:r>
      <w:r>
        <w:rPr>
          <w:b/>
          <w:i/>
          <w:spacing w:val="40"/>
          <w:sz w:val="22"/>
        </w:rPr>
        <w:t> </w:t>
      </w:r>
      <w:r>
        <w:rPr>
          <w:b/>
          <w:i/>
          <w:sz w:val="22"/>
        </w:rPr>
        <w:t>–</w:t>
      </w:r>
      <w:r>
        <w:rPr>
          <w:b/>
          <w:i/>
          <w:spacing w:val="40"/>
          <w:sz w:val="22"/>
        </w:rPr>
        <w:t> </w:t>
      </w:r>
      <w:r>
        <w:rPr>
          <w:sz w:val="22"/>
        </w:rPr>
        <w:t>профессор</w:t>
      </w:r>
      <w:r>
        <w:rPr>
          <w:spacing w:val="40"/>
          <w:sz w:val="22"/>
        </w:rPr>
        <w:t> </w:t>
      </w:r>
      <w:r>
        <w:rPr>
          <w:sz w:val="22"/>
        </w:rPr>
        <w:t>кафедры</w:t>
      </w:r>
      <w:r>
        <w:rPr>
          <w:spacing w:val="40"/>
          <w:sz w:val="22"/>
        </w:rPr>
        <w:t> </w:t>
      </w:r>
      <w:r>
        <w:rPr>
          <w:sz w:val="22"/>
        </w:rPr>
        <w:t>клинической</w:t>
      </w:r>
      <w:r>
        <w:rPr>
          <w:spacing w:val="40"/>
          <w:sz w:val="22"/>
        </w:rPr>
        <w:t> </w:t>
      </w:r>
      <w:r>
        <w:rPr>
          <w:sz w:val="22"/>
        </w:rPr>
        <w:t>лабораторной</w:t>
      </w:r>
      <w:r>
        <w:rPr>
          <w:spacing w:val="40"/>
          <w:sz w:val="22"/>
        </w:rPr>
        <w:t> </w:t>
      </w:r>
      <w:r>
        <w:rPr>
          <w:sz w:val="22"/>
        </w:rPr>
        <w:t>диагностики и</w:t>
      </w:r>
      <w:r>
        <w:rPr>
          <w:spacing w:val="-6"/>
          <w:sz w:val="22"/>
        </w:rPr>
        <w:t> </w:t>
      </w:r>
      <w:r>
        <w:rPr>
          <w:sz w:val="22"/>
        </w:rPr>
        <w:t>патологической</w:t>
      </w:r>
      <w:r>
        <w:rPr>
          <w:spacing w:val="-3"/>
          <w:sz w:val="22"/>
        </w:rPr>
        <w:t> </w:t>
      </w:r>
      <w:r>
        <w:rPr>
          <w:sz w:val="22"/>
        </w:rPr>
        <w:t>анатомии</w:t>
      </w:r>
      <w:r>
        <w:rPr>
          <w:spacing w:val="-3"/>
          <w:sz w:val="22"/>
        </w:rPr>
        <w:t> </w:t>
      </w:r>
      <w:r>
        <w:rPr>
          <w:sz w:val="22"/>
        </w:rPr>
        <w:t>федерального</w:t>
      </w:r>
      <w:r>
        <w:rPr>
          <w:spacing w:val="-3"/>
          <w:sz w:val="22"/>
        </w:rPr>
        <w:t> </w:t>
      </w:r>
      <w:r>
        <w:rPr>
          <w:sz w:val="22"/>
        </w:rPr>
        <w:t>государственного</w:t>
      </w:r>
      <w:r>
        <w:rPr>
          <w:spacing w:val="-3"/>
          <w:sz w:val="22"/>
        </w:rPr>
        <w:t> </w:t>
      </w:r>
      <w:r>
        <w:rPr>
          <w:sz w:val="22"/>
        </w:rPr>
        <w:t>бюджетного</w:t>
      </w:r>
      <w:r>
        <w:rPr>
          <w:spacing w:val="-3"/>
          <w:sz w:val="22"/>
        </w:rPr>
        <w:t> </w:t>
      </w:r>
      <w:r>
        <w:rPr>
          <w:sz w:val="22"/>
        </w:rPr>
        <w:t>образовательного</w:t>
      </w:r>
      <w:r>
        <w:rPr>
          <w:spacing w:val="-3"/>
          <w:sz w:val="22"/>
        </w:rPr>
        <w:t> </w:t>
      </w:r>
      <w:r>
        <w:rPr>
          <w:spacing w:val="-2"/>
          <w:sz w:val="22"/>
        </w:rPr>
        <w:t>учреждения</w:t>
      </w:r>
    </w:p>
    <w:p>
      <w:pPr>
        <w:spacing w:line="276" w:lineRule="auto" w:before="0"/>
        <w:ind w:left="937" w:right="710" w:firstLine="0"/>
        <w:jc w:val="both"/>
        <w:rPr>
          <w:sz w:val="22"/>
        </w:rPr>
      </w:pPr>
      <w:r>
        <w:rPr>
          <w:sz w:val="22"/>
        </w:rPr>
        <w:t>«Академия постдипломного образования» ФНКЦ ФМБА России, заведующий патологоанатомическим отделением ФНКЦ ФМБА России, вице-президент Российского общества патологоанатомов.</w:t>
      </w:r>
    </w:p>
    <w:p>
      <w:pPr>
        <w:spacing w:line="276" w:lineRule="auto" w:before="0"/>
        <w:ind w:left="937" w:right="706" w:firstLine="704"/>
        <w:jc w:val="both"/>
        <w:rPr>
          <w:sz w:val="22"/>
        </w:rPr>
      </w:pPr>
      <w:r>
        <w:rPr>
          <w:b/>
          <w:i/>
          <w:sz w:val="22"/>
        </w:rPr>
        <w:t>Заболотских</w:t>
      </w:r>
      <w:r>
        <w:rPr>
          <w:b/>
          <w:i/>
          <w:spacing w:val="80"/>
          <w:sz w:val="22"/>
        </w:rPr>
        <w:t> </w:t>
      </w:r>
      <w:r>
        <w:rPr>
          <w:b/>
          <w:i/>
          <w:sz w:val="22"/>
        </w:rPr>
        <w:t>Игорь</w:t>
      </w:r>
      <w:r>
        <w:rPr>
          <w:b/>
          <w:i/>
          <w:spacing w:val="80"/>
          <w:sz w:val="22"/>
        </w:rPr>
        <w:t> </w:t>
      </w:r>
      <w:r>
        <w:rPr>
          <w:b/>
          <w:i/>
          <w:sz w:val="22"/>
        </w:rPr>
        <w:t>Борисович</w:t>
      </w:r>
      <w:r>
        <w:rPr>
          <w:b/>
          <w:i/>
          <w:spacing w:val="80"/>
          <w:sz w:val="22"/>
        </w:rPr>
        <w:t> </w:t>
      </w:r>
      <w:r>
        <w:rPr>
          <w:sz w:val="22"/>
        </w:rPr>
        <w:t>–</w:t>
      </w:r>
      <w:r>
        <w:rPr>
          <w:spacing w:val="80"/>
          <w:sz w:val="22"/>
        </w:rPr>
        <w:t> </w:t>
      </w:r>
      <w:r>
        <w:rPr>
          <w:sz w:val="22"/>
        </w:rPr>
        <w:t>заведующий</w:t>
      </w:r>
      <w:r>
        <w:rPr>
          <w:spacing w:val="80"/>
          <w:sz w:val="22"/>
        </w:rPr>
        <w:t> </w:t>
      </w:r>
      <w:r>
        <w:rPr>
          <w:sz w:val="22"/>
        </w:rPr>
        <w:t>кафедрой</w:t>
      </w:r>
      <w:r>
        <w:rPr>
          <w:spacing w:val="80"/>
          <w:sz w:val="22"/>
        </w:rPr>
        <w:t> </w:t>
      </w:r>
      <w:r>
        <w:rPr>
          <w:sz w:val="22"/>
        </w:rPr>
        <w:t>анестезиологии,</w:t>
      </w:r>
      <w:r>
        <w:rPr>
          <w:spacing w:val="80"/>
          <w:sz w:val="22"/>
        </w:rPr>
        <w:t> </w:t>
      </w:r>
      <w:r>
        <w:rPr>
          <w:sz w:val="22"/>
        </w:rPr>
        <w:t>реаниматологии и</w:t>
      </w:r>
      <w:r>
        <w:rPr>
          <w:spacing w:val="-11"/>
          <w:sz w:val="22"/>
        </w:rPr>
        <w:t> </w:t>
      </w:r>
      <w:r>
        <w:rPr>
          <w:sz w:val="22"/>
        </w:rPr>
        <w:t>трансфузиологии</w:t>
      </w:r>
      <w:r>
        <w:rPr>
          <w:spacing w:val="-11"/>
          <w:sz w:val="22"/>
        </w:rPr>
        <w:t> </w:t>
      </w:r>
      <w:r>
        <w:rPr>
          <w:sz w:val="22"/>
        </w:rPr>
        <w:t>федерального</w:t>
      </w:r>
      <w:r>
        <w:rPr>
          <w:spacing w:val="-10"/>
          <w:sz w:val="22"/>
        </w:rPr>
        <w:t> </w:t>
      </w:r>
      <w:r>
        <w:rPr>
          <w:sz w:val="22"/>
        </w:rPr>
        <w:t>государственного</w:t>
      </w:r>
      <w:r>
        <w:rPr>
          <w:spacing w:val="-13"/>
          <w:sz w:val="22"/>
        </w:rPr>
        <w:t> </w:t>
      </w:r>
      <w:r>
        <w:rPr>
          <w:sz w:val="22"/>
        </w:rPr>
        <w:t>бюджетного</w:t>
      </w:r>
      <w:r>
        <w:rPr>
          <w:spacing w:val="-10"/>
          <w:sz w:val="22"/>
        </w:rPr>
        <w:t> </w:t>
      </w:r>
      <w:r>
        <w:rPr>
          <w:sz w:val="22"/>
        </w:rPr>
        <w:t>образовательного</w:t>
      </w:r>
      <w:r>
        <w:rPr>
          <w:spacing w:val="-10"/>
          <w:sz w:val="22"/>
        </w:rPr>
        <w:t> </w:t>
      </w:r>
      <w:r>
        <w:rPr>
          <w:sz w:val="22"/>
        </w:rPr>
        <w:t>учреждения</w:t>
      </w:r>
      <w:r>
        <w:rPr>
          <w:spacing w:val="-11"/>
          <w:sz w:val="22"/>
        </w:rPr>
        <w:t> </w:t>
      </w:r>
      <w:r>
        <w:rPr>
          <w:sz w:val="22"/>
        </w:rPr>
        <w:t>высшего образования «Кубанский государственный медицинский университет» Минздрава России</w:t>
      </w:r>
    </w:p>
    <w:p>
      <w:pPr>
        <w:spacing w:line="276" w:lineRule="auto" w:before="0"/>
        <w:ind w:left="937" w:right="703" w:firstLine="704"/>
        <w:jc w:val="both"/>
        <w:rPr>
          <w:sz w:val="22"/>
        </w:rPr>
      </w:pPr>
      <w:r>
        <w:rPr>
          <w:b/>
          <w:i/>
          <w:sz w:val="22"/>
        </w:rPr>
        <w:t>Загребнева Алена Игоревна – </w:t>
      </w:r>
      <w:r>
        <w:rPr>
          <w:sz w:val="22"/>
        </w:rPr>
        <w:t>доцент кафедры общей терапии ФУВ федерального государственного автономного образовательного учреждения высшего образования «Российский национальный</w:t>
      </w:r>
      <w:r>
        <w:rPr>
          <w:spacing w:val="-3"/>
          <w:sz w:val="22"/>
        </w:rPr>
        <w:t> </w:t>
      </w:r>
      <w:r>
        <w:rPr>
          <w:sz w:val="22"/>
        </w:rPr>
        <w:t>исследовательский</w:t>
      </w:r>
      <w:r>
        <w:rPr>
          <w:spacing w:val="-3"/>
          <w:sz w:val="22"/>
        </w:rPr>
        <w:t> </w:t>
      </w:r>
      <w:r>
        <w:rPr>
          <w:sz w:val="22"/>
        </w:rPr>
        <w:t>медицинский</w:t>
      </w:r>
      <w:r>
        <w:rPr>
          <w:spacing w:val="-1"/>
          <w:sz w:val="22"/>
        </w:rPr>
        <w:t> </w:t>
      </w:r>
      <w:r>
        <w:rPr>
          <w:sz w:val="22"/>
        </w:rPr>
        <w:t>университет имени Н.И. Пирогова»</w:t>
      </w:r>
      <w:r>
        <w:rPr>
          <w:spacing w:val="-2"/>
          <w:sz w:val="22"/>
        </w:rPr>
        <w:t> </w:t>
      </w:r>
      <w:r>
        <w:rPr>
          <w:sz w:val="22"/>
        </w:rPr>
        <w:t>Минздрава</w:t>
      </w:r>
      <w:r>
        <w:rPr>
          <w:spacing w:val="-2"/>
          <w:sz w:val="22"/>
        </w:rPr>
        <w:t> </w:t>
      </w:r>
      <w:r>
        <w:rPr>
          <w:sz w:val="22"/>
        </w:rPr>
        <w:t>России, главный внештатный ревматолог Департамента здравоохранения г. Москвы</w:t>
      </w:r>
    </w:p>
    <w:p>
      <w:pPr>
        <w:spacing w:line="276" w:lineRule="auto" w:before="0"/>
        <w:ind w:left="947" w:right="703" w:firstLine="704"/>
        <w:jc w:val="both"/>
        <w:rPr>
          <w:sz w:val="22"/>
        </w:rPr>
      </w:pPr>
      <w:r>
        <w:rPr>
          <w:b/>
          <w:i/>
          <w:sz w:val="22"/>
        </w:rPr>
        <w:t>Зайратьянц</w:t>
      </w:r>
      <w:r>
        <w:rPr>
          <w:b/>
          <w:i/>
          <w:spacing w:val="-6"/>
          <w:sz w:val="22"/>
        </w:rPr>
        <w:t> </w:t>
      </w:r>
      <w:r>
        <w:rPr>
          <w:b/>
          <w:i/>
          <w:sz w:val="22"/>
        </w:rPr>
        <w:t>Олег</w:t>
      </w:r>
      <w:r>
        <w:rPr>
          <w:b/>
          <w:i/>
          <w:spacing w:val="-8"/>
          <w:sz w:val="22"/>
        </w:rPr>
        <w:t> </w:t>
      </w:r>
      <w:r>
        <w:rPr>
          <w:b/>
          <w:i/>
          <w:sz w:val="22"/>
        </w:rPr>
        <w:t>Вадимович</w:t>
      </w:r>
      <w:r>
        <w:rPr>
          <w:b/>
          <w:i/>
          <w:spacing w:val="-5"/>
          <w:sz w:val="22"/>
        </w:rPr>
        <w:t> </w:t>
      </w:r>
      <w:r>
        <w:rPr>
          <w:b/>
          <w:i/>
          <w:sz w:val="22"/>
        </w:rPr>
        <w:t>–</w:t>
      </w:r>
      <w:r>
        <w:rPr>
          <w:b/>
          <w:i/>
          <w:spacing w:val="-8"/>
          <w:sz w:val="22"/>
        </w:rPr>
        <w:t> </w:t>
      </w:r>
      <w:r>
        <w:rPr>
          <w:sz w:val="22"/>
        </w:rPr>
        <w:t>главный</w:t>
      </w:r>
      <w:r>
        <w:rPr>
          <w:spacing w:val="-8"/>
          <w:sz w:val="22"/>
        </w:rPr>
        <w:t> </w:t>
      </w:r>
      <w:r>
        <w:rPr>
          <w:sz w:val="22"/>
        </w:rPr>
        <w:t>внештатный</w:t>
      </w:r>
      <w:r>
        <w:rPr>
          <w:spacing w:val="-5"/>
          <w:sz w:val="22"/>
        </w:rPr>
        <w:t> </w:t>
      </w:r>
      <w:r>
        <w:rPr>
          <w:sz w:val="22"/>
        </w:rPr>
        <w:t>специалист-патологоанатом</w:t>
      </w:r>
      <w:r>
        <w:rPr>
          <w:spacing w:val="-7"/>
          <w:sz w:val="22"/>
        </w:rPr>
        <w:t> </w:t>
      </w:r>
      <w:r>
        <w:rPr>
          <w:sz w:val="22"/>
        </w:rPr>
        <w:t>Департамента здравоохранения города Москвы, главный внештатный специалист-эксперт-патологоанатом Росздравнадзора по Центральному федеральному округу, заведующий кафедрой патологической анатомии федерального государственного бюджетного образовательного учреждения высшего образования</w:t>
      </w:r>
      <w:r>
        <w:rPr>
          <w:spacing w:val="-8"/>
          <w:sz w:val="22"/>
        </w:rPr>
        <w:t> </w:t>
      </w:r>
      <w:r>
        <w:rPr>
          <w:sz w:val="22"/>
        </w:rPr>
        <w:t>«МГМСУ</w:t>
      </w:r>
      <w:r>
        <w:rPr>
          <w:spacing w:val="-11"/>
          <w:sz w:val="22"/>
        </w:rPr>
        <w:t> </w:t>
      </w:r>
      <w:r>
        <w:rPr>
          <w:sz w:val="22"/>
        </w:rPr>
        <w:t>им.</w:t>
      </w:r>
      <w:r>
        <w:rPr>
          <w:spacing w:val="-8"/>
          <w:sz w:val="22"/>
        </w:rPr>
        <w:t> </w:t>
      </w:r>
      <w:r>
        <w:rPr>
          <w:sz w:val="22"/>
        </w:rPr>
        <w:t>А.И.</w:t>
      </w:r>
      <w:r>
        <w:rPr>
          <w:spacing w:val="-8"/>
          <w:sz w:val="22"/>
        </w:rPr>
        <w:t> </w:t>
      </w:r>
      <w:r>
        <w:rPr>
          <w:sz w:val="22"/>
        </w:rPr>
        <w:t>Евдокимова»</w:t>
      </w:r>
      <w:r>
        <w:rPr>
          <w:spacing w:val="-8"/>
          <w:sz w:val="22"/>
        </w:rPr>
        <w:t> </w:t>
      </w:r>
      <w:r>
        <w:rPr>
          <w:sz w:val="22"/>
        </w:rPr>
        <w:t>Минздрава</w:t>
      </w:r>
      <w:r>
        <w:rPr>
          <w:spacing w:val="-7"/>
          <w:sz w:val="22"/>
        </w:rPr>
        <w:t> </w:t>
      </w:r>
      <w:r>
        <w:rPr>
          <w:sz w:val="22"/>
        </w:rPr>
        <w:t>России,</w:t>
      </w:r>
      <w:r>
        <w:rPr>
          <w:spacing w:val="-9"/>
          <w:sz w:val="22"/>
        </w:rPr>
        <w:t> </w:t>
      </w:r>
      <w:r>
        <w:rPr>
          <w:sz w:val="22"/>
        </w:rPr>
        <w:t>вице-президент</w:t>
      </w:r>
      <w:r>
        <w:rPr>
          <w:spacing w:val="-8"/>
          <w:sz w:val="22"/>
        </w:rPr>
        <w:t> </w:t>
      </w:r>
      <w:r>
        <w:rPr>
          <w:sz w:val="22"/>
        </w:rPr>
        <w:t>Российского</w:t>
      </w:r>
      <w:r>
        <w:rPr>
          <w:spacing w:val="-10"/>
          <w:sz w:val="22"/>
        </w:rPr>
        <w:t> </w:t>
      </w:r>
      <w:r>
        <w:rPr>
          <w:sz w:val="22"/>
        </w:rPr>
        <w:t>общества патологоанатомов, председатель Московского общества патологоанатомов</w:t>
      </w:r>
    </w:p>
    <w:p>
      <w:pPr>
        <w:spacing w:line="276" w:lineRule="auto" w:before="0"/>
        <w:ind w:left="937" w:right="707" w:firstLine="704"/>
        <w:jc w:val="both"/>
        <w:rPr>
          <w:sz w:val="22"/>
        </w:rPr>
      </w:pPr>
      <w:r>
        <w:rPr>
          <w:b/>
          <w:i/>
          <w:sz w:val="22"/>
        </w:rPr>
        <w:t>Зайцев Андрей Алексеевич </w:t>
      </w:r>
      <w:r>
        <w:rPr>
          <w:sz w:val="22"/>
        </w:rPr>
        <w:t>– главный пульмонолог Министерства обороны Российской Федерации, главный пульмонолог федерального государственного бюджетного учреждения «Главный военный клинический госпиталь имени академика Н.Н. Бурденко» Министерства обороны Российской </w:t>
      </w:r>
      <w:r>
        <w:rPr>
          <w:spacing w:val="-2"/>
          <w:sz w:val="22"/>
        </w:rPr>
        <w:t>Федерации</w:t>
      </w:r>
    </w:p>
    <w:p>
      <w:pPr>
        <w:spacing w:line="276" w:lineRule="auto" w:before="0"/>
        <w:ind w:left="947" w:right="708" w:firstLine="704"/>
        <w:jc w:val="both"/>
        <w:rPr>
          <w:sz w:val="22"/>
        </w:rPr>
      </w:pPr>
      <w:r>
        <w:rPr>
          <w:b/>
          <w:i/>
          <w:sz w:val="22"/>
        </w:rPr>
        <w:t>Зюзя Юлия Рашидовна </w:t>
      </w:r>
      <w:r>
        <w:rPr>
          <w:sz w:val="22"/>
        </w:rPr>
        <w:t>- врач-патологоанатом федерального государственного бюджетного учреждения</w:t>
      </w:r>
      <w:r>
        <w:rPr>
          <w:spacing w:val="80"/>
          <w:sz w:val="22"/>
        </w:rPr>
        <w:t>  </w:t>
      </w:r>
      <w:r>
        <w:rPr>
          <w:sz w:val="22"/>
        </w:rPr>
        <w:t>«Национальный</w:t>
      </w:r>
      <w:r>
        <w:rPr>
          <w:spacing w:val="80"/>
          <w:sz w:val="22"/>
        </w:rPr>
        <w:t>  </w:t>
      </w:r>
      <w:r>
        <w:rPr>
          <w:sz w:val="22"/>
        </w:rPr>
        <w:t>медицинский</w:t>
      </w:r>
      <w:r>
        <w:rPr>
          <w:spacing w:val="80"/>
          <w:sz w:val="22"/>
        </w:rPr>
        <w:t>  </w:t>
      </w:r>
      <w:r>
        <w:rPr>
          <w:sz w:val="22"/>
        </w:rPr>
        <w:t>исследовательский</w:t>
      </w:r>
      <w:r>
        <w:rPr>
          <w:spacing w:val="80"/>
          <w:sz w:val="22"/>
        </w:rPr>
        <w:t>  </w:t>
      </w:r>
      <w:r>
        <w:rPr>
          <w:sz w:val="22"/>
        </w:rPr>
        <w:t>центр</w:t>
      </w:r>
      <w:r>
        <w:rPr>
          <w:spacing w:val="80"/>
          <w:sz w:val="22"/>
        </w:rPr>
        <w:t>  </w:t>
      </w:r>
      <w:r>
        <w:rPr>
          <w:sz w:val="22"/>
        </w:rPr>
        <w:t>фтизиопульмонологии и инфекционных заболеваний» Минздрава России</w:t>
      </w:r>
    </w:p>
    <w:p>
      <w:pPr>
        <w:spacing w:line="278" w:lineRule="auto" w:before="0"/>
        <w:ind w:left="937" w:right="702" w:firstLine="704"/>
        <w:jc w:val="both"/>
        <w:rPr>
          <w:sz w:val="22"/>
        </w:rPr>
      </w:pPr>
      <w:r>
        <w:rPr>
          <w:b/>
          <w:i/>
          <w:sz w:val="22"/>
        </w:rPr>
        <w:t>Иванов Дмитрий Олегович </w:t>
      </w:r>
      <w:r>
        <w:rPr>
          <w:sz w:val="22"/>
        </w:rPr>
        <w:t>– главный внештатный специалист-неонатолог Минздрава России, ректор ФГБУ ВО «Санкт-Петербургский государственный педиатрический медицинский университет»</w:t>
      </w:r>
    </w:p>
    <w:p>
      <w:pPr>
        <w:spacing w:line="276" w:lineRule="auto" w:before="0"/>
        <w:ind w:left="947" w:right="706" w:firstLine="704"/>
        <w:jc w:val="both"/>
        <w:rPr>
          <w:sz w:val="22"/>
        </w:rPr>
      </w:pPr>
      <w:r>
        <w:rPr>
          <w:b/>
          <w:i/>
          <w:sz w:val="22"/>
        </w:rPr>
        <w:t>Иванов Сергей Анатольевич </w:t>
      </w:r>
      <w:r>
        <w:rPr>
          <w:sz w:val="22"/>
        </w:rPr>
        <w:t>— директор МРНЦ им. А.Ф. Цыба — филиала федерального государственного бюджетного учреждения «НМИЦ радиологии» Минздрава России, главный внештатный специалист-онколог Минздрава России по Центральному федеральному округу</w:t>
      </w:r>
    </w:p>
    <w:p>
      <w:pPr>
        <w:spacing w:line="276" w:lineRule="auto" w:before="0"/>
        <w:ind w:left="947" w:right="706" w:firstLine="704"/>
        <w:jc w:val="both"/>
        <w:rPr>
          <w:sz w:val="22"/>
        </w:rPr>
      </w:pPr>
      <w:r>
        <w:rPr>
          <w:b/>
          <w:i/>
          <w:sz w:val="22"/>
        </w:rPr>
        <w:t>Иванова Галина Евгеньевна – </w:t>
      </w:r>
      <w:r>
        <w:rPr>
          <w:sz w:val="22"/>
        </w:rPr>
        <w:t>главный внештатный специалист по медицинской реабилитации Минздрава России, заведующая кафедрой медицинской реабилитации факультета дополнительного профессионального образования федерального государственного автономного образовательного учреждения высшего образования «Российский национальный исследовательский медицинский университет имени Н.И. Пирогова» Минздрава России, заведующая Отделом медицинской реабилитации федерального государственного бюджетного учреждения «ФЦМН» ФМБА России</w:t>
      </w:r>
    </w:p>
    <w:p>
      <w:pPr>
        <w:spacing w:line="276" w:lineRule="auto" w:before="0"/>
        <w:ind w:left="849" w:right="705" w:firstLine="851"/>
        <w:jc w:val="both"/>
        <w:rPr>
          <w:sz w:val="22"/>
        </w:rPr>
      </w:pPr>
      <w:r>
        <w:rPr>
          <w:b/>
          <w:i/>
          <w:sz w:val="22"/>
        </w:rPr>
        <w:t>Ивашкин Владимир Трофимович </w:t>
      </w:r>
      <w:r>
        <w:rPr>
          <w:sz w:val="22"/>
        </w:rPr>
        <w:t>– главный внештатный гастроэнтеролог Минздрава России, заведующий кафедрой пропедевтики внутренних болезней, гастроэнтерологии и гепатологии Института клинической</w:t>
      </w:r>
      <w:r>
        <w:rPr>
          <w:spacing w:val="-14"/>
          <w:sz w:val="22"/>
        </w:rPr>
        <w:t> </w:t>
      </w:r>
      <w:r>
        <w:rPr>
          <w:sz w:val="22"/>
        </w:rPr>
        <w:t>медицины</w:t>
      </w:r>
      <w:r>
        <w:rPr>
          <w:spacing w:val="-14"/>
          <w:sz w:val="22"/>
        </w:rPr>
        <w:t> </w:t>
      </w:r>
      <w:r>
        <w:rPr>
          <w:sz w:val="22"/>
        </w:rPr>
        <w:t>им.</w:t>
      </w:r>
      <w:r>
        <w:rPr>
          <w:spacing w:val="-14"/>
          <w:sz w:val="22"/>
        </w:rPr>
        <w:t> </w:t>
      </w:r>
      <w:r>
        <w:rPr>
          <w:sz w:val="22"/>
        </w:rPr>
        <w:t>Н.В.</w:t>
      </w:r>
      <w:r>
        <w:rPr>
          <w:spacing w:val="-13"/>
          <w:sz w:val="22"/>
        </w:rPr>
        <w:t> </w:t>
      </w:r>
      <w:r>
        <w:rPr>
          <w:sz w:val="22"/>
        </w:rPr>
        <w:t>Склифосовского,</w:t>
      </w:r>
      <w:r>
        <w:rPr>
          <w:spacing w:val="-14"/>
          <w:sz w:val="22"/>
        </w:rPr>
        <w:t> </w:t>
      </w:r>
      <w:r>
        <w:rPr>
          <w:sz w:val="22"/>
        </w:rPr>
        <w:t>директор</w:t>
      </w:r>
      <w:r>
        <w:rPr>
          <w:spacing w:val="-14"/>
          <w:sz w:val="22"/>
        </w:rPr>
        <w:t> </w:t>
      </w:r>
      <w:r>
        <w:rPr>
          <w:sz w:val="22"/>
        </w:rPr>
        <w:t>Клиники</w:t>
      </w:r>
      <w:r>
        <w:rPr>
          <w:spacing w:val="-14"/>
          <w:sz w:val="22"/>
        </w:rPr>
        <w:t> </w:t>
      </w:r>
      <w:r>
        <w:rPr>
          <w:sz w:val="22"/>
        </w:rPr>
        <w:t>пропедевтики</w:t>
      </w:r>
      <w:r>
        <w:rPr>
          <w:spacing w:val="-13"/>
          <w:sz w:val="22"/>
        </w:rPr>
        <w:t> </w:t>
      </w:r>
      <w:r>
        <w:rPr>
          <w:sz w:val="22"/>
        </w:rPr>
        <w:t>внутренних</w:t>
      </w:r>
      <w:r>
        <w:rPr>
          <w:spacing w:val="-14"/>
          <w:sz w:val="22"/>
        </w:rPr>
        <w:t> </w:t>
      </w:r>
      <w:r>
        <w:rPr>
          <w:sz w:val="22"/>
        </w:rPr>
        <w:t>болезней, гастроэнтерологии и гепатологии им. В.Х. Василенко федерального государственного автономного образовательного учреждения высшего образования «Первый Московский государственный медицинский университет имени И.М. Сеченова» Минздрава России (Сеченовский Университет)</w:t>
      </w:r>
    </w:p>
    <w:p>
      <w:pPr>
        <w:pStyle w:val="BodyText"/>
        <w:spacing w:before="11"/>
        <w:ind w:left="0"/>
        <w:jc w:val="left"/>
        <w:rPr>
          <w:sz w:val="22"/>
        </w:rPr>
      </w:pPr>
    </w:p>
    <w:p>
      <w:pPr>
        <w:spacing w:before="0"/>
        <w:ind w:left="140" w:right="0" w:firstLine="0"/>
        <w:jc w:val="center"/>
        <w:rPr>
          <w:rFonts w:ascii="Calibri"/>
          <w:sz w:val="22"/>
        </w:rPr>
      </w:pPr>
      <w:r>
        <w:rPr>
          <w:rFonts w:ascii="Calibri"/>
          <w:spacing w:val="-5"/>
          <w:sz w:val="22"/>
        </w:rPr>
        <w:t>237</w:t>
      </w:r>
    </w:p>
    <w:p>
      <w:pPr>
        <w:spacing w:before="2"/>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spacing w:line="276" w:lineRule="auto" w:before="65"/>
        <w:ind w:left="937" w:right="707" w:firstLine="704"/>
        <w:jc w:val="both"/>
        <w:rPr>
          <w:sz w:val="22"/>
        </w:rPr>
      </w:pPr>
      <w:bookmarkStart w:name="239" w:id="286"/>
      <w:bookmarkEnd w:id="286"/>
      <w:r>
        <w:rPr/>
      </w:r>
      <w:r>
        <w:rPr>
          <w:b/>
          <w:i/>
          <w:sz w:val="22"/>
        </w:rPr>
        <w:t>Исаева Ирина Владимировна – </w:t>
      </w:r>
      <w:r>
        <w:rPr>
          <w:sz w:val="22"/>
        </w:rPr>
        <w:t>заместитель начальника Штаба Всероссийской службы медицины катастроф федерального государственного бюджетного учреждения «Всероссийский центр медицины катастроф "Защита"» ФМБА России</w:t>
      </w:r>
    </w:p>
    <w:p>
      <w:pPr>
        <w:spacing w:line="276" w:lineRule="auto" w:before="0"/>
        <w:ind w:left="947" w:right="705" w:firstLine="704"/>
        <w:jc w:val="both"/>
        <w:rPr>
          <w:sz w:val="22"/>
        </w:rPr>
      </w:pPr>
      <w:r>
        <w:rPr>
          <w:b/>
          <w:i/>
          <w:sz w:val="22"/>
        </w:rPr>
        <w:t>Каминский Григорий Дмитриевич </w:t>
      </w:r>
      <w:r>
        <w:rPr>
          <w:sz w:val="22"/>
        </w:rPr>
        <w:t>– руководитель отдела инфекционной патологии федерального государственного бюджетного учреждения «Национальный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937" w:right="703" w:firstLine="704"/>
        <w:jc w:val="both"/>
        <w:rPr>
          <w:sz w:val="22"/>
        </w:rPr>
      </w:pPr>
      <w:r>
        <w:rPr>
          <w:b/>
          <w:i/>
          <w:sz w:val="22"/>
        </w:rPr>
        <w:t>Каприн Андрей Дмитриевич </w:t>
      </w:r>
      <w:r>
        <w:rPr>
          <w:sz w:val="22"/>
        </w:rPr>
        <w:t>– генеральный директор федерального государственного бюджетного учреждения «Национальный медицинский исследовательский центр радиологии» Минздрава России, главный внештатный специалист-онколог Минздрава России по Центральному, Приволжскому и Северо-Кавказскому федеральным округам</w:t>
      </w:r>
    </w:p>
    <w:p>
      <w:pPr>
        <w:spacing w:line="278" w:lineRule="auto" w:before="0"/>
        <w:ind w:left="937" w:right="706" w:firstLine="704"/>
        <w:jc w:val="both"/>
        <w:rPr>
          <w:sz w:val="22"/>
        </w:rPr>
      </w:pPr>
      <w:r>
        <w:rPr>
          <w:b/>
          <w:i/>
          <w:sz w:val="22"/>
        </w:rPr>
        <w:t>Карпов Олег Эдуардович </w:t>
      </w:r>
      <w:r>
        <w:rPr>
          <w:sz w:val="22"/>
        </w:rPr>
        <w:t>– генеральный директор федерального государственного бюджетного учреждения «Национальный медико-хирургический Центр имени Н.И. Пирогова» Минздрава России</w:t>
      </w:r>
    </w:p>
    <w:p>
      <w:pPr>
        <w:spacing w:line="276" w:lineRule="auto" w:before="0"/>
        <w:ind w:left="937" w:right="703" w:firstLine="704"/>
        <w:jc w:val="both"/>
        <w:rPr>
          <w:sz w:val="22"/>
        </w:rPr>
      </w:pPr>
      <w:r>
        <w:rPr>
          <w:b/>
          <w:i/>
          <w:sz w:val="22"/>
        </w:rPr>
        <w:t>Качанова Наталья Александровна – </w:t>
      </w:r>
      <w:r>
        <w:rPr>
          <w:sz w:val="22"/>
        </w:rPr>
        <w:t>заведующая отделением организационно-методической работы Центра медицинской эвакуации и экстренной медицинской помощи федерального государственного бюджетного учреждения «Всероссийский центр медицины катастроф "Защита"» ФМБА России</w:t>
      </w:r>
    </w:p>
    <w:p>
      <w:pPr>
        <w:spacing w:line="276" w:lineRule="auto" w:before="0"/>
        <w:ind w:left="937" w:right="705" w:firstLine="704"/>
        <w:jc w:val="both"/>
        <w:rPr>
          <w:sz w:val="22"/>
        </w:rPr>
      </w:pPr>
      <w:r>
        <w:rPr>
          <w:b/>
          <w:i/>
          <w:sz w:val="22"/>
        </w:rPr>
        <w:t>Киров Михаил Юрьевич </w:t>
      </w:r>
      <w:r>
        <w:rPr>
          <w:sz w:val="22"/>
        </w:rPr>
        <w:t>– заведующий кафедрой анестезиологии и реаниматологии федерального</w:t>
      </w:r>
      <w:r>
        <w:rPr>
          <w:spacing w:val="80"/>
          <w:sz w:val="22"/>
        </w:rPr>
        <w:t> </w:t>
      </w:r>
      <w:r>
        <w:rPr>
          <w:sz w:val="22"/>
        </w:rPr>
        <w:t>государственного</w:t>
      </w:r>
      <w:r>
        <w:rPr>
          <w:spacing w:val="80"/>
          <w:sz w:val="22"/>
        </w:rPr>
        <w:t> </w:t>
      </w:r>
      <w:r>
        <w:rPr>
          <w:sz w:val="22"/>
        </w:rPr>
        <w:t>бюджетного</w:t>
      </w:r>
      <w:r>
        <w:rPr>
          <w:spacing w:val="80"/>
          <w:sz w:val="22"/>
        </w:rPr>
        <w:t> </w:t>
      </w:r>
      <w:r>
        <w:rPr>
          <w:sz w:val="22"/>
        </w:rPr>
        <w:t>образовательного</w:t>
      </w:r>
      <w:r>
        <w:rPr>
          <w:spacing w:val="80"/>
          <w:sz w:val="22"/>
        </w:rPr>
        <w:t> </w:t>
      </w:r>
      <w:r>
        <w:rPr>
          <w:sz w:val="22"/>
        </w:rPr>
        <w:t>учреждения</w:t>
      </w:r>
      <w:r>
        <w:rPr>
          <w:spacing w:val="80"/>
          <w:sz w:val="22"/>
        </w:rPr>
        <w:t> </w:t>
      </w:r>
      <w:r>
        <w:rPr>
          <w:sz w:val="22"/>
        </w:rPr>
        <w:t>высшего</w:t>
      </w:r>
      <w:r>
        <w:rPr>
          <w:spacing w:val="80"/>
          <w:sz w:val="22"/>
        </w:rPr>
        <w:t> </w:t>
      </w:r>
      <w:r>
        <w:rPr>
          <w:sz w:val="22"/>
        </w:rPr>
        <w:t>образования</w:t>
      </w:r>
    </w:p>
    <w:p>
      <w:pPr>
        <w:spacing w:line="251" w:lineRule="exact" w:before="0"/>
        <w:ind w:left="937" w:right="0" w:firstLine="0"/>
        <w:jc w:val="both"/>
        <w:rPr>
          <w:sz w:val="22"/>
        </w:rPr>
      </w:pPr>
      <w:r>
        <w:rPr>
          <w:sz w:val="22"/>
        </w:rPr>
        <w:t>«Северный</w:t>
      </w:r>
      <w:r>
        <w:rPr>
          <w:spacing w:val="-11"/>
          <w:sz w:val="22"/>
        </w:rPr>
        <w:t> </w:t>
      </w:r>
      <w:r>
        <w:rPr>
          <w:sz w:val="22"/>
        </w:rPr>
        <w:t>государственный</w:t>
      </w:r>
      <w:r>
        <w:rPr>
          <w:spacing w:val="-9"/>
          <w:sz w:val="22"/>
        </w:rPr>
        <w:t> </w:t>
      </w:r>
      <w:r>
        <w:rPr>
          <w:sz w:val="22"/>
        </w:rPr>
        <w:t>медицинский</w:t>
      </w:r>
      <w:r>
        <w:rPr>
          <w:spacing w:val="-10"/>
          <w:sz w:val="22"/>
        </w:rPr>
        <w:t> </w:t>
      </w:r>
      <w:r>
        <w:rPr>
          <w:sz w:val="22"/>
        </w:rPr>
        <w:t>университет»</w:t>
      </w:r>
      <w:r>
        <w:rPr>
          <w:spacing w:val="-9"/>
          <w:sz w:val="22"/>
        </w:rPr>
        <w:t> </w:t>
      </w:r>
      <w:r>
        <w:rPr>
          <w:sz w:val="22"/>
        </w:rPr>
        <w:t>Минздрава</w:t>
      </w:r>
      <w:r>
        <w:rPr>
          <w:spacing w:val="-8"/>
          <w:sz w:val="22"/>
        </w:rPr>
        <w:t> </w:t>
      </w:r>
      <w:r>
        <w:rPr>
          <w:spacing w:val="-2"/>
          <w:sz w:val="22"/>
        </w:rPr>
        <w:t>России</w:t>
      </w:r>
    </w:p>
    <w:p>
      <w:pPr>
        <w:spacing w:line="276" w:lineRule="auto" w:before="29"/>
        <w:ind w:left="937" w:right="707" w:firstLine="704"/>
        <w:jc w:val="both"/>
        <w:rPr>
          <w:sz w:val="22"/>
        </w:rPr>
      </w:pPr>
      <w:r>
        <w:rPr>
          <w:b/>
          <w:i/>
          <w:sz w:val="22"/>
        </w:rPr>
        <w:t>Климов Владимир Анатольевич </w:t>
      </w:r>
      <w:r>
        <w:rPr>
          <w:sz w:val="22"/>
        </w:rPr>
        <w:t>– руководитель службы организации медицинской помощи федерального государственного бюджетного учреждения «Национальный медицинский исследовательский центр акушерства, гинекологии и перинатологии имени академика В.И. Кулакова» Минздрава России</w:t>
      </w:r>
    </w:p>
    <w:p>
      <w:pPr>
        <w:spacing w:line="276" w:lineRule="auto" w:before="0"/>
        <w:ind w:left="937" w:right="708" w:firstLine="704"/>
        <w:jc w:val="both"/>
        <w:rPr>
          <w:sz w:val="22"/>
        </w:rPr>
      </w:pPr>
      <w:r>
        <w:rPr>
          <w:b/>
          <w:i/>
          <w:sz w:val="22"/>
        </w:rPr>
        <w:t>Климко Николай Николаевич – </w:t>
      </w:r>
      <w:r>
        <w:rPr>
          <w:sz w:val="22"/>
        </w:rPr>
        <w:t>заведующий кафедрой клинической микологии, аллергологии</w:t>
      </w:r>
      <w:r>
        <w:rPr>
          <w:spacing w:val="40"/>
          <w:sz w:val="22"/>
        </w:rPr>
        <w:t> </w:t>
      </w:r>
      <w:r>
        <w:rPr>
          <w:sz w:val="22"/>
        </w:rPr>
        <w:t>и</w:t>
      </w:r>
      <w:r>
        <w:rPr>
          <w:spacing w:val="-4"/>
          <w:sz w:val="22"/>
        </w:rPr>
        <w:t> </w:t>
      </w:r>
      <w:r>
        <w:rPr>
          <w:sz w:val="22"/>
        </w:rPr>
        <w:t>иммунологии федерального государственного бюджетного образовательного учреждения высшего образования «Северо-Западный государственный медицинский университет имени И.И. Мечникова» Министерства здравоохранения Российской Федерации</w:t>
      </w:r>
    </w:p>
    <w:p>
      <w:pPr>
        <w:spacing w:line="276" w:lineRule="auto" w:before="0"/>
        <w:ind w:left="937" w:right="706" w:firstLine="704"/>
        <w:jc w:val="both"/>
        <w:rPr>
          <w:sz w:val="22"/>
        </w:rPr>
      </w:pPr>
      <w:r>
        <w:rPr>
          <w:b/>
          <w:i/>
          <w:sz w:val="22"/>
        </w:rPr>
        <w:t>Клюев Олег Игоревич </w:t>
      </w:r>
      <w:r>
        <w:rPr>
          <w:sz w:val="22"/>
        </w:rPr>
        <w:t>– заведующий отделением анестезиологии и реанимации с палатами реанимации</w:t>
      </w:r>
      <w:r>
        <w:rPr>
          <w:spacing w:val="80"/>
          <w:w w:val="150"/>
          <w:sz w:val="22"/>
        </w:rPr>
        <w:t> </w:t>
      </w:r>
      <w:r>
        <w:rPr>
          <w:sz w:val="22"/>
        </w:rPr>
        <w:t>и</w:t>
      </w:r>
      <w:r>
        <w:rPr>
          <w:spacing w:val="80"/>
          <w:w w:val="150"/>
          <w:sz w:val="22"/>
        </w:rPr>
        <w:t> </w:t>
      </w:r>
      <w:r>
        <w:rPr>
          <w:sz w:val="22"/>
        </w:rPr>
        <w:t>интенсивной</w:t>
      </w:r>
      <w:r>
        <w:rPr>
          <w:spacing w:val="80"/>
          <w:w w:val="150"/>
          <w:sz w:val="22"/>
        </w:rPr>
        <w:t> </w:t>
      </w:r>
      <w:r>
        <w:rPr>
          <w:sz w:val="22"/>
        </w:rPr>
        <w:t>терапии</w:t>
      </w:r>
      <w:r>
        <w:rPr>
          <w:spacing w:val="80"/>
          <w:w w:val="150"/>
          <w:sz w:val="22"/>
        </w:rPr>
        <w:t> </w:t>
      </w:r>
      <w:r>
        <w:rPr>
          <w:sz w:val="22"/>
        </w:rPr>
        <w:t>федерального</w:t>
      </w:r>
      <w:r>
        <w:rPr>
          <w:spacing w:val="80"/>
          <w:w w:val="150"/>
          <w:sz w:val="22"/>
        </w:rPr>
        <w:t> </w:t>
      </w:r>
      <w:r>
        <w:rPr>
          <w:sz w:val="22"/>
        </w:rPr>
        <w:t>государственного</w:t>
      </w:r>
      <w:r>
        <w:rPr>
          <w:spacing w:val="80"/>
          <w:w w:val="150"/>
          <w:sz w:val="22"/>
        </w:rPr>
        <w:t> </w:t>
      </w:r>
      <w:r>
        <w:rPr>
          <w:sz w:val="22"/>
        </w:rPr>
        <w:t>бюджетного</w:t>
      </w:r>
      <w:r>
        <w:rPr>
          <w:spacing w:val="80"/>
          <w:w w:val="150"/>
          <w:sz w:val="22"/>
        </w:rPr>
        <w:t> </w:t>
      </w:r>
      <w:r>
        <w:rPr>
          <w:sz w:val="22"/>
        </w:rPr>
        <w:t>учреждения</w:t>
      </w:r>
    </w:p>
    <w:p>
      <w:pPr>
        <w:spacing w:line="278" w:lineRule="auto" w:before="0"/>
        <w:ind w:left="937" w:right="709" w:firstLine="0"/>
        <w:jc w:val="both"/>
        <w:rPr>
          <w:sz w:val="22"/>
        </w:rPr>
      </w:pPr>
      <w:r>
        <w:rPr>
          <w:sz w:val="22"/>
        </w:rPr>
        <w:t>«Национальный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937" w:right="705" w:firstLine="704"/>
        <w:jc w:val="both"/>
        <w:rPr>
          <w:sz w:val="22"/>
        </w:rPr>
      </w:pPr>
      <w:r>
        <w:rPr>
          <w:b/>
          <w:i/>
          <w:sz w:val="22"/>
        </w:rPr>
        <w:t>Ковалишена Ольга Васильевна </w:t>
      </w:r>
      <w:r>
        <w:rPr>
          <w:sz w:val="22"/>
        </w:rPr>
        <w:t>– главный эпидемиолог Приволжского федерального округа, заведующая кафедрой эпидемиологии, микробиологии и доказательной медицины федерального государственного бюджетного образовательного учреждения высшего образования «Приволжский исследовательский медицинский университет» Минздрава России</w:t>
      </w:r>
    </w:p>
    <w:p>
      <w:pPr>
        <w:spacing w:line="276" w:lineRule="auto" w:before="0"/>
        <w:ind w:left="937" w:right="705" w:firstLine="704"/>
        <w:jc w:val="both"/>
        <w:rPr>
          <w:sz w:val="22"/>
        </w:rPr>
      </w:pPr>
      <w:r>
        <w:rPr>
          <w:b/>
          <w:i/>
          <w:sz w:val="22"/>
        </w:rPr>
        <w:t>Козлов</w:t>
      </w:r>
      <w:r>
        <w:rPr>
          <w:b/>
          <w:i/>
          <w:spacing w:val="-16"/>
          <w:sz w:val="22"/>
        </w:rPr>
        <w:t> </w:t>
      </w:r>
      <w:r>
        <w:rPr>
          <w:b/>
          <w:i/>
          <w:sz w:val="22"/>
        </w:rPr>
        <w:t>Роман</w:t>
      </w:r>
      <w:r>
        <w:rPr>
          <w:b/>
          <w:i/>
          <w:spacing w:val="-14"/>
          <w:sz w:val="22"/>
        </w:rPr>
        <w:t> </w:t>
      </w:r>
      <w:r>
        <w:rPr>
          <w:b/>
          <w:i/>
          <w:sz w:val="22"/>
        </w:rPr>
        <w:t>Сергеевич</w:t>
      </w:r>
      <w:r>
        <w:rPr>
          <w:b/>
          <w:i/>
          <w:spacing w:val="-14"/>
          <w:sz w:val="22"/>
        </w:rPr>
        <w:t> </w:t>
      </w:r>
      <w:r>
        <w:rPr>
          <w:b/>
          <w:i/>
          <w:sz w:val="22"/>
        </w:rPr>
        <w:t>–</w:t>
      </w:r>
      <w:r>
        <w:rPr>
          <w:b/>
          <w:i/>
          <w:spacing w:val="-13"/>
          <w:sz w:val="22"/>
        </w:rPr>
        <w:t> </w:t>
      </w:r>
      <w:r>
        <w:rPr>
          <w:sz w:val="22"/>
        </w:rPr>
        <w:t>ректор</w:t>
      </w:r>
      <w:r>
        <w:rPr>
          <w:spacing w:val="-14"/>
          <w:sz w:val="22"/>
        </w:rPr>
        <w:t> </w:t>
      </w:r>
      <w:r>
        <w:rPr>
          <w:sz w:val="22"/>
        </w:rPr>
        <w:t>федерального</w:t>
      </w:r>
      <w:r>
        <w:rPr>
          <w:spacing w:val="-14"/>
          <w:sz w:val="22"/>
        </w:rPr>
        <w:t> </w:t>
      </w:r>
      <w:r>
        <w:rPr>
          <w:sz w:val="22"/>
        </w:rPr>
        <w:t>государственного</w:t>
      </w:r>
      <w:r>
        <w:rPr>
          <w:spacing w:val="-14"/>
          <w:sz w:val="22"/>
        </w:rPr>
        <w:t> </w:t>
      </w:r>
      <w:r>
        <w:rPr>
          <w:sz w:val="22"/>
        </w:rPr>
        <w:t>бюджетного</w:t>
      </w:r>
      <w:r>
        <w:rPr>
          <w:spacing w:val="-13"/>
          <w:sz w:val="22"/>
        </w:rPr>
        <w:t> </w:t>
      </w:r>
      <w:r>
        <w:rPr>
          <w:sz w:val="22"/>
        </w:rPr>
        <w:t>образовательного учреждения высшего образования «Смоленский государственный медицинский университет», главный внештатный специалист по клинической микробиологии и антимикробной резистентности Минздрава </w:t>
      </w:r>
      <w:r>
        <w:rPr>
          <w:spacing w:val="-2"/>
          <w:sz w:val="22"/>
        </w:rPr>
        <w:t>России</w:t>
      </w:r>
    </w:p>
    <w:p>
      <w:pPr>
        <w:spacing w:line="276" w:lineRule="auto" w:before="0"/>
        <w:ind w:left="937" w:right="707" w:firstLine="704"/>
        <w:jc w:val="both"/>
        <w:rPr>
          <w:sz w:val="22"/>
        </w:rPr>
      </w:pPr>
      <w:r>
        <w:rPr>
          <w:b/>
          <w:i/>
          <w:sz w:val="22"/>
        </w:rPr>
        <w:t>Козловский</w:t>
      </w:r>
      <w:r>
        <w:rPr>
          <w:b/>
          <w:i/>
          <w:spacing w:val="40"/>
          <w:sz w:val="22"/>
        </w:rPr>
        <w:t> </w:t>
      </w:r>
      <w:r>
        <w:rPr>
          <w:b/>
          <w:i/>
          <w:sz w:val="22"/>
        </w:rPr>
        <w:t>Владимир</w:t>
      </w:r>
      <w:r>
        <w:rPr>
          <w:b/>
          <w:i/>
          <w:spacing w:val="40"/>
          <w:sz w:val="22"/>
        </w:rPr>
        <w:t> </w:t>
      </w:r>
      <w:r>
        <w:rPr>
          <w:b/>
          <w:i/>
          <w:sz w:val="22"/>
        </w:rPr>
        <w:t>Леонидович</w:t>
      </w:r>
      <w:r>
        <w:rPr>
          <w:b/>
          <w:i/>
          <w:spacing w:val="40"/>
          <w:sz w:val="22"/>
        </w:rPr>
        <w:t> </w:t>
      </w:r>
      <w:r>
        <w:rPr>
          <w:sz w:val="22"/>
        </w:rPr>
        <w:t>–</w:t>
      </w:r>
      <w:r>
        <w:rPr>
          <w:spacing w:val="40"/>
          <w:sz w:val="22"/>
        </w:rPr>
        <w:t> </w:t>
      </w:r>
      <w:r>
        <w:rPr>
          <w:sz w:val="22"/>
        </w:rPr>
        <w:t>научный</w:t>
      </w:r>
      <w:r>
        <w:rPr>
          <w:spacing w:val="40"/>
          <w:sz w:val="22"/>
        </w:rPr>
        <w:t> </w:t>
      </w:r>
      <w:r>
        <w:rPr>
          <w:sz w:val="22"/>
        </w:rPr>
        <w:t>руководитель</w:t>
      </w:r>
      <w:r>
        <w:rPr>
          <w:spacing w:val="40"/>
          <w:sz w:val="22"/>
        </w:rPr>
        <w:t> </w:t>
      </w:r>
      <w:r>
        <w:rPr>
          <w:sz w:val="22"/>
        </w:rPr>
        <w:t>отделения</w:t>
      </w:r>
      <w:r>
        <w:rPr>
          <w:spacing w:val="40"/>
          <w:sz w:val="22"/>
        </w:rPr>
        <w:t> </w:t>
      </w:r>
      <w:r>
        <w:rPr>
          <w:sz w:val="22"/>
        </w:rPr>
        <w:t>психофармакологии и фармакотерапии больных с резистентными состояниями ФГБУ «НМИЦ ПН им. В.М. Бехтерева» Минздрава России</w:t>
      </w:r>
    </w:p>
    <w:p>
      <w:pPr>
        <w:spacing w:line="276" w:lineRule="auto" w:before="0"/>
        <w:ind w:left="937" w:right="704" w:firstLine="704"/>
        <w:jc w:val="both"/>
        <w:rPr>
          <w:sz w:val="22"/>
        </w:rPr>
      </w:pPr>
      <w:r>
        <w:rPr>
          <w:b/>
          <w:i/>
          <w:sz w:val="22"/>
        </w:rPr>
        <w:t>Крылов Владимир Викторович – </w:t>
      </w:r>
      <w:r>
        <w:rPr>
          <w:sz w:val="22"/>
        </w:rPr>
        <w:t>главный внештатный нейрохирург Минздрава, директор Университетской</w:t>
      </w:r>
      <w:r>
        <w:rPr>
          <w:spacing w:val="80"/>
          <w:sz w:val="22"/>
        </w:rPr>
        <w:t> </w:t>
      </w:r>
      <w:r>
        <w:rPr>
          <w:sz w:val="22"/>
        </w:rPr>
        <w:t>клиники</w:t>
      </w:r>
      <w:r>
        <w:rPr>
          <w:spacing w:val="80"/>
          <w:sz w:val="22"/>
        </w:rPr>
        <w:t> </w:t>
      </w:r>
      <w:r>
        <w:rPr>
          <w:sz w:val="22"/>
        </w:rPr>
        <w:t>МГМСУ</w:t>
      </w:r>
      <w:r>
        <w:rPr>
          <w:spacing w:val="80"/>
          <w:sz w:val="22"/>
        </w:rPr>
        <w:t> </w:t>
      </w:r>
      <w:r>
        <w:rPr>
          <w:sz w:val="22"/>
        </w:rPr>
        <w:t>им.</w:t>
      </w:r>
      <w:r>
        <w:rPr>
          <w:spacing w:val="80"/>
          <w:sz w:val="22"/>
        </w:rPr>
        <w:t> </w:t>
      </w:r>
      <w:r>
        <w:rPr>
          <w:sz w:val="22"/>
        </w:rPr>
        <w:t>А.И.</w:t>
      </w:r>
      <w:r>
        <w:rPr>
          <w:spacing w:val="80"/>
          <w:sz w:val="22"/>
        </w:rPr>
        <w:t> </w:t>
      </w:r>
      <w:r>
        <w:rPr>
          <w:sz w:val="22"/>
        </w:rPr>
        <w:t>Евдокимова,</w:t>
      </w:r>
      <w:r>
        <w:rPr>
          <w:spacing w:val="80"/>
          <w:sz w:val="22"/>
        </w:rPr>
        <w:t> </w:t>
      </w:r>
      <w:r>
        <w:rPr>
          <w:sz w:val="22"/>
        </w:rPr>
        <w:t>заведующий</w:t>
      </w:r>
      <w:r>
        <w:rPr>
          <w:spacing w:val="80"/>
          <w:sz w:val="22"/>
        </w:rPr>
        <w:t> </w:t>
      </w:r>
      <w:r>
        <w:rPr>
          <w:sz w:val="22"/>
        </w:rPr>
        <w:t>кафедрой</w:t>
      </w:r>
      <w:r>
        <w:rPr>
          <w:spacing w:val="80"/>
          <w:sz w:val="22"/>
        </w:rPr>
        <w:t> </w:t>
      </w:r>
      <w:r>
        <w:rPr>
          <w:sz w:val="22"/>
        </w:rPr>
        <w:t>нейрохирургии и</w:t>
      </w:r>
      <w:r>
        <w:rPr>
          <w:spacing w:val="-2"/>
          <w:sz w:val="22"/>
        </w:rPr>
        <w:t> </w:t>
      </w:r>
      <w:r>
        <w:rPr>
          <w:sz w:val="22"/>
        </w:rPr>
        <w:t>нейрореанимации МГМСУ им. А. И. Евдокимова, главный научный сотрудник отделения нейрохирургии</w:t>
      </w:r>
      <w:r>
        <w:rPr>
          <w:spacing w:val="72"/>
          <w:sz w:val="22"/>
        </w:rPr>
        <w:t>   </w:t>
      </w:r>
      <w:r>
        <w:rPr>
          <w:sz w:val="22"/>
        </w:rPr>
        <w:t>государственного</w:t>
      </w:r>
      <w:r>
        <w:rPr>
          <w:spacing w:val="72"/>
          <w:sz w:val="22"/>
        </w:rPr>
        <w:t>   </w:t>
      </w:r>
      <w:r>
        <w:rPr>
          <w:sz w:val="22"/>
        </w:rPr>
        <w:t>бюджетного</w:t>
      </w:r>
      <w:r>
        <w:rPr>
          <w:spacing w:val="72"/>
          <w:sz w:val="22"/>
        </w:rPr>
        <w:t>   </w:t>
      </w:r>
      <w:r>
        <w:rPr>
          <w:sz w:val="22"/>
        </w:rPr>
        <w:t>учреждения</w:t>
      </w:r>
      <w:r>
        <w:rPr>
          <w:spacing w:val="72"/>
          <w:sz w:val="22"/>
        </w:rPr>
        <w:t>   </w:t>
      </w:r>
      <w:r>
        <w:rPr>
          <w:sz w:val="22"/>
        </w:rPr>
        <w:t>здравоохранения</w:t>
      </w:r>
      <w:r>
        <w:rPr>
          <w:spacing w:val="72"/>
          <w:sz w:val="22"/>
        </w:rPr>
        <w:t>   </w:t>
      </w:r>
      <w:r>
        <w:rPr>
          <w:sz w:val="22"/>
        </w:rPr>
        <w:t>«Научно-</w:t>
      </w:r>
    </w:p>
    <w:p>
      <w:pPr>
        <w:pStyle w:val="BodyText"/>
        <w:spacing w:before="18"/>
        <w:ind w:left="0"/>
        <w:jc w:val="left"/>
        <w:rPr>
          <w:sz w:val="22"/>
        </w:rPr>
      </w:pPr>
    </w:p>
    <w:p>
      <w:pPr>
        <w:spacing w:before="0"/>
        <w:ind w:left="140" w:right="0" w:firstLine="0"/>
        <w:jc w:val="center"/>
        <w:rPr>
          <w:rFonts w:ascii="Calibri"/>
          <w:sz w:val="22"/>
        </w:rPr>
      </w:pPr>
      <w:r>
        <w:rPr>
          <w:rFonts w:ascii="Calibri"/>
          <w:spacing w:val="-5"/>
          <w:sz w:val="22"/>
        </w:rPr>
        <w:t>238</w:t>
      </w:r>
    </w:p>
    <w:p>
      <w:pPr>
        <w:spacing w:before="1"/>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spacing w:line="276" w:lineRule="auto" w:before="65"/>
        <w:ind w:left="937" w:right="708" w:firstLine="0"/>
        <w:jc w:val="both"/>
        <w:rPr>
          <w:sz w:val="22"/>
        </w:rPr>
      </w:pPr>
      <w:bookmarkStart w:name="240" w:id="287"/>
      <w:bookmarkEnd w:id="287"/>
      <w:r>
        <w:rPr/>
      </w:r>
      <w:r>
        <w:rPr>
          <w:sz w:val="22"/>
        </w:rPr>
        <w:t>исследовательский институт скорой помощи имени Н.В. Склифосовского» Департамента здравоохранения города Москвы</w:t>
      </w:r>
    </w:p>
    <w:p>
      <w:pPr>
        <w:spacing w:line="276" w:lineRule="auto" w:before="1"/>
        <w:ind w:left="937" w:right="705" w:firstLine="704"/>
        <w:jc w:val="both"/>
        <w:rPr>
          <w:sz w:val="22"/>
        </w:rPr>
      </w:pPr>
      <w:r>
        <w:rPr>
          <w:b/>
          <w:i/>
          <w:sz w:val="22"/>
        </w:rPr>
        <w:t>Кузовлев Артем Николаевич </w:t>
      </w:r>
      <w:r>
        <w:rPr>
          <w:sz w:val="22"/>
        </w:rPr>
        <w:t>– заместитель директора – руководитель НИИ общей реаниматологии</w:t>
      </w:r>
      <w:r>
        <w:rPr>
          <w:spacing w:val="-13"/>
          <w:sz w:val="22"/>
        </w:rPr>
        <w:t> </w:t>
      </w:r>
      <w:r>
        <w:rPr>
          <w:sz w:val="22"/>
        </w:rPr>
        <w:t>им.</w:t>
      </w:r>
      <w:r>
        <w:rPr>
          <w:spacing w:val="-12"/>
          <w:sz w:val="22"/>
        </w:rPr>
        <w:t> </w:t>
      </w:r>
      <w:r>
        <w:rPr>
          <w:sz w:val="22"/>
        </w:rPr>
        <w:t>В.А.</w:t>
      </w:r>
      <w:r>
        <w:rPr>
          <w:spacing w:val="-12"/>
          <w:sz w:val="22"/>
        </w:rPr>
        <w:t> </w:t>
      </w:r>
      <w:r>
        <w:rPr>
          <w:sz w:val="22"/>
        </w:rPr>
        <w:t>Неговского</w:t>
      </w:r>
      <w:r>
        <w:rPr>
          <w:spacing w:val="-10"/>
          <w:sz w:val="22"/>
        </w:rPr>
        <w:t> </w:t>
      </w:r>
      <w:r>
        <w:rPr>
          <w:sz w:val="22"/>
        </w:rPr>
        <w:t>федерального</w:t>
      </w:r>
      <w:r>
        <w:rPr>
          <w:spacing w:val="-14"/>
          <w:sz w:val="22"/>
        </w:rPr>
        <w:t> </w:t>
      </w:r>
      <w:r>
        <w:rPr>
          <w:sz w:val="22"/>
        </w:rPr>
        <w:t>государственного</w:t>
      </w:r>
      <w:r>
        <w:rPr>
          <w:spacing w:val="-12"/>
          <w:sz w:val="22"/>
        </w:rPr>
        <w:t> </w:t>
      </w:r>
      <w:r>
        <w:rPr>
          <w:sz w:val="22"/>
        </w:rPr>
        <w:t>бюджетного</w:t>
      </w:r>
      <w:r>
        <w:rPr>
          <w:spacing w:val="-12"/>
          <w:sz w:val="22"/>
        </w:rPr>
        <w:t> </w:t>
      </w:r>
      <w:r>
        <w:rPr>
          <w:sz w:val="22"/>
        </w:rPr>
        <w:t>научного</w:t>
      </w:r>
      <w:r>
        <w:rPr>
          <w:spacing w:val="-12"/>
          <w:sz w:val="22"/>
        </w:rPr>
        <w:t> </w:t>
      </w:r>
      <w:r>
        <w:rPr>
          <w:sz w:val="22"/>
        </w:rPr>
        <w:t>учреждения</w:t>
      </w:r>
    </w:p>
    <w:p>
      <w:pPr>
        <w:spacing w:line="251" w:lineRule="exact" w:before="0"/>
        <w:ind w:left="937" w:right="0" w:firstLine="0"/>
        <w:jc w:val="both"/>
        <w:rPr>
          <w:sz w:val="22"/>
        </w:rPr>
      </w:pPr>
      <w:r>
        <w:rPr>
          <w:sz w:val="22"/>
        </w:rPr>
        <w:t>«Федеральный</w:t>
      </w:r>
      <w:r>
        <w:rPr>
          <w:spacing w:val="-11"/>
          <w:sz w:val="22"/>
        </w:rPr>
        <w:t> </w:t>
      </w:r>
      <w:r>
        <w:rPr>
          <w:sz w:val="22"/>
        </w:rPr>
        <w:t>научно-клинический</w:t>
      </w:r>
      <w:r>
        <w:rPr>
          <w:spacing w:val="-10"/>
          <w:sz w:val="22"/>
        </w:rPr>
        <w:t> </w:t>
      </w:r>
      <w:r>
        <w:rPr>
          <w:sz w:val="22"/>
        </w:rPr>
        <w:t>центр</w:t>
      </w:r>
      <w:r>
        <w:rPr>
          <w:spacing w:val="-9"/>
          <w:sz w:val="22"/>
        </w:rPr>
        <w:t> </w:t>
      </w:r>
      <w:r>
        <w:rPr>
          <w:sz w:val="22"/>
        </w:rPr>
        <w:t>реаниматологии</w:t>
      </w:r>
      <w:r>
        <w:rPr>
          <w:spacing w:val="-9"/>
          <w:sz w:val="22"/>
        </w:rPr>
        <w:t> </w:t>
      </w:r>
      <w:r>
        <w:rPr>
          <w:sz w:val="22"/>
        </w:rPr>
        <w:t>и</w:t>
      </w:r>
      <w:r>
        <w:rPr>
          <w:spacing w:val="-9"/>
          <w:sz w:val="22"/>
        </w:rPr>
        <w:t> </w:t>
      </w:r>
      <w:r>
        <w:rPr>
          <w:spacing w:val="-2"/>
          <w:sz w:val="22"/>
        </w:rPr>
        <w:t>реабилитологии»</w:t>
      </w:r>
    </w:p>
    <w:p>
      <w:pPr>
        <w:spacing w:line="276" w:lineRule="auto" w:before="37"/>
        <w:ind w:left="937" w:right="705" w:firstLine="704"/>
        <w:jc w:val="both"/>
        <w:rPr>
          <w:sz w:val="22"/>
        </w:rPr>
      </w:pPr>
      <w:r>
        <w:rPr>
          <w:b/>
          <w:i/>
          <w:sz w:val="22"/>
        </w:rPr>
        <w:t>Лебединский</w:t>
      </w:r>
      <w:r>
        <w:rPr>
          <w:b/>
          <w:i/>
          <w:spacing w:val="80"/>
          <w:sz w:val="22"/>
        </w:rPr>
        <w:t>  </w:t>
      </w:r>
      <w:r>
        <w:rPr>
          <w:b/>
          <w:i/>
          <w:sz w:val="22"/>
        </w:rPr>
        <w:t>Константин</w:t>
      </w:r>
      <w:r>
        <w:rPr>
          <w:b/>
          <w:i/>
          <w:spacing w:val="80"/>
          <w:sz w:val="22"/>
        </w:rPr>
        <w:t>  </w:t>
      </w:r>
      <w:r>
        <w:rPr>
          <w:b/>
          <w:i/>
          <w:sz w:val="22"/>
        </w:rPr>
        <w:t>Михайлович</w:t>
      </w:r>
      <w:r>
        <w:rPr>
          <w:b/>
          <w:i/>
          <w:spacing w:val="80"/>
          <w:sz w:val="22"/>
        </w:rPr>
        <w:t>  </w:t>
      </w:r>
      <w:r>
        <w:rPr>
          <w:sz w:val="22"/>
        </w:rPr>
        <w:t>–</w:t>
      </w:r>
      <w:r>
        <w:rPr>
          <w:spacing w:val="80"/>
          <w:sz w:val="22"/>
        </w:rPr>
        <w:t>  </w:t>
      </w:r>
      <w:r>
        <w:rPr>
          <w:sz w:val="22"/>
        </w:rPr>
        <w:t>заведующий</w:t>
      </w:r>
      <w:r>
        <w:rPr>
          <w:spacing w:val="80"/>
          <w:sz w:val="22"/>
        </w:rPr>
        <w:t>  </w:t>
      </w:r>
      <w:r>
        <w:rPr>
          <w:sz w:val="22"/>
        </w:rPr>
        <w:t>кафедрой</w:t>
      </w:r>
      <w:r>
        <w:rPr>
          <w:spacing w:val="80"/>
          <w:sz w:val="22"/>
        </w:rPr>
        <w:t>  </w:t>
      </w:r>
      <w:r>
        <w:rPr>
          <w:sz w:val="22"/>
        </w:rPr>
        <w:t>анестезиологии и</w:t>
      </w:r>
      <w:r>
        <w:rPr>
          <w:spacing w:val="-2"/>
          <w:sz w:val="22"/>
        </w:rPr>
        <w:t> </w:t>
      </w:r>
      <w:r>
        <w:rPr>
          <w:sz w:val="22"/>
        </w:rPr>
        <w:t>реаниматологии имени В.Л. Ваневского федерального государственного бюджетного образовательного учреждения высшего образования «Северо-Западный государственный медицинский университет им. И.И. Мечникова» Минздрава России</w:t>
      </w:r>
    </w:p>
    <w:p>
      <w:pPr>
        <w:spacing w:line="276" w:lineRule="auto" w:before="0"/>
        <w:ind w:left="937" w:right="705" w:firstLine="704"/>
        <w:jc w:val="both"/>
        <w:rPr>
          <w:sz w:val="22"/>
        </w:rPr>
      </w:pPr>
      <w:r>
        <w:rPr>
          <w:b/>
          <w:i/>
          <w:sz w:val="22"/>
        </w:rPr>
        <w:t>Лиознов Дмитрий Анатольевич </w:t>
      </w:r>
      <w:r>
        <w:rPr>
          <w:b/>
          <w:sz w:val="22"/>
        </w:rPr>
        <w:t>– </w:t>
      </w:r>
      <w:r>
        <w:rPr>
          <w:sz w:val="22"/>
        </w:rPr>
        <w:t>директор федерального государственного бюджетного учреждения «Научно-исследовательский институт гриппа им. А.А. Смородинцева» Минздрава России, главный внештатный специалист по инфекционным болезням Минздрава России в Северо-Западном федеральном округе</w:t>
      </w:r>
    </w:p>
    <w:p>
      <w:pPr>
        <w:spacing w:line="276" w:lineRule="auto" w:before="0"/>
        <w:ind w:left="937" w:right="704" w:firstLine="704"/>
        <w:jc w:val="both"/>
        <w:rPr>
          <w:sz w:val="22"/>
        </w:rPr>
      </w:pPr>
      <w:r>
        <w:rPr>
          <w:b/>
          <w:i/>
          <w:sz w:val="22"/>
        </w:rPr>
        <w:t>Лобзин Юрий Владимирович – </w:t>
      </w:r>
      <w:r>
        <w:rPr>
          <w:sz w:val="22"/>
        </w:rPr>
        <w:t>главный внештатный специалист Минздрава России и ФМБА России по инфекционным болезням у детей, президент федерального государственного бюджетного учреждения «Детский научно-клинический центр инфекционных болезней Федерального медико- биологического агентства»</w:t>
      </w:r>
    </w:p>
    <w:p>
      <w:pPr>
        <w:spacing w:line="276" w:lineRule="auto" w:before="0"/>
        <w:ind w:left="937" w:right="704" w:firstLine="704"/>
        <w:jc w:val="both"/>
        <w:rPr>
          <w:sz w:val="22"/>
        </w:rPr>
      </w:pPr>
      <w:r>
        <w:rPr>
          <w:b/>
          <w:i/>
          <w:sz w:val="22"/>
        </w:rPr>
        <w:t>Ломакин Никита Валерьевич </w:t>
      </w:r>
      <w:r>
        <w:rPr>
          <w:sz w:val="22"/>
        </w:rPr>
        <w:t>– заведующий отделением неотложной кардиологии федерального</w:t>
      </w:r>
      <w:r>
        <w:rPr>
          <w:spacing w:val="40"/>
          <w:sz w:val="22"/>
        </w:rPr>
        <w:t>  </w:t>
      </w:r>
      <w:r>
        <w:rPr>
          <w:sz w:val="22"/>
        </w:rPr>
        <w:t>государственного</w:t>
      </w:r>
      <w:r>
        <w:rPr>
          <w:spacing w:val="40"/>
          <w:sz w:val="22"/>
        </w:rPr>
        <w:t>  </w:t>
      </w:r>
      <w:r>
        <w:rPr>
          <w:sz w:val="22"/>
        </w:rPr>
        <w:t>бюджетного</w:t>
      </w:r>
      <w:r>
        <w:rPr>
          <w:spacing w:val="40"/>
          <w:sz w:val="22"/>
        </w:rPr>
        <w:t>  </w:t>
      </w:r>
      <w:r>
        <w:rPr>
          <w:sz w:val="22"/>
        </w:rPr>
        <w:t>учреждения</w:t>
      </w:r>
      <w:r>
        <w:rPr>
          <w:spacing w:val="40"/>
          <w:sz w:val="22"/>
        </w:rPr>
        <w:t>  </w:t>
      </w:r>
      <w:r>
        <w:rPr>
          <w:sz w:val="22"/>
        </w:rPr>
        <w:t>«Центральная</w:t>
      </w:r>
      <w:r>
        <w:rPr>
          <w:spacing w:val="40"/>
          <w:sz w:val="22"/>
        </w:rPr>
        <w:t>  </w:t>
      </w:r>
      <w:r>
        <w:rPr>
          <w:sz w:val="22"/>
        </w:rPr>
        <w:t>клиническая</w:t>
      </w:r>
      <w:r>
        <w:rPr>
          <w:spacing w:val="40"/>
          <w:sz w:val="22"/>
        </w:rPr>
        <w:t>  </w:t>
      </w:r>
      <w:r>
        <w:rPr>
          <w:sz w:val="22"/>
        </w:rPr>
        <w:t>больница с</w:t>
      </w:r>
      <w:r>
        <w:rPr>
          <w:spacing w:val="-2"/>
          <w:sz w:val="22"/>
        </w:rPr>
        <w:t> </w:t>
      </w:r>
      <w:r>
        <w:rPr>
          <w:sz w:val="22"/>
        </w:rPr>
        <w:t>поликлиникой» Управления делами Президента РФ, главный кардиолог Управления делами Президента РФ</w:t>
      </w:r>
    </w:p>
    <w:p>
      <w:pPr>
        <w:spacing w:line="276" w:lineRule="auto" w:before="0"/>
        <w:ind w:left="937" w:right="704" w:firstLine="704"/>
        <w:jc w:val="both"/>
        <w:rPr>
          <w:sz w:val="22"/>
        </w:rPr>
      </w:pPr>
      <w:r>
        <w:rPr>
          <w:b/>
          <w:i/>
          <w:sz w:val="22"/>
        </w:rPr>
        <w:t>Лукина</w:t>
      </w:r>
      <w:r>
        <w:rPr>
          <w:b/>
          <w:i/>
          <w:spacing w:val="-4"/>
          <w:sz w:val="22"/>
        </w:rPr>
        <w:t> </w:t>
      </w:r>
      <w:r>
        <w:rPr>
          <w:b/>
          <w:i/>
          <w:sz w:val="22"/>
        </w:rPr>
        <w:t>Галина</w:t>
      </w:r>
      <w:r>
        <w:rPr>
          <w:b/>
          <w:i/>
          <w:spacing w:val="-1"/>
          <w:sz w:val="22"/>
        </w:rPr>
        <w:t> </w:t>
      </w:r>
      <w:r>
        <w:rPr>
          <w:b/>
          <w:i/>
          <w:sz w:val="22"/>
        </w:rPr>
        <w:t>Викторовна —</w:t>
      </w:r>
      <w:r>
        <w:rPr>
          <w:b/>
          <w:i/>
          <w:spacing w:val="-1"/>
          <w:sz w:val="22"/>
        </w:rPr>
        <w:t> </w:t>
      </w:r>
      <w:r>
        <w:rPr>
          <w:sz w:val="22"/>
        </w:rPr>
        <w:t>заведующий</w:t>
      </w:r>
      <w:r>
        <w:rPr>
          <w:spacing w:val="-1"/>
          <w:sz w:val="22"/>
        </w:rPr>
        <w:t> </w:t>
      </w:r>
      <w:r>
        <w:rPr>
          <w:sz w:val="22"/>
        </w:rPr>
        <w:t>научно-исследовательским</w:t>
      </w:r>
      <w:r>
        <w:rPr>
          <w:spacing w:val="-2"/>
          <w:sz w:val="22"/>
        </w:rPr>
        <w:t> </w:t>
      </w:r>
      <w:r>
        <w:rPr>
          <w:sz w:val="22"/>
        </w:rPr>
        <w:t>отделом</w:t>
      </w:r>
      <w:r>
        <w:rPr>
          <w:spacing w:val="-1"/>
          <w:sz w:val="22"/>
        </w:rPr>
        <w:t> </w:t>
      </w:r>
      <w:r>
        <w:rPr>
          <w:sz w:val="22"/>
        </w:rPr>
        <w:t>ревматологии, руководитель Московского городского ревматологического центра государственного бюджетного учреждения здравоохранения «Московский клинический научный центр им. А.С. Логинова» Департамента здравоохранения г. Москвы, ведущий научный сотрудник лаборатории изучения коморбидных инфекций и мониторинга безопасности лекарственной терапии федерального государственного бюджетного научного учреждения «Научно-исследовательский институт ревматологии им. В.А. Насоновой»</w:t>
      </w:r>
    </w:p>
    <w:p>
      <w:pPr>
        <w:spacing w:line="276" w:lineRule="auto" w:before="0"/>
        <w:ind w:left="937" w:right="705" w:firstLine="704"/>
        <w:jc w:val="both"/>
        <w:rPr>
          <w:sz w:val="22"/>
        </w:rPr>
      </w:pPr>
      <w:r>
        <w:rPr>
          <w:b/>
          <w:i/>
          <w:sz w:val="22"/>
        </w:rPr>
        <w:t>Лутова Наталья Борисовна – </w:t>
      </w:r>
      <w:r>
        <w:rPr>
          <w:sz w:val="22"/>
        </w:rPr>
        <w:t>руководитель института клинической психиатрии, научный руководитель отделения интегративной фармако-психотерапии больных с психическими расстройствами ФГБУ «НМИЦ ПН им. В.М. Бехтерева» Минздрава России</w:t>
      </w:r>
    </w:p>
    <w:p>
      <w:pPr>
        <w:spacing w:line="276" w:lineRule="auto" w:before="0"/>
        <w:ind w:left="937" w:right="706" w:firstLine="704"/>
        <w:jc w:val="both"/>
        <w:rPr>
          <w:sz w:val="22"/>
        </w:rPr>
      </w:pPr>
      <w:r>
        <w:rPr>
          <w:b/>
          <w:i/>
          <w:sz w:val="22"/>
        </w:rPr>
        <w:t>Лысенко Марьяна Анатольевна – </w:t>
      </w:r>
      <w:r>
        <w:rPr>
          <w:sz w:val="22"/>
        </w:rPr>
        <w:t>главный врач государственного бюджетного учреждения здравоохранения «Городская клиническая больница №52 Департамента здравоохранения города </w:t>
      </w:r>
      <w:r>
        <w:rPr>
          <w:spacing w:val="-2"/>
          <w:sz w:val="22"/>
        </w:rPr>
        <w:t>Москвы»</w:t>
      </w:r>
    </w:p>
    <w:p>
      <w:pPr>
        <w:spacing w:line="276" w:lineRule="auto" w:before="0"/>
        <w:ind w:left="937" w:right="706" w:firstLine="704"/>
        <w:jc w:val="both"/>
        <w:rPr>
          <w:sz w:val="22"/>
        </w:rPr>
      </w:pPr>
      <w:r>
        <w:rPr>
          <w:b/>
          <w:i/>
          <w:sz w:val="22"/>
        </w:rPr>
        <w:t>Маев Игорь Вениаминович – </w:t>
      </w:r>
      <w:r>
        <w:rPr>
          <w:sz w:val="22"/>
        </w:rPr>
        <w:t>первый проректор федерального государственного бюджетного образовательного учреждения высшего образования «Московский государственный медико- стоматологический университет имени А.И.Евдокимова» Министерства здравоохранения Российской </w:t>
      </w:r>
      <w:r>
        <w:rPr>
          <w:spacing w:val="-2"/>
          <w:sz w:val="22"/>
        </w:rPr>
        <w:t>Федерации</w:t>
      </w:r>
    </w:p>
    <w:p>
      <w:pPr>
        <w:spacing w:line="276" w:lineRule="auto" w:before="0"/>
        <w:ind w:left="937" w:right="706" w:firstLine="704"/>
        <w:jc w:val="both"/>
        <w:rPr>
          <w:sz w:val="22"/>
        </w:rPr>
      </w:pPr>
      <w:r>
        <w:rPr>
          <w:b/>
          <w:i/>
          <w:sz w:val="22"/>
        </w:rPr>
        <w:t>Мазо Галина Элевна </w:t>
      </w:r>
      <w:r>
        <w:rPr>
          <w:sz w:val="22"/>
        </w:rPr>
        <w:t>– заместитель директора по инновационному научному развитию, руководитель</w:t>
      </w:r>
      <w:r>
        <w:rPr>
          <w:spacing w:val="-14"/>
          <w:sz w:val="22"/>
        </w:rPr>
        <w:t> </w:t>
      </w:r>
      <w:r>
        <w:rPr>
          <w:sz w:val="22"/>
        </w:rPr>
        <w:t>института</w:t>
      </w:r>
      <w:r>
        <w:rPr>
          <w:spacing w:val="-14"/>
          <w:sz w:val="22"/>
        </w:rPr>
        <w:t> </w:t>
      </w:r>
      <w:r>
        <w:rPr>
          <w:sz w:val="22"/>
        </w:rPr>
        <w:t>трансляционной</w:t>
      </w:r>
      <w:r>
        <w:rPr>
          <w:spacing w:val="-14"/>
          <w:sz w:val="22"/>
        </w:rPr>
        <w:t> </w:t>
      </w:r>
      <w:r>
        <w:rPr>
          <w:sz w:val="22"/>
        </w:rPr>
        <w:t>психиатрии</w:t>
      </w:r>
      <w:r>
        <w:rPr>
          <w:spacing w:val="-13"/>
          <w:sz w:val="22"/>
        </w:rPr>
        <w:t> </w:t>
      </w:r>
      <w:r>
        <w:rPr>
          <w:sz w:val="22"/>
        </w:rPr>
        <w:t>ФГБУ</w:t>
      </w:r>
      <w:r>
        <w:rPr>
          <w:spacing w:val="-14"/>
          <w:sz w:val="22"/>
        </w:rPr>
        <w:t> </w:t>
      </w:r>
      <w:r>
        <w:rPr>
          <w:sz w:val="22"/>
        </w:rPr>
        <w:t>«НМИЦ</w:t>
      </w:r>
      <w:r>
        <w:rPr>
          <w:spacing w:val="-14"/>
          <w:sz w:val="22"/>
        </w:rPr>
        <w:t> </w:t>
      </w:r>
      <w:r>
        <w:rPr>
          <w:sz w:val="22"/>
        </w:rPr>
        <w:t>ПН</w:t>
      </w:r>
      <w:r>
        <w:rPr>
          <w:spacing w:val="-14"/>
          <w:sz w:val="22"/>
        </w:rPr>
        <w:t> </w:t>
      </w:r>
      <w:r>
        <w:rPr>
          <w:sz w:val="22"/>
        </w:rPr>
        <w:t>им.</w:t>
      </w:r>
      <w:r>
        <w:rPr>
          <w:spacing w:val="-13"/>
          <w:sz w:val="22"/>
        </w:rPr>
        <w:t> </w:t>
      </w:r>
      <w:r>
        <w:rPr>
          <w:sz w:val="22"/>
        </w:rPr>
        <w:t>В.М.</w:t>
      </w:r>
      <w:r>
        <w:rPr>
          <w:spacing w:val="-14"/>
          <w:sz w:val="22"/>
        </w:rPr>
        <w:t> </w:t>
      </w:r>
      <w:r>
        <w:rPr>
          <w:sz w:val="22"/>
        </w:rPr>
        <w:t>Бехтерева»</w:t>
      </w:r>
      <w:r>
        <w:rPr>
          <w:spacing w:val="-14"/>
          <w:sz w:val="22"/>
        </w:rPr>
        <w:t> </w:t>
      </w:r>
      <w:r>
        <w:rPr>
          <w:sz w:val="22"/>
        </w:rPr>
        <w:t>Минздрава </w:t>
      </w:r>
      <w:r>
        <w:rPr>
          <w:spacing w:val="-2"/>
          <w:sz w:val="22"/>
        </w:rPr>
        <w:t>России</w:t>
      </w:r>
    </w:p>
    <w:p>
      <w:pPr>
        <w:spacing w:line="276" w:lineRule="auto" w:before="0"/>
        <w:ind w:left="937" w:right="709" w:firstLine="704"/>
        <w:jc w:val="both"/>
        <w:rPr>
          <w:sz w:val="22"/>
        </w:rPr>
      </w:pPr>
      <w:r>
        <w:rPr>
          <w:b/>
          <w:i/>
          <w:sz w:val="22"/>
        </w:rPr>
        <w:t>Мазус</w:t>
      </w:r>
      <w:r>
        <w:rPr>
          <w:b/>
          <w:i/>
          <w:spacing w:val="40"/>
          <w:sz w:val="22"/>
        </w:rPr>
        <w:t> </w:t>
      </w:r>
      <w:r>
        <w:rPr>
          <w:b/>
          <w:i/>
          <w:sz w:val="22"/>
        </w:rPr>
        <w:t>Алексей</w:t>
      </w:r>
      <w:r>
        <w:rPr>
          <w:b/>
          <w:i/>
          <w:spacing w:val="40"/>
          <w:sz w:val="22"/>
        </w:rPr>
        <w:t> </w:t>
      </w:r>
      <w:r>
        <w:rPr>
          <w:b/>
          <w:i/>
          <w:sz w:val="22"/>
        </w:rPr>
        <w:t>Израилевич</w:t>
      </w:r>
      <w:r>
        <w:rPr>
          <w:b/>
          <w:i/>
          <w:spacing w:val="40"/>
          <w:sz w:val="22"/>
        </w:rPr>
        <w:t> </w:t>
      </w:r>
      <w:r>
        <w:rPr>
          <w:sz w:val="22"/>
        </w:rPr>
        <w:t>–</w:t>
      </w:r>
      <w:r>
        <w:rPr>
          <w:spacing w:val="40"/>
          <w:sz w:val="22"/>
        </w:rPr>
        <w:t> </w:t>
      </w:r>
      <w:r>
        <w:rPr>
          <w:sz w:val="22"/>
        </w:rPr>
        <w:t>главный</w:t>
      </w:r>
      <w:r>
        <w:rPr>
          <w:spacing w:val="40"/>
          <w:sz w:val="22"/>
        </w:rPr>
        <w:t> </w:t>
      </w:r>
      <w:r>
        <w:rPr>
          <w:sz w:val="22"/>
        </w:rPr>
        <w:t>внештатный</w:t>
      </w:r>
      <w:r>
        <w:rPr>
          <w:spacing w:val="40"/>
          <w:sz w:val="22"/>
        </w:rPr>
        <w:t> </w:t>
      </w:r>
      <w:r>
        <w:rPr>
          <w:sz w:val="22"/>
        </w:rPr>
        <w:t>специалист</w:t>
      </w:r>
      <w:r>
        <w:rPr>
          <w:spacing w:val="40"/>
          <w:sz w:val="22"/>
        </w:rPr>
        <w:t> </w:t>
      </w:r>
      <w:r>
        <w:rPr>
          <w:sz w:val="22"/>
        </w:rPr>
        <w:t>по</w:t>
      </w:r>
      <w:r>
        <w:rPr>
          <w:spacing w:val="40"/>
          <w:sz w:val="22"/>
        </w:rPr>
        <w:t> </w:t>
      </w:r>
      <w:r>
        <w:rPr>
          <w:sz w:val="22"/>
        </w:rPr>
        <w:t>проблемам</w:t>
      </w:r>
      <w:r>
        <w:rPr>
          <w:spacing w:val="40"/>
          <w:sz w:val="22"/>
        </w:rPr>
        <w:t> </w:t>
      </w:r>
      <w:r>
        <w:rPr>
          <w:sz w:val="22"/>
        </w:rPr>
        <w:t>диагностики</w:t>
      </w:r>
      <w:r>
        <w:rPr>
          <w:spacing w:val="80"/>
          <w:sz w:val="22"/>
        </w:rPr>
        <w:t> </w:t>
      </w:r>
      <w:r>
        <w:rPr>
          <w:sz w:val="22"/>
        </w:rPr>
        <w:t>и</w:t>
      </w:r>
      <w:r>
        <w:rPr>
          <w:spacing w:val="-3"/>
          <w:sz w:val="22"/>
        </w:rPr>
        <w:t> </w:t>
      </w:r>
      <w:r>
        <w:rPr>
          <w:sz w:val="22"/>
        </w:rPr>
        <w:t>лечения ВИЧ-инфекции Минздрава России и Департамента здравоохранения города Москвы, руководитель Московского городского центра профилактики и борьбы со СПИДом Департамента здравоохранения города Москвы</w:t>
      </w:r>
    </w:p>
    <w:p>
      <w:pPr>
        <w:pStyle w:val="BodyText"/>
        <w:ind w:left="0"/>
        <w:jc w:val="left"/>
        <w:rPr>
          <w:sz w:val="22"/>
        </w:rPr>
      </w:pPr>
    </w:p>
    <w:p>
      <w:pPr>
        <w:pStyle w:val="BodyText"/>
        <w:spacing w:before="57"/>
        <w:ind w:left="0"/>
        <w:jc w:val="left"/>
        <w:rPr>
          <w:sz w:val="22"/>
        </w:rPr>
      </w:pPr>
    </w:p>
    <w:p>
      <w:pPr>
        <w:spacing w:before="0"/>
        <w:ind w:left="140" w:right="0" w:firstLine="0"/>
        <w:jc w:val="center"/>
        <w:rPr>
          <w:rFonts w:ascii="Calibri"/>
          <w:sz w:val="22"/>
        </w:rPr>
      </w:pPr>
      <w:r>
        <w:rPr>
          <w:rFonts w:ascii="Calibri"/>
          <w:spacing w:val="-5"/>
          <w:sz w:val="22"/>
        </w:rPr>
        <w:t>239</w:t>
      </w:r>
    </w:p>
    <w:p>
      <w:pPr>
        <w:spacing w:before="1"/>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spacing w:line="276" w:lineRule="auto" w:before="65"/>
        <w:ind w:left="937" w:right="703" w:firstLine="704"/>
        <w:jc w:val="both"/>
        <w:rPr>
          <w:sz w:val="22"/>
        </w:rPr>
      </w:pPr>
      <w:bookmarkStart w:name="241" w:id="288"/>
      <w:bookmarkEnd w:id="288"/>
      <w:r>
        <w:rPr/>
      </w:r>
      <w:r>
        <w:rPr>
          <w:b/>
          <w:i/>
          <w:sz w:val="22"/>
        </w:rPr>
        <w:t>Малеев</w:t>
      </w:r>
      <w:r>
        <w:rPr>
          <w:b/>
          <w:i/>
          <w:spacing w:val="-8"/>
          <w:sz w:val="22"/>
        </w:rPr>
        <w:t> </w:t>
      </w:r>
      <w:r>
        <w:rPr>
          <w:b/>
          <w:i/>
          <w:sz w:val="22"/>
        </w:rPr>
        <w:t>Виктор</w:t>
      </w:r>
      <w:r>
        <w:rPr>
          <w:b/>
          <w:i/>
          <w:spacing w:val="-8"/>
          <w:sz w:val="22"/>
        </w:rPr>
        <w:t> </w:t>
      </w:r>
      <w:r>
        <w:rPr>
          <w:b/>
          <w:i/>
          <w:sz w:val="22"/>
        </w:rPr>
        <w:t>Васильевич</w:t>
      </w:r>
      <w:r>
        <w:rPr>
          <w:b/>
          <w:i/>
          <w:spacing w:val="-6"/>
          <w:sz w:val="22"/>
        </w:rPr>
        <w:t> </w:t>
      </w:r>
      <w:r>
        <w:rPr>
          <w:b/>
          <w:sz w:val="22"/>
        </w:rPr>
        <w:t>–</w:t>
      </w:r>
      <w:r>
        <w:rPr>
          <w:b/>
          <w:spacing w:val="-6"/>
          <w:sz w:val="22"/>
        </w:rPr>
        <w:t> </w:t>
      </w:r>
      <w:r>
        <w:rPr>
          <w:sz w:val="22"/>
        </w:rPr>
        <w:t>советник</w:t>
      </w:r>
      <w:r>
        <w:rPr>
          <w:spacing w:val="-8"/>
          <w:sz w:val="22"/>
        </w:rPr>
        <w:t> </w:t>
      </w:r>
      <w:r>
        <w:rPr>
          <w:sz w:val="22"/>
        </w:rPr>
        <w:t>директора</w:t>
      </w:r>
      <w:r>
        <w:rPr>
          <w:spacing w:val="-8"/>
          <w:sz w:val="22"/>
        </w:rPr>
        <w:t> </w:t>
      </w:r>
      <w:r>
        <w:rPr>
          <w:sz w:val="22"/>
        </w:rPr>
        <w:t>по</w:t>
      </w:r>
      <w:r>
        <w:rPr>
          <w:spacing w:val="-6"/>
          <w:sz w:val="22"/>
        </w:rPr>
        <w:t> </w:t>
      </w:r>
      <w:r>
        <w:rPr>
          <w:sz w:val="22"/>
        </w:rPr>
        <w:t>научной</w:t>
      </w:r>
      <w:r>
        <w:rPr>
          <w:spacing w:val="-9"/>
          <w:sz w:val="22"/>
        </w:rPr>
        <w:t> </w:t>
      </w:r>
      <w:r>
        <w:rPr>
          <w:sz w:val="22"/>
        </w:rPr>
        <w:t>работе</w:t>
      </w:r>
      <w:r>
        <w:rPr>
          <w:spacing w:val="-6"/>
          <w:sz w:val="22"/>
        </w:rPr>
        <w:t> </w:t>
      </w:r>
      <w:r>
        <w:rPr>
          <w:sz w:val="22"/>
        </w:rPr>
        <w:t>федерального</w:t>
      </w:r>
      <w:r>
        <w:rPr>
          <w:spacing w:val="-8"/>
          <w:sz w:val="22"/>
        </w:rPr>
        <w:t> </w:t>
      </w:r>
      <w:r>
        <w:rPr>
          <w:sz w:val="22"/>
        </w:rPr>
        <w:t>бюджетного учреждения науки «Центральный научно-исследовательский институт эпидемиологии» Федеральной службы по надзору в сфере защиты прав потребителей и благополучия человека</w:t>
      </w:r>
    </w:p>
    <w:p>
      <w:pPr>
        <w:spacing w:line="276" w:lineRule="auto" w:before="0"/>
        <w:ind w:left="937" w:right="704" w:firstLine="704"/>
        <w:jc w:val="both"/>
        <w:rPr>
          <w:sz w:val="22"/>
        </w:rPr>
      </w:pPr>
      <w:r>
        <w:rPr>
          <w:b/>
          <w:i/>
          <w:sz w:val="22"/>
        </w:rPr>
        <w:t>Малинникова Елена Юрьевна – </w:t>
      </w:r>
      <w:r>
        <w:rPr>
          <w:sz w:val="22"/>
        </w:rPr>
        <w:t>заведующая кафедрой вирусологии федерального государственного бюджетного образовательного учреждения дополнительного профессионального образования «Российская медицинская академия непрерывного профессионального образования» Минздрава России</w:t>
      </w:r>
    </w:p>
    <w:p>
      <w:pPr>
        <w:spacing w:line="276" w:lineRule="auto" w:before="0"/>
        <w:ind w:left="937" w:right="706" w:firstLine="704"/>
        <w:jc w:val="both"/>
        <w:rPr>
          <w:sz w:val="22"/>
        </w:rPr>
      </w:pPr>
      <w:r>
        <w:rPr>
          <w:b/>
          <w:i/>
          <w:sz w:val="22"/>
        </w:rPr>
        <w:t>Мамонова</w:t>
      </w:r>
      <w:r>
        <w:rPr>
          <w:b/>
          <w:i/>
          <w:spacing w:val="72"/>
          <w:sz w:val="22"/>
        </w:rPr>
        <w:t> </w:t>
      </w:r>
      <w:r>
        <w:rPr>
          <w:b/>
          <w:i/>
          <w:sz w:val="22"/>
        </w:rPr>
        <w:t>Нина</w:t>
      </w:r>
      <w:r>
        <w:rPr>
          <w:b/>
          <w:i/>
          <w:spacing w:val="74"/>
          <w:sz w:val="22"/>
        </w:rPr>
        <w:t> </w:t>
      </w:r>
      <w:r>
        <w:rPr>
          <w:b/>
          <w:i/>
          <w:sz w:val="22"/>
        </w:rPr>
        <w:t>Алексеевна</w:t>
      </w:r>
      <w:r>
        <w:rPr>
          <w:b/>
          <w:i/>
          <w:spacing w:val="76"/>
          <w:sz w:val="22"/>
        </w:rPr>
        <w:t> </w:t>
      </w:r>
      <w:r>
        <w:rPr>
          <w:b/>
          <w:i/>
          <w:sz w:val="22"/>
        </w:rPr>
        <w:t>–</w:t>
      </w:r>
      <w:r>
        <w:rPr>
          <w:b/>
          <w:i/>
          <w:spacing w:val="75"/>
          <w:sz w:val="22"/>
        </w:rPr>
        <w:t> </w:t>
      </w:r>
      <w:r>
        <w:rPr>
          <w:sz w:val="22"/>
        </w:rPr>
        <w:t>научный</w:t>
      </w:r>
      <w:r>
        <w:rPr>
          <w:spacing w:val="74"/>
          <w:sz w:val="22"/>
        </w:rPr>
        <w:t> </w:t>
      </w:r>
      <w:r>
        <w:rPr>
          <w:sz w:val="22"/>
        </w:rPr>
        <w:t>сотрудник</w:t>
      </w:r>
      <w:r>
        <w:rPr>
          <w:spacing w:val="75"/>
          <w:sz w:val="22"/>
        </w:rPr>
        <w:t> </w:t>
      </w:r>
      <w:r>
        <w:rPr>
          <w:sz w:val="22"/>
        </w:rPr>
        <w:t>лаборатории</w:t>
      </w:r>
      <w:r>
        <w:rPr>
          <w:spacing w:val="72"/>
          <w:sz w:val="22"/>
        </w:rPr>
        <w:t> </w:t>
      </w:r>
      <w:r>
        <w:rPr>
          <w:sz w:val="22"/>
        </w:rPr>
        <w:t>генетических</w:t>
      </w:r>
      <w:r>
        <w:rPr>
          <w:spacing w:val="74"/>
          <w:sz w:val="22"/>
        </w:rPr>
        <w:t> </w:t>
      </w:r>
      <w:r>
        <w:rPr>
          <w:sz w:val="22"/>
        </w:rPr>
        <w:t>технологий и</w:t>
      </w:r>
      <w:r>
        <w:rPr>
          <w:spacing w:val="-3"/>
          <w:sz w:val="22"/>
        </w:rPr>
        <w:t> </w:t>
      </w:r>
      <w:r>
        <w:rPr>
          <w:sz w:val="22"/>
        </w:rPr>
        <w:t>трансляционных</w:t>
      </w:r>
      <w:r>
        <w:rPr>
          <w:spacing w:val="67"/>
          <w:w w:val="150"/>
          <w:sz w:val="22"/>
        </w:rPr>
        <w:t>  </w:t>
      </w:r>
      <w:r>
        <w:rPr>
          <w:sz w:val="22"/>
        </w:rPr>
        <w:t>исследований</w:t>
      </w:r>
      <w:r>
        <w:rPr>
          <w:spacing w:val="66"/>
          <w:w w:val="150"/>
          <w:sz w:val="22"/>
        </w:rPr>
        <w:t>  </w:t>
      </w:r>
      <w:r>
        <w:rPr>
          <w:sz w:val="22"/>
        </w:rPr>
        <w:t>федерального</w:t>
      </w:r>
      <w:r>
        <w:rPr>
          <w:spacing w:val="68"/>
          <w:w w:val="150"/>
          <w:sz w:val="22"/>
        </w:rPr>
        <w:t>  </w:t>
      </w:r>
      <w:r>
        <w:rPr>
          <w:sz w:val="22"/>
        </w:rPr>
        <w:t>государственного</w:t>
      </w:r>
      <w:r>
        <w:rPr>
          <w:spacing w:val="66"/>
          <w:w w:val="150"/>
          <w:sz w:val="22"/>
        </w:rPr>
        <w:t>  </w:t>
      </w:r>
      <w:r>
        <w:rPr>
          <w:sz w:val="22"/>
        </w:rPr>
        <w:t>бюджетного</w:t>
      </w:r>
      <w:r>
        <w:rPr>
          <w:spacing w:val="67"/>
          <w:w w:val="150"/>
          <w:sz w:val="22"/>
        </w:rPr>
        <w:t>  </w:t>
      </w:r>
      <w:r>
        <w:rPr>
          <w:spacing w:val="-2"/>
          <w:sz w:val="22"/>
        </w:rPr>
        <w:t>учреждения</w:t>
      </w:r>
    </w:p>
    <w:p>
      <w:pPr>
        <w:spacing w:line="276" w:lineRule="auto" w:before="0"/>
        <w:ind w:left="937" w:right="709" w:firstLine="0"/>
        <w:jc w:val="both"/>
        <w:rPr>
          <w:sz w:val="22"/>
        </w:rPr>
      </w:pPr>
      <w:r>
        <w:rPr>
          <w:sz w:val="22"/>
        </w:rPr>
        <w:t>«Национальный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849" w:right="704" w:firstLine="851"/>
        <w:jc w:val="both"/>
        <w:rPr>
          <w:sz w:val="22"/>
        </w:rPr>
      </w:pPr>
      <w:r>
        <w:rPr>
          <w:b/>
          <w:i/>
          <w:sz w:val="22"/>
        </w:rPr>
        <w:t>Мельникова Елена Валентиновна – </w:t>
      </w:r>
      <w:r>
        <w:rPr>
          <w:sz w:val="22"/>
        </w:rPr>
        <w:t>главный внештатный специалист по медицинской реабилитации Минздрава России в Северо-Западном федеральном округе, заместитель главного врача - руководитель регионального сосудистого центра Санкт-Петербургского государственного бюджетного учреждения здравоохранения «Городская больница № 26», профессор кафедры физических методов лечения и спортивной медицины факультета послевузовского образования федерального государственного бюджетного образовательного учреждения высшего образования «Первый Санкт- Петербургский государственный медицинский университет имени академика И.П. Павлова»</w:t>
      </w:r>
    </w:p>
    <w:p>
      <w:pPr>
        <w:spacing w:line="276" w:lineRule="auto" w:before="0"/>
        <w:ind w:left="849" w:right="706" w:firstLine="851"/>
        <w:jc w:val="both"/>
        <w:rPr>
          <w:sz w:val="22"/>
        </w:rPr>
      </w:pPr>
      <w:r>
        <w:rPr>
          <w:b/>
          <w:i/>
          <w:sz w:val="22"/>
        </w:rPr>
        <w:t>Митьков Владимир Вячеславович </w:t>
      </w:r>
      <w:r>
        <w:rPr>
          <w:sz w:val="22"/>
        </w:rPr>
        <w:t>– заведующий кафедрой ультразвуковой диагностики федерального государственного бюджетного образовательного учреждения дополнительного профессионального образования «Российская медицинская академия непрерывного профессионального образования» Минздрава России</w:t>
      </w:r>
    </w:p>
    <w:p>
      <w:pPr>
        <w:spacing w:line="276" w:lineRule="auto" w:before="0"/>
        <w:ind w:left="937" w:right="706" w:firstLine="704"/>
        <w:jc w:val="both"/>
        <w:rPr>
          <w:sz w:val="22"/>
        </w:rPr>
      </w:pPr>
      <w:r>
        <w:rPr>
          <w:b/>
          <w:i/>
          <w:sz w:val="22"/>
        </w:rPr>
        <w:t>Мишина Ирина Евгеньевна – </w:t>
      </w:r>
      <w:r>
        <w:rPr>
          <w:sz w:val="22"/>
        </w:rPr>
        <w:t>проректор по учебной работе, заведующая кафедрой терапии федерального государственного бюджетного учреждения здравоохранения «Ивановская государственная медицинская академия» Минздрава России</w:t>
      </w:r>
    </w:p>
    <w:p>
      <w:pPr>
        <w:spacing w:line="276" w:lineRule="auto" w:before="0"/>
        <w:ind w:left="937" w:right="702" w:firstLine="704"/>
        <w:jc w:val="both"/>
        <w:rPr>
          <w:sz w:val="22"/>
        </w:rPr>
      </w:pPr>
      <w:r>
        <w:rPr>
          <w:b/>
          <w:i/>
          <w:sz w:val="22"/>
        </w:rPr>
        <w:t>Мокрышева Наталья Георгиевна – </w:t>
      </w:r>
      <w:r>
        <w:rPr>
          <w:sz w:val="22"/>
        </w:rPr>
        <w:t>директор федерального государственного бюджетного учреждения «Национальный медицинский исследовательский центр эндокринологии» Минздрава </w:t>
      </w:r>
      <w:r>
        <w:rPr>
          <w:spacing w:val="-2"/>
          <w:sz w:val="22"/>
        </w:rPr>
        <w:t>России</w:t>
      </w:r>
    </w:p>
    <w:p>
      <w:pPr>
        <w:spacing w:line="276" w:lineRule="auto" w:before="0"/>
        <w:ind w:left="937" w:right="706" w:firstLine="704"/>
        <w:jc w:val="both"/>
        <w:rPr>
          <w:sz w:val="22"/>
        </w:rPr>
      </w:pPr>
      <w:r>
        <w:rPr>
          <w:b/>
          <w:i/>
          <w:sz w:val="22"/>
        </w:rPr>
        <w:t>Молчанов Игорь Владимирович –</w:t>
      </w:r>
      <w:r>
        <w:rPr>
          <w:sz w:val="22"/>
        </w:rPr>
        <w:t>заведующий кафедрой анестезиологии и реаниматологии федерального государственного бюджетного образовательного учреждения дополнительного профессионального</w:t>
      </w:r>
      <w:r>
        <w:rPr>
          <w:spacing w:val="-2"/>
          <w:sz w:val="22"/>
        </w:rPr>
        <w:t> </w:t>
      </w:r>
      <w:r>
        <w:rPr>
          <w:sz w:val="22"/>
        </w:rPr>
        <w:t>образования</w:t>
      </w:r>
      <w:r>
        <w:rPr>
          <w:spacing w:val="-2"/>
          <w:sz w:val="22"/>
        </w:rPr>
        <w:t> </w:t>
      </w:r>
      <w:r>
        <w:rPr>
          <w:sz w:val="22"/>
        </w:rPr>
        <w:t>«Российская</w:t>
      </w:r>
      <w:r>
        <w:rPr>
          <w:spacing w:val="-2"/>
          <w:sz w:val="22"/>
        </w:rPr>
        <w:t> </w:t>
      </w:r>
      <w:r>
        <w:rPr>
          <w:sz w:val="22"/>
        </w:rPr>
        <w:t>медицинская</w:t>
      </w:r>
      <w:r>
        <w:rPr>
          <w:spacing w:val="-2"/>
          <w:sz w:val="22"/>
        </w:rPr>
        <w:t> </w:t>
      </w:r>
      <w:r>
        <w:rPr>
          <w:sz w:val="22"/>
        </w:rPr>
        <w:t>академия</w:t>
      </w:r>
      <w:r>
        <w:rPr>
          <w:spacing w:val="-2"/>
          <w:sz w:val="22"/>
        </w:rPr>
        <w:t> </w:t>
      </w:r>
      <w:r>
        <w:rPr>
          <w:sz w:val="22"/>
        </w:rPr>
        <w:t>непрерывного</w:t>
      </w:r>
      <w:r>
        <w:rPr>
          <w:spacing w:val="-2"/>
          <w:sz w:val="22"/>
        </w:rPr>
        <w:t> </w:t>
      </w:r>
      <w:r>
        <w:rPr>
          <w:sz w:val="22"/>
        </w:rPr>
        <w:t>профессионального образования» Минздрава России</w:t>
      </w:r>
    </w:p>
    <w:p>
      <w:pPr>
        <w:spacing w:line="276" w:lineRule="auto" w:before="0"/>
        <w:ind w:left="937" w:right="701" w:firstLine="704"/>
        <w:jc w:val="both"/>
        <w:rPr>
          <w:sz w:val="22"/>
        </w:rPr>
      </w:pPr>
      <w:r>
        <w:rPr>
          <w:b/>
          <w:i/>
          <w:sz w:val="22"/>
        </w:rPr>
        <w:t>Морозов Дмитрий Анатольевич – </w:t>
      </w:r>
      <w:r>
        <w:rPr>
          <w:sz w:val="22"/>
        </w:rPr>
        <w:t>заведующий кафедрой детской хирургии и урологии- андрологии им. профессора Л.П. Александрова федерального государственного автономного образовательного учреждения высшего образования «Первый Московский государственный медицинский университет имени И.М. Сеченова» Минздрава России (Сеченовский Университет)</w:t>
      </w:r>
    </w:p>
    <w:p>
      <w:pPr>
        <w:spacing w:line="276" w:lineRule="auto" w:before="0"/>
        <w:ind w:left="937" w:right="705" w:firstLine="704"/>
        <w:jc w:val="both"/>
        <w:rPr>
          <w:sz w:val="22"/>
        </w:rPr>
      </w:pPr>
      <w:r>
        <w:rPr>
          <w:b/>
          <w:i/>
          <w:sz w:val="22"/>
        </w:rPr>
        <w:t>Морозов Сергей Павлович </w:t>
      </w:r>
      <w:r>
        <w:rPr>
          <w:sz w:val="22"/>
        </w:rPr>
        <w:t>– главный внештатный специалист по лучевой и инструментальной диагностике Минздрава России по Центральному федеральному округу Российской Федерации, директор государственного бюджетного учреждения здравоохранения «Научно-практический клинический центр диагностики и телемедицинских технологий Департамента здравоохранения </w:t>
      </w:r>
      <w:r>
        <w:rPr>
          <w:spacing w:val="-2"/>
          <w:sz w:val="22"/>
        </w:rPr>
        <w:t>Москвы»</w:t>
      </w:r>
    </w:p>
    <w:p>
      <w:pPr>
        <w:spacing w:line="276" w:lineRule="auto" w:before="0"/>
        <w:ind w:left="937" w:right="704" w:firstLine="704"/>
        <w:jc w:val="both"/>
        <w:rPr>
          <w:sz w:val="22"/>
        </w:rPr>
      </w:pPr>
      <w:r>
        <w:rPr>
          <w:b/>
          <w:i/>
          <w:sz w:val="22"/>
        </w:rPr>
        <w:t>Мутовина Зинаида Юрьевна – </w:t>
      </w:r>
      <w:r>
        <w:rPr>
          <w:sz w:val="22"/>
        </w:rPr>
        <w:t>заведующая отделением ревматологии государственного бюджетного учреждения здравоохранения города Москвы «Городская клиническая больница № 52 Департамента</w:t>
      </w:r>
      <w:r>
        <w:rPr>
          <w:spacing w:val="80"/>
          <w:sz w:val="22"/>
        </w:rPr>
        <w:t> </w:t>
      </w:r>
      <w:r>
        <w:rPr>
          <w:sz w:val="22"/>
        </w:rPr>
        <w:t>здравоохранения</w:t>
      </w:r>
      <w:r>
        <w:rPr>
          <w:spacing w:val="80"/>
          <w:sz w:val="22"/>
        </w:rPr>
        <w:t> </w:t>
      </w:r>
      <w:r>
        <w:rPr>
          <w:sz w:val="22"/>
        </w:rPr>
        <w:t>города</w:t>
      </w:r>
      <w:r>
        <w:rPr>
          <w:spacing w:val="80"/>
          <w:sz w:val="22"/>
        </w:rPr>
        <w:t> </w:t>
      </w:r>
      <w:r>
        <w:rPr>
          <w:sz w:val="22"/>
        </w:rPr>
        <w:t>Москвы»,</w:t>
      </w:r>
      <w:r>
        <w:rPr>
          <w:spacing w:val="80"/>
          <w:sz w:val="22"/>
        </w:rPr>
        <w:t> </w:t>
      </w:r>
      <w:r>
        <w:rPr>
          <w:sz w:val="22"/>
        </w:rPr>
        <w:t>доцент</w:t>
      </w:r>
      <w:r>
        <w:rPr>
          <w:spacing w:val="80"/>
          <w:sz w:val="22"/>
        </w:rPr>
        <w:t> </w:t>
      </w:r>
      <w:r>
        <w:rPr>
          <w:sz w:val="22"/>
        </w:rPr>
        <w:t>кафедры</w:t>
      </w:r>
      <w:r>
        <w:rPr>
          <w:spacing w:val="80"/>
          <w:sz w:val="22"/>
        </w:rPr>
        <w:t> </w:t>
      </w:r>
      <w:r>
        <w:rPr>
          <w:sz w:val="22"/>
        </w:rPr>
        <w:t>общей</w:t>
      </w:r>
      <w:r>
        <w:rPr>
          <w:spacing w:val="80"/>
          <w:sz w:val="22"/>
        </w:rPr>
        <w:t> </w:t>
      </w:r>
      <w:r>
        <w:rPr>
          <w:sz w:val="22"/>
        </w:rPr>
        <w:t>терапии,</w:t>
      </w:r>
      <w:r>
        <w:rPr>
          <w:spacing w:val="80"/>
          <w:sz w:val="22"/>
        </w:rPr>
        <w:t> </w:t>
      </w:r>
      <w:r>
        <w:rPr>
          <w:sz w:val="22"/>
        </w:rPr>
        <w:t>кардиологии</w:t>
      </w:r>
      <w:r>
        <w:rPr>
          <w:spacing w:val="80"/>
          <w:sz w:val="22"/>
        </w:rPr>
        <w:t> </w:t>
      </w:r>
      <w:r>
        <w:rPr>
          <w:sz w:val="22"/>
        </w:rPr>
        <w:t>и функциональной диагностики федерального государственного бюджетного учреждения дополнительного профессионального образования «Центральная государственная медицинская академия» Управления делами Президента Российской Федерации</w:t>
      </w:r>
    </w:p>
    <w:p>
      <w:pPr>
        <w:spacing w:line="258" w:lineRule="exact" w:before="0"/>
        <w:ind w:left="140" w:right="0" w:firstLine="0"/>
        <w:jc w:val="center"/>
        <w:rPr>
          <w:rFonts w:ascii="Calibri"/>
          <w:sz w:val="22"/>
        </w:rPr>
      </w:pPr>
      <w:r>
        <w:rPr>
          <w:rFonts w:ascii="Calibri"/>
          <w:spacing w:val="-5"/>
          <w:sz w:val="22"/>
        </w:rPr>
        <w:t>240</w:t>
      </w:r>
    </w:p>
    <w:p>
      <w:pPr>
        <w:spacing w:line="222" w:lineRule="exact" w:before="0"/>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line="222" w:lineRule="exact"/>
        <w:jc w:val="right"/>
        <w:rPr>
          <w:sz w:val="20"/>
        </w:rPr>
        <w:sectPr>
          <w:pgSz w:w="11900" w:h="16840"/>
          <w:pgMar w:header="0" w:footer="288" w:top="1440" w:bottom="480" w:left="283" w:right="141"/>
        </w:sectPr>
      </w:pPr>
    </w:p>
    <w:p>
      <w:pPr>
        <w:spacing w:line="276" w:lineRule="auto" w:before="65"/>
        <w:ind w:left="937" w:right="704" w:firstLine="704"/>
        <w:jc w:val="both"/>
        <w:rPr>
          <w:sz w:val="22"/>
        </w:rPr>
      </w:pPr>
      <w:bookmarkStart w:name="242" w:id="289"/>
      <w:bookmarkEnd w:id="289"/>
      <w:r>
        <w:rPr/>
      </w:r>
      <w:r>
        <w:rPr>
          <w:b/>
          <w:i/>
          <w:sz w:val="22"/>
        </w:rPr>
        <w:t>Насонов Евгений Львович – </w:t>
      </w:r>
      <w:r>
        <w:rPr>
          <w:sz w:val="22"/>
        </w:rPr>
        <w:t>главный внештатный специалист-ревматолог, научный руководитель федерального государственного бюджетного научного учреждения «Научно- исследовательский институт ревматологии им. В.А. Насоновой» Минздрава России</w:t>
      </w:r>
    </w:p>
    <w:p>
      <w:pPr>
        <w:spacing w:line="276" w:lineRule="auto" w:before="0"/>
        <w:ind w:left="937" w:right="706" w:firstLine="704"/>
        <w:jc w:val="both"/>
        <w:rPr>
          <w:sz w:val="22"/>
        </w:rPr>
      </w:pPr>
      <w:r>
        <w:rPr>
          <w:b/>
          <w:i/>
          <w:sz w:val="22"/>
        </w:rPr>
        <w:t>Незнанов Николай Григорьевич </w:t>
      </w:r>
      <w:r>
        <w:rPr>
          <w:sz w:val="22"/>
        </w:rPr>
        <w:t>–директор ФГБУ «НМИЦ ПН им. В.М. Бехтерева» Минздрава России, заведующий кафедрой психиатрии и наркологии ФГБОУВО «ПСПбГМУ им. акад. И.П. Павлова» Минздрава России, президент Российского общества психиатров, главный внештатный специалист-эксперт по психиатрии Росздравнадзора, президент Всемирной ассоциации динамической </w:t>
      </w:r>
      <w:r>
        <w:rPr>
          <w:spacing w:val="-2"/>
          <w:sz w:val="22"/>
        </w:rPr>
        <w:t>психиатрии</w:t>
      </w:r>
    </w:p>
    <w:p>
      <w:pPr>
        <w:spacing w:line="276" w:lineRule="auto" w:before="0"/>
        <w:ind w:left="937" w:right="706" w:firstLine="704"/>
        <w:jc w:val="both"/>
        <w:rPr>
          <w:sz w:val="22"/>
        </w:rPr>
      </w:pPr>
      <w:r>
        <w:rPr>
          <w:b/>
          <w:i/>
          <w:sz w:val="22"/>
        </w:rPr>
        <w:t>Никитин Игорь Геннадиевич – </w:t>
      </w:r>
      <w:r>
        <w:rPr>
          <w:sz w:val="22"/>
        </w:rPr>
        <w:t>заведующий кафедрой госпитальной терапии №2 лечебного факультета федерального государственного автономного образовательного учреждения высшего образования</w:t>
      </w:r>
      <w:r>
        <w:rPr>
          <w:spacing w:val="80"/>
          <w:sz w:val="22"/>
        </w:rPr>
        <w:t> </w:t>
      </w:r>
      <w:r>
        <w:rPr>
          <w:sz w:val="22"/>
        </w:rPr>
        <w:t>«Российский</w:t>
      </w:r>
      <w:r>
        <w:rPr>
          <w:spacing w:val="80"/>
          <w:sz w:val="22"/>
        </w:rPr>
        <w:t> </w:t>
      </w:r>
      <w:r>
        <w:rPr>
          <w:sz w:val="22"/>
        </w:rPr>
        <w:t>национальный</w:t>
      </w:r>
      <w:r>
        <w:rPr>
          <w:spacing w:val="80"/>
          <w:sz w:val="22"/>
        </w:rPr>
        <w:t> </w:t>
      </w:r>
      <w:r>
        <w:rPr>
          <w:sz w:val="22"/>
        </w:rPr>
        <w:t>исследовательский</w:t>
      </w:r>
      <w:r>
        <w:rPr>
          <w:spacing w:val="80"/>
          <w:sz w:val="22"/>
        </w:rPr>
        <w:t> </w:t>
      </w:r>
      <w:r>
        <w:rPr>
          <w:sz w:val="22"/>
        </w:rPr>
        <w:t>медицинский</w:t>
      </w:r>
      <w:r>
        <w:rPr>
          <w:spacing w:val="80"/>
          <w:sz w:val="22"/>
        </w:rPr>
        <w:t> </w:t>
      </w:r>
      <w:r>
        <w:rPr>
          <w:sz w:val="22"/>
        </w:rPr>
        <w:t>университет</w:t>
      </w:r>
      <w:r>
        <w:rPr>
          <w:spacing w:val="80"/>
          <w:sz w:val="22"/>
        </w:rPr>
        <w:t> </w:t>
      </w:r>
      <w:r>
        <w:rPr>
          <w:sz w:val="22"/>
        </w:rPr>
        <w:t>имени</w:t>
      </w:r>
      <w:r>
        <w:rPr>
          <w:spacing w:val="40"/>
          <w:sz w:val="22"/>
        </w:rPr>
        <w:t> </w:t>
      </w:r>
      <w:r>
        <w:rPr>
          <w:sz w:val="22"/>
        </w:rPr>
        <w:t>Н.И.</w:t>
      </w:r>
      <w:r>
        <w:rPr>
          <w:spacing w:val="-2"/>
          <w:sz w:val="22"/>
        </w:rPr>
        <w:t> </w:t>
      </w:r>
      <w:r>
        <w:rPr>
          <w:sz w:val="22"/>
        </w:rPr>
        <w:t>Пирогова», директор федерального государственного автономного учреждения «Лечебно- реабилитационный центр» Минздрава России</w:t>
      </w:r>
    </w:p>
    <w:p>
      <w:pPr>
        <w:spacing w:line="276" w:lineRule="auto" w:before="0"/>
        <w:ind w:left="937" w:right="707" w:firstLine="704"/>
        <w:jc w:val="both"/>
        <w:rPr>
          <w:sz w:val="22"/>
        </w:rPr>
      </w:pPr>
      <w:r>
        <w:rPr>
          <w:b/>
          <w:i/>
          <w:sz w:val="22"/>
        </w:rPr>
        <w:t>Никифоров</w:t>
      </w:r>
      <w:r>
        <w:rPr>
          <w:b/>
          <w:i/>
          <w:spacing w:val="80"/>
          <w:sz w:val="22"/>
        </w:rPr>
        <w:t> </w:t>
      </w:r>
      <w:r>
        <w:rPr>
          <w:b/>
          <w:i/>
          <w:sz w:val="22"/>
        </w:rPr>
        <w:t>Владимир</w:t>
      </w:r>
      <w:r>
        <w:rPr>
          <w:b/>
          <w:i/>
          <w:spacing w:val="80"/>
          <w:sz w:val="22"/>
        </w:rPr>
        <w:t> </w:t>
      </w:r>
      <w:r>
        <w:rPr>
          <w:b/>
          <w:i/>
          <w:sz w:val="22"/>
        </w:rPr>
        <w:t>Владимирович</w:t>
      </w:r>
      <w:r>
        <w:rPr>
          <w:b/>
          <w:i/>
          <w:spacing w:val="80"/>
          <w:sz w:val="22"/>
        </w:rPr>
        <w:t> </w:t>
      </w:r>
      <w:r>
        <w:rPr>
          <w:b/>
          <w:i/>
          <w:sz w:val="22"/>
        </w:rPr>
        <w:t>–</w:t>
      </w:r>
      <w:r>
        <w:rPr>
          <w:b/>
          <w:i/>
          <w:spacing w:val="80"/>
          <w:sz w:val="22"/>
        </w:rPr>
        <w:t> </w:t>
      </w:r>
      <w:r>
        <w:rPr>
          <w:sz w:val="22"/>
        </w:rPr>
        <w:t>заведующий</w:t>
      </w:r>
      <w:r>
        <w:rPr>
          <w:spacing w:val="80"/>
          <w:sz w:val="22"/>
        </w:rPr>
        <w:t> </w:t>
      </w:r>
      <w:r>
        <w:rPr>
          <w:sz w:val="22"/>
        </w:rPr>
        <w:t>кафедрой</w:t>
      </w:r>
      <w:r>
        <w:rPr>
          <w:spacing w:val="80"/>
          <w:sz w:val="22"/>
        </w:rPr>
        <w:t> </w:t>
      </w:r>
      <w:r>
        <w:rPr>
          <w:sz w:val="22"/>
        </w:rPr>
        <w:t>инфекционных</w:t>
      </w:r>
      <w:r>
        <w:rPr>
          <w:spacing w:val="80"/>
          <w:sz w:val="22"/>
        </w:rPr>
        <w:t> </w:t>
      </w:r>
      <w:r>
        <w:rPr>
          <w:sz w:val="22"/>
        </w:rPr>
        <w:t>болезней</w:t>
      </w:r>
      <w:r>
        <w:rPr>
          <w:spacing w:val="80"/>
          <w:sz w:val="22"/>
        </w:rPr>
        <w:t> </w:t>
      </w:r>
      <w:r>
        <w:rPr>
          <w:sz w:val="22"/>
        </w:rPr>
        <w:t>и</w:t>
      </w:r>
      <w:r>
        <w:rPr>
          <w:spacing w:val="-6"/>
          <w:sz w:val="22"/>
        </w:rPr>
        <w:t> </w:t>
      </w:r>
      <w:r>
        <w:rPr>
          <w:sz w:val="22"/>
        </w:rPr>
        <w:t>эпидемиологии федерального государственного автономного образовательного учреждения высшего образования</w:t>
      </w:r>
      <w:r>
        <w:rPr>
          <w:spacing w:val="80"/>
          <w:sz w:val="22"/>
        </w:rPr>
        <w:t> </w:t>
      </w:r>
      <w:r>
        <w:rPr>
          <w:sz w:val="22"/>
        </w:rPr>
        <w:t>«Российский</w:t>
      </w:r>
      <w:r>
        <w:rPr>
          <w:spacing w:val="80"/>
          <w:sz w:val="22"/>
        </w:rPr>
        <w:t> </w:t>
      </w:r>
      <w:r>
        <w:rPr>
          <w:sz w:val="22"/>
        </w:rPr>
        <w:t>национальный</w:t>
      </w:r>
      <w:r>
        <w:rPr>
          <w:spacing w:val="80"/>
          <w:sz w:val="22"/>
        </w:rPr>
        <w:t> </w:t>
      </w:r>
      <w:r>
        <w:rPr>
          <w:sz w:val="22"/>
        </w:rPr>
        <w:t>исследовательский</w:t>
      </w:r>
      <w:r>
        <w:rPr>
          <w:spacing w:val="80"/>
          <w:sz w:val="22"/>
        </w:rPr>
        <w:t> </w:t>
      </w:r>
      <w:r>
        <w:rPr>
          <w:sz w:val="22"/>
        </w:rPr>
        <w:t>медицинский</w:t>
      </w:r>
      <w:r>
        <w:rPr>
          <w:spacing w:val="80"/>
          <w:sz w:val="22"/>
        </w:rPr>
        <w:t> </w:t>
      </w:r>
      <w:r>
        <w:rPr>
          <w:sz w:val="22"/>
        </w:rPr>
        <w:t>университет</w:t>
      </w:r>
      <w:r>
        <w:rPr>
          <w:spacing w:val="80"/>
          <w:sz w:val="22"/>
        </w:rPr>
        <w:t> </w:t>
      </w:r>
      <w:r>
        <w:rPr>
          <w:sz w:val="22"/>
        </w:rPr>
        <w:t>имени</w:t>
      </w:r>
      <w:r>
        <w:rPr>
          <w:spacing w:val="40"/>
          <w:sz w:val="22"/>
        </w:rPr>
        <w:t> </w:t>
      </w:r>
      <w:r>
        <w:rPr>
          <w:sz w:val="22"/>
        </w:rPr>
        <w:t>Н.И. Пирогова» Минздрава России</w:t>
      </w:r>
    </w:p>
    <w:p>
      <w:pPr>
        <w:spacing w:line="276" w:lineRule="auto" w:before="0"/>
        <w:ind w:left="937" w:right="704" w:firstLine="704"/>
        <w:jc w:val="both"/>
        <w:rPr>
          <w:sz w:val="22"/>
        </w:rPr>
      </w:pPr>
      <w:r>
        <w:rPr>
          <w:b/>
          <w:i/>
          <w:sz w:val="22"/>
        </w:rPr>
        <w:t>Николаева Анастасия Владимировна </w:t>
      </w:r>
      <w:r>
        <w:rPr>
          <w:sz w:val="22"/>
        </w:rPr>
        <w:t>– главный врач федерального государственного бюджетного учреждения «Национальный медицинский исследовательский центр акушерства, гинекологии и перинатологии имени академика В.И. Кулакова» Минздрава России</w:t>
      </w:r>
    </w:p>
    <w:p>
      <w:pPr>
        <w:spacing w:line="276" w:lineRule="auto" w:before="0"/>
        <w:ind w:left="937" w:right="703" w:firstLine="704"/>
        <w:jc w:val="both"/>
        <w:rPr>
          <w:sz w:val="22"/>
        </w:rPr>
      </w:pPr>
      <w:r>
        <w:rPr>
          <w:b/>
          <w:i/>
          <w:sz w:val="22"/>
        </w:rPr>
        <w:t>Омельяновский Виталий Владимирович </w:t>
      </w:r>
      <w:r>
        <w:rPr>
          <w:sz w:val="22"/>
        </w:rPr>
        <w:t>– генеральный директор федерального государственного бюджетного учреждения «Центр экспертизы и контроля качества медицинской помощи» Минздрава России</w:t>
      </w:r>
    </w:p>
    <w:p>
      <w:pPr>
        <w:spacing w:line="276" w:lineRule="auto" w:before="0"/>
        <w:ind w:left="937" w:right="706" w:firstLine="760"/>
        <w:jc w:val="both"/>
        <w:rPr>
          <w:sz w:val="22"/>
        </w:rPr>
      </w:pPr>
      <w:r>
        <w:rPr>
          <w:b/>
          <w:i/>
          <w:sz w:val="22"/>
        </w:rPr>
        <w:t>Панченко Елизавета Павловна – </w:t>
      </w:r>
      <w:r>
        <w:rPr>
          <w:sz w:val="22"/>
        </w:rPr>
        <w:t>руководитель отдела клинических проблем атеротромбоза Института кардиологии им. А.Л. Мясникова федерального государственного бюджетного учреждения</w:t>
      </w:r>
    </w:p>
    <w:p>
      <w:pPr>
        <w:spacing w:before="0"/>
        <w:ind w:left="937" w:right="0" w:firstLine="0"/>
        <w:jc w:val="both"/>
        <w:rPr>
          <w:sz w:val="22"/>
        </w:rPr>
      </w:pPr>
      <w:r>
        <w:rPr>
          <w:sz w:val="22"/>
        </w:rPr>
        <w:t>«Национальный</w:t>
      </w:r>
      <w:r>
        <w:rPr>
          <w:spacing w:val="-12"/>
          <w:sz w:val="22"/>
        </w:rPr>
        <w:t> </w:t>
      </w:r>
      <w:r>
        <w:rPr>
          <w:sz w:val="22"/>
        </w:rPr>
        <w:t>медицинский</w:t>
      </w:r>
      <w:r>
        <w:rPr>
          <w:spacing w:val="-10"/>
          <w:sz w:val="22"/>
        </w:rPr>
        <w:t> </w:t>
      </w:r>
      <w:r>
        <w:rPr>
          <w:sz w:val="22"/>
        </w:rPr>
        <w:t>исследовательский</w:t>
      </w:r>
      <w:r>
        <w:rPr>
          <w:spacing w:val="-11"/>
          <w:sz w:val="22"/>
        </w:rPr>
        <w:t> </w:t>
      </w:r>
      <w:r>
        <w:rPr>
          <w:sz w:val="22"/>
        </w:rPr>
        <w:t>центр</w:t>
      </w:r>
      <w:r>
        <w:rPr>
          <w:spacing w:val="-9"/>
          <w:sz w:val="22"/>
        </w:rPr>
        <w:t> </w:t>
      </w:r>
      <w:r>
        <w:rPr>
          <w:sz w:val="22"/>
        </w:rPr>
        <w:t>кардиологии»</w:t>
      </w:r>
      <w:r>
        <w:rPr>
          <w:spacing w:val="-10"/>
          <w:sz w:val="22"/>
        </w:rPr>
        <w:t> </w:t>
      </w:r>
      <w:r>
        <w:rPr>
          <w:sz w:val="22"/>
        </w:rPr>
        <w:t>Минздрава</w:t>
      </w:r>
      <w:r>
        <w:rPr>
          <w:spacing w:val="-9"/>
          <w:sz w:val="22"/>
        </w:rPr>
        <w:t> </w:t>
      </w:r>
      <w:r>
        <w:rPr>
          <w:spacing w:val="-2"/>
          <w:sz w:val="22"/>
        </w:rPr>
        <w:t>России</w:t>
      </w:r>
    </w:p>
    <w:p>
      <w:pPr>
        <w:spacing w:line="276" w:lineRule="auto" w:before="33"/>
        <w:ind w:left="937" w:right="704" w:firstLine="704"/>
        <w:jc w:val="both"/>
        <w:rPr>
          <w:sz w:val="22"/>
        </w:rPr>
      </w:pPr>
      <w:r>
        <w:rPr>
          <w:b/>
          <w:i/>
          <w:sz w:val="22"/>
        </w:rPr>
        <w:t>Панова Анна Евгеньевна </w:t>
      </w:r>
      <w:r>
        <w:rPr>
          <w:sz w:val="22"/>
        </w:rPr>
        <w:t>– заведующая отделением лабораторной диагностики федерального государственного бюджетного учреждения «Национальный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937" w:right="706" w:firstLine="704"/>
        <w:jc w:val="both"/>
        <w:rPr>
          <w:sz w:val="22"/>
        </w:rPr>
      </w:pPr>
      <w:r>
        <w:rPr>
          <w:b/>
          <w:i/>
          <w:sz w:val="22"/>
        </w:rPr>
        <w:t>Пырегов Алексей Викторович </w:t>
      </w:r>
      <w:r>
        <w:rPr>
          <w:sz w:val="22"/>
        </w:rPr>
        <w:t>– заведующий отделением анестезиологии и реаниматологии федерального государственного бюджетного учреждения «Национальный медицинский исследовательский центр акушерства, гинекологии и перинатологии имени академика В.И. Кулакова» Минздрава России</w:t>
      </w:r>
    </w:p>
    <w:p>
      <w:pPr>
        <w:spacing w:line="276" w:lineRule="auto" w:before="0"/>
        <w:ind w:left="937" w:right="703" w:firstLine="704"/>
        <w:jc w:val="both"/>
        <w:rPr>
          <w:sz w:val="22"/>
        </w:rPr>
      </w:pPr>
      <w:r>
        <w:rPr>
          <w:b/>
          <w:i/>
          <w:sz w:val="22"/>
        </w:rPr>
        <w:t>Петрова</w:t>
      </w:r>
      <w:r>
        <w:rPr>
          <w:b/>
          <w:i/>
          <w:spacing w:val="-7"/>
          <w:sz w:val="22"/>
        </w:rPr>
        <w:t> </w:t>
      </w:r>
      <w:r>
        <w:rPr>
          <w:b/>
          <w:i/>
          <w:sz w:val="22"/>
        </w:rPr>
        <w:t>Марина</w:t>
      </w:r>
      <w:r>
        <w:rPr>
          <w:b/>
          <w:i/>
          <w:spacing w:val="-5"/>
          <w:sz w:val="22"/>
        </w:rPr>
        <w:t> </w:t>
      </w:r>
      <w:r>
        <w:rPr>
          <w:b/>
          <w:i/>
          <w:sz w:val="22"/>
        </w:rPr>
        <w:t>Владимировна</w:t>
      </w:r>
      <w:r>
        <w:rPr>
          <w:b/>
          <w:i/>
          <w:spacing w:val="-5"/>
          <w:sz w:val="22"/>
        </w:rPr>
        <w:t> </w:t>
      </w:r>
      <w:r>
        <w:rPr>
          <w:sz w:val="22"/>
        </w:rPr>
        <w:t>–</w:t>
      </w:r>
      <w:r>
        <w:rPr>
          <w:spacing w:val="-7"/>
          <w:sz w:val="22"/>
        </w:rPr>
        <w:t> </w:t>
      </w:r>
      <w:r>
        <w:rPr>
          <w:sz w:val="22"/>
        </w:rPr>
        <w:t>заместитель</w:t>
      </w:r>
      <w:r>
        <w:rPr>
          <w:spacing w:val="-6"/>
          <w:sz w:val="22"/>
        </w:rPr>
        <w:t> </w:t>
      </w:r>
      <w:r>
        <w:rPr>
          <w:sz w:val="22"/>
        </w:rPr>
        <w:t>директора</w:t>
      </w:r>
      <w:r>
        <w:rPr>
          <w:spacing w:val="-6"/>
          <w:sz w:val="22"/>
        </w:rPr>
        <w:t> </w:t>
      </w:r>
      <w:r>
        <w:rPr>
          <w:sz w:val="22"/>
        </w:rPr>
        <w:t>по</w:t>
      </w:r>
      <w:r>
        <w:rPr>
          <w:spacing w:val="-5"/>
          <w:sz w:val="22"/>
        </w:rPr>
        <w:t> </w:t>
      </w:r>
      <w:r>
        <w:rPr>
          <w:sz w:val="22"/>
        </w:rPr>
        <w:t>научно-клинической</w:t>
      </w:r>
      <w:r>
        <w:rPr>
          <w:spacing w:val="-7"/>
          <w:sz w:val="22"/>
        </w:rPr>
        <w:t> </w:t>
      </w:r>
      <w:r>
        <w:rPr>
          <w:sz w:val="22"/>
        </w:rPr>
        <w:t>деятельности федерального</w:t>
      </w:r>
      <w:r>
        <w:rPr>
          <w:spacing w:val="-2"/>
          <w:sz w:val="22"/>
        </w:rPr>
        <w:t> </w:t>
      </w:r>
      <w:r>
        <w:rPr>
          <w:sz w:val="22"/>
        </w:rPr>
        <w:t>государственного бюджетного научного учреждения «Федеральный научно-клинический центр реаниматологии и реабилитологии»</w:t>
      </w:r>
    </w:p>
    <w:p>
      <w:pPr>
        <w:spacing w:line="276" w:lineRule="auto" w:before="0"/>
        <w:ind w:left="937" w:right="705" w:firstLine="704"/>
        <w:jc w:val="both"/>
        <w:rPr>
          <w:sz w:val="22"/>
        </w:rPr>
      </w:pPr>
      <w:r>
        <w:rPr>
          <w:b/>
          <w:i/>
          <w:sz w:val="22"/>
        </w:rPr>
        <w:t>Петров Владимир Александрович </w:t>
      </w:r>
      <w:r>
        <w:rPr>
          <w:sz w:val="22"/>
        </w:rPr>
        <w:t>– заведующий научно-образовательным отделом МРНЦ им. А.Ф. Цыба – филиала ФГБУ «НМИЦ радиологии» Минздрава России, заведующий кафедрой инфекционных болезней, общественного здоровья и здравоохранения Обнинского института атомной энергетики — филиала федерального государственного автономного образовательного учреждения высшего образования «Национальный исследовательский ядерный университет «МИФИ»</w:t>
      </w:r>
    </w:p>
    <w:p>
      <w:pPr>
        <w:spacing w:line="276" w:lineRule="auto" w:before="0"/>
        <w:ind w:left="937" w:right="707" w:firstLine="704"/>
        <w:jc w:val="both"/>
        <w:rPr>
          <w:sz w:val="22"/>
        </w:rPr>
      </w:pPr>
      <w:r>
        <w:rPr>
          <w:b/>
          <w:i/>
          <w:sz w:val="22"/>
        </w:rPr>
        <w:t>Пименов Николай Николаевич – </w:t>
      </w:r>
      <w:r>
        <w:rPr>
          <w:sz w:val="22"/>
        </w:rPr>
        <w:t>заведующий лабораторией эпидемиологии инфекционных болезней федерального государственного бюджетного учреждения «Национальный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937" w:right="706" w:firstLine="704"/>
        <w:jc w:val="both"/>
        <w:rPr>
          <w:sz w:val="22"/>
        </w:rPr>
      </w:pPr>
      <w:r>
        <w:rPr>
          <w:b/>
          <w:i/>
          <w:sz w:val="22"/>
        </w:rPr>
        <w:t>Плавунов Николй Филиппович – </w:t>
      </w:r>
      <w:r>
        <w:rPr>
          <w:sz w:val="22"/>
        </w:rPr>
        <w:t>главный внештатный специалист по скорой медицинской помощи</w:t>
      </w:r>
      <w:r>
        <w:rPr>
          <w:spacing w:val="80"/>
          <w:w w:val="150"/>
          <w:sz w:val="22"/>
        </w:rPr>
        <w:t> </w:t>
      </w:r>
      <w:r>
        <w:rPr>
          <w:sz w:val="22"/>
        </w:rPr>
        <w:t>Департамента</w:t>
      </w:r>
      <w:r>
        <w:rPr>
          <w:spacing w:val="80"/>
          <w:w w:val="150"/>
          <w:sz w:val="22"/>
        </w:rPr>
        <w:t> </w:t>
      </w:r>
      <w:r>
        <w:rPr>
          <w:sz w:val="22"/>
        </w:rPr>
        <w:t>здравоохранения</w:t>
      </w:r>
      <w:r>
        <w:rPr>
          <w:spacing w:val="80"/>
          <w:w w:val="150"/>
          <w:sz w:val="22"/>
        </w:rPr>
        <w:t> </w:t>
      </w:r>
      <w:r>
        <w:rPr>
          <w:sz w:val="22"/>
        </w:rPr>
        <w:t>города</w:t>
      </w:r>
      <w:r>
        <w:rPr>
          <w:spacing w:val="80"/>
          <w:w w:val="150"/>
          <w:sz w:val="22"/>
        </w:rPr>
        <w:t> </w:t>
      </w:r>
      <w:r>
        <w:rPr>
          <w:sz w:val="22"/>
        </w:rPr>
        <w:t>Москвы,</w:t>
      </w:r>
      <w:r>
        <w:rPr>
          <w:spacing w:val="80"/>
          <w:w w:val="150"/>
          <w:sz w:val="22"/>
        </w:rPr>
        <w:t> </w:t>
      </w:r>
      <w:r>
        <w:rPr>
          <w:sz w:val="22"/>
        </w:rPr>
        <w:t>главный</w:t>
      </w:r>
      <w:r>
        <w:rPr>
          <w:spacing w:val="80"/>
          <w:w w:val="150"/>
          <w:sz w:val="22"/>
        </w:rPr>
        <w:t> </w:t>
      </w:r>
      <w:r>
        <w:rPr>
          <w:sz w:val="22"/>
        </w:rPr>
        <w:t>врач</w:t>
      </w:r>
      <w:r>
        <w:rPr>
          <w:spacing w:val="80"/>
          <w:w w:val="150"/>
          <w:sz w:val="22"/>
        </w:rPr>
        <w:t> </w:t>
      </w:r>
      <w:r>
        <w:rPr>
          <w:sz w:val="22"/>
        </w:rPr>
        <w:t>ГБУ</w:t>
      </w:r>
      <w:r>
        <w:rPr>
          <w:spacing w:val="80"/>
          <w:w w:val="150"/>
          <w:sz w:val="22"/>
        </w:rPr>
        <w:t> </w:t>
      </w:r>
      <w:r>
        <w:rPr>
          <w:sz w:val="22"/>
        </w:rPr>
        <w:t>«Станция</w:t>
      </w:r>
      <w:r>
        <w:rPr>
          <w:spacing w:val="80"/>
          <w:w w:val="150"/>
          <w:sz w:val="22"/>
        </w:rPr>
        <w:t> </w:t>
      </w:r>
      <w:r>
        <w:rPr>
          <w:sz w:val="22"/>
        </w:rPr>
        <w:t>скорой и неотложной медицинской помощи им. А.С. Пучкова» Департамента здравоохранения города Москвы</w:t>
      </w:r>
    </w:p>
    <w:p>
      <w:pPr>
        <w:spacing w:line="258" w:lineRule="exact" w:before="0"/>
        <w:ind w:left="140" w:right="0" w:firstLine="0"/>
        <w:jc w:val="center"/>
        <w:rPr>
          <w:rFonts w:ascii="Calibri"/>
          <w:sz w:val="22"/>
        </w:rPr>
      </w:pPr>
      <w:r>
        <w:rPr>
          <w:rFonts w:ascii="Calibri"/>
          <w:spacing w:val="-5"/>
          <w:sz w:val="22"/>
        </w:rPr>
        <w:t>241</w:t>
      </w:r>
    </w:p>
    <w:p>
      <w:pPr>
        <w:spacing w:line="227" w:lineRule="exact" w:before="0"/>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line="227" w:lineRule="exact"/>
        <w:jc w:val="right"/>
        <w:rPr>
          <w:sz w:val="20"/>
        </w:rPr>
        <w:sectPr>
          <w:pgSz w:w="11900" w:h="16840"/>
          <w:pgMar w:header="0" w:footer="288" w:top="1440" w:bottom="480" w:left="283" w:right="141"/>
        </w:sectPr>
      </w:pPr>
    </w:p>
    <w:p>
      <w:pPr>
        <w:spacing w:line="276" w:lineRule="auto" w:before="65"/>
        <w:ind w:left="937" w:right="705" w:firstLine="704"/>
        <w:jc w:val="both"/>
        <w:rPr>
          <w:sz w:val="22"/>
        </w:rPr>
      </w:pPr>
      <w:bookmarkStart w:name="243" w:id="290"/>
      <w:bookmarkEnd w:id="290"/>
      <w:r>
        <w:rPr/>
      </w:r>
      <w:r>
        <w:rPr>
          <w:b/>
          <w:i/>
          <w:sz w:val="22"/>
        </w:rPr>
        <w:t>Плоскирева Антонина Александровна </w:t>
      </w:r>
      <w:r>
        <w:rPr>
          <w:sz w:val="22"/>
        </w:rPr>
        <w:t>– заместитель директора по клинической работе федерального бюджетного учреждения науки «Центральный научно-исследовательский институт эпидемиологии» Федеральной службы по надзору в сфере защиты прав потребителей и благополучия </w:t>
      </w:r>
      <w:r>
        <w:rPr>
          <w:spacing w:val="-2"/>
          <w:sz w:val="22"/>
        </w:rPr>
        <w:t>человека</w:t>
      </w:r>
    </w:p>
    <w:p>
      <w:pPr>
        <w:spacing w:line="276" w:lineRule="auto" w:before="0"/>
        <w:ind w:left="849" w:right="704" w:firstLine="851"/>
        <w:jc w:val="both"/>
        <w:rPr>
          <w:sz w:val="22"/>
        </w:rPr>
      </w:pPr>
      <w:r>
        <w:rPr>
          <w:b/>
          <w:i/>
          <w:sz w:val="22"/>
        </w:rPr>
        <w:t>Полибин Роман Владимирович </w:t>
      </w:r>
      <w:r>
        <w:rPr>
          <w:sz w:val="22"/>
        </w:rPr>
        <w:t>– главный внештатный специалист эпидемиолог Минздрава России,</w:t>
      </w:r>
      <w:r>
        <w:rPr>
          <w:spacing w:val="-6"/>
          <w:sz w:val="22"/>
        </w:rPr>
        <w:t> </w:t>
      </w:r>
      <w:r>
        <w:rPr>
          <w:sz w:val="22"/>
        </w:rPr>
        <w:t>заместитель</w:t>
      </w:r>
      <w:r>
        <w:rPr>
          <w:spacing w:val="-5"/>
          <w:sz w:val="22"/>
        </w:rPr>
        <w:t> </w:t>
      </w:r>
      <w:r>
        <w:rPr>
          <w:sz w:val="22"/>
        </w:rPr>
        <w:t>директора</w:t>
      </w:r>
      <w:r>
        <w:rPr>
          <w:spacing w:val="-6"/>
          <w:sz w:val="22"/>
        </w:rPr>
        <w:t> </w:t>
      </w:r>
      <w:r>
        <w:rPr>
          <w:sz w:val="22"/>
        </w:rPr>
        <w:t>по</w:t>
      </w:r>
      <w:r>
        <w:rPr>
          <w:spacing w:val="-6"/>
          <w:sz w:val="22"/>
        </w:rPr>
        <w:t> </w:t>
      </w:r>
      <w:r>
        <w:rPr>
          <w:sz w:val="22"/>
        </w:rPr>
        <w:t>научной</w:t>
      </w:r>
      <w:r>
        <w:rPr>
          <w:spacing w:val="-7"/>
          <w:sz w:val="22"/>
        </w:rPr>
        <w:t> </w:t>
      </w:r>
      <w:r>
        <w:rPr>
          <w:sz w:val="22"/>
        </w:rPr>
        <w:t>работе</w:t>
      </w:r>
      <w:r>
        <w:rPr>
          <w:spacing w:val="-6"/>
          <w:sz w:val="22"/>
        </w:rPr>
        <w:t> </w:t>
      </w:r>
      <w:r>
        <w:rPr>
          <w:sz w:val="22"/>
        </w:rPr>
        <w:t>Института</w:t>
      </w:r>
      <w:r>
        <w:rPr>
          <w:spacing w:val="-5"/>
          <w:sz w:val="22"/>
        </w:rPr>
        <w:t> </w:t>
      </w:r>
      <w:r>
        <w:rPr>
          <w:sz w:val="22"/>
        </w:rPr>
        <w:t>общественного</w:t>
      </w:r>
      <w:r>
        <w:rPr>
          <w:spacing w:val="-6"/>
          <w:sz w:val="22"/>
        </w:rPr>
        <w:t> </w:t>
      </w:r>
      <w:r>
        <w:rPr>
          <w:sz w:val="22"/>
        </w:rPr>
        <w:t>здоровья</w:t>
      </w:r>
      <w:r>
        <w:rPr>
          <w:spacing w:val="-7"/>
          <w:sz w:val="22"/>
        </w:rPr>
        <w:t> </w:t>
      </w:r>
      <w:r>
        <w:rPr>
          <w:sz w:val="22"/>
        </w:rPr>
        <w:t>им.</w:t>
      </w:r>
      <w:r>
        <w:rPr>
          <w:spacing w:val="-6"/>
          <w:sz w:val="22"/>
        </w:rPr>
        <w:t> </w:t>
      </w:r>
      <w:r>
        <w:rPr>
          <w:sz w:val="22"/>
        </w:rPr>
        <w:t>Ф.Ф.Эрисмана федерального государственного автономного образовательного учреждения</w:t>
      </w:r>
      <w:r>
        <w:rPr>
          <w:spacing w:val="40"/>
          <w:sz w:val="22"/>
        </w:rPr>
        <w:t> </w:t>
      </w:r>
      <w:r>
        <w:rPr>
          <w:sz w:val="22"/>
        </w:rPr>
        <w:t>высшего образования Первый Московский государственный медицинский университет имени И.М. Сеченова Министерства здравоохранения Российской Федерации (Сеченовский Университет)</w:t>
      </w:r>
    </w:p>
    <w:p>
      <w:pPr>
        <w:spacing w:line="276" w:lineRule="auto" w:before="0"/>
        <w:ind w:left="849" w:right="706" w:firstLine="851"/>
        <w:jc w:val="both"/>
        <w:rPr>
          <w:sz w:val="22"/>
        </w:rPr>
      </w:pPr>
      <w:r>
        <w:rPr>
          <w:b/>
          <w:i/>
          <w:sz w:val="22"/>
        </w:rPr>
        <w:t>Полуэктова Елена Александровна </w:t>
      </w:r>
      <w:r>
        <w:rPr>
          <w:sz w:val="22"/>
        </w:rPr>
        <w:t>- профессор кафедры пропедевтики внутренних болезней, гастроэнтерологии и гепатологии Института клинической медицины им. Н.В. Склифосовского федерального</w:t>
      </w:r>
      <w:r>
        <w:rPr>
          <w:spacing w:val="80"/>
          <w:sz w:val="22"/>
        </w:rPr>
        <w:t> </w:t>
      </w:r>
      <w:r>
        <w:rPr>
          <w:sz w:val="22"/>
        </w:rPr>
        <w:t>государственного</w:t>
      </w:r>
      <w:r>
        <w:rPr>
          <w:spacing w:val="80"/>
          <w:sz w:val="22"/>
        </w:rPr>
        <w:t> </w:t>
      </w:r>
      <w:r>
        <w:rPr>
          <w:sz w:val="22"/>
        </w:rPr>
        <w:t>автономного</w:t>
      </w:r>
      <w:r>
        <w:rPr>
          <w:spacing w:val="80"/>
          <w:sz w:val="22"/>
        </w:rPr>
        <w:t> </w:t>
      </w:r>
      <w:r>
        <w:rPr>
          <w:sz w:val="22"/>
        </w:rPr>
        <w:t>образовательного</w:t>
      </w:r>
      <w:r>
        <w:rPr>
          <w:spacing w:val="80"/>
          <w:sz w:val="22"/>
        </w:rPr>
        <w:t> </w:t>
      </w:r>
      <w:r>
        <w:rPr>
          <w:sz w:val="22"/>
        </w:rPr>
        <w:t>учреждения</w:t>
      </w:r>
      <w:r>
        <w:rPr>
          <w:spacing w:val="80"/>
          <w:sz w:val="22"/>
        </w:rPr>
        <w:t> </w:t>
      </w:r>
      <w:r>
        <w:rPr>
          <w:sz w:val="22"/>
        </w:rPr>
        <w:t>высшего</w:t>
      </w:r>
      <w:r>
        <w:rPr>
          <w:spacing w:val="80"/>
          <w:sz w:val="22"/>
        </w:rPr>
        <w:t> </w:t>
      </w:r>
      <w:r>
        <w:rPr>
          <w:sz w:val="22"/>
        </w:rPr>
        <w:t>образования</w:t>
      </w:r>
    </w:p>
    <w:p>
      <w:pPr>
        <w:spacing w:line="276" w:lineRule="auto" w:before="0"/>
        <w:ind w:left="849" w:right="705" w:firstLine="0"/>
        <w:jc w:val="both"/>
        <w:rPr>
          <w:sz w:val="22"/>
        </w:rPr>
      </w:pPr>
      <w:r>
        <w:rPr>
          <w:sz w:val="22"/>
        </w:rPr>
        <w:t>«Первый Московский государственный медицинский университет имени И.М. Сеченова» Минздрава России (Сеченовский Университет)</w:t>
      </w:r>
    </w:p>
    <w:p>
      <w:pPr>
        <w:spacing w:line="276" w:lineRule="auto" w:before="0"/>
        <w:ind w:left="849" w:right="704" w:firstLine="851"/>
        <w:jc w:val="both"/>
        <w:rPr>
          <w:sz w:val="22"/>
        </w:rPr>
      </w:pPr>
      <w:r>
        <w:rPr>
          <w:b/>
          <w:i/>
          <w:sz w:val="22"/>
        </w:rPr>
        <w:t>Потекаев</w:t>
      </w:r>
      <w:r>
        <w:rPr>
          <w:b/>
          <w:i/>
          <w:spacing w:val="35"/>
          <w:sz w:val="22"/>
        </w:rPr>
        <w:t> </w:t>
      </w:r>
      <w:r>
        <w:rPr>
          <w:b/>
          <w:i/>
          <w:sz w:val="22"/>
        </w:rPr>
        <w:t>Николай</w:t>
      </w:r>
      <w:r>
        <w:rPr>
          <w:b/>
          <w:i/>
          <w:spacing w:val="34"/>
          <w:sz w:val="22"/>
        </w:rPr>
        <w:t> </w:t>
      </w:r>
      <w:r>
        <w:rPr>
          <w:b/>
          <w:i/>
          <w:sz w:val="22"/>
        </w:rPr>
        <w:t>Николаевич</w:t>
      </w:r>
      <w:r>
        <w:rPr>
          <w:b/>
          <w:i/>
          <w:spacing w:val="39"/>
          <w:sz w:val="22"/>
        </w:rPr>
        <w:t> </w:t>
      </w:r>
      <w:r>
        <w:rPr>
          <w:b/>
          <w:i/>
          <w:sz w:val="22"/>
        </w:rPr>
        <w:t>–</w:t>
      </w:r>
      <w:r>
        <w:rPr>
          <w:b/>
          <w:i/>
          <w:spacing w:val="35"/>
          <w:sz w:val="22"/>
        </w:rPr>
        <w:t> </w:t>
      </w:r>
      <w:r>
        <w:rPr>
          <w:sz w:val="22"/>
        </w:rPr>
        <w:t>главный</w:t>
      </w:r>
      <w:r>
        <w:rPr>
          <w:spacing w:val="37"/>
          <w:sz w:val="22"/>
        </w:rPr>
        <w:t> </w:t>
      </w:r>
      <w:r>
        <w:rPr>
          <w:sz w:val="22"/>
        </w:rPr>
        <w:t>внештатный</w:t>
      </w:r>
      <w:r>
        <w:rPr>
          <w:spacing w:val="37"/>
          <w:sz w:val="22"/>
        </w:rPr>
        <w:t> </w:t>
      </w:r>
      <w:r>
        <w:rPr>
          <w:sz w:val="22"/>
        </w:rPr>
        <w:t>специалист</w:t>
      </w:r>
      <w:r>
        <w:rPr>
          <w:spacing w:val="35"/>
          <w:sz w:val="22"/>
        </w:rPr>
        <w:t> </w:t>
      </w:r>
      <w:r>
        <w:rPr>
          <w:sz w:val="22"/>
        </w:rPr>
        <w:t>по</w:t>
      </w:r>
      <w:r>
        <w:rPr>
          <w:spacing w:val="37"/>
          <w:sz w:val="22"/>
        </w:rPr>
        <w:t> </w:t>
      </w:r>
      <w:r>
        <w:rPr>
          <w:sz w:val="22"/>
        </w:rPr>
        <w:t>дерматовенерологии и</w:t>
      </w:r>
      <w:r>
        <w:rPr>
          <w:spacing w:val="-7"/>
          <w:sz w:val="22"/>
        </w:rPr>
        <w:t> </w:t>
      </w:r>
      <w:r>
        <w:rPr>
          <w:sz w:val="22"/>
        </w:rPr>
        <w:t>косметологии</w:t>
      </w:r>
      <w:r>
        <w:rPr>
          <w:spacing w:val="-14"/>
          <w:sz w:val="22"/>
        </w:rPr>
        <w:t> </w:t>
      </w:r>
      <w:r>
        <w:rPr>
          <w:sz w:val="22"/>
        </w:rPr>
        <w:t>Минздрава</w:t>
      </w:r>
      <w:r>
        <w:rPr>
          <w:spacing w:val="-13"/>
          <w:sz w:val="22"/>
        </w:rPr>
        <w:t> </w:t>
      </w:r>
      <w:r>
        <w:rPr>
          <w:sz w:val="22"/>
        </w:rPr>
        <w:t>России</w:t>
      </w:r>
      <w:r>
        <w:rPr>
          <w:spacing w:val="-14"/>
          <w:sz w:val="22"/>
        </w:rPr>
        <w:t> </w:t>
      </w:r>
      <w:r>
        <w:rPr>
          <w:sz w:val="22"/>
        </w:rPr>
        <w:t>и</w:t>
      </w:r>
      <w:r>
        <w:rPr>
          <w:spacing w:val="-14"/>
          <w:sz w:val="22"/>
        </w:rPr>
        <w:t> </w:t>
      </w:r>
      <w:r>
        <w:rPr>
          <w:sz w:val="22"/>
        </w:rPr>
        <w:t>Департамента</w:t>
      </w:r>
      <w:r>
        <w:rPr>
          <w:spacing w:val="-14"/>
          <w:sz w:val="22"/>
        </w:rPr>
        <w:t> </w:t>
      </w:r>
      <w:r>
        <w:rPr>
          <w:sz w:val="22"/>
        </w:rPr>
        <w:t>здравоохранения</w:t>
      </w:r>
      <w:r>
        <w:rPr>
          <w:spacing w:val="-13"/>
          <w:sz w:val="22"/>
        </w:rPr>
        <w:t> </w:t>
      </w:r>
      <w:r>
        <w:rPr>
          <w:sz w:val="22"/>
        </w:rPr>
        <w:t>Москвы,</w:t>
      </w:r>
      <w:r>
        <w:rPr>
          <w:spacing w:val="-14"/>
          <w:sz w:val="22"/>
        </w:rPr>
        <w:t> </w:t>
      </w:r>
      <w:r>
        <w:rPr>
          <w:sz w:val="22"/>
        </w:rPr>
        <w:t>директор</w:t>
      </w:r>
      <w:r>
        <w:rPr>
          <w:spacing w:val="-13"/>
          <w:sz w:val="22"/>
        </w:rPr>
        <w:t> </w:t>
      </w:r>
      <w:r>
        <w:rPr>
          <w:sz w:val="22"/>
        </w:rPr>
        <w:t>государственного </w:t>
      </w:r>
      <w:r>
        <w:rPr>
          <w:spacing w:val="-2"/>
          <w:sz w:val="22"/>
        </w:rPr>
        <w:t>бюджетного учреждение здравоохранения «Московский научно-практический центр дерматовенерологии </w:t>
      </w:r>
      <w:r>
        <w:rPr>
          <w:sz w:val="22"/>
        </w:rPr>
        <w:t>и косметологии Департамента здравоохранения города Москвы», заведующий кафедрой кожных болезней и косметологии факультета дополнительного профессионального образования федерального государственного автономного образовательного учреждения высшего образования «Российский национальный исследовательский медицинский университет имени Н.И. Пирогова» Минздрава России</w:t>
      </w:r>
    </w:p>
    <w:p>
      <w:pPr>
        <w:spacing w:line="276" w:lineRule="auto" w:before="0"/>
        <w:ind w:left="937" w:right="704" w:firstLine="704"/>
        <w:jc w:val="both"/>
        <w:rPr>
          <w:sz w:val="22"/>
        </w:rPr>
      </w:pPr>
      <w:r>
        <w:rPr>
          <w:b/>
          <w:i/>
          <w:sz w:val="22"/>
        </w:rPr>
        <w:t>Припутневич Татьяна Валерьевна – </w:t>
      </w:r>
      <w:r>
        <w:rPr>
          <w:sz w:val="22"/>
        </w:rPr>
        <w:t>главный внештатный специалист Министерства здравоохранения по медицинской микробиологии,</w:t>
      </w:r>
      <w:r>
        <w:rPr>
          <w:spacing w:val="-1"/>
          <w:sz w:val="22"/>
        </w:rPr>
        <w:t> </w:t>
      </w:r>
      <w:r>
        <w:rPr>
          <w:sz w:val="22"/>
        </w:rPr>
        <w:t>директор</w:t>
      </w:r>
      <w:r>
        <w:rPr>
          <w:spacing w:val="-1"/>
          <w:sz w:val="22"/>
        </w:rPr>
        <w:t> </w:t>
      </w:r>
      <w:r>
        <w:rPr>
          <w:sz w:val="22"/>
        </w:rPr>
        <w:t>института</w:t>
      </w:r>
      <w:r>
        <w:rPr>
          <w:spacing w:val="-1"/>
          <w:sz w:val="22"/>
        </w:rPr>
        <w:t> </w:t>
      </w:r>
      <w:r>
        <w:rPr>
          <w:sz w:val="22"/>
        </w:rPr>
        <w:t>микробиологии,</w:t>
      </w:r>
      <w:r>
        <w:rPr>
          <w:spacing w:val="-1"/>
          <w:sz w:val="22"/>
        </w:rPr>
        <w:t> </w:t>
      </w:r>
      <w:r>
        <w:rPr>
          <w:sz w:val="22"/>
        </w:rPr>
        <w:t>антимикробной терапии и эпидемиологии федерального государственного бюджетного учреждения «Национальный медицинский исследовательский центр акушерства, гинекологии и перинатологии имени академика В.И. Кулакова» Министерства здравоохранения Российской Федерации, руководитель центра подготовки</w:t>
      </w:r>
      <w:r>
        <w:rPr>
          <w:spacing w:val="-14"/>
          <w:sz w:val="22"/>
        </w:rPr>
        <w:t> </w:t>
      </w:r>
      <w:r>
        <w:rPr>
          <w:sz w:val="22"/>
        </w:rPr>
        <w:t>медицинских</w:t>
      </w:r>
      <w:r>
        <w:rPr>
          <w:spacing w:val="-14"/>
          <w:sz w:val="22"/>
        </w:rPr>
        <w:t> </w:t>
      </w:r>
      <w:r>
        <w:rPr>
          <w:sz w:val="22"/>
        </w:rPr>
        <w:t>микробиологов</w:t>
      </w:r>
      <w:r>
        <w:rPr>
          <w:spacing w:val="-14"/>
          <w:sz w:val="22"/>
        </w:rPr>
        <w:t> </w:t>
      </w:r>
      <w:r>
        <w:rPr>
          <w:sz w:val="22"/>
        </w:rPr>
        <w:t>федерального</w:t>
      </w:r>
      <w:r>
        <w:rPr>
          <w:spacing w:val="-13"/>
          <w:sz w:val="22"/>
        </w:rPr>
        <w:t> </w:t>
      </w:r>
      <w:r>
        <w:rPr>
          <w:sz w:val="22"/>
        </w:rPr>
        <w:t>государственного</w:t>
      </w:r>
      <w:r>
        <w:rPr>
          <w:spacing w:val="-14"/>
          <w:sz w:val="22"/>
        </w:rPr>
        <w:t> </w:t>
      </w:r>
      <w:r>
        <w:rPr>
          <w:sz w:val="22"/>
        </w:rPr>
        <w:t>бюджетного</w:t>
      </w:r>
      <w:r>
        <w:rPr>
          <w:spacing w:val="-14"/>
          <w:sz w:val="22"/>
        </w:rPr>
        <w:t> </w:t>
      </w:r>
      <w:r>
        <w:rPr>
          <w:sz w:val="22"/>
        </w:rPr>
        <w:t>образовательного учреждения дополнительного профессионального образования "Российская медицинская академия непрерывного</w:t>
      </w:r>
      <w:r>
        <w:rPr>
          <w:spacing w:val="-14"/>
          <w:sz w:val="22"/>
        </w:rPr>
        <w:t> </w:t>
      </w:r>
      <w:r>
        <w:rPr>
          <w:sz w:val="22"/>
        </w:rPr>
        <w:t>профессионального</w:t>
      </w:r>
      <w:r>
        <w:rPr>
          <w:spacing w:val="-14"/>
          <w:sz w:val="22"/>
        </w:rPr>
        <w:t> </w:t>
      </w:r>
      <w:r>
        <w:rPr>
          <w:sz w:val="22"/>
        </w:rPr>
        <w:t>образования"</w:t>
      </w:r>
      <w:r>
        <w:rPr>
          <w:spacing w:val="-14"/>
          <w:sz w:val="22"/>
        </w:rPr>
        <w:t> </w:t>
      </w:r>
      <w:r>
        <w:rPr>
          <w:sz w:val="22"/>
        </w:rPr>
        <w:t>Министерства</w:t>
      </w:r>
      <w:r>
        <w:rPr>
          <w:spacing w:val="-13"/>
          <w:sz w:val="22"/>
        </w:rPr>
        <w:t> </w:t>
      </w:r>
      <w:r>
        <w:rPr>
          <w:sz w:val="22"/>
        </w:rPr>
        <w:t>здравоохранения</w:t>
      </w:r>
      <w:r>
        <w:rPr>
          <w:spacing w:val="-14"/>
          <w:sz w:val="22"/>
        </w:rPr>
        <w:t> </w:t>
      </w:r>
      <w:r>
        <w:rPr>
          <w:sz w:val="22"/>
        </w:rPr>
        <w:t>Российской</w:t>
      </w:r>
      <w:r>
        <w:rPr>
          <w:spacing w:val="-14"/>
          <w:sz w:val="22"/>
        </w:rPr>
        <w:t> </w:t>
      </w:r>
      <w:r>
        <w:rPr>
          <w:sz w:val="22"/>
        </w:rPr>
        <w:t>Федерации, профессор кафедры микробиологии и вирусологии Педиатрического факультета федерального государственного</w:t>
      </w:r>
      <w:r>
        <w:rPr>
          <w:spacing w:val="40"/>
          <w:sz w:val="22"/>
        </w:rPr>
        <w:t>  </w:t>
      </w:r>
      <w:r>
        <w:rPr>
          <w:sz w:val="22"/>
        </w:rPr>
        <w:t>автономного</w:t>
      </w:r>
      <w:r>
        <w:rPr>
          <w:spacing w:val="40"/>
          <w:sz w:val="22"/>
        </w:rPr>
        <w:t>  </w:t>
      </w:r>
      <w:r>
        <w:rPr>
          <w:sz w:val="22"/>
        </w:rPr>
        <w:t>образовательного</w:t>
      </w:r>
      <w:r>
        <w:rPr>
          <w:spacing w:val="40"/>
          <w:sz w:val="22"/>
        </w:rPr>
        <w:t>  </w:t>
      </w:r>
      <w:r>
        <w:rPr>
          <w:sz w:val="22"/>
        </w:rPr>
        <w:t>учреждения</w:t>
      </w:r>
      <w:r>
        <w:rPr>
          <w:spacing w:val="40"/>
          <w:sz w:val="22"/>
        </w:rPr>
        <w:t>  </w:t>
      </w:r>
      <w:r>
        <w:rPr>
          <w:sz w:val="22"/>
        </w:rPr>
        <w:t>высшего</w:t>
      </w:r>
      <w:r>
        <w:rPr>
          <w:spacing w:val="40"/>
          <w:sz w:val="22"/>
        </w:rPr>
        <w:t>  </w:t>
      </w:r>
      <w:r>
        <w:rPr>
          <w:sz w:val="22"/>
        </w:rPr>
        <w:t>образования</w:t>
      </w:r>
      <w:r>
        <w:rPr>
          <w:spacing w:val="40"/>
          <w:sz w:val="22"/>
        </w:rPr>
        <w:t> </w:t>
      </w:r>
      <w:r>
        <w:rPr>
          <w:sz w:val="22"/>
        </w:rPr>
        <w:t>"Российский национальный исследовательский медицинский университет имени Н.И. Пирогова" Министерства здравоохранения Российской Федерации.</w:t>
      </w:r>
    </w:p>
    <w:p>
      <w:pPr>
        <w:spacing w:line="276" w:lineRule="auto" w:before="0"/>
        <w:ind w:left="937" w:right="704" w:firstLine="704"/>
        <w:jc w:val="both"/>
        <w:rPr>
          <w:sz w:val="22"/>
        </w:rPr>
      </w:pPr>
      <w:r>
        <w:rPr>
          <w:b/>
          <w:i/>
          <w:sz w:val="22"/>
        </w:rPr>
        <w:t>Проценко Денис Николаевич – </w:t>
      </w:r>
      <w:r>
        <w:rPr>
          <w:sz w:val="22"/>
        </w:rPr>
        <w:t>главный внештатный специалист по анестезиологии- реаниматологии Департамента здравоохранения города Москвы, Главный врач ГБУЗ «Городская клиническая</w:t>
      </w:r>
      <w:r>
        <w:rPr>
          <w:spacing w:val="-13"/>
          <w:sz w:val="22"/>
        </w:rPr>
        <w:t> </w:t>
      </w:r>
      <w:r>
        <w:rPr>
          <w:sz w:val="22"/>
        </w:rPr>
        <w:t>больница</w:t>
      </w:r>
      <w:r>
        <w:rPr>
          <w:spacing w:val="-14"/>
          <w:sz w:val="22"/>
        </w:rPr>
        <w:t> </w:t>
      </w:r>
      <w:r>
        <w:rPr>
          <w:sz w:val="22"/>
        </w:rPr>
        <w:t>№</w:t>
      </w:r>
      <w:r>
        <w:rPr>
          <w:spacing w:val="-13"/>
          <w:sz w:val="22"/>
        </w:rPr>
        <w:t> </w:t>
      </w:r>
      <w:r>
        <w:rPr>
          <w:sz w:val="22"/>
        </w:rPr>
        <w:t>40</w:t>
      </w:r>
      <w:r>
        <w:rPr>
          <w:spacing w:val="-12"/>
          <w:sz w:val="22"/>
        </w:rPr>
        <w:t> </w:t>
      </w:r>
      <w:r>
        <w:rPr>
          <w:sz w:val="22"/>
        </w:rPr>
        <w:t>Департамента</w:t>
      </w:r>
      <w:r>
        <w:rPr>
          <w:spacing w:val="-12"/>
          <w:sz w:val="22"/>
        </w:rPr>
        <w:t> </w:t>
      </w:r>
      <w:r>
        <w:rPr>
          <w:sz w:val="22"/>
        </w:rPr>
        <w:t>здравоохранения</w:t>
      </w:r>
      <w:r>
        <w:rPr>
          <w:spacing w:val="-12"/>
          <w:sz w:val="22"/>
        </w:rPr>
        <w:t> </w:t>
      </w:r>
      <w:r>
        <w:rPr>
          <w:sz w:val="22"/>
        </w:rPr>
        <w:t>г.Москвы»,</w:t>
      </w:r>
      <w:r>
        <w:rPr>
          <w:spacing w:val="-14"/>
          <w:sz w:val="22"/>
        </w:rPr>
        <w:t> </w:t>
      </w:r>
      <w:r>
        <w:rPr>
          <w:sz w:val="22"/>
        </w:rPr>
        <w:t>доцент</w:t>
      </w:r>
      <w:r>
        <w:rPr>
          <w:spacing w:val="-12"/>
          <w:sz w:val="22"/>
        </w:rPr>
        <w:t> </w:t>
      </w:r>
      <w:r>
        <w:rPr>
          <w:sz w:val="22"/>
        </w:rPr>
        <w:t>кафедры</w:t>
      </w:r>
      <w:r>
        <w:rPr>
          <w:spacing w:val="-13"/>
          <w:sz w:val="22"/>
        </w:rPr>
        <w:t> </w:t>
      </w:r>
      <w:r>
        <w:rPr>
          <w:sz w:val="22"/>
        </w:rPr>
        <w:t>анестезиологии и</w:t>
      </w:r>
      <w:r>
        <w:rPr>
          <w:spacing w:val="-1"/>
          <w:sz w:val="22"/>
        </w:rPr>
        <w:t> </w:t>
      </w:r>
      <w:r>
        <w:rPr>
          <w:sz w:val="22"/>
        </w:rPr>
        <w:t>реаниматологии</w:t>
      </w:r>
      <w:r>
        <w:rPr>
          <w:spacing w:val="-1"/>
          <w:sz w:val="22"/>
        </w:rPr>
        <w:t> </w:t>
      </w:r>
      <w:r>
        <w:rPr>
          <w:sz w:val="22"/>
        </w:rPr>
        <w:t>федерального</w:t>
      </w:r>
      <w:r>
        <w:rPr>
          <w:spacing w:val="-1"/>
          <w:sz w:val="22"/>
        </w:rPr>
        <w:t> </w:t>
      </w:r>
      <w:r>
        <w:rPr>
          <w:sz w:val="22"/>
        </w:rPr>
        <w:t>государственного</w:t>
      </w:r>
      <w:r>
        <w:rPr>
          <w:spacing w:val="-3"/>
          <w:sz w:val="22"/>
        </w:rPr>
        <w:t> </w:t>
      </w:r>
      <w:r>
        <w:rPr>
          <w:sz w:val="22"/>
        </w:rPr>
        <w:t>автономного</w:t>
      </w:r>
      <w:r>
        <w:rPr>
          <w:spacing w:val="-1"/>
          <w:sz w:val="22"/>
        </w:rPr>
        <w:t> </w:t>
      </w:r>
      <w:r>
        <w:rPr>
          <w:sz w:val="22"/>
        </w:rPr>
        <w:t>образовательного</w:t>
      </w:r>
      <w:r>
        <w:rPr>
          <w:spacing w:val="-1"/>
          <w:sz w:val="22"/>
        </w:rPr>
        <w:t> </w:t>
      </w:r>
      <w:r>
        <w:rPr>
          <w:sz w:val="22"/>
        </w:rPr>
        <w:t>учреждения</w:t>
      </w:r>
      <w:r>
        <w:rPr>
          <w:spacing w:val="-1"/>
          <w:sz w:val="22"/>
        </w:rPr>
        <w:t> </w:t>
      </w:r>
      <w:r>
        <w:rPr>
          <w:sz w:val="22"/>
        </w:rPr>
        <w:t>высшего образования «Российский национальный исследовательский медицинский университет имени Н.И. Пирогова» Минздрава России</w:t>
      </w:r>
    </w:p>
    <w:p>
      <w:pPr>
        <w:spacing w:line="276" w:lineRule="auto" w:before="0"/>
        <w:ind w:left="937" w:right="706" w:firstLine="704"/>
        <w:jc w:val="both"/>
        <w:rPr>
          <w:sz w:val="22"/>
        </w:rPr>
      </w:pPr>
      <w:r>
        <w:rPr>
          <w:b/>
          <w:i/>
          <w:sz w:val="22"/>
        </w:rPr>
        <w:t>Пушкарь</w:t>
      </w:r>
      <w:r>
        <w:rPr>
          <w:b/>
          <w:i/>
          <w:spacing w:val="-4"/>
          <w:sz w:val="22"/>
        </w:rPr>
        <w:t> </w:t>
      </w:r>
      <w:r>
        <w:rPr>
          <w:b/>
          <w:i/>
          <w:sz w:val="22"/>
        </w:rPr>
        <w:t>Дмитрий</w:t>
      </w:r>
      <w:r>
        <w:rPr>
          <w:b/>
          <w:i/>
          <w:spacing w:val="-7"/>
          <w:sz w:val="22"/>
        </w:rPr>
        <w:t> </w:t>
      </w:r>
      <w:r>
        <w:rPr>
          <w:b/>
          <w:i/>
          <w:sz w:val="22"/>
        </w:rPr>
        <w:t>Юрьевич</w:t>
      </w:r>
      <w:r>
        <w:rPr>
          <w:b/>
          <w:i/>
          <w:spacing w:val="-4"/>
          <w:sz w:val="22"/>
        </w:rPr>
        <w:t> </w:t>
      </w:r>
      <w:r>
        <w:rPr>
          <w:b/>
          <w:i/>
          <w:sz w:val="22"/>
        </w:rPr>
        <w:t>–</w:t>
      </w:r>
      <w:r>
        <w:rPr>
          <w:b/>
          <w:i/>
          <w:spacing w:val="-7"/>
          <w:sz w:val="22"/>
        </w:rPr>
        <w:t> </w:t>
      </w:r>
      <w:r>
        <w:rPr>
          <w:sz w:val="22"/>
        </w:rPr>
        <w:t>главный</w:t>
      </w:r>
      <w:r>
        <w:rPr>
          <w:spacing w:val="-7"/>
          <w:sz w:val="22"/>
        </w:rPr>
        <w:t> </w:t>
      </w:r>
      <w:r>
        <w:rPr>
          <w:sz w:val="22"/>
        </w:rPr>
        <w:t>внештатный</w:t>
      </w:r>
      <w:r>
        <w:rPr>
          <w:spacing w:val="-4"/>
          <w:sz w:val="22"/>
        </w:rPr>
        <w:t> </w:t>
      </w:r>
      <w:r>
        <w:rPr>
          <w:sz w:val="22"/>
        </w:rPr>
        <w:t>уролог</w:t>
      </w:r>
      <w:r>
        <w:rPr>
          <w:spacing w:val="-6"/>
          <w:sz w:val="22"/>
        </w:rPr>
        <w:t> </w:t>
      </w:r>
      <w:r>
        <w:rPr>
          <w:sz w:val="22"/>
        </w:rPr>
        <w:t>Минздрава</w:t>
      </w:r>
      <w:r>
        <w:rPr>
          <w:spacing w:val="-6"/>
          <w:sz w:val="22"/>
        </w:rPr>
        <w:t> </w:t>
      </w:r>
      <w:r>
        <w:rPr>
          <w:sz w:val="22"/>
        </w:rPr>
        <w:t>России,</w:t>
      </w:r>
      <w:r>
        <w:rPr>
          <w:spacing w:val="-4"/>
          <w:sz w:val="22"/>
        </w:rPr>
        <w:t> </w:t>
      </w:r>
      <w:r>
        <w:rPr>
          <w:sz w:val="22"/>
        </w:rPr>
        <w:t>главный</w:t>
      </w:r>
      <w:r>
        <w:rPr>
          <w:spacing w:val="-4"/>
          <w:sz w:val="22"/>
        </w:rPr>
        <w:t> </w:t>
      </w:r>
      <w:r>
        <w:rPr>
          <w:sz w:val="22"/>
        </w:rPr>
        <w:t>уролог Департамента здравоохранения города Москвы, заведующий кафедрой урологии Московского государственного медико-стоматологического университета им. А.И. Евдокимова</w:t>
      </w:r>
    </w:p>
    <w:p>
      <w:pPr>
        <w:spacing w:line="276" w:lineRule="auto" w:before="0"/>
        <w:ind w:left="937" w:right="703" w:firstLine="704"/>
        <w:jc w:val="both"/>
        <w:rPr>
          <w:sz w:val="22"/>
        </w:rPr>
      </w:pPr>
      <w:r>
        <w:rPr>
          <w:b/>
          <w:i/>
          <w:sz w:val="22"/>
        </w:rPr>
        <w:t>Пшеничная Наталья Юрьевна – </w:t>
      </w:r>
      <w:r>
        <w:rPr>
          <w:sz w:val="22"/>
        </w:rPr>
        <w:t>заместитель директора по клинико-аналитической работе федерального бюджетного учреждения науки «Центральный научно-исследовательский институт эпидемиологии» Федеральной службы по надзору в сфере защиты прав потребителей и благополучия </w:t>
      </w:r>
      <w:r>
        <w:rPr>
          <w:spacing w:val="-2"/>
          <w:sz w:val="22"/>
        </w:rPr>
        <w:t>человека</w:t>
      </w:r>
    </w:p>
    <w:p>
      <w:pPr>
        <w:pStyle w:val="BodyText"/>
        <w:spacing w:before="17"/>
        <w:ind w:left="0"/>
        <w:jc w:val="left"/>
        <w:rPr>
          <w:sz w:val="22"/>
        </w:rPr>
      </w:pPr>
    </w:p>
    <w:p>
      <w:pPr>
        <w:spacing w:before="0"/>
        <w:ind w:left="140" w:right="0" w:firstLine="0"/>
        <w:jc w:val="center"/>
        <w:rPr>
          <w:rFonts w:ascii="Calibri"/>
          <w:sz w:val="22"/>
        </w:rPr>
      </w:pPr>
      <w:r>
        <w:rPr>
          <w:rFonts w:ascii="Calibri"/>
          <w:spacing w:val="-5"/>
          <w:sz w:val="22"/>
        </w:rPr>
        <w:t>242</w:t>
      </w:r>
    </w:p>
    <w:p>
      <w:pPr>
        <w:spacing w:before="2"/>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spacing w:line="276" w:lineRule="auto" w:before="65"/>
        <w:ind w:left="937" w:right="709" w:firstLine="704"/>
        <w:jc w:val="both"/>
        <w:rPr>
          <w:sz w:val="22"/>
        </w:rPr>
      </w:pPr>
      <w:bookmarkStart w:name="244" w:id="291"/>
      <w:bookmarkEnd w:id="291"/>
      <w:r>
        <w:rPr/>
      </w:r>
      <w:r>
        <w:rPr>
          <w:b/>
          <w:i/>
          <w:sz w:val="22"/>
        </w:rPr>
        <w:t>Ревишвили Амиран Шотаевич – </w:t>
      </w:r>
      <w:r>
        <w:rPr>
          <w:sz w:val="22"/>
        </w:rPr>
        <w:t>главный внештатный хирург Минздрава России, директор федерального государственного бюджетного учреждения «Национальный медицинский исследовательский центр хирургии им. А.В. Вишневского» Минздрава России</w:t>
      </w:r>
    </w:p>
    <w:p>
      <w:pPr>
        <w:spacing w:line="276" w:lineRule="auto" w:before="0"/>
        <w:ind w:left="937" w:right="704" w:firstLine="704"/>
        <w:jc w:val="both"/>
        <w:rPr>
          <w:sz w:val="22"/>
        </w:rPr>
      </w:pPr>
      <w:r>
        <w:rPr>
          <w:b/>
          <w:i/>
          <w:sz w:val="22"/>
        </w:rPr>
        <w:t>Родин Александр Анатольевич – </w:t>
      </w:r>
      <w:r>
        <w:rPr>
          <w:sz w:val="22"/>
        </w:rPr>
        <w:t>заведующий отделением лучевой диагностики федерального государственного бюджетного учреждения «Национальный медицинский исследовательский центр фтизиопульмонологии и инфекционных заболеваний» Минздрава России</w:t>
      </w:r>
    </w:p>
    <w:p>
      <w:pPr>
        <w:spacing w:line="278" w:lineRule="auto" w:before="0"/>
        <w:ind w:left="937" w:right="701" w:firstLine="704"/>
        <w:jc w:val="both"/>
        <w:rPr>
          <w:sz w:val="22"/>
        </w:rPr>
      </w:pPr>
      <w:r>
        <w:rPr>
          <w:b/>
          <w:i/>
          <w:sz w:val="22"/>
        </w:rPr>
        <w:t>Романов Владимир Васильевич </w:t>
      </w:r>
      <w:r>
        <w:rPr>
          <w:b/>
          <w:sz w:val="22"/>
        </w:rPr>
        <w:t>– </w:t>
      </w:r>
      <w:r>
        <w:rPr>
          <w:sz w:val="22"/>
        </w:rPr>
        <w:t>заместитель руководителя Федерального медико- биологического агентства</w:t>
      </w:r>
    </w:p>
    <w:p>
      <w:pPr>
        <w:spacing w:line="276" w:lineRule="auto" w:before="0"/>
        <w:ind w:left="937" w:right="705" w:firstLine="704"/>
        <w:jc w:val="both"/>
        <w:rPr>
          <w:sz w:val="22"/>
        </w:rPr>
      </w:pPr>
      <w:r>
        <w:rPr>
          <w:b/>
          <w:i/>
          <w:sz w:val="22"/>
        </w:rPr>
        <w:t>Рошаль</w:t>
      </w:r>
      <w:r>
        <w:rPr>
          <w:b/>
          <w:i/>
          <w:spacing w:val="-11"/>
          <w:sz w:val="22"/>
        </w:rPr>
        <w:t> </w:t>
      </w:r>
      <w:r>
        <w:rPr>
          <w:b/>
          <w:i/>
          <w:sz w:val="22"/>
        </w:rPr>
        <w:t>Леонид</w:t>
      </w:r>
      <w:r>
        <w:rPr>
          <w:b/>
          <w:i/>
          <w:spacing w:val="-13"/>
          <w:sz w:val="22"/>
        </w:rPr>
        <w:t> </w:t>
      </w:r>
      <w:r>
        <w:rPr>
          <w:b/>
          <w:i/>
          <w:sz w:val="22"/>
        </w:rPr>
        <w:t>Михайлович</w:t>
      </w:r>
      <w:r>
        <w:rPr>
          <w:b/>
          <w:i/>
          <w:spacing w:val="-11"/>
          <w:sz w:val="22"/>
        </w:rPr>
        <w:t> </w:t>
      </w:r>
      <w:r>
        <w:rPr>
          <w:b/>
          <w:i/>
          <w:sz w:val="22"/>
        </w:rPr>
        <w:t>–</w:t>
      </w:r>
      <w:r>
        <w:rPr>
          <w:b/>
          <w:i/>
          <w:spacing w:val="-11"/>
          <w:sz w:val="22"/>
        </w:rPr>
        <w:t> </w:t>
      </w:r>
      <w:r>
        <w:rPr>
          <w:sz w:val="22"/>
        </w:rPr>
        <w:t>президент</w:t>
      </w:r>
      <w:r>
        <w:rPr>
          <w:spacing w:val="-12"/>
          <w:sz w:val="22"/>
        </w:rPr>
        <w:t> </w:t>
      </w:r>
      <w:r>
        <w:rPr>
          <w:sz w:val="22"/>
        </w:rPr>
        <w:t>ГБУЗ</w:t>
      </w:r>
      <w:r>
        <w:rPr>
          <w:spacing w:val="-13"/>
          <w:sz w:val="22"/>
        </w:rPr>
        <w:t> </w:t>
      </w:r>
      <w:r>
        <w:rPr>
          <w:sz w:val="22"/>
        </w:rPr>
        <w:t>г.</w:t>
      </w:r>
      <w:r>
        <w:rPr>
          <w:spacing w:val="-13"/>
          <w:sz w:val="22"/>
        </w:rPr>
        <w:t> </w:t>
      </w:r>
      <w:r>
        <w:rPr>
          <w:sz w:val="22"/>
        </w:rPr>
        <w:t>Москвы</w:t>
      </w:r>
      <w:r>
        <w:rPr>
          <w:spacing w:val="-10"/>
          <w:sz w:val="22"/>
        </w:rPr>
        <w:t> </w:t>
      </w:r>
      <w:r>
        <w:rPr>
          <w:sz w:val="22"/>
        </w:rPr>
        <w:t>«Научно-исследовательский</w:t>
      </w:r>
      <w:r>
        <w:rPr>
          <w:spacing w:val="-11"/>
          <w:sz w:val="22"/>
        </w:rPr>
        <w:t> </w:t>
      </w:r>
      <w:r>
        <w:rPr>
          <w:sz w:val="22"/>
        </w:rPr>
        <w:t>институт неотложной детской хирургии и травматологии» Департамента здравоохранения г. Москвы, президент Национальной медицинской палаты</w:t>
      </w:r>
    </w:p>
    <w:p>
      <w:pPr>
        <w:spacing w:line="276" w:lineRule="auto" w:before="0"/>
        <w:ind w:left="937" w:right="707" w:firstLine="704"/>
        <w:jc w:val="both"/>
        <w:rPr>
          <w:sz w:val="22"/>
        </w:rPr>
      </w:pPr>
      <w:r>
        <w:rPr>
          <w:b/>
          <w:i/>
          <w:sz w:val="22"/>
        </w:rPr>
        <w:t>Русских</w:t>
      </w:r>
      <w:r>
        <w:rPr>
          <w:b/>
          <w:i/>
          <w:spacing w:val="-1"/>
          <w:sz w:val="22"/>
        </w:rPr>
        <w:t> </w:t>
      </w:r>
      <w:r>
        <w:rPr>
          <w:b/>
          <w:i/>
          <w:sz w:val="22"/>
        </w:rPr>
        <w:t>Анастасия</w:t>
      </w:r>
      <w:r>
        <w:rPr>
          <w:b/>
          <w:i/>
          <w:spacing w:val="-2"/>
          <w:sz w:val="22"/>
        </w:rPr>
        <w:t> </w:t>
      </w:r>
      <w:r>
        <w:rPr>
          <w:b/>
          <w:i/>
          <w:sz w:val="22"/>
        </w:rPr>
        <w:t>Евгеньевна </w:t>
      </w:r>
      <w:r>
        <w:rPr>
          <w:sz w:val="22"/>
        </w:rPr>
        <w:t>–</w:t>
      </w:r>
      <w:r>
        <w:rPr>
          <w:spacing w:val="-1"/>
          <w:sz w:val="22"/>
        </w:rPr>
        <w:t> </w:t>
      </w:r>
      <w:r>
        <w:rPr>
          <w:sz w:val="22"/>
        </w:rPr>
        <w:t>научный</w:t>
      </w:r>
      <w:r>
        <w:rPr>
          <w:spacing w:val="-1"/>
          <w:sz w:val="22"/>
        </w:rPr>
        <w:t> </w:t>
      </w:r>
      <w:r>
        <w:rPr>
          <w:sz w:val="22"/>
        </w:rPr>
        <w:t>сотрудник отдела дифференциальной</w:t>
      </w:r>
      <w:r>
        <w:rPr>
          <w:spacing w:val="-1"/>
          <w:sz w:val="22"/>
        </w:rPr>
        <w:t> </w:t>
      </w:r>
      <w:r>
        <w:rPr>
          <w:sz w:val="22"/>
        </w:rPr>
        <w:t>диагностики</w:t>
      </w:r>
      <w:r>
        <w:rPr>
          <w:spacing w:val="-1"/>
          <w:sz w:val="22"/>
        </w:rPr>
        <w:t> </w:t>
      </w:r>
      <w:r>
        <w:rPr>
          <w:sz w:val="22"/>
        </w:rPr>
        <w:t>и лечения туберкулеза и сочетанных инфекций федерального государственного бюджетного учреждения</w:t>
      </w:r>
    </w:p>
    <w:p>
      <w:pPr>
        <w:spacing w:line="276" w:lineRule="auto" w:before="0"/>
        <w:ind w:left="937" w:right="709" w:firstLine="0"/>
        <w:jc w:val="both"/>
        <w:rPr>
          <w:sz w:val="22"/>
        </w:rPr>
      </w:pPr>
      <w:r>
        <w:rPr>
          <w:sz w:val="22"/>
        </w:rPr>
        <w:t>«Национальный медицинский исследовательский центр фтизиопульмонологии и инфекционных заболеваний» Минздрава России</w:t>
      </w:r>
    </w:p>
    <w:p>
      <w:pPr>
        <w:pStyle w:val="BodyText"/>
        <w:ind w:left="821"/>
        <w:jc w:val="left"/>
        <w:rPr>
          <w:sz w:val="20"/>
        </w:rPr>
      </w:pPr>
      <w:r>
        <w:rPr>
          <w:sz w:val="20"/>
        </w:rPr>
        <mc:AlternateContent>
          <mc:Choice Requires="wps">
            <w:drawing>
              <wp:inline distT="0" distB="0" distL="0" distR="0">
                <wp:extent cx="6391910" cy="585470"/>
                <wp:effectExtent l="9525" t="0" r="0" b="5079"/>
                <wp:docPr id="117" name="Textbox 117"/>
                <wp:cNvGraphicFramePr>
                  <a:graphicFrameLocks/>
                </wp:cNvGraphicFramePr>
                <a:graphic>
                  <a:graphicData uri="http://schemas.microsoft.com/office/word/2010/wordprocessingShape">
                    <wps:wsp>
                      <wps:cNvPr id="117" name="Textbox 117"/>
                      <wps:cNvSpPr txBox="1"/>
                      <wps:spPr>
                        <a:xfrm>
                          <a:off x="0" y="0"/>
                          <a:ext cx="6391910" cy="585470"/>
                        </a:xfrm>
                        <a:prstGeom prst="rect">
                          <a:avLst/>
                        </a:prstGeom>
                        <a:ln w="6096">
                          <a:solidFill>
                            <a:srgbClr val="000000"/>
                          </a:solidFill>
                          <a:prstDash val="solid"/>
                        </a:ln>
                      </wps:spPr>
                      <wps:txbx>
                        <w:txbxContent>
                          <w:p>
                            <w:pPr>
                              <w:tabs>
                                <w:tab w:pos="1125" w:val="left" w:leader="none"/>
                                <w:tab w:pos="2625" w:val="left" w:leader="none"/>
                                <w:tab w:pos="3787" w:val="left" w:leader="none"/>
                                <w:tab w:pos="5381" w:val="left" w:leader="none"/>
                                <w:tab w:pos="7347" w:val="left" w:leader="none"/>
                                <w:tab w:pos="8808" w:val="left" w:leader="none"/>
                              </w:tabs>
                              <w:spacing w:line="276" w:lineRule="auto" w:before="30"/>
                              <w:ind w:left="106" w:right="116" w:firstLine="704"/>
                              <w:jc w:val="left"/>
                              <w:rPr>
                                <w:sz w:val="22"/>
                              </w:rPr>
                            </w:pPr>
                            <w:r>
                              <w:rPr>
                                <w:b/>
                                <w:i/>
                                <w:sz w:val="22"/>
                              </w:rPr>
                              <w:t>Савченко</w:t>
                            </w:r>
                            <w:r>
                              <w:rPr>
                                <w:b/>
                                <w:i/>
                                <w:spacing w:val="40"/>
                                <w:sz w:val="22"/>
                              </w:rPr>
                              <w:t> </w:t>
                            </w:r>
                            <w:r>
                              <w:rPr>
                                <w:b/>
                                <w:i/>
                                <w:sz w:val="22"/>
                              </w:rPr>
                              <w:t>Валерий</w:t>
                            </w:r>
                            <w:r>
                              <w:rPr>
                                <w:b/>
                                <w:i/>
                                <w:spacing w:val="40"/>
                                <w:sz w:val="22"/>
                              </w:rPr>
                              <w:t> </w:t>
                            </w:r>
                            <w:r>
                              <w:rPr>
                                <w:b/>
                                <w:i/>
                                <w:sz w:val="22"/>
                              </w:rPr>
                              <w:t>Григорьевич</w:t>
                            </w:r>
                            <w:r>
                              <w:rPr>
                                <w:b/>
                                <w:i/>
                                <w:spacing w:val="40"/>
                                <w:sz w:val="22"/>
                              </w:rPr>
                              <w:t> </w:t>
                            </w:r>
                            <w:r>
                              <w:rPr>
                                <w:b/>
                                <w:i/>
                                <w:sz w:val="22"/>
                              </w:rPr>
                              <w:t>–</w:t>
                            </w:r>
                            <w:r>
                              <w:rPr>
                                <w:b/>
                                <w:i/>
                                <w:spacing w:val="40"/>
                                <w:sz w:val="22"/>
                              </w:rPr>
                              <w:t> </w:t>
                            </w:r>
                            <w:r>
                              <w:rPr>
                                <w:sz w:val="22"/>
                              </w:rPr>
                              <w:t>главный</w:t>
                            </w:r>
                            <w:r>
                              <w:rPr>
                                <w:spacing w:val="40"/>
                                <w:sz w:val="22"/>
                              </w:rPr>
                              <w:t> </w:t>
                            </w:r>
                            <w:r>
                              <w:rPr>
                                <w:sz w:val="22"/>
                              </w:rPr>
                              <w:t>внештатный</w:t>
                            </w:r>
                            <w:r>
                              <w:rPr>
                                <w:spacing w:val="40"/>
                                <w:sz w:val="22"/>
                              </w:rPr>
                              <w:t> </w:t>
                            </w:r>
                            <w:r>
                              <w:rPr>
                                <w:sz w:val="22"/>
                              </w:rPr>
                              <w:t>специалист-гематолог</w:t>
                            </w:r>
                            <w:r>
                              <w:rPr>
                                <w:spacing w:val="40"/>
                                <w:sz w:val="22"/>
                              </w:rPr>
                              <w:t> </w:t>
                            </w:r>
                            <w:r>
                              <w:rPr>
                                <w:sz w:val="22"/>
                              </w:rPr>
                              <w:t>Минздрава </w:t>
                            </w:r>
                            <w:r>
                              <w:rPr>
                                <w:spacing w:val="-2"/>
                                <w:sz w:val="22"/>
                              </w:rPr>
                              <w:t>России,</w:t>
                            </w:r>
                            <w:r>
                              <w:rPr>
                                <w:sz w:val="22"/>
                              </w:rPr>
                              <w:tab/>
                            </w:r>
                            <w:r>
                              <w:rPr>
                                <w:spacing w:val="-2"/>
                                <w:sz w:val="22"/>
                              </w:rPr>
                              <w:t>генеральный</w:t>
                            </w:r>
                            <w:r>
                              <w:rPr>
                                <w:sz w:val="22"/>
                              </w:rPr>
                              <w:tab/>
                            </w:r>
                            <w:r>
                              <w:rPr>
                                <w:spacing w:val="-2"/>
                                <w:sz w:val="22"/>
                              </w:rPr>
                              <w:t>директор</w:t>
                            </w:r>
                            <w:r>
                              <w:rPr>
                                <w:sz w:val="22"/>
                              </w:rPr>
                              <w:tab/>
                            </w:r>
                            <w:r>
                              <w:rPr>
                                <w:spacing w:val="-2"/>
                                <w:sz w:val="22"/>
                              </w:rPr>
                              <w:t>федерального</w:t>
                            </w:r>
                            <w:r>
                              <w:rPr>
                                <w:sz w:val="22"/>
                              </w:rPr>
                              <w:tab/>
                            </w:r>
                            <w:r>
                              <w:rPr>
                                <w:spacing w:val="-2"/>
                                <w:sz w:val="22"/>
                              </w:rPr>
                              <w:t>государственного</w:t>
                            </w:r>
                            <w:r>
                              <w:rPr>
                                <w:sz w:val="22"/>
                              </w:rPr>
                              <w:tab/>
                            </w:r>
                            <w:r>
                              <w:rPr>
                                <w:spacing w:val="-2"/>
                                <w:sz w:val="22"/>
                              </w:rPr>
                              <w:t>бюджетного</w:t>
                            </w:r>
                            <w:r>
                              <w:rPr>
                                <w:sz w:val="22"/>
                              </w:rPr>
                              <w:tab/>
                            </w:r>
                            <w:r>
                              <w:rPr>
                                <w:spacing w:val="-2"/>
                                <w:sz w:val="22"/>
                              </w:rPr>
                              <w:t>учреждения</w:t>
                            </w:r>
                          </w:p>
                          <w:p>
                            <w:pPr>
                              <w:spacing w:line="251" w:lineRule="exact" w:before="0"/>
                              <w:ind w:left="106" w:right="0" w:firstLine="0"/>
                              <w:jc w:val="left"/>
                              <w:rPr>
                                <w:sz w:val="22"/>
                              </w:rPr>
                            </w:pPr>
                            <w:r>
                              <w:rPr>
                                <w:sz w:val="22"/>
                              </w:rPr>
                              <w:t>«Национальный</w:t>
                            </w:r>
                            <w:r>
                              <w:rPr>
                                <w:spacing w:val="-10"/>
                                <w:sz w:val="22"/>
                              </w:rPr>
                              <w:t> </w:t>
                            </w:r>
                            <w:r>
                              <w:rPr>
                                <w:sz w:val="22"/>
                              </w:rPr>
                              <w:t>медицинский</w:t>
                            </w:r>
                            <w:r>
                              <w:rPr>
                                <w:spacing w:val="-10"/>
                                <w:sz w:val="22"/>
                              </w:rPr>
                              <w:t> </w:t>
                            </w:r>
                            <w:r>
                              <w:rPr>
                                <w:sz w:val="22"/>
                              </w:rPr>
                              <w:t>исследовательский</w:t>
                            </w:r>
                            <w:r>
                              <w:rPr>
                                <w:spacing w:val="-11"/>
                                <w:sz w:val="22"/>
                              </w:rPr>
                              <w:t> </w:t>
                            </w:r>
                            <w:r>
                              <w:rPr>
                                <w:sz w:val="22"/>
                              </w:rPr>
                              <w:t>центр</w:t>
                            </w:r>
                            <w:r>
                              <w:rPr>
                                <w:spacing w:val="-9"/>
                                <w:sz w:val="22"/>
                              </w:rPr>
                              <w:t> </w:t>
                            </w:r>
                            <w:r>
                              <w:rPr>
                                <w:sz w:val="22"/>
                              </w:rPr>
                              <w:t>гематологии»</w:t>
                            </w:r>
                            <w:r>
                              <w:rPr>
                                <w:spacing w:val="-12"/>
                                <w:sz w:val="22"/>
                              </w:rPr>
                              <w:t> </w:t>
                            </w:r>
                            <w:r>
                              <w:rPr>
                                <w:sz w:val="22"/>
                              </w:rPr>
                              <w:t>Минздрава</w:t>
                            </w:r>
                            <w:r>
                              <w:rPr>
                                <w:spacing w:val="-9"/>
                                <w:sz w:val="22"/>
                              </w:rPr>
                              <w:t> </w:t>
                            </w:r>
                            <w:r>
                              <w:rPr>
                                <w:spacing w:val="-2"/>
                                <w:sz w:val="22"/>
                              </w:rPr>
                              <w:t>России</w:t>
                            </w:r>
                          </w:p>
                        </w:txbxContent>
                      </wps:txbx>
                      <wps:bodyPr wrap="square" lIns="0" tIns="0" rIns="0" bIns="0" rtlCol="0">
                        <a:noAutofit/>
                      </wps:bodyPr>
                    </wps:wsp>
                  </a:graphicData>
                </a:graphic>
              </wp:inline>
            </w:drawing>
          </mc:Choice>
          <mc:Fallback>
            <w:pict>
              <v:shape style="width:503.3pt;height:46.1pt;mso-position-horizontal-relative:char;mso-position-vertical-relative:line" type="#_x0000_t202" id="docshape93" filled="false" stroked="true" strokeweight=".48004pt" strokecolor="#000000">
                <w10:anchorlock/>
                <v:textbox inset="0,0,0,0">
                  <w:txbxContent>
                    <w:p>
                      <w:pPr>
                        <w:tabs>
                          <w:tab w:pos="1125" w:val="left" w:leader="none"/>
                          <w:tab w:pos="2625" w:val="left" w:leader="none"/>
                          <w:tab w:pos="3787" w:val="left" w:leader="none"/>
                          <w:tab w:pos="5381" w:val="left" w:leader="none"/>
                          <w:tab w:pos="7347" w:val="left" w:leader="none"/>
                          <w:tab w:pos="8808" w:val="left" w:leader="none"/>
                        </w:tabs>
                        <w:spacing w:line="276" w:lineRule="auto" w:before="30"/>
                        <w:ind w:left="106" w:right="116" w:firstLine="704"/>
                        <w:jc w:val="left"/>
                        <w:rPr>
                          <w:sz w:val="22"/>
                        </w:rPr>
                      </w:pPr>
                      <w:r>
                        <w:rPr>
                          <w:b/>
                          <w:i/>
                          <w:sz w:val="22"/>
                        </w:rPr>
                        <w:t>Савченко</w:t>
                      </w:r>
                      <w:r>
                        <w:rPr>
                          <w:b/>
                          <w:i/>
                          <w:spacing w:val="40"/>
                          <w:sz w:val="22"/>
                        </w:rPr>
                        <w:t> </w:t>
                      </w:r>
                      <w:r>
                        <w:rPr>
                          <w:b/>
                          <w:i/>
                          <w:sz w:val="22"/>
                        </w:rPr>
                        <w:t>Валерий</w:t>
                      </w:r>
                      <w:r>
                        <w:rPr>
                          <w:b/>
                          <w:i/>
                          <w:spacing w:val="40"/>
                          <w:sz w:val="22"/>
                        </w:rPr>
                        <w:t> </w:t>
                      </w:r>
                      <w:r>
                        <w:rPr>
                          <w:b/>
                          <w:i/>
                          <w:sz w:val="22"/>
                        </w:rPr>
                        <w:t>Григорьевич</w:t>
                      </w:r>
                      <w:r>
                        <w:rPr>
                          <w:b/>
                          <w:i/>
                          <w:spacing w:val="40"/>
                          <w:sz w:val="22"/>
                        </w:rPr>
                        <w:t> </w:t>
                      </w:r>
                      <w:r>
                        <w:rPr>
                          <w:b/>
                          <w:i/>
                          <w:sz w:val="22"/>
                        </w:rPr>
                        <w:t>–</w:t>
                      </w:r>
                      <w:r>
                        <w:rPr>
                          <w:b/>
                          <w:i/>
                          <w:spacing w:val="40"/>
                          <w:sz w:val="22"/>
                        </w:rPr>
                        <w:t> </w:t>
                      </w:r>
                      <w:r>
                        <w:rPr>
                          <w:sz w:val="22"/>
                        </w:rPr>
                        <w:t>главный</w:t>
                      </w:r>
                      <w:r>
                        <w:rPr>
                          <w:spacing w:val="40"/>
                          <w:sz w:val="22"/>
                        </w:rPr>
                        <w:t> </w:t>
                      </w:r>
                      <w:r>
                        <w:rPr>
                          <w:sz w:val="22"/>
                        </w:rPr>
                        <w:t>внештатный</w:t>
                      </w:r>
                      <w:r>
                        <w:rPr>
                          <w:spacing w:val="40"/>
                          <w:sz w:val="22"/>
                        </w:rPr>
                        <w:t> </w:t>
                      </w:r>
                      <w:r>
                        <w:rPr>
                          <w:sz w:val="22"/>
                        </w:rPr>
                        <w:t>специалист-гематолог</w:t>
                      </w:r>
                      <w:r>
                        <w:rPr>
                          <w:spacing w:val="40"/>
                          <w:sz w:val="22"/>
                        </w:rPr>
                        <w:t> </w:t>
                      </w:r>
                      <w:r>
                        <w:rPr>
                          <w:sz w:val="22"/>
                        </w:rPr>
                        <w:t>Минздрава </w:t>
                      </w:r>
                      <w:r>
                        <w:rPr>
                          <w:spacing w:val="-2"/>
                          <w:sz w:val="22"/>
                        </w:rPr>
                        <w:t>России,</w:t>
                      </w:r>
                      <w:r>
                        <w:rPr>
                          <w:sz w:val="22"/>
                        </w:rPr>
                        <w:tab/>
                      </w:r>
                      <w:r>
                        <w:rPr>
                          <w:spacing w:val="-2"/>
                          <w:sz w:val="22"/>
                        </w:rPr>
                        <w:t>генеральный</w:t>
                      </w:r>
                      <w:r>
                        <w:rPr>
                          <w:sz w:val="22"/>
                        </w:rPr>
                        <w:tab/>
                      </w:r>
                      <w:r>
                        <w:rPr>
                          <w:spacing w:val="-2"/>
                          <w:sz w:val="22"/>
                        </w:rPr>
                        <w:t>директор</w:t>
                      </w:r>
                      <w:r>
                        <w:rPr>
                          <w:sz w:val="22"/>
                        </w:rPr>
                        <w:tab/>
                      </w:r>
                      <w:r>
                        <w:rPr>
                          <w:spacing w:val="-2"/>
                          <w:sz w:val="22"/>
                        </w:rPr>
                        <w:t>федерального</w:t>
                      </w:r>
                      <w:r>
                        <w:rPr>
                          <w:sz w:val="22"/>
                        </w:rPr>
                        <w:tab/>
                      </w:r>
                      <w:r>
                        <w:rPr>
                          <w:spacing w:val="-2"/>
                          <w:sz w:val="22"/>
                        </w:rPr>
                        <w:t>государственного</w:t>
                      </w:r>
                      <w:r>
                        <w:rPr>
                          <w:sz w:val="22"/>
                        </w:rPr>
                        <w:tab/>
                      </w:r>
                      <w:r>
                        <w:rPr>
                          <w:spacing w:val="-2"/>
                          <w:sz w:val="22"/>
                        </w:rPr>
                        <w:t>бюджетного</w:t>
                      </w:r>
                      <w:r>
                        <w:rPr>
                          <w:sz w:val="22"/>
                        </w:rPr>
                        <w:tab/>
                      </w:r>
                      <w:r>
                        <w:rPr>
                          <w:spacing w:val="-2"/>
                          <w:sz w:val="22"/>
                        </w:rPr>
                        <w:t>учреждения</w:t>
                      </w:r>
                    </w:p>
                    <w:p>
                      <w:pPr>
                        <w:spacing w:line="251" w:lineRule="exact" w:before="0"/>
                        <w:ind w:left="106" w:right="0" w:firstLine="0"/>
                        <w:jc w:val="left"/>
                        <w:rPr>
                          <w:sz w:val="22"/>
                        </w:rPr>
                      </w:pPr>
                      <w:r>
                        <w:rPr>
                          <w:sz w:val="22"/>
                        </w:rPr>
                        <w:t>«Национальный</w:t>
                      </w:r>
                      <w:r>
                        <w:rPr>
                          <w:spacing w:val="-10"/>
                          <w:sz w:val="22"/>
                        </w:rPr>
                        <w:t> </w:t>
                      </w:r>
                      <w:r>
                        <w:rPr>
                          <w:sz w:val="22"/>
                        </w:rPr>
                        <w:t>медицинский</w:t>
                      </w:r>
                      <w:r>
                        <w:rPr>
                          <w:spacing w:val="-10"/>
                          <w:sz w:val="22"/>
                        </w:rPr>
                        <w:t> </w:t>
                      </w:r>
                      <w:r>
                        <w:rPr>
                          <w:sz w:val="22"/>
                        </w:rPr>
                        <w:t>исследовательский</w:t>
                      </w:r>
                      <w:r>
                        <w:rPr>
                          <w:spacing w:val="-11"/>
                          <w:sz w:val="22"/>
                        </w:rPr>
                        <w:t> </w:t>
                      </w:r>
                      <w:r>
                        <w:rPr>
                          <w:sz w:val="22"/>
                        </w:rPr>
                        <w:t>центр</w:t>
                      </w:r>
                      <w:r>
                        <w:rPr>
                          <w:spacing w:val="-9"/>
                          <w:sz w:val="22"/>
                        </w:rPr>
                        <w:t> </w:t>
                      </w:r>
                      <w:r>
                        <w:rPr>
                          <w:sz w:val="22"/>
                        </w:rPr>
                        <w:t>гематологии»</w:t>
                      </w:r>
                      <w:r>
                        <w:rPr>
                          <w:spacing w:val="-12"/>
                          <w:sz w:val="22"/>
                        </w:rPr>
                        <w:t> </w:t>
                      </w:r>
                      <w:r>
                        <w:rPr>
                          <w:sz w:val="22"/>
                        </w:rPr>
                        <w:t>Минздрава</w:t>
                      </w:r>
                      <w:r>
                        <w:rPr>
                          <w:spacing w:val="-9"/>
                          <w:sz w:val="22"/>
                        </w:rPr>
                        <w:t> </w:t>
                      </w:r>
                      <w:r>
                        <w:rPr>
                          <w:spacing w:val="-2"/>
                          <w:sz w:val="22"/>
                        </w:rPr>
                        <w:t>России</w:t>
                      </w:r>
                    </w:p>
                  </w:txbxContent>
                </v:textbox>
                <v:stroke dashstyle="solid"/>
              </v:shape>
            </w:pict>
          </mc:Fallback>
        </mc:AlternateContent>
      </w:r>
      <w:r>
        <w:rPr>
          <w:sz w:val="20"/>
        </w:rPr>
      </w:r>
    </w:p>
    <w:p>
      <w:pPr>
        <w:spacing w:line="276" w:lineRule="auto" w:before="0"/>
        <w:ind w:left="937" w:right="704" w:firstLine="704"/>
        <w:jc w:val="both"/>
        <w:rPr>
          <w:sz w:val="22"/>
        </w:rPr>
      </w:pPr>
      <w:r>
        <w:rPr>
          <w:b/>
          <w:i/>
          <w:sz w:val="22"/>
        </w:rPr>
        <w:t>Самойлова Анастасия Геннадьевна </w:t>
      </w:r>
      <w:r>
        <w:rPr>
          <w:sz w:val="22"/>
        </w:rPr>
        <w:t>– первый заместитель директора федерального государственного бюджетного учреждения «Национальный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849" w:right="703" w:firstLine="851"/>
        <w:jc w:val="both"/>
        <w:rPr>
          <w:sz w:val="22"/>
        </w:rPr>
      </w:pPr>
      <w:r>
        <w:rPr>
          <w:b/>
          <w:i/>
          <w:sz w:val="22"/>
        </w:rPr>
        <w:t>Семенова Наталия Владимировна – </w:t>
      </w:r>
      <w:r>
        <w:rPr>
          <w:sz w:val="22"/>
        </w:rPr>
        <w:t>заместитель директора по научно-организационной и методической работе ФГБУ «НМИЦ ПН им. В.М. Бехтерева» Минздрава России</w:t>
      </w:r>
    </w:p>
    <w:p>
      <w:pPr>
        <w:spacing w:line="276" w:lineRule="auto" w:before="0"/>
        <w:ind w:left="849" w:right="705" w:firstLine="851"/>
        <w:jc w:val="both"/>
        <w:rPr>
          <w:sz w:val="22"/>
        </w:rPr>
      </w:pPr>
      <w:r>
        <w:rPr>
          <w:b/>
          <w:i/>
          <w:sz w:val="22"/>
        </w:rPr>
        <w:t>Синицын</w:t>
      </w:r>
      <w:r>
        <w:rPr>
          <w:b/>
          <w:i/>
          <w:spacing w:val="-4"/>
          <w:sz w:val="22"/>
        </w:rPr>
        <w:t> </w:t>
      </w:r>
      <w:r>
        <w:rPr>
          <w:b/>
          <w:i/>
          <w:sz w:val="22"/>
        </w:rPr>
        <w:t>Валентин</w:t>
      </w:r>
      <w:r>
        <w:rPr>
          <w:b/>
          <w:i/>
          <w:spacing w:val="-4"/>
          <w:sz w:val="22"/>
        </w:rPr>
        <w:t> </w:t>
      </w:r>
      <w:r>
        <w:rPr>
          <w:b/>
          <w:i/>
          <w:sz w:val="22"/>
        </w:rPr>
        <w:t>Евгеньевич</w:t>
      </w:r>
      <w:r>
        <w:rPr>
          <w:b/>
          <w:i/>
          <w:spacing w:val="-5"/>
          <w:sz w:val="22"/>
        </w:rPr>
        <w:t> </w:t>
      </w:r>
      <w:r>
        <w:rPr>
          <w:sz w:val="22"/>
        </w:rPr>
        <w:t>–</w:t>
      </w:r>
      <w:r>
        <w:rPr>
          <w:spacing w:val="-4"/>
          <w:sz w:val="22"/>
        </w:rPr>
        <w:t> </w:t>
      </w:r>
      <w:r>
        <w:rPr>
          <w:sz w:val="22"/>
        </w:rPr>
        <w:t>заведующий</w:t>
      </w:r>
      <w:r>
        <w:rPr>
          <w:spacing w:val="-5"/>
          <w:sz w:val="22"/>
        </w:rPr>
        <w:t> </w:t>
      </w:r>
      <w:r>
        <w:rPr>
          <w:sz w:val="22"/>
        </w:rPr>
        <w:t>курсом</w:t>
      </w:r>
      <w:r>
        <w:rPr>
          <w:spacing w:val="-4"/>
          <w:sz w:val="22"/>
        </w:rPr>
        <w:t> </w:t>
      </w:r>
      <w:r>
        <w:rPr>
          <w:sz w:val="22"/>
        </w:rPr>
        <w:t>лучевой</w:t>
      </w:r>
      <w:r>
        <w:rPr>
          <w:spacing w:val="-7"/>
          <w:sz w:val="22"/>
        </w:rPr>
        <w:t> </w:t>
      </w:r>
      <w:r>
        <w:rPr>
          <w:sz w:val="22"/>
        </w:rPr>
        <w:t>диагностики</w:t>
      </w:r>
      <w:r>
        <w:rPr>
          <w:spacing w:val="-10"/>
          <w:sz w:val="22"/>
        </w:rPr>
        <w:t> </w:t>
      </w:r>
      <w:r>
        <w:rPr>
          <w:sz w:val="22"/>
        </w:rPr>
        <w:t>и</w:t>
      </w:r>
      <w:r>
        <w:rPr>
          <w:spacing w:val="-4"/>
          <w:sz w:val="22"/>
        </w:rPr>
        <w:t> </w:t>
      </w:r>
      <w:r>
        <w:rPr>
          <w:sz w:val="22"/>
        </w:rPr>
        <w:t>лучевой</w:t>
      </w:r>
      <w:r>
        <w:rPr>
          <w:spacing w:val="-5"/>
          <w:sz w:val="22"/>
        </w:rPr>
        <w:t> </w:t>
      </w:r>
      <w:r>
        <w:rPr>
          <w:sz w:val="22"/>
        </w:rPr>
        <w:t>терапии факультета</w:t>
      </w:r>
      <w:r>
        <w:rPr>
          <w:spacing w:val="80"/>
          <w:w w:val="150"/>
          <w:sz w:val="22"/>
        </w:rPr>
        <w:t> </w:t>
      </w:r>
      <w:r>
        <w:rPr>
          <w:sz w:val="22"/>
        </w:rPr>
        <w:t>фундаментальной</w:t>
      </w:r>
      <w:r>
        <w:rPr>
          <w:spacing w:val="80"/>
          <w:w w:val="150"/>
          <w:sz w:val="22"/>
        </w:rPr>
        <w:t> </w:t>
      </w:r>
      <w:r>
        <w:rPr>
          <w:sz w:val="22"/>
        </w:rPr>
        <w:t>медицины</w:t>
      </w:r>
      <w:r>
        <w:rPr>
          <w:spacing w:val="80"/>
          <w:w w:val="150"/>
          <w:sz w:val="22"/>
        </w:rPr>
        <w:t> </w:t>
      </w:r>
      <w:r>
        <w:rPr>
          <w:sz w:val="22"/>
        </w:rPr>
        <w:t>Московского</w:t>
      </w:r>
      <w:r>
        <w:rPr>
          <w:spacing w:val="80"/>
          <w:w w:val="150"/>
          <w:sz w:val="22"/>
        </w:rPr>
        <w:t> </w:t>
      </w:r>
      <w:r>
        <w:rPr>
          <w:sz w:val="22"/>
        </w:rPr>
        <w:t>государственного</w:t>
      </w:r>
      <w:r>
        <w:rPr>
          <w:spacing w:val="80"/>
          <w:w w:val="150"/>
          <w:sz w:val="22"/>
        </w:rPr>
        <w:t> </w:t>
      </w:r>
      <w:r>
        <w:rPr>
          <w:sz w:val="22"/>
        </w:rPr>
        <w:t>университета</w:t>
      </w:r>
      <w:r>
        <w:rPr>
          <w:spacing w:val="80"/>
          <w:w w:val="150"/>
          <w:sz w:val="22"/>
        </w:rPr>
        <w:t> </w:t>
      </w:r>
      <w:r>
        <w:rPr>
          <w:sz w:val="22"/>
        </w:rPr>
        <w:t>имени</w:t>
      </w:r>
      <w:r>
        <w:rPr>
          <w:spacing w:val="40"/>
          <w:sz w:val="22"/>
        </w:rPr>
        <w:t> </w:t>
      </w:r>
      <w:r>
        <w:rPr>
          <w:sz w:val="22"/>
        </w:rPr>
        <w:t>М.В.</w:t>
      </w:r>
      <w:r>
        <w:rPr>
          <w:spacing w:val="-4"/>
          <w:sz w:val="22"/>
        </w:rPr>
        <w:t> </w:t>
      </w:r>
      <w:r>
        <w:rPr>
          <w:sz w:val="22"/>
        </w:rPr>
        <w:t>Ломоносова, профессор кафедры рентгенологии и радиологии федерального государственного бюджетного</w:t>
      </w:r>
      <w:r>
        <w:rPr>
          <w:spacing w:val="73"/>
          <w:sz w:val="22"/>
        </w:rPr>
        <w:t>  </w:t>
      </w:r>
      <w:r>
        <w:rPr>
          <w:sz w:val="22"/>
        </w:rPr>
        <w:t>образовательного</w:t>
      </w:r>
      <w:r>
        <w:rPr>
          <w:spacing w:val="73"/>
          <w:sz w:val="22"/>
        </w:rPr>
        <w:t>  </w:t>
      </w:r>
      <w:r>
        <w:rPr>
          <w:sz w:val="22"/>
        </w:rPr>
        <w:t>учреждения</w:t>
      </w:r>
      <w:r>
        <w:rPr>
          <w:spacing w:val="73"/>
          <w:sz w:val="22"/>
        </w:rPr>
        <w:t>  </w:t>
      </w:r>
      <w:r>
        <w:rPr>
          <w:sz w:val="22"/>
        </w:rPr>
        <w:t>дополнительного</w:t>
      </w:r>
      <w:r>
        <w:rPr>
          <w:spacing w:val="73"/>
          <w:sz w:val="22"/>
        </w:rPr>
        <w:t>  </w:t>
      </w:r>
      <w:r>
        <w:rPr>
          <w:sz w:val="22"/>
        </w:rPr>
        <w:t>профессионального</w:t>
      </w:r>
      <w:r>
        <w:rPr>
          <w:spacing w:val="73"/>
          <w:sz w:val="22"/>
        </w:rPr>
        <w:t>  </w:t>
      </w:r>
      <w:r>
        <w:rPr>
          <w:sz w:val="22"/>
        </w:rPr>
        <w:t>образования</w:t>
      </w:r>
    </w:p>
    <w:p>
      <w:pPr>
        <w:spacing w:line="252" w:lineRule="exact" w:before="0"/>
        <w:ind w:left="849" w:right="0" w:firstLine="0"/>
        <w:jc w:val="both"/>
        <w:rPr>
          <w:sz w:val="22"/>
        </w:rPr>
      </w:pPr>
      <w:r>
        <w:rPr>
          <w:sz w:val="22"/>
        </w:rPr>
        <w:t>«Российская</w:t>
      </w:r>
      <w:r>
        <w:rPr>
          <w:spacing w:val="-11"/>
          <w:sz w:val="22"/>
        </w:rPr>
        <w:t> </w:t>
      </w:r>
      <w:r>
        <w:rPr>
          <w:sz w:val="22"/>
        </w:rPr>
        <w:t>медицинская</w:t>
      </w:r>
      <w:r>
        <w:rPr>
          <w:spacing w:val="-11"/>
          <w:sz w:val="22"/>
        </w:rPr>
        <w:t> </w:t>
      </w:r>
      <w:r>
        <w:rPr>
          <w:sz w:val="22"/>
        </w:rPr>
        <w:t>академия</w:t>
      </w:r>
      <w:r>
        <w:rPr>
          <w:spacing w:val="-9"/>
          <w:sz w:val="22"/>
        </w:rPr>
        <w:t> </w:t>
      </w:r>
      <w:r>
        <w:rPr>
          <w:sz w:val="22"/>
        </w:rPr>
        <w:t>непрерывного</w:t>
      </w:r>
      <w:r>
        <w:rPr>
          <w:spacing w:val="-11"/>
          <w:sz w:val="22"/>
        </w:rPr>
        <w:t> </w:t>
      </w:r>
      <w:r>
        <w:rPr>
          <w:sz w:val="22"/>
        </w:rPr>
        <w:t>профессионального</w:t>
      </w:r>
      <w:r>
        <w:rPr>
          <w:spacing w:val="-11"/>
          <w:sz w:val="22"/>
        </w:rPr>
        <w:t> </w:t>
      </w:r>
      <w:r>
        <w:rPr>
          <w:sz w:val="22"/>
        </w:rPr>
        <w:t>образования»</w:t>
      </w:r>
      <w:r>
        <w:rPr>
          <w:spacing w:val="-8"/>
          <w:sz w:val="22"/>
        </w:rPr>
        <w:t> </w:t>
      </w:r>
      <w:r>
        <w:rPr>
          <w:sz w:val="22"/>
        </w:rPr>
        <w:t>Минздрава</w:t>
      </w:r>
      <w:r>
        <w:rPr>
          <w:spacing w:val="-8"/>
          <w:sz w:val="22"/>
        </w:rPr>
        <w:t> </w:t>
      </w:r>
      <w:r>
        <w:rPr>
          <w:spacing w:val="-2"/>
          <w:sz w:val="22"/>
        </w:rPr>
        <w:t>России</w:t>
      </w:r>
    </w:p>
    <w:p>
      <w:pPr>
        <w:spacing w:line="276" w:lineRule="auto" w:before="0"/>
        <w:ind w:left="849" w:right="706" w:firstLine="851"/>
        <w:jc w:val="both"/>
        <w:rPr>
          <w:sz w:val="22"/>
        </w:rPr>
      </w:pPr>
      <w:r>
        <w:rPr>
          <w:b/>
          <w:i/>
          <w:sz w:val="22"/>
        </w:rPr>
        <w:t>Стародубов Владимир Иванович </w:t>
      </w:r>
      <w:r>
        <w:rPr>
          <w:sz w:val="22"/>
        </w:rPr>
        <w:t>– главный внештатный специалист по медицинской статистике Минздрава России, научный руководитель федерального государственного бюджетного учреждения «Центральный научно-исследовательский институт организации и информатизации здравоохранения», академик-секретарь отделения медицинских наук РАН</w:t>
      </w:r>
    </w:p>
    <w:p>
      <w:pPr>
        <w:spacing w:line="276" w:lineRule="auto" w:before="0"/>
        <w:ind w:left="937" w:right="701" w:firstLine="704"/>
        <w:jc w:val="both"/>
        <w:rPr>
          <w:sz w:val="22"/>
        </w:rPr>
      </w:pPr>
      <w:r>
        <w:rPr>
          <w:b/>
          <w:i/>
          <w:sz w:val="22"/>
        </w:rPr>
        <w:t>Степаненко Сергей Михайлович </w:t>
      </w:r>
      <w:r>
        <w:rPr>
          <w:b/>
          <w:sz w:val="22"/>
        </w:rPr>
        <w:t>– </w:t>
      </w:r>
      <w:r>
        <w:rPr>
          <w:sz w:val="22"/>
        </w:rPr>
        <w:t>главный внештатный детский специалист-анестезиолог- реаниматолог, профессор кафедры детской хирургии педиатрического факультета федерального государственного автономного образовательного учреждения высшего образования «Российский национальный исследовательский медицинский университет имени Н.И. Пирогова» Минздрава России</w:t>
      </w:r>
    </w:p>
    <w:p>
      <w:pPr>
        <w:spacing w:line="276" w:lineRule="auto" w:before="0"/>
        <w:ind w:left="937" w:right="704" w:firstLine="704"/>
        <w:jc w:val="both"/>
        <w:rPr>
          <w:sz w:val="22"/>
        </w:rPr>
      </w:pPr>
      <w:r>
        <w:rPr>
          <w:b/>
          <w:i/>
          <w:spacing w:val="-2"/>
          <w:sz w:val="22"/>
        </w:rPr>
        <w:t>Суранова Татьяна Григорьевна </w:t>
      </w:r>
      <w:r>
        <w:rPr>
          <w:spacing w:val="-2"/>
          <w:sz w:val="22"/>
        </w:rPr>
        <w:t>– заместитель начальника управления организации медицинской </w:t>
      </w:r>
      <w:r>
        <w:rPr>
          <w:sz w:val="22"/>
        </w:rPr>
        <w:t>защиты населения от экстремальных факторов Штаба ВСМК федерального государственного бюджетного учреждения «Всероссийский центр медицины катастроф "Защита"» ФМБА России</w:t>
      </w:r>
    </w:p>
    <w:p>
      <w:pPr>
        <w:spacing w:line="276" w:lineRule="auto" w:before="0"/>
        <w:ind w:left="849" w:right="706" w:firstLine="760"/>
        <w:jc w:val="both"/>
        <w:rPr>
          <w:sz w:val="22"/>
        </w:rPr>
      </w:pPr>
      <w:r>
        <w:rPr>
          <w:b/>
          <w:i/>
          <w:sz w:val="22"/>
        </w:rPr>
        <w:t>Сухоруких</w:t>
      </w:r>
      <w:r>
        <w:rPr>
          <w:b/>
          <w:i/>
          <w:spacing w:val="-8"/>
          <w:sz w:val="22"/>
        </w:rPr>
        <w:t> </w:t>
      </w:r>
      <w:r>
        <w:rPr>
          <w:b/>
          <w:i/>
          <w:sz w:val="22"/>
        </w:rPr>
        <w:t>Ольга</w:t>
      </w:r>
      <w:r>
        <w:rPr>
          <w:b/>
          <w:i/>
          <w:spacing w:val="-8"/>
          <w:sz w:val="22"/>
        </w:rPr>
        <w:t> </w:t>
      </w:r>
      <w:r>
        <w:rPr>
          <w:b/>
          <w:i/>
          <w:sz w:val="22"/>
        </w:rPr>
        <w:t>Александровна</w:t>
      </w:r>
      <w:r>
        <w:rPr>
          <w:b/>
          <w:i/>
          <w:spacing w:val="-7"/>
          <w:sz w:val="22"/>
        </w:rPr>
        <w:t> </w:t>
      </w:r>
      <w:r>
        <w:rPr>
          <w:sz w:val="22"/>
        </w:rPr>
        <w:t>–</w:t>
      </w:r>
      <w:r>
        <w:rPr>
          <w:spacing w:val="-8"/>
          <w:sz w:val="22"/>
        </w:rPr>
        <w:t> </w:t>
      </w:r>
      <w:r>
        <w:rPr>
          <w:sz w:val="22"/>
        </w:rPr>
        <w:t>начальник</w:t>
      </w:r>
      <w:r>
        <w:rPr>
          <w:spacing w:val="-7"/>
          <w:sz w:val="22"/>
        </w:rPr>
        <w:t> </w:t>
      </w:r>
      <w:r>
        <w:rPr>
          <w:sz w:val="22"/>
        </w:rPr>
        <w:t>отдела</w:t>
      </w:r>
      <w:r>
        <w:rPr>
          <w:spacing w:val="-7"/>
          <w:sz w:val="22"/>
        </w:rPr>
        <w:t> </w:t>
      </w:r>
      <w:r>
        <w:rPr>
          <w:sz w:val="22"/>
        </w:rPr>
        <w:t>медицинского</w:t>
      </w:r>
      <w:r>
        <w:rPr>
          <w:spacing w:val="-8"/>
          <w:sz w:val="22"/>
        </w:rPr>
        <w:t> </w:t>
      </w:r>
      <w:r>
        <w:rPr>
          <w:sz w:val="22"/>
        </w:rPr>
        <w:t>обеспечения</w:t>
      </w:r>
      <w:r>
        <w:rPr>
          <w:spacing w:val="-8"/>
          <w:sz w:val="22"/>
        </w:rPr>
        <w:t> </w:t>
      </w:r>
      <w:r>
        <w:rPr>
          <w:sz w:val="22"/>
        </w:rPr>
        <w:t>стандартизации федерального государственного бюджетного учреждения «Центр экспертизы и контроля качества медицинской помощи» Минздрава России</w:t>
      </w:r>
    </w:p>
    <w:p>
      <w:pPr>
        <w:spacing w:line="276" w:lineRule="auto" w:before="0"/>
        <w:ind w:left="937" w:right="707" w:firstLine="704"/>
        <w:jc w:val="both"/>
        <w:rPr>
          <w:sz w:val="22"/>
        </w:rPr>
      </w:pPr>
      <w:r>
        <w:rPr>
          <w:b/>
          <w:i/>
          <w:sz w:val="22"/>
        </w:rPr>
        <w:t>Сычев Дмитрий Алексеевич </w:t>
      </w:r>
      <w:r>
        <w:rPr>
          <w:sz w:val="22"/>
        </w:rPr>
        <w:t>– заведующий кафедрой клинической фармакологии и терапии имени академика Б.Е. Вотчала ФГБОУ ДПО «Российская медицинская академия непрерывного профессионального образования» Минздрава России</w:t>
      </w:r>
    </w:p>
    <w:p>
      <w:pPr>
        <w:pStyle w:val="BodyText"/>
        <w:spacing w:before="244"/>
        <w:ind w:left="0"/>
        <w:jc w:val="left"/>
        <w:rPr>
          <w:sz w:val="22"/>
        </w:rPr>
      </w:pPr>
    </w:p>
    <w:p>
      <w:pPr>
        <w:spacing w:before="0"/>
        <w:ind w:left="140" w:right="0" w:firstLine="0"/>
        <w:jc w:val="center"/>
        <w:rPr>
          <w:rFonts w:ascii="Calibri"/>
          <w:sz w:val="22"/>
        </w:rPr>
      </w:pPr>
      <w:r>
        <w:rPr>
          <w:rFonts w:ascii="Calibri"/>
          <w:spacing w:val="-5"/>
          <w:sz w:val="22"/>
        </w:rPr>
        <w:t>243</w:t>
      </w:r>
    </w:p>
    <w:p>
      <w:pPr>
        <w:spacing w:before="2"/>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spacing w:line="276" w:lineRule="auto" w:before="65"/>
        <w:ind w:left="937" w:right="702" w:firstLine="704"/>
        <w:jc w:val="both"/>
        <w:rPr>
          <w:sz w:val="22"/>
        </w:rPr>
      </w:pPr>
      <w:bookmarkStart w:name="245" w:id="292"/>
      <w:bookmarkEnd w:id="292"/>
      <w:r>
        <w:rPr/>
      </w:r>
      <w:r>
        <w:rPr>
          <w:b/>
          <w:i/>
          <w:sz w:val="22"/>
        </w:rPr>
        <w:t>Ткачева Ольга Николаевна – </w:t>
      </w:r>
      <w:r>
        <w:rPr>
          <w:sz w:val="22"/>
        </w:rPr>
        <w:t>главный внештатный специалист-гериатр Минздрава России, директор обособленного структурного подразделения «Российский геронтологический научно- клинический центр» федерального государственного автономного образовательного учреждения высшего образования «Российский национальный исследовательский медицинский университет имени Н.И. Пирогова» Минздрава России</w:t>
      </w:r>
    </w:p>
    <w:p>
      <w:pPr>
        <w:spacing w:line="251" w:lineRule="exact" w:before="0"/>
        <w:ind w:left="1642" w:right="0" w:firstLine="0"/>
        <w:jc w:val="both"/>
        <w:rPr>
          <w:sz w:val="22"/>
        </w:rPr>
      </w:pPr>
      <w:r>
        <w:rPr>
          <w:b/>
          <w:i/>
          <w:sz w:val="22"/>
        </w:rPr>
        <w:t>Трагира</w:t>
      </w:r>
      <w:r>
        <w:rPr>
          <w:b/>
          <w:i/>
          <w:spacing w:val="23"/>
          <w:sz w:val="22"/>
        </w:rPr>
        <w:t> </w:t>
      </w:r>
      <w:r>
        <w:rPr>
          <w:b/>
          <w:i/>
          <w:sz w:val="22"/>
        </w:rPr>
        <w:t>Ирина</w:t>
      </w:r>
      <w:r>
        <w:rPr>
          <w:b/>
          <w:i/>
          <w:spacing w:val="23"/>
          <w:sz w:val="22"/>
        </w:rPr>
        <w:t> </w:t>
      </w:r>
      <w:r>
        <w:rPr>
          <w:b/>
          <w:i/>
          <w:sz w:val="22"/>
        </w:rPr>
        <w:t>Николаевна</w:t>
      </w:r>
      <w:r>
        <w:rPr>
          <w:b/>
          <w:i/>
          <w:spacing w:val="27"/>
          <w:sz w:val="22"/>
        </w:rPr>
        <w:t> </w:t>
      </w:r>
      <w:r>
        <w:rPr>
          <w:b/>
          <w:i/>
          <w:sz w:val="22"/>
        </w:rPr>
        <w:t>–</w:t>
      </w:r>
      <w:r>
        <w:rPr>
          <w:b/>
          <w:i/>
          <w:spacing w:val="26"/>
          <w:sz w:val="22"/>
        </w:rPr>
        <w:t> </w:t>
      </w:r>
      <w:r>
        <w:rPr>
          <w:sz w:val="22"/>
        </w:rPr>
        <w:t>научный</w:t>
      </w:r>
      <w:r>
        <w:rPr>
          <w:spacing w:val="26"/>
          <w:sz w:val="22"/>
        </w:rPr>
        <w:t> </w:t>
      </w:r>
      <w:r>
        <w:rPr>
          <w:sz w:val="22"/>
        </w:rPr>
        <w:t>сотрудник</w:t>
      </w:r>
      <w:r>
        <w:rPr>
          <w:spacing w:val="26"/>
          <w:sz w:val="22"/>
        </w:rPr>
        <w:t> </w:t>
      </w:r>
      <w:r>
        <w:rPr>
          <w:sz w:val="22"/>
        </w:rPr>
        <w:t>отдела</w:t>
      </w:r>
      <w:r>
        <w:rPr>
          <w:spacing w:val="24"/>
          <w:sz w:val="22"/>
        </w:rPr>
        <w:t> </w:t>
      </w:r>
      <w:r>
        <w:rPr>
          <w:sz w:val="22"/>
        </w:rPr>
        <w:t>биологической</w:t>
      </w:r>
      <w:r>
        <w:rPr>
          <w:spacing w:val="23"/>
          <w:sz w:val="22"/>
        </w:rPr>
        <w:t> </w:t>
      </w:r>
      <w:r>
        <w:rPr>
          <w:sz w:val="22"/>
        </w:rPr>
        <w:t>безопасности</w:t>
      </w:r>
      <w:r>
        <w:rPr>
          <w:spacing w:val="26"/>
          <w:sz w:val="22"/>
        </w:rPr>
        <w:t> </w:t>
      </w:r>
      <w:r>
        <w:rPr>
          <w:spacing w:val="-4"/>
          <w:sz w:val="22"/>
        </w:rPr>
        <w:t>ФГБУ</w:t>
      </w:r>
    </w:p>
    <w:p>
      <w:pPr>
        <w:spacing w:line="278" w:lineRule="auto" w:before="37"/>
        <w:ind w:left="937" w:right="711" w:firstLine="0"/>
        <w:jc w:val="both"/>
        <w:rPr>
          <w:sz w:val="22"/>
        </w:rPr>
      </w:pPr>
      <w:r>
        <w:rPr>
          <w:sz w:val="22"/>
        </w:rPr>
        <w:t>«НИЦЭМ им. Н.Ф. Гамалеи» Минздрава России, главный внештатный специалист по инфекционным болезням Минздрава России в Центральном федеральном округе</w:t>
      </w:r>
    </w:p>
    <w:p>
      <w:pPr>
        <w:spacing w:line="276" w:lineRule="auto" w:before="0"/>
        <w:ind w:left="849" w:right="704" w:firstLine="851"/>
        <w:jc w:val="both"/>
        <w:rPr>
          <w:sz w:val="22"/>
        </w:rPr>
      </w:pPr>
      <w:r>
        <w:rPr>
          <w:b/>
          <w:i/>
          <w:sz w:val="22"/>
        </w:rPr>
        <w:t>Тюрин Игорь Евгеньевич </w:t>
      </w:r>
      <w:r>
        <w:rPr>
          <w:sz w:val="22"/>
        </w:rPr>
        <w:t>- главный внештатный специалист по лучевой и инструментальной диагностике, заведующий кафедрой рентгенологии и радиологии федерального государственного бюджетного</w:t>
      </w:r>
      <w:r>
        <w:rPr>
          <w:spacing w:val="73"/>
          <w:sz w:val="22"/>
        </w:rPr>
        <w:t>  </w:t>
      </w:r>
      <w:r>
        <w:rPr>
          <w:sz w:val="22"/>
        </w:rPr>
        <w:t>образовательного</w:t>
      </w:r>
      <w:r>
        <w:rPr>
          <w:spacing w:val="73"/>
          <w:sz w:val="22"/>
        </w:rPr>
        <w:t>  </w:t>
      </w:r>
      <w:r>
        <w:rPr>
          <w:sz w:val="22"/>
        </w:rPr>
        <w:t>учреждения</w:t>
      </w:r>
      <w:r>
        <w:rPr>
          <w:spacing w:val="73"/>
          <w:sz w:val="22"/>
        </w:rPr>
        <w:t>  </w:t>
      </w:r>
      <w:r>
        <w:rPr>
          <w:sz w:val="22"/>
        </w:rPr>
        <w:t>дополнительного</w:t>
      </w:r>
      <w:r>
        <w:rPr>
          <w:spacing w:val="73"/>
          <w:sz w:val="22"/>
        </w:rPr>
        <w:t>  </w:t>
      </w:r>
      <w:r>
        <w:rPr>
          <w:sz w:val="22"/>
        </w:rPr>
        <w:t>профессионального</w:t>
      </w:r>
      <w:r>
        <w:rPr>
          <w:spacing w:val="73"/>
          <w:sz w:val="22"/>
        </w:rPr>
        <w:t>  </w:t>
      </w:r>
      <w:r>
        <w:rPr>
          <w:sz w:val="22"/>
        </w:rPr>
        <w:t>образования</w:t>
      </w:r>
    </w:p>
    <w:p>
      <w:pPr>
        <w:spacing w:before="0"/>
        <w:ind w:left="849" w:right="0" w:firstLine="0"/>
        <w:jc w:val="both"/>
        <w:rPr>
          <w:sz w:val="22"/>
        </w:rPr>
      </w:pPr>
      <w:r>
        <w:rPr>
          <w:sz w:val="22"/>
        </w:rPr>
        <w:t>«Российская</w:t>
      </w:r>
      <w:r>
        <w:rPr>
          <w:spacing w:val="-11"/>
          <w:sz w:val="22"/>
        </w:rPr>
        <w:t> </w:t>
      </w:r>
      <w:r>
        <w:rPr>
          <w:sz w:val="22"/>
        </w:rPr>
        <w:t>медицинская</w:t>
      </w:r>
      <w:r>
        <w:rPr>
          <w:spacing w:val="-11"/>
          <w:sz w:val="22"/>
        </w:rPr>
        <w:t> </w:t>
      </w:r>
      <w:r>
        <w:rPr>
          <w:sz w:val="22"/>
        </w:rPr>
        <w:t>академия</w:t>
      </w:r>
      <w:r>
        <w:rPr>
          <w:spacing w:val="-9"/>
          <w:sz w:val="22"/>
        </w:rPr>
        <w:t> </w:t>
      </w:r>
      <w:r>
        <w:rPr>
          <w:sz w:val="22"/>
        </w:rPr>
        <w:t>непрерывного</w:t>
      </w:r>
      <w:r>
        <w:rPr>
          <w:spacing w:val="-11"/>
          <w:sz w:val="22"/>
        </w:rPr>
        <w:t> </w:t>
      </w:r>
      <w:r>
        <w:rPr>
          <w:sz w:val="22"/>
        </w:rPr>
        <w:t>профессионального</w:t>
      </w:r>
      <w:r>
        <w:rPr>
          <w:spacing w:val="-11"/>
          <w:sz w:val="22"/>
        </w:rPr>
        <w:t> </w:t>
      </w:r>
      <w:r>
        <w:rPr>
          <w:sz w:val="22"/>
        </w:rPr>
        <w:t>образования»</w:t>
      </w:r>
      <w:r>
        <w:rPr>
          <w:spacing w:val="-8"/>
          <w:sz w:val="22"/>
        </w:rPr>
        <w:t> </w:t>
      </w:r>
      <w:r>
        <w:rPr>
          <w:sz w:val="22"/>
        </w:rPr>
        <w:t>Минздрава</w:t>
      </w:r>
      <w:r>
        <w:rPr>
          <w:spacing w:val="-8"/>
          <w:sz w:val="22"/>
        </w:rPr>
        <w:t> </w:t>
      </w:r>
      <w:r>
        <w:rPr>
          <w:spacing w:val="-2"/>
          <w:sz w:val="22"/>
        </w:rPr>
        <w:t>России</w:t>
      </w:r>
    </w:p>
    <w:p>
      <w:pPr>
        <w:spacing w:line="276" w:lineRule="auto" w:before="34"/>
        <w:ind w:left="849" w:right="705" w:firstLine="851"/>
        <w:jc w:val="both"/>
        <w:rPr>
          <w:sz w:val="22"/>
        </w:rPr>
      </w:pPr>
      <w:r>
        <w:rPr>
          <w:b/>
          <w:i/>
          <w:sz w:val="22"/>
        </w:rPr>
        <w:t>Уртиков Александр Валерьевич – </w:t>
      </w:r>
      <w:r>
        <w:rPr>
          <w:sz w:val="22"/>
        </w:rPr>
        <w:t>научный сотрудник лаборатории эпидемиологии инфекционных болезней федерального государственного бюджетного учреждения «Национальный медицинский</w:t>
      </w:r>
      <w:r>
        <w:rPr>
          <w:spacing w:val="-12"/>
          <w:sz w:val="22"/>
        </w:rPr>
        <w:t> </w:t>
      </w:r>
      <w:r>
        <w:rPr>
          <w:sz w:val="22"/>
        </w:rPr>
        <w:t>исследовательский</w:t>
      </w:r>
      <w:r>
        <w:rPr>
          <w:spacing w:val="-12"/>
          <w:sz w:val="22"/>
        </w:rPr>
        <w:t> </w:t>
      </w:r>
      <w:r>
        <w:rPr>
          <w:sz w:val="22"/>
        </w:rPr>
        <w:t>центр</w:t>
      </w:r>
      <w:r>
        <w:rPr>
          <w:spacing w:val="-13"/>
          <w:sz w:val="22"/>
        </w:rPr>
        <w:t> </w:t>
      </w:r>
      <w:r>
        <w:rPr>
          <w:sz w:val="22"/>
        </w:rPr>
        <w:t>фтизиопульмонологии</w:t>
      </w:r>
      <w:r>
        <w:rPr>
          <w:spacing w:val="-12"/>
          <w:sz w:val="22"/>
        </w:rPr>
        <w:t> </w:t>
      </w:r>
      <w:r>
        <w:rPr>
          <w:sz w:val="22"/>
        </w:rPr>
        <w:t>и</w:t>
      </w:r>
      <w:r>
        <w:rPr>
          <w:spacing w:val="-12"/>
          <w:sz w:val="22"/>
        </w:rPr>
        <w:t> </w:t>
      </w:r>
      <w:r>
        <w:rPr>
          <w:sz w:val="22"/>
        </w:rPr>
        <w:t>инфекционных</w:t>
      </w:r>
      <w:r>
        <w:rPr>
          <w:spacing w:val="-11"/>
          <w:sz w:val="22"/>
        </w:rPr>
        <w:t> </w:t>
      </w:r>
      <w:r>
        <w:rPr>
          <w:sz w:val="22"/>
        </w:rPr>
        <w:t>заболеваний»</w:t>
      </w:r>
      <w:r>
        <w:rPr>
          <w:spacing w:val="-12"/>
          <w:sz w:val="22"/>
        </w:rPr>
        <w:t> </w:t>
      </w:r>
      <w:r>
        <w:rPr>
          <w:sz w:val="22"/>
        </w:rPr>
        <w:t>Минздрава </w:t>
      </w:r>
      <w:r>
        <w:rPr>
          <w:spacing w:val="-2"/>
          <w:sz w:val="22"/>
        </w:rPr>
        <w:t>России</w:t>
      </w:r>
    </w:p>
    <w:p>
      <w:pPr>
        <w:spacing w:line="276" w:lineRule="auto" w:before="0"/>
        <w:ind w:left="937" w:right="704" w:firstLine="704"/>
        <w:jc w:val="both"/>
        <w:rPr>
          <w:sz w:val="22"/>
        </w:rPr>
      </w:pPr>
      <w:r>
        <w:rPr>
          <w:b/>
          <w:i/>
          <w:sz w:val="22"/>
        </w:rPr>
        <w:t>Усков Александр Николаевич </w:t>
      </w:r>
      <w:r>
        <w:rPr>
          <w:sz w:val="22"/>
        </w:rPr>
        <w:t>– директор федерального государственного бюджетного учреждения «Детский научно-клинический центр инфекционных болезней Федерального медико- биологического агентства»</w:t>
      </w:r>
    </w:p>
    <w:p>
      <w:pPr>
        <w:spacing w:line="276" w:lineRule="auto" w:before="0"/>
        <w:ind w:left="937" w:right="707" w:firstLine="704"/>
        <w:jc w:val="both"/>
        <w:rPr>
          <w:sz w:val="22"/>
        </w:rPr>
      </w:pPr>
      <w:r>
        <w:rPr>
          <w:b/>
          <w:i/>
          <w:sz w:val="22"/>
        </w:rPr>
        <w:t>Фалалеева Наталья Александровна </w:t>
      </w:r>
      <w:r>
        <w:rPr>
          <w:sz w:val="22"/>
        </w:rPr>
        <w:t>– заведующий отделом лекарственного лечения злокачественных новообразований МРНЦ им. А.Ф. Цыба – филиала ФГБУ «НМИЦ радиологии» Минздрава России</w:t>
      </w:r>
    </w:p>
    <w:p>
      <w:pPr>
        <w:spacing w:line="276" w:lineRule="auto" w:before="0"/>
        <w:ind w:left="937" w:right="706" w:firstLine="704"/>
        <w:jc w:val="both"/>
        <w:rPr>
          <w:sz w:val="22"/>
        </w:rPr>
      </w:pPr>
      <w:r>
        <w:rPr>
          <w:b/>
          <w:i/>
          <w:sz w:val="22"/>
        </w:rPr>
        <w:t>Фомичева Анастасия Александровна – </w:t>
      </w:r>
      <w:r>
        <w:rPr>
          <w:sz w:val="22"/>
        </w:rPr>
        <w:t>врач-эпидемиолог центра инфекционных болезней, младший научный сотрудник лаборатории эпидемиологии инфекционных болезней федерального государственного бюджетного учреждения «Национальный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937" w:right="703" w:firstLine="704"/>
        <w:jc w:val="both"/>
        <w:rPr>
          <w:sz w:val="22"/>
        </w:rPr>
      </w:pPr>
      <w:r>
        <w:rPr>
          <w:b/>
          <w:i/>
          <w:sz w:val="22"/>
        </w:rPr>
        <w:t>Фомина Дарья Сергеевна </w:t>
      </w:r>
      <w:r>
        <w:rPr>
          <w:sz w:val="22"/>
        </w:rPr>
        <w:t>– главный внештатный аллерголог-иммунолог Департамента здравоохранения города</w:t>
      </w:r>
      <w:r>
        <w:rPr>
          <w:spacing w:val="-2"/>
          <w:sz w:val="22"/>
        </w:rPr>
        <w:t> </w:t>
      </w:r>
      <w:r>
        <w:rPr>
          <w:sz w:val="22"/>
        </w:rPr>
        <w:t>Москвы, руководитель Центра аллергологии и иммунологии государственного бюджетного учреждения здравоохранения города Москвы «Городская клиническая больница № 52 Департамента здравоохранения города Москвы»</w:t>
      </w:r>
    </w:p>
    <w:p>
      <w:pPr>
        <w:spacing w:line="276" w:lineRule="auto" w:before="0"/>
        <w:ind w:left="937" w:right="706" w:firstLine="704"/>
        <w:jc w:val="both"/>
        <w:rPr>
          <w:sz w:val="22"/>
        </w:rPr>
      </w:pPr>
      <w:r>
        <w:rPr>
          <w:b/>
          <w:i/>
          <w:sz w:val="22"/>
        </w:rPr>
        <w:t>Франк Георгий Авраамович – </w:t>
      </w:r>
      <w:r>
        <w:rPr>
          <w:sz w:val="22"/>
        </w:rPr>
        <w:t>главный патологоанатом Минздрава России, заведующий кафедрой патологической анатомии федерального государственного бюджетного образовательного учреждения дополнительного профессионального образования «Российская медицинская академия непрерывного профессионального образования» Минздрава России</w:t>
      </w:r>
    </w:p>
    <w:p>
      <w:pPr>
        <w:spacing w:line="276" w:lineRule="auto" w:before="0"/>
        <w:ind w:left="937" w:right="706" w:firstLine="704"/>
        <w:jc w:val="both"/>
        <w:rPr>
          <w:sz w:val="22"/>
        </w:rPr>
      </w:pPr>
      <w:r>
        <w:rPr>
          <w:b/>
          <w:i/>
          <w:sz w:val="22"/>
        </w:rPr>
        <w:t>Фролова Надия Фяатовна – </w:t>
      </w:r>
      <w:r>
        <w:rPr>
          <w:sz w:val="22"/>
        </w:rPr>
        <w:t>заместитель главного врача по нефрологической помощи государственного бюджетного учреждения здравоохранения города Москвы «Городская клиническая больница № 52 Департамента здравоохранения города Москвы»</w:t>
      </w:r>
    </w:p>
    <w:p>
      <w:pPr>
        <w:spacing w:line="276" w:lineRule="auto" w:before="0"/>
        <w:ind w:left="937" w:right="703" w:firstLine="704"/>
        <w:jc w:val="both"/>
        <w:rPr>
          <w:sz w:val="22"/>
        </w:rPr>
      </w:pPr>
      <w:r>
        <w:rPr>
          <w:b/>
          <w:i/>
          <w:sz w:val="22"/>
        </w:rPr>
        <w:t>Хайлова Жанна Владимировна – </w:t>
      </w:r>
      <w:r>
        <w:rPr>
          <w:sz w:val="22"/>
        </w:rPr>
        <w:t>заместитель директора по организационно-методической работе МРНЦ им. А.Ф. Цыба </w:t>
      </w:r>
      <w:r>
        <w:rPr>
          <w:b/>
          <w:i/>
          <w:sz w:val="22"/>
        </w:rPr>
        <w:t>– </w:t>
      </w:r>
      <w:r>
        <w:rPr>
          <w:sz w:val="22"/>
        </w:rPr>
        <w:t>филиала ФГБУ «НМИЦ радиологии» Минздрава России, руководитель Центра</w:t>
      </w:r>
      <w:r>
        <w:rPr>
          <w:spacing w:val="80"/>
          <w:sz w:val="22"/>
        </w:rPr>
        <w:t> </w:t>
      </w:r>
      <w:r>
        <w:rPr>
          <w:sz w:val="22"/>
        </w:rPr>
        <w:t>координации</w:t>
      </w:r>
      <w:r>
        <w:rPr>
          <w:spacing w:val="80"/>
          <w:sz w:val="22"/>
        </w:rPr>
        <w:t> </w:t>
      </w:r>
      <w:r>
        <w:rPr>
          <w:sz w:val="22"/>
        </w:rPr>
        <w:t>деятельности</w:t>
      </w:r>
      <w:r>
        <w:rPr>
          <w:spacing w:val="80"/>
          <w:sz w:val="22"/>
        </w:rPr>
        <w:t> </w:t>
      </w:r>
      <w:r>
        <w:rPr>
          <w:sz w:val="22"/>
        </w:rPr>
        <w:t>учреждений</w:t>
      </w:r>
      <w:r>
        <w:rPr>
          <w:spacing w:val="80"/>
          <w:sz w:val="22"/>
        </w:rPr>
        <w:t> </w:t>
      </w:r>
      <w:r>
        <w:rPr>
          <w:sz w:val="22"/>
        </w:rPr>
        <w:t>регионов</w:t>
      </w:r>
      <w:r>
        <w:rPr>
          <w:spacing w:val="80"/>
          <w:sz w:val="22"/>
        </w:rPr>
        <w:t> </w:t>
      </w:r>
      <w:r>
        <w:rPr>
          <w:sz w:val="22"/>
        </w:rPr>
        <w:t>в</w:t>
      </w:r>
      <w:r>
        <w:rPr>
          <w:spacing w:val="80"/>
          <w:sz w:val="22"/>
        </w:rPr>
        <w:t> </w:t>
      </w:r>
      <w:r>
        <w:rPr>
          <w:sz w:val="22"/>
        </w:rPr>
        <w:t>области</w:t>
      </w:r>
      <w:r>
        <w:rPr>
          <w:spacing w:val="80"/>
          <w:sz w:val="22"/>
        </w:rPr>
        <w:t> </w:t>
      </w:r>
      <w:r>
        <w:rPr>
          <w:sz w:val="22"/>
        </w:rPr>
        <w:t>онкологии</w:t>
      </w:r>
      <w:r>
        <w:rPr>
          <w:spacing w:val="80"/>
          <w:sz w:val="22"/>
        </w:rPr>
        <w:t> </w:t>
      </w:r>
      <w:r>
        <w:rPr>
          <w:sz w:val="22"/>
        </w:rPr>
        <w:t>и</w:t>
      </w:r>
      <w:r>
        <w:rPr>
          <w:spacing w:val="80"/>
          <w:sz w:val="22"/>
        </w:rPr>
        <w:t> </w:t>
      </w:r>
      <w:r>
        <w:rPr>
          <w:sz w:val="22"/>
        </w:rPr>
        <w:t>радиологии ФГБУ «НМИЦ радиологии» Минздрава России</w:t>
      </w:r>
    </w:p>
    <w:p>
      <w:pPr>
        <w:spacing w:line="276" w:lineRule="auto" w:before="0"/>
        <w:ind w:left="937" w:right="706" w:firstLine="704"/>
        <w:jc w:val="both"/>
        <w:rPr>
          <w:sz w:val="22"/>
        </w:rPr>
      </w:pPr>
      <w:r>
        <w:rPr>
          <w:b/>
          <w:i/>
          <w:sz w:val="22"/>
        </w:rPr>
        <w:t>Царенко</w:t>
      </w:r>
      <w:r>
        <w:rPr>
          <w:b/>
          <w:i/>
          <w:spacing w:val="-2"/>
          <w:sz w:val="22"/>
        </w:rPr>
        <w:t> </w:t>
      </w:r>
      <w:r>
        <w:rPr>
          <w:b/>
          <w:i/>
          <w:sz w:val="22"/>
        </w:rPr>
        <w:t>Сергей</w:t>
      </w:r>
      <w:r>
        <w:rPr>
          <w:b/>
          <w:i/>
          <w:spacing w:val="-2"/>
          <w:sz w:val="22"/>
        </w:rPr>
        <w:t> </w:t>
      </w:r>
      <w:r>
        <w:rPr>
          <w:b/>
          <w:i/>
          <w:sz w:val="22"/>
        </w:rPr>
        <w:t>Василевич</w:t>
      </w:r>
      <w:r>
        <w:rPr>
          <w:b/>
          <w:i/>
          <w:spacing w:val="-2"/>
          <w:sz w:val="22"/>
        </w:rPr>
        <w:t> </w:t>
      </w:r>
      <w:r>
        <w:rPr>
          <w:b/>
          <w:i/>
          <w:sz w:val="22"/>
        </w:rPr>
        <w:t>–</w:t>
      </w:r>
      <w:r>
        <w:rPr>
          <w:b/>
          <w:i/>
          <w:spacing w:val="-2"/>
          <w:sz w:val="22"/>
        </w:rPr>
        <w:t> </w:t>
      </w:r>
      <w:r>
        <w:rPr>
          <w:sz w:val="22"/>
        </w:rPr>
        <w:t>директор</w:t>
      </w:r>
      <w:r>
        <w:rPr>
          <w:spacing w:val="-3"/>
          <w:sz w:val="22"/>
        </w:rPr>
        <w:t> </w:t>
      </w:r>
      <w:r>
        <w:rPr>
          <w:sz w:val="22"/>
        </w:rPr>
        <w:t>ФГАУ</w:t>
      </w:r>
      <w:r>
        <w:rPr>
          <w:spacing w:val="-3"/>
          <w:sz w:val="22"/>
        </w:rPr>
        <w:t> </w:t>
      </w:r>
      <w:r>
        <w:rPr>
          <w:sz w:val="22"/>
        </w:rPr>
        <w:t>«Национальный</w:t>
      </w:r>
      <w:r>
        <w:rPr>
          <w:spacing w:val="-3"/>
          <w:sz w:val="22"/>
        </w:rPr>
        <w:t> </w:t>
      </w:r>
      <w:r>
        <w:rPr>
          <w:sz w:val="22"/>
        </w:rPr>
        <w:t>медицинский</w:t>
      </w:r>
      <w:r>
        <w:rPr>
          <w:spacing w:val="-3"/>
          <w:sz w:val="22"/>
        </w:rPr>
        <w:t> </w:t>
      </w:r>
      <w:r>
        <w:rPr>
          <w:sz w:val="22"/>
        </w:rPr>
        <w:t>исследовательский центр „Лечебно-реабилитационный центр“» Минздрава России, главный внештатный специалист Минздрава России по анестезиологии-реаниматологии.</w:t>
      </w:r>
    </w:p>
    <w:p>
      <w:pPr>
        <w:spacing w:line="276" w:lineRule="auto" w:before="0"/>
        <w:ind w:left="937" w:right="704" w:firstLine="704"/>
        <w:jc w:val="both"/>
        <w:rPr>
          <w:sz w:val="22"/>
        </w:rPr>
      </w:pPr>
      <w:r>
        <w:rPr>
          <w:b/>
          <w:i/>
          <w:sz w:val="22"/>
        </w:rPr>
        <w:t>Цинзерлинг Всеволод Александрович - </w:t>
      </w:r>
      <w:r>
        <w:rPr>
          <w:sz w:val="22"/>
        </w:rPr>
        <w:t>заведующий НИО патоморфологии федерального государственного бюджетного учреждения «Национальный медицинский исследовательский центр имени В.А. Алмазова» Минздрава России</w:t>
      </w:r>
    </w:p>
    <w:p>
      <w:pPr>
        <w:spacing w:line="250" w:lineRule="exact" w:before="0"/>
        <w:ind w:left="140" w:right="0" w:firstLine="0"/>
        <w:jc w:val="center"/>
        <w:rPr>
          <w:rFonts w:ascii="Calibri"/>
          <w:sz w:val="22"/>
        </w:rPr>
      </w:pPr>
      <w:r>
        <w:rPr>
          <w:rFonts w:ascii="Calibri"/>
          <w:spacing w:val="-5"/>
          <w:sz w:val="22"/>
        </w:rPr>
        <w:t>244</w:t>
      </w:r>
    </w:p>
    <w:p>
      <w:pPr>
        <w:spacing w:before="1"/>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spacing w:line="276" w:lineRule="auto" w:before="65"/>
        <w:ind w:left="947" w:right="704" w:firstLine="704"/>
        <w:jc w:val="both"/>
        <w:rPr>
          <w:sz w:val="22"/>
        </w:rPr>
      </w:pPr>
      <w:bookmarkStart w:name="246" w:id="293"/>
      <w:bookmarkEnd w:id="293"/>
      <w:r>
        <w:rPr/>
      </w:r>
      <w:r>
        <w:rPr>
          <w:b/>
          <w:i/>
          <w:sz w:val="22"/>
        </w:rPr>
        <w:t>Цыганкова Анна Эдуардовна – </w:t>
      </w:r>
      <w:r>
        <w:rPr>
          <w:sz w:val="22"/>
        </w:rPr>
        <w:t>ассистент кафедры инфекционных болезней федерального государственного автономного образовательного учреждения высшего образования «Первый Московский государственный медицинский университет имени И.М. Сеченова» Минздрава России (Сеченовский Университет), врач-инфекционист государственного бюджетного учреждения здравоохранения города Москвы «Инфекционная</w:t>
      </w:r>
      <w:r>
        <w:rPr>
          <w:spacing w:val="-1"/>
          <w:sz w:val="22"/>
        </w:rPr>
        <w:t> </w:t>
      </w:r>
      <w:r>
        <w:rPr>
          <w:sz w:val="22"/>
        </w:rPr>
        <w:t>клиническая больница № 2 Департамента здравоохранения города Москвы»</w:t>
      </w:r>
    </w:p>
    <w:p>
      <w:pPr>
        <w:pStyle w:val="BodyText"/>
        <w:spacing w:before="37"/>
        <w:ind w:left="0"/>
        <w:jc w:val="left"/>
        <w:rPr>
          <w:sz w:val="22"/>
        </w:rPr>
      </w:pPr>
    </w:p>
    <w:p>
      <w:pPr>
        <w:spacing w:line="276" w:lineRule="auto" w:before="0"/>
        <w:ind w:left="947" w:right="707" w:firstLine="704"/>
        <w:jc w:val="both"/>
        <w:rPr>
          <w:sz w:val="22"/>
        </w:rPr>
      </w:pPr>
      <w:r>
        <w:rPr>
          <w:b/>
          <w:i/>
          <w:sz w:val="22"/>
        </w:rPr>
        <w:t>Цыкунов Михаил Борисович – </w:t>
      </w:r>
      <w:r>
        <w:rPr>
          <w:sz w:val="22"/>
        </w:rPr>
        <w:t>заведующий отделением медицинской реабилитации федерального государственного бюджетного учреждения «Национальный медицинский исследовательский центр травматологии и ортопедии имени Н.Н. Приорова» Министерства здравоохранения Российской Федерации, профессор кафедры медицинской реабилитации факультета дополнительного профессионального образования федерального государственного автономного образовательного учреждения высшего образования «Российский национальный исследовательский медицинский университет имени Н.И. Пирогова» Минздрава России</w:t>
      </w:r>
    </w:p>
    <w:p>
      <w:pPr>
        <w:tabs>
          <w:tab w:pos="3183" w:val="left" w:leader="none"/>
          <w:tab w:pos="10006" w:val="left" w:leader="none"/>
        </w:tabs>
        <w:spacing w:line="276" w:lineRule="auto" w:before="0"/>
        <w:ind w:left="937" w:right="706" w:firstLine="704"/>
        <w:jc w:val="both"/>
        <w:rPr>
          <w:sz w:val="22"/>
        </w:rPr>
      </w:pPr>
      <w:r>
        <w:rPr>
          <w:b/>
          <w:i/>
          <w:sz w:val="22"/>
        </w:rPr>
        <w:t>Ченцов Владимир Борисович </w:t>
      </w:r>
      <w:r>
        <w:rPr>
          <w:b/>
          <w:sz w:val="22"/>
        </w:rPr>
        <w:t>– </w:t>
      </w:r>
      <w:r>
        <w:rPr>
          <w:sz w:val="22"/>
        </w:rPr>
        <w:t>заведующий отделением реанимации и интенсивной терапии </w:t>
      </w:r>
      <w:r>
        <w:rPr>
          <w:spacing w:val="-2"/>
          <w:sz w:val="22"/>
        </w:rPr>
        <w:t>государственного</w:t>
      </w:r>
      <w:r>
        <w:rPr>
          <w:sz w:val="22"/>
        </w:rPr>
        <w:tab/>
        <w:t>бюджетного</w:t>
      </w:r>
      <w:r>
        <w:rPr>
          <w:spacing w:val="58"/>
          <w:w w:val="150"/>
          <w:sz w:val="22"/>
        </w:rPr>
        <w:t>    </w:t>
      </w:r>
      <w:r>
        <w:rPr>
          <w:sz w:val="22"/>
        </w:rPr>
        <w:t>учреждения</w:t>
      </w:r>
      <w:r>
        <w:rPr>
          <w:spacing w:val="60"/>
          <w:w w:val="150"/>
          <w:sz w:val="22"/>
        </w:rPr>
        <w:t>    </w:t>
      </w:r>
      <w:r>
        <w:rPr>
          <w:sz w:val="22"/>
        </w:rPr>
        <w:t>здравоохранения</w:t>
      </w:r>
      <w:r>
        <w:rPr>
          <w:spacing w:val="59"/>
          <w:w w:val="150"/>
          <w:sz w:val="22"/>
        </w:rPr>
        <w:t>    </w:t>
      </w:r>
      <w:r>
        <w:rPr>
          <w:spacing w:val="-2"/>
          <w:sz w:val="22"/>
        </w:rPr>
        <w:t>города</w:t>
      </w:r>
      <w:r>
        <w:rPr>
          <w:sz w:val="22"/>
        </w:rPr>
        <w:tab/>
      </w:r>
      <w:r>
        <w:rPr>
          <w:spacing w:val="-2"/>
          <w:sz w:val="22"/>
        </w:rPr>
        <w:t>Москвы</w:t>
      </w:r>
    </w:p>
    <w:p>
      <w:pPr>
        <w:spacing w:before="0"/>
        <w:ind w:left="937" w:right="0" w:firstLine="0"/>
        <w:jc w:val="both"/>
        <w:rPr>
          <w:sz w:val="22"/>
        </w:rPr>
      </w:pPr>
      <w:r>
        <w:rPr>
          <w:sz w:val="22"/>
        </w:rPr>
        <w:t>«Инфекционная</w:t>
      </w:r>
      <w:r>
        <w:rPr>
          <w:spacing w:val="-9"/>
          <w:sz w:val="22"/>
        </w:rPr>
        <w:t> </w:t>
      </w:r>
      <w:r>
        <w:rPr>
          <w:sz w:val="22"/>
        </w:rPr>
        <w:t>клиническая</w:t>
      </w:r>
      <w:r>
        <w:rPr>
          <w:spacing w:val="-6"/>
          <w:sz w:val="22"/>
        </w:rPr>
        <w:t> </w:t>
      </w:r>
      <w:r>
        <w:rPr>
          <w:sz w:val="22"/>
        </w:rPr>
        <w:t>больница</w:t>
      </w:r>
      <w:r>
        <w:rPr>
          <w:spacing w:val="-6"/>
          <w:sz w:val="22"/>
        </w:rPr>
        <w:t> </w:t>
      </w:r>
      <w:r>
        <w:rPr>
          <w:sz w:val="22"/>
        </w:rPr>
        <w:t>№</w:t>
      </w:r>
      <w:r>
        <w:rPr>
          <w:spacing w:val="-8"/>
          <w:sz w:val="22"/>
        </w:rPr>
        <w:t> </w:t>
      </w:r>
      <w:r>
        <w:rPr>
          <w:sz w:val="22"/>
        </w:rPr>
        <w:t>2</w:t>
      </w:r>
      <w:r>
        <w:rPr>
          <w:spacing w:val="-6"/>
          <w:sz w:val="22"/>
        </w:rPr>
        <w:t> </w:t>
      </w:r>
      <w:r>
        <w:rPr>
          <w:sz w:val="22"/>
        </w:rPr>
        <w:t>Департамента</w:t>
      </w:r>
      <w:r>
        <w:rPr>
          <w:spacing w:val="-7"/>
          <w:sz w:val="22"/>
        </w:rPr>
        <w:t> </w:t>
      </w:r>
      <w:r>
        <w:rPr>
          <w:sz w:val="22"/>
        </w:rPr>
        <w:t>здравоохранения</w:t>
      </w:r>
      <w:r>
        <w:rPr>
          <w:spacing w:val="-8"/>
          <w:sz w:val="22"/>
        </w:rPr>
        <w:t> </w:t>
      </w:r>
      <w:r>
        <w:rPr>
          <w:sz w:val="22"/>
        </w:rPr>
        <w:t>города</w:t>
      </w:r>
      <w:r>
        <w:rPr>
          <w:spacing w:val="-8"/>
          <w:sz w:val="22"/>
        </w:rPr>
        <w:t> </w:t>
      </w:r>
      <w:r>
        <w:rPr>
          <w:spacing w:val="-2"/>
          <w:sz w:val="22"/>
        </w:rPr>
        <w:t>Москвы»</w:t>
      </w:r>
    </w:p>
    <w:p>
      <w:pPr>
        <w:spacing w:line="276" w:lineRule="auto" w:before="35"/>
        <w:ind w:left="937" w:right="704" w:firstLine="704"/>
        <w:jc w:val="both"/>
        <w:rPr>
          <w:sz w:val="22"/>
        </w:rPr>
      </w:pPr>
      <w:r>
        <w:rPr>
          <w:b/>
          <w:i/>
          <w:sz w:val="22"/>
        </w:rPr>
        <w:t>Чуланов Владимир Петрович </w:t>
      </w:r>
      <w:r>
        <w:rPr>
          <w:b/>
          <w:sz w:val="22"/>
        </w:rPr>
        <w:t>– </w:t>
      </w:r>
      <w:r>
        <w:rPr>
          <w:sz w:val="22"/>
        </w:rPr>
        <w:t>главный внештатный специалист по инфекционным болезням Минздрава</w:t>
      </w:r>
      <w:r>
        <w:rPr>
          <w:spacing w:val="-14"/>
          <w:sz w:val="22"/>
        </w:rPr>
        <w:t> </w:t>
      </w:r>
      <w:r>
        <w:rPr>
          <w:sz w:val="22"/>
        </w:rPr>
        <w:t>России,</w:t>
      </w:r>
      <w:r>
        <w:rPr>
          <w:spacing w:val="-14"/>
          <w:sz w:val="22"/>
        </w:rPr>
        <w:t> </w:t>
      </w:r>
      <w:r>
        <w:rPr>
          <w:sz w:val="22"/>
        </w:rPr>
        <w:t>заместитель</w:t>
      </w:r>
      <w:r>
        <w:rPr>
          <w:spacing w:val="-14"/>
          <w:sz w:val="22"/>
        </w:rPr>
        <w:t> </w:t>
      </w:r>
      <w:r>
        <w:rPr>
          <w:sz w:val="22"/>
        </w:rPr>
        <w:t>директора</w:t>
      </w:r>
      <w:r>
        <w:rPr>
          <w:spacing w:val="-13"/>
          <w:sz w:val="22"/>
        </w:rPr>
        <w:t> </w:t>
      </w:r>
      <w:r>
        <w:rPr>
          <w:sz w:val="22"/>
        </w:rPr>
        <w:t>по</w:t>
      </w:r>
      <w:r>
        <w:rPr>
          <w:spacing w:val="-14"/>
          <w:sz w:val="22"/>
        </w:rPr>
        <w:t> </w:t>
      </w:r>
      <w:r>
        <w:rPr>
          <w:sz w:val="22"/>
        </w:rPr>
        <w:t>научной</w:t>
      </w:r>
      <w:r>
        <w:rPr>
          <w:spacing w:val="-14"/>
          <w:sz w:val="22"/>
        </w:rPr>
        <w:t> </w:t>
      </w:r>
      <w:r>
        <w:rPr>
          <w:sz w:val="22"/>
        </w:rPr>
        <w:t>работе</w:t>
      </w:r>
      <w:r>
        <w:rPr>
          <w:spacing w:val="-14"/>
          <w:sz w:val="22"/>
        </w:rPr>
        <w:t> </w:t>
      </w:r>
      <w:r>
        <w:rPr>
          <w:sz w:val="22"/>
        </w:rPr>
        <w:t>и</w:t>
      </w:r>
      <w:r>
        <w:rPr>
          <w:spacing w:val="-13"/>
          <w:sz w:val="22"/>
        </w:rPr>
        <w:t> </w:t>
      </w:r>
      <w:r>
        <w:rPr>
          <w:sz w:val="22"/>
        </w:rPr>
        <w:t>инновационному</w:t>
      </w:r>
      <w:r>
        <w:rPr>
          <w:spacing w:val="-14"/>
          <w:sz w:val="22"/>
        </w:rPr>
        <w:t> </w:t>
      </w:r>
      <w:r>
        <w:rPr>
          <w:sz w:val="22"/>
        </w:rPr>
        <w:t>развитию</w:t>
      </w:r>
      <w:r>
        <w:rPr>
          <w:spacing w:val="-14"/>
          <w:sz w:val="22"/>
        </w:rPr>
        <w:t> </w:t>
      </w:r>
      <w:r>
        <w:rPr>
          <w:sz w:val="22"/>
        </w:rPr>
        <w:t>федерального государственного бюджетного учреждения «Национальный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937" w:right="709" w:firstLine="704"/>
        <w:jc w:val="both"/>
        <w:rPr>
          <w:sz w:val="22"/>
        </w:rPr>
      </w:pPr>
      <w:r>
        <w:rPr>
          <w:b/>
          <w:i/>
          <w:sz w:val="22"/>
        </w:rPr>
        <w:t>Шелыгин Юрий Анатольевич – </w:t>
      </w:r>
      <w:r>
        <w:rPr>
          <w:sz w:val="22"/>
        </w:rPr>
        <w:t>главный внештатный колопроктолог Минздрава России, главный колопроктолог Департамента здравоохранения города Москвы, директор Государственного научного центра колопроктологии им. А. Н. Рыжих Минздрава России</w:t>
      </w:r>
    </w:p>
    <w:p>
      <w:pPr>
        <w:spacing w:line="276" w:lineRule="auto" w:before="0"/>
        <w:ind w:left="937" w:right="704" w:firstLine="704"/>
        <w:jc w:val="both"/>
        <w:rPr>
          <w:sz w:val="22"/>
        </w:rPr>
      </w:pPr>
      <w:r>
        <w:rPr>
          <w:b/>
          <w:i/>
          <w:sz w:val="22"/>
        </w:rPr>
        <w:t>Шестакова Марина Владимировна – </w:t>
      </w:r>
      <w:r>
        <w:rPr>
          <w:sz w:val="22"/>
        </w:rPr>
        <w:t>заместитель директора фдерального государственного бюджетного учреждения «Национальный медицинский исследовательский центр эндокринологии» Минздрава России, директор Института диабета федерального государственного бюджетного учреждения «Национальный медицинский исследовательский центр эндокринологии» Минздрава </w:t>
      </w:r>
      <w:r>
        <w:rPr>
          <w:spacing w:val="-2"/>
          <w:sz w:val="22"/>
        </w:rPr>
        <w:t>России</w:t>
      </w:r>
    </w:p>
    <w:p>
      <w:pPr>
        <w:spacing w:line="276" w:lineRule="auto" w:before="0"/>
        <w:ind w:left="937" w:right="705" w:firstLine="704"/>
        <w:jc w:val="both"/>
        <w:rPr>
          <w:sz w:val="22"/>
        </w:rPr>
      </w:pPr>
      <w:r>
        <w:rPr>
          <w:b/>
          <w:i/>
          <w:sz w:val="22"/>
        </w:rPr>
        <w:t>Шипулин Герман Александрович </w:t>
      </w:r>
      <w:r>
        <w:rPr>
          <w:b/>
          <w:sz w:val="22"/>
        </w:rPr>
        <w:t>– </w:t>
      </w:r>
      <w:r>
        <w:rPr>
          <w:sz w:val="22"/>
        </w:rPr>
        <w:t>заместитель директора федерального государственного бюджетного учреждения «Центр стратегического планирования и управления медико-биологическими рисками здоровью» ФМБА России</w:t>
      </w:r>
    </w:p>
    <w:p>
      <w:pPr>
        <w:spacing w:line="276" w:lineRule="auto" w:before="0"/>
        <w:ind w:left="849" w:right="700" w:firstLine="704"/>
        <w:jc w:val="both"/>
        <w:rPr>
          <w:sz w:val="22"/>
        </w:rPr>
      </w:pPr>
      <w:r>
        <w:rPr>
          <w:b/>
          <w:i/>
          <w:sz w:val="22"/>
        </w:rPr>
        <w:t>Шлемская</w:t>
      </w:r>
      <w:r>
        <w:rPr>
          <w:b/>
          <w:i/>
          <w:spacing w:val="-3"/>
          <w:sz w:val="22"/>
        </w:rPr>
        <w:t> </w:t>
      </w:r>
      <w:r>
        <w:rPr>
          <w:b/>
          <w:i/>
          <w:sz w:val="22"/>
        </w:rPr>
        <w:t>Валерия</w:t>
      </w:r>
      <w:r>
        <w:rPr>
          <w:b/>
          <w:i/>
          <w:spacing w:val="-3"/>
          <w:sz w:val="22"/>
        </w:rPr>
        <w:t> </w:t>
      </w:r>
      <w:r>
        <w:rPr>
          <w:b/>
          <w:i/>
          <w:sz w:val="22"/>
        </w:rPr>
        <w:t>Вадимовна</w:t>
      </w:r>
      <w:r>
        <w:rPr>
          <w:b/>
          <w:i/>
          <w:spacing w:val="-5"/>
          <w:sz w:val="22"/>
        </w:rPr>
        <w:t> </w:t>
      </w:r>
      <w:r>
        <w:rPr>
          <w:b/>
          <w:i/>
          <w:sz w:val="22"/>
        </w:rPr>
        <w:t>–</w:t>
      </w:r>
      <w:r>
        <w:rPr>
          <w:b/>
          <w:i/>
          <w:spacing w:val="40"/>
          <w:sz w:val="22"/>
        </w:rPr>
        <w:t> </w:t>
      </w:r>
      <w:r>
        <w:rPr>
          <w:sz w:val="22"/>
        </w:rPr>
        <w:t>заместитель</w:t>
      </w:r>
      <w:r>
        <w:rPr>
          <w:spacing w:val="40"/>
          <w:sz w:val="22"/>
        </w:rPr>
        <w:t> </w:t>
      </w:r>
      <w:r>
        <w:rPr>
          <w:sz w:val="22"/>
        </w:rPr>
        <w:t>директора</w:t>
      </w:r>
      <w:r>
        <w:rPr>
          <w:spacing w:val="40"/>
          <w:sz w:val="22"/>
        </w:rPr>
        <w:t> </w:t>
      </w:r>
      <w:r>
        <w:rPr>
          <w:sz w:val="22"/>
        </w:rPr>
        <w:t>федерального</w:t>
      </w:r>
      <w:r>
        <w:rPr>
          <w:spacing w:val="40"/>
          <w:sz w:val="22"/>
        </w:rPr>
        <w:t> </w:t>
      </w:r>
      <w:r>
        <w:rPr>
          <w:sz w:val="22"/>
        </w:rPr>
        <w:t>государственного бюджетного учреждения «Всероссийский центр медицины катастроф "Защита"» ФМБА России</w:t>
      </w:r>
    </w:p>
    <w:p>
      <w:pPr>
        <w:spacing w:line="276" w:lineRule="auto" w:before="0"/>
        <w:ind w:left="947" w:right="707" w:firstLine="704"/>
        <w:jc w:val="both"/>
        <w:rPr>
          <w:sz w:val="22"/>
        </w:rPr>
      </w:pPr>
      <w:r>
        <w:rPr>
          <w:b/>
          <w:i/>
          <w:sz w:val="22"/>
        </w:rPr>
        <w:t>Шмаков</w:t>
      </w:r>
      <w:r>
        <w:rPr>
          <w:b/>
          <w:i/>
          <w:spacing w:val="40"/>
          <w:sz w:val="22"/>
        </w:rPr>
        <w:t>  </w:t>
      </w:r>
      <w:r>
        <w:rPr>
          <w:b/>
          <w:i/>
          <w:sz w:val="22"/>
        </w:rPr>
        <w:t>Роман</w:t>
      </w:r>
      <w:r>
        <w:rPr>
          <w:b/>
          <w:i/>
          <w:spacing w:val="40"/>
          <w:sz w:val="22"/>
        </w:rPr>
        <w:t>  </w:t>
      </w:r>
      <w:r>
        <w:rPr>
          <w:b/>
          <w:i/>
          <w:sz w:val="22"/>
        </w:rPr>
        <w:t>Георгиевич</w:t>
      </w:r>
      <w:r>
        <w:rPr>
          <w:b/>
          <w:i/>
          <w:spacing w:val="40"/>
          <w:sz w:val="22"/>
        </w:rPr>
        <w:t>  </w:t>
      </w:r>
      <w:r>
        <w:rPr>
          <w:sz w:val="22"/>
        </w:rPr>
        <w:t>–</w:t>
      </w:r>
      <w:r>
        <w:rPr>
          <w:spacing w:val="40"/>
          <w:sz w:val="22"/>
        </w:rPr>
        <w:t>  </w:t>
      </w:r>
      <w:r>
        <w:rPr>
          <w:sz w:val="22"/>
        </w:rPr>
        <w:t>главный</w:t>
      </w:r>
      <w:r>
        <w:rPr>
          <w:spacing w:val="40"/>
          <w:sz w:val="22"/>
        </w:rPr>
        <w:t>  </w:t>
      </w:r>
      <w:r>
        <w:rPr>
          <w:sz w:val="22"/>
        </w:rPr>
        <w:t>внештатный</w:t>
      </w:r>
      <w:r>
        <w:rPr>
          <w:spacing w:val="40"/>
          <w:sz w:val="22"/>
        </w:rPr>
        <w:t>  </w:t>
      </w:r>
      <w:r>
        <w:rPr>
          <w:sz w:val="22"/>
        </w:rPr>
        <w:t>специалист</w:t>
      </w:r>
      <w:r>
        <w:rPr>
          <w:spacing w:val="40"/>
          <w:sz w:val="22"/>
        </w:rPr>
        <w:t>  </w:t>
      </w:r>
      <w:r>
        <w:rPr>
          <w:sz w:val="22"/>
        </w:rPr>
        <w:t>Минздрава</w:t>
      </w:r>
      <w:r>
        <w:rPr>
          <w:spacing w:val="40"/>
          <w:sz w:val="22"/>
        </w:rPr>
        <w:t>  </w:t>
      </w:r>
      <w:r>
        <w:rPr>
          <w:sz w:val="22"/>
        </w:rPr>
        <w:t>России по</w:t>
      </w:r>
      <w:r>
        <w:rPr>
          <w:spacing w:val="-2"/>
          <w:sz w:val="22"/>
        </w:rPr>
        <w:t> </w:t>
      </w:r>
      <w:r>
        <w:rPr>
          <w:sz w:val="22"/>
        </w:rPr>
        <w:t>акушерству, директор ГБУЗ МО МОНИИАГ им. академика В. И. Краснопольского, профессор кафедры акушерства и гинекологии имени академика Г.М. Савельевой педиатрического факультета ФГАОУ ВО РНИМУ им. Н. И. Пирогова.</w:t>
      </w:r>
    </w:p>
    <w:p>
      <w:pPr>
        <w:spacing w:line="276" w:lineRule="auto" w:before="0"/>
        <w:ind w:left="947" w:right="704" w:firstLine="704"/>
        <w:jc w:val="both"/>
        <w:rPr>
          <w:sz w:val="22"/>
        </w:rPr>
      </w:pPr>
      <w:r>
        <w:rPr>
          <w:b/>
          <w:i/>
          <w:sz w:val="22"/>
        </w:rPr>
        <w:t>Шульгина Марина Владимировна </w:t>
      </w:r>
      <w:r>
        <w:rPr>
          <w:sz w:val="22"/>
        </w:rPr>
        <w:t>– советник директора по науке федерального государственного бюджетного учреждения «Национальный медицинский исследовательский центр фтизиопульмонологии и инфекционных заболеваний» Минздрава России</w:t>
      </w:r>
    </w:p>
    <w:p>
      <w:pPr>
        <w:spacing w:line="276" w:lineRule="auto" w:before="0"/>
        <w:ind w:left="947" w:right="709" w:firstLine="704"/>
        <w:jc w:val="both"/>
        <w:rPr>
          <w:sz w:val="22"/>
        </w:rPr>
      </w:pPr>
      <w:r>
        <w:rPr>
          <w:b/>
          <w:i/>
          <w:sz w:val="22"/>
        </w:rPr>
        <w:t>Явелов Игорь Семенович – </w:t>
      </w:r>
      <w:r>
        <w:rPr>
          <w:sz w:val="22"/>
        </w:rPr>
        <w:t>руководитель отдела фундаментальных и клинических проблем тромбоза при неинфекционных заболеваниях ФГБУ «Национальный медицинский исследовательский центр терапии и профилактической медицины» Минздрава России</w:t>
      </w:r>
    </w:p>
    <w:p>
      <w:pPr>
        <w:spacing w:line="276" w:lineRule="auto" w:before="0"/>
        <w:ind w:left="947" w:right="708" w:firstLine="704"/>
        <w:jc w:val="both"/>
        <w:rPr>
          <w:sz w:val="22"/>
        </w:rPr>
      </w:pPr>
      <w:r>
        <w:rPr>
          <w:b/>
          <w:i/>
          <w:sz w:val="22"/>
        </w:rPr>
        <w:t>Ярошецкий Андрей Игоревич </w:t>
      </w:r>
      <w:r>
        <w:rPr>
          <w:sz w:val="22"/>
        </w:rPr>
        <w:t>– профессор кафедры пульмонологии ФГАОУ ВО «Первый МГМУ</w:t>
      </w:r>
      <w:r>
        <w:rPr>
          <w:spacing w:val="-9"/>
          <w:sz w:val="22"/>
        </w:rPr>
        <w:t> </w:t>
      </w:r>
      <w:r>
        <w:rPr>
          <w:sz w:val="22"/>
        </w:rPr>
        <w:t>им.</w:t>
      </w:r>
      <w:r>
        <w:rPr>
          <w:spacing w:val="-9"/>
          <w:sz w:val="22"/>
        </w:rPr>
        <w:t> </w:t>
      </w:r>
      <w:r>
        <w:rPr>
          <w:sz w:val="22"/>
        </w:rPr>
        <w:t>И.М.</w:t>
      </w:r>
      <w:r>
        <w:rPr>
          <w:spacing w:val="-9"/>
          <w:sz w:val="22"/>
        </w:rPr>
        <w:t> </w:t>
      </w:r>
      <w:r>
        <w:rPr>
          <w:sz w:val="22"/>
        </w:rPr>
        <w:t>Сеченова»</w:t>
      </w:r>
      <w:r>
        <w:rPr>
          <w:spacing w:val="-9"/>
          <w:sz w:val="22"/>
        </w:rPr>
        <w:t> </w:t>
      </w:r>
      <w:r>
        <w:rPr>
          <w:sz w:val="22"/>
        </w:rPr>
        <w:t>(Сеченовский</w:t>
      </w:r>
      <w:r>
        <w:rPr>
          <w:spacing w:val="-10"/>
          <w:sz w:val="22"/>
        </w:rPr>
        <w:t> </w:t>
      </w:r>
      <w:r>
        <w:rPr>
          <w:sz w:val="22"/>
        </w:rPr>
        <w:t>университет)</w:t>
      </w:r>
      <w:r>
        <w:rPr>
          <w:spacing w:val="-9"/>
          <w:sz w:val="22"/>
        </w:rPr>
        <w:t> </w:t>
      </w:r>
      <w:r>
        <w:rPr>
          <w:sz w:val="22"/>
        </w:rPr>
        <w:t>Минздрава</w:t>
      </w:r>
      <w:r>
        <w:rPr>
          <w:spacing w:val="-9"/>
          <w:sz w:val="22"/>
        </w:rPr>
        <w:t> </w:t>
      </w:r>
      <w:r>
        <w:rPr>
          <w:sz w:val="22"/>
        </w:rPr>
        <w:t>России,</w:t>
      </w:r>
      <w:r>
        <w:rPr>
          <w:spacing w:val="-9"/>
          <w:sz w:val="22"/>
        </w:rPr>
        <w:t> </w:t>
      </w:r>
      <w:r>
        <w:rPr>
          <w:sz w:val="22"/>
        </w:rPr>
        <w:t>зав.</w:t>
      </w:r>
      <w:r>
        <w:rPr>
          <w:spacing w:val="-10"/>
          <w:sz w:val="22"/>
        </w:rPr>
        <w:t> </w:t>
      </w:r>
      <w:r>
        <w:rPr>
          <w:sz w:val="22"/>
        </w:rPr>
        <w:t>отделом</w:t>
      </w:r>
      <w:r>
        <w:rPr>
          <w:spacing w:val="-9"/>
          <w:sz w:val="22"/>
        </w:rPr>
        <w:t> </w:t>
      </w:r>
      <w:r>
        <w:rPr>
          <w:sz w:val="22"/>
        </w:rPr>
        <w:t>анестезиологии и</w:t>
      </w:r>
      <w:r>
        <w:rPr>
          <w:spacing w:val="63"/>
          <w:sz w:val="22"/>
        </w:rPr>
        <w:t>  </w:t>
      </w:r>
      <w:r>
        <w:rPr>
          <w:sz w:val="22"/>
        </w:rPr>
        <w:t>реаниматологии</w:t>
      </w:r>
      <w:r>
        <w:rPr>
          <w:spacing w:val="63"/>
          <w:sz w:val="22"/>
        </w:rPr>
        <w:t>  </w:t>
      </w:r>
      <w:r>
        <w:rPr>
          <w:sz w:val="22"/>
        </w:rPr>
        <w:t>НИИ</w:t>
      </w:r>
      <w:r>
        <w:rPr>
          <w:spacing w:val="64"/>
          <w:sz w:val="22"/>
        </w:rPr>
        <w:t>  </w:t>
      </w:r>
      <w:r>
        <w:rPr>
          <w:sz w:val="22"/>
        </w:rPr>
        <w:t>клинической</w:t>
      </w:r>
      <w:r>
        <w:rPr>
          <w:spacing w:val="63"/>
          <w:sz w:val="22"/>
        </w:rPr>
        <w:t>  </w:t>
      </w:r>
      <w:r>
        <w:rPr>
          <w:sz w:val="22"/>
        </w:rPr>
        <w:t>хирургии</w:t>
      </w:r>
      <w:r>
        <w:rPr>
          <w:spacing w:val="63"/>
          <w:sz w:val="22"/>
        </w:rPr>
        <w:t>  </w:t>
      </w:r>
      <w:r>
        <w:rPr>
          <w:sz w:val="22"/>
        </w:rPr>
        <w:t>ФГАОУ</w:t>
      </w:r>
      <w:r>
        <w:rPr>
          <w:spacing w:val="63"/>
          <w:sz w:val="22"/>
        </w:rPr>
        <w:t>  </w:t>
      </w:r>
      <w:r>
        <w:rPr>
          <w:sz w:val="22"/>
        </w:rPr>
        <w:t>ВО</w:t>
      </w:r>
      <w:r>
        <w:rPr>
          <w:spacing w:val="63"/>
          <w:sz w:val="22"/>
        </w:rPr>
        <w:t>  </w:t>
      </w:r>
      <w:r>
        <w:rPr>
          <w:sz w:val="22"/>
        </w:rPr>
        <w:t>«Российский</w:t>
      </w:r>
      <w:r>
        <w:rPr>
          <w:spacing w:val="63"/>
          <w:sz w:val="22"/>
        </w:rPr>
        <w:t>  </w:t>
      </w:r>
      <w:r>
        <w:rPr>
          <w:sz w:val="22"/>
        </w:rPr>
        <w:t>национальный</w:t>
      </w:r>
    </w:p>
    <w:p>
      <w:pPr>
        <w:spacing w:line="258" w:lineRule="exact" w:before="0"/>
        <w:ind w:left="140" w:right="0" w:firstLine="0"/>
        <w:jc w:val="center"/>
        <w:rPr>
          <w:rFonts w:ascii="Calibri"/>
          <w:sz w:val="22"/>
        </w:rPr>
      </w:pPr>
      <w:r>
        <w:rPr>
          <w:rFonts w:ascii="Calibri"/>
          <w:spacing w:val="-5"/>
          <w:sz w:val="22"/>
        </w:rPr>
        <w:t>245</w:t>
      </w:r>
    </w:p>
    <w:p>
      <w:pPr>
        <w:spacing w:line="226" w:lineRule="exact" w:before="0"/>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line="226" w:lineRule="exact"/>
        <w:jc w:val="right"/>
        <w:rPr>
          <w:sz w:val="20"/>
        </w:rPr>
        <w:sectPr>
          <w:pgSz w:w="11900" w:h="16840"/>
          <w:pgMar w:header="0" w:footer="288" w:top="1440" w:bottom="480" w:left="283" w:right="141"/>
        </w:sectPr>
      </w:pPr>
    </w:p>
    <w:p>
      <w:pPr>
        <w:spacing w:line="276" w:lineRule="auto" w:before="65"/>
        <w:ind w:left="947" w:right="0" w:firstLine="0"/>
        <w:jc w:val="left"/>
        <w:rPr>
          <w:sz w:val="22"/>
        </w:rPr>
      </w:pPr>
      <w:bookmarkStart w:name="247" w:id="294"/>
      <w:bookmarkEnd w:id="294"/>
      <w:r>
        <w:rPr/>
      </w:r>
      <w:r>
        <w:rPr>
          <w:sz w:val="22"/>
        </w:rPr>
        <w:t>исследовательский</w:t>
      </w:r>
      <w:r>
        <w:rPr>
          <w:spacing w:val="40"/>
          <w:sz w:val="22"/>
        </w:rPr>
        <w:t> </w:t>
      </w:r>
      <w:r>
        <w:rPr>
          <w:sz w:val="22"/>
        </w:rPr>
        <w:t>медицинский</w:t>
      </w:r>
      <w:r>
        <w:rPr>
          <w:spacing w:val="40"/>
          <w:sz w:val="22"/>
        </w:rPr>
        <w:t> </w:t>
      </w:r>
      <w:r>
        <w:rPr>
          <w:sz w:val="22"/>
        </w:rPr>
        <w:t>университет</w:t>
      </w:r>
      <w:r>
        <w:rPr>
          <w:spacing w:val="40"/>
          <w:sz w:val="22"/>
        </w:rPr>
        <w:t> </w:t>
      </w:r>
      <w:r>
        <w:rPr>
          <w:sz w:val="22"/>
        </w:rPr>
        <w:t>им.</w:t>
      </w:r>
      <w:r>
        <w:rPr>
          <w:spacing w:val="40"/>
          <w:sz w:val="22"/>
        </w:rPr>
        <w:t> </w:t>
      </w:r>
      <w:r>
        <w:rPr>
          <w:sz w:val="22"/>
        </w:rPr>
        <w:t>Н.И.</w:t>
      </w:r>
      <w:r>
        <w:rPr>
          <w:spacing w:val="40"/>
          <w:sz w:val="22"/>
        </w:rPr>
        <w:t> </w:t>
      </w:r>
      <w:r>
        <w:rPr>
          <w:sz w:val="22"/>
        </w:rPr>
        <w:t>Пирогова»</w:t>
      </w:r>
      <w:r>
        <w:rPr>
          <w:spacing w:val="40"/>
          <w:sz w:val="22"/>
        </w:rPr>
        <w:t> </w:t>
      </w:r>
      <w:r>
        <w:rPr>
          <w:sz w:val="22"/>
        </w:rPr>
        <w:t>Минздрава</w:t>
      </w:r>
      <w:r>
        <w:rPr>
          <w:spacing w:val="40"/>
          <w:sz w:val="22"/>
        </w:rPr>
        <w:t> </w:t>
      </w:r>
      <w:r>
        <w:rPr>
          <w:sz w:val="22"/>
        </w:rPr>
        <w:t>России,</w:t>
      </w:r>
      <w:r>
        <w:rPr>
          <w:spacing w:val="40"/>
          <w:sz w:val="22"/>
        </w:rPr>
        <w:t> </w:t>
      </w:r>
      <w:r>
        <w:rPr>
          <w:sz w:val="22"/>
        </w:rPr>
        <w:t>председатель Комитета</w:t>
      </w:r>
      <w:r>
        <w:rPr>
          <w:spacing w:val="-9"/>
          <w:sz w:val="22"/>
        </w:rPr>
        <w:t> </w:t>
      </w:r>
      <w:r>
        <w:rPr>
          <w:sz w:val="22"/>
        </w:rPr>
        <w:t>по</w:t>
      </w:r>
      <w:r>
        <w:rPr>
          <w:spacing w:val="-6"/>
          <w:sz w:val="22"/>
        </w:rPr>
        <w:t> </w:t>
      </w:r>
      <w:r>
        <w:rPr>
          <w:sz w:val="22"/>
        </w:rPr>
        <w:t>респираторной</w:t>
      </w:r>
      <w:r>
        <w:rPr>
          <w:spacing w:val="-6"/>
          <w:sz w:val="22"/>
        </w:rPr>
        <w:t> </w:t>
      </w:r>
      <w:r>
        <w:rPr>
          <w:sz w:val="22"/>
        </w:rPr>
        <w:t>и</w:t>
      </w:r>
      <w:r>
        <w:rPr>
          <w:spacing w:val="-7"/>
          <w:sz w:val="22"/>
        </w:rPr>
        <w:t> </w:t>
      </w:r>
      <w:r>
        <w:rPr>
          <w:sz w:val="22"/>
        </w:rPr>
        <w:t>метаболической</w:t>
      </w:r>
      <w:r>
        <w:rPr>
          <w:spacing w:val="-6"/>
          <w:sz w:val="22"/>
        </w:rPr>
        <w:t> </w:t>
      </w:r>
      <w:r>
        <w:rPr>
          <w:sz w:val="22"/>
        </w:rPr>
        <w:t>поддержке</w:t>
      </w:r>
      <w:r>
        <w:rPr>
          <w:spacing w:val="-6"/>
          <w:sz w:val="22"/>
        </w:rPr>
        <w:t> </w:t>
      </w:r>
      <w:r>
        <w:rPr>
          <w:sz w:val="22"/>
        </w:rPr>
        <w:t>Федерации</w:t>
      </w:r>
      <w:r>
        <w:rPr>
          <w:spacing w:val="-8"/>
          <w:sz w:val="22"/>
        </w:rPr>
        <w:t> </w:t>
      </w:r>
      <w:r>
        <w:rPr>
          <w:sz w:val="22"/>
        </w:rPr>
        <w:t>анестезиологов</w:t>
      </w:r>
      <w:r>
        <w:rPr>
          <w:spacing w:val="-6"/>
          <w:sz w:val="22"/>
        </w:rPr>
        <w:t> </w:t>
      </w:r>
      <w:r>
        <w:rPr>
          <w:sz w:val="22"/>
        </w:rPr>
        <w:t>и</w:t>
      </w:r>
      <w:r>
        <w:rPr>
          <w:spacing w:val="-6"/>
          <w:sz w:val="22"/>
        </w:rPr>
        <w:t> </w:t>
      </w:r>
      <w:r>
        <w:rPr>
          <w:spacing w:val="-2"/>
          <w:sz w:val="22"/>
        </w:rPr>
        <w:t>реаниматологов</w:t>
      </w: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ind w:left="0"/>
        <w:jc w:val="left"/>
        <w:rPr>
          <w:sz w:val="22"/>
        </w:rPr>
      </w:pPr>
    </w:p>
    <w:p>
      <w:pPr>
        <w:pStyle w:val="BodyText"/>
        <w:spacing w:before="169"/>
        <w:ind w:left="0"/>
        <w:jc w:val="left"/>
        <w:rPr>
          <w:sz w:val="22"/>
        </w:rPr>
      </w:pPr>
    </w:p>
    <w:p>
      <w:pPr>
        <w:spacing w:before="0"/>
        <w:ind w:left="140" w:right="0" w:firstLine="0"/>
        <w:jc w:val="center"/>
        <w:rPr>
          <w:rFonts w:ascii="Calibri"/>
          <w:sz w:val="22"/>
        </w:rPr>
      </w:pPr>
      <w:r>
        <w:rPr>
          <w:rFonts w:ascii="Calibri"/>
          <w:spacing w:val="-5"/>
          <w:sz w:val="22"/>
        </w:rPr>
        <w:t>246</w:t>
      </w:r>
    </w:p>
    <w:p>
      <w:pPr>
        <w:spacing w:before="1"/>
        <w:ind w:left="0" w:right="705" w:firstLine="0"/>
        <w:jc w:val="right"/>
        <w:rPr>
          <w:sz w:val="20"/>
        </w:rPr>
      </w:pPr>
      <w:r>
        <w:rPr>
          <w:color w:val="FFFFFF"/>
          <w:sz w:val="20"/>
          <w:shd w:fill="00008A" w:color="auto" w:val="clear"/>
        </w:rPr>
        <w:t>Версия</w:t>
      </w:r>
      <w:r>
        <w:rPr>
          <w:color w:val="FFFFFF"/>
          <w:spacing w:val="-6"/>
          <w:sz w:val="20"/>
          <w:shd w:fill="00008A" w:color="auto" w:val="clear"/>
        </w:rPr>
        <w:t> </w:t>
      </w:r>
      <w:r>
        <w:rPr>
          <w:color w:val="FFFFFF"/>
          <w:sz w:val="20"/>
          <w:shd w:fill="00008A" w:color="auto" w:val="clear"/>
        </w:rPr>
        <w:t>19</w:t>
      </w:r>
      <w:r>
        <w:rPr>
          <w:color w:val="FFFFFF"/>
          <w:spacing w:val="-4"/>
          <w:sz w:val="20"/>
          <w:shd w:fill="00008A" w:color="auto" w:val="clear"/>
        </w:rPr>
        <w:t> </w:t>
      </w:r>
      <w:r>
        <w:rPr>
          <w:color w:val="FFFFFF"/>
          <w:spacing w:val="-2"/>
          <w:sz w:val="20"/>
          <w:shd w:fill="00008A" w:color="auto" w:val="clear"/>
        </w:rPr>
        <w:t>(27.05.2025)</w:t>
      </w:r>
    </w:p>
    <w:p>
      <w:pPr>
        <w:spacing w:after="0"/>
        <w:jc w:val="right"/>
        <w:rPr>
          <w:sz w:val="20"/>
        </w:rPr>
        <w:sectPr>
          <w:pgSz w:w="11900" w:h="16840"/>
          <w:pgMar w:header="0" w:footer="288" w:top="1440" w:bottom="480" w:left="283" w:right="141"/>
        </w:sectPr>
      </w:pPr>
    </w:p>
    <w:p>
      <w:pPr>
        <w:pStyle w:val="BodyText"/>
        <w:ind w:left="0"/>
        <w:jc w:val="left"/>
        <w:rPr>
          <w:sz w:val="32"/>
        </w:rPr>
      </w:pPr>
      <w:r>
        <w:rPr>
          <w:sz w:val="32"/>
        </w:rPr>
        <mc:AlternateContent>
          <mc:Choice Requires="wps">
            <w:drawing>
              <wp:anchor distT="0" distB="0" distL="0" distR="0" allowOverlap="1" layoutInCell="1" locked="0" behindDoc="1" simplePos="0" relativeHeight="482833408">
                <wp:simplePos x="0" y="0"/>
                <wp:positionH relativeFrom="page">
                  <wp:posOffset>0</wp:posOffset>
                </wp:positionH>
                <wp:positionV relativeFrom="page">
                  <wp:posOffset>9544</wp:posOffset>
                </wp:positionV>
                <wp:extent cx="7564120" cy="10676890"/>
                <wp:effectExtent l="0" t="0" r="0" b="0"/>
                <wp:wrapNone/>
                <wp:docPr id="118" name="Group 118"/>
                <wp:cNvGraphicFramePr>
                  <a:graphicFrameLocks/>
                </wp:cNvGraphicFramePr>
                <a:graphic>
                  <a:graphicData uri="http://schemas.microsoft.com/office/word/2010/wordprocessingGroup">
                    <wpg:wgp>
                      <wpg:cNvPr id="118" name="Group 118"/>
                      <wpg:cNvGrpSpPr/>
                      <wpg:grpSpPr>
                        <a:xfrm>
                          <a:off x="0" y="0"/>
                          <a:ext cx="7564120" cy="10676890"/>
                          <a:chExt cx="7564120" cy="10676890"/>
                        </a:xfrm>
                      </wpg:grpSpPr>
                      <wps:wsp>
                        <wps:cNvPr id="119" name="Graphic 119"/>
                        <wps:cNvSpPr/>
                        <wps:spPr>
                          <a:xfrm>
                            <a:off x="5789421" y="9786219"/>
                            <a:ext cx="1235075" cy="146685"/>
                          </a:xfrm>
                          <a:custGeom>
                            <a:avLst/>
                            <a:gdLst/>
                            <a:ahLst/>
                            <a:cxnLst/>
                            <a:rect l="l" t="t" r="r" b="b"/>
                            <a:pathLst>
                              <a:path w="1235075" h="146685">
                                <a:moveTo>
                                  <a:pt x="1228141" y="843"/>
                                </a:moveTo>
                                <a:lnTo>
                                  <a:pt x="-5442" y="843"/>
                                </a:lnTo>
                                <a:lnTo>
                                  <a:pt x="-5442" y="147010"/>
                                </a:lnTo>
                                <a:lnTo>
                                  <a:pt x="1228141" y="147010"/>
                                </a:lnTo>
                                <a:lnTo>
                                  <a:pt x="1228141" y="843"/>
                                </a:lnTo>
                                <a:close/>
                              </a:path>
                            </a:pathLst>
                          </a:custGeom>
                          <a:solidFill>
                            <a:srgbClr val="00008A"/>
                          </a:solidFill>
                        </wps:spPr>
                        <wps:bodyPr wrap="square" lIns="0" tIns="0" rIns="0" bIns="0" rtlCol="0">
                          <a:prstTxWarp prst="textNoShape">
                            <a:avLst/>
                          </a:prstTxWarp>
                          <a:noAutofit/>
                        </wps:bodyPr>
                      </wps:wsp>
                      <pic:pic>
                        <pic:nvPicPr>
                          <pic:cNvPr id="120" name="Image 120"/>
                          <pic:cNvPicPr/>
                        </pic:nvPicPr>
                        <pic:blipFill>
                          <a:blip r:embed="rId74" cstate="print"/>
                          <a:stretch>
                            <a:fillRect/>
                          </a:stretch>
                        </pic:blipFill>
                        <pic:spPr>
                          <a:xfrm>
                            <a:off x="0" y="0"/>
                            <a:ext cx="7556376" cy="10676664"/>
                          </a:xfrm>
                          <a:prstGeom prst="rect">
                            <a:avLst/>
                          </a:prstGeom>
                        </pic:spPr>
                      </pic:pic>
                      <wps:wsp>
                        <wps:cNvPr id="121" name="Graphic 121"/>
                        <wps:cNvSpPr/>
                        <wps:spPr>
                          <a:xfrm>
                            <a:off x="3145789" y="8857087"/>
                            <a:ext cx="3254375" cy="1002665"/>
                          </a:xfrm>
                          <a:custGeom>
                            <a:avLst/>
                            <a:gdLst/>
                            <a:ahLst/>
                            <a:cxnLst/>
                            <a:rect l="l" t="t" r="r" b="b"/>
                            <a:pathLst>
                              <a:path w="3254375" h="1002665">
                                <a:moveTo>
                                  <a:pt x="3248358" y="1717"/>
                                </a:moveTo>
                                <a:lnTo>
                                  <a:pt x="-2957" y="1717"/>
                                </a:lnTo>
                                <a:lnTo>
                                  <a:pt x="-2957" y="1003439"/>
                                </a:lnTo>
                                <a:lnTo>
                                  <a:pt x="3248358" y="1003439"/>
                                </a:lnTo>
                                <a:lnTo>
                                  <a:pt x="3248358" y="1717"/>
                                </a:lnTo>
                                <a:close/>
                              </a:path>
                            </a:pathLst>
                          </a:custGeom>
                          <a:solidFill>
                            <a:srgbClr val="FFFFFF"/>
                          </a:solidFill>
                        </wps:spPr>
                        <wps:bodyPr wrap="square" lIns="0" tIns="0" rIns="0" bIns="0" rtlCol="0">
                          <a:prstTxWarp prst="textNoShape">
                            <a:avLst/>
                          </a:prstTxWarp>
                          <a:noAutofit/>
                        </wps:bodyPr>
                      </wps:wsp>
                      <pic:pic>
                        <pic:nvPicPr>
                          <pic:cNvPr id="122" name="Image 122"/>
                          <pic:cNvPicPr/>
                        </pic:nvPicPr>
                        <pic:blipFill>
                          <a:blip r:embed="rId75" cstate="print"/>
                          <a:stretch>
                            <a:fillRect/>
                          </a:stretch>
                        </pic:blipFill>
                        <pic:spPr>
                          <a:xfrm>
                            <a:off x="3289046" y="8906498"/>
                            <a:ext cx="2990149" cy="911051"/>
                          </a:xfrm>
                          <a:prstGeom prst="rect">
                            <a:avLst/>
                          </a:prstGeom>
                        </pic:spPr>
                      </pic:pic>
                      <wps:wsp>
                        <wps:cNvPr id="123" name="Graphic 123"/>
                        <wps:cNvSpPr/>
                        <wps:spPr>
                          <a:xfrm>
                            <a:off x="0" y="10323175"/>
                            <a:ext cx="7564120" cy="10160"/>
                          </a:xfrm>
                          <a:custGeom>
                            <a:avLst/>
                            <a:gdLst/>
                            <a:ahLst/>
                            <a:cxnLst/>
                            <a:rect l="l" t="t" r="r" b="b"/>
                            <a:pathLst>
                              <a:path w="7564120" h="10160">
                                <a:moveTo>
                                  <a:pt x="7556502" y="339"/>
                                </a:moveTo>
                                <a:lnTo>
                                  <a:pt x="0" y="339"/>
                                </a:lnTo>
                                <a:lnTo>
                                  <a:pt x="0" y="10489"/>
                                </a:lnTo>
                                <a:lnTo>
                                  <a:pt x="7556502" y="10489"/>
                                </a:lnTo>
                                <a:lnTo>
                                  <a:pt x="7556502" y="339"/>
                                </a:lnTo>
                                <a:close/>
                              </a:path>
                            </a:pathLst>
                          </a:custGeom>
                          <a:solidFill>
                            <a:srgbClr val="000000"/>
                          </a:solidFill>
                        </wps:spPr>
                        <wps:bodyPr wrap="square" lIns="0" tIns="0" rIns="0" bIns="0" rtlCol="0">
                          <a:prstTxWarp prst="textNoShape">
                            <a:avLst/>
                          </a:prstTxWarp>
                          <a:noAutofit/>
                        </wps:bodyPr>
                      </wps:wsp>
                      <pic:pic>
                        <pic:nvPicPr>
                          <pic:cNvPr id="124" name="Image 124"/>
                          <pic:cNvPicPr/>
                        </pic:nvPicPr>
                        <pic:blipFill>
                          <a:blip r:embed="rId76" cstate="print"/>
                          <a:stretch>
                            <a:fillRect/>
                          </a:stretch>
                        </pic:blipFill>
                        <pic:spPr>
                          <a:xfrm>
                            <a:off x="6546278" y="10338740"/>
                            <a:ext cx="1010221" cy="330904"/>
                          </a:xfrm>
                          <a:prstGeom prst="rect">
                            <a:avLst/>
                          </a:prstGeom>
                        </pic:spPr>
                      </pic:pic>
                    </wpg:wgp>
                  </a:graphicData>
                </a:graphic>
              </wp:anchor>
            </w:drawing>
          </mc:Choice>
          <mc:Fallback>
            <w:pict>
              <v:group style="position:absolute;margin-left:0pt;margin-top:.751539pt;width:595.6pt;height:840.7pt;mso-position-horizontal-relative:page;mso-position-vertical-relative:page;z-index:-20483072" id="docshapegroup94" coordorigin="0,15" coordsize="11912,16814">
                <v:rect style="position:absolute;left:9108;top:15427;width:1943;height:231" id="docshape95" filled="true" fillcolor="#00008a" stroked="false">
                  <v:fill type="solid"/>
                </v:rect>
                <v:shape style="position:absolute;left:0;top:15;width:11900;height:16814" type="#_x0000_t75" id="docshape96" stroked="false">
                  <v:imagedata r:id="rId74" o:title=""/>
                </v:shape>
                <v:rect style="position:absolute;left:4949;top:13965;width:5121;height:1578" id="docshape97" filled="true" fillcolor="#ffffff" stroked="false">
                  <v:fill type="solid"/>
                </v:rect>
                <v:shape style="position:absolute;left:5179;top:14041;width:4709;height:1435" type="#_x0000_t75" id="docshape98" stroked="false">
                  <v:imagedata r:id="rId75" o:title=""/>
                </v:shape>
                <v:rect style="position:absolute;left:0;top:16272;width:11900;height:16" id="docshape99" filled="true" fillcolor="#000000" stroked="false">
                  <v:fill type="solid"/>
                </v:rect>
                <v:shape style="position:absolute;left:10309;top:16296;width:1591;height:522" type="#_x0000_t75" id="docshape100" stroked="false">
                  <v:imagedata r:id="rId76" o:title=""/>
                </v:shape>
                <w10:wrap type="none"/>
              </v:group>
            </w:pict>
          </mc:Fallback>
        </mc:AlternateContent>
      </w: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ind w:left="0"/>
        <w:jc w:val="left"/>
        <w:rPr>
          <w:sz w:val="32"/>
        </w:rPr>
      </w:pPr>
    </w:p>
    <w:p>
      <w:pPr>
        <w:pStyle w:val="BodyText"/>
        <w:spacing w:before="218"/>
        <w:ind w:left="0"/>
        <w:jc w:val="left"/>
        <w:rPr>
          <w:sz w:val="32"/>
        </w:rPr>
      </w:pPr>
    </w:p>
    <w:p>
      <w:pPr>
        <w:spacing w:before="1"/>
        <w:ind w:left="5878" w:right="0" w:firstLine="0"/>
        <w:jc w:val="left"/>
        <w:rPr>
          <w:rFonts w:ascii="Franklin Gothic Book" w:hAnsi="Franklin Gothic Book"/>
          <w:sz w:val="32"/>
        </w:rPr>
      </w:pPr>
      <w:bookmarkStart w:name="248" w:id="295"/>
      <w:bookmarkEnd w:id="295"/>
      <w:r>
        <w:rPr/>
      </w:r>
      <w:r>
        <w:rPr>
          <w:rFonts w:ascii="Franklin Gothic Book" w:hAnsi="Franklin Gothic Book"/>
          <w:color w:val="FFFFFF"/>
          <w:sz w:val="32"/>
        </w:rPr>
        <w:t>Версия</w:t>
      </w:r>
      <w:r>
        <w:rPr>
          <w:rFonts w:ascii="Franklin Gothic Book" w:hAnsi="Franklin Gothic Book"/>
          <w:color w:val="FFFFFF"/>
          <w:spacing w:val="-9"/>
          <w:sz w:val="32"/>
        </w:rPr>
        <w:t> </w:t>
      </w:r>
      <w:r>
        <w:rPr>
          <w:rFonts w:ascii="Franklin Gothic Book" w:hAnsi="Franklin Gothic Book"/>
          <w:color w:val="FFFFFF"/>
          <w:sz w:val="32"/>
        </w:rPr>
        <w:t>19</w:t>
      </w:r>
      <w:r>
        <w:rPr>
          <w:rFonts w:ascii="Franklin Gothic Book" w:hAnsi="Franklin Gothic Book"/>
          <w:color w:val="FFFFFF"/>
          <w:spacing w:val="-7"/>
          <w:sz w:val="32"/>
        </w:rPr>
        <w:t> </w:t>
      </w:r>
      <w:r>
        <w:rPr>
          <w:rFonts w:ascii="Franklin Gothic Book" w:hAnsi="Franklin Gothic Book"/>
          <w:color w:val="FFFFFF"/>
          <w:spacing w:val="-2"/>
          <w:sz w:val="32"/>
        </w:rPr>
        <w:t>(27.05.2025)</w:t>
      </w:r>
    </w:p>
    <w:p>
      <w:pPr>
        <w:pStyle w:val="BodyText"/>
        <w:ind w:left="0"/>
        <w:jc w:val="left"/>
        <w:rPr>
          <w:rFonts w:ascii="Franklin Gothic Book"/>
        </w:rPr>
      </w:pPr>
    </w:p>
    <w:p>
      <w:pPr>
        <w:pStyle w:val="BodyText"/>
        <w:ind w:left="0"/>
        <w:jc w:val="left"/>
        <w:rPr>
          <w:rFonts w:ascii="Franklin Gothic Book"/>
        </w:rPr>
      </w:pPr>
    </w:p>
    <w:p>
      <w:pPr>
        <w:pStyle w:val="BodyText"/>
        <w:ind w:left="0"/>
        <w:jc w:val="left"/>
        <w:rPr>
          <w:rFonts w:ascii="Franklin Gothic Book"/>
        </w:rPr>
      </w:pPr>
    </w:p>
    <w:p>
      <w:pPr>
        <w:pStyle w:val="BodyText"/>
        <w:ind w:left="0"/>
        <w:jc w:val="left"/>
        <w:rPr>
          <w:rFonts w:ascii="Franklin Gothic Book"/>
        </w:rPr>
      </w:pPr>
    </w:p>
    <w:p>
      <w:pPr>
        <w:pStyle w:val="BodyText"/>
        <w:ind w:left="0"/>
        <w:jc w:val="left"/>
        <w:rPr>
          <w:rFonts w:ascii="Franklin Gothic Book"/>
        </w:rPr>
      </w:pPr>
    </w:p>
    <w:p>
      <w:pPr>
        <w:pStyle w:val="BodyText"/>
        <w:ind w:left="0"/>
        <w:jc w:val="left"/>
        <w:rPr>
          <w:rFonts w:ascii="Franklin Gothic Book"/>
        </w:rPr>
      </w:pPr>
    </w:p>
    <w:p>
      <w:pPr>
        <w:pStyle w:val="BodyText"/>
        <w:ind w:left="0"/>
        <w:jc w:val="left"/>
        <w:rPr>
          <w:rFonts w:ascii="Franklin Gothic Book"/>
        </w:rPr>
      </w:pPr>
    </w:p>
    <w:p>
      <w:pPr>
        <w:pStyle w:val="BodyText"/>
        <w:spacing w:before="150"/>
        <w:ind w:left="0"/>
        <w:jc w:val="left"/>
        <w:rPr>
          <w:rFonts w:ascii="Franklin Gothic Book"/>
        </w:rPr>
      </w:pPr>
    </w:p>
    <w:p>
      <w:pPr>
        <w:pStyle w:val="BodyText"/>
        <w:tabs>
          <w:tab w:pos="436" w:val="left" w:leader="none"/>
          <w:tab w:pos="1555" w:val="left" w:leader="none"/>
          <w:tab w:pos="1874" w:val="left" w:leader="none"/>
          <w:tab w:pos="3406" w:val="left" w:leader="none"/>
          <w:tab w:pos="3725" w:val="left" w:leader="none"/>
          <w:tab w:pos="4072" w:val="left" w:leader="none"/>
          <w:tab w:pos="4391" w:val="left" w:leader="none"/>
          <w:tab w:pos="4711" w:val="left" w:leader="none"/>
          <w:tab w:pos="5031" w:val="left" w:leader="none"/>
          <w:tab w:pos="5350" w:val="left" w:leader="none"/>
          <w:tab w:pos="6243" w:val="left" w:leader="none"/>
          <w:tab w:pos="6562" w:val="left" w:leader="none"/>
          <w:tab w:pos="6882" w:val="left" w:leader="none"/>
          <w:tab w:pos="7202" w:val="left" w:leader="none"/>
          <w:tab w:pos="7521" w:val="left" w:leader="none"/>
          <w:tab w:pos="7841" w:val="left" w:leader="none"/>
        </w:tabs>
        <w:spacing w:line="170" w:lineRule="exact"/>
        <w:ind w:left="76"/>
        <w:jc w:val="left"/>
      </w:pPr>
      <w:r>
        <w:rPr/>
        <mc:AlternateContent>
          <mc:Choice Requires="wps">
            <w:drawing>
              <wp:anchor distT="0" distB="0" distL="0" distR="0" allowOverlap="1" layoutInCell="1" locked="0" behindDoc="1" simplePos="0" relativeHeight="482832896">
                <wp:simplePos x="0" y="0"/>
                <wp:positionH relativeFrom="page">
                  <wp:posOffset>3761629</wp:posOffset>
                </wp:positionH>
                <wp:positionV relativeFrom="paragraph">
                  <wp:posOffset>-668894</wp:posOffset>
                </wp:positionV>
                <wp:extent cx="3256915" cy="289560"/>
                <wp:effectExtent l="0" t="0" r="0" b="0"/>
                <wp:wrapNone/>
                <wp:docPr id="125" name="Textbox 125"/>
                <wp:cNvGraphicFramePr>
                  <a:graphicFrameLocks/>
                </wp:cNvGraphicFramePr>
                <a:graphic>
                  <a:graphicData uri="http://schemas.microsoft.com/office/word/2010/wordprocessingShape">
                    <wps:wsp>
                      <wps:cNvPr id="125" name="Textbox 125"/>
                      <wps:cNvSpPr txBox="1"/>
                      <wps:spPr>
                        <a:xfrm>
                          <a:off x="0" y="0"/>
                          <a:ext cx="3256915" cy="289560"/>
                        </a:xfrm>
                        <a:prstGeom prst="rect">
                          <a:avLst/>
                        </a:prstGeom>
                      </wps:spPr>
                      <wps:txbx>
                        <w:txbxContent>
                          <w:p>
                            <w:pPr>
                              <w:spacing w:line="225" w:lineRule="exact" w:before="0"/>
                              <w:ind w:left="0" w:right="0" w:firstLine="0"/>
                              <w:jc w:val="left"/>
                              <w:rPr>
                                <w:rFonts w:ascii="Calibri"/>
                                <w:sz w:val="22"/>
                              </w:rPr>
                            </w:pPr>
                            <w:r>
                              <w:rPr>
                                <w:rFonts w:ascii="Calibri"/>
                                <w:spacing w:val="-5"/>
                                <w:sz w:val="22"/>
                              </w:rPr>
                              <w:t>247</w:t>
                            </w:r>
                          </w:p>
                          <w:p>
                            <w:pPr>
                              <w:spacing w:line="230" w:lineRule="exact" w:before="1"/>
                              <w:ind w:left="3184"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wps:txbx>
                      <wps:bodyPr wrap="square" lIns="0" tIns="0" rIns="0" bIns="0" rtlCol="0">
                        <a:noAutofit/>
                      </wps:bodyPr>
                    </wps:wsp>
                  </a:graphicData>
                </a:graphic>
              </wp:anchor>
            </w:drawing>
          </mc:Choice>
          <mc:Fallback>
            <w:pict>
              <v:shape style="position:absolute;margin-left:296.191315pt;margin-top:-52.668896pt;width:256.45pt;height:22.8pt;mso-position-horizontal-relative:page;mso-position-vertical-relative:paragraph;z-index:-20483584" type="#_x0000_t202" id="docshape101" filled="false" stroked="false">
                <v:textbox inset="0,0,0,0">
                  <w:txbxContent>
                    <w:p>
                      <w:pPr>
                        <w:spacing w:line="225" w:lineRule="exact" w:before="0"/>
                        <w:ind w:left="0" w:right="0" w:firstLine="0"/>
                        <w:jc w:val="left"/>
                        <w:rPr>
                          <w:rFonts w:ascii="Calibri"/>
                          <w:sz w:val="22"/>
                        </w:rPr>
                      </w:pPr>
                      <w:r>
                        <w:rPr>
                          <w:rFonts w:ascii="Calibri"/>
                          <w:spacing w:val="-5"/>
                          <w:sz w:val="22"/>
                        </w:rPr>
                        <w:t>247</w:t>
                      </w:r>
                    </w:p>
                    <w:p>
                      <w:pPr>
                        <w:spacing w:line="230" w:lineRule="exact" w:before="1"/>
                        <w:ind w:left="3184"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v:textbox>
                <w10:wrap type="none"/>
              </v:shape>
            </w:pict>
          </mc:Fallback>
        </mc:AlternateContent>
      </w:r>
      <w:r>
        <w:rPr>
          <w:spacing w:val="-10"/>
        </w:rPr>
        <w:t>£</w:t>
      </w:r>
      <w:r>
        <w:rPr/>
        <w:tab/>
      </w:r>
      <w:r>
        <w:rPr>
          <w:spacing w:val="-10"/>
        </w:rPr>
        <w:t>˝</w:t>
      </w:r>
      <w:r>
        <w:rPr/>
        <w:tab/>
      </w:r>
      <w:r>
        <w:rPr>
          <w:spacing w:val="-10"/>
        </w:rPr>
        <w:t>¸</w:t>
      </w:r>
      <w:r>
        <w:rPr/>
        <w:tab/>
      </w:r>
      <w:r>
        <w:rPr>
          <w:spacing w:val="-10"/>
        </w:rPr>
        <w:t>˜</w:t>
      </w:r>
      <w:r>
        <w:rPr/>
        <w:tab/>
      </w:r>
      <w:r>
        <w:rPr>
          <w:spacing w:val="-10"/>
        </w:rPr>
        <w:t>˘</w:t>
      </w:r>
      <w:r>
        <w:rPr/>
        <w:tab/>
      </w:r>
      <w:r>
        <w:rPr>
          <w:spacing w:val="-10"/>
        </w:rPr>
        <w:t>¿</w:t>
      </w:r>
      <w:r>
        <w:rPr/>
        <w:tab/>
      </w:r>
      <w:r>
        <w:rPr>
          <w:spacing w:val="-10"/>
        </w:rPr>
        <w:t>ˇ</w:t>
      </w:r>
      <w:r>
        <w:rPr/>
        <w:tab/>
      </w:r>
      <w:r>
        <w:rPr>
          <w:spacing w:val="-10"/>
        </w:rPr>
        <w:t>˜</w:t>
      </w:r>
      <w:r>
        <w:rPr/>
        <w:tab/>
      </w:r>
      <w:r>
        <w:rPr>
          <w:spacing w:val="-10"/>
        </w:rPr>
        <w:t>´</w:t>
      </w:r>
      <w:r>
        <w:rPr/>
        <w:tab/>
      </w:r>
      <w:r>
        <w:rPr>
          <w:spacing w:val="-10"/>
        </w:rPr>
        <w:t>˙</w:t>
      </w:r>
      <w:r>
        <w:rPr/>
        <w:tab/>
      </w:r>
      <w:r>
        <w:rPr>
          <w:spacing w:val="-10"/>
        </w:rPr>
        <w:t>—</w:t>
      </w:r>
      <w:r>
        <w:rPr/>
        <w:tab/>
      </w:r>
      <w:r>
        <w:rPr>
          <w:spacing w:val="-10"/>
        </w:rPr>
        <w:t>ˇ</w:t>
      </w:r>
      <w:r>
        <w:rPr/>
        <w:tab/>
      </w:r>
      <w:r>
        <w:rPr>
          <w:spacing w:val="-10"/>
        </w:rPr>
        <w:t>˙</w:t>
      </w:r>
      <w:r>
        <w:rPr/>
        <w:tab/>
      </w:r>
      <w:r>
        <w:rPr>
          <w:spacing w:val="-10"/>
        </w:rPr>
        <w:t>ˇ</w:t>
      </w:r>
      <w:r>
        <w:rPr/>
        <w:tab/>
      </w:r>
      <w:r>
        <w:rPr>
          <w:spacing w:val="-10"/>
        </w:rPr>
        <w:t>˝</w:t>
      </w:r>
      <w:r>
        <w:rPr/>
        <w:tab/>
      </w:r>
      <w:r>
        <w:rPr>
          <w:spacing w:val="-10"/>
        </w:rPr>
        <w:t>`</w:t>
      </w:r>
      <w:r>
        <w:rPr/>
        <w:tab/>
      </w:r>
      <w:r>
        <w:rPr>
          <w:spacing w:val="-10"/>
        </w:rPr>
        <w:t>¿</w:t>
      </w:r>
    </w:p>
    <w:p>
      <w:pPr>
        <w:pStyle w:val="BodyText"/>
        <w:tabs>
          <w:tab w:pos="436" w:val="left" w:leader="none"/>
          <w:tab w:pos="1555" w:val="left" w:leader="none"/>
          <w:tab w:pos="1874" w:val="left" w:leader="none"/>
          <w:tab w:pos="3406" w:val="left" w:leader="none"/>
          <w:tab w:pos="3725" w:val="left" w:leader="none"/>
          <w:tab w:pos="4072" w:val="left" w:leader="none"/>
          <w:tab w:pos="4391" w:val="left" w:leader="none"/>
          <w:tab w:pos="4711" w:val="left" w:leader="none"/>
          <w:tab w:pos="5031" w:val="left" w:leader="none"/>
          <w:tab w:pos="5350" w:val="left" w:leader="none"/>
          <w:tab w:pos="6243" w:val="left" w:leader="none"/>
          <w:tab w:pos="6562" w:val="left" w:leader="none"/>
          <w:tab w:pos="6882" w:val="left" w:leader="none"/>
          <w:tab w:pos="7202" w:val="left" w:leader="none"/>
          <w:tab w:pos="7521" w:val="left" w:leader="none"/>
          <w:tab w:pos="7841" w:val="left" w:leader="none"/>
        </w:tabs>
        <w:spacing w:line="266" w:lineRule="exact"/>
        <w:ind w:left="76"/>
        <w:jc w:val="left"/>
      </w:pPr>
      <w:r>
        <w:rPr/>
        <mc:AlternateContent>
          <mc:Choice Requires="wps">
            <w:drawing>
              <wp:anchor distT="0" distB="0" distL="0" distR="0" allowOverlap="1" layoutInCell="1" locked="0" behindDoc="1" simplePos="0" relativeHeight="482833920">
                <wp:simplePos x="0" y="0"/>
                <wp:positionH relativeFrom="page">
                  <wp:posOffset>703741</wp:posOffset>
                </wp:positionH>
                <wp:positionV relativeFrom="paragraph">
                  <wp:posOffset>101858</wp:posOffset>
                </wp:positionV>
                <wp:extent cx="271145" cy="168910"/>
                <wp:effectExtent l="0" t="0" r="0" b="0"/>
                <wp:wrapNone/>
                <wp:docPr id="126" name="Textbox 126"/>
                <wp:cNvGraphicFramePr>
                  <a:graphicFrameLocks/>
                </wp:cNvGraphicFramePr>
                <a:graphic>
                  <a:graphicData uri="http://schemas.microsoft.com/office/word/2010/wordprocessingShape">
                    <wps:wsp>
                      <wps:cNvPr id="126" name="Textbox 126"/>
                      <wps:cNvSpPr txBox="1"/>
                      <wps:spPr>
                        <a:xfrm>
                          <a:off x="0" y="0"/>
                          <a:ext cx="271145" cy="168910"/>
                        </a:xfrm>
                        <a:prstGeom prst="rect">
                          <a:avLst/>
                        </a:prstGeom>
                      </wps:spPr>
                      <wps:txbx>
                        <w:txbxContent>
                          <w:p>
                            <w:pPr>
                              <w:pStyle w:val="BodyText"/>
                              <w:tabs>
                                <w:tab w:pos="319" w:val="left" w:leader="none"/>
                              </w:tabs>
                              <w:spacing w:line="266" w:lineRule="exact"/>
                              <w:ind w:left="0"/>
                              <w:jc w:val="left"/>
                            </w:pPr>
                            <w:r>
                              <w:rPr>
                                <w:spacing w:val="-10"/>
                              </w:rPr>
                              <w:t>ˇ</w:t>
                            </w:r>
                            <w:r>
                              <w:rPr/>
                              <w:tab/>
                            </w:r>
                            <w:r>
                              <w:rPr>
                                <w:spacing w:val="-10"/>
                              </w:rPr>
                              <w:t>¿</w:t>
                            </w:r>
                          </w:p>
                        </w:txbxContent>
                      </wps:txbx>
                      <wps:bodyPr wrap="square" lIns="0" tIns="0" rIns="0" bIns="0" rtlCol="0">
                        <a:noAutofit/>
                      </wps:bodyPr>
                    </wps:wsp>
                  </a:graphicData>
                </a:graphic>
              </wp:anchor>
            </w:drawing>
          </mc:Choice>
          <mc:Fallback>
            <w:pict>
              <v:shape style="position:absolute;margin-left:55.412708pt;margin-top:8.020338pt;width:21.35pt;height:13.3pt;mso-position-horizontal-relative:page;mso-position-vertical-relative:paragraph;z-index:-20482560" type="#_x0000_t202" id="docshape102" filled="false" stroked="false">
                <v:textbox inset="0,0,0,0">
                  <w:txbxContent>
                    <w:p>
                      <w:pPr>
                        <w:pStyle w:val="BodyText"/>
                        <w:tabs>
                          <w:tab w:pos="319" w:val="left" w:leader="none"/>
                        </w:tabs>
                        <w:spacing w:line="266" w:lineRule="exact"/>
                        <w:ind w:left="0"/>
                        <w:jc w:val="left"/>
                      </w:pPr>
                      <w:r>
                        <w:rPr>
                          <w:spacing w:val="-10"/>
                        </w:rPr>
                        <w:t>ˇ</w:t>
                      </w:r>
                      <w:r>
                        <w:rPr/>
                        <w:tab/>
                      </w:r>
                      <w:r>
                        <w:rPr>
                          <w:spacing w:val="-10"/>
                        </w:rPr>
                        <w:t>¿</w:t>
                      </w:r>
                    </w:p>
                  </w:txbxContent>
                </v:textbox>
                <w10:wrap type="none"/>
              </v:shape>
            </w:pict>
          </mc:Fallback>
        </mc:AlternateContent>
      </w:r>
      <w:r>
        <w:rPr/>
        <mc:AlternateContent>
          <mc:Choice Requires="wps">
            <w:drawing>
              <wp:anchor distT="0" distB="0" distL="0" distR="0" allowOverlap="1" layoutInCell="1" locked="0" behindDoc="1" simplePos="0" relativeHeight="482834432">
                <wp:simplePos x="0" y="0"/>
                <wp:positionH relativeFrom="page">
                  <wp:posOffset>1329495</wp:posOffset>
                </wp:positionH>
                <wp:positionV relativeFrom="paragraph">
                  <wp:posOffset>101858</wp:posOffset>
                </wp:positionV>
                <wp:extent cx="6075045" cy="168910"/>
                <wp:effectExtent l="0" t="0" r="0" b="0"/>
                <wp:wrapNone/>
                <wp:docPr id="127" name="Textbox 127"/>
                <wp:cNvGraphicFramePr>
                  <a:graphicFrameLocks/>
                </wp:cNvGraphicFramePr>
                <a:graphic>
                  <a:graphicData uri="http://schemas.microsoft.com/office/word/2010/wordprocessingShape">
                    <wps:wsp>
                      <wps:cNvPr id="127" name="Textbox 127"/>
                      <wps:cNvSpPr txBox="1"/>
                      <wps:spPr>
                        <a:xfrm>
                          <a:off x="0" y="0"/>
                          <a:ext cx="6075045" cy="168910"/>
                        </a:xfrm>
                        <a:prstGeom prst="rect">
                          <a:avLst/>
                        </a:prstGeom>
                      </wps:spPr>
                      <wps:txbx>
                        <w:txbxContent>
                          <w:p>
                            <w:pPr>
                              <w:pStyle w:val="BodyText"/>
                              <w:tabs>
                                <w:tab w:pos="732" w:val="left" w:leader="none"/>
                                <w:tab w:pos="3476" w:val="left" w:leader="none"/>
                                <w:tab w:pos="3796" w:val="left" w:leader="none"/>
                                <w:tab w:pos="7741" w:val="left" w:leader="none"/>
                                <w:tab w:pos="8061" w:val="left" w:leader="none"/>
                                <w:tab w:pos="8726" w:val="left" w:leader="none"/>
                                <w:tab w:pos="9459" w:val="left" w:leader="none"/>
                              </w:tabs>
                              <w:spacing w:line="266" w:lineRule="exact"/>
                              <w:ind w:left="0"/>
                              <w:jc w:val="left"/>
                            </w:pPr>
                            <w:r>
                              <w:rPr>
                                <w:spacing w:val="-10"/>
                              </w:rPr>
                              <w:t>˙</w:t>
                            </w:r>
                            <w:r>
                              <w:rPr/>
                              <w:tab/>
                            </w:r>
                            <w:r>
                              <w:rPr>
                                <w:spacing w:val="-10"/>
                              </w:rPr>
                              <w:t>¿</w:t>
                            </w:r>
                            <w:r>
                              <w:rPr/>
                              <w:tab/>
                            </w:r>
                            <w:r>
                              <w:rPr>
                                <w:spacing w:val="-10"/>
                              </w:rPr>
                              <w:t>˙</w:t>
                            </w:r>
                            <w:r>
                              <w:rPr/>
                              <w:tab/>
                            </w:r>
                            <w:r>
                              <w:rPr>
                                <w:spacing w:val="-10"/>
                              </w:rPr>
                              <w:t>˘</w:t>
                            </w:r>
                            <w:r>
                              <w:rPr/>
                              <w:tab/>
                            </w:r>
                            <w:r>
                              <w:rPr>
                                <w:spacing w:val="-10"/>
                              </w:rPr>
                              <w:t>ˇ</w:t>
                            </w:r>
                            <w:r>
                              <w:rPr/>
                              <w:tab/>
                            </w:r>
                            <w:r>
                              <w:rPr>
                                <w:spacing w:val="-10"/>
                              </w:rPr>
                              <w:t>¿</w:t>
                            </w:r>
                            <w:r>
                              <w:rPr/>
                              <w:tab/>
                            </w:r>
                            <w:r>
                              <w:rPr>
                                <w:spacing w:val="-10"/>
                              </w:rPr>
                              <w:t>˙</w:t>
                            </w:r>
                            <w:r>
                              <w:rPr/>
                              <w:tab/>
                            </w:r>
                            <w:r>
                              <w:rPr>
                                <w:spacing w:val="-10"/>
                              </w:rPr>
                              <w:t>¿</w:t>
                            </w:r>
                          </w:p>
                        </w:txbxContent>
                      </wps:txbx>
                      <wps:bodyPr wrap="square" lIns="0" tIns="0" rIns="0" bIns="0" rtlCol="0">
                        <a:noAutofit/>
                      </wps:bodyPr>
                    </wps:wsp>
                  </a:graphicData>
                </a:graphic>
              </wp:anchor>
            </w:drawing>
          </mc:Choice>
          <mc:Fallback>
            <w:pict>
              <v:shape style="position:absolute;margin-left:104.684715pt;margin-top:8.020338pt;width:478.35pt;height:13.3pt;mso-position-horizontal-relative:page;mso-position-vertical-relative:paragraph;z-index:-20482048" type="#_x0000_t202" id="docshape103" filled="false" stroked="false">
                <v:textbox inset="0,0,0,0">
                  <w:txbxContent>
                    <w:p>
                      <w:pPr>
                        <w:pStyle w:val="BodyText"/>
                        <w:tabs>
                          <w:tab w:pos="732" w:val="left" w:leader="none"/>
                          <w:tab w:pos="3476" w:val="left" w:leader="none"/>
                          <w:tab w:pos="3796" w:val="left" w:leader="none"/>
                          <w:tab w:pos="7741" w:val="left" w:leader="none"/>
                          <w:tab w:pos="8061" w:val="left" w:leader="none"/>
                          <w:tab w:pos="8726" w:val="left" w:leader="none"/>
                          <w:tab w:pos="9459" w:val="left" w:leader="none"/>
                        </w:tabs>
                        <w:spacing w:line="266" w:lineRule="exact"/>
                        <w:ind w:left="0"/>
                        <w:jc w:val="left"/>
                      </w:pPr>
                      <w:r>
                        <w:rPr>
                          <w:spacing w:val="-10"/>
                        </w:rPr>
                        <w:t>˙</w:t>
                      </w:r>
                      <w:r>
                        <w:rPr/>
                        <w:tab/>
                      </w:r>
                      <w:r>
                        <w:rPr>
                          <w:spacing w:val="-10"/>
                        </w:rPr>
                        <w:t>¿</w:t>
                      </w:r>
                      <w:r>
                        <w:rPr/>
                        <w:tab/>
                      </w:r>
                      <w:r>
                        <w:rPr>
                          <w:spacing w:val="-10"/>
                        </w:rPr>
                        <w:t>˙</w:t>
                      </w:r>
                      <w:r>
                        <w:rPr/>
                        <w:tab/>
                      </w:r>
                      <w:r>
                        <w:rPr>
                          <w:spacing w:val="-10"/>
                        </w:rPr>
                        <w:t>˘</w:t>
                      </w:r>
                      <w:r>
                        <w:rPr/>
                        <w:tab/>
                      </w:r>
                      <w:r>
                        <w:rPr>
                          <w:spacing w:val="-10"/>
                        </w:rPr>
                        <w:t>ˇ</w:t>
                      </w:r>
                      <w:r>
                        <w:rPr/>
                        <w:tab/>
                      </w:r>
                      <w:r>
                        <w:rPr>
                          <w:spacing w:val="-10"/>
                        </w:rPr>
                        <w:t>¿</w:t>
                      </w:r>
                      <w:r>
                        <w:rPr/>
                        <w:tab/>
                      </w:r>
                      <w:r>
                        <w:rPr>
                          <w:spacing w:val="-10"/>
                        </w:rPr>
                        <w:t>˙</w:t>
                      </w:r>
                      <w:r>
                        <w:rPr/>
                        <w:tab/>
                      </w:r>
                      <w:r>
                        <w:rPr>
                          <w:spacing w:val="-10"/>
                        </w:rPr>
                        <w:t>¿</w:t>
                      </w:r>
                    </w:p>
                  </w:txbxContent>
                </v:textbox>
                <w10:wrap type="none"/>
              </v:shape>
            </w:pict>
          </mc:Fallback>
        </mc:AlternateContent>
      </w:r>
      <w:r>
        <w:rPr>
          <w:spacing w:val="-10"/>
        </w:rPr>
        <w:t>£</w:t>
      </w:r>
      <w:r>
        <w:rPr/>
        <w:tab/>
      </w:r>
      <w:r>
        <w:rPr>
          <w:spacing w:val="-10"/>
        </w:rPr>
        <w:t>˝</w:t>
      </w:r>
      <w:r>
        <w:rPr/>
        <w:tab/>
      </w:r>
      <w:r>
        <w:rPr>
          <w:spacing w:val="-10"/>
        </w:rPr>
        <w:t>¸</w:t>
      </w:r>
      <w:r>
        <w:rPr/>
        <w:tab/>
      </w:r>
      <w:r>
        <w:rPr>
          <w:spacing w:val="-10"/>
        </w:rPr>
        <w:t>˜</w:t>
      </w:r>
      <w:r>
        <w:rPr/>
        <w:tab/>
      </w:r>
      <w:r>
        <w:rPr>
          <w:spacing w:val="-10"/>
        </w:rPr>
        <w:t>˘</w:t>
      </w:r>
      <w:r>
        <w:rPr/>
        <w:tab/>
      </w:r>
      <w:r>
        <w:rPr>
          <w:spacing w:val="-10"/>
        </w:rPr>
        <w:t>¿</w:t>
      </w:r>
      <w:r>
        <w:rPr/>
        <w:tab/>
      </w:r>
      <w:r>
        <w:rPr>
          <w:spacing w:val="-10"/>
        </w:rPr>
        <w:t>ˇ</w:t>
      </w:r>
      <w:r>
        <w:rPr/>
        <w:tab/>
      </w:r>
      <w:r>
        <w:rPr>
          <w:spacing w:val="-10"/>
        </w:rPr>
        <w:t>˜</w:t>
      </w:r>
      <w:r>
        <w:rPr/>
        <w:tab/>
      </w:r>
      <w:r>
        <w:rPr>
          <w:spacing w:val="-10"/>
        </w:rPr>
        <w:t>´</w:t>
      </w:r>
      <w:r>
        <w:rPr/>
        <w:tab/>
      </w:r>
      <w:r>
        <w:rPr>
          <w:spacing w:val="-10"/>
        </w:rPr>
        <w:t>˙</w:t>
      </w:r>
      <w:r>
        <w:rPr/>
        <w:tab/>
      </w:r>
      <w:r>
        <w:rPr>
          <w:spacing w:val="-10"/>
        </w:rPr>
        <w:t>—</w:t>
      </w:r>
      <w:r>
        <w:rPr/>
        <w:tab/>
      </w:r>
      <w:r>
        <w:rPr>
          <w:spacing w:val="-10"/>
        </w:rPr>
        <w:t>ˇ</w:t>
      </w:r>
      <w:r>
        <w:rPr/>
        <w:tab/>
      </w:r>
      <w:r>
        <w:rPr>
          <w:spacing w:val="-10"/>
        </w:rPr>
        <w:t>˙</w:t>
      </w:r>
      <w:r>
        <w:rPr/>
        <w:tab/>
      </w:r>
      <w:r>
        <w:rPr>
          <w:spacing w:val="-10"/>
        </w:rPr>
        <w:t>ˇ</w:t>
      </w:r>
      <w:r>
        <w:rPr/>
        <w:tab/>
      </w:r>
      <w:r>
        <w:rPr>
          <w:spacing w:val="-10"/>
        </w:rPr>
        <w:t>˝</w:t>
      </w:r>
      <w:r>
        <w:rPr/>
        <w:tab/>
      </w:r>
      <w:r>
        <w:rPr>
          <w:spacing w:val="-10"/>
        </w:rPr>
        <w:t>`</w:t>
      </w:r>
      <w:r>
        <w:rPr/>
        <w:tab/>
      </w:r>
      <w:r>
        <w:rPr>
          <w:spacing w:val="-10"/>
        </w:rPr>
        <w:t>¿</w:t>
      </w:r>
    </w:p>
    <w:sectPr>
      <w:footerReference w:type="default" r:id="rId73"/>
      <w:pgSz w:w="11900" w:h="16840"/>
      <w:pgMar w:header="0" w:footer="0" w:top="1940" w:bottom="0" w:left="283" w:right="141"/>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Arial">
    <w:altName w:val="Arial"/>
    <w:charset w:val="1"/>
    <w:family w:val="swiss"/>
    <w:pitch w:val="variable"/>
  </w:font>
  <w:font w:name="Book Antiqua">
    <w:altName w:val="Book Antiqua"/>
    <w:charset w:val="1"/>
    <w:family w:val="roman"/>
    <w:pitch w:val="variable"/>
  </w:font>
  <w:font w:name="Calibri">
    <w:altName w:val="Calibri"/>
    <w:charset w:val="1"/>
    <w:family w:val="swiss"/>
    <w:pitch w:val="variable"/>
  </w:font>
  <w:font w:name="Cambria Math">
    <w:altName w:val="Cambria Math"/>
    <w:charset w:val="1"/>
    <w:family w:val="roman"/>
    <w:pitch w:val="variable"/>
  </w:font>
  <w:font w:name="Consolas">
    <w:altName w:val="Consolas"/>
    <w:charset w:val="1"/>
    <w:family w:val="modern"/>
    <w:pitch w:val="default"/>
  </w:font>
  <w:font w:name="Courier New">
    <w:altName w:val="Courier New"/>
    <w:charset w:val="1"/>
    <w:family w:val="modern"/>
    <w:pitch w:val="default"/>
  </w:font>
  <w:font w:name="Franklin Gothic Book">
    <w:altName w:val="Franklin Gothic Book"/>
    <w:charset w:val="1"/>
    <w:family w:val="swiss"/>
    <w:pitch w:val="variable"/>
  </w:font>
  <w:font w:name="MS Mincho">
    <w:altName w:val="MS Mincho"/>
    <w:charset w:val="1"/>
    <w:family w:val="modern"/>
    <w:pitch w:val="default"/>
  </w:font>
  <w:font w:name="Symbol">
    <w:altName w:val="Symbol"/>
    <w:charset w:val="2"/>
    <w:family w:val="roman"/>
    <w:pitch w:val="variable"/>
  </w:font>
  <w:font w:name="Trebuchet MS">
    <w:altName w:val="Trebuchet MS"/>
    <w:charset w:val="1"/>
    <w:family w:val="swiss"/>
    <w:pitch w:val="variable"/>
  </w:font>
  <w:font w:name="Wingdings">
    <w:altName w:val="Wingdings"/>
    <w:charset w:val="2"/>
    <w:family w:val="auto"/>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w:drawing>
        <wp:anchor distT="0" distB="0" distL="0" distR="0" allowOverlap="1" layoutInCell="1" locked="0" behindDoc="0" simplePos="0" relativeHeight="15728640">
          <wp:simplePos x="0" y="0"/>
          <wp:positionH relativeFrom="page">
            <wp:posOffset>6546278</wp:posOffset>
          </wp:positionH>
          <wp:positionV relativeFrom="page">
            <wp:posOffset>10348284</wp:posOffset>
          </wp:positionV>
          <wp:extent cx="1010221" cy="330904"/>
          <wp:effectExtent l="0" t="0" r="0" b="0"/>
          <wp:wrapNone/>
          <wp:docPr id="36" name="Image 36"/>
          <wp:cNvGraphicFramePr>
            <a:graphicFrameLocks/>
          </wp:cNvGraphicFramePr>
          <a:graphic>
            <a:graphicData uri="http://schemas.openxmlformats.org/drawingml/2006/picture">
              <pic:pic>
                <pic:nvPicPr>
                  <pic:cNvPr id="36" name="Image 36"/>
                  <pic:cNvPicPr/>
                </pic:nvPicPr>
                <pic:blipFill>
                  <a:blip r:embed="rId1" cstate="print"/>
                  <a:stretch>
                    <a:fillRect/>
                  </a:stretch>
                </pic:blipFill>
                <pic:spPr>
                  <a:xfrm>
                    <a:off x="0" y="0"/>
                    <a:ext cx="1010221" cy="330904"/>
                  </a:xfrm>
                  <a:prstGeom prst="rect">
                    <a:avLst/>
                  </a:prstGeom>
                </pic:spPr>
              </pic:pic>
            </a:graphicData>
          </a:graphic>
        </wp:anchor>
      </w:drawing>
    </w:r>
    <w:r>
      <w:rPr>
        <w:sz w:val="20"/>
      </w:rPr>
      <mc:AlternateContent>
        <mc:Choice Requires="wps">
          <w:drawing>
            <wp:anchor distT="0" distB="0" distL="0" distR="0" allowOverlap="1" layoutInCell="1" locked="0" behindDoc="1" simplePos="0" relativeHeight="482811904">
              <wp:simplePos x="0" y="0"/>
              <wp:positionH relativeFrom="page">
                <wp:posOffset>0</wp:posOffset>
              </wp:positionH>
              <wp:positionV relativeFrom="page">
                <wp:posOffset>10332719</wp:posOffset>
              </wp:positionV>
              <wp:extent cx="7564120" cy="152400"/>
              <wp:effectExtent l="0" t="0" r="0" b="0"/>
              <wp:wrapNone/>
              <wp:docPr id="37" name="Group 37"/>
              <wp:cNvGraphicFramePr>
                <a:graphicFrameLocks/>
              </wp:cNvGraphicFramePr>
              <a:graphic>
                <a:graphicData uri="http://schemas.microsoft.com/office/word/2010/wordprocessingGroup">
                  <wpg:wgp>
                    <wpg:cNvPr id="37" name="Group 37"/>
                    <wpg:cNvGrpSpPr/>
                    <wpg:grpSpPr>
                      <a:xfrm>
                        <a:off x="0" y="0"/>
                        <a:ext cx="7564120" cy="152400"/>
                        <a:chExt cx="7564120" cy="152400"/>
                      </a:xfrm>
                    </wpg:grpSpPr>
                    <wps:wsp>
                      <wps:cNvPr id="38" name="Graphic 38"/>
                      <wps:cNvSpPr/>
                      <wps:spPr>
                        <a:xfrm>
                          <a:off x="5516626" y="4064"/>
                          <a:ext cx="1236345" cy="147955"/>
                        </a:xfrm>
                        <a:custGeom>
                          <a:avLst/>
                          <a:gdLst/>
                          <a:ahLst/>
                          <a:cxnLst/>
                          <a:rect l="l" t="t" r="r" b="b"/>
                          <a:pathLst>
                            <a:path w="1236345" h="147955">
                              <a:moveTo>
                                <a:pt x="1229920" y="335"/>
                              </a:moveTo>
                              <a:lnTo>
                                <a:pt x="-5185" y="335"/>
                              </a:lnTo>
                              <a:lnTo>
                                <a:pt x="-5185" y="148024"/>
                              </a:lnTo>
                              <a:lnTo>
                                <a:pt x="1229920" y="148024"/>
                              </a:lnTo>
                              <a:lnTo>
                                <a:pt x="1229920" y="335"/>
                              </a:lnTo>
                              <a:close/>
                            </a:path>
                          </a:pathLst>
                        </a:custGeom>
                        <a:solidFill>
                          <a:srgbClr val="00008A"/>
                        </a:solidFill>
                      </wps:spPr>
                      <wps:bodyPr wrap="square" lIns="0" tIns="0" rIns="0" bIns="0" rtlCol="0">
                        <a:prstTxWarp prst="textNoShape">
                          <a:avLst/>
                        </a:prstTxWarp>
                        <a:noAutofit/>
                      </wps:bodyPr>
                    </wps:wsp>
                    <wps:wsp>
                      <wps:cNvPr id="39" name="Graphic 39"/>
                      <wps:cNvSpPr/>
                      <wps:spPr>
                        <a:xfrm>
                          <a:off x="0" y="0"/>
                          <a:ext cx="7564120" cy="10160"/>
                        </a:xfrm>
                        <a:custGeom>
                          <a:avLst/>
                          <a:gdLst/>
                          <a:ahLst/>
                          <a:cxnLst/>
                          <a:rect l="l" t="t" r="r" b="b"/>
                          <a:pathLst>
                            <a:path w="7564120" h="10160">
                              <a:moveTo>
                                <a:pt x="7556502" y="339"/>
                              </a:moveTo>
                              <a:lnTo>
                                <a:pt x="0" y="339"/>
                              </a:lnTo>
                              <a:lnTo>
                                <a:pt x="0" y="10489"/>
                              </a:lnTo>
                              <a:lnTo>
                                <a:pt x="7556502" y="10489"/>
                              </a:lnTo>
                              <a:lnTo>
                                <a:pt x="7556502" y="339"/>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style="position:absolute;margin-left:0pt;margin-top:813.599976pt;width:595.6pt;height:12pt;mso-position-horizontal-relative:page;mso-position-vertical-relative:page;z-index:-20504576" id="docshapegroup28" coordorigin="0,16272" coordsize="11912,240">
              <v:rect style="position:absolute;left:8679;top:16278;width:1946;height:233" id="docshape29" filled="true" fillcolor="#00008a" stroked="false">
                <v:fill type="solid"/>
              </v:rect>
              <v:rect style="position:absolute;left:0;top:16272;width:11900;height:16" id="docshape30" filled="true" fillcolor="#000000" stroked="false">
                <v:fill type="solid"/>
              </v:rect>
              <w10:wrap type="none"/>
            </v:group>
          </w:pict>
        </mc:Fallback>
      </mc:AlternateContent>
    </w:r>
    <w:r>
      <w:rPr>
        <w:sz w:val="20"/>
      </w:rPr>
      <mc:AlternateContent>
        <mc:Choice Requires="wps">
          <w:drawing>
            <wp:anchor distT="0" distB="0" distL="0" distR="0" allowOverlap="1" layoutInCell="1" locked="0" behindDoc="1" simplePos="0" relativeHeight="482812416">
              <wp:simplePos x="0" y="0"/>
              <wp:positionH relativeFrom="page">
                <wp:posOffset>63428</wp:posOffset>
              </wp:positionH>
              <wp:positionV relativeFrom="page">
                <wp:posOffset>10111286</wp:posOffset>
              </wp:positionV>
              <wp:extent cx="4615815" cy="591185"/>
              <wp:effectExtent l="0" t="0" r="0" b="0"/>
              <wp:wrapNone/>
              <wp:docPr id="40" name="Textbox 40"/>
              <wp:cNvGraphicFramePr>
                <a:graphicFrameLocks/>
              </wp:cNvGraphicFramePr>
              <a:graphic>
                <a:graphicData uri="http://schemas.microsoft.com/office/word/2010/wordprocessingShape">
                  <wps:wsp>
                    <wps:cNvPr id="40" name="Textbox 40"/>
                    <wps:cNvSpPr txBox="1"/>
                    <wps:spPr>
                      <a:xfrm>
                        <a:off x="0" y="0"/>
                        <a:ext cx="4615815" cy="591185"/>
                      </a:xfrm>
                      <a:prstGeom prst="rect">
                        <a:avLst/>
                      </a:prstGeom>
                    </wps:spPr>
                    <wps:txbx>
                      <w:txbxContent>
                        <w:p>
                          <w:pPr>
                            <w:spacing w:before="11"/>
                            <w:ind w:left="0" w:right="1083" w:firstLine="0"/>
                            <w:jc w:val="right"/>
                            <w:rPr>
                              <w:sz w:val="22"/>
                            </w:rPr>
                          </w:pPr>
                          <w:r>
                            <w:rPr>
                              <w:spacing w:val="-10"/>
                              <w:sz w:val="22"/>
                            </w:rPr>
                            <w:t>2</w:t>
                          </w:r>
                        </w:p>
                        <w:p>
                          <w:pPr>
                            <w:spacing w:line="208" w:lineRule="auto" w:before="162"/>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6"/>
                              <w:sz w:val="16"/>
                            </w:rPr>
                            <w:t> </w:t>
                          </w:r>
                          <w:r>
                            <w:rPr>
                              <w:rFonts w:ascii="Arial" w:hAnsi="Arial"/>
                              <w:sz w:val="16"/>
                            </w:rPr>
                            <w:t>3</w:t>
                          </w:r>
                          <w:r>
                            <w:rPr>
                              <w:rFonts w:ascii="Arial" w:hAnsi="Arial"/>
                              <w:spacing w:val="-6"/>
                              <w:sz w:val="16"/>
                            </w:rPr>
                            <w:t> </w:t>
                          </w:r>
                          <w:r>
                            <w:rPr>
                              <w:rFonts w:ascii="Arial" w:hAnsi="Arial"/>
                              <w:sz w:val="16"/>
                            </w:rPr>
                            <w:t>из</w:t>
                          </w:r>
                          <w:r>
                            <w:rPr>
                              <w:rFonts w:ascii="Arial" w:hAnsi="Arial"/>
                              <w:spacing w:val="-6"/>
                              <w:sz w:val="16"/>
                            </w:rPr>
                            <w:t> </w:t>
                          </w:r>
                          <w:r>
                            <w:rPr>
                              <w:rFonts w:ascii="Arial" w:hAnsi="Arial"/>
                              <w:sz w:val="16"/>
                            </w:rPr>
                            <w:t>248.</w:t>
                          </w:r>
                          <w:r>
                            <w:rPr>
                              <w:rFonts w:ascii="Arial" w:hAnsi="Arial"/>
                              <w:spacing w:val="-6"/>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6"/>
                              <w:sz w:val="16"/>
                            </w:rPr>
                            <w:t> </w:t>
                          </w:r>
                          <w:r>
                            <w:rPr>
                              <w:rFonts w:ascii="Arial" w:hAnsi="Arial"/>
                              <w:sz w:val="16"/>
                            </w:rPr>
                            <w:t>29.05.2025</w:t>
                          </w:r>
                          <w:r>
                            <w:rPr>
                              <w:rFonts w:ascii="Arial" w:hAnsi="Arial"/>
                              <w:spacing w:val="-5"/>
                              <w:sz w:val="16"/>
                            </w:rPr>
                            <w:t> </w:t>
                          </w:r>
                          <w:r>
                            <w:rPr>
                              <w:rFonts w:ascii="Arial" w:hAnsi="Arial"/>
                              <w:spacing w:val="-2"/>
                              <w:sz w:val="16"/>
                            </w:rPr>
                            <w:t>10:30</w:t>
                          </w:r>
                        </w:p>
                      </w:txbxContent>
                    </wps:txbx>
                    <wps:bodyPr wrap="square" lIns="0" tIns="0" rIns="0" bIns="0" rtlCol="0">
                      <a:noAutofit/>
                    </wps:bodyPr>
                  </wps:wsp>
                </a:graphicData>
              </a:graphic>
            </wp:anchor>
          </w:drawing>
        </mc:Choice>
        <mc:Fallback>
          <w:pict>
            <v:shape style="position:absolute;margin-left:4.994360pt;margin-top:796.164307pt;width:363.45pt;height:46.55pt;mso-position-horizontal-relative:page;mso-position-vertical-relative:page;z-index:-20504064" type="#_x0000_t202" id="docshape31" filled="false" stroked="false">
              <v:textbox inset="0,0,0,0">
                <w:txbxContent>
                  <w:p>
                    <w:pPr>
                      <w:spacing w:before="11"/>
                      <w:ind w:left="0" w:right="1083" w:firstLine="0"/>
                      <w:jc w:val="right"/>
                      <w:rPr>
                        <w:sz w:val="22"/>
                      </w:rPr>
                    </w:pPr>
                    <w:r>
                      <w:rPr>
                        <w:spacing w:val="-10"/>
                        <w:sz w:val="22"/>
                      </w:rPr>
                      <w:t>2</w:t>
                    </w:r>
                  </w:p>
                  <w:p>
                    <w:pPr>
                      <w:spacing w:line="208" w:lineRule="auto" w:before="162"/>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6"/>
                        <w:sz w:val="16"/>
                      </w:rPr>
                      <w:t> </w:t>
                    </w:r>
                    <w:r>
                      <w:rPr>
                        <w:rFonts w:ascii="Arial" w:hAnsi="Arial"/>
                        <w:sz w:val="16"/>
                      </w:rPr>
                      <w:t>3</w:t>
                    </w:r>
                    <w:r>
                      <w:rPr>
                        <w:rFonts w:ascii="Arial" w:hAnsi="Arial"/>
                        <w:spacing w:val="-6"/>
                        <w:sz w:val="16"/>
                      </w:rPr>
                      <w:t> </w:t>
                    </w:r>
                    <w:r>
                      <w:rPr>
                        <w:rFonts w:ascii="Arial" w:hAnsi="Arial"/>
                        <w:sz w:val="16"/>
                      </w:rPr>
                      <w:t>из</w:t>
                    </w:r>
                    <w:r>
                      <w:rPr>
                        <w:rFonts w:ascii="Arial" w:hAnsi="Arial"/>
                        <w:spacing w:val="-6"/>
                        <w:sz w:val="16"/>
                      </w:rPr>
                      <w:t> </w:t>
                    </w:r>
                    <w:r>
                      <w:rPr>
                        <w:rFonts w:ascii="Arial" w:hAnsi="Arial"/>
                        <w:sz w:val="16"/>
                      </w:rPr>
                      <w:t>248.</w:t>
                    </w:r>
                    <w:r>
                      <w:rPr>
                        <w:rFonts w:ascii="Arial" w:hAnsi="Arial"/>
                        <w:spacing w:val="-6"/>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6"/>
                        <w:sz w:val="16"/>
                      </w:rPr>
                      <w:t> </w:t>
                    </w:r>
                    <w:r>
                      <w:rPr>
                        <w:rFonts w:ascii="Arial" w:hAnsi="Arial"/>
                        <w:sz w:val="16"/>
                      </w:rPr>
                      <w:t>29.05.2025</w:t>
                    </w:r>
                    <w:r>
                      <w:rPr>
                        <w:rFonts w:ascii="Arial" w:hAnsi="Arial"/>
                        <w:spacing w:val="-5"/>
                        <w:sz w:val="16"/>
                      </w:rPr>
                      <w:t> </w:t>
                    </w:r>
                    <w:r>
                      <w:rPr>
                        <w:rFonts w:ascii="Arial" w:hAnsi="Arial"/>
                        <w:spacing w:val="-2"/>
                        <w:sz w:val="16"/>
                      </w:rPr>
                      <w:t>10:30</w:t>
                    </w:r>
                  </w:p>
                </w:txbxContent>
              </v:textbox>
              <w10:wrap type="none"/>
            </v:shape>
          </w:pict>
        </mc:Fallback>
      </mc:AlternateContent>
    </w:r>
    <w:r>
      <w:rPr>
        <w:sz w:val="20"/>
      </w:rPr>
      <mc:AlternateContent>
        <mc:Choice Requires="wps">
          <w:drawing>
            <wp:anchor distT="0" distB="0" distL="0" distR="0" allowOverlap="1" layoutInCell="1" locked="0" behindDoc="1" simplePos="0" relativeHeight="482812928">
              <wp:simplePos x="0" y="0"/>
              <wp:positionH relativeFrom="page">
                <wp:posOffset>5498740</wp:posOffset>
              </wp:positionH>
              <wp:positionV relativeFrom="page">
                <wp:posOffset>10330567</wp:posOffset>
              </wp:positionV>
              <wp:extent cx="1260475" cy="165735"/>
              <wp:effectExtent l="0" t="0" r="0" b="0"/>
              <wp:wrapNone/>
              <wp:docPr id="41" name="Textbox 41"/>
              <wp:cNvGraphicFramePr>
                <a:graphicFrameLocks/>
              </wp:cNvGraphicFramePr>
              <a:graphic>
                <a:graphicData uri="http://schemas.microsoft.com/office/word/2010/wordprocessingShape">
                  <wps:wsp>
                    <wps:cNvPr id="41" name="Textbox 41"/>
                    <wps:cNvSpPr txBox="1"/>
                    <wps:spPr>
                      <a:xfrm>
                        <a:off x="0" y="0"/>
                        <a:ext cx="1260475" cy="165735"/>
                      </a:xfrm>
                      <a:prstGeom prst="rect">
                        <a:avLst/>
                      </a:prstGeom>
                    </wps:spPr>
                    <wps:txbx>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wps:txbx>
                    <wps:bodyPr wrap="square" lIns="0" tIns="0" rIns="0" bIns="0" rtlCol="0">
                      <a:noAutofit/>
                    </wps:bodyPr>
                  </wps:wsp>
                </a:graphicData>
              </a:graphic>
            </wp:anchor>
          </w:drawing>
        </mc:Choice>
        <mc:Fallback>
          <w:pict>
            <v:shape style="position:absolute;margin-left:432.97168pt;margin-top:813.430481pt;width:99.25pt;height:13.05pt;mso-position-horizontal-relative:page;mso-position-vertical-relative:page;z-index:-20503552" type="#_x0000_t202" id="docshape32" filled="false" stroked="false">
              <v:textbox inset="0,0,0,0">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w:drawing>
        <wp:anchor distT="0" distB="0" distL="0" distR="0" allowOverlap="1" layoutInCell="1" locked="0" behindDoc="0" simplePos="0" relativeHeight="15730688">
          <wp:simplePos x="0" y="0"/>
          <wp:positionH relativeFrom="page">
            <wp:posOffset>6546278</wp:posOffset>
          </wp:positionH>
          <wp:positionV relativeFrom="page">
            <wp:posOffset>10348284</wp:posOffset>
          </wp:positionV>
          <wp:extent cx="1010221" cy="330904"/>
          <wp:effectExtent l="0" t="0" r="0" b="0"/>
          <wp:wrapNone/>
          <wp:docPr id="45" name="Image 45"/>
          <wp:cNvGraphicFramePr>
            <a:graphicFrameLocks/>
          </wp:cNvGraphicFramePr>
          <a:graphic>
            <a:graphicData uri="http://schemas.openxmlformats.org/drawingml/2006/picture">
              <pic:pic>
                <pic:nvPicPr>
                  <pic:cNvPr id="45" name="Image 45"/>
                  <pic:cNvPicPr/>
                </pic:nvPicPr>
                <pic:blipFill>
                  <a:blip r:embed="rId1" cstate="print"/>
                  <a:stretch>
                    <a:fillRect/>
                  </a:stretch>
                </pic:blipFill>
                <pic:spPr>
                  <a:xfrm>
                    <a:off x="0" y="0"/>
                    <a:ext cx="1010221" cy="330904"/>
                  </a:xfrm>
                  <a:prstGeom prst="rect">
                    <a:avLst/>
                  </a:prstGeom>
                </pic:spPr>
              </pic:pic>
            </a:graphicData>
          </a:graphic>
        </wp:anchor>
      </w:drawing>
    </w:r>
    <w:r>
      <w:rPr>
        <w:sz w:val="20"/>
      </w:rPr>
      <mc:AlternateContent>
        <mc:Choice Requires="wps">
          <w:drawing>
            <wp:anchor distT="0" distB="0" distL="0" distR="0" allowOverlap="1" layoutInCell="1" locked="0" behindDoc="1" simplePos="0" relativeHeight="482813952">
              <wp:simplePos x="0" y="0"/>
              <wp:positionH relativeFrom="page">
                <wp:posOffset>0</wp:posOffset>
              </wp:positionH>
              <wp:positionV relativeFrom="page">
                <wp:posOffset>10332719</wp:posOffset>
              </wp:positionV>
              <wp:extent cx="7564120" cy="152400"/>
              <wp:effectExtent l="0" t="0" r="0" b="0"/>
              <wp:wrapNone/>
              <wp:docPr id="46" name="Group 46"/>
              <wp:cNvGraphicFramePr>
                <a:graphicFrameLocks/>
              </wp:cNvGraphicFramePr>
              <a:graphic>
                <a:graphicData uri="http://schemas.microsoft.com/office/word/2010/wordprocessingGroup">
                  <wpg:wgp>
                    <wpg:cNvPr id="46" name="Group 46"/>
                    <wpg:cNvGrpSpPr/>
                    <wpg:grpSpPr>
                      <a:xfrm>
                        <a:off x="0" y="0"/>
                        <a:ext cx="7564120" cy="152400"/>
                        <a:chExt cx="7564120" cy="152400"/>
                      </a:xfrm>
                    </wpg:grpSpPr>
                    <wps:wsp>
                      <wps:cNvPr id="47" name="Graphic 47"/>
                      <wps:cNvSpPr/>
                      <wps:spPr>
                        <a:xfrm>
                          <a:off x="5518150" y="4064"/>
                          <a:ext cx="1235075" cy="147955"/>
                        </a:xfrm>
                        <a:custGeom>
                          <a:avLst/>
                          <a:gdLst/>
                          <a:ahLst/>
                          <a:cxnLst/>
                          <a:rect l="l" t="t" r="r" b="b"/>
                          <a:pathLst>
                            <a:path w="1235075" h="147955">
                              <a:moveTo>
                                <a:pt x="1228396" y="335"/>
                              </a:moveTo>
                              <a:lnTo>
                                <a:pt x="-5187" y="335"/>
                              </a:lnTo>
                              <a:lnTo>
                                <a:pt x="-5187" y="148024"/>
                              </a:lnTo>
                              <a:lnTo>
                                <a:pt x="1228396" y="148024"/>
                              </a:lnTo>
                              <a:lnTo>
                                <a:pt x="1228396" y="335"/>
                              </a:lnTo>
                              <a:close/>
                            </a:path>
                          </a:pathLst>
                        </a:custGeom>
                        <a:solidFill>
                          <a:srgbClr val="00008A"/>
                        </a:solidFill>
                      </wps:spPr>
                      <wps:bodyPr wrap="square" lIns="0" tIns="0" rIns="0" bIns="0" rtlCol="0">
                        <a:prstTxWarp prst="textNoShape">
                          <a:avLst/>
                        </a:prstTxWarp>
                        <a:noAutofit/>
                      </wps:bodyPr>
                    </wps:wsp>
                    <wps:wsp>
                      <wps:cNvPr id="48" name="Graphic 48"/>
                      <wps:cNvSpPr/>
                      <wps:spPr>
                        <a:xfrm>
                          <a:off x="0" y="0"/>
                          <a:ext cx="7564120" cy="10160"/>
                        </a:xfrm>
                        <a:custGeom>
                          <a:avLst/>
                          <a:gdLst/>
                          <a:ahLst/>
                          <a:cxnLst/>
                          <a:rect l="l" t="t" r="r" b="b"/>
                          <a:pathLst>
                            <a:path w="7564120" h="10160">
                              <a:moveTo>
                                <a:pt x="7556502" y="339"/>
                              </a:moveTo>
                              <a:lnTo>
                                <a:pt x="0" y="339"/>
                              </a:lnTo>
                              <a:lnTo>
                                <a:pt x="0" y="10489"/>
                              </a:lnTo>
                              <a:lnTo>
                                <a:pt x="7556502" y="10489"/>
                              </a:lnTo>
                              <a:lnTo>
                                <a:pt x="7556502" y="339"/>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style="position:absolute;margin-left:0pt;margin-top:813.599976pt;width:595.6pt;height:12pt;mso-position-horizontal-relative:page;mso-position-vertical-relative:page;z-index:-20502528" id="docshapegroup36" coordorigin="0,16272" coordsize="11912,240">
              <v:rect style="position:absolute;left:8681;top:16278;width:1943;height:233" id="docshape37" filled="true" fillcolor="#00008a" stroked="false">
                <v:fill type="solid"/>
              </v:rect>
              <v:rect style="position:absolute;left:0;top:16272;width:11900;height:16" id="docshape38" filled="true" fillcolor="#000000" stroked="false">
                <v:fill type="solid"/>
              </v:rect>
              <w10:wrap type="none"/>
            </v:group>
          </w:pict>
        </mc:Fallback>
      </mc:AlternateContent>
    </w:r>
    <w:r>
      <w:rPr>
        <w:sz w:val="20"/>
      </w:rPr>
      <mc:AlternateContent>
        <mc:Choice Requires="wps">
          <w:drawing>
            <wp:anchor distT="0" distB="0" distL="0" distR="0" allowOverlap="1" layoutInCell="1" locked="0" behindDoc="1" simplePos="0" relativeHeight="482814464">
              <wp:simplePos x="0" y="0"/>
              <wp:positionH relativeFrom="page">
                <wp:posOffset>63428</wp:posOffset>
              </wp:positionH>
              <wp:positionV relativeFrom="page">
                <wp:posOffset>10111286</wp:posOffset>
              </wp:positionV>
              <wp:extent cx="4615815" cy="591185"/>
              <wp:effectExtent l="0" t="0" r="0" b="0"/>
              <wp:wrapNone/>
              <wp:docPr id="49" name="Textbox 49"/>
              <wp:cNvGraphicFramePr>
                <a:graphicFrameLocks/>
              </wp:cNvGraphicFramePr>
              <a:graphic>
                <a:graphicData uri="http://schemas.microsoft.com/office/word/2010/wordprocessingShape">
                  <wps:wsp>
                    <wps:cNvPr id="49" name="Textbox 49"/>
                    <wps:cNvSpPr txBox="1"/>
                    <wps:spPr>
                      <a:xfrm>
                        <a:off x="0" y="0"/>
                        <a:ext cx="4615815" cy="591185"/>
                      </a:xfrm>
                      <a:prstGeom prst="rect">
                        <a:avLst/>
                      </a:prstGeom>
                    </wps:spPr>
                    <wps:txbx>
                      <w:txbxContent>
                        <w:p>
                          <w:pPr>
                            <w:spacing w:before="11"/>
                            <w:ind w:left="0" w:right="972" w:firstLine="0"/>
                            <w:jc w:val="right"/>
                            <w:rPr>
                              <w:sz w:val="22"/>
                            </w:rPr>
                          </w:pPr>
                          <w:r>
                            <w:rPr>
                              <w:spacing w:val="-5"/>
                              <w:sz w:val="22"/>
                            </w:rPr>
                            <w:fldChar w:fldCharType="begin"/>
                          </w:r>
                          <w:r>
                            <w:rPr>
                              <w:spacing w:val="-5"/>
                              <w:sz w:val="22"/>
                            </w:rPr>
                            <w:instrText> PAGE </w:instrText>
                          </w:r>
                          <w:r>
                            <w:rPr>
                              <w:spacing w:val="-5"/>
                              <w:sz w:val="22"/>
                            </w:rPr>
                            <w:fldChar w:fldCharType="separate"/>
                          </w:r>
                          <w:r>
                            <w:rPr>
                              <w:spacing w:val="-5"/>
                              <w:sz w:val="22"/>
                            </w:rPr>
                            <w:t>100</w:t>
                          </w:r>
                          <w:r>
                            <w:rPr>
                              <w:spacing w:val="-5"/>
                              <w:sz w:val="22"/>
                            </w:rPr>
                            <w:fldChar w:fldCharType="end"/>
                          </w:r>
                        </w:p>
                        <w:p>
                          <w:pPr>
                            <w:spacing w:line="208" w:lineRule="auto" w:before="162"/>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101</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wps:txbx>
                    <wps:bodyPr wrap="square" lIns="0" tIns="0" rIns="0" bIns="0" rtlCol="0">
                      <a:noAutofit/>
                    </wps:bodyPr>
                  </wps:wsp>
                </a:graphicData>
              </a:graphic>
            </wp:anchor>
          </w:drawing>
        </mc:Choice>
        <mc:Fallback>
          <w:pict>
            <v:shape style="position:absolute;margin-left:4.994360pt;margin-top:796.164307pt;width:363.45pt;height:46.55pt;mso-position-horizontal-relative:page;mso-position-vertical-relative:page;z-index:-20502016" type="#_x0000_t202" id="docshape39" filled="false" stroked="false">
              <v:textbox inset="0,0,0,0">
                <w:txbxContent>
                  <w:p>
                    <w:pPr>
                      <w:spacing w:before="11"/>
                      <w:ind w:left="0" w:right="972" w:firstLine="0"/>
                      <w:jc w:val="right"/>
                      <w:rPr>
                        <w:sz w:val="22"/>
                      </w:rPr>
                    </w:pPr>
                    <w:r>
                      <w:rPr>
                        <w:spacing w:val="-5"/>
                        <w:sz w:val="22"/>
                      </w:rPr>
                      <w:fldChar w:fldCharType="begin"/>
                    </w:r>
                    <w:r>
                      <w:rPr>
                        <w:spacing w:val="-5"/>
                        <w:sz w:val="22"/>
                      </w:rPr>
                      <w:instrText> PAGE </w:instrText>
                    </w:r>
                    <w:r>
                      <w:rPr>
                        <w:spacing w:val="-5"/>
                        <w:sz w:val="22"/>
                      </w:rPr>
                      <w:fldChar w:fldCharType="separate"/>
                    </w:r>
                    <w:r>
                      <w:rPr>
                        <w:spacing w:val="-5"/>
                        <w:sz w:val="22"/>
                      </w:rPr>
                      <w:t>100</w:t>
                    </w:r>
                    <w:r>
                      <w:rPr>
                        <w:spacing w:val="-5"/>
                        <w:sz w:val="22"/>
                      </w:rPr>
                      <w:fldChar w:fldCharType="end"/>
                    </w:r>
                  </w:p>
                  <w:p>
                    <w:pPr>
                      <w:spacing w:line="208" w:lineRule="auto" w:before="162"/>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101</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v:textbox>
              <w10:wrap type="none"/>
            </v:shape>
          </w:pict>
        </mc:Fallback>
      </mc:AlternateContent>
    </w:r>
    <w:r>
      <w:rPr>
        <w:sz w:val="20"/>
      </w:rPr>
      <mc:AlternateContent>
        <mc:Choice Requires="wps">
          <w:drawing>
            <wp:anchor distT="0" distB="0" distL="0" distR="0" allowOverlap="1" layoutInCell="1" locked="0" behindDoc="1" simplePos="0" relativeHeight="482814976">
              <wp:simplePos x="0" y="0"/>
              <wp:positionH relativeFrom="page">
                <wp:posOffset>5498740</wp:posOffset>
              </wp:positionH>
              <wp:positionV relativeFrom="page">
                <wp:posOffset>10330567</wp:posOffset>
              </wp:positionV>
              <wp:extent cx="1260475" cy="165735"/>
              <wp:effectExtent l="0" t="0" r="0" b="0"/>
              <wp:wrapNone/>
              <wp:docPr id="50" name="Textbox 50"/>
              <wp:cNvGraphicFramePr>
                <a:graphicFrameLocks/>
              </wp:cNvGraphicFramePr>
              <a:graphic>
                <a:graphicData uri="http://schemas.microsoft.com/office/word/2010/wordprocessingShape">
                  <wps:wsp>
                    <wps:cNvPr id="50" name="Textbox 50"/>
                    <wps:cNvSpPr txBox="1"/>
                    <wps:spPr>
                      <a:xfrm>
                        <a:off x="0" y="0"/>
                        <a:ext cx="1260475" cy="165735"/>
                      </a:xfrm>
                      <a:prstGeom prst="rect">
                        <a:avLst/>
                      </a:prstGeom>
                    </wps:spPr>
                    <wps:txbx>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wps:txbx>
                    <wps:bodyPr wrap="square" lIns="0" tIns="0" rIns="0" bIns="0" rtlCol="0">
                      <a:noAutofit/>
                    </wps:bodyPr>
                  </wps:wsp>
                </a:graphicData>
              </a:graphic>
            </wp:anchor>
          </w:drawing>
        </mc:Choice>
        <mc:Fallback>
          <w:pict>
            <v:shape style="position:absolute;margin-left:432.97168pt;margin-top:813.430481pt;width:99.25pt;height:13.05pt;mso-position-horizontal-relative:page;mso-position-vertical-relative:page;z-index:-20501504" type="#_x0000_t202" id="docshape40" filled="false" stroked="false">
              <v:textbox inset="0,0,0,0">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v:textbox>
              <w10:wrap type="none"/>
            </v:shape>
          </w:pict>
        </mc:Fallback>
      </mc:AlternateContent>
    </w:r>
  </w:p>
</w:ftr>
</file>

<file path=word/footer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w:drawing>
        <wp:anchor distT="0" distB="0" distL="0" distR="0" allowOverlap="1" layoutInCell="1" locked="0" behindDoc="0" simplePos="0" relativeHeight="15730688">
          <wp:simplePos x="0" y="0"/>
          <wp:positionH relativeFrom="page">
            <wp:posOffset>6546278</wp:posOffset>
          </wp:positionH>
          <wp:positionV relativeFrom="page">
            <wp:posOffset>10348284</wp:posOffset>
          </wp:positionV>
          <wp:extent cx="1010221" cy="330904"/>
          <wp:effectExtent l="0" t="0" r="0" b="0"/>
          <wp:wrapNone/>
          <wp:docPr id="51" name="Image 51"/>
          <wp:cNvGraphicFramePr>
            <a:graphicFrameLocks/>
          </wp:cNvGraphicFramePr>
          <a:graphic>
            <a:graphicData uri="http://schemas.openxmlformats.org/drawingml/2006/picture">
              <pic:pic>
                <pic:nvPicPr>
                  <pic:cNvPr id="51" name="Image 51"/>
                  <pic:cNvPicPr/>
                </pic:nvPicPr>
                <pic:blipFill>
                  <a:blip r:embed="rId1" cstate="print"/>
                  <a:stretch>
                    <a:fillRect/>
                  </a:stretch>
                </pic:blipFill>
                <pic:spPr>
                  <a:xfrm>
                    <a:off x="0" y="0"/>
                    <a:ext cx="1010221" cy="330904"/>
                  </a:xfrm>
                  <a:prstGeom prst="rect">
                    <a:avLst/>
                  </a:prstGeom>
                </pic:spPr>
              </pic:pic>
            </a:graphicData>
          </a:graphic>
        </wp:anchor>
      </w:drawing>
    </w:r>
    <w:r>
      <w:rPr>
        <w:sz w:val="20"/>
      </w:rPr>
      <mc:AlternateContent>
        <mc:Choice Requires="wps">
          <w:drawing>
            <wp:anchor distT="0" distB="0" distL="0" distR="0" allowOverlap="1" layoutInCell="1" locked="0" behindDoc="1" simplePos="0" relativeHeight="482813952">
              <wp:simplePos x="0" y="0"/>
              <wp:positionH relativeFrom="page">
                <wp:posOffset>0</wp:posOffset>
              </wp:positionH>
              <wp:positionV relativeFrom="page">
                <wp:posOffset>10332719</wp:posOffset>
              </wp:positionV>
              <wp:extent cx="7564120" cy="152400"/>
              <wp:effectExtent l="0" t="0" r="0" b="0"/>
              <wp:wrapNone/>
              <wp:docPr id="52" name="Group 52"/>
              <wp:cNvGraphicFramePr>
                <a:graphicFrameLocks/>
              </wp:cNvGraphicFramePr>
              <a:graphic>
                <a:graphicData uri="http://schemas.microsoft.com/office/word/2010/wordprocessingGroup">
                  <wpg:wgp>
                    <wpg:cNvPr id="52" name="Group 52"/>
                    <wpg:cNvGrpSpPr/>
                    <wpg:grpSpPr>
                      <a:xfrm>
                        <a:off x="0" y="0"/>
                        <a:ext cx="7564120" cy="152400"/>
                        <a:chExt cx="7564120" cy="152400"/>
                      </a:xfrm>
                    </wpg:grpSpPr>
                    <wps:wsp>
                      <wps:cNvPr id="53" name="Graphic 53"/>
                      <wps:cNvSpPr/>
                      <wps:spPr>
                        <a:xfrm>
                          <a:off x="5518150" y="4064"/>
                          <a:ext cx="1235075" cy="147955"/>
                        </a:xfrm>
                        <a:custGeom>
                          <a:avLst/>
                          <a:gdLst/>
                          <a:ahLst/>
                          <a:cxnLst/>
                          <a:rect l="l" t="t" r="r" b="b"/>
                          <a:pathLst>
                            <a:path w="1235075" h="147955">
                              <a:moveTo>
                                <a:pt x="1228396" y="335"/>
                              </a:moveTo>
                              <a:lnTo>
                                <a:pt x="-5187" y="335"/>
                              </a:lnTo>
                              <a:lnTo>
                                <a:pt x="-5187" y="148024"/>
                              </a:lnTo>
                              <a:lnTo>
                                <a:pt x="1228396" y="148024"/>
                              </a:lnTo>
                              <a:lnTo>
                                <a:pt x="1228396" y="335"/>
                              </a:lnTo>
                              <a:close/>
                            </a:path>
                          </a:pathLst>
                        </a:custGeom>
                        <a:solidFill>
                          <a:srgbClr val="00008A"/>
                        </a:solidFill>
                      </wps:spPr>
                      <wps:bodyPr wrap="square" lIns="0" tIns="0" rIns="0" bIns="0" rtlCol="0">
                        <a:prstTxWarp prst="textNoShape">
                          <a:avLst/>
                        </a:prstTxWarp>
                        <a:noAutofit/>
                      </wps:bodyPr>
                    </wps:wsp>
                    <wps:wsp>
                      <wps:cNvPr id="54" name="Graphic 54"/>
                      <wps:cNvSpPr/>
                      <wps:spPr>
                        <a:xfrm>
                          <a:off x="0" y="0"/>
                          <a:ext cx="7564120" cy="10160"/>
                        </a:xfrm>
                        <a:custGeom>
                          <a:avLst/>
                          <a:gdLst/>
                          <a:ahLst/>
                          <a:cxnLst/>
                          <a:rect l="l" t="t" r="r" b="b"/>
                          <a:pathLst>
                            <a:path w="7564120" h="10160">
                              <a:moveTo>
                                <a:pt x="7556502" y="339"/>
                              </a:moveTo>
                              <a:lnTo>
                                <a:pt x="0" y="339"/>
                              </a:lnTo>
                              <a:lnTo>
                                <a:pt x="0" y="10489"/>
                              </a:lnTo>
                              <a:lnTo>
                                <a:pt x="7556502" y="10489"/>
                              </a:lnTo>
                              <a:lnTo>
                                <a:pt x="7556502" y="339"/>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style="position:absolute;margin-left:0pt;margin-top:813.599976pt;width:595.6pt;height:12pt;mso-position-horizontal-relative:page;mso-position-vertical-relative:page;z-index:-20502528" id="docshapegroup41" coordorigin="0,16272" coordsize="11912,240">
              <v:rect style="position:absolute;left:8681;top:16278;width:1943;height:233" id="docshape42" filled="true" fillcolor="#00008a" stroked="false">
                <v:fill type="solid"/>
              </v:rect>
              <v:rect style="position:absolute;left:0;top:16272;width:11900;height:16" id="docshape43" filled="true" fillcolor="#000000" stroked="false">
                <v:fill type="solid"/>
              </v:rect>
              <w10:wrap type="none"/>
            </v:group>
          </w:pict>
        </mc:Fallback>
      </mc:AlternateContent>
    </w:r>
    <w:r>
      <w:rPr>
        <w:sz w:val="20"/>
      </w:rPr>
      <mc:AlternateContent>
        <mc:Choice Requires="wps">
          <w:drawing>
            <wp:anchor distT="0" distB="0" distL="0" distR="0" allowOverlap="1" layoutInCell="1" locked="0" behindDoc="1" simplePos="0" relativeHeight="482814464">
              <wp:simplePos x="0" y="0"/>
              <wp:positionH relativeFrom="page">
                <wp:posOffset>63428</wp:posOffset>
              </wp:positionH>
              <wp:positionV relativeFrom="page">
                <wp:posOffset>10111286</wp:posOffset>
              </wp:positionV>
              <wp:extent cx="4615815" cy="591185"/>
              <wp:effectExtent l="0" t="0" r="0" b="0"/>
              <wp:wrapNone/>
              <wp:docPr id="55" name="Textbox 55"/>
              <wp:cNvGraphicFramePr>
                <a:graphicFrameLocks/>
              </wp:cNvGraphicFramePr>
              <a:graphic>
                <a:graphicData uri="http://schemas.microsoft.com/office/word/2010/wordprocessingShape">
                  <wps:wsp>
                    <wps:cNvPr id="55" name="Textbox 55"/>
                    <wps:cNvSpPr txBox="1"/>
                    <wps:spPr>
                      <a:xfrm>
                        <a:off x="0" y="0"/>
                        <a:ext cx="4615815" cy="591185"/>
                      </a:xfrm>
                      <a:prstGeom prst="rect">
                        <a:avLst/>
                      </a:prstGeom>
                    </wps:spPr>
                    <wps:txbx>
                      <w:txbxContent>
                        <w:p>
                          <w:pPr>
                            <w:spacing w:before="11"/>
                            <w:ind w:left="0" w:right="972" w:firstLine="0"/>
                            <w:jc w:val="right"/>
                            <w:rPr>
                              <w:sz w:val="22"/>
                            </w:rPr>
                          </w:pPr>
                          <w:r>
                            <w:rPr>
                              <w:spacing w:val="-5"/>
                              <w:sz w:val="22"/>
                            </w:rPr>
                            <w:fldChar w:fldCharType="begin"/>
                          </w:r>
                          <w:r>
                            <w:rPr>
                              <w:spacing w:val="-5"/>
                              <w:sz w:val="22"/>
                            </w:rPr>
                            <w:instrText> PAGE </w:instrText>
                          </w:r>
                          <w:r>
                            <w:rPr>
                              <w:spacing w:val="-5"/>
                              <w:sz w:val="22"/>
                            </w:rPr>
                            <w:fldChar w:fldCharType="separate"/>
                          </w:r>
                          <w:r>
                            <w:rPr>
                              <w:spacing w:val="-5"/>
                              <w:sz w:val="22"/>
                            </w:rPr>
                            <w:t>100</w:t>
                          </w:r>
                          <w:r>
                            <w:rPr>
                              <w:spacing w:val="-5"/>
                              <w:sz w:val="22"/>
                            </w:rPr>
                            <w:fldChar w:fldCharType="end"/>
                          </w:r>
                        </w:p>
                        <w:p>
                          <w:pPr>
                            <w:spacing w:line="208" w:lineRule="auto" w:before="162"/>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101</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wps:txbx>
                    <wps:bodyPr wrap="square" lIns="0" tIns="0" rIns="0" bIns="0" rtlCol="0">
                      <a:noAutofit/>
                    </wps:bodyPr>
                  </wps:wsp>
                </a:graphicData>
              </a:graphic>
            </wp:anchor>
          </w:drawing>
        </mc:Choice>
        <mc:Fallback>
          <w:pict>
            <v:shape style="position:absolute;margin-left:4.994360pt;margin-top:796.164307pt;width:363.45pt;height:46.55pt;mso-position-horizontal-relative:page;mso-position-vertical-relative:page;z-index:-20502016" type="#_x0000_t202" id="docshape44" filled="false" stroked="false">
              <v:textbox inset="0,0,0,0">
                <w:txbxContent>
                  <w:p>
                    <w:pPr>
                      <w:spacing w:before="11"/>
                      <w:ind w:left="0" w:right="972" w:firstLine="0"/>
                      <w:jc w:val="right"/>
                      <w:rPr>
                        <w:sz w:val="22"/>
                      </w:rPr>
                    </w:pPr>
                    <w:r>
                      <w:rPr>
                        <w:spacing w:val="-5"/>
                        <w:sz w:val="22"/>
                      </w:rPr>
                      <w:fldChar w:fldCharType="begin"/>
                    </w:r>
                    <w:r>
                      <w:rPr>
                        <w:spacing w:val="-5"/>
                        <w:sz w:val="22"/>
                      </w:rPr>
                      <w:instrText> PAGE </w:instrText>
                    </w:r>
                    <w:r>
                      <w:rPr>
                        <w:spacing w:val="-5"/>
                        <w:sz w:val="22"/>
                      </w:rPr>
                      <w:fldChar w:fldCharType="separate"/>
                    </w:r>
                    <w:r>
                      <w:rPr>
                        <w:spacing w:val="-5"/>
                        <w:sz w:val="22"/>
                      </w:rPr>
                      <w:t>100</w:t>
                    </w:r>
                    <w:r>
                      <w:rPr>
                        <w:spacing w:val="-5"/>
                        <w:sz w:val="22"/>
                      </w:rPr>
                      <w:fldChar w:fldCharType="end"/>
                    </w:r>
                  </w:p>
                  <w:p>
                    <w:pPr>
                      <w:spacing w:line="208" w:lineRule="auto" w:before="162"/>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101</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v:textbox>
              <w10:wrap type="none"/>
            </v:shape>
          </w:pict>
        </mc:Fallback>
      </mc:AlternateContent>
    </w:r>
    <w:r>
      <w:rPr>
        <w:sz w:val="20"/>
      </w:rPr>
      <mc:AlternateContent>
        <mc:Choice Requires="wps">
          <w:drawing>
            <wp:anchor distT="0" distB="0" distL="0" distR="0" allowOverlap="1" layoutInCell="1" locked="0" behindDoc="1" simplePos="0" relativeHeight="482814976">
              <wp:simplePos x="0" y="0"/>
              <wp:positionH relativeFrom="page">
                <wp:posOffset>5498740</wp:posOffset>
              </wp:positionH>
              <wp:positionV relativeFrom="page">
                <wp:posOffset>10330567</wp:posOffset>
              </wp:positionV>
              <wp:extent cx="1260475" cy="165735"/>
              <wp:effectExtent l="0" t="0" r="0" b="0"/>
              <wp:wrapNone/>
              <wp:docPr id="56" name="Textbox 56"/>
              <wp:cNvGraphicFramePr>
                <a:graphicFrameLocks/>
              </wp:cNvGraphicFramePr>
              <a:graphic>
                <a:graphicData uri="http://schemas.microsoft.com/office/word/2010/wordprocessingShape">
                  <wps:wsp>
                    <wps:cNvPr id="56" name="Textbox 56"/>
                    <wps:cNvSpPr txBox="1"/>
                    <wps:spPr>
                      <a:xfrm>
                        <a:off x="0" y="0"/>
                        <a:ext cx="1260475" cy="165735"/>
                      </a:xfrm>
                      <a:prstGeom prst="rect">
                        <a:avLst/>
                      </a:prstGeom>
                    </wps:spPr>
                    <wps:txbx>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wps:txbx>
                    <wps:bodyPr wrap="square" lIns="0" tIns="0" rIns="0" bIns="0" rtlCol="0">
                      <a:noAutofit/>
                    </wps:bodyPr>
                  </wps:wsp>
                </a:graphicData>
              </a:graphic>
            </wp:anchor>
          </w:drawing>
        </mc:Choice>
        <mc:Fallback>
          <w:pict>
            <v:shape style="position:absolute;margin-left:432.97168pt;margin-top:813.430481pt;width:99.25pt;height:13.05pt;mso-position-horizontal-relative:page;mso-position-vertical-relative:page;z-index:-20501504" type="#_x0000_t202" id="docshape45" filled="false" stroked="false">
              <v:textbox inset="0,0,0,0">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v:textbox>
              <w10:wrap type="none"/>
            </v:shape>
          </w:pict>
        </mc:Fallback>
      </mc:AlternateContent>
    </w:r>
  </w:p>
</w:ftr>
</file>

<file path=word/footer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w:drawing>
        <wp:anchor distT="0" distB="0" distL="0" distR="0" allowOverlap="1" layoutInCell="1" locked="0" behindDoc="0" simplePos="0" relativeHeight="15732736">
          <wp:simplePos x="0" y="0"/>
          <wp:positionH relativeFrom="page">
            <wp:posOffset>9673632</wp:posOffset>
          </wp:positionH>
          <wp:positionV relativeFrom="page">
            <wp:posOffset>7211384</wp:posOffset>
          </wp:positionV>
          <wp:extent cx="1010223" cy="330904"/>
          <wp:effectExtent l="0" t="0" r="0" b="0"/>
          <wp:wrapNone/>
          <wp:docPr id="75" name="Image 75"/>
          <wp:cNvGraphicFramePr>
            <a:graphicFrameLocks/>
          </wp:cNvGraphicFramePr>
          <a:graphic>
            <a:graphicData uri="http://schemas.openxmlformats.org/drawingml/2006/picture">
              <pic:pic>
                <pic:nvPicPr>
                  <pic:cNvPr id="75" name="Image 75"/>
                  <pic:cNvPicPr/>
                </pic:nvPicPr>
                <pic:blipFill>
                  <a:blip r:embed="rId1" cstate="print"/>
                  <a:stretch>
                    <a:fillRect/>
                  </a:stretch>
                </pic:blipFill>
                <pic:spPr>
                  <a:xfrm>
                    <a:off x="0" y="0"/>
                    <a:ext cx="1010223" cy="330904"/>
                  </a:xfrm>
                  <a:prstGeom prst="rect">
                    <a:avLst/>
                  </a:prstGeom>
                </pic:spPr>
              </pic:pic>
            </a:graphicData>
          </a:graphic>
        </wp:anchor>
      </w:drawing>
    </w:r>
    <w:r>
      <w:rPr>
        <w:sz w:val="20"/>
      </w:rPr>
      <mc:AlternateContent>
        <mc:Choice Requires="wps">
          <w:drawing>
            <wp:anchor distT="0" distB="0" distL="0" distR="0" allowOverlap="1" layoutInCell="1" locked="0" behindDoc="1" simplePos="0" relativeHeight="482816000">
              <wp:simplePos x="0" y="0"/>
              <wp:positionH relativeFrom="page">
                <wp:posOffset>0</wp:posOffset>
              </wp:positionH>
              <wp:positionV relativeFrom="page">
                <wp:posOffset>7195825</wp:posOffset>
              </wp:positionV>
              <wp:extent cx="10694035" cy="149225"/>
              <wp:effectExtent l="0" t="0" r="0" b="0"/>
              <wp:wrapNone/>
              <wp:docPr id="76" name="Group 76"/>
              <wp:cNvGraphicFramePr>
                <a:graphicFrameLocks/>
              </wp:cNvGraphicFramePr>
              <a:graphic>
                <a:graphicData uri="http://schemas.microsoft.com/office/word/2010/wordprocessingGroup">
                  <wpg:wgp>
                    <wpg:cNvPr id="76" name="Group 76"/>
                    <wpg:cNvGrpSpPr/>
                    <wpg:grpSpPr>
                      <a:xfrm>
                        <a:off x="0" y="0"/>
                        <a:ext cx="10694035" cy="149225"/>
                        <a:chExt cx="10694035" cy="149225"/>
                      </a:xfrm>
                    </wpg:grpSpPr>
                    <wps:wsp>
                      <wps:cNvPr id="77" name="Graphic 77"/>
                      <wps:cNvSpPr/>
                      <wps:spPr>
                        <a:xfrm>
                          <a:off x="8736838" y="2535"/>
                          <a:ext cx="1235075" cy="146685"/>
                        </a:xfrm>
                        <a:custGeom>
                          <a:avLst/>
                          <a:gdLst/>
                          <a:ahLst/>
                          <a:cxnLst/>
                          <a:rect l="l" t="t" r="r" b="b"/>
                          <a:pathLst>
                            <a:path w="1235075" h="146685">
                              <a:moveTo>
                                <a:pt x="1225371" y="336"/>
                              </a:moveTo>
                              <a:lnTo>
                                <a:pt x="-8212" y="336"/>
                              </a:lnTo>
                              <a:lnTo>
                                <a:pt x="-8212" y="146503"/>
                              </a:lnTo>
                              <a:lnTo>
                                <a:pt x="1225371" y="146503"/>
                              </a:lnTo>
                              <a:lnTo>
                                <a:pt x="1225371" y="336"/>
                              </a:lnTo>
                              <a:close/>
                            </a:path>
                          </a:pathLst>
                        </a:custGeom>
                        <a:solidFill>
                          <a:srgbClr val="00008A"/>
                        </a:solidFill>
                      </wps:spPr>
                      <wps:bodyPr wrap="square" lIns="0" tIns="0" rIns="0" bIns="0" rtlCol="0">
                        <a:prstTxWarp prst="textNoShape">
                          <a:avLst/>
                        </a:prstTxWarp>
                        <a:noAutofit/>
                      </wps:bodyPr>
                    </wps:wsp>
                    <wps:wsp>
                      <wps:cNvPr id="78" name="Graphic 78"/>
                      <wps:cNvSpPr/>
                      <wps:spPr>
                        <a:xfrm>
                          <a:off x="0" y="5075"/>
                          <a:ext cx="10694035" cy="1270"/>
                        </a:xfrm>
                        <a:custGeom>
                          <a:avLst/>
                          <a:gdLst/>
                          <a:ahLst/>
                          <a:cxnLst/>
                          <a:rect l="l" t="t" r="r" b="b"/>
                          <a:pathLst>
                            <a:path w="10694035" h="0">
                              <a:moveTo>
                                <a:pt x="0" y="334"/>
                              </a:moveTo>
                              <a:lnTo>
                                <a:pt x="10683855" y="334"/>
                              </a:lnTo>
                            </a:path>
                          </a:pathLst>
                        </a:custGeom>
                        <a:ln w="10150">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0pt;margin-top:566.600403pt;width:842.05pt;height:11.75pt;mso-position-horizontal-relative:page;mso-position-vertical-relative:page;z-index:-20500480" id="docshapegroup63" coordorigin="0,11332" coordsize="16841,235">
              <v:rect style="position:absolute;left:13745;top:11336;width:1943;height:231" id="docshape64" filled="true" fillcolor="#00008a" stroked="false">
                <v:fill type="solid"/>
              </v:rect>
              <v:line style="position:absolute" from="0,11341" to="16825,11341" stroked="true" strokeweight=".799248pt" strokecolor="#000000">
                <v:stroke dashstyle="solid"/>
              </v:line>
              <w10:wrap type="none"/>
            </v:group>
          </w:pict>
        </mc:Fallback>
      </mc:AlternateContent>
    </w:r>
    <w:r>
      <w:rPr>
        <w:sz w:val="20"/>
      </w:rPr>
      <mc:AlternateContent>
        <mc:Choice Requires="wps">
          <w:drawing>
            <wp:anchor distT="0" distB="0" distL="0" distR="0" allowOverlap="1" layoutInCell="1" locked="0" behindDoc="1" simplePos="0" relativeHeight="482816512">
              <wp:simplePos x="0" y="0"/>
              <wp:positionH relativeFrom="page">
                <wp:posOffset>8715925</wp:posOffset>
              </wp:positionH>
              <wp:positionV relativeFrom="page">
                <wp:posOffset>7192143</wp:posOffset>
              </wp:positionV>
              <wp:extent cx="1260475" cy="165735"/>
              <wp:effectExtent l="0" t="0" r="0" b="0"/>
              <wp:wrapNone/>
              <wp:docPr id="79" name="Textbox 79"/>
              <wp:cNvGraphicFramePr>
                <a:graphicFrameLocks/>
              </wp:cNvGraphicFramePr>
              <a:graphic>
                <a:graphicData uri="http://schemas.microsoft.com/office/word/2010/wordprocessingShape">
                  <wps:wsp>
                    <wps:cNvPr id="79" name="Textbox 79"/>
                    <wps:cNvSpPr txBox="1"/>
                    <wps:spPr>
                      <a:xfrm>
                        <a:off x="0" y="0"/>
                        <a:ext cx="1260475" cy="165735"/>
                      </a:xfrm>
                      <a:prstGeom prst="rect">
                        <a:avLst/>
                      </a:prstGeom>
                    </wps:spPr>
                    <wps:txbx>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wps:txbx>
                    <wps:bodyPr wrap="square" lIns="0" tIns="0" rIns="0" bIns="0" rtlCol="0">
                      <a:noAutofit/>
                    </wps:bodyPr>
                  </wps:wsp>
                </a:graphicData>
              </a:graphic>
            </wp:anchor>
          </w:drawing>
        </mc:Choice>
        <mc:Fallback>
          <w:pict>
            <v:shape style="position:absolute;margin-left:686.293335pt;margin-top:566.310547pt;width:99.25pt;height:13.05pt;mso-position-horizontal-relative:page;mso-position-vertical-relative:page;z-index:-20499968" type="#_x0000_t202" id="docshape65" filled="false" stroked="false">
              <v:textbox inset="0,0,0,0">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v:textbox>
              <w10:wrap type="none"/>
            </v:shape>
          </w:pict>
        </mc:Fallback>
      </mc:AlternateContent>
    </w:r>
    <w:r>
      <w:rPr>
        <w:sz w:val="20"/>
      </w:rPr>
      <mc:AlternateContent>
        <mc:Choice Requires="wps">
          <w:drawing>
            <wp:anchor distT="0" distB="0" distL="0" distR="0" allowOverlap="1" layoutInCell="1" locked="0" behindDoc="1" simplePos="0" relativeHeight="482817024">
              <wp:simplePos x="0" y="0"/>
              <wp:positionH relativeFrom="page">
                <wp:posOffset>63428</wp:posOffset>
              </wp:positionH>
              <wp:positionV relativeFrom="page">
                <wp:posOffset>7223525</wp:posOffset>
              </wp:positionV>
              <wp:extent cx="4615815" cy="342265"/>
              <wp:effectExtent l="0" t="0" r="0" b="0"/>
              <wp:wrapNone/>
              <wp:docPr id="80" name="Textbox 80"/>
              <wp:cNvGraphicFramePr>
                <a:graphicFrameLocks/>
              </wp:cNvGraphicFramePr>
              <a:graphic>
                <a:graphicData uri="http://schemas.microsoft.com/office/word/2010/wordprocessingShape">
                  <wps:wsp>
                    <wps:cNvPr id="80" name="Textbox 80"/>
                    <wps:cNvSpPr txBox="1"/>
                    <wps:spPr>
                      <a:xfrm>
                        <a:off x="0" y="0"/>
                        <a:ext cx="4615815" cy="342265"/>
                      </a:xfrm>
                      <a:prstGeom prst="rect">
                        <a:avLst/>
                      </a:prstGeom>
                    </wps:spPr>
                    <wps:txbx>
                      <w:txbxContent>
                        <w:p>
                          <w:pPr>
                            <w:spacing w:line="208" w:lineRule="auto" w:before="34"/>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170</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wps:txbx>
                    <wps:bodyPr wrap="square" lIns="0" tIns="0" rIns="0" bIns="0" rtlCol="0">
                      <a:noAutofit/>
                    </wps:bodyPr>
                  </wps:wsp>
                </a:graphicData>
              </a:graphic>
            </wp:anchor>
          </w:drawing>
        </mc:Choice>
        <mc:Fallback>
          <w:pict>
            <v:shape style="position:absolute;margin-left:4.994360pt;margin-top:568.781555pt;width:363.45pt;height:26.95pt;mso-position-horizontal-relative:page;mso-position-vertical-relative:page;z-index:-20499456" type="#_x0000_t202" id="docshape66" filled="false" stroked="false">
              <v:textbox inset="0,0,0,0">
                <w:txbxContent>
                  <w:p>
                    <w:pPr>
                      <w:spacing w:line="208" w:lineRule="auto" w:before="34"/>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170</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v:textbox>
              <w10:wrap type="none"/>
            </v:shape>
          </w:pict>
        </mc:Fallback>
      </mc:AlternateContent>
    </w:r>
  </w:p>
</w:ftr>
</file>

<file path=word/footer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w:drawing>
        <wp:anchor distT="0" distB="0" distL="0" distR="0" allowOverlap="1" layoutInCell="1" locked="0" behindDoc="0" simplePos="0" relativeHeight="15734784">
          <wp:simplePos x="0" y="0"/>
          <wp:positionH relativeFrom="page">
            <wp:posOffset>6546278</wp:posOffset>
          </wp:positionH>
          <wp:positionV relativeFrom="page">
            <wp:posOffset>10348284</wp:posOffset>
          </wp:positionV>
          <wp:extent cx="1010221" cy="330904"/>
          <wp:effectExtent l="0" t="0" r="0" b="0"/>
          <wp:wrapNone/>
          <wp:docPr id="81" name="Image 81"/>
          <wp:cNvGraphicFramePr>
            <a:graphicFrameLocks/>
          </wp:cNvGraphicFramePr>
          <a:graphic>
            <a:graphicData uri="http://schemas.openxmlformats.org/drawingml/2006/picture">
              <pic:pic>
                <pic:nvPicPr>
                  <pic:cNvPr id="81" name="Image 81"/>
                  <pic:cNvPicPr/>
                </pic:nvPicPr>
                <pic:blipFill>
                  <a:blip r:embed="rId1" cstate="print"/>
                  <a:stretch>
                    <a:fillRect/>
                  </a:stretch>
                </pic:blipFill>
                <pic:spPr>
                  <a:xfrm>
                    <a:off x="0" y="0"/>
                    <a:ext cx="1010221" cy="330904"/>
                  </a:xfrm>
                  <a:prstGeom prst="rect">
                    <a:avLst/>
                  </a:prstGeom>
                </pic:spPr>
              </pic:pic>
            </a:graphicData>
          </a:graphic>
        </wp:anchor>
      </w:drawing>
    </w:r>
    <w:r>
      <w:rPr>
        <w:sz w:val="20"/>
      </w:rPr>
      <mc:AlternateContent>
        <mc:Choice Requires="wps">
          <w:drawing>
            <wp:anchor distT="0" distB="0" distL="0" distR="0" allowOverlap="1" layoutInCell="1" locked="0" behindDoc="1" simplePos="0" relativeHeight="482818048">
              <wp:simplePos x="0" y="0"/>
              <wp:positionH relativeFrom="page">
                <wp:posOffset>0</wp:posOffset>
              </wp:positionH>
              <wp:positionV relativeFrom="page">
                <wp:posOffset>10332719</wp:posOffset>
              </wp:positionV>
              <wp:extent cx="7564120" cy="152400"/>
              <wp:effectExtent l="0" t="0" r="0" b="0"/>
              <wp:wrapNone/>
              <wp:docPr id="82" name="Group 82"/>
              <wp:cNvGraphicFramePr>
                <a:graphicFrameLocks/>
              </wp:cNvGraphicFramePr>
              <a:graphic>
                <a:graphicData uri="http://schemas.microsoft.com/office/word/2010/wordprocessingGroup">
                  <wpg:wgp>
                    <wpg:cNvPr id="82" name="Group 82"/>
                    <wpg:cNvGrpSpPr/>
                    <wpg:grpSpPr>
                      <a:xfrm>
                        <a:off x="0" y="0"/>
                        <a:ext cx="7564120" cy="152400"/>
                        <a:chExt cx="7564120" cy="152400"/>
                      </a:xfrm>
                    </wpg:grpSpPr>
                    <wps:wsp>
                      <wps:cNvPr id="83" name="Graphic 83"/>
                      <wps:cNvSpPr/>
                      <wps:spPr>
                        <a:xfrm>
                          <a:off x="5518150" y="4064"/>
                          <a:ext cx="1235075" cy="147955"/>
                        </a:xfrm>
                        <a:custGeom>
                          <a:avLst/>
                          <a:gdLst/>
                          <a:ahLst/>
                          <a:cxnLst/>
                          <a:rect l="l" t="t" r="r" b="b"/>
                          <a:pathLst>
                            <a:path w="1235075" h="147955">
                              <a:moveTo>
                                <a:pt x="1228396" y="335"/>
                              </a:moveTo>
                              <a:lnTo>
                                <a:pt x="-5187" y="335"/>
                              </a:lnTo>
                              <a:lnTo>
                                <a:pt x="-5187" y="148024"/>
                              </a:lnTo>
                              <a:lnTo>
                                <a:pt x="1228396" y="148024"/>
                              </a:lnTo>
                              <a:lnTo>
                                <a:pt x="1228396" y="335"/>
                              </a:lnTo>
                              <a:close/>
                            </a:path>
                          </a:pathLst>
                        </a:custGeom>
                        <a:solidFill>
                          <a:srgbClr val="00008A"/>
                        </a:solidFill>
                      </wps:spPr>
                      <wps:bodyPr wrap="square" lIns="0" tIns="0" rIns="0" bIns="0" rtlCol="0">
                        <a:prstTxWarp prst="textNoShape">
                          <a:avLst/>
                        </a:prstTxWarp>
                        <a:noAutofit/>
                      </wps:bodyPr>
                    </wps:wsp>
                    <wps:wsp>
                      <wps:cNvPr id="84" name="Graphic 84"/>
                      <wps:cNvSpPr/>
                      <wps:spPr>
                        <a:xfrm>
                          <a:off x="0" y="0"/>
                          <a:ext cx="7564120" cy="10160"/>
                        </a:xfrm>
                        <a:custGeom>
                          <a:avLst/>
                          <a:gdLst/>
                          <a:ahLst/>
                          <a:cxnLst/>
                          <a:rect l="l" t="t" r="r" b="b"/>
                          <a:pathLst>
                            <a:path w="7564120" h="10160">
                              <a:moveTo>
                                <a:pt x="7556502" y="339"/>
                              </a:moveTo>
                              <a:lnTo>
                                <a:pt x="0" y="339"/>
                              </a:lnTo>
                              <a:lnTo>
                                <a:pt x="0" y="10489"/>
                              </a:lnTo>
                              <a:lnTo>
                                <a:pt x="7556502" y="10489"/>
                              </a:lnTo>
                              <a:lnTo>
                                <a:pt x="7556502" y="339"/>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style="position:absolute;margin-left:0pt;margin-top:813.599976pt;width:595.6pt;height:12pt;mso-position-horizontal-relative:page;mso-position-vertical-relative:page;z-index:-20498432" id="docshapegroup67" coordorigin="0,16272" coordsize="11912,240">
              <v:rect style="position:absolute;left:8681;top:16278;width:1943;height:233" id="docshape68" filled="true" fillcolor="#00008a" stroked="false">
                <v:fill type="solid"/>
              </v:rect>
              <v:rect style="position:absolute;left:0;top:16272;width:11900;height:16" id="docshape69" filled="true" fillcolor="#000000" stroked="false">
                <v:fill type="solid"/>
              </v:rect>
              <w10:wrap type="none"/>
            </v:group>
          </w:pict>
        </mc:Fallback>
      </mc:AlternateContent>
    </w:r>
    <w:r>
      <w:rPr>
        <w:sz w:val="20"/>
      </w:rPr>
      <mc:AlternateContent>
        <mc:Choice Requires="wps">
          <w:drawing>
            <wp:anchor distT="0" distB="0" distL="0" distR="0" allowOverlap="1" layoutInCell="1" locked="0" behindDoc="1" simplePos="0" relativeHeight="482818560">
              <wp:simplePos x="0" y="0"/>
              <wp:positionH relativeFrom="page">
                <wp:posOffset>63428</wp:posOffset>
              </wp:positionH>
              <wp:positionV relativeFrom="page">
                <wp:posOffset>10111286</wp:posOffset>
              </wp:positionV>
              <wp:extent cx="4615815" cy="591185"/>
              <wp:effectExtent l="0" t="0" r="0" b="0"/>
              <wp:wrapNone/>
              <wp:docPr id="85" name="Textbox 85"/>
              <wp:cNvGraphicFramePr>
                <a:graphicFrameLocks/>
              </wp:cNvGraphicFramePr>
              <a:graphic>
                <a:graphicData uri="http://schemas.microsoft.com/office/word/2010/wordprocessingShape">
                  <wps:wsp>
                    <wps:cNvPr id="85" name="Textbox 85"/>
                    <wps:cNvSpPr txBox="1"/>
                    <wps:spPr>
                      <a:xfrm>
                        <a:off x="0" y="0"/>
                        <a:ext cx="4615815" cy="591185"/>
                      </a:xfrm>
                      <a:prstGeom prst="rect">
                        <a:avLst/>
                      </a:prstGeom>
                    </wps:spPr>
                    <wps:txbx>
                      <w:txbxContent>
                        <w:p>
                          <w:pPr>
                            <w:spacing w:before="11"/>
                            <w:ind w:left="0" w:right="1042" w:firstLine="0"/>
                            <w:jc w:val="right"/>
                            <w:rPr>
                              <w:sz w:val="22"/>
                            </w:rPr>
                          </w:pPr>
                          <w:r>
                            <w:rPr>
                              <w:spacing w:val="-5"/>
                              <w:sz w:val="22"/>
                            </w:rPr>
                            <w:t>171</w:t>
                          </w:r>
                        </w:p>
                        <w:p>
                          <w:pPr>
                            <w:spacing w:line="208" w:lineRule="auto" w:before="162"/>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9"/>
                              <w:sz w:val="16"/>
                            </w:rPr>
                            <w:t> </w:t>
                          </w:r>
                          <w:r>
                            <w:rPr>
                              <w:rFonts w:ascii="Arial" w:hAnsi="Arial"/>
                              <w:sz w:val="16"/>
                            </w:rPr>
                            <w:t>172</w:t>
                          </w:r>
                          <w:r>
                            <w:rPr>
                              <w:rFonts w:ascii="Arial" w:hAnsi="Arial"/>
                              <w:spacing w:val="-6"/>
                              <w:sz w:val="16"/>
                            </w:rPr>
                            <w:t> </w:t>
                          </w:r>
                          <w:r>
                            <w:rPr>
                              <w:rFonts w:ascii="Arial" w:hAnsi="Arial"/>
                              <w:sz w:val="16"/>
                            </w:rPr>
                            <w:t>из</w:t>
                          </w:r>
                          <w:r>
                            <w:rPr>
                              <w:rFonts w:ascii="Arial" w:hAnsi="Arial"/>
                              <w:spacing w:val="-6"/>
                              <w:sz w:val="16"/>
                            </w:rPr>
                            <w:t> </w:t>
                          </w:r>
                          <w:r>
                            <w:rPr>
                              <w:rFonts w:ascii="Arial" w:hAnsi="Arial"/>
                              <w:sz w:val="16"/>
                            </w:rPr>
                            <w:t>248.</w:t>
                          </w:r>
                          <w:r>
                            <w:rPr>
                              <w:rFonts w:ascii="Arial" w:hAnsi="Arial"/>
                              <w:spacing w:val="-6"/>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6"/>
                              <w:sz w:val="16"/>
                            </w:rPr>
                            <w:t> </w:t>
                          </w:r>
                          <w:r>
                            <w:rPr>
                              <w:rFonts w:ascii="Arial" w:hAnsi="Arial"/>
                              <w:sz w:val="16"/>
                            </w:rPr>
                            <w:t>29.05.2025</w:t>
                          </w:r>
                          <w:r>
                            <w:rPr>
                              <w:rFonts w:ascii="Arial" w:hAnsi="Arial"/>
                              <w:spacing w:val="-6"/>
                              <w:sz w:val="16"/>
                            </w:rPr>
                            <w:t> </w:t>
                          </w:r>
                          <w:r>
                            <w:rPr>
                              <w:rFonts w:ascii="Arial" w:hAnsi="Arial"/>
                              <w:spacing w:val="-2"/>
                              <w:sz w:val="16"/>
                            </w:rPr>
                            <w:t>10:30</w:t>
                          </w:r>
                        </w:p>
                      </w:txbxContent>
                    </wps:txbx>
                    <wps:bodyPr wrap="square" lIns="0" tIns="0" rIns="0" bIns="0" rtlCol="0">
                      <a:noAutofit/>
                    </wps:bodyPr>
                  </wps:wsp>
                </a:graphicData>
              </a:graphic>
            </wp:anchor>
          </w:drawing>
        </mc:Choice>
        <mc:Fallback>
          <w:pict>
            <v:shape style="position:absolute;margin-left:4.994360pt;margin-top:796.164307pt;width:363.45pt;height:46.55pt;mso-position-horizontal-relative:page;mso-position-vertical-relative:page;z-index:-20497920" type="#_x0000_t202" id="docshape70" filled="false" stroked="false">
              <v:textbox inset="0,0,0,0">
                <w:txbxContent>
                  <w:p>
                    <w:pPr>
                      <w:spacing w:before="11"/>
                      <w:ind w:left="0" w:right="1042" w:firstLine="0"/>
                      <w:jc w:val="right"/>
                      <w:rPr>
                        <w:sz w:val="22"/>
                      </w:rPr>
                    </w:pPr>
                    <w:r>
                      <w:rPr>
                        <w:spacing w:val="-5"/>
                        <w:sz w:val="22"/>
                      </w:rPr>
                      <w:t>171</w:t>
                    </w:r>
                  </w:p>
                  <w:p>
                    <w:pPr>
                      <w:spacing w:line="208" w:lineRule="auto" w:before="162"/>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9"/>
                        <w:sz w:val="16"/>
                      </w:rPr>
                      <w:t> </w:t>
                    </w:r>
                    <w:r>
                      <w:rPr>
                        <w:rFonts w:ascii="Arial" w:hAnsi="Arial"/>
                        <w:sz w:val="16"/>
                      </w:rPr>
                      <w:t>172</w:t>
                    </w:r>
                    <w:r>
                      <w:rPr>
                        <w:rFonts w:ascii="Arial" w:hAnsi="Arial"/>
                        <w:spacing w:val="-6"/>
                        <w:sz w:val="16"/>
                      </w:rPr>
                      <w:t> </w:t>
                    </w:r>
                    <w:r>
                      <w:rPr>
                        <w:rFonts w:ascii="Arial" w:hAnsi="Arial"/>
                        <w:sz w:val="16"/>
                      </w:rPr>
                      <w:t>из</w:t>
                    </w:r>
                    <w:r>
                      <w:rPr>
                        <w:rFonts w:ascii="Arial" w:hAnsi="Arial"/>
                        <w:spacing w:val="-6"/>
                        <w:sz w:val="16"/>
                      </w:rPr>
                      <w:t> </w:t>
                    </w:r>
                    <w:r>
                      <w:rPr>
                        <w:rFonts w:ascii="Arial" w:hAnsi="Arial"/>
                        <w:sz w:val="16"/>
                      </w:rPr>
                      <w:t>248.</w:t>
                    </w:r>
                    <w:r>
                      <w:rPr>
                        <w:rFonts w:ascii="Arial" w:hAnsi="Arial"/>
                        <w:spacing w:val="-6"/>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6"/>
                        <w:sz w:val="16"/>
                      </w:rPr>
                      <w:t> </w:t>
                    </w:r>
                    <w:r>
                      <w:rPr>
                        <w:rFonts w:ascii="Arial" w:hAnsi="Arial"/>
                        <w:sz w:val="16"/>
                      </w:rPr>
                      <w:t>29.05.2025</w:t>
                    </w:r>
                    <w:r>
                      <w:rPr>
                        <w:rFonts w:ascii="Arial" w:hAnsi="Arial"/>
                        <w:spacing w:val="-6"/>
                        <w:sz w:val="16"/>
                      </w:rPr>
                      <w:t> </w:t>
                    </w:r>
                    <w:r>
                      <w:rPr>
                        <w:rFonts w:ascii="Arial" w:hAnsi="Arial"/>
                        <w:spacing w:val="-2"/>
                        <w:sz w:val="16"/>
                      </w:rPr>
                      <w:t>10:30</w:t>
                    </w:r>
                  </w:p>
                </w:txbxContent>
              </v:textbox>
              <w10:wrap type="none"/>
            </v:shape>
          </w:pict>
        </mc:Fallback>
      </mc:AlternateContent>
    </w:r>
    <w:r>
      <w:rPr>
        <w:sz w:val="20"/>
      </w:rPr>
      <mc:AlternateContent>
        <mc:Choice Requires="wps">
          <w:drawing>
            <wp:anchor distT="0" distB="0" distL="0" distR="0" allowOverlap="1" layoutInCell="1" locked="0" behindDoc="1" simplePos="0" relativeHeight="482819072">
              <wp:simplePos x="0" y="0"/>
              <wp:positionH relativeFrom="page">
                <wp:posOffset>5500263</wp:posOffset>
              </wp:positionH>
              <wp:positionV relativeFrom="page">
                <wp:posOffset>10330567</wp:posOffset>
              </wp:positionV>
              <wp:extent cx="1260475" cy="165735"/>
              <wp:effectExtent l="0" t="0" r="0" b="0"/>
              <wp:wrapNone/>
              <wp:docPr id="86" name="Textbox 86"/>
              <wp:cNvGraphicFramePr>
                <a:graphicFrameLocks/>
              </wp:cNvGraphicFramePr>
              <a:graphic>
                <a:graphicData uri="http://schemas.microsoft.com/office/word/2010/wordprocessingShape">
                  <wps:wsp>
                    <wps:cNvPr id="86" name="Textbox 86"/>
                    <wps:cNvSpPr txBox="1"/>
                    <wps:spPr>
                      <a:xfrm>
                        <a:off x="0" y="0"/>
                        <a:ext cx="1260475" cy="165735"/>
                      </a:xfrm>
                      <a:prstGeom prst="rect">
                        <a:avLst/>
                      </a:prstGeom>
                    </wps:spPr>
                    <wps:txbx>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wps:txbx>
                    <wps:bodyPr wrap="square" lIns="0" tIns="0" rIns="0" bIns="0" rtlCol="0">
                      <a:noAutofit/>
                    </wps:bodyPr>
                  </wps:wsp>
                </a:graphicData>
              </a:graphic>
            </wp:anchor>
          </w:drawing>
        </mc:Choice>
        <mc:Fallback>
          <w:pict>
            <v:shape style="position:absolute;margin-left:433.091583pt;margin-top:813.430481pt;width:99.25pt;height:13.05pt;mso-position-horizontal-relative:page;mso-position-vertical-relative:page;z-index:-20497408" type="#_x0000_t202" id="docshape71" filled="false" stroked="false">
              <v:textbox inset="0,0,0,0">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v:textbox>
              <w10:wrap type="none"/>
            </v:shape>
          </w:pict>
        </mc:Fallback>
      </mc:AlternateContent>
    </w:r>
  </w:p>
</w:ftr>
</file>

<file path=word/footer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w:drawing>
        <wp:anchor distT="0" distB="0" distL="0" distR="0" allowOverlap="1" layoutInCell="1" locked="0" behindDoc="0" simplePos="0" relativeHeight="15736832">
          <wp:simplePos x="0" y="0"/>
          <wp:positionH relativeFrom="page">
            <wp:posOffset>6546278</wp:posOffset>
          </wp:positionH>
          <wp:positionV relativeFrom="page">
            <wp:posOffset>10348284</wp:posOffset>
          </wp:positionV>
          <wp:extent cx="1010221" cy="330904"/>
          <wp:effectExtent l="0" t="0" r="0" b="0"/>
          <wp:wrapNone/>
          <wp:docPr id="87" name="Image 87"/>
          <wp:cNvGraphicFramePr>
            <a:graphicFrameLocks/>
          </wp:cNvGraphicFramePr>
          <a:graphic>
            <a:graphicData uri="http://schemas.openxmlformats.org/drawingml/2006/picture">
              <pic:pic>
                <pic:nvPicPr>
                  <pic:cNvPr id="87" name="Image 87"/>
                  <pic:cNvPicPr/>
                </pic:nvPicPr>
                <pic:blipFill>
                  <a:blip r:embed="rId1" cstate="print"/>
                  <a:stretch>
                    <a:fillRect/>
                  </a:stretch>
                </pic:blipFill>
                <pic:spPr>
                  <a:xfrm>
                    <a:off x="0" y="0"/>
                    <a:ext cx="1010221" cy="330904"/>
                  </a:xfrm>
                  <a:prstGeom prst="rect">
                    <a:avLst/>
                  </a:prstGeom>
                </pic:spPr>
              </pic:pic>
            </a:graphicData>
          </a:graphic>
        </wp:anchor>
      </w:drawing>
    </w:r>
    <w:r>
      <w:rPr>
        <w:sz w:val="20"/>
      </w:rPr>
      <mc:AlternateContent>
        <mc:Choice Requires="wps">
          <w:drawing>
            <wp:anchor distT="0" distB="0" distL="0" distR="0" allowOverlap="1" layoutInCell="1" locked="0" behindDoc="1" simplePos="0" relativeHeight="482820096">
              <wp:simplePos x="0" y="0"/>
              <wp:positionH relativeFrom="page">
                <wp:posOffset>0</wp:posOffset>
              </wp:positionH>
              <wp:positionV relativeFrom="page">
                <wp:posOffset>10332719</wp:posOffset>
              </wp:positionV>
              <wp:extent cx="7564120" cy="152400"/>
              <wp:effectExtent l="0" t="0" r="0" b="0"/>
              <wp:wrapNone/>
              <wp:docPr id="88" name="Group 88"/>
              <wp:cNvGraphicFramePr>
                <a:graphicFrameLocks/>
              </wp:cNvGraphicFramePr>
              <a:graphic>
                <a:graphicData uri="http://schemas.microsoft.com/office/word/2010/wordprocessingGroup">
                  <wpg:wgp>
                    <wpg:cNvPr id="88" name="Group 88"/>
                    <wpg:cNvGrpSpPr/>
                    <wpg:grpSpPr>
                      <a:xfrm>
                        <a:off x="0" y="0"/>
                        <a:ext cx="7564120" cy="152400"/>
                        <a:chExt cx="7564120" cy="152400"/>
                      </a:xfrm>
                    </wpg:grpSpPr>
                    <wps:wsp>
                      <wps:cNvPr id="89" name="Graphic 89"/>
                      <wps:cNvSpPr/>
                      <wps:spPr>
                        <a:xfrm>
                          <a:off x="5516626" y="4064"/>
                          <a:ext cx="1236345" cy="147955"/>
                        </a:xfrm>
                        <a:custGeom>
                          <a:avLst/>
                          <a:gdLst/>
                          <a:ahLst/>
                          <a:cxnLst/>
                          <a:rect l="l" t="t" r="r" b="b"/>
                          <a:pathLst>
                            <a:path w="1236345" h="147955">
                              <a:moveTo>
                                <a:pt x="1229920" y="335"/>
                              </a:moveTo>
                              <a:lnTo>
                                <a:pt x="-5185" y="335"/>
                              </a:lnTo>
                              <a:lnTo>
                                <a:pt x="-5185" y="148024"/>
                              </a:lnTo>
                              <a:lnTo>
                                <a:pt x="1229920" y="148024"/>
                              </a:lnTo>
                              <a:lnTo>
                                <a:pt x="1229920" y="335"/>
                              </a:lnTo>
                              <a:close/>
                            </a:path>
                          </a:pathLst>
                        </a:custGeom>
                        <a:solidFill>
                          <a:srgbClr val="00008A"/>
                        </a:solidFill>
                      </wps:spPr>
                      <wps:bodyPr wrap="square" lIns="0" tIns="0" rIns="0" bIns="0" rtlCol="0">
                        <a:prstTxWarp prst="textNoShape">
                          <a:avLst/>
                        </a:prstTxWarp>
                        <a:noAutofit/>
                      </wps:bodyPr>
                    </wps:wsp>
                    <wps:wsp>
                      <wps:cNvPr id="90" name="Graphic 90"/>
                      <wps:cNvSpPr/>
                      <wps:spPr>
                        <a:xfrm>
                          <a:off x="0" y="0"/>
                          <a:ext cx="7564120" cy="10160"/>
                        </a:xfrm>
                        <a:custGeom>
                          <a:avLst/>
                          <a:gdLst/>
                          <a:ahLst/>
                          <a:cxnLst/>
                          <a:rect l="l" t="t" r="r" b="b"/>
                          <a:pathLst>
                            <a:path w="7564120" h="10160">
                              <a:moveTo>
                                <a:pt x="7556502" y="339"/>
                              </a:moveTo>
                              <a:lnTo>
                                <a:pt x="0" y="339"/>
                              </a:lnTo>
                              <a:lnTo>
                                <a:pt x="0" y="10489"/>
                              </a:lnTo>
                              <a:lnTo>
                                <a:pt x="7556502" y="10489"/>
                              </a:lnTo>
                              <a:lnTo>
                                <a:pt x="7556502" y="339"/>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style="position:absolute;margin-left:0pt;margin-top:813.599976pt;width:595.6pt;height:12pt;mso-position-horizontal-relative:page;mso-position-vertical-relative:page;z-index:-20496384" id="docshapegroup72" coordorigin="0,16272" coordsize="11912,240">
              <v:rect style="position:absolute;left:8679;top:16278;width:1946;height:233" id="docshape73" filled="true" fillcolor="#00008a" stroked="false">
                <v:fill type="solid"/>
              </v:rect>
              <v:rect style="position:absolute;left:0;top:16272;width:11900;height:16" id="docshape74" filled="true" fillcolor="#000000" stroked="false">
                <v:fill type="solid"/>
              </v:rect>
              <w10:wrap type="none"/>
            </v:group>
          </w:pict>
        </mc:Fallback>
      </mc:AlternateContent>
    </w:r>
    <w:r>
      <w:rPr>
        <w:sz w:val="20"/>
      </w:rPr>
      <mc:AlternateContent>
        <mc:Choice Requires="wps">
          <w:drawing>
            <wp:anchor distT="0" distB="0" distL="0" distR="0" allowOverlap="1" layoutInCell="1" locked="0" behindDoc="1" simplePos="0" relativeHeight="482820608">
              <wp:simplePos x="0" y="0"/>
              <wp:positionH relativeFrom="page">
                <wp:posOffset>63428</wp:posOffset>
              </wp:positionH>
              <wp:positionV relativeFrom="page">
                <wp:posOffset>10111286</wp:posOffset>
              </wp:positionV>
              <wp:extent cx="4615815" cy="591185"/>
              <wp:effectExtent l="0" t="0" r="0" b="0"/>
              <wp:wrapNone/>
              <wp:docPr id="91" name="Textbox 91"/>
              <wp:cNvGraphicFramePr>
                <a:graphicFrameLocks/>
              </wp:cNvGraphicFramePr>
              <a:graphic>
                <a:graphicData uri="http://schemas.microsoft.com/office/word/2010/wordprocessingShape">
                  <wps:wsp>
                    <wps:cNvPr id="91" name="Textbox 91"/>
                    <wps:cNvSpPr txBox="1"/>
                    <wps:spPr>
                      <a:xfrm>
                        <a:off x="0" y="0"/>
                        <a:ext cx="4615815" cy="591185"/>
                      </a:xfrm>
                      <a:prstGeom prst="rect">
                        <a:avLst/>
                      </a:prstGeom>
                    </wps:spPr>
                    <wps:txbx>
                      <w:txbxContent>
                        <w:p>
                          <w:pPr>
                            <w:spacing w:before="11"/>
                            <w:ind w:left="0" w:right="1042" w:firstLine="0"/>
                            <w:jc w:val="right"/>
                            <w:rPr>
                              <w:sz w:val="22"/>
                            </w:rPr>
                          </w:pPr>
                          <w:r>
                            <w:rPr>
                              <w:spacing w:val="-5"/>
                              <w:sz w:val="22"/>
                            </w:rPr>
                            <w:fldChar w:fldCharType="begin"/>
                          </w:r>
                          <w:r>
                            <w:rPr>
                              <w:spacing w:val="-5"/>
                              <w:sz w:val="22"/>
                            </w:rPr>
                            <w:instrText> PAGE </w:instrText>
                          </w:r>
                          <w:r>
                            <w:rPr>
                              <w:spacing w:val="-5"/>
                              <w:sz w:val="22"/>
                            </w:rPr>
                            <w:fldChar w:fldCharType="separate"/>
                          </w:r>
                          <w:r>
                            <w:rPr>
                              <w:spacing w:val="-5"/>
                              <w:sz w:val="22"/>
                            </w:rPr>
                            <w:t>172</w:t>
                          </w:r>
                          <w:r>
                            <w:rPr>
                              <w:spacing w:val="-5"/>
                              <w:sz w:val="22"/>
                            </w:rPr>
                            <w:fldChar w:fldCharType="end"/>
                          </w:r>
                        </w:p>
                        <w:p>
                          <w:pPr>
                            <w:spacing w:line="208" w:lineRule="auto" w:before="162"/>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9"/>
                              <w:sz w:val="16"/>
                            </w:rPr>
                            <w:t> </w:t>
                          </w:r>
                          <w:r>
                            <w:rPr>
                              <w:rFonts w:ascii="Arial" w:hAnsi="Arial"/>
                              <w:sz w:val="16"/>
                            </w:rPr>
                            <w:t>173</w:t>
                          </w:r>
                          <w:r>
                            <w:rPr>
                              <w:rFonts w:ascii="Arial" w:hAnsi="Arial"/>
                              <w:spacing w:val="-6"/>
                              <w:sz w:val="16"/>
                            </w:rPr>
                            <w:t> </w:t>
                          </w:r>
                          <w:r>
                            <w:rPr>
                              <w:rFonts w:ascii="Arial" w:hAnsi="Arial"/>
                              <w:sz w:val="16"/>
                            </w:rPr>
                            <w:t>из</w:t>
                          </w:r>
                          <w:r>
                            <w:rPr>
                              <w:rFonts w:ascii="Arial" w:hAnsi="Arial"/>
                              <w:spacing w:val="-6"/>
                              <w:sz w:val="16"/>
                            </w:rPr>
                            <w:t> </w:t>
                          </w:r>
                          <w:r>
                            <w:rPr>
                              <w:rFonts w:ascii="Arial" w:hAnsi="Arial"/>
                              <w:sz w:val="16"/>
                            </w:rPr>
                            <w:t>248.</w:t>
                          </w:r>
                          <w:r>
                            <w:rPr>
                              <w:rFonts w:ascii="Arial" w:hAnsi="Arial"/>
                              <w:spacing w:val="-6"/>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6"/>
                              <w:sz w:val="16"/>
                            </w:rPr>
                            <w:t> </w:t>
                          </w:r>
                          <w:r>
                            <w:rPr>
                              <w:rFonts w:ascii="Arial" w:hAnsi="Arial"/>
                              <w:sz w:val="16"/>
                            </w:rPr>
                            <w:t>29.05.2025</w:t>
                          </w:r>
                          <w:r>
                            <w:rPr>
                              <w:rFonts w:ascii="Arial" w:hAnsi="Arial"/>
                              <w:spacing w:val="-6"/>
                              <w:sz w:val="16"/>
                            </w:rPr>
                            <w:t> </w:t>
                          </w:r>
                          <w:r>
                            <w:rPr>
                              <w:rFonts w:ascii="Arial" w:hAnsi="Arial"/>
                              <w:spacing w:val="-2"/>
                              <w:sz w:val="16"/>
                            </w:rPr>
                            <w:t>10:30</w:t>
                          </w:r>
                        </w:p>
                      </w:txbxContent>
                    </wps:txbx>
                    <wps:bodyPr wrap="square" lIns="0" tIns="0" rIns="0" bIns="0" rtlCol="0">
                      <a:noAutofit/>
                    </wps:bodyPr>
                  </wps:wsp>
                </a:graphicData>
              </a:graphic>
            </wp:anchor>
          </w:drawing>
        </mc:Choice>
        <mc:Fallback>
          <w:pict>
            <v:shape style="position:absolute;margin-left:4.994360pt;margin-top:796.164307pt;width:363.45pt;height:46.55pt;mso-position-horizontal-relative:page;mso-position-vertical-relative:page;z-index:-20495872" type="#_x0000_t202" id="docshape75" filled="false" stroked="false">
              <v:textbox inset="0,0,0,0">
                <w:txbxContent>
                  <w:p>
                    <w:pPr>
                      <w:spacing w:before="11"/>
                      <w:ind w:left="0" w:right="1042" w:firstLine="0"/>
                      <w:jc w:val="right"/>
                      <w:rPr>
                        <w:sz w:val="22"/>
                      </w:rPr>
                    </w:pPr>
                    <w:r>
                      <w:rPr>
                        <w:spacing w:val="-5"/>
                        <w:sz w:val="22"/>
                      </w:rPr>
                      <w:fldChar w:fldCharType="begin"/>
                    </w:r>
                    <w:r>
                      <w:rPr>
                        <w:spacing w:val="-5"/>
                        <w:sz w:val="22"/>
                      </w:rPr>
                      <w:instrText> PAGE </w:instrText>
                    </w:r>
                    <w:r>
                      <w:rPr>
                        <w:spacing w:val="-5"/>
                        <w:sz w:val="22"/>
                      </w:rPr>
                      <w:fldChar w:fldCharType="separate"/>
                    </w:r>
                    <w:r>
                      <w:rPr>
                        <w:spacing w:val="-5"/>
                        <w:sz w:val="22"/>
                      </w:rPr>
                      <w:t>172</w:t>
                    </w:r>
                    <w:r>
                      <w:rPr>
                        <w:spacing w:val="-5"/>
                        <w:sz w:val="22"/>
                      </w:rPr>
                      <w:fldChar w:fldCharType="end"/>
                    </w:r>
                  </w:p>
                  <w:p>
                    <w:pPr>
                      <w:spacing w:line="208" w:lineRule="auto" w:before="162"/>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9"/>
                        <w:sz w:val="16"/>
                      </w:rPr>
                      <w:t> </w:t>
                    </w:r>
                    <w:r>
                      <w:rPr>
                        <w:rFonts w:ascii="Arial" w:hAnsi="Arial"/>
                        <w:sz w:val="16"/>
                      </w:rPr>
                      <w:t>173</w:t>
                    </w:r>
                    <w:r>
                      <w:rPr>
                        <w:rFonts w:ascii="Arial" w:hAnsi="Arial"/>
                        <w:spacing w:val="-6"/>
                        <w:sz w:val="16"/>
                      </w:rPr>
                      <w:t> </w:t>
                    </w:r>
                    <w:r>
                      <w:rPr>
                        <w:rFonts w:ascii="Arial" w:hAnsi="Arial"/>
                        <w:sz w:val="16"/>
                      </w:rPr>
                      <w:t>из</w:t>
                    </w:r>
                    <w:r>
                      <w:rPr>
                        <w:rFonts w:ascii="Arial" w:hAnsi="Arial"/>
                        <w:spacing w:val="-6"/>
                        <w:sz w:val="16"/>
                      </w:rPr>
                      <w:t> </w:t>
                    </w:r>
                    <w:r>
                      <w:rPr>
                        <w:rFonts w:ascii="Arial" w:hAnsi="Arial"/>
                        <w:sz w:val="16"/>
                      </w:rPr>
                      <w:t>248.</w:t>
                    </w:r>
                    <w:r>
                      <w:rPr>
                        <w:rFonts w:ascii="Arial" w:hAnsi="Arial"/>
                        <w:spacing w:val="-6"/>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6"/>
                        <w:sz w:val="16"/>
                      </w:rPr>
                      <w:t> </w:t>
                    </w:r>
                    <w:r>
                      <w:rPr>
                        <w:rFonts w:ascii="Arial" w:hAnsi="Arial"/>
                        <w:sz w:val="16"/>
                      </w:rPr>
                      <w:t>29.05.2025</w:t>
                    </w:r>
                    <w:r>
                      <w:rPr>
                        <w:rFonts w:ascii="Arial" w:hAnsi="Arial"/>
                        <w:spacing w:val="-6"/>
                        <w:sz w:val="16"/>
                      </w:rPr>
                      <w:t> </w:t>
                    </w:r>
                    <w:r>
                      <w:rPr>
                        <w:rFonts w:ascii="Arial" w:hAnsi="Arial"/>
                        <w:spacing w:val="-2"/>
                        <w:sz w:val="16"/>
                      </w:rPr>
                      <w:t>10:30</w:t>
                    </w:r>
                  </w:p>
                </w:txbxContent>
              </v:textbox>
              <w10:wrap type="none"/>
            </v:shape>
          </w:pict>
        </mc:Fallback>
      </mc:AlternateContent>
    </w:r>
    <w:r>
      <w:rPr>
        <w:sz w:val="20"/>
      </w:rPr>
      <mc:AlternateContent>
        <mc:Choice Requires="wps">
          <w:drawing>
            <wp:anchor distT="0" distB="0" distL="0" distR="0" allowOverlap="1" layoutInCell="1" locked="0" behindDoc="1" simplePos="0" relativeHeight="482821120">
              <wp:simplePos x="0" y="0"/>
              <wp:positionH relativeFrom="page">
                <wp:posOffset>5498740</wp:posOffset>
              </wp:positionH>
              <wp:positionV relativeFrom="page">
                <wp:posOffset>10330567</wp:posOffset>
              </wp:positionV>
              <wp:extent cx="1260475" cy="165735"/>
              <wp:effectExtent l="0" t="0" r="0" b="0"/>
              <wp:wrapNone/>
              <wp:docPr id="92" name="Textbox 92"/>
              <wp:cNvGraphicFramePr>
                <a:graphicFrameLocks/>
              </wp:cNvGraphicFramePr>
              <a:graphic>
                <a:graphicData uri="http://schemas.microsoft.com/office/word/2010/wordprocessingShape">
                  <wps:wsp>
                    <wps:cNvPr id="92" name="Textbox 92"/>
                    <wps:cNvSpPr txBox="1"/>
                    <wps:spPr>
                      <a:xfrm>
                        <a:off x="0" y="0"/>
                        <a:ext cx="1260475" cy="165735"/>
                      </a:xfrm>
                      <a:prstGeom prst="rect">
                        <a:avLst/>
                      </a:prstGeom>
                    </wps:spPr>
                    <wps:txbx>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wps:txbx>
                    <wps:bodyPr wrap="square" lIns="0" tIns="0" rIns="0" bIns="0" rtlCol="0">
                      <a:noAutofit/>
                    </wps:bodyPr>
                  </wps:wsp>
                </a:graphicData>
              </a:graphic>
            </wp:anchor>
          </w:drawing>
        </mc:Choice>
        <mc:Fallback>
          <w:pict>
            <v:shape style="position:absolute;margin-left:432.97168pt;margin-top:813.430481pt;width:99.25pt;height:13.05pt;mso-position-horizontal-relative:page;mso-position-vertical-relative:page;z-index:-20495360" type="#_x0000_t202" id="docshape76" filled="false" stroked="false">
              <v:textbox inset="0,0,0,0">
                <w:txbxContent>
                  <w:p>
                    <w:pPr>
                      <w:spacing w:before="10"/>
                      <w:ind w:left="20" w:right="0" w:firstLine="0"/>
                      <w:jc w:val="left"/>
                      <w:rPr>
                        <w:sz w:val="20"/>
                      </w:rPr>
                    </w:pPr>
                    <w:r>
                      <w:rPr>
                        <w:color w:val="FFFFFF"/>
                        <w:sz w:val="20"/>
                      </w:rPr>
                      <w:t>Версия</w:t>
                    </w:r>
                    <w:r>
                      <w:rPr>
                        <w:color w:val="FFFFFF"/>
                        <w:spacing w:val="-6"/>
                        <w:sz w:val="20"/>
                      </w:rPr>
                      <w:t> </w:t>
                    </w:r>
                    <w:r>
                      <w:rPr>
                        <w:color w:val="FFFFFF"/>
                        <w:sz w:val="20"/>
                      </w:rPr>
                      <w:t>19</w:t>
                    </w:r>
                    <w:r>
                      <w:rPr>
                        <w:color w:val="FFFFFF"/>
                        <w:spacing w:val="-4"/>
                        <w:sz w:val="20"/>
                      </w:rPr>
                      <w:t> </w:t>
                    </w:r>
                    <w:r>
                      <w:rPr>
                        <w:color w:val="FFFFFF"/>
                        <w:spacing w:val="-2"/>
                        <w:sz w:val="20"/>
                      </w:rPr>
                      <w:t>(27.05.2025)</w:t>
                    </w:r>
                  </w:p>
                </w:txbxContent>
              </v:textbox>
              <w10:wrap type="none"/>
            </v:shape>
          </w:pict>
        </mc:Fallback>
      </mc:AlternateContent>
    </w:r>
  </w:p>
</w:ftr>
</file>

<file path=word/footer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mc:AlternateContent>
        <mc:Choice Requires="wps">
          <w:drawing>
            <wp:anchor distT="0" distB="0" distL="0" distR="0" allowOverlap="1" layoutInCell="1" locked="0" behindDoc="1" simplePos="0" relativeHeight="482821632">
              <wp:simplePos x="0" y="0"/>
              <wp:positionH relativeFrom="page">
                <wp:posOffset>0</wp:posOffset>
              </wp:positionH>
              <wp:positionV relativeFrom="page">
                <wp:posOffset>7195825</wp:posOffset>
              </wp:positionV>
              <wp:extent cx="10694035" cy="346710"/>
              <wp:effectExtent l="0" t="0" r="0" b="0"/>
              <wp:wrapNone/>
              <wp:docPr id="96" name="Group 96"/>
              <wp:cNvGraphicFramePr>
                <a:graphicFrameLocks/>
              </wp:cNvGraphicFramePr>
              <a:graphic>
                <a:graphicData uri="http://schemas.microsoft.com/office/word/2010/wordprocessingGroup">
                  <wpg:wgp>
                    <wpg:cNvPr id="96" name="Group 96"/>
                    <wpg:cNvGrpSpPr/>
                    <wpg:grpSpPr>
                      <a:xfrm>
                        <a:off x="0" y="0"/>
                        <a:ext cx="10694035" cy="346710"/>
                        <a:chExt cx="10694035" cy="346710"/>
                      </a:xfrm>
                    </wpg:grpSpPr>
                    <wps:wsp>
                      <wps:cNvPr id="97" name="Graphic 97"/>
                      <wps:cNvSpPr/>
                      <wps:spPr>
                        <a:xfrm>
                          <a:off x="0" y="5075"/>
                          <a:ext cx="10694035" cy="1270"/>
                        </a:xfrm>
                        <a:custGeom>
                          <a:avLst/>
                          <a:gdLst/>
                          <a:ahLst/>
                          <a:cxnLst/>
                          <a:rect l="l" t="t" r="r" b="b"/>
                          <a:pathLst>
                            <a:path w="10694035" h="0">
                              <a:moveTo>
                                <a:pt x="0" y="334"/>
                              </a:moveTo>
                              <a:lnTo>
                                <a:pt x="10683855" y="334"/>
                              </a:lnTo>
                            </a:path>
                          </a:pathLst>
                        </a:custGeom>
                        <a:ln w="10150">
                          <a:solidFill>
                            <a:srgbClr val="000000"/>
                          </a:solidFill>
                          <a:prstDash val="solid"/>
                        </a:ln>
                      </wps:spPr>
                      <wps:bodyPr wrap="square" lIns="0" tIns="0" rIns="0" bIns="0" rtlCol="0">
                        <a:prstTxWarp prst="textNoShape">
                          <a:avLst/>
                        </a:prstTxWarp>
                        <a:noAutofit/>
                      </wps:bodyPr>
                    </wps:wsp>
                    <pic:pic>
                      <pic:nvPicPr>
                        <pic:cNvPr id="98" name="Image 98"/>
                        <pic:cNvPicPr/>
                      </pic:nvPicPr>
                      <pic:blipFill>
                        <a:blip r:embed="rId1" cstate="print"/>
                        <a:stretch>
                          <a:fillRect/>
                        </a:stretch>
                      </pic:blipFill>
                      <pic:spPr>
                        <a:xfrm>
                          <a:off x="9673632" y="15559"/>
                          <a:ext cx="957970" cy="330904"/>
                        </a:xfrm>
                        <a:prstGeom prst="rect">
                          <a:avLst/>
                        </a:prstGeom>
                      </pic:spPr>
                    </pic:pic>
                  </wpg:wgp>
                </a:graphicData>
              </a:graphic>
            </wp:anchor>
          </w:drawing>
        </mc:Choice>
        <mc:Fallback>
          <w:pict>
            <v:group style="position:absolute;margin-left:0pt;margin-top:566.600403pt;width:842.05pt;height:27.3pt;mso-position-horizontal-relative:page;mso-position-vertical-relative:page;z-index:-20494848" id="docshapegroup79" coordorigin="0,11332" coordsize="16841,546">
              <v:line style="position:absolute" from="0,11341" to="16825,11341" stroked="true" strokeweight=".799248pt" strokecolor="#000000">
                <v:stroke dashstyle="solid"/>
              </v:line>
              <v:shape style="position:absolute;left:15234;top:11356;width:1509;height:522" type="#_x0000_t75" id="docshape80" stroked="false">
                <v:imagedata r:id="rId1" o:title=""/>
              </v:shape>
              <w10:wrap type="none"/>
            </v:group>
          </w:pict>
        </mc:Fallback>
      </mc:AlternateContent>
    </w:r>
    <w:r>
      <w:rPr>
        <w:sz w:val="20"/>
      </w:rPr>
      <mc:AlternateContent>
        <mc:Choice Requires="wps">
          <w:drawing>
            <wp:anchor distT="0" distB="0" distL="0" distR="0" allowOverlap="1" layoutInCell="1" locked="0" behindDoc="1" simplePos="0" relativeHeight="482822144">
              <wp:simplePos x="0" y="0"/>
              <wp:positionH relativeFrom="page">
                <wp:posOffset>63428</wp:posOffset>
              </wp:positionH>
              <wp:positionV relativeFrom="page">
                <wp:posOffset>7223525</wp:posOffset>
              </wp:positionV>
              <wp:extent cx="4615815" cy="342265"/>
              <wp:effectExtent l="0" t="0" r="0" b="0"/>
              <wp:wrapNone/>
              <wp:docPr id="99" name="Textbox 99"/>
              <wp:cNvGraphicFramePr>
                <a:graphicFrameLocks/>
              </wp:cNvGraphicFramePr>
              <a:graphic>
                <a:graphicData uri="http://schemas.microsoft.com/office/word/2010/wordprocessingShape">
                  <wps:wsp>
                    <wps:cNvPr id="99" name="Textbox 99"/>
                    <wps:cNvSpPr txBox="1"/>
                    <wps:spPr>
                      <a:xfrm>
                        <a:off x="0" y="0"/>
                        <a:ext cx="4615815" cy="342265"/>
                      </a:xfrm>
                      <a:prstGeom prst="rect">
                        <a:avLst/>
                      </a:prstGeom>
                    </wps:spPr>
                    <wps:txbx>
                      <w:txbxContent>
                        <w:p>
                          <w:pPr>
                            <w:spacing w:line="208" w:lineRule="auto" w:before="34"/>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189</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wps:txbx>
                    <wps:bodyPr wrap="square" lIns="0" tIns="0" rIns="0" bIns="0" rtlCol="0">
                      <a:noAutofit/>
                    </wps:bodyPr>
                  </wps:wsp>
                </a:graphicData>
              </a:graphic>
            </wp:anchor>
          </w:drawing>
        </mc:Choice>
        <mc:Fallback>
          <w:pict>
            <v:shape style="position:absolute;margin-left:4.994360pt;margin-top:568.781555pt;width:363.45pt;height:26.95pt;mso-position-horizontal-relative:page;mso-position-vertical-relative:page;z-index:-20494336" type="#_x0000_t202" id="docshape81" filled="false" stroked="false">
              <v:textbox inset="0,0,0,0">
                <w:txbxContent>
                  <w:p>
                    <w:pPr>
                      <w:spacing w:line="208" w:lineRule="auto" w:before="34"/>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189</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v:textbox>
              <w10:wrap type="none"/>
            </v:shape>
          </w:pict>
        </mc:Fallback>
      </mc:AlternateContent>
    </w:r>
  </w:p>
</w:ftr>
</file>

<file path=word/footer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mc:AlternateContent>
        <mc:Choice Requires="wps">
          <w:drawing>
            <wp:anchor distT="0" distB="0" distL="0" distR="0" allowOverlap="1" layoutInCell="1" locked="0" behindDoc="1" simplePos="0" relativeHeight="482822656">
              <wp:simplePos x="0" y="0"/>
              <wp:positionH relativeFrom="page">
                <wp:posOffset>0</wp:posOffset>
              </wp:positionH>
              <wp:positionV relativeFrom="page">
                <wp:posOffset>10332719</wp:posOffset>
              </wp:positionV>
              <wp:extent cx="7564120" cy="346710"/>
              <wp:effectExtent l="0" t="0" r="0" b="0"/>
              <wp:wrapNone/>
              <wp:docPr id="102" name="Group 102"/>
              <wp:cNvGraphicFramePr>
                <a:graphicFrameLocks/>
              </wp:cNvGraphicFramePr>
              <a:graphic>
                <a:graphicData uri="http://schemas.microsoft.com/office/word/2010/wordprocessingGroup">
                  <wpg:wgp>
                    <wpg:cNvPr id="102" name="Group 102"/>
                    <wpg:cNvGrpSpPr/>
                    <wpg:grpSpPr>
                      <a:xfrm>
                        <a:off x="0" y="0"/>
                        <a:ext cx="7564120" cy="346710"/>
                        <a:chExt cx="7564120" cy="346710"/>
                      </a:xfrm>
                    </wpg:grpSpPr>
                    <wps:wsp>
                      <wps:cNvPr id="103" name="Graphic 103"/>
                      <wps:cNvSpPr/>
                      <wps:spPr>
                        <a:xfrm>
                          <a:off x="0" y="0"/>
                          <a:ext cx="7564120" cy="10160"/>
                        </a:xfrm>
                        <a:custGeom>
                          <a:avLst/>
                          <a:gdLst/>
                          <a:ahLst/>
                          <a:cxnLst/>
                          <a:rect l="l" t="t" r="r" b="b"/>
                          <a:pathLst>
                            <a:path w="7564120" h="10160">
                              <a:moveTo>
                                <a:pt x="7556502" y="339"/>
                              </a:moveTo>
                              <a:lnTo>
                                <a:pt x="0" y="339"/>
                              </a:lnTo>
                              <a:lnTo>
                                <a:pt x="0" y="10489"/>
                              </a:lnTo>
                              <a:lnTo>
                                <a:pt x="7556502" y="10489"/>
                              </a:lnTo>
                              <a:lnTo>
                                <a:pt x="7556502" y="339"/>
                              </a:lnTo>
                              <a:close/>
                            </a:path>
                          </a:pathLst>
                        </a:custGeom>
                        <a:solidFill>
                          <a:srgbClr val="000000"/>
                        </a:solidFill>
                      </wps:spPr>
                      <wps:bodyPr wrap="square" lIns="0" tIns="0" rIns="0" bIns="0" rtlCol="0">
                        <a:prstTxWarp prst="textNoShape">
                          <a:avLst/>
                        </a:prstTxWarp>
                        <a:noAutofit/>
                      </wps:bodyPr>
                    </wps:wsp>
                    <pic:pic>
                      <pic:nvPicPr>
                        <pic:cNvPr id="104" name="Image 104"/>
                        <pic:cNvPicPr/>
                      </pic:nvPicPr>
                      <pic:blipFill>
                        <a:blip r:embed="rId1" cstate="print"/>
                        <a:stretch>
                          <a:fillRect/>
                        </a:stretch>
                      </pic:blipFill>
                      <pic:spPr>
                        <a:xfrm>
                          <a:off x="6546278" y="15564"/>
                          <a:ext cx="957968" cy="330904"/>
                        </a:xfrm>
                        <a:prstGeom prst="rect">
                          <a:avLst/>
                        </a:prstGeom>
                      </pic:spPr>
                    </pic:pic>
                  </wpg:wgp>
                </a:graphicData>
              </a:graphic>
            </wp:anchor>
          </w:drawing>
        </mc:Choice>
        <mc:Fallback>
          <w:pict>
            <v:group style="position:absolute;margin-left:0pt;margin-top:813.599976pt;width:595.6pt;height:27.3pt;mso-position-horizontal-relative:page;mso-position-vertical-relative:page;z-index:-20493824" id="docshapegroup82" coordorigin="0,16272" coordsize="11912,546">
              <v:rect style="position:absolute;left:0;top:16272;width:11900;height:16" id="docshape83" filled="true" fillcolor="#000000" stroked="false">
                <v:fill type="solid"/>
              </v:rect>
              <v:shape style="position:absolute;left:10309;top:16296;width:1509;height:522" type="#_x0000_t75" id="docshape84" stroked="false">
                <v:imagedata r:id="rId1" o:title=""/>
              </v:shape>
              <w10:wrap type="none"/>
            </v:group>
          </w:pict>
        </mc:Fallback>
      </mc:AlternateContent>
    </w:r>
    <w:r>
      <w:rPr>
        <w:sz w:val="20"/>
      </w:rPr>
      <mc:AlternateContent>
        <mc:Choice Requires="wps">
          <w:drawing>
            <wp:anchor distT="0" distB="0" distL="0" distR="0" allowOverlap="1" layoutInCell="1" locked="0" behindDoc="1" simplePos="0" relativeHeight="482823168">
              <wp:simplePos x="0" y="0"/>
              <wp:positionH relativeFrom="page">
                <wp:posOffset>63428</wp:posOffset>
              </wp:positionH>
              <wp:positionV relativeFrom="page">
                <wp:posOffset>10360425</wp:posOffset>
              </wp:positionV>
              <wp:extent cx="4615815" cy="342265"/>
              <wp:effectExtent l="0" t="0" r="0" b="0"/>
              <wp:wrapNone/>
              <wp:docPr id="105" name="Textbox 105"/>
              <wp:cNvGraphicFramePr>
                <a:graphicFrameLocks/>
              </wp:cNvGraphicFramePr>
              <a:graphic>
                <a:graphicData uri="http://schemas.microsoft.com/office/word/2010/wordprocessingShape">
                  <wps:wsp>
                    <wps:cNvPr id="105" name="Textbox 105"/>
                    <wps:cNvSpPr txBox="1"/>
                    <wps:spPr>
                      <a:xfrm>
                        <a:off x="0" y="0"/>
                        <a:ext cx="4615815" cy="342265"/>
                      </a:xfrm>
                      <a:prstGeom prst="rect">
                        <a:avLst/>
                      </a:prstGeom>
                    </wps:spPr>
                    <wps:txbx>
                      <w:txbxContent>
                        <w:p>
                          <w:pPr>
                            <w:spacing w:line="208" w:lineRule="auto" w:before="34"/>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223</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wps:txbx>
                    <wps:bodyPr wrap="square" lIns="0" tIns="0" rIns="0" bIns="0" rtlCol="0">
                      <a:noAutofit/>
                    </wps:bodyPr>
                  </wps:wsp>
                </a:graphicData>
              </a:graphic>
            </wp:anchor>
          </w:drawing>
        </mc:Choice>
        <mc:Fallback>
          <w:pict>
            <v:shape style="position:absolute;margin-left:4.994360pt;margin-top:815.781555pt;width:363.45pt;height:26.95pt;mso-position-horizontal-relative:page;mso-position-vertical-relative:page;z-index:-20493312" type="#_x0000_t202" id="docshape85" filled="false" stroked="false">
              <v:textbox inset="0,0,0,0">
                <w:txbxContent>
                  <w:p>
                    <w:pPr>
                      <w:spacing w:line="208" w:lineRule="auto" w:before="34"/>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223</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v:textbox>
              <w10:wrap type="none"/>
            </v:shape>
          </w:pict>
        </mc:Fallback>
      </mc:AlternateContent>
    </w:r>
  </w:p>
</w:ftr>
</file>

<file path=word/footer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mc:AlternateContent>
        <mc:Choice Requires="wps">
          <w:drawing>
            <wp:anchor distT="0" distB="0" distL="0" distR="0" allowOverlap="1" layoutInCell="1" locked="0" behindDoc="1" simplePos="0" relativeHeight="482823680">
              <wp:simplePos x="0" y="0"/>
              <wp:positionH relativeFrom="page">
                <wp:posOffset>0</wp:posOffset>
              </wp:positionH>
              <wp:positionV relativeFrom="page">
                <wp:posOffset>7195825</wp:posOffset>
              </wp:positionV>
              <wp:extent cx="10694035" cy="346710"/>
              <wp:effectExtent l="0" t="0" r="0" b="0"/>
              <wp:wrapNone/>
              <wp:docPr id="106" name="Group 106"/>
              <wp:cNvGraphicFramePr>
                <a:graphicFrameLocks/>
              </wp:cNvGraphicFramePr>
              <a:graphic>
                <a:graphicData uri="http://schemas.microsoft.com/office/word/2010/wordprocessingGroup">
                  <wpg:wgp>
                    <wpg:cNvPr id="106" name="Group 106"/>
                    <wpg:cNvGrpSpPr/>
                    <wpg:grpSpPr>
                      <a:xfrm>
                        <a:off x="0" y="0"/>
                        <a:ext cx="10694035" cy="346710"/>
                        <a:chExt cx="10694035" cy="346710"/>
                      </a:xfrm>
                    </wpg:grpSpPr>
                    <wps:wsp>
                      <wps:cNvPr id="107" name="Graphic 107"/>
                      <wps:cNvSpPr/>
                      <wps:spPr>
                        <a:xfrm>
                          <a:off x="0" y="5075"/>
                          <a:ext cx="10694035" cy="1270"/>
                        </a:xfrm>
                        <a:custGeom>
                          <a:avLst/>
                          <a:gdLst/>
                          <a:ahLst/>
                          <a:cxnLst/>
                          <a:rect l="l" t="t" r="r" b="b"/>
                          <a:pathLst>
                            <a:path w="10694035" h="0">
                              <a:moveTo>
                                <a:pt x="0" y="334"/>
                              </a:moveTo>
                              <a:lnTo>
                                <a:pt x="10683855" y="334"/>
                              </a:lnTo>
                            </a:path>
                          </a:pathLst>
                        </a:custGeom>
                        <a:ln w="10150">
                          <a:solidFill>
                            <a:srgbClr val="000000"/>
                          </a:solidFill>
                          <a:prstDash val="solid"/>
                        </a:ln>
                      </wps:spPr>
                      <wps:bodyPr wrap="square" lIns="0" tIns="0" rIns="0" bIns="0" rtlCol="0">
                        <a:prstTxWarp prst="textNoShape">
                          <a:avLst/>
                        </a:prstTxWarp>
                        <a:noAutofit/>
                      </wps:bodyPr>
                    </wps:wsp>
                    <pic:pic>
                      <pic:nvPicPr>
                        <pic:cNvPr id="108" name="Image 108"/>
                        <pic:cNvPicPr/>
                      </pic:nvPicPr>
                      <pic:blipFill>
                        <a:blip r:embed="rId1" cstate="print"/>
                        <a:stretch>
                          <a:fillRect/>
                        </a:stretch>
                      </pic:blipFill>
                      <pic:spPr>
                        <a:xfrm>
                          <a:off x="9673632" y="15559"/>
                          <a:ext cx="957970" cy="330904"/>
                        </a:xfrm>
                        <a:prstGeom prst="rect">
                          <a:avLst/>
                        </a:prstGeom>
                      </pic:spPr>
                    </pic:pic>
                  </wpg:wgp>
                </a:graphicData>
              </a:graphic>
            </wp:anchor>
          </w:drawing>
        </mc:Choice>
        <mc:Fallback>
          <w:pict>
            <v:group style="position:absolute;margin-left:0pt;margin-top:566.600403pt;width:842.05pt;height:27.3pt;mso-position-horizontal-relative:page;mso-position-vertical-relative:page;z-index:-20492800" id="docshapegroup86" coordorigin="0,11332" coordsize="16841,546">
              <v:line style="position:absolute" from="0,11341" to="16825,11341" stroked="true" strokeweight=".799248pt" strokecolor="#000000">
                <v:stroke dashstyle="solid"/>
              </v:line>
              <v:shape style="position:absolute;left:15234;top:11356;width:1509;height:522" type="#_x0000_t75" id="docshape87" stroked="false">
                <v:imagedata r:id="rId1" o:title=""/>
              </v:shape>
              <w10:wrap type="none"/>
            </v:group>
          </w:pict>
        </mc:Fallback>
      </mc:AlternateContent>
    </w:r>
    <w:r>
      <w:rPr>
        <w:sz w:val="20"/>
      </w:rPr>
      <mc:AlternateContent>
        <mc:Choice Requires="wps">
          <w:drawing>
            <wp:anchor distT="0" distB="0" distL="0" distR="0" allowOverlap="1" layoutInCell="1" locked="0" behindDoc="1" simplePos="0" relativeHeight="482824192">
              <wp:simplePos x="0" y="0"/>
              <wp:positionH relativeFrom="page">
                <wp:posOffset>63428</wp:posOffset>
              </wp:positionH>
              <wp:positionV relativeFrom="page">
                <wp:posOffset>7223525</wp:posOffset>
              </wp:positionV>
              <wp:extent cx="4615815" cy="342265"/>
              <wp:effectExtent l="0" t="0" r="0" b="0"/>
              <wp:wrapNone/>
              <wp:docPr id="109" name="Textbox 109"/>
              <wp:cNvGraphicFramePr>
                <a:graphicFrameLocks/>
              </wp:cNvGraphicFramePr>
              <a:graphic>
                <a:graphicData uri="http://schemas.microsoft.com/office/word/2010/wordprocessingShape">
                  <wps:wsp>
                    <wps:cNvPr id="109" name="Textbox 109"/>
                    <wps:cNvSpPr txBox="1"/>
                    <wps:spPr>
                      <a:xfrm>
                        <a:off x="0" y="0"/>
                        <a:ext cx="4615815" cy="342265"/>
                      </a:xfrm>
                      <a:prstGeom prst="rect">
                        <a:avLst/>
                      </a:prstGeom>
                    </wps:spPr>
                    <wps:txbx>
                      <w:txbxContent>
                        <w:p>
                          <w:pPr>
                            <w:spacing w:line="208" w:lineRule="auto" w:before="34"/>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227</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wps:txbx>
                    <wps:bodyPr wrap="square" lIns="0" tIns="0" rIns="0" bIns="0" rtlCol="0">
                      <a:noAutofit/>
                    </wps:bodyPr>
                  </wps:wsp>
                </a:graphicData>
              </a:graphic>
            </wp:anchor>
          </w:drawing>
        </mc:Choice>
        <mc:Fallback>
          <w:pict>
            <v:shape style="position:absolute;margin-left:4.994360pt;margin-top:568.781555pt;width:363.45pt;height:26.95pt;mso-position-horizontal-relative:page;mso-position-vertical-relative:page;z-index:-20492288" type="#_x0000_t202" id="docshape88" filled="false" stroked="false">
              <v:textbox inset="0,0,0,0">
                <w:txbxContent>
                  <w:p>
                    <w:pPr>
                      <w:spacing w:line="208" w:lineRule="auto" w:before="34"/>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227</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v:textbox>
              <w10:wrap type="none"/>
            </v:shape>
          </w:pict>
        </mc:Fallback>
      </mc:AlternateContent>
    </w:r>
  </w:p>
</w:ftr>
</file>

<file path=word/footer1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mc:AlternateContent>
        <mc:Choice Requires="wps">
          <w:drawing>
            <wp:anchor distT="0" distB="0" distL="0" distR="0" allowOverlap="1" layoutInCell="1" locked="0" behindDoc="1" simplePos="0" relativeHeight="482824704">
              <wp:simplePos x="0" y="0"/>
              <wp:positionH relativeFrom="page">
                <wp:posOffset>0</wp:posOffset>
              </wp:positionH>
              <wp:positionV relativeFrom="page">
                <wp:posOffset>10332719</wp:posOffset>
              </wp:positionV>
              <wp:extent cx="7564120" cy="346710"/>
              <wp:effectExtent l="0" t="0" r="0" b="0"/>
              <wp:wrapNone/>
              <wp:docPr id="113" name="Group 113"/>
              <wp:cNvGraphicFramePr>
                <a:graphicFrameLocks/>
              </wp:cNvGraphicFramePr>
              <a:graphic>
                <a:graphicData uri="http://schemas.microsoft.com/office/word/2010/wordprocessingGroup">
                  <wpg:wgp>
                    <wpg:cNvPr id="113" name="Group 113"/>
                    <wpg:cNvGrpSpPr/>
                    <wpg:grpSpPr>
                      <a:xfrm>
                        <a:off x="0" y="0"/>
                        <a:ext cx="7564120" cy="346710"/>
                        <a:chExt cx="7564120" cy="346710"/>
                      </a:xfrm>
                    </wpg:grpSpPr>
                    <wps:wsp>
                      <wps:cNvPr id="114" name="Graphic 114"/>
                      <wps:cNvSpPr/>
                      <wps:spPr>
                        <a:xfrm>
                          <a:off x="0" y="0"/>
                          <a:ext cx="7564120" cy="10160"/>
                        </a:xfrm>
                        <a:custGeom>
                          <a:avLst/>
                          <a:gdLst/>
                          <a:ahLst/>
                          <a:cxnLst/>
                          <a:rect l="l" t="t" r="r" b="b"/>
                          <a:pathLst>
                            <a:path w="7564120" h="10160">
                              <a:moveTo>
                                <a:pt x="7556502" y="339"/>
                              </a:moveTo>
                              <a:lnTo>
                                <a:pt x="0" y="339"/>
                              </a:lnTo>
                              <a:lnTo>
                                <a:pt x="0" y="10489"/>
                              </a:lnTo>
                              <a:lnTo>
                                <a:pt x="7556502" y="10489"/>
                              </a:lnTo>
                              <a:lnTo>
                                <a:pt x="7556502" y="339"/>
                              </a:lnTo>
                              <a:close/>
                            </a:path>
                          </a:pathLst>
                        </a:custGeom>
                        <a:solidFill>
                          <a:srgbClr val="000000"/>
                        </a:solidFill>
                      </wps:spPr>
                      <wps:bodyPr wrap="square" lIns="0" tIns="0" rIns="0" bIns="0" rtlCol="0">
                        <a:prstTxWarp prst="textNoShape">
                          <a:avLst/>
                        </a:prstTxWarp>
                        <a:noAutofit/>
                      </wps:bodyPr>
                    </wps:wsp>
                    <pic:pic>
                      <pic:nvPicPr>
                        <pic:cNvPr id="115" name="Image 115"/>
                        <pic:cNvPicPr/>
                      </pic:nvPicPr>
                      <pic:blipFill>
                        <a:blip r:embed="rId1" cstate="print"/>
                        <a:stretch>
                          <a:fillRect/>
                        </a:stretch>
                      </pic:blipFill>
                      <pic:spPr>
                        <a:xfrm>
                          <a:off x="6546278" y="15564"/>
                          <a:ext cx="957968" cy="330904"/>
                        </a:xfrm>
                        <a:prstGeom prst="rect">
                          <a:avLst/>
                        </a:prstGeom>
                      </pic:spPr>
                    </pic:pic>
                  </wpg:wgp>
                </a:graphicData>
              </a:graphic>
            </wp:anchor>
          </w:drawing>
        </mc:Choice>
        <mc:Fallback>
          <w:pict>
            <v:group style="position:absolute;margin-left:0pt;margin-top:813.599976pt;width:595.6pt;height:27.3pt;mso-position-horizontal-relative:page;mso-position-vertical-relative:page;z-index:-20491776" id="docshapegroup89" coordorigin="0,16272" coordsize="11912,546">
              <v:rect style="position:absolute;left:0;top:16272;width:11900;height:16" id="docshape90" filled="true" fillcolor="#000000" stroked="false">
                <v:fill type="solid"/>
              </v:rect>
              <v:shape style="position:absolute;left:10309;top:16296;width:1509;height:522" type="#_x0000_t75" id="docshape91" stroked="false">
                <v:imagedata r:id="rId1" o:title=""/>
              </v:shape>
              <w10:wrap type="none"/>
            </v:group>
          </w:pict>
        </mc:Fallback>
      </mc:AlternateContent>
    </w:r>
    <w:r>
      <w:rPr>
        <w:sz w:val="20"/>
      </w:rPr>
      <mc:AlternateContent>
        <mc:Choice Requires="wps">
          <w:drawing>
            <wp:anchor distT="0" distB="0" distL="0" distR="0" allowOverlap="1" layoutInCell="1" locked="0" behindDoc="1" simplePos="0" relativeHeight="482825216">
              <wp:simplePos x="0" y="0"/>
              <wp:positionH relativeFrom="page">
                <wp:posOffset>63428</wp:posOffset>
              </wp:positionH>
              <wp:positionV relativeFrom="page">
                <wp:posOffset>10360425</wp:posOffset>
              </wp:positionV>
              <wp:extent cx="4615815" cy="342265"/>
              <wp:effectExtent l="0" t="0" r="0" b="0"/>
              <wp:wrapNone/>
              <wp:docPr id="116" name="Textbox 116"/>
              <wp:cNvGraphicFramePr>
                <a:graphicFrameLocks/>
              </wp:cNvGraphicFramePr>
              <a:graphic>
                <a:graphicData uri="http://schemas.microsoft.com/office/word/2010/wordprocessingShape">
                  <wps:wsp>
                    <wps:cNvPr id="116" name="Textbox 116"/>
                    <wps:cNvSpPr txBox="1"/>
                    <wps:spPr>
                      <a:xfrm>
                        <a:off x="0" y="0"/>
                        <a:ext cx="4615815" cy="342265"/>
                      </a:xfrm>
                      <a:prstGeom prst="rect">
                        <a:avLst/>
                      </a:prstGeom>
                    </wps:spPr>
                    <wps:txbx>
                      <w:txbxContent>
                        <w:p>
                          <w:pPr>
                            <w:spacing w:line="208" w:lineRule="auto" w:before="34"/>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231</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wps:txbx>
                    <wps:bodyPr wrap="square" lIns="0" tIns="0" rIns="0" bIns="0" rtlCol="0">
                      <a:noAutofit/>
                    </wps:bodyPr>
                  </wps:wsp>
                </a:graphicData>
              </a:graphic>
            </wp:anchor>
          </w:drawing>
        </mc:Choice>
        <mc:Fallback>
          <w:pict>
            <v:shape style="position:absolute;margin-left:4.994360pt;margin-top:815.781555pt;width:363.45pt;height:26.95pt;mso-position-horizontal-relative:page;mso-position-vertical-relative:page;z-index:-20491264" type="#_x0000_t202" id="docshape92" filled="false" stroked="false">
              <v:textbox inset="0,0,0,0">
                <w:txbxContent>
                  <w:p>
                    <w:pPr>
                      <w:spacing w:line="208" w:lineRule="auto" w:before="34"/>
                      <w:ind w:left="20" w:right="0" w:firstLine="0"/>
                      <w:jc w:val="left"/>
                      <w:rPr>
                        <w:rFonts w:ascii="Arial" w:hAnsi="Arial"/>
                        <w:sz w:val="16"/>
                      </w:rPr>
                    </w:pPr>
                    <w:r>
                      <w:rPr>
                        <w:rFonts w:ascii="Arial" w:hAnsi="Arial"/>
                        <w:sz w:val="16"/>
                      </w:rPr>
                      <w:t>Документ</w:t>
                    </w:r>
                    <w:r>
                      <w:rPr>
                        <w:rFonts w:ascii="Arial" w:hAnsi="Arial"/>
                        <w:spacing w:val="-6"/>
                        <w:sz w:val="16"/>
                      </w:rPr>
                      <w:t> </w:t>
                    </w:r>
                    <w:r>
                      <w:rPr>
                        <w:rFonts w:ascii="Arial" w:hAnsi="Arial"/>
                        <w:sz w:val="16"/>
                      </w:rPr>
                      <w:t>зарегистрирован</w:t>
                    </w:r>
                    <w:r>
                      <w:rPr>
                        <w:rFonts w:ascii="Arial" w:hAnsi="Arial"/>
                        <w:spacing w:val="-6"/>
                        <w:sz w:val="16"/>
                      </w:rPr>
                      <w:t> </w:t>
                    </w:r>
                    <w:r>
                      <w:rPr>
                        <w:rFonts w:ascii="Arial" w:hAnsi="Arial"/>
                        <w:sz w:val="16"/>
                      </w:rPr>
                      <w:t>№</w:t>
                    </w:r>
                    <w:r>
                      <w:rPr>
                        <w:rFonts w:ascii="Arial" w:hAnsi="Arial"/>
                        <w:spacing w:val="-6"/>
                        <w:sz w:val="16"/>
                      </w:rPr>
                      <w:t> </w:t>
                    </w:r>
                    <w:r>
                      <w:rPr>
                        <w:rFonts w:ascii="Arial" w:hAnsi="Arial"/>
                        <w:sz w:val="16"/>
                      </w:rPr>
                      <w:t>30-4/И/2-10508</w:t>
                    </w:r>
                    <w:r>
                      <w:rPr>
                        <w:rFonts w:ascii="Arial" w:hAnsi="Arial"/>
                        <w:spacing w:val="-6"/>
                        <w:sz w:val="16"/>
                      </w:rPr>
                      <w:t> </w:t>
                    </w:r>
                    <w:r>
                      <w:rPr>
                        <w:rFonts w:ascii="Arial" w:hAnsi="Arial"/>
                        <w:sz w:val="16"/>
                      </w:rPr>
                      <w:t>от</w:t>
                    </w:r>
                    <w:r>
                      <w:rPr>
                        <w:rFonts w:ascii="Arial" w:hAnsi="Arial"/>
                        <w:spacing w:val="-6"/>
                        <w:sz w:val="16"/>
                      </w:rPr>
                      <w:t> </w:t>
                    </w:r>
                    <w:r>
                      <w:rPr>
                        <w:rFonts w:ascii="Arial" w:hAnsi="Arial"/>
                        <w:sz w:val="16"/>
                      </w:rPr>
                      <w:t>28.05.2025</w:t>
                    </w:r>
                    <w:r>
                      <w:rPr>
                        <w:rFonts w:ascii="Arial" w:hAnsi="Arial"/>
                        <w:spacing w:val="-6"/>
                        <w:sz w:val="16"/>
                      </w:rPr>
                      <w:t> </w:t>
                    </w:r>
                    <w:r>
                      <w:rPr>
                        <w:rFonts w:ascii="Arial" w:hAnsi="Arial"/>
                        <w:sz w:val="16"/>
                      </w:rPr>
                      <w:t>Пономарева</w:t>
                    </w:r>
                    <w:r>
                      <w:rPr>
                        <w:rFonts w:ascii="Arial" w:hAnsi="Arial"/>
                        <w:spacing w:val="-6"/>
                        <w:sz w:val="16"/>
                      </w:rPr>
                      <w:t> </w:t>
                    </w:r>
                    <w:r>
                      <w:rPr>
                        <w:rFonts w:ascii="Arial" w:hAnsi="Arial"/>
                        <w:sz w:val="16"/>
                      </w:rPr>
                      <w:t>Е.Н.</w:t>
                    </w:r>
                    <w:r>
                      <w:rPr>
                        <w:rFonts w:ascii="Arial" w:hAnsi="Arial"/>
                        <w:spacing w:val="-6"/>
                        <w:sz w:val="16"/>
                      </w:rPr>
                      <w:t> </w:t>
                    </w:r>
                    <w:r>
                      <w:rPr>
                        <w:rFonts w:ascii="Arial" w:hAnsi="Arial"/>
                        <w:sz w:val="16"/>
                      </w:rPr>
                      <w:t>(Минздрав</w:t>
                    </w:r>
                    <w:r>
                      <w:rPr>
                        <w:rFonts w:ascii="Arial" w:hAnsi="Arial"/>
                        <w:spacing w:val="-6"/>
                        <w:sz w:val="16"/>
                      </w:rPr>
                      <w:t> </w:t>
                    </w:r>
                    <w:r>
                      <w:rPr>
                        <w:rFonts w:ascii="Arial" w:hAnsi="Arial"/>
                        <w:sz w:val="16"/>
                      </w:rPr>
                      <w:t>России) Документ зарегистрирован № 1-24-2231/25 от 02.06.2025</w:t>
                    </w:r>
                    <w:r>
                      <w:rPr>
                        <w:rFonts w:ascii="Arial" w:hAnsi="Arial"/>
                        <w:spacing w:val="40"/>
                        <w:sz w:val="16"/>
                      </w:rPr>
                      <w:t> </w:t>
                    </w:r>
                    <w:r>
                      <w:rPr>
                        <w:rFonts w:ascii="Arial" w:hAnsi="Arial"/>
                        <w:sz w:val="16"/>
                      </w:rPr>
                      <w:t>("КБ № 2" ГКУЗ)</w:t>
                    </w:r>
                  </w:p>
                  <w:p>
                    <w:pPr>
                      <w:spacing w:line="164" w:lineRule="exact" w:before="0"/>
                      <w:ind w:left="20" w:right="0" w:firstLine="0"/>
                      <w:jc w:val="left"/>
                      <w:rPr>
                        <w:rFonts w:ascii="Arial" w:hAnsi="Arial"/>
                        <w:sz w:val="16"/>
                      </w:rPr>
                    </w:pPr>
                    <w:r>
                      <w:rPr>
                        <w:rFonts w:ascii="Arial" w:hAnsi="Arial"/>
                        <w:sz w:val="16"/>
                      </w:rPr>
                      <w:t>Страница</w:t>
                    </w:r>
                    <w:r>
                      <w:rPr>
                        <w:rFonts w:ascii="Arial" w:hAnsi="Arial"/>
                        <w:spacing w:val="-8"/>
                        <w:sz w:val="16"/>
                      </w:rPr>
                      <w:t> </w:t>
                    </w:r>
                    <w:r>
                      <w:rPr>
                        <w:rFonts w:ascii="Arial" w:hAnsi="Arial"/>
                        <w:sz w:val="16"/>
                      </w:rPr>
                      <w:fldChar w:fldCharType="begin"/>
                    </w:r>
                    <w:r>
                      <w:rPr>
                        <w:rFonts w:ascii="Arial" w:hAnsi="Arial"/>
                        <w:sz w:val="16"/>
                      </w:rPr>
                      <w:instrText> PAGE </w:instrText>
                    </w:r>
                    <w:r>
                      <w:rPr>
                        <w:rFonts w:ascii="Arial" w:hAnsi="Arial"/>
                        <w:sz w:val="16"/>
                      </w:rPr>
                      <w:fldChar w:fldCharType="separate"/>
                    </w:r>
                    <w:r>
                      <w:rPr>
                        <w:rFonts w:ascii="Arial" w:hAnsi="Arial"/>
                        <w:sz w:val="16"/>
                      </w:rPr>
                      <w:t>231</w:t>
                    </w:r>
                    <w:r>
                      <w:rPr>
                        <w:rFonts w:ascii="Arial" w:hAnsi="Arial"/>
                        <w:sz w:val="16"/>
                      </w:rPr>
                      <w:fldChar w:fldCharType="end"/>
                    </w:r>
                    <w:r>
                      <w:rPr>
                        <w:rFonts w:ascii="Arial" w:hAnsi="Arial"/>
                        <w:spacing w:val="-5"/>
                        <w:sz w:val="16"/>
                      </w:rPr>
                      <w:t> </w:t>
                    </w:r>
                    <w:r>
                      <w:rPr>
                        <w:rFonts w:ascii="Arial" w:hAnsi="Arial"/>
                        <w:sz w:val="16"/>
                      </w:rPr>
                      <w:t>из</w:t>
                    </w:r>
                    <w:r>
                      <w:rPr>
                        <w:rFonts w:ascii="Arial" w:hAnsi="Arial"/>
                        <w:spacing w:val="-6"/>
                        <w:sz w:val="16"/>
                      </w:rPr>
                      <w:t> </w:t>
                    </w:r>
                    <w:r>
                      <w:rPr>
                        <w:rFonts w:ascii="Arial" w:hAnsi="Arial"/>
                        <w:sz w:val="16"/>
                      </w:rPr>
                      <w:fldChar w:fldCharType="begin"/>
                    </w:r>
                    <w:r>
                      <w:rPr>
                        <w:rFonts w:ascii="Arial" w:hAnsi="Arial"/>
                        <w:sz w:val="16"/>
                      </w:rPr>
                      <w:instrText> NUMPAGES </w:instrText>
                    </w:r>
                    <w:r>
                      <w:rPr>
                        <w:rFonts w:ascii="Arial" w:hAnsi="Arial"/>
                        <w:sz w:val="16"/>
                      </w:rPr>
                      <w:fldChar w:fldCharType="separate"/>
                    </w:r>
                    <w:r>
                      <w:rPr>
                        <w:rFonts w:ascii="Arial" w:hAnsi="Arial"/>
                        <w:sz w:val="16"/>
                      </w:rPr>
                      <w:t>248</w:t>
                    </w:r>
                    <w:r>
                      <w:rPr>
                        <w:rFonts w:ascii="Arial" w:hAnsi="Arial"/>
                        <w:sz w:val="16"/>
                      </w:rPr>
                      <w:fldChar w:fldCharType="end"/>
                    </w:r>
                    <w:r>
                      <w:rPr>
                        <w:rFonts w:ascii="Arial" w:hAnsi="Arial"/>
                        <w:sz w:val="16"/>
                      </w:rPr>
                      <w:t>.</w:t>
                    </w:r>
                    <w:r>
                      <w:rPr>
                        <w:rFonts w:ascii="Arial" w:hAnsi="Arial"/>
                        <w:spacing w:val="-5"/>
                        <w:sz w:val="16"/>
                      </w:rPr>
                      <w:t> </w:t>
                    </w:r>
                    <w:r>
                      <w:rPr>
                        <w:rFonts w:ascii="Arial" w:hAnsi="Arial"/>
                        <w:sz w:val="16"/>
                      </w:rPr>
                      <w:t>Страница</w:t>
                    </w:r>
                    <w:r>
                      <w:rPr>
                        <w:rFonts w:ascii="Arial" w:hAnsi="Arial"/>
                        <w:spacing w:val="-6"/>
                        <w:sz w:val="16"/>
                      </w:rPr>
                      <w:t> </w:t>
                    </w:r>
                    <w:r>
                      <w:rPr>
                        <w:rFonts w:ascii="Arial" w:hAnsi="Arial"/>
                        <w:sz w:val="16"/>
                      </w:rPr>
                      <w:t>создана:</w:t>
                    </w:r>
                    <w:r>
                      <w:rPr>
                        <w:rFonts w:ascii="Arial" w:hAnsi="Arial"/>
                        <w:spacing w:val="-5"/>
                        <w:sz w:val="16"/>
                      </w:rPr>
                      <w:t> </w:t>
                    </w:r>
                    <w:r>
                      <w:rPr>
                        <w:rFonts w:ascii="Arial" w:hAnsi="Arial"/>
                        <w:sz w:val="16"/>
                      </w:rPr>
                      <w:t>29.05.2025</w:t>
                    </w:r>
                    <w:r>
                      <w:rPr>
                        <w:rFonts w:ascii="Arial" w:hAnsi="Arial"/>
                        <w:spacing w:val="-5"/>
                        <w:sz w:val="16"/>
                      </w:rPr>
                      <w:t> </w:t>
                    </w:r>
                    <w:r>
                      <w:rPr>
                        <w:rFonts w:ascii="Arial" w:hAnsi="Arial"/>
                        <w:spacing w:val="-2"/>
                        <w:sz w:val="16"/>
                      </w:rPr>
                      <w:t>10:30</w:t>
                    </w:r>
                  </w:p>
                </w:txbxContent>
              </v:textbox>
              <w10:wrap type="none"/>
            </v:shape>
          </w:pict>
        </mc:Fallback>
      </mc:AlternateContent>
    </w:r>
  </w:p>
</w:ftr>
</file>

<file path=word/footer1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53">
    <w:multiLevelType w:val="hybridMultilevel"/>
    <w:lvl w:ilvl="0">
      <w:start w:val="0"/>
      <w:numFmt w:val="bullet"/>
      <w:lvlText w:val=""/>
      <w:lvlJc w:val="left"/>
      <w:pPr>
        <w:ind w:left="2561" w:hanging="360"/>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94" w:hanging="360"/>
      </w:pPr>
      <w:rPr>
        <w:rFonts w:hint="default"/>
        <w:lang w:val="ru-RU" w:eastAsia="en-US" w:bidi="ar-SA"/>
      </w:rPr>
    </w:lvl>
    <w:lvl w:ilvl="2">
      <w:start w:val="0"/>
      <w:numFmt w:val="bullet"/>
      <w:lvlText w:val="•"/>
      <w:lvlJc w:val="left"/>
      <w:pPr>
        <w:ind w:left="4428" w:hanging="360"/>
      </w:pPr>
      <w:rPr>
        <w:rFonts w:hint="default"/>
        <w:lang w:val="ru-RU" w:eastAsia="en-US" w:bidi="ar-SA"/>
      </w:rPr>
    </w:lvl>
    <w:lvl w:ilvl="3">
      <w:start w:val="0"/>
      <w:numFmt w:val="bullet"/>
      <w:lvlText w:val="•"/>
      <w:lvlJc w:val="left"/>
      <w:pPr>
        <w:ind w:left="5362" w:hanging="360"/>
      </w:pPr>
      <w:rPr>
        <w:rFonts w:hint="default"/>
        <w:lang w:val="ru-RU" w:eastAsia="en-US" w:bidi="ar-SA"/>
      </w:rPr>
    </w:lvl>
    <w:lvl w:ilvl="4">
      <w:start w:val="0"/>
      <w:numFmt w:val="bullet"/>
      <w:lvlText w:val="•"/>
      <w:lvlJc w:val="left"/>
      <w:pPr>
        <w:ind w:left="6296" w:hanging="360"/>
      </w:pPr>
      <w:rPr>
        <w:rFonts w:hint="default"/>
        <w:lang w:val="ru-RU" w:eastAsia="en-US" w:bidi="ar-SA"/>
      </w:rPr>
    </w:lvl>
    <w:lvl w:ilvl="5">
      <w:start w:val="0"/>
      <w:numFmt w:val="bullet"/>
      <w:lvlText w:val="•"/>
      <w:lvlJc w:val="left"/>
      <w:pPr>
        <w:ind w:left="7230" w:hanging="360"/>
      </w:pPr>
      <w:rPr>
        <w:rFonts w:hint="default"/>
        <w:lang w:val="ru-RU" w:eastAsia="en-US" w:bidi="ar-SA"/>
      </w:rPr>
    </w:lvl>
    <w:lvl w:ilvl="6">
      <w:start w:val="0"/>
      <w:numFmt w:val="bullet"/>
      <w:lvlText w:val="•"/>
      <w:lvlJc w:val="left"/>
      <w:pPr>
        <w:ind w:left="8164" w:hanging="360"/>
      </w:pPr>
      <w:rPr>
        <w:rFonts w:hint="default"/>
        <w:lang w:val="ru-RU" w:eastAsia="en-US" w:bidi="ar-SA"/>
      </w:rPr>
    </w:lvl>
    <w:lvl w:ilvl="7">
      <w:start w:val="0"/>
      <w:numFmt w:val="bullet"/>
      <w:lvlText w:val="•"/>
      <w:lvlJc w:val="left"/>
      <w:pPr>
        <w:ind w:left="9098" w:hanging="360"/>
      </w:pPr>
      <w:rPr>
        <w:rFonts w:hint="default"/>
        <w:lang w:val="ru-RU" w:eastAsia="en-US" w:bidi="ar-SA"/>
      </w:rPr>
    </w:lvl>
    <w:lvl w:ilvl="8">
      <w:start w:val="0"/>
      <w:numFmt w:val="bullet"/>
      <w:lvlText w:val="•"/>
      <w:lvlJc w:val="left"/>
      <w:pPr>
        <w:ind w:left="10032" w:hanging="360"/>
      </w:pPr>
      <w:rPr>
        <w:rFonts w:hint="default"/>
        <w:lang w:val="ru-RU" w:eastAsia="en-US" w:bidi="ar-SA"/>
      </w:rPr>
    </w:lvl>
  </w:abstractNum>
  <w:abstractNum w:abstractNumId="127">
    <w:multiLevelType w:val="hybridMultilevel"/>
    <w:lvl w:ilvl="0">
      <w:start w:val="0"/>
      <w:numFmt w:val="bullet"/>
      <w:lvlText w:val="-"/>
      <w:lvlJc w:val="left"/>
      <w:pPr>
        <w:ind w:left="139" w:hanging="125"/>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450" w:hanging="125"/>
      </w:pPr>
      <w:rPr>
        <w:rFonts w:hint="default"/>
        <w:lang w:val="ru-RU" w:eastAsia="en-US" w:bidi="ar-SA"/>
      </w:rPr>
    </w:lvl>
    <w:lvl w:ilvl="2">
      <w:start w:val="0"/>
      <w:numFmt w:val="bullet"/>
      <w:lvlText w:val="•"/>
      <w:lvlJc w:val="left"/>
      <w:pPr>
        <w:ind w:left="761" w:hanging="125"/>
      </w:pPr>
      <w:rPr>
        <w:rFonts w:hint="default"/>
        <w:lang w:val="ru-RU" w:eastAsia="en-US" w:bidi="ar-SA"/>
      </w:rPr>
    </w:lvl>
    <w:lvl w:ilvl="3">
      <w:start w:val="0"/>
      <w:numFmt w:val="bullet"/>
      <w:lvlText w:val="•"/>
      <w:lvlJc w:val="left"/>
      <w:pPr>
        <w:ind w:left="1072" w:hanging="125"/>
      </w:pPr>
      <w:rPr>
        <w:rFonts w:hint="default"/>
        <w:lang w:val="ru-RU" w:eastAsia="en-US" w:bidi="ar-SA"/>
      </w:rPr>
    </w:lvl>
    <w:lvl w:ilvl="4">
      <w:start w:val="0"/>
      <w:numFmt w:val="bullet"/>
      <w:lvlText w:val="•"/>
      <w:lvlJc w:val="left"/>
      <w:pPr>
        <w:ind w:left="1383" w:hanging="125"/>
      </w:pPr>
      <w:rPr>
        <w:rFonts w:hint="default"/>
        <w:lang w:val="ru-RU" w:eastAsia="en-US" w:bidi="ar-SA"/>
      </w:rPr>
    </w:lvl>
    <w:lvl w:ilvl="5">
      <w:start w:val="0"/>
      <w:numFmt w:val="bullet"/>
      <w:lvlText w:val="•"/>
      <w:lvlJc w:val="left"/>
      <w:pPr>
        <w:ind w:left="1694" w:hanging="125"/>
      </w:pPr>
      <w:rPr>
        <w:rFonts w:hint="default"/>
        <w:lang w:val="ru-RU" w:eastAsia="en-US" w:bidi="ar-SA"/>
      </w:rPr>
    </w:lvl>
    <w:lvl w:ilvl="6">
      <w:start w:val="0"/>
      <w:numFmt w:val="bullet"/>
      <w:lvlText w:val="•"/>
      <w:lvlJc w:val="left"/>
      <w:pPr>
        <w:ind w:left="2005" w:hanging="125"/>
      </w:pPr>
      <w:rPr>
        <w:rFonts w:hint="default"/>
        <w:lang w:val="ru-RU" w:eastAsia="en-US" w:bidi="ar-SA"/>
      </w:rPr>
    </w:lvl>
    <w:lvl w:ilvl="7">
      <w:start w:val="0"/>
      <w:numFmt w:val="bullet"/>
      <w:lvlText w:val="•"/>
      <w:lvlJc w:val="left"/>
      <w:pPr>
        <w:ind w:left="2316" w:hanging="125"/>
      </w:pPr>
      <w:rPr>
        <w:rFonts w:hint="default"/>
        <w:lang w:val="ru-RU" w:eastAsia="en-US" w:bidi="ar-SA"/>
      </w:rPr>
    </w:lvl>
    <w:lvl w:ilvl="8">
      <w:start w:val="0"/>
      <w:numFmt w:val="bullet"/>
      <w:lvlText w:val="•"/>
      <w:lvlJc w:val="left"/>
      <w:pPr>
        <w:ind w:left="2627" w:hanging="125"/>
      </w:pPr>
      <w:rPr>
        <w:rFonts w:hint="default"/>
        <w:lang w:val="ru-RU" w:eastAsia="en-US" w:bidi="ar-SA"/>
      </w:rPr>
    </w:lvl>
  </w:abstractNum>
  <w:abstractNum w:abstractNumId="126">
    <w:multiLevelType w:val="hybridMultilevel"/>
    <w:lvl w:ilvl="0">
      <w:start w:val="0"/>
      <w:numFmt w:val="bullet"/>
      <w:lvlText w:val="-"/>
      <w:lvlJc w:val="left"/>
      <w:pPr>
        <w:ind w:left="286" w:hanging="397"/>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789" w:hanging="397"/>
      </w:pPr>
      <w:rPr>
        <w:rFonts w:hint="default"/>
        <w:lang w:val="ru-RU" w:eastAsia="en-US" w:bidi="ar-SA"/>
      </w:rPr>
    </w:lvl>
    <w:lvl w:ilvl="2">
      <w:start w:val="0"/>
      <w:numFmt w:val="bullet"/>
      <w:lvlText w:val="•"/>
      <w:lvlJc w:val="left"/>
      <w:pPr>
        <w:ind w:left="1299" w:hanging="397"/>
      </w:pPr>
      <w:rPr>
        <w:rFonts w:hint="default"/>
        <w:lang w:val="ru-RU" w:eastAsia="en-US" w:bidi="ar-SA"/>
      </w:rPr>
    </w:lvl>
    <w:lvl w:ilvl="3">
      <w:start w:val="0"/>
      <w:numFmt w:val="bullet"/>
      <w:lvlText w:val="•"/>
      <w:lvlJc w:val="left"/>
      <w:pPr>
        <w:ind w:left="1809" w:hanging="397"/>
      </w:pPr>
      <w:rPr>
        <w:rFonts w:hint="default"/>
        <w:lang w:val="ru-RU" w:eastAsia="en-US" w:bidi="ar-SA"/>
      </w:rPr>
    </w:lvl>
    <w:lvl w:ilvl="4">
      <w:start w:val="0"/>
      <w:numFmt w:val="bullet"/>
      <w:lvlText w:val="•"/>
      <w:lvlJc w:val="left"/>
      <w:pPr>
        <w:ind w:left="2319" w:hanging="397"/>
      </w:pPr>
      <w:rPr>
        <w:rFonts w:hint="default"/>
        <w:lang w:val="ru-RU" w:eastAsia="en-US" w:bidi="ar-SA"/>
      </w:rPr>
    </w:lvl>
    <w:lvl w:ilvl="5">
      <w:start w:val="0"/>
      <w:numFmt w:val="bullet"/>
      <w:lvlText w:val="•"/>
      <w:lvlJc w:val="left"/>
      <w:pPr>
        <w:ind w:left="2829" w:hanging="397"/>
      </w:pPr>
      <w:rPr>
        <w:rFonts w:hint="default"/>
        <w:lang w:val="ru-RU" w:eastAsia="en-US" w:bidi="ar-SA"/>
      </w:rPr>
    </w:lvl>
    <w:lvl w:ilvl="6">
      <w:start w:val="0"/>
      <w:numFmt w:val="bullet"/>
      <w:lvlText w:val="•"/>
      <w:lvlJc w:val="left"/>
      <w:pPr>
        <w:ind w:left="3339" w:hanging="397"/>
      </w:pPr>
      <w:rPr>
        <w:rFonts w:hint="default"/>
        <w:lang w:val="ru-RU" w:eastAsia="en-US" w:bidi="ar-SA"/>
      </w:rPr>
    </w:lvl>
    <w:lvl w:ilvl="7">
      <w:start w:val="0"/>
      <w:numFmt w:val="bullet"/>
      <w:lvlText w:val="•"/>
      <w:lvlJc w:val="left"/>
      <w:pPr>
        <w:ind w:left="3849" w:hanging="397"/>
      </w:pPr>
      <w:rPr>
        <w:rFonts w:hint="default"/>
        <w:lang w:val="ru-RU" w:eastAsia="en-US" w:bidi="ar-SA"/>
      </w:rPr>
    </w:lvl>
    <w:lvl w:ilvl="8">
      <w:start w:val="0"/>
      <w:numFmt w:val="bullet"/>
      <w:lvlText w:val="•"/>
      <w:lvlJc w:val="left"/>
      <w:pPr>
        <w:ind w:left="4359" w:hanging="397"/>
      </w:pPr>
      <w:rPr>
        <w:rFonts w:hint="default"/>
        <w:lang w:val="ru-RU" w:eastAsia="en-US" w:bidi="ar-SA"/>
      </w:rPr>
    </w:lvl>
  </w:abstractNum>
  <w:abstractNum w:abstractNumId="125">
    <w:multiLevelType w:val="hybridMultilevel"/>
    <w:lvl w:ilvl="0">
      <w:start w:val="0"/>
      <w:numFmt w:val="bullet"/>
      <w:lvlText w:val="-"/>
      <w:lvlJc w:val="left"/>
      <w:pPr>
        <w:ind w:left="139" w:hanging="463"/>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450" w:hanging="463"/>
      </w:pPr>
      <w:rPr>
        <w:rFonts w:hint="default"/>
        <w:lang w:val="ru-RU" w:eastAsia="en-US" w:bidi="ar-SA"/>
      </w:rPr>
    </w:lvl>
    <w:lvl w:ilvl="2">
      <w:start w:val="0"/>
      <w:numFmt w:val="bullet"/>
      <w:lvlText w:val="•"/>
      <w:lvlJc w:val="left"/>
      <w:pPr>
        <w:ind w:left="761" w:hanging="463"/>
      </w:pPr>
      <w:rPr>
        <w:rFonts w:hint="default"/>
        <w:lang w:val="ru-RU" w:eastAsia="en-US" w:bidi="ar-SA"/>
      </w:rPr>
    </w:lvl>
    <w:lvl w:ilvl="3">
      <w:start w:val="0"/>
      <w:numFmt w:val="bullet"/>
      <w:lvlText w:val="•"/>
      <w:lvlJc w:val="left"/>
      <w:pPr>
        <w:ind w:left="1072" w:hanging="463"/>
      </w:pPr>
      <w:rPr>
        <w:rFonts w:hint="default"/>
        <w:lang w:val="ru-RU" w:eastAsia="en-US" w:bidi="ar-SA"/>
      </w:rPr>
    </w:lvl>
    <w:lvl w:ilvl="4">
      <w:start w:val="0"/>
      <w:numFmt w:val="bullet"/>
      <w:lvlText w:val="•"/>
      <w:lvlJc w:val="left"/>
      <w:pPr>
        <w:ind w:left="1383" w:hanging="463"/>
      </w:pPr>
      <w:rPr>
        <w:rFonts w:hint="default"/>
        <w:lang w:val="ru-RU" w:eastAsia="en-US" w:bidi="ar-SA"/>
      </w:rPr>
    </w:lvl>
    <w:lvl w:ilvl="5">
      <w:start w:val="0"/>
      <w:numFmt w:val="bullet"/>
      <w:lvlText w:val="•"/>
      <w:lvlJc w:val="left"/>
      <w:pPr>
        <w:ind w:left="1694" w:hanging="463"/>
      </w:pPr>
      <w:rPr>
        <w:rFonts w:hint="default"/>
        <w:lang w:val="ru-RU" w:eastAsia="en-US" w:bidi="ar-SA"/>
      </w:rPr>
    </w:lvl>
    <w:lvl w:ilvl="6">
      <w:start w:val="0"/>
      <w:numFmt w:val="bullet"/>
      <w:lvlText w:val="•"/>
      <w:lvlJc w:val="left"/>
      <w:pPr>
        <w:ind w:left="2005" w:hanging="463"/>
      </w:pPr>
      <w:rPr>
        <w:rFonts w:hint="default"/>
        <w:lang w:val="ru-RU" w:eastAsia="en-US" w:bidi="ar-SA"/>
      </w:rPr>
    </w:lvl>
    <w:lvl w:ilvl="7">
      <w:start w:val="0"/>
      <w:numFmt w:val="bullet"/>
      <w:lvlText w:val="•"/>
      <w:lvlJc w:val="left"/>
      <w:pPr>
        <w:ind w:left="2316" w:hanging="463"/>
      </w:pPr>
      <w:rPr>
        <w:rFonts w:hint="default"/>
        <w:lang w:val="ru-RU" w:eastAsia="en-US" w:bidi="ar-SA"/>
      </w:rPr>
    </w:lvl>
    <w:lvl w:ilvl="8">
      <w:start w:val="0"/>
      <w:numFmt w:val="bullet"/>
      <w:lvlText w:val="•"/>
      <w:lvlJc w:val="left"/>
      <w:pPr>
        <w:ind w:left="2627" w:hanging="463"/>
      </w:pPr>
      <w:rPr>
        <w:rFonts w:hint="default"/>
        <w:lang w:val="ru-RU" w:eastAsia="en-US" w:bidi="ar-SA"/>
      </w:rPr>
    </w:lvl>
  </w:abstractNum>
  <w:abstractNum w:abstractNumId="124">
    <w:multiLevelType w:val="hybridMultilevel"/>
    <w:lvl w:ilvl="0">
      <w:start w:val="0"/>
      <w:numFmt w:val="bullet"/>
      <w:lvlText w:val="-"/>
      <w:lvlJc w:val="left"/>
      <w:pPr>
        <w:ind w:left="286" w:hanging="181"/>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789" w:hanging="181"/>
      </w:pPr>
      <w:rPr>
        <w:rFonts w:hint="default"/>
        <w:lang w:val="ru-RU" w:eastAsia="en-US" w:bidi="ar-SA"/>
      </w:rPr>
    </w:lvl>
    <w:lvl w:ilvl="2">
      <w:start w:val="0"/>
      <w:numFmt w:val="bullet"/>
      <w:lvlText w:val="•"/>
      <w:lvlJc w:val="left"/>
      <w:pPr>
        <w:ind w:left="1299" w:hanging="181"/>
      </w:pPr>
      <w:rPr>
        <w:rFonts w:hint="default"/>
        <w:lang w:val="ru-RU" w:eastAsia="en-US" w:bidi="ar-SA"/>
      </w:rPr>
    </w:lvl>
    <w:lvl w:ilvl="3">
      <w:start w:val="0"/>
      <w:numFmt w:val="bullet"/>
      <w:lvlText w:val="•"/>
      <w:lvlJc w:val="left"/>
      <w:pPr>
        <w:ind w:left="1809" w:hanging="181"/>
      </w:pPr>
      <w:rPr>
        <w:rFonts w:hint="default"/>
        <w:lang w:val="ru-RU" w:eastAsia="en-US" w:bidi="ar-SA"/>
      </w:rPr>
    </w:lvl>
    <w:lvl w:ilvl="4">
      <w:start w:val="0"/>
      <w:numFmt w:val="bullet"/>
      <w:lvlText w:val="•"/>
      <w:lvlJc w:val="left"/>
      <w:pPr>
        <w:ind w:left="2319" w:hanging="181"/>
      </w:pPr>
      <w:rPr>
        <w:rFonts w:hint="default"/>
        <w:lang w:val="ru-RU" w:eastAsia="en-US" w:bidi="ar-SA"/>
      </w:rPr>
    </w:lvl>
    <w:lvl w:ilvl="5">
      <w:start w:val="0"/>
      <w:numFmt w:val="bullet"/>
      <w:lvlText w:val="•"/>
      <w:lvlJc w:val="left"/>
      <w:pPr>
        <w:ind w:left="2829" w:hanging="181"/>
      </w:pPr>
      <w:rPr>
        <w:rFonts w:hint="default"/>
        <w:lang w:val="ru-RU" w:eastAsia="en-US" w:bidi="ar-SA"/>
      </w:rPr>
    </w:lvl>
    <w:lvl w:ilvl="6">
      <w:start w:val="0"/>
      <w:numFmt w:val="bullet"/>
      <w:lvlText w:val="•"/>
      <w:lvlJc w:val="left"/>
      <w:pPr>
        <w:ind w:left="3339" w:hanging="181"/>
      </w:pPr>
      <w:rPr>
        <w:rFonts w:hint="default"/>
        <w:lang w:val="ru-RU" w:eastAsia="en-US" w:bidi="ar-SA"/>
      </w:rPr>
    </w:lvl>
    <w:lvl w:ilvl="7">
      <w:start w:val="0"/>
      <w:numFmt w:val="bullet"/>
      <w:lvlText w:val="•"/>
      <w:lvlJc w:val="left"/>
      <w:pPr>
        <w:ind w:left="3849" w:hanging="181"/>
      </w:pPr>
      <w:rPr>
        <w:rFonts w:hint="default"/>
        <w:lang w:val="ru-RU" w:eastAsia="en-US" w:bidi="ar-SA"/>
      </w:rPr>
    </w:lvl>
    <w:lvl w:ilvl="8">
      <w:start w:val="0"/>
      <w:numFmt w:val="bullet"/>
      <w:lvlText w:val="•"/>
      <w:lvlJc w:val="left"/>
      <w:pPr>
        <w:ind w:left="4359" w:hanging="181"/>
      </w:pPr>
      <w:rPr>
        <w:rFonts w:hint="default"/>
        <w:lang w:val="ru-RU" w:eastAsia="en-US" w:bidi="ar-SA"/>
      </w:rPr>
    </w:lvl>
  </w:abstractNum>
  <w:abstractNum w:abstractNumId="123">
    <w:multiLevelType w:val="hybridMultilevel"/>
    <w:lvl w:ilvl="0">
      <w:start w:val="0"/>
      <w:numFmt w:val="bullet"/>
      <w:lvlText w:val="-"/>
      <w:lvlJc w:val="left"/>
      <w:pPr>
        <w:ind w:left="286" w:hanging="567"/>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789" w:hanging="567"/>
      </w:pPr>
      <w:rPr>
        <w:rFonts w:hint="default"/>
        <w:lang w:val="ru-RU" w:eastAsia="en-US" w:bidi="ar-SA"/>
      </w:rPr>
    </w:lvl>
    <w:lvl w:ilvl="2">
      <w:start w:val="0"/>
      <w:numFmt w:val="bullet"/>
      <w:lvlText w:val="•"/>
      <w:lvlJc w:val="left"/>
      <w:pPr>
        <w:ind w:left="1299" w:hanging="567"/>
      </w:pPr>
      <w:rPr>
        <w:rFonts w:hint="default"/>
        <w:lang w:val="ru-RU" w:eastAsia="en-US" w:bidi="ar-SA"/>
      </w:rPr>
    </w:lvl>
    <w:lvl w:ilvl="3">
      <w:start w:val="0"/>
      <w:numFmt w:val="bullet"/>
      <w:lvlText w:val="•"/>
      <w:lvlJc w:val="left"/>
      <w:pPr>
        <w:ind w:left="1809" w:hanging="567"/>
      </w:pPr>
      <w:rPr>
        <w:rFonts w:hint="default"/>
        <w:lang w:val="ru-RU" w:eastAsia="en-US" w:bidi="ar-SA"/>
      </w:rPr>
    </w:lvl>
    <w:lvl w:ilvl="4">
      <w:start w:val="0"/>
      <w:numFmt w:val="bullet"/>
      <w:lvlText w:val="•"/>
      <w:lvlJc w:val="left"/>
      <w:pPr>
        <w:ind w:left="2319" w:hanging="567"/>
      </w:pPr>
      <w:rPr>
        <w:rFonts w:hint="default"/>
        <w:lang w:val="ru-RU" w:eastAsia="en-US" w:bidi="ar-SA"/>
      </w:rPr>
    </w:lvl>
    <w:lvl w:ilvl="5">
      <w:start w:val="0"/>
      <w:numFmt w:val="bullet"/>
      <w:lvlText w:val="•"/>
      <w:lvlJc w:val="left"/>
      <w:pPr>
        <w:ind w:left="2829" w:hanging="567"/>
      </w:pPr>
      <w:rPr>
        <w:rFonts w:hint="default"/>
        <w:lang w:val="ru-RU" w:eastAsia="en-US" w:bidi="ar-SA"/>
      </w:rPr>
    </w:lvl>
    <w:lvl w:ilvl="6">
      <w:start w:val="0"/>
      <w:numFmt w:val="bullet"/>
      <w:lvlText w:val="•"/>
      <w:lvlJc w:val="left"/>
      <w:pPr>
        <w:ind w:left="3339" w:hanging="567"/>
      </w:pPr>
      <w:rPr>
        <w:rFonts w:hint="default"/>
        <w:lang w:val="ru-RU" w:eastAsia="en-US" w:bidi="ar-SA"/>
      </w:rPr>
    </w:lvl>
    <w:lvl w:ilvl="7">
      <w:start w:val="0"/>
      <w:numFmt w:val="bullet"/>
      <w:lvlText w:val="•"/>
      <w:lvlJc w:val="left"/>
      <w:pPr>
        <w:ind w:left="3849" w:hanging="567"/>
      </w:pPr>
      <w:rPr>
        <w:rFonts w:hint="default"/>
        <w:lang w:val="ru-RU" w:eastAsia="en-US" w:bidi="ar-SA"/>
      </w:rPr>
    </w:lvl>
    <w:lvl w:ilvl="8">
      <w:start w:val="0"/>
      <w:numFmt w:val="bullet"/>
      <w:lvlText w:val="•"/>
      <w:lvlJc w:val="left"/>
      <w:pPr>
        <w:ind w:left="4359" w:hanging="567"/>
      </w:pPr>
      <w:rPr>
        <w:rFonts w:hint="default"/>
        <w:lang w:val="ru-RU" w:eastAsia="en-US" w:bidi="ar-SA"/>
      </w:rPr>
    </w:lvl>
  </w:abstractNum>
  <w:abstractNum w:abstractNumId="122">
    <w:multiLevelType w:val="hybridMultilevel"/>
    <w:lvl w:ilvl="0">
      <w:start w:val="0"/>
      <w:numFmt w:val="bullet"/>
      <w:lvlText w:val="-"/>
      <w:lvlJc w:val="left"/>
      <w:pPr>
        <w:ind w:left="283" w:hanging="140"/>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789" w:hanging="140"/>
      </w:pPr>
      <w:rPr>
        <w:rFonts w:hint="default"/>
        <w:lang w:val="ru-RU" w:eastAsia="en-US" w:bidi="ar-SA"/>
      </w:rPr>
    </w:lvl>
    <w:lvl w:ilvl="2">
      <w:start w:val="0"/>
      <w:numFmt w:val="bullet"/>
      <w:lvlText w:val="•"/>
      <w:lvlJc w:val="left"/>
      <w:pPr>
        <w:ind w:left="1299" w:hanging="140"/>
      </w:pPr>
      <w:rPr>
        <w:rFonts w:hint="default"/>
        <w:lang w:val="ru-RU" w:eastAsia="en-US" w:bidi="ar-SA"/>
      </w:rPr>
    </w:lvl>
    <w:lvl w:ilvl="3">
      <w:start w:val="0"/>
      <w:numFmt w:val="bullet"/>
      <w:lvlText w:val="•"/>
      <w:lvlJc w:val="left"/>
      <w:pPr>
        <w:ind w:left="1809" w:hanging="140"/>
      </w:pPr>
      <w:rPr>
        <w:rFonts w:hint="default"/>
        <w:lang w:val="ru-RU" w:eastAsia="en-US" w:bidi="ar-SA"/>
      </w:rPr>
    </w:lvl>
    <w:lvl w:ilvl="4">
      <w:start w:val="0"/>
      <w:numFmt w:val="bullet"/>
      <w:lvlText w:val="•"/>
      <w:lvlJc w:val="left"/>
      <w:pPr>
        <w:ind w:left="2319" w:hanging="140"/>
      </w:pPr>
      <w:rPr>
        <w:rFonts w:hint="default"/>
        <w:lang w:val="ru-RU" w:eastAsia="en-US" w:bidi="ar-SA"/>
      </w:rPr>
    </w:lvl>
    <w:lvl w:ilvl="5">
      <w:start w:val="0"/>
      <w:numFmt w:val="bullet"/>
      <w:lvlText w:val="•"/>
      <w:lvlJc w:val="left"/>
      <w:pPr>
        <w:ind w:left="2829" w:hanging="140"/>
      </w:pPr>
      <w:rPr>
        <w:rFonts w:hint="default"/>
        <w:lang w:val="ru-RU" w:eastAsia="en-US" w:bidi="ar-SA"/>
      </w:rPr>
    </w:lvl>
    <w:lvl w:ilvl="6">
      <w:start w:val="0"/>
      <w:numFmt w:val="bullet"/>
      <w:lvlText w:val="•"/>
      <w:lvlJc w:val="left"/>
      <w:pPr>
        <w:ind w:left="3339" w:hanging="140"/>
      </w:pPr>
      <w:rPr>
        <w:rFonts w:hint="default"/>
        <w:lang w:val="ru-RU" w:eastAsia="en-US" w:bidi="ar-SA"/>
      </w:rPr>
    </w:lvl>
    <w:lvl w:ilvl="7">
      <w:start w:val="0"/>
      <w:numFmt w:val="bullet"/>
      <w:lvlText w:val="•"/>
      <w:lvlJc w:val="left"/>
      <w:pPr>
        <w:ind w:left="3849" w:hanging="140"/>
      </w:pPr>
      <w:rPr>
        <w:rFonts w:hint="default"/>
        <w:lang w:val="ru-RU" w:eastAsia="en-US" w:bidi="ar-SA"/>
      </w:rPr>
    </w:lvl>
    <w:lvl w:ilvl="8">
      <w:start w:val="0"/>
      <w:numFmt w:val="bullet"/>
      <w:lvlText w:val="•"/>
      <w:lvlJc w:val="left"/>
      <w:pPr>
        <w:ind w:left="4359" w:hanging="140"/>
      </w:pPr>
      <w:rPr>
        <w:rFonts w:hint="default"/>
        <w:lang w:val="ru-RU" w:eastAsia="en-US" w:bidi="ar-SA"/>
      </w:rPr>
    </w:lvl>
  </w:abstractNum>
  <w:abstractNum w:abstractNumId="121">
    <w:multiLevelType w:val="hybridMultilevel"/>
    <w:lvl w:ilvl="0">
      <w:start w:val="0"/>
      <w:numFmt w:val="bullet"/>
      <w:lvlText w:val="•"/>
      <w:lvlJc w:val="left"/>
      <w:pPr>
        <w:ind w:left="286" w:hanging="144"/>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789" w:hanging="144"/>
      </w:pPr>
      <w:rPr>
        <w:rFonts w:hint="default"/>
        <w:lang w:val="ru-RU" w:eastAsia="en-US" w:bidi="ar-SA"/>
      </w:rPr>
    </w:lvl>
    <w:lvl w:ilvl="2">
      <w:start w:val="0"/>
      <w:numFmt w:val="bullet"/>
      <w:lvlText w:val="•"/>
      <w:lvlJc w:val="left"/>
      <w:pPr>
        <w:ind w:left="1299" w:hanging="144"/>
      </w:pPr>
      <w:rPr>
        <w:rFonts w:hint="default"/>
        <w:lang w:val="ru-RU" w:eastAsia="en-US" w:bidi="ar-SA"/>
      </w:rPr>
    </w:lvl>
    <w:lvl w:ilvl="3">
      <w:start w:val="0"/>
      <w:numFmt w:val="bullet"/>
      <w:lvlText w:val="•"/>
      <w:lvlJc w:val="left"/>
      <w:pPr>
        <w:ind w:left="1809" w:hanging="144"/>
      </w:pPr>
      <w:rPr>
        <w:rFonts w:hint="default"/>
        <w:lang w:val="ru-RU" w:eastAsia="en-US" w:bidi="ar-SA"/>
      </w:rPr>
    </w:lvl>
    <w:lvl w:ilvl="4">
      <w:start w:val="0"/>
      <w:numFmt w:val="bullet"/>
      <w:lvlText w:val="•"/>
      <w:lvlJc w:val="left"/>
      <w:pPr>
        <w:ind w:left="2319" w:hanging="144"/>
      </w:pPr>
      <w:rPr>
        <w:rFonts w:hint="default"/>
        <w:lang w:val="ru-RU" w:eastAsia="en-US" w:bidi="ar-SA"/>
      </w:rPr>
    </w:lvl>
    <w:lvl w:ilvl="5">
      <w:start w:val="0"/>
      <w:numFmt w:val="bullet"/>
      <w:lvlText w:val="•"/>
      <w:lvlJc w:val="left"/>
      <w:pPr>
        <w:ind w:left="2829" w:hanging="144"/>
      </w:pPr>
      <w:rPr>
        <w:rFonts w:hint="default"/>
        <w:lang w:val="ru-RU" w:eastAsia="en-US" w:bidi="ar-SA"/>
      </w:rPr>
    </w:lvl>
    <w:lvl w:ilvl="6">
      <w:start w:val="0"/>
      <w:numFmt w:val="bullet"/>
      <w:lvlText w:val="•"/>
      <w:lvlJc w:val="left"/>
      <w:pPr>
        <w:ind w:left="3339" w:hanging="144"/>
      </w:pPr>
      <w:rPr>
        <w:rFonts w:hint="default"/>
        <w:lang w:val="ru-RU" w:eastAsia="en-US" w:bidi="ar-SA"/>
      </w:rPr>
    </w:lvl>
    <w:lvl w:ilvl="7">
      <w:start w:val="0"/>
      <w:numFmt w:val="bullet"/>
      <w:lvlText w:val="•"/>
      <w:lvlJc w:val="left"/>
      <w:pPr>
        <w:ind w:left="3849" w:hanging="144"/>
      </w:pPr>
      <w:rPr>
        <w:rFonts w:hint="default"/>
        <w:lang w:val="ru-RU" w:eastAsia="en-US" w:bidi="ar-SA"/>
      </w:rPr>
    </w:lvl>
    <w:lvl w:ilvl="8">
      <w:start w:val="0"/>
      <w:numFmt w:val="bullet"/>
      <w:lvlText w:val="•"/>
      <w:lvlJc w:val="left"/>
      <w:pPr>
        <w:ind w:left="4359" w:hanging="144"/>
      </w:pPr>
      <w:rPr>
        <w:rFonts w:hint="default"/>
        <w:lang w:val="ru-RU" w:eastAsia="en-US" w:bidi="ar-SA"/>
      </w:rPr>
    </w:lvl>
  </w:abstractNum>
  <w:abstractNum w:abstractNumId="120">
    <w:multiLevelType w:val="hybridMultilevel"/>
    <w:lvl w:ilvl="0">
      <w:start w:val="1"/>
      <w:numFmt w:val="decimal"/>
      <w:lvlText w:val="%1."/>
      <w:lvlJc w:val="left"/>
      <w:pPr>
        <w:ind w:left="565" w:hanging="425"/>
        <w:jc w:val="left"/>
      </w:pPr>
      <w:rPr>
        <w:rFonts w:hint="default" w:ascii="Times New Roman" w:hAnsi="Times New Roman" w:eastAsia="Times New Roman" w:cs="Times New Roman"/>
        <w:b w:val="0"/>
        <w:bCs w:val="0"/>
        <w:i w:val="0"/>
        <w:iCs w:val="0"/>
        <w:spacing w:val="0"/>
        <w:w w:val="100"/>
        <w:sz w:val="22"/>
        <w:szCs w:val="22"/>
        <w:lang w:val="ru-RU" w:eastAsia="en-US" w:bidi="ar-SA"/>
      </w:rPr>
    </w:lvl>
    <w:lvl w:ilvl="1">
      <w:start w:val="1"/>
      <w:numFmt w:val="decimal"/>
      <w:lvlText w:val="%2)"/>
      <w:lvlJc w:val="left"/>
      <w:pPr>
        <w:ind w:left="1276" w:hanging="427"/>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2">
      <w:start w:val="0"/>
      <w:numFmt w:val="bullet"/>
      <w:lvlText w:val="•"/>
      <w:lvlJc w:val="left"/>
      <w:pPr>
        <w:ind w:left="2255" w:hanging="427"/>
      </w:pPr>
      <w:rPr>
        <w:rFonts w:hint="default"/>
        <w:lang w:val="ru-RU" w:eastAsia="en-US" w:bidi="ar-SA"/>
      </w:rPr>
    </w:lvl>
    <w:lvl w:ilvl="3">
      <w:start w:val="0"/>
      <w:numFmt w:val="bullet"/>
      <w:lvlText w:val="•"/>
      <w:lvlJc w:val="left"/>
      <w:pPr>
        <w:ind w:left="3230" w:hanging="427"/>
      </w:pPr>
      <w:rPr>
        <w:rFonts w:hint="default"/>
        <w:lang w:val="ru-RU" w:eastAsia="en-US" w:bidi="ar-SA"/>
      </w:rPr>
    </w:lvl>
    <w:lvl w:ilvl="4">
      <w:start w:val="0"/>
      <w:numFmt w:val="bullet"/>
      <w:lvlText w:val="•"/>
      <w:lvlJc w:val="left"/>
      <w:pPr>
        <w:ind w:left="4206" w:hanging="427"/>
      </w:pPr>
      <w:rPr>
        <w:rFonts w:hint="default"/>
        <w:lang w:val="ru-RU" w:eastAsia="en-US" w:bidi="ar-SA"/>
      </w:rPr>
    </w:lvl>
    <w:lvl w:ilvl="5">
      <w:start w:val="0"/>
      <w:numFmt w:val="bullet"/>
      <w:lvlText w:val="•"/>
      <w:lvlJc w:val="left"/>
      <w:pPr>
        <w:ind w:left="5181" w:hanging="427"/>
      </w:pPr>
      <w:rPr>
        <w:rFonts w:hint="default"/>
        <w:lang w:val="ru-RU" w:eastAsia="en-US" w:bidi="ar-SA"/>
      </w:rPr>
    </w:lvl>
    <w:lvl w:ilvl="6">
      <w:start w:val="0"/>
      <w:numFmt w:val="bullet"/>
      <w:lvlText w:val="•"/>
      <w:lvlJc w:val="left"/>
      <w:pPr>
        <w:ind w:left="6157" w:hanging="427"/>
      </w:pPr>
      <w:rPr>
        <w:rFonts w:hint="default"/>
        <w:lang w:val="ru-RU" w:eastAsia="en-US" w:bidi="ar-SA"/>
      </w:rPr>
    </w:lvl>
    <w:lvl w:ilvl="7">
      <w:start w:val="0"/>
      <w:numFmt w:val="bullet"/>
      <w:lvlText w:val="•"/>
      <w:lvlJc w:val="left"/>
      <w:pPr>
        <w:ind w:left="7132" w:hanging="427"/>
      </w:pPr>
      <w:rPr>
        <w:rFonts w:hint="default"/>
        <w:lang w:val="ru-RU" w:eastAsia="en-US" w:bidi="ar-SA"/>
      </w:rPr>
    </w:lvl>
    <w:lvl w:ilvl="8">
      <w:start w:val="0"/>
      <w:numFmt w:val="bullet"/>
      <w:lvlText w:val="•"/>
      <w:lvlJc w:val="left"/>
      <w:pPr>
        <w:ind w:left="8108" w:hanging="427"/>
      </w:pPr>
      <w:rPr>
        <w:rFonts w:hint="default"/>
        <w:lang w:val="ru-RU" w:eastAsia="en-US" w:bidi="ar-SA"/>
      </w:rPr>
    </w:lvl>
  </w:abstractNum>
  <w:abstractNum w:abstractNumId="119">
    <w:multiLevelType w:val="hybridMultilevel"/>
    <w:lvl w:ilvl="0">
      <w:start w:val="1"/>
      <w:numFmt w:val="decimal"/>
      <w:lvlText w:val="%1"/>
      <w:lvlJc w:val="left"/>
      <w:pPr>
        <w:ind w:left="728" w:hanging="152"/>
        <w:jc w:val="left"/>
      </w:pPr>
      <w:rPr>
        <w:rFonts w:hint="default" w:ascii="Times New Roman" w:hAnsi="Times New Roman" w:eastAsia="Times New Roman" w:cs="Times New Roman"/>
        <w:b w:val="0"/>
        <w:bCs w:val="0"/>
        <w:i w:val="0"/>
        <w:iCs w:val="0"/>
        <w:spacing w:val="0"/>
        <w:w w:val="99"/>
        <w:sz w:val="20"/>
        <w:szCs w:val="20"/>
        <w:lang w:val="ru-RU" w:eastAsia="en-US" w:bidi="ar-SA"/>
      </w:rPr>
    </w:lvl>
    <w:lvl w:ilvl="1">
      <w:start w:val="0"/>
      <w:numFmt w:val="bullet"/>
      <w:lvlText w:val="•"/>
      <w:lvlJc w:val="left"/>
      <w:pPr>
        <w:ind w:left="2190" w:hanging="152"/>
      </w:pPr>
      <w:rPr>
        <w:rFonts w:hint="default"/>
        <w:lang w:val="ru-RU" w:eastAsia="en-US" w:bidi="ar-SA"/>
      </w:rPr>
    </w:lvl>
    <w:lvl w:ilvl="2">
      <w:start w:val="0"/>
      <w:numFmt w:val="bullet"/>
      <w:lvlText w:val="•"/>
      <w:lvlJc w:val="left"/>
      <w:pPr>
        <w:ind w:left="3660" w:hanging="152"/>
      </w:pPr>
      <w:rPr>
        <w:rFonts w:hint="default"/>
        <w:lang w:val="ru-RU" w:eastAsia="en-US" w:bidi="ar-SA"/>
      </w:rPr>
    </w:lvl>
    <w:lvl w:ilvl="3">
      <w:start w:val="0"/>
      <w:numFmt w:val="bullet"/>
      <w:lvlText w:val="•"/>
      <w:lvlJc w:val="left"/>
      <w:pPr>
        <w:ind w:left="5131" w:hanging="152"/>
      </w:pPr>
      <w:rPr>
        <w:rFonts w:hint="default"/>
        <w:lang w:val="ru-RU" w:eastAsia="en-US" w:bidi="ar-SA"/>
      </w:rPr>
    </w:lvl>
    <w:lvl w:ilvl="4">
      <w:start w:val="0"/>
      <w:numFmt w:val="bullet"/>
      <w:lvlText w:val="•"/>
      <w:lvlJc w:val="left"/>
      <w:pPr>
        <w:ind w:left="6601" w:hanging="152"/>
      </w:pPr>
      <w:rPr>
        <w:rFonts w:hint="default"/>
        <w:lang w:val="ru-RU" w:eastAsia="en-US" w:bidi="ar-SA"/>
      </w:rPr>
    </w:lvl>
    <w:lvl w:ilvl="5">
      <w:start w:val="0"/>
      <w:numFmt w:val="bullet"/>
      <w:lvlText w:val="•"/>
      <w:lvlJc w:val="left"/>
      <w:pPr>
        <w:ind w:left="8072" w:hanging="152"/>
      </w:pPr>
      <w:rPr>
        <w:rFonts w:hint="default"/>
        <w:lang w:val="ru-RU" w:eastAsia="en-US" w:bidi="ar-SA"/>
      </w:rPr>
    </w:lvl>
    <w:lvl w:ilvl="6">
      <w:start w:val="0"/>
      <w:numFmt w:val="bullet"/>
      <w:lvlText w:val="•"/>
      <w:lvlJc w:val="left"/>
      <w:pPr>
        <w:ind w:left="9542" w:hanging="152"/>
      </w:pPr>
      <w:rPr>
        <w:rFonts w:hint="default"/>
        <w:lang w:val="ru-RU" w:eastAsia="en-US" w:bidi="ar-SA"/>
      </w:rPr>
    </w:lvl>
    <w:lvl w:ilvl="7">
      <w:start w:val="0"/>
      <w:numFmt w:val="bullet"/>
      <w:lvlText w:val="•"/>
      <w:lvlJc w:val="left"/>
      <w:pPr>
        <w:ind w:left="11012" w:hanging="152"/>
      </w:pPr>
      <w:rPr>
        <w:rFonts w:hint="default"/>
        <w:lang w:val="ru-RU" w:eastAsia="en-US" w:bidi="ar-SA"/>
      </w:rPr>
    </w:lvl>
    <w:lvl w:ilvl="8">
      <w:start w:val="0"/>
      <w:numFmt w:val="bullet"/>
      <w:lvlText w:val="•"/>
      <w:lvlJc w:val="left"/>
      <w:pPr>
        <w:ind w:left="12483" w:hanging="152"/>
      </w:pPr>
      <w:rPr>
        <w:rFonts w:hint="default"/>
        <w:lang w:val="ru-RU" w:eastAsia="en-US" w:bidi="ar-SA"/>
      </w:rPr>
    </w:lvl>
  </w:abstractNum>
  <w:abstractNum w:abstractNumId="118">
    <w:multiLevelType w:val="hybridMultilevel"/>
    <w:lvl w:ilvl="0">
      <w:start w:val="0"/>
      <w:numFmt w:val="bullet"/>
      <w:lvlText w:val="*"/>
      <w:lvlJc w:val="left"/>
      <w:pPr>
        <w:ind w:left="687" w:hanging="250"/>
      </w:pPr>
      <w:rPr>
        <w:rFonts w:hint="default" w:ascii="Times New Roman" w:hAnsi="Times New Roman" w:eastAsia="Times New Roman" w:cs="Times New Roman"/>
        <w:b w:val="0"/>
        <w:bCs w:val="0"/>
        <w:i w:val="0"/>
        <w:iCs w:val="0"/>
        <w:spacing w:val="0"/>
        <w:w w:val="99"/>
        <w:sz w:val="20"/>
        <w:szCs w:val="20"/>
        <w:lang w:val="ru-RU" w:eastAsia="en-US" w:bidi="ar-SA"/>
      </w:rPr>
    </w:lvl>
    <w:lvl w:ilvl="1">
      <w:start w:val="0"/>
      <w:numFmt w:val="bullet"/>
      <w:lvlText w:val="•"/>
      <w:lvlJc w:val="left"/>
      <w:pPr>
        <w:ind w:left="838" w:hanging="120"/>
      </w:pPr>
      <w:rPr>
        <w:rFonts w:hint="default" w:ascii="Times New Roman" w:hAnsi="Times New Roman" w:eastAsia="Times New Roman" w:cs="Times New Roman"/>
        <w:b w:val="0"/>
        <w:bCs w:val="0"/>
        <w:i w:val="0"/>
        <w:iCs w:val="0"/>
        <w:spacing w:val="0"/>
        <w:w w:val="99"/>
        <w:sz w:val="20"/>
        <w:szCs w:val="20"/>
        <w:lang w:val="ru-RU" w:eastAsia="en-US" w:bidi="ar-SA"/>
      </w:rPr>
    </w:lvl>
    <w:lvl w:ilvl="2">
      <w:start w:val="0"/>
      <w:numFmt w:val="bullet"/>
      <w:lvlText w:val="•"/>
      <w:lvlJc w:val="left"/>
      <w:pPr>
        <w:ind w:left="1327" w:hanging="120"/>
      </w:pPr>
      <w:rPr>
        <w:rFonts w:hint="default"/>
        <w:lang w:val="ru-RU" w:eastAsia="en-US" w:bidi="ar-SA"/>
      </w:rPr>
    </w:lvl>
    <w:lvl w:ilvl="3">
      <w:start w:val="0"/>
      <w:numFmt w:val="bullet"/>
      <w:lvlText w:val="•"/>
      <w:lvlJc w:val="left"/>
      <w:pPr>
        <w:ind w:left="1815" w:hanging="120"/>
      </w:pPr>
      <w:rPr>
        <w:rFonts w:hint="default"/>
        <w:lang w:val="ru-RU" w:eastAsia="en-US" w:bidi="ar-SA"/>
      </w:rPr>
    </w:lvl>
    <w:lvl w:ilvl="4">
      <w:start w:val="0"/>
      <w:numFmt w:val="bullet"/>
      <w:lvlText w:val="•"/>
      <w:lvlJc w:val="left"/>
      <w:pPr>
        <w:ind w:left="2303" w:hanging="120"/>
      </w:pPr>
      <w:rPr>
        <w:rFonts w:hint="default"/>
        <w:lang w:val="ru-RU" w:eastAsia="en-US" w:bidi="ar-SA"/>
      </w:rPr>
    </w:lvl>
    <w:lvl w:ilvl="5">
      <w:start w:val="0"/>
      <w:numFmt w:val="bullet"/>
      <w:lvlText w:val="•"/>
      <w:lvlJc w:val="left"/>
      <w:pPr>
        <w:ind w:left="2790" w:hanging="120"/>
      </w:pPr>
      <w:rPr>
        <w:rFonts w:hint="default"/>
        <w:lang w:val="ru-RU" w:eastAsia="en-US" w:bidi="ar-SA"/>
      </w:rPr>
    </w:lvl>
    <w:lvl w:ilvl="6">
      <w:start w:val="0"/>
      <w:numFmt w:val="bullet"/>
      <w:lvlText w:val="•"/>
      <w:lvlJc w:val="left"/>
      <w:pPr>
        <w:ind w:left="3278" w:hanging="120"/>
      </w:pPr>
      <w:rPr>
        <w:rFonts w:hint="default"/>
        <w:lang w:val="ru-RU" w:eastAsia="en-US" w:bidi="ar-SA"/>
      </w:rPr>
    </w:lvl>
    <w:lvl w:ilvl="7">
      <w:start w:val="0"/>
      <w:numFmt w:val="bullet"/>
      <w:lvlText w:val="•"/>
      <w:lvlJc w:val="left"/>
      <w:pPr>
        <w:ind w:left="3766" w:hanging="120"/>
      </w:pPr>
      <w:rPr>
        <w:rFonts w:hint="default"/>
        <w:lang w:val="ru-RU" w:eastAsia="en-US" w:bidi="ar-SA"/>
      </w:rPr>
    </w:lvl>
    <w:lvl w:ilvl="8">
      <w:start w:val="0"/>
      <w:numFmt w:val="bullet"/>
      <w:lvlText w:val="•"/>
      <w:lvlJc w:val="left"/>
      <w:pPr>
        <w:ind w:left="4254" w:hanging="120"/>
      </w:pPr>
      <w:rPr>
        <w:rFonts w:hint="default"/>
        <w:lang w:val="ru-RU" w:eastAsia="en-US" w:bidi="ar-SA"/>
      </w:rPr>
    </w:lvl>
  </w:abstractNum>
  <w:abstractNum w:abstractNumId="117">
    <w:multiLevelType w:val="hybridMultilevel"/>
    <w:lvl w:ilvl="0">
      <w:start w:val="0"/>
      <w:numFmt w:val="bullet"/>
      <w:lvlText w:val="•"/>
      <w:lvlJc w:val="left"/>
      <w:pPr>
        <w:ind w:left="226" w:hanging="120"/>
      </w:pPr>
      <w:rPr>
        <w:rFonts w:hint="default" w:ascii="Times New Roman" w:hAnsi="Times New Roman" w:eastAsia="Times New Roman" w:cs="Times New Roman"/>
        <w:b/>
        <w:bCs/>
        <w:i w:val="0"/>
        <w:iCs w:val="0"/>
        <w:spacing w:val="0"/>
        <w:w w:val="99"/>
        <w:sz w:val="20"/>
        <w:szCs w:val="20"/>
        <w:lang w:val="ru-RU" w:eastAsia="en-US" w:bidi="ar-SA"/>
      </w:rPr>
    </w:lvl>
    <w:lvl w:ilvl="1">
      <w:start w:val="0"/>
      <w:numFmt w:val="bullet"/>
      <w:lvlText w:val="•"/>
      <w:lvlJc w:val="left"/>
      <w:pPr>
        <w:ind w:left="1671" w:hanging="120"/>
      </w:pPr>
      <w:rPr>
        <w:rFonts w:hint="default"/>
        <w:lang w:val="ru-RU" w:eastAsia="en-US" w:bidi="ar-SA"/>
      </w:rPr>
    </w:lvl>
    <w:lvl w:ilvl="2">
      <w:start w:val="0"/>
      <w:numFmt w:val="bullet"/>
      <w:lvlText w:val="•"/>
      <w:lvlJc w:val="left"/>
      <w:pPr>
        <w:ind w:left="3122" w:hanging="120"/>
      </w:pPr>
      <w:rPr>
        <w:rFonts w:hint="default"/>
        <w:lang w:val="ru-RU" w:eastAsia="en-US" w:bidi="ar-SA"/>
      </w:rPr>
    </w:lvl>
    <w:lvl w:ilvl="3">
      <w:start w:val="0"/>
      <w:numFmt w:val="bullet"/>
      <w:lvlText w:val="•"/>
      <w:lvlJc w:val="left"/>
      <w:pPr>
        <w:ind w:left="4574" w:hanging="120"/>
      </w:pPr>
      <w:rPr>
        <w:rFonts w:hint="default"/>
        <w:lang w:val="ru-RU" w:eastAsia="en-US" w:bidi="ar-SA"/>
      </w:rPr>
    </w:lvl>
    <w:lvl w:ilvl="4">
      <w:start w:val="0"/>
      <w:numFmt w:val="bullet"/>
      <w:lvlText w:val="•"/>
      <w:lvlJc w:val="left"/>
      <w:pPr>
        <w:ind w:left="6025" w:hanging="120"/>
      </w:pPr>
      <w:rPr>
        <w:rFonts w:hint="default"/>
        <w:lang w:val="ru-RU" w:eastAsia="en-US" w:bidi="ar-SA"/>
      </w:rPr>
    </w:lvl>
    <w:lvl w:ilvl="5">
      <w:start w:val="0"/>
      <w:numFmt w:val="bullet"/>
      <w:lvlText w:val="•"/>
      <w:lvlJc w:val="left"/>
      <w:pPr>
        <w:ind w:left="7477" w:hanging="120"/>
      </w:pPr>
      <w:rPr>
        <w:rFonts w:hint="default"/>
        <w:lang w:val="ru-RU" w:eastAsia="en-US" w:bidi="ar-SA"/>
      </w:rPr>
    </w:lvl>
    <w:lvl w:ilvl="6">
      <w:start w:val="0"/>
      <w:numFmt w:val="bullet"/>
      <w:lvlText w:val="•"/>
      <w:lvlJc w:val="left"/>
      <w:pPr>
        <w:ind w:left="8928" w:hanging="120"/>
      </w:pPr>
      <w:rPr>
        <w:rFonts w:hint="default"/>
        <w:lang w:val="ru-RU" w:eastAsia="en-US" w:bidi="ar-SA"/>
      </w:rPr>
    </w:lvl>
    <w:lvl w:ilvl="7">
      <w:start w:val="0"/>
      <w:numFmt w:val="bullet"/>
      <w:lvlText w:val="•"/>
      <w:lvlJc w:val="left"/>
      <w:pPr>
        <w:ind w:left="10379" w:hanging="120"/>
      </w:pPr>
      <w:rPr>
        <w:rFonts w:hint="default"/>
        <w:lang w:val="ru-RU" w:eastAsia="en-US" w:bidi="ar-SA"/>
      </w:rPr>
    </w:lvl>
    <w:lvl w:ilvl="8">
      <w:start w:val="0"/>
      <w:numFmt w:val="bullet"/>
      <w:lvlText w:val="•"/>
      <w:lvlJc w:val="left"/>
      <w:pPr>
        <w:ind w:left="11831" w:hanging="120"/>
      </w:pPr>
      <w:rPr>
        <w:rFonts w:hint="default"/>
        <w:lang w:val="ru-RU" w:eastAsia="en-US" w:bidi="ar-SA"/>
      </w:rPr>
    </w:lvl>
  </w:abstractNum>
  <w:abstractNum w:abstractNumId="116">
    <w:multiLevelType w:val="hybridMultilevel"/>
    <w:lvl w:ilvl="0">
      <w:start w:val="0"/>
      <w:numFmt w:val="bullet"/>
      <w:lvlText w:val="•"/>
      <w:lvlJc w:val="left"/>
      <w:pPr>
        <w:ind w:left="236" w:hanging="120"/>
      </w:pPr>
      <w:rPr>
        <w:rFonts w:hint="default" w:ascii="Times New Roman" w:hAnsi="Times New Roman" w:eastAsia="Times New Roman" w:cs="Times New Roman"/>
        <w:b/>
        <w:bCs/>
        <w:i w:val="0"/>
        <w:iCs w:val="0"/>
        <w:spacing w:val="0"/>
        <w:w w:val="99"/>
        <w:sz w:val="20"/>
        <w:szCs w:val="20"/>
        <w:lang w:val="ru-RU" w:eastAsia="en-US" w:bidi="ar-SA"/>
      </w:rPr>
    </w:lvl>
    <w:lvl w:ilvl="1">
      <w:start w:val="0"/>
      <w:numFmt w:val="bullet"/>
      <w:lvlText w:val="•"/>
      <w:lvlJc w:val="left"/>
      <w:pPr>
        <w:ind w:left="1689" w:hanging="120"/>
      </w:pPr>
      <w:rPr>
        <w:rFonts w:hint="default"/>
        <w:lang w:val="ru-RU" w:eastAsia="en-US" w:bidi="ar-SA"/>
      </w:rPr>
    </w:lvl>
    <w:lvl w:ilvl="2">
      <w:start w:val="0"/>
      <w:numFmt w:val="bullet"/>
      <w:lvlText w:val="•"/>
      <w:lvlJc w:val="left"/>
      <w:pPr>
        <w:ind w:left="3138" w:hanging="120"/>
      </w:pPr>
      <w:rPr>
        <w:rFonts w:hint="default"/>
        <w:lang w:val="ru-RU" w:eastAsia="en-US" w:bidi="ar-SA"/>
      </w:rPr>
    </w:lvl>
    <w:lvl w:ilvl="3">
      <w:start w:val="0"/>
      <w:numFmt w:val="bullet"/>
      <w:lvlText w:val="•"/>
      <w:lvlJc w:val="left"/>
      <w:pPr>
        <w:ind w:left="4588" w:hanging="120"/>
      </w:pPr>
      <w:rPr>
        <w:rFonts w:hint="default"/>
        <w:lang w:val="ru-RU" w:eastAsia="en-US" w:bidi="ar-SA"/>
      </w:rPr>
    </w:lvl>
    <w:lvl w:ilvl="4">
      <w:start w:val="0"/>
      <w:numFmt w:val="bullet"/>
      <w:lvlText w:val="•"/>
      <w:lvlJc w:val="left"/>
      <w:pPr>
        <w:ind w:left="6037" w:hanging="120"/>
      </w:pPr>
      <w:rPr>
        <w:rFonts w:hint="default"/>
        <w:lang w:val="ru-RU" w:eastAsia="en-US" w:bidi="ar-SA"/>
      </w:rPr>
    </w:lvl>
    <w:lvl w:ilvl="5">
      <w:start w:val="0"/>
      <w:numFmt w:val="bullet"/>
      <w:lvlText w:val="•"/>
      <w:lvlJc w:val="left"/>
      <w:pPr>
        <w:ind w:left="7487" w:hanging="120"/>
      </w:pPr>
      <w:rPr>
        <w:rFonts w:hint="default"/>
        <w:lang w:val="ru-RU" w:eastAsia="en-US" w:bidi="ar-SA"/>
      </w:rPr>
    </w:lvl>
    <w:lvl w:ilvl="6">
      <w:start w:val="0"/>
      <w:numFmt w:val="bullet"/>
      <w:lvlText w:val="•"/>
      <w:lvlJc w:val="left"/>
      <w:pPr>
        <w:ind w:left="8936" w:hanging="120"/>
      </w:pPr>
      <w:rPr>
        <w:rFonts w:hint="default"/>
        <w:lang w:val="ru-RU" w:eastAsia="en-US" w:bidi="ar-SA"/>
      </w:rPr>
    </w:lvl>
    <w:lvl w:ilvl="7">
      <w:start w:val="0"/>
      <w:numFmt w:val="bullet"/>
      <w:lvlText w:val="•"/>
      <w:lvlJc w:val="left"/>
      <w:pPr>
        <w:ind w:left="10385" w:hanging="120"/>
      </w:pPr>
      <w:rPr>
        <w:rFonts w:hint="default"/>
        <w:lang w:val="ru-RU" w:eastAsia="en-US" w:bidi="ar-SA"/>
      </w:rPr>
    </w:lvl>
    <w:lvl w:ilvl="8">
      <w:start w:val="0"/>
      <w:numFmt w:val="bullet"/>
      <w:lvlText w:val="•"/>
      <w:lvlJc w:val="left"/>
      <w:pPr>
        <w:ind w:left="11835" w:hanging="120"/>
      </w:pPr>
      <w:rPr>
        <w:rFonts w:hint="default"/>
        <w:lang w:val="ru-RU" w:eastAsia="en-US" w:bidi="ar-SA"/>
      </w:rPr>
    </w:lvl>
  </w:abstractNum>
  <w:abstractNum w:abstractNumId="115">
    <w:multiLevelType w:val="hybridMultilevel"/>
    <w:lvl w:ilvl="0">
      <w:start w:val="0"/>
      <w:numFmt w:val="bullet"/>
      <w:lvlText w:val="•"/>
      <w:lvlJc w:val="left"/>
      <w:pPr>
        <w:ind w:left="236" w:hanging="120"/>
      </w:pPr>
      <w:rPr>
        <w:rFonts w:hint="default" w:ascii="Times New Roman" w:hAnsi="Times New Roman" w:eastAsia="Times New Roman" w:cs="Times New Roman"/>
        <w:b/>
        <w:bCs/>
        <w:i w:val="0"/>
        <w:iCs w:val="0"/>
        <w:spacing w:val="0"/>
        <w:w w:val="99"/>
        <w:sz w:val="20"/>
        <w:szCs w:val="20"/>
        <w:lang w:val="ru-RU" w:eastAsia="en-US" w:bidi="ar-SA"/>
      </w:rPr>
    </w:lvl>
    <w:lvl w:ilvl="1">
      <w:start w:val="0"/>
      <w:numFmt w:val="bullet"/>
      <w:lvlText w:val="•"/>
      <w:lvlJc w:val="left"/>
      <w:pPr>
        <w:ind w:left="1689" w:hanging="120"/>
      </w:pPr>
      <w:rPr>
        <w:rFonts w:hint="default"/>
        <w:lang w:val="ru-RU" w:eastAsia="en-US" w:bidi="ar-SA"/>
      </w:rPr>
    </w:lvl>
    <w:lvl w:ilvl="2">
      <w:start w:val="0"/>
      <w:numFmt w:val="bullet"/>
      <w:lvlText w:val="•"/>
      <w:lvlJc w:val="left"/>
      <w:pPr>
        <w:ind w:left="3138" w:hanging="120"/>
      </w:pPr>
      <w:rPr>
        <w:rFonts w:hint="default"/>
        <w:lang w:val="ru-RU" w:eastAsia="en-US" w:bidi="ar-SA"/>
      </w:rPr>
    </w:lvl>
    <w:lvl w:ilvl="3">
      <w:start w:val="0"/>
      <w:numFmt w:val="bullet"/>
      <w:lvlText w:val="•"/>
      <w:lvlJc w:val="left"/>
      <w:pPr>
        <w:ind w:left="4588" w:hanging="120"/>
      </w:pPr>
      <w:rPr>
        <w:rFonts w:hint="default"/>
        <w:lang w:val="ru-RU" w:eastAsia="en-US" w:bidi="ar-SA"/>
      </w:rPr>
    </w:lvl>
    <w:lvl w:ilvl="4">
      <w:start w:val="0"/>
      <w:numFmt w:val="bullet"/>
      <w:lvlText w:val="•"/>
      <w:lvlJc w:val="left"/>
      <w:pPr>
        <w:ind w:left="6037" w:hanging="120"/>
      </w:pPr>
      <w:rPr>
        <w:rFonts w:hint="default"/>
        <w:lang w:val="ru-RU" w:eastAsia="en-US" w:bidi="ar-SA"/>
      </w:rPr>
    </w:lvl>
    <w:lvl w:ilvl="5">
      <w:start w:val="0"/>
      <w:numFmt w:val="bullet"/>
      <w:lvlText w:val="•"/>
      <w:lvlJc w:val="left"/>
      <w:pPr>
        <w:ind w:left="7487" w:hanging="120"/>
      </w:pPr>
      <w:rPr>
        <w:rFonts w:hint="default"/>
        <w:lang w:val="ru-RU" w:eastAsia="en-US" w:bidi="ar-SA"/>
      </w:rPr>
    </w:lvl>
    <w:lvl w:ilvl="6">
      <w:start w:val="0"/>
      <w:numFmt w:val="bullet"/>
      <w:lvlText w:val="•"/>
      <w:lvlJc w:val="left"/>
      <w:pPr>
        <w:ind w:left="8936" w:hanging="120"/>
      </w:pPr>
      <w:rPr>
        <w:rFonts w:hint="default"/>
        <w:lang w:val="ru-RU" w:eastAsia="en-US" w:bidi="ar-SA"/>
      </w:rPr>
    </w:lvl>
    <w:lvl w:ilvl="7">
      <w:start w:val="0"/>
      <w:numFmt w:val="bullet"/>
      <w:lvlText w:val="•"/>
      <w:lvlJc w:val="left"/>
      <w:pPr>
        <w:ind w:left="10385" w:hanging="120"/>
      </w:pPr>
      <w:rPr>
        <w:rFonts w:hint="default"/>
        <w:lang w:val="ru-RU" w:eastAsia="en-US" w:bidi="ar-SA"/>
      </w:rPr>
    </w:lvl>
    <w:lvl w:ilvl="8">
      <w:start w:val="0"/>
      <w:numFmt w:val="bullet"/>
      <w:lvlText w:val="•"/>
      <w:lvlJc w:val="left"/>
      <w:pPr>
        <w:ind w:left="11835" w:hanging="120"/>
      </w:pPr>
      <w:rPr>
        <w:rFonts w:hint="default"/>
        <w:lang w:val="ru-RU" w:eastAsia="en-US" w:bidi="ar-SA"/>
      </w:rPr>
    </w:lvl>
  </w:abstractNum>
  <w:abstractNum w:abstractNumId="114">
    <w:multiLevelType w:val="hybridMultilevel"/>
    <w:lvl w:ilvl="0">
      <w:start w:val="1"/>
      <w:numFmt w:val="decimal"/>
      <w:lvlText w:val="%1"/>
      <w:lvlJc w:val="left"/>
      <w:pPr>
        <w:ind w:left="445" w:hanging="152"/>
        <w:jc w:val="left"/>
      </w:pPr>
      <w:rPr>
        <w:rFonts w:hint="default"/>
        <w:spacing w:val="0"/>
        <w:w w:val="89"/>
        <w:lang w:val="ru-RU" w:eastAsia="en-US" w:bidi="ar-SA"/>
      </w:rPr>
    </w:lvl>
    <w:lvl w:ilvl="1">
      <w:start w:val="0"/>
      <w:numFmt w:val="bullet"/>
      <w:lvlText w:val="•"/>
      <w:lvlJc w:val="left"/>
      <w:pPr>
        <w:ind w:left="1938" w:hanging="152"/>
      </w:pPr>
      <w:rPr>
        <w:rFonts w:hint="default"/>
        <w:lang w:val="ru-RU" w:eastAsia="en-US" w:bidi="ar-SA"/>
      </w:rPr>
    </w:lvl>
    <w:lvl w:ilvl="2">
      <w:start w:val="0"/>
      <w:numFmt w:val="bullet"/>
      <w:lvlText w:val="•"/>
      <w:lvlJc w:val="left"/>
      <w:pPr>
        <w:ind w:left="3436" w:hanging="152"/>
      </w:pPr>
      <w:rPr>
        <w:rFonts w:hint="default"/>
        <w:lang w:val="ru-RU" w:eastAsia="en-US" w:bidi="ar-SA"/>
      </w:rPr>
    </w:lvl>
    <w:lvl w:ilvl="3">
      <w:start w:val="0"/>
      <w:numFmt w:val="bullet"/>
      <w:lvlText w:val="•"/>
      <w:lvlJc w:val="left"/>
      <w:pPr>
        <w:ind w:left="4935" w:hanging="152"/>
      </w:pPr>
      <w:rPr>
        <w:rFonts w:hint="default"/>
        <w:lang w:val="ru-RU" w:eastAsia="en-US" w:bidi="ar-SA"/>
      </w:rPr>
    </w:lvl>
    <w:lvl w:ilvl="4">
      <w:start w:val="0"/>
      <w:numFmt w:val="bullet"/>
      <w:lvlText w:val="•"/>
      <w:lvlJc w:val="left"/>
      <w:pPr>
        <w:ind w:left="6433" w:hanging="152"/>
      </w:pPr>
      <w:rPr>
        <w:rFonts w:hint="default"/>
        <w:lang w:val="ru-RU" w:eastAsia="en-US" w:bidi="ar-SA"/>
      </w:rPr>
    </w:lvl>
    <w:lvl w:ilvl="5">
      <w:start w:val="0"/>
      <w:numFmt w:val="bullet"/>
      <w:lvlText w:val="•"/>
      <w:lvlJc w:val="left"/>
      <w:pPr>
        <w:ind w:left="7932" w:hanging="152"/>
      </w:pPr>
      <w:rPr>
        <w:rFonts w:hint="default"/>
        <w:lang w:val="ru-RU" w:eastAsia="en-US" w:bidi="ar-SA"/>
      </w:rPr>
    </w:lvl>
    <w:lvl w:ilvl="6">
      <w:start w:val="0"/>
      <w:numFmt w:val="bullet"/>
      <w:lvlText w:val="•"/>
      <w:lvlJc w:val="left"/>
      <w:pPr>
        <w:ind w:left="9430" w:hanging="152"/>
      </w:pPr>
      <w:rPr>
        <w:rFonts w:hint="default"/>
        <w:lang w:val="ru-RU" w:eastAsia="en-US" w:bidi="ar-SA"/>
      </w:rPr>
    </w:lvl>
    <w:lvl w:ilvl="7">
      <w:start w:val="0"/>
      <w:numFmt w:val="bullet"/>
      <w:lvlText w:val="•"/>
      <w:lvlJc w:val="left"/>
      <w:pPr>
        <w:ind w:left="10928" w:hanging="152"/>
      </w:pPr>
      <w:rPr>
        <w:rFonts w:hint="default"/>
        <w:lang w:val="ru-RU" w:eastAsia="en-US" w:bidi="ar-SA"/>
      </w:rPr>
    </w:lvl>
    <w:lvl w:ilvl="8">
      <w:start w:val="0"/>
      <w:numFmt w:val="bullet"/>
      <w:lvlText w:val="•"/>
      <w:lvlJc w:val="left"/>
      <w:pPr>
        <w:ind w:left="12427" w:hanging="152"/>
      </w:pPr>
      <w:rPr>
        <w:rFonts w:hint="default"/>
        <w:lang w:val="ru-RU" w:eastAsia="en-US" w:bidi="ar-SA"/>
      </w:rPr>
    </w:lvl>
  </w:abstractNum>
  <w:abstractNum w:abstractNumId="113">
    <w:multiLevelType w:val="hybridMultilevel"/>
    <w:lvl w:ilvl="0">
      <w:start w:val="1"/>
      <w:numFmt w:val="decimal"/>
      <w:lvlText w:val="%1"/>
      <w:lvlJc w:val="left"/>
      <w:pPr>
        <w:ind w:left="870" w:hanging="152"/>
        <w:jc w:val="left"/>
      </w:pPr>
      <w:rPr>
        <w:rFonts w:hint="default" w:ascii="Times New Roman" w:hAnsi="Times New Roman" w:eastAsia="Times New Roman" w:cs="Times New Roman"/>
        <w:b w:val="0"/>
        <w:bCs w:val="0"/>
        <w:i w:val="0"/>
        <w:iCs w:val="0"/>
        <w:spacing w:val="0"/>
        <w:w w:val="99"/>
        <w:sz w:val="20"/>
        <w:szCs w:val="20"/>
        <w:lang w:val="ru-RU" w:eastAsia="en-US" w:bidi="ar-SA"/>
      </w:rPr>
    </w:lvl>
    <w:lvl w:ilvl="1">
      <w:start w:val="0"/>
      <w:numFmt w:val="bullet"/>
      <w:lvlText w:val="•"/>
      <w:lvlJc w:val="left"/>
      <w:pPr>
        <w:ind w:left="2334" w:hanging="152"/>
      </w:pPr>
      <w:rPr>
        <w:rFonts w:hint="default"/>
        <w:lang w:val="ru-RU" w:eastAsia="en-US" w:bidi="ar-SA"/>
      </w:rPr>
    </w:lvl>
    <w:lvl w:ilvl="2">
      <w:start w:val="0"/>
      <w:numFmt w:val="bullet"/>
      <w:lvlText w:val="•"/>
      <w:lvlJc w:val="left"/>
      <w:pPr>
        <w:ind w:left="3788" w:hanging="152"/>
      </w:pPr>
      <w:rPr>
        <w:rFonts w:hint="default"/>
        <w:lang w:val="ru-RU" w:eastAsia="en-US" w:bidi="ar-SA"/>
      </w:rPr>
    </w:lvl>
    <w:lvl w:ilvl="3">
      <w:start w:val="0"/>
      <w:numFmt w:val="bullet"/>
      <w:lvlText w:val="•"/>
      <w:lvlJc w:val="left"/>
      <w:pPr>
        <w:ind w:left="5243" w:hanging="152"/>
      </w:pPr>
      <w:rPr>
        <w:rFonts w:hint="default"/>
        <w:lang w:val="ru-RU" w:eastAsia="en-US" w:bidi="ar-SA"/>
      </w:rPr>
    </w:lvl>
    <w:lvl w:ilvl="4">
      <w:start w:val="0"/>
      <w:numFmt w:val="bullet"/>
      <w:lvlText w:val="•"/>
      <w:lvlJc w:val="left"/>
      <w:pPr>
        <w:ind w:left="6697" w:hanging="152"/>
      </w:pPr>
      <w:rPr>
        <w:rFonts w:hint="default"/>
        <w:lang w:val="ru-RU" w:eastAsia="en-US" w:bidi="ar-SA"/>
      </w:rPr>
    </w:lvl>
    <w:lvl w:ilvl="5">
      <w:start w:val="0"/>
      <w:numFmt w:val="bullet"/>
      <w:lvlText w:val="•"/>
      <w:lvlJc w:val="left"/>
      <w:pPr>
        <w:ind w:left="8152" w:hanging="152"/>
      </w:pPr>
      <w:rPr>
        <w:rFonts w:hint="default"/>
        <w:lang w:val="ru-RU" w:eastAsia="en-US" w:bidi="ar-SA"/>
      </w:rPr>
    </w:lvl>
    <w:lvl w:ilvl="6">
      <w:start w:val="0"/>
      <w:numFmt w:val="bullet"/>
      <w:lvlText w:val="•"/>
      <w:lvlJc w:val="left"/>
      <w:pPr>
        <w:ind w:left="9606" w:hanging="152"/>
      </w:pPr>
      <w:rPr>
        <w:rFonts w:hint="default"/>
        <w:lang w:val="ru-RU" w:eastAsia="en-US" w:bidi="ar-SA"/>
      </w:rPr>
    </w:lvl>
    <w:lvl w:ilvl="7">
      <w:start w:val="0"/>
      <w:numFmt w:val="bullet"/>
      <w:lvlText w:val="•"/>
      <w:lvlJc w:val="left"/>
      <w:pPr>
        <w:ind w:left="11060" w:hanging="152"/>
      </w:pPr>
      <w:rPr>
        <w:rFonts w:hint="default"/>
        <w:lang w:val="ru-RU" w:eastAsia="en-US" w:bidi="ar-SA"/>
      </w:rPr>
    </w:lvl>
    <w:lvl w:ilvl="8">
      <w:start w:val="0"/>
      <w:numFmt w:val="bullet"/>
      <w:lvlText w:val="•"/>
      <w:lvlJc w:val="left"/>
      <w:pPr>
        <w:ind w:left="12515" w:hanging="152"/>
      </w:pPr>
      <w:rPr>
        <w:rFonts w:hint="default"/>
        <w:lang w:val="ru-RU" w:eastAsia="en-US" w:bidi="ar-SA"/>
      </w:rPr>
    </w:lvl>
  </w:abstractNum>
  <w:abstractNum w:abstractNumId="112">
    <w:multiLevelType w:val="hybridMultilevel"/>
    <w:lvl w:ilvl="0">
      <w:start w:val="0"/>
      <w:numFmt w:val="bullet"/>
      <w:lvlText w:val=""/>
      <w:lvlJc w:val="left"/>
      <w:pPr>
        <w:ind w:left="334"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779" w:hanging="154"/>
      </w:pPr>
      <w:rPr>
        <w:rFonts w:hint="default"/>
        <w:lang w:val="ru-RU" w:eastAsia="en-US" w:bidi="ar-SA"/>
      </w:rPr>
    </w:lvl>
    <w:lvl w:ilvl="2">
      <w:start w:val="0"/>
      <w:numFmt w:val="bullet"/>
      <w:lvlText w:val="•"/>
      <w:lvlJc w:val="left"/>
      <w:pPr>
        <w:ind w:left="1218" w:hanging="154"/>
      </w:pPr>
      <w:rPr>
        <w:rFonts w:hint="default"/>
        <w:lang w:val="ru-RU" w:eastAsia="en-US" w:bidi="ar-SA"/>
      </w:rPr>
    </w:lvl>
    <w:lvl w:ilvl="3">
      <w:start w:val="0"/>
      <w:numFmt w:val="bullet"/>
      <w:lvlText w:val="•"/>
      <w:lvlJc w:val="left"/>
      <w:pPr>
        <w:ind w:left="1657" w:hanging="154"/>
      </w:pPr>
      <w:rPr>
        <w:rFonts w:hint="default"/>
        <w:lang w:val="ru-RU" w:eastAsia="en-US" w:bidi="ar-SA"/>
      </w:rPr>
    </w:lvl>
    <w:lvl w:ilvl="4">
      <w:start w:val="0"/>
      <w:numFmt w:val="bullet"/>
      <w:lvlText w:val="•"/>
      <w:lvlJc w:val="left"/>
      <w:pPr>
        <w:ind w:left="2096" w:hanging="154"/>
      </w:pPr>
      <w:rPr>
        <w:rFonts w:hint="default"/>
        <w:lang w:val="ru-RU" w:eastAsia="en-US" w:bidi="ar-SA"/>
      </w:rPr>
    </w:lvl>
    <w:lvl w:ilvl="5">
      <w:start w:val="0"/>
      <w:numFmt w:val="bullet"/>
      <w:lvlText w:val="•"/>
      <w:lvlJc w:val="left"/>
      <w:pPr>
        <w:ind w:left="2536" w:hanging="154"/>
      </w:pPr>
      <w:rPr>
        <w:rFonts w:hint="default"/>
        <w:lang w:val="ru-RU" w:eastAsia="en-US" w:bidi="ar-SA"/>
      </w:rPr>
    </w:lvl>
    <w:lvl w:ilvl="6">
      <w:start w:val="0"/>
      <w:numFmt w:val="bullet"/>
      <w:lvlText w:val="•"/>
      <w:lvlJc w:val="left"/>
      <w:pPr>
        <w:ind w:left="2975" w:hanging="154"/>
      </w:pPr>
      <w:rPr>
        <w:rFonts w:hint="default"/>
        <w:lang w:val="ru-RU" w:eastAsia="en-US" w:bidi="ar-SA"/>
      </w:rPr>
    </w:lvl>
    <w:lvl w:ilvl="7">
      <w:start w:val="0"/>
      <w:numFmt w:val="bullet"/>
      <w:lvlText w:val="•"/>
      <w:lvlJc w:val="left"/>
      <w:pPr>
        <w:ind w:left="3414" w:hanging="154"/>
      </w:pPr>
      <w:rPr>
        <w:rFonts w:hint="default"/>
        <w:lang w:val="ru-RU" w:eastAsia="en-US" w:bidi="ar-SA"/>
      </w:rPr>
    </w:lvl>
    <w:lvl w:ilvl="8">
      <w:start w:val="0"/>
      <w:numFmt w:val="bullet"/>
      <w:lvlText w:val="•"/>
      <w:lvlJc w:val="left"/>
      <w:pPr>
        <w:ind w:left="3853" w:hanging="154"/>
      </w:pPr>
      <w:rPr>
        <w:rFonts w:hint="default"/>
        <w:lang w:val="ru-RU" w:eastAsia="en-US" w:bidi="ar-SA"/>
      </w:rPr>
    </w:lvl>
  </w:abstractNum>
  <w:abstractNum w:abstractNumId="111">
    <w:multiLevelType w:val="hybridMultilevel"/>
    <w:lvl w:ilvl="0">
      <w:start w:val="0"/>
      <w:numFmt w:val="bullet"/>
      <w:lvlText w:val="-"/>
      <w:lvlJc w:val="left"/>
      <w:pPr>
        <w:ind w:left="50" w:hanging="118"/>
      </w:pPr>
      <w:rPr>
        <w:rFonts w:hint="default" w:ascii="Times New Roman" w:hAnsi="Times New Roman" w:eastAsia="Times New Roman" w:cs="Times New Roman"/>
        <w:b w:val="0"/>
        <w:bCs w:val="0"/>
        <w:i w:val="0"/>
        <w:iCs w:val="0"/>
        <w:spacing w:val="0"/>
        <w:w w:val="99"/>
        <w:sz w:val="20"/>
        <w:szCs w:val="20"/>
        <w:lang w:val="ru-RU" w:eastAsia="en-US" w:bidi="ar-SA"/>
      </w:rPr>
    </w:lvl>
    <w:lvl w:ilvl="1">
      <w:start w:val="0"/>
      <w:numFmt w:val="bullet"/>
      <w:lvlText w:val="•"/>
      <w:lvlJc w:val="left"/>
      <w:pPr>
        <w:ind w:left="435" w:hanging="118"/>
      </w:pPr>
      <w:rPr>
        <w:rFonts w:hint="default"/>
        <w:lang w:val="ru-RU" w:eastAsia="en-US" w:bidi="ar-SA"/>
      </w:rPr>
    </w:lvl>
    <w:lvl w:ilvl="2">
      <w:start w:val="0"/>
      <w:numFmt w:val="bullet"/>
      <w:lvlText w:val="•"/>
      <w:lvlJc w:val="left"/>
      <w:pPr>
        <w:ind w:left="811" w:hanging="118"/>
      </w:pPr>
      <w:rPr>
        <w:rFonts w:hint="default"/>
        <w:lang w:val="ru-RU" w:eastAsia="en-US" w:bidi="ar-SA"/>
      </w:rPr>
    </w:lvl>
    <w:lvl w:ilvl="3">
      <w:start w:val="0"/>
      <w:numFmt w:val="bullet"/>
      <w:lvlText w:val="•"/>
      <w:lvlJc w:val="left"/>
      <w:pPr>
        <w:ind w:left="1187" w:hanging="118"/>
      </w:pPr>
      <w:rPr>
        <w:rFonts w:hint="default"/>
        <w:lang w:val="ru-RU" w:eastAsia="en-US" w:bidi="ar-SA"/>
      </w:rPr>
    </w:lvl>
    <w:lvl w:ilvl="4">
      <w:start w:val="0"/>
      <w:numFmt w:val="bullet"/>
      <w:lvlText w:val="•"/>
      <w:lvlJc w:val="left"/>
      <w:pPr>
        <w:ind w:left="1563" w:hanging="118"/>
      </w:pPr>
      <w:rPr>
        <w:rFonts w:hint="default"/>
        <w:lang w:val="ru-RU" w:eastAsia="en-US" w:bidi="ar-SA"/>
      </w:rPr>
    </w:lvl>
    <w:lvl w:ilvl="5">
      <w:start w:val="0"/>
      <w:numFmt w:val="bullet"/>
      <w:lvlText w:val="•"/>
      <w:lvlJc w:val="left"/>
      <w:pPr>
        <w:ind w:left="1939" w:hanging="118"/>
      </w:pPr>
      <w:rPr>
        <w:rFonts w:hint="default"/>
        <w:lang w:val="ru-RU" w:eastAsia="en-US" w:bidi="ar-SA"/>
      </w:rPr>
    </w:lvl>
    <w:lvl w:ilvl="6">
      <w:start w:val="0"/>
      <w:numFmt w:val="bullet"/>
      <w:lvlText w:val="•"/>
      <w:lvlJc w:val="left"/>
      <w:pPr>
        <w:ind w:left="2315" w:hanging="118"/>
      </w:pPr>
      <w:rPr>
        <w:rFonts w:hint="default"/>
        <w:lang w:val="ru-RU" w:eastAsia="en-US" w:bidi="ar-SA"/>
      </w:rPr>
    </w:lvl>
    <w:lvl w:ilvl="7">
      <w:start w:val="0"/>
      <w:numFmt w:val="bullet"/>
      <w:lvlText w:val="•"/>
      <w:lvlJc w:val="left"/>
      <w:pPr>
        <w:ind w:left="2691" w:hanging="118"/>
      </w:pPr>
      <w:rPr>
        <w:rFonts w:hint="default"/>
        <w:lang w:val="ru-RU" w:eastAsia="en-US" w:bidi="ar-SA"/>
      </w:rPr>
    </w:lvl>
    <w:lvl w:ilvl="8">
      <w:start w:val="0"/>
      <w:numFmt w:val="bullet"/>
      <w:lvlText w:val="•"/>
      <w:lvlJc w:val="left"/>
      <w:pPr>
        <w:ind w:left="3067" w:hanging="118"/>
      </w:pPr>
      <w:rPr>
        <w:rFonts w:hint="default"/>
        <w:lang w:val="ru-RU" w:eastAsia="en-US" w:bidi="ar-SA"/>
      </w:rPr>
    </w:lvl>
  </w:abstractNum>
  <w:abstractNum w:abstractNumId="110">
    <w:multiLevelType w:val="hybridMultilevel"/>
    <w:lvl w:ilvl="0">
      <w:start w:val="0"/>
      <w:numFmt w:val="bullet"/>
      <w:lvlText w:val=""/>
      <w:lvlJc w:val="left"/>
      <w:pPr>
        <w:ind w:left="187" w:hanging="14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635" w:hanging="144"/>
      </w:pPr>
      <w:rPr>
        <w:rFonts w:hint="default"/>
        <w:lang w:val="ru-RU" w:eastAsia="en-US" w:bidi="ar-SA"/>
      </w:rPr>
    </w:lvl>
    <w:lvl w:ilvl="2">
      <w:start w:val="0"/>
      <w:numFmt w:val="bullet"/>
      <w:lvlText w:val="•"/>
      <w:lvlJc w:val="left"/>
      <w:pPr>
        <w:ind w:left="1090" w:hanging="144"/>
      </w:pPr>
      <w:rPr>
        <w:rFonts w:hint="default"/>
        <w:lang w:val="ru-RU" w:eastAsia="en-US" w:bidi="ar-SA"/>
      </w:rPr>
    </w:lvl>
    <w:lvl w:ilvl="3">
      <w:start w:val="0"/>
      <w:numFmt w:val="bullet"/>
      <w:lvlText w:val="•"/>
      <w:lvlJc w:val="left"/>
      <w:pPr>
        <w:ind w:left="1545" w:hanging="144"/>
      </w:pPr>
      <w:rPr>
        <w:rFonts w:hint="default"/>
        <w:lang w:val="ru-RU" w:eastAsia="en-US" w:bidi="ar-SA"/>
      </w:rPr>
    </w:lvl>
    <w:lvl w:ilvl="4">
      <w:start w:val="0"/>
      <w:numFmt w:val="bullet"/>
      <w:lvlText w:val="•"/>
      <w:lvlJc w:val="left"/>
      <w:pPr>
        <w:ind w:left="2000" w:hanging="144"/>
      </w:pPr>
      <w:rPr>
        <w:rFonts w:hint="default"/>
        <w:lang w:val="ru-RU" w:eastAsia="en-US" w:bidi="ar-SA"/>
      </w:rPr>
    </w:lvl>
    <w:lvl w:ilvl="5">
      <w:start w:val="0"/>
      <w:numFmt w:val="bullet"/>
      <w:lvlText w:val="•"/>
      <w:lvlJc w:val="left"/>
      <w:pPr>
        <w:ind w:left="2456" w:hanging="144"/>
      </w:pPr>
      <w:rPr>
        <w:rFonts w:hint="default"/>
        <w:lang w:val="ru-RU" w:eastAsia="en-US" w:bidi="ar-SA"/>
      </w:rPr>
    </w:lvl>
    <w:lvl w:ilvl="6">
      <w:start w:val="0"/>
      <w:numFmt w:val="bullet"/>
      <w:lvlText w:val="•"/>
      <w:lvlJc w:val="left"/>
      <w:pPr>
        <w:ind w:left="2911" w:hanging="144"/>
      </w:pPr>
      <w:rPr>
        <w:rFonts w:hint="default"/>
        <w:lang w:val="ru-RU" w:eastAsia="en-US" w:bidi="ar-SA"/>
      </w:rPr>
    </w:lvl>
    <w:lvl w:ilvl="7">
      <w:start w:val="0"/>
      <w:numFmt w:val="bullet"/>
      <w:lvlText w:val="•"/>
      <w:lvlJc w:val="left"/>
      <w:pPr>
        <w:ind w:left="3366" w:hanging="144"/>
      </w:pPr>
      <w:rPr>
        <w:rFonts w:hint="default"/>
        <w:lang w:val="ru-RU" w:eastAsia="en-US" w:bidi="ar-SA"/>
      </w:rPr>
    </w:lvl>
    <w:lvl w:ilvl="8">
      <w:start w:val="0"/>
      <w:numFmt w:val="bullet"/>
      <w:lvlText w:val="•"/>
      <w:lvlJc w:val="left"/>
      <w:pPr>
        <w:ind w:left="3821" w:hanging="144"/>
      </w:pPr>
      <w:rPr>
        <w:rFonts w:hint="default"/>
        <w:lang w:val="ru-RU" w:eastAsia="en-US" w:bidi="ar-SA"/>
      </w:rPr>
    </w:lvl>
  </w:abstractNum>
  <w:abstractNum w:abstractNumId="109">
    <w:multiLevelType w:val="hybridMultilevel"/>
    <w:lvl w:ilvl="0">
      <w:start w:val="0"/>
      <w:numFmt w:val="bullet"/>
      <w:lvlText w:val="-"/>
      <w:lvlJc w:val="left"/>
      <w:pPr>
        <w:ind w:left="50" w:hanging="118"/>
      </w:pPr>
      <w:rPr>
        <w:rFonts w:hint="default" w:ascii="Times New Roman" w:hAnsi="Times New Roman" w:eastAsia="Times New Roman" w:cs="Times New Roman"/>
        <w:b w:val="0"/>
        <w:bCs w:val="0"/>
        <w:i w:val="0"/>
        <w:iCs w:val="0"/>
        <w:spacing w:val="0"/>
        <w:w w:val="99"/>
        <w:sz w:val="20"/>
        <w:szCs w:val="20"/>
        <w:lang w:val="ru-RU" w:eastAsia="en-US" w:bidi="ar-SA"/>
      </w:rPr>
    </w:lvl>
    <w:lvl w:ilvl="1">
      <w:start w:val="0"/>
      <w:numFmt w:val="bullet"/>
      <w:lvlText w:val="•"/>
      <w:lvlJc w:val="left"/>
      <w:pPr>
        <w:ind w:left="435" w:hanging="118"/>
      </w:pPr>
      <w:rPr>
        <w:rFonts w:hint="default"/>
        <w:lang w:val="ru-RU" w:eastAsia="en-US" w:bidi="ar-SA"/>
      </w:rPr>
    </w:lvl>
    <w:lvl w:ilvl="2">
      <w:start w:val="0"/>
      <w:numFmt w:val="bullet"/>
      <w:lvlText w:val="•"/>
      <w:lvlJc w:val="left"/>
      <w:pPr>
        <w:ind w:left="811" w:hanging="118"/>
      </w:pPr>
      <w:rPr>
        <w:rFonts w:hint="default"/>
        <w:lang w:val="ru-RU" w:eastAsia="en-US" w:bidi="ar-SA"/>
      </w:rPr>
    </w:lvl>
    <w:lvl w:ilvl="3">
      <w:start w:val="0"/>
      <w:numFmt w:val="bullet"/>
      <w:lvlText w:val="•"/>
      <w:lvlJc w:val="left"/>
      <w:pPr>
        <w:ind w:left="1187" w:hanging="118"/>
      </w:pPr>
      <w:rPr>
        <w:rFonts w:hint="default"/>
        <w:lang w:val="ru-RU" w:eastAsia="en-US" w:bidi="ar-SA"/>
      </w:rPr>
    </w:lvl>
    <w:lvl w:ilvl="4">
      <w:start w:val="0"/>
      <w:numFmt w:val="bullet"/>
      <w:lvlText w:val="•"/>
      <w:lvlJc w:val="left"/>
      <w:pPr>
        <w:ind w:left="1563" w:hanging="118"/>
      </w:pPr>
      <w:rPr>
        <w:rFonts w:hint="default"/>
        <w:lang w:val="ru-RU" w:eastAsia="en-US" w:bidi="ar-SA"/>
      </w:rPr>
    </w:lvl>
    <w:lvl w:ilvl="5">
      <w:start w:val="0"/>
      <w:numFmt w:val="bullet"/>
      <w:lvlText w:val="•"/>
      <w:lvlJc w:val="left"/>
      <w:pPr>
        <w:ind w:left="1939" w:hanging="118"/>
      </w:pPr>
      <w:rPr>
        <w:rFonts w:hint="default"/>
        <w:lang w:val="ru-RU" w:eastAsia="en-US" w:bidi="ar-SA"/>
      </w:rPr>
    </w:lvl>
    <w:lvl w:ilvl="6">
      <w:start w:val="0"/>
      <w:numFmt w:val="bullet"/>
      <w:lvlText w:val="•"/>
      <w:lvlJc w:val="left"/>
      <w:pPr>
        <w:ind w:left="2315" w:hanging="118"/>
      </w:pPr>
      <w:rPr>
        <w:rFonts w:hint="default"/>
        <w:lang w:val="ru-RU" w:eastAsia="en-US" w:bidi="ar-SA"/>
      </w:rPr>
    </w:lvl>
    <w:lvl w:ilvl="7">
      <w:start w:val="0"/>
      <w:numFmt w:val="bullet"/>
      <w:lvlText w:val="•"/>
      <w:lvlJc w:val="left"/>
      <w:pPr>
        <w:ind w:left="2691" w:hanging="118"/>
      </w:pPr>
      <w:rPr>
        <w:rFonts w:hint="default"/>
        <w:lang w:val="ru-RU" w:eastAsia="en-US" w:bidi="ar-SA"/>
      </w:rPr>
    </w:lvl>
    <w:lvl w:ilvl="8">
      <w:start w:val="0"/>
      <w:numFmt w:val="bullet"/>
      <w:lvlText w:val="•"/>
      <w:lvlJc w:val="left"/>
      <w:pPr>
        <w:ind w:left="3067" w:hanging="118"/>
      </w:pPr>
      <w:rPr>
        <w:rFonts w:hint="default"/>
        <w:lang w:val="ru-RU" w:eastAsia="en-US" w:bidi="ar-SA"/>
      </w:rPr>
    </w:lvl>
  </w:abstractNum>
  <w:abstractNum w:abstractNumId="108">
    <w:multiLevelType w:val="hybridMultilevel"/>
    <w:lvl w:ilvl="0">
      <w:start w:val="1"/>
      <w:numFmt w:val="decimal"/>
      <w:lvlText w:val="%1-"/>
      <w:lvlJc w:val="left"/>
      <w:pPr>
        <w:ind w:left="50" w:hanging="168"/>
        <w:jc w:val="left"/>
      </w:pPr>
      <w:rPr>
        <w:rFonts w:hint="default" w:ascii="Times New Roman" w:hAnsi="Times New Roman" w:eastAsia="Times New Roman" w:cs="Times New Roman"/>
        <w:b w:val="0"/>
        <w:bCs w:val="0"/>
        <w:i w:val="0"/>
        <w:iCs w:val="0"/>
        <w:spacing w:val="0"/>
        <w:w w:val="97"/>
        <w:sz w:val="18"/>
        <w:szCs w:val="18"/>
        <w:lang w:val="ru-RU" w:eastAsia="en-US" w:bidi="ar-SA"/>
      </w:rPr>
    </w:lvl>
    <w:lvl w:ilvl="1">
      <w:start w:val="0"/>
      <w:numFmt w:val="bullet"/>
      <w:lvlText w:val="•"/>
      <w:lvlJc w:val="left"/>
      <w:pPr>
        <w:ind w:left="435" w:hanging="168"/>
      </w:pPr>
      <w:rPr>
        <w:rFonts w:hint="default"/>
        <w:lang w:val="ru-RU" w:eastAsia="en-US" w:bidi="ar-SA"/>
      </w:rPr>
    </w:lvl>
    <w:lvl w:ilvl="2">
      <w:start w:val="0"/>
      <w:numFmt w:val="bullet"/>
      <w:lvlText w:val="•"/>
      <w:lvlJc w:val="left"/>
      <w:pPr>
        <w:ind w:left="811" w:hanging="168"/>
      </w:pPr>
      <w:rPr>
        <w:rFonts w:hint="default"/>
        <w:lang w:val="ru-RU" w:eastAsia="en-US" w:bidi="ar-SA"/>
      </w:rPr>
    </w:lvl>
    <w:lvl w:ilvl="3">
      <w:start w:val="0"/>
      <w:numFmt w:val="bullet"/>
      <w:lvlText w:val="•"/>
      <w:lvlJc w:val="left"/>
      <w:pPr>
        <w:ind w:left="1187" w:hanging="168"/>
      </w:pPr>
      <w:rPr>
        <w:rFonts w:hint="default"/>
        <w:lang w:val="ru-RU" w:eastAsia="en-US" w:bidi="ar-SA"/>
      </w:rPr>
    </w:lvl>
    <w:lvl w:ilvl="4">
      <w:start w:val="0"/>
      <w:numFmt w:val="bullet"/>
      <w:lvlText w:val="•"/>
      <w:lvlJc w:val="left"/>
      <w:pPr>
        <w:ind w:left="1563" w:hanging="168"/>
      </w:pPr>
      <w:rPr>
        <w:rFonts w:hint="default"/>
        <w:lang w:val="ru-RU" w:eastAsia="en-US" w:bidi="ar-SA"/>
      </w:rPr>
    </w:lvl>
    <w:lvl w:ilvl="5">
      <w:start w:val="0"/>
      <w:numFmt w:val="bullet"/>
      <w:lvlText w:val="•"/>
      <w:lvlJc w:val="left"/>
      <w:pPr>
        <w:ind w:left="1939" w:hanging="168"/>
      </w:pPr>
      <w:rPr>
        <w:rFonts w:hint="default"/>
        <w:lang w:val="ru-RU" w:eastAsia="en-US" w:bidi="ar-SA"/>
      </w:rPr>
    </w:lvl>
    <w:lvl w:ilvl="6">
      <w:start w:val="0"/>
      <w:numFmt w:val="bullet"/>
      <w:lvlText w:val="•"/>
      <w:lvlJc w:val="left"/>
      <w:pPr>
        <w:ind w:left="2315" w:hanging="168"/>
      </w:pPr>
      <w:rPr>
        <w:rFonts w:hint="default"/>
        <w:lang w:val="ru-RU" w:eastAsia="en-US" w:bidi="ar-SA"/>
      </w:rPr>
    </w:lvl>
    <w:lvl w:ilvl="7">
      <w:start w:val="0"/>
      <w:numFmt w:val="bullet"/>
      <w:lvlText w:val="•"/>
      <w:lvlJc w:val="left"/>
      <w:pPr>
        <w:ind w:left="2691" w:hanging="168"/>
      </w:pPr>
      <w:rPr>
        <w:rFonts w:hint="default"/>
        <w:lang w:val="ru-RU" w:eastAsia="en-US" w:bidi="ar-SA"/>
      </w:rPr>
    </w:lvl>
    <w:lvl w:ilvl="8">
      <w:start w:val="0"/>
      <w:numFmt w:val="bullet"/>
      <w:lvlText w:val="•"/>
      <w:lvlJc w:val="left"/>
      <w:pPr>
        <w:ind w:left="3067" w:hanging="168"/>
      </w:pPr>
      <w:rPr>
        <w:rFonts w:hint="default"/>
        <w:lang w:val="ru-RU" w:eastAsia="en-US" w:bidi="ar-SA"/>
      </w:rPr>
    </w:lvl>
  </w:abstractNum>
  <w:abstractNum w:abstractNumId="107">
    <w:multiLevelType w:val="hybridMultilevel"/>
    <w:lvl w:ilvl="0">
      <w:start w:val="4"/>
      <w:numFmt w:val="decimal"/>
      <w:lvlText w:val="%1-"/>
      <w:lvlJc w:val="left"/>
      <w:pPr>
        <w:ind w:left="50" w:hanging="168"/>
        <w:jc w:val="left"/>
      </w:pPr>
      <w:rPr>
        <w:rFonts w:hint="default" w:ascii="Times New Roman" w:hAnsi="Times New Roman" w:eastAsia="Times New Roman" w:cs="Times New Roman"/>
        <w:b w:val="0"/>
        <w:bCs w:val="0"/>
        <w:i w:val="0"/>
        <w:iCs w:val="0"/>
        <w:spacing w:val="0"/>
        <w:w w:val="97"/>
        <w:sz w:val="18"/>
        <w:szCs w:val="18"/>
        <w:lang w:val="ru-RU" w:eastAsia="en-US" w:bidi="ar-SA"/>
      </w:rPr>
    </w:lvl>
    <w:lvl w:ilvl="1">
      <w:start w:val="0"/>
      <w:numFmt w:val="bullet"/>
      <w:lvlText w:val="•"/>
      <w:lvlJc w:val="left"/>
      <w:pPr>
        <w:ind w:left="435" w:hanging="168"/>
      </w:pPr>
      <w:rPr>
        <w:rFonts w:hint="default"/>
        <w:lang w:val="ru-RU" w:eastAsia="en-US" w:bidi="ar-SA"/>
      </w:rPr>
    </w:lvl>
    <w:lvl w:ilvl="2">
      <w:start w:val="0"/>
      <w:numFmt w:val="bullet"/>
      <w:lvlText w:val="•"/>
      <w:lvlJc w:val="left"/>
      <w:pPr>
        <w:ind w:left="811" w:hanging="168"/>
      </w:pPr>
      <w:rPr>
        <w:rFonts w:hint="default"/>
        <w:lang w:val="ru-RU" w:eastAsia="en-US" w:bidi="ar-SA"/>
      </w:rPr>
    </w:lvl>
    <w:lvl w:ilvl="3">
      <w:start w:val="0"/>
      <w:numFmt w:val="bullet"/>
      <w:lvlText w:val="•"/>
      <w:lvlJc w:val="left"/>
      <w:pPr>
        <w:ind w:left="1187" w:hanging="168"/>
      </w:pPr>
      <w:rPr>
        <w:rFonts w:hint="default"/>
        <w:lang w:val="ru-RU" w:eastAsia="en-US" w:bidi="ar-SA"/>
      </w:rPr>
    </w:lvl>
    <w:lvl w:ilvl="4">
      <w:start w:val="0"/>
      <w:numFmt w:val="bullet"/>
      <w:lvlText w:val="•"/>
      <w:lvlJc w:val="left"/>
      <w:pPr>
        <w:ind w:left="1563" w:hanging="168"/>
      </w:pPr>
      <w:rPr>
        <w:rFonts w:hint="default"/>
        <w:lang w:val="ru-RU" w:eastAsia="en-US" w:bidi="ar-SA"/>
      </w:rPr>
    </w:lvl>
    <w:lvl w:ilvl="5">
      <w:start w:val="0"/>
      <w:numFmt w:val="bullet"/>
      <w:lvlText w:val="•"/>
      <w:lvlJc w:val="left"/>
      <w:pPr>
        <w:ind w:left="1939" w:hanging="168"/>
      </w:pPr>
      <w:rPr>
        <w:rFonts w:hint="default"/>
        <w:lang w:val="ru-RU" w:eastAsia="en-US" w:bidi="ar-SA"/>
      </w:rPr>
    </w:lvl>
    <w:lvl w:ilvl="6">
      <w:start w:val="0"/>
      <w:numFmt w:val="bullet"/>
      <w:lvlText w:val="•"/>
      <w:lvlJc w:val="left"/>
      <w:pPr>
        <w:ind w:left="2315" w:hanging="168"/>
      </w:pPr>
      <w:rPr>
        <w:rFonts w:hint="default"/>
        <w:lang w:val="ru-RU" w:eastAsia="en-US" w:bidi="ar-SA"/>
      </w:rPr>
    </w:lvl>
    <w:lvl w:ilvl="7">
      <w:start w:val="0"/>
      <w:numFmt w:val="bullet"/>
      <w:lvlText w:val="•"/>
      <w:lvlJc w:val="left"/>
      <w:pPr>
        <w:ind w:left="2691" w:hanging="168"/>
      </w:pPr>
      <w:rPr>
        <w:rFonts w:hint="default"/>
        <w:lang w:val="ru-RU" w:eastAsia="en-US" w:bidi="ar-SA"/>
      </w:rPr>
    </w:lvl>
    <w:lvl w:ilvl="8">
      <w:start w:val="0"/>
      <w:numFmt w:val="bullet"/>
      <w:lvlText w:val="•"/>
      <w:lvlJc w:val="left"/>
      <w:pPr>
        <w:ind w:left="3067" w:hanging="168"/>
      </w:pPr>
      <w:rPr>
        <w:rFonts w:hint="default"/>
        <w:lang w:val="ru-RU" w:eastAsia="en-US" w:bidi="ar-SA"/>
      </w:rPr>
    </w:lvl>
  </w:abstractNum>
  <w:abstractNum w:abstractNumId="106">
    <w:multiLevelType w:val="hybridMultilevel"/>
    <w:lvl w:ilvl="0">
      <w:start w:val="0"/>
      <w:numFmt w:val="bullet"/>
      <w:lvlText w:val=""/>
      <w:lvlJc w:val="left"/>
      <w:pPr>
        <w:ind w:left="334"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779" w:hanging="154"/>
      </w:pPr>
      <w:rPr>
        <w:rFonts w:hint="default"/>
        <w:lang w:val="ru-RU" w:eastAsia="en-US" w:bidi="ar-SA"/>
      </w:rPr>
    </w:lvl>
    <w:lvl w:ilvl="2">
      <w:start w:val="0"/>
      <w:numFmt w:val="bullet"/>
      <w:lvlText w:val="•"/>
      <w:lvlJc w:val="left"/>
      <w:pPr>
        <w:ind w:left="1218" w:hanging="154"/>
      </w:pPr>
      <w:rPr>
        <w:rFonts w:hint="default"/>
        <w:lang w:val="ru-RU" w:eastAsia="en-US" w:bidi="ar-SA"/>
      </w:rPr>
    </w:lvl>
    <w:lvl w:ilvl="3">
      <w:start w:val="0"/>
      <w:numFmt w:val="bullet"/>
      <w:lvlText w:val="•"/>
      <w:lvlJc w:val="left"/>
      <w:pPr>
        <w:ind w:left="1657" w:hanging="154"/>
      </w:pPr>
      <w:rPr>
        <w:rFonts w:hint="default"/>
        <w:lang w:val="ru-RU" w:eastAsia="en-US" w:bidi="ar-SA"/>
      </w:rPr>
    </w:lvl>
    <w:lvl w:ilvl="4">
      <w:start w:val="0"/>
      <w:numFmt w:val="bullet"/>
      <w:lvlText w:val="•"/>
      <w:lvlJc w:val="left"/>
      <w:pPr>
        <w:ind w:left="2096" w:hanging="154"/>
      </w:pPr>
      <w:rPr>
        <w:rFonts w:hint="default"/>
        <w:lang w:val="ru-RU" w:eastAsia="en-US" w:bidi="ar-SA"/>
      </w:rPr>
    </w:lvl>
    <w:lvl w:ilvl="5">
      <w:start w:val="0"/>
      <w:numFmt w:val="bullet"/>
      <w:lvlText w:val="•"/>
      <w:lvlJc w:val="left"/>
      <w:pPr>
        <w:ind w:left="2536" w:hanging="154"/>
      </w:pPr>
      <w:rPr>
        <w:rFonts w:hint="default"/>
        <w:lang w:val="ru-RU" w:eastAsia="en-US" w:bidi="ar-SA"/>
      </w:rPr>
    </w:lvl>
    <w:lvl w:ilvl="6">
      <w:start w:val="0"/>
      <w:numFmt w:val="bullet"/>
      <w:lvlText w:val="•"/>
      <w:lvlJc w:val="left"/>
      <w:pPr>
        <w:ind w:left="2975" w:hanging="154"/>
      </w:pPr>
      <w:rPr>
        <w:rFonts w:hint="default"/>
        <w:lang w:val="ru-RU" w:eastAsia="en-US" w:bidi="ar-SA"/>
      </w:rPr>
    </w:lvl>
    <w:lvl w:ilvl="7">
      <w:start w:val="0"/>
      <w:numFmt w:val="bullet"/>
      <w:lvlText w:val="•"/>
      <w:lvlJc w:val="left"/>
      <w:pPr>
        <w:ind w:left="3414" w:hanging="154"/>
      </w:pPr>
      <w:rPr>
        <w:rFonts w:hint="default"/>
        <w:lang w:val="ru-RU" w:eastAsia="en-US" w:bidi="ar-SA"/>
      </w:rPr>
    </w:lvl>
    <w:lvl w:ilvl="8">
      <w:start w:val="0"/>
      <w:numFmt w:val="bullet"/>
      <w:lvlText w:val="•"/>
      <w:lvlJc w:val="left"/>
      <w:pPr>
        <w:ind w:left="3853" w:hanging="154"/>
      </w:pPr>
      <w:rPr>
        <w:rFonts w:hint="default"/>
        <w:lang w:val="ru-RU" w:eastAsia="en-US" w:bidi="ar-SA"/>
      </w:rPr>
    </w:lvl>
  </w:abstractNum>
  <w:abstractNum w:abstractNumId="105">
    <w:multiLevelType w:val="hybridMultilevel"/>
    <w:lvl w:ilvl="0">
      <w:start w:val="0"/>
      <w:numFmt w:val="bullet"/>
      <w:lvlText w:val=""/>
      <w:lvlJc w:val="left"/>
      <w:pPr>
        <w:ind w:left="334"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779" w:hanging="154"/>
      </w:pPr>
      <w:rPr>
        <w:rFonts w:hint="default"/>
        <w:lang w:val="ru-RU" w:eastAsia="en-US" w:bidi="ar-SA"/>
      </w:rPr>
    </w:lvl>
    <w:lvl w:ilvl="2">
      <w:start w:val="0"/>
      <w:numFmt w:val="bullet"/>
      <w:lvlText w:val="•"/>
      <w:lvlJc w:val="left"/>
      <w:pPr>
        <w:ind w:left="1218" w:hanging="154"/>
      </w:pPr>
      <w:rPr>
        <w:rFonts w:hint="default"/>
        <w:lang w:val="ru-RU" w:eastAsia="en-US" w:bidi="ar-SA"/>
      </w:rPr>
    </w:lvl>
    <w:lvl w:ilvl="3">
      <w:start w:val="0"/>
      <w:numFmt w:val="bullet"/>
      <w:lvlText w:val="•"/>
      <w:lvlJc w:val="left"/>
      <w:pPr>
        <w:ind w:left="1657" w:hanging="154"/>
      </w:pPr>
      <w:rPr>
        <w:rFonts w:hint="default"/>
        <w:lang w:val="ru-RU" w:eastAsia="en-US" w:bidi="ar-SA"/>
      </w:rPr>
    </w:lvl>
    <w:lvl w:ilvl="4">
      <w:start w:val="0"/>
      <w:numFmt w:val="bullet"/>
      <w:lvlText w:val="•"/>
      <w:lvlJc w:val="left"/>
      <w:pPr>
        <w:ind w:left="2096" w:hanging="154"/>
      </w:pPr>
      <w:rPr>
        <w:rFonts w:hint="default"/>
        <w:lang w:val="ru-RU" w:eastAsia="en-US" w:bidi="ar-SA"/>
      </w:rPr>
    </w:lvl>
    <w:lvl w:ilvl="5">
      <w:start w:val="0"/>
      <w:numFmt w:val="bullet"/>
      <w:lvlText w:val="•"/>
      <w:lvlJc w:val="left"/>
      <w:pPr>
        <w:ind w:left="2536" w:hanging="154"/>
      </w:pPr>
      <w:rPr>
        <w:rFonts w:hint="default"/>
        <w:lang w:val="ru-RU" w:eastAsia="en-US" w:bidi="ar-SA"/>
      </w:rPr>
    </w:lvl>
    <w:lvl w:ilvl="6">
      <w:start w:val="0"/>
      <w:numFmt w:val="bullet"/>
      <w:lvlText w:val="•"/>
      <w:lvlJc w:val="left"/>
      <w:pPr>
        <w:ind w:left="2975" w:hanging="154"/>
      </w:pPr>
      <w:rPr>
        <w:rFonts w:hint="default"/>
        <w:lang w:val="ru-RU" w:eastAsia="en-US" w:bidi="ar-SA"/>
      </w:rPr>
    </w:lvl>
    <w:lvl w:ilvl="7">
      <w:start w:val="0"/>
      <w:numFmt w:val="bullet"/>
      <w:lvlText w:val="•"/>
      <w:lvlJc w:val="left"/>
      <w:pPr>
        <w:ind w:left="3414" w:hanging="154"/>
      </w:pPr>
      <w:rPr>
        <w:rFonts w:hint="default"/>
        <w:lang w:val="ru-RU" w:eastAsia="en-US" w:bidi="ar-SA"/>
      </w:rPr>
    </w:lvl>
    <w:lvl w:ilvl="8">
      <w:start w:val="0"/>
      <w:numFmt w:val="bullet"/>
      <w:lvlText w:val="•"/>
      <w:lvlJc w:val="left"/>
      <w:pPr>
        <w:ind w:left="3853" w:hanging="154"/>
      </w:pPr>
      <w:rPr>
        <w:rFonts w:hint="default"/>
        <w:lang w:val="ru-RU" w:eastAsia="en-US" w:bidi="ar-SA"/>
      </w:rPr>
    </w:lvl>
  </w:abstractNum>
  <w:abstractNum w:abstractNumId="104">
    <w:multiLevelType w:val="hybridMultilevel"/>
    <w:lvl w:ilvl="0">
      <w:start w:val="0"/>
      <w:numFmt w:val="bullet"/>
      <w:lvlText w:val="•"/>
      <w:lvlJc w:val="left"/>
      <w:pPr>
        <w:ind w:left="43" w:hanging="120"/>
      </w:pPr>
      <w:rPr>
        <w:rFonts w:hint="default" w:ascii="Times New Roman" w:hAnsi="Times New Roman" w:eastAsia="Times New Roman" w:cs="Times New Roman"/>
        <w:b w:val="0"/>
        <w:bCs w:val="0"/>
        <w:i w:val="0"/>
        <w:iCs w:val="0"/>
        <w:spacing w:val="0"/>
        <w:w w:val="99"/>
        <w:sz w:val="20"/>
        <w:szCs w:val="20"/>
        <w:lang w:val="ru-RU" w:eastAsia="en-US" w:bidi="ar-SA"/>
      </w:rPr>
    </w:lvl>
    <w:lvl w:ilvl="1">
      <w:start w:val="0"/>
      <w:numFmt w:val="bullet"/>
      <w:lvlText w:val="•"/>
      <w:lvlJc w:val="left"/>
      <w:pPr>
        <w:ind w:left="509" w:hanging="120"/>
      </w:pPr>
      <w:rPr>
        <w:rFonts w:hint="default"/>
        <w:lang w:val="ru-RU" w:eastAsia="en-US" w:bidi="ar-SA"/>
      </w:rPr>
    </w:lvl>
    <w:lvl w:ilvl="2">
      <w:start w:val="0"/>
      <w:numFmt w:val="bullet"/>
      <w:lvlText w:val="•"/>
      <w:lvlJc w:val="left"/>
      <w:pPr>
        <w:ind w:left="978" w:hanging="120"/>
      </w:pPr>
      <w:rPr>
        <w:rFonts w:hint="default"/>
        <w:lang w:val="ru-RU" w:eastAsia="en-US" w:bidi="ar-SA"/>
      </w:rPr>
    </w:lvl>
    <w:lvl w:ilvl="3">
      <w:start w:val="0"/>
      <w:numFmt w:val="bullet"/>
      <w:lvlText w:val="•"/>
      <w:lvlJc w:val="left"/>
      <w:pPr>
        <w:ind w:left="1447" w:hanging="120"/>
      </w:pPr>
      <w:rPr>
        <w:rFonts w:hint="default"/>
        <w:lang w:val="ru-RU" w:eastAsia="en-US" w:bidi="ar-SA"/>
      </w:rPr>
    </w:lvl>
    <w:lvl w:ilvl="4">
      <w:start w:val="0"/>
      <w:numFmt w:val="bullet"/>
      <w:lvlText w:val="•"/>
      <w:lvlJc w:val="left"/>
      <w:pPr>
        <w:ind w:left="1916" w:hanging="120"/>
      </w:pPr>
      <w:rPr>
        <w:rFonts w:hint="default"/>
        <w:lang w:val="ru-RU" w:eastAsia="en-US" w:bidi="ar-SA"/>
      </w:rPr>
    </w:lvl>
    <w:lvl w:ilvl="5">
      <w:start w:val="0"/>
      <w:numFmt w:val="bullet"/>
      <w:lvlText w:val="•"/>
      <w:lvlJc w:val="left"/>
      <w:pPr>
        <w:ind w:left="2386" w:hanging="120"/>
      </w:pPr>
      <w:rPr>
        <w:rFonts w:hint="default"/>
        <w:lang w:val="ru-RU" w:eastAsia="en-US" w:bidi="ar-SA"/>
      </w:rPr>
    </w:lvl>
    <w:lvl w:ilvl="6">
      <w:start w:val="0"/>
      <w:numFmt w:val="bullet"/>
      <w:lvlText w:val="•"/>
      <w:lvlJc w:val="left"/>
      <w:pPr>
        <w:ind w:left="2855" w:hanging="120"/>
      </w:pPr>
      <w:rPr>
        <w:rFonts w:hint="default"/>
        <w:lang w:val="ru-RU" w:eastAsia="en-US" w:bidi="ar-SA"/>
      </w:rPr>
    </w:lvl>
    <w:lvl w:ilvl="7">
      <w:start w:val="0"/>
      <w:numFmt w:val="bullet"/>
      <w:lvlText w:val="•"/>
      <w:lvlJc w:val="left"/>
      <w:pPr>
        <w:ind w:left="3324" w:hanging="120"/>
      </w:pPr>
      <w:rPr>
        <w:rFonts w:hint="default"/>
        <w:lang w:val="ru-RU" w:eastAsia="en-US" w:bidi="ar-SA"/>
      </w:rPr>
    </w:lvl>
    <w:lvl w:ilvl="8">
      <w:start w:val="0"/>
      <w:numFmt w:val="bullet"/>
      <w:lvlText w:val="•"/>
      <w:lvlJc w:val="left"/>
      <w:pPr>
        <w:ind w:left="3793" w:hanging="120"/>
      </w:pPr>
      <w:rPr>
        <w:rFonts w:hint="default"/>
        <w:lang w:val="ru-RU" w:eastAsia="en-US" w:bidi="ar-SA"/>
      </w:rPr>
    </w:lvl>
  </w:abstractNum>
  <w:abstractNum w:abstractNumId="103">
    <w:multiLevelType w:val="hybridMultilevel"/>
    <w:lvl w:ilvl="0">
      <w:start w:val="0"/>
      <w:numFmt w:val="bullet"/>
      <w:lvlText w:val=""/>
      <w:lvlJc w:val="left"/>
      <w:pPr>
        <w:ind w:left="334"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779" w:hanging="154"/>
      </w:pPr>
      <w:rPr>
        <w:rFonts w:hint="default"/>
        <w:lang w:val="ru-RU" w:eastAsia="en-US" w:bidi="ar-SA"/>
      </w:rPr>
    </w:lvl>
    <w:lvl w:ilvl="2">
      <w:start w:val="0"/>
      <w:numFmt w:val="bullet"/>
      <w:lvlText w:val="•"/>
      <w:lvlJc w:val="left"/>
      <w:pPr>
        <w:ind w:left="1218" w:hanging="154"/>
      </w:pPr>
      <w:rPr>
        <w:rFonts w:hint="default"/>
        <w:lang w:val="ru-RU" w:eastAsia="en-US" w:bidi="ar-SA"/>
      </w:rPr>
    </w:lvl>
    <w:lvl w:ilvl="3">
      <w:start w:val="0"/>
      <w:numFmt w:val="bullet"/>
      <w:lvlText w:val="•"/>
      <w:lvlJc w:val="left"/>
      <w:pPr>
        <w:ind w:left="1657" w:hanging="154"/>
      </w:pPr>
      <w:rPr>
        <w:rFonts w:hint="default"/>
        <w:lang w:val="ru-RU" w:eastAsia="en-US" w:bidi="ar-SA"/>
      </w:rPr>
    </w:lvl>
    <w:lvl w:ilvl="4">
      <w:start w:val="0"/>
      <w:numFmt w:val="bullet"/>
      <w:lvlText w:val="•"/>
      <w:lvlJc w:val="left"/>
      <w:pPr>
        <w:ind w:left="2096" w:hanging="154"/>
      </w:pPr>
      <w:rPr>
        <w:rFonts w:hint="default"/>
        <w:lang w:val="ru-RU" w:eastAsia="en-US" w:bidi="ar-SA"/>
      </w:rPr>
    </w:lvl>
    <w:lvl w:ilvl="5">
      <w:start w:val="0"/>
      <w:numFmt w:val="bullet"/>
      <w:lvlText w:val="•"/>
      <w:lvlJc w:val="left"/>
      <w:pPr>
        <w:ind w:left="2536" w:hanging="154"/>
      </w:pPr>
      <w:rPr>
        <w:rFonts w:hint="default"/>
        <w:lang w:val="ru-RU" w:eastAsia="en-US" w:bidi="ar-SA"/>
      </w:rPr>
    </w:lvl>
    <w:lvl w:ilvl="6">
      <w:start w:val="0"/>
      <w:numFmt w:val="bullet"/>
      <w:lvlText w:val="•"/>
      <w:lvlJc w:val="left"/>
      <w:pPr>
        <w:ind w:left="2975" w:hanging="154"/>
      </w:pPr>
      <w:rPr>
        <w:rFonts w:hint="default"/>
        <w:lang w:val="ru-RU" w:eastAsia="en-US" w:bidi="ar-SA"/>
      </w:rPr>
    </w:lvl>
    <w:lvl w:ilvl="7">
      <w:start w:val="0"/>
      <w:numFmt w:val="bullet"/>
      <w:lvlText w:val="•"/>
      <w:lvlJc w:val="left"/>
      <w:pPr>
        <w:ind w:left="3414" w:hanging="154"/>
      </w:pPr>
      <w:rPr>
        <w:rFonts w:hint="default"/>
        <w:lang w:val="ru-RU" w:eastAsia="en-US" w:bidi="ar-SA"/>
      </w:rPr>
    </w:lvl>
    <w:lvl w:ilvl="8">
      <w:start w:val="0"/>
      <w:numFmt w:val="bullet"/>
      <w:lvlText w:val="•"/>
      <w:lvlJc w:val="left"/>
      <w:pPr>
        <w:ind w:left="3853" w:hanging="154"/>
      </w:pPr>
      <w:rPr>
        <w:rFonts w:hint="default"/>
        <w:lang w:val="ru-RU" w:eastAsia="en-US" w:bidi="ar-SA"/>
      </w:rPr>
    </w:lvl>
  </w:abstractNum>
  <w:abstractNum w:abstractNumId="102">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101">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100">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99">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98">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97">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96">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95">
    <w:multiLevelType w:val="hybridMultilevel"/>
    <w:lvl w:ilvl="0">
      <w:start w:val="0"/>
      <w:numFmt w:val="bullet"/>
      <w:lvlText w:val=""/>
      <w:lvlJc w:val="left"/>
      <w:pPr>
        <w:ind w:left="924" w:hanging="360"/>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1436" w:hanging="360"/>
      </w:pPr>
      <w:rPr>
        <w:rFonts w:hint="default"/>
        <w:lang w:val="ru-RU" w:eastAsia="en-US" w:bidi="ar-SA"/>
      </w:rPr>
    </w:lvl>
    <w:lvl w:ilvl="2">
      <w:start w:val="0"/>
      <w:numFmt w:val="bullet"/>
      <w:lvlText w:val="•"/>
      <w:lvlJc w:val="left"/>
      <w:pPr>
        <w:ind w:left="1953" w:hanging="360"/>
      </w:pPr>
      <w:rPr>
        <w:rFonts w:hint="default"/>
        <w:lang w:val="ru-RU" w:eastAsia="en-US" w:bidi="ar-SA"/>
      </w:rPr>
    </w:lvl>
    <w:lvl w:ilvl="3">
      <w:start w:val="0"/>
      <w:numFmt w:val="bullet"/>
      <w:lvlText w:val="•"/>
      <w:lvlJc w:val="left"/>
      <w:pPr>
        <w:ind w:left="2470" w:hanging="360"/>
      </w:pPr>
      <w:rPr>
        <w:rFonts w:hint="default"/>
        <w:lang w:val="ru-RU" w:eastAsia="en-US" w:bidi="ar-SA"/>
      </w:rPr>
    </w:lvl>
    <w:lvl w:ilvl="4">
      <w:start w:val="0"/>
      <w:numFmt w:val="bullet"/>
      <w:lvlText w:val="•"/>
      <w:lvlJc w:val="left"/>
      <w:pPr>
        <w:ind w:left="2987" w:hanging="360"/>
      </w:pPr>
      <w:rPr>
        <w:rFonts w:hint="default"/>
        <w:lang w:val="ru-RU" w:eastAsia="en-US" w:bidi="ar-SA"/>
      </w:rPr>
    </w:lvl>
    <w:lvl w:ilvl="5">
      <w:start w:val="0"/>
      <w:numFmt w:val="bullet"/>
      <w:lvlText w:val="•"/>
      <w:lvlJc w:val="left"/>
      <w:pPr>
        <w:ind w:left="3504" w:hanging="360"/>
      </w:pPr>
      <w:rPr>
        <w:rFonts w:hint="default"/>
        <w:lang w:val="ru-RU" w:eastAsia="en-US" w:bidi="ar-SA"/>
      </w:rPr>
    </w:lvl>
    <w:lvl w:ilvl="6">
      <w:start w:val="0"/>
      <w:numFmt w:val="bullet"/>
      <w:lvlText w:val="•"/>
      <w:lvlJc w:val="left"/>
      <w:pPr>
        <w:ind w:left="4020" w:hanging="360"/>
      </w:pPr>
      <w:rPr>
        <w:rFonts w:hint="default"/>
        <w:lang w:val="ru-RU" w:eastAsia="en-US" w:bidi="ar-SA"/>
      </w:rPr>
    </w:lvl>
    <w:lvl w:ilvl="7">
      <w:start w:val="0"/>
      <w:numFmt w:val="bullet"/>
      <w:lvlText w:val="•"/>
      <w:lvlJc w:val="left"/>
      <w:pPr>
        <w:ind w:left="4537" w:hanging="360"/>
      </w:pPr>
      <w:rPr>
        <w:rFonts w:hint="default"/>
        <w:lang w:val="ru-RU" w:eastAsia="en-US" w:bidi="ar-SA"/>
      </w:rPr>
    </w:lvl>
    <w:lvl w:ilvl="8">
      <w:start w:val="0"/>
      <w:numFmt w:val="bullet"/>
      <w:lvlText w:val="•"/>
      <w:lvlJc w:val="left"/>
      <w:pPr>
        <w:ind w:left="5054" w:hanging="360"/>
      </w:pPr>
      <w:rPr>
        <w:rFonts w:hint="default"/>
        <w:lang w:val="ru-RU" w:eastAsia="en-US" w:bidi="ar-SA"/>
      </w:rPr>
    </w:lvl>
  </w:abstractNum>
  <w:abstractNum w:abstractNumId="94">
    <w:multiLevelType w:val="hybridMultilevel"/>
    <w:lvl w:ilvl="0">
      <w:start w:val="0"/>
      <w:numFmt w:val="bullet"/>
      <w:lvlText w:val=""/>
      <w:lvlJc w:val="left"/>
      <w:pPr>
        <w:ind w:left="845" w:hanging="360"/>
      </w:pPr>
      <w:rPr>
        <w:rFonts w:hint="default" w:ascii="Wingdings" w:hAnsi="Wingdings" w:eastAsia="Wingdings" w:cs="Wingdings"/>
        <w:b w:val="0"/>
        <w:bCs w:val="0"/>
        <w:i w:val="0"/>
        <w:iCs w:val="0"/>
        <w:spacing w:val="0"/>
        <w:w w:val="99"/>
        <w:sz w:val="20"/>
        <w:szCs w:val="20"/>
        <w:lang w:val="ru-RU" w:eastAsia="en-US" w:bidi="ar-SA"/>
      </w:rPr>
    </w:lvl>
    <w:lvl w:ilvl="1">
      <w:start w:val="0"/>
      <w:numFmt w:val="bullet"/>
      <w:lvlText w:val="•"/>
      <w:lvlJc w:val="left"/>
      <w:pPr>
        <w:ind w:left="1364" w:hanging="360"/>
      </w:pPr>
      <w:rPr>
        <w:rFonts w:hint="default"/>
        <w:lang w:val="ru-RU" w:eastAsia="en-US" w:bidi="ar-SA"/>
      </w:rPr>
    </w:lvl>
    <w:lvl w:ilvl="2">
      <w:start w:val="0"/>
      <w:numFmt w:val="bullet"/>
      <w:lvlText w:val="•"/>
      <w:lvlJc w:val="left"/>
      <w:pPr>
        <w:ind w:left="1889" w:hanging="360"/>
      </w:pPr>
      <w:rPr>
        <w:rFonts w:hint="default"/>
        <w:lang w:val="ru-RU" w:eastAsia="en-US" w:bidi="ar-SA"/>
      </w:rPr>
    </w:lvl>
    <w:lvl w:ilvl="3">
      <w:start w:val="0"/>
      <w:numFmt w:val="bullet"/>
      <w:lvlText w:val="•"/>
      <w:lvlJc w:val="left"/>
      <w:pPr>
        <w:ind w:left="2414" w:hanging="360"/>
      </w:pPr>
      <w:rPr>
        <w:rFonts w:hint="default"/>
        <w:lang w:val="ru-RU" w:eastAsia="en-US" w:bidi="ar-SA"/>
      </w:rPr>
    </w:lvl>
    <w:lvl w:ilvl="4">
      <w:start w:val="0"/>
      <w:numFmt w:val="bullet"/>
      <w:lvlText w:val="•"/>
      <w:lvlJc w:val="left"/>
      <w:pPr>
        <w:ind w:left="2939" w:hanging="360"/>
      </w:pPr>
      <w:rPr>
        <w:rFonts w:hint="default"/>
        <w:lang w:val="ru-RU" w:eastAsia="en-US" w:bidi="ar-SA"/>
      </w:rPr>
    </w:lvl>
    <w:lvl w:ilvl="5">
      <w:start w:val="0"/>
      <w:numFmt w:val="bullet"/>
      <w:lvlText w:val="•"/>
      <w:lvlJc w:val="left"/>
      <w:pPr>
        <w:ind w:left="3464" w:hanging="360"/>
      </w:pPr>
      <w:rPr>
        <w:rFonts w:hint="default"/>
        <w:lang w:val="ru-RU" w:eastAsia="en-US" w:bidi="ar-SA"/>
      </w:rPr>
    </w:lvl>
    <w:lvl w:ilvl="6">
      <w:start w:val="0"/>
      <w:numFmt w:val="bullet"/>
      <w:lvlText w:val="•"/>
      <w:lvlJc w:val="left"/>
      <w:pPr>
        <w:ind w:left="3988" w:hanging="360"/>
      </w:pPr>
      <w:rPr>
        <w:rFonts w:hint="default"/>
        <w:lang w:val="ru-RU" w:eastAsia="en-US" w:bidi="ar-SA"/>
      </w:rPr>
    </w:lvl>
    <w:lvl w:ilvl="7">
      <w:start w:val="0"/>
      <w:numFmt w:val="bullet"/>
      <w:lvlText w:val="•"/>
      <w:lvlJc w:val="left"/>
      <w:pPr>
        <w:ind w:left="4513" w:hanging="360"/>
      </w:pPr>
      <w:rPr>
        <w:rFonts w:hint="default"/>
        <w:lang w:val="ru-RU" w:eastAsia="en-US" w:bidi="ar-SA"/>
      </w:rPr>
    </w:lvl>
    <w:lvl w:ilvl="8">
      <w:start w:val="0"/>
      <w:numFmt w:val="bullet"/>
      <w:lvlText w:val="•"/>
      <w:lvlJc w:val="left"/>
      <w:pPr>
        <w:ind w:left="5038" w:hanging="360"/>
      </w:pPr>
      <w:rPr>
        <w:rFonts w:hint="default"/>
        <w:lang w:val="ru-RU" w:eastAsia="en-US" w:bidi="ar-SA"/>
      </w:rPr>
    </w:lvl>
  </w:abstractNum>
  <w:abstractNum w:abstractNumId="93">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45" w:hanging="360"/>
      </w:pPr>
      <w:rPr>
        <w:rFonts w:hint="default" w:ascii="Wingdings" w:hAnsi="Wingdings" w:eastAsia="Wingdings" w:cs="Wingdings"/>
        <w:b w:val="0"/>
        <w:bCs w:val="0"/>
        <w:i w:val="0"/>
        <w:iCs w:val="0"/>
        <w:spacing w:val="0"/>
        <w:w w:val="99"/>
        <w:sz w:val="20"/>
        <w:szCs w:val="20"/>
        <w:lang w:val="ru-RU" w:eastAsia="en-US" w:bidi="ar-SA"/>
      </w:rPr>
    </w:lvl>
    <w:lvl w:ilvl="2">
      <w:start w:val="0"/>
      <w:numFmt w:val="bullet"/>
      <w:lvlText w:val="•"/>
      <w:lvlJc w:val="left"/>
      <w:pPr>
        <w:ind w:left="1423" w:hanging="360"/>
      </w:pPr>
      <w:rPr>
        <w:rFonts w:hint="default"/>
        <w:lang w:val="ru-RU" w:eastAsia="en-US" w:bidi="ar-SA"/>
      </w:rPr>
    </w:lvl>
    <w:lvl w:ilvl="3">
      <w:start w:val="0"/>
      <w:numFmt w:val="bullet"/>
      <w:lvlText w:val="•"/>
      <w:lvlJc w:val="left"/>
      <w:pPr>
        <w:ind w:left="2006" w:hanging="360"/>
      </w:pPr>
      <w:rPr>
        <w:rFonts w:hint="default"/>
        <w:lang w:val="ru-RU" w:eastAsia="en-US" w:bidi="ar-SA"/>
      </w:rPr>
    </w:lvl>
    <w:lvl w:ilvl="4">
      <w:start w:val="0"/>
      <w:numFmt w:val="bullet"/>
      <w:lvlText w:val="•"/>
      <w:lvlJc w:val="left"/>
      <w:pPr>
        <w:ind w:left="2589" w:hanging="360"/>
      </w:pPr>
      <w:rPr>
        <w:rFonts w:hint="default"/>
        <w:lang w:val="ru-RU" w:eastAsia="en-US" w:bidi="ar-SA"/>
      </w:rPr>
    </w:lvl>
    <w:lvl w:ilvl="5">
      <w:start w:val="0"/>
      <w:numFmt w:val="bullet"/>
      <w:lvlText w:val="•"/>
      <w:lvlJc w:val="left"/>
      <w:pPr>
        <w:ind w:left="3172" w:hanging="360"/>
      </w:pPr>
      <w:rPr>
        <w:rFonts w:hint="default"/>
        <w:lang w:val="ru-RU" w:eastAsia="en-US" w:bidi="ar-SA"/>
      </w:rPr>
    </w:lvl>
    <w:lvl w:ilvl="6">
      <w:start w:val="0"/>
      <w:numFmt w:val="bullet"/>
      <w:lvlText w:val="•"/>
      <w:lvlJc w:val="left"/>
      <w:pPr>
        <w:ind w:left="3755" w:hanging="360"/>
      </w:pPr>
      <w:rPr>
        <w:rFonts w:hint="default"/>
        <w:lang w:val="ru-RU" w:eastAsia="en-US" w:bidi="ar-SA"/>
      </w:rPr>
    </w:lvl>
    <w:lvl w:ilvl="7">
      <w:start w:val="0"/>
      <w:numFmt w:val="bullet"/>
      <w:lvlText w:val="•"/>
      <w:lvlJc w:val="left"/>
      <w:pPr>
        <w:ind w:left="4338" w:hanging="360"/>
      </w:pPr>
      <w:rPr>
        <w:rFonts w:hint="default"/>
        <w:lang w:val="ru-RU" w:eastAsia="en-US" w:bidi="ar-SA"/>
      </w:rPr>
    </w:lvl>
    <w:lvl w:ilvl="8">
      <w:start w:val="0"/>
      <w:numFmt w:val="bullet"/>
      <w:lvlText w:val="•"/>
      <w:lvlJc w:val="left"/>
      <w:pPr>
        <w:ind w:left="4921" w:hanging="360"/>
      </w:pPr>
      <w:rPr>
        <w:rFonts w:hint="default"/>
        <w:lang w:val="ru-RU" w:eastAsia="en-US" w:bidi="ar-SA"/>
      </w:rPr>
    </w:lvl>
  </w:abstractNum>
  <w:abstractNum w:abstractNumId="92">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91">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90">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89">
    <w:multiLevelType w:val="hybridMultilevel"/>
    <w:lvl w:ilvl="0">
      <w:start w:val="0"/>
      <w:numFmt w:val="bullet"/>
      <w:lvlText w:val=""/>
      <w:lvlJc w:val="left"/>
      <w:pPr>
        <w:ind w:left="276" w:hanging="154"/>
      </w:pPr>
      <w:rPr>
        <w:rFonts w:hint="default" w:ascii="Symbol" w:hAnsi="Symbol" w:eastAsia="Symbol" w:cs="Symbol"/>
        <w:b w:val="0"/>
        <w:bCs w:val="0"/>
        <w:i w:val="0"/>
        <w:iCs w:val="0"/>
        <w:spacing w:val="0"/>
        <w:w w:val="99"/>
        <w:sz w:val="20"/>
        <w:szCs w:val="20"/>
        <w:lang w:val="ru-RU" w:eastAsia="en-US" w:bidi="ar-SA"/>
      </w:rPr>
    </w:lvl>
    <w:lvl w:ilvl="1">
      <w:start w:val="0"/>
      <w:numFmt w:val="bullet"/>
      <w:lvlText w:val="•"/>
      <w:lvlJc w:val="left"/>
      <w:pPr>
        <w:ind w:left="860" w:hanging="154"/>
      </w:pPr>
      <w:rPr>
        <w:rFonts w:hint="default"/>
        <w:lang w:val="ru-RU" w:eastAsia="en-US" w:bidi="ar-SA"/>
      </w:rPr>
    </w:lvl>
    <w:lvl w:ilvl="2">
      <w:start w:val="0"/>
      <w:numFmt w:val="bullet"/>
      <w:lvlText w:val="•"/>
      <w:lvlJc w:val="left"/>
      <w:pPr>
        <w:ind w:left="1441" w:hanging="154"/>
      </w:pPr>
      <w:rPr>
        <w:rFonts w:hint="default"/>
        <w:lang w:val="ru-RU" w:eastAsia="en-US" w:bidi="ar-SA"/>
      </w:rPr>
    </w:lvl>
    <w:lvl w:ilvl="3">
      <w:start w:val="0"/>
      <w:numFmt w:val="bullet"/>
      <w:lvlText w:val="•"/>
      <w:lvlJc w:val="left"/>
      <w:pPr>
        <w:ind w:left="2022" w:hanging="154"/>
      </w:pPr>
      <w:rPr>
        <w:rFonts w:hint="default"/>
        <w:lang w:val="ru-RU" w:eastAsia="en-US" w:bidi="ar-SA"/>
      </w:rPr>
    </w:lvl>
    <w:lvl w:ilvl="4">
      <w:start w:val="0"/>
      <w:numFmt w:val="bullet"/>
      <w:lvlText w:val="•"/>
      <w:lvlJc w:val="left"/>
      <w:pPr>
        <w:ind w:left="2603" w:hanging="154"/>
      </w:pPr>
      <w:rPr>
        <w:rFonts w:hint="default"/>
        <w:lang w:val="ru-RU" w:eastAsia="en-US" w:bidi="ar-SA"/>
      </w:rPr>
    </w:lvl>
    <w:lvl w:ilvl="5">
      <w:start w:val="0"/>
      <w:numFmt w:val="bullet"/>
      <w:lvlText w:val="•"/>
      <w:lvlJc w:val="left"/>
      <w:pPr>
        <w:ind w:left="3184" w:hanging="154"/>
      </w:pPr>
      <w:rPr>
        <w:rFonts w:hint="default"/>
        <w:lang w:val="ru-RU" w:eastAsia="en-US" w:bidi="ar-SA"/>
      </w:rPr>
    </w:lvl>
    <w:lvl w:ilvl="6">
      <w:start w:val="0"/>
      <w:numFmt w:val="bullet"/>
      <w:lvlText w:val="•"/>
      <w:lvlJc w:val="left"/>
      <w:pPr>
        <w:ind w:left="3764" w:hanging="154"/>
      </w:pPr>
      <w:rPr>
        <w:rFonts w:hint="default"/>
        <w:lang w:val="ru-RU" w:eastAsia="en-US" w:bidi="ar-SA"/>
      </w:rPr>
    </w:lvl>
    <w:lvl w:ilvl="7">
      <w:start w:val="0"/>
      <w:numFmt w:val="bullet"/>
      <w:lvlText w:val="•"/>
      <w:lvlJc w:val="left"/>
      <w:pPr>
        <w:ind w:left="4345" w:hanging="154"/>
      </w:pPr>
      <w:rPr>
        <w:rFonts w:hint="default"/>
        <w:lang w:val="ru-RU" w:eastAsia="en-US" w:bidi="ar-SA"/>
      </w:rPr>
    </w:lvl>
    <w:lvl w:ilvl="8">
      <w:start w:val="0"/>
      <w:numFmt w:val="bullet"/>
      <w:lvlText w:val="•"/>
      <w:lvlJc w:val="left"/>
      <w:pPr>
        <w:ind w:left="4926" w:hanging="154"/>
      </w:pPr>
      <w:rPr>
        <w:rFonts w:hint="default"/>
        <w:lang w:val="ru-RU" w:eastAsia="en-US" w:bidi="ar-SA"/>
      </w:rPr>
    </w:lvl>
  </w:abstractNum>
  <w:abstractNum w:abstractNumId="88">
    <w:multiLevelType w:val="hybridMultilevel"/>
    <w:lvl w:ilvl="0">
      <w:start w:val="1"/>
      <w:numFmt w:val="decimal"/>
      <w:lvlText w:val="%1."/>
      <w:lvlJc w:val="left"/>
      <w:pPr>
        <w:ind w:left="381" w:hanging="240"/>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1319" w:hanging="240"/>
      </w:pPr>
      <w:rPr>
        <w:rFonts w:hint="default"/>
        <w:lang w:val="ru-RU" w:eastAsia="en-US" w:bidi="ar-SA"/>
      </w:rPr>
    </w:lvl>
    <w:lvl w:ilvl="2">
      <w:start w:val="0"/>
      <w:numFmt w:val="bullet"/>
      <w:lvlText w:val="•"/>
      <w:lvlJc w:val="left"/>
      <w:pPr>
        <w:ind w:left="2259" w:hanging="240"/>
      </w:pPr>
      <w:rPr>
        <w:rFonts w:hint="default"/>
        <w:lang w:val="ru-RU" w:eastAsia="en-US" w:bidi="ar-SA"/>
      </w:rPr>
    </w:lvl>
    <w:lvl w:ilvl="3">
      <w:start w:val="0"/>
      <w:numFmt w:val="bullet"/>
      <w:lvlText w:val="•"/>
      <w:lvlJc w:val="left"/>
      <w:pPr>
        <w:ind w:left="3198" w:hanging="240"/>
      </w:pPr>
      <w:rPr>
        <w:rFonts w:hint="default"/>
        <w:lang w:val="ru-RU" w:eastAsia="en-US" w:bidi="ar-SA"/>
      </w:rPr>
    </w:lvl>
    <w:lvl w:ilvl="4">
      <w:start w:val="0"/>
      <w:numFmt w:val="bullet"/>
      <w:lvlText w:val="•"/>
      <w:lvlJc w:val="left"/>
      <w:pPr>
        <w:ind w:left="4138" w:hanging="240"/>
      </w:pPr>
      <w:rPr>
        <w:rFonts w:hint="default"/>
        <w:lang w:val="ru-RU" w:eastAsia="en-US" w:bidi="ar-SA"/>
      </w:rPr>
    </w:lvl>
    <w:lvl w:ilvl="5">
      <w:start w:val="0"/>
      <w:numFmt w:val="bullet"/>
      <w:lvlText w:val="•"/>
      <w:lvlJc w:val="left"/>
      <w:pPr>
        <w:ind w:left="5077" w:hanging="240"/>
      </w:pPr>
      <w:rPr>
        <w:rFonts w:hint="default"/>
        <w:lang w:val="ru-RU" w:eastAsia="en-US" w:bidi="ar-SA"/>
      </w:rPr>
    </w:lvl>
    <w:lvl w:ilvl="6">
      <w:start w:val="0"/>
      <w:numFmt w:val="bullet"/>
      <w:lvlText w:val="•"/>
      <w:lvlJc w:val="left"/>
      <w:pPr>
        <w:ind w:left="6017" w:hanging="240"/>
      </w:pPr>
      <w:rPr>
        <w:rFonts w:hint="default"/>
        <w:lang w:val="ru-RU" w:eastAsia="en-US" w:bidi="ar-SA"/>
      </w:rPr>
    </w:lvl>
    <w:lvl w:ilvl="7">
      <w:start w:val="0"/>
      <w:numFmt w:val="bullet"/>
      <w:lvlText w:val="•"/>
      <w:lvlJc w:val="left"/>
      <w:pPr>
        <w:ind w:left="6956" w:hanging="240"/>
      </w:pPr>
      <w:rPr>
        <w:rFonts w:hint="default"/>
        <w:lang w:val="ru-RU" w:eastAsia="en-US" w:bidi="ar-SA"/>
      </w:rPr>
    </w:lvl>
    <w:lvl w:ilvl="8">
      <w:start w:val="0"/>
      <w:numFmt w:val="bullet"/>
      <w:lvlText w:val="•"/>
      <w:lvlJc w:val="left"/>
      <w:pPr>
        <w:ind w:left="7896" w:hanging="240"/>
      </w:pPr>
      <w:rPr>
        <w:rFonts w:hint="default"/>
        <w:lang w:val="ru-RU" w:eastAsia="en-US" w:bidi="ar-SA"/>
      </w:rPr>
    </w:lvl>
  </w:abstractNum>
  <w:abstractNum w:abstractNumId="87">
    <w:multiLevelType w:val="hybridMultilevel"/>
    <w:lvl w:ilvl="0">
      <w:start w:val="1"/>
      <w:numFmt w:val="decimal"/>
      <w:lvlText w:val="%1."/>
      <w:lvlJc w:val="left"/>
      <w:pPr>
        <w:ind w:left="381" w:hanging="240"/>
        <w:jc w:val="left"/>
      </w:pPr>
      <w:rPr>
        <w:rFonts w:hint="default" w:ascii="Times New Roman" w:hAnsi="Times New Roman" w:eastAsia="Times New Roman" w:cs="Times New Roman"/>
        <w:b w:val="0"/>
        <w:bCs w:val="0"/>
        <w:i w:val="0"/>
        <w:iCs w:val="0"/>
        <w:spacing w:val="0"/>
        <w:w w:val="87"/>
        <w:sz w:val="24"/>
        <w:szCs w:val="24"/>
        <w:lang w:val="ru-RU" w:eastAsia="en-US" w:bidi="ar-SA"/>
      </w:rPr>
    </w:lvl>
    <w:lvl w:ilvl="1">
      <w:start w:val="0"/>
      <w:numFmt w:val="bullet"/>
      <w:lvlText w:val="•"/>
      <w:lvlJc w:val="left"/>
      <w:pPr>
        <w:ind w:left="1319" w:hanging="240"/>
      </w:pPr>
      <w:rPr>
        <w:rFonts w:hint="default"/>
        <w:lang w:val="ru-RU" w:eastAsia="en-US" w:bidi="ar-SA"/>
      </w:rPr>
    </w:lvl>
    <w:lvl w:ilvl="2">
      <w:start w:val="0"/>
      <w:numFmt w:val="bullet"/>
      <w:lvlText w:val="•"/>
      <w:lvlJc w:val="left"/>
      <w:pPr>
        <w:ind w:left="2259" w:hanging="240"/>
      </w:pPr>
      <w:rPr>
        <w:rFonts w:hint="default"/>
        <w:lang w:val="ru-RU" w:eastAsia="en-US" w:bidi="ar-SA"/>
      </w:rPr>
    </w:lvl>
    <w:lvl w:ilvl="3">
      <w:start w:val="0"/>
      <w:numFmt w:val="bullet"/>
      <w:lvlText w:val="•"/>
      <w:lvlJc w:val="left"/>
      <w:pPr>
        <w:ind w:left="3198" w:hanging="240"/>
      </w:pPr>
      <w:rPr>
        <w:rFonts w:hint="default"/>
        <w:lang w:val="ru-RU" w:eastAsia="en-US" w:bidi="ar-SA"/>
      </w:rPr>
    </w:lvl>
    <w:lvl w:ilvl="4">
      <w:start w:val="0"/>
      <w:numFmt w:val="bullet"/>
      <w:lvlText w:val="•"/>
      <w:lvlJc w:val="left"/>
      <w:pPr>
        <w:ind w:left="4138" w:hanging="240"/>
      </w:pPr>
      <w:rPr>
        <w:rFonts w:hint="default"/>
        <w:lang w:val="ru-RU" w:eastAsia="en-US" w:bidi="ar-SA"/>
      </w:rPr>
    </w:lvl>
    <w:lvl w:ilvl="5">
      <w:start w:val="0"/>
      <w:numFmt w:val="bullet"/>
      <w:lvlText w:val="•"/>
      <w:lvlJc w:val="left"/>
      <w:pPr>
        <w:ind w:left="5077" w:hanging="240"/>
      </w:pPr>
      <w:rPr>
        <w:rFonts w:hint="default"/>
        <w:lang w:val="ru-RU" w:eastAsia="en-US" w:bidi="ar-SA"/>
      </w:rPr>
    </w:lvl>
    <w:lvl w:ilvl="6">
      <w:start w:val="0"/>
      <w:numFmt w:val="bullet"/>
      <w:lvlText w:val="•"/>
      <w:lvlJc w:val="left"/>
      <w:pPr>
        <w:ind w:left="6017" w:hanging="240"/>
      </w:pPr>
      <w:rPr>
        <w:rFonts w:hint="default"/>
        <w:lang w:val="ru-RU" w:eastAsia="en-US" w:bidi="ar-SA"/>
      </w:rPr>
    </w:lvl>
    <w:lvl w:ilvl="7">
      <w:start w:val="0"/>
      <w:numFmt w:val="bullet"/>
      <w:lvlText w:val="•"/>
      <w:lvlJc w:val="left"/>
      <w:pPr>
        <w:ind w:left="6956" w:hanging="240"/>
      </w:pPr>
      <w:rPr>
        <w:rFonts w:hint="default"/>
        <w:lang w:val="ru-RU" w:eastAsia="en-US" w:bidi="ar-SA"/>
      </w:rPr>
    </w:lvl>
    <w:lvl w:ilvl="8">
      <w:start w:val="0"/>
      <w:numFmt w:val="bullet"/>
      <w:lvlText w:val="•"/>
      <w:lvlJc w:val="left"/>
      <w:pPr>
        <w:ind w:left="7896" w:hanging="240"/>
      </w:pPr>
      <w:rPr>
        <w:rFonts w:hint="default"/>
        <w:lang w:val="ru-RU" w:eastAsia="en-US" w:bidi="ar-SA"/>
      </w:rPr>
    </w:lvl>
  </w:abstractNum>
  <w:abstractNum w:abstractNumId="86">
    <w:multiLevelType w:val="hybridMultilevel"/>
    <w:lvl w:ilvl="0">
      <w:start w:val="1"/>
      <w:numFmt w:val="decimal"/>
      <w:lvlText w:val="%1."/>
      <w:lvlJc w:val="left"/>
      <w:pPr>
        <w:ind w:left="141" w:hanging="365"/>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1103" w:hanging="365"/>
      </w:pPr>
      <w:rPr>
        <w:rFonts w:hint="default"/>
        <w:lang w:val="ru-RU" w:eastAsia="en-US" w:bidi="ar-SA"/>
      </w:rPr>
    </w:lvl>
    <w:lvl w:ilvl="2">
      <w:start w:val="0"/>
      <w:numFmt w:val="bullet"/>
      <w:lvlText w:val="•"/>
      <w:lvlJc w:val="left"/>
      <w:pPr>
        <w:ind w:left="2067" w:hanging="365"/>
      </w:pPr>
      <w:rPr>
        <w:rFonts w:hint="default"/>
        <w:lang w:val="ru-RU" w:eastAsia="en-US" w:bidi="ar-SA"/>
      </w:rPr>
    </w:lvl>
    <w:lvl w:ilvl="3">
      <w:start w:val="0"/>
      <w:numFmt w:val="bullet"/>
      <w:lvlText w:val="•"/>
      <w:lvlJc w:val="left"/>
      <w:pPr>
        <w:ind w:left="3030" w:hanging="365"/>
      </w:pPr>
      <w:rPr>
        <w:rFonts w:hint="default"/>
        <w:lang w:val="ru-RU" w:eastAsia="en-US" w:bidi="ar-SA"/>
      </w:rPr>
    </w:lvl>
    <w:lvl w:ilvl="4">
      <w:start w:val="0"/>
      <w:numFmt w:val="bullet"/>
      <w:lvlText w:val="•"/>
      <w:lvlJc w:val="left"/>
      <w:pPr>
        <w:ind w:left="3994" w:hanging="365"/>
      </w:pPr>
      <w:rPr>
        <w:rFonts w:hint="default"/>
        <w:lang w:val="ru-RU" w:eastAsia="en-US" w:bidi="ar-SA"/>
      </w:rPr>
    </w:lvl>
    <w:lvl w:ilvl="5">
      <w:start w:val="0"/>
      <w:numFmt w:val="bullet"/>
      <w:lvlText w:val="•"/>
      <w:lvlJc w:val="left"/>
      <w:pPr>
        <w:ind w:left="4957" w:hanging="365"/>
      </w:pPr>
      <w:rPr>
        <w:rFonts w:hint="default"/>
        <w:lang w:val="ru-RU" w:eastAsia="en-US" w:bidi="ar-SA"/>
      </w:rPr>
    </w:lvl>
    <w:lvl w:ilvl="6">
      <w:start w:val="0"/>
      <w:numFmt w:val="bullet"/>
      <w:lvlText w:val="•"/>
      <w:lvlJc w:val="left"/>
      <w:pPr>
        <w:ind w:left="5921" w:hanging="365"/>
      </w:pPr>
      <w:rPr>
        <w:rFonts w:hint="default"/>
        <w:lang w:val="ru-RU" w:eastAsia="en-US" w:bidi="ar-SA"/>
      </w:rPr>
    </w:lvl>
    <w:lvl w:ilvl="7">
      <w:start w:val="0"/>
      <w:numFmt w:val="bullet"/>
      <w:lvlText w:val="•"/>
      <w:lvlJc w:val="left"/>
      <w:pPr>
        <w:ind w:left="6884" w:hanging="365"/>
      </w:pPr>
      <w:rPr>
        <w:rFonts w:hint="default"/>
        <w:lang w:val="ru-RU" w:eastAsia="en-US" w:bidi="ar-SA"/>
      </w:rPr>
    </w:lvl>
    <w:lvl w:ilvl="8">
      <w:start w:val="0"/>
      <w:numFmt w:val="bullet"/>
      <w:lvlText w:val="•"/>
      <w:lvlJc w:val="left"/>
      <w:pPr>
        <w:ind w:left="7848" w:hanging="365"/>
      </w:pPr>
      <w:rPr>
        <w:rFonts w:hint="default"/>
        <w:lang w:val="ru-RU" w:eastAsia="en-US" w:bidi="ar-SA"/>
      </w:rPr>
    </w:lvl>
  </w:abstractNum>
  <w:abstractNum w:abstractNumId="85">
    <w:multiLevelType w:val="hybridMultilevel"/>
    <w:lvl w:ilvl="0">
      <w:start w:val="1"/>
      <w:numFmt w:val="decimal"/>
      <w:lvlText w:val="%1."/>
      <w:lvlJc w:val="left"/>
      <w:pPr>
        <w:ind w:left="141" w:hanging="317"/>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1103" w:hanging="317"/>
      </w:pPr>
      <w:rPr>
        <w:rFonts w:hint="default"/>
        <w:lang w:val="ru-RU" w:eastAsia="en-US" w:bidi="ar-SA"/>
      </w:rPr>
    </w:lvl>
    <w:lvl w:ilvl="2">
      <w:start w:val="0"/>
      <w:numFmt w:val="bullet"/>
      <w:lvlText w:val="•"/>
      <w:lvlJc w:val="left"/>
      <w:pPr>
        <w:ind w:left="2067" w:hanging="317"/>
      </w:pPr>
      <w:rPr>
        <w:rFonts w:hint="default"/>
        <w:lang w:val="ru-RU" w:eastAsia="en-US" w:bidi="ar-SA"/>
      </w:rPr>
    </w:lvl>
    <w:lvl w:ilvl="3">
      <w:start w:val="0"/>
      <w:numFmt w:val="bullet"/>
      <w:lvlText w:val="•"/>
      <w:lvlJc w:val="left"/>
      <w:pPr>
        <w:ind w:left="3030" w:hanging="317"/>
      </w:pPr>
      <w:rPr>
        <w:rFonts w:hint="default"/>
        <w:lang w:val="ru-RU" w:eastAsia="en-US" w:bidi="ar-SA"/>
      </w:rPr>
    </w:lvl>
    <w:lvl w:ilvl="4">
      <w:start w:val="0"/>
      <w:numFmt w:val="bullet"/>
      <w:lvlText w:val="•"/>
      <w:lvlJc w:val="left"/>
      <w:pPr>
        <w:ind w:left="3994" w:hanging="317"/>
      </w:pPr>
      <w:rPr>
        <w:rFonts w:hint="default"/>
        <w:lang w:val="ru-RU" w:eastAsia="en-US" w:bidi="ar-SA"/>
      </w:rPr>
    </w:lvl>
    <w:lvl w:ilvl="5">
      <w:start w:val="0"/>
      <w:numFmt w:val="bullet"/>
      <w:lvlText w:val="•"/>
      <w:lvlJc w:val="left"/>
      <w:pPr>
        <w:ind w:left="4957" w:hanging="317"/>
      </w:pPr>
      <w:rPr>
        <w:rFonts w:hint="default"/>
        <w:lang w:val="ru-RU" w:eastAsia="en-US" w:bidi="ar-SA"/>
      </w:rPr>
    </w:lvl>
    <w:lvl w:ilvl="6">
      <w:start w:val="0"/>
      <w:numFmt w:val="bullet"/>
      <w:lvlText w:val="•"/>
      <w:lvlJc w:val="left"/>
      <w:pPr>
        <w:ind w:left="5921" w:hanging="317"/>
      </w:pPr>
      <w:rPr>
        <w:rFonts w:hint="default"/>
        <w:lang w:val="ru-RU" w:eastAsia="en-US" w:bidi="ar-SA"/>
      </w:rPr>
    </w:lvl>
    <w:lvl w:ilvl="7">
      <w:start w:val="0"/>
      <w:numFmt w:val="bullet"/>
      <w:lvlText w:val="•"/>
      <w:lvlJc w:val="left"/>
      <w:pPr>
        <w:ind w:left="6884" w:hanging="317"/>
      </w:pPr>
      <w:rPr>
        <w:rFonts w:hint="default"/>
        <w:lang w:val="ru-RU" w:eastAsia="en-US" w:bidi="ar-SA"/>
      </w:rPr>
    </w:lvl>
    <w:lvl w:ilvl="8">
      <w:start w:val="0"/>
      <w:numFmt w:val="bullet"/>
      <w:lvlText w:val="•"/>
      <w:lvlJc w:val="left"/>
      <w:pPr>
        <w:ind w:left="7848" w:hanging="317"/>
      </w:pPr>
      <w:rPr>
        <w:rFonts w:hint="default"/>
        <w:lang w:val="ru-RU" w:eastAsia="en-US" w:bidi="ar-SA"/>
      </w:rPr>
    </w:lvl>
  </w:abstractNum>
  <w:abstractNum w:abstractNumId="84">
    <w:multiLevelType w:val="hybridMultilevel"/>
    <w:lvl w:ilvl="0">
      <w:start w:val="1"/>
      <w:numFmt w:val="decimal"/>
      <w:lvlText w:val="%1."/>
      <w:lvlJc w:val="left"/>
      <w:pPr>
        <w:ind w:left="141" w:hanging="417"/>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1103" w:hanging="417"/>
      </w:pPr>
      <w:rPr>
        <w:rFonts w:hint="default"/>
        <w:lang w:val="ru-RU" w:eastAsia="en-US" w:bidi="ar-SA"/>
      </w:rPr>
    </w:lvl>
    <w:lvl w:ilvl="2">
      <w:start w:val="0"/>
      <w:numFmt w:val="bullet"/>
      <w:lvlText w:val="•"/>
      <w:lvlJc w:val="left"/>
      <w:pPr>
        <w:ind w:left="2067" w:hanging="417"/>
      </w:pPr>
      <w:rPr>
        <w:rFonts w:hint="default"/>
        <w:lang w:val="ru-RU" w:eastAsia="en-US" w:bidi="ar-SA"/>
      </w:rPr>
    </w:lvl>
    <w:lvl w:ilvl="3">
      <w:start w:val="0"/>
      <w:numFmt w:val="bullet"/>
      <w:lvlText w:val="•"/>
      <w:lvlJc w:val="left"/>
      <w:pPr>
        <w:ind w:left="3030" w:hanging="417"/>
      </w:pPr>
      <w:rPr>
        <w:rFonts w:hint="default"/>
        <w:lang w:val="ru-RU" w:eastAsia="en-US" w:bidi="ar-SA"/>
      </w:rPr>
    </w:lvl>
    <w:lvl w:ilvl="4">
      <w:start w:val="0"/>
      <w:numFmt w:val="bullet"/>
      <w:lvlText w:val="•"/>
      <w:lvlJc w:val="left"/>
      <w:pPr>
        <w:ind w:left="3994" w:hanging="417"/>
      </w:pPr>
      <w:rPr>
        <w:rFonts w:hint="default"/>
        <w:lang w:val="ru-RU" w:eastAsia="en-US" w:bidi="ar-SA"/>
      </w:rPr>
    </w:lvl>
    <w:lvl w:ilvl="5">
      <w:start w:val="0"/>
      <w:numFmt w:val="bullet"/>
      <w:lvlText w:val="•"/>
      <w:lvlJc w:val="left"/>
      <w:pPr>
        <w:ind w:left="4957" w:hanging="417"/>
      </w:pPr>
      <w:rPr>
        <w:rFonts w:hint="default"/>
        <w:lang w:val="ru-RU" w:eastAsia="en-US" w:bidi="ar-SA"/>
      </w:rPr>
    </w:lvl>
    <w:lvl w:ilvl="6">
      <w:start w:val="0"/>
      <w:numFmt w:val="bullet"/>
      <w:lvlText w:val="•"/>
      <w:lvlJc w:val="left"/>
      <w:pPr>
        <w:ind w:left="5921" w:hanging="417"/>
      </w:pPr>
      <w:rPr>
        <w:rFonts w:hint="default"/>
        <w:lang w:val="ru-RU" w:eastAsia="en-US" w:bidi="ar-SA"/>
      </w:rPr>
    </w:lvl>
    <w:lvl w:ilvl="7">
      <w:start w:val="0"/>
      <w:numFmt w:val="bullet"/>
      <w:lvlText w:val="•"/>
      <w:lvlJc w:val="left"/>
      <w:pPr>
        <w:ind w:left="6884" w:hanging="417"/>
      </w:pPr>
      <w:rPr>
        <w:rFonts w:hint="default"/>
        <w:lang w:val="ru-RU" w:eastAsia="en-US" w:bidi="ar-SA"/>
      </w:rPr>
    </w:lvl>
    <w:lvl w:ilvl="8">
      <w:start w:val="0"/>
      <w:numFmt w:val="bullet"/>
      <w:lvlText w:val="•"/>
      <w:lvlJc w:val="left"/>
      <w:pPr>
        <w:ind w:left="7848" w:hanging="417"/>
      </w:pPr>
      <w:rPr>
        <w:rFonts w:hint="default"/>
        <w:lang w:val="ru-RU" w:eastAsia="en-US" w:bidi="ar-SA"/>
      </w:rPr>
    </w:lvl>
  </w:abstractNum>
  <w:abstractNum w:abstractNumId="83">
    <w:multiLevelType w:val="hybridMultilevel"/>
    <w:lvl w:ilvl="0">
      <w:start w:val="1"/>
      <w:numFmt w:val="decimal"/>
      <w:lvlText w:val="%1."/>
      <w:lvlJc w:val="left"/>
      <w:pPr>
        <w:ind w:left="141" w:hanging="417"/>
        <w:jc w:val="left"/>
      </w:pPr>
      <w:rPr>
        <w:rFonts w:hint="default"/>
        <w:spacing w:val="0"/>
        <w:w w:val="99"/>
        <w:lang w:val="ru-RU" w:eastAsia="en-US" w:bidi="ar-SA"/>
      </w:rPr>
    </w:lvl>
    <w:lvl w:ilvl="1">
      <w:start w:val="0"/>
      <w:numFmt w:val="bullet"/>
      <w:lvlText w:val="•"/>
      <w:lvlJc w:val="left"/>
      <w:pPr>
        <w:ind w:left="1103" w:hanging="417"/>
      </w:pPr>
      <w:rPr>
        <w:rFonts w:hint="default"/>
        <w:lang w:val="ru-RU" w:eastAsia="en-US" w:bidi="ar-SA"/>
      </w:rPr>
    </w:lvl>
    <w:lvl w:ilvl="2">
      <w:start w:val="0"/>
      <w:numFmt w:val="bullet"/>
      <w:lvlText w:val="•"/>
      <w:lvlJc w:val="left"/>
      <w:pPr>
        <w:ind w:left="2067" w:hanging="417"/>
      </w:pPr>
      <w:rPr>
        <w:rFonts w:hint="default"/>
        <w:lang w:val="ru-RU" w:eastAsia="en-US" w:bidi="ar-SA"/>
      </w:rPr>
    </w:lvl>
    <w:lvl w:ilvl="3">
      <w:start w:val="0"/>
      <w:numFmt w:val="bullet"/>
      <w:lvlText w:val="•"/>
      <w:lvlJc w:val="left"/>
      <w:pPr>
        <w:ind w:left="3030" w:hanging="417"/>
      </w:pPr>
      <w:rPr>
        <w:rFonts w:hint="default"/>
        <w:lang w:val="ru-RU" w:eastAsia="en-US" w:bidi="ar-SA"/>
      </w:rPr>
    </w:lvl>
    <w:lvl w:ilvl="4">
      <w:start w:val="0"/>
      <w:numFmt w:val="bullet"/>
      <w:lvlText w:val="•"/>
      <w:lvlJc w:val="left"/>
      <w:pPr>
        <w:ind w:left="3994" w:hanging="417"/>
      </w:pPr>
      <w:rPr>
        <w:rFonts w:hint="default"/>
        <w:lang w:val="ru-RU" w:eastAsia="en-US" w:bidi="ar-SA"/>
      </w:rPr>
    </w:lvl>
    <w:lvl w:ilvl="5">
      <w:start w:val="0"/>
      <w:numFmt w:val="bullet"/>
      <w:lvlText w:val="•"/>
      <w:lvlJc w:val="left"/>
      <w:pPr>
        <w:ind w:left="4957" w:hanging="417"/>
      </w:pPr>
      <w:rPr>
        <w:rFonts w:hint="default"/>
        <w:lang w:val="ru-RU" w:eastAsia="en-US" w:bidi="ar-SA"/>
      </w:rPr>
    </w:lvl>
    <w:lvl w:ilvl="6">
      <w:start w:val="0"/>
      <w:numFmt w:val="bullet"/>
      <w:lvlText w:val="•"/>
      <w:lvlJc w:val="left"/>
      <w:pPr>
        <w:ind w:left="5921" w:hanging="417"/>
      </w:pPr>
      <w:rPr>
        <w:rFonts w:hint="default"/>
        <w:lang w:val="ru-RU" w:eastAsia="en-US" w:bidi="ar-SA"/>
      </w:rPr>
    </w:lvl>
    <w:lvl w:ilvl="7">
      <w:start w:val="0"/>
      <w:numFmt w:val="bullet"/>
      <w:lvlText w:val="•"/>
      <w:lvlJc w:val="left"/>
      <w:pPr>
        <w:ind w:left="6884" w:hanging="417"/>
      </w:pPr>
      <w:rPr>
        <w:rFonts w:hint="default"/>
        <w:lang w:val="ru-RU" w:eastAsia="en-US" w:bidi="ar-SA"/>
      </w:rPr>
    </w:lvl>
    <w:lvl w:ilvl="8">
      <w:start w:val="0"/>
      <w:numFmt w:val="bullet"/>
      <w:lvlText w:val="•"/>
      <w:lvlJc w:val="left"/>
      <w:pPr>
        <w:ind w:left="7848" w:hanging="417"/>
      </w:pPr>
      <w:rPr>
        <w:rFonts w:hint="default"/>
        <w:lang w:val="ru-RU" w:eastAsia="en-US" w:bidi="ar-SA"/>
      </w:rPr>
    </w:lvl>
  </w:abstractNum>
  <w:abstractNum w:abstractNumId="82">
    <w:multiLevelType w:val="hybridMultilevel"/>
    <w:lvl w:ilvl="0">
      <w:start w:val="0"/>
      <w:numFmt w:val="bullet"/>
      <w:lvlText w:val="-"/>
      <w:lvlJc w:val="left"/>
      <w:pPr>
        <w:ind w:left="987" w:hanging="140"/>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1859" w:hanging="140"/>
      </w:pPr>
      <w:rPr>
        <w:rFonts w:hint="default"/>
        <w:lang w:val="ru-RU" w:eastAsia="en-US" w:bidi="ar-SA"/>
      </w:rPr>
    </w:lvl>
    <w:lvl w:ilvl="2">
      <w:start w:val="0"/>
      <w:numFmt w:val="bullet"/>
      <w:lvlText w:val="•"/>
      <w:lvlJc w:val="left"/>
      <w:pPr>
        <w:ind w:left="2739" w:hanging="140"/>
      </w:pPr>
      <w:rPr>
        <w:rFonts w:hint="default"/>
        <w:lang w:val="ru-RU" w:eastAsia="en-US" w:bidi="ar-SA"/>
      </w:rPr>
    </w:lvl>
    <w:lvl w:ilvl="3">
      <w:start w:val="0"/>
      <w:numFmt w:val="bullet"/>
      <w:lvlText w:val="•"/>
      <w:lvlJc w:val="left"/>
      <w:pPr>
        <w:ind w:left="3618" w:hanging="140"/>
      </w:pPr>
      <w:rPr>
        <w:rFonts w:hint="default"/>
        <w:lang w:val="ru-RU" w:eastAsia="en-US" w:bidi="ar-SA"/>
      </w:rPr>
    </w:lvl>
    <w:lvl w:ilvl="4">
      <w:start w:val="0"/>
      <w:numFmt w:val="bullet"/>
      <w:lvlText w:val="•"/>
      <w:lvlJc w:val="left"/>
      <w:pPr>
        <w:ind w:left="4498" w:hanging="140"/>
      </w:pPr>
      <w:rPr>
        <w:rFonts w:hint="default"/>
        <w:lang w:val="ru-RU" w:eastAsia="en-US" w:bidi="ar-SA"/>
      </w:rPr>
    </w:lvl>
    <w:lvl w:ilvl="5">
      <w:start w:val="0"/>
      <w:numFmt w:val="bullet"/>
      <w:lvlText w:val="•"/>
      <w:lvlJc w:val="left"/>
      <w:pPr>
        <w:ind w:left="5377" w:hanging="140"/>
      </w:pPr>
      <w:rPr>
        <w:rFonts w:hint="default"/>
        <w:lang w:val="ru-RU" w:eastAsia="en-US" w:bidi="ar-SA"/>
      </w:rPr>
    </w:lvl>
    <w:lvl w:ilvl="6">
      <w:start w:val="0"/>
      <w:numFmt w:val="bullet"/>
      <w:lvlText w:val="•"/>
      <w:lvlJc w:val="left"/>
      <w:pPr>
        <w:ind w:left="6257" w:hanging="140"/>
      </w:pPr>
      <w:rPr>
        <w:rFonts w:hint="default"/>
        <w:lang w:val="ru-RU" w:eastAsia="en-US" w:bidi="ar-SA"/>
      </w:rPr>
    </w:lvl>
    <w:lvl w:ilvl="7">
      <w:start w:val="0"/>
      <w:numFmt w:val="bullet"/>
      <w:lvlText w:val="•"/>
      <w:lvlJc w:val="left"/>
      <w:pPr>
        <w:ind w:left="7136" w:hanging="140"/>
      </w:pPr>
      <w:rPr>
        <w:rFonts w:hint="default"/>
        <w:lang w:val="ru-RU" w:eastAsia="en-US" w:bidi="ar-SA"/>
      </w:rPr>
    </w:lvl>
    <w:lvl w:ilvl="8">
      <w:start w:val="0"/>
      <w:numFmt w:val="bullet"/>
      <w:lvlText w:val="•"/>
      <w:lvlJc w:val="left"/>
      <w:pPr>
        <w:ind w:left="8016" w:hanging="140"/>
      </w:pPr>
      <w:rPr>
        <w:rFonts w:hint="default"/>
        <w:lang w:val="ru-RU" w:eastAsia="en-US" w:bidi="ar-SA"/>
      </w:rPr>
    </w:lvl>
  </w:abstractNum>
  <w:abstractNum w:abstractNumId="81">
    <w:multiLevelType w:val="hybridMultilevel"/>
    <w:lvl w:ilvl="0">
      <w:start w:val="0"/>
      <w:numFmt w:val="bullet"/>
      <w:lvlText w:val="-"/>
      <w:lvlJc w:val="left"/>
      <w:pPr>
        <w:ind w:left="568"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1481" w:hanging="360"/>
      </w:pPr>
      <w:rPr>
        <w:rFonts w:hint="default"/>
        <w:lang w:val="ru-RU" w:eastAsia="en-US" w:bidi="ar-SA"/>
      </w:rPr>
    </w:lvl>
    <w:lvl w:ilvl="2">
      <w:start w:val="0"/>
      <w:numFmt w:val="bullet"/>
      <w:lvlText w:val="•"/>
      <w:lvlJc w:val="left"/>
      <w:pPr>
        <w:ind w:left="2403" w:hanging="360"/>
      </w:pPr>
      <w:rPr>
        <w:rFonts w:hint="default"/>
        <w:lang w:val="ru-RU" w:eastAsia="en-US" w:bidi="ar-SA"/>
      </w:rPr>
    </w:lvl>
    <w:lvl w:ilvl="3">
      <w:start w:val="0"/>
      <w:numFmt w:val="bullet"/>
      <w:lvlText w:val="•"/>
      <w:lvlJc w:val="left"/>
      <w:pPr>
        <w:ind w:left="3324" w:hanging="360"/>
      </w:pPr>
      <w:rPr>
        <w:rFonts w:hint="default"/>
        <w:lang w:val="ru-RU" w:eastAsia="en-US" w:bidi="ar-SA"/>
      </w:rPr>
    </w:lvl>
    <w:lvl w:ilvl="4">
      <w:start w:val="0"/>
      <w:numFmt w:val="bullet"/>
      <w:lvlText w:val="•"/>
      <w:lvlJc w:val="left"/>
      <w:pPr>
        <w:ind w:left="4246" w:hanging="360"/>
      </w:pPr>
      <w:rPr>
        <w:rFonts w:hint="default"/>
        <w:lang w:val="ru-RU" w:eastAsia="en-US" w:bidi="ar-SA"/>
      </w:rPr>
    </w:lvl>
    <w:lvl w:ilvl="5">
      <w:start w:val="0"/>
      <w:numFmt w:val="bullet"/>
      <w:lvlText w:val="•"/>
      <w:lvlJc w:val="left"/>
      <w:pPr>
        <w:ind w:left="5167" w:hanging="360"/>
      </w:pPr>
      <w:rPr>
        <w:rFonts w:hint="default"/>
        <w:lang w:val="ru-RU" w:eastAsia="en-US" w:bidi="ar-SA"/>
      </w:rPr>
    </w:lvl>
    <w:lvl w:ilvl="6">
      <w:start w:val="0"/>
      <w:numFmt w:val="bullet"/>
      <w:lvlText w:val="•"/>
      <w:lvlJc w:val="left"/>
      <w:pPr>
        <w:ind w:left="6089" w:hanging="360"/>
      </w:pPr>
      <w:rPr>
        <w:rFonts w:hint="default"/>
        <w:lang w:val="ru-RU" w:eastAsia="en-US" w:bidi="ar-SA"/>
      </w:rPr>
    </w:lvl>
    <w:lvl w:ilvl="7">
      <w:start w:val="0"/>
      <w:numFmt w:val="bullet"/>
      <w:lvlText w:val="•"/>
      <w:lvlJc w:val="left"/>
      <w:pPr>
        <w:ind w:left="7010" w:hanging="360"/>
      </w:pPr>
      <w:rPr>
        <w:rFonts w:hint="default"/>
        <w:lang w:val="ru-RU" w:eastAsia="en-US" w:bidi="ar-SA"/>
      </w:rPr>
    </w:lvl>
    <w:lvl w:ilvl="8">
      <w:start w:val="0"/>
      <w:numFmt w:val="bullet"/>
      <w:lvlText w:val="•"/>
      <w:lvlJc w:val="left"/>
      <w:pPr>
        <w:ind w:left="7932" w:hanging="360"/>
      </w:pPr>
      <w:rPr>
        <w:rFonts w:hint="default"/>
        <w:lang w:val="ru-RU" w:eastAsia="en-US" w:bidi="ar-SA"/>
      </w:rPr>
    </w:lvl>
  </w:abstractNum>
  <w:abstractNum w:abstractNumId="80">
    <w:multiLevelType w:val="hybridMultilevel"/>
    <w:lvl w:ilvl="0">
      <w:start w:val="0"/>
      <w:numFmt w:val="bullet"/>
      <w:lvlText w:val="-"/>
      <w:lvlJc w:val="left"/>
      <w:pPr>
        <w:ind w:left="568"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1481" w:hanging="360"/>
      </w:pPr>
      <w:rPr>
        <w:rFonts w:hint="default"/>
        <w:lang w:val="ru-RU" w:eastAsia="en-US" w:bidi="ar-SA"/>
      </w:rPr>
    </w:lvl>
    <w:lvl w:ilvl="2">
      <w:start w:val="0"/>
      <w:numFmt w:val="bullet"/>
      <w:lvlText w:val="•"/>
      <w:lvlJc w:val="left"/>
      <w:pPr>
        <w:ind w:left="2403" w:hanging="360"/>
      </w:pPr>
      <w:rPr>
        <w:rFonts w:hint="default"/>
        <w:lang w:val="ru-RU" w:eastAsia="en-US" w:bidi="ar-SA"/>
      </w:rPr>
    </w:lvl>
    <w:lvl w:ilvl="3">
      <w:start w:val="0"/>
      <w:numFmt w:val="bullet"/>
      <w:lvlText w:val="•"/>
      <w:lvlJc w:val="left"/>
      <w:pPr>
        <w:ind w:left="3324" w:hanging="360"/>
      </w:pPr>
      <w:rPr>
        <w:rFonts w:hint="default"/>
        <w:lang w:val="ru-RU" w:eastAsia="en-US" w:bidi="ar-SA"/>
      </w:rPr>
    </w:lvl>
    <w:lvl w:ilvl="4">
      <w:start w:val="0"/>
      <w:numFmt w:val="bullet"/>
      <w:lvlText w:val="•"/>
      <w:lvlJc w:val="left"/>
      <w:pPr>
        <w:ind w:left="4246" w:hanging="360"/>
      </w:pPr>
      <w:rPr>
        <w:rFonts w:hint="default"/>
        <w:lang w:val="ru-RU" w:eastAsia="en-US" w:bidi="ar-SA"/>
      </w:rPr>
    </w:lvl>
    <w:lvl w:ilvl="5">
      <w:start w:val="0"/>
      <w:numFmt w:val="bullet"/>
      <w:lvlText w:val="•"/>
      <w:lvlJc w:val="left"/>
      <w:pPr>
        <w:ind w:left="5167" w:hanging="360"/>
      </w:pPr>
      <w:rPr>
        <w:rFonts w:hint="default"/>
        <w:lang w:val="ru-RU" w:eastAsia="en-US" w:bidi="ar-SA"/>
      </w:rPr>
    </w:lvl>
    <w:lvl w:ilvl="6">
      <w:start w:val="0"/>
      <w:numFmt w:val="bullet"/>
      <w:lvlText w:val="•"/>
      <w:lvlJc w:val="left"/>
      <w:pPr>
        <w:ind w:left="6089" w:hanging="360"/>
      </w:pPr>
      <w:rPr>
        <w:rFonts w:hint="default"/>
        <w:lang w:val="ru-RU" w:eastAsia="en-US" w:bidi="ar-SA"/>
      </w:rPr>
    </w:lvl>
    <w:lvl w:ilvl="7">
      <w:start w:val="0"/>
      <w:numFmt w:val="bullet"/>
      <w:lvlText w:val="•"/>
      <w:lvlJc w:val="left"/>
      <w:pPr>
        <w:ind w:left="7010" w:hanging="360"/>
      </w:pPr>
      <w:rPr>
        <w:rFonts w:hint="default"/>
        <w:lang w:val="ru-RU" w:eastAsia="en-US" w:bidi="ar-SA"/>
      </w:rPr>
    </w:lvl>
    <w:lvl w:ilvl="8">
      <w:start w:val="0"/>
      <w:numFmt w:val="bullet"/>
      <w:lvlText w:val="•"/>
      <w:lvlJc w:val="left"/>
      <w:pPr>
        <w:ind w:left="7932" w:hanging="360"/>
      </w:pPr>
      <w:rPr>
        <w:rFonts w:hint="default"/>
        <w:lang w:val="ru-RU" w:eastAsia="en-US" w:bidi="ar-SA"/>
      </w:rPr>
    </w:lvl>
  </w:abstractNum>
  <w:abstractNum w:abstractNumId="79">
    <w:multiLevelType w:val="hybridMultilevel"/>
    <w:lvl w:ilvl="0">
      <w:start w:val="1"/>
      <w:numFmt w:val="decimal"/>
      <w:lvlText w:val="%1)"/>
      <w:lvlJc w:val="left"/>
      <w:pPr>
        <w:ind w:left="1841" w:hanging="298"/>
        <w:jc w:val="left"/>
      </w:pPr>
      <w:rPr>
        <w:rFonts w:hint="default"/>
        <w:spacing w:val="0"/>
        <w:w w:val="99"/>
        <w:lang w:val="ru-RU" w:eastAsia="en-US" w:bidi="ar-SA"/>
      </w:rPr>
    </w:lvl>
    <w:lvl w:ilvl="1">
      <w:start w:val="1"/>
      <w:numFmt w:val="decimal"/>
      <w:lvlText w:val="%2."/>
      <w:lvlJc w:val="left"/>
      <w:pPr>
        <w:ind w:left="1841" w:hanging="268"/>
        <w:jc w:val="left"/>
      </w:pPr>
      <w:rPr>
        <w:rFonts w:hint="default" w:ascii="Times New Roman" w:hAnsi="Times New Roman" w:eastAsia="Times New Roman" w:cs="Times New Roman"/>
        <w:b w:val="0"/>
        <w:bCs w:val="0"/>
        <w:i w:val="0"/>
        <w:iCs w:val="0"/>
        <w:spacing w:val="0"/>
        <w:w w:val="99"/>
        <w:sz w:val="20"/>
        <w:szCs w:val="20"/>
        <w:lang w:val="ru-RU" w:eastAsia="en-US" w:bidi="ar-SA"/>
      </w:rPr>
    </w:lvl>
    <w:lvl w:ilvl="2">
      <w:start w:val="0"/>
      <w:numFmt w:val="bullet"/>
      <w:lvlText w:val="•"/>
      <w:lvlJc w:val="left"/>
      <w:pPr>
        <w:ind w:left="3852" w:hanging="268"/>
      </w:pPr>
      <w:rPr>
        <w:rFonts w:hint="default"/>
        <w:lang w:val="ru-RU" w:eastAsia="en-US" w:bidi="ar-SA"/>
      </w:rPr>
    </w:lvl>
    <w:lvl w:ilvl="3">
      <w:start w:val="0"/>
      <w:numFmt w:val="bullet"/>
      <w:lvlText w:val="•"/>
      <w:lvlJc w:val="left"/>
      <w:pPr>
        <w:ind w:left="4858" w:hanging="268"/>
      </w:pPr>
      <w:rPr>
        <w:rFonts w:hint="default"/>
        <w:lang w:val="ru-RU" w:eastAsia="en-US" w:bidi="ar-SA"/>
      </w:rPr>
    </w:lvl>
    <w:lvl w:ilvl="4">
      <w:start w:val="0"/>
      <w:numFmt w:val="bullet"/>
      <w:lvlText w:val="•"/>
      <w:lvlJc w:val="left"/>
      <w:pPr>
        <w:ind w:left="5864" w:hanging="268"/>
      </w:pPr>
      <w:rPr>
        <w:rFonts w:hint="default"/>
        <w:lang w:val="ru-RU" w:eastAsia="en-US" w:bidi="ar-SA"/>
      </w:rPr>
    </w:lvl>
    <w:lvl w:ilvl="5">
      <w:start w:val="0"/>
      <w:numFmt w:val="bullet"/>
      <w:lvlText w:val="•"/>
      <w:lvlJc w:val="left"/>
      <w:pPr>
        <w:ind w:left="6870" w:hanging="268"/>
      </w:pPr>
      <w:rPr>
        <w:rFonts w:hint="default"/>
        <w:lang w:val="ru-RU" w:eastAsia="en-US" w:bidi="ar-SA"/>
      </w:rPr>
    </w:lvl>
    <w:lvl w:ilvl="6">
      <w:start w:val="0"/>
      <w:numFmt w:val="bullet"/>
      <w:lvlText w:val="•"/>
      <w:lvlJc w:val="left"/>
      <w:pPr>
        <w:ind w:left="7876" w:hanging="268"/>
      </w:pPr>
      <w:rPr>
        <w:rFonts w:hint="default"/>
        <w:lang w:val="ru-RU" w:eastAsia="en-US" w:bidi="ar-SA"/>
      </w:rPr>
    </w:lvl>
    <w:lvl w:ilvl="7">
      <w:start w:val="0"/>
      <w:numFmt w:val="bullet"/>
      <w:lvlText w:val="•"/>
      <w:lvlJc w:val="left"/>
      <w:pPr>
        <w:ind w:left="8882" w:hanging="268"/>
      </w:pPr>
      <w:rPr>
        <w:rFonts w:hint="default"/>
        <w:lang w:val="ru-RU" w:eastAsia="en-US" w:bidi="ar-SA"/>
      </w:rPr>
    </w:lvl>
    <w:lvl w:ilvl="8">
      <w:start w:val="0"/>
      <w:numFmt w:val="bullet"/>
      <w:lvlText w:val="•"/>
      <w:lvlJc w:val="left"/>
      <w:pPr>
        <w:ind w:left="9888" w:hanging="268"/>
      </w:pPr>
      <w:rPr>
        <w:rFonts w:hint="default"/>
        <w:lang w:val="ru-RU" w:eastAsia="en-US" w:bidi="ar-SA"/>
      </w:rPr>
    </w:lvl>
  </w:abstractNum>
  <w:abstractNum w:abstractNumId="78">
    <w:multiLevelType w:val="hybridMultilevel"/>
    <w:lvl w:ilvl="0">
      <w:start w:val="0"/>
      <w:numFmt w:val="bullet"/>
      <w:lvlText w:val=""/>
      <w:lvlJc w:val="left"/>
      <w:pPr>
        <w:ind w:left="435" w:hanging="360"/>
      </w:pPr>
      <w:rPr>
        <w:rFonts w:hint="default" w:ascii="Symbol" w:hAnsi="Symbol" w:eastAsia="Symbol" w:cs="Symbol"/>
        <w:b w:val="0"/>
        <w:bCs w:val="0"/>
        <w:i w:val="0"/>
        <w:iCs w:val="0"/>
        <w:spacing w:val="0"/>
        <w:w w:val="100"/>
        <w:sz w:val="22"/>
        <w:szCs w:val="22"/>
        <w:lang w:val="ru-RU" w:eastAsia="en-US" w:bidi="ar-SA"/>
      </w:rPr>
    </w:lvl>
    <w:lvl w:ilvl="1">
      <w:start w:val="0"/>
      <w:numFmt w:val="bullet"/>
      <w:lvlText w:val="•"/>
      <w:lvlJc w:val="left"/>
      <w:pPr>
        <w:ind w:left="1125" w:hanging="360"/>
      </w:pPr>
      <w:rPr>
        <w:rFonts w:hint="default"/>
        <w:lang w:val="ru-RU" w:eastAsia="en-US" w:bidi="ar-SA"/>
      </w:rPr>
    </w:lvl>
    <w:lvl w:ilvl="2">
      <w:start w:val="0"/>
      <w:numFmt w:val="bullet"/>
      <w:lvlText w:val="•"/>
      <w:lvlJc w:val="left"/>
      <w:pPr>
        <w:ind w:left="1811" w:hanging="360"/>
      </w:pPr>
      <w:rPr>
        <w:rFonts w:hint="default"/>
        <w:lang w:val="ru-RU" w:eastAsia="en-US" w:bidi="ar-SA"/>
      </w:rPr>
    </w:lvl>
    <w:lvl w:ilvl="3">
      <w:start w:val="0"/>
      <w:numFmt w:val="bullet"/>
      <w:lvlText w:val="•"/>
      <w:lvlJc w:val="left"/>
      <w:pPr>
        <w:ind w:left="2497" w:hanging="360"/>
      </w:pPr>
      <w:rPr>
        <w:rFonts w:hint="default"/>
        <w:lang w:val="ru-RU" w:eastAsia="en-US" w:bidi="ar-SA"/>
      </w:rPr>
    </w:lvl>
    <w:lvl w:ilvl="4">
      <w:start w:val="0"/>
      <w:numFmt w:val="bullet"/>
      <w:lvlText w:val="•"/>
      <w:lvlJc w:val="left"/>
      <w:pPr>
        <w:ind w:left="3183" w:hanging="360"/>
      </w:pPr>
      <w:rPr>
        <w:rFonts w:hint="default"/>
        <w:lang w:val="ru-RU" w:eastAsia="en-US" w:bidi="ar-SA"/>
      </w:rPr>
    </w:lvl>
    <w:lvl w:ilvl="5">
      <w:start w:val="0"/>
      <w:numFmt w:val="bullet"/>
      <w:lvlText w:val="•"/>
      <w:lvlJc w:val="left"/>
      <w:pPr>
        <w:ind w:left="3869" w:hanging="360"/>
      </w:pPr>
      <w:rPr>
        <w:rFonts w:hint="default"/>
        <w:lang w:val="ru-RU" w:eastAsia="en-US" w:bidi="ar-SA"/>
      </w:rPr>
    </w:lvl>
    <w:lvl w:ilvl="6">
      <w:start w:val="0"/>
      <w:numFmt w:val="bullet"/>
      <w:lvlText w:val="•"/>
      <w:lvlJc w:val="left"/>
      <w:pPr>
        <w:ind w:left="4555" w:hanging="360"/>
      </w:pPr>
      <w:rPr>
        <w:rFonts w:hint="default"/>
        <w:lang w:val="ru-RU" w:eastAsia="en-US" w:bidi="ar-SA"/>
      </w:rPr>
    </w:lvl>
    <w:lvl w:ilvl="7">
      <w:start w:val="0"/>
      <w:numFmt w:val="bullet"/>
      <w:lvlText w:val="•"/>
      <w:lvlJc w:val="left"/>
      <w:pPr>
        <w:ind w:left="5241" w:hanging="360"/>
      </w:pPr>
      <w:rPr>
        <w:rFonts w:hint="default"/>
        <w:lang w:val="ru-RU" w:eastAsia="en-US" w:bidi="ar-SA"/>
      </w:rPr>
    </w:lvl>
    <w:lvl w:ilvl="8">
      <w:start w:val="0"/>
      <w:numFmt w:val="bullet"/>
      <w:lvlText w:val="•"/>
      <w:lvlJc w:val="left"/>
      <w:pPr>
        <w:ind w:left="5927" w:hanging="360"/>
      </w:pPr>
      <w:rPr>
        <w:rFonts w:hint="default"/>
        <w:lang w:val="ru-RU" w:eastAsia="en-US" w:bidi="ar-SA"/>
      </w:rPr>
    </w:lvl>
  </w:abstractNum>
  <w:abstractNum w:abstractNumId="77">
    <w:multiLevelType w:val="hybridMultilevel"/>
    <w:lvl w:ilvl="0">
      <w:start w:val="0"/>
      <w:numFmt w:val="bullet"/>
      <w:lvlText w:val=""/>
      <w:lvlJc w:val="left"/>
      <w:pPr>
        <w:ind w:left="435" w:hanging="360"/>
      </w:pPr>
      <w:rPr>
        <w:rFonts w:hint="default" w:ascii="Symbol" w:hAnsi="Symbol" w:eastAsia="Symbol" w:cs="Symbol"/>
        <w:b w:val="0"/>
        <w:bCs w:val="0"/>
        <w:i w:val="0"/>
        <w:iCs w:val="0"/>
        <w:spacing w:val="0"/>
        <w:w w:val="100"/>
        <w:sz w:val="22"/>
        <w:szCs w:val="22"/>
        <w:lang w:val="ru-RU" w:eastAsia="en-US" w:bidi="ar-SA"/>
      </w:rPr>
    </w:lvl>
    <w:lvl w:ilvl="1">
      <w:start w:val="0"/>
      <w:numFmt w:val="bullet"/>
      <w:lvlText w:val="•"/>
      <w:lvlJc w:val="left"/>
      <w:pPr>
        <w:ind w:left="1125" w:hanging="360"/>
      </w:pPr>
      <w:rPr>
        <w:rFonts w:hint="default"/>
        <w:lang w:val="ru-RU" w:eastAsia="en-US" w:bidi="ar-SA"/>
      </w:rPr>
    </w:lvl>
    <w:lvl w:ilvl="2">
      <w:start w:val="0"/>
      <w:numFmt w:val="bullet"/>
      <w:lvlText w:val="•"/>
      <w:lvlJc w:val="left"/>
      <w:pPr>
        <w:ind w:left="1811" w:hanging="360"/>
      </w:pPr>
      <w:rPr>
        <w:rFonts w:hint="default"/>
        <w:lang w:val="ru-RU" w:eastAsia="en-US" w:bidi="ar-SA"/>
      </w:rPr>
    </w:lvl>
    <w:lvl w:ilvl="3">
      <w:start w:val="0"/>
      <w:numFmt w:val="bullet"/>
      <w:lvlText w:val="•"/>
      <w:lvlJc w:val="left"/>
      <w:pPr>
        <w:ind w:left="2497" w:hanging="360"/>
      </w:pPr>
      <w:rPr>
        <w:rFonts w:hint="default"/>
        <w:lang w:val="ru-RU" w:eastAsia="en-US" w:bidi="ar-SA"/>
      </w:rPr>
    </w:lvl>
    <w:lvl w:ilvl="4">
      <w:start w:val="0"/>
      <w:numFmt w:val="bullet"/>
      <w:lvlText w:val="•"/>
      <w:lvlJc w:val="left"/>
      <w:pPr>
        <w:ind w:left="3183" w:hanging="360"/>
      </w:pPr>
      <w:rPr>
        <w:rFonts w:hint="default"/>
        <w:lang w:val="ru-RU" w:eastAsia="en-US" w:bidi="ar-SA"/>
      </w:rPr>
    </w:lvl>
    <w:lvl w:ilvl="5">
      <w:start w:val="0"/>
      <w:numFmt w:val="bullet"/>
      <w:lvlText w:val="•"/>
      <w:lvlJc w:val="left"/>
      <w:pPr>
        <w:ind w:left="3869" w:hanging="360"/>
      </w:pPr>
      <w:rPr>
        <w:rFonts w:hint="default"/>
        <w:lang w:val="ru-RU" w:eastAsia="en-US" w:bidi="ar-SA"/>
      </w:rPr>
    </w:lvl>
    <w:lvl w:ilvl="6">
      <w:start w:val="0"/>
      <w:numFmt w:val="bullet"/>
      <w:lvlText w:val="•"/>
      <w:lvlJc w:val="left"/>
      <w:pPr>
        <w:ind w:left="4555" w:hanging="360"/>
      </w:pPr>
      <w:rPr>
        <w:rFonts w:hint="default"/>
        <w:lang w:val="ru-RU" w:eastAsia="en-US" w:bidi="ar-SA"/>
      </w:rPr>
    </w:lvl>
    <w:lvl w:ilvl="7">
      <w:start w:val="0"/>
      <w:numFmt w:val="bullet"/>
      <w:lvlText w:val="•"/>
      <w:lvlJc w:val="left"/>
      <w:pPr>
        <w:ind w:left="5241" w:hanging="360"/>
      </w:pPr>
      <w:rPr>
        <w:rFonts w:hint="default"/>
        <w:lang w:val="ru-RU" w:eastAsia="en-US" w:bidi="ar-SA"/>
      </w:rPr>
    </w:lvl>
    <w:lvl w:ilvl="8">
      <w:start w:val="0"/>
      <w:numFmt w:val="bullet"/>
      <w:lvlText w:val="•"/>
      <w:lvlJc w:val="left"/>
      <w:pPr>
        <w:ind w:left="5927" w:hanging="360"/>
      </w:pPr>
      <w:rPr>
        <w:rFonts w:hint="default"/>
        <w:lang w:val="ru-RU" w:eastAsia="en-US" w:bidi="ar-SA"/>
      </w:rPr>
    </w:lvl>
  </w:abstractNum>
  <w:abstractNum w:abstractNumId="76">
    <w:multiLevelType w:val="hybridMultilevel"/>
    <w:lvl w:ilvl="0">
      <w:start w:val="0"/>
      <w:numFmt w:val="bullet"/>
      <w:lvlText w:val=""/>
      <w:lvlJc w:val="left"/>
      <w:pPr>
        <w:ind w:left="435" w:hanging="360"/>
      </w:pPr>
      <w:rPr>
        <w:rFonts w:hint="default" w:ascii="Symbol" w:hAnsi="Symbol" w:eastAsia="Symbol" w:cs="Symbol"/>
        <w:b w:val="0"/>
        <w:bCs w:val="0"/>
        <w:i w:val="0"/>
        <w:iCs w:val="0"/>
        <w:spacing w:val="0"/>
        <w:w w:val="100"/>
        <w:sz w:val="22"/>
        <w:szCs w:val="22"/>
        <w:lang w:val="ru-RU" w:eastAsia="en-US" w:bidi="ar-SA"/>
      </w:rPr>
    </w:lvl>
    <w:lvl w:ilvl="1">
      <w:start w:val="0"/>
      <w:numFmt w:val="bullet"/>
      <w:lvlText w:val="•"/>
      <w:lvlJc w:val="left"/>
      <w:pPr>
        <w:ind w:left="1125" w:hanging="360"/>
      </w:pPr>
      <w:rPr>
        <w:rFonts w:hint="default"/>
        <w:lang w:val="ru-RU" w:eastAsia="en-US" w:bidi="ar-SA"/>
      </w:rPr>
    </w:lvl>
    <w:lvl w:ilvl="2">
      <w:start w:val="0"/>
      <w:numFmt w:val="bullet"/>
      <w:lvlText w:val="•"/>
      <w:lvlJc w:val="left"/>
      <w:pPr>
        <w:ind w:left="1811" w:hanging="360"/>
      </w:pPr>
      <w:rPr>
        <w:rFonts w:hint="default"/>
        <w:lang w:val="ru-RU" w:eastAsia="en-US" w:bidi="ar-SA"/>
      </w:rPr>
    </w:lvl>
    <w:lvl w:ilvl="3">
      <w:start w:val="0"/>
      <w:numFmt w:val="bullet"/>
      <w:lvlText w:val="•"/>
      <w:lvlJc w:val="left"/>
      <w:pPr>
        <w:ind w:left="2497" w:hanging="360"/>
      </w:pPr>
      <w:rPr>
        <w:rFonts w:hint="default"/>
        <w:lang w:val="ru-RU" w:eastAsia="en-US" w:bidi="ar-SA"/>
      </w:rPr>
    </w:lvl>
    <w:lvl w:ilvl="4">
      <w:start w:val="0"/>
      <w:numFmt w:val="bullet"/>
      <w:lvlText w:val="•"/>
      <w:lvlJc w:val="left"/>
      <w:pPr>
        <w:ind w:left="3183" w:hanging="360"/>
      </w:pPr>
      <w:rPr>
        <w:rFonts w:hint="default"/>
        <w:lang w:val="ru-RU" w:eastAsia="en-US" w:bidi="ar-SA"/>
      </w:rPr>
    </w:lvl>
    <w:lvl w:ilvl="5">
      <w:start w:val="0"/>
      <w:numFmt w:val="bullet"/>
      <w:lvlText w:val="•"/>
      <w:lvlJc w:val="left"/>
      <w:pPr>
        <w:ind w:left="3869" w:hanging="360"/>
      </w:pPr>
      <w:rPr>
        <w:rFonts w:hint="default"/>
        <w:lang w:val="ru-RU" w:eastAsia="en-US" w:bidi="ar-SA"/>
      </w:rPr>
    </w:lvl>
    <w:lvl w:ilvl="6">
      <w:start w:val="0"/>
      <w:numFmt w:val="bullet"/>
      <w:lvlText w:val="•"/>
      <w:lvlJc w:val="left"/>
      <w:pPr>
        <w:ind w:left="4555" w:hanging="360"/>
      </w:pPr>
      <w:rPr>
        <w:rFonts w:hint="default"/>
        <w:lang w:val="ru-RU" w:eastAsia="en-US" w:bidi="ar-SA"/>
      </w:rPr>
    </w:lvl>
    <w:lvl w:ilvl="7">
      <w:start w:val="0"/>
      <w:numFmt w:val="bullet"/>
      <w:lvlText w:val="•"/>
      <w:lvlJc w:val="left"/>
      <w:pPr>
        <w:ind w:left="5241" w:hanging="360"/>
      </w:pPr>
      <w:rPr>
        <w:rFonts w:hint="default"/>
        <w:lang w:val="ru-RU" w:eastAsia="en-US" w:bidi="ar-SA"/>
      </w:rPr>
    </w:lvl>
    <w:lvl w:ilvl="8">
      <w:start w:val="0"/>
      <w:numFmt w:val="bullet"/>
      <w:lvlText w:val="•"/>
      <w:lvlJc w:val="left"/>
      <w:pPr>
        <w:ind w:left="5927" w:hanging="360"/>
      </w:pPr>
      <w:rPr>
        <w:rFonts w:hint="default"/>
        <w:lang w:val="ru-RU" w:eastAsia="en-US" w:bidi="ar-SA"/>
      </w:rPr>
    </w:lvl>
  </w:abstractNum>
  <w:abstractNum w:abstractNumId="75">
    <w:multiLevelType w:val="hybridMultilevel"/>
    <w:lvl w:ilvl="0">
      <w:start w:val="0"/>
      <w:numFmt w:val="bullet"/>
      <w:lvlText w:val=""/>
      <w:lvlJc w:val="left"/>
      <w:pPr>
        <w:ind w:left="435" w:hanging="360"/>
      </w:pPr>
      <w:rPr>
        <w:rFonts w:hint="default" w:ascii="Symbol" w:hAnsi="Symbol" w:eastAsia="Symbol" w:cs="Symbol"/>
        <w:b w:val="0"/>
        <w:bCs w:val="0"/>
        <w:i w:val="0"/>
        <w:iCs w:val="0"/>
        <w:spacing w:val="0"/>
        <w:w w:val="100"/>
        <w:sz w:val="22"/>
        <w:szCs w:val="22"/>
        <w:lang w:val="ru-RU" w:eastAsia="en-US" w:bidi="ar-SA"/>
      </w:rPr>
    </w:lvl>
    <w:lvl w:ilvl="1">
      <w:start w:val="0"/>
      <w:numFmt w:val="bullet"/>
      <w:lvlText w:val="•"/>
      <w:lvlJc w:val="left"/>
      <w:pPr>
        <w:ind w:left="1125" w:hanging="360"/>
      </w:pPr>
      <w:rPr>
        <w:rFonts w:hint="default"/>
        <w:lang w:val="ru-RU" w:eastAsia="en-US" w:bidi="ar-SA"/>
      </w:rPr>
    </w:lvl>
    <w:lvl w:ilvl="2">
      <w:start w:val="0"/>
      <w:numFmt w:val="bullet"/>
      <w:lvlText w:val="•"/>
      <w:lvlJc w:val="left"/>
      <w:pPr>
        <w:ind w:left="1811" w:hanging="360"/>
      </w:pPr>
      <w:rPr>
        <w:rFonts w:hint="default"/>
        <w:lang w:val="ru-RU" w:eastAsia="en-US" w:bidi="ar-SA"/>
      </w:rPr>
    </w:lvl>
    <w:lvl w:ilvl="3">
      <w:start w:val="0"/>
      <w:numFmt w:val="bullet"/>
      <w:lvlText w:val="•"/>
      <w:lvlJc w:val="left"/>
      <w:pPr>
        <w:ind w:left="2497" w:hanging="360"/>
      </w:pPr>
      <w:rPr>
        <w:rFonts w:hint="default"/>
        <w:lang w:val="ru-RU" w:eastAsia="en-US" w:bidi="ar-SA"/>
      </w:rPr>
    </w:lvl>
    <w:lvl w:ilvl="4">
      <w:start w:val="0"/>
      <w:numFmt w:val="bullet"/>
      <w:lvlText w:val="•"/>
      <w:lvlJc w:val="left"/>
      <w:pPr>
        <w:ind w:left="3183" w:hanging="360"/>
      </w:pPr>
      <w:rPr>
        <w:rFonts w:hint="default"/>
        <w:lang w:val="ru-RU" w:eastAsia="en-US" w:bidi="ar-SA"/>
      </w:rPr>
    </w:lvl>
    <w:lvl w:ilvl="5">
      <w:start w:val="0"/>
      <w:numFmt w:val="bullet"/>
      <w:lvlText w:val="•"/>
      <w:lvlJc w:val="left"/>
      <w:pPr>
        <w:ind w:left="3869" w:hanging="360"/>
      </w:pPr>
      <w:rPr>
        <w:rFonts w:hint="default"/>
        <w:lang w:val="ru-RU" w:eastAsia="en-US" w:bidi="ar-SA"/>
      </w:rPr>
    </w:lvl>
    <w:lvl w:ilvl="6">
      <w:start w:val="0"/>
      <w:numFmt w:val="bullet"/>
      <w:lvlText w:val="•"/>
      <w:lvlJc w:val="left"/>
      <w:pPr>
        <w:ind w:left="4555" w:hanging="360"/>
      </w:pPr>
      <w:rPr>
        <w:rFonts w:hint="default"/>
        <w:lang w:val="ru-RU" w:eastAsia="en-US" w:bidi="ar-SA"/>
      </w:rPr>
    </w:lvl>
    <w:lvl w:ilvl="7">
      <w:start w:val="0"/>
      <w:numFmt w:val="bullet"/>
      <w:lvlText w:val="•"/>
      <w:lvlJc w:val="left"/>
      <w:pPr>
        <w:ind w:left="5241" w:hanging="360"/>
      </w:pPr>
      <w:rPr>
        <w:rFonts w:hint="default"/>
        <w:lang w:val="ru-RU" w:eastAsia="en-US" w:bidi="ar-SA"/>
      </w:rPr>
    </w:lvl>
    <w:lvl w:ilvl="8">
      <w:start w:val="0"/>
      <w:numFmt w:val="bullet"/>
      <w:lvlText w:val="•"/>
      <w:lvlJc w:val="left"/>
      <w:pPr>
        <w:ind w:left="5927" w:hanging="360"/>
      </w:pPr>
      <w:rPr>
        <w:rFonts w:hint="default"/>
        <w:lang w:val="ru-RU" w:eastAsia="en-US" w:bidi="ar-SA"/>
      </w:rPr>
    </w:lvl>
  </w:abstractNum>
  <w:abstractNum w:abstractNumId="74">
    <w:multiLevelType w:val="hybridMultilevel"/>
    <w:lvl w:ilvl="0">
      <w:start w:val="0"/>
      <w:numFmt w:val="bullet"/>
      <w:lvlText w:val=""/>
      <w:lvlJc w:val="left"/>
      <w:pPr>
        <w:ind w:left="435" w:hanging="360"/>
      </w:pPr>
      <w:rPr>
        <w:rFonts w:hint="default" w:ascii="Symbol" w:hAnsi="Symbol" w:eastAsia="Symbol" w:cs="Symbol"/>
        <w:b w:val="0"/>
        <w:bCs w:val="0"/>
        <w:i w:val="0"/>
        <w:iCs w:val="0"/>
        <w:spacing w:val="0"/>
        <w:w w:val="100"/>
        <w:sz w:val="22"/>
        <w:szCs w:val="22"/>
        <w:lang w:val="ru-RU" w:eastAsia="en-US" w:bidi="ar-SA"/>
      </w:rPr>
    </w:lvl>
    <w:lvl w:ilvl="1">
      <w:start w:val="0"/>
      <w:numFmt w:val="bullet"/>
      <w:lvlText w:val="•"/>
      <w:lvlJc w:val="left"/>
      <w:pPr>
        <w:ind w:left="1125" w:hanging="360"/>
      </w:pPr>
      <w:rPr>
        <w:rFonts w:hint="default"/>
        <w:lang w:val="ru-RU" w:eastAsia="en-US" w:bidi="ar-SA"/>
      </w:rPr>
    </w:lvl>
    <w:lvl w:ilvl="2">
      <w:start w:val="0"/>
      <w:numFmt w:val="bullet"/>
      <w:lvlText w:val="•"/>
      <w:lvlJc w:val="left"/>
      <w:pPr>
        <w:ind w:left="1811" w:hanging="360"/>
      </w:pPr>
      <w:rPr>
        <w:rFonts w:hint="default"/>
        <w:lang w:val="ru-RU" w:eastAsia="en-US" w:bidi="ar-SA"/>
      </w:rPr>
    </w:lvl>
    <w:lvl w:ilvl="3">
      <w:start w:val="0"/>
      <w:numFmt w:val="bullet"/>
      <w:lvlText w:val="•"/>
      <w:lvlJc w:val="left"/>
      <w:pPr>
        <w:ind w:left="2497" w:hanging="360"/>
      </w:pPr>
      <w:rPr>
        <w:rFonts w:hint="default"/>
        <w:lang w:val="ru-RU" w:eastAsia="en-US" w:bidi="ar-SA"/>
      </w:rPr>
    </w:lvl>
    <w:lvl w:ilvl="4">
      <w:start w:val="0"/>
      <w:numFmt w:val="bullet"/>
      <w:lvlText w:val="•"/>
      <w:lvlJc w:val="left"/>
      <w:pPr>
        <w:ind w:left="3183" w:hanging="360"/>
      </w:pPr>
      <w:rPr>
        <w:rFonts w:hint="default"/>
        <w:lang w:val="ru-RU" w:eastAsia="en-US" w:bidi="ar-SA"/>
      </w:rPr>
    </w:lvl>
    <w:lvl w:ilvl="5">
      <w:start w:val="0"/>
      <w:numFmt w:val="bullet"/>
      <w:lvlText w:val="•"/>
      <w:lvlJc w:val="left"/>
      <w:pPr>
        <w:ind w:left="3869" w:hanging="360"/>
      </w:pPr>
      <w:rPr>
        <w:rFonts w:hint="default"/>
        <w:lang w:val="ru-RU" w:eastAsia="en-US" w:bidi="ar-SA"/>
      </w:rPr>
    </w:lvl>
    <w:lvl w:ilvl="6">
      <w:start w:val="0"/>
      <w:numFmt w:val="bullet"/>
      <w:lvlText w:val="•"/>
      <w:lvlJc w:val="left"/>
      <w:pPr>
        <w:ind w:left="4555" w:hanging="360"/>
      </w:pPr>
      <w:rPr>
        <w:rFonts w:hint="default"/>
        <w:lang w:val="ru-RU" w:eastAsia="en-US" w:bidi="ar-SA"/>
      </w:rPr>
    </w:lvl>
    <w:lvl w:ilvl="7">
      <w:start w:val="0"/>
      <w:numFmt w:val="bullet"/>
      <w:lvlText w:val="•"/>
      <w:lvlJc w:val="left"/>
      <w:pPr>
        <w:ind w:left="5241" w:hanging="360"/>
      </w:pPr>
      <w:rPr>
        <w:rFonts w:hint="default"/>
        <w:lang w:val="ru-RU" w:eastAsia="en-US" w:bidi="ar-SA"/>
      </w:rPr>
    </w:lvl>
    <w:lvl w:ilvl="8">
      <w:start w:val="0"/>
      <w:numFmt w:val="bullet"/>
      <w:lvlText w:val="•"/>
      <w:lvlJc w:val="left"/>
      <w:pPr>
        <w:ind w:left="5927" w:hanging="360"/>
      </w:pPr>
      <w:rPr>
        <w:rFonts w:hint="default"/>
        <w:lang w:val="ru-RU" w:eastAsia="en-US" w:bidi="ar-SA"/>
      </w:rPr>
    </w:lvl>
  </w:abstractNum>
  <w:abstractNum w:abstractNumId="73">
    <w:multiLevelType w:val="hybridMultilevel"/>
    <w:lvl w:ilvl="0">
      <w:start w:val="1"/>
      <w:numFmt w:val="decimal"/>
      <w:lvlText w:val="%1."/>
      <w:lvlJc w:val="left"/>
      <w:pPr>
        <w:ind w:left="2920" w:hanging="360"/>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3818" w:hanging="360"/>
      </w:pPr>
      <w:rPr>
        <w:rFonts w:hint="default"/>
        <w:lang w:val="ru-RU" w:eastAsia="en-US" w:bidi="ar-SA"/>
      </w:rPr>
    </w:lvl>
    <w:lvl w:ilvl="2">
      <w:start w:val="0"/>
      <w:numFmt w:val="bullet"/>
      <w:lvlText w:val="•"/>
      <w:lvlJc w:val="left"/>
      <w:pPr>
        <w:ind w:left="4716" w:hanging="360"/>
      </w:pPr>
      <w:rPr>
        <w:rFonts w:hint="default"/>
        <w:lang w:val="ru-RU" w:eastAsia="en-US" w:bidi="ar-SA"/>
      </w:rPr>
    </w:lvl>
    <w:lvl w:ilvl="3">
      <w:start w:val="0"/>
      <w:numFmt w:val="bullet"/>
      <w:lvlText w:val="•"/>
      <w:lvlJc w:val="left"/>
      <w:pPr>
        <w:ind w:left="5614" w:hanging="360"/>
      </w:pPr>
      <w:rPr>
        <w:rFonts w:hint="default"/>
        <w:lang w:val="ru-RU" w:eastAsia="en-US" w:bidi="ar-SA"/>
      </w:rPr>
    </w:lvl>
    <w:lvl w:ilvl="4">
      <w:start w:val="0"/>
      <w:numFmt w:val="bullet"/>
      <w:lvlText w:val="•"/>
      <w:lvlJc w:val="left"/>
      <w:pPr>
        <w:ind w:left="6512" w:hanging="360"/>
      </w:pPr>
      <w:rPr>
        <w:rFonts w:hint="default"/>
        <w:lang w:val="ru-RU" w:eastAsia="en-US" w:bidi="ar-SA"/>
      </w:rPr>
    </w:lvl>
    <w:lvl w:ilvl="5">
      <w:start w:val="0"/>
      <w:numFmt w:val="bullet"/>
      <w:lvlText w:val="•"/>
      <w:lvlJc w:val="left"/>
      <w:pPr>
        <w:ind w:left="7410" w:hanging="360"/>
      </w:pPr>
      <w:rPr>
        <w:rFonts w:hint="default"/>
        <w:lang w:val="ru-RU" w:eastAsia="en-US" w:bidi="ar-SA"/>
      </w:rPr>
    </w:lvl>
    <w:lvl w:ilvl="6">
      <w:start w:val="0"/>
      <w:numFmt w:val="bullet"/>
      <w:lvlText w:val="•"/>
      <w:lvlJc w:val="left"/>
      <w:pPr>
        <w:ind w:left="8308" w:hanging="360"/>
      </w:pPr>
      <w:rPr>
        <w:rFonts w:hint="default"/>
        <w:lang w:val="ru-RU" w:eastAsia="en-US" w:bidi="ar-SA"/>
      </w:rPr>
    </w:lvl>
    <w:lvl w:ilvl="7">
      <w:start w:val="0"/>
      <w:numFmt w:val="bullet"/>
      <w:lvlText w:val="•"/>
      <w:lvlJc w:val="left"/>
      <w:pPr>
        <w:ind w:left="9206" w:hanging="360"/>
      </w:pPr>
      <w:rPr>
        <w:rFonts w:hint="default"/>
        <w:lang w:val="ru-RU" w:eastAsia="en-US" w:bidi="ar-SA"/>
      </w:rPr>
    </w:lvl>
    <w:lvl w:ilvl="8">
      <w:start w:val="0"/>
      <w:numFmt w:val="bullet"/>
      <w:lvlText w:val="•"/>
      <w:lvlJc w:val="left"/>
      <w:pPr>
        <w:ind w:left="10104" w:hanging="360"/>
      </w:pPr>
      <w:rPr>
        <w:rFonts w:hint="default"/>
        <w:lang w:val="ru-RU" w:eastAsia="en-US" w:bidi="ar-SA"/>
      </w:rPr>
    </w:lvl>
  </w:abstractNum>
  <w:abstractNum w:abstractNumId="72">
    <w:multiLevelType w:val="hybridMultilevel"/>
    <w:lvl w:ilvl="0">
      <w:start w:val="0"/>
      <w:numFmt w:val="bullet"/>
      <w:lvlText w:val=""/>
      <w:lvlJc w:val="left"/>
      <w:pPr>
        <w:ind w:left="437" w:hanging="360"/>
      </w:pPr>
      <w:rPr>
        <w:rFonts w:hint="default" w:ascii="Symbol" w:hAnsi="Symbol" w:eastAsia="Symbol" w:cs="Symbol"/>
        <w:b w:val="0"/>
        <w:bCs w:val="0"/>
        <w:i w:val="0"/>
        <w:iCs w:val="0"/>
        <w:spacing w:val="0"/>
        <w:w w:val="100"/>
        <w:sz w:val="22"/>
        <w:szCs w:val="22"/>
        <w:lang w:val="ru-RU" w:eastAsia="en-US" w:bidi="ar-SA"/>
      </w:rPr>
    </w:lvl>
    <w:lvl w:ilvl="1">
      <w:start w:val="0"/>
      <w:numFmt w:val="bullet"/>
      <w:lvlText w:val="•"/>
      <w:lvlJc w:val="left"/>
      <w:pPr>
        <w:ind w:left="904" w:hanging="360"/>
      </w:pPr>
      <w:rPr>
        <w:rFonts w:hint="default"/>
        <w:lang w:val="ru-RU" w:eastAsia="en-US" w:bidi="ar-SA"/>
      </w:rPr>
    </w:lvl>
    <w:lvl w:ilvl="2">
      <w:start w:val="0"/>
      <w:numFmt w:val="bullet"/>
      <w:lvlText w:val="•"/>
      <w:lvlJc w:val="left"/>
      <w:pPr>
        <w:ind w:left="1369" w:hanging="360"/>
      </w:pPr>
      <w:rPr>
        <w:rFonts w:hint="default"/>
        <w:lang w:val="ru-RU" w:eastAsia="en-US" w:bidi="ar-SA"/>
      </w:rPr>
    </w:lvl>
    <w:lvl w:ilvl="3">
      <w:start w:val="0"/>
      <w:numFmt w:val="bullet"/>
      <w:lvlText w:val="•"/>
      <w:lvlJc w:val="left"/>
      <w:pPr>
        <w:ind w:left="1834" w:hanging="360"/>
      </w:pPr>
      <w:rPr>
        <w:rFonts w:hint="default"/>
        <w:lang w:val="ru-RU" w:eastAsia="en-US" w:bidi="ar-SA"/>
      </w:rPr>
    </w:lvl>
    <w:lvl w:ilvl="4">
      <w:start w:val="0"/>
      <w:numFmt w:val="bullet"/>
      <w:lvlText w:val="•"/>
      <w:lvlJc w:val="left"/>
      <w:pPr>
        <w:ind w:left="2299" w:hanging="360"/>
      </w:pPr>
      <w:rPr>
        <w:rFonts w:hint="default"/>
        <w:lang w:val="ru-RU" w:eastAsia="en-US" w:bidi="ar-SA"/>
      </w:rPr>
    </w:lvl>
    <w:lvl w:ilvl="5">
      <w:start w:val="0"/>
      <w:numFmt w:val="bullet"/>
      <w:lvlText w:val="•"/>
      <w:lvlJc w:val="left"/>
      <w:pPr>
        <w:ind w:left="2764" w:hanging="360"/>
      </w:pPr>
      <w:rPr>
        <w:rFonts w:hint="default"/>
        <w:lang w:val="ru-RU" w:eastAsia="en-US" w:bidi="ar-SA"/>
      </w:rPr>
    </w:lvl>
    <w:lvl w:ilvl="6">
      <w:start w:val="0"/>
      <w:numFmt w:val="bullet"/>
      <w:lvlText w:val="•"/>
      <w:lvlJc w:val="left"/>
      <w:pPr>
        <w:ind w:left="3229" w:hanging="360"/>
      </w:pPr>
      <w:rPr>
        <w:rFonts w:hint="default"/>
        <w:lang w:val="ru-RU" w:eastAsia="en-US" w:bidi="ar-SA"/>
      </w:rPr>
    </w:lvl>
    <w:lvl w:ilvl="7">
      <w:start w:val="0"/>
      <w:numFmt w:val="bullet"/>
      <w:lvlText w:val="•"/>
      <w:lvlJc w:val="left"/>
      <w:pPr>
        <w:ind w:left="3694" w:hanging="360"/>
      </w:pPr>
      <w:rPr>
        <w:rFonts w:hint="default"/>
        <w:lang w:val="ru-RU" w:eastAsia="en-US" w:bidi="ar-SA"/>
      </w:rPr>
    </w:lvl>
    <w:lvl w:ilvl="8">
      <w:start w:val="0"/>
      <w:numFmt w:val="bullet"/>
      <w:lvlText w:val="•"/>
      <w:lvlJc w:val="left"/>
      <w:pPr>
        <w:ind w:left="4159" w:hanging="360"/>
      </w:pPr>
      <w:rPr>
        <w:rFonts w:hint="default"/>
        <w:lang w:val="ru-RU" w:eastAsia="en-US" w:bidi="ar-SA"/>
      </w:rPr>
    </w:lvl>
  </w:abstractNum>
  <w:abstractNum w:abstractNumId="71">
    <w:multiLevelType w:val="hybridMultilevel"/>
    <w:lvl w:ilvl="0">
      <w:start w:val="0"/>
      <w:numFmt w:val="bullet"/>
      <w:lvlText w:val=""/>
      <w:lvlJc w:val="left"/>
      <w:pPr>
        <w:ind w:left="437" w:hanging="360"/>
      </w:pPr>
      <w:rPr>
        <w:rFonts w:hint="default" w:ascii="Symbol" w:hAnsi="Symbol" w:eastAsia="Symbol" w:cs="Symbol"/>
        <w:b w:val="0"/>
        <w:bCs w:val="0"/>
        <w:i w:val="0"/>
        <w:iCs w:val="0"/>
        <w:spacing w:val="0"/>
        <w:w w:val="100"/>
        <w:sz w:val="22"/>
        <w:szCs w:val="22"/>
        <w:lang w:val="ru-RU" w:eastAsia="en-US" w:bidi="ar-SA"/>
      </w:rPr>
    </w:lvl>
    <w:lvl w:ilvl="1">
      <w:start w:val="0"/>
      <w:numFmt w:val="bullet"/>
      <w:lvlText w:val="•"/>
      <w:lvlJc w:val="left"/>
      <w:pPr>
        <w:ind w:left="904" w:hanging="360"/>
      </w:pPr>
      <w:rPr>
        <w:rFonts w:hint="default"/>
        <w:lang w:val="ru-RU" w:eastAsia="en-US" w:bidi="ar-SA"/>
      </w:rPr>
    </w:lvl>
    <w:lvl w:ilvl="2">
      <w:start w:val="0"/>
      <w:numFmt w:val="bullet"/>
      <w:lvlText w:val="•"/>
      <w:lvlJc w:val="left"/>
      <w:pPr>
        <w:ind w:left="1369" w:hanging="360"/>
      </w:pPr>
      <w:rPr>
        <w:rFonts w:hint="default"/>
        <w:lang w:val="ru-RU" w:eastAsia="en-US" w:bidi="ar-SA"/>
      </w:rPr>
    </w:lvl>
    <w:lvl w:ilvl="3">
      <w:start w:val="0"/>
      <w:numFmt w:val="bullet"/>
      <w:lvlText w:val="•"/>
      <w:lvlJc w:val="left"/>
      <w:pPr>
        <w:ind w:left="1834" w:hanging="360"/>
      </w:pPr>
      <w:rPr>
        <w:rFonts w:hint="default"/>
        <w:lang w:val="ru-RU" w:eastAsia="en-US" w:bidi="ar-SA"/>
      </w:rPr>
    </w:lvl>
    <w:lvl w:ilvl="4">
      <w:start w:val="0"/>
      <w:numFmt w:val="bullet"/>
      <w:lvlText w:val="•"/>
      <w:lvlJc w:val="left"/>
      <w:pPr>
        <w:ind w:left="2299" w:hanging="360"/>
      </w:pPr>
      <w:rPr>
        <w:rFonts w:hint="default"/>
        <w:lang w:val="ru-RU" w:eastAsia="en-US" w:bidi="ar-SA"/>
      </w:rPr>
    </w:lvl>
    <w:lvl w:ilvl="5">
      <w:start w:val="0"/>
      <w:numFmt w:val="bullet"/>
      <w:lvlText w:val="•"/>
      <w:lvlJc w:val="left"/>
      <w:pPr>
        <w:ind w:left="2764" w:hanging="360"/>
      </w:pPr>
      <w:rPr>
        <w:rFonts w:hint="default"/>
        <w:lang w:val="ru-RU" w:eastAsia="en-US" w:bidi="ar-SA"/>
      </w:rPr>
    </w:lvl>
    <w:lvl w:ilvl="6">
      <w:start w:val="0"/>
      <w:numFmt w:val="bullet"/>
      <w:lvlText w:val="•"/>
      <w:lvlJc w:val="left"/>
      <w:pPr>
        <w:ind w:left="3229" w:hanging="360"/>
      </w:pPr>
      <w:rPr>
        <w:rFonts w:hint="default"/>
        <w:lang w:val="ru-RU" w:eastAsia="en-US" w:bidi="ar-SA"/>
      </w:rPr>
    </w:lvl>
    <w:lvl w:ilvl="7">
      <w:start w:val="0"/>
      <w:numFmt w:val="bullet"/>
      <w:lvlText w:val="•"/>
      <w:lvlJc w:val="left"/>
      <w:pPr>
        <w:ind w:left="3694" w:hanging="360"/>
      </w:pPr>
      <w:rPr>
        <w:rFonts w:hint="default"/>
        <w:lang w:val="ru-RU" w:eastAsia="en-US" w:bidi="ar-SA"/>
      </w:rPr>
    </w:lvl>
    <w:lvl w:ilvl="8">
      <w:start w:val="0"/>
      <w:numFmt w:val="bullet"/>
      <w:lvlText w:val="•"/>
      <w:lvlJc w:val="left"/>
      <w:pPr>
        <w:ind w:left="4159" w:hanging="360"/>
      </w:pPr>
      <w:rPr>
        <w:rFonts w:hint="default"/>
        <w:lang w:val="ru-RU" w:eastAsia="en-US" w:bidi="ar-SA"/>
      </w:rPr>
    </w:lvl>
  </w:abstractNum>
  <w:abstractNum w:abstractNumId="70">
    <w:multiLevelType w:val="hybridMultilevel"/>
    <w:lvl w:ilvl="0">
      <w:start w:val="0"/>
      <w:numFmt w:val="bullet"/>
      <w:lvlText w:val=""/>
      <w:lvlJc w:val="left"/>
      <w:pPr>
        <w:ind w:left="434" w:hanging="358"/>
      </w:pPr>
      <w:rPr>
        <w:rFonts w:hint="default" w:ascii="Symbol" w:hAnsi="Symbol" w:eastAsia="Symbol" w:cs="Symbol"/>
        <w:b w:val="0"/>
        <w:bCs w:val="0"/>
        <w:i w:val="0"/>
        <w:iCs w:val="0"/>
        <w:spacing w:val="0"/>
        <w:w w:val="100"/>
        <w:sz w:val="22"/>
        <w:szCs w:val="22"/>
        <w:lang w:val="ru-RU" w:eastAsia="en-US" w:bidi="ar-SA"/>
      </w:rPr>
    </w:lvl>
    <w:lvl w:ilvl="1">
      <w:start w:val="0"/>
      <w:numFmt w:val="bullet"/>
      <w:lvlText w:val="o"/>
      <w:lvlJc w:val="left"/>
      <w:pPr>
        <w:ind w:left="837" w:hanging="283"/>
      </w:pPr>
      <w:rPr>
        <w:rFonts w:hint="default" w:ascii="Courier New" w:hAnsi="Courier New" w:eastAsia="Courier New" w:cs="Courier New"/>
        <w:b w:val="0"/>
        <w:bCs w:val="0"/>
        <w:i w:val="0"/>
        <w:iCs w:val="0"/>
        <w:spacing w:val="0"/>
        <w:w w:val="100"/>
        <w:sz w:val="22"/>
        <w:szCs w:val="22"/>
        <w:lang w:val="ru-RU" w:eastAsia="en-US" w:bidi="ar-SA"/>
      </w:rPr>
    </w:lvl>
    <w:lvl w:ilvl="2">
      <w:start w:val="0"/>
      <w:numFmt w:val="bullet"/>
      <w:lvlText w:val="•"/>
      <w:lvlJc w:val="left"/>
      <w:pPr>
        <w:ind w:left="1312" w:hanging="283"/>
      </w:pPr>
      <w:rPr>
        <w:rFonts w:hint="default"/>
        <w:lang w:val="ru-RU" w:eastAsia="en-US" w:bidi="ar-SA"/>
      </w:rPr>
    </w:lvl>
    <w:lvl w:ilvl="3">
      <w:start w:val="0"/>
      <w:numFmt w:val="bullet"/>
      <w:lvlText w:val="•"/>
      <w:lvlJc w:val="left"/>
      <w:pPr>
        <w:ind w:left="1784" w:hanging="283"/>
      </w:pPr>
      <w:rPr>
        <w:rFonts w:hint="default"/>
        <w:lang w:val="ru-RU" w:eastAsia="en-US" w:bidi="ar-SA"/>
      </w:rPr>
    </w:lvl>
    <w:lvl w:ilvl="4">
      <w:start w:val="0"/>
      <w:numFmt w:val="bullet"/>
      <w:lvlText w:val="•"/>
      <w:lvlJc w:val="left"/>
      <w:pPr>
        <w:ind w:left="2256" w:hanging="283"/>
      </w:pPr>
      <w:rPr>
        <w:rFonts w:hint="default"/>
        <w:lang w:val="ru-RU" w:eastAsia="en-US" w:bidi="ar-SA"/>
      </w:rPr>
    </w:lvl>
    <w:lvl w:ilvl="5">
      <w:start w:val="0"/>
      <w:numFmt w:val="bullet"/>
      <w:lvlText w:val="•"/>
      <w:lvlJc w:val="left"/>
      <w:pPr>
        <w:ind w:left="2728" w:hanging="283"/>
      </w:pPr>
      <w:rPr>
        <w:rFonts w:hint="default"/>
        <w:lang w:val="ru-RU" w:eastAsia="en-US" w:bidi="ar-SA"/>
      </w:rPr>
    </w:lvl>
    <w:lvl w:ilvl="6">
      <w:start w:val="0"/>
      <w:numFmt w:val="bullet"/>
      <w:lvlText w:val="•"/>
      <w:lvlJc w:val="left"/>
      <w:pPr>
        <w:ind w:left="3200" w:hanging="283"/>
      </w:pPr>
      <w:rPr>
        <w:rFonts w:hint="default"/>
        <w:lang w:val="ru-RU" w:eastAsia="en-US" w:bidi="ar-SA"/>
      </w:rPr>
    </w:lvl>
    <w:lvl w:ilvl="7">
      <w:start w:val="0"/>
      <w:numFmt w:val="bullet"/>
      <w:lvlText w:val="•"/>
      <w:lvlJc w:val="left"/>
      <w:pPr>
        <w:ind w:left="3672" w:hanging="283"/>
      </w:pPr>
      <w:rPr>
        <w:rFonts w:hint="default"/>
        <w:lang w:val="ru-RU" w:eastAsia="en-US" w:bidi="ar-SA"/>
      </w:rPr>
    </w:lvl>
    <w:lvl w:ilvl="8">
      <w:start w:val="0"/>
      <w:numFmt w:val="bullet"/>
      <w:lvlText w:val="•"/>
      <w:lvlJc w:val="left"/>
      <w:pPr>
        <w:ind w:left="4144" w:hanging="283"/>
      </w:pPr>
      <w:rPr>
        <w:rFonts w:hint="default"/>
        <w:lang w:val="ru-RU" w:eastAsia="en-US" w:bidi="ar-SA"/>
      </w:rPr>
    </w:lvl>
  </w:abstractNum>
  <w:abstractNum w:abstractNumId="69">
    <w:multiLevelType w:val="hybridMultilevel"/>
    <w:lvl w:ilvl="0">
      <w:start w:val="0"/>
      <w:numFmt w:val="bullet"/>
      <w:lvlText w:val="-"/>
      <w:lvlJc w:val="left"/>
      <w:pPr>
        <w:ind w:left="2268"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3224" w:hanging="360"/>
      </w:pPr>
      <w:rPr>
        <w:rFonts w:hint="default"/>
        <w:lang w:val="ru-RU" w:eastAsia="en-US" w:bidi="ar-SA"/>
      </w:rPr>
    </w:lvl>
    <w:lvl w:ilvl="2">
      <w:start w:val="0"/>
      <w:numFmt w:val="bullet"/>
      <w:lvlText w:val="•"/>
      <w:lvlJc w:val="left"/>
      <w:pPr>
        <w:ind w:left="4188" w:hanging="360"/>
      </w:pPr>
      <w:rPr>
        <w:rFonts w:hint="default"/>
        <w:lang w:val="ru-RU" w:eastAsia="en-US" w:bidi="ar-SA"/>
      </w:rPr>
    </w:lvl>
    <w:lvl w:ilvl="3">
      <w:start w:val="0"/>
      <w:numFmt w:val="bullet"/>
      <w:lvlText w:val="•"/>
      <w:lvlJc w:val="left"/>
      <w:pPr>
        <w:ind w:left="5152" w:hanging="360"/>
      </w:pPr>
      <w:rPr>
        <w:rFonts w:hint="default"/>
        <w:lang w:val="ru-RU" w:eastAsia="en-US" w:bidi="ar-SA"/>
      </w:rPr>
    </w:lvl>
    <w:lvl w:ilvl="4">
      <w:start w:val="0"/>
      <w:numFmt w:val="bullet"/>
      <w:lvlText w:val="•"/>
      <w:lvlJc w:val="left"/>
      <w:pPr>
        <w:ind w:left="6116" w:hanging="360"/>
      </w:pPr>
      <w:rPr>
        <w:rFonts w:hint="default"/>
        <w:lang w:val="ru-RU" w:eastAsia="en-US" w:bidi="ar-SA"/>
      </w:rPr>
    </w:lvl>
    <w:lvl w:ilvl="5">
      <w:start w:val="0"/>
      <w:numFmt w:val="bullet"/>
      <w:lvlText w:val="•"/>
      <w:lvlJc w:val="left"/>
      <w:pPr>
        <w:ind w:left="7080" w:hanging="360"/>
      </w:pPr>
      <w:rPr>
        <w:rFonts w:hint="default"/>
        <w:lang w:val="ru-RU" w:eastAsia="en-US" w:bidi="ar-SA"/>
      </w:rPr>
    </w:lvl>
    <w:lvl w:ilvl="6">
      <w:start w:val="0"/>
      <w:numFmt w:val="bullet"/>
      <w:lvlText w:val="•"/>
      <w:lvlJc w:val="left"/>
      <w:pPr>
        <w:ind w:left="8044" w:hanging="360"/>
      </w:pPr>
      <w:rPr>
        <w:rFonts w:hint="default"/>
        <w:lang w:val="ru-RU" w:eastAsia="en-US" w:bidi="ar-SA"/>
      </w:rPr>
    </w:lvl>
    <w:lvl w:ilvl="7">
      <w:start w:val="0"/>
      <w:numFmt w:val="bullet"/>
      <w:lvlText w:val="•"/>
      <w:lvlJc w:val="left"/>
      <w:pPr>
        <w:ind w:left="9008" w:hanging="360"/>
      </w:pPr>
      <w:rPr>
        <w:rFonts w:hint="default"/>
        <w:lang w:val="ru-RU" w:eastAsia="en-US" w:bidi="ar-SA"/>
      </w:rPr>
    </w:lvl>
    <w:lvl w:ilvl="8">
      <w:start w:val="0"/>
      <w:numFmt w:val="bullet"/>
      <w:lvlText w:val="•"/>
      <w:lvlJc w:val="left"/>
      <w:pPr>
        <w:ind w:left="9972" w:hanging="360"/>
      </w:pPr>
      <w:rPr>
        <w:rFonts w:hint="default"/>
        <w:lang w:val="ru-RU" w:eastAsia="en-US" w:bidi="ar-SA"/>
      </w:rPr>
    </w:lvl>
  </w:abstractNum>
  <w:abstractNum w:abstractNumId="68">
    <w:multiLevelType w:val="hybridMultilevel"/>
    <w:lvl w:ilvl="0">
      <w:start w:val="1"/>
      <w:numFmt w:val="decimal"/>
      <w:lvlText w:val="%1."/>
      <w:lvlJc w:val="left"/>
      <w:pPr>
        <w:ind w:left="2549" w:hanging="360"/>
        <w:jc w:val="left"/>
      </w:pPr>
      <w:rPr>
        <w:rFonts w:hint="default" w:ascii="Times New Roman" w:hAnsi="Times New Roman" w:eastAsia="Times New Roman" w:cs="Times New Roman"/>
        <w:b/>
        <w:bCs/>
        <w:i w:val="0"/>
        <w:iCs w:val="0"/>
        <w:spacing w:val="0"/>
        <w:w w:val="99"/>
        <w:sz w:val="24"/>
        <w:szCs w:val="24"/>
        <w:lang w:val="ru-RU" w:eastAsia="en-US" w:bidi="ar-SA"/>
      </w:rPr>
    </w:lvl>
    <w:lvl w:ilvl="1">
      <w:start w:val="0"/>
      <w:numFmt w:val="bullet"/>
      <w:lvlText w:val="•"/>
      <w:lvlJc w:val="left"/>
      <w:pPr>
        <w:ind w:left="3476" w:hanging="360"/>
      </w:pPr>
      <w:rPr>
        <w:rFonts w:hint="default"/>
        <w:lang w:val="ru-RU" w:eastAsia="en-US" w:bidi="ar-SA"/>
      </w:rPr>
    </w:lvl>
    <w:lvl w:ilvl="2">
      <w:start w:val="0"/>
      <w:numFmt w:val="bullet"/>
      <w:lvlText w:val="•"/>
      <w:lvlJc w:val="left"/>
      <w:pPr>
        <w:ind w:left="4412" w:hanging="360"/>
      </w:pPr>
      <w:rPr>
        <w:rFonts w:hint="default"/>
        <w:lang w:val="ru-RU" w:eastAsia="en-US" w:bidi="ar-SA"/>
      </w:rPr>
    </w:lvl>
    <w:lvl w:ilvl="3">
      <w:start w:val="0"/>
      <w:numFmt w:val="bullet"/>
      <w:lvlText w:val="•"/>
      <w:lvlJc w:val="left"/>
      <w:pPr>
        <w:ind w:left="5348" w:hanging="360"/>
      </w:pPr>
      <w:rPr>
        <w:rFonts w:hint="default"/>
        <w:lang w:val="ru-RU" w:eastAsia="en-US" w:bidi="ar-SA"/>
      </w:rPr>
    </w:lvl>
    <w:lvl w:ilvl="4">
      <w:start w:val="0"/>
      <w:numFmt w:val="bullet"/>
      <w:lvlText w:val="•"/>
      <w:lvlJc w:val="left"/>
      <w:pPr>
        <w:ind w:left="6284" w:hanging="360"/>
      </w:pPr>
      <w:rPr>
        <w:rFonts w:hint="default"/>
        <w:lang w:val="ru-RU" w:eastAsia="en-US" w:bidi="ar-SA"/>
      </w:rPr>
    </w:lvl>
    <w:lvl w:ilvl="5">
      <w:start w:val="0"/>
      <w:numFmt w:val="bullet"/>
      <w:lvlText w:val="•"/>
      <w:lvlJc w:val="left"/>
      <w:pPr>
        <w:ind w:left="7220" w:hanging="360"/>
      </w:pPr>
      <w:rPr>
        <w:rFonts w:hint="default"/>
        <w:lang w:val="ru-RU" w:eastAsia="en-US" w:bidi="ar-SA"/>
      </w:rPr>
    </w:lvl>
    <w:lvl w:ilvl="6">
      <w:start w:val="0"/>
      <w:numFmt w:val="bullet"/>
      <w:lvlText w:val="•"/>
      <w:lvlJc w:val="left"/>
      <w:pPr>
        <w:ind w:left="8156" w:hanging="360"/>
      </w:pPr>
      <w:rPr>
        <w:rFonts w:hint="default"/>
        <w:lang w:val="ru-RU" w:eastAsia="en-US" w:bidi="ar-SA"/>
      </w:rPr>
    </w:lvl>
    <w:lvl w:ilvl="7">
      <w:start w:val="0"/>
      <w:numFmt w:val="bullet"/>
      <w:lvlText w:val="•"/>
      <w:lvlJc w:val="left"/>
      <w:pPr>
        <w:ind w:left="9092" w:hanging="360"/>
      </w:pPr>
      <w:rPr>
        <w:rFonts w:hint="default"/>
        <w:lang w:val="ru-RU" w:eastAsia="en-US" w:bidi="ar-SA"/>
      </w:rPr>
    </w:lvl>
    <w:lvl w:ilvl="8">
      <w:start w:val="0"/>
      <w:numFmt w:val="bullet"/>
      <w:lvlText w:val="•"/>
      <w:lvlJc w:val="left"/>
      <w:pPr>
        <w:ind w:left="10028" w:hanging="360"/>
      </w:pPr>
      <w:rPr>
        <w:rFonts w:hint="default"/>
        <w:lang w:val="ru-RU" w:eastAsia="en-US" w:bidi="ar-SA"/>
      </w:rPr>
    </w:lvl>
  </w:abstractNum>
  <w:abstractNum w:abstractNumId="67">
    <w:multiLevelType w:val="hybridMultilevel"/>
    <w:lvl w:ilvl="0">
      <w:start w:val="226"/>
      <w:numFmt w:val="decimal"/>
      <w:lvlText w:val="%1."/>
      <w:lvlJc w:val="left"/>
      <w:pPr>
        <w:ind w:left="2407" w:hanging="566"/>
        <w:jc w:val="left"/>
      </w:pPr>
      <w:rPr>
        <w:rFonts w:hint="default"/>
        <w:spacing w:val="0"/>
        <w:w w:val="99"/>
        <w:lang w:val="ru-RU" w:eastAsia="en-US" w:bidi="ar-SA"/>
      </w:rPr>
    </w:lvl>
    <w:lvl w:ilvl="1">
      <w:start w:val="0"/>
      <w:numFmt w:val="bullet"/>
      <w:lvlText w:val="•"/>
      <w:lvlJc w:val="left"/>
      <w:pPr>
        <w:ind w:left="3350" w:hanging="566"/>
      </w:pPr>
      <w:rPr>
        <w:rFonts w:hint="default"/>
        <w:lang w:val="ru-RU" w:eastAsia="en-US" w:bidi="ar-SA"/>
      </w:rPr>
    </w:lvl>
    <w:lvl w:ilvl="2">
      <w:start w:val="0"/>
      <w:numFmt w:val="bullet"/>
      <w:lvlText w:val="•"/>
      <w:lvlJc w:val="left"/>
      <w:pPr>
        <w:ind w:left="4300" w:hanging="566"/>
      </w:pPr>
      <w:rPr>
        <w:rFonts w:hint="default"/>
        <w:lang w:val="ru-RU" w:eastAsia="en-US" w:bidi="ar-SA"/>
      </w:rPr>
    </w:lvl>
    <w:lvl w:ilvl="3">
      <w:start w:val="0"/>
      <w:numFmt w:val="bullet"/>
      <w:lvlText w:val="•"/>
      <w:lvlJc w:val="left"/>
      <w:pPr>
        <w:ind w:left="5250" w:hanging="566"/>
      </w:pPr>
      <w:rPr>
        <w:rFonts w:hint="default"/>
        <w:lang w:val="ru-RU" w:eastAsia="en-US" w:bidi="ar-SA"/>
      </w:rPr>
    </w:lvl>
    <w:lvl w:ilvl="4">
      <w:start w:val="0"/>
      <w:numFmt w:val="bullet"/>
      <w:lvlText w:val="•"/>
      <w:lvlJc w:val="left"/>
      <w:pPr>
        <w:ind w:left="6200" w:hanging="566"/>
      </w:pPr>
      <w:rPr>
        <w:rFonts w:hint="default"/>
        <w:lang w:val="ru-RU" w:eastAsia="en-US" w:bidi="ar-SA"/>
      </w:rPr>
    </w:lvl>
    <w:lvl w:ilvl="5">
      <w:start w:val="0"/>
      <w:numFmt w:val="bullet"/>
      <w:lvlText w:val="•"/>
      <w:lvlJc w:val="left"/>
      <w:pPr>
        <w:ind w:left="7150" w:hanging="566"/>
      </w:pPr>
      <w:rPr>
        <w:rFonts w:hint="default"/>
        <w:lang w:val="ru-RU" w:eastAsia="en-US" w:bidi="ar-SA"/>
      </w:rPr>
    </w:lvl>
    <w:lvl w:ilvl="6">
      <w:start w:val="0"/>
      <w:numFmt w:val="bullet"/>
      <w:lvlText w:val="•"/>
      <w:lvlJc w:val="left"/>
      <w:pPr>
        <w:ind w:left="8100" w:hanging="566"/>
      </w:pPr>
      <w:rPr>
        <w:rFonts w:hint="default"/>
        <w:lang w:val="ru-RU" w:eastAsia="en-US" w:bidi="ar-SA"/>
      </w:rPr>
    </w:lvl>
    <w:lvl w:ilvl="7">
      <w:start w:val="0"/>
      <w:numFmt w:val="bullet"/>
      <w:lvlText w:val="•"/>
      <w:lvlJc w:val="left"/>
      <w:pPr>
        <w:ind w:left="9050" w:hanging="566"/>
      </w:pPr>
      <w:rPr>
        <w:rFonts w:hint="default"/>
        <w:lang w:val="ru-RU" w:eastAsia="en-US" w:bidi="ar-SA"/>
      </w:rPr>
    </w:lvl>
    <w:lvl w:ilvl="8">
      <w:start w:val="0"/>
      <w:numFmt w:val="bullet"/>
      <w:lvlText w:val="•"/>
      <w:lvlJc w:val="left"/>
      <w:pPr>
        <w:ind w:left="10000" w:hanging="566"/>
      </w:pPr>
      <w:rPr>
        <w:rFonts w:hint="default"/>
        <w:lang w:val="ru-RU" w:eastAsia="en-US" w:bidi="ar-SA"/>
      </w:rPr>
    </w:lvl>
  </w:abstractNum>
  <w:abstractNum w:abstractNumId="66">
    <w:multiLevelType w:val="hybridMultilevel"/>
    <w:lvl w:ilvl="0">
      <w:start w:val="1"/>
      <w:numFmt w:val="decimal"/>
      <w:lvlText w:val="%1."/>
      <w:lvlJc w:val="left"/>
      <w:pPr>
        <w:ind w:left="2407" w:hanging="566"/>
        <w:jc w:val="left"/>
      </w:pPr>
      <w:rPr>
        <w:rFonts w:hint="default" w:ascii="Times New Roman" w:hAnsi="Times New Roman" w:eastAsia="Times New Roman" w:cs="Times New Roman"/>
        <w:b w:val="0"/>
        <w:bCs w:val="0"/>
        <w:i w:val="0"/>
        <w:iCs w:val="0"/>
        <w:spacing w:val="0"/>
        <w:w w:val="99"/>
        <w:sz w:val="20"/>
        <w:szCs w:val="20"/>
        <w:lang w:val="ru-RU" w:eastAsia="en-US" w:bidi="ar-SA"/>
      </w:rPr>
    </w:lvl>
    <w:lvl w:ilvl="1">
      <w:start w:val="0"/>
      <w:numFmt w:val="bullet"/>
      <w:lvlText w:val="•"/>
      <w:lvlJc w:val="left"/>
      <w:pPr>
        <w:ind w:left="3350" w:hanging="566"/>
      </w:pPr>
      <w:rPr>
        <w:rFonts w:hint="default"/>
        <w:lang w:val="ru-RU" w:eastAsia="en-US" w:bidi="ar-SA"/>
      </w:rPr>
    </w:lvl>
    <w:lvl w:ilvl="2">
      <w:start w:val="0"/>
      <w:numFmt w:val="bullet"/>
      <w:lvlText w:val="•"/>
      <w:lvlJc w:val="left"/>
      <w:pPr>
        <w:ind w:left="4300" w:hanging="566"/>
      </w:pPr>
      <w:rPr>
        <w:rFonts w:hint="default"/>
        <w:lang w:val="ru-RU" w:eastAsia="en-US" w:bidi="ar-SA"/>
      </w:rPr>
    </w:lvl>
    <w:lvl w:ilvl="3">
      <w:start w:val="0"/>
      <w:numFmt w:val="bullet"/>
      <w:lvlText w:val="•"/>
      <w:lvlJc w:val="left"/>
      <w:pPr>
        <w:ind w:left="5250" w:hanging="566"/>
      </w:pPr>
      <w:rPr>
        <w:rFonts w:hint="default"/>
        <w:lang w:val="ru-RU" w:eastAsia="en-US" w:bidi="ar-SA"/>
      </w:rPr>
    </w:lvl>
    <w:lvl w:ilvl="4">
      <w:start w:val="0"/>
      <w:numFmt w:val="bullet"/>
      <w:lvlText w:val="•"/>
      <w:lvlJc w:val="left"/>
      <w:pPr>
        <w:ind w:left="6200" w:hanging="566"/>
      </w:pPr>
      <w:rPr>
        <w:rFonts w:hint="default"/>
        <w:lang w:val="ru-RU" w:eastAsia="en-US" w:bidi="ar-SA"/>
      </w:rPr>
    </w:lvl>
    <w:lvl w:ilvl="5">
      <w:start w:val="0"/>
      <w:numFmt w:val="bullet"/>
      <w:lvlText w:val="•"/>
      <w:lvlJc w:val="left"/>
      <w:pPr>
        <w:ind w:left="7150" w:hanging="566"/>
      </w:pPr>
      <w:rPr>
        <w:rFonts w:hint="default"/>
        <w:lang w:val="ru-RU" w:eastAsia="en-US" w:bidi="ar-SA"/>
      </w:rPr>
    </w:lvl>
    <w:lvl w:ilvl="6">
      <w:start w:val="0"/>
      <w:numFmt w:val="bullet"/>
      <w:lvlText w:val="•"/>
      <w:lvlJc w:val="left"/>
      <w:pPr>
        <w:ind w:left="8100" w:hanging="566"/>
      </w:pPr>
      <w:rPr>
        <w:rFonts w:hint="default"/>
        <w:lang w:val="ru-RU" w:eastAsia="en-US" w:bidi="ar-SA"/>
      </w:rPr>
    </w:lvl>
    <w:lvl w:ilvl="7">
      <w:start w:val="0"/>
      <w:numFmt w:val="bullet"/>
      <w:lvlText w:val="•"/>
      <w:lvlJc w:val="left"/>
      <w:pPr>
        <w:ind w:left="9050" w:hanging="566"/>
      </w:pPr>
      <w:rPr>
        <w:rFonts w:hint="default"/>
        <w:lang w:val="ru-RU" w:eastAsia="en-US" w:bidi="ar-SA"/>
      </w:rPr>
    </w:lvl>
    <w:lvl w:ilvl="8">
      <w:start w:val="0"/>
      <w:numFmt w:val="bullet"/>
      <w:lvlText w:val="•"/>
      <w:lvlJc w:val="left"/>
      <w:pPr>
        <w:ind w:left="10000" w:hanging="566"/>
      </w:pPr>
      <w:rPr>
        <w:rFonts w:hint="default"/>
        <w:lang w:val="ru-RU" w:eastAsia="en-US" w:bidi="ar-SA"/>
      </w:rPr>
    </w:lvl>
  </w:abstractNum>
  <w:abstractNum w:abstractNumId="65">
    <w:multiLevelType w:val="hybridMultilevel"/>
    <w:lvl w:ilvl="0">
      <w:start w:val="0"/>
      <w:numFmt w:val="bullet"/>
      <w:lvlText w:val="-"/>
      <w:lvlJc w:val="left"/>
      <w:pPr>
        <w:ind w:left="2549"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3476" w:hanging="360"/>
      </w:pPr>
      <w:rPr>
        <w:rFonts w:hint="default"/>
        <w:lang w:val="ru-RU" w:eastAsia="en-US" w:bidi="ar-SA"/>
      </w:rPr>
    </w:lvl>
    <w:lvl w:ilvl="2">
      <w:start w:val="0"/>
      <w:numFmt w:val="bullet"/>
      <w:lvlText w:val="•"/>
      <w:lvlJc w:val="left"/>
      <w:pPr>
        <w:ind w:left="4412" w:hanging="360"/>
      </w:pPr>
      <w:rPr>
        <w:rFonts w:hint="default"/>
        <w:lang w:val="ru-RU" w:eastAsia="en-US" w:bidi="ar-SA"/>
      </w:rPr>
    </w:lvl>
    <w:lvl w:ilvl="3">
      <w:start w:val="0"/>
      <w:numFmt w:val="bullet"/>
      <w:lvlText w:val="•"/>
      <w:lvlJc w:val="left"/>
      <w:pPr>
        <w:ind w:left="5348" w:hanging="360"/>
      </w:pPr>
      <w:rPr>
        <w:rFonts w:hint="default"/>
        <w:lang w:val="ru-RU" w:eastAsia="en-US" w:bidi="ar-SA"/>
      </w:rPr>
    </w:lvl>
    <w:lvl w:ilvl="4">
      <w:start w:val="0"/>
      <w:numFmt w:val="bullet"/>
      <w:lvlText w:val="•"/>
      <w:lvlJc w:val="left"/>
      <w:pPr>
        <w:ind w:left="6284" w:hanging="360"/>
      </w:pPr>
      <w:rPr>
        <w:rFonts w:hint="default"/>
        <w:lang w:val="ru-RU" w:eastAsia="en-US" w:bidi="ar-SA"/>
      </w:rPr>
    </w:lvl>
    <w:lvl w:ilvl="5">
      <w:start w:val="0"/>
      <w:numFmt w:val="bullet"/>
      <w:lvlText w:val="•"/>
      <w:lvlJc w:val="left"/>
      <w:pPr>
        <w:ind w:left="7220" w:hanging="360"/>
      </w:pPr>
      <w:rPr>
        <w:rFonts w:hint="default"/>
        <w:lang w:val="ru-RU" w:eastAsia="en-US" w:bidi="ar-SA"/>
      </w:rPr>
    </w:lvl>
    <w:lvl w:ilvl="6">
      <w:start w:val="0"/>
      <w:numFmt w:val="bullet"/>
      <w:lvlText w:val="•"/>
      <w:lvlJc w:val="left"/>
      <w:pPr>
        <w:ind w:left="8156" w:hanging="360"/>
      </w:pPr>
      <w:rPr>
        <w:rFonts w:hint="default"/>
        <w:lang w:val="ru-RU" w:eastAsia="en-US" w:bidi="ar-SA"/>
      </w:rPr>
    </w:lvl>
    <w:lvl w:ilvl="7">
      <w:start w:val="0"/>
      <w:numFmt w:val="bullet"/>
      <w:lvlText w:val="•"/>
      <w:lvlJc w:val="left"/>
      <w:pPr>
        <w:ind w:left="9092" w:hanging="360"/>
      </w:pPr>
      <w:rPr>
        <w:rFonts w:hint="default"/>
        <w:lang w:val="ru-RU" w:eastAsia="en-US" w:bidi="ar-SA"/>
      </w:rPr>
    </w:lvl>
    <w:lvl w:ilvl="8">
      <w:start w:val="0"/>
      <w:numFmt w:val="bullet"/>
      <w:lvlText w:val="•"/>
      <w:lvlJc w:val="left"/>
      <w:pPr>
        <w:ind w:left="10028" w:hanging="360"/>
      </w:pPr>
      <w:rPr>
        <w:rFonts w:hint="default"/>
        <w:lang w:val="ru-RU" w:eastAsia="en-US" w:bidi="ar-SA"/>
      </w:rPr>
    </w:lvl>
  </w:abstractNum>
  <w:abstractNum w:abstractNumId="64">
    <w:multiLevelType w:val="hybridMultilevel"/>
    <w:lvl w:ilvl="0">
      <w:start w:val="0"/>
      <w:numFmt w:val="bullet"/>
      <w:lvlText w:val="-"/>
      <w:lvlJc w:val="left"/>
      <w:pPr>
        <w:ind w:left="2268"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3224" w:hanging="360"/>
      </w:pPr>
      <w:rPr>
        <w:rFonts w:hint="default"/>
        <w:lang w:val="ru-RU" w:eastAsia="en-US" w:bidi="ar-SA"/>
      </w:rPr>
    </w:lvl>
    <w:lvl w:ilvl="2">
      <w:start w:val="0"/>
      <w:numFmt w:val="bullet"/>
      <w:lvlText w:val="•"/>
      <w:lvlJc w:val="left"/>
      <w:pPr>
        <w:ind w:left="4188" w:hanging="360"/>
      </w:pPr>
      <w:rPr>
        <w:rFonts w:hint="default"/>
        <w:lang w:val="ru-RU" w:eastAsia="en-US" w:bidi="ar-SA"/>
      </w:rPr>
    </w:lvl>
    <w:lvl w:ilvl="3">
      <w:start w:val="0"/>
      <w:numFmt w:val="bullet"/>
      <w:lvlText w:val="•"/>
      <w:lvlJc w:val="left"/>
      <w:pPr>
        <w:ind w:left="5152" w:hanging="360"/>
      </w:pPr>
      <w:rPr>
        <w:rFonts w:hint="default"/>
        <w:lang w:val="ru-RU" w:eastAsia="en-US" w:bidi="ar-SA"/>
      </w:rPr>
    </w:lvl>
    <w:lvl w:ilvl="4">
      <w:start w:val="0"/>
      <w:numFmt w:val="bullet"/>
      <w:lvlText w:val="•"/>
      <w:lvlJc w:val="left"/>
      <w:pPr>
        <w:ind w:left="6116" w:hanging="360"/>
      </w:pPr>
      <w:rPr>
        <w:rFonts w:hint="default"/>
        <w:lang w:val="ru-RU" w:eastAsia="en-US" w:bidi="ar-SA"/>
      </w:rPr>
    </w:lvl>
    <w:lvl w:ilvl="5">
      <w:start w:val="0"/>
      <w:numFmt w:val="bullet"/>
      <w:lvlText w:val="•"/>
      <w:lvlJc w:val="left"/>
      <w:pPr>
        <w:ind w:left="7080" w:hanging="360"/>
      </w:pPr>
      <w:rPr>
        <w:rFonts w:hint="default"/>
        <w:lang w:val="ru-RU" w:eastAsia="en-US" w:bidi="ar-SA"/>
      </w:rPr>
    </w:lvl>
    <w:lvl w:ilvl="6">
      <w:start w:val="0"/>
      <w:numFmt w:val="bullet"/>
      <w:lvlText w:val="•"/>
      <w:lvlJc w:val="left"/>
      <w:pPr>
        <w:ind w:left="8044" w:hanging="360"/>
      </w:pPr>
      <w:rPr>
        <w:rFonts w:hint="default"/>
        <w:lang w:val="ru-RU" w:eastAsia="en-US" w:bidi="ar-SA"/>
      </w:rPr>
    </w:lvl>
    <w:lvl w:ilvl="7">
      <w:start w:val="0"/>
      <w:numFmt w:val="bullet"/>
      <w:lvlText w:val="•"/>
      <w:lvlJc w:val="left"/>
      <w:pPr>
        <w:ind w:left="9008" w:hanging="360"/>
      </w:pPr>
      <w:rPr>
        <w:rFonts w:hint="default"/>
        <w:lang w:val="ru-RU" w:eastAsia="en-US" w:bidi="ar-SA"/>
      </w:rPr>
    </w:lvl>
    <w:lvl w:ilvl="8">
      <w:start w:val="0"/>
      <w:numFmt w:val="bullet"/>
      <w:lvlText w:val="•"/>
      <w:lvlJc w:val="left"/>
      <w:pPr>
        <w:ind w:left="9972" w:hanging="360"/>
      </w:pPr>
      <w:rPr>
        <w:rFonts w:hint="default"/>
        <w:lang w:val="ru-RU" w:eastAsia="en-US" w:bidi="ar-SA"/>
      </w:rPr>
    </w:lvl>
  </w:abstractNum>
  <w:abstractNum w:abstractNumId="63">
    <w:multiLevelType w:val="hybridMultilevel"/>
    <w:lvl w:ilvl="0">
      <w:start w:val="0"/>
      <w:numFmt w:val="bullet"/>
      <w:lvlText w:val=""/>
      <w:lvlJc w:val="left"/>
      <w:pPr>
        <w:ind w:left="2268" w:hanging="427"/>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224" w:hanging="427"/>
      </w:pPr>
      <w:rPr>
        <w:rFonts w:hint="default"/>
        <w:lang w:val="ru-RU" w:eastAsia="en-US" w:bidi="ar-SA"/>
      </w:rPr>
    </w:lvl>
    <w:lvl w:ilvl="2">
      <w:start w:val="0"/>
      <w:numFmt w:val="bullet"/>
      <w:lvlText w:val="•"/>
      <w:lvlJc w:val="left"/>
      <w:pPr>
        <w:ind w:left="4188" w:hanging="427"/>
      </w:pPr>
      <w:rPr>
        <w:rFonts w:hint="default"/>
        <w:lang w:val="ru-RU" w:eastAsia="en-US" w:bidi="ar-SA"/>
      </w:rPr>
    </w:lvl>
    <w:lvl w:ilvl="3">
      <w:start w:val="0"/>
      <w:numFmt w:val="bullet"/>
      <w:lvlText w:val="•"/>
      <w:lvlJc w:val="left"/>
      <w:pPr>
        <w:ind w:left="5152" w:hanging="427"/>
      </w:pPr>
      <w:rPr>
        <w:rFonts w:hint="default"/>
        <w:lang w:val="ru-RU" w:eastAsia="en-US" w:bidi="ar-SA"/>
      </w:rPr>
    </w:lvl>
    <w:lvl w:ilvl="4">
      <w:start w:val="0"/>
      <w:numFmt w:val="bullet"/>
      <w:lvlText w:val="•"/>
      <w:lvlJc w:val="left"/>
      <w:pPr>
        <w:ind w:left="6116" w:hanging="427"/>
      </w:pPr>
      <w:rPr>
        <w:rFonts w:hint="default"/>
        <w:lang w:val="ru-RU" w:eastAsia="en-US" w:bidi="ar-SA"/>
      </w:rPr>
    </w:lvl>
    <w:lvl w:ilvl="5">
      <w:start w:val="0"/>
      <w:numFmt w:val="bullet"/>
      <w:lvlText w:val="•"/>
      <w:lvlJc w:val="left"/>
      <w:pPr>
        <w:ind w:left="7080" w:hanging="427"/>
      </w:pPr>
      <w:rPr>
        <w:rFonts w:hint="default"/>
        <w:lang w:val="ru-RU" w:eastAsia="en-US" w:bidi="ar-SA"/>
      </w:rPr>
    </w:lvl>
    <w:lvl w:ilvl="6">
      <w:start w:val="0"/>
      <w:numFmt w:val="bullet"/>
      <w:lvlText w:val="•"/>
      <w:lvlJc w:val="left"/>
      <w:pPr>
        <w:ind w:left="8044" w:hanging="427"/>
      </w:pPr>
      <w:rPr>
        <w:rFonts w:hint="default"/>
        <w:lang w:val="ru-RU" w:eastAsia="en-US" w:bidi="ar-SA"/>
      </w:rPr>
    </w:lvl>
    <w:lvl w:ilvl="7">
      <w:start w:val="0"/>
      <w:numFmt w:val="bullet"/>
      <w:lvlText w:val="•"/>
      <w:lvlJc w:val="left"/>
      <w:pPr>
        <w:ind w:left="9008" w:hanging="427"/>
      </w:pPr>
      <w:rPr>
        <w:rFonts w:hint="default"/>
        <w:lang w:val="ru-RU" w:eastAsia="en-US" w:bidi="ar-SA"/>
      </w:rPr>
    </w:lvl>
    <w:lvl w:ilvl="8">
      <w:start w:val="0"/>
      <w:numFmt w:val="bullet"/>
      <w:lvlText w:val="•"/>
      <w:lvlJc w:val="left"/>
      <w:pPr>
        <w:ind w:left="9972" w:hanging="427"/>
      </w:pPr>
      <w:rPr>
        <w:rFonts w:hint="default"/>
        <w:lang w:val="ru-RU" w:eastAsia="en-US" w:bidi="ar-SA"/>
      </w:rPr>
    </w:lvl>
  </w:abstractNum>
  <w:abstractNum w:abstractNumId="62">
    <w:multiLevelType w:val="hybridMultilevel"/>
    <w:lvl w:ilvl="0">
      <w:start w:val="0"/>
      <w:numFmt w:val="bullet"/>
      <w:lvlText w:val="-"/>
      <w:lvlJc w:val="left"/>
      <w:pPr>
        <w:ind w:left="2268"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3224" w:hanging="360"/>
      </w:pPr>
      <w:rPr>
        <w:rFonts w:hint="default"/>
        <w:lang w:val="ru-RU" w:eastAsia="en-US" w:bidi="ar-SA"/>
      </w:rPr>
    </w:lvl>
    <w:lvl w:ilvl="2">
      <w:start w:val="0"/>
      <w:numFmt w:val="bullet"/>
      <w:lvlText w:val="•"/>
      <w:lvlJc w:val="left"/>
      <w:pPr>
        <w:ind w:left="4188" w:hanging="360"/>
      </w:pPr>
      <w:rPr>
        <w:rFonts w:hint="default"/>
        <w:lang w:val="ru-RU" w:eastAsia="en-US" w:bidi="ar-SA"/>
      </w:rPr>
    </w:lvl>
    <w:lvl w:ilvl="3">
      <w:start w:val="0"/>
      <w:numFmt w:val="bullet"/>
      <w:lvlText w:val="•"/>
      <w:lvlJc w:val="left"/>
      <w:pPr>
        <w:ind w:left="5152" w:hanging="360"/>
      </w:pPr>
      <w:rPr>
        <w:rFonts w:hint="default"/>
        <w:lang w:val="ru-RU" w:eastAsia="en-US" w:bidi="ar-SA"/>
      </w:rPr>
    </w:lvl>
    <w:lvl w:ilvl="4">
      <w:start w:val="0"/>
      <w:numFmt w:val="bullet"/>
      <w:lvlText w:val="•"/>
      <w:lvlJc w:val="left"/>
      <w:pPr>
        <w:ind w:left="6116" w:hanging="360"/>
      </w:pPr>
      <w:rPr>
        <w:rFonts w:hint="default"/>
        <w:lang w:val="ru-RU" w:eastAsia="en-US" w:bidi="ar-SA"/>
      </w:rPr>
    </w:lvl>
    <w:lvl w:ilvl="5">
      <w:start w:val="0"/>
      <w:numFmt w:val="bullet"/>
      <w:lvlText w:val="•"/>
      <w:lvlJc w:val="left"/>
      <w:pPr>
        <w:ind w:left="7080" w:hanging="360"/>
      </w:pPr>
      <w:rPr>
        <w:rFonts w:hint="default"/>
        <w:lang w:val="ru-RU" w:eastAsia="en-US" w:bidi="ar-SA"/>
      </w:rPr>
    </w:lvl>
    <w:lvl w:ilvl="6">
      <w:start w:val="0"/>
      <w:numFmt w:val="bullet"/>
      <w:lvlText w:val="•"/>
      <w:lvlJc w:val="left"/>
      <w:pPr>
        <w:ind w:left="8044" w:hanging="360"/>
      </w:pPr>
      <w:rPr>
        <w:rFonts w:hint="default"/>
        <w:lang w:val="ru-RU" w:eastAsia="en-US" w:bidi="ar-SA"/>
      </w:rPr>
    </w:lvl>
    <w:lvl w:ilvl="7">
      <w:start w:val="0"/>
      <w:numFmt w:val="bullet"/>
      <w:lvlText w:val="•"/>
      <w:lvlJc w:val="left"/>
      <w:pPr>
        <w:ind w:left="9008" w:hanging="360"/>
      </w:pPr>
      <w:rPr>
        <w:rFonts w:hint="default"/>
        <w:lang w:val="ru-RU" w:eastAsia="en-US" w:bidi="ar-SA"/>
      </w:rPr>
    </w:lvl>
    <w:lvl w:ilvl="8">
      <w:start w:val="0"/>
      <w:numFmt w:val="bullet"/>
      <w:lvlText w:val="•"/>
      <w:lvlJc w:val="left"/>
      <w:pPr>
        <w:ind w:left="9972" w:hanging="360"/>
      </w:pPr>
      <w:rPr>
        <w:rFonts w:hint="default"/>
        <w:lang w:val="ru-RU" w:eastAsia="en-US" w:bidi="ar-SA"/>
      </w:rPr>
    </w:lvl>
  </w:abstractNum>
  <w:abstractNum w:abstractNumId="61">
    <w:multiLevelType w:val="hybridMultilevel"/>
    <w:lvl w:ilvl="0">
      <w:start w:val="9"/>
      <w:numFmt w:val="decimal"/>
      <w:lvlText w:val="%1"/>
      <w:lvlJc w:val="left"/>
      <w:pPr>
        <w:ind w:left="2970" w:hanging="422"/>
        <w:jc w:val="left"/>
      </w:pPr>
      <w:rPr>
        <w:rFonts w:hint="default"/>
        <w:lang w:val="ru-RU" w:eastAsia="en-US" w:bidi="ar-SA"/>
      </w:rPr>
    </w:lvl>
    <w:lvl w:ilvl="1">
      <w:start w:val="2"/>
      <w:numFmt w:val="decimal"/>
      <w:lvlText w:val="%1.%2"/>
      <w:lvlJc w:val="left"/>
      <w:pPr>
        <w:ind w:left="2970" w:hanging="422"/>
        <w:jc w:val="left"/>
      </w:pPr>
      <w:rPr>
        <w:rFonts w:hint="default" w:ascii="Times New Roman" w:hAnsi="Times New Roman" w:eastAsia="Times New Roman" w:cs="Times New Roman"/>
        <w:b/>
        <w:bCs/>
        <w:i w:val="0"/>
        <w:iCs w:val="0"/>
        <w:color w:val="1F487C"/>
        <w:spacing w:val="0"/>
        <w:w w:val="100"/>
        <w:sz w:val="28"/>
        <w:szCs w:val="28"/>
        <w:lang w:val="ru-RU" w:eastAsia="en-US" w:bidi="ar-SA"/>
      </w:rPr>
    </w:lvl>
    <w:lvl w:ilvl="2">
      <w:start w:val="0"/>
      <w:numFmt w:val="bullet"/>
      <w:lvlText w:val="•"/>
      <w:lvlJc w:val="left"/>
      <w:pPr>
        <w:ind w:left="4764" w:hanging="422"/>
      </w:pPr>
      <w:rPr>
        <w:rFonts w:hint="default"/>
        <w:lang w:val="ru-RU" w:eastAsia="en-US" w:bidi="ar-SA"/>
      </w:rPr>
    </w:lvl>
    <w:lvl w:ilvl="3">
      <w:start w:val="0"/>
      <w:numFmt w:val="bullet"/>
      <w:lvlText w:val="•"/>
      <w:lvlJc w:val="left"/>
      <w:pPr>
        <w:ind w:left="5656" w:hanging="422"/>
      </w:pPr>
      <w:rPr>
        <w:rFonts w:hint="default"/>
        <w:lang w:val="ru-RU" w:eastAsia="en-US" w:bidi="ar-SA"/>
      </w:rPr>
    </w:lvl>
    <w:lvl w:ilvl="4">
      <w:start w:val="0"/>
      <w:numFmt w:val="bullet"/>
      <w:lvlText w:val="•"/>
      <w:lvlJc w:val="left"/>
      <w:pPr>
        <w:ind w:left="6548" w:hanging="422"/>
      </w:pPr>
      <w:rPr>
        <w:rFonts w:hint="default"/>
        <w:lang w:val="ru-RU" w:eastAsia="en-US" w:bidi="ar-SA"/>
      </w:rPr>
    </w:lvl>
    <w:lvl w:ilvl="5">
      <w:start w:val="0"/>
      <w:numFmt w:val="bullet"/>
      <w:lvlText w:val="•"/>
      <w:lvlJc w:val="left"/>
      <w:pPr>
        <w:ind w:left="7440" w:hanging="422"/>
      </w:pPr>
      <w:rPr>
        <w:rFonts w:hint="default"/>
        <w:lang w:val="ru-RU" w:eastAsia="en-US" w:bidi="ar-SA"/>
      </w:rPr>
    </w:lvl>
    <w:lvl w:ilvl="6">
      <w:start w:val="0"/>
      <w:numFmt w:val="bullet"/>
      <w:lvlText w:val="•"/>
      <w:lvlJc w:val="left"/>
      <w:pPr>
        <w:ind w:left="8332" w:hanging="422"/>
      </w:pPr>
      <w:rPr>
        <w:rFonts w:hint="default"/>
        <w:lang w:val="ru-RU" w:eastAsia="en-US" w:bidi="ar-SA"/>
      </w:rPr>
    </w:lvl>
    <w:lvl w:ilvl="7">
      <w:start w:val="0"/>
      <w:numFmt w:val="bullet"/>
      <w:lvlText w:val="•"/>
      <w:lvlJc w:val="left"/>
      <w:pPr>
        <w:ind w:left="9224" w:hanging="422"/>
      </w:pPr>
      <w:rPr>
        <w:rFonts w:hint="default"/>
        <w:lang w:val="ru-RU" w:eastAsia="en-US" w:bidi="ar-SA"/>
      </w:rPr>
    </w:lvl>
    <w:lvl w:ilvl="8">
      <w:start w:val="0"/>
      <w:numFmt w:val="bullet"/>
      <w:lvlText w:val="•"/>
      <w:lvlJc w:val="left"/>
      <w:pPr>
        <w:ind w:left="10116" w:hanging="422"/>
      </w:pPr>
      <w:rPr>
        <w:rFonts w:hint="default"/>
        <w:lang w:val="ru-RU" w:eastAsia="en-US" w:bidi="ar-SA"/>
      </w:rPr>
    </w:lvl>
  </w:abstractNum>
  <w:abstractNum w:abstractNumId="60">
    <w:multiLevelType w:val="hybridMultilevel"/>
    <w:lvl w:ilvl="0">
      <w:start w:val="0"/>
      <w:numFmt w:val="bullet"/>
      <w:lvlText w:val=""/>
      <w:lvlJc w:val="left"/>
      <w:pPr>
        <w:ind w:left="2561" w:hanging="360"/>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94" w:hanging="360"/>
      </w:pPr>
      <w:rPr>
        <w:rFonts w:hint="default"/>
        <w:lang w:val="ru-RU" w:eastAsia="en-US" w:bidi="ar-SA"/>
      </w:rPr>
    </w:lvl>
    <w:lvl w:ilvl="2">
      <w:start w:val="0"/>
      <w:numFmt w:val="bullet"/>
      <w:lvlText w:val="•"/>
      <w:lvlJc w:val="left"/>
      <w:pPr>
        <w:ind w:left="4428" w:hanging="360"/>
      </w:pPr>
      <w:rPr>
        <w:rFonts w:hint="default"/>
        <w:lang w:val="ru-RU" w:eastAsia="en-US" w:bidi="ar-SA"/>
      </w:rPr>
    </w:lvl>
    <w:lvl w:ilvl="3">
      <w:start w:val="0"/>
      <w:numFmt w:val="bullet"/>
      <w:lvlText w:val="•"/>
      <w:lvlJc w:val="left"/>
      <w:pPr>
        <w:ind w:left="5362" w:hanging="360"/>
      </w:pPr>
      <w:rPr>
        <w:rFonts w:hint="default"/>
        <w:lang w:val="ru-RU" w:eastAsia="en-US" w:bidi="ar-SA"/>
      </w:rPr>
    </w:lvl>
    <w:lvl w:ilvl="4">
      <w:start w:val="0"/>
      <w:numFmt w:val="bullet"/>
      <w:lvlText w:val="•"/>
      <w:lvlJc w:val="left"/>
      <w:pPr>
        <w:ind w:left="6296" w:hanging="360"/>
      </w:pPr>
      <w:rPr>
        <w:rFonts w:hint="default"/>
        <w:lang w:val="ru-RU" w:eastAsia="en-US" w:bidi="ar-SA"/>
      </w:rPr>
    </w:lvl>
    <w:lvl w:ilvl="5">
      <w:start w:val="0"/>
      <w:numFmt w:val="bullet"/>
      <w:lvlText w:val="•"/>
      <w:lvlJc w:val="left"/>
      <w:pPr>
        <w:ind w:left="7230" w:hanging="360"/>
      </w:pPr>
      <w:rPr>
        <w:rFonts w:hint="default"/>
        <w:lang w:val="ru-RU" w:eastAsia="en-US" w:bidi="ar-SA"/>
      </w:rPr>
    </w:lvl>
    <w:lvl w:ilvl="6">
      <w:start w:val="0"/>
      <w:numFmt w:val="bullet"/>
      <w:lvlText w:val="•"/>
      <w:lvlJc w:val="left"/>
      <w:pPr>
        <w:ind w:left="8164" w:hanging="360"/>
      </w:pPr>
      <w:rPr>
        <w:rFonts w:hint="default"/>
        <w:lang w:val="ru-RU" w:eastAsia="en-US" w:bidi="ar-SA"/>
      </w:rPr>
    </w:lvl>
    <w:lvl w:ilvl="7">
      <w:start w:val="0"/>
      <w:numFmt w:val="bullet"/>
      <w:lvlText w:val="•"/>
      <w:lvlJc w:val="left"/>
      <w:pPr>
        <w:ind w:left="9098" w:hanging="360"/>
      </w:pPr>
      <w:rPr>
        <w:rFonts w:hint="default"/>
        <w:lang w:val="ru-RU" w:eastAsia="en-US" w:bidi="ar-SA"/>
      </w:rPr>
    </w:lvl>
    <w:lvl w:ilvl="8">
      <w:start w:val="0"/>
      <w:numFmt w:val="bullet"/>
      <w:lvlText w:val="•"/>
      <w:lvlJc w:val="left"/>
      <w:pPr>
        <w:ind w:left="10032" w:hanging="360"/>
      </w:pPr>
      <w:rPr>
        <w:rFonts w:hint="default"/>
        <w:lang w:val="ru-RU" w:eastAsia="en-US" w:bidi="ar-SA"/>
      </w:rPr>
    </w:lvl>
  </w:abstractNum>
  <w:abstractNum w:abstractNumId="59">
    <w:multiLevelType w:val="hybridMultilevel"/>
    <w:lvl w:ilvl="0">
      <w:start w:val="0"/>
      <w:numFmt w:val="bullet"/>
      <w:lvlText w:val="-"/>
      <w:lvlJc w:val="left"/>
      <w:pPr>
        <w:ind w:left="2124"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3098" w:hanging="360"/>
      </w:pPr>
      <w:rPr>
        <w:rFonts w:hint="default"/>
        <w:lang w:val="ru-RU" w:eastAsia="en-US" w:bidi="ar-SA"/>
      </w:rPr>
    </w:lvl>
    <w:lvl w:ilvl="2">
      <w:start w:val="0"/>
      <w:numFmt w:val="bullet"/>
      <w:lvlText w:val="•"/>
      <w:lvlJc w:val="left"/>
      <w:pPr>
        <w:ind w:left="4076" w:hanging="360"/>
      </w:pPr>
      <w:rPr>
        <w:rFonts w:hint="default"/>
        <w:lang w:val="ru-RU" w:eastAsia="en-US" w:bidi="ar-SA"/>
      </w:rPr>
    </w:lvl>
    <w:lvl w:ilvl="3">
      <w:start w:val="0"/>
      <w:numFmt w:val="bullet"/>
      <w:lvlText w:val="•"/>
      <w:lvlJc w:val="left"/>
      <w:pPr>
        <w:ind w:left="5054" w:hanging="360"/>
      </w:pPr>
      <w:rPr>
        <w:rFonts w:hint="default"/>
        <w:lang w:val="ru-RU" w:eastAsia="en-US" w:bidi="ar-SA"/>
      </w:rPr>
    </w:lvl>
    <w:lvl w:ilvl="4">
      <w:start w:val="0"/>
      <w:numFmt w:val="bullet"/>
      <w:lvlText w:val="•"/>
      <w:lvlJc w:val="left"/>
      <w:pPr>
        <w:ind w:left="6032" w:hanging="360"/>
      </w:pPr>
      <w:rPr>
        <w:rFonts w:hint="default"/>
        <w:lang w:val="ru-RU" w:eastAsia="en-US" w:bidi="ar-SA"/>
      </w:rPr>
    </w:lvl>
    <w:lvl w:ilvl="5">
      <w:start w:val="0"/>
      <w:numFmt w:val="bullet"/>
      <w:lvlText w:val="•"/>
      <w:lvlJc w:val="left"/>
      <w:pPr>
        <w:ind w:left="7010" w:hanging="360"/>
      </w:pPr>
      <w:rPr>
        <w:rFonts w:hint="default"/>
        <w:lang w:val="ru-RU" w:eastAsia="en-US" w:bidi="ar-SA"/>
      </w:rPr>
    </w:lvl>
    <w:lvl w:ilvl="6">
      <w:start w:val="0"/>
      <w:numFmt w:val="bullet"/>
      <w:lvlText w:val="•"/>
      <w:lvlJc w:val="left"/>
      <w:pPr>
        <w:ind w:left="7988" w:hanging="360"/>
      </w:pPr>
      <w:rPr>
        <w:rFonts w:hint="default"/>
        <w:lang w:val="ru-RU" w:eastAsia="en-US" w:bidi="ar-SA"/>
      </w:rPr>
    </w:lvl>
    <w:lvl w:ilvl="7">
      <w:start w:val="0"/>
      <w:numFmt w:val="bullet"/>
      <w:lvlText w:val="•"/>
      <w:lvlJc w:val="left"/>
      <w:pPr>
        <w:ind w:left="8966" w:hanging="360"/>
      </w:pPr>
      <w:rPr>
        <w:rFonts w:hint="default"/>
        <w:lang w:val="ru-RU" w:eastAsia="en-US" w:bidi="ar-SA"/>
      </w:rPr>
    </w:lvl>
    <w:lvl w:ilvl="8">
      <w:start w:val="0"/>
      <w:numFmt w:val="bullet"/>
      <w:lvlText w:val="•"/>
      <w:lvlJc w:val="left"/>
      <w:pPr>
        <w:ind w:left="9944" w:hanging="360"/>
      </w:pPr>
      <w:rPr>
        <w:rFonts w:hint="default"/>
        <w:lang w:val="ru-RU" w:eastAsia="en-US" w:bidi="ar-SA"/>
      </w:rPr>
    </w:lvl>
  </w:abstractNum>
  <w:abstractNum w:abstractNumId="58">
    <w:multiLevelType w:val="hybridMultilevel"/>
    <w:lvl w:ilvl="0">
      <w:start w:val="0"/>
      <w:numFmt w:val="bullet"/>
      <w:lvlText w:val="-"/>
      <w:lvlJc w:val="left"/>
      <w:pPr>
        <w:ind w:left="2268"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3224" w:hanging="360"/>
      </w:pPr>
      <w:rPr>
        <w:rFonts w:hint="default"/>
        <w:lang w:val="ru-RU" w:eastAsia="en-US" w:bidi="ar-SA"/>
      </w:rPr>
    </w:lvl>
    <w:lvl w:ilvl="2">
      <w:start w:val="0"/>
      <w:numFmt w:val="bullet"/>
      <w:lvlText w:val="•"/>
      <w:lvlJc w:val="left"/>
      <w:pPr>
        <w:ind w:left="4188" w:hanging="360"/>
      </w:pPr>
      <w:rPr>
        <w:rFonts w:hint="default"/>
        <w:lang w:val="ru-RU" w:eastAsia="en-US" w:bidi="ar-SA"/>
      </w:rPr>
    </w:lvl>
    <w:lvl w:ilvl="3">
      <w:start w:val="0"/>
      <w:numFmt w:val="bullet"/>
      <w:lvlText w:val="•"/>
      <w:lvlJc w:val="left"/>
      <w:pPr>
        <w:ind w:left="5152" w:hanging="360"/>
      </w:pPr>
      <w:rPr>
        <w:rFonts w:hint="default"/>
        <w:lang w:val="ru-RU" w:eastAsia="en-US" w:bidi="ar-SA"/>
      </w:rPr>
    </w:lvl>
    <w:lvl w:ilvl="4">
      <w:start w:val="0"/>
      <w:numFmt w:val="bullet"/>
      <w:lvlText w:val="•"/>
      <w:lvlJc w:val="left"/>
      <w:pPr>
        <w:ind w:left="6116" w:hanging="360"/>
      </w:pPr>
      <w:rPr>
        <w:rFonts w:hint="default"/>
        <w:lang w:val="ru-RU" w:eastAsia="en-US" w:bidi="ar-SA"/>
      </w:rPr>
    </w:lvl>
    <w:lvl w:ilvl="5">
      <w:start w:val="0"/>
      <w:numFmt w:val="bullet"/>
      <w:lvlText w:val="•"/>
      <w:lvlJc w:val="left"/>
      <w:pPr>
        <w:ind w:left="7080" w:hanging="360"/>
      </w:pPr>
      <w:rPr>
        <w:rFonts w:hint="default"/>
        <w:lang w:val="ru-RU" w:eastAsia="en-US" w:bidi="ar-SA"/>
      </w:rPr>
    </w:lvl>
    <w:lvl w:ilvl="6">
      <w:start w:val="0"/>
      <w:numFmt w:val="bullet"/>
      <w:lvlText w:val="•"/>
      <w:lvlJc w:val="left"/>
      <w:pPr>
        <w:ind w:left="8044" w:hanging="360"/>
      </w:pPr>
      <w:rPr>
        <w:rFonts w:hint="default"/>
        <w:lang w:val="ru-RU" w:eastAsia="en-US" w:bidi="ar-SA"/>
      </w:rPr>
    </w:lvl>
    <w:lvl w:ilvl="7">
      <w:start w:val="0"/>
      <w:numFmt w:val="bullet"/>
      <w:lvlText w:val="•"/>
      <w:lvlJc w:val="left"/>
      <w:pPr>
        <w:ind w:left="9008" w:hanging="360"/>
      </w:pPr>
      <w:rPr>
        <w:rFonts w:hint="default"/>
        <w:lang w:val="ru-RU" w:eastAsia="en-US" w:bidi="ar-SA"/>
      </w:rPr>
    </w:lvl>
    <w:lvl w:ilvl="8">
      <w:start w:val="0"/>
      <w:numFmt w:val="bullet"/>
      <w:lvlText w:val="•"/>
      <w:lvlJc w:val="left"/>
      <w:pPr>
        <w:ind w:left="9972" w:hanging="360"/>
      </w:pPr>
      <w:rPr>
        <w:rFonts w:hint="default"/>
        <w:lang w:val="ru-RU" w:eastAsia="en-US" w:bidi="ar-SA"/>
      </w:rPr>
    </w:lvl>
  </w:abstractNum>
  <w:abstractNum w:abstractNumId="57">
    <w:multiLevelType w:val="hybridMultilevel"/>
    <w:lvl w:ilvl="0">
      <w:start w:val="0"/>
      <w:numFmt w:val="bullet"/>
      <w:lvlText w:val=""/>
      <w:lvlJc w:val="left"/>
      <w:pPr>
        <w:ind w:left="2549" w:hanging="360"/>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76" w:hanging="360"/>
      </w:pPr>
      <w:rPr>
        <w:rFonts w:hint="default"/>
        <w:lang w:val="ru-RU" w:eastAsia="en-US" w:bidi="ar-SA"/>
      </w:rPr>
    </w:lvl>
    <w:lvl w:ilvl="2">
      <w:start w:val="0"/>
      <w:numFmt w:val="bullet"/>
      <w:lvlText w:val="•"/>
      <w:lvlJc w:val="left"/>
      <w:pPr>
        <w:ind w:left="4412" w:hanging="360"/>
      </w:pPr>
      <w:rPr>
        <w:rFonts w:hint="default"/>
        <w:lang w:val="ru-RU" w:eastAsia="en-US" w:bidi="ar-SA"/>
      </w:rPr>
    </w:lvl>
    <w:lvl w:ilvl="3">
      <w:start w:val="0"/>
      <w:numFmt w:val="bullet"/>
      <w:lvlText w:val="•"/>
      <w:lvlJc w:val="left"/>
      <w:pPr>
        <w:ind w:left="5348" w:hanging="360"/>
      </w:pPr>
      <w:rPr>
        <w:rFonts w:hint="default"/>
        <w:lang w:val="ru-RU" w:eastAsia="en-US" w:bidi="ar-SA"/>
      </w:rPr>
    </w:lvl>
    <w:lvl w:ilvl="4">
      <w:start w:val="0"/>
      <w:numFmt w:val="bullet"/>
      <w:lvlText w:val="•"/>
      <w:lvlJc w:val="left"/>
      <w:pPr>
        <w:ind w:left="6284" w:hanging="360"/>
      </w:pPr>
      <w:rPr>
        <w:rFonts w:hint="default"/>
        <w:lang w:val="ru-RU" w:eastAsia="en-US" w:bidi="ar-SA"/>
      </w:rPr>
    </w:lvl>
    <w:lvl w:ilvl="5">
      <w:start w:val="0"/>
      <w:numFmt w:val="bullet"/>
      <w:lvlText w:val="•"/>
      <w:lvlJc w:val="left"/>
      <w:pPr>
        <w:ind w:left="7220" w:hanging="360"/>
      </w:pPr>
      <w:rPr>
        <w:rFonts w:hint="default"/>
        <w:lang w:val="ru-RU" w:eastAsia="en-US" w:bidi="ar-SA"/>
      </w:rPr>
    </w:lvl>
    <w:lvl w:ilvl="6">
      <w:start w:val="0"/>
      <w:numFmt w:val="bullet"/>
      <w:lvlText w:val="•"/>
      <w:lvlJc w:val="left"/>
      <w:pPr>
        <w:ind w:left="8156" w:hanging="360"/>
      </w:pPr>
      <w:rPr>
        <w:rFonts w:hint="default"/>
        <w:lang w:val="ru-RU" w:eastAsia="en-US" w:bidi="ar-SA"/>
      </w:rPr>
    </w:lvl>
    <w:lvl w:ilvl="7">
      <w:start w:val="0"/>
      <w:numFmt w:val="bullet"/>
      <w:lvlText w:val="•"/>
      <w:lvlJc w:val="left"/>
      <w:pPr>
        <w:ind w:left="9092" w:hanging="360"/>
      </w:pPr>
      <w:rPr>
        <w:rFonts w:hint="default"/>
        <w:lang w:val="ru-RU" w:eastAsia="en-US" w:bidi="ar-SA"/>
      </w:rPr>
    </w:lvl>
    <w:lvl w:ilvl="8">
      <w:start w:val="0"/>
      <w:numFmt w:val="bullet"/>
      <w:lvlText w:val="•"/>
      <w:lvlJc w:val="left"/>
      <w:pPr>
        <w:ind w:left="10028" w:hanging="360"/>
      </w:pPr>
      <w:rPr>
        <w:rFonts w:hint="default"/>
        <w:lang w:val="ru-RU" w:eastAsia="en-US" w:bidi="ar-SA"/>
      </w:rPr>
    </w:lvl>
  </w:abstractNum>
  <w:abstractNum w:abstractNumId="56">
    <w:multiLevelType w:val="hybridMultilevel"/>
    <w:lvl w:ilvl="0">
      <w:start w:val="1"/>
      <w:numFmt w:val="decimal"/>
      <w:lvlText w:val="%1."/>
      <w:lvlJc w:val="left"/>
      <w:pPr>
        <w:ind w:left="2549" w:hanging="425"/>
        <w:jc w:val="left"/>
      </w:pPr>
      <w:rPr>
        <w:rFonts w:hint="default"/>
        <w:spacing w:val="0"/>
        <w:w w:val="99"/>
        <w:lang w:val="ru-RU" w:eastAsia="en-US" w:bidi="ar-SA"/>
      </w:rPr>
    </w:lvl>
    <w:lvl w:ilvl="1">
      <w:start w:val="0"/>
      <w:numFmt w:val="bullet"/>
      <w:lvlText w:val="•"/>
      <w:lvlJc w:val="left"/>
      <w:pPr>
        <w:ind w:left="3476" w:hanging="425"/>
      </w:pPr>
      <w:rPr>
        <w:rFonts w:hint="default"/>
        <w:lang w:val="ru-RU" w:eastAsia="en-US" w:bidi="ar-SA"/>
      </w:rPr>
    </w:lvl>
    <w:lvl w:ilvl="2">
      <w:start w:val="0"/>
      <w:numFmt w:val="bullet"/>
      <w:lvlText w:val="•"/>
      <w:lvlJc w:val="left"/>
      <w:pPr>
        <w:ind w:left="4412" w:hanging="425"/>
      </w:pPr>
      <w:rPr>
        <w:rFonts w:hint="default"/>
        <w:lang w:val="ru-RU" w:eastAsia="en-US" w:bidi="ar-SA"/>
      </w:rPr>
    </w:lvl>
    <w:lvl w:ilvl="3">
      <w:start w:val="0"/>
      <w:numFmt w:val="bullet"/>
      <w:lvlText w:val="•"/>
      <w:lvlJc w:val="left"/>
      <w:pPr>
        <w:ind w:left="5348" w:hanging="425"/>
      </w:pPr>
      <w:rPr>
        <w:rFonts w:hint="default"/>
        <w:lang w:val="ru-RU" w:eastAsia="en-US" w:bidi="ar-SA"/>
      </w:rPr>
    </w:lvl>
    <w:lvl w:ilvl="4">
      <w:start w:val="0"/>
      <w:numFmt w:val="bullet"/>
      <w:lvlText w:val="•"/>
      <w:lvlJc w:val="left"/>
      <w:pPr>
        <w:ind w:left="6284" w:hanging="425"/>
      </w:pPr>
      <w:rPr>
        <w:rFonts w:hint="default"/>
        <w:lang w:val="ru-RU" w:eastAsia="en-US" w:bidi="ar-SA"/>
      </w:rPr>
    </w:lvl>
    <w:lvl w:ilvl="5">
      <w:start w:val="0"/>
      <w:numFmt w:val="bullet"/>
      <w:lvlText w:val="•"/>
      <w:lvlJc w:val="left"/>
      <w:pPr>
        <w:ind w:left="7220" w:hanging="425"/>
      </w:pPr>
      <w:rPr>
        <w:rFonts w:hint="default"/>
        <w:lang w:val="ru-RU" w:eastAsia="en-US" w:bidi="ar-SA"/>
      </w:rPr>
    </w:lvl>
    <w:lvl w:ilvl="6">
      <w:start w:val="0"/>
      <w:numFmt w:val="bullet"/>
      <w:lvlText w:val="•"/>
      <w:lvlJc w:val="left"/>
      <w:pPr>
        <w:ind w:left="8156" w:hanging="425"/>
      </w:pPr>
      <w:rPr>
        <w:rFonts w:hint="default"/>
        <w:lang w:val="ru-RU" w:eastAsia="en-US" w:bidi="ar-SA"/>
      </w:rPr>
    </w:lvl>
    <w:lvl w:ilvl="7">
      <w:start w:val="0"/>
      <w:numFmt w:val="bullet"/>
      <w:lvlText w:val="•"/>
      <w:lvlJc w:val="left"/>
      <w:pPr>
        <w:ind w:left="9092" w:hanging="425"/>
      </w:pPr>
      <w:rPr>
        <w:rFonts w:hint="default"/>
        <w:lang w:val="ru-RU" w:eastAsia="en-US" w:bidi="ar-SA"/>
      </w:rPr>
    </w:lvl>
    <w:lvl w:ilvl="8">
      <w:start w:val="0"/>
      <w:numFmt w:val="bullet"/>
      <w:lvlText w:val="•"/>
      <w:lvlJc w:val="left"/>
      <w:pPr>
        <w:ind w:left="10028" w:hanging="425"/>
      </w:pPr>
      <w:rPr>
        <w:rFonts w:hint="default"/>
        <w:lang w:val="ru-RU" w:eastAsia="en-US" w:bidi="ar-SA"/>
      </w:rPr>
    </w:lvl>
  </w:abstractNum>
  <w:abstractNum w:abstractNumId="55">
    <w:multiLevelType w:val="hybridMultilevel"/>
    <w:lvl w:ilvl="0">
      <w:start w:val="0"/>
      <w:numFmt w:val="bullet"/>
      <w:lvlText w:val="-"/>
      <w:lvlJc w:val="left"/>
      <w:pPr>
        <w:ind w:left="2124"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3098" w:hanging="360"/>
      </w:pPr>
      <w:rPr>
        <w:rFonts w:hint="default"/>
        <w:lang w:val="ru-RU" w:eastAsia="en-US" w:bidi="ar-SA"/>
      </w:rPr>
    </w:lvl>
    <w:lvl w:ilvl="2">
      <w:start w:val="0"/>
      <w:numFmt w:val="bullet"/>
      <w:lvlText w:val="•"/>
      <w:lvlJc w:val="left"/>
      <w:pPr>
        <w:ind w:left="4076" w:hanging="360"/>
      </w:pPr>
      <w:rPr>
        <w:rFonts w:hint="default"/>
        <w:lang w:val="ru-RU" w:eastAsia="en-US" w:bidi="ar-SA"/>
      </w:rPr>
    </w:lvl>
    <w:lvl w:ilvl="3">
      <w:start w:val="0"/>
      <w:numFmt w:val="bullet"/>
      <w:lvlText w:val="•"/>
      <w:lvlJc w:val="left"/>
      <w:pPr>
        <w:ind w:left="5054" w:hanging="360"/>
      </w:pPr>
      <w:rPr>
        <w:rFonts w:hint="default"/>
        <w:lang w:val="ru-RU" w:eastAsia="en-US" w:bidi="ar-SA"/>
      </w:rPr>
    </w:lvl>
    <w:lvl w:ilvl="4">
      <w:start w:val="0"/>
      <w:numFmt w:val="bullet"/>
      <w:lvlText w:val="•"/>
      <w:lvlJc w:val="left"/>
      <w:pPr>
        <w:ind w:left="6032" w:hanging="360"/>
      </w:pPr>
      <w:rPr>
        <w:rFonts w:hint="default"/>
        <w:lang w:val="ru-RU" w:eastAsia="en-US" w:bidi="ar-SA"/>
      </w:rPr>
    </w:lvl>
    <w:lvl w:ilvl="5">
      <w:start w:val="0"/>
      <w:numFmt w:val="bullet"/>
      <w:lvlText w:val="•"/>
      <w:lvlJc w:val="left"/>
      <w:pPr>
        <w:ind w:left="7010" w:hanging="360"/>
      </w:pPr>
      <w:rPr>
        <w:rFonts w:hint="default"/>
        <w:lang w:val="ru-RU" w:eastAsia="en-US" w:bidi="ar-SA"/>
      </w:rPr>
    </w:lvl>
    <w:lvl w:ilvl="6">
      <w:start w:val="0"/>
      <w:numFmt w:val="bullet"/>
      <w:lvlText w:val="•"/>
      <w:lvlJc w:val="left"/>
      <w:pPr>
        <w:ind w:left="7988" w:hanging="360"/>
      </w:pPr>
      <w:rPr>
        <w:rFonts w:hint="default"/>
        <w:lang w:val="ru-RU" w:eastAsia="en-US" w:bidi="ar-SA"/>
      </w:rPr>
    </w:lvl>
    <w:lvl w:ilvl="7">
      <w:start w:val="0"/>
      <w:numFmt w:val="bullet"/>
      <w:lvlText w:val="•"/>
      <w:lvlJc w:val="left"/>
      <w:pPr>
        <w:ind w:left="8966" w:hanging="360"/>
      </w:pPr>
      <w:rPr>
        <w:rFonts w:hint="default"/>
        <w:lang w:val="ru-RU" w:eastAsia="en-US" w:bidi="ar-SA"/>
      </w:rPr>
    </w:lvl>
    <w:lvl w:ilvl="8">
      <w:start w:val="0"/>
      <w:numFmt w:val="bullet"/>
      <w:lvlText w:val="•"/>
      <w:lvlJc w:val="left"/>
      <w:pPr>
        <w:ind w:left="9944" w:hanging="360"/>
      </w:pPr>
      <w:rPr>
        <w:rFonts w:hint="default"/>
        <w:lang w:val="ru-RU" w:eastAsia="en-US" w:bidi="ar-SA"/>
      </w:rPr>
    </w:lvl>
  </w:abstractNum>
  <w:abstractNum w:abstractNumId="54">
    <w:multiLevelType w:val="hybridMultilevel"/>
    <w:lvl w:ilvl="0">
      <w:start w:val="1"/>
      <w:numFmt w:val="decimal"/>
      <w:lvlText w:val="%1."/>
      <w:lvlJc w:val="left"/>
      <w:pPr>
        <w:ind w:left="2549" w:hanging="425"/>
        <w:jc w:val="left"/>
      </w:pPr>
      <w:rPr>
        <w:rFonts w:hint="default"/>
        <w:spacing w:val="0"/>
        <w:w w:val="99"/>
        <w:lang w:val="ru-RU" w:eastAsia="en-US" w:bidi="ar-SA"/>
      </w:rPr>
    </w:lvl>
    <w:lvl w:ilvl="1">
      <w:start w:val="0"/>
      <w:numFmt w:val="bullet"/>
      <w:lvlText w:val="•"/>
      <w:lvlJc w:val="left"/>
      <w:pPr>
        <w:ind w:left="3476" w:hanging="425"/>
      </w:pPr>
      <w:rPr>
        <w:rFonts w:hint="default"/>
        <w:lang w:val="ru-RU" w:eastAsia="en-US" w:bidi="ar-SA"/>
      </w:rPr>
    </w:lvl>
    <w:lvl w:ilvl="2">
      <w:start w:val="0"/>
      <w:numFmt w:val="bullet"/>
      <w:lvlText w:val="•"/>
      <w:lvlJc w:val="left"/>
      <w:pPr>
        <w:ind w:left="4412" w:hanging="425"/>
      </w:pPr>
      <w:rPr>
        <w:rFonts w:hint="default"/>
        <w:lang w:val="ru-RU" w:eastAsia="en-US" w:bidi="ar-SA"/>
      </w:rPr>
    </w:lvl>
    <w:lvl w:ilvl="3">
      <w:start w:val="0"/>
      <w:numFmt w:val="bullet"/>
      <w:lvlText w:val="•"/>
      <w:lvlJc w:val="left"/>
      <w:pPr>
        <w:ind w:left="5348" w:hanging="425"/>
      </w:pPr>
      <w:rPr>
        <w:rFonts w:hint="default"/>
        <w:lang w:val="ru-RU" w:eastAsia="en-US" w:bidi="ar-SA"/>
      </w:rPr>
    </w:lvl>
    <w:lvl w:ilvl="4">
      <w:start w:val="0"/>
      <w:numFmt w:val="bullet"/>
      <w:lvlText w:val="•"/>
      <w:lvlJc w:val="left"/>
      <w:pPr>
        <w:ind w:left="6284" w:hanging="425"/>
      </w:pPr>
      <w:rPr>
        <w:rFonts w:hint="default"/>
        <w:lang w:val="ru-RU" w:eastAsia="en-US" w:bidi="ar-SA"/>
      </w:rPr>
    </w:lvl>
    <w:lvl w:ilvl="5">
      <w:start w:val="0"/>
      <w:numFmt w:val="bullet"/>
      <w:lvlText w:val="•"/>
      <w:lvlJc w:val="left"/>
      <w:pPr>
        <w:ind w:left="7220" w:hanging="425"/>
      </w:pPr>
      <w:rPr>
        <w:rFonts w:hint="default"/>
        <w:lang w:val="ru-RU" w:eastAsia="en-US" w:bidi="ar-SA"/>
      </w:rPr>
    </w:lvl>
    <w:lvl w:ilvl="6">
      <w:start w:val="0"/>
      <w:numFmt w:val="bullet"/>
      <w:lvlText w:val="•"/>
      <w:lvlJc w:val="left"/>
      <w:pPr>
        <w:ind w:left="8156" w:hanging="425"/>
      </w:pPr>
      <w:rPr>
        <w:rFonts w:hint="default"/>
        <w:lang w:val="ru-RU" w:eastAsia="en-US" w:bidi="ar-SA"/>
      </w:rPr>
    </w:lvl>
    <w:lvl w:ilvl="7">
      <w:start w:val="0"/>
      <w:numFmt w:val="bullet"/>
      <w:lvlText w:val="•"/>
      <w:lvlJc w:val="left"/>
      <w:pPr>
        <w:ind w:left="9092" w:hanging="425"/>
      </w:pPr>
      <w:rPr>
        <w:rFonts w:hint="default"/>
        <w:lang w:val="ru-RU" w:eastAsia="en-US" w:bidi="ar-SA"/>
      </w:rPr>
    </w:lvl>
    <w:lvl w:ilvl="8">
      <w:start w:val="0"/>
      <w:numFmt w:val="bullet"/>
      <w:lvlText w:val="•"/>
      <w:lvlJc w:val="left"/>
      <w:pPr>
        <w:ind w:left="10028" w:hanging="425"/>
      </w:pPr>
      <w:rPr>
        <w:rFonts w:hint="default"/>
        <w:lang w:val="ru-RU" w:eastAsia="en-US" w:bidi="ar-SA"/>
      </w:rPr>
    </w:lvl>
  </w:abstractNum>
  <w:abstractNum w:abstractNumId="52">
    <w:multiLevelType w:val="hybridMultilevel"/>
    <w:lvl w:ilvl="0">
      <w:start w:val="0"/>
      <w:numFmt w:val="bullet"/>
      <w:lvlText w:val=""/>
      <w:lvlJc w:val="left"/>
      <w:pPr>
        <w:ind w:left="2549" w:hanging="281"/>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76" w:hanging="281"/>
      </w:pPr>
      <w:rPr>
        <w:rFonts w:hint="default"/>
        <w:lang w:val="ru-RU" w:eastAsia="en-US" w:bidi="ar-SA"/>
      </w:rPr>
    </w:lvl>
    <w:lvl w:ilvl="2">
      <w:start w:val="0"/>
      <w:numFmt w:val="bullet"/>
      <w:lvlText w:val="•"/>
      <w:lvlJc w:val="left"/>
      <w:pPr>
        <w:ind w:left="4412" w:hanging="281"/>
      </w:pPr>
      <w:rPr>
        <w:rFonts w:hint="default"/>
        <w:lang w:val="ru-RU" w:eastAsia="en-US" w:bidi="ar-SA"/>
      </w:rPr>
    </w:lvl>
    <w:lvl w:ilvl="3">
      <w:start w:val="0"/>
      <w:numFmt w:val="bullet"/>
      <w:lvlText w:val="•"/>
      <w:lvlJc w:val="left"/>
      <w:pPr>
        <w:ind w:left="5348" w:hanging="281"/>
      </w:pPr>
      <w:rPr>
        <w:rFonts w:hint="default"/>
        <w:lang w:val="ru-RU" w:eastAsia="en-US" w:bidi="ar-SA"/>
      </w:rPr>
    </w:lvl>
    <w:lvl w:ilvl="4">
      <w:start w:val="0"/>
      <w:numFmt w:val="bullet"/>
      <w:lvlText w:val="•"/>
      <w:lvlJc w:val="left"/>
      <w:pPr>
        <w:ind w:left="6284" w:hanging="281"/>
      </w:pPr>
      <w:rPr>
        <w:rFonts w:hint="default"/>
        <w:lang w:val="ru-RU" w:eastAsia="en-US" w:bidi="ar-SA"/>
      </w:rPr>
    </w:lvl>
    <w:lvl w:ilvl="5">
      <w:start w:val="0"/>
      <w:numFmt w:val="bullet"/>
      <w:lvlText w:val="•"/>
      <w:lvlJc w:val="left"/>
      <w:pPr>
        <w:ind w:left="7220" w:hanging="281"/>
      </w:pPr>
      <w:rPr>
        <w:rFonts w:hint="default"/>
        <w:lang w:val="ru-RU" w:eastAsia="en-US" w:bidi="ar-SA"/>
      </w:rPr>
    </w:lvl>
    <w:lvl w:ilvl="6">
      <w:start w:val="0"/>
      <w:numFmt w:val="bullet"/>
      <w:lvlText w:val="•"/>
      <w:lvlJc w:val="left"/>
      <w:pPr>
        <w:ind w:left="8156" w:hanging="281"/>
      </w:pPr>
      <w:rPr>
        <w:rFonts w:hint="default"/>
        <w:lang w:val="ru-RU" w:eastAsia="en-US" w:bidi="ar-SA"/>
      </w:rPr>
    </w:lvl>
    <w:lvl w:ilvl="7">
      <w:start w:val="0"/>
      <w:numFmt w:val="bullet"/>
      <w:lvlText w:val="•"/>
      <w:lvlJc w:val="left"/>
      <w:pPr>
        <w:ind w:left="9092" w:hanging="281"/>
      </w:pPr>
      <w:rPr>
        <w:rFonts w:hint="default"/>
        <w:lang w:val="ru-RU" w:eastAsia="en-US" w:bidi="ar-SA"/>
      </w:rPr>
    </w:lvl>
    <w:lvl w:ilvl="8">
      <w:start w:val="0"/>
      <w:numFmt w:val="bullet"/>
      <w:lvlText w:val="•"/>
      <w:lvlJc w:val="left"/>
      <w:pPr>
        <w:ind w:left="10028" w:hanging="281"/>
      </w:pPr>
      <w:rPr>
        <w:rFonts w:hint="default"/>
        <w:lang w:val="ru-RU" w:eastAsia="en-US" w:bidi="ar-SA"/>
      </w:rPr>
    </w:lvl>
  </w:abstractNum>
  <w:abstractNum w:abstractNumId="51">
    <w:multiLevelType w:val="hybridMultilevel"/>
    <w:lvl w:ilvl="0">
      <w:start w:val="1"/>
      <w:numFmt w:val="decimal"/>
      <w:lvlText w:val="%1."/>
      <w:lvlJc w:val="left"/>
      <w:pPr>
        <w:ind w:left="2549" w:hanging="281"/>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3476" w:hanging="281"/>
      </w:pPr>
      <w:rPr>
        <w:rFonts w:hint="default"/>
        <w:lang w:val="ru-RU" w:eastAsia="en-US" w:bidi="ar-SA"/>
      </w:rPr>
    </w:lvl>
    <w:lvl w:ilvl="2">
      <w:start w:val="0"/>
      <w:numFmt w:val="bullet"/>
      <w:lvlText w:val="•"/>
      <w:lvlJc w:val="left"/>
      <w:pPr>
        <w:ind w:left="4412" w:hanging="281"/>
      </w:pPr>
      <w:rPr>
        <w:rFonts w:hint="default"/>
        <w:lang w:val="ru-RU" w:eastAsia="en-US" w:bidi="ar-SA"/>
      </w:rPr>
    </w:lvl>
    <w:lvl w:ilvl="3">
      <w:start w:val="0"/>
      <w:numFmt w:val="bullet"/>
      <w:lvlText w:val="•"/>
      <w:lvlJc w:val="left"/>
      <w:pPr>
        <w:ind w:left="5348" w:hanging="281"/>
      </w:pPr>
      <w:rPr>
        <w:rFonts w:hint="default"/>
        <w:lang w:val="ru-RU" w:eastAsia="en-US" w:bidi="ar-SA"/>
      </w:rPr>
    </w:lvl>
    <w:lvl w:ilvl="4">
      <w:start w:val="0"/>
      <w:numFmt w:val="bullet"/>
      <w:lvlText w:val="•"/>
      <w:lvlJc w:val="left"/>
      <w:pPr>
        <w:ind w:left="6284" w:hanging="281"/>
      </w:pPr>
      <w:rPr>
        <w:rFonts w:hint="default"/>
        <w:lang w:val="ru-RU" w:eastAsia="en-US" w:bidi="ar-SA"/>
      </w:rPr>
    </w:lvl>
    <w:lvl w:ilvl="5">
      <w:start w:val="0"/>
      <w:numFmt w:val="bullet"/>
      <w:lvlText w:val="•"/>
      <w:lvlJc w:val="left"/>
      <w:pPr>
        <w:ind w:left="7220" w:hanging="281"/>
      </w:pPr>
      <w:rPr>
        <w:rFonts w:hint="default"/>
        <w:lang w:val="ru-RU" w:eastAsia="en-US" w:bidi="ar-SA"/>
      </w:rPr>
    </w:lvl>
    <w:lvl w:ilvl="6">
      <w:start w:val="0"/>
      <w:numFmt w:val="bullet"/>
      <w:lvlText w:val="•"/>
      <w:lvlJc w:val="left"/>
      <w:pPr>
        <w:ind w:left="8156" w:hanging="281"/>
      </w:pPr>
      <w:rPr>
        <w:rFonts w:hint="default"/>
        <w:lang w:val="ru-RU" w:eastAsia="en-US" w:bidi="ar-SA"/>
      </w:rPr>
    </w:lvl>
    <w:lvl w:ilvl="7">
      <w:start w:val="0"/>
      <w:numFmt w:val="bullet"/>
      <w:lvlText w:val="•"/>
      <w:lvlJc w:val="left"/>
      <w:pPr>
        <w:ind w:left="9092" w:hanging="281"/>
      </w:pPr>
      <w:rPr>
        <w:rFonts w:hint="default"/>
        <w:lang w:val="ru-RU" w:eastAsia="en-US" w:bidi="ar-SA"/>
      </w:rPr>
    </w:lvl>
    <w:lvl w:ilvl="8">
      <w:start w:val="0"/>
      <w:numFmt w:val="bullet"/>
      <w:lvlText w:val="•"/>
      <w:lvlJc w:val="left"/>
      <w:pPr>
        <w:ind w:left="10028" w:hanging="281"/>
      </w:pPr>
      <w:rPr>
        <w:rFonts w:hint="default"/>
        <w:lang w:val="ru-RU" w:eastAsia="en-US" w:bidi="ar-SA"/>
      </w:rPr>
    </w:lvl>
  </w:abstractNum>
  <w:abstractNum w:abstractNumId="50">
    <w:multiLevelType w:val="hybridMultilevel"/>
    <w:lvl w:ilvl="0">
      <w:start w:val="0"/>
      <w:numFmt w:val="bullet"/>
      <w:lvlText w:val=""/>
      <w:lvlJc w:val="left"/>
      <w:pPr>
        <w:ind w:left="2549" w:hanging="281"/>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76" w:hanging="281"/>
      </w:pPr>
      <w:rPr>
        <w:rFonts w:hint="default"/>
        <w:lang w:val="ru-RU" w:eastAsia="en-US" w:bidi="ar-SA"/>
      </w:rPr>
    </w:lvl>
    <w:lvl w:ilvl="2">
      <w:start w:val="0"/>
      <w:numFmt w:val="bullet"/>
      <w:lvlText w:val="•"/>
      <w:lvlJc w:val="left"/>
      <w:pPr>
        <w:ind w:left="4412" w:hanging="281"/>
      </w:pPr>
      <w:rPr>
        <w:rFonts w:hint="default"/>
        <w:lang w:val="ru-RU" w:eastAsia="en-US" w:bidi="ar-SA"/>
      </w:rPr>
    </w:lvl>
    <w:lvl w:ilvl="3">
      <w:start w:val="0"/>
      <w:numFmt w:val="bullet"/>
      <w:lvlText w:val="•"/>
      <w:lvlJc w:val="left"/>
      <w:pPr>
        <w:ind w:left="5348" w:hanging="281"/>
      </w:pPr>
      <w:rPr>
        <w:rFonts w:hint="default"/>
        <w:lang w:val="ru-RU" w:eastAsia="en-US" w:bidi="ar-SA"/>
      </w:rPr>
    </w:lvl>
    <w:lvl w:ilvl="4">
      <w:start w:val="0"/>
      <w:numFmt w:val="bullet"/>
      <w:lvlText w:val="•"/>
      <w:lvlJc w:val="left"/>
      <w:pPr>
        <w:ind w:left="6284" w:hanging="281"/>
      </w:pPr>
      <w:rPr>
        <w:rFonts w:hint="default"/>
        <w:lang w:val="ru-RU" w:eastAsia="en-US" w:bidi="ar-SA"/>
      </w:rPr>
    </w:lvl>
    <w:lvl w:ilvl="5">
      <w:start w:val="0"/>
      <w:numFmt w:val="bullet"/>
      <w:lvlText w:val="•"/>
      <w:lvlJc w:val="left"/>
      <w:pPr>
        <w:ind w:left="7220" w:hanging="281"/>
      </w:pPr>
      <w:rPr>
        <w:rFonts w:hint="default"/>
        <w:lang w:val="ru-RU" w:eastAsia="en-US" w:bidi="ar-SA"/>
      </w:rPr>
    </w:lvl>
    <w:lvl w:ilvl="6">
      <w:start w:val="0"/>
      <w:numFmt w:val="bullet"/>
      <w:lvlText w:val="•"/>
      <w:lvlJc w:val="left"/>
      <w:pPr>
        <w:ind w:left="8156" w:hanging="281"/>
      </w:pPr>
      <w:rPr>
        <w:rFonts w:hint="default"/>
        <w:lang w:val="ru-RU" w:eastAsia="en-US" w:bidi="ar-SA"/>
      </w:rPr>
    </w:lvl>
    <w:lvl w:ilvl="7">
      <w:start w:val="0"/>
      <w:numFmt w:val="bullet"/>
      <w:lvlText w:val="•"/>
      <w:lvlJc w:val="left"/>
      <w:pPr>
        <w:ind w:left="9092" w:hanging="281"/>
      </w:pPr>
      <w:rPr>
        <w:rFonts w:hint="default"/>
        <w:lang w:val="ru-RU" w:eastAsia="en-US" w:bidi="ar-SA"/>
      </w:rPr>
    </w:lvl>
    <w:lvl w:ilvl="8">
      <w:start w:val="0"/>
      <w:numFmt w:val="bullet"/>
      <w:lvlText w:val="•"/>
      <w:lvlJc w:val="left"/>
      <w:pPr>
        <w:ind w:left="10028" w:hanging="281"/>
      </w:pPr>
      <w:rPr>
        <w:rFonts w:hint="default"/>
        <w:lang w:val="ru-RU" w:eastAsia="en-US" w:bidi="ar-SA"/>
      </w:rPr>
    </w:lvl>
  </w:abstractNum>
  <w:abstractNum w:abstractNumId="49">
    <w:multiLevelType w:val="hybridMultilevel"/>
    <w:lvl w:ilvl="0">
      <w:start w:val="5"/>
      <w:numFmt w:val="decimal"/>
      <w:lvlText w:val="%1"/>
      <w:lvlJc w:val="left"/>
      <w:pPr>
        <w:ind w:left="2549" w:hanging="631"/>
        <w:jc w:val="left"/>
      </w:pPr>
      <w:rPr>
        <w:rFonts w:hint="default"/>
        <w:lang w:val="ru-RU" w:eastAsia="en-US" w:bidi="ar-SA"/>
      </w:rPr>
    </w:lvl>
    <w:lvl w:ilvl="1">
      <w:start w:val="10"/>
      <w:numFmt w:val="decimal"/>
      <w:lvlText w:val="%1.%2."/>
      <w:lvlJc w:val="left"/>
      <w:pPr>
        <w:ind w:left="2549" w:hanging="631"/>
        <w:jc w:val="left"/>
      </w:pPr>
      <w:rPr>
        <w:rFonts w:hint="default" w:ascii="Times New Roman" w:hAnsi="Times New Roman" w:eastAsia="Times New Roman" w:cs="Times New Roman"/>
        <w:b/>
        <w:bCs/>
        <w:i w:val="0"/>
        <w:iCs w:val="0"/>
        <w:color w:val="1F487C"/>
        <w:spacing w:val="-2"/>
        <w:w w:val="100"/>
        <w:sz w:val="28"/>
        <w:szCs w:val="28"/>
        <w:lang w:val="ru-RU" w:eastAsia="en-US" w:bidi="ar-SA"/>
      </w:rPr>
    </w:lvl>
    <w:lvl w:ilvl="2">
      <w:start w:val="0"/>
      <w:numFmt w:val="bullet"/>
      <w:lvlText w:val="•"/>
      <w:lvlJc w:val="left"/>
      <w:pPr>
        <w:ind w:left="4412" w:hanging="631"/>
      </w:pPr>
      <w:rPr>
        <w:rFonts w:hint="default"/>
        <w:lang w:val="ru-RU" w:eastAsia="en-US" w:bidi="ar-SA"/>
      </w:rPr>
    </w:lvl>
    <w:lvl w:ilvl="3">
      <w:start w:val="0"/>
      <w:numFmt w:val="bullet"/>
      <w:lvlText w:val="•"/>
      <w:lvlJc w:val="left"/>
      <w:pPr>
        <w:ind w:left="5348" w:hanging="631"/>
      </w:pPr>
      <w:rPr>
        <w:rFonts w:hint="default"/>
        <w:lang w:val="ru-RU" w:eastAsia="en-US" w:bidi="ar-SA"/>
      </w:rPr>
    </w:lvl>
    <w:lvl w:ilvl="4">
      <w:start w:val="0"/>
      <w:numFmt w:val="bullet"/>
      <w:lvlText w:val="•"/>
      <w:lvlJc w:val="left"/>
      <w:pPr>
        <w:ind w:left="6284" w:hanging="631"/>
      </w:pPr>
      <w:rPr>
        <w:rFonts w:hint="default"/>
        <w:lang w:val="ru-RU" w:eastAsia="en-US" w:bidi="ar-SA"/>
      </w:rPr>
    </w:lvl>
    <w:lvl w:ilvl="5">
      <w:start w:val="0"/>
      <w:numFmt w:val="bullet"/>
      <w:lvlText w:val="•"/>
      <w:lvlJc w:val="left"/>
      <w:pPr>
        <w:ind w:left="7220" w:hanging="631"/>
      </w:pPr>
      <w:rPr>
        <w:rFonts w:hint="default"/>
        <w:lang w:val="ru-RU" w:eastAsia="en-US" w:bidi="ar-SA"/>
      </w:rPr>
    </w:lvl>
    <w:lvl w:ilvl="6">
      <w:start w:val="0"/>
      <w:numFmt w:val="bullet"/>
      <w:lvlText w:val="•"/>
      <w:lvlJc w:val="left"/>
      <w:pPr>
        <w:ind w:left="8156" w:hanging="631"/>
      </w:pPr>
      <w:rPr>
        <w:rFonts w:hint="default"/>
        <w:lang w:val="ru-RU" w:eastAsia="en-US" w:bidi="ar-SA"/>
      </w:rPr>
    </w:lvl>
    <w:lvl w:ilvl="7">
      <w:start w:val="0"/>
      <w:numFmt w:val="bullet"/>
      <w:lvlText w:val="•"/>
      <w:lvlJc w:val="left"/>
      <w:pPr>
        <w:ind w:left="9092" w:hanging="631"/>
      </w:pPr>
      <w:rPr>
        <w:rFonts w:hint="default"/>
        <w:lang w:val="ru-RU" w:eastAsia="en-US" w:bidi="ar-SA"/>
      </w:rPr>
    </w:lvl>
    <w:lvl w:ilvl="8">
      <w:start w:val="0"/>
      <w:numFmt w:val="bullet"/>
      <w:lvlText w:val="•"/>
      <w:lvlJc w:val="left"/>
      <w:pPr>
        <w:ind w:left="10028" w:hanging="631"/>
      </w:pPr>
      <w:rPr>
        <w:rFonts w:hint="default"/>
        <w:lang w:val="ru-RU" w:eastAsia="en-US" w:bidi="ar-SA"/>
      </w:rPr>
    </w:lvl>
  </w:abstractNum>
  <w:abstractNum w:abstractNumId="48">
    <w:multiLevelType w:val="hybridMultilevel"/>
    <w:lvl w:ilvl="0">
      <w:start w:val="2"/>
      <w:numFmt w:val="decimal"/>
      <w:lvlText w:val="%1-"/>
      <w:lvlJc w:val="left"/>
      <w:pPr>
        <w:ind w:left="1841" w:hanging="201"/>
        <w:jc w:val="left"/>
      </w:pPr>
      <w:rPr>
        <w:rFonts w:hint="default" w:ascii="Times New Roman" w:hAnsi="Times New Roman" w:eastAsia="Times New Roman" w:cs="Times New Roman"/>
        <w:b w:val="0"/>
        <w:bCs w:val="0"/>
        <w:i w:val="0"/>
        <w:iCs w:val="0"/>
        <w:spacing w:val="-1"/>
        <w:w w:val="97"/>
        <w:sz w:val="22"/>
        <w:szCs w:val="22"/>
        <w:lang w:val="ru-RU" w:eastAsia="en-US" w:bidi="ar-SA"/>
      </w:rPr>
    </w:lvl>
    <w:lvl w:ilvl="1">
      <w:start w:val="0"/>
      <w:numFmt w:val="bullet"/>
      <w:lvlText w:val="•"/>
      <w:lvlJc w:val="left"/>
      <w:pPr>
        <w:ind w:left="2846" w:hanging="201"/>
      </w:pPr>
      <w:rPr>
        <w:rFonts w:hint="default"/>
        <w:lang w:val="ru-RU" w:eastAsia="en-US" w:bidi="ar-SA"/>
      </w:rPr>
    </w:lvl>
    <w:lvl w:ilvl="2">
      <w:start w:val="0"/>
      <w:numFmt w:val="bullet"/>
      <w:lvlText w:val="•"/>
      <w:lvlJc w:val="left"/>
      <w:pPr>
        <w:ind w:left="3852" w:hanging="201"/>
      </w:pPr>
      <w:rPr>
        <w:rFonts w:hint="default"/>
        <w:lang w:val="ru-RU" w:eastAsia="en-US" w:bidi="ar-SA"/>
      </w:rPr>
    </w:lvl>
    <w:lvl w:ilvl="3">
      <w:start w:val="0"/>
      <w:numFmt w:val="bullet"/>
      <w:lvlText w:val="•"/>
      <w:lvlJc w:val="left"/>
      <w:pPr>
        <w:ind w:left="4858" w:hanging="201"/>
      </w:pPr>
      <w:rPr>
        <w:rFonts w:hint="default"/>
        <w:lang w:val="ru-RU" w:eastAsia="en-US" w:bidi="ar-SA"/>
      </w:rPr>
    </w:lvl>
    <w:lvl w:ilvl="4">
      <w:start w:val="0"/>
      <w:numFmt w:val="bullet"/>
      <w:lvlText w:val="•"/>
      <w:lvlJc w:val="left"/>
      <w:pPr>
        <w:ind w:left="5864" w:hanging="201"/>
      </w:pPr>
      <w:rPr>
        <w:rFonts w:hint="default"/>
        <w:lang w:val="ru-RU" w:eastAsia="en-US" w:bidi="ar-SA"/>
      </w:rPr>
    </w:lvl>
    <w:lvl w:ilvl="5">
      <w:start w:val="0"/>
      <w:numFmt w:val="bullet"/>
      <w:lvlText w:val="•"/>
      <w:lvlJc w:val="left"/>
      <w:pPr>
        <w:ind w:left="6870" w:hanging="201"/>
      </w:pPr>
      <w:rPr>
        <w:rFonts w:hint="default"/>
        <w:lang w:val="ru-RU" w:eastAsia="en-US" w:bidi="ar-SA"/>
      </w:rPr>
    </w:lvl>
    <w:lvl w:ilvl="6">
      <w:start w:val="0"/>
      <w:numFmt w:val="bullet"/>
      <w:lvlText w:val="•"/>
      <w:lvlJc w:val="left"/>
      <w:pPr>
        <w:ind w:left="7876" w:hanging="201"/>
      </w:pPr>
      <w:rPr>
        <w:rFonts w:hint="default"/>
        <w:lang w:val="ru-RU" w:eastAsia="en-US" w:bidi="ar-SA"/>
      </w:rPr>
    </w:lvl>
    <w:lvl w:ilvl="7">
      <w:start w:val="0"/>
      <w:numFmt w:val="bullet"/>
      <w:lvlText w:val="•"/>
      <w:lvlJc w:val="left"/>
      <w:pPr>
        <w:ind w:left="8882" w:hanging="201"/>
      </w:pPr>
      <w:rPr>
        <w:rFonts w:hint="default"/>
        <w:lang w:val="ru-RU" w:eastAsia="en-US" w:bidi="ar-SA"/>
      </w:rPr>
    </w:lvl>
    <w:lvl w:ilvl="8">
      <w:start w:val="0"/>
      <w:numFmt w:val="bullet"/>
      <w:lvlText w:val="•"/>
      <w:lvlJc w:val="left"/>
      <w:pPr>
        <w:ind w:left="9888" w:hanging="201"/>
      </w:pPr>
      <w:rPr>
        <w:rFonts w:hint="default"/>
        <w:lang w:val="ru-RU" w:eastAsia="en-US" w:bidi="ar-SA"/>
      </w:rPr>
    </w:lvl>
  </w:abstractNum>
  <w:abstractNum w:abstractNumId="47">
    <w:multiLevelType w:val="hybridMultilevel"/>
    <w:lvl w:ilvl="0">
      <w:start w:val="0"/>
      <w:numFmt w:val="bullet"/>
      <w:lvlText w:val="-"/>
      <w:lvlJc w:val="left"/>
      <w:pPr>
        <w:ind w:left="1841" w:hanging="207"/>
      </w:pPr>
      <w:rPr>
        <w:rFonts w:hint="default" w:ascii="Times New Roman" w:hAnsi="Times New Roman" w:eastAsia="Times New Roman" w:cs="Times New Roman"/>
        <w:spacing w:val="0"/>
        <w:w w:val="99"/>
        <w:lang w:val="ru-RU" w:eastAsia="en-US" w:bidi="ar-SA"/>
      </w:rPr>
    </w:lvl>
    <w:lvl w:ilvl="1">
      <w:start w:val="0"/>
      <w:numFmt w:val="bullet"/>
      <w:lvlText w:val="•"/>
      <w:lvlJc w:val="left"/>
      <w:pPr>
        <w:ind w:left="2846" w:hanging="207"/>
      </w:pPr>
      <w:rPr>
        <w:rFonts w:hint="default"/>
        <w:lang w:val="ru-RU" w:eastAsia="en-US" w:bidi="ar-SA"/>
      </w:rPr>
    </w:lvl>
    <w:lvl w:ilvl="2">
      <w:start w:val="0"/>
      <w:numFmt w:val="bullet"/>
      <w:lvlText w:val="•"/>
      <w:lvlJc w:val="left"/>
      <w:pPr>
        <w:ind w:left="3852" w:hanging="207"/>
      </w:pPr>
      <w:rPr>
        <w:rFonts w:hint="default"/>
        <w:lang w:val="ru-RU" w:eastAsia="en-US" w:bidi="ar-SA"/>
      </w:rPr>
    </w:lvl>
    <w:lvl w:ilvl="3">
      <w:start w:val="0"/>
      <w:numFmt w:val="bullet"/>
      <w:lvlText w:val="•"/>
      <w:lvlJc w:val="left"/>
      <w:pPr>
        <w:ind w:left="4858" w:hanging="207"/>
      </w:pPr>
      <w:rPr>
        <w:rFonts w:hint="default"/>
        <w:lang w:val="ru-RU" w:eastAsia="en-US" w:bidi="ar-SA"/>
      </w:rPr>
    </w:lvl>
    <w:lvl w:ilvl="4">
      <w:start w:val="0"/>
      <w:numFmt w:val="bullet"/>
      <w:lvlText w:val="•"/>
      <w:lvlJc w:val="left"/>
      <w:pPr>
        <w:ind w:left="5864" w:hanging="207"/>
      </w:pPr>
      <w:rPr>
        <w:rFonts w:hint="default"/>
        <w:lang w:val="ru-RU" w:eastAsia="en-US" w:bidi="ar-SA"/>
      </w:rPr>
    </w:lvl>
    <w:lvl w:ilvl="5">
      <w:start w:val="0"/>
      <w:numFmt w:val="bullet"/>
      <w:lvlText w:val="•"/>
      <w:lvlJc w:val="left"/>
      <w:pPr>
        <w:ind w:left="6870" w:hanging="207"/>
      </w:pPr>
      <w:rPr>
        <w:rFonts w:hint="default"/>
        <w:lang w:val="ru-RU" w:eastAsia="en-US" w:bidi="ar-SA"/>
      </w:rPr>
    </w:lvl>
    <w:lvl w:ilvl="6">
      <w:start w:val="0"/>
      <w:numFmt w:val="bullet"/>
      <w:lvlText w:val="•"/>
      <w:lvlJc w:val="left"/>
      <w:pPr>
        <w:ind w:left="7876" w:hanging="207"/>
      </w:pPr>
      <w:rPr>
        <w:rFonts w:hint="default"/>
        <w:lang w:val="ru-RU" w:eastAsia="en-US" w:bidi="ar-SA"/>
      </w:rPr>
    </w:lvl>
    <w:lvl w:ilvl="7">
      <w:start w:val="0"/>
      <w:numFmt w:val="bullet"/>
      <w:lvlText w:val="•"/>
      <w:lvlJc w:val="left"/>
      <w:pPr>
        <w:ind w:left="8882" w:hanging="207"/>
      </w:pPr>
      <w:rPr>
        <w:rFonts w:hint="default"/>
        <w:lang w:val="ru-RU" w:eastAsia="en-US" w:bidi="ar-SA"/>
      </w:rPr>
    </w:lvl>
    <w:lvl w:ilvl="8">
      <w:start w:val="0"/>
      <w:numFmt w:val="bullet"/>
      <w:lvlText w:val="•"/>
      <w:lvlJc w:val="left"/>
      <w:pPr>
        <w:ind w:left="9888" w:hanging="207"/>
      </w:pPr>
      <w:rPr>
        <w:rFonts w:hint="default"/>
        <w:lang w:val="ru-RU" w:eastAsia="en-US" w:bidi="ar-SA"/>
      </w:rPr>
    </w:lvl>
  </w:abstractNum>
  <w:abstractNum w:abstractNumId="46">
    <w:multiLevelType w:val="hybridMultilevel"/>
    <w:lvl w:ilvl="0">
      <w:start w:val="0"/>
      <w:numFmt w:val="bullet"/>
      <w:lvlText w:val="-"/>
      <w:lvlJc w:val="left"/>
      <w:pPr>
        <w:ind w:left="2549" w:hanging="281"/>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3476" w:hanging="281"/>
      </w:pPr>
      <w:rPr>
        <w:rFonts w:hint="default"/>
        <w:lang w:val="ru-RU" w:eastAsia="en-US" w:bidi="ar-SA"/>
      </w:rPr>
    </w:lvl>
    <w:lvl w:ilvl="2">
      <w:start w:val="0"/>
      <w:numFmt w:val="bullet"/>
      <w:lvlText w:val="•"/>
      <w:lvlJc w:val="left"/>
      <w:pPr>
        <w:ind w:left="4412" w:hanging="281"/>
      </w:pPr>
      <w:rPr>
        <w:rFonts w:hint="default"/>
        <w:lang w:val="ru-RU" w:eastAsia="en-US" w:bidi="ar-SA"/>
      </w:rPr>
    </w:lvl>
    <w:lvl w:ilvl="3">
      <w:start w:val="0"/>
      <w:numFmt w:val="bullet"/>
      <w:lvlText w:val="•"/>
      <w:lvlJc w:val="left"/>
      <w:pPr>
        <w:ind w:left="5348" w:hanging="281"/>
      </w:pPr>
      <w:rPr>
        <w:rFonts w:hint="default"/>
        <w:lang w:val="ru-RU" w:eastAsia="en-US" w:bidi="ar-SA"/>
      </w:rPr>
    </w:lvl>
    <w:lvl w:ilvl="4">
      <w:start w:val="0"/>
      <w:numFmt w:val="bullet"/>
      <w:lvlText w:val="•"/>
      <w:lvlJc w:val="left"/>
      <w:pPr>
        <w:ind w:left="6284" w:hanging="281"/>
      </w:pPr>
      <w:rPr>
        <w:rFonts w:hint="default"/>
        <w:lang w:val="ru-RU" w:eastAsia="en-US" w:bidi="ar-SA"/>
      </w:rPr>
    </w:lvl>
    <w:lvl w:ilvl="5">
      <w:start w:val="0"/>
      <w:numFmt w:val="bullet"/>
      <w:lvlText w:val="•"/>
      <w:lvlJc w:val="left"/>
      <w:pPr>
        <w:ind w:left="7220" w:hanging="281"/>
      </w:pPr>
      <w:rPr>
        <w:rFonts w:hint="default"/>
        <w:lang w:val="ru-RU" w:eastAsia="en-US" w:bidi="ar-SA"/>
      </w:rPr>
    </w:lvl>
    <w:lvl w:ilvl="6">
      <w:start w:val="0"/>
      <w:numFmt w:val="bullet"/>
      <w:lvlText w:val="•"/>
      <w:lvlJc w:val="left"/>
      <w:pPr>
        <w:ind w:left="8156" w:hanging="281"/>
      </w:pPr>
      <w:rPr>
        <w:rFonts w:hint="default"/>
        <w:lang w:val="ru-RU" w:eastAsia="en-US" w:bidi="ar-SA"/>
      </w:rPr>
    </w:lvl>
    <w:lvl w:ilvl="7">
      <w:start w:val="0"/>
      <w:numFmt w:val="bullet"/>
      <w:lvlText w:val="•"/>
      <w:lvlJc w:val="left"/>
      <w:pPr>
        <w:ind w:left="9092" w:hanging="281"/>
      </w:pPr>
      <w:rPr>
        <w:rFonts w:hint="default"/>
        <w:lang w:val="ru-RU" w:eastAsia="en-US" w:bidi="ar-SA"/>
      </w:rPr>
    </w:lvl>
    <w:lvl w:ilvl="8">
      <w:start w:val="0"/>
      <w:numFmt w:val="bullet"/>
      <w:lvlText w:val="•"/>
      <w:lvlJc w:val="left"/>
      <w:pPr>
        <w:ind w:left="10028" w:hanging="281"/>
      </w:pPr>
      <w:rPr>
        <w:rFonts w:hint="default"/>
        <w:lang w:val="ru-RU" w:eastAsia="en-US" w:bidi="ar-SA"/>
      </w:rPr>
    </w:lvl>
  </w:abstractNum>
  <w:abstractNum w:abstractNumId="45">
    <w:multiLevelType w:val="hybridMultilevel"/>
    <w:lvl w:ilvl="0">
      <w:start w:val="1"/>
      <w:numFmt w:val="decimal"/>
      <w:lvlText w:val="%1."/>
      <w:lvlJc w:val="left"/>
      <w:pPr>
        <w:ind w:left="2788" w:hanging="240"/>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3692" w:hanging="240"/>
      </w:pPr>
      <w:rPr>
        <w:rFonts w:hint="default"/>
        <w:lang w:val="ru-RU" w:eastAsia="en-US" w:bidi="ar-SA"/>
      </w:rPr>
    </w:lvl>
    <w:lvl w:ilvl="2">
      <w:start w:val="0"/>
      <w:numFmt w:val="bullet"/>
      <w:lvlText w:val="•"/>
      <w:lvlJc w:val="left"/>
      <w:pPr>
        <w:ind w:left="4604" w:hanging="240"/>
      </w:pPr>
      <w:rPr>
        <w:rFonts w:hint="default"/>
        <w:lang w:val="ru-RU" w:eastAsia="en-US" w:bidi="ar-SA"/>
      </w:rPr>
    </w:lvl>
    <w:lvl w:ilvl="3">
      <w:start w:val="0"/>
      <w:numFmt w:val="bullet"/>
      <w:lvlText w:val="•"/>
      <w:lvlJc w:val="left"/>
      <w:pPr>
        <w:ind w:left="5516" w:hanging="240"/>
      </w:pPr>
      <w:rPr>
        <w:rFonts w:hint="default"/>
        <w:lang w:val="ru-RU" w:eastAsia="en-US" w:bidi="ar-SA"/>
      </w:rPr>
    </w:lvl>
    <w:lvl w:ilvl="4">
      <w:start w:val="0"/>
      <w:numFmt w:val="bullet"/>
      <w:lvlText w:val="•"/>
      <w:lvlJc w:val="left"/>
      <w:pPr>
        <w:ind w:left="6428" w:hanging="240"/>
      </w:pPr>
      <w:rPr>
        <w:rFonts w:hint="default"/>
        <w:lang w:val="ru-RU" w:eastAsia="en-US" w:bidi="ar-SA"/>
      </w:rPr>
    </w:lvl>
    <w:lvl w:ilvl="5">
      <w:start w:val="0"/>
      <w:numFmt w:val="bullet"/>
      <w:lvlText w:val="•"/>
      <w:lvlJc w:val="left"/>
      <w:pPr>
        <w:ind w:left="7340" w:hanging="240"/>
      </w:pPr>
      <w:rPr>
        <w:rFonts w:hint="default"/>
        <w:lang w:val="ru-RU" w:eastAsia="en-US" w:bidi="ar-SA"/>
      </w:rPr>
    </w:lvl>
    <w:lvl w:ilvl="6">
      <w:start w:val="0"/>
      <w:numFmt w:val="bullet"/>
      <w:lvlText w:val="•"/>
      <w:lvlJc w:val="left"/>
      <w:pPr>
        <w:ind w:left="8252" w:hanging="240"/>
      </w:pPr>
      <w:rPr>
        <w:rFonts w:hint="default"/>
        <w:lang w:val="ru-RU" w:eastAsia="en-US" w:bidi="ar-SA"/>
      </w:rPr>
    </w:lvl>
    <w:lvl w:ilvl="7">
      <w:start w:val="0"/>
      <w:numFmt w:val="bullet"/>
      <w:lvlText w:val="•"/>
      <w:lvlJc w:val="left"/>
      <w:pPr>
        <w:ind w:left="9164" w:hanging="240"/>
      </w:pPr>
      <w:rPr>
        <w:rFonts w:hint="default"/>
        <w:lang w:val="ru-RU" w:eastAsia="en-US" w:bidi="ar-SA"/>
      </w:rPr>
    </w:lvl>
    <w:lvl w:ilvl="8">
      <w:start w:val="0"/>
      <w:numFmt w:val="bullet"/>
      <w:lvlText w:val="•"/>
      <w:lvlJc w:val="left"/>
      <w:pPr>
        <w:ind w:left="10076" w:hanging="240"/>
      </w:pPr>
      <w:rPr>
        <w:rFonts w:hint="default"/>
        <w:lang w:val="ru-RU" w:eastAsia="en-US" w:bidi="ar-SA"/>
      </w:rPr>
    </w:lvl>
  </w:abstractNum>
  <w:abstractNum w:abstractNumId="44">
    <w:multiLevelType w:val="hybridMultilevel"/>
    <w:lvl w:ilvl="0">
      <w:start w:val="1"/>
      <w:numFmt w:val="decimal"/>
      <w:lvlText w:val="%1."/>
      <w:lvlJc w:val="left"/>
      <w:pPr>
        <w:ind w:left="2549" w:hanging="425"/>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2549" w:hanging="281"/>
      </w:pPr>
      <w:rPr>
        <w:rFonts w:hint="default" w:ascii="Times New Roman" w:hAnsi="Times New Roman" w:eastAsia="Times New Roman" w:cs="Times New Roman"/>
        <w:b w:val="0"/>
        <w:bCs w:val="0"/>
        <w:i w:val="0"/>
        <w:iCs w:val="0"/>
        <w:spacing w:val="0"/>
        <w:w w:val="99"/>
        <w:sz w:val="24"/>
        <w:szCs w:val="24"/>
        <w:lang w:val="ru-RU" w:eastAsia="en-US" w:bidi="ar-SA"/>
      </w:rPr>
    </w:lvl>
    <w:lvl w:ilvl="2">
      <w:start w:val="0"/>
      <w:numFmt w:val="bullet"/>
      <w:lvlText w:val="•"/>
      <w:lvlJc w:val="left"/>
      <w:pPr>
        <w:ind w:left="4412" w:hanging="281"/>
      </w:pPr>
      <w:rPr>
        <w:rFonts w:hint="default"/>
        <w:lang w:val="ru-RU" w:eastAsia="en-US" w:bidi="ar-SA"/>
      </w:rPr>
    </w:lvl>
    <w:lvl w:ilvl="3">
      <w:start w:val="0"/>
      <w:numFmt w:val="bullet"/>
      <w:lvlText w:val="•"/>
      <w:lvlJc w:val="left"/>
      <w:pPr>
        <w:ind w:left="5348" w:hanging="281"/>
      </w:pPr>
      <w:rPr>
        <w:rFonts w:hint="default"/>
        <w:lang w:val="ru-RU" w:eastAsia="en-US" w:bidi="ar-SA"/>
      </w:rPr>
    </w:lvl>
    <w:lvl w:ilvl="4">
      <w:start w:val="0"/>
      <w:numFmt w:val="bullet"/>
      <w:lvlText w:val="•"/>
      <w:lvlJc w:val="left"/>
      <w:pPr>
        <w:ind w:left="6284" w:hanging="281"/>
      </w:pPr>
      <w:rPr>
        <w:rFonts w:hint="default"/>
        <w:lang w:val="ru-RU" w:eastAsia="en-US" w:bidi="ar-SA"/>
      </w:rPr>
    </w:lvl>
    <w:lvl w:ilvl="5">
      <w:start w:val="0"/>
      <w:numFmt w:val="bullet"/>
      <w:lvlText w:val="•"/>
      <w:lvlJc w:val="left"/>
      <w:pPr>
        <w:ind w:left="7220" w:hanging="281"/>
      </w:pPr>
      <w:rPr>
        <w:rFonts w:hint="default"/>
        <w:lang w:val="ru-RU" w:eastAsia="en-US" w:bidi="ar-SA"/>
      </w:rPr>
    </w:lvl>
    <w:lvl w:ilvl="6">
      <w:start w:val="0"/>
      <w:numFmt w:val="bullet"/>
      <w:lvlText w:val="•"/>
      <w:lvlJc w:val="left"/>
      <w:pPr>
        <w:ind w:left="8156" w:hanging="281"/>
      </w:pPr>
      <w:rPr>
        <w:rFonts w:hint="default"/>
        <w:lang w:val="ru-RU" w:eastAsia="en-US" w:bidi="ar-SA"/>
      </w:rPr>
    </w:lvl>
    <w:lvl w:ilvl="7">
      <w:start w:val="0"/>
      <w:numFmt w:val="bullet"/>
      <w:lvlText w:val="•"/>
      <w:lvlJc w:val="left"/>
      <w:pPr>
        <w:ind w:left="9092" w:hanging="281"/>
      </w:pPr>
      <w:rPr>
        <w:rFonts w:hint="default"/>
        <w:lang w:val="ru-RU" w:eastAsia="en-US" w:bidi="ar-SA"/>
      </w:rPr>
    </w:lvl>
    <w:lvl w:ilvl="8">
      <w:start w:val="0"/>
      <w:numFmt w:val="bullet"/>
      <w:lvlText w:val="•"/>
      <w:lvlJc w:val="left"/>
      <w:pPr>
        <w:ind w:left="10028" w:hanging="281"/>
      </w:pPr>
      <w:rPr>
        <w:rFonts w:hint="default"/>
        <w:lang w:val="ru-RU" w:eastAsia="en-US" w:bidi="ar-SA"/>
      </w:rPr>
    </w:lvl>
  </w:abstractNum>
  <w:abstractNum w:abstractNumId="43">
    <w:multiLevelType w:val="hybridMultilevel"/>
    <w:lvl w:ilvl="0">
      <w:start w:val="0"/>
      <w:numFmt w:val="bullet"/>
      <w:lvlText w:val="-"/>
      <w:lvlJc w:val="left"/>
      <w:pPr>
        <w:ind w:left="2124"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2561" w:hanging="360"/>
      </w:pPr>
      <w:rPr>
        <w:rFonts w:hint="default" w:ascii="Symbol" w:hAnsi="Symbol" w:eastAsia="Symbol" w:cs="Symbol"/>
        <w:b w:val="0"/>
        <w:bCs w:val="0"/>
        <w:i w:val="0"/>
        <w:iCs w:val="0"/>
        <w:spacing w:val="0"/>
        <w:w w:val="99"/>
        <w:sz w:val="24"/>
        <w:szCs w:val="24"/>
        <w:lang w:val="ru-RU" w:eastAsia="en-US" w:bidi="ar-SA"/>
      </w:rPr>
    </w:lvl>
    <w:lvl w:ilvl="2">
      <w:start w:val="0"/>
      <w:numFmt w:val="bullet"/>
      <w:lvlText w:val="•"/>
      <w:lvlJc w:val="left"/>
      <w:pPr>
        <w:ind w:left="3597" w:hanging="360"/>
      </w:pPr>
      <w:rPr>
        <w:rFonts w:hint="default"/>
        <w:lang w:val="ru-RU" w:eastAsia="en-US" w:bidi="ar-SA"/>
      </w:rPr>
    </w:lvl>
    <w:lvl w:ilvl="3">
      <w:start w:val="0"/>
      <w:numFmt w:val="bullet"/>
      <w:lvlText w:val="•"/>
      <w:lvlJc w:val="left"/>
      <w:pPr>
        <w:ind w:left="4635" w:hanging="360"/>
      </w:pPr>
      <w:rPr>
        <w:rFonts w:hint="default"/>
        <w:lang w:val="ru-RU" w:eastAsia="en-US" w:bidi="ar-SA"/>
      </w:rPr>
    </w:lvl>
    <w:lvl w:ilvl="4">
      <w:start w:val="0"/>
      <w:numFmt w:val="bullet"/>
      <w:lvlText w:val="•"/>
      <w:lvlJc w:val="left"/>
      <w:pPr>
        <w:ind w:left="5673" w:hanging="360"/>
      </w:pPr>
      <w:rPr>
        <w:rFonts w:hint="default"/>
        <w:lang w:val="ru-RU" w:eastAsia="en-US" w:bidi="ar-SA"/>
      </w:rPr>
    </w:lvl>
    <w:lvl w:ilvl="5">
      <w:start w:val="0"/>
      <w:numFmt w:val="bullet"/>
      <w:lvlText w:val="•"/>
      <w:lvlJc w:val="left"/>
      <w:pPr>
        <w:ind w:left="6711" w:hanging="360"/>
      </w:pPr>
      <w:rPr>
        <w:rFonts w:hint="default"/>
        <w:lang w:val="ru-RU" w:eastAsia="en-US" w:bidi="ar-SA"/>
      </w:rPr>
    </w:lvl>
    <w:lvl w:ilvl="6">
      <w:start w:val="0"/>
      <w:numFmt w:val="bullet"/>
      <w:lvlText w:val="•"/>
      <w:lvlJc w:val="left"/>
      <w:pPr>
        <w:ind w:left="7748" w:hanging="360"/>
      </w:pPr>
      <w:rPr>
        <w:rFonts w:hint="default"/>
        <w:lang w:val="ru-RU" w:eastAsia="en-US" w:bidi="ar-SA"/>
      </w:rPr>
    </w:lvl>
    <w:lvl w:ilvl="7">
      <w:start w:val="0"/>
      <w:numFmt w:val="bullet"/>
      <w:lvlText w:val="•"/>
      <w:lvlJc w:val="left"/>
      <w:pPr>
        <w:ind w:left="8786" w:hanging="360"/>
      </w:pPr>
      <w:rPr>
        <w:rFonts w:hint="default"/>
        <w:lang w:val="ru-RU" w:eastAsia="en-US" w:bidi="ar-SA"/>
      </w:rPr>
    </w:lvl>
    <w:lvl w:ilvl="8">
      <w:start w:val="0"/>
      <w:numFmt w:val="bullet"/>
      <w:lvlText w:val="•"/>
      <w:lvlJc w:val="left"/>
      <w:pPr>
        <w:ind w:left="9824" w:hanging="360"/>
      </w:pPr>
      <w:rPr>
        <w:rFonts w:hint="default"/>
        <w:lang w:val="ru-RU" w:eastAsia="en-US" w:bidi="ar-SA"/>
      </w:rPr>
    </w:lvl>
  </w:abstractNum>
  <w:abstractNum w:abstractNumId="42">
    <w:multiLevelType w:val="hybridMultilevel"/>
    <w:lvl w:ilvl="0">
      <w:start w:val="0"/>
      <w:numFmt w:val="bullet"/>
      <w:lvlText w:val=""/>
      <w:lvlJc w:val="left"/>
      <w:pPr>
        <w:ind w:left="2124" w:hanging="283"/>
      </w:pPr>
      <w:rPr>
        <w:rFonts w:hint="default" w:ascii="Symbol" w:hAnsi="Symbol" w:eastAsia="Symbol" w:cs="Symbol"/>
        <w:b w:val="0"/>
        <w:bCs w:val="0"/>
        <w:i w:val="0"/>
        <w:iCs w:val="0"/>
        <w:spacing w:val="0"/>
        <w:w w:val="99"/>
        <w:sz w:val="24"/>
        <w:szCs w:val="24"/>
        <w:lang w:val="ru-RU" w:eastAsia="en-US" w:bidi="ar-SA"/>
      </w:rPr>
    </w:lvl>
    <w:lvl w:ilvl="1">
      <w:start w:val="1"/>
      <w:numFmt w:val="decimal"/>
      <w:lvlText w:val="%2."/>
      <w:lvlJc w:val="left"/>
      <w:pPr>
        <w:ind w:left="2561" w:hanging="360"/>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2">
      <w:start w:val="0"/>
      <w:numFmt w:val="bullet"/>
      <w:lvlText w:val="•"/>
      <w:lvlJc w:val="left"/>
      <w:pPr>
        <w:ind w:left="3597" w:hanging="360"/>
      </w:pPr>
      <w:rPr>
        <w:rFonts w:hint="default"/>
        <w:lang w:val="ru-RU" w:eastAsia="en-US" w:bidi="ar-SA"/>
      </w:rPr>
    </w:lvl>
    <w:lvl w:ilvl="3">
      <w:start w:val="0"/>
      <w:numFmt w:val="bullet"/>
      <w:lvlText w:val="•"/>
      <w:lvlJc w:val="left"/>
      <w:pPr>
        <w:ind w:left="4635" w:hanging="360"/>
      </w:pPr>
      <w:rPr>
        <w:rFonts w:hint="default"/>
        <w:lang w:val="ru-RU" w:eastAsia="en-US" w:bidi="ar-SA"/>
      </w:rPr>
    </w:lvl>
    <w:lvl w:ilvl="4">
      <w:start w:val="0"/>
      <w:numFmt w:val="bullet"/>
      <w:lvlText w:val="•"/>
      <w:lvlJc w:val="left"/>
      <w:pPr>
        <w:ind w:left="5673" w:hanging="360"/>
      </w:pPr>
      <w:rPr>
        <w:rFonts w:hint="default"/>
        <w:lang w:val="ru-RU" w:eastAsia="en-US" w:bidi="ar-SA"/>
      </w:rPr>
    </w:lvl>
    <w:lvl w:ilvl="5">
      <w:start w:val="0"/>
      <w:numFmt w:val="bullet"/>
      <w:lvlText w:val="•"/>
      <w:lvlJc w:val="left"/>
      <w:pPr>
        <w:ind w:left="6711" w:hanging="360"/>
      </w:pPr>
      <w:rPr>
        <w:rFonts w:hint="default"/>
        <w:lang w:val="ru-RU" w:eastAsia="en-US" w:bidi="ar-SA"/>
      </w:rPr>
    </w:lvl>
    <w:lvl w:ilvl="6">
      <w:start w:val="0"/>
      <w:numFmt w:val="bullet"/>
      <w:lvlText w:val="•"/>
      <w:lvlJc w:val="left"/>
      <w:pPr>
        <w:ind w:left="7748" w:hanging="360"/>
      </w:pPr>
      <w:rPr>
        <w:rFonts w:hint="default"/>
        <w:lang w:val="ru-RU" w:eastAsia="en-US" w:bidi="ar-SA"/>
      </w:rPr>
    </w:lvl>
    <w:lvl w:ilvl="7">
      <w:start w:val="0"/>
      <w:numFmt w:val="bullet"/>
      <w:lvlText w:val="•"/>
      <w:lvlJc w:val="left"/>
      <w:pPr>
        <w:ind w:left="8786" w:hanging="360"/>
      </w:pPr>
      <w:rPr>
        <w:rFonts w:hint="default"/>
        <w:lang w:val="ru-RU" w:eastAsia="en-US" w:bidi="ar-SA"/>
      </w:rPr>
    </w:lvl>
    <w:lvl w:ilvl="8">
      <w:start w:val="0"/>
      <w:numFmt w:val="bullet"/>
      <w:lvlText w:val="•"/>
      <w:lvlJc w:val="left"/>
      <w:pPr>
        <w:ind w:left="9824" w:hanging="360"/>
      </w:pPr>
      <w:rPr>
        <w:rFonts w:hint="default"/>
        <w:lang w:val="ru-RU" w:eastAsia="en-US" w:bidi="ar-SA"/>
      </w:rPr>
    </w:lvl>
  </w:abstractNum>
  <w:abstractNum w:abstractNumId="41">
    <w:multiLevelType w:val="hybridMultilevel"/>
    <w:lvl w:ilvl="0">
      <w:start w:val="1"/>
      <w:numFmt w:val="decimal"/>
      <w:lvlText w:val="%1."/>
      <w:lvlJc w:val="left"/>
      <w:pPr>
        <w:ind w:left="2834" w:hanging="286"/>
        <w:jc w:val="left"/>
      </w:pPr>
      <w:rPr>
        <w:rFonts w:hint="default"/>
        <w:spacing w:val="0"/>
        <w:w w:val="99"/>
        <w:lang w:val="ru-RU" w:eastAsia="en-US" w:bidi="ar-SA"/>
      </w:rPr>
    </w:lvl>
    <w:lvl w:ilvl="1">
      <w:start w:val="0"/>
      <w:numFmt w:val="bullet"/>
      <w:lvlText w:val="•"/>
      <w:lvlJc w:val="left"/>
      <w:pPr>
        <w:ind w:left="3746" w:hanging="286"/>
      </w:pPr>
      <w:rPr>
        <w:rFonts w:hint="default"/>
        <w:lang w:val="ru-RU" w:eastAsia="en-US" w:bidi="ar-SA"/>
      </w:rPr>
    </w:lvl>
    <w:lvl w:ilvl="2">
      <w:start w:val="0"/>
      <w:numFmt w:val="bullet"/>
      <w:lvlText w:val="•"/>
      <w:lvlJc w:val="left"/>
      <w:pPr>
        <w:ind w:left="4652" w:hanging="286"/>
      </w:pPr>
      <w:rPr>
        <w:rFonts w:hint="default"/>
        <w:lang w:val="ru-RU" w:eastAsia="en-US" w:bidi="ar-SA"/>
      </w:rPr>
    </w:lvl>
    <w:lvl w:ilvl="3">
      <w:start w:val="0"/>
      <w:numFmt w:val="bullet"/>
      <w:lvlText w:val="•"/>
      <w:lvlJc w:val="left"/>
      <w:pPr>
        <w:ind w:left="5558" w:hanging="286"/>
      </w:pPr>
      <w:rPr>
        <w:rFonts w:hint="default"/>
        <w:lang w:val="ru-RU" w:eastAsia="en-US" w:bidi="ar-SA"/>
      </w:rPr>
    </w:lvl>
    <w:lvl w:ilvl="4">
      <w:start w:val="0"/>
      <w:numFmt w:val="bullet"/>
      <w:lvlText w:val="•"/>
      <w:lvlJc w:val="left"/>
      <w:pPr>
        <w:ind w:left="6464" w:hanging="286"/>
      </w:pPr>
      <w:rPr>
        <w:rFonts w:hint="default"/>
        <w:lang w:val="ru-RU" w:eastAsia="en-US" w:bidi="ar-SA"/>
      </w:rPr>
    </w:lvl>
    <w:lvl w:ilvl="5">
      <w:start w:val="0"/>
      <w:numFmt w:val="bullet"/>
      <w:lvlText w:val="•"/>
      <w:lvlJc w:val="left"/>
      <w:pPr>
        <w:ind w:left="7370" w:hanging="286"/>
      </w:pPr>
      <w:rPr>
        <w:rFonts w:hint="default"/>
        <w:lang w:val="ru-RU" w:eastAsia="en-US" w:bidi="ar-SA"/>
      </w:rPr>
    </w:lvl>
    <w:lvl w:ilvl="6">
      <w:start w:val="0"/>
      <w:numFmt w:val="bullet"/>
      <w:lvlText w:val="•"/>
      <w:lvlJc w:val="left"/>
      <w:pPr>
        <w:ind w:left="8276" w:hanging="286"/>
      </w:pPr>
      <w:rPr>
        <w:rFonts w:hint="default"/>
        <w:lang w:val="ru-RU" w:eastAsia="en-US" w:bidi="ar-SA"/>
      </w:rPr>
    </w:lvl>
    <w:lvl w:ilvl="7">
      <w:start w:val="0"/>
      <w:numFmt w:val="bullet"/>
      <w:lvlText w:val="•"/>
      <w:lvlJc w:val="left"/>
      <w:pPr>
        <w:ind w:left="9182" w:hanging="286"/>
      </w:pPr>
      <w:rPr>
        <w:rFonts w:hint="default"/>
        <w:lang w:val="ru-RU" w:eastAsia="en-US" w:bidi="ar-SA"/>
      </w:rPr>
    </w:lvl>
    <w:lvl w:ilvl="8">
      <w:start w:val="0"/>
      <w:numFmt w:val="bullet"/>
      <w:lvlText w:val="•"/>
      <w:lvlJc w:val="left"/>
      <w:pPr>
        <w:ind w:left="10088" w:hanging="286"/>
      </w:pPr>
      <w:rPr>
        <w:rFonts w:hint="default"/>
        <w:lang w:val="ru-RU" w:eastAsia="en-US" w:bidi="ar-SA"/>
      </w:rPr>
    </w:lvl>
  </w:abstractNum>
  <w:abstractNum w:abstractNumId="40">
    <w:multiLevelType w:val="hybridMultilevel"/>
    <w:lvl w:ilvl="0">
      <w:start w:val="0"/>
      <w:numFmt w:val="bullet"/>
      <w:lvlText w:val="-"/>
      <w:lvlJc w:val="left"/>
      <w:pPr>
        <w:ind w:left="2561"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3494" w:hanging="360"/>
      </w:pPr>
      <w:rPr>
        <w:rFonts w:hint="default"/>
        <w:lang w:val="ru-RU" w:eastAsia="en-US" w:bidi="ar-SA"/>
      </w:rPr>
    </w:lvl>
    <w:lvl w:ilvl="2">
      <w:start w:val="0"/>
      <w:numFmt w:val="bullet"/>
      <w:lvlText w:val="•"/>
      <w:lvlJc w:val="left"/>
      <w:pPr>
        <w:ind w:left="4428" w:hanging="360"/>
      </w:pPr>
      <w:rPr>
        <w:rFonts w:hint="default"/>
        <w:lang w:val="ru-RU" w:eastAsia="en-US" w:bidi="ar-SA"/>
      </w:rPr>
    </w:lvl>
    <w:lvl w:ilvl="3">
      <w:start w:val="0"/>
      <w:numFmt w:val="bullet"/>
      <w:lvlText w:val="•"/>
      <w:lvlJc w:val="left"/>
      <w:pPr>
        <w:ind w:left="5362" w:hanging="360"/>
      </w:pPr>
      <w:rPr>
        <w:rFonts w:hint="default"/>
        <w:lang w:val="ru-RU" w:eastAsia="en-US" w:bidi="ar-SA"/>
      </w:rPr>
    </w:lvl>
    <w:lvl w:ilvl="4">
      <w:start w:val="0"/>
      <w:numFmt w:val="bullet"/>
      <w:lvlText w:val="•"/>
      <w:lvlJc w:val="left"/>
      <w:pPr>
        <w:ind w:left="6296" w:hanging="360"/>
      </w:pPr>
      <w:rPr>
        <w:rFonts w:hint="default"/>
        <w:lang w:val="ru-RU" w:eastAsia="en-US" w:bidi="ar-SA"/>
      </w:rPr>
    </w:lvl>
    <w:lvl w:ilvl="5">
      <w:start w:val="0"/>
      <w:numFmt w:val="bullet"/>
      <w:lvlText w:val="•"/>
      <w:lvlJc w:val="left"/>
      <w:pPr>
        <w:ind w:left="7230" w:hanging="360"/>
      </w:pPr>
      <w:rPr>
        <w:rFonts w:hint="default"/>
        <w:lang w:val="ru-RU" w:eastAsia="en-US" w:bidi="ar-SA"/>
      </w:rPr>
    </w:lvl>
    <w:lvl w:ilvl="6">
      <w:start w:val="0"/>
      <w:numFmt w:val="bullet"/>
      <w:lvlText w:val="•"/>
      <w:lvlJc w:val="left"/>
      <w:pPr>
        <w:ind w:left="8164" w:hanging="360"/>
      </w:pPr>
      <w:rPr>
        <w:rFonts w:hint="default"/>
        <w:lang w:val="ru-RU" w:eastAsia="en-US" w:bidi="ar-SA"/>
      </w:rPr>
    </w:lvl>
    <w:lvl w:ilvl="7">
      <w:start w:val="0"/>
      <w:numFmt w:val="bullet"/>
      <w:lvlText w:val="•"/>
      <w:lvlJc w:val="left"/>
      <w:pPr>
        <w:ind w:left="9098" w:hanging="360"/>
      </w:pPr>
      <w:rPr>
        <w:rFonts w:hint="default"/>
        <w:lang w:val="ru-RU" w:eastAsia="en-US" w:bidi="ar-SA"/>
      </w:rPr>
    </w:lvl>
    <w:lvl w:ilvl="8">
      <w:start w:val="0"/>
      <w:numFmt w:val="bullet"/>
      <w:lvlText w:val="•"/>
      <w:lvlJc w:val="left"/>
      <w:pPr>
        <w:ind w:left="10032" w:hanging="360"/>
      </w:pPr>
      <w:rPr>
        <w:rFonts w:hint="default"/>
        <w:lang w:val="ru-RU" w:eastAsia="en-US" w:bidi="ar-SA"/>
      </w:rPr>
    </w:lvl>
  </w:abstractNum>
  <w:abstractNum w:abstractNumId="39">
    <w:multiLevelType w:val="hybridMultilevel"/>
    <w:lvl w:ilvl="0">
      <w:start w:val="0"/>
      <w:numFmt w:val="bullet"/>
      <w:lvlText w:val=""/>
      <w:lvlJc w:val="left"/>
      <w:pPr>
        <w:ind w:left="2561" w:hanging="360"/>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94" w:hanging="360"/>
      </w:pPr>
      <w:rPr>
        <w:rFonts w:hint="default"/>
        <w:lang w:val="ru-RU" w:eastAsia="en-US" w:bidi="ar-SA"/>
      </w:rPr>
    </w:lvl>
    <w:lvl w:ilvl="2">
      <w:start w:val="0"/>
      <w:numFmt w:val="bullet"/>
      <w:lvlText w:val="•"/>
      <w:lvlJc w:val="left"/>
      <w:pPr>
        <w:ind w:left="4428" w:hanging="360"/>
      </w:pPr>
      <w:rPr>
        <w:rFonts w:hint="default"/>
        <w:lang w:val="ru-RU" w:eastAsia="en-US" w:bidi="ar-SA"/>
      </w:rPr>
    </w:lvl>
    <w:lvl w:ilvl="3">
      <w:start w:val="0"/>
      <w:numFmt w:val="bullet"/>
      <w:lvlText w:val="•"/>
      <w:lvlJc w:val="left"/>
      <w:pPr>
        <w:ind w:left="5362" w:hanging="360"/>
      </w:pPr>
      <w:rPr>
        <w:rFonts w:hint="default"/>
        <w:lang w:val="ru-RU" w:eastAsia="en-US" w:bidi="ar-SA"/>
      </w:rPr>
    </w:lvl>
    <w:lvl w:ilvl="4">
      <w:start w:val="0"/>
      <w:numFmt w:val="bullet"/>
      <w:lvlText w:val="•"/>
      <w:lvlJc w:val="left"/>
      <w:pPr>
        <w:ind w:left="6296" w:hanging="360"/>
      </w:pPr>
      <w:rPr>
        <w:rFonts w:hint="default"/>
        <w:lang w:val="ru-RU" w:eastAsia="en-US" w:bidi="ar-SA"/>
      </w:rPr>
    </w:lvl>
    <w:lvl w:ilvl="5">
      <w:start w:val="0"/>
      <w:numFmt w:val="bullet"/>
      <w:lvlText w:val="•"/>
      <w:lvlJc w:val="left"/>
      <w:pPr>
        <w:ind w:left="7230" w:hanging="360"/>
      </w:pPr>
      <w:rPr>
        <w:rFonts w:hint="default"/>
        <w:lang w:val="ru-RU" w:eastAsia="en-US" w:bidi="ar-SA"/>
      </w:rPr>
    </w:lvl>
    <w:lvl w:ilvl="6">
      <w:start w:val="0"/>
      <w:numFmt w:val="bullet"/>
      <w:lvlText w:val="•"/>
      <w:lvlJc w:val="left"/>
      <w:pPr>
        <w:ind w:left="8164" w:hanging="360"/>
      </w:pPr>
      <w:rPr>
        <w:rFonts w:hint="default"/>
        <w:lang w:val="ru-RU" w:eastAsia="en-US" w:bidi="ar-SA"/>
      </w:rPr>
    </w:lvl>
    <w:lvl w:ilvl="7">
      <w:start w:val="0"/>
      <w:numFmt w:val="bullet"/>
      <w:lvlText w:val="•"/>
      <w:lvlJc w:val="left"/>
      <w:pPr>
        <w:ind w:left="9098" w:hanging="360"/>
      </w:pPr>
      <w:rPr>
        <w:rFonts w:hint="default"/>
        <w:lang w:val="ru-RU" w:eastAsia="en-US" w:bidi="ar-SA"/>
      </w:rPr>
    </w:lvl>
    <w:lvl w:ilvl="8">
      <w:start w:val="0"/>
      <w:numFmt w:val="bullet"/>
      <w:lvlText w:val="•"/>
      <w:lvlJc w:val="left"/>
      <w:pPr>
        <w:ind w:left="10032" w:hanging="360"/>
      </w:pPr>
      <w:rPr>
        <w:rFonts w:hint="default"/>
        <w:lang w:val="ru-RU" w:eastAsia="en-US" w:bidi="ar-SA"/>
      </w:rPr>
    </w:lvl>
  </w:abstractNum>
  <w:abstractNum w:abstractNumId="38">
    <w:multiLevelType w:val="hybridMultilevel"/>
    <w:lvl w:ilvl="0">
      <w:start w:val="0"/>
      <w:numFmt w:val="bullet"/>
      <w:lvlText w:val=""/>
      <w:lvlJc w:val="left"/>
      <w:pPr>
        <w:ind w:left="1841" w:hanging="427"/>
      </w:pPr>
      <w:rPr>
        <w:rFonts w:hint="default" w:ascii="Symbol" w:hAnsi="Symbol" w:eastAsia="Symbol" w:cs="Symbol"/>
        <w:spacing w:val="0"/>
        <w:w w:val="99"/>
        <w:lang w:val="ru-RU" w:eastAsia="en-US" w:bidi="ar-SA"/>
      </w:rPr>
    </w:lvl>
    <w:lvl w:ilvl="1">
      <w:start w:val="0"/>
      <w:numFmt w:val="bullet"/>
      <w:lvlText w:val="•"/>
      <w:lvlJc w:val="left"/>
      <w:pPr>
        <w:ind w:left="2846" w:hanging="427"/>
      </w:pPr>
      <w:rPr>
        <w:rFonts w:hint="default"/>
        <w:lang w:val="ru-RU" w:eastAsia="en-US" w:bidi="ar-SA"/>
      </w:rPr>
    </w:lvl>
    <w:lvl w:ilvl="2">
      <w:start w:val="0"/>
      <w:numFmt w:val="bullet"/>
      <w:lvlText w:val="•"/>
      <w:lvlJc w:val="left"/>
      <w:pPr>
        <w:ind w:left="3852" w:hanging="427"/>
      </w:pPr>
      <w:rPr>
        <w:rFonts w:hint="default"/>
        <w:lang w:val="ru-RU" w:eastAsia="en-US" w:bidi="ar-SA"/>
      </w:rPr>
    </w:lvl>
    <w:lvl w:ilvl="3">
      <w:start w:val="0"/>
      <w:numFmt w:val="bullet"/>
      <w:lvlText w:val="•"/>
      <w:lvlJc w:val="left"/>
      <w:pPr>
        <w:ind w:left="4858" w:hanging="427"/>
      </w:pPr>
      <w:rPr>
        <w:rFonts w:hint="default"/>
        <w:lang w:val="ru-RU" w:eastAsia="en-US" w:bidi="ar-SA"/>
      </w:rPr>
    </w:lvl>
    <w:lvl w:ilvl="4">
      <w:start w:val="0"/>
      <w:numFmt w:val="bullet"/>
      <w:lvlText w:val="•"/>
      <w:lvlJc w:val="left"/>
      <w:pPr>
        <w:ind w:left="5864" w:hanging="427"/>
      </w:pPr>
      <w:rPr>
        <w:rFonts w:hint="default"/>
        <w:lang w:val="ru-RU" w:eastAsia="en-US" w:bidi="ar-SA"/>
      </w:rPr>
    </w:lvl>
    <w:lvl w:ilvl="5">
      <w:start w:val="0"/>
      <w:numFmt w:val="bullet"/>
      <w:lvlText w:val="•"/>
      <w:lvlJc w:val="left"/>
      <w:pPr>
        <w:ind w:left="6870" w:hanging="427"/>
      </w:pPr>
      <w:rPr>
        <w:rFonts w:hint="default"/>
        <w:lang w:val="ru-RU" w:eastAsia="en-US" w:bidi="ar-SA"/>
      </w:rPr>
    </w:lvl>
    <w:lvl w:ilvl="6">
      <w:start w:val="0"/>
      <w:numFmt w:val="bullet"/>
      <w:lvlText w:val="•"/>
      <w:lvlJc w:val="left"/>
      <w:pPr>
        <w:ind w:left="7876" w:hanging="427"/>
      </w:pPr>
      <w:rPr>
        <w:rFonts w:hint="default"/>
        <w:lang w:val="ru-RU" w:eastAsia="en-US" w:bidi="ar-SA"/>
      </w:rPr>
    </w:lvl>
    <w:lvl w:ilvl="7">
      <w:start w:val="0"/>
      <w:numFmt w:val="bullet"/>
      <w:lvlText w:val="•"/>
      <w:lvlJc w:val="left"/>
      <w:pPr>
        <w:ind w:left="8882" w:hanging="427"/>
      </w:pPr>
      <w:rPr>
        <w:rFonts w:hint="default"/>
        <w:lang w:val="ru-RU" w:eastAsia="en-US" w:bidi="ar-SA"/>
      </w:rPr>
    </w:lvl>
    <w:lvl w:ilvl="8">
      <w:start w:val="0"/>
      <w:numFmt w:val="bullet"/>
      <w:lvlText w:val="•"/>
      <w:lvlJc w:val="left"/>
      <w:pPr>
        <w:ind w:left="9888" w:hanging="427"/>
      </w:pPr>
      <w:rPr>
        <w:rFonts w:hint="default"/>
        <w:lang w:val="ru-RU" w:eastAsia="en-US" w:bidi="ar-SA"/>
      </w:rPr>
    </w:lvl>
  </w:abstractNum>
  <w:abstractNum w:abstractNumId="37">
    <w:multiLevelType w:val="hybridMultilevel"/>
    <w:lvl w:ilvl="0">
      <w:start w:val="1"/>
      <w:numFmt w:val="decimal"/>
      <w:lvlText w:val="%1."/>
      <w:lvlJc w:val="left"/>
      <w:pPr>
        <w:ind w:left="1841" w:hanging="295"/>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2846" w:hanging="295"/>
      </w:pPr>
      <w:rPr>
        <w:rFonts w:hint="default"/>
        <w:lang w:val="ru-RU" w:eastAsia="en-US" w:bidi="ar-SA"/>
      </w:rPr>
    </w:lvl>
    <w:lvl w:ilvl="2">
      <w:start w:val="0"/>
      <w:numFmt w:val="bullet"/>
      <w:lvlText w:val="•"/>
      <w:lvlJc w:val="left"/>
      <w:pPr>
        <w:ind w:left="3852" w:hanging="295"/>
      </w:pPr>
      <w:rPr>
        <w:rFonts w:hint="default"/>
        <w:lang w:val="ru-RU" w:eastAsia="en-US" w:bidi="ar-SA"/>
      </w:rPr>
    </w:lvl>
    <w:lvl w:ilvl="3">
      <w:start w:val="0"/>
      <w:numFmt w:val="bullet"/>
      <w:lvlText w:val="•"/>
      <w:lvlJc w:val="left"/>
      <w:pPr>
        <w:ind w:left="4858" w:hanging="295"/>
      </w:pPr>
      <w:rPr>
        <w:rFonts w:hint="default"/>
        <w:lang w:val="ru-RU" w:eastAsia="en-US" w:bidi="ar-SA"/>
      </w:rPr>
    </w:lvl>
    <w:lvl w:ilvl="4">
      <w:start w:val="0"/>
      <w:numFmt w:val="bullet"/>
      <w:lvlText w:val="•"/>
      <w:lvlJc w:val="left"/>
      <w:pPr>
        <w:ind w:left="5864" w:hanging="295"/>
      </w:pPr>
      <w:rPr>
        <w:rFonts w:hint="default"/>
        <w:lang w:val="ru-RU" w:eastAsia="en-US" w:bidi="ar-SA"/>
      </w:rPr>
    </w:lvl>
    <w:lvl w:ilvl="5">
      <w:start w:val="0"/>
      <w:numFmt w:val="bullet"/>
      <w:lvlText w:val="•"/>
      <w:lvlJc w:val="left"/>
      <w:pPr>
        <w:ind w:left="6870" w:hanging="295"/>
      </w:pPr>
      <w:rPr>
        <w:rFonts w:hint="default"/>
        <w:lang w:val="ru-RU" w:eastAsia="en-US" w:bidi="ar-SA"/>
      </w:rPr>
    </w:lvl>
    <w:lvl w:ilvl="6">
      <w:start w:val="0"/>
      <w:numFmt w:val="bullet"/>
      <w:lvlText w:val="•"/>
      <w:lvlJc w:val="left"/>
      <w:pPr>
        <w:ind w:left="7876" w:hanging="295"/>
      </w:pPr>
      <w:rPr>
        <w:rFonts w:hint="default"/>
        <w:lang w:val="ru-RU" w:eastAsia="en-US" w:bidi="ar-SA"/>
      </w:rPr>
    </w:lvl>
    <w:lvl w:ilvl="7">
      <w:start w:val="0"/>
      <w:numFmt w:val="bullet"/>
      <w:lvlText w:val="•"/>
      <w:lvlJc w:val="left"/>
      <w:pPr>
        <w:ind w:left="8882" w:hanging="295"/>
      </w:pPr>
      <w:rPr>
        <w:rFonts w:hint="default"/>
        <w:lang w:val="ru-RU" w:eastAsia="en-US" w:bidi="ar-SA"/>
      </w:rPr>
    </w:lvl>
    <w:lvl w:ilvl="8">
      <w:start w:val="0"/>
      <w:numFmt w:val="bullet"/>
      <w:lvlText w:val="•"/>
      <w:lvlJc w:val="left"/>
      <w:pPr>
        <w:ind w:left="9888" w:hanging="295"/>
      </w:pPr>
      <w:rPr>
        <w:rFonts w:hint="default"/>
        <w:lang w:val="ru-RU" w:eastAsia="en-US" w:bidi="ar-SA"/>
      </w:rPr>
    </w:lvl>
  </w:abstractNum>
  <w:abstractNum w:abstractNumId="36">
    <w:multiLevelType w:val="hybridMultilevel"/>
    <w:lvl w:ilvl="0">
      <w:start w:val="1"/>
      <w:numFmt w:val="decimal"/>
      <w:lvlText w:val="%1."/>
      <w:lvlJc w:val="left"/>
      <w:pPr>
        <w:ind w:left="1841" w:hanging="281"/>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2549" w:hanging="283"/>
      </w:pPr>
      <w:rPr>
        <w:rFonts w:hint="default" w:ascii="Symbol" w:hAnsi="Symbol" w:eastAsia="Symbol" w:cs="Symbol"/>
        <w:spacing w:val="0"/>
        <w:w w:val="99"/>
        <w:lang w:val="ru-RU" w:eastAsia="en-US" w:bidi="ar-SA"/>
      </w:rPr>
    </w:lvl>
    <w:lvl w:ilvl="2">
      <w:start w:val="0"/>
      <w:numFmt w:val="bullet"/>
      <w:lvlText w:val="•"/>
      <w:lvlJc w:val="left"/>
      <w:pPr>
        <w:ind w:left="3580" w:hanging="283"/>
      </w:pPr>
      <w:rPr>
        <w:rFonts w:hint="default"/>
        <w:lang w:val="ru-RU" w:eastAsia="en-US" w:bidi="ar-SA"/>
      </w:rPr>
    </w:lvl>
    <w:lvl w:ilvl="3">
      <w:start w:val="0"/>
      <w:numFmt w:val="bullet"/>
      <w:lvlText w:val="•"/>
      <w:lvlJc w:val="left"/>
      <w:pPr>
        <w:ind w:left="4620" w:hanging="283"/>
      </w:pPr>
      <w:rPr>
        <w:rFonts w:hint="default"/>
        <w:lang w:val="ru-RU" w:eastAsia="en-US" w:bidi="ar-SA"/>
      </w:rPr>
    </w:lvl>
    <w:lvl w:ilvl="4">
      <w:start w:val="0"/>
      <w:numFmt w:val="bullet"/>
      <w:lvlText w:val="•"/>
      <w:lvlJc w:val="left"/>
      <w:pPr>
        <w:ind w:left="5660" w:hanging="283"/>
      </w:pPr>
      <w:rPr>
        <w:rFonts w:hint="default"/>
        <w:lang w:val="ru-RU" w:eastAsia="en-US" w:bidi="ar-SA"/>
      </w:rPr>
    </w:lvl>
    <w:lvl w:ilvl="5">
      <w:start w:val="0"/>
      <w:numFmt w:val="bullet"/>
      <w:lvlText w:val="•"/>
      <w:lvlJc w:val="left"/>
      <w:pPr>
        <w:ind w:left="6700" w:hanging="283"/>
      </w:pPr>
      <w:rPr>
        <w:rFonts w:hint="default"/>
        <w:lang w:val="ru-RU" w:eastAsia="en-US" w:bidi="ar-SA"/>
      </w:rPr>
    </w:lvl>
    <w:lvl w:ilvl="6">
      <w:start w:val="0"/>
      <w:numFmt w:val="bullet"/>
      <w:lvlText w:val="•"/>
      <w:lvlJc w:val="left"/>
      <w:pPr>
        <w:ind w:left="7740" w:hanging="283"/>
      </w:pPr>
      <w:rPr>
        <w:rFonts w:hint="default"/>
        <w:lang w:val="ru-RU" w:eastAsia="en-US" w:bidi="ar-SA"/>
      </w:rPr>
    </w:lvl>
    <w:lvl w:ilvl="7">
      <w:start w:val="0"/>
      <w:numFmt w:val="bullet"/>
      <w:lvlText w:val="•"/>
      <w:lvlJc w:val="left"/>
      <w:pPr>
        <w:ind w:left="8780" w:hanging="283"/>
      </w:pPr>
      <w:rPr>
        <w:rFonts w:hint="default"/>
        <w:lang w:val="ru-RU" w:eastAsia="en-US" w:bidi="ar-SA"/>
      </w:rPr>
    </w:lvl>
    <w:lvl w:ilvl="8">
      <w:start w:val="0"/>
      <w:numFmt w:val="bullet"/>
      <w:lvlText w:val="•"/>
      <w:lvlJc w:val="left"/>
      <w:pPr>
        <w:ind w:left="9820" w:hanging="283"/>
      </w:pPr>
      <w:rPr>
        <w:rFonts w:hint="default"/>
        <w:lang w:val="ru-RU" w:eastAsia="en-US" w:bidi="ar-SA"/>
      </w:rPr>
    </w:lvl>
  </w:abstractNum>
  <w:abstractNum w:abstractNumId="35">
    <w:multiLevelType w:val="hybridMultilevel"/>
    <w:lvl w:ilvl="0">
      <w:start w:val="0"/>
      <w:numFmt w:val="bullet"/>
      <w:lvlText w:val="-"/>
      <w:lvlJc w:val="left"/>
      <w:pPr>
        <w:ind w:left="2549" w:hanging="281"/>
      </w:pPr>
      <w:rPr>
        <w:rFonts w:hint="default" w:ascii="Times New Roman" w:hAnsi="Times New Roman" w:eastAsia="Times New Roman" w:cs="Times New Roman"/>
        <w:b w:val="0"/>
        <w:bCs w:val="0"/>
        <w:i w:val="0"/>
        <w:iCs w:val="0"/>
        <w:spacing w:val="0"/>
        <w:w w:val="100"/>
        <w:position w:val="4"/>
        <w:sz w:val="29"/>
        <w:szCs w:val="29"/>
        <w:lang w:val="ru-RU" w:eastAsia="en-US" w:bidi="ar-SA"/>
      </w:rPr>
    </w:lvl>
    <w:lvl w:ilvl="1">
      <w:start w:val="0"/>
      <w:numFmt w:val="bullet"/>
      <w:lvlText w:val="•"/>
      <w:lvlJc w:val="left"/>
      <w:pPr>
        <w:ind w:left="3476" w:hanging="281"/>
      </w:pPr>
      <w:rPr>
        <w:rFonts w:hint="default"/>
        <w:lang w:val="ru-RU" w:eastAsia="en-US" w:bidi="ar-SA"/>
      </w:rPr>
    </w:lvl>
    <w:lvl w:ilvl="2">
      <w:start w:val="0"/>
      <w:numFmt w:val="bullet"/>
      <w:lvlText w:val="•"/>
      <w:lvlJc w:val="left"/>
      <w:pPr>
        <w:ind w:left="4412" w:hanging="281"/>
      </w:pPr>
      <w:rPr>
        <w:rFonts w:hint="default"/>
        <w:lang w:val="ru-RU" w:eastAsia="en-US" w:bidi="ar-SA"/>
      </w:rPr>
    </w:lvl>
    <w:lvl w:ilvl="3">
      <w:start w:val="0"/>
      <w:numFmt w:val="bullet"/>
      <w:lvlText w:val="•"/>
      <w:lvlJc w:val="left"/>
      <w:pPr>
        <w:ind w:left="5348" w:hanging="281"/>
      </w:pPr>
      <w:rPr>
        <w:rFonts w:hint="default"/>
        <w:lang w:val="ru-RU" w:eastAsia="en-US" w:bidi="ar-SA"/>
      </w:rPr>
    </w:lvl>
    <w:lvl w:ilvl="4">
      <w:start w:val="0"/>
      <w:numFmt w:val="bullet"/>
      <w:lvlText w:val="•"/>
      <w:lvlJc w:val="left"/>
      <w:pPr>
        <w:ind w:left="6284" w:hanging="281"/>
      </w:pPr>
      <w:rPr>
        <w:rFonts w:hint="default"/>
        <w:lang w:val="ru-RU" w:eastAsia="en-US" w:bidi="ar-SA"/>
      </w:rPr>
    </w:lvl>
    <w:lvl w:ilvl="5">
      <w:start w:val="0"/>
      <w:numFmt w:val="bullet"/>
      <w:lvlText w:val="•"/>
      <w:lvlJc w:val="left"/>
      <w:pPr>
        <w:ind w:left="7220" w:hanging="281"/>
      </w:pPr>
      <w:rPr>
        <w:rFonts w:hint="default"/>
        <w:lang w:val="ru-RU" w:eastAsia="en-US" w:bidi="ar-SA"/>
      </w:rPr>
    </w:lvl>
    <w:lvl w:ilvl="6">
      <w:start w:val="0"/>
      <w:numFmt w:val="bullet"/>
      <w:lvlText w:val="•"/>
      <w:lvlJc w:val="left"/>
      <w:pPr>
        <w:ind w:left="8156" w:hanging="281"/>
      </w:pPr>
      <w:rPr>
        <w:rFonts w:hint="default"/>
        <w:lang w:val="ru-RU" w:eastAsia="en-US" w:bidi="ar-SA"/>
      </w:rPr>
    </w:lvl>
    <w:lvl w:ilvl="7">
      <w:start w:val="0"/>
      <w:numFmt w:val="bullet"/>
      <w:lvlText w:val="•"/>
      <w:lvlJc w:val="left"/>
      <w:pPr>
        <w:ind w:left="9092" w:hanging="281"/>
      </w:pPr>
      <w:rPr>
        <w:rFonts w:hint="default"/>
        <w:lang w:val="ru-RU" w:eastAsia="en-US" w:bidi="ar-SA"/>
      </w:rPr>
    </w:lvl>
    <w:lvl w:ilvl="8">
      <w:start w:val="0"/>
      <w:numFmt w:val="bullet"/>
      <w:lvlText w:val="•"/>
      <w:lvlJc w:val="left"/>
      <w:pPr>
        <w:ind w:left="10028" w:hanging="281"/>
      </w:pPr>
      <w:rPr>
        <w:rFonts w:hint="default"/>
        <w:lang w:val="ru-RU" w:eastAsia="en-US" w:bidi="ar-SA"/>
      </w:rPr>
    </w:lvl>
  </w:abstractNum>
  <w:abstractNum w:abstractNumId="34">
    <w:multiLevelType w:val="hybridMultilevel"/>
    <w:lvl w:ilvl="0">
      <w:start w:val="0"/>
      <w:numFmt w:val="bullet"/>
      <w:lvlText w:val=""/>
      <w:lvlJc w:val="left"/>
      <w:pPr>
        <w:ind w:left="2549" w:hanging="283"/>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76" w:hanging="283"/>
      </w:pPr>
      <w:rPr>
        <w:rFonts w:hint="default"/>
        <w:lang w:val="ru-RU" w:eastAsia="en-US" w:bidi="ar-SA"/>
      </w:rPr>
    </w:lvl>
    <w:lvl w:ilvl="2">
      <w:start w:val="0"/>
      <w:numFmt w:val="bullet"/>
      <w:lvlText w:val="•"/>
      <w:lvlJc w:val="left"/>
      <w:pPr>
        <w:ind w:left="4412" w:hanging="283"/>
      </w:pPr>
      <w:rPr>
        <w:rFonts w:hint="default"/>
        <w:lang w:val="ru-RU" w:eastAsia="en-US" w:bidi="ar-SA"/>
      </w:rPr>
    </w:lvl>
    <w:lvl w:ilvl="3">
      <w:start w:val="0"/>
      <w:numFmt w:val="bullet"/>
      <w:lvlText w:val="•"/>
      <w:lvlJc w:val="left"/>
      <w:pPr>
        <w:ind w:left="5348" w:hanging="283"/>
      </w:pPr>
      <w:rPr>
        <w:rFonts w:hint="default"/>
        <w:lang w:val="ru-RU" w:eastAsia="en-US" w:bidi="ar-SA"/>
      </w:rPr>
    </w:lvl>
    <w:lvl w:ilvl="4">
      <w:start w:val="0"/>
      <w:numFmt w:val="bullet"/>
      <w:lvlText w:val="•"/>
      <w:lvlJc w:val="left"/>
      <w:pPr>
        <w:ind w:left="6284" w:hanging="283"/>
      </w:pPr>
      <w:rPr>
        <w:rFonts w:hint="default"/>
        <w:lang w:val="ru-RU" w:eastAsia="en-US" w:bidi="ar-SA"/>
      </w:rPr>
    </w:lvl>
    <w:lvl w:ilvl="5">
      <w:start w:val="0"/>
      <w:numFmt w:val="bullet"/>
      <w:lvlText w:val="•"/>
      <w:lvlJc w:val="left"/>
      <w:pPr>
        <w:ind w:left="7220" w:hanging="283"/>
      </w:pPr>
      <w:rPr>
        <w:rFonts w:hint="default"/>
        <w:lang w:val="ru-RU" w:eastAsia="en-US" w:bidi="ar-SA"/>
      </w:rPr>
    </w:lvl>
    <w:lvl w:ilvl="6">
      <w:start w:val="0"/>
      <w:numFmt w:val="bullet"/>
      <w:lvlText w:val="•"/>
      <w:lvlJc w:val="left"/>
      <w:pPr>
        <w:ind w:left="8156" w:hanging="283"/>
      </w:pPr>
      <w:rPr>
        <w:rFonts w:hint="default"/>
        <w:lang w:val="ru-RU" w:eastAsia="en-US" w:bidi="ar-SA"/>
      </w:rPr>
    </w:lvl>
    <w:lvl w:ilvl="7">
      <w:start w:val="0"/>
      <w:numFmt w:val="bullet"/>
      <w:lvlText w:val="•"/>
      <w:lvlJc w:val="left"/>
      <w:pPr>
        <w:ind w:left="9092" w:hanging="283"/>
      </w:pPr>
      <w:rPr>
        <w:rFonts w:hint="default"/>
        <w:lang w:val="ru-RU" w:eastAsia="en-US" w:bidi="ar-SA"/>
      </w:rPr>
    </w:lvl>
    <w:lvl w:ilvl="8">
      <w:start w:val="0"/>
      <w:numFmt w:val="bullet"/>
      <w:lvlText w:val="•"/>
      <w:lvlJc w:val="left"/>
      <w:pPr>
        <w:ind w:left="10028" w:hanging="283"/>
      </w:pPr>
      <w:rPr>
        <w:rFonts w:hint="default"/>
        <w:lang w:val="ru-RU" w:eastAsia="en-US" w:bidi="ar-SA"/>
      </w:rPr>
    </w:lvl>
  </w:abstractNum>
  <w:abstractNum w:abstractNumId="33">
    <w:multiLevelType w:val="hybridMultilevel"/>
    <w:lvl w:ilvl="0">
      <w:start w:val="1"/>
      <w:numFmt w:val="decimal"/>
      <w:lvlText w:val="%1."/>
      <w:lvlJc w:val="left"/>
      <w:pPr>
        <w:ind w:left="2268" w:hanging="427"/>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3224" w:hanging="427"/>
      </w:pPr>
      <w:rPr>
        <w:rFonts w:hint="default"/>
        <w:lang w:val="ru-RU" w:eastAsia="en-US" w:bidi="ar-SA"/>
      </w:rPr>
    </w:lvl>
    <w:lvl w:ilvl="2">
      <w:start w:val="0"/>
      <w:numFmt w:val="bullet"/>
      <w:lvlText w:val="•"/>
      <w:lvlJc w:val="left"/>
      <w:pPr>
        <w:ind w:left="4188" w:hanging="427"/>
      </w:pPr>
      <w:rPr>
        <w:rFonts w:hint="default"/>
        <w:lang w:val="ru-RU" w:eastAsia="en-US" w:bidi="ar-SA"/>
      </w:rPr>
    </w:lvl>
    <w:lvl w:ilvl="3">
      <w:start w:val="0"/>
      <w:numFmt w:val="bullet"/>
      <w:lvlText w:val="•"/>
      <w:lvlJc w:val="left"/>
      <w:pPr>
        <w:ind w:left="5152" w:hanging="427"/>
      </w:pPr>
      <w:rPr>
        <w:rFonts w:hint="default"/>
        <w:lang w:val="ru-RU" w:eastAsia="en-US" w:bidi="ar-SA"/>
      </w:rPr>
    </w:lvl>
    <w:lvl w:ilvl="4">
      <w:start w:val="0"/>
      <w:numFmt w:val="bullet"/>
      <w:lvlText w:val="•"/>
      <w:lvlJc w:val="left"/>
      <w:pPr>
        <w:ind w:left="6116" w:hanging="427"/>
      </w:pPr>
      <w:rPr>
        <w:rFonts w:hint="default"/>
        <w:lang w:val="ru-RU" w:eastAsia="en-US" w:bidi="ar-SA"/>
      </w:rPr>
    </w:lvl>
    <w:lvl w:ilvl="5">
      <w:start w:val="0"/>
      <w:numFmt w:val="bullet"/>
      <w:lvlText w:val="•"/>
      <w:lvlJc w:val="left"/>
      <w:pPr>
        <w:ind w:left="7080" w:hanging="427"/>
      </w:pPr>
      <w:rPr>
        <w:rFonts w:hint="default"/>
        <w:lang w:val="ru-RU" w:eastAsia="en-US" w:bidi="ar-SA"/>
      </w:rPr>
    </w:lvl>
    <w:lvl w:ilvl="6">
      <w:start w:val="0"/>
      <w:numFmt w:val="bullet"/>
      <w:lvlText w:val="•"/>
      <w:lvlJc w:val="left"/>
      <w:pPr>
        <w:ind w:left="8044" w:hanging="427"/>
      </w:pPr>
      <w:rPr>
        <w:rFonts w:hint="default"/>
        <w:lang w:val="ru-RU" w:eastAsia="en-US" w:bidi="ar-SA"/>
      </w:rPr>
    </w:lvl>
    <w:lvl w:ilvl="7">
      <w:start w:val="0"/>
      <w:numFmt w:val="bullet"/>
      <w:lvlText w:val="•"/>
      <w:lvlJc w:val="left"/>
      <w:pPr>
        <w:ind w:left="9008" w:hanging="427"/>
      </w:pPr>
      <w:rPr>
        <w:rFonts w:hint="default"/>
        <w:lang w:val="ru-RU" w:eastAsia="en-US" w:bidi="ar-SA"/>
      </w:rPr>
    </w:lvl>
    <w:lvl w:ilvl="8">
      <w:start w:val="0"/>
      <w:numFmt w:val="bullet"/>
      <w:lvlText w:val="•"/>
      <w:lvlJc w:val="left"/>
      <w:pPr>
        <w:ind w:left="9972" w:hanging="427"/>
      </w:pPr>
      <w:rPr>
        <w:rFonts w:hint="default"/>
        <w:lang w:val="ru-RU" w:eastAsia="en-US" w:bidi="ar-SA"/>
      </w:rPr>
    </w:lvl>
  </w:abstractNum>
  <w:abstractNum w:abstractNumId="32">
    <w:multiLevelType w:val="hybridMultilevel"/>
    <w:lvl w:ilvl="0">
      <w:start w:val="1"/>
      <w:numFmt w:val="decimal"/>
      <w:lvlText w:val="%1."/>
      <w:lvlJc w:val="left"/>
      <w:pPr>
        <w:ind w:left="2268" w:hanging="427"/>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3224" w:hanging="427"/>
      </w:pPr>
      <w:rPr>
        <w:rFonts w:hint="default"/>
        <w:lang w:val="ru-RU" w:eastAsia="en-US" w:bidi="ar-SA"/>
      </w:rPr>
    </w:lvl>
    <w:lvl w:ilvl="2">
      <w:start w:val="0"/>
      <w:numFmt w:val="bullet"/>
      <w:lvlText w:val="•"/>
      <w:lvlJc w:val="left"/>
      <w:pPr>
        <w:ind w:left="4188" w:hanging="427"/>
      </w:pPr>
      <w:rPr>
        <w:rFonts w:hint="default"/>
        <w:lang w:val="ru-RU" w:eastAsia="en-US" w:bidi="ar-SA"/>
      </w:rPr>
    </w:lvl>
    <w:lvl w:ilvl="3">
      <w:start w:val="0"/>
      <w:numFmt w:val="bullet"/>
      <w:lvlText w:val="•"/>
      <w:lvlJc w:val="left"/>
      <w:pPr>
        <w:ind w:left="5152" w:hanging="427"/>
      </w:pPr>
      <w:rPr>
        <w:rFonts w:hint="default"/>
        <w:lang w:val="ru-RU" w:eastAsia="en-US" w:bidi="ar-SA"/>
      </w:rPr>
    </w:lvl>
    <w:lvl w:ilvl="4">
      <w:start w:val="0"/>
      <w:numFmt w:val="bullet"/>
      <w:lvlText w:val="•"/>
      <w:lvlJc w:val="left"/>
      <w:pPr>
        <w:ind w:left="6116" w:hanging="427"/>
      </w:pPr>
      <w:rPr>
        <w:rFonts w:hint="default"/>
        <w:lang w:val="ru-RU" w:eastAsia="en-US" w:bidi="ar-SA"/>
      </w:rPr>
    </w:lvl>
    <w:lvl w:ilvl="5">
      <w:start w:val="0"/>
      <w:numFmt w:val="bullet"/>
      <w:lvlText w:val="•"/>
      <w:lvlJc w:val="left"/>
      <w:pPr>
        <w:ind w:left="7080" w:hanging="427"/>
      </w:pPr>
      <w:rPr>
        <w:rFonts w:hint="default"/>
        <w:lang w:val="ru-RU" w:eastAsia="en-US" w:bidi="ar-SA"/>
      </w:rPr>
    </w:lvl>
    <w:lvl w:ilvl="6">
      <w:start w:val="0"/>
      <w:numFmt w:val="bullet"/>
      <w:lvlText w:val="•"/>
      <w:lvlJc w:val="left"/>
      <w:pPr>
        <w:ind w:left="8044" w:hanging="427"/>
      </w:pPr>
      <w:rPr>
        <w:rFonts w:hint="default"/>
        <w:lang w:val="ru-RU" w:eastAsia="en-US" w:bidi="ar-SA"/>
      </w:rPr>
    </w:lvl>
    <w:lvl w:ilvl="7">
      <w:start w:val="0"/>
      <w:numFmt w:val="bullet"/>
      <w:lvlText w:val="•"/>
      <w:lvlJc w:val="left"/>
      <w:pPr>
        <w:ind w:left="9008" w:hanging="427"/>
      </w:pPr>
      <w:rPr>
        <w:rFonts w:hint="default"/>
        <w:lang w:val="ru-RU" w:eastAsia="en-US" w:bidi="ar-SA"/>
      </w:rPr>
    </w:lvl>
    <w:lvl w:ilvl="8">
      <w:start w:val="0"/>
      <w:numFmt w:val="bullet"/>
      <w:lvlText w:val="•"/>
      <w:lvlJc w:val="left"/>
      <w:pPr>
        <w:ind w:left="9972" w:hanging="427"/>
      </w:pPr>
      <w:rPr>
        <w:rFonts w:hint="default"/>
        <w:lang w:val="ru-RU" w:eastAsia="en-US" w:bidi="ar-SA"/>
      </w:rPr>
    </w:lvl>
  </w:abstractNum>
  <w:abstractNum w:abstractNumId="31">
    <w:multiLevelType w:val="hybridMultilevel"/>
    <w:lvl w:ilvl="0">
      <w:start w:val="1"/>
      <w:numFmt w:val="decimal"/>
      <w:lvlText w:val="%1."/>
      <w:lvlJc w:val="left"/>
      <w:pPr>
        <w:ind w:left="2268" w:hanging="427"/>
        <w:jc w:val="left"/>
      </w:pPr>
      <w:rPr>
        <w:rFonts w:hint="default"/>
        <w:spacing w:val="0"/>
        <w:w w:val="99"/>
        <w:lang w:val="ru-RU" w:eastAsia="en-US" w:bidi="ar-SA"/>
      </w:rPr>
    </w:lvl>
    <w:lvl w:ilvl="1">
      <w:start w:val="0"/>
      <w:numFmt w:val="bullet"/>
      <w:lvlText w:val="•"/>
      <w:lvlJc w:val="left"/>
      <w:pPr>
        <w:ind w:left="3224" w:hanging="427"/>
      </w:pPr>
      <w:rPr>
        <w:rFonts w:hint="default"/>
        <w:lang w:val="ru-RU" w:eastAsia="en-US" w:bidi="ar-SA"/>
      </w:rPr>
    </w:lvl>
    <w:lvl w:ilvl="2">
      <w:start w:val="0"/>
      <w:numFmt w:val="bullet"/>
      <w:lvlText w:val="•"/>
      <w:lvlJc w:val="left"/>
      <w:pPr>
        <w:ind w:left="4188" w:hanging="427"/>
      </w:pPr>
      <w:rPr>
        <w:rFonts w:hint="default"/>
        <w:lang w:val="ru-RU" w:eastAsia="en-US" w:bidi="ar-SA"/>
      </w:rPr>
    </w:lvl>
    <w:lvl w:ilvl="3">
      <w:start w:val="0"/>
      <w:numFmt w:val="bullet"/>
      <w:lvlText w:val="•"/>
      <w:lvlJc w:val="left"/>
      <w:pPr>
        <w:ind w:left="5152" w:hanging="427"/>
      </w:pPr>
      <w:rPr>
        <w:rFonts w:hint="default"/>
        <w:lang w:val="ru-RU" w:eastAsia="en-US" w:bidi="ar-SA"/>
      </w:rPr>
    </w:lvl>
    <w:lvl w:ilvl="4">
      <w:start w:val="0"/>
      <w:numFmt w:val="bullet"/>
      <w:lvlText w:val="•"/>
      <w:lvlJc w:val="left"/>
      <w:pPr>
        <w:ind w:left="6116" w:hanging="427"/>
      </w:pPr>
      <w:rPr>
        <w:rFonts w:hint="default"/>
        <w:lang w:val="ru-RU" w:eastAsia="en-US" w:bidi="ar-SA"/>
      </w:rPr>
    </w:lvl>
    <w:lvl w:ilvl="5">
      <w:start w:val="0"/>
      <w:numFmt w:val="bullet"/>
      <w:lvlText w:val="•"/>
      <w:lvlJc w:val="left"/>
      <w:pPr>
        <w:ind w:left="7080" w:hanging="427"/>
      </w:pPr>
      <w:rPr>
        <w:rFonts w:hint="default"/>
        <w:lang w:val="ru-RU" w:eastAsia="en-US" w:bidi="ar-SA"/>
      </w:rPr>
    </w:lvl>
    <w:lvl w:ilvl="6">
      <w:start w:val="0"/>
      <w:numFmt w:val="bullet"/>
      <w:lvlText w:val="•"/>
      <w:lvlJc w:val="left"/>
      <w:pPr>
        <w:ind w:left="8044" w:hanging="427"/>
      </w:pPr>
      <w:rPr>
        <w:rFonts w:hint="default"/>
        <w:lang w:val="ru-RU" w:eastAsia="en-US" w:bidi="ar-SA"/>
      </w:rPr>
    </w:lvl>
    <w:lvl w:ilvl="7">
      <w:start w:val="0"/>
      <w:numFmt w:val="bullet"/>
      <w:lvlText w:val="•"/>
      <w:lvlJc w:val="left"/>
      <w:pPr>
        <w:ind w:left="9008" w:hanging="427"/>
      </w:pPr>
      <w:rPr>
        <w:rFonts w:hint="default"/>
        <w:lang w:val="ru-RU" w:eastAsia="en-US" w:bidi="ar-SA"/>
      </w:rPr>
    </w:lvl>
    <w:lvl w:ilvl="8">
      <w:start w:val="0"/>
      <w:numFmt w:val="bullet"/>
      <w:lvlText w:val="•"/>
      <w:lvlJc w:val="left"/>
      <w:pPr>
        <w:ind w:left="9972" w:hanging="427"/>
      </w:pPr>
      <w:rPr>
        <w:rFonts w:hint="default"/>
        <w:lang w:val="ru-RU" w:eastAsia="en-US" w:bidi="ar-SA"/>
      </w:rPr>
    </w:lvl>
  </w:abstractNum>
  <w:abstractNum w:abstractNumId="30">
    <w:multiLevelType w:val="hybridMultilevel"/>
    <w:lvl w:ilvl="0">
      <w:start w:val="0"/>
      <w:numFmt w:val="bullet"/>
      <w:lvlText w:val=""/>
      <w:lvlJc w:val="left"/>
      <w:pPr>
        <w:ind w:left="2549" w:hanging="281"/>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76" w:hanging="281"/>
      </w:pPr>
      <w:rPr>
        <w:rFonts w:hint="default"/>
        <w:lang w:val="ru-RU" w:eastAsia="en-US" w:bidi="ar-SA"/>
      </w:rPr>
    </w:lvl>
    <w:lvl w:ilvl="2">
      <w:start w:val="0"/>
      <w:numFmt w:val="bullet"/>
      <w:lvlText w:val="•"/>
      <w:lvlJc w:val="left"/>
      <w:pPr>
        <w:ind w:left="4412" w:hanging="281"/>
      </w:pPr>
      <w:rPr>
        <w:rFonts w:hint="default"/>
        <w:lang w:val="ru-RU" w:eastAsia="en-US" w:bidi="ar-SA"/>
      </w:rPr>
    </w:lvl>
    <w:lvl w:ilvl="3">
      <w:start w:val="0"/>
      <w:numFmt w:val="bullet"/>
      <w:lvlText w:val="•"/>
      <w:lvlJc w:val="left"/>
      <w:pPr>
        <w:ind w:left="5348" w:hanging="281"/>
      </w:pPr>
      <w:rPr>
        <w:rFonts w:hint="default"/>
        <w:lang w:val="ru-RU" w:eastAsia="en-US" w:bidi="ar-SA"/>
      </w:rPr>
    </w:lvl>
    <w:lvl w:ilvl="4">
      <w:start w:val="0"/>
      <w:numFmt w:val="bullet"/>
      <w:lvlText w:val="•"/>
      <w:lvlJc w:val="left"/>
      <w:pPr>
        <w:ind w:left="6284" w:hanging="281"/>
      </w:pPr>
      <w:rPr>
        <w:rFonts w:hint="default"/>
        <w:lang w:val="ru-RU" w:eastAsia="en-US" w:bidi="ar-SA"/>
      </w:rPr>
    </w:lvl>
    <w:lvl w:ilvl="5">
      <w:start w:val="0"/>
      <w:numFmt w:val="bullet"/>
      <w:lvlText w:val="•"/>
      <w:lvlJc w:val="left"/>
      <w:pPr>
        <w:ind w:left="7220" w:hanging="281"/>
      </w:pPr>
      <w:rPr>
        <w:rFonts w:hint="default"/>
        <w:lang w:val="ru-RU" w:eastAsia="en-US" w:bidi="ar-SA"/>
      </w:rPr>
    </w:lvl>
    <w:lvl w:ilvl="6">
      <w:start w:val="0"/>
      <w:numFmt w:val="bullet"/>
      <w:lvlText w:val="•"/>
      <w:lvlJc w:val="left"/>
      <w:pPr>
        <w:ind w:left="8156" w:hanging="281"/>
      </w:pPr>
      <w:rPr>
        <w:rFonts w:hint="default"/>
        <w:lang w:val="ru-RU" w:eastAsia="en-US" w:bidi="ar-SA"/>
      </w:rPr>
    </w:lvl>
    <w:lvl w:ilvl="7">
      <w:start w:val="0"/>
      <w:numFmt w:val="bullet"/>
      <w:lvlText w:val="•"/>
      <w:lvlJc w:val="left"/>
      <w:pPr>
        <w:ind w:left="9092" w:hanging="281"/>
      </w:pPr>
      <w:rPr>
        <w:rFonts w:hint="default"/>
        <w:lang w:val="ru-RU" w:eastAsia="en-US" w:bidi="ar-SA"/>
      </w:rPr>
    </w:lvl>
    <w:lvl w:ilvl="8">
      <w:start w:val="0"/>
      <w:numFmt w:val="bullet"/>
      <w:lvlText w:val="•"/>
      <w:lvlJc w:val="left"/>
      <w:pPr>
        <w:ind w:left="10028" w:hanging="281"/>
      </w:pPr>
      <w:rPr>
        <w:rFonts w:hint="default"/>
        <w:lang w:val="ru-RU" w:eastAsia="en-US" w:bidi="ar-SA"/>
      </w:rPr>
    </w:lvl>
  </w:abstractNum>
  <w:abstractNum w:abstractNumId="29">
    <w:multiLevelType w:val="hybridMultilevel"/>
    <w:lvl w:ilvl="0">
      <w:start w:val="0"/>
      <w:numFmt w:val="bullet"/>
      <w:lvlText w:val="-"/>
      <w:lvlJc w:val="left"/>
      <w:pPr>
        <w:ind w:left="1841" w:hanging="240"/>
      </w:pPr>
      <w:rPr>
        <w:rFonts w:hint="default" w:ascii="Arial" w:hAnsi="Arial" w:eastAsia="Arial" w:cs="Arial"/>
        <w:spacing w:val="0"/>
        <w:w w:val="100"/>
        <w:lang w:val="ru-RU" w:eastAsia="en-US" w:bidi="ar-SA"/>
      </w:rPr>
    </w:lvl>
    <w:lvl w:ilvl="1">
      <w:start w:val="0"/>
      <w:numFmt w:val="bullet"/>
      <w:lvlText w:val="•"/>
      <w:lvlJc w:val="left"/>
      <w:pPr>
        <w:ind w:left="2846" w:hanging="240"/>
      </w:pPr>
      <w:rPr>
        <w:rFonts w:hint="default"/>
        <w:lang w:val="ru-RU" w:eastAsia="en-US" w:bidi="ar-SA"/>
      </w:rPr>
    </w:lvl>
    <w:lvl w:ilvl="2">
      <w:start w:val="0"/>
      <w:numFmt w:val="bullet"/>
      <w:lvlText w:val="•"/>
      <w:lvlJc w:val="left"/>
      <w:pPr>
        <w:ind w:left="3852" w:hanging="240"/>
      </w:pPr>
      <w:rPr>
        <w:rFonts w:hint="default"/>
        <w:lang w:val="ru-RU" w:eastAsia="en-US" w:bidi="ar-SA"/>
      </w:rPr>
    </w:lvl>
    <w:lvl w:ilvl="3">
      <w:start w:val="0"/>
      <w:numFmt w:val="bullet"/>
      <w:lvlText w:val="•"/>
      <w:lvlJc w:val="left"/>
      <w:pPr>
        <w:ind w:left="4858" w:hanging="240"/>
      </w:pPr>
      <w:rPr>
        <w:rFonts w:hint="default"/>
        <w:lang w:val="ru-RU" w:eastAsia="en-US" w:bidi="ar-SA"/>
      </w:rPr>
    </w:lvl>
    <w:lvl w:ilvl="4">
      <w:start w:val="0"/>
      <w:numFmt w:val="bullet"/>
      <w:lvlText w:val="•"/>
      <w:lvlJc w:val="left"/>
      <w:pPr>
        <w:ind w:left="5864" w:hanging="240"/>
      </w:pPr>
      <w:rPr>
        <w:rFonts w:hint="default"/>
        <w:lang w:val="ru-RU" w:eastAsia="en-US" w:bidi="ar-SA"/>
      </w:rPr>
    </w:lvl>
    <w:lvl w:ilvl="5">
      <w:start w:val="0"/>
      <w:numFmt w:val="bullet"/>
      <w:lvlText w:val="•"/>
      <w:lvlJc w:val="left"/>
      <w:pPr>
        <w:ind w:left="6870" w:hanging="240"/>
      </w:pPr>
      <w:rPr>
        <w:rFonts w:hint="default"/>
        <w:lang w:val="ru-RU" w:eastAsia="en-US" w:bidi="ar-SA"/>
      </w:rPr>
    </w:lvl>
    <w:lvl w:ilvl="6">
      <w:start w:val="0"/>
      <w:numFmt w:val="bullet"/>
      <w:lvlText w:val="•"/>
      <w:lvlJc w:val="left"/>
      <w:pPr>
        <w:ind w:left="7876" w:hanging="240"/>
      </w:pPr>
      <w:rPr>
        <w:rFonts w:hint="default"/>
        <w:lang w:val="ru-RU" w:eastAsia="en-US" w:bidi="ar-SA"/>
      </w:rPr>
    </w:lvl>
    <w:lvl w:ilvl="7">
      <w:start w:val="0"/>
      <w:numFmt w:val="bullet"/>
      <w:lvlText w:val="•"/>
      <w:lvlJc w:val="left"/>
      <w:pPr>
        <w:ind w:left="8882" w:hanging="240"/>
      </w:pPr>
      <w:rPr>
        <w:rFonts w:hint="default"/>
        <w:lang w:val="ru-RU" w:eastAsia="en-US" w:bidi="ar-SA"/>
      </w:rPr>
    </w:lvl>
    <w:lvl w:ilvl="8">
      <w:start w:val="0"/>
      <w:numFmt w:val="bullet"/>
      <w:lvlText w:val="•"/>
      <w:lvlJc w:val="left"/>
      <w:pPr>
        <w:ind w:left="9888" w:hanging="240"/>
      </w:pPr>
      <w:rPr>
        <w:rFonts w:hint="default"/>
        <w:lang w:val="ru-RU" w:eastAsia="en-US" w:bidi="ar-SA"/>
      </w:rPr>
    </w:lvl>
  </w:abstractNum>
  <w:abstractNum w:abstractNumId="28">
    <w:multiLevelType w:val="hybridMultilevel"/>
    <w:lvl w:ilvl="0">
      <w:start w:val="0"/>
      <w:numFmt w:val="decimal"/>
      <w:lvlText w:val="%1"/>
      <w:lvlJc w:val="left"/>
      <w:pPr>
        <w:ind w:left="2726" w:hanging="178"/>
        <w:jc w:val="left"/>
      </w:pPr>
      <w:rPr>
        <w:rFonts w:hint="default" w:ascii="Times New Roman" w:hAnsi="Times New Roman" w:eastAsia="Times New Roman" w:cs="Times New Roman"/>
        <w:b/>
        <w:bCs/>
        <w:i w:val="0"/>
        <w:iCs w:val="0"/>
        <w:spacing w:val="0"/>
        <w:w w:val="99"/>
        <w:sz w:val="24"/>
        <w:szCs w:val="24"/>
        <w:lang w:val="ru-RU" w:eastAsia="en-US" w:bidi="ar-SA"/>
      </w:rPr>
    </w:lvl>
    <w:lvl w:ilvl="1">
      <w:start w:val="0"/>
      <w:numFmt w:val="bullet"/>
      <w:lvlText w:val="•"/>
      <w:lvlJc w:val="left"/>
      <w:pPr>
        <w:ind w:left="3638" w:hanging="178"/>
      </w:pPr>
      <w:rPr>
        <w:rFonts w:hint="default"/>
        <w:lang w:val="ru-RU" w:eastAsia="en-US" w:bidi="ar-SA"/>
      </w:rPr>
    </w:lvl>
    <w:lvl w:ilvl="2">
      <w:start w:val="0"/>
      <w:numFmt w:val="bullet"/>
      <w:lvlText w:val="•"/>
      <w:lvlJc w:val="left"/>
      <w:pPr>
        <w:ind w:left="4556" w:hanging="178"/>
      </w:pPr>
      <w:rPr>
        <w:rFonts w:hint="default"/>
        <w:lang w:val="ru-RU" w:eastAsia="en-US" w:bidi="ar-SA"/>
      </w:rPr>
    </w:lvl>
    <w:lvl w:ilvl="3">
      <w:start w:val="0"/>
      <w:numFmt w:val="bullet"/>
      <w:lvlText w:val="•"/>
      <w:lvlJc w:val="left"/>
      <w:pPr>
        <w:ind w:left="5474" w:hanging="178"/>
      </w:pPr>
      <w:rPr>
        <w:rFonts w:hint="default"/>
        <w:lang w:val="ru-RU" w:eastAsia="en-US" w:bidi="ar-SA"/>
      </w:rPr>
    </w:lvl>
    <w:lvl w:ilvl="4">
      <w:start w:val="0"/>
      <w:numFmt w:val="bullet"/>
      <w:lvlText w:val="•"/>
      <w:lvlJc w:val="left"/>
      <w:pPr>
        <w:ind w:left="6392" w:hanging="178"/>
      </w:pPr>
      <w:rPr>
        <w:rFonts w:hint="default"/>
        <w:lang w:val="ru-RU" w:eastAsia="en-US" w:bidi="ar-SA"/>
      </w:rPr>
    </w:lvl>
    <w:lvl w:ilvl="5">
      <w:start w:val="0"/>
      <w:numFmt w:val="bullet"/>
      <w:lvlText w:val="•"/>
      <w:lvlJc w:val="left"/>
      <w:pPr>
        <w:ind w:left="7310" w:hanging="178"/>
      </w:pPr>
      <w:rPr>
        <w:rFonts w:hint="default"/>
        <w:lang w:val="ru-RU" w:eastAsia="en-US" w:bidi="ar-SA"/>
      </w:rPr>
    </w:lvl>
    <w:lvl w:ilvl="6">
      <w:start w:val="0"/>
      <w:numFmt w:val="bullet"/>
      <w:lvlText w:val="•"/>
      <w:lvlJc w:val="left"/>
      <w:pPr>
        <w:ind w:left="8228" w:hanging="178"/>
      </w:pPr>
      <w:rPr>
        <w:rFonts w:hint="default"/>
        <w:lang w:val="ru-RU" w:eastAsia="en-US" w:bidi="ar-SA"/>
      </w:rPr>
    </w:lvl>
    <w:lvl w:ilvl="7">
      <w:start w:val="0"/>
      <w:numFmt w:val="bullet"/>
      <w:lvlText w:val="•"/>
      <w:lvlJc w:val="left"/>
      <w:pPr>
        <w:ind w:left="9146" w:hanging="178"/>
      </w:pPr>
      <w:rPr>
        <w:rFonts w:hint="default"/>
        <w:lang w:val="ru-RU" w:eastAsia="en-US" w:bidi="ar-SA"/>
      </w:rPr>
    </w:lvl>
    <w:lvl w:ilvl="8">
      <w:start w:val="0"/>
      <w:numFmt w:val="bullet"/>
      <w:lvlText w:val="•"/>
      <w:lvlJc w:val="left"/>
      <w:pPr>
        <w:ind w:left="10064" w:hanging="178"/>
      </w:pPr>
      <w:rPr>
        <w:rFonts w:hint="default"/>
        <w:lang w:val="ru-RU" w:eastAsia="en-US" w:bidi="ar-SA"/>
      </w:rPr>
    </w:lvl>
  </w:abstractNum>
  <w:abstractNum w:abstractNumId="27">
    <w:multiLevelType w:val="hybridMultilevel"/>
    <w:lvl w:ilvl="0">
      <w:start w:val="0"/>
      <w:numFmt w:val="bullet"/>
      <w:lvlText w:val="-"/>
      <w:lvlJc w:val="left"/>
      <w:pPr>
        <w:ind w:left="1841" w:hanging="240"/>
      </w:pPr>
      <w:rPr>
        <w:rFonts w:hint="default" w:ascii="Arial" w:hAnsi="Arial" w:eastAsia="Arial" w:cs="Arial"/>
        <w:spacing w:val="0"/>
        <w:w w:val="100"/>
        <w:lang w:val="ru-RU" w:eastAsia="en-US" w:bidi="ar-SA"/>
      </w:rPr>
    </w:lvl>
    <w:lvl w:ilvl="1">
      <w:start w:val="0"/>
      <w:numFmt w:val="bullet"/>
      <w:lvlText w:val="•"/>
      <w:lvlJc w:val="left"/>
      <w:pPr>
        <w:ind w:left="2846" w:hanging="240"/>
      </w:pPr>
      <w:rPr>
        <w:rFonts w:hint="default"/>
        <w:lang w:val="ru-RU" w:eastAsia="en-US" w:bidi="ar-SA"/>
      </w:rPr>
    </w:lvl>
    <w:lvl w:ilvl="2">
      <w:start w:val="0"/>
      <w:numFmt w:val="bullet"/>
      <w:lvlText w:val="•"/>
      <w:lvlJc w:val="left"/>
      <w:pPr>
        <w:ind w:left="3852" w:hanging="240"/>
      </w:pPr>
      <w:rPr>
        <w:rFonts w:hint="default"/>
        <w:lang w:val="ru-RU" w:eastAsia="en-US" w:bidi="ar-SA"/>
      </w:rPr>
    </w:lvl>
    <w:lvl w:ilvl="3">
      <w:start w:val="0"/>
      <w:numFmt w:val="bullet"/>
      <w:lvlText w:val="•"/>
      <w:lvlJc w:val="left"/>
      <w:pPr>
        <w:ind w:left="4858" w:hanging="240"/>
      </w:pPr>
      <w:rPr>
        <w:rFonts w:hint="default"/>
        <w:lang w:val="ru-RU" w:eastAsia="en-US" w:bidi="ar-SA"/>
      </w:rPr>
    </w:lvl>
    <w:lvl w:ilvl="4">
      <w:start w:val="0"/>
      <w:numFmt w:val="bullet"/>
      <w:lvlText w:val="•"/>
      <w:lvlJc w:val="left"/>
      <w:pPr>
        <w:ind w:left="5864" w:hanging="240"/>
      </w:pPr>
      <w:rPr>
        <w:rFonts w:hint="default"/>
        <w:lang w:val="ru-RU" w:eastAsia="en-US" w:bidi="ar-SA"/>
      </w:rPr>
    </w:lvl>
    <w:lvl w:ilvl="5">
      <w:start w:val="0"/>
      <w:numFmt w:val="bullet"/>
      <w:lvlText w:val="•"/>
      <w:lvlJc w:val="left"/>
      <w:pPr>
        <w:ind w:left="6870" w:hanging="240"/>
      </w:pPr>
      <w:rPr>
        <w:rFonts w:hint="default"/>
        <w:lang w:val="ru-RU" w:eastAsia="en-US" w:bidi="ar-SA"/>
      </w:rPr>
    </w:lvl>
    <w:lvl w:ilvl="6">
      <w:start w:val="0"/>
      <w:numFmt w:val="bullet"/>
      <w:lvlText w:val="•"/>
      <w:lvlJc w:val="left"/>
      <w:pPr>
        <w:ind w:left="7876" w:hanging="240"/>
      </w:pPr>
      <w:rPr>
        <w:rFonts w:hint="default"/>
        <w:lang w:val="ru-RU" w:eastAsia="en-US" w:bidi="ar-SA"/>
      </w:rPr>
    </w:lvl>
    <w:lvl w:ilvl="7">
      <w:start w:val="0"/>
      <w:numFmt w:val="bullet"/>
      <w:lvlText w:val="•"/>
      <w:lvlJc w:val="left"/>
      <w:pPr>
        <w:ind w:left="8882" w:hanging="240"/>
      </w:pPr>
      <w:rPr>
        <w:rFonts w:hint="default"/>
        <w:lang w:val="ru-RU" w:eastAsia="en-US" w:bidi="ar-SA"/>
      </w:rPr>
    </w:lvl>
    <w:lvl w:ilvl="8">
      <w:start w:val="0"/>
      <w:numFmt w:val="bullet"/>
      <w:lvlText w:val="•"/>
      <w:lvlJc w:val="left"/>
      <w:pPr>
        <w:ind w:left="9888" w:hanging="240"/>
      </w:pPr>
      <w:rPr>
        <w:rFonts w:hint="default"/>
        <w:lang w:val="ru-RU" w:eastAsia="en-US" w:bidi="ar-SA"/>
      </w:rPr>
    </w:lvl>
  </w:abstractNum>
  <w:abstractNum w:abstractNumId="26">
    <w:multiLevelType w:val="hybridMultilevel"/>
    <w:lvl w:ilvl="0">
      <w:start w:val="0"/>
      <w:numFmt w:val="bullet"/>
      <w:lvlText w:val=""/>
      <w:lvlJc w:val="left"/>
      <w:pPr>
        <w:ind w:left="285" w:hanging="286"/>
      </w:pPr>
      <w:rPr>
        <w:rFonts w:hint="default" w:ascii="Symbol" w:hAnsi="Symbol" w:eastAsia="Symbol" w:cs="Symbol"/>
        <w:b w:val="0"/>
        <w:bCs w:val="0"/>
        <w:i w:val="0"/>
        <w:iCs w:val="0"/>
        <w:spacing w:val="0"/>
        <w:w w:val="99"/>
        <w:position w:val="2"/>
        <w:sz w:val="24"/>
        <w:szCs w:val="24"/>
        <w:lang w:val="ru-RU" w:eastAsia="en-US" w:bidi="ar-SA"/>
      </w:rPr>
    </w:lvl>
    <w:lvl w:ilvl="1">
      <w:start w:val="0"/>
      <w:numFmt w:val="bullet"/>
      <w:lvlText w:val="•"/>
      <w:lvlJc w:val="left"/>
      <w:pPr>
        <w:ind w:left="1187" w:hanging="286"/>
      </w:pPr>
      <w:rPr>
        <w:rFonts w:hint="default"/>
        <w:lang w:val="ru-RU" w:eastAsia="en-US" w:bidi="ar-SA"/>
      </w:rPr>
    </w:lvl>
    <w:lvl w:ilvl="2">
      <w:start w:val="0"/>
      <w:numFmt w:val="bullet"/>
      <w:lvlText w:val="•"/>
      <w:lvlJc w:val="left"/>
      <w:pPr>
        <w:ind w:left="2094" w:hanging="286"/>
      </w:pPr>
      <w:rPr>
        <w:rFonts w:hint="default"/>
        <w:lang w:val="ru-RU" w:eastAsia="en-US" w:bidi="ar-SA"/>
      </w:rPr>
    </w:lvl>
    <w:lvl w:ilvl="3">
      <w:start w:val="0"/>
      <w:numFmt w:val="bullet"/>
      <w:lvlText w:val="•"/>
      <w:lvlJc w:val="left"/>
      <w:pPr>
        <w:ind w:left="3001" w:hanging="286"/>
      </w:pPr>
      <w:rPr>
        <w:rFonts w:hint="default"/>
        <w:lang w:val="ru-RU" w:eastAsia="en-US" w:bidi="ar-SA"/>
      </w:rPr>
    </w:lvl>
    <w:lvl w:ilvl="4">
      <w:start w:val="0"/>
      <w:numFmt w:val="bullet"/>
      <w:lvlText w:val="•"/>
      <w:lvlJc w:val="left"/>
      <w:pPr>
        <w:ind w:left="3908" w:hanging="286"/>
      </w:pPr>
      <w:rPr>
        <w:rFonts w:hint="default"/>
        <w:lang w:val="ru-RU" w:eastAsia="en-US" w:bidi="ar-SA"/>
      </w:rPr>
    </w:lvl>
    <w:lvl w:ilvl="5">
      <w:start w:val="0"/>
      <w:numFmt w:val="bullet"/>
      <w:lvlText w:val="•"/>
      <w:lvlJc w:val="left"/>
      <w:pPr>
        <w:ind w:left="4815" w:hanging="286"/>
      </w:pPr>
      <w:rPr>
        <w:rFonts w:hint="default"/>
        <w:lang w:val="ru-RU" w:eastAsia="en-US" w:bidi="ar-SA"/>
      </w:rPr>
    </w:lvl>
    <w:lvl w:ilvl="6">
      <w:start w:val="0"/>
      <w:numFmt w:val="bullet"/>
      <w:lvlText w:val="•"/>
      <w:lvlJc w:val="left"/>
      <w:pPr>
        <w:ind w:left="5722" w:hanging="286"/>
      </w:pPr>
      <w:rPr>
        <w:rFonts w:hint="default"/>
        <w:lang w:val="ru-RU" w:eastAsia="en-US" w:bidi="ar-SA"/>
      </w:rPr>
    </w:lvl>
    <w:lvl w:ilvl="7">
      <w:start w:val="0"/>
      <w:numFmt w:val="bullet"/>
      <w:lvlText w:val="•"/>
      <w:lvlJc w:val="left"/>
      <w:pPr>
        <w:ind w:left="6629" w:hanging="286"/>
      </w:pPr>
      <w:rPr>
        <w:rFonts w:hint="default"/>
        <w:lang w:val="ru-RU" w:eastAsia="en-US" w:bidi="ar-SA"/>
      </w:rPr>
    </w:lvl>
    <w:lvl w:ilvl="8">
      <w:start w:val="0"/>
      <w:numFmt w:val="bullet"/>
      <w:lvlText w:val="•"/>
      <w:lvlJc w:val="left"/>
      <w:pPr>
        <w:ind w:left="7536" w:hanging="286"/>
      </w:pPr>
      <w:rPr>
        <w:rFonts w:hint="default"/>
        <w:lang w:val="ru-RU" w:eastAsia="en-US" w:bidi="ar-SA"/>
      </w:rPr>
    </w:lvl>
  </w:abstractNum>
  <w:abstractNum w:abstractNumId="25">
    <w:multiLevelType w:val="hybridMultilevel"/>
    <w:lvl w:ilvl="0">
      <w:start w:val="0"/>
      <w:numFmt w:val="bullet"/>
      <w:lvlText w:val=""/>
      <w:lvlJc w:val="left"/>
      <w:pPr>
        <w:ind w:left="2549" w:hanging="281"/>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76" w:hanging="281"/>
      </w:pPr>
      <w:rPr>
        <w:rFonts w:hint="default"/>
        <w:lang w:val="ru-RU" w:eastAsia="en-US" w:bidi="ar-SA"/>
      </w:rPr>
    </w:lvl>
    <w:lvl w:ilvl="2">
      <w:start w:val="0"/>
      <w:numFmt w:val="bullet"/>
      <w:lvlText w:val="•"/>
      <w:lvlJc w:val="left"/>
      <w:pPr>
        <w:ind w:left="4412" w:hanging="281"/>
      </w:pPr>
      <w:rPr>
        <w:rFonts w:hint="default"/>
        <w:lang w:val="ru-RU" w:eastAsia="en-US" w:bidi="ar-SA"/>
      </w:rPr>
    </w:lvl>
    <w:lvl w:ilvl="3">
      <w:start w:val="0"/>
      <w:numFmt w:val="bullet"/>
      <w:lvlText w:val="•"/>
      <w:lvlJc w:val="left"/>
      <w:pPr>
        <w:ind w:left="5348" w:hanging="281"/>
      </w:pPr>
      <w:rPr>
        <w:rFonts w:hint="default"/>
        <w:lang w:val="ru-RU" w:eastAsia="en-US" w:bidi="ar-SA"/>
      </w:rPr>
    </w:lvl>
    <w:lvl w:ilvl="4">
      <w:start w:val="0"/>
      <w:numFmt w:val="bullet"/>
      <w:lvlText w:val="•"/>
      <w:lvlJc w:val="left"/>
      <w:pPr>
        <w:ind w:left="6284" w:hanging="281"/>
      </w:pPr>
      <w:rPr>
        <w:rFonts w:hint="default"/>
        <w:lang w:val="ru-RU" w:eastAsia="en-US" w:bidi="ar-SA"/>
      </w:rPr>
    </w:lvl>
    <w:lvl w:ilvl="5">
      <w:start w:val="0"/>
      <w:numFmt w:val="bullet"/>
      <w:lvlText w:val="•"/>
      <w:lvlJc w:val="left"/>
      <w:pPr>
        <w:ind w:left="7220" w:hanging="281"/>
      </w:pPr>
      <w:rPr>
        <w:rFonts w:hint="default"/>
        <w:lang w:val="ru-RU" w:eastAsia="en-US" w:bidi="ar-SA"/>
      </w:rPr>
    </w:lvl>
    <w:lvl w:ilvl="6">
      <w:start w:val="0"/>
      <w:numFmt w:val="bullet"/>
      <w:lvlText w:val="•"/>
      <w:lvlJc w:val="left"/>
      <w:pPr>
        <w:ind w:left="8156" w:hanging="281"/>
      </w:pPr>
      <w:rPr>
        <w:rFonts w:hint="default"/>
        <w:lang w:val="ru-RU" w:eastAsia="en-US" w:bidi="ar-SA"/>
      </w:rPr>
    </w:lvl>
    <w:lvl w:ilvl="7">
      <w:start w:val="0"/>
      <w:numFmt w:val="bullet"/>
      <w:lvlText w:val="•"/>
      <w:lvlJc w:val="left"/>
      <w:pPr>
        <w:ind w:left="9092" w:hanging="281"/>
      </w:pPr>
      <w:rPr>
        <w:rFonts w:hint="default"/>
        <w:lang w:val="ru-RU" w:eastAsia="en-US" w:bidi="ar-SA"/>
      </w:rPr>
    </w:lvl>
    <w:lvl w:ilvl="8">
      <w:start w:val="0"/>
      <w:numFmt w:val="bullet"/>
      <w:lvlText w:val="•"/>
      <w:lvlJc w:val="left"/>
      <w:pPr>
        <w:ind w:left="10028" w:hanging="281"/>
      </w:pPr>
      <w:rPr>
        <w:rFonts w:hint="default"/>
        <w:lang w:val="ru-RU" w:eastAsia="en-US" w:bidi="ar-SA"/>
      </w:rPr>
    </w:lvl>
  </w:abstractNum>
  <w:abstractNum w:abstractNumId="24">
    <w:multiLevelType w:val="hybridMultilevel"/>
    <w:lvl w:ilvl="0">
      <w:start w:val="1"/>
      <w:numFmt w:val="decimal"/>
      <w:lvlText w:val="%1."/>
      <w:lvlJc w:val="left"/>
      <w:pPr>
        <w:ind w:left="105" w:hanging="221"/>
        <w:jc w:val="left"/>
      </w:pPr>
      <w:rPr>
        <w:rFonts w:hint="default"/>
        <w:spacing w:val="0"/>
        <w:w w:val="100"/>
        <w:lang w:val="ru-RU" w:eastAsia="en-US" w:bidi="ar-SA"/>
      </w:rPr>
    </w:lvl>
    <w:lvl w:ilvl="1">
      <w:start w:val="1"/>
      <w:numFmt w:val="decimal"/>
      <w:lvlText w:val="%2."/>
      <w:lvlJc w:val="left"/>
      <w:pPr>
        <w:ind w:left="105" w:hanging="221"/>
        <w:jc w:val="left"/>
      </w:pPr>
      <w:rPr>
        <w:rFonts w:hint="default"/>
        <w:spacing w:val="0"/>
        <w:w w:val="100"/>
        <w:lang w:val="ru-RU" w:eastAsia="en-US" w:bidi="ar-SA"/>
      </w:rPr>
    </w:lvl>
    <w:lvl w:ilvl="2">
      <w:start w:val="0"/>
      <w:numFmt w:val="bullet"/>
      <w:lvlText w:val="•"/>
      <w:lvlJc w:val="left"/>
      <w:pPr>
        <w:ind w:left="1812" w:hanging="221"/>
      </w:pPr>
      <w:rPr>
        <w:rFonts w:hint="default"/>
        <w:lang w:val="ru-RU" w:eastAsia="en-US" w:bidi="ar-SA"/>
      </w:rPr>
    </w:lvl>
    <w:lvl w:ilvl="3">
      <w:start w:val="0"/>
      <w:numFmt w:val="bullet"/>
      <w:lvlText w:val="•"/>
      <w:lvlJc w:val="left"/>
      <w:pPr>
        <w:ind w:left="2668" w:hanging="221"/>
      </w:pPr>
      <w:rPr>
        <w:rFonts w:hint="default"/>
        <w:lang w:val="ru-RU" w:eastAsia="en-US" w:bidi="ar-SA"/>
      </w:rPr>
    </w:lvl>
    <w:lvl w:ilvl="4">
      <w:start w:val="0"/>
      <w:numFmt w:val="bullet"/>
      <w:lvlText w:val="•"/>
      <w:lvlJc w:val="left"/>
      <w:pPr>
        <w:ind w:left="3525" w:hanging="221"/>
      </w:pPr>
      <w:rPr>
        <w:rFonts w:hint="default"/>
        <w:lang w:val="ru-RU" w:eastAsia="en-US" w:bidi="ar-SA"/>
      </w:rPr>
    </w:lvl>
    <w:lvl w:ilvl="5">
      <w:start w:val="0"/>
      <w:numFmt w:val="bullet"/>
      <w:lvlText w:val="•"/>
      <w:lvlJc w:val="left"/>
      <w:pPr>
        <w:ind w:left="4381" w:hanging="221"/>
      </w:pPr>
      <w:rPr>
        <w:rFonts w:hint="default"/>
        <w:lang w:val="ru-RU" w:eastAsia="en-US" w:bidi="ar-SA"/>
      </w:rPr>
    </w:lvl>
    <w:lvl w:ilvl="6">
      <w:start w:val="0"/>
      <w:numFmt w:val="bullet"/>
      <w:lvlText w:val="•"/>
      <w:lvlJc w:val="left"/>
      <w:pPr>
        <w:ind w:left="5237" w:hanging="221"/>
      </w:pPr>
      <w:rPr>
        <w:rFonts w:hint="default"/>
        <w:lang w:val="ru-RU" w:eastAsia="en-US" w:bidi="ar-SA"/>
      </w:rPr>
    </w:lvl>
    <w:lvl w:ilvl="7">
      <w:start w:val="0"/>
      <w:numFmt w:val="bullet"/>
      <w:lvlText w:val="•"/>
      <w:lvlJc w:val="left"/>
      <w:pPr>
        <w:ind w:left="6094" w:hanging="221"/>
      </w:pPr>
      <w:rPr>
        <w:rFonts w:hint="default"/>
        <w:lang w:val="ru-RU" w:eastAsia="en-US" w:bidi="ar-SA"/>
      </w:rPr>
    </w:lvl>
    <w:lvl w:ilvl="8">
      <w:start w:val="0"/>
      <w:numFmt w:val="bullet"/>
      <w:lvlText w:val="•"/>
      <w:lvlJc w:val="left"/>
      <w:pPr>
        <w:ind w:left="6950" w:hanging="221"/>
      </w:pPr>
      <w:rPr>
        <w:rFonts w:hint="default"/>
        <w:lang w:val="ru-RU" w:eastAsia="en-US" w:bidi="ar-SA"/>
      </w:rPr>
    </w:lvl>
  </w:abstractNum>
  <w:abstractNum w:abstractNumId="23">
    <w:multiLevelType w:val="hybridMultilevel"/>
    <w:lvl w:ilvl="0">
      <w:start w:val="1"/>
      <w:numFmt w:val="decimal"/>
      <w:lvlText w:val="%1."/>
      <w:lvlJc w:val="left"/>
      <w:pPr>
        <w:ind w:left="1841" w:hanging="240"/>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2846" w:hanging="240"/>
      </w:pPr>
      <w:rPr>
        <w:rFonts w:hint="default"/>
        <w:lang w:val="ru-RU" w:eastAsia="en-US" w:bidi="ar-SA"/>
      </w:rPr>
    </w:lvl>
    <w:lvl w:ilvl="2">
      <w:start w:val="0"/>
      <w:numFmt w:val="bullet"/>
      <w:lvlText w:val="•"/>
      <w:lvlJc w:val="left"/>
      <w:pPr>
        <w:ind w:left="3852" w:hanging="240"/>
      </w:pPr>
      <w:rPr>
        <w:rFonts w:hint="default"/>
        <w:lang w:val="ru-RU" w:eastAsia="en-US" w:bidi="ar-SA"/>
      </w:rPr>
    </w:lvl>
    <w:lvl w:ilvl="3">
      <w:start w:val="0"/>
      <w:numFmt w:val="bullet"/>
      <w:lvlText w:val="•"/>
      <w:lvlJc w:val="left"/>
      <w:pPr>
        <w:ind w:left="4858" w:hanging="240"/>
      </w:pPr>
      <w:rPr>
        <w:rFonts w:hint="default"/>
        <w:lang w:val="ru-RU" w:eastAsia="en-US" w:bidi="ar-SA"/>
      </w:rPr>
    </w:lvl>
    <w:lvl w:ilvl="4">
      <w:start w:val="0"/>
      <w:numFmt w:val="bullet"/>
      <w:lvlText w:val="•"/>
      <w:lvlJc w:val="left"/>
      <w:pPr>
        <w:ind w:left="5864" w:hanging="240"/>
      </w:pPr>
      <w:rPr>
        <w:rFonts w:hint="default"/>
        <w:lang w:val="ru-RU" w:eastAsia="en-US" w:bidi="ar-SA"/>
      </w:rPr>
    </w:lvl>
    <w:lvl w:ilvl="5">
      <w:start w:val="0"/>
      <w:numFmt w:val="bullet"/>
      <w:lvlText w:val="•"/>
      <w:lvlJc w:val="left"/>
      <w:pPr>
        <w:ind w:left="6870" w:hanging="240"/>
      </w:pPr>
      <w:rPr>
        <w:rFonts w:hint="default"/>
        <w:lang w:val="ru-RU" w:eastAsia="en-US" w:bidi="ar-SA"/>
      </w:rPr>
    </w:lvl>
    <w:lvl w:ilvl="6">
      <w:start w:val="0"/>
      <w:numFmt w:val="bullet"/>
      <w:lvlText w:val="•"/>
      <w:lvlJc w:val="left"/>
      <w:pPr>
        <w:ind w:left="7876" w:hanging="240"/>
      </w:pPr>
      <w:rPr>
        <w:rFonts w:hint="default"/>
        <w:lang w:val="ru-RU" w:eastAsia="en-US" w:bidi="ar-SA"/>
      </w:rPr>
    </w:lvl>
    <w:lvl w:ilvl="7">
      <w:start w:val="0"/>
      <w:numFmt w:val="bullet"/>
      <w:lvlText w:val="•"/>
      <w:lvlJc w:val="left"/>
      <w:pPr>
        <w:ind w:left="8882" w:hanging="240"/>
      </w:pPr>
      <w:rPr>
        <w:rFonts w:hint="default"/>
        <w:lang w:val="ru-RU" w:eastAsia="en-US" w:bidi="ar-SA"/>
      </w:rPr>
    </w:lvl>
    <w:lvl w:ilvl="8">
      <w:start w:val="0"/>
      <w:numFmt w:val="bullet"/>
      <w:lvlText w:val="•"/>
      <w:lvlJc w:val="left"/>
      <w:pPr>
        <w:ind w:left="9888" w:hanging="240"/>
      </w:pPr>
      <w:rPr>
        <w:rFonts w:hint="default"/>
        <w:lang w:val="ru-RU" w:eastAsia="en-US" w:bidi="ar-SA"/>
      </w:rPr>
    </w:lvl>
  </w:abstractNum>
  <w:abstractNum w:abstractNumId="22">
    <w:multiLevelType w:val="hybridMultilevel"/>
    <w:lvl w:ilvl="0">
      <w:start w:val="1"/>
      <w:numFmt w:val="decimal"/>
      <w:lvlText w:val="%1."/>
      <w:lvlJc w:val="left"/>
      <w:pPr>
        <w:ind w:left="1841" w:hanging="240"/>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2846" w:hanging="240"/>
      </w:pPr>
      <w:rPr>
        <w:rFonts w:hint="default"/>
        <w:lang w:val="ru-RU" w:eastAsia="en-US" w:bidi="ar-SA"/>
      </w:rPr>
    </w:lvl>
    <w:lvl w:ilvl="2">
      <w:start w:val="0"/>
      <w:numFmt w:val="bullet"/>
      <w:lvlText w:val="•"/>
      <w:lvlJc w:val="left"/>
      <w:pPr>
        <w:ind w:left="3852" w:hanging="240"/>
      </w:pPr>
      <w:rPr>
        <w:rFonts w:hint="default"/>
        <w:lang w:val="ru-RU" w:eastAsia="en-US" w:bidi="ar-SA"/>
      </w:rPr>
    </w:lvl>
    <w:lvl w:ilvl="3">
      <w:start w:val="0"/>
      <w:numFmt w:val="bullet"/>
      <w:lvlText w:val="•"/>
      <w:lvlJc w:val="left"/>
      <w:pPr>
        <w:ind w:left="4858" w:hanging="240"/>
      </w:pPr>
      <w:rPr>
        <w:rFonts w:hint="default"/>
        <w:lang w:val="ru-RU" w:eastAsia="en-US" w:bidi="ar-SA"/>
      </w:rPr>
    </w:lvl>
    <w:lvl w:ilvl="4">
      <w:start w:val="0"/>
      <w:numFmt w:val="bullet"/>
      <w:lvlText w:val="•"/>
      <w:lvlJc w:val="left"/>
      <w:pPr>
        <w:ind w:left="5864" w:hanging="240"/>
      </w:pPr>
      <w:rPr>
        <w:rFonts w:hint="default"/>
        <w:lang w:val="ru-RU" w:eastAsia="en-US" w:bidi="ar-SA"/>
      </w:rPr>
    </w:lvl>
    <w:lvl w:ilvl="5">
      <w:start w:val="0"/>
      <w:numFmt w:val="bullet"/>
      <w:lvlText w:val="•"/>
      <w:lvlJc w:val="left"/>
      <w:pPr>
        <w:ind w:left="6870" w:hanging="240"/>
      </w:pPr>
      <w:rPr>
        <w:rFonts w:hint="default"/>
        <w:lang w:val="ru-RU" w:eastAsia="en-US" w:bidi="ar-SA"/>
      </w:rPr>
    </w:lvl>
    <w:lvl w:ilvl="6">
      <w:start w:val="0"/>
      <w:numFmt w:val="bullet"/>
      <w:lvlText w:val="•"/>
      <w:lvlJc w:val="left"/>
      <w:pPr>
        <w:ind w:left="7876" w:hanging="240"/>
      </w:pPr>
      <w:rPr>
        <w:rFonts w:hint="default"/>
        <w:lang w:val="ru-RU" w:eastAsia="en-US" w:bidi="ar-SA"/>
      </w:rPr>
    </w:lvl>
    <w:lvl w:ilvl="7">
      <w:start w:val="0"/>
      <w:numFmt w:val="bullet"/>
      <w:lvlText w:val="•"/>
      <w:lvlJc w:val="left"/>
      <w:pPr>
        <w:ind w:left="8882" w:hanging="240"/>
      </w:pPr>
      <w:rPr>
        <w:rFonts w:hint="default"/>
        <w:lang w:val="ru-RU" w:eastAsia="en-US" w:bidi="ar-SA"/>
      </w:rPr>
    </w:lvl>
    <w:lvl w:ilvl="8">
      <w:start w:val="0"/>
      <w:numFmt w:val="bullet"/>
      <w:lvlText w:val="•"/>
      <w:lvlJc w:val="left"/>
      <w:pPr>
        <w:ind w:left="9888" w:hanging="240"/>
      </w:pPr>
      <w:rPr>
        <w:rFonts w:hint="default"/>
        <w:lang w:val="ru-RU" w:eastAsia="en-US" w:bidi="ar-SA"/>
      </w:rPr>
    </w:lvl>
  </w:abstractNum>
  <w:abstractNum w:abstractNumId="21">
    <w:multiLevelType w:val="hybridMultilevel"/>
    <w:lvl w:ilvl="0">
      <w:start w:val="0"/>
      <w:numFmt w:val="bullet"/>
      <w:lvlText w:val="-"/>
      <w:lvlJc w:val="left"/>
      <w:pPr>
        <w:ind w:left="2124"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3098" w:hanging="360"/>
      </w:pPr>
      <w:rPr>
        <w:rFonts w:hint="default"/>
        <w:lang w:val="ru-RU" w:eastAsia="en-US" w:bidi="ar-SA"/>
      </w:rPr>
    </w:lvl>
    <w:lvl w:ilvl="2">
      <w:start w:val="0"/>
      <w:numFmt w:val="bullet"/>
      <w:lvlText w:val="•"/>
      <w:lvlJc w:val="left"/>
      <w:pPr>
        <w:ind w:left="4076" w:hanging="360"/>
      </w:pPr>
      <w:rPr>
        <w:rFonts w:hint="default"/>
        <w:lang w:val="ru-RU" w:eastAsia="en-US" w:bidi="ar-SA"/>
      </w:rPr>
    </w:lvl>
    <w:lvl w:ilvl="3">
      <w:start w:val="0"/>
      <w:numFmt w:val="bullet"/>
      <w:lvlText w:val="•"/>
      <w:lvlJc w:val="left"/>
      <w:pPr>
        <w:ind w:left="5054" w:hanging="360"/>
      </w:pPr>
      <w:rPr>
        <w:rFonts w:hint="default"/>
        <w:lang w:val="ru-RU" w:eastAsia="en-US" w:bidi="ar-SA"/>
      </w:rPr>
    </w:lvl>
    <w:lvl w:ilvl="4">
      <w:start w:val="0"/>
      <w:numFmt w:val="bullet"/>
      <w:lvlText w:val="•"/>
      <w:lvlJc w:val="left"/>
      <w:pPr>
        <w:ind w:left="6032" w:hanging="360"/>
      </w:pPr>
      <w:rPr>
        <w:rFonts w:hint="default"/>
        <w:lang w:val="ru-RU" w:eastAsia="en-US" w:bidi="ar-SA"/>
      </w:rPr>
    </w:lvl>
    <w:lvl w:ilvl="5">
      <w:start w:val="0"/>
      <w:numFmt w:val="bullet"/>
      <w:lvlText w:val="•"/>
      <w:lvlJc w:val="left"/>
      <w:pPr>
        <w:ind w:left="7010" w:hanging="360"/>
      </w:pPr>
      <w:rPr>
        <w:rFonts w:hint="default"/>
        <w:lang w:val="ru-RU" w:eastAsia="en-US" w:bidi="ar-SA"/>
      </w:rPr>
    </w:lvl>
    <w:lvl w:ilvl="6">
      <w:start w:val="0"/>
      <w:numFmt w:val="bullet"/>
      <w:lvlText w:val="•"/>
      <w:lvlJc w:val="left"/>
      <w:pPr>
        <w:ind w:left="7988" w:hanging="360"/>
      </w:pPr>
      <w:rPr>
        <w:rFonts w:hint="default"/>
        <w:lang w:val="ru-RU" w:eastAsia="en-US" w:bidi="ar-SA"/>
      </w:rPr>
    </w:lvl>
    <w:lvl w:ilvl="7">
      <w:start w:val="0"/>
      <w:numFmt w:val="bullet"/>
      <w:lvlText w:val="•"/>
      <w:lvlJc w:val="left"/>
      <w:pPr>
        <w:ind w:left="8966" w:hanging="360"/>
      </w:pPr>
      <w:rPr>
        <w:rFonts w:hint="default"/>
        <w:lang w:val="ru-RU" w:eastAsia="en-US" w:bidi="ar-SA"/>
      </w:rPr>
    </w:lvl>
    <w:lvl w:ilvl="8">
      <w:start w:val="0"/>
      <w:numFmt w:val="bullet"/>
      <w:lvlText w:val="•"/>
      <w:lvlJc w:val="left"/>
      <w:pPr>
        <w:ind w:left="9944" w:hanging="360"/>
      </w:pPr>
      <w:rPr>
        <w:rFonts w:hint="default"/>
        <w:lang w:val="ru-RU" w:eastAsia="en-US" w:bidi="ar-SA"/>
      </w:rPr>
    </w:lvl>
  </w:abstractNum>
  <w:abstractNum w:abstractNumId="20">
    <w:multiLevelType w:val="hybridMultilevel"/>
    <w:lvl w:ilvl="0">
      <w:start w:val="0"/>
      <w:numFmt w:val="bullet"/>
      <w:lvlText w:val="-"/>
      <w:lvlJc w:val="left"/>
      <w:pPr>
        <w:ind w:left="1841" w:hanging="207"/>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2846" w:hanging="207"/>
      </w:pPr>
      <w:rPr>
        <w:rFonts w:hint="default"/>
        <w:lang w:val="ru-RU" w:eastAsia="en-US" w:bidi="ar-SA"/>
      </w:rPr>
    </w:lvl>
    <w:lvl w:ilvl="2">
      <w:start w:val="0"/>
      <w:numFmt w:val="bullet"/>
      <w:lvlText w:val="•"/>
      <w:lvlJc w:val="left"/>
      <w:pPr>
        <w:ind w:left="3852" w:hanging="207"/>
      </w:pPr>
      <w:rPr>
        <w:rFonts w:hint="default"/>
        <w:lang w:val="ru-RU" w:eastAsia="en-US" w:bidi="ar-SA"/>
      </w:rPr>
    </w:lvl>
    <w:lvl w:ilvl="3">
      <w:start w:val="0"/>
      <w:numFmt w:val="bullet"/>
      <w:lvlText w:val="•"/>
      <w:lvlJc w:val="left"/>
      <w:pPr>
        <w:ind w:left="4858" w:hanging="207"/>
      </w:pPr>
      <w:rPr>
        <w:rFonts w:hint="default"/>
        <w:lang w:val="ru-RU" w:eastAsia="en-US" w:bidi="ar-SA"/>
      </w:rPr>
    </w:lvl>
    <w:lvl w:ilvl="4">
      <w:start w:val="0"/>
      <w:numFmt w:val="bullet"/>
      <w:lvlText w:val="•"/>
      <w:lvlJc w:val="left"/>
      <w:pPr>
        <w:ind w:left="5864" w:hanging="207"/>
      </w:pPr>
      <w:rPr>
        <w:rFonts w:hint="default"/>
        <w:lang w:val="ru-RU" w:eastAsia="en-US" w:bidi="ar-SA"/>
      </w:rPr>
    </w:lvl>
    <w:lvl w:ilvl="5">
      <w:start w:val="0"/>
      <w:numFmt w:val="bullet"/>
      <w:lvlText w:val="•"/>
      <w:lvlJc w:val="left"/>
      <w:pPr>
        <w:ind w:left="6870" w:hanging="207"/>
      </w:pPr>
      <w:rPr>
        <w:rFonts w:hint="default"/>
        <w:lang w:val="ru-RU" w:eastAsia="en-US" w:bidi="ar-SA"/>
      </w:rPr>
    </w:lvl>
    <w:lvl w:ilvl="6">
      <w:start w:val="0"/>
      <w:numFmt w:val="bullet"/>
      <w:lvlText w:val="•"/>
      <w:lvlJc w:val="left"/>
      <w:pPr>
        <w:ind w:left="7876" w:hanging="207"/>
      </w:pPr>
      <w:rPr>
        <w:rFonts w:hint="default"/>
        <w:lang w:val="ru-RU" w:eastAsia="en-US" w:bidi="ar-SA"/>
      </w:rPr>
    </w:lvl>
    <w:lvl w:ilvl="7">
      <w:start w:val="0"/>
      <w:numFmt w:val="bullet"/>
      <w:lvlText w:val="•"/>
      <w:lvlJc w:val="left"/>
      <w:pPr>
        <w:ind w:left="8882" w:hanging="207"/>
      </w:pPr>
      <w:rPr>
        <w:rFonts w:hint="default"/>
        <w:lang w:val="ru-RU" w:eastAsia="en-US" w:bidi="ar-SA"/>
      </w:rPr>
    </w:lvl>
    <w:lvl w:ilvl="8">
      <w:start w:val="0"/>
      <w:numFmt w:val="bullet"/>
      <w:lvlText w:val="•"/>
      <w:lvlJc w:val="left"/>
      <w:pPr>
        <w:ind w:left="9888" w:hanging="207"/>
      </w:pPr>
      <w:rPr>
        <w:rFonts w:hint="default"/>
        <w:lang w:val="ru-RU" w:eastAsia="en-US" w:bidi="ar-SA"/>
      </w:rPr>
    </w:lvl>
  </w:abstractNum>
  <w:abstractNum w:abstractNumId="19">
    <w:multiLevelType w:val="hybridMultilevel"/>
    <w:lvl w:ilvl="0">
      <w:start w:val="0"/>
      <w:numFmt w:val="bullet"/>
      <w:lvlText w:val=""/>
      <w:lvlJc w:val="left"/>
      <w:pPr>
        <w:ind w:left="3127" w:hanging="360"/>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998" w:hanging="360"/>
      </w:pPr>
      <w:rPr>
        <w:rFonts w:hint="default"/>
        <w:lang w:val="ru-RU" w:eastAsia="en-US" w:bidi="ar-SA"/>
      </w:rPr>
    </w:lvl>
    <w:lvl w:ilvl="2">
      <w:start w:val="0"/>
      <w:numFmt w:val="bullet"/>
      <w:lvlText w:val="•"/>
      <w:lvlJc w:val="left"/>
      <w:pPr>
        <w:ind w:left="4876" w:hanging="360"/>
      </w:pPr>
      <w:rPr>
        <w:rFonts w:hint="default"/>
        <w:lang w:val="ru-RU" w:eastAsia="en-US" w:bidi="ar-SA"/>
      </w:rPr>
    </w:lvl>
    <w:lvl w:ilvl="3">
      <w:start w:val="0"/>
      <w:numFmt w:val="bullet"/>
      <w:lvlText w:val="•"/>
      <w:lvlJc w:val="left"/>
      <w:pPr>
        <w:ind w:left="5754" w:hanging="360"/>
      </w:pPr>
      <w:rPr>
        <w:rFonts w:hint="default"/>
        <w:lang w:val="ru-RU" w:eastAsia="en-US" w:bidi="ar-SA"/>
      </w:rPr>
    </w:lvl>
    <w:lvl w:ilvl="4">
      <w:start w:val="0"/>
      <w:numFmt w:val="bullet"/>
      <w:lvlText w:val="•"/>
      <w:lvlJc w:val="left"/>
      <w:pPr>
        <w:ind w:left="6632" w:hanging="360"/>
      </w:pPr>
      <w:rPr>
        <w:rFonts w:hint="default"/>
        <w:lang w:val="ru-RU" w:eastAsia="en-US" w:bidi="ar-SA"/>
      </w:rPr>
    </w:lvl>
    <w:lvl w:ilvl="5">
      <w:start w:val="0"/>
      <w:numFmt w:val="bullet"/>
      <w:lvlText w:val="•"/>
      <w:lvlJc w:val="left"/>
      <w:pPr>
        <w:ind w:left="7510" w:hanging="360"/>
      </w:pPr>
      <w:rPr>
        <w:rFonts w:hint="default"/>
        <w:lang w:val="ru-RU" w:eastAsia="en-US" w:bidi="ar-SA"/>
      </w:rPr>
    </w:lvl>
    <w:lvl w:ilvl="6">
      <w:start w:val="0"/>
      <w:numFmt w:val="bullet"/>
      <w:lvlText w:val="•"/>
      <w:lvlJc w:val="left"/>
      <w:pPr>
        <w:ind w:left="8388" w:hanging="360"/>
      </w:pPr>
      <w:rPr>
        <w:rFonts w:hint="default"/>
        <w:lang w:val="ru-RU" w:eastAsia="en-US" w:bidi="ar-SA"/>
      </w:rPr>
    </w:lvl>
    <w:lvl w:ilvl="7">
      <w:start w:val="0"/>
      <w:numFmt w:val="bullet"/>
      <w:lvlText w:val="•"/>
      <w:lvlJc w:val="left"/>
      <w:pPr>
        <w:ind w:left="9266" w:hanging="360"/>
      </w:pPr>
      <w:rPr>
        <w:rFonts w:hint="default"/>
        <w:lang w:val="ru-RU" w:eastAsia="en-US" w:bidi="ar-SA"/>
      </w:rPr>
    </w:lvl>
    <w:lvl w:ilvl="8">
      <w:start w:val="0"/>
      <w:numFmt w:val="bullet"/>
      <w:lvlText w:val="•"/>
      <w:lvlJc w:val="left"/>
      <w:pPr>
        <w:ind w:left="10144" w:hanging="360"/>
      </w:pPr>
      <w:rPr>
        <w:rFonts w:hint="default"/>
        <w:lang w:val="ru-RU" w:eastAsia="en-US" w:bidi="ar-SA"/>
      </w:rPr>
    </w:lvl>
  </w:abstractNum>
  <w:abstractNum w:abstractNumId="18">
    <w:multiLevelType w:val="hybridMultilevel"/>
    <w:lvl w:ilvl="0">
      <w:start w:val="4"/>
      <w:numFmt w:val="decimal"/>
      <w:lvlText w:val="%1"/>
      <w:lvlJc w:val="left"/>
      <w:pPr>
        <w:ind w:left="1841" w:hanging="206"/>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2846" w:hanging="206"/>
      </w:pPr>
      <w:rPr>
        <w:rFonts w:hint="default"/>
        <w:lang w:val="ru-RU" w:eastAsia="en-US" w:bidi="ar-SA"/>
      </w:rPr>
    </w:lvl>
    <w:lvl w:ilvl="2">
      <w:start w:val="0"/>
      <w:numFmt w:val="bullet"/>
      <w:lvlText w:val="•"/>
      <w:lvlJc w:val="left"/>
      <w:pPr>
        <w:ind w:left="3852" w:hanging="206"/>
      </w:pPr>
      <w:rPr>
        <w:rFonts w:hint="default"/>
        <w:lang w:val="ru-RU" w:eastAsia="en-US" w:bidi="ar-SA"/>
      </w:rPr>
    </w:lvl>
    <w:lvl w:ilvl="3">
      <w:start w:val="0"/>
      <w:numFmt w:val="bullet"/>
      <w:lvlText w:val="•"/>
      <w:lvlJc w:val="left"/>
      <w:pPr>
        <w:ind w:left="4858" w:hanging="206"/>
      </w:pPr>
      <w:rPr>
        <w:rFonts w:hint="default"/>
        <w:lang w:val="ru-RU" w:eastAsia="en-US" w:bidi="ar-SA"/>
      </w:rPr>
    </w:lvl>
    <w:lvl w:ilvl="4">
      <w:start w:val="0"/>
      <w:numFmt w:val="bullet"/>
      <w:lvlText w:val="•"/>
      <w:lvlJc w:val="left"/>
      <w:pPr>
        <w:ind w:left="5864" w:hanging="206"/>
      </w:pPr>
      <w:rPr>
        <w:rFonts w:hint="default"/>
        <w:lang w:val="ru-RU" w:eastAsia="en-US" w:bidi="ar-SA"/>
      </w:rPr>
    </w:lvl>
    <w:lvl w:ilvl="5">
      <w:start w:val="0"/>
      <w:numFmt w:val="bullet"/>
      <w:lvlText w:val="•"/>
      <w:lvlJc w:val="left"/>
      <w:pPr>
        <w:ind w:left="6870" w:hanging="206"/>
      </w:pPr>
      <w:rPr>
        <w:rFonts w:hint="default"/>
        <w:lang w:val="ru-RU" w:eastAsia="en-US" w:bidi="ar-SA"/>
      </w:rPr>
    </w:lvl>
    <w:lvl w:ilvl="6">
      <w:start w:val="0"/>
      <w:numFmt w:val="bullet"/>
      <w:lvlText w:val="•"/>
      <w:lvlJc w:val="left"/>
      <w:pPr>
        <w:ind w:left="7876" w:hanging="206"/>
      </w:pPr>
      <w:rPr>
        <w:rFonts w:hint="default"/>
        <w:lang w:val="ru-RU" w:eastAsia="en-US" w:bidi="ar-SA"/>
      </w:rPr>
    </w:lvl>
    <w:lvl w:ilvl="7">
      <w:start w:val="0"/>
      <w:numFmt w:val="bullet"/>
      <w:lvlText w:val="•"/>
      <w:lvlJc w:val="left"/>
      <w:pPr>
        <w:ind w:left="8882" w:hanging="206"/>
      </w:pPr>
      <w:rPr>
        <w:rFonts w:hint="default"/>
        <w:lang w:val="ru-RU" w:eastAsia="en-US" w:bidi="ar-SA"/>
      </w:rPr>
    </w:lvl>
    <w:lvl w:ilvl="8">
      <w:start w:val="0"/>
      <w:numFmt w:val="bullet"/>
      <w:lvlText w:val="•"/>
      <w:lvlJc w:val="left"/>
      <w:pPr>
        <w:ind w:left="9888" w:hanging="206"/>
      </w:pPr>
      <w:rPr>
        <w:rFonts w:hint="default"/>
        <w:lang w:val="ru-RU" w:eastAsia="en-US" w:bidi="ar-SA"/>
      </w:rPr>
    </w:lvl>
  </w:abstractNum>
  <w:abstractNum w:abstractNumId="17">
    <w:multiLevelType w:val="hybridMultilevel"/>
    <w:lvl w:ilvl="0">
      <w:start w:val="0"/>
      <w:numFmt w:val="bullet"/>
      <w:lvlText w:val="•"/>
      <w:lvlJc w:val="left"/>
      <w:pPr>
        <w:ind w:left="2124" w:hanging="120"/>
      </w:pPr>
      <w:rPr>
        <w:rFonts w:hint="default" w:ascii="Times New Roman" w:hAnsi="Times New Roman" w:eastAsia="Times New Roman" w:cs="Times New Roman"/>
        <w:spacing w:val="0"/>
        <w:w w:val="99"/>
        <w:lang w:val="ru-RU" w:eastAsia="en-US" w:bidi="ar-SA"/>
      </w:rPr>
    </w:lvl>
    <w:lvl w:ilvl="1">
      <w:start w:val="0"/>
      <w:numFmt w:val="bullet"/>
      <w:lvlText w:val="•"/>
      <w:lvlJc w:val="left"/>
      <w:pPr>
        <w:ind w:left="3098" w:hanging="120"/>
      </w:pPr>
      <w:rPr>
        <w:rFonts w:hint="default"/>
        <w:lang w:val="ru-RU" w:eastAsia="en-US" w:bidi="ar-SA"/>
      </w:rPr>
    </w:lvl>
    <w:lvl w:ilvl="2">
      <w:start w:val="0"/>
      <w:numFmt w:val="bullet"/>
      <w:lvlText w:val="•"/>
      <w:lvlJc w:val="left"/>
      <w:pPr>
        <w:ind w:left="4076" w:hanging="120"/>
      </w:pPr>
      <w:rPr>
        <w:rFonts w:hint="default"/>
        <w:lang w:val="ru-RU" w:eastAsia="en-US" w:bidi="ar-SA"/>
      </w:rPr>
    </w:lvl>
    <w:lvl w:ilvl="3">
      <w:start w:val="0"/>
      <w:numFmt w:val="bullet"/>
      <w:lvlText w:val="•"/>
      <w:lvlJc w:val="left"/>
      <w:pPr>
        <w:ind w:left="5054" w:hanging="120"/>
      </w:pPr>
      <w:rPr>
        <w:rFonts w:hint="default"/>
        <w:lang w:val="ru-RU" w:eastAsia="en-US" w:bidi="ar-SA"/>
      </w:rPr>
    </w:lvl>
    <w:lvl w:ilvl="4">
      <w:start w:val="0"/>
      <w:numFmt w:val="bullet"/>
      <w:lvlText w:val="•"/>
      <w:lvlJc w:val="left"/>
      <w:pPr>
        <w:ind w:left="6032" w:hanging="120"/>
      </w:pPr>
      <w:rPr>
        <w:rFonts w:hint="default"/>
        <w:lang w:val="ru-RU" w:eastAsia="en-US" w:bidi="ar-SA"/>
      </w:rPr>
    </w:lvl>
    <w:lvl w:ilvl="5">
      <w:start w:val="0"/>
      <w:numFmt w:val="bullet"/>
      <w:lvlText w:val="•"/>
      <w:lvlJc w:val="left"/>
      <w:pPr>
        <w:ind w:left="7010" w:hanging="120"/>
      </w:pPr>
      <w:rPr>
        <w:rFonts w:hint="default"/>
        <w:lang w:val="ru-RU" w:eastAsia="en-US" w:bidi="ar-SA"/>
      </w:rPr>
    </w:lvl>
    <w:lvl w:ilvl="6">
      <w:start w:val="0"/>
      <w:numFmt w:val="bullet"/>
      <w:lvlText w:val="•"/>
      <w:lvlJc w:val="left"/>
      <w:pPr>
        <w:ind w:left="7988" w:hanging="120"/>
      </w:pPr>
      <w:rPr>
        <w:rFonts w:hint="default"/>
        <w:lang w:val="ru-RU" w:eastAsia="en-US" w:bidi="ar-SA"/>
      </w:rPr>
    </w:lvl>
    <w:lvl w:ilvl="7">
      <w:start w:val="0"/>
      <w:numFmt w:val="bullet"/>
      <w:lvlText w:val="•"/>
      <w:lvlJc w:val="left"/>
      <w:pPr>
        <w:ind w:left="8966" w:hanging="120"/>
      </w:pPr>
      <w:rPr>
        <w:rFonts w:hint="default"/>
        <w:lang w:val="ru-RU" w:eastAsia="en-US" w:bidi="ar-SA"/>
      </w:rPr>
    </w:lvl>
    <w:lvl w:ilvl="8">
      <w:start w:val="0"/>
      <w:numFmt w:val="bullet"/>
      <w:lvlText w:val="•"/>
      <w:lvlJc w:val="left"/>
      <w:pPr>
        <w:ind w:left="9944" w:hanging="120"/>
      </w:pPr>
      <w:rPr>
        <w:rFonts w:hint="default"/>
        <w:lang w:val="ru-RU" w:eastAsia="en-US" w:bidi="ar-SA"/>
      </w:rPr>
    </w:lvl>
  </w:abstractNum>
  <w:abstractNum w:abstractNumId="16">
    <w:multiLevelType w:val="hybridMultilevel"/>
    <w:lvl w:ilvl="0">
      <w:start w:val="0"/>
      <w:numFmt w:val="bullet"/>
      <w:lvlText w:val="•"/>
      <w:lvlJc w:val="left"/>
      <w:pPr>
        <w:ind w:left="3268"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4124" w:hanging="360"/>
      </w:pPr>
      <w:rPr>
        <w:rFonts w:hint="default"/>
        <w:lang w:val="ru-RU" w:eastAsia="en-US" w:bidi="ar-SA"/>
      </w:rPr>
    </w:lvl>
    <w:lvl w:ilvl="2">
      <w:start w:val="0"/>
      <w:numFmt w:val="bullet"/>
      <w:lvlText w:val="•"/>
      <w:lvlJc w:val="left"/>
      <w:pPr>
        <w:ind w:left="4988" w:hanging="360"/>
      </w:pPr>
      <w:rPr>
        <w:rFonts w:hint="default"/>
        <w:lang w:val="ru-RU" w:eastAsia="en-US" w:bidi="ar-SA"/>
      </w:rPr>
    </w:lvl>
    <w:lvl w:ilvl="3">
      <w:start w:val="0"/>
      <w:numFmt w:val="bullet"/>
      <w:lvlText w:val="•"/>
      <w:lvlJc w:val="left"/>
      <w:pPr>
        <w:ind w:left="5852" w:hanging="360"/>
      </w:pPr>
      <w:rPr>
        <w:rFonts w:hint="default"/>
        <w:lang w:val="ru-RU" w:eastAsia="en-US" w:bidi="ar-SA"/>
      </w:rPr>
    </w:lvl>
    <w:lvl w:ilvl="4">
      <w:start w:val="0"/>
      <w:numFmt w:val="bullet"/>
      <w:lvlText w:val="•"/>
      <w:lvlJc w:val="left"/>
      <w:pPr>
        <w:ind w:left="6716" w:hanging="360"/>
      </w:pPr>
      <w:rPr>
        <w:rFonts w:hint="default"/>
        <w:lang w:val="ru-RU" w:eastAsia="en-US" w:bidi="ar-SA"/>
      </w:rPr>
    </w:lvl>
    <w:lvl w:ilvl="5">
      <w:start w:val="0"/>
      <w:numFmt w:val="bullet"/>
      <w:lvlText w:val="•"/>
      <w:lvlJc w:val="left"/>
      <w:pPr>
        <w:ind w:left="7580" w:hanging="360"/>
      </w:pPr>
      <w:rPr>
        <w:rFonts w:hint="default"/>
        <w:lang w:val="ru-RU" w:eastAsia="en-US" w:bidi="ar-SA"/>
      </w:rPr>
    </w:lvl>
    <w:lvl w:ilvl="6">
      <w:start w:val="0"/>
      <w:numFmt w:val="bullet"/>
      <w:lvlText w:val="•"/>
      <w:lvlJc w:val="left"/>
      <w:pPr>
        <w:ind w:left="8444" w:hanging="360"/>
      </w:pPr>
      <w:rPr>
        <w:rFonts w:hint="default"/>
        <w:lang w:val="ru-RU" w:eastAsia="en-US" w:bidi="ar-SA"/>
      </w:rPr>
    </w:lvl>
    <w:lvl w:ilvl="7">
      <w:start w:val="0"/>
      <w:numFmt w:val="bullet"/>
      <w:lvlText w:val="•"/>
      <w:lvlJc w:val="left"/>
      <w:pPr>
        <w:ind w:left="9308" w:hanging="360"/>
      </w:pPr>
      <w:rPr>
        <w:rFonts w:hint="default"/>
        <w:lang w:val="ru-RU" w:eastAsia="en-US" w:bidi="ar-SA"/>
      </w:rPr>
    </w:lvl>
    <w:lvl w:ilvl="8">
      <w:start w:val="0"/>
      <w:numFmt w:val="bullet"/>
      <w:lvlText w:val="•"/>
      <w:lvlJc w:val="left"/>
      <w:pPr>
        <w:ind w:left="10172" w:hanging="360"/>
      </w:pPr>
      <w:rPr>
        <w:rFonts w:hint="default"/>
        <w:lang w:val="ru-RU" w:eastAsia="en-US" w:bidi="ar-SA"/>
      </w:rPr>
    </w:lvl>
  </w:abstractNum>
  <w:abstractNum w:abstractNumId="15">
    <w:multiLevelType w:val="hybridMultilevel"/>
    <w:lvl w:ilvl="0">
      <w:start w:val="0"/>
      <w:numFmt w:val="bullet"/>
      <w:lvlText w:val="-"/>
      <w:lvlJc w:val="left"/>
      <w:pPr>
        <w:ind w:left="2124" w:hanging="360"/>
      </w:pPr>
      <w:rPr>
        <w:rFonts w:hint="default" w:ascii="Times New Roman" w:hAnsi="Times New Roman" w:eastAsia="Times New Roman" w:cs="Times New Roman"/>
        <w:spacing w:val="0"/>
        <w:w w:val="100"/>
        <w:lang w:val="ru-RU" w:eastAsia="en-US" w:bidi="ar-SA"/>
      </w:rPr>
    </w:lvl>
    <w:lvl w:ilvl="1">
      <w:start w:val="0"/>
      <w:numFmt w:val="bullet"/>
      <w:lvlText w:val="•"/>
      <w:lvlJc w:val="left"/>
      <w:pPr>
        <w:ind w:left="3098" w:hanging="360"/>
      </w:pPr>
      <w:rPr>
        <w:rFonts w:hint="default"/>
        <w:lang w:val="ru-RU" w:eastAsia="en-US" w:bidi="ar-SA"/>
      </w:rPr>
    </w:lvl>
    <w:lvl w:ilvl="2">
      <w:start w:val="0"/>
      <w:numFmt w:val="bullet"/>
      <w:lvlText w:val="•"/>
      <w:lvlJc w:val="left"/>
      <w:pPr>
        <w:ind w:left="4076" w:hanging="360"/>
      </w:pPr>
      <w:rPr>
        <w:rFonts w:hint="default"/>
        <w:lang w:val="ru-RU" w:eastAsia="en-US" w:bidi="ar-SA"/>
      </w:rPr>
    </w:lvl>
    <w:lvl w:ilvl="3">
      <w:start w:val="0"/>
      <w:numFmt w:val="bullet"/>
      <w:lvlText w:val="•"/>
      <w:lvlJc w:val="left"/>
      <w:pPr>
        <w:ind w:left="5054" w:hanging="360"/>
      </w:pPr>
      <w:rPr>
        <w:rFonts w:hint="default"/>
        <w:lang w:val="ru-RU" w:eastAsia="en-US" w:bidi="ar-SA"/>
      </w:rPr>
    </w:lvl>
    <w:lvl w:ilvl="4">
      <w:start w:val="0"/>
      <w:numFmt w:val="bullet"/>
      <w:lvlText w:val="•"/>
      <w:lvlJc w:val="left"/>
      <w:pPr>
        <w:ind w:left="6032" w:hanging="360"/>
      </w:pPr>
      <w:rPr>
        <w:rFonts w:hint="default"/>
        <w:lang w:val="ru-RU" w:eastAsia="en-US" w:bidi="ar-SA"/>
      </w:rPr>
    </w:lvl>
    <w:lvl w:ilvl="5">
      <w:start w:val="0"/>
      <w:numFmt w:val="bullet"/>
      <w:lvlText w:val="•"/>
      <w:lvlJc w:val="left"/>
      <w:pPr>
        <w:ind w:left="7010" w:hanging="360"/>
      </w:pPr>
      <w:rPr>
        <w:rFonts w:hint="default"/>
        <w:lang w:val="ru-RU" w:eastAsia="en-US" w:bidi="ar-SA"/>
      </w:rPr>
    </w:lvl>
    <w:lvl w:ilvl="6">
      <w:start w:val="0"/>
      <w:numFmt w:val="bullet"/>
      <w:lvlText w:val="•"/>
      <w:lvlJc w:val="left"/>
      <w:pPr>
        <w:ind w:left="7988" w:hanging="360"/>
      </w:pPr>
      <w:rPr>
        <w:rFonts w:hint="default"/>
        <w:lang w:val="ru-RU" w:eastAsia="en-US" w:bidi="ar-SA"/>
      </w:rPr>
    </w:lvl>
    <w:lvl w:ilvl="7">
      <w:start w:val="0"/>
      <w:numFmt w:val="bullet"/>
      <w:lvlText w:val="•"/>
      <w:lvlJc w:val="left"/>
      <w:pPr>
        <w:ind w:left="8966" w:hanging="360"/>
      </w:pPr>
      <w:rPr>
        <w:rFonts w:hint="default"/>
        <w:lang w:val="ru-RU" w:eastAsia="en-US" w:bidi="ar-SA"/>
      </w:rPr>
    </w:lvl>
    <w:lvl w:ilvl="8">
      <w:start w:val="0"/>
      <w:numFmt w:val="bullet"/>
      <w:lvlText w:val="•"/>
      <w:lvlJc w:val="left"/>
      <w:pPr>
        <w:ind w:left="9944" w:hanging="360"/>
      </w:pPr>
      <w:rPr>
        <w:rFonts w:hint="default"/>
        <w:lang w:val="ru-RU" w:eastAsia="en-US" w:bidi="ar-SA"/>
      </w:rPr>
    </w:lvl>
  </w:abstractNum>
  <w:abstractNum w:abstractNumId="14">
    <w:multiLevelType w:val="hybridMultilevel"/>
    <w:lvl w:ilvl="0">
      <w:start w:val="0"/>
      <w:numFmt w:val="bullet"/>
      <w:lvlText w:val=""/>
      <w:lvlJc w:val="left"/>
      <w:pPr>
        <w:ind w:left="2561" w:hanging="355"/>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94" w:hanging="355"/>
      </w:pPr>
      <w:rPr>
        <w:rFonts w:hint="default"/>
        <w:lang w:val="ru-RU" w:eastAsia="en-US" w:bidi="ar-SA"/>
      </w:rPr>
    </w:lvl>
    <w:lvl w:ilvl="2">
      <w:start w:val="0"/>
      <w:numFmt w:val="bullet"/>
      <w:lvlText w:val="•"/>
      <w:lvlJc w:val="left"/>
      <w:pPr>
        <w:ind w:left="4428" w:hanging="355"/>
      </w:pPr>
      <w:rPr>
        <w:rFonts w:hint="default"/>
        <w:lang w:val="ru-RU" w:eastAsia="en-US" w:bidi="ar-SA"/>
      </w:rPr>
    </w:lvl>
    <w:lvl w:ilvl="3">
      <w:start w:val="0"/>
      <w:numFmt w:val="bullet"/>
      <w:lvlText w:val="•"/>
      <w:lvlJc w:val="left"/>
      <w:pPr>
        <w:ind w:left="5362" w:hanging="355"/>
      </w:pPr>
      <w:rPr>
        <w:rFonts w:hint="default"/>
        <w:lang w:val="ru-RU" w:eastAsia="en-US" w:bidi="ar-SA"/>
      </w:rPr>
    </w:lvl>
    <w:lvl w:ilvl="4">
      <w:start w:val="0"/>
      <w:numFmt w:val="bullet"/>
      <w:lvlText w:val="•"/>
      <w:lvlJc w:val="left"/>
      <w:pPr>
        <w:ind w:left="6296" w:hanging="355"/>
      </w:pPr>
      <w:rPr>
        <w:rFonts w:hint="default"/>
        <w:lang w:val="ru-RU" w:eastAsia="en-US" w:bidi="ar-SA"/>
      </w:rPr>
    </w:lvl>
    <w:lvl w:ilvl="5">
      <w:start w:val="0"/>
      <w:numFmt w:val="bullet"/>
      <w:lvlText w:val="•"/>
      <w:lvlJc w:val="left"/>
      <w:pPr>
        <w:ind w:left="7230" w:hanging="355"/>
      </w:pPr>
      <w:rPr>
        <w:rFonts w:hint="default"/>
        <w:lang w:val="ru-RU" w:eastAsia="en-US" w:bidi="ar-SA"/>
      </w:rPr>
    </w:lvl>
    <w:lvl w:ilvl="6">
      <w:start w:val="0"/>
      <w:numFmt w:val="bullet"/>
      <w:lvlText w:val="•"/>
      <w:lvlJc w:val="left"/>
      <w:pPr>
        <w:ind w:left="8164" w:hanging="355"/>
      </w:pPr>
      <w:rPr>
        <w:rFonts w:hint="default"/>
        <w:lang w:val="ru-RU" w:eastAsia="en-US" w:bidi="ar-SA"/>
      </w:rPr>
    </w:lvl>
    <w:lvl w:ilvl="7">
      <w:start w:val="0"/>
      <w:numFmt w:val="bullet"/>
      <w:lvlText w:val="•"/>
      <w:lvlJc w:val="left"/>
      <w:pPr>
        <w:ind w:left="9098" w:hanging="355"/>
      </w:pPr>
      <w:rPr>
        <w:rFonts w:hint="default"/>
        <w:lang w:val="ru-RU" w:eastAsia="en-US" w:bidi="ar-SA"/>
      </w:rPr>
    </w:lvl>
    <w:lvl w:ilvl="8">
      <w:start w:val="0"/>
      <w:numFmt w:val="bullet"/>
      <w:lvlText w:val="•"/>
      <w:lvlJc w:val="left"/>
      <w:pPr>
        <w:ind w:left="10032" w:hanging="355"/>
      </w:pPr>
      <w:rPr>
        <w:rFonts w:hint="default"/>
        <w:lang w:val="ru-RU" w:eastAsia="en-US" w:bidi="ar-SA"/>
      </w:rPr>
    </w:lvl>
  </w:abstractNum>
  <w:abstractNum w:abstractNumId="13">
    <w:multiLevelType w:val="hybridMultilevel"/>
    <w:lvl w:ilvl="0">
      <w:start w:val="1"/>
      <w:numFmt w:val="decimal"/>
      <w:lvlText w:val="%1."/>
      <w:lvlJc w:val="left"/>
      <w:pPr>
        <w:ind w:left="1841" w:hanging="492"/>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1841" w:hanging="708"/>
      </w:pPr>
      <w:rPr>
        <w:rFonts w:hint="default" w:ascii="Symbol" w:hAnsi="Symbol" w:eastAsia="Symbol" w:cs="Symbol"/>
        <w:b w:val="0"/>
        <w:bCs w:val="0"/>
        <w:i w:val="0"/>
        <w:iCs w:val="0"/>
        <w:spacing w:val="0"/>
        <w:w w:val="99"/>
        <w:sz w:val="24"/>
        <w:szCs w:val="24"/>
        <w:lang w:val="ru-RU" w:eastAsia="en-US" w:bidi="ar-SA"/>
      </w:rPr>
    </w:lvl>
    <w:lvl w:ilvl="2">
      <w:start w:val="0"/>
      <w:numFmt w:val="bullet"/>
      <w:lvlText w:val="•"/>
      <w:lvlJc w:val="left"/>
      <w:pPr>
        <w:ind w:left="3852" w:hanging="708"/>
      </w:pPr>
      <w:rPr>
        <w:rFonts w:hint="default"/>
        <w:lang w:val="ru-RU" w:eastAsia="en-US" w:bidi="ar-SA"/>
      </w:rPr>
    </w:lvl>
    <w:lvl w:ilvl="3">
      <w:start w:val="0"/>
      <w:numFmt w:val="bullet"/>
      <w:lvlText w:val="•"/>
      <w:lvlJc w:val="left"/>
      <w:pPr>
        <w:ind w:left="4858" w:hanging="708"/>
      </w:pPr>
      <w:rPr>
        <w:rFonts w:hint="default"/>
        <w:lang w:val="ru-RU" w:eastAsia="en-US" w:bidi="ar-SA"/>
      </w:rPr>
    </w:lvl>
    <w:lvl w:ilvl="4">
      <w:start w:val="0"/>
      <w:numFmt w:val="bullet"/>
      <w:lvlText w:val="•"/>
      <w:lvlJc w:val="left"/>
      <w:pPr>
        <w:ind w:left="5864" w:hanging="708"/>
      </w:pPr>
      <w:rPr>
        <w:rFonts w:hint="default"/>
        <w:lang w:val="ru-RU" w:eastAsia="en-US" w:bidi="ar-SA"/>
      </w:rPr>
    </w:lvl>
    <w:lvl w:ilvl="5">
      <w:start w:val="0"/>
      <w:numFmt w:val="bullet"/>
      <w:lvlText w:val="•"/>
      <w:lvlJc w:val="left"/>
      <w:pPr>
        <w:ind w:left="6870" w:hanging="708"/>
      </w:pPr>
      <w:rPr>
        <w:rFonts w:hint="default"/>
        <w:lang w:val="ru-RU" w:eastAsia="en-US" w:bidi="ar-SA"/>
      </w:rPr>
    </w:lvl>
    <w:lvl w:ilvl="6">
      <w:start w:val="0"/>
      <w:numFmt w:val="bullet"/>
      <w:lvlText w:val="•"/>
      <w:lvlJc w:val="left"/>
      <w:pPr>
        <w:ind w:left="7876" w:hanging="708"/>
      </w:pPr>
      <w:rPr>
        <w:rFonts w:hint="default"/>
        <w:lang w:val="ru-RU" w:eastAsia="en-US" w:bidi="ar-SA"/>
      </w:rPr>
    </w:lvl>
    <w:lvl w:ilvl="7">
      <w:start w:val="0"/>
      <w:numFmt w:val="bullet"/>
      <w:lvlText w:val="•"/>
      <w:lvlJc w:val="left"/>
      <w:pPr>
        <w:ind w:left="8882" w:hanging="708"/>
      </w:pPr>
      <w:rPr>
        <w:rFonts w:hint="default"/>
        <w:lang w:val="ru-RU" w:eastAsia="en-US" w:bidi="ar-SA"/>
      </w:rPr>
    </w:lvl>
    <w:lvl w:ilvl="8">
      <w:start w:val="0"/>
      <w:numFmt w:val="bullet"/>
      <w:lvlText w:val="•"/>
      <w:lvlJc w:val="left"/>
      <w:pPr>
        <w:ind w:left="9888" w:hanging="708"/>
      </w:pPr>
      <w:rPr>
        <w:rFonts w:hint="default"/>
        <w:lang w:val="ru-RU" w:eastAsia="en-US" w:bidi="ar-SA"/>
      </w:rPr>
    </w:lvl>
  </w:abstractNum>
  <w:abstractNum w:abstractNumId="12">
    <w:multiLevelType w:val="hybridMultilevel"/>
    <w:lvl w:ilvl="0">
      <w:start w:val="1"/>
      <w:numFmt w:val="decimal"/>
      <w:lvlText w:val="%1."/>
      <w:lvlJc w:val="left"/>
      <w:pPr>
        <w:ind w:left="1841" w:hanging="425"/>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1841" w:hanging="140"/>
      </w:pPr>
      <w:rPr>
        <w:rFonts w:hint="default" w:ascii="Times New Roman" w:hAnsi="Times New Roman" w:eastAsia="Times New Roman" w:cs="Times New Roman"/>
        <w:b w:val="0"/>
        <w:bCs w:val="0"/>
        <w:i w:val="0"/>
        <w:iCs w:val="0"/>
        <w:spacing w:val="0"/>
        <w:w w:val="99"/>
        <w:sz w:val="24"/>
        <w:szCs w:val="24"/>
        <w:lang w:val="ru-RU" w:eastAsia="en-US" w:bidi="ar-SA"/>
      </w:rPr>
    </w:lvl>
    <w:lvl w:ilvl="2">
      <w:start w:val="0"/>
      <w:numFmt w:val="bullet"/>
      <w:lvlText w:val="•"/>
      <w:lvlJc w:val="left"/>
      <w:pPr>
        <w:ind w:left="3852" w:hanging="140"/>
      </w:pPr>
      <w:rPr>
        <w:rFonts w:hint="default"/>
        <w:lang w:val="ru-RU" w:eastAsia="en-US" w:bidi="ar-SA"/>
      </w:rPr>
    </w:lvl>
    <w:lvl w:ilvl="3">
      <w:start w:val="0"/>
      <w:numFmt w:val="bullet"/>
      <w:lvlText w:val="•"/>
      <w:lvlJc w:val="left"/>
      <w:pPr>
        <w:ind w:left="4858" w:hanging="140"/>
      </w:pPr>
      <w:rPr>
        <w:rFonts w:hint="default"/>
        <w:lang w:val="ru-RU" w:eastAsia="en-US" w:bidi="ar-SA"/>
      </w:rPr>
    </w:lvl>
    <w:lvl w:ilvl="4">
      <w:start w:val="0"/>
      <w:numFmt w:val="bullet"/>
      <w:lvlText w:val="•"/>
      <w:lvlJc w:val="left"/>
      <w:pPr>
        <w:ind w:left="5864" w:hanging="140"/>
      </w:pPr>
      <w:rPr>
        <w:rFonts w:hint="default"/>
        <w:lang w:val="ru-RU" w:eastAsia="en-US" w:bidi="ar-SA"/>
      </w:rPr>
    </w:lvl>
    <w:lvl w:ilvl="5">
      <w:start w:val="0"/>
      <w:numFmt w:val="bullet"/>
      <w:lvlText w:val="•"/>
      <w:lvlJc w:val="left"/>
      <w:pPr>
        <w:ind w:left="6870" w:hanging="140"/>
      </w:pPr>
      <w:rPr>
        <w:rFonts w:hint="default"/>
        <w:lang w:val="ru-RU" w:eastAsia="en-US" w:bidi="ar-SA"/>
      </w:rPr>
    </w:lvl>
    <w:lvl w:ilvl="6">
      <w:start w:val="0"/>
      <w:numFmt w:val="bullet"/>
      <w:lvlText w:val="•"/>
      <w:lvlJc w:val="left"/>
      <w:pPr>
        <w:ind w:left="7876" w:hanging="140"/>
      </w:pPr>
      <w:rPr>
        <w:rFonts w:hint="default"/>
        <w:lang w:val="ru-RU" w:eastAsia="en-US" w:bidi="ar-SA"/>
      </w:rPr>
    </w:lvl>
    <w:lvl w:ilvl="7">
      <w:start w:val="0"/>
      <w:numFmt w:val="bullet"/>
      <w:lvlText w:val="•"/>
      <w:lvlJc w:val="left"/>
      <w:pPr>
        <w:ind w:left="8882" w:hanging="140"/>
      </w:pPr>
      <w:rPr>
        <w:rFonts w:hint="default"/>
        <w:lang w:val="ru-RU" w:eastAsia="en-US" w:bidi="ar-SA"/>
      </w:rPr>
    </w:lvl>
    <w:lvl w:ilvl="8">
      <w:start w:val="0"/>
      <w:numFmt w:val="bullet"/>
      <w:lvlText w:val="•"/>
      <w:lvlJc w:val="left"/>
      <w:pPr>
        <w:ind w:left="9888" w:hanging="140"/>
      </w:pPr>
      <w:rPr>
        <w:rFonts w:hint="default"/>
        <w:lang w:val="ru-RU" w:eastAsia="en-US" w:bidi="ar-SA"/>
      </w:rPr>
    </w:lvl>
  </w:abstractNum>
  <w:abstractNum w:abstractNumId="11">
    <w:multiLevelType w:val="hybridMultilevel"/>
    <w:lvl w:ilvl="0">
      <w:start w:val="0"/>
      <w:numFmt w:val="bullet"/>
      <w:lvlText w:val="-"/>
      <w:lvlJc w:val="left"/>
      <w:pPr>
        <w:ind w:left="2124" w:hanging="360"/>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1"/>
      <w:numFmt w:val="decimal"/>
      <w:lvlText w:val="%2."/>
      <w:lvlJc w:val="left"/>
      <w:pPr>
        <w:ind w:left="1841" w:hanging="327"/>
        <w:jc w:val="left"/>
      </w:pPr>
      <w:rPr>
        <w:rFonts w:hint="default" w:ascii="Times New Roman" w:hAnsi="Times New Roman" w:eastAsia="Times New Roman" w:cs="Times New Roman"/>
        <w:b w:val="0"/>
        <w:bCs w:val="0"/>
        <w:i/>
        <w:iCs/>
        <w:spacing w:val="0"/>
        <w:w w:val="99"/>
        <w:sz w:val="24"/>
        <w:szCs w:val="24"/>
        <w:lang w:val="ru-RU" w:eastAsia="en-US" w:bidi="ar-SA"/>
      </w:rPr>
    </w:lvl>
    <w:lvl w:ilvl="2">
      <w:start w:val="0"/>
      <w:numFmt w:val="bullet"/>
      <w:lvlText w:val="•"/>
      <w:lvlJc w:val="left"/>
      <w:pPr>
        <w:ind w:left="3206" w:hanging="327"/>
      </w:pPr>
      <w:rPr>
        <w:rFonts w:hint="default"/>
        <w:lang w:val="ru-RU" w:eastAsia="en-US" w:bidi="ar-SA"/>
      </w:rPr>
    </w:lvl>
    <w:lvl w:ilvl="3">
      <w:start w:val="0"/>
      <w:numFmt w:val="bullet"/>
      <w:lvlText w:val="•"/>
      <w:lvlJc w:val="left"/>
      <w:pPr>
        <w:ind w:left="4293" w:hanging="327"/>
      </w:pPr>
      <w:rPr>
        <w:rFonts w:hint="default"/>
        <w:lang w:val="ru-RU" w:eastAsia="en-US" w:bidi="ar-SA"/>
      </w:rPr>
    </w:lvl>
    <w:lvl w:ilvl="4">
      <w:start w:val="0"/>
      <w:numFmt w:val="bullet"/>
      <w:lvlText w:val="•"/>
      <w:lvlJc w:val="left"/>
      <w:pPr>
        <w:ind w:left="5380" w:hanging="327"/>
      </w:pPr>
      <w:rPr>
        <w:rFonts w:hint="default"/>
        <w:lang w:val="ru-RU" w:eastAsia="en-US" w:bidi="ar-SA"/>
      </w:rPr>
    </w:lvl>
    <w:lvl w:ilvl="5">
      <w:start w:val="0"/>
      <w:numFmt w:val="bullet"/>
      <w:lvlText w:val="•"/>
      <w:lvlJc w:val="left"/>
      <w:pPr>
        <w:ind w:left="6466" w:hanging="327"/>
      </w:pPr>
      <w:rPr>
        <w:rFonts w:hint="default"/>
        <w:lang w:val="ru-RU" w:eastAsia="en-US" w:bidi="ar-SA"/>
      </w:rPr>
    </w:lvl>
    <w:lvl w:ilvl="6">
      <w:start w:val="0"/>
      <w:numFmt w:val="bullet"/>
      <w:lvlText w:val="•"/>
      <w:lvlJc w:val="left"/>
      <w:pPr>
        <w:ind w:left="7553" w:hanging="327"/>
      </w:pPr>
      <w:rPr>
        <w:rFonts w:hint="default"/>
        <w:lang w:val="ru-RU" w:eastAsia="en-US" w:bidi="ar-SA"/>
      </w:rPr>
    </w:lvl>
    <w:lvl w:ilvl="7">
      <w:start w:val="0"/>
      <w:numFmt w:val="bullet"/>
      <w:lvlText w:val="•"/>
      <w:lvlJc w:val="left"/>
      <w:pPr>
        <w:ind w:left="8640" w:hanging="327"/>
      </w:pPr>
      <w:rPr>
        <w:rFonts w:hint="default"/>
        <w:lang w:val="ru-RU" w:eastAsia="en-US" w:bidi="ar-SA"/>
      </w:rPr>
    </w:lvl>
    <w:lvl w:ilvl="8">
      <w:start w:val="0"/>
      <w:numFmt w:val="bullet"/>
      <w:lvlText w:val="•"/>
      <w:lvlJc w:val="left"/>
      <w:pPr>
        <w:ind w:left="9726" w:hanging="327"/>
      </w:pPr>
      <w:rPr>
        <w:rFonts w:hint="default"/>
        <w:lang w:val="ru-RU" w:eastAsia="en-US" w:bidi="ar-SA"/>
      </w:rPr>
    </w:lvl>
  </w:abstractNum>
  <w:abstractNum w:abstractNumId="10">
    <w:multiLevelType w:val="hybridMultilevel"/>
    <w:lvl w:ilvl="0">
      <w:start w:val="1"/>
      <w:numFmt w:val="decimal"/>
      <w:lvlText w:val="%1."/>
      <w:lvlJc w:val="left"/>
      <w:pPr>
        <w:ind w:left="273" w:hanging="221"/>
        <w:jc w:val="left"/>
      </w:pPr>
      <w:rPr>
        <w:rFonts w:hint="default" w:ascii="Times New Roman" w:hAnsi="Times New Roman" w:eastAsia="Times New Roman" w:cs="Times New Roman"/>
        <w:b w:val="0"/>
        <w:bCs w:val="0"/>
        <w:i w:val="0"/>
        <w:iCs w:val="0"/>
        <w:spacing w:val="0"/>
        <w:w w:val="100"/>
        <w:sz w:val="22"/>
        <w:szCs w:val="22"/>
        <w:lang w:val="ru-RU" w:eastAsia="en-US" w:bidi="ar-SA"/>
      </w:rPr>
    </w:lvl>
    <w:lvl w:ilvl="1">
      <w:start w:val="0"/>
      <w:numFmt w:val="bullet"/>
      <w:lvlText w:val="•"/>
      <w:lvlJc w:val="left"/>
      <w:pPr>
        <w:ind w:left="888" w:hanging="221"/>
      </w:pPr>
      <w:rPr>
        <w:rFonts w:hint="default"/>
        <w:lang w:val="ru-RU" w:eastAsia="en-US" w:bidi="ar-SA"/>
      </w:rPr>
    </w:lvl>
    <w:lvl w:ilvl="2">
      <w:start w:val="0"/>
      <w:numFmt w:val="bullet"/>
      <w:lvlText w:val="•"/>
      <w:lvlJc w:val="left"/>
      <w:pPr>
        <w:ind w:left="1497" w:hanging="221"/>
      </w:pPr>
      <w:rPr>
        <w:rFonts w:hint="default"/>
        <w:lang w:val="ru-RU" w:eastAsia="en-US" w:bidi="ar-SA"/>
      </w:rPr>
    </w:lvl>
    <w:lvl w:ilvl="3">
      <w:start w:val="0"/>
      <w:numFmt w:val="bullet"/>
      <w:lvlText w:val="•"/>
      <w:lvlJc w:val="left"/>
      <w:pPr>
        <w:ind w:left="2105" w:hanging="221"/>
      </w:pPr>
      <w:rPr>
        <w:rFonts w:hint="default"/>
        <w:lang w:val="ru-RU" w:eastAsia="en-US" w:bidi="ar-SA"/>
      </w:rPr>
    </w:lvl>
    <w:lvl w:ilvl="4">
      <w:start w:val="0"/>
      <w:numFmt w:val="bullet"/>
      <w:lvlText w:val="•"/>
      <w:lvlJc w:val="left"/>
      <w:pPr>
        <w:ind w:left="2714" w:hanging="221"/>
      </w:pPr>
      <w:rPr>
        <w:rFonts w:hint="default"/>
        <w:lang w:val="ru-RU" w:eastAsia="en-US" w:bidi="ar-SA"/>
      </w:rPr>
    </w:lvl>
    <w:lvl w:ilvl="5">
      <w:start w:val="0"/>
      <w:numFmt w:val="bullet"/>
      <w:lvlText w:val="•"/>
      <w:lvlJc w:val="left"/>
      <w:pPr>
        <w:ind w:left="3323" w:hanging="221"/>
      </w:pPr>
      <w:rPr>
        <w:rFonts w:hint="default"/>
        <w:lang w:val="ru-RU" w:eastAsia="en-US" w:bidi="ar-SA"/>
      </w:rPr>
    </w:lvl>
    <w:lvl w:ilvl="6">
      <w:start w:val="0"/>
      <w:numFmt w:val="bullet"/>
      <w:lvlText w:val="•"/>
      <w:lvlJc w:val="left"/>
      <w:pPr>
        <w:ind w:left="3931" w:hanging="221"/>
      </w:pPr>
      <w:rPr>
        <w:rFonts w:hint="default"/>
        <w:lang w:val="ru-RU" w:eastAsia="en-US" w:bidi="ar-SA"/>
      </w:rPr>
    </w:lvl>
    <w:lvl w:ilvl="7">
      <w:start w:val="0"/>
      <w:numFmt w:val="bullet"/>
      <w:lvlText w:val="•"/>
      <w:lvlJc w:val="left"/>
      <w:pPr>
        <w:ind w:left="4540" w:hanging="221"/>
      </w:pPr>
      <w:rPr>
        <w:rFonts w:hint="default"/>
        <w:lang w:val="ru-RU" w:eastAsia="en-US" w:bidi="ar-SA"/>
      </w:rPr>
    </w:lvl>
    <w:lvl w:ilvl="8">
      <w:start w:val="0"/>
      <w:numFmt w:val="bullet"/>
      <w:lvlText w:val="•"/>
      <w:lvlJc w:val="left"/>
      <w:pPr>
        <w:ind w:left="5148" w:hanging="221"/>
      </w:pPr>
      <w:rPr>
        <w:rFonts w:hint="default"/>
        <w:lang w:val="ru-RU" w:eastAsia="en-US" w:bidi="ar-SA"/>
      </w:rPr>
    </w:lvl>
  </w:abstractNum>
  <w:abstractNum w:abstractNumId="9">
    <w:multiLevelType w:val="hybridMultilevel"/>
    <w:lvl w:ilvl="0">
      <w:start w:val="1"/>
      <w:numFmt w:val="decimal"/>
      <w:lvlText w:val="%1"/>
      <w:lvlJc w:val="left"/>
      <w:pPr>
        <w:ind w:left="2729" w:hanging="180"/>
        <w:jc w:val="left"/>
      </w:pPr>
      <w:rPr>
        <w:rFonts w:hint="default" w:ascii="Times New Roman" w:hAnsi="Times New Roman" w:eastAsia="Times New Roman" w:cs="Times New Roman"/>
        <w:b/>
        <w:bCs/>
        <w:i w:val="0"/>
        <w:iCs w:val="0"/>
        <w:spacing w:val="0"/>
        <w:w w:val="99"/>
        <w:sz w:val="24"/>
        <w:szCs w:val="24"/>
        <w:lang w:val="ru-RU" w:eastAsia="en-US" w:bidi="ar-SA"/>
      </w:rPr>
    </w:lvl>
    <w:lvl w:ilvl="1">
      <w:start w:val="0"/>
      <w:numFmt w:val="bullet"/>
      <w:lvlText w:val="•"/>
      <w:lvlJc w:val="left"/>
      <w:pPr>
        <w:ind w:left="3638" w:hanging="180"/>
      </w:pPr>
      <w:rPr>
        <w:rFonts w:hint="default"/>
        <w:lang w:val="ru-RU" w:eastAsia="en-US" w:bidi="ar-SA"/>
      </w:rPr>
    </w:lvl>
    <w:lvl w:ilvl="2">
      <w:start w:val="0"/>
      <w:numFmt w:val="bullet"/>
      <w:lvlText w:val="•"/>
      <w:lvlJc w:val="left"/>
      <w:pPr>
        <w:ind w:left="4556" w:hanging="180"/>
      </w:pPr>
      <w:rPr>
        <w:rFonts w:hint="default"/>
        <w:lang w:val="ru-RU" w:eastAsia="en-US" w:bidi="ar-SA"/>
      </w:rPr>
    </w:lvl>
    <w:lvl w:ilvl="3">
      <w:start w:val="0"/>
      <w:numFmt w:val="bullet"/>
      <w:lvlText w:val="•"/>
      <w:lvlJc w:val="left"/>
      <w:pPr>
        <w:ind w:left="5474" w:hanging="180"/>
      </w:pPr>
      <w:rPr>
        <w:rFonts w:hint="default"/>
        <w:lang w:val="ru-RU" w:eastAsia="en-US" w:bidi="ar-SA"/>
      </w:rPr>
    </w:lvl>
    <w:lvl w:ilvl="4">
      <w:start w:val="0"/>
      <w:numFmt w:val="bullet"/>
      <w:lvlText w:val="•"/>
      <w:lvlJc w:val="left"/>
      <w:pPr>
        <w:ind w:left="6392" w:hanging="180"/>
      </w:pPr>
      <w:rPr>
        <w:rFonts w:hint="default"/>
        <w:lang w:val="ru-RU" w:eastAsia="en-US" w:bidi="ar-SA"/>
      </w:rPr>
    </w:lvl>
    <w:lvl w:ilvl="5">
      <w:start w:val="0"/>
      <w:numFmt w:val="bullet"/>
      <w:lvlText w:val="•"/>
      <w:lvlJc w:val="left"/>
      <w:pPr>
        <w:ind w:left="7310" w:hanging="180"/>
      </w:pPr>
      <w:rPr>
        <w:rFonts w:hint="default"/>
        <w:lang w:val="ru-RU" w:eastAsia="en-US" w:bidi="ar-SA"/>
      </w:rPr>
    </w:lvl>
    <w:lvl w:ilvl="6">
      <w:start w:val="0"/>
      <w:numFmt w:val="bullet"/>
      <w:lvlText w:val="•"/>
      <w:lvlJc w:val="left"/>
      <w:pPr>
        <w:ind w:left="8228" w:hanging="180"/>
      </w:pPr>
      <w:rPr>
        <w:rFonts w:hint="default"/>
        <w:lang w:val="ru-RU" w:eastAsia="en-US" w:bidi="ar-SA"/>
      </w:rPr>
    </w:lvl>
    <w:lvl w:ilvl="7">
      <w:start w:val="0"/>
      <w:numFmt w:val="bullet"/>
      <w:lvlText w:val="•"/>
      <w:lvlJc w:val="left"/>
      <w:pPr>
        <w:ind w:left="9146" w:hanging="180"/>
      </w:pPr>
      <w:rPr>
        <w:rFonts w:hint="default"/>
        <w:lang w:val="ru-RU" w:eastAsia="en-US" w:bidi="ar-SA"/>
      </w:rPr>
    </w:lvl>
    <w:lvl w:ilvl="8">
      <w:start w:val="0"/>
      <w:numFmt w:val="bullet"/>
      <w:lvlText w:val="•"/>
      <w:lvlJc w:val="left"/>
      <w:pPr>
        <w:ind w:left="10064" w:hanging="180"/>
      </w:pPr>
      <w:rPr>
        <w:rFonts w:hint="default"/>
        <w:lang w:val="ru-RU" w:eastAsia="en-US" w:bidi="ar-SA"/>
      </w:rPr>
    </w:lvl>
  </w:abstractNum>
  <w:abstractNum w:abstractNumId="8">
    <w:multiLevelType w:val="hybridMultilevel"/>
    <w:lvl w:ilvl="0">
      <w:start w:val="0"/>
      <w:numFmt w:val="bullet"/>
      <w:lvlText w:val="-"/>
      <w:lvlJc w:val="left"/>
      <w:pPr>
        <w:ind w:left="2124" w:hanging="360"/>
      </w:pPr>
      <w:rPr>
        <w:rFonts w:hint="default" w:ascii="Times New Roman" w:hAnsi="Times New Roman" w:eastAsia="Times New Roman" w:cs="Times New Roman"/>
        <w:spacing w:val="0"/>
        <w:w w:val="100"/>
        <w:lang w:val="ru-RU" w:eastAsia="en-US" w:bidi="ar-SA"/>
      </w:rPr>
    </w:lvl>
    <w:lvl w:ilvl="1">
      <w:start w:val="0"/>
      <w:numFmt w:val="bullet"/>
      <w:lvlText w:val="•"/>
      <w:lvlJc w:val="left"/>
      <w:pPr>
        <w:ind w:left="3098" w:hanging="360"/>
      </w:pPr>
      <w:rPr>
        <w:rFonts w:hint="default"/>
        <w:lang w:val="ru-RU" w:eastAsia="en-US" w:bidi="ar-SA"/>
      </w:rPr>
    </w:lvl>
    <w:lvl w:ilvl="2">
      <w:start w:val="0"/>
      <w:numFmt w:val="bullet"/>
      <w:lvlText w:val="•"/>
      <w:lvlJc w:val="left"/>
      <w:pPr>
        <w:ind w:left="4076" w:hanging="360"/>
      </w:pPr>
      <w:rPr>
        <w:rFonts w:hint="default"/>
        <w:lang w:val="ru-RU" w:eastAsia="en-US" w:bidi="ar-SA"/>
      </w:rPr>
    </w:lvl>
    <w:lvl w:ilvl="3">
      <w:start w:val="0"/>
      <w:numFmt w:val="bullet"/>
      <w:lvlText w:val="•"/>
      <w:lvlJc w:val="left"/>
      <w:pPr>
        <w:ind w:left="5054" w:hanging="360"/>
      </w:pPr>
      <w:rPr>
        <w:rFonts w:hint="default"/>
        <w:lang w:val="ru-RU" w:eastAsia="en-US" w:bidi="ar-SA"/>
      </w:rPr>
    </w:lvl>
    <w:lvl w:ilvl="4">
      <w:start w:val="0"/>
      <w:numFmt w:val="bullet"/>
      <w:lvlText w:val="•"/>
      <w:lvlJc w:val="left"/>
      <w:pPr>
        <w:ind w:left="6032" w:hanging="360"/>
      </w:pPr>
      <w:rPr>
        <w:rFonts w:hint="default"/>
        <w:lang w:val="ru-RU" w:eastAsia="en-US" w:bidi="ar-SA"/>
      </w:rPr>
    </w:lvl>
    <w:lvl w:ilvl="5">
      <w:start w:val="0"/>
      <w:numFmt w:val="bullet"/>
      <w:lvlText w:val="•"/>
      <w:lvlJc w:val="left"/>
      <w:pPr>
        <w:ind w:left="7010" w:hanging="360"/>
      </w:pPr>
      <w:rPr>
        <w:rFonts w:hint="default"/>
        <w:lang w:val="ru-RU" w:eastAsia="en-US" w:bidi="ar-SA"/>
      </w:rPr>
    </w:lvl>
    <w:lvl w:ilvl="6">
      <w:start w:val="0"/>
      <w:numFmt w:val="bullet"/>
      <w:lvlText w:val="•"/>
      <w:lvlJc w:val="left"/>
      <w:pPr>
        <w:ind w:left="7988" w:hanging="360"/>
      </w:pPr>
      <w:rPr>
        <w:rFonts w:hint="default"/>
        <w:lang w:val="ru-RU" w:eastAsia="en-US" w:bidi="ar-SA"/>
      </w:rPr>
    </w:lvl>
    <w:lvl w:ilvl="7">
      <w:start w:val="0"/>
      <w:numFmt w:val="bullet"/>
      <w:lvlText w:val="•"/>
      <w:lvlJc w:val="left"/>
      <w:pPr>
        <w:ind w:left="8966" w:hanging="360"/>
      </w:pPr>
      <w:rPr>
        <w:rFonts w:hint="default"/>
        <w:lang w:val="ru-RU" w:eastAsia="en-US" w:bidi="ar-SA"/>
      </w:rPr>
    </w:lvl>
    <w:lvl w:ilvl="8">
      <w:start w:val="0"/>
      <w:numFmt w:val="bullet"/>
      <w:lvlText w:val="•"/>
      <w:lvlJc w:val="left"/>
      <w:pPr>
        <w:ind w:left="9944" w:hanging="360"/>
      </w:pPr>
      <w:rPr>
        <w:rFonts w:hint="default"/>
        <w:lang w:val="ru-RU" w:eastAsia="en-US" w:bidi="ar-SA"/>
      </w:rPr>
    </w:lvl>
  </w:abstractNum>
  <w:abstractNum w:abstractNumId="7">
    <w:multiLevelType w:val="hybridMultilevel"/>
    <w:lvl w:ilvl="0">
      <w:start w:val="1"/>
      <w:numFmt w:val="decimal"/>
      <w:lvlText w:val="%1."/>
      <w:lvlJc w:val="left"/>
      <w:pPr>
        <w:ind w:left="1841" w:hanging="293"/>
        <w:jc w:val="right"/>
      </w:pPr>
      <w:rPr>
        <w:rFonts w:hint="default"/>
        <w:spacing w:val="0"/>
        <w:w w:val="99"/>
        <w:lang w:val="ru-RU" w:eastAsia="en-US" w:bidi="ar-SA"/>
      </w:rPr>
    </w:lvl>
    <w:lvl w:ilvl="1">
      <w:start w:val="0"/>
      <w:numFmt w:val="bullet"/>
      <w:lvlText w:val="•"/>
      <w:lvlJc w:val="left"/>
      <w:pPr>
        <w:ind w:left="2846" w:hanging="293"/>
      </w:pPr>
      <w:rPr>
        <w:rFonts w:hint="default"/>
        <w:lang w:val="ru-RU" w:eastAsia="en-US" w:bidi="ar-SA"/>
      </w:rPr>
    </w:lvl>
    <w:lvl w:ilvl="2">
      <w:start w:val="0"/>
      <w:numFmt w:val="bullet"/>
      <w:lvlText w:val="•"/>
      <w:lvlJc w:val="left"/>
      <w:pPr>
        <w:ind w:left="3852" w:hanging="293"/>
      </w:pPr>
      <w:rPr>
        <w:rFonts w:hint="default"/>
        <w:lang w:val="ru-RU" w:eastAsia="en-US" w:bidi="ar-SA"/>
      </w:rPr>
    </w:lvl>
    <w:lvl w:ilvl="3">
      <w:start w:val="0"/>
      <w:numFmt w:val="bullet"/>
      <w:lvlText w:val="•"/>
      <w:lvlJc w:val="left"/>
      <w:pPr>
        <w:ind w:left="4858" w:hanging="293"/>
      </w:pPr>
      <w:rPr>
        <w:rFonts w:hint="default"/>
        <w:lang w:val="ru-RU" w:eastAsia="en-US" w:bidi="ar-SA"/>
      </w:rPr>
    </w:lvl>
    <w:lvl w:ilvl="4">
      <w:start w:val="0"/>
      <w:numFmt w:val="bullet"/>
      <w:lvlText w:val="•"/>
      <w:lvlJc w:val="left"/>
      <w:pPr>
        <w:ind w:left="5864" w:hanging="293"/>
      </w:pPr>
      <w:rPr>
        <w:rFonts w:hint="default"/>
        <w:lang w:val="ru-RU" w:eastAsia="en-US" w:bidi="ar-SA"/>
      </w:rPr>
    </w:lvl>
    <w:lvl w:ilvl="5">
      <w:start w:val="0"/>
      <w:numFmt w:val="bullet"/>
      <w:lvlText w:val="•"/>
      <w:lvlJc w:val="left"/>
      <w:pPr>
        <w:ind w:left="6870" w:hanging="293"/>
      </w:pPr>
      <w:rPr>
        <w:rFonts w:hint="default"/>
        <w:lang w:val="ru-RU" w:eastAsia="en-US" w:bidi="ar-SA"/>
      </w:rPr>
    </w:lvl>
    <w:lvl w:ilvl="6">
      <w:start w:val="0"/>
      <w:numFmt w:val="bullet"/>
      <w:lvlText w:val="•"/>
      <w:lvlJc w:val="left"/>
      <w:pPr>
        <w:ind w:left="7876" w:hanging="293"/>
      </w:pPr>
      <w:rPr>
        <w:rFonts w:hint="default"/>
        <w:lang w:val="ru-RU" w:eastAsia="en-US" w:bidi="ar-SA"/>
      </w:rPr>
    </w:lvl>
    <w:lvl w:ilvl="7">
      <w:start w:val="0"/>
      <w:numFmt w:val="bullet"/>
      <w:lvlText w:val="•"/>
      <w:lvlJc w:val="left"/>
      <w:pPr>
        <w:ind w:left="8882" w:hanging="293"/>
      </w:pPr>
      <w:rPr>
        <w:rFonts w:hint="default"/>
        <w:lang w:val="ru-RU" w:eastAsia="en-US" w:bidi="ar-SA"/>
      </w:rPr>
    </w:lvl>
    <w:lvl w:ilvl="8">
      <w:start w:val="0"/>
      <w:numFmt w:val="bullet"/>
      <w:lvlText w:val="•"/>
      <w:lvlJc w:val="left"/>
      <w:pPr>
        <w:ind w:left="9888" w:hanging="293"/>
      </w:pPr>
      <w:rPr>
        <w:rFonts w:hint="default"/>
        <w:lang w:val="ru-RU" w:eastAsia="en-US" w:bidi="ar-SA"/>
      </w:rPr>
    </w:lvl>
  </w:abstractNum>
  <w:abstractNum w:abstractNumId="6">
    <w:multiLevelType w:val="hybridMultilevel"/>
    <w:lvl w:ilvl="0">
      <w:start w:val="0"/>
      <w:numFmt w:val="bullet"/>
      <w:lvlText w:val=""/>
      <w:lvlJc w:val="left"/>
      <w:pPr>
        <w:ind w:left="2561" w:hanging="360"/>
      </w:pPr>
      <w:rPr>
        <w:rFonts w:hint="default" w:ascii="Symbol" w:hAnsi="Symbol" w:eastAsia="Symbol" w:cs="Symbol"/>
        <w:b w:val="0"/>
        <w:bCs w:val="0"/>
        <w:i w:val="0"/>
        <w:iCs w:val="0"/>
        <w:spacing w:val="0"/>
        <w:w w:val="99"/>
        <w:sz w:val="24"/>
        <w:szCs w:val="24"/>
        <w:lang w:val="ru-RU" w:eastAsia="en-US" w:bidi="ar-SA"/>
      </w:rPr>
    </w:lvl>
    <w:lvl w:ilvl="1">
      <w:start w:val="0"/>
      <w:numFmt w:val="bullet"/>
      <w:lvlText w:val="•"/>
      <w:lvlJc w:val="left"/>
      <w:pPr>
        <w:ind w:left="3494" w:hanging="360"/>
      </w:pPr>
      <w:rPr>
        <w:rFonts w:hint="default"/>
        <w:lang w:val="ru-RU" w:eastAsia="en-US" w:bidi="ar-SA"/>
      </w:rPr>
    </w:lvl>
    <w:lvl w:ilvl="2">
      <w:start w:val="0"/>
      <w:numFmt w:val="bullet"/>
      <w:lvlText w:val="•"/>
      <w:lvlJc w:val="left"/>
      <w:pPr>
        <w:ind w:left="4428" w:hanging="360"/>
      </w:pPr>
      <w:rPr>
        <w:rFonts w:hint="default"/>
        <w:lang w:val="ru-RU" w:eastAsia="en-US" w:bidi="ar-SA"/>
      </w:rPr>
    </w:lvl>
    <w:lvl w:ilvl="3">
      <w:start w:val="0"/>
      <w:numFmt w:val="bullet"/>
      <w:lvlText w:val="•"/>
      <w:lvlJc w:val="left"/>
      <w:pPr>
        <w:ind w:left="5362" w:hanging="360"/>
      </w:pPr>
      <w:rPr>
        <w:rFonts w:hint="default"/>
        <w:lang w:val="ru-RU" w:eastAsia="en-US" w:bidi="ar-SA"/>
      </w:rPr>
    </w:lvl>
    <w:lvl w:ilvl="4">
      <w:start w:val="0"/>
      <w:numFmt w:val="bullet"/>
      <w:lvlText w:val="•"/>
      <w:lvlJc w:val="left"/>
      <w:pPr>
        <w:ind w:left="6296" w:hanging="360"/>
      </w:pPr>
      <w:rPr>
        <w:rFonts w:hint="default"/>
        <w:lang w:val="ru-RU" w:eastAsia="en-US" w:bidi="ar-SA"/>
      </w:rPr>
    </w:lvl>
    <w:lvl w:ilvl="5">
      <w:start w:val="0"/>
      <w:numFmt w:val="bullet"/>
      <w:lvlText w:val="•"/>
      <w:lvlJc w:val="left"/>
      <w:pPr>
        <w:ind w:left="7230" w:hanging="360"/>
      </w:pPr>
      <w:rPr>
        <w:rFonts w:hint="default"/>
        <w:lang w:val="ru-RU" w:eastAsia="en-US" w:bidi="ar-SA"/>
      </w:rPr>
    </w:lvl>
    <w:lvl w:ilvl="6">
      <w:start w:val="0"/>
      <w:numFmt w:val="bullet"/>
      <w:lvlText w:val="•"/>
      <w:lvlJc w:val="left"/>
      <w:pPr>
        <w:ind w:left="8164" w:hanging="360"/>
      </w:pPr>
      <w:rPr>
        <w:rFonts w:hint="default"/>
        <w:lang w:val="ru-RU" w:eastAsia="en-US" w:bidi="ar-SA"/>
      </w:rPr>
    </w:lvl>
    <w:lvl w:ilvl="7">
      <w:start w:val="0"/>
      <w:numFmt w:val="bullet"/>
      <w:lvlText w:val="•"/>
      <w:lvlJc w:val="left"/>
      <w:pPr>
        <w:ind w:left="9098" w:hanging="360"/>
      </w:pPr>
      <w:rPr>
        <w:rFonts w:hint="default"/>
        <w:lang w:val="ru-RU" w:eastAsia="en-US" w:bidi="ar-SA"/>
      </w:rPr>
    </w:lvl>
    <w:lvl w:ilvl="8">
      <w:start w:val="0"/>
      <w:numFmt w:val="bullet"/>
      <w:lvlText w:val="•"/>
      <w:lvlJc w:val="left"/>
      <w:pPr>
        <w:ind w:left="10032" w:hanging="360"/>
      </w:pPr>
      <w:rPr>
        <w:rFonts w:hint="default"/>
        <w:lang w:val="ru-RU" w:eastAsia="en-US" w:bidi="ar-SA"/>
      </w:rPr>
    </w:lvl>
  </w:abstractNum>
  <w:abstractNum w:abstractNumId="5">
    <w:multiLevelType w:val="hybridMultilevel"/>
    <w:lvl w:ilvl="0">
      <w:start w:val="1"/>
      <w:numFmt w:val="decimal"/>
      <w:lvlText w:val="%1."/>
      <w:lvlJc w:val="left"/>
      <w:pPr>
        <w:ind w:left="1841" w:hanging="286"/>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0"/>
      <w:numFmt w:val="bullet"/>
      <w:lvlText w:val="•"/>
      <w:lvlJc w:val="left"/>
      <w:pPr>
        <w:ind w:left="2846" w:hanging="286"/>
      </w:pPr>
      <w:rPr>
        <w:rFonts w:hint="default"/>
        <w:lang w:val="ru-RU" w:eastAsia="en-US" w:bidi="ar-SA"/>
      </w:rPr>
    </w:lvl>
    <w:lvl w:ilvl="2">
      <w:start w:val="0"/>
      <w:numFmt w:val="bullet"/>
      <w:lvlText w:val="•"/>
      <w:lvlJc w:val="left"/>
      <w:pPr>
        <w:ind w:left="3852" w:hanging="286"/>
      </w:pPr>
      <w:rPr>
        <w:rFonts w:hint="default"/>
        <w:lang w:val="ru-RU" w:eastAsia="en-US" w:bidi="ar-SA"/>
      </w:rPr>
    </w:lvl>
    <w:lvl w:ilvl="3">
      <w:start w:val="0"/>
      <w:numFmt w:val="bullet"/>
      <w:lvlText w:val="•"/>
      <w:lvlJc w:val="left"/>
      <w:pPr>
        <w:ind w:left="4858" w:hanging="286"/>
      </w:pPr>
      <w:rPr>
        <w:rFonts w:hint="default"/>
        <w:lang w:val="ru-RU" w:eastAsia="en-US" w:bidi="ar-SA"/>
      </w:rPr>
    </w:lvl>
    <w:lvl w:ilvl="4">
      <w:start w:val="0"/>
      <w:numFmt w:val="bullet"/>
      <w:lvlText w:val="•"/>
      <w:lvlJc w:val="left"/>
      <w:pPr>
        <w:ind w:left="5864" w:hanging="286"/>
      </w:pPr>
      <w:rPr>
        <w:rFonts w:hint="default"/>
        <w:lang w:val="ru-RU" w:eastAsia="en-US" w:bidi="ar-SA"/>
      </w:rPr>
    </w:lvl>
    <w:lvl w:ilvl="5">
      <w:start w:val="0"/>
      <w:numFmt w:val="bullet"/>
      <w:lvlText w:val="•"/>
      <w:lvlJc w:val="left"/>
      <w:pPr>
        <w:ind w:left="6870" w:hanging="286"/>
      </w:pPr>
      <w:rPr>
        <w:rFonts w:hint="default"/>
        <w:lang w:val="ru-RU" w:eastAsia="en-US" w:bidi="ar-SA"/>
      </w:rPr>
    </w:lvl>
    <w:lvl w:ilvl="6">
      <w:start w:val="0"/>
      <w:numFmt w:val="bullet"/>
      <w:lvlText w:val="•"/>
      <w:lvlJc w:val="left"/>
      <w:pPr>
        <w:ind w:left="7876" w:hanging="286"/>
      </w:pPr>
      <w:rPr>
        <w:rFonts w:hint="default"/>
        <w:lang w:val="ru-RU" w:eastAsia="en-US" w:bidi="ar-SA"/>
      </w:rPr>
    </w:lvl>
    <w:lvl w:ilvl="7">
      <w:start w:val="0"/>
      <w:numFmt w:val="bullet"/>
      <w:lvlText w:val="•"/>
      <w:lvlJc w:val="left"/>
      <w:pPr>
        <w:ind w:left="8882" w:hanging="286"/>
      </w:pPr>
      <w:rPr>
        <w:rFonts w:hint="default"/>
        <w:lang w:val="ru-RU" w:eastAsia="en-US" w:bidi="ar-SA"/>
      </w:rPr>
    </w:lvl>
    <w:lvl w:ilvl="8">
      <w:start w:val="0"/>
      <w:numFmt w:val="bullet"/>
      <w:lvlText w:val="•"/>
      <w:lvlJc w:val="left"/>
      <w:pPr>
        <w:ind w:left="9888" w:hanging="286"/>
      </w:pPr>
      <w:rPr>
        <w:rFonts w:hint="default"/>
        <w:lang w:val="ru-RU" w:eastAsia="en-US" w:bidi="ar-SA"/>
      </w:rPr>
    </w:lvl>
  </w:abstractNum>
  <w:abstractNum w:abstractNumId="4">
    <w:multiLevelType w:val="hybridMultilevel"/>
    <w:lvl w:ilvl="0">
      <w:start w:val="1"/>
      <w:numFmt w:val="decimal"/>
      <w:lvlText w:val="%1."/>
      <w:lvlJc w:val="left"/>
      <w:pPr>
        <w:ind w:left="2908" w:hanging="360"/>
        <w:jc w:val="left"/>
      </w:pPr>
      <w:rPr>
        <w:rFonts w:hint="default" w:ascii="Times New Roman" w:hAnsi="Times New Roman" w:eastAsia="Times New Roman" w:cs="Times New Roman"/>
        <w:b/>
        <w:bCs/>
        <w:i w:val="0"/>
        <w:iCs w:val="0"/>
        <w:color w:val="1F487C"/>
        <w:spacing w:val="0"/>
        <w:w w:val="100"/>
        <w:sz w:val="28"/>
        <w:szCs w:val="28"/>
        <w:lang w:val="ru-RU" w:eastAsia="en-US" w:bidi="ar-SA"/>
      </w:rPr>
    </w:lvl>
    <w:lvl w:ilvl="1">
      <w:start w:val="1"/>
      <w:numFmt w:val="decimal"/>
      <w:lvlText w:val="%1.%2."/>
      <w:lvlJc w:val="left"/>
      <w:pPr>
        <w:ind w:left="2549" w:hanging="492"/>
        <w:jc w:val="left"/>
      </w:pPr>
      <w:rPr>
        <w:rFonts w:hint="default"/>
        <w:spacing w:val="0"/>
        <w:w w:val="100"/>
        <w:lang w:val="ru-RU" w:eastAsia="en-US" w:bidi="ar-SA"/>
      </w:rPr>
    </w:lvl>
    <w:lvl w:ilvl="2">
      <w:start w:val="1"/>
      <w:numFmt w:val="decimal"/>
      <w:lvlText w:val="%1.%2.%3."/>
      <w:lvlJc w:val="left"/>
      <w:pPr>
        <w:ind w:left="2549" w:hanging="492"/>
        <w:jc w:val="left"/>
      </w:pPr>
      <w:rPr>
        <w:rFonts w:hint="default" w:ascii="Times New Roman" w:hAnsi="Times New Roman" w:eastAsia="Times New Roman" w:cs="Times New Roman"/>
        <w:b/>
        <w:bCs/>
        <w:i w:val="0"/>
        <w:iCs w:val="0"/>
        <w:color w:val="1F487C"/>
        <w:spacing w:val="0"/>
        <w:w w:val="99"/>
        <w:sz w:val="24"/>
        <w:szCs w:val="24"/>
        <w:lang w:val="ru-RU" w:eastAsia="en-US" w:bidi="ar-SA"/>
      </w:rPr>
    </w:lvl>
    <w:lvl w:ilvl="3">
      <w:start w:val="0"/>
      <w:numFmt w:val="bullet"/>
      <w:lvlText w:val="•"/>
      <w:lvlJc w:val="left"/>
      <w:pPr>
        <w:ind w:left="3140" w:hanging="492"/>
      </w:pPr>
      <w:rPr>
        <w:rFonts w:hint="default"/>
        <w:lang w:val="ru-RU" w:eastAsia="en-US" w:bidi="ar-SA"/>
      </w:rPr>
    </w:lvl>
    <w:lvl w:ilvl="4">
      <w:start w:val="0"/>
      <w:numFmt w:val="bullet"/>
      <w:lvlText w:val="•"/>
      <w:lvlJc w:val="left"/>
      <w:pPr>
        <w:ind w:left="3260" w:hanging="492"/>
      </w:pPr>
      <w:rPr>
        <w:rFonts w:hint="default"/>
        <w:lang w:val="ru-RU" w:eastAsia="en-US" w:bidi="ar-SA"/>
      </w:rPr>
    </w:lvl>
    <w:lvl w:ilvl="5">
      <w:start w:val="0"/>
      <w:numFmt w:val="bullet"/>
      <w:lvlText w:val="•"/>
      <w:lvlJc w:val="left"/>
      <w:pPr>
        <w:ind w:left="4700" w:hanging="492"/>
      </w:pPr>
      <w:rPr>
        <w:rFonts w:hint="default"/>
        <w:lang w:val="ru-RU" w:eastAsia="en-US" w:bidi="ar-SA"/>
      </w:rPr>
    </w:lvl>
    <w:lvl w:ilvl="6">
      <w:start w:val="0"/>
      <w:numFmt w:val="bullet"/>
      <w:lvlText w:val="•"/>
      <w:lvlJc w:val="left"/>
      <w:pPr>
        <w:ind w:left="6140" w:hanging="492"/>
      </w:pPr>
      <w:rPr>
        <w:rFonts w:hint="default"/>
        <w:lang w:val="ru-RU" w:eastAsia="en-US" w:bidi="ar-SA"/>
      </w:rPr>
    </w:lvl>
    <w:lvl w:ilvl="7">
      <w:start w:val="0"/>
      <w:numFmt w:val="bullet"/>
      <w:lvlText w:val="•"/>
      <w:lvlJc w:val="left"/>
      <w:pPr>
        <w:ind w:left="7580" w:hanging="492"/>
      </w:pPr>
      <w:rPr>
        <w:rFonts w:hint="default"/>
        <w:lang w:val="ru-RU" w:eastAsia="en-US" w:bidi="ar-SA"/>
      </w:rPr>
    </w:lvl>
    <w:lvl w:ilvl="8">
      <w:start w:val="0"/>
      <w:numFmt w:val="bullet"/>
      <w:lvlText w:val="•"/>
      <w:lvlJc w:val="left"/>
      <w:pPr>
        <w:ind w:left="9020" w:hanging="492"/>
      </w:pPr>
      <w:rPr>
        <w:rFonts w:hint="default"/>
        <w:lang w:val="ru-RU" w:eastAsia="en-US" w:bidi="ar-SA"/>
      </w:rPr>
    </w:lvl>
  </w:abstractNum>
  <w:abstractNum w:abstractNumId="3">
    <w:multiLevelType w:val="hybridMultilevel"/>
    <w:lvl w:ilvl="0">
      <w:start w:val="9"/>
      <w:numFmt w:val="decimal"/>
      <w:lvlText w:val="%1"/>
      <w:lvlJc w:val="left"/>
      <w:pPr>
        <w:ind w:left="2810" w:hanging="420"/>
        <w:jc w:val="left"/>
      </w:pPr>
      <w:rPr>
        <w:rFonts w:hint="default"/>
        <w:lang w:val="ru-RU" w:eastAsia="en-US" w:bidi="ar-SA"/>
      </w:rPr>
    </w:lvl>
    <w:lvl w:ilvl="1">
      <w:start w:val="4"/>
      <w:numFmt w:val="decimal"/>
      <w:lvlText w:val="%1.%2."/>
      <w:lvlJc w:val="left"/>
      <w:pPr>
        <w:ind w:left="2810" w:hanging="420"/>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2">
      <w:start w:val="0"/>
      <w:numFmt w:val="bullet"/>
      <w:lvlText w:val="•"/>
      <w:lvlJc w:val="left"/>
      <w:pPr>
        <w:ind w:left="4636" w:hanging="420"/>
      </w:pPr>
      <w:rPr>
        <w:rFonts w:hint="default"/>
        <w:lang w:val="ru-RU" w:eastAsia="en-US" w:bidi="ar-SA"/>
      </w:rPr>
    </w:lvl>
    <w:lvl w:ilvl="3">
      <w:start w:val="0"/>
      <w:numFmt w:val="bullet"/>
      <w:lvlText w:val="•"/>
      <w:lvlJc w:val="left"/>
      <w:pPr>
        <w:ind w:left="5544" w:hanging="420"/>
      </w:pPr>
      <w:rPr>
        <w:rFonts w:hint="default"/>
        <w:lang w:val="ru-RU" w:eastAsia="en-US" w:bidi="ar-SA"/>
      </w:rPr>
    </w:lvl>
    <w:lvl w:ilvl="4">
      <w:start w:val="0"/>
      <w:numFmt w:val="bullet"/>
      <w:lvlText w:val="•"/>
      <w:lvlJc w:val="left"/>
      <w:pPr>
        <w:ind w:left="6452" w:hanging="420"/>
      </w:pPr>
      <w:rPr>
        <w:rFonts w:hint="default"/>
        <w:lang w:val="ru-RU" w:eastAsia="en-US" w:bidi="ar-SA"/>
      </w:rPr>
    </w:lvl>
    <w:lvl w:ilvl="5">
      <w:start w:val="0"/>
      <w:numFmt w:val="bullet"/>
      <w:lvlText w:val="•"/>
      <w:lvlJc w:val="left"/>
      <w:pPr>
        <w:ind w:left="7360" w:hanging="420"/>
      </w:pPr>
      <w:rPr>
        <w:rFonts w:hint="default"/>
        <w:lang w:val="ru-RU" w:eastAsia="en-US" w:bidi="ar-SA"/>
      </w:rPr>
    </w:lvl>
    <w:lvl w:ilvl="6">
      <w:start w:val="0"/>
      <w:numFmt w:val="bullet"/>
      <w:lvlText w:val="•"/>
      <w:lvlJc w:val="left"/>
      <w:pPr>
        <w:ind w:left="8268" w:hanging="420"/>
      </w:pPr>
      <w:rPr>
        <w:rFonts w:hint="default"/>
        <w:lang w:val="ru-RU" w:eastAsia="en-US" w:bidi="ar-SA"/>
      </w:rPr>
    </w:lvl>
    <w:lvl w:ilvl="7">
      <w:start w:val="0"/>
      <w:numFmt w:val="bullet"/>
      <w:lvlText w:val="•"/>
      <w:lvlJc w:val="left"/>
      <w:pPr>
        <w:ind w:left="9176" w:hanging="420"/>
      </w:pPr>
      <w:rPr>
        <w:rFonts w:hint="default"/>
        <w:lang w:val="ru-RU" w:eastAsia="en-US" w:bidi="ar-SA"/>
      </w:rPr>
    </w:lvl>
    <w:lvl w:ilvl="8">
      <w:start w:val="0"/>
      <w:numFmt w:val="bullet"/>
      <w:lvlText w:val="•"/>
      <w:lvlJc w:val="left"/>
      <w:pPr>
        <w:ind w:left="10084" w:hanging="420"/>
      </w:pPr>
      <w:rPr>
        <w:rFonts w:hint="default"/>
        <w:lang w:val="ru-RU" w:eastAsia="en-US" w:bidi="ar-SA"/>
      </w:rPr>
    </w:lvl>
  </w:abstractNum>
  <w:abstractNum w:abstractNumId="2">
    <w:multiLevelType w:val="hybridMultilevel"/>
    <w:lvl w:ilvl="0">
      <w:start w:val="9"/>
      <w:numFmt w:val="decimal"/>
      <w:lvlText w:val="%1"/>
      <w:lvlJc w:val="left"/>
      <w:pPr>
        <w:ind w:left="3160" w:hanging="360"/>
        <w:jc w:val="left"/>
      </w:pPr>
      <w:rPr>
        <w:rFonts w:hint="default"/>
        <w:lang w:val="ru-RU" w:eastAsia="en-US" w:bidi="ar-SA"/>
      </w:rPr>
    </w:lvl>
    <w:lvl w:ilvl="1">
      <w:start w:val="2"/>
      <w:numFmt w:val="decimal"/>
      <w:lvlText w:val="%1.%2"/>
      <w:lvlJc w:val="left"/>
      <w:pPr>
        <w:ind w:left="3160" w:hanging="360"/>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2">
      <w:start w:val="0"/>
      <w:numFmt w:val="bullet"/>
      <w:lvlText w:val="•"/>
      <w:lvlJc w:val="left"/>
      <w:pPr>
        <w:ind w:left="4908" w:hanging="360"/>
      </w:pPr>
      <w:rPr>
        <w:rFonts w:hint="default"/>
        <w:lang w:val="ru-RU" w:eastAsia="en-US" w:bidi="ar-SA"/>
      </w:rPr>
    </w:lvl>
    <w:lvl w:ilvl="3">
      <w:start w:val="0"/>
      <w:numFmt w:val="bullet"/>
      <w:lvlText w:val="•"/>
      <w:lvlJc w:val="left"/>
      <w:pPr>
        <w:ind w:left="5782" w:hanging="360"/>
      </w:pPr>
      <w:rPr>
        <w:rFonts w:hint="default"/>
        <w:lang w:val="ru-RU" w:eastAsia="en-US" w:bidi="ar-SA"/>
      </w:rPr>
    </w:lvl>
    <w:lvl w:ilvl="4">
      <w:start w:val="0"/>
      <w:numFmt w:val="bullet"/>
      <w:lvlText w:val="•"/>
      <w:lvlJc w:val="left"/>
      <w:pPr>
        <w:ind w:left="6656" w:hanging="360"/>
      </w:pPr>
      <w:rPr>
        <w:rFonts w:hint="default"/>
        <w:lang w:val="ru-RU" w:eastAsia="en-US" w:bidi="ar-SA"/>
      </w:rPr>
    </w:lvl>
    <w:lvl w:ilvl="5">
      <w:start w:val="0"/>
      <w:numFmt w:val="bullet"/>
      <w:lvlText w:val="•"/>
      <w:lvlJc w:val="left"/>
      <w:pPr>
        <w:ind w:left="7530" w:hanging="360"/>
      </w:pPr>
      <w:rPr>
        <w:rFonts w:hint="default"/>
        <w:lang w:val="ru-RU" w:eastAsia="en-US" w:bidi="ar-SA"/>
      </w:rPr>
    </w:lvl>
    <w:lvl w:ilvl="6">
      <w:start w:val="0"/>
      <w:numFmt w:val="bullet"/>
      <w:lvlText w:val="•"/>
      <w:lvlJc w:val="left"/>
      <w:pPr>
        <w:ind w:left="8404" w:hanging="360"/>
      </w:pPr>
      <w:rPr>
        <w:rFonts w:hint="default"/>
        <w:lang w:val="ru-RU" w:eastAsia="en-US" w:bidi="ar-SA"/>
      </w:rPr>
    </w:lvl>
    <w:lvl w:ilvl="7">
      <w:start w:val="0"/>
      <w:numFmt w:val="bullet"/>
      <w:lvlText w:val="•"/>
      <w:lvlJc w:val="left"/>
      <w:pPr>
        <w:ind w:left="9278" w:hanging="360"/>
      </w:pPr>
      <w:rPr>
        <w:rFonts w:hint="default"/>
        <w:lang w:val="ru-RU" w:eastAsia="en-US" w:bidi="ar-SA"/>
      </w:rPr>
    </w:lvl>
    <w:lvl w:ilvl="8">
      <w:start w:val="0"/>
      <w:numFmt w:val="bullet"/>
      <w:lvlText w:val="•"/>
      <w:lvlJc w:val="left"/>
      <w:pPr>
        <w:ind w:left="10152" w:hanging="360"/>
      </w:pPr>
      <w:rPr>
        <w:rFonts w:hint="default"/>
        <w:lang w:val="ru-RU" w:eastAsia="en-US" w:bidi="ar-SA"/>
      </w:rPr>
    </w:lvl>
  </w:abstractNum>
  <w:abstractNum w:abstractNumId="1">
    <w:multiLevelType w:val="hybridMultilevel"/>
    <w:lvl w:ilvl="0">
      <w:start w:val="5"/>
      <w:numFmt w:val="decimal"/>
      <w:lvlText w:val="%1"/>
      <w:lvlJc w:val="left"/>
      <w:pPr>
        <w:ind w:left="3341" w:hanging="541"/>
        <w:jc w:val="left"/>
      </w:pPr>
      <w:rPr>
        <w:rFonts w:hint="default"/>
        <w:lang w:val="ru-RU" w:eastAsia="en-US" w:bidi="ar-SA"/>
      </w:rPr>
    </w:lvl>
    <w:lvl w:ilvl="1">
      <w:start w:val="10"/>
      <w:numFmt w:val="decimal"/>
      <w:lvlText w:val="%1.%2."/>
      <w:lvlJc w:val="left"/>
      <w:pPr>
        <w:ind w:left="3341" w:hanging="541"/>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2">
      <w:start w:val="0"/>
      <w:numFmt w:val="bullet"/>
      <w:lvlText w:val="•"/>
      <w:lvlJc w:val="left"/>
      <w:pPr>
        <w:ind w:left="5052" w:hanging="541"/>
      </w:pPr>
      <w:rPr>
        <w:rFonts w:hint="default"/>
        <w:lang w:val="ru-RU" w:eastAsia="en-US" w:bidi="ar-SA"/>
      </w:rPr>
    </w:lvl>
    <w:lvl w:ilvl="3">
      <w:start w:val="0"/>
      <w:numFmt w:val="bullet"/>
      <w:lvlText w:val="•"/>
      <w:lvlJc w:val="left"/>
      <w:pPr>
        <w:ind w:left="5908" w:hanging="541"/>
      </w:pPr>
      <w:rPr>
        <w:rFonts w:hint="default"/>
        <w:lang w:val="ru-RU" w:eastAsia="en-US" w:bidi="ar-SA"/>
      </w:rPr>
    </w:lvl>
    <w:lvl w:ilvl="4">
      <w:start w:val="0"/>
      <w:numFmt w:val="bullet"/>
      <w:lvlText w:val="•"/>
      <w:lvlJc w:val="left"/>
      <w:pPr>
        <w:ind w:left="6764" w:hanging="541"/>
      </w:pPr>
      <w:rPr>
        <w:rFonts w:hint="default"/>
        <w:lang w:val="ru-RU" w:eastAsia="en-US" w:bidi="ar-SA"/>
      </w:rPr>
    </w:lvl>
    <w:lvl w:ilvl="5">
      <w:start w:val="0"/>
      <w:numFmt w:val="bullet"/>
      <w:lvlText w:val="•"/>
      <w:lvlJc w:val="left"/>
      <w:pPr>
        <w:ind w:left="7620" w:hanging="541"/>
      </w:pPr>
      <w:rPr>
        <w:rFonts w:hint="default"/>
        <w:lang w:val="ru-RU" w:eastAsia="en-US" w:bidi="ar-SA"/>
      </w:rPr>
    </w:lvl>
    <w:lvl w:ilvl="6">
      <w:start w:val="0"/>
      <w:numFmt w:val="bullet"/>
      <w:lvlText w:val="•"/>
      <w:lvlJc w:val="left"/>
      <w:pPr>
        <w:ind w:left="8476" w:hanging="541"/>
      </w:pPr>
      <w:rPr>
        <w:rFonts w:hint="default"/>
        <w:lang w:val="ru-RU" w:eastAsia="en-US" w:bidi="ar-SA"/>
      </w:rPr>
    </w:lvl>
    <w:lvl w:ilvl="7">
      <w:start w:val="0"/>
      <w:numFmt w:val="bullet"/>
      <w:lvlText w:val="•"/>
      <w:lvlJc w:val="left"/>
      <w:pPr>
        <w:ind w:left="9332" w:hanging="541"/>
      </w:pPr>
      <w:rPr>
        <w:rFonts w:hint="default"/>
        <w:lang w:val="ru-RU" w:eastAsia="en-US" w:bidi="ar-SA"/>
      </w:rPr>
    </w:lvl>
    <w:lvl w:ilvl="8">
      <w:start w:val="0"/>
      <w:numFmt w:val="bullet"/>
      <w:lvlText w:val="•"/>
      <w:lvlJc w:val="left"/>
      <w:pPr>
        <w:ind w:left="10188" w:hanging="541"/>
      </w:pPr>
      <w:rPr>
        <w:rFonts w:hint="default"/>
        <w:lang w:val="ru-RU" w:eastAsia="en-US" w:bidi="ar-SA"/>
      </w:rPr>
    </w:lvl>
  </w:abstractNum>
  <w:abstractNum w:abstractNumId="0">
    <w:multiLevelType w:val="hybridMultilevel"/>
    <w:lvl w:ilvl="0">
      <w:start w:val="1"/>
      <w:numFmt w:val="decimal"/>
      <w:lvlText w:val="%1."/>
      <w:lvlJc w:val="left"/>
      <w:pPr>
        <w:ind w:left="2407" w:hanging="283"/>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1">
      <w:start w:val="1"/>
      <w:numFmt w:val="decimal"/>
      <w:lvlText w:val="%1.%2."/>
      <w:lvlJc w:val="left"/>
      <w:pPr>
        <w:ind w:left="2810" w:hanging="420"/>
        <w:jc w:val="left"/>
      </w:pPr>
      <w:rPr>
        <w:rFonts w:hint="default" w:ascii="Times New Roman" w:hAnsi="Times New Roman" w:eastAsia="Times New Roman" w:cs="Times New Roman"/>
        <w:b w:val="0"/>
        <w:bCs w:val="0"/>
        <w:i w:val="0"/>
        <w:iCs w:val="0"/>
        <w:spacing w:val="0"/>
        <w:w w:val="99"/>
        <w:sz w:val="24"/>
        <w:szCs w:val="24"/>
        <w:lang w:val="ru-RU" w:eastAsia="en-US" w:bidi="ar-SA"/>
      </w:rPr>
    </w:lvl>
    <w:lvl w:ilvl="2">
      <w:start w:val="0"/>
      <w:numFmt w:val="bullet"/>
      <w:lvlText w:val="•"/>
      <w:lvlJc w:val="left"/>
      <w:pPr>
        <w:ind w:left="3220" w:hanging="420"/>
      </w:pPr>
      <w:rPr>
        <w:rFonts w:hint="default"/>
        <w:lang w:val="ru-RU" w:eastAsia="en-US" w:bidi="ar-SA"/>
      </w:rPr>
    </w:lvl>
    <w:lvl w:ilvl="3">
      <w:start w:val="0"/>
      <w:numFmt w:val="bullet"/>
      <w:lvlText w:val="•"/>
      <w:lvlJc w:val="left"/>
      <w:pPr>
        <w:ind w:left="4305" w:hanging="420"/>
      </w:pPr>
      <w:rPr>
        <w:rFonts w:hint="default"/>
        <w:lang w:val="ru-RU" w:eastAsia="en-US" w:bidi="ar-SA"/>
      </w:rPr>
    </w:lvl>
    <w:lvl w:ilvl="4">
      <w:start w:val="0"/>
      <w:numFmt w:val="bullet"/>
      <w:lvlText w:val="•"/>
      <w:lvlJc w:val="left"/>
      <w:pPr>
        <w:ind w:left="5390" w:hanging="420"/>
      </w:pPr>
      <w:rPr>
        <w:rFonts w:hint="default"/>
        <w:lang w:val="ru-RU" w:eastAsia="en-US" w:bidi="ar-SA"/>
      </w:rPr>
    </w:lvl>
    <w:lvl w:ilvl="5">
      <w:start w:val="0"/>
      <w:numFmt w:val="bullet"/>
      <w:lvlText w:val="•"/>
      <w:lvlJc w:val="left"/>
      <w:pPr>
        <w:ind w:left="6475" w:hanging="420"/>
      </w:pPr>
      <w:rPr>
        <w:rFonts w:hint="default"/>
        <w:lang w:val="ru-RU" w:eastAsia="en-US" w:bidi="ar-SA"/>
      </w:rPr>
    </w:lvl>
    <w:lvl w:ilvl="6">
      <w:start w:val="0"/>
      <w:numFmt w:val="bullet"/>
      <w:lvlText w:val="•"/>
      <w:lvlJc w:val="left"/>
      <w:pPr>
        <w:ind w:left="7560" w:hanging="420"/>
      </w:pPr>
      <w:rPr>
        <w:rFonts w:hint="default"/>
        <w:lang w:val="ru-RU" w:eastAsia="en-US" w:bidi="ar-SA"/>
      </w:rPr>
    </w:lvl>
    <w:lvl w:ilvl="7">
      <w:start w:val="0"/>
      <w:numFmt w:val="bullet"/>
      <w:lvlText w:val="•"/>
      <w:lvlJc w:val="left"/>
      <w:pPr>
        <w:ind w:left="8645" w:hanging="420"/>
      </w:pPr>
      <w:rPr>
        <w:rFonts w:hint="default"/>
        <w:lang w:val="ru-RU" w:eastAsia="en-US" w:bidi="ar-SA"/>
      </w:rPr>
    </w:lvl>
    <w:lvl w:ilvl="8">
      <w:start w:val="0"/>
      <w:numFmt w:val="bullet"/>
      <w:lvlText w:val="•"/>
      <w:lvlJc w:val="left"/>
      <w:pPr>
        <w:ind w:left="9730" w:hanging="420"/>
      </w:pPr>
      <w:rPr>
        <w:rFonts w:hint="default"/>
        <w:lang w:val="ru-RU" w:eastAsia="en-US" w:bidi="ar-SA"/>
      </w:rPr>
    </w:lvl>
  </w:abstractNum>
  <w:num w:numId="54">
    <w:abstractNumId w:val="53"/>
  </w:num>
  <w:num w:numId="128">
    <w:abstractNumId w:val="127"/>
  </w:num>
  <w:num w:numId="127">
    <w:abstractNumId w:val="126"/>
  </w:num>
  <w:num w:numId="126">
    <w:abstractNumId w:val="125"/>
  </w:num>
  <w:num w:numId="125">
    <w:abstractNumId w:val="124"/>
  </w:num>
  <w:num w:numId="124">
    <w:abstractNumId w:val="123"/>
  </w:num>
  <w:num w:numId="123">
    <w:abstractNumId w:val="122"/>
  </w:num>
  <w:num w:numId="122">
    <w:abstractNumId w:val="121"/>
  </w:num>
  <w:num w:numId="121">
    <w:abstractNumId w:val="120"/>
  </w:num>
  <w:num w:numId="120">
    <w:abstractNumId w:val="119"/>
  </w:num>
  <w:num w:numId="119">
    <w:abstractNumId w:val="118"/>
  </w:num>
  <w:num w:numId="118">
    <w:abstractNumId w:val="117"/>
  </w:num>
  <w:num w:numId="117">
    <w:abstractNumId w:val="116"/>
  </w:num>
  <w:num w:numId="116">
    <w:abstractNumId w:val="115"/>
  </w:num>
  <w:num w:numId="115">
    <w:abstractNumId w:val="114"/>
  </w:num>
  <w:num w:numId="114">
    <w:abstractNumId w:val="113"/>
  </w:num>
  <w:num w:numId="113">
    <w:abstractNumId w:val="112"/>
  </w:num>
  <w:num w:numId="112">
    <w:abstractNumId w:val="111"/>
  </w:num>
  <w:num w:numId="111">
    <w:abstractNumId w:val="110"/>
  </w:num>
  <w:num w:numId="110">
    <w:abstractNumId w:val="109"/>
  </w:num>
  <w:num w:numId="109">
    <w:abstractNumId w:val="108"/>
  </w:num>
  <w:num w:numId="108">
    <w:abstractNumId w:val="107"/>
  </w:num>
  <w:num w:numId="107">
    <w:abstractNumId w:val="106"/>
  </w:num>
  <w:num w:numId="106">
    <w:abstractNumId w:val="105"/>
  </w:num>
  <w:num w:numId="105">
    <w:abstractNumId w:val="104"/>
  </w:num>
  <w:num w:numId="104">
    <w:abstractNumId w:val="103"/>
  </w:num>
  <w:num w:numId="103">
    <w:abstractNumId w:val="102"/>
  </w:num>
  <w:num w:numId="102">
    <w:abstractNumId w:val="101"/>
  </w:num>
  <w:num w:numId="101">
    <w:abstractNumId w:val="100"/>
  </w:num>
  <w:num w:numId="100">
    <w:abstractNumId w:val="99"/>
  </w:num>
  <w:num w:numId="99">
    <w:abstractNumId w:val="98"/>
  </w:num>
  <w:num w:numId="98">
    <w:abstractNumId w:val="97"/>
  </w:num>
  <w:num w:numId="97">
    <w:abstractNumId w:val="96"/>
  </w:num>
  <w:num w:numId="96">
    <w:abstractNumId w:val="95"/>
  </w:num>
  <w:num w:numId="95">
    <w:abstractNumId w:val="94"/>
  </w:num>
  <w:num w:numId="94">
    <w:abstractNumId w:val="93"/>
  </w:num>
  <w:num w:numId="93">
    <w:abstractNumId w:val="92"/>
  </w:num>
  <w:num w:numId="92">
    <w:abstractNumId w:val="91"/>
  </w:num>
  <w:num w:numId="91">
    <w:abstractNumId w:val="90"/>
  </w:num>
  <w:num w:numId="90">
    <w:abstractNumId w:val="89"/>
  </w:num>
  <w:num w:numId="89">
    <w:abstractNumId w:val="88"/>
  </w:num>
  <w:num w:numId="88">
    <w:abstractNumId w:val="87"/>
  </w:num>
  <w:num w:numId="87">
    <w:abstractNumId w:val="86"/>
  </w:num>
  <w:num w:numId="86">
    <w:abstractNumId w:val="85"/>
  </w:num>
  <w:num w:numId="85">
    <w:abstractNumId w:val="84"/>
  </w:num>
  <w:num w:numId="84">
    <w:abstractNumId w:val="83"/>
  </w:num>
  <w:num w:numId="83">
    <w:abstractNumId w:val="82"/>
  </w:num>
  <w:num w:numId="82">
    <w:abstractNumId w:val="81"/>
  </w:num>
  <w:num w:numId="81">
    <w:abstractNumId w:val="80"/>
  </w:num>
  <w:num w:numId="80">
    <w:abstractNumId w:val="79"/>
  </w:num>
  <w:num w:numId="79">
    <w:abstractNumId w:val="78"/>
  </w:num>
  <w:num w:numId="78">
    <w:abstractNumId w:val="77"/>
  </w:num>
  <w:num w:numId="77">
    <w:abstractNumId w:val="76"/>
  </w:num>
  <w:num w:numId="76">
    <w:abstractNumId w:val="75"/>
  </w:num>
  <w:num w:numId="75">
    <w:abstractNumId w:val="74"/>
  </w:num>
  <w:num w:numId="74">
    <w:abstractNumId w:val="73"/>
  </w:num>
  <w:num w:numId="73">
    <w:abstractNumId w:val="72"/>
  </w:num>
  <w:num w:numId="72">
    <w:abstractNumId w:val="71"/>
  </w:num>
  <w:num w:numId="71">
    <w:abstractNumId w:val="70"/>
  </w:num>
  <w:num w:numId="70">
    <w:abstractNumId w:val="69"/>
  </w:num>
  <w:num w:numId="69">
    <w:abstractNumId w:val="68"/>
  </w:num>
  <w:num w:numId="68">
    <w:abstractNumId w:val="67"/>
  </w:num>
  <w:num w:numId="67">
    <w:abstractNumId w:val="66"/>
  </w:num>
  <w:num w:numId="66">
    <w:abstractNumId w:val="65"/>
  </w:num>
  <w:num w:numId="65">
    <w:abstractNumId w:val="64"/>
  </w:num>
  <w:num w:numId="64">
    <w:abstractNumId w:val="63"/>
  </w:num>
  <w:num w:numId="63">
    <w:abstractNumId w:val="62"/>
  </w:num>
  <w:num w:numId="62">
    <w:abstractNumId w:val="61"/>
  </w:num>
  <w:num w:numId="61">
    <w:abstractNumId w:val="60"/>
  </w:num>
  <w:num w:numId="60">
    <w:abstractNumId w:val="59"/>
  </w:num>
  <w:num w:numId="59">
    <w:abstractNumId w:val="58"/>
  </w:num>
  <w:num w:numId="58">
    <w:abstractNumId w:val="57"/>
  </w:num>
  <w:num w:numId="57">
    <w:abstractNumId w:val="56"/>
  </w:num>
  <w:num w:numId="56">
    <w:abstractNumId w:val="55"/>
  </w:num>
  <w:num w:numId="55">
    <w:abstractNumId w:val="54"/>
  </w:num>
  <w:num w:numId="53">
    <w:abstractNumId w:val="52"/>
  </w:num>
  <w:num w:numId="52">
    <w:abstractNumId w:val="51"/>
  </w:num>
  <w:num w:numId="51">
    <w:abstractNumId w:val="50"/>
  </w:num>
  <w:num w:numId="50">
    <w:abstractNumId w:val="49"/>
  </w: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ru-RU" w:eastAsia="en-US" w:bidi="ar-SA"/>
    </w:rPr>
  </w:style>
  <w:style w:styleId="TOC1" w:type="paragraph">
    <w:name w:val="TOC 1"/>
    <w:basedOn w:val="Normal"/>
    <w:uiPriority w:val="1"/>
    <w:qFormat/>
    <w:pPr>
      <w:spacing w:before="265"/>
      <w:ind w:left="849"/>
      <w:jc w:val="center"/>
    </w:pPr>
    <w:rPr>
      <w:rFonts w:ascii="Times New Roman" w:hAnsi="Times New Roman" w:eastAsia="Times New Roman" w:cs="Times New Roman"/>
      <w:sz w:val="24"/>
      <w:szCs w:val="24"/>
      <w:lang w:val="ru-RU" w:eastAsia="en-US" w:bidi="ar-SA"/>
    </w:rPr>
  </w:style>
  <w:style w:styleId="TOC2" w:type="paragraph">
    <w:name w:val="TOC 2"/>
    <w:basedOn w:val="Normal"/>
    <w:uiPriority w:val="1"/>
    <w:qFormat/>
    <w:pPr>
      <w:spacing w:before="103"/>
      <w:ind w:left="2362" w:hanging="238"/>
    </w:pPr>
    <w:rPr>
      <w:rFonts w:ascii="Times New Roman" w:hAnsi="Times New Roman" w:eastAsia="Times New Roman" w:cs="Times New Roman"/>
      <w:sz w:val="24"/>
      <w:szCs w:val="24"/>
      <w:lang w:val="ru-RU" w:eastAsia="en-US" w:bidi="ar-SA"/>
    </w:rPr>
  </w:style>
  <w:style w:styleId="TOC3" w:type="paragraph">
    <w:name w:val="TOC 3"/>
    <w:basedOn w:val="Normal"/>
    <w:uiPriority w:val="1"/>
    <w:qFormat/>
    <w:pPr>
      <w:spacing w:before="109"/>
      <w:ind w:left="2810" w:hanging="418"/>
    </w:pPr>
    <w:rPr>
      <w:rFonts w:ascii="Times New Roman" w:hAnsi="Times New Roman" w:eastAsia="Times New Roman" w:cs="Times New Roman"/>
      <w:sz w:val="24"/>
      <w:szCs w:val="24"/>
      <w:lang w:val="ru-RU" w:eastAsia="en-US" w:bidi="ar-SA"/>
    </w:rPr>
  </w:style>
  <w:style w:styleId="TOC4" w:type="paragraph">
    <w:name w:val="TOC 4"/>
    <w:basedOn w:val="Normal"/>
    <w:uiPriority w:val="1"/>
    <w:qFormat/>
    <w:pPr>
      <w:spacing w:before="96"/>
      <w:ind w:left="2834"/>
    </w:pPr>
    <w:rPr>
      <w:rFonts w:ascii="Times New Roman" w:hAnsi="Times New Roman" w:eastAsia="Times New Roman" w:cs="Times New Roman"/>
      <w:sz w:val="24"/>
      <w:szCs w:val="24"/>
      <w:lang w:val="ru-RU" w:eastAsia="en-US" w:bidi="ar-SA"/>
    </w:rPr>
  </w:style>
  <w:style w:styleId="BodyText" w:type="paragraph">
    <w:name w:val="Body Text"/>
    <w:basedOn w:val="Normal"/>
    <w:uiPriority w:val="1"/>
    <w:qFormat/>
    <w:pPr>
      <w:ind w:left="1841"/>
      <w:jc w:val="both"/>
    </w:pPr>
    <w:rPr>
      <w:rFonts w:ascii="Times New Roman" w:hAnsi="Times New Roman" w:eastAsia="Times New Roman" w:cs="Times New Roman"/>
      <w:sz w:val="24"/>
      <w:szCs w:val="24"/>
      <w:lang w:val="ru-RU" w:eastAsia="en-US" w:bidi="ar-SA"/>
    </w:rPr>
  </w:style>
  <w:style w:styleId="Heading1" w:type="paragraph">
    <w:name w:val="Heading 1"/>
    <w:basedOn w:val="Normal"/>
    <w:uiPriority w:val="1"/>
    <w:qFormat/>
    <w:pPr>
      <w:ind w:left="2549"/>
      <w:outlineLvl w:val="1"/>
    </w:pPr>
    <w:rPr>
      <w:rFonts w:ascii="Times New Roman" w:hAnsi="Times New Roman" w:eastAsia="Times New Roman" w:cs="Times New Roman"/>
      <w:b/>
      <w:bCs/>
      <w:sz w:val="28"/>
      <w:szCs w:val="28"/>
      <w:lang w:val="ru-RU" w:eastAsia="en-US" w:bidi="ar-SA"/>
    </w:rPr>
  </w:style>
  <w:style w:styleId="Heading2" w:type="paragraph">
    <w:name w:val="Heading 2"/>
    <w:basedOn w:val="Normal"/>
    <w:uiPriority w:val="1"/>
    <w:qFormat/>
    <w:pPr>
      <w:spacing w:before="142"/>
      <w:ind w:left="13"/>
      <w:outlineLvl w:val="2"/>
    </w:pPr>
    <w:rPr>
      <w:rFonts w:ascii="Times New Roman" w:hAnsi="Times New Roman" w:eastAsia="Times New Roman" w:cs="Times New Roman"/>
      <w:b/>
      <w:bCs/>
      <w:sz w:val="28"/>
      <w:szCs w:val="28"/>
      <w:lang w:val="ru-RU" w:eastAsia="en-US" w:bidi="ar-SA"/>
    </w:rPr>
  </w:style>
  <w:style w:styleId="Heading3" w:type="paragraph">
    <w:name w:val="Heading 3"/>
    <w:basedOn w:val="Normal"/>
    <w:uiPriority w:val="1"/>
    <w:qFormat/>
    <w:pPr>
      <w:ind w:left="2549"/>
      <w:jc w:val="both"/>
      <w:outlineLvl w:val="3"/>
    </w:pPr>
    <w:rPr>
      <w:rFonts w:ascii="Times New Roman" w:hAnsi="Times New Roman" w:eastAsia="Times New Roman" w:cs="Times New Roman"/>
      <w:b/>
      <w:bCs/>
      <w:sz w:val="24"/>
      <w:szCs w:val="24"/>
      <w:lang w:val="ru-RU" w:eastAsia="en-US" w:bidi="ar-SA"/>
    </w:rPr>
  </w:style>
  <w:style w:styleId="Heading4" w:type="paragraph">
    <w:name w:val="Heading 4"/>
    <w:basedOn w:val="Normal"/>
    <w:uiPriority w:val="1"/>
    <w:qFormat/>
    <w:pPr>
      <w:ind w:left="2549"/>
      <w:jc w:val="both"/>
      <w:outlineLvl w:val="4"/>
    </w:pPr>
    <w:rPr>
      <w:rFonts w:ascii="Times New Roman" w:hAnsi="Times New Roman" w:eastAsia="Times New Roman" w:cs="Times New Roman"/>
      <w:b/>
      <w:bCs/>
      <w:i/>
      <w:iCs/>
      <w:sz w:val="24"/>
      <w:szCs w:val="24"/>
      <w:lang w:val="ru-RU" w:eastAsia="en-US" w:bidi="ar-SA"/>
    </w:rPr>
  </w:style>
  <w:style w:styleId="Title" w:type="paragraph">
    <w:name w:val="Title"/>
    <w:basedOn w:val="Normal"/>
    <w:uiPriority w:val="1"/>
    <w:qFormat/>
    <w:pPr>
      <w:spacing w:line="379" w:lineRule="exact"/>
      <w:ind w:left="1114"/>
    </w:pPr>
    <w:rPr>
      <w:rFonts w:ascii="Arial" w:hAnsi="Arial" w:eastAsia="Arial" w:cs="Arial"/>
      <w:sz w:val="50"/>
      <w:szCs w:val="50"/>
      <w:lang w:val="ru-RU" w:eastAsia="en-US" w:bidi="ar-SA"/>
    </w:rPr>
  </w:style>
  <w:style w:styleId="ListParagraph" w:type="paragraph">
    <w:name w:val="List Paragraph"/>
    <w:basedOn w:val="Normal"/>
    <w:uiPriority w:val="1"/>
    <w:qFormat/>
    <w:pPr>
      <w:ind w:left="2407" w:hanging="566"/>
      <w:jc w:val="both"/>
    </w:pPr>
    <w:rPr>
      <w:rFonts w:ascii="Times New Roman" w:hAnsi="Times New Roman" w:eastAsia="Times New Roman" w:cs="Times New Roman"/>
      <w:lang w:val="ru-RU" w:eastAsia="en-US" w:bidi="ar-SA"/>
    </w:rPr>
  </w:style>
  <w:style w:styleId="TableParagraph" w:type="paragraph">
    <w:name w:val="Table Paragraph"/>
    <w:basedOn w:val="Normal"/>
    <w:uiPriority w:val="1"/>
    <w:qFormat/>
    <w:pPr/>
    <w:rPr>
      <w:rFonts w:ascii="Times New Roman" w:hAnsi="Times New Roman" w:eastAsia="Times New Roman" w:cs="Times New Roman"/>
      <w:lang w:val="ru-RU"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hyperlink" Target="mailto:PonomarevaEN@minzdrav.gov.ru" TargetMode="External"/><Relationship Id="rId9" Type="http://schemas.openxmlformats.org/officeDocument/2006/relationships/image" Target="media/image4.png"/><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pn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png"/><Relationship Id="rId17" Type="http://schemas.openxmlformats.org/officeDocument/2006/relationships/footer" Target="footer1.xml"/><Relationship Id="rId18" Type="http://schemas.openxmlformats.org/officeDocument/2006/relationships/image" Target="media/image13.png"/><Relationship Id="rId19" Type="http://schemas.openxmlformats.org/officeDocument/2006/relationships/footer" Target="footer2.xml"/><Relationship Id="rId20" Type="http://schemas.openxmlformats.org/officeDocument/2006/relationships/footer" Target="footer3.xml"/><Relationship Id="rId21" Type="http://schemas.openxmlformats.org/officeDocument/2006/relationships/hyperlink" Target="http://www.rasudm.org/" TargetMode="External"/><Relationship Id="rId22" Type="http://schemas.openxmlformats.org/officeDocument/2006/relationships/image" Target="media/image14.jpeg"/><Relationship Id="rId23" Type="http://schemas.openxmlformats.org/officeDocument/2006/relationships/hyperlink" Target="http://www.hep-druginteractions.org/checker)" TargetMode="External"/><Relationship Id="rId24" Type="http://schemas.openxmlformats.org/officeDocument/2006/relationships/hyperlink" Target="http://portal.egisz.rosminzdrav.ru/materials/3557" TargetMode="External"/><Relationship Id="rId25" Type="http://schemas.openxmlformats.org/officeDocument/2006/relationships/hyperlink" Target="mailto:egisz@rt-eu.ru" TargetMode="External"/><Relationship Id="rId26" Type="http://schemas.openxmlformats.org/officeDocument/2006/relationships/hyperlink" Target="http://www.rasudm.org/files/WFUMB-Position-Statement-COVID.pdf" TargetMode="External"/><Relationship Id="rId27" Type="http://schemas.openxmlformats.org/officeDocument/2006/relationships/hyperlink" Target="http://www.cdc.gov/coronavirus/2019-ncov/index.html" TargetMode="External"/><Relationship Id="rId28" Type="http://schemas.openxmlformats.org/officeDocument/2006/relationships/hyperlink" Target="http://www.health.gov.au/health-topics/novel-coronavirus-2019-ncov" TargetMode="External"/><Relationship Id="rId29" Type="http://schemas.openxmlformats.org/officeDocument/2006/relationships/hyperlink" Target="http://www.nice.org/uk/guidancr/ng167" TargetMode="External"/><Relationship Id="rId30" Type="http://schemas.openxmlformats.org/officeDocument/2006/relationships/hyperlink" Target="http://www.rheumatology.org.uk/" TargetMode="External"/><Relationship Id="rId31" Type="http://schemas.openxmlformats.org/officeDocument/2006/relationships/hyperlink" Target="http://www.covid19treatmentguidelines.nih.gov/" TargetMode="External"/><Relationship Id="rId32" Type="http://schemas.openxmlformats.org/officeDocument/2006/relationships/hyperlink" Target="http://www.esmo.org/guidelines/cancer-patient-management-during-the-covid-19-pandemic" TargetMode="External"/><Relationship Id="rId33" Type="http://schemas.openxmlformats.org/officeDocument/2006/relationships/hyperlink" Target="http://www.fda.gov/media/143892/download" TargetMode="External"/><Relationship Id="rId34" Type="http://schemas.openxmlformats.org/officeDocument/2006/relationships/hyperlink" Target="http://www.fda.gov/emergency-preparedness-" TargetMode="External"/><Relationship Id="rId35" Type="http://schemas.openxmlformats.org/officeDocument/2006/relationships/hyperlink" Target="http://www.bundesgesundheitsministerium.de/en/en/press/2020/coronavirus.html" TargetMode="External"/><Relationship Id="rId36" Type="http://schemas.openxmlformats.org/officeDocument/2006/relationships/hyperlink" Target="http://www.worldgastroenterology.org/guidelines/global-" TargetMode="External"/><Relationship Id="rId37" Type="http://schemas.openxmlformats.org/officeDocument/2006/relationships/hyperlink" Target="http://www.idsociety.org/practice-guideline/covid-19-" TargetMode="External"/><Relationship Id="rId38" Type="http://schemas.openxmlformats.org/officeDocument/2006/relationships/hyperlink" Target="http://www.medrxiv.org/content/10.1101/2021.04.10.21254672v1" TargetMode="External"/><Relationship Id="rId39" Type="http://schemas.openxmlformats.org/officeDocument/2006/relationships/hyperlink" Target="http://en.nhc.gov.cn/" TargetMode="External"/><Relationship Id="rId40" Type="http://schemas.openxmlformats.org/officeDocument/2006/relationships/hyperlink" Target="http://www.nhs.uk/conditions/wuhan-novel-coronavirus/" TargetMode="External"/><Relationship Id="rId41" Type="http://schemas.openxmlformats.org/officeDocument/2006/relationships/hyperlink" Target="http://www.ecdc.europa.eu/sites/default/files/documents/novel-coronavirus-risk-assessment-china-" TargetMode="External"/><Relationship Id="rId42" Type="http://schemas.openxmlformats.org/officeDocument/2006/relationships/hyperlink" Target="http://www.thelancet.com.2020/" TargetMode="External"/><Relationship Id="rId43" Type="http://schemas.openxmlformats.org/officeDocument/2006/relationships/hyperlink" Target="http://www.gov.uk/government/publications/wuhan-" TargetMode="External"/><Relationship Id="rId44" Type="http://schemas.openxmlformats.org/officeDocument/2006/relationships/hyperlink" Target="http://www.rpharms.com/resources/pharmacy-guides/wuhan-novel-coronavirus" TargetMode="External"/><Relationship Id="rId45" Type="http://schemas.openxmlformats.org/officeDocument/2006/relationships/hyperlink" Target="http://dx.doi.org/10.1136/bmj.n2400" TargetMode="External"/><Relationship Id="rId46" Type="http://schemas.openxmlformats.org/officeDocument/2006/relationships/hyperlink" Target="http://www.cdc.gov/coronavirus/2019-nCoV/hcp/index.html" TargetMode="External"/><Relationship Id="rId47" Type="http://schemas.openxmlformats.org/officeDocument/2006/relationships/hyperlink" Target="http://english.www.gov.cn/" TargetMode="External"/><Relationship Id="rId48" Type="http://schemas.openxmlformats.org/officeDocument/2006/relationships/hyperlink" Target="http://www.who.int/publications/i/item/WHO-2019-nCoV-clinical-2021-1" TargetMode="External"/><Relationship Id="rId49" Type="http://schemas.openxmlformats.org/officeDocument/2006/relationships/hyperlink" Target="http://www.who.int/ethics/publications/infectious-disease-outbreaks/en/" TargetMode="External"/><Relationship Id="rId50" Type="http://schemas.openxmlformats.org/officeDocument/2006/relationships/hyperlink" Target="http://www.who.int/bloodproducts/brn/2017_BRN_PositionPaper_ConvalescentPlasma.pdf" TargetMode="External"/><Relationship Id="rId51" Type="http://schemas.openxmlformats.org/officeDocument/2006/relationships/hyperlink" Target="http://www.medscape.com/viewarticle/983877#vp_2" TargetMode="External"/><Relationship Id="rId52" Type="http://schemas.openxmlformats.org/officeDocument/2006/relationships/hyperlink" Target="http://www.acc.org/latest-in-cardiology/clinical-trials/2022/08/27/04/14/apollo" TargetMode="External"/><Relationship Id="rId53" Type="http://schemas.openxmlformats.org/officeDocument/2006/relationships/hyperlink" Target="http://doi.org/10.21292/2075-" TargetMode="External"/><Relationship Id="rId54" Type="http://schemas.openxmlformats.org/officeDocument/2006/relationships/hyperlink" Target="http://www.who.int/csr/disease/coronavirus_infections/case-management-ipc/ru/" TargetMode="External"/><Relationship Id="rId55" Type="http://schemas.openxmlformats.org/officeDocument/2006/relationships/hyperlink" Target="http://www.rasudm.org/files/RASUDM-Consensus-Statement-COVID.pdf" TargetMode="External"/><Relationship Id="rId56" Type="http://schemas.openxmlformats.org/officeDocument/2006/relationships/hyperlink" Target="http://www.rasudm.org/files/WFUMB-Position-" TargetMode="External"/><Relationship Id="rId57" Type="http://schemas.openxmlformats.org/officeDocument/2006/relationships/hyperlink" Target="http://www.rasudm.org/files/RASUDM-Consensus-Statement-COVID-2.pdf" TargetMode="External"/><Relationship Id="rId58" Type="http://schemas.openxmlformats.org/officeDocument/2006/relationships/footer" Target="footer4.xml"/><Relationship Id="rId59" Type="http://schemas.openxmlformats.org/officeDocument/2006/relationships/footer" Target="footer5.xml"/><Relationship Id="rId60" Type="http://schemas.openxmlformats.org/officeDocument/2006/relationships/footer" Target="footer6.xml"/><Relationship Id="rId61" Type="http://schemas.openxmlformats.org/officeDocument/2006/relationships/image" Target="media/image15.png"/><Relationship Id="rId62" Type="http://schemas.openxmlformats.org/officeDocument/2006/relationships/hyperlink" Target="http://www.roszdravnadzor.ru/" TargetMode="External"/><Relationship Id="rId63" Type="http://schemas.openxmlformats.org/officeDocument/2006/relationships/footer" Target="footer7.xml"/><Relationship Id="rId64" Type="http://schemas.openxmlformats.org/officeDocument/2006/relationships/hyperlink" Target="http://www.covid19-druginteractions.org/view_all_interactions" TargetMode="External"/><Relationship Id="rId65" Type="http://schemas.openxmlformats.org/officeDocument/2006/relationships/image" Target="media/image16.jpeg"/><Relationship Id="rId66" Type="http://schemas.openxmlformats.org/officeDocument/2006/relationships/image" Target="media/image17.jpeg"/><Relationship Id="rId67" Type="http://schemas.openxmlformats.org/officeDocument/2006/relationships/footer" Target="footer8.xml"/><Relationship Id="rId68" Type="http://schemas.openxmlformats.org/officeDocument/2006/relationships/footer" Target="footer9.xml"/><Relationship Id="rId69" Type="http://schemas.openxmlformats.org/officeDocument/2006/relationships/image" Target="media/image18.jpeg"/><Relationship Id="rId70" Type="http://schemas.openxmlformats.org/officeDocument/2006/relationships/image" Target="media/image19.jpeg"/><Relationship Id="rId71" Type="http://schemas.openxmlformats.org/officeDocument/2006/relationships/image" Target="media/image20.png"/><Relationship Id="rId72" Type="http://schemas.openxmlformats.org/officeDocument/2006/relationships/footer" Target="footer10.xml"/><Relationship Id="rId73" Type="http://schemas.openxmlformats.org/officeDocument/2006/relationships/footer" Target="footer11.xml"/><Relationship Id="rId74" Type="http://schemas.openxmlformats.org/officeDocument/2006/relationships/image" Target="media/image21.jpeg"/><Relationship Id="rId75" Type="http://schemas.openxmlformats.org/officeDocument/2006/relationships/image" Target="media/image22.png"/><Relationship Id="rId76" Type="http://schemas.openxmlformats.org/officeDocument/2006/relationships/image" Target="media/image12.png"/><Relationship Id="rId77" Type="http://schemas.openxmlformats.org/officeDocument/2006/relationships/numbering" Target="numbering.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_rels/footer2.xml.rels><?xml version="1.0" encoding="UTF-8" standalone="yes"?>
<Relationships xmlns="http://schemas.openxmlformats.org/package/2006/relationships"><Relationship Id="rId1" Type="http://schemas.openxmlformats.org/officeDocument/2006/relationships/image" Target="media/image12.png"/></Relationships>

</file>

<file path=word/_rels/footer3.xml.rels><?xml version="1.0" encoding="UTF-8" standalone="yes"?>
<Relationships xmlns="http://schemas.openxmlformats.org/package/2006/relationships"><Relationship Id="rId1" Type="http://schemas.openxmlformats.org/officeDocument/2006/relationships/image" Target="media/image12.png"/></Relationships>

</file>

<file path=word/_rels/footer4.xml.rels><?xml version="1.0" encoding="UTF-8" standalone="yes"?>
<Relationships xmlns="http://schemas.openxmlformats.org/package/2006/relationships"><Relationship Id="rId1" Type="http://schemas.openxmlformats.org/officeDocument/2006/relationships/image" Target="media/image12.png"/></Relationships>

</file>

<file path=word/_rels/footer5.xml.rels><?xml version="1.0" encoding="UTF-8" standalone="yes"?>
<Relationships xmlns="http://schemas.openxmlformats.org/package/2006/relationships"><Relationship Id="rId1" Type="http://schemas.openxmlformats.org/officeDocument/2006/relationships/image" Target="media/image12.png"/></Relationships>

</file>

<file path=word/_rels/footer6.xml.rels><?xml version="1.0" encoding="UTF-8" standalone="yes"?>
<Relationships xmlns="http://schemas.openxmlformats.org/package/2006/relationships"><Relationship Id="rId1" Type="http://schemas.openxmlformats.org/officeDocument/2006/relationships/image" Target="media/image12.png"/></Relationships>

</file>

<file path=word/_rels/footer7.xml.rels><?xml version="1.0" encoding="UTF-8" standalone="yes"?>
<Relationships xmlns="http://schemas.openxmlformats.org/package/2006/relationships"><Relationship Id="rId1" Type="http://schemas.openxmlformats.org/officeDocument/2006/relationships/image" Target="media/image4.png"/></Relationships>

</file>

<file path=word/_rels/footer8.xml.rels><?xml version="1.0" encoding="UTF-8" standalone="yes"?>
<Relationships xmlns="http://schemas.openxmlformats.org/package/2006/relationships"><Relationship Id="rId1" Type="http://schemas.openxmlformats.org/officeDocument/2006/relationships/image" Target="media/image4.png"/></Relationships>

</file>

<file path=word/_rels/footer9.xml.rels><?xml version="1.0" encoding="UTF-8" standalone="yes"?>
<Relationships xmlns="http://schemas.openxmlformats.org/package/2006/relationships"><Relationship Id="rId1" Type="http://schemas.openxmlformats.org/officeDocument/2006/relationships/image" Target="media/image4.png"/></Relationships>

</file>

<file path=word/_rels/foot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2025-06-05T09:45:05Z</dcterms:created>
  <dcterms:modified xsi:type="dcterms:W3CDTF">2025-06-05T09:45:05Z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2025-06-03T00:00:00Z</vt:filetime>
  </property>
  <property fmtid="{D5CDD505-2E9C-101B-9397-08002B2CF9AE}" pid="3" name="LastSaved">
    <vt:filetime>2025-06-05T00:00:00Z</vt:filetime>
  </property>
  <property fmtid="{D5CDD505-2E9C-101B-9397-08002B2CF9AE}" pid="4" name="Producer">
    <vt:lpwstr>iText® Core 7.2.1 (AGPL version) ©2000-2021 iText Group NV</vt:lpwstr>
  </property>
</Properties>
</file>